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33D6B" w14:textId="77B61BB0" w:rsidR="001412F5" w:rsidRDefault="00812854" w:rsidP="00F85AC0">
      <w:r>
        <w:fldChar w:fldCharType="begin"/>
      </w:r>
      <w:r>
        <w:instrText xml:space="preserve"> MACROBUTTON MTEditEquationSection2 </w:instrText>
      </w:r>
      <w:r w:rsidRPr="00812854">
        <w:rPr>
          <w:rStyle w:val="MTEquationSection"/>
        </w:rPr>
        <w:instrText>Equation Chapter 1 Section 1</w:instrText>
      </w:r>
      <w:r>
        <w:fldChar w:fldCharType="begin"/>
      </w:r>
      <w:r>
        <w:instrText xml:space="preserve"> SEQ MTEqn \r \h \* MERGEFORMAT </w:instrText>
      </w:r>
      <w:r>
        <w:fldChar w:fldCharType="end"/>
      </w:r>
      <w:r>
        <w:fldChar w:fldCharType="begin"/>
      </w:r>
      <w:r>
        <w:instrText xml:space="preserve"> SEQ MTSec \r 1 \h \* MERGEFORMAT </w:instrText>
      </w:r>
      <w:r>
        <w:fldChar w:fldCharType="end"/>
      </w:r>
      <w:r>
        <w:fldChar w:fldCharType="begin"/>
      </w:r>
      <w:r>
        <w:instrText xml:space="preserve"> SEQ MTChap \r 1 \h \* MERGEFORMAT </w:instrText>
      </w:r>
      <w:r>
        <w:fldChar w:fldCharType="end"/>
      </w:r>
      <w:r>
        <w:fldChar w:fldCharType="end"/>
      </w:r>
    </w:p>
    <w:p w14:paraId="41382868" w14:textId="77777777" w:rsidR="001412F5" w:rsidRDefault="001412F5" w:rsidP="00F85AC0"/>
    <w:p w14:paraId="22730569" w14:textId="77777777" w:rsidR="001412F5" w:rsidRDefault="001412F5" w:rsidP="00F85AC0"/>
    <w:p w14:paraId="31A348A4" w14:textId="77777777" w:rsidR="001412F5" w:rsidRDefault="001412F5" w:rsidP="00F85AC0"/>
    <w:p w14:paraId="60267798" w14:textId="77777777" w:rsidR="001412F5" w:rsidRDefault="001412F5" w:rsidP="00F85AC0"/>
    <w:p w14:paraId="3EC6EF04" w14:textId="77777777" w:rsidR="001412F5" w:rsidRDefault="001412F5" w:rsidP="00F85AC0"/>
    <w:p w14:paraId="70CC3C66" w14:textId="77777777" w:rsidR="001412F5" w:rsidRDefault="001412F5" w:rsidP="00F85AC0"/>
    <w:p w14:paraId="66360DFD" w14:textId="6EC12EC5" w:rsidR="001412F5" w:rsidRPr="00CA09A7" w:rsidRDefault="00641D54" w:rsidP="00F85AC0">
      <w:pPr>
        <w:pStyle w:val="Title"/>
        <w:rPr>
          <w:spacing w:val="0"/>
        </w:rPr>
      </w:pPr>
      <w:r>
        <w:rPr>
          <w:spacing w:val="0"/>
        </w:rPr>
        <w:t>Regulated Price Plan Roadmap Pilot Program</w:t>
      </w:r>
      <w:r w:rsidR="007864C0">
        <w:rPr>
          <w:spacing w:val="0"/>
        </w:rPr>
        <w:t xml:space="preserve"> Interim Impact Evaluation: Summer 2018</w:t>
      </w:r>
    </w:p>
    <w:p w14:paraId="42C38358" w14:textId="59F70E03" w:rsidR="001412F5" w:rsidRDefault="00865B9E" w:rsidP="00855231">
      <w:pPr>
        <w:pStyle w:val="Subtitle"/>
        <w:rPr>
          <w:spacing w:val="0"/>
        </w:rPr>
      </w:pPr>
      <w:r>
        <w:rPr>
          <w:spacing w:val="0"/>
        </w:rPr>
        <w:t>Appendix H: Alternative Control Group Approach</w:t>
      </w:r>
    </w:p>
    <w:p w14:paraId="6192980A" w14:textId="4060B9A8" w:rsidR="00151674" w:rsidRPr="00151674" w:rsidRDefault="007824F1" w:rsidP="00243DC6">
      <w:r>
        <w:t>2020-</w:t>
      </w:r>
      <w:r w:rsidR="002C4BDD">
        <w:t>04-21</w:t>
      </w:r>
      <w:bookmarkStart w:id="0" w:name="_GoBack"/>
      <w:bookmarkEnd w:id="0"/>
    </w:p>
    <w:p w14:paraId="4FDFA600" w14:textId="77777777" w:rsidR="001412F5" w:rsidRPr="00CA09A7" w:rsidRDefault="001412F5" w:rsidP="001412F5"/>
    <w:p w14:paraId="51F03D31" w14:textId="77777777" w:rsidR="001412F5" w:rsidRPr="00CA09A7" w:rsidRDefault="001412F5" w:rsidP="00855231">
      <w:pPr>
        <w:pStyle w:val="Subtitle"/>
        <w:rPr>
          <w:spacing w:val="0"/>
        </w:rPr>
      </w:pPr>
      <w:r w:rsidRPr="00CA09A7">
        <w:rPr>
          <w:spacing w:val="0"/>
        </w:rPr>
        <w:t>Prepared for:</w:t>
      </w:r>
    </w:p>
    <w:p w14:paraId="08686FEC" w14:textId="77777777" w:rsidR="001412F5" w:rsidRPr="00CA09A7" w:rsidRDefault="001412F5" w:rsidP="001412F5">
      <w:pPr>
        <w:rPr>
          <w:b/>
          <w:bCs/>
          <w:color w:val="6F6754"/>
        </w:rPr>
      </w:pPr>
    </w:p>
    <w:p w14:paraId="299A7286" w14:textId="43876706" w:rsidR="001412F5" w:rsidRPr="00CA09A7" w:rsidRDefault="005F6998" w:rsidP="001412F5">
      <w:pPr>
        <w:rPr>
          <w:b/>
          <w:bCs/>
          <w:color w:val="6F6754"/>
        </w:rPr>
      </w:pPr>
      <w:r>
        <w:rPr>
          <w:noProof/>
          <w:lang w:val="en-CA" w:eastAsia="en-CA"/>
        </w:rPr>
        <w:drawing>
          <wp:inline distT="114300" distB="114300" distL="114300" distR="114300" wp14:anchorId="3C882267" wp14:editId="4D9C9F5C">
            <wp:extent cx="1690688" cy="2025477"/>
            <wp:effectExtent l="0" t="0" r="0" b="0"/>
            <wp:docPr id="5" name="image09.jpg" descr="London-Hydro-Logo.jpg"/>
            <wp:cNvGraphicFramePr/>
            <a:graphic xmlns:a="http://schemas.openxmlformats.org/drawingml/2006/main">
              <a:graphicData uri="http://schemas.openxmlformats.org/drawingml/2006/picture">
                <pic:pic xmlns:pic="http://schemas.openxmlformats.org/drawingml/2006/picture">
                  <pic:nvPicPr>
                    <pic:cNvPr id="0" name="image09.jpg" descr="London-Hydro-Logo.jpg"/>
                    <pic:cNvPicPr preferRelativeResize="0"/>
                  </pic:nvPicPr>
                  <pic:blipFill>
                    <a:blip r:embed="rId8"/>
                    <a:srcRect/>
                    <a:stretch>
                      <a:fillRect/>
                    </a:stretch>
                  </pic:blipFill>
                  <pic:spPr>
                    <a:xfrm>
                      <a:off x="0" y="0"/>
                      <a:ext cx="1690688" cy="2025477"/>
                    </a:xfrm>
                    <a:prstGeom prst="rect">
                      <a:avLst/>
                    </a:prstGeom>
                    <a:ln/>
                  </pic:spPr>
                </pic:pic>
              </a:graphicData>
            </a:graphic>
          </wp:inline>
        </w:drawing>
      </w:r>
    </w:p>
    <w:p w14:paraId="25284497" w14:textId="77777777" w:rsidR="001412F5" w:rsidRPr="00CA09A7" w:rsidRDefault="001412F5" w:rsidP="001412F5">
      <w:pPr>
        <w:rPr>
          <w:b/>
          <w:bCs/>
          <w:color w:val="6F6754"/>
        </w:rPr>
      </w:pPr>
    </w:p>
    <w:p w14:paraId="14DC1A64" w14:textId="77777777" w:rsidR="001412F5" w:rsidRPr="00CA09A7" w:rsidRDefault="001412F5" w:rsidP="001412F5">
      <w:pPr>
        <w:rPr>
          <w:b/>
          <w:bCs/>
          <w:color w:val="6F6754"/>
        </w:rPr>
      </w:pPr>
    </w:p>
    <w:p w14:paraId="5AED3762" w14:textId="77777777" w:rsidR="001412F5" w:rsidRPr="00CA09A7" w:rsidRDefault="001412F5" w:rsidP="001412F5">
      <w:pPr>
        <w:rPr>
          <w:b/>
          <w:bCs/>
          <w:color w:val="6F6754"/>
        </w:rPr>
      </w:pPr>
    </w:p>
    <w:p w14:paraId="4CD63CA0" w14:textId="77777777" w:rsidR="001412F5" w:rsidRPr="00CA09A7" w:rsidRDefault="001412F5" w:rsidP="001412F5">
      <w:pPr>
        <w:rPr>
          <w:rStyle w:val="CoverText"/>
        </w:rPr>
      </w:pPr>
    </w:p>
    <w:p w14:paraId="51E09912" w14:textId="4435FDD0" w:rsidR="001412F5" w:rsidRDefault="00FF7B5C" w:rsidP="00F376CD">
      <w:pPr>
        <w:pStyle w:val="Subtitle"/>
        <w:rPr>
          <w:rStyle w:val="CoverText"/>
          <w:i/>
          <w:spacing w:val="0"/>
        </w:rPr>
      </w:pPr>
      <w:r>
        <w:rPr>
          <w:rStyle w:val="CoverText"/>
          <w:i/>
          <w:spacing w:val="0"/>
        </w:rPr>
        <w:t>Prepared</w:t>
      </w:r>
      <w:r w:rsidR="00AF6C48" w:rsidRPr="00CA09A7">
        <w:rPr>
          <w:rStyle w:val="CoverText"/>
          <w:i/>
          <w:spacing w:val="0"/>
        </w:rPr>
        <w:t xml:space="preserve"> by:</w:t>
      </w:r>
    </w:p>
    <w:p w14:paraId="6656FE96" w14:textId="5B690768" w:rsidR="00FF7B5C" w:rsidRDefault="00FF7B5C" w:rsidP="00FF7B5C"/>
    <w:p w14:paraId="674E197D" w14:textId="6C83E044" w:rsidR="00FF7B5C" w:rsidRPr="00FF7B5C" w:rsidRDefault="00FF7B5C" w:rsidP="00FF7B5C">
      <w:pPr>
        <w:rPr>
          <w:rStyle w:val="CoverText"/>
        </w:rPr>
      </w:pPr>
      <w:r w:rsidRPr="00FF7B5C">
        <w:rPr>
          <w:rStyle w:val="CoverText"/>
        </w:rPr>
        <w:t>Peter Steele-Mosey, Associate Director</w:t>
      </w:r>
    </w:p>
    <w:p w14:paraId="1A3F8D29" w14:textId="77777777" w:rsidR="00FF7B5C" w:rsidRPr="00FF7B5C" w:rsidRDefault="00FF7B5C" w:rsidP="00FF7B5C"/>
    <w:p w14:paraId="305D244D" w14:textId="77777777" w:rsidR="001412F5" w:rsidRPr="00CA09A7" w:rsidRDefault="001412F5" w:rsidP="001412F5">
      <w:pPr>
        <w:rPr>
          <w:rStyle w:val="CoverText"/>
        </w:rPr>
      </w:pPr>
      <w:r w:rsidRPr="00CA09A7">
        <w:rPr>
          <w:rStyle w:val="CoverText"/>
        </w:rPr>
        <w:t xml:space="preserve">Navigant Consulting, </w:t>
      </w:r>
      <w:r w:rsidR="003E6ABC">
        <w:rPr>
          <w:rStyle w:val="CoverText"/>
        </w:rPr>
        <w:t>Ltd</w:t>
      </w:r>
      <w:r w:rsidRPr="00CA09A7">
        <w:rPr>
          <w:rStyle w:val="CoverText"/>
        </w:rPr>
        <w:t>.</w:t>
      </w:r>
    </w:p>
    <w:p w14:paraId="19A5E268" w14:textId="27434263" w:rsidR="001412F5" w:rsidRDefault="00FF7B5C" w:rsidP="003E6ABC">
      <w:pPr>
        <w:rPr>
          <w:rStyle w:val="CoverText"/>
        </w:rPr>
      </w:pPr>
      <w:r>
        <w:rPr>
          <w:rStyle w:val="CoverText"/>
        </w:rPr>
        <w:t>First Canadian Place</w:t>
      </w:r>
    </w:p>
    <w:p w14:paraId="5A56A9CD" w14:textId="56147B62" w:rsidR="00FF7B5C" w:rsidRDefault="00FF7B5C" w:rsidP="003E6ABC">
      <w:pPr>
        <w:rPr>
          <w:rStyle w:val="CoverText"/>
        </w:rPr>
      </w:pPr>
      <w:r>
        <w:rPr>
          <w:rStyle w:val="CoverText"/>
        </w:rPr>
        <w:t>100 King St. W. Suite 4950</w:t>
      </w:r>
    </w:p>
    <w:p w14:paraId="6ACE4DDE" w14:textId="7E3474A9" w:rsidR="00FF7B5C" w:rsidRDefault="00FF7B5C" w:rsidP="003E6ABC">
      <w:pPr>
        <w:rPr>
          <w:rStyle w:val="CoverText"/>
        </w:rPr>
      </w:pPr>
      <w:r>
        <w:rPr>
          <w:rStyle w:val="CoverText"/>
        </w:rPr>
        <w:t>P.O. Box 64</w:t>
      </w:r>
    </w:p>
    <w:p w14:paraId="3D6C85E9" w14:textId="08C41A32" w:rsidR="00FF7B5C" w:rsidRPr="00CA09A7" w:rsidRDefault="00FF7B5C" w:rsidP="003E6ABC">
      <w:pPr>
        <w:rPr>
          <w:rStyle w:val="CoverText"/>
        </w:rPr>
      </w:pPr>
      <w:r>
        <w:rPr>
          <w:rStyle w:val="CoverText"/>
        </w:rPr>
        <w:t>Toronto, ON, M5X 1B1</w:t>
      </w:r>
    </w:p>
    <w:p w14:paraId="62C13053" w14:textId="77777777" w:rsidR="001412F5" w:rsidRPr="00CA09A7" w:rsidRDefault="003E6ABC" w:rsidP="001412F5">
      <w:pPr>
        <w:rPr>
          <w:rStyle w:val="CoverText"/>
        </w:rPr>
      </w:pPr>
      <w:r>
        <w:rPr>
          <w:rStyle w:val="CoverText"/>
        </w:rPr>
        <w:t>416.777.2440</w:t>
      </w:r>
    </w:p>
    <w:p w14:paraId="2867CBC0" w14:textId="77777777" w:rsidR="001412F5" w:rsidRPr="00CA09A7" w:rsidRDefault="001412F5" w:rsidP="001412F5">
      <w:pPr>
        <w:rPr>
          <w:rStyle w:val="CoverText"/>
        </w:rPr>
      </w:pPr>
      <w:r w:rsidRPr="00CA09A7">
        <w:rPr>
          <w:rStyle w:val="CoverText"/>
        </w:rPr>
        <w:t>navigant.com</w:t>
      </w:r>
    </w:p>
    <w:p w14:paraId="0A7FBB98" w14:textId="2031AACF" w:rsidR="001412F5" w:rsidRPr="00CA09A7" w:rsidRDefault="001412F5" w:rsidP="00C227A0">
      <w:pPr>
        <w:rPr>
          <w:rStyle w:val="CoverText"/>
        </w:rPr>
        <w:sectPr w:rsidR="001412F5" w:rsidRPr="00CA09A7" w:rsidSect="00AE78DC">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pPr>
    </w:p>
    <w:p w14:paraId="31264D7D" w14:textId="064FCCDD" w:rsidR="007864C0" w:rsidRDefault="002635CA" w:rsidP="00462685">
      <w:pPr>
        <w:pStyle w:val="Heading1"/>
      </w:pPr>
      <w:bookmarkStart w:id="1" w:name="_Ref3266929"/>
      <w:bookmarkStart w:id="2" w:name="_Ref496552966"/>
      <w:r>
        <w:lastRenderedPageBreak/>
        <w:t>iNTRODUCTION</w:t>
      </w:r>
      <w:bookmarkEnd w:id="1"/>
    </w:p>
    <w:p w14:paraId="5205DE67" w14:textId="0714FFF5" w:rsidR="002635CA" w:rsidRDefault="002635CA" w:rsidP="004252A7">
      <w:r>
        <w:t>The London Hydro RPP Pilot was designed to be evaluated as a randomized control trial</w:t>
      </w:r>
      <w:r w:rsidR="001421CB">
        <w:t xml:space="preserve"> (RCT)</w:t>
      </w:r>
      <w:r>
        <w:t xml:space="preserve">, using a “recruit-and-deny” enrollment strategy to ensure a robust control group for all treatments. </w:t>
      </w:r>
      <w:r w:rsidR="001421CB">
        <w:t>During</w:t>
      </w:r>
      <w:r>
        <w:t xml:space="preserve"> the enrollment period, London Hydro became concerned about its ability to obtain sufficient program applicants to support this strategy and asked Navigant to develop a contingency quasi-experimental evaluation approach, should insufficient RCT controls be available to support the evaluation.</w:t>
      </w:r>
    </w:p>
    <w:p w14:paraId="613A83D9" w14:textId="77777777" w:rsidR="002635CA" w:rsidRDefault="002635CA" w:rsidP="004252A7"/>
    <w:p w14:paraId="3C2BFB97" w14:textId="5B9005FC" w:rsidR="002635CA" w:rsidRDefault="002635CA" w:rsidP="004252A7">
      <w:r>
        <w:t xml:space="preserve">To this end, Navigant developed, and described in the evaluation plan, a quasi-experimental approach for developing matched participant controls based on hourly, weather-dependent consumption patterns. Navigant had previously </w:t>
      </w:r>
      <w:r w:rsidR="001421CB">
        <w:t>used</w:t>
      </w:r>
      <w:r>
        <w:t xml:space="preserve"> such an approach for the evaluation of Alectra’s Advantage Power Pricing pilot.</w:t>
      </w:r>
      <w:r>
        <w:rPr>
          <w:rStyle w:val="FootnoteReference"/>
        </w:rPr>
        <w:footnoteReference w:id="2"/>
      </w:r>
    </w:p>
    <w:p w14:paraId="4797FCBD" w14:textId="77777777" w:rsidR="002635CA" w:rsidRDefault="002635CA" w:rsidP="004252A7"/>
    <w:p w14:paraId="1A8CC9FC" w14:textId="3A58E76C" w:rsidR="002635CA" w:rsidRDefault="002635CA" w:rsidP="004252A7">
      <w:r>
        <w:t xml:space="preserve">The approach to developing this control group is described in </w:t>
      </w:r>
      <w:r w:rsidR="00457FDD">
        <w:t xml:space="preserve">Section </w:t>
      </w:r>
      <w:r w:rsidR="00457FDD">
        <w:fldChar w:fldCharType="begin"/>
      </w:r>
      <w:r w:rsidR="00457FDD">
        <w:instrText xml:space="preserve"> REF _Ref3266929 \w \h </w:instrText>
      </w:r>
      <w:r w:rsidR="00457FDD">
        <w:fldChar w:fldCharType="separate"/>
      </w:r>
      <w:r w:rsidR="00457FDD">
        <w:t>1</w:t>
      </w:r>
      <w:r w:rsidR="00457FDD">
        <w:fldChar w:fldCharType="end"/>
      </w:r>
      <w:r w:rsidR="00457FDD">
        <w:t>, below.</w:t>
      </w:r>
    </w:p>
    <w:p w14:paraId="7FB2FC89" w14:textId="0BC1A72F" w:rsidR="00457FDD" w:rsidRDefault="00457FDD" w:rsidP="004252A7"/>
    <w:p w14:paraId="1F377BAF" w14:textId="07A2DCE9" w:rsidR="00457FDD" w:rsidRDefault="00457FDD" w:rsidP="004252A7">
      <w:r>
        <w:t>At the end of the enrollment period, London Hydro had a sufficient number of applicants to the CPP (and CPP/RT) program streams to deliver a robust RCT control group for those treatments, but concerns arose regarding whether these customers would still be suitable as controls for the RT-only group, and the decision was made to proceed with the initial steps of matched control group development, and to use the pre-matching period as a testing ground to compare the two control groups.</w:t>
      </w:r>
    </w:p>
    <w:p w14:paraId="0E018434" w14:textId="0F8BD3D6" w:rsidR="00457FDD" w:rsidRDefault="00457FDD" w:rsidP="004252A7"/>
    <w:p w14:paraId="17B23EB6" w14:textId="10681445" w:rsidR="001421CB" w:rsidRDefault="00457FDD" w:rsidP="004252A7">
      <w:r>
        <w:t xml:space="preserve">The purpose of the testing conducted was to answer the question: </w:t>
      </w:r>
      <w:r w:rsidR="001421CB" w:rsidRPr="001421CB">
        <w:rPr>
          <w:i/>
        </w:rPr>
        <w:t xml:space="preserve">are the consumption patterns of the RT-only participants in the testing period more like those of the RCT controls’, or </w:t>
      </w:r>
      <w:r w:rsidR="001421CB">
        <w:rPr>
          <w:i/>
        </w:rPr>
        <w:t>more like</w:t>
      </w:r>
      <w:r w:rsidR="001421CB" w:rsidRPr="001421CB">
        <w:rPr>
          <w:i/>
        </w:rPr>
        <w:t xml:space="preserve"> those of the matched controls’?</w:t>
      </w:r>
    </w:p>
    <w:p w14:paraId="1A4C7F1C" w14:textId="77777777" w:rsidR="001421CB" w:rsidRDefault="001421CB" w:rsidP="004252A7">
      <w:pPr>
        <w:rPr>
          <w:i/>
        </w:rPr>
      </w:pPr>
    </w:p>
    <w:p w14:paraId="024A79A2" w14:textId="0D181B16" w:rsidR="00457FDD" w:rsidRPr="001421CB" w:rsidRDefault="001421CB" w:rsidP="004252A7">
      <w:r w:rsidRPr="001421CB">
        <w:t xml:space="preserve">Put another way, </w:t>
      </w:r>
      <w:r w:rsidR="00457FDD" w:rsidRPr="001421CB">
        <w:t>are applicants to the CPP treatment more like applicants to the RT treatment than non-applicants whose electricity consumption patterns are similar to RT treatment applicants in the period from February 1, 2017 through January 31, 2018?</w:t>
      </w:r>
    </w:p>
    <w:p w14:paraId="42E22F2F" w14:textId="5BF3D8FB" w:rsidR="00457FDD" w:rsidRDefault="00457FDD" w:rsidP="004252A7"/>
    <w:p w14:paraId="34D80401" w14:textId="38341BC4" w:rsidR="00457FDD" w:rsidRDefault="00457FDD" w:rsidP="004252A7">
      <w:r>
        <w:t>What Navigant found was that the matches were poorer controls for RT-only participants than the RCT controls, and that the RCT controls, were, overall, extremely similar in consumption patterns to the RT-only participants in the test period. Based on this finding Navigant determined the most prudent course of action was to proceed with using the RCT controls as controls for all treatments, rather than to work to further refine the matching algorithm.</w:t>
      </w:r>
    </w:p>
    <w:p w14:paraId="228F6359" w14:textId="0B791035" w:rsidR="00457FDD" w:rsidRDefault="00457FDD" w:rsidP="004252A7"/>
    <w:p w14:paraId="5BCFEA0D" w14:textId="77777777" w:rsidR="00140624" w:rsidRDefault="00457FDD" w:rsidP="004252A7">
      <w:r>
        <w:t>This appendix is included for completeness and transparency. It outlines the initial approach to matching deployed by Navigant</w:t>
      </w:r>
      <w:r w:rsidR="00140624">
        <w:t xml:space="preserve"> and</w:t>
      </w:r>
      <w:r>
        <w:t xml:space="preserve"> the findings of test-period comparison.</w:t>
      </w:r>
    </w:p>
    <w:p w14:paraId="7A1BB424" w14:textId="77777777" w:rsidR="00140624" w:rsidRDefault="00140624" w:rsidP="004252A7"/>
    <w:p w14:paraId="523D1C69" w14:textId="77777777" w:rsidR="001421CB" w:rsidRDefault="00457FDD" w:rsidP="004252A7">
      <w:r>
        <w:t xml:space="preserve">Navigant would emphasize that </w:t>
      </w:r>
      <w:r w:rsidR="00140624">
        <w:t>readers must bear in mind that the matched controls were abandoned as a strategy when it became apparent that the RCT control group would be a suitable control group for the RT-only participants. An RCT control group is always preferable to a quasi-experimental approach (e.g., matched controls) as it controls for selection bias – an unobservable trait that only experimental (i.e., RCT) approaches can control for.</w:t>
      </w:r>
    </w:p>
    <w:p w14:paraId="5334E133" w14:textId="77777777" w:rsidR="001421CB" w:rsidRDefault="001421CB" w:rsidP="004252A7"/>
    <w:p w14:paraId="3E6F82BE" w14:textId="37E7FC59" w:rsidR="00457FDD" w:rsidRDefault="00140624" w:rsidP="004252A7">
      <w:r>
        <w:t xml:space="preserve">Had no RCT control group been available, or had it been demonstrated </w:t>
      </w:r>
      <w:r w:rsidR="001421CB">
        <w:t xml:space="preserve">that the RCT group in hand was </w:t>
      </w:r>
      <w:r>
        <w:t>meaningfully different from the RT-only participant group in the testing period, Navigant would have continued to refine its matching approach to address issues that its testing identified.</w:t>
      </w:r>
    </w:p>
    <w:p w14:paraId="0603B0DA" w14:textId="7EC4CF6E" w:rsidR="00140624" w:rsidRDefault="00140624" w:rsidP="004252A7"/>
    <w:p w14:paraId="5F56B8C1" w14:textId="1B8D6DBF" w:rsidR="00140624" w:rsidRDefault="00140624" w:rsidP="004252A7">
      <w:r>
        <w:t>The remainder of this Appendix is divided into two sections:</w:t>
      </w:r>
    </w:p>
    <w:p w14:paraId="1813134F" w14:textId="7DC9C890" w:rsidR="00140624" w:rsidRDefault="00140624" w:rsidP="00140624">
      <w:pPr>
        <w:pStyle w:val="ListParagraph"/>
        <w:numPr>
          <w:ilvl w:val="0"/>
          <w:numId w:val="35"/>
        </w:numPr>
      </w:pPr>
      <w:r w:rsidRPr="00140624">
        <w:rPr>
          <w:b/>
        </w:rPr>
        <w:fldChar w:fldCharType="begin"/>
      </w:r>
      <w:r w:rsidRPr="00140624">
        <w:rPr>
          <w:b/>
        </w:rPr>
        <w:instrText xml:space="preserve"> REF _Ref3268190 \h </w:instrText>
      </w:r>
      <w:r>
        <w:rPr>
          <w:b/>
        </w:rPr>
        <w:instrText xml:space="preserve"> \* MERGEFORMAT </w:instrText>
      </w:r>
      <w:r w:rsidRPr="00140624">
        <w:rPr>
          <w:b/>
        </w:rPr>
      </w:r>
      <w:r w:rsidRPr="00140624">
        <w:rPr>
          <w:b/>
        </w:rPr>
        <w:fldChar w:fldCharType="separate"/>
      </w:r>
      <w:r w:rsidRPr="00140624">
        <w:rPr>
          <w:b/>
        </w:rPr>
        <w:t>Control Group Development</w:t>
      </w:r>
      <w:r w:rsidRPr="00140624">
        <w:rPr>
          <w:b/>
        </w:rPr>
        <w:fldChar w:fldCharType="end"/>
      </w:r>
      <w:r w:rsidRPr="00140624">
        <w:rPr>
          <w:b/>
        </w:rPr>
        <w:t>.</w:t>
      </w:r>
      <w:r>
        <w:t xml:space="preserve"> This section provides a description of how the matched control group was developed.</w:t>
      </w:r>
    </w:p>
    <w:p w14:paraId="1BB80378" w14:textId="7A324983" w:rsidR="00140624" w:rsidRPr="00457FDD" w:rsidRDefault="00140624" w:rsidP="00140624">
      <w:pPr>
        <w:pStyle w:val="ListParagraph"/>
        <w:numPr>
          <w:ilvl w:val="0"/>
          <w:numId w:val="35"/>
        </w:numPr>
      </w:pPr>
      <w:r w:rsidRPr="00140624">
        <w:rPr>
          <w:b/>
        </w:rPr>
        <w:fldChar w:fldCharType="begin"/>
      </w:r>
      <w:r w:rsidRPr="00140624">
        <w:rPr>
          <w:b/>
        </w:rPr>
        <w:instrText xml:space="preserve"> REF _Ref3268192 \h </w:instrText>
      </w:r>
      <w:r>
        <w:rPr>
          <w:b/>
        </w:rPr>
        <w:instrText xml:space="preserve"> \* MERGEFORMAT </w:instrText>
      </w:r>
      <w:r w:rsidRPr="00140624">
        <w:rPr>
          <w:b/>
        </w:rPr>
      </w:r>
      <w:r w:rsidRPr="00140624">
        <w:rPr>
          <w:b/>
        </w:rPr>
        <w:fldChar w:fldCharType="separate"/>
      </w:r>
      <w:r w:rsidRPr="00140624">
        <w:rPr>
          <w:b/>
        </w:rPr>
        <w:t>Control Group Assessment</w:t>
      </w:r>
      <w:r w:rsidRPr="00140624">
        <w:rPr>
          <w:b/>
        </w:rPr>
        <w:fldChar w:fldCharType="end"/>
      </w:r>
      <w:r w:rsidRPr="00140624">
        <w:rPr>
          <w:b/>
        </w:rPr>
        <w:t xml:space="preserve">. </w:t>
      </w:r>
      <w:r>
        <w:t xml:space="preserve">This section summarizes Navigant’s analysis of the different control groups in the testing period, and </w:t>
      </w:r>
      <w:r w:rsidR="001421CB">
        <w:t>provides</w:t>
      </w:r>
      <w:r>
        <w:t xml:space="preserve"> the evidence for why the RCT controls were a suitable control group for the RT-only participants.</w:t>
      </w:r>
    </w:p>
    <w:p w14:paraId="54273405" w14:textId="758AF50C" w:rsidR="002635CA" w:rsidRDefault="002635CA" w:rsidP="004252A7"/>
    <w:p w14:paraId="6EE7C6AA" w14:textId="08468F28" w:rsidR="00140624" w:rsidRDefault="00140624" w:rsidP="004252A7">
      <w:r>
        <w:t>A note on terminology:</w:t>
      </w:r>
    </w:p>
    <w:p w14:paraId="15EEAF5A" w14:textId="4960CDB8" w:rsidR="00140624" w:rsidRDefault="00140624" w:rsidP="00140624">
      <w:pPr>
        <w:pStyle w:val="ListParagraph"/>
        <w:numPr>
          <w:ilvl w:val="0"/>
          <w:numId w:val="35"/>
        </w:numPr>
      </w:pPr>
      <w:r w:rsidRPr="00140624">
        <w:rPr>
          <w:b/>
        </w:rPr>
        <w:t>Program Period:</w:t>
      </w:r>
      <w:r>
        <w:t xml:space="preserve"> The period from May 1, 2018 through April 30, 2019</w:t>
      </w:r>
    </w:p>
    <w:p w14:paraId="21C0F1F9" w14:textId="340C28C9" w:rsidR="00140624" w:rsidRDefault="00140624" w:rsidP="00140624">
      <w:pPr>
        <w:pStyle w:val="ListParagraph"/>
        <w:numPr>
          <w:ilvl w:val="0"/>
          <w:numId w:val="35"/>
        </w:numPr>
      </w:pPr>
      <w:r w:rsidRPr="00140624">
        <w:rPr>
          <w:b/>
        </w:rPr>
        <w:t>Matching Period:</w:t>
      </w:r>
      <w:r>
        <w:t xml:space="preserve"> Referred to in the body of this report as the “pre-program period”, this is the period from February 1, 2017 though January 31, 2018.</w:t>
      </w:r>
    </w:p>
    <w:p w14:paraId="518566B5" w14:textId="446BD3F4" w:rsidR="00140624" w:rsidRDefault="00140624" w:rsidP="00140624">
      <w:pPr>
        <w:pStyle w:val="ListParagraph"/>
        <w:numPr>
          <w:ilvl w:val="0"/>
          <w:numId w:val="35"/>
        </w:numPr>
      </w:pPr>
      <w:r w:rsidRPr="00140624">
        <w:rPr>
          <w:b/>
        </w:rPr>
        <w:t>Testing Period:</w:t>
      </w:r>
      <w:r>
        <w:t xml:space="preserve"> The period from February 1, 2016 through January 31, 2017</w:t>
      </w:r>
    </w:p>
    <w:p w14:paraId="77AF0CD5" w14:textId="0E71D4ED" w:rsidR="00140624" w:rsidRDefault="00140624" w:rsidP="00140624"/>
    <w:p w14:paraId="4002356E" w14:textId="77777777" w:rsidR="00140624" w:rsidRDefault="00140624" w:rsidP="00140624"/>
    <w:p w14:paraId="2DA8A53D" w14:textId="731799A5" w:rsidR="002635CA" w:rsidRDefault="002635CA" w:rsidP="002635CA">
      <w:pPr>
        <w:pStyle w:val="Heading1"/>
      </w:pPr>
      <w:bookmarkStart w:id="3" w:name="_Ref3268190"/>
      <w:r>
        <w:lastRenderedPageBreak/>
        <w:t>Control Group Development</w:t>
      </w:r>
      <w:bookmarkEnd w:id="3"/>
    </w:p>
    <w:p w14:paraId="7AE06529" w14:textId="15EC3616" w:rsidR="00D069CB" w:rsidRDefault="00D069CB" w:rsidP="00D069CB">
      <w:pPr>
        <w:spacing w:line="240" w:lineRule="atLeast"/>
      </w:pPr>
      <w:r>
        <w:t>Navigant’s approach to selecting for each participant an eligible non-participant with the most similar hourly electricity consumption patterns has previously been documented in its evaluation of Alectra’s Advantage Power Pricing pilot program. Navigant’s approach for this project is similar, but with some material differences. The entire approach is described in detail below.</w:t>
      </w:r>
    </w:p>
    <w:p w14:paraId="0D95CDB5" w14:textId="77777777" w:rsidR="00D069CB" w:rsidRDefault="00D069CB" w:rsidP="00D069CB">
      <w:pPr>
        <w:spacing w:line="240" w:lineRule="atLeast"/>
      </w:pPr>
    </w:p>
    <w:p w14:paraId="47015D50" w14:textId="3F866650" w:rsidR="00D069CB" w:rsidRDefault="001421CB" w:rsidP="00D069CB">
      <w:pPr>
        <w:spacing w:line="240" w:lineRule="atLeast"/>
      </w:pPr>
      <w:r>
        <w:t>To</w:t>
      </w:r>
      <w:r w:rsidR="00D069CB">
        <w:t xml:space="preserve"> select the control group PowerStream provided Navigant with hourly AMI data for participants and for over 130,000 eligible non-participants extending from 2015-10-01 to 2018-02-05. </w:t>
      </w:r>
    </w:p>
    <w:p w14:paraId="1A65A79F" w14:textId="77777777" w:rsidR="00D069CB" w:rsidRDefault="00D069CB" w:rsidP="00D069CB">
      <w:pPr>
        <w:spacing w:line="240" w:lineRule="atLeast"/>
      </w:pPr>
    </w:p>
    <w:p w14:paraId="48DC4545" w14:textId="77777777" w:rsidR="00D069CB" w:rsidRDefault="00D069CB" w:rsidP="00D069CB">
      <w:pPr>
        <w:spacing w:line="240" w:lineRule="atLeast"/>
      </w:pPr>
      <w:r>
        <w:t>Matching took place in two distinct steps:</w:t>
      </w:r>
    </w:p>
    <w:p w14:paraId="455A3EFC" w14:textId="77777777" w:rsidR="00D069CB" w:rsidRDefault="00D069CB" w:rsidP="00D069CB">
      <w:pPr>
        <w:pStyle w:val="ListParagraph"/>
        <w:numPr>
          <w:ilvl w:val="0"/>
          <w:numId w:val="37"/>
        </w:numPr>
        <w:spacing w:before="0" w:line="240" w:lineRule="atLeast"/>
        <w:contextualSpacing/>
      </w:pPr>
      <w:r w:rsidRPr="00C43513">
        <w:rPr>
          <w:b/>
        </w:rPr>
        <w:fldChar w:fldCharType="begin"/>
      </w:r>
      <w:r w:rsidRPr="00C43513">
        <w:rPr>
          <w:b/>
        </w:rPr>
        <w:instrText xml:space="preserve"> REF _Ref527625515 \h </w:instrText>
      </w:r>
      <w:r>
        <w:rPr>
          <w:b/>
        </w:rPr>
        <w:instrText xml:space="preserve"> \* MERGEFORMAT </w:instrText>
      </w:r>
      <w:r w:rsidRPr="00C43513">
        <w:rPr>
          <w:b/>
        </w:rPr>
      </w:r>
      <w:r w:rsidRPr="00C43513">
        <w:rPr>
          <w:b/>
        </w:rPr>
        <w:fldChar w:fldCharType="separate"/>
      </w:r>
      <w:r w:rsidRPr="00C43513">
        <w:rPr>
          <w:b/>
        </w:rPr>
        <w:t>Grouping</w:t>
      </w:r>
      <w:r w:rsidRPr="00C43513">
        <w:rPr>
          <w:b/>
        </w:rPr>
        <w:fldChar w:fldCharType="end"/>
      </w:r>
      <w:r w:rsidRPr="00C43513">
        <w:rPr>
          <w:b/>
        </w:rPr>
        <w:t>.</w:t>
      </w:r>
      <w:r>
        <w:t xml:space="preserve"> A “pre-matching” step that limits the match search to those non-participants with a total consumption in the matching period (2017-02-01 through 2018-01-31) that is reasonably close to that of the given participant. </w:t>
      </w:r>
    </w:p>
    <w:p w14:paraId="322F17FF" w14:textId="77777777" w:rsidR="00D069CB" w:rsidRDefault="00D069CB" w:rsidP="00D069CB">
      <w:pPr>
        <w:pStyle w:val="ListParagraph"/>
        <w:numPr>
          <w:ilvl w:val="0"/>
          <w:numId w:val="37"/>
        </w:numPr>
        <w:spacing w:before="0" w:line="240" w:lineRule="atLeast"/>
        <w:contextualSpacing/>
      </w:pPr>
      <w:r w:rsidRPr="00C43513">
        <w:rPr>
          <w:b/>
        </w:rPr>
        <w:fldChar w:fldCharType="begin"/>
      </w:r>
      <w:r w:rsidRPr="00C43513">
        <w:rPr>
          <w:b/>
        </w:rPr>
        <w:instrText xml:space="preserve"> REF _Ref527625525 \h </w:instrText>
      </w:r>
      <w:r>
        <w:rPr>
          <w:b/>
        </w:rPr>
        <w:instrText xml:space="preserve"> \* MERGEFORMAT </w:instrText>
      </w:r>
      <w:r w:rsidRPr="00C43513">
        <w:rPr>
          <w:b/>
        </w:rPr>
      </w:r>
      <w:r w:rsidRPr="00C43513">
        <w:rPr>
          <w:b/>
        </w:rPr>
        <w:fldChar w:fldCharType="separate"/>
      </w:r>
      <w:r w:rsidRPr="00C43513">
        <w:rPr>
          <w:b/>
        </w:rPr>
        <w:t>Matching</w:t>
      </w:r>
      <w:r w:rsidRPr="00C43513">
        <w:rPr>
          <w:b/>
        </w:rPr>
        <w:fldChar w:fldCharType="end"/>
      </w:r>
      <w:r w:rsidRPr="00C43513">
        <w:rPr>
          <w:b/>
        </w:rPr>
        <w:t>.</w:t>
      </w:r>
      <w:r>
        <w:t xml:space="preserve"> Participants are matched to controls that fall with the specified matching groups, according to hourly electricity consumption patterns.</w:t>
      </w:r>
    </w:p>
    <w:p w14:paraId="53B8724B" w14:textId="77777777" w:rsidR="00D069CB" w:rsidRDefault="00D069CB" w:rsidP="00D069CB">
      <w:pPr>
        <w:spacing w:line="240" w:lineRule="atLeast"/>
      </w:pPr>
    </w:p>
    <w:p w14:paraId="66058D39" w14:textId="77777777" w:rsidR="00D069CB" w:rsidRDefault="00D069CB" w:rsidP="00D069CB">
      <w:pPr>
        <w:pStyle w:val="Heading2"/>
        <w:numPr>
          <w:ilvl w:val="1"/>
          <w:numId w:val="36"/>
        </w:numPr>
        <w:spacing w:before="0" w:after="0" w:line="240" w:lineRule="atLeast"/>
      </w:pPr>
      <w:bookmarkStart w:id="4" w:name="_Ref527625515"/>
      <w:r>
        <w:t>Grouping</w:t>
      </w:r>
      <w:bookmarkEnd w:id="4"/>
    </w:p>
    <w:p w14:paraId="7E07A5B6" w14:textId="77777777" w:rsidR="00D069CB" w:rsidRDefault="00D069CB" w:rsidP="00D069CB">
      <w:pPr>
        <w:spacing w:line="240" w:lineRule="atLeast"/>
      </w:pPr>
      <w:r>
        <w:t>Matching with high frequency data is computationally intensive and can be quite time-consuming. The “Grouping” step reduces the resource demands of matching by limiting a participant’s potential matches only to those non-participants with a reasonably similar total energy consumption within the matching period (2017-02-01 through 2018-01-31).</w:t>
      </w:r>
    </w:p>
    <w:p w14:paraId="066D2770" w14:textId="77777777" w:rsidR="00D069CB" w:rsidRDefault="00D069CB" w:rsidP="00D069CB">
      <w:pPr>
        <w:spacing w:line="240" w:lineRule="atLeast"/>
      </w:pPr>
    </w:p>
    <w:p w14:paraId="248EB1F4" w14:textId="77777777" w:rsidR="00D069CB" w:rsidRDefault="00D069CB" w:rsidP="00D069CB">
      <w:pPr>
        <w:spacing w:line="240" w:lineRule="atLeast"/>
      </w:pPr>
      <w:r>
        <w:t>This initial step proceeds in the following manner:</w:t>
      </w:r>
    </w:p>
    <w:p w14:paraId="7DF8CEBD" w14:textId="59A07B26" w:rsidR="0020490F" w:rsidRDefault="0020490F" w:rsidP="00D069CB">
      <w:pPr>
        <w:pStyle w:val="ListParagraph"/>
        <w:numPr>
          <w:ilvl w:val="0"/>
          <w:numId w:val="38"/>
        </w:numPr>
        <w:spacing w:before="0" w:line="240" w:lineRule="atLeast"/>
        <w:contextualSpacing/>
      </w:pPr>
      <w:r>
        <w:rPr>
          <w:b/>
        </w:rPr>
        <w:t>Eliminate Outliers and Participants with Incomplete Data Series.</w:t>
      </w:r>
      <w:r>
        <w:t xml:space="preserve"> </w:t>
      </w:r>
      <w:r w:rsidR="00EF0C30">
        <w:t>Non-participants were eliminated from the pool to be used to generate matches when:</w:t>
      </w:r>
    </w:p>
    <w:p w14:paraId="7CA13492" w14:textId="60BEA7F1" w:rsidR="00EF0C30" w:rsidRDefault="00EF0C30" w:rsidP="00EF0C30">
      <w:pPr>
        <w:pStyle w:val="ListParagraph"/>
        <w:numPr>
          <w:ilvl w:val="1"/>
          <w:numId w:val="38"/>
        </w:numPr>
        <w:spacing w:before="0" w:line="240" w:lineRule="atLeast"/>
        <w:contextualSpacing/>
      </w:pPr>
      <w:r>
        <w:t xml:space="preserve">More than 20% of expected observations </w:t>
      </w:r>
      <w:r w:rsidR="006B1F09">
        <w:t xml:space="preserve">missing in either </w:t>
      </w:r>
      <w:r>
        <w:t xml:space="preserve">the matching period </w:t>
      </w:r>
      <w:r w:rsidR="006B1F09">
        <w:t>or the testing period</w:t>
      </w:r>
      <w:r>
        <w:t>.</w:t>
      </w:r>
    </w:p>
    <w:p w14:paraId="0CA84698" w14:textId="4A8778BA" w:rsidR="00EF0C30" w:rsidRDefault="00EF0C30" w:rsidP="00EF0C30">
      <w:pPr>
        <w:pStyle w:val="ListParagraph"/>
        <w:numPr>
          <w:ilvl w:val="1"/>
          <w:numId w:val="38"/>
        </w:numPr>
        <w:spacing w:before="0" w:line="240" w:lineRule="atLeast"/>
        <w:contextualSpacing/>
      </w:pPr>
      <w:r>
        <w:t>They were missing more than one complete month of data</w:t>
      </w:r>
      <w:r w:rsidR="006B1F09">
        <w:t xml:space="preserve"> in either the matching period or the testing period</w:t>
      </w:r>
      <w:r>
        <w:t>.</w:t>
      </w:r>
    </w:p>
    <w:p w14:paraId="58E86C84" w14:textId="65564C91" w:rsidR="00EF0C30" w:rsidRDefault="00EF0C30" w:rsidP="00EF0C30">
      <w:pPr>
        <w:pStyle w:val="ListParagraph"/>
        <w:numPr>
          <w:ilvl w:val="1"/>
          <w:numId w:val="38"/>
        </w:numPr>
        <w:spacing w:before="0" w:line="240" w:lineRule="atLeast"/>
        <w:contextualSpacing/>
      </w:pPr>
      <w:r>
        <w:t>Annual consumption exceeded 60 MWh</w:t>
      </w:r>
      <w:r w:rsidR="006B1F09">
        <w:t xml:space="preserve"> in the matching period</w:t>
      </w:r>
      <w:r>
        <w:t>.</w:t>
      </w:r>
    </w:p>
    <w:p w14:paraId="114DB54F" w14:textId="63EE28B0" w:rsidR="00D069CB" w:rsidRDefault="00D069CB" w:rsidP="00D069CB">
      <w:pPr>
        <w:pStyle w:val="ListParagraph"/>
        <w:numPr>
          <w:ilvl w:val="0"/>
          <w:numId w:val="38"/>
        </w:numPr>
        <w:spacing w:before="0" w:line="240" w:lineRule="atLeast"/>
        <w:contextualSpacing/>
      </w:pPr>
      <w:r>
        <w:rPr>
          <w:b/>
        </w:rPr>
        <w:t>Non-Participants Grouped.</w:t>
      </w:r>
      <w:r>
        <w:t xml:space="preserve"> After</w:t>
      </w:r>
      <w:r w:rsidR="006B1F09">
        <w:t xml:space="preserve"> excluding non-participants per the criteria above</w:t>
      </w:r>
      <w:r>
        <w:t>, non-participants are assigned to one of 20 groups of equal size based on their estimated total consumption in the period.</w:t>
      </w:r>
      <w:r>
        <w:rPr>
          <w:rStyle w:val="FootnoteReference"/>
          <w:rFonts w:eastAsiaTheme="majorEastAsia"/>
        </w:rPr>
        <w:footnoteReference w:id="3"/>
      </w:r>
      <w:r>
        <w:t xml:space="preserve"> </w:t>
      </w:r>
    </w:p>
    <w:p w14:paraId="6D315F1A" w14:textId="77777777" w:rsidR="00D069CB" w:rsidRPr="00AA537A" w:rsidRDefault="00D069CB" w:rsidP="00D069CB">
      <w:pPr>
        <w:pStyle w:val="ListParagraph"/>
        <w:spacing w:line="240" w:lineRule="atLeast"/>
      </w:pPr>
      <w:r>
        <w:t>As part of this grouping, the maximum and minimum annual kWh of all non-participants within each group is preserved</w:t>
      </w:r>
    </w:p>
    <w:p w14:paraId="1A1A6C9F" w14:textId="77777777" w:rsidR="00D069CB" w:rsidRPr="00B769EE" w:rsidRDefault="00D069CB" w:rsidP="00D069CB">
      <w:pPr>
        <w:pStyle w:val="ListParagraph"/>
        <w:numPr>
          <w:ilvl w:val="0"/>
          <w:numId w:val="38"/>
        </w:numPr>
        <w:spacing w:before="0" w:line="240" w:lineRule="atLeast"/>
        <w:contextualSpacing/>
      </w:pPr>
      <w:r>
        <w:rPr>
          <w:b/>
        </w:rPr>
        <w:t>Assign Groups to Participants for Matching.</w:t>
      </w:r>
    </w:p>
    <w:p w14:paraId="02C5D320" w14:textId="77777777" w:rsidR="00D069CB" w:rsidRDefault="00D069CB" w:rsidP="00D069CB">
      <w:pPr>
        <w:pStyle w:val="ListParagraph"/>
        <w:numPr>
          <w:ilvl w:val="1"/>
          <w:numId w:val="38"/>
        </w:numPr>
        <w:spacing w:before="0" w:line="240" w:lineRule="atLeast"/>
        <w:contextualSpacing/>
      </w:pPr>
      <w:r>
        <w:t>Each participant is assigned a “range” of annual kWh consumption. This range extends from 25% below their annual consumption to 25% above their annual consumption.</w:t>
      </w:r>
    </w:p>
    <w:p w14:paraId="7A413169" w14:textId="77777777" w:rsidR="00D069CB" w:rsidRDefault="00D069CB" w:rsidP="00D069CB">
      <w:pPr>
        <w:pStyle w:val="ListParagraph"/>
        <w:numPr>
          <w:ilvl w:val="1"/>
          <w:numId w:val="38"/>
        </w:numPr>
        <w:spacing w:before="0" w:line="240" w:lineRule="atLeast"/>
        <w:contextualSpacing/>
      </w:pPr>
      <w:r>
        <w:t>This range (for each participant) is then compared to the threshold (minimum and maximum) values of each of the non-participant groups.</w:t>
      </w:r>
    </w:p>
    <w:p w14:paraId="32119198" w14:textId="77777777" w:rsidR="00D069CB" w:rsidRDefault="00D069CB" w:rsidP="00D069CB">
      <w:pPr>
        <w:pStyle w:val="ListParagraph"/>
        <w:numPr>
          <w:ilvl w:val="1"/>
          <w:numId w:val="38"/>
        </w:numPr>
        <w:spacing w:before="0" w:line="240" w:lineRule="atLeast"/>
        <w:contextualSpacing/>
      </w:pPr>
      <w:r>
        <w:t>This then delivers a set of non-participant groups for each participant – for example:</w:t>
      </w:r>
    </w:p>
    <w:p w14:paraId="670B35C7" w14:textId="77777777" w:rsidR="00D069CB" w:rsidRDefault="00D069CB" w:rsidP="00D069CB">
      <w:pPr>
        <w:pStyle w:val="ListParagraph"/>
        <w:numPr>
          <w:ilvl w:val="2"/>
          <w:numId w:val="38"/>
        </w:numPr>
        <w:spacing w:before="0" w:line="240" w:lineRule="atLeast"/>
        <w:contextualSpacing/>
      </w:pPr>
      <w:r>
        <w:t>If the upper threshold (maximum annual kWh) of a given non-participant group is more than the bottom kWh value of the participant’s range, that group is included in the set of groups from which a control customer may be selected for the given participant.</w:t>
      </w:r>
    </w:p>
    <w:p w14:paraId="341B1106" w14:textId="77777777" w:rsidR="00D069CB" w:rsidRDefault="00D069CB" w:rsidP="00D069CB">
      <w:pPr>
        <w:pStyle w:val="ListParagraph"/>
        <w:numPr>
          <w:ilvl w:val="2"/>
          <w:numId w:val="38"/>
        </w:numPr>
        <w:spacing w:before="0" w:line="240" w:lineRule="atLeast"/>
        <w:contextualSpacing/>
      </w:pPr>
      <w:r>
        <w:lastRenderedPageBreak/>
        <w:t>Likewise, if the lower threshold (minimum annual kWh) of a given non-participant group is less than the top kWh value of the participant’s range, that group is also included in the set of groups from which a control customer may be selected for the given participant.</w:t>
      </w:r>
    </w:p>
    <w:p w14:paraId="0D68E514" w14:textId="77777777" w:rsidR="00D069CB" w:rsidRDefault="00D069CB" w:rsidP="00D069CB">
      <w:pPr>
        <w:spacing w:line="240" w:lineRule="atLeast"/>
      </w:pPr>
    </w:p>
    <w:p w14:paraId="0C28F833" w14:textId="77777777" w:rsidR="00D069CB" w:rsidRDefault="00D069CB" w:rsidP="00D069CB">
      <w:pPr>
        <w:spacing w:line="240" w:lineRule="atLeast"/>
      </w:pPr>
      <w:r>
        <w:t>The thresholds used and number of potential control customers in each group is summarized in below.</w:t>
      </w:r>
    </w:p>
    <w:p w14:paraId="1AC67E64" w14:textId="77777777" w:rsidR="00D069CB" w:rsidRDefault="00D069CB" w:rsidP="00D069CB">
      <w:pPr>
        <w:spacing w:line="240" w:lineRule="atLeast"/>
      </w:pPr>
    </w:p>
    <w:p w14:paraId="3FF46455" w14:textId="270C0277" w:rsidR="00604A8C" w:rsidRDefault="00604A8C" w:rsidP="00604A8C">
      <w:pPr>
        <w:pStyle w:val="Caption"/>
      </w:pPr>
      <w:r>
        <w:t xml:space="preserve">Figure H - </w:t>
      </w:r>
      <w:r w:rsidR="001421CB">
        <w:rPr>
          <w:noProof/>
        </w:rPr>
        <w:fldChar w:fldCharType="begin"/>
      </w:r>
      <w:r w:rsidR="001421CB">
        <w:rPr>
          <w:noProof/>
        </w:rPr>
        <w:instrText xml:space="preserve"> SEQ Figure_H_- \* ARABIC </w:instrText>
      </w:r>
      <w:r w:rsidR="001421CB">
        <w:rPr>
          <w:noProof/>
        </w:rPr>
        <w:fldChar w:fldCharType="separate"/>
      </w:r>
      <w:r w:rsidR="009212E8">
        <w:rPr>
          <w:noProof/>
        </w:rPr>
        <w:t>1</w:t>
      </w:r>
      <w:r w:rsidR="001421CB">
        <w:rPr>
          <w:noProof/>
        </w:rPr>
        <w:fldChar w:fldCharType="end"/>
      </w:r>
      <w:r>
        <w:t>: Distribution of Consumption Values by Non-Participant Group</w:t>
      </w:r>
    </w:p>
    <w:tbl>
      <w:tblPr>
        <w:tblW w:w="5260" w:type="dxa"/>
        <w:jc w:val="center"/>
        <w:tblLook w:val="04A0" w:firstRow="1" w:lastRow="0" w:firstColumn="1" w:lastColumn="0" w:noHBand="0" w:noVBand="1"/>
      </w:tblPr>
      <w:tblGrid>
        <w:gridCol w:w="880"/>
        <w:gridCol w:w="1460"/>
        <w:gridCol w:w="1460"/>
        <w:gridCol w:w="1460"/>
      </w:tblGrid>
      <w:tr w:rsidR="00D069CB" w:rsidRPr="00342E12" w14:paraId="5049E600" w14:textId="77777777" w:rsidTr="00D069CB">
        <w:trPr>
          <w:trHeight w:val="630"/>
          <w:jc w:val="center"/>
        </w:trPr>
        <w:tc>
          <w:tcPr>
            <w:tcW w:w="880" w:type="dxa"/>
            <w:tcBorders>
              <w:top w:val="single" w:sz="4" w:space="0" w:color="auto"/>
              <w:left w:val="single" w:sz="4" w:space="0" w:color="auto"/>
              <w:bottom w:val="single" w:sz="4" w:space="0" w:color="auto"/>
              <w:right w:val="nil"/>
            </w:tcBorders>
            <w:shd w:val="clear" w:color="000000" w:fill="555759"/>
            <w:vAlign w:val="center"/>
            <w:hideMark/>
          </w:tcPr>
          <w:p w14:paraId="26E1A5AB" w14:textId="77777777" w:rsidR="00D069CB" w:rsidRPr="00342E12" w:rsidRDefault="00D069CB" w:rsidP="00D069CB">
            <w:pPr>
              <w:keepNext/>
              <w:spacing w:line="240" w:lineRule="atLeast"/>
              <w:jc w:val="center"/>
              <w:rPr>
                <w:rFonts w:cs="Arial"/>
                <w:b/>
                <w:bCs/>
                <w:color w:val="FFFFFF"/>
                <w:sz w:val="16"/>
                <w:szCs w:val="16"/>
              </w:rPr>
            </w:pPr>
            <w:r w:rsidRPr="00342E12">
              <w:rPr>
                <w:rFonts w:cs="Arial"/>
                <w:b/>
                <w:bCs/>
                <w:color w:val="FFFFFF"/>
                <w:sz w:val="16"/>
                <w:szCs w:val="16"/>
              </w:rPr>
              <w:t>Group Number</w:t>
            </w:r>
          </w:p>
        </w:tc>
        <w:tc>
          <w:tcPr>
            <w:tcW w:w="1460" w:type="dxa"/>
            <w:tcBorders>
              <w:top w:val="single" w:sz="4" w:space="0" w:color="auto"/>
              <w:left w:val="nil"/>
              <w:bottom w:val="single" w:sz="4" w:space="0" w:color="auto"/>
              <w:right w:val="nil"/>
            </w:tcBorders>
            <w:shd w:val="clear" w:color="000000" w:fill="555759"/>
            <w:vAlign w:val="center"/>
            <w:hideMark/>
          </w:tcPr>
          <w:p w14:paraId="399D5A8D" w14:textId="77777777" w:rsidR="00D069CB" w:rsidRPr="00342E12" w:rsidRDefault="00D069CB" w:rsidP="00D069CB">
            <w:pPr>
              <w:keepNext/>
              <w:spacing w:line="240" w:lineRule="atLeast"/>
              <w:jc w:val="center"/>
              <w:rPr>
                <w:rFonts w:cs="Arial"/>
                <w:b/>
                <w:bCs/>
                <w:color w:val="FFFFFF"/>
                <w:sz w:val="16"/>
                <w:szCs w:val="16"/>
              </w:rPr>
            </w:pPr>
            <w:r w:rsidRPr="00342E12">
              <w:rPr>
                <w:rFonts w:cs="Arial"/>
                <w:b/>
                <w:bCs/>
                <w:color w:val="FFFFFF"/>
                <w:sz w:val="16"/>
                <w:szCs w:val="16"/>
              </w:rPr>
              <w:t xml:space="preserve">Max Annual Consumption </w:t>
            </w:r>
          </w:p>
        </w:tc>
        <w:tc>
          <w:tcPr>
            <w:tcW w:w="1460" w:type="dxa"/>
            <w:tcBorders>
              <w:top w:val="single" w:sz="4" w:space="0" w:color="auto"/>
              <w:left w:val="nil"/>
              <w:bottom w:val="single" w:sz="4" w:space="0" w:color="auto"/>
              <w:right w:val="nil"/>
            </w:tcBorders>
            <w:shd w:val="clear" w:color="000000" w:fill="555759"/>
            <w:vAlign w:val="center"/>
            <w:hideMark/>
          </w:tcPr>
          <w:p w14:paraId="64A7AD5C" w14:textId="77777777" w:rsidR="00D069CB" w:rsidRPr="00342E12" w:rsidRDefault="00D069CB" w:rsidP="00D069CB">
            <w:pPr>
              <w:keepNext/>
              <w:spacing w:line="240" w:lineRule="atLeast"/>
              <w:jc w:val="center"/>
              <w:rPr>
                <w:rFonts w:cs="Arial"/>
                <w:b/>
                <w:bCs/>
                <w:color w:val="FFFFFF"/>
                <w:sz w:val="16"/>
                <w:szCs w:val="16"/>
              </w:rPr>
            </w:pPr>
            <w:r w:rsidRPr="00342E12">
              <w:rPr>
                <w:rFonts w:cs="Arial"/>
                <w:b/>
                <w:bCs/>
                <w:color w:val="FFFFFF"/>
                <w:sz w:val="16"/>
                <w:szCs w:val="16"/>
              </w:rPr>
              <w:t>Min Annual Consumption</w:t>
            </w:r>
          </w:p>
        </w:tc>
        <w:tc>
          <w:tcPr>
            <w:tcW w:w="1460" w:type="dxa"/>
            <w:tcBorders>
              <w:top w:val="single" w:sz="4" w:space="0" w:color="auto"/>
              <w:left w:val="nil"/>
              <w:bottom w:val="single" w:sz="4" w:space="0" w:color="auto"/>
              <w:right w:val="single" w:sz="4" w:space="0" w:color="auto"/>
            </w:tcBorders>
            <w:shd w:val="clear" w:color="000000" w:fill="555759"/>
            <w:vAlign w:val="center"/>
            <w:hideMark/>
          </w:tcPr>
          <w:p w14:paraId="0FB28FF8" w14:textId="77777777" w:rsidR="00D069CB" w:rsidRPr="00342E12" w:rsidRDefault="00D069CB" w:rsidP="00D069CB">
            <w:pPr>
              <w:keepNext/>
              <w:spacing w:line="240" w:lineRule="atLeast"/>
              <w:jc w:val="center"/>
              <w:rPr>
                <w:rFonts w:cs="Arial"/>
                <w:b/>
                <w:bCs/>
                <w:color w:val="FFFFFF"/>
                <w:sz w:val="16"/>
                <w:szCs w:val="16"/>
              </w:rPr>
            </w:pPr>
            <w:r w:rsidRPr="00342E12">
              <w:rPr>
                <w:rFonts w:cs="Arial"/>
                <w:b/>
                <w:bCs/>
                <w:color w:val="FFFFFF"/>
                <w:sz w:val="16"/>
                <w:szCs w:val="16"/>
              </w:rPr>
              <w:t>Number of Customers in Group</w:t>
            </w:r>
          </w:p>
        </w:tc>
      </w:tr>
      <w:tr w:rsidR="006B1F09" w:rsidRPr="00342E12" w14:paraId="1E58036A" w14:textId="77777777" w:rsidTr="00D22755">
        <w:trPr>
          <w:trHeight w:val="200"/>
          <w:jc w:val="center"/>
        </w:trPr>
        <w:tc>
          <w:tcPr>
            <w:tcW w:w="880" w:type="dxa"/>
            <w:tcBorders>
              <w:top w:val="nil"/>
              <w:left w:val="single" w:sz="4" w:space="0" w:color="auto"/>
              <w:bottom w:val="nil"/>
              <w:right w:val="single" w:sz="4" w:space="0" w:color="auto"/>
            </w:tcBorders>
            <w:shd w:val="clear" w:color="000000" w:fill="FFFFFF"/>
            <w:noWrap/>
            <w:hideMark/>
          </w:tcPr>
          <w:p w14:paraId="3E095DB9" w14:textId="073A3D65" w:rsidR="006B1F09" w:rsidRPr="00342E12" w:rsidRDefault="006B1F09" w:rsidP="006B1F09">
            <w:pPr>
              <w:keepNext/>
              <w:spacing w:line="240" w:lineRule="atLeast"/>
              <w:jc w:val="center"/>
              <w:rPr>
                <w:rFonts w:cs="Arial"/>
                <w:sz w:val="16"/>
                <w:szCs w:val="16"/>
              </w:rPr>
            </w:pPr>
            <w:r w:rsidRPr="00D9202C">
              <w:t>1</w:t>
            </w:r>
          </w:p>
        </w:tc>
        <w:tc>
          <w:tcPr>
            <w:tcW w:w="1460" w:type="dxa"/>
            <w:tcBorders>
              <w:top w:val="nil"/>
              <w:left w:val="nil"/>
              <w:bottom w:val="nil"/>
              <w:right w:val="single" w:sz="4" w:space="0" w:color="auto"/>
            </w:tcBorders>
            <w:shd w:val="clear" w:color="000000" w:fill="FFFFFF"/>
            <w:noWrap/>
            <w:hideMark/>
          </w:tcPr>
          <w:p w14:paraId="085D663D" w14:textId="47014BE9" w:rsidR="006B1F09" w:rsidRPr="00342E12" w:rsidRDefault="006B1F09" w:rsidP="006B1F09">
            <w:pPr>
              <w:keepNext/>
              <w:spacing w:line="240" w:lineRule="atLeast"/>
              <w:jc w:val="center"/>
              <w:rPr>
                <w:rFonts w:cs="Arial"/>
                <w:sz w:val="16"/>
                <w:szCs w:val="16"/>
              </w:rPr>
            </w:pPr>
            <w:r w:rsidRPr="00D9202C">
              <w:t>2,486</w:t>
            </w:r>
          </w:p>
        </w:tc>
        <w:tc>
          <w:tcPr>
            <w:tcW w:w="1460" w:type="dxa"/>
            <w:tcBorders>
              <w:top w:val="nil"/>
              <w:left w:val="nil"/>
              <w:bottom w:val="nil"/>
              <w:right w:val="single" w:sz="4" w:space="0" w:color="auto"/>
            </w:tcBorders>
            <w:shd w:val="clear" w:color="000000" w:fill="FFFFFF"/>
            <w:noWrap/>
            <w:hideMark/>
          </w:tcPr>
          <w:p w14:paraId="0227F872" w14:textId="3C61B8CE" w:rsidR="006B1F09" w:rsidRPr="00342E12" w:rsidRDefault="006B1F09" w:rsidP="006B1F09">
            <w:pPr>
              <w:keepNext/>
              <w:spacing w:line="240" w:lineRule="atLeast"/>
              <w:jc w:val="center"/>
              <w:rPr>
                <w:rFonts w:cs="Arial"/>
                <w:sz w:val="16"/>
                <w:szCs w:val="16"/>
              </w:rPr>
            </w:pPr>
            <w:r w:rsidRPr="00D9202C">
              <w:t>0</w:t>
            </w:r>
          </w:p>
        </w:tc>
        <w:tc>
          <w:tcPr>
            <w:tcW w:w="1460" w:type="dxa"/>
            <w:tcBorders>
              <w:top w:val="nil"/>
              <w:left w:val="nil"/>
              <w:bottom w:val="nil"/>
              <w:right w:val="single" w:sz="4" w:space="0" w:color="auto"/>
            </w:tcBorders>
            <w:shd w:val="clear" w:color="000000" w:fill="FFFFFF"/>
            <w:noWrap/>
            <w:hideMark/>
          </w:tcPr>
          <w:p w14:paraId="5272EF6D" w14:textId="4C6014BA" w:rsidR="006B1F09" w:rsidRPr="00342E12" w:rsidRDefault="006B1F09" w:rsidP="006B1F09">
            <w:pPr>
              <w:keepNext/>
              <w:spacing w:line="240" w:lineRule="atLeast"/>
              <w:jc w:val="center"/>
              <w:rPr>
                <w:rFonts w:cs="Arial"/>
                <w:sz w:val="16"/>
                <w:szCs w:val="16"/>
              </w:rPr>
            </w:pPr>
            <w:r w:rsidRPr="00D9202C">
              <w:t>4,838</w:t>
            </w:r>
          </w:p>
        </w:tc>
      </w:tr>
      <w:tr w:rsidR="006B1F09" w:rsidRPr="00342E12" w14:paraId="4ED422C2" w14:textId="77777777" w:rsidTr="00D22755">
        <w:trPr>
          <w:trHeight w:val="200"/>
          <w:jc w:val="center"/>
        </w:trPr>
        <w:tc>
          <w:tcPr>
            <w:tcW w:w="880" w:type="dxa"/>
            <w:tcBorders>
              <w:top w:val="nil"/>
              <w:left w:val="single" w:sz="4" w:space="0" w:color="auto"/>
              <w:bottom w:val="nil"/>
              <w:right w:val="single" w:sz="4" w:space="0" w:color="auto"/>
            </w:tcBorders>
            <w:shd w:val="clear" w:color="000000" w:fill="DCDDDE"/>
            <w:noWrap/>
            <w:hideMark/>
          </w:tcPr>
          <w:p w14:paraId="3187C9AF" w14:textId="57662D3F" w:rsidR="006B1F09" w:rsidRPr="00342E12" w:rsidRDefault="006B1F09" w:rsidP="006B1F09">
            <w:pPr>
              <w:keepNext/>
              <w:spacing w:line="240" w:lineRule="atLeast"/>
              <w:jc w:val="center"/>
              <w:rPr>
                <w:rFonts w:cs="Arial"/>
                <w:sz w:val="16"/>
                <w:szCs w:val="16"/>
              </w:rPr>
            </w:pPr>
            <w:r w:rsidRPr="00D9202C">
              <w:t>2</w:t>
            </w:r>
          </w:p>
        </w:tc>
        <w:tc>
          <w:tcPr>
            <w:tcW w:w="1460" w:type="dxa"/>
            <w:tcBorders>
              <w:top w:val="nil"/>
              <w:left w:val="nil"/>
              <w:bottom w:val="nil"/>
              <w:right w:val="single" w:sz="4" w:space="0" w:color="auto"/>
            </w:tcBorders>
            <w:shd w:val="clear" w:color="000000" w:fill="DCDDDE"/>
            <w:noWrap/>
            <w:hideMark/>
          </w:tcPr>
          <w:p w14:paraId="4150FFB0" w14:textId="62E965A7" w:rsidR="006B1F09" w:rsidRPr="00342E12" w:rsidRDefault="006B1F09" w:rsidP="006B1F09">
            <w:pPr>
              <w:keepNext/>
              <w:spacing w:line="240" w:lineRule="atLeast"/>
              <w:jc w:val="center"/>
              <w:rPr>
                <w:rFonts w:cs="Arial"/>
                <w:sz w:val="16"/>
                <w:szCs w:val="16"/>
              </w:rPr>
            </w:pPr>
            <w:r w:rsidRPr="00D9202C">
              <w:t>3,316</w:t>
            </w:r>
          </w:p>
        </w:tc>
        <w:tc>
          <w:tcPr>
            <w:tcW w:w="1460" w:type="dxa"/>
            <w:tcBorders>
              <w:top w:val="nil"/>
              <w:left w:val="nil"/>
              <w:bottom w:val="nil"/>
              <w:right w:val="single" w:sz="4" w:space="0" w:color="auto"/>
            </w:tcBorders>
            <w:shd w:val="clear" w:color="000000" w:fill="DCDDDE"/>
            <w:noWrap/>
            <w:hideMark/>
          </w:tcPr>
          <w:p w14:paraId="5B6DD6DB" w14:textId="6FC80249" w:rsidR="006B1F09" w:rsidRPr="00342E12" w:rsidRDefault="006B1F09" w:rsidP="006B1F09">
            <w:pPr>
              <w:keepNext/>
              <w:spacing w:line="240" w:lineRule="atLeast"/>
              <w:jc w:val="center"/>
              <w:rPr>
                <w:rFonts w:cs="Arial"/>
                <w:sz w:val="16"/>
                <w:szCs w:val="16"/>
              </w:rPr>
            </w:pPr>
            <w:r w:rsidRPr="00D9202C">
              <w:t>2,486</w:t>
            </w:r>
          </w:p>
        </w:tc>
        <w:tc>
          <w:tcPr>
            <w:tcW w:w="1460" w:type="dxa"/>
            <w:tcBorders>
              <w:top w:val="nil"/>
              <w:left w:val="nil"/>
              <w:bottom w:val="nil"/>
              <w:right w:val="single" w:sz="4" w:space="0" w:color="auto"/>
            </w:tcBorders>
            <w:shd w:val="clear" w:color="000000" w:fill="DCDDDE"/>
            <w:noWrap/>
            <w:hideMark/>
          </w:tcPr>
          <w:p w14:paraId="1FD87A2F" w14:textId="6AD35A67" w:rsidR="006B1F09" w:rsidRPr="00342E12" w:rsidRDefault="006B1F09" w:rsidP="006B1F09">
            <w:pPr>
              <w:keepNext/>
              <w:spacing w:line="240" w:lineRule="atLeast"/>
              <w:jc w:val="center"/>
              <w:rPr>
                <w:rFonts w:cs="Arial"/>
                <w:sz w:val="16"/>
                <w:szCs w:val="16"/>
              </w:rPr>
            </w:pPr>
            <w:r w:rsidRPr="00D9202C">
              <w:t>4,839</w:t>
            </w:r>
          </w:p>
        </w:tc>
      </w:tr>
      <w:tr w:rsidR="006B1F09" w:rsidRPr="00342E12" w14:paraId="59BE55F4" w14:textId="77777777" w:rsidTr="00D22755">
        <w:trPr>
          <w:trHeight w:val="200"/>
          <w:jc w:val="center"/>
        </w:trPr>
        <w:tc>
          <w:tcPr>
            <w:tcW w:w="880" w:type="dxa"/>
            <w:tcBorders>
              <w:top w:val="nil"/>
              <w:left w:val="single" w:sz="4" w:space="0" w:color="auto"/>
              <w:bottom w:val="nil"/>
              <w:right w:val="single" w:sz="4" w:space="0" w:color="auto"/>
            </w:tcBorders>
            <w:shd w:val="clear" w:color="000000" w:fill="FFFFFF"/>
            <w:noWrap/>
            <w:hideMark/>
          </w:tcPr>
          <w:p w14:paraId="3B464378" w14:textId="388DEE2B" w:rsidR="006B1F09" w:rsidRPr="00342E12" w:rsidRDefault="006B1F09" w:rsidP="006B1F09">
            <w:pPr>
              <w:keepNext/>
              <w:spacing w:line="240" w:lineRule="atLeast"/>
              <w:jc w:val="center"/>
              <w:rPr>
                <w:rFonts w:cs="Arial"/>
                <w:sz w:val="16"/>
                <w:szCs w:val="16"/>
              </w:rPr>
            </w:pPr>
            <w:r w:rsidRPr="00D9202C">
              <w:t>3</w:t>
            </w:r>
          </w:p>
        </w:tc>
        <w:tc>
          <w:tcPr>
            <w:tcW w:w="1460" w:type="dxa"/>
            <w:tcBorders>
              <w:top w:val="nil"/>
              <w:left w:val="nil"/>
              <w:bottom w:val="nil"/>
              <w:right w:val="single" w:sz="4" w:space="0" w:color="auto"/>
            </w:tcBorders>
            <w:shd w:val="clear" w:color="000000" w:fill="FFFFFF"/>
            <w:noWrap/>
            <w:hideMark/>
          </w:tcPr>
          <w:p w14:paraId="11972804" w14:textId="0DD65B28" w:rsidR="006B1F09" w:rsidRPr="00342E12" w:rsidRDefault="006B1F09" w:rsidP="006B1F09">
            <w:pPr>
              <w:keepNext/>
              <w:spacing w:line="240" w:lineRule="atLeast"/>
              <w:jc w:val="center"/>
              <w:rPr>
                <w:rFonts w:cs="Arial"/>
                <w:sz w:val="16"/>
                <w:szCs w:val="16"/>
              </w:rPr>
            </w:pPr>
            <w:r w:rsidRPr="00D9202C">
              <w:t>3,929</w:t>
            </w:r>
          </w:p>
        </w:tc>
        <w:tc>
          <w:tcPr>
            <w:tcW w:w="1460" w:type="dxa"/>
            <w:tcBorders>
              <w:top w:val="nil"/>
              <w:left w:val="nil"/>
              <w:bottom w:val="nil"/>
              <w:right w:val="single" w:sz="4" w:space="0" w:color="auto"/>
            </w:tcBorders>
            <w:shd w:val="clear" w:color="000000" w:fill="FFFFFF"/>
            <w:noWrap/>
            <w:hideMark/>
          </w:tcPr>
          <w:p w14:paraId="6EE6D7A0" w14:textId="3E217479" w:rsidR="006B1F09" w:rsidRPr="00342E12" w:rsidRDefault="006B1F09" w:rsidP="006B1F09">
            <w:pPr>
              <w:keepNext/>
              <w:spacing w:line="240" w:lineRule="atLeast"/>
              <w:jc w:val="center"/>
              <w:rPr>
                <w:rFonts w:cs="Arial"/>
                <w:sz w:val="16"/>
                <w:szCs w:val="16"/>
              </w:rPr>
            </w:pPr>
            <w:r w:rsidRPr="00D9202C">
              <w:t>3,316</w:t>
            </w:r>
          </w:p>
        </w:tc>
        <w:tc>
          <w:tcPr>
            <w:tcW w:w="1460" w:type="dxa"/>
            <w:tcBorders>
              <w:top w:val="nil"/>
              <w:left w:val="nil"/>
              <w:bottom w:val="nil"/>
              <w:right w:val="single" w:sz="4" w:space="0" w:color="auto"/>
            </w:tcBorders>
            <w:shd w:val="clear" w:color="000000" w:fill="FFFFFF"/>
            <w:noWrap/>
            <w:hideMark/>
          </w:tcPr>
          <w:p w14:paraId="28EAFB7B" w14:textId="139CBD8C" w:rsidR="006B1F09" w:rsidRPr="00342E12" w:rsidRDefault="006B1F09" w:rsidP="006B1F09">
            <w:pPr>
              <w:keepNext/>
              <w:spacing w:line="240" w:lineRule="atLeast"/>
              <w:jc w:val="center"/>
              <w:rPr>
                <w:rFonts w:cs="Arial"/>
                <w:sz w:val="16"/>
                <w:szCs w:val="16"/>
              </w:rPr>
            </w:pPr>
            <w:r w:rsidRPr="00D9202C">
              <w:t>4,839</w:t>
            </w:r>
          </w:p>
        </w:tc>
      </w:tr>
      <w:tr w:rsidR="006B1F09" w:rsidRPr="00342E12" w14:paraId="50DC57DD" w14:textId="77777777" w:rsidTr="00D22755">
        <w:trPr>
          <w:trHeight w:val="200"/>
          <w:jc w:val="center"/>
        </w:trPr>
        <w:tc>
          <w:tcPr>
            <w:tcW w:w="880" w:type="dxa"/>
            <w:tcBorders>
              <w:top w:val="nil"/>
              <w:left w:val="single" w:sz="4" w:space="0" w:color="auto"/>
              <w:bottom w:val="nil"/>
              <w:right w:val="single" w:sz="4" w:space="0" w:color="auto"/>
            </w:tcBorders>
            <w:shd w:val="clear" w:color="000000" w:fill="DCDDDE"/>
            <w:noWrap/>
            <w:hideMark/>
          </w:tcPr>
          <w:p w14:paraId="75F45B49" w14:textId="162816E7" w:rsidR="006B1F09" w:rsidRPr="00342E12" w:rsidRDefault="006B1F09" w:rsidP="006B1F09">
            <w:pPr>
              <w:keepNext/>
              <w:spacing w:line="240" w:lineRule="atLeast"/>
              <w:jc w:val="center"/>
              <w:rPr>
                <w:rFonts w:cs="Arial"/>
                <w:sz w:val="16"/>
                <w:szCs w:val="16"/>
              </w:rPr>
            </w:pPr>
            <w:r w:rsidRPr="00D9202C">
              <w:t>4</w:t>
            </w:r>
          </w:p>
        </w:tc>
        <w:tc>
          <w:tcPr>
            <w:tcW w:w="1460" w:type="dxa"/>
            <w:tcBorders>
              <w:top w:val="nil"/>
              <w:left w:val="nil"/>
              <w:bottom w:val="nil"/>
              <w:right w:val="single" w:sz="4" w:space="0" w:color="auto"/>
            </w:tcBorders>
            <w:shd w:val="clear" w:color="000000" w:fill="DCDDDE"/>
            <w:noWrap/>
            <w:hideMark/>
          </w:tcPr>
          <w:p w14:paraId="3A5F0411" w14:textId="67D33554" w:rsidR="006B1F09" w:rsidRPr="00342E12" w:rsidRDefault="006B1F09" w:rsidP="006B1F09">
            <w:pPr>
              <w:keepNext/>
              <w:spacing w:line="240" w:lineRule="atLeast"/>
              <w:jc w:val="center"/>
              <w:rPr>
                <w:rFonts w:cs="Arial"/>
                <w:sz w:val="16"/>
                <w:szCs w:val="16"/>
              </w:rPr>
            </w:pPr>
            <w:r w:rsidRPr="00D9202C">
              <w:t>4,437</w:t>
            </w:r>
          </w:p>
        </w:tc>
        <w:tc>
          <w:tcPr>
            <w:tcW w:w="1460" w:type="dxa"/>
            <w:tcBorders>
              <w:top w:val="nil"/>
              <w:left w:val="nil"/>
              <w:bottom w:val="nil"/>
              <w:right w:val="single" w:sz="4" w:space="0" w:color="auto"/>
            </w:tcBorders>
            <w:shd w:val="clear" w:color="000000" w:fill="DCDDDE"/>
            <w:noWrap/>
            <w:hideMark/>
          </w:tcPr>
          <w:p w14:paraId="6A2BE673" w14:textId="3B51DAAD" w:rsidR="006B1F09" w:rsidRPr="00342E12" w:rsidRDefault="006B1F09" w:rsidP="006B1F09">
            <w:pPr>
              <w:keepNext/>
              <w:spacing w:line="240" w:lineRule="atLeast"/>
              <w:jc w:val="center"/>
              <w:rPr>
                <w:rFonts w:cs="Arial"/>
                <w:sz w:val="16"/>
                <w:szCs w:val="16"/>
              </w:rPr>
            </w:pPr>
            <w:r w:rsidRPr="00D9202C">
              <w:t>3,929</w:t>
            </w:r>
          </w:p>
        </w:tc>
        <w:tc>
          <w:tcPr>
            <w:tcW w:w="1460" w:type="dxa"/>
            <w:tcBorders>
              <w:top w:val="nil"/>
              <w:left w:val="nil"/>
              <w:bottom w:val="nil"/>
              <w:right w:val="single" w:sz="4" w:space="0" w:color="auto"/>
            </w:tcBorders>
            <w:shd w:val="clear" w:color="000000" w:fill="DCDDDE"/>
            <w:noWrap/>
            <w:hideMark/>
          </w:tcPr>
          <w:p w14:paraId="3134C7A8" w14:textId="5E3C679D" w:rsidR="006B1F09" w:rsidRPr="00342E12" w:rsidRDefault="006B1F09" w:rsidP="006B1F09">
            <w:pPr>
              <w:keepNext/>
              <w:spacing w:line="240" w:lineRule="atLeast"/>
              <w:jc w:val="center"/>
              <w:rPr>
                <w:rFonts w:cs="Arial"/>
                <w:sz w:val="16"/>
                <w:szCs w:val="16"/>
              </w:rPr>
            </w:pPr>
            <w:r w:rsidRPr="00D9202C">
              <w:t>4,839</w:t>
            </w:r>
          </w:p>
        </w:tc>
      </w:tr>
      <w:tr w:rsidR="006B1F09" w:rsidRPr="00342E12" w14:paraId="69FA6CF8" w14:textId="77777777" w:rsidTr="00D22755">
        <w:trPr>
          <w:trHeight w:val="200"/>
          <w:jc w:val="center"/>
        </w:trPr>
        <w:tc>
          <w:tcPr>
            <w:tcW w:w="880" w:type="dxa"/>
            <w:tcBorders>
              <w:top w:val="nil"/>
              <w:left w:val="single" w:sz="4" w:space="0" w:color="auto"/>
              <w:bottom w:val="nil"/>
              <w:right w:val="single" w:sz="4" w:space="0" w:color="auto"/>
            </w:tcBorders>
            <w:shd w:val="clear" w:color="000000" w:fill="FFFFFF"/>
            <w:noWrap/>
            <w:hideMark/>
          </w:tcPr>
          <w:p w14:paraId="30239F57" w14:textId="4B98E7FF" w:rsidR="006B1F09" w:rsidRPr="00342E12" w:rsidRDefault="006B1F09" w:rsidP="006B1F09">
            <w:pPr>
              <w:keepNext/>
              <w:spacing w:line="240" w:lineRule="atLeast"/>
              <w:jc w:val="center"/>
              <w:rPr>
                <w:rFonts w:cs="Arial"/>
                <w:sz w:val="16"/>
                <w:szCs w:val="16"/>
              </w:rPr>
            </w:pPr>
            <w:r w:rsidRPr="00D9202C">
              <w:t>5</w:t>
            </w:r>
          </w:p>
        </w:tc>
        <w:tc>
          <w:tcPr>
            <w:tcW w:w="1460" w:type="dxa"/>
            <w:tcBorders>
              <w:top w:val="nil"/>
              <w:left w:val="nil"/>
              <w:bottom w:val="nil"/>
              <w:right w:val="single" w:sz="4" w:space="0" w:color="auto"/>
            </w:tcBorders>
            <w:shd w:val="clear" w:color="000000" w:fill="FFFFFF"/>
            <w:noWrap/>
            <w:hideMark/>
          </w:tcPr>
          <w:p w14:paraId="61A48F37" w14:textId="273CCDA6" w:rsidR="006B1F09" w:rsidRPr="00342E12" w:rsidRDefault="006B1F09" w:rsidP="006B1F09">
            <w:pPr>
              <w:keepNext/>
              <w:spacing w:line="240" w:lineRule="atLeast"/>
              <w:jc w:val="center"/>
              <w:rPr>
                <w:rFonts w:cs="Arial"/>
                <w:sz w:val="16"/>
                <w:szCs w:val="16"/>
              </w:rPr>
            </w:pPr>
            <w:r w:rsidRPr="00D9202C">
              <w:t>4,887</w:t>
            </w:r>
          </w:p>
        </w:tc>
        <w:tc>
          <w:tcPr>
            <w:tcW w:w="1460" w:type="dxa"/>
            <w:tcBorders>
              <w:top w:val="nil"/>
              <w:left w:val="nil"/>
              <w:bottom w:val="nil"/>
              <w:right w:val="single" w:sz="4" w:space="0" w:color="auto"/>
            </w:tcBorders>
            <w:shd w:val="clear" w:color="000000" w:fill="FFFFFF"/>
            <w:noWrap/>
            <w:hideMark/>
          </w:tcPr>
          <w:p w14:paraId="01171D2E" w14:textId="35A42DAF" w:rsidR="006B1F09" w:rsidRPr="00342E12" w:rsidRDefault="006B1F09" w:rsidP="006B1F09">
            <w:pPr>
              <w:keepNext/>
              <w:spacing w:line="240" w:lineRule="atLeast"/>
              <w:jc w:val="center"/>
              <w:rPr>
                <w:rFonts w:cs="Arial"/>
                <w:sz w:val="16"/>
                <w:szCs w:val="16"/>
              </w:rPr>
            </w:pPr>
            <w:r w:rsidRPr="00D9202C">
              <w:t>4,437</w:t>
            </w:r>
          </w:p>
        </w:tc>
        <w:tc>
          <w:tcPr>
            <w:tcW w:w="1460" w:type="dxa"/>
            <w:tcBorders>
              <w:top w:val="nil"/>
              <w:left w:val="nil"/>
              <w:bottom w:val="nil"/>
              <w:right w:val="single" w:sz="4" w:space="0" w:color="auto"/>
            </w:tcBorders>
            <w:shd w:val="clear" w:color="000000" w:fill="FFFFFF"/>
            <w:noWrap/>
            <w:hideMark/>
          </w:tcPr>
          <w:p w14:paraId="6EC72C46" w14:textId="2AE4F452" w:rsidR="006B1F09" w:rsidRPr="00342E12" w:rsidRDefault="006B1F09" w:rsidP="006B1F09">
            <w:pPr>
              <w:keepNext/>
              <w:spacing w:line="240" w:lineRule="atLeast"/>
              <w:jc w:val="center"/>
              <w:rPr>
                <w:rFonts w:cs="Arial"/>
                <w:sz w:val="16"/>
                <w:szCs w:val="16"/>
              </w:rPr>
            </w:pPr>
            <w:r w:rsidRPr="00D9202C">
              <w:t>4,839</w:t>
            </w:r>
          </w:p>
        </w:tc>
      </w:tr>
      <w:tr w:rsidR="006B1F09" w:rsidRPr="00342E12" w14:paraId="6AECEB9E" w14:textId="77777777" w:rsidTr="00D22755">
        <w:trPr>
          <w:trHeight w:val="200"/>
          <w:jc w:val="center"/>
        </w:trPr>
        <w:tc>
          <w:tcPr>
            <w:tcW w:w="880" w:type="dxa"/>
            <w:tcBorders>
              <w:top w:val="nil"/>
              <w:left w:val="single" w:sz="4" w:space="0" w:color="auto"/>
              <w:bottom w:val="nil"/>
              <w:right w:val="single" w:sz="4" w:space="0" w:color="auto"/>
            </w:tcBorders>
            <w:shd w:val="clear" w:color="000000" w:fill="DCDDDE"/>
            <w:noWrap/>
            <w:hideMark/>
          </w:tcPr>
          <w:p w14:paraId="47334EEB" w14:textId="6D18E2EC" w:rsidR="006B1F09" w:rsidRPr="00342E12" w:rsidRDefault="006B1F09" w:rsidP="006B1F09">
            <w:pPr>
              <w:keepNext/>
              <w:spacing w:line="240" w:lineRule="atLeast"/>
              <w:jc w:val="center"/>
              <w:rPr>
                <w:rFonts w:cs="Arial"/>
                <w:sz w:val="16"/>
                <w:szCs w:val="16"/>
              </w:rPr>
            </w:pPr>
            <w:r w:rsidRPr="00D9202C">
              <w:t>6</w:t>
            </w:r>
          </w:p>
        </w:tc>
        <w:tc>
          <w:tcPr>
            <w:tcW w:w="1460" w:type="dxa"/>
            <w:tcBorders>
              <w:top w:val="nil"/>
              <w:left w:val="nil"/>
              <w:bottom w:val="nil"/>
              <w:right w:val="single" w:sz="4" w:space="0" w:color="auto"/>
            </w:tcBorders>
            <w:shd w:val="clear" w:color="000000" w:fill="DCDDDE"/>
            <w:noWrap/>
            <w:hideMark/>
          </w:tcPr>
          <w:p w14:paraId="16676BA2" w14:textId="4B3F6E9D" w:rsidR="006B1F09" w:rsidRPr="00342E12" w:rsidRDefault="006B1F09" w:rsidP="006B1F09">
            <w:pPr>
              <w:keepNext/>
              <w:spacing w:line="240" w:lineRule="atLeast"/>
              <w:jc w:val="center"/>
              <w:rPr>
                <w:rFonts w:cs="Arial"/>
                <w:sz w:val="16"/>
                <w:szCs w:val="16"/>
              </w:rPr>
            </w:pPr>
            <w:r w:rsidRPr="00D9202C">
              <w:t>5,307</w:t>
            </w:r>
          </w:p>
        </w:tc>
        <w:tc>
          <w:tcPr>
            <w:tcW w:w="1460" w:type="dxa"/>
            <w:tcBorders>
              <w:top w:val="nil"/>
              <w:left w:val="nil"/>
              <w:bottom w:val="nil"/>
              <w:right w:val="single" w:sz="4" w:space="0" w:color="auto"/>
            </w:tcBorders>
            <w:shd w:val="clear" w:color="000000" w:fill="DCDDDE"/>
            <w:noWrap/>
            <w:hideMark/>
          </w:tcPr>
          <w:p w14:paraId="1898ECA9" w14:textId="567AFA23" w:rsidR="006B1F09" w:rsidRPr="00342E12" w:rsidRDefault="006B1F09" w:rsidP="006B1F09">
            <w:pPr>
              <w:keepNext/>
              <w:spacing w:line="240" w:lineRule="atLeast"/>
              <w:jc w:val="center"/>
              <w:rPr>
                <w:rFonts w:cs="Arial"/>
                <w:sz w:val="16"/>
                <w:szCs w:val="16"/>
              </w:rPr>
            </w:pPr>
            <w:r w:rsidRPr="00D9202C">
              <w:t>4,887</w:t>
            </w:r>
          </w:p>
        </w:tc>
        <w:tc>
          <w:tcPr>
            <w:tcW w:w="1460" w:type="dxa"/>
            <w:tcBorders>
              <w:top w:val="nil"/>
              <w:left w:val="nil"/>
              <w:bottom w:val="nil"/>
              <w:right w:val="single" w:sz="4" w:space="0" w:color="auto"/>
            </w:tcBorders>
            <w:shd w:val="clear" w:color="000000" w:fill="DCDDDE"/>
            <w:noWrap/>
            <w:hideMark/>
          </w:tcPr>
          <w:p w14:paraId="3DBBDBD2" w14:textId="566826A3" w:rsidR="006B1F09" w:rsidRPr="00342E12" w:rsidRDefault="006B1F09" w:rsidP="006B1F09">
            <w:pPr>
              <w:keepNext/>
              <w:spacing w:line="240" w:lineRule="atLeast"/>
              <w:jc w:val="center"/>
              <w:rPr>
                <w:rFonts w:cs="Arial"/>
                <w:sz w:val="16"/>
                <w:szCs w:val="16"/>
              </w:rPr>
            </w:pPr>
            <w:r w:rsidRPr="00D9202C">
              <w:t>4,839</w:t>
            </w:r>
          </w:p>
        </w:tc>
      </w:tr>
      <w:tr w:rsidR="006B1F09" w:rsidRPr="00342E12" w14:paraId="53EFD3DD" w14:textId="77777777" w:rsidTr="00D22755">
        <w:trPr>
          <w:trHeight w:val="200"/>
          <w:jc w:val="center"/>
        </w:trPr>
        <w:tc>
          <w:tcPr>
            <w:tcW w:w="880" w:type="dxa"/>
            <w:tcBorders>
              <w:top w:val="nil"/>
              <w:left w:val="single" w:sz="4" w:space="0" w:color="auto"/>
              <w:bottom w:val="nil"/>
              <w:right w:val="single" w:sz="4" w:space="0" w:color="auto"/>
            </w:tcBorders>
            <w:shd w:val="clear" w:color="000000" w:fill="FFFFFF"/>
            <w:noWrap/>
            <w:hideMark/>
          </w:tcPr>
          <w:p w14:paraId="1E17EE8F" w14:textId="18812E88" w:rsidR="006B1F09" w:rsidRPr="00342E12" w:rsidRDefault="006B1F09" w:rsidP="006B1F09">
            <w:pPr>
              <w:keepNext/>
              <w:spacing w:line="240" w:lineRule="atLeast"/>
              <w:jc w:val="center"/>
              <w:rPr>
                <w:rFonts w:cs="Arial"/>
                <w:sz w:val="16"/>
                <w:szCs w:val="16"/>
              </w:rPr>
            </w:pPr>
            <w:r w:rsidRPr="00D9202C">
              <w:t>7</w:t>
            </w:r>
          </w:p>
        </w:tc>
        <w:tc>
          <w:tcPr>
            <w:tcW w:w="1460" w:type="dxa"/>
            <w:tcBorders>
              <w:top w:val="nil"/>
              <w:left w:val="nil"/>
              <w:bottom w:val="nil"/>
              <w:right w:val="single" w:sz="4" w:space="0" w:color="auto"/>
            </w:tcBorders>
            <w:shd w:val="clear" w:color="000000" w:fill="FFFFFF"/>
            <w:noWrap/>
            <w:hideMark/>
          </w:tcPr>
          <w:p w14:paraId="172795A1" w14:textId="51A462B3" w:rsidR="006B1F09" w:rsidRPr="00342E12" w:rsidRDefault="006B1F09" w:rsidP="006B1F09">
            <w:pPr>
              <w:keepNext/>
              <w:spacing w:line="240" w:lineRule="atLeast"/>
              <w:jc w:val="center"/>
              <w:rPr>
                <w:rFonts w:cs="Arial"/>
                <w:sz w:val="16"/>
                <w:szCs w:val="16"/>
              </w:rPr>
            </w:pPr>
            <w:r w:rsidRPr="00D9202C">
              <w:t>5,720</w:t>
            </w:r>
          </w:p>
        </w:tc>
        <w:tc>
          <w:tcPr>
            <w:tcW w:w="1460" w:type="dxa"/>
            <w:tcBorders>
              <w:top w:val="nil"/>
              <w:left w:val="nil"/>
              <w:bottom w:val="nil"/>
              <w:right w:val="single" w:sz="4" w:space="0" w:color="auto"/>
            </w:tcBorders>
            <w:shd w:val="clear" w:color="000000" w:fill="FFFFFF"/>
            <w:noWrap/>
            <w:hideMark/>
          </w:tcPr>
          <w:p w14:paraId="64A4055F" w14:textId="6FE3CBD2" w:rsidR="006B1F09" w:rsidRPr="00342E12" w:rsidRDefault="006B1F09" w:rsidP="006B1F09">
            <w:pPr>
              <w:keepNext/>
              <w:spacing w:line="240" w:lineRule="atLeast"/>
              <w:jc w:val="center"/>
              <w:rPr>
                <w:rFonts w:cs="Arial"/>
                <w:sz w:val="16"/>
                <w:szCs w:val="16"/>
              </w:rPr>
            </w:pPr>
            <w:r w:rsidRPr="00D9202C">
              <w:t>5,307</w:t>
            </w:r>
          </w:p>
        </w:tc>
        <w:tc>
          <w:tcPr>
            <w:tcW w:w="1460" w:type="dxa"/>
            <w:tcBorders>
              <w:top w:val="nil"/>
              <w:left w:val="nil"/>
              <w:bottom w:val="nil"/>
              <w:right w:val="single" w:sz="4" w:space="0" w:color="auto"/>
            </w:tcBorders>
            <w:shd w:val="clear" w:color="000000" w:fill="FFFFFF"/>
            <w:noWrap/>
            <w:hideMark/>
          </w:tcPr>
          <w:p w14:paraId="036EFD15" w14:textId="0B52E241" w:rsidR="006B1F09" w:rsidRPr="00342E12" w:rsidRDefault="006B1F09" w:rsidP="006B1F09">
            <w:pPr>
              <w:keepNext/>
              <w:spacing w:line="240" w:lineRule="atLeast"/>
              <w:jc w:val="center"/>
              <w:rPr>
                <w:rFonts w:cs="Arial"/>
                <w:sz w:val="16"/>
                <w:szCs w:val="16"/>
              </w:rPr>
            </w:pPr>
            <w:r w:rsidRPr="00D9202C">
              <w:t>4,839</w:t>
            </w:r>
          </w:p>
        </w:tc>
      </w:tr>
      <w:tr w:rsidR="006B1F09" w:rsidRPr="00342E12" w14:paraId="74E46CD3" w14:textId="77777777" w:rsidTr="00D22755">
        <w:trPr>
          <w:trHeight w:val="200"/>
          <w:jc w:val="center"/>
        </w:trPr>
        <w:tc>
          <w:tcPr>
            <w:tcW w:w="880" w:type="dxa"/>
            <w:tcBorders>
              <w:top w:val="nil"/>
              <w:left w:val="single" w:sz="4" w:space="0" w:color="auto"/>
              <w:bottom w:val="nil"/>
              <w:right w:val="single" w:sz="4" w:space="0" w:color="auto"/>
            </w:tcBorders>
            <w:shd w:val="clear" w:color="000000" w:fill="DCDDDE"/>
            <w:noWrap/>
            <w:hideMark/>
          </w:tcPr>
          <w:p w14:paraId="329F98D5" w14:textId="7AB6D9D8" w:rsidR="006B1F09" w:rsidRPr="00342E12" w:rsidRDefault="006B1F09" w:rsidP="006B1F09">
            <w:pPr>
              <w:keepNext/>
              <w:spacing w:line="240" w:lineRule="atLeast"/>
              <w:jc w:val="center"/>
              <w:rPr>
                <w:rFonts w:cs="Arial"/>
                <w:sz w:val="16"/>
                <w:szCs w:val="16"/>
              </w:rPr>
            </w:pPr>
            <w:r w:rsidRPr="00D9202C">
              <w:t>8</w:t>
            </w:r>
          </w:p>
        </w:tc>
        <w:tc>
          <w:tcPr>
            <w:tcW w:w="1460" w:type="dxa"/>
            <w:tcBorders>
              <w:top w:val="nil"/>
              <w:left w:val="nil"/>
              <w:bottom w:val="nil"/>
              <w:right w:val="single" w:sz="4" w:space="0" w:color="auto"/>
            </w:tcBorders>
            <w:shd w:val="clear" w:color="000000" w:fill="DCDDDE"/>
            <w:noWrap/>
            <w:hideMark/>
          </w:tcPr>
          <w:p w14:paraId="2FB6EB29" w14:textId="71AF2971" w:rsidR="006B1F09" w:rsidRPr="00342E12" w:rsidRDefault="006B1F09" w:rsidP="006B1F09">
            <w:pPr>
              <w:keepNext/>
              <w:spacing w:line="240" w:lineRule="atLeast"/>
              <w:jc w:val="center"/>
              <w:rPr>
                <w:rFonts w:cs="Arial"/>
                <w:sz w:val="16"/>
                <w:szCs w:val="16"/>
              </w:rPr>
            </w:pPr>
            <w:r w:rsidRPr="00D9202C">
              <w:t>6,128</w:t>
            </w:r>
          </w:p>
        </w:tc>
        <w:tc>
          <w:tcPr>
            <w:tcW w:w="1460" w:type="dxa"/>
            <w:tcBorders>
              <w:top w:val="nil"/>
              <w:left w:val="nil"/>
              <w:bottom w:val="nil"/>
              <w:right w:val="single" w:sz="4" w:space="0" w:color="auto"/>
            </w:tcBorders>
            <w:shd w:val="clear" w:color="000000" w:fill="DCDDDE"/>
            <w:noWrap/>
            <w:hideMark/>
          </w:tcPr>
          <w:p w14:paraId="17685E30" w14:textId="11E62BCF" w:rsidR="006B1F09" w:rsidRPr="00342E12" w:rsidRDefault="006B1F09" w:rsidP="006B1F09">
            <w:pPr>
              <w:keepNext/>
              <w:spacing w:line="240" w:lineRule="atLeast"/>
              <w:jc w:val="center"/>
              <w:rPr>
                <w:rFonts w:cs="Arial"/>
                <w:sz w:val="16"/>
                <w:szCs w:val="16"/>
              </w:rPr>
            </w:pPr>
            <w:r w:rsidRPr="00D9202C">
              <w:t>5,720</w:t>
            </w:r>
          </w:p>
        </w:tc>
        <w:tc>
          <w:tcPr>
            <w:tcW w:w="1460" w:type="dxa"/>
            <w:tcBorders>
              <w:top w:val="nil"/>
              <w:left w:val="nil"/>
              <w:bottom w:val="nil"/>
              <w:right w:val="single" w:sz="4" w:space="0" w:color="auto"/>
            </w:tcBorders>
            <w:shd w:val="clear" w:color="000000" w:fill="DCDDDE"/>
            <w:noWrap/>
            <w:hideMark/>
          </w:tcPr>
          <w:p w14:paraId="19F20632" w14:textId="07E3789E" w:rsidR="006B1F09" w:rsidRPr="00342E12" w:rsidRDefault="006B1F09" w:rsidP="006B1F09">
            <w:pPr>
              <w:keepNext/>
              <w:spacing w:line="240" w:lineRule="atLeast"/>
              <w:jc w:val="center"/>
              <w:rPr>
                <w:rFonts w:cs="Arial"/>
                <w:sz w:val="16"/>
                <w:szCs w:val="16"/>
              </w:rPr>
            </w:pPr>
            <w:r w:rsidRPr="00D9202C">
              <w:t>4,839</w:t>
            </w:r>
          </w:p>
        </w:tc>
      </w:tr>
      <w:tr w:rsidR="006B1F09" w:rsidRPr="00342E12" w14:paraId="2BA9F9AA" w14:textId="77777777" w:rsidTr="00D22755">
        <w:trPr>
          <w:trHeight w:val="200"/>
          <w:jc w:val="center"/>
        </w:trPr>
        <w:tc>
          <w:tcPr>
            <w:tcW w:w="880" w:type="dxa"/>
            <w:tcBorders>
              <w:top w:val="nil"/>
              <w:left w:val="single" w:sz="4" w:space="0" w:color="auto"/>
              <w:bottom w:val="nil"/>
              <w:right w:val="single" w:sz="4" w:space="0" w:color="auto"/>
            </w:tcBorders>
            <w:shd w:val="clear" w:color="000000" w:fill="FFFFFF"/>
            <w:noWrap/>
            <w:hideMark/>
          </w:tcPr>
          <w:p w14:paraId="7A2FD17C" w14:textId="08324B67" w:rsidR="006B1F09" w:rsidRPr="00342E12" w:rsidRDefault="006B1F09" w:rsidP="006B1F09">
            <w:pPr>
              <w:keepNext/>
              <w:spacing w:line="240" w:lineRule="atLeast"/>
              <w:jc w:val="center"/>
              <w:rPr>
                <w:rFonts w:cs="Arial"/>
                <w:sz w:val="16"/>
                <w:szCs w:val="16"/>
              </w:rPr>
            </w:pPr>
            <w:r w:rsidRPr="00D9202C">
              <w:t>9</w:t>
            </w:r>
          </w:p>
        </w:tc>
        <w:tc>
          <w:tcPr>
            <w:tcW w:w="1460" w:type="dxa"/>
            <w:tcBorders>
              <w:top w:val="nil"/>
              <w:left w:val="nil"/>
              <w:bottom w:val="nil"/>
              <w:right w:val="single" w:sz="4" w:space="0" w:color="auto"/>
            </w:tcBorders>
            <w:shd w:val="clear" w:color="000000" w:fill="FFFFFF"/>
            <w:noWrap/>
            <w:hideMark/>
          </w:tcPr>
          <w:p w14:paraId="1784858C" w14:textId="27410083" w:rsidR="006B1F09" w:rsidRPr="00342E12" w:rsidRDefault="006B1F09" w:rsidP="006B1F09">
            <w:pPr>
              <w:keepNext/>
              <w:spacing w:line="240" w:lineRule="atLeast"/>
              <w:jc w:val="center"/>
              <w:rPr>
                <w:rFonts w:cs="Arial"/>
                <w:sz w:val="16"/>
                <w:szCs w:val="16"/>
              </w:rPr>
            </w:pPr>
            <w:r w:rsidRPr="00D9202C">
              <w:t>6,541</w:t>
            </w:r>
          </w:p>
        </w:tc>
        <w:tc>
          <w:tcPr>
            <w:tcW w:w="1460" w:type="dxa"/>
            <w:tcBorders>
              <w:top w:val="nil"/>
              <w:left w:val="nil"/>
              <w:bottom w:val="nil"/>
              <w:right w:val="single" w:sz="4" w:space="0" w:color="auto"/>
            </w:tcBorders>
            <w:shd w:val="clear" w:color="000000" w:fill="FFFFFF"/>
            <w:noWrap/>
            <w:hideMark/>
          </w:tcPr>
          <w:p w14:paraId="52041D4E" w14:textId="147A7C10" w:rsidR="006B1F09" w:rsidRPr="00342E12" w:rsidRDefault="006B1F09" w:rsidP="006B1F09">
            <w:pPr>
              <w:keepNext/>
              <w:spacing w:line="240" w:lineRule="atLeast"/>
              <w:jc w:val="center"/>
              <w:rPr>
                <w:rFonts w:cs="Arial"/>
                <w:sz w:val="16"/>
                <w:szCs w:val="16"/>
              </w:rPr>
            </w:pPr>
            <w:r w:rsidRPr="00D9202C">
              <w:t>6,129</w:t>
            </w:r>
          </w:p>
        </w:tc>
        <w:tc>
          <w:tcPr>
            <w:tcW w:w="1460" w:type="dxa"/>
            <w:tcBorders>
              <w:top w:val="nil"/>
              <w:left w:val="nil"/>
              <w:bottom w:val="nil"/>
              <w:right w:val="single" w:sz="4" w:space="0" w:color="auto"/>
            </w:tcBorders>
            <w:shd w:val="clear" w:color="000000" w:fill="FFFFFF"/>
            <w:noWrap/>
            <w:hideMark/>
          </w:tcPr>
          <w:p w14:paraId="02E52430" w14:textId="3388737A" w:rsidR="006B1F09" w:rsidRPr="00342E12" w:rsidRDefault="006B1F09" w:rsidP="006B1F09">
            <w:pPr>
              <w:keepNext/>
              <w:spacing w:line="240" w:lineRule="atLeast"/>
              <w:jc w:val="center"/>
              <w:rPr>
                <w:rFonts w:cs="Arial"/>
                <w:sz w:val="16"/>
                <w:szCs w:val="16"/>
              </w:rPr>
            </w:pPr>
            <w:r w:rsidRPr="00D9202C">
              <w:t>4,839</w:t>
            </w:r>
          </w:p>
        </w:tc>
      </w:tr>
      <w:tr w:rsidR="006B1F09" w:rsidRPr="00342E12" w14:paraId="7E1208F3" w14:textId="77777777" w:rsidTr="00D22755">
        <w:trPr>
          <w:trHeight w:val="200"/>
          <w:jc w:val="center"/>
        </w:trPr>
        <w:tc>
          <w:tcPr>
            <w:tcW w:w="880" w:type="dxa"/>
            <w:tcBorders>
              <w:top w:val="nil"/>
              <w:left w:val="single" w:sz="4" w:space="0" w:color="auto"/>
              <w:bottom w:val="nil"/>
              <w:right w:val="single" w:sz="4" w:space="0" w:color="auto"/>
            </w:tcBorders>
            <w:shd w:val="clear" w:color="000000" w:fill="DCDDDE"/>
            <w:noWrap/>
            <w:hideMark/>
          </w:tcPr>
          <w:p w14:paraId="32DBB964" w14:textId="141E7F94" w:rsidR="006B1F09" w:rsidRPr="00342E12" w:rsidRDefault="006B1F09" w:rsidP="006B1F09">
            <w:pPr>
              <w:keepNext/>
              <w:spacing w:line="240" w:lineRule="atLeast"/>
              <w:jc w:val="center"/>
              <w:rPr>
                <w:rFonts w:cs="Arial"/>
                <w:sz w:val="16"/>
                <w:szCs w:val="16"/>
              </w:rPr>
            </w:pPr>
            <w:r w:rsidRPr="00D9202C">
              <w:t>10</w:t>
            </w:r>
          </w:p>
        </w:tc>
        <w:tc>
          <w:tcPr>
            <w:tcW w:w="1460" w:type="dxa"/>
            <w:tcBorders>
              <w:top w:val="nil"/>
              <w:left w:val="nil"/>
              <w:bottom w:val="nil"/>
              <w:right w:val="single" w:sz="4" w:space="0" w:color="auto"/>
            </w:tcBorders>
            <w:shd w:val="clear" w:color="000000" w:fill="DCDDDE"/>
            <w:noWrap/>
            <w:hideMark/>
          </w:tcPr>
          <w:p w14:paraId="3263F883" w14:textId="36B11B1E" w:rsidR="006B1F09" w:rsidRPr="00342E12" w:rsidRDefault="006B1F09" w:rsidP="006B1F09">
            <w:pPr>
              <w:keepNext/>
              <w:spacing w:line="240" w:lineRule="atLeast"/>
              <w:jc w:val="center"/>
              <w:rPr>
                <w:rFonts w:cs="Arial"/>
                <w:sz w:val="16"/>
                <w:szCs w:val="16"/>
              </w:rPr>
            </w:pPr>
            <w:r w:rsidRPr="00D9202C">
              <w:t>6,968</w:t>
            </w:r>
          </w:p>
        </w:tc>
        <w:tc>
          <w:tcPr>
            <w:tcW w:w="1460" w:type="dxa"/>
            <w:tcBorders>
              <w:top w:val="nil"/>
              <w:left w:val="nil"/>
              <w:bottom w:val="nil"/>
              <w:right w:val="single" w:sz="4" w:space="0" w:color="auto"/>
            </w:tcBorders>
            <w:shd w:val="clear" w:color="000000" w:fill="DCDDDE"/>
            <w:noWrap/>
            <w:hideMark/>
          </w:tcPr>
          <w:p w14:paraId="4041827F" w14:textId="5786B1BB" w:rsidR="006B1F09" w:rsidRPr="00342E12" w:rsidRDefault="006B1F09" w:rsidP="006B1F09">
            <w:pPr>
              <w:keepNext/>
              <w:spacing w:line="240" w:lineRule="atLeast"/>
              <w:jc w:val="center"/>
              <w:rPr>
                <w:rFonts w:cs="Arial"/>
                <w:sz w:val="16"/>
                <w:szCs w:val="16"/>
              </w:rPr>
            </w:pPr>
            <w:r w:rsidRPr="00D9202C">
              <w:t>6,541</w:t>
            </w:r>
          </w:p>
        </w:tc>
        <w:tc>
          <w:tcPr>
            <w:tcW w:w="1460" w:type="dxa"/>
            <w:tcBorders>
              <w:top w:val="nil"/>
              <w:left w:val="nil"/>
              <w:bottom w:val="nil"/>
              <w:right w:val="single" w:sz="4" w:space="0" w:color="auto"/>
            </w:tcBorders>
            <w:shd w:val="clear" w:color="000000" w:fill="DCDDDE"/>
            <w:noWrap/>
            <w:hideMark/>
          </w:tcPr>
          <w:p w14:paraId="2C3811DD" w14:textId="45C7545B" w:rsidR="006B1F09" w:rsidRPr="00342E12" w:rsidRDefault="006B1F09" w:rsidP="006B1F09">
            <w:pPr>
              <w:keepNext/>
              <w:spacing w:line="240" w:lineRule="atLeast"/>
              <w:jc w:val="center"/>
              <w:rPr>
                <w:rFonts w:cs="Arial"/>
                <w:sz w:val="16"/>
                <w:szCs w:val="16"/>
              </w:rPr>
            </w:pPr>
            <w:r w:rsidRPr="00D9202C">
              <w:t>4,839</w:t>
            </w:r>
          </w:p>
        </w:tc>
      </w:tr>
      <w:tr w:rsidR="006B1F09" w:rsidRPr="00342E12" w14:paraId="73922F36" w14:textId="77777777" w:rsidTr="00D22755">
        <w:trPr>
          <w:trHeight w:val="200"/>
          <w:jc w:val="center"/>
        </w:trPr>
        <w:tc>
          <w:tcPr>
            <w:tcW w:w="880" w:type="dxa"/>
            <w:tcBorders>
              <w:top w:val="nil"/>
              <w:left w:val="single" w:sz="4" w:space="0" w:color="auto"/>
              <w:bottom w:val="nil"/>
              <w:right w:val="single" w:sz="4" w:space="0" w:color="auto"/>
            </w:tcBorders>
            <w:shd w:val="clear" w:color="000000" w:fill="FFFFFF"/>
            <w:noWrap/>
            <w:hideMark/>
          </w:tcPr>
          <w:p w14:paraId="14EE3EED" w14:textId="010605DE" w:rsidR="006B1F09" w:rsidRPr="00342E12" w:rsidRDefault="006B1F09" w:rsidP="006B1F09">
            <w:pPr>
              <w:keepNext/>
              <w:spacing w:line="240" w:lineRule="atLeast"/>
              <w:jc w:val="center"/>
              <w:rPr>
                <w:rFonts w:cs="Arial"/>
                <w:sz w:val="16"/>
                <w:szCs w:val="16"/>
              </w:rPr>
            </w:pPr>
            <w:r w:rsidRPr="00D9202C">
              <w:t>11</w:t>
            </w:r>
          </w:p>
        </w:tc>
        <w:tc>
          <w:tcPr>
            <w:tcW w:w="1460" w:type="dxa"/>
            <w:tcBorders>
              <w:top w:val="nil"/>
              <w:left w:val="nil"/>
              <w:bottom w:val="nil"/>
              <w:right w:val="single" w:sz="4" w:space="0" w:color="auto"/>
            </w:tcBorders>
            <w:shd w:val="clear" w:color="000000" w:fill="FFFFFF"/>
            <w:noWrap/>
            <w:hideMark/>
          </w:tcPr>
          <w:p w14:paraId="12F0CC43" w14:textId="491F155D" w:rsidR="006B1F09" w:rsidRPr="00342E12" w:rsidRDefault="006B1F09" w:rsidP="006B1F09">
            <w:pPr>
              <w:keepNext/>
              <w:spacing w:line="240" w:lineRule="atLeast"/>
              <w:jc w:val="center"/>
              <w:rPr>
                <w:rFonts w:cs="Arial"/>
                <w:sz w:val="16"/>
                <w:szCs w:val="16"/>
              </w:rPr>
            </w:pPr>
            <w:r w:rsidRPr="00D9202C">
              <w:t>7,417</w:t>
            </w:r>
          </w:p>
        </w:tc>
        <w:tc>
          <w:tcPr>
            <w:tcW w:w="1460" w:type="dxa"/>
            <w:tcBorders>
              <w:top w:val="nil"/>
              <w:left w:val="nil"/>
              <w:bottom w:val="nil"/>
              <w:right w:val="single" w:sz="4" w:space="0" w:color="auto"/>
            </w:tcBorders>
            <w:shd w:val="clear" w:color="000000" w:fill="FFFFFF"/>
            <w:noWrap/>
            <w:hideMark/>
          </w:tcPr>
          <w:p w14:paraId="3AD8E8BA" w14:textId="77C049B6" w:rsidR="006B1F09" w:rsidRPr="00342E12" w:rsidRDefault="006B1F09" w:rsidP="006B1F09">
            <w:pPr>
              <w:keepNext/>
              <w:spacing w:line="240" w:lineRule="atLeast"/>
              <w:jc w:val="center"/>
              <w:rPr>
                <w:rFonts w:cs="Arial"/>
                <w:sz w:val="16"/>
                <w:szCs w:val="16"/>
              </w:rPr>
            </w:pPr>
            <w:r w:rsidRPr="00D9202C">
              <w:t>6,969</w:t>
            </w:r>
          </w:p>
        </w:tc>
        <w:tc>
          <w:tcPr>
            <w:tcW w:w="1460" w:type="dxa"/>
            <w:tcBorders>
              <w:top w:val="nil"/>
              <w:left w:val="nil"/>
              <w:bottom w:val="nil"/>
              <w:right w:val="single" w:sz="4" w:space="0" w:color="auto"/>
            </w:tcBorders>
            <w:shd w:val="clear" w:color="000000" w:fill="FFFFFF"/>
            <w:noWrap/>
            <w:hideMark/>
          </w:tcPr>
          <w:p w14:paraId="2E64FEDD" w14:textId="6616B94C" w:rsidR="006B1F09" w:rsidRPr="00342E12" w:rsidRDefault="006B1F09" w:rsidP="006B1F09">
            <w:pPr>
              <w:keepNext/>
              <w:spacing w:line="240" w:lineRule="atLeast"/>
              <w:jc w:val="center"/>
              <w:rPr>
                <w:rFonts w:cs="Arial"/>
                <w:sz w:val="16"/>
                <w:szCs w:val="16"/>
              </w:rPr>
            </w:pPr>
            <w:r w:rsidRPr="00D9202C">
              <w:t>4,839</w:t>
            </w:r>
          </w:p>
        </w:tc>
      </w:tr>
      <w:tr w:rsidR="006B1F09" w:rsidRPr="00342E12" w14:paraId="56ED4686" w14:textId="77777777" w:rsidTr="00D22755">
        <w:trPr>
          <w:trHeight w:val="200"/>
          <w:jc w:val="center"/>
        </w:trPr>
        <w:tc>
          <w:tcPr>
            <w:tcW w:w="880" w:type="dxa"/>
            <w:tcBorders>
              <w:top w:val="nil"/>
              <w:left w:val="single" w:sz="4" w:space="0" w:color="auto"/>
              <w:bottom w:val="nil"/>
              <w:right w:val="single" w:sz="4" w:space="0" w:color="auto"/>
            </w:tcBorders>
            <w:shd w:val="clear" w:color="000000" w:fill="DCDDDE"/>
            <w:noWrap/>
            <w:hideMark/>
          </w:tcPr>
          <w:p w14:paraId="4A2A1D08" w14:textId="01861608" w:rsidR="006B1F09" w:rsidRPr="00342E12" w:rsidRDefault="006B1F09" w:rsidP="006B1F09">
            <w:pPr>
              <w:keepNext/>
              <w:spacing w:line="240" w:lineRule="atLeast"/>
              <w:jc w:val="center"/>
              <w:rPr>
                <w:rFonts w:cs="Arial"/>
                <w:sz w:val="16"/>
                <w:szCs w:val="16"/>
              </w:rPr>
            </w:pPr>
            <w:r w:rsidRPr="00D9202C">
              <w:t>12</w:t>
            </w:r>
          </w:p>
        </w:tc>
        <w:tc>
          <w:tcPr>
            <w:tcW w:w="1460" w:type="dxa"/>
            <w:tcBorders>
              <w:top w:val="nil"/>
              <w:left w:val="nil"/>
              <w:bottom w:val="nil"/>
              <w:right w:val="single" w:sz="4" w:space="0" w:color="auto"/>
            </w:tcBorders>
            <w:shd w:val="clear" w:color="000000" w:fill="DCDDDE"/>
            <w:noWrap/>
            <w:hideMark/>
          </w:tcPr>
          <w:p w14:paraId="4CA8A3D5" w14:textId="18B4C215" w:rsidR="006B1F09" w:rsidRPr="00342E12" w:rsidRDefault="006B1F09" w:rsidP="006B1F09">
            <w:pPr>
              <w:keepNext/>
              <w:spacing w:line="240" w:lineRule="atLeast"/>
              <w:jc w:val="center"/>
              <w:rPr>
                <w:rFonts w:cs="Arial"/>
                <w:sz w:val="16"/>
                <w:szCs w:val="16"/>
              </w:rPr>
            </w:pPr>
            <w:r w:rsidRPr="00D9202C">
              <w:t>7,902</w:t>
            </w:r>
          </w:p>
        </w:tc>
        <w:tc>
          <w:tcPr>
            <w:tcW w:w="1460" w:type="dxa"/>
            <w:tcBorders>
              <w:top w:val="nil"/>
              <w:left w:val="nil"/>
              <w:bottom w:val="nil"/>
              <w:right w:val="single" w:sz="4" w:space="0" w:color="auto"/>
            </w:tcBorders>
            <w:shd w:val="clear" w:color="000000" w:fill="DCDDDE"/>
            <w:noWrap/>
            <w:hideMark/>
          </w:tcPr>
          <w:p w14:paraId="7CA1F9BE" w14:textId="60BD7996" w:rsidR="006B1F09" w:rsidRPr="00342E12" w:rsidRDefault="006B1F09" w:rsidP="006B1F09">
            <w:pPr>
              <w:keepNext/>
              <w:spacing w:line="240" w:lineRule="atLeast"/>
              <w:jc w:val="center"/>
              <w:rPr>
                <w:rFonts w:cs="Arial"/>
                <w:sz w:val="16"/>
                <w:szCs w:val="16"/>
              </w:rPr>
            </w:pPr>
            <w:r w:rsidRPr="00D9202C">
              <w:t>7,418</w:t>
            </w:r>
          </w:p>
        </w:tc>
        <w:tc>
          <w:tcPr>
            <w:tcW w:w="1460" w:type="dxa"/>
            <w:tcBorders>
              <w:top w:val="nil"/>
              <w:left w:val="nil"/>
              <w:bottom w:val="nil"/>
              <w:right w:val="single" w:sz="4" w:space="0" w:color="auto"/>
            </w:tcBorders>
            <w:shd w:val="clear" w:color="000000" w:fill="DCDDDE"/>
            <w:noWrap/>
            <w:hideMark/>
          </w:tcPr>
          <w:p w14:paraId="6CF6E648" w14:textId="57B6030D" w:rsidR="006B1F09" w:rsidRPr="00342E12" w:rsidRDefault="006B1F09" w:rsidP="006B1F09">
            <w:pPr>
              <w:keepNext/>
              <w:spacing w:line="240" w:lineRule="atLeast"/>
              <w:jc w:val="center"/>
              <w:rPr>
                <w:rFonts w:cs="Arial"/>
                <w:sz w:val="16"/>
                <w:szCs w:val="16"/>
              </w:rPr>
            </w:pPr>
            <w:r w:rsidRPr="00D9202C">
              <w:t>4,839</w:t>
            </w:r>
          </w:p>
        </w:tc>
      </w:tr>
      <w:tr w:rsidR="006B1F09" w:rsidRPr="00342E12" w14:paraId="4610F5F6" w14:textId="77777777" w:rsidTr="00D22755">
        <w:trPr>
          <w:trHeight w:val="200"/>
          <w:jc w:val="center"/>
        </w:trPr>
        <w:tc>
          <w:tcPr>
            <w:tcW w:w="880" w:type="dxa"/>
            <w:tcBorders>
              <w:top w:val="nil"/>
              <w:left w:val="single" w:sz="4" w:space="0" w:color="auto"/>
              <w:bottom w:val="nil"/>
              <w:right w:val="single" w:sz="4" w:space="0" w:color="auto"/>
            </w:tcBorders>
            <w:shd w:val="clear" w:color="000000" w:fill="FFFFFF"/>
            <w:noWrap/>
            <w:hideMark/>
          </w:tcPr>
          <w:p w14:paraId="67B771F2" w14:textId="20F78E4D" w:rsidR="006B1F09" w:rsidRPr="00342E12" w:rsidRDefault="006B1F09" w:rsidP="006B1F09">
            <w:pPr>
              <w:keepNext/>
              <w:spacing w:line="240" w:lineRule="atLeast"/>
              <w:jc w:val="center"/>
              <w:rPr>
                <w:rFonts w:cs="Arial"/>
                <w:sz w:val="16"/>
                <w:szCs w:val="16"/>
              </w:rPr>
            </w:pPr>
            <w:r w:rsidRPr="00D9202C">
              <w:t>13</w:t>
            </w:r>
          </w:p>
        </w:tc>
        <w:tc>
          <w:tcPr>
            <w:tcW w:w="1460" w:type="dxa"/>
            <w:tcBorders>
              <w:top w:val="nil"/>
              <w:left w:val="nil"/>
              <w:bottom w:val="nil"/>
              <w:right w:val="single" w:sz="4" w:space="0" w:color="auto"/>
            </w:tcBorders>
            <w:shd w:val="clear" w:color="000000" w:fill="FFFFFF"/>
            <w:noWrap/>
            <w:hideMark/>
          </w:tcPr>
          <w:p w14:paraId="039B4701" w14:textId="2565267C" w:rsidR="006B1F09" w:rsidRPr="00342E12" w:rsidRDefault="006B1F09" w:rsidP="006B1F09">
            <w:pPr>
              <w:keepNext/>
              <w:spacing w:line="240" w:lineRule="atLeast"/>
              <w:jc w:val="center"/>
              <w:rPr>
                <w:rFonts w:cs="Arial"/>
                <w:sz w:val="16"/>
                <w:szCs w:val="16"/>
              </w:rPr>
            </w:pPr>
            <w:r w:rsidRPr="00D9202C">
              <w:t>8,445</w:t>
            </w:r>
          </w:p>
        </w:tc>
        <w:tc>
          <w:tcPr>
            <w:tcW w:w="1460" w:type="dxa"/>
            <w:tcBorders>
              <w:top w:val="nil"/>
              <w:left w:val="nil"/>
              <w:bottom w:val="nil"/>
              <w:right w:val="single" w:sz="4" w:space="0" w:color="auto"/>
            </w:tcBorders>
            <w:shd w:val="clear" w:color="000000" w:fill="FFFFFF"/>
            <w:noWrap/>
            <w:hideMark/>
          </w:tcPr>
          <w:p w14:paraId="76FFAF07" w14:textId="7FE00ABE" w:rsidR="006B1F09" w:rsidRPr="00342E12" w:rsidRDefault="006B1F09" w:rsidP="006B1F09">
            <w:pPr>
              <w:keepNext/>
              <w:spacing w:line="240" w:lineRule="atLeast"/>
              <w:jc w:val="center"/>
              <w:rPr>
                <w:rFonts w:cs="Arial"/>
                <w:sz w:val="16"/>
                <w:szCs w:val="16"/>
              </w:rPr>
            </w:pPr>
            <w:r w:rsidRPr="00D9202C">
              <w:t>7,902</w:t>
            </w:r>
          </w:p>
        </w:tc>
        <w:tc>
          <w:tcPr>
            <w:tcW w:w="1460" w:type="dxa"/>
            <w:tcBorders>
              <w:top w:val="nil"/>
              <w:left w:val="nil"/>
              <w:bottom w:val="nil"/>
              <w:right w:val="single" w:sz="4" w:space="0" w:color="auto"/>
            </w:tcBorders>
            <w:shd w:val="clear" w:color="000000" w:fill="FFFFFF"/>
            <w:noWrap/>
            <w:hideMark/>
          </w:tcPr>
          <w:p w14:paraId="49EA8C30" w14:textId="63C86470" w:rsidR="006B1F09" w:rsidRPr="00342E12" w:rsidRDefault="006B1F09" w:rsidP="006B1F09">
            <w:pPr>
              <w:keepNext/>
              <w:spacing w:line="240" w:lineRule="atLeast"/>
              <w:jc w:val="center"/>
              <w:rPr>
                <w:rFonts w:cs="Arial"/>
                <w:sz w:val="16"/>
                <w:szCs w:val="16"/>
              </w:rPr>
            </w:pPr>
            <w:r w:rsidRPr="00D9202C">
              <w:t>4,839</w:t>
            </w:r>
          </w:p>
        </w:tc>
      </w:tr>
      <w:tr w:rsidR="006B1F09" w:rsidRPr="00342E12" w14:paraId="4C676F66" w14:textId="77777777" w:rsidTr="00D22755">
        <w:trPr>
          <w:trHeight w:val="200"/>
          <w:jc w:val="center"/>
        </w:trPr>
        <w:tc>
          <w:tcPr>
            <w:tcW w:w="880" w:type="dxa"/>
            <w:tcBorders>
              <w:top w:val="nil"/>
              <w:left w:val="single" w:sz="4" w:space="0" w:color="auto"/>
              <w:bottom w:val="nil"/>
              <w:right w:val="single" w:sz="4" w:space="0" w:color="auto"/>
            </w:tcBorders>
            <w:shd w:val="clear" w:color="000000" w:fill="DCDDDE"/>
            <w:noWrap/>
            <w:hideMark/>
          </w:tcPr>
          <w:p w14:paraId="13B8C71F" w14:textId="44C7606D" w:rsidR="006B1F09" w:rsidRPr="00342E12" w:rsidRDefault="006B1F09" w:rsidP="006B1F09">
            <w:pPr>
              <w:keepNext/>
              <w:spacing w:line="240" w:lineRule="atLeast"/>
              <w:jc w:val="center"/>
              <w:rPr>
                <w:rFonts w:cs="Arial"/>
                <w:sz w:val="16"/>
                <w:szCs w:val="16"/>
              </w:rPr>
            </w:pPr>
            <w:r w:rsidRPr="00D9202C">
              <w:t>14</w:t>
            </w:r>
          </w:p>
        </w:tc>
        <w:tc>
          <w:tcPr>
            <w:tcW w:w="1460" w:type="dxa"/>
            <w:tcBorders>
              <w:top w:val="nil"/>
              <w:left w:val="nil"/>
              <w:bottom w:val="nil"/>
              <w:right w:val="single" w:sz="4" w:space="0" w:color="auto"/>
            </w:tcBorders>
            <w:shd w:val="clear" w:color="000000" w:fill="DCDDDE"/>
            <w:noWrap/>
            <w:hideMark/>
          </w:tcPr>
          <w:p w14:paraId="32BBA131" w14:textId="1B4FF68B" w:rsidR="006B1F09" w:rsidRPr="00342E12" w:rsidRDefault="006B1F09" w:rsidP="006B1F09">
            <w:pPr>
              <w:keepNext/>
              <w:spacing w:line="240" w:lineRule="atLeast"/>
              <w:jc w:val="center"/>
              <w:rPr>
                <w:rFonts w:cs="Arial"/>
                <w:sz w:val="16"/>
                <w:szCs w:val="16"/>
              </w:rPr>
            </w:pPr>
            <w:r w:rsidRPr="00D9202C">
              <w:t>9,028</w:t>
            </w:r>
          </w:p>
        </w:tc>
        <w:tc>
          <w:tcPr>
            <w:tcW w:w="1460" w:type="dxa"/>
            <w:tcBorders>
              <w:top w:val="nil"/>
              <w:left w:val="nil"/>
              <w:bottom w:val="nil"/>
              <w:right w:val="single" w:sz="4" w:space="0" w:color="auto"/>
            </w:tcBorders>
            <w:shd w:val="clear" w:color="000000" w:fill="DCDDDE"/>
            <w:noWrap/>
            <w:hideMark/>
          </w:tcPr>
          <w:p w14:paraId="63239FBA" w14:textId="7859CA63" w:rsidR="006B1F09" w:rsidRPr="00342E12" w:rsidRDefault="006B1F09" w:rsidP="006B1F09">
            <w:pPr>
              <w:keepNext/>
              <w:spacing w:line="240" w:lineRule="atLeast"/>
              <w:jc w:val="center"/>
              <w:rPr>
                <w:rFonts w:cs="Arial"/>
                <w:sz w:val="16"/>
                <w:szCs w:val="16"/>
              </w:rPr>
            </w:pPr>
            <w:r w:rsidRPr="00D9202C">
              <w:t>8,445</w:t>
            </w:r>
          </w:p>
        </w:tc>
        <w:tc>
          <w:tcPr>
            <w:tcW w:w="1460" w:type="dxa"/>
            <w:tcBorders>
              <w:top w:val="nil"/>
              <w:left w:val="nil"/>
              <w:bottom w:val="nil"/>
              <w:right w:val="single" w:sz="4" w:space="0" w:color="auto"/>
            </w:tcBorders>
            <w:shd w:val="clear" w:color="000000" w:fill="DCDDDE"/>
            <w:noWrap/>
            <w:hideMark/>
          </w:tcPr>
          <w:p w14:paraId="68B394FC" w14:textId="1572F156" w:rsidR="006B1F09" w:rsidRPr="00342E12" w:rsidRDefault="006B1F09" w:rsidP="006B1F09">
            <w:pPr>
              <w:keepNext/>
              <w:spacing w:line="240" w:lineRule="atLeast"/>
              <w:jc w:val="center"/>
              <w:rPr>
                <w:rFonts w:cs="Arial"/>
                <w:sz w:val="16"/>
                <w:szCs w:val="16"/>
              </w:rPr>
            </w:pPr>
            <w:r w:rsidRPr="00D9202C">
              <w:t>4,839</w:t>
            </w:r>
          </w:p>
        </w:tc>
      </w:tr>
      <w:tr w:rsidR="006B1F09" w:rsidRPr="00342E12" w14:paraId="3B92B129" w14:textId="77777777" w:rsidTr="00D22755">
        <w:trPr>
          <w:trHeight w:val="200"/>
          <w:jc w:val="center"/>
        </w:trPr>
        <w:tc>
          <w:tcPr>
            <w:tcW w:w="880" w:type="dxa"/>
            <w:tcBorders>
              <w:top w:val="nil"/>
              <w:left w:val="single" w:sz="4" w:space="0" w:color="auto"/>
              <w:bottom w:val="nil"/>
              <w:right w:val="single" w:sz="4" w:space="0" w:color="auto"/>
            </w:tcBorders>
            <w:shd w:val="clear" w:color="000000" w:fill="FFFFFF"/>
            <w:noWrap/>
            <w:hideMark/>
          </w:tcPr>
          <w:p w14:paraId="37296C74" w14:textId="46030C0E" w:rsidR="006B1F09" w:rsidRPr="00342E12" w:rsidRDefault="006B1F09" w:rsidP="006B1F09">
            <w:pPr>
              <w:keepNext/>
              <w:spacing w:line="240" w:lineRule="atLeast"/>
              <w:jc w:val="center"/>
              <w:rPr>
                <w:rFonts w:cs="Arial"/>
                <w:sz w:val="16"/>
                <w:szCs w:val="16"/>
              </w:rPr>
            </w:pPr>
            <w:r w:rsidRPr="00D9202C">
              <w:t>15</w:t>
            </w:r>
          </w:p>
        </w:tc>
        <w:tc>
          <w:tcPr>
            <w:tcW w:w="1460" w:type="dxa"/>
            <w:tcBorders>
              <w:top w:val="nil"/>
              <w:left w:val="nil"/>
              <w:bottom w:val="nil"/>
              <w:right w:val="single" w:sz="4" w:space="0" w:color="auto"/>
            </w:tcBorders>
            <w:shd w:val="clear" w:color="000000" w:fill="FFFFFF"/>
            <w:noWrap/>
            <w:hideMark/>
          </w:tcPr>
          <w:p w14:paraId="4B327428" w14:textId="514C887B" w:rsidR="006B1F09" w:rsidRPr="00342E12" w:rsidRDefault="006B1F09" w:rsidP="006B1F09">
            <w:pPr>
              <w:keepNext/>
              <w:spacing w:line="240" w:lineRule="atLeast"/>
              <w:jc w:val="center"/>
              <w:rPr>
                <w:rFonts w:cs="Arial"/>
                <w:sz w:val="16"/>
                <w:szCs w:val="16"/>
              </w:rPr>
            </w:pPr>
            <w:r w:rsidRPr="00D9202C">
              <w:t>9,725</w:t>
            </w:r>
          </w:p>
        </w:tc>
        <w:tc>
          <w:tcPr>
            <w:tcW w:w="1460" w:type="dxa"/>
            <w:tcBorders>
              <w:top w:val="nil"/>
              <w:left w:val="nil"/>
              <w:bottom w:val="nil"/>
              <w:right w:val="single" w:sz="4" w:space="0" w:color="auto"/>
            </w:tcBorders>
            <w:shd w:val="clear" w:color="000000" w:fill="FFFFFF"/>
            <w:noWrap/>
            <w:hideMark/>
          </w:tcPr>
          <w:p w14:paraId="699F1073" w14:textId="66BB6136" w:rsidR="006B1F09" w:rsidRPr="00342E12" w:rsidRDefault="006B1F09" w:rsidP="006B1F09">
            <w:pPr>
              <w:keepNext/>
              <w:spacing w:line="240" w:lineRule="atLeast"/>
              <w:jc w:val="center"/>
              <w:rPr>
                <w:rFonts w:cs="Arial"/>
                <w:sz w:val="16"/>
                <w:szCs w:val="16"/>
              </w:rPr>
            </w:pPr>
            <w:r w:rsidRPr="00D9202C">
              <w:t>9,028</w:t>
            </w:r>
          </w:p>
        </w:tc>
        <w:tc>
          <w:tcPr>
            <w:tcW w:w="1460" w:type="dxa"/>
            <w:tcBorders>
              <w:top w:val="nil"/>
              <w:left w:val="nil"/>
              <w:bottom w:val="nil"/>
              <w:right w:val="single" w:sz="4" w:space="0" w:color="auto"/>
            </w:tcBorders>
            <w:shd w:val="clear" w:color="000000" w:fill="FFFFFF"/>
            <w:noWrap/>
            <w:hideMark/>
          </w:tcPr>
          <w:p w14:paraId="1646F787" w14:textId="720D1B92" w:rsidR="006B1F09" w:rsidRPr="00342E12" w:rsidRDefault="006B1F09" w:rsidP="006B1F09">
            <w:pPr>
              <w:keepNext/>
              <w:spacing w:line="240" w:lineRule="atLeast"/>
              <w:jc w:val="center"/>
              <w:rPr>
                <w:rFonts w:cs="Arial"/>
                <w:sz w:val="16"/>
                <w:szCs w:val="16"/>
              </w:rPr>
            </w:pPr>
            <w:r w:rsidRPr="00D9202C">
              <w:t>4,839</w:t>
            </w:r>
          </w:p>
        </w:tc>
      </w:tr>
      <w:tr w:rsidR="006B1F09" w:rsidRPr="00342E12" w14:paraId="0EC53998" w14:textId="77777777" w:rsidTr="00D22755">
        <w:trPr>
          <w:trHeight w:val="200"/>
          <w:jc w:val="center"/>
        </w:trPr>
        <w:tc>
          <w:tcPr>
            <w:tcW w:w="880" w:type="dxa"/>
            <w:tcBorders>
              <w:top w:val="nil"/>
              <w:left w:val="single" w:sz="4" w:space="0" w:color="auto"/>
              <w:bottom w:val="nil"/>
              <w:right w:val="single" w:sz="4" w:space="0" w:color="auto"/>
            </w:tcBorders>
            <w:shd w:val="clear" w:color="000000" w:fill="DCDDDE"/>
            <w:noWrap/>
            <w:hideMark/>
          </w:tcPr>
          <w:p w14:paraId="05A357CD" w14:textId="7DE33FFF" w:rsidR="006B1F09" w:rsidRPr="00342E12" w:rsidRDefault="006B1F09" w:rsidP="006B1F09">
            <w:pPr>
              <w:keepNext/>
              <w:spacing w:line="240" w:lineRule="atLeast"/>
              <w:jc w:val="center"/>
              <w:rPr>
                <w:rFonts w:cs="Arial"/>
                <w:sz w:val="16"/>
                <w:szCs w:val="16"/>
              </w:rPr>
            </w:pPr>
            <w:r w:rsidRPr="00D9202C">
              <w:t>16</w:t>
            </w:r>
          </w:p>
        </w:tc>
        <w:tc>
          <w:tcPr>
            <w:tcW w:w="1460" w:type="dxa"/>
            <w:tcBorders>
              <w:top w:val="nil"/>
              <w:left w:val="nil"/>
              <w:bottom w:val="nil"/>
              <w:right w:val="single" w:sz="4" w:space="0" w:color="auto"/>
            </w:tcBorders>
            <w:shd w:val="clear" w:color="000000" w:fill="DCDDDE"/>
            <w:noWrap/>
            <w:hideMark/>
          </w:tcPr>
          <w:p w14:paraId="666C0825" w14:textId="358A158B" w:rsidR="006B1F09" w:rsidRPr="00342E12" w:rsidRDefault="006B1F09" w:rsidP="006B1F09">
            <w:pPr>
              <w:keepNext/>
              <w:spacing w:line="240" w:lineRule="atLeast"/>
              <w:jc w:val="center"/>
              <w:rPr>
                <w:rFonts w:cs="Arial"/>
                <w:sz w:val="16"/>
                <w:szCs w:val="16"/>
              </w:rPr>
            </w:pPr>
            <w:r w:rsidRPr="00D9202C">
              <w:t>10,586</w:t>
            </w:r>
          </w:p>
        </w:tc>
        <w:tc>
          <w:tcPr>
            <w:tcW w:w="1460" w:type="dxa"/>
            <w:tcBorders>
              <w:top w:val="nil"/>
              <w:left w:val="nil"/>
              <w:bottom w:val="nil"/>
              <w:right w:val="single" w:sz="4" w:space="0" w:color="auto"/>
            </w:tcBorders>
            <w:shd w:val="clear" w:color="000000" w:fill="DCDDDE"/>
            <w:noWrap/>
            <w:hideMark/>
          </w:tcPr>
          <w:p w14:paraId="598167E1" w14:textId="18D6AD4B" w:rsidR="006B1F09" w:rsidRPr="00342E12" w:rsidRDefault="006B1F09" w:rsidP="006B1F09">
            <w:pPr>
              <w:keepNext/>
              <w:spacing w:line="240" w:lineRule="atLeast"/>
              <w:jc w:val="center"/>
              <w:rPr>
                <w:rFonts w:cs="Arial"/>
                <w:sz w:val="16"/>
                <w:szCs w:val="16"/>
              </w:rPr>
            </w:pPr>
            <w:r w:rsidRPr="00D9202C">
              <w:t>9,725</w:t>
            </w:r>
          </w:p>
        </w:tc>
        <w:tc>
          <w:tcPr>
            <w:tcW w:w="1460" w:type="dxa"/>
            <w:tcBorders>
              <w:top w:val="nil"/>
              <w:left w:val="nil"/>
              <w:bottom w:val="nil"/>
              <w:right w:val="single" w:sz="4" w:space="0" w:color="auto"/>
            </w:tcBorders>
            <w:shd w:val="clear" w:color="000000" w:fill="DCDDDE"/>
            <w:noWrap/>
            <w:hideMark/>
          </w:tcPr>
          <w:p w14:paraId="547B06EB" w14:textId="11F26DAF" w:rsidR="006B1F09" w:rsidRPr="00342E12" w:rsidRDefault="006B1F09" w:rsidP="006B1F09">
            <w:pPr>
              <w:keepNext/>
              <w:spacing w:line="240" w:lineRule="atLeast"/>
              <w:jc w:val="center"/>
              <w:rPr>
                <w:rFonts w:cs="Arial"/>
                <w:sz w:val="16"/>
                <w:szCs w:val="16"/>
              </w:rPr>
            </w:pPr>
            <w:r w:rsidRPr="00D9202C">
              <w:t>4,839</w:t>
            </w:r>
          </w:p>
        </w:tc>
      </w:tr>
      <w:tr w:rsidR="006B1F09" w:rsidRPr="00342E12" w14:paraId="5B2467E2" w14:textId="77777777" w:rsidTr="00D22755">
        <w:trPr>
          <w:trHeight w:val="200"/>
          <w:jc w:val="center"/>
        </w:trPr>
        <w:tc>
          <w:tcPr>
            <w:tcW w:w="880" w:type="dxa"/>
            <w:tcBorders>
              <w:top w:val="nil"/>
              <w:left w:val="single" w:sz="4" w:space="0" w:color="auto"/>
              <w:bottom w:val="nil"/>
              <w:right w:val="single" w:sz="4" w:space="0" w:color="auto"/>
            </w:tcBorders>
            <w:shd w:val="clear" w:color="000000" w:fill="FFFFFF"/>
            <w:noWrap/>
            <w:hideMark/>
          </w:tcPr>
          <w:p w14:paraId="3F3F35FD" w14:textId="2522E788" w:rsidR="006B1F09" w:rsidRPr="00342E12" w:rsidRDefault="006B1F09" w:rsidP="006B1F09">
            <w:pPr>
              <w:keepNext/>
              <w:spacing w:line="240" w:lineRule="atLeast"/>
              <w:jc w:val="center"/>
              <w:rPr>
                <w:rFonts w:cs="Arial"/>
                <w:sz w:val="16"/>
                <w:szCs w:val="16"/>
              </w:rPr>
            </w:pPr>
            <w:r w:rsidRPr="00D9202C">
              <w:t>17</w:t>
            </w:r>
          </w:p>
        </w:tc>
        <w:tc>
          <w:tcPr>
            <w:tcW w:w="1460" w:type="dxa"/>
            <w:tcBorders>
              <w:top w:val="nil"/>
              <w:left w:val="nil"/>
              <w:bottom w:val="nil"/>
              <w:right w:val="single" w:sz="4" w:space="0" w:color="auto"/>
            </w:tcBorders>
            <w:shd w:val="clear" w:color="000000" w:fill="FFFFFF"/>
            <w:noWrap/>
            <w:hideMark/>
          </w:tcPr>
          <w:p w14:paraId="77070678" w14:textId="2AA952E3" w:rsidR="006B1F09" w:rsidRPr="00342E12" w:rsidRDefault="006B1F09" w:rsidP="006B1F09">
            <w:pPr>
              <w:keepNext/>
              <w:spacing w:line="240" w:lineRule="atLeast"/>
              <w:jc w:val="center"/>
              <w:rPr>
                <w:rFonts w:cs="Arial"/>
                <w:sz w:val="16"/>
                <w:szCs w:val="16"/>
              </w:rPr>
            </w:pPr>
            <w:r w:rsidRPr="00D9202C">
              <w:t>11,681</w:t>
            </w:r>
          </w:p>
        </w:tc>
        <w:tc>
          <w:tcPr>
            <w:tcW w:w="1460" w:type="dxa"/>
            <w:tcBorders>
              <w:top w:val="nil"/>
              <w:left w:val="nil"/>
              <w:bottom w:val="nil"/>
              <w:right w:val="single" w:sz="4" w:space="0" w:color="auto"/>
            </w:tcBorders>
            <w:shd w:val="clear" w:color="000000" w:fill="FFFFFF"/>
            <w:noWrap/>
            <w:hideMark/>
          </w:tcPr>
          <w:p w14:paraId="63902872" w14:textId="1E1B8F2F" w:rsidR="006B1F09" w:rsidRPr="00342E12" w:rsidRDefault="006B1F09" w:rsidP="006B1F09">
            <w:pPr>
              <w:keepNext/>
              <w:spacing w:line="240" w:lineRule="atLeast"/>
              <w:jc w:val="center"/>
              <w:rPr>
                <w:rFonts w:cs="Arial"/>
                <w:sz w:val="16"/>
                <w:szCs w:val="16"/>
              </w:rPr>
            </w:pPr>
            <w:r w:rsidRPr="00D9202C">
              <w:t>10,586</w:t>
            </w:r>
          </w:p>
        </w:tc>
        <w:tc>
          <w:tcPr>
            <w:tcW w:w="1460" w:type="dxa"/>
            <w:tcBorders>
              <w:top w:val="nil"/>
              <w:left w:val="nil"/>
              <w:bottom w:val="nil"/>
              <w:right w:val="single" w:sz="4" w:space="0" w:color="auto"/>
            </w:tcBorders>
            <w:shd w:val="clear" w:color="000000" w:fill="FFFFFF"/>
            <w:noWrap/>
            <w:hideMark/>
          </w:tcPr>
          <w:p w14:paraId="2C6C8B2F" w14:textId="0E5BED04" w:rsidR="006B1F09" w:rsidRPr="00342E12" w:rsidRDefault="006B1F09" w:rsidP="006B1F09">
            <w:pPr>
              <w:keepNext/>
              <w:spacing w:line="240" w:lineRule="atLeast"/>
              <w:jc w:val="center"/>
              <w:rPr>
                <w:rFonts w:cs="Arial"/>
                <w:sz w:val="16"/>
                <w:szCs w:val="16"/>
              </w:rPr>
            </w:pPr>
            <w:r w:rsidRPr="00D9202C">
              <w:t>4,839</w:t>
            </w:r>
          </w:p>
        </w:tc>
      </w:tr>
      <w:tr w:rsidR="006B1F09" w:rsidRPr="00342E12" w14:paraId="47A426AE" w14:textId="77777777" w:rsidTr="00D22755">
        <w:trPr>
          <w:trHeight w:val="200"/>
          <w:jc w:val="center"/>
        </w:trPr>
        <w:tc>
          <w:tcPr>
            <w:tcW w:w="880" w:type="dxa"/>
            <w:tcBorders>
              <w:top w:val="nil"/>
              <w:left w:val="single" w:sz="4" w:space="0" w:color="auto"/>
              <w:bottom w:val="nil"/>
              <w:right w:val="single" w:sz="4" w:space="0" w:color="auto"/>
            </w:tcBorders>
            <w:shd w:val="clear" w:color="000000" w:fill="DCDDDE"/>
            <w:noWrap/>
            <w:hideMark/>
          </w:tcPr>
          <w:p w14:paraId="1EB232D4" w14:textId="613398F5" w:rsidR="006B1F09" w:rsidRPr="00342E12" w:rsidRDefault="006B1F09" w:rsidP="006B1F09">
            <w:pPr>
              <w:keepNext/>
              <w:spacing w:line="240" w:lineRule="atLeast"/>
              <w:jc w:val="center"/>
              <w:rPr>
                <w:rFonts w:cs="Arial"/>
                <w:sz w:val="16"/>
                <w:szCs w:val="16"/>
              </w:rPr>
            </w:pPr>
            <w:r w:rsidRPr="00D9202C">
              <w:t>18</w:t>
            </w:r>
          </w:p>
        </w:tc>
        <w:tc>
          <w:tcPr>
            <w:tcW w:w="1460" w:type="dxa"/>
            <w:tcBorders>
              <w:top w:val="nil"/>
              <w:left w:val="nil"/>
              <w:bottom w:val="nil"/>
              <w:right w:val="single" w:sz="4" w:space="0" w:color="auto"/>
            </w:tcBorders>
            <w:shd w:val="clear" w:color="000000" w:fill="DCDDDE"/>
            <w:noWrap/>
            <w:hideMark/>
          </w:tcPr>
          <w:p w14:paraId="3554ADCE" w14:textId="29A1C8A0" w:rsidR="006B1F09" w:rsidRPr="00342E12" w:rsidRDefault="006B1F09" w:rsidP="006B1F09">
            <w:pPr>
              <w:keepNext/>
              <w:spacing w:line="240" w:lineRule="atLeast"/>
              <w:jc w:val="center"/>
              <w:rPr>
                <w:rFonts w:cs="Arial"/>
                <w:sz w:val="16"/>
                <w:szCs w:val="16"/>
              </w:rPr>
            </w:pPr>
            <w:r w:rsidRPr="00D9202C">
              <w:t>13,201</w:t>
            </w:r>
          </w:p>
        </w:tc>
        <w:tc>
          <w:tcPr>
            <w:tcW w:w="1460" w:type="dxa"/>
            <w:tcBorders>
              <w:top w:val="nil"/>
              <w:left w:val="nil"/>
              <w:bottom w:val="nil"/>
              <w:right w:val="single" w:sz="4" w:space="0" w:color="auto"/>
            </w:tcBorders>
            <w:shd w:val="clear" w:color="000000" w:fill="DCDDDE"/>
            <w:noWrap/>
            <w:hideMark/>
          </w:tcPr>
          <w:p w14:paraId="0C9C99EC" w14:textId="42628027" w:rsidR="006B1F09" w:rsidRPr="00342E12" w:rsidRDefault="006B1F09" w:rsidP="006B1F09">
            <w:pPr>
              <w:keepNext/>
              <w:spacing w:line="240" w:lineRule="atLeast"/>
              <w:jc w:val="center"/>
              <w:rPr>
                <w:rFonts w:cs="Arial"/>
                <w:sz w:val="16"/>
                <w:szCs w:val="16"/>
              </w:rPr>
            </w:pPr>
            <w:r w:rsidRPr="00D9202C">
              <w:t>11,682</w:t>
            </w:r>
          </w:p>
        </w:tc>
        <w:tc>
          <w:tcPr>
            <w:tcW w:w="1460" w:type="dxa"/>
            <w:tcBorders>
              <w:top w:val="nil"/>
              <w:left w:val="nil"/>
              <w:bottom w:val="nil"/>
              <w:right w:val="single" w:sz="4" w:space="0" w:color="auto"/>
            </w:tcBorders>
            <w:shd w:val="clear" w:color="000000" w:fill="DCDDDE"/>
            <w:noWrap/>
            <w:hideMark/>
          </w:tcPr>
          <w:p w14:paraId="6EC99D4B" w14:textId="0CE6E1C0" w:rsidR="006B1F09" w:rsidRPr="00342E12" w:rsidRDefault="006B1F09" w:rsidP="006B1F09">
            <w:pPr>
              <w:keepNext/>
              <w:spacing w:line="240" w:lineRule="atLeast"/>
              <w:jc w:val="center"/>
              <w:rPr>
                <w:rFonts w:cs="Arial"/>
                <w:sz w:val="16"/>
                <w:szCs w:val="16"/>
              </w:rPr>
            </w:pPr>
            <w:r w:rsidRPr="00D9202C">
              <w:t>4,839</w:t>
            </w:r>
          </w:p>
        </w:tc>
      </w:tr>
      <w:tr w:rsidR="006B1F09" w:rsidRPr="00342E12" w14:paraId="63267C4A" w14:textId="77777777" w:rsidTr="00D22755">
        <w:trPr>
          <w:trHeight w:val="200"/>
          <w:jc w:val="center"/>
        </w:trPr>
        <w:tc>
          <w:tcPr>
            <w:tcW w:w="880" w:type="dxa"/>
            <w:tcBorders>
              <w:top w:val="nil"/>
              <w:left w:val="single" w:sz="4" w:space="0" w:color="auto"/>
              <w:bottom w:val="nil"/>
              <w:right w:val="single" w:sz="4" w:space="0" w:color="auto"/>
            </w:tcBorders>
            <w:shd w:val="clear" w:color="000000" w:fill="FFFFFF"/>
            <w:noWrap/>
            <w:hideMark/>
          </w:tcPr>
          <w:p w14:paraId="7F6CB25B" w14:textId="15BF5DE6" w:rsidR="006B1F09" w:rsidRPr="00342E12" w:rsidRDefault="006B1F09" w:rsidP="006B1F09">
            <w:pPr>
              <w:keepNext/>
              <w:spacing w:line="240" w:lineRule="atLeast"/>
              <w:jc w:val="center"/>
              <w:rPr>
                <w:rFonts w:cs="Arial"/>
                <w:sz w:val="16"/>
                <w:szCs w:val="16"/>
              </w:rPr>
            </w:pPr>
            <w:r w:rsidRPr="00D9202C">
              <w:t>19</w:t>
            </w:r>
          </w:p>
        </w:tc>
        <w:tc>
          <w:tcPr>
            <w:tcW w:w="1460" w:type="dxa"/>
            <w:tcBorders>
              <w:top w:val="nil"/>
              <w:left w:val="nil"/>
              <w:bottom w:val="nil"/>
              <w:right w:val="single" w:sz="4" w:space="0" w:color="auto"/>
            </w:tcBorders>
            <w:shd w:val="clear" w:color="000000" w:fill="FFFFFF"/>
            <w:noWrap/>
            <w:hideMark/>
          </w:tcPr>
          <w:p w14:paraId="08034266" w14:textId="3D137F32" w:rsidR="006B1F09" w:rsidRPr="00342E12" w:rsidRDefault="006B1F09" w:rsidP="006B1F09">
            <w:pPr>
              <w:keepNext/>
              <w:spacing w:line="240" w:lineRule="atLeast"/>
              <w:jc w:val="center"/>
              <w:rPr>
                <w:rFonts w:cs="Arial"/>
                <w:sz w:val="16"/>
                <w:szCs w:val="16"/>
              </w:rPr>
            </w:pPr>
            <w:r w:rsidRPr="00D9202C">
              <w:t>15,863</w:t>
            </w:r>
          </w:p>
        </w:tc>
        <w:tc>
          <w:tcPr>
            <w:tcW w:w="1460" w:type="dxa"/>
            <w:tcBorders>
              <w:top w:val="nil"/>
              <w:left w:val="nil"/>
              <w:bottom w:val="nil"/>
              <w:right w:val="single" w:sz="4" w:space="0" w:color="auto"/>
            </w:tcBorders>
            <w:shd w:val="clear" w:color="000000" w:fill="FFFFFF"/>
            <w:noWrap/>
            <w:hideMark/>
          </w:tcPr>
          <w:p w14:paraId="001707EB" w14:textId="0E5980A5" w:rsidR="006B1F09" w:rsidRPr="00342E12" w:rsidRDefault="006B1F09" w:rsidP="006B1F09">
            <w:pPr>
              <w:keepNext/>
              <w:spacing w:line="240" w:lineRule="atLeast"/>
              <w:jc w:val="center"/>
              <w:rPr>
                <w:rFonts w:cs="Arial"/>
                <w:sz w:val="16"/>
                <w:szCs w:val="16"/>
              </w:rPr>
            </w:pPr>
            <w:r w:rsidRPr="00D9202C">
              <w:t>13,202</w:t>
            </w:r>
          </w:p>
        </w:tc>
        <w:tc>
          <w:tcPr>
            <w:tcW w:w="1460" w:type="dxa"/>
            <w:tcBorders>
              <w:top w:val="nil"/>
              <w:left w:val="nil"/>
              <w:bottom w:val="nil"/>
              <w:right w:val="single" w:sz="4" w:space="0" w:color="auto"/>
            </w:tcBorders>
            <w:shd w:val="clear" w:color="000000" w:fill="FFFFFF"/>
            <w:noWrap/>
            <w:hideMark/>
          </w:tcPr>
          <w:p w14:paraId="0E977314" w14:textId="5F246278" w:rsidR="006B1F09" w:rsidRPr="00342E12" w:rsidRDefault="006B1F09" w:rsidP="006B1F09">
            <w:pPr>
              <w:keepNext/>
              <w:spacing w:line="240" w:lineRule="atLeast"/>
              <w:jc w:val="center"/>
              <w:rPr>
                <w:rFonts w:cs="Arial"/>
                <w:sz w:val="16"/>
                <w:szCs w:val="16"/>
              </w:rPr>
            </w:pPr>
            <w:r w:rsidRPr="00D9202C">
              <w:t>4,839</w:t>
            </w:r>
          </w:p>
        </w:tc>
      </w:tr>
      <w:tr w:rsidR="006B1F09" w:rsidRPr="00342E12" w14:paraId="5B4953AB" w14:textId="77777777" w:rsidTr="00D22755">
        <w:trPr>
          <w:trHeight w:val="200"/>
          <w:jc w:val="center"/>
        </w:trPr>
        <w:tc>
          <w:tcPr>
            <w:tcW w:w="880" w:type="dxa"/>
            <w:tcBorders>
              <w:top w:val="nil"/>
              <w:left w:val="single" w:sz="4" w:space="0" w:color="auto"/>
              <w:bottom w:val="single" w:sz="4" w:space="0" w:color="auto"/>
              <w:right w:val="single" w:sz="4" w:space="0" w:color="auto"/>
            </w:tcBorders>
            <w:shd w:val="clear" w:color="000000" w:fill="DCDDDE"/>
            <w:noWrap/>
            <w:hideMark/>
          </w:tcPr>
          <w:p w14:paraId="567B08F4" w14:textId="3B7FD175" w:rsidR="006B1F09" w:rsidRPr="00342E12" w:rsidRDefault="006B1F09" w:rsidP="006B1F09">
            <w:pPr>
              <w:keepNext/>
              <w:spacing w:line="240" w:lineRule="atLeast"/>
              <w:jc w:val="center"/>
              <w:rPr>
                <w:rFonts w:cs="Arial"/>
                <w:sz w:val="16"/>
                <w:szCs w:val="16"/>
              </w:rPr>
            </w:pPr>
            <w:r w:rsidRPr="00D9202C">
              <w:t>20</w:t>
            </w:r>
          </w:p>
        </w:tc>
        <w:tc>
          <w:tcPr>
            <w:tcW w:w="1460" w:type="dxa"/>
            <w:tcBorders>
              <w:top w:val="nil"/>
              <w:left w:val="nil"/>
              <w:bottom w:val="single" w:sz="4" w:space="0" w:color="auto"/>
              <w:right w:val="single" w:sz="4" w:space="0" w:color="auto"/>
            </w:tcBorders>
            <w:shd w:val="clear" w:color="000000" w:fill="DCDDDE"/>
            <w:noWrap/>
            <w:hideMark/>
          </w:tcPr>
          <w:p w14:paraId="491359BF" w14:textId="788ED4B6" w:rsidR="006B1F09" w:rsidRPr="00342E12" w:rsidRDefault="006B1F09" w:rsidP="006B1F09">
            <w:pPr>
              <w:keepNext/>
              <w:spacing w:line="240" w:lineRule="atLeast"/>
              <w:jc w:val="center"/>
              <w:rPr>
                <w:rFonts w:cs="Arial"/>
                <w:sz w:val="16"/>
                <w:szCs w:val="16"/>
              </w:rPr>
            </w:pPr>
            <w:r w:rsidRPr="00D9202C">
              <w:t>58,314</w:t>
            </w:r>
          </w:p>
        </w:tc>
        <w:tc>
          <w:tcPr>
            <w:tcW w:w="1460" w:type="dxa"/>
            <w:tcBorders>
              <w:top w:val="nil"/>
              <w:left w:val="nil"/>
              <w:bottom w:val="single" w:sz="4" w:space="0" w:color="auto"/>
              <w:right w:val="single" w:sz="4" w:space="0" w:color="auto"/>
            </w:tcBorders>
            <w:shd w:val="clear" w:color="000000" w:fill="DCDDDE"/>
            <w:noWrap/>
            <w:hideMark/>
          </w:tcPr>
          <w:p w14:paraId="0666DDD1" w14:textId="37A4D61C" w:rsidR="006B1F09" w:rsidRPr="00342E12" w:rsidRDefault="006B1F09" w:rsidP="006B1F09">
            <w:pPr>
              <w:keepNext/>
              <w:spacing w:line="240" w:lineRule="atLeast"/>
              <w:jc w:val="center"/>
              <w:rPr>
                <w:rFonts w:cs="Arial"/>
                <w:sz w:val="16"/>
                <w:szCs w:val="16"/>
              </w:rPr>
            </w:pPr>
            <w:r w:rsidRPr="00D9202C">
              <w:t>15,864</w:t>
            </w:r>
          </w:p>
        </w:tc>
        <w:tc>
          <w:tcPr>
            <w:tcW w:w="1460" w:type="dxa"/>
            <w:tcBorders>
              <w:top w:val="nil"/>
              <w:left w:val="nil"/>
              <w:bottom w:val="single" w:sz="4" w:space="0" w:color="auto"/>
              <w:right w:val="single" w:sz="4" w:space="0" w:color="auto"/>
            </w:tcBorders>
            <w:shd w:val="clear" w:color="000000" w:fill="DCDDDE"/>
            <w:noWrap/>
            <w:hideMark/>
          </w:tcPr>
          <w:p w14:paraId="33583DD8" w14:textId="0206A292" w:rsidR="006B1F09" w:rsidRPr="00342E12" w:rsidRDefault="006B1F09" w:rsidP="006B1F09">
            <w:pPr>
              <w:keepNext/>
              <w:spacing w:line="240" w:lineRule="atLeast"/>
              <w:jc w:val="center"/>
              <w:rPr>
                <w:rFonts w:cs="Arial"/>
                <w:sz w:val="16"/>
                <w:szCs w:val="16"/>
              </w:rPr>
            </w:pPr>
            <w:r w:rsidRPr="00D9202C">
              <w:t>4,839</w:t>
            </w:r>
          </w:p>
        </w:tc>
      </w:tr>
    </w:tbl>
    <w:p w14:paraId="271BBCE9" w14:textId="77777777" w:rsidR="00D069CB" w:rsidRDefault="00D069CB" w:rsidP="00D069CB">
      <w:pPr>
        <w:spacing w:line="240" w:lineRule="atLeast"/>
      </w:pPr>
    </w:p>
    <w:p w14:paraId="6E2AFECC" w14:textId="14DB5EF2" w:rsidR="00D069CB" w:rsidRDefault="00D069CB" w:rsidP="00D069CB">
      <w:pPr>
        <w:spacing w:line="240" w:lineRule="atLeast"/>
      </w:pPr>
      <w:r>
        <w:t xml:space="preserve">On average, each participant was compared to non-participants in approximately six of the non-participant groups. Put another way, each participant was, on average, compared to nearly </w:t>
      </w:r>
      <w:r w:rsidR="006B1F09">
        <w:t>3</w:t>
      </w:r>
      <w:r>
        <w:t>0,000 different non-participants.</w:t>
      </w:r>
    </w:p>
    <w:p w14:paraId="027DD53E" w14:textId="77777777" w:rsidR="00D069CB" w:rsidRDefault="00D069CB" w:rsidP="00D069CB">
      <w:pPr>
        <w:spacing w:line="240" w:lineRule="atLeast"/>
      </w:pPr>
      <w:r>
        <w:t xml:space="preserve"> </w:t>
      </w:r>
    </w:p>
    <w:p w14:paraId="306A6C30" w14:textId="77777777" w:rsidR="00D069CB" w:rsidRDefault="00D069CB" w:rsidP="00D069CB">
      <w:pPr>
        <w:pStyle w:val="Heading2"/>
        <w:numPr>
          <w:ilvl w:val="1"/>
          <w:numId w:val="36"/>
        </w:numPr>
        <w:spacing w:before="0" w:after="0" w:line="240" w:lineRule="atLeast"/>
      </w:pPr>
      <w:bookmarkStart w:id="5" w:name="_Ref527625525"/>
      <w:r>
        <w:t>Matching</w:t>
      </w:r>
      <w:bookmarkEnd w:id="5"/>
    </w:p>
    <w:p w14:paraId="7DC53DE9" w14:textId="77777777" w:rsidR="00D069CB" w:rsidRDefault="00D069CB" w:rsidP="00D069CB">
      <w:pPr>
        <w:spacing w:line="240" w:lineRule="atLeast"/>
      </w:pPr>
    </w:p>
    <w:p w14:paraId="12E507A3" w14:textId="77777777" w:rsidR="00D069CB" w:rsidRDefault="00D069CB" w:rsidP="00D069CB">
      <w:pPr>
        <w:spacing w:line="240" w:lineRule="atLeast"/>
      </w:pPr>
      <w:r>
        <w:t>For matching controls to participants, Navigant established a set of 30 day-types, and compared participant and non-participant (within the groups specified above) average hourly loads on those 30 days from the period beginning 2017-02-01 through to 2018-01-31. Each participant’s consumption pattern in this period was compared with the consumption patterns of all available non-participants from the relevant groups (see above) in the same period. So, for example if a given participant’s set of non-participant groups included groups 3, 4, and 5, then only the non-participants in those groups would be considered as matches for the given participant.</w:t>
      </w:r>
    </w:p>
    <w:p w14:paraId="7762B295" w14:textId="77777777" w:rsidR="00D069CB" w:rsidRDefault="00D069CB" w:rsidP="00D069CB">
      <w:pPr>
        <w:spacing w:line="240" w:lineRule="atLeast"/>
      </w:pPr>
    </w:p>
    <w:p w14:paraId="2069EB14" w14:textId="77777777" w:rsidR="00D069CB" w:rsidRDefault="00D069CB" w:rsidP="00D069CB">
      <w:pPr>
        <w:spacing w:line="240" w:lineRule="atLeast"/>
      </w:pPr>
      <w:r>
        <w:t>The non-participant whose historical consumption patterns by hour of day and day-type deviated the least from those of the given participant became that participant’s match. Historical consumption patterns for each individual and each season were summarized by a 720 element vector of average levels of consumption (30 day-types times 24 hours – see below).</w:t>
      </w:r>
    </w:p>
    <w:p w14:paraId="1A6C15F1" w14:textId="77777777" w:rsidR="00D069CB" w:rsidRDefault="00D069CB" w:rsidP="00D069CB">
      <w:pPr>
        <w:spacing w:line="240" w:lineRule="atLeast"/>
      </w:pPr>
    </w:p>
    <w:p w14:paraId="3F927074" w14:textId="77777777" w:rsidR="00D069CB" w:rsidRDefault="00D069CB" w:rsidP="00D069CB">
      <w:pPr>
        <w:spacing w:line="240" w:lineRule="atLeast"/>
      </w:pPr>
      <w:r>
        <w:t>The matching period was divided into three two-month periods. In the winter: January/February, March/December, and April/November. In the summer, May/October, June/September, and July/August. Five day-types were applied to each period. Four of these day-types were assigned to non-holiday weekdays where the average daily temperature met a certain temperature threshold (see for the criteria), and the fifth was applied to all holidays and weekends.</w:t>
      </w:r>
    </w:p>
    <w:p w14:paraId="6FF0EAEE" w14:textId="77777777" w:rsidR="00D069CB" w:rsidRDefault="00D069CB" w:rsidP="00D069CB">
      <w:pPr>
        <w:spacing w:line="240" w:lineRule="atLeast"/>
      </w:pPr>
    </w:p>
    <w:p w14:paraId="50396A36" w14:textId="36379672" w:rsidR="00604A8C" w:rsidRDefault="00604A8C" w:rsidP="00604A8C">
      <w:pPr>
        <w:pStyle w:val="Caption"/>
      </w:pPr>
      <w:r>
        <w:t xml:space="preserve">Figure H - </w:t>
      </w:r>
      <w:r w:rsidR="001421CB">
        <w:rPr>
          <w:noProof/>
        </w:rPr>
        <w:fldChar w:fldCharType="begin"/>
      </w:r>
      <w:r w:rsidR="001421CB">
        <w:rPr>
          <w:noProof/>
        </w:rPr>
        <w:instrText xml:space="preserve"> SEQ Figure_H_- \* ARABIC </w:instrText>
      </w:r>
      <w:r w:rsidR="001421CB">
        <w:rPr>
          <w:noProof/>
        </w:rPr>
        <w:fldChar w:fldCharType="separate"/>
      </w:r>
      <w:r w:rsidR="009212E8">
        <w:rPr>
          <w:noProof/>
        </w:rPr>
        <w:t>2</w:t>
      </w:r>
      <w:r w:rsidR="001421CB">
        <w:rPr>
          <w:noProof/>
        </w:rPr>
        <w:fldChar w:fldCharType="end"/>
      </w:r>
      <w:r>
        <w:t>: Day-Type Average Daily Temperature (Celsius) Thresholds</w:t>
      </w:r>
    </w:p>
    <w:tbl>
      <w:tblPr>
        <w:tblW w:w="9080" w:type="dxa"/>
        <w:tblInd w:w="-5" w:type="dxa"/>
        <w:tblLayout w:type="fixed"/>
        <w:tblLook w:val="04A0" w:firstRow="1" w:lastRow="0" w:firstColumn="1" w:lastColumn="0" w:noHBand="0" w:noVBand="1"/>
      </w:tblPr>
      <w:tblGrid>
        <w:gridCol w:w="800"/>
        <w:gridCol w:w="2640"/>
        <w:gridCol w:w="1097"/>
        <w:gridCol w:w="1098"/>
        <w:gridCol w:w="1097"/>
        <w:gridCol w:w="1098"/>
        <w:gridCol w:w="1250"/>
      </w:tblGrid>
      <w:tr w:rsidR="00D069CB" w:rsidRPr="00722AB0" w14:paraId="16B517B0" w14:textId="77777777" w:rsidTr="00D069CB">
        <w:trPr>
          <w:trHeight w:val="280"/>
        </w:trPr>
        <w:tc>
          <w:tcPr>
            <w:tcW w:w="800" w:type="dxa"/>
            <w:tcBorders>
              <w:top w:val="single" w:sz="4" w:space="0" w:color="auto"/>
              <w:left w:val="single" w:sz="4" w:space="0" w:color="auto"/>
              <w:bottom w:val="nil"/>
              <w:right w:val="nil"/>
            </w:tcBorders>
            <w:shd w:val="clear" w:color="000000" w:fill="555759"/>
            <w:vAlign w:val="center"/>
            <w:hideMark/>
          </w:tcPr>
          <w:p w14:paraId="07A1597C" w14:textId="77777777" w:rsidR="00D069CB" w:rsidRPr="00722AB0" w:rsidRDefault="00D069CB" w:rsidP="00D069CB">
            <w:pPr>
              <w:spacing w:line="240" w:lineRule="atLeast"/>
              <w:jc w:val="center"/>
              <w:rPr>
                <w:rFonts w:cs="Arial"/>
                <w:sz w:val="22"/>
                <w:szCs w:val="22"/>
              </w:rPr>
            </w:pPr>
            <w:r w:rsidRPr="00722AB0">
              <w:rPr>
                <w:rFonts w:cs="Arial"/>
                <w:sz w:val="22"/>
                <w:szCs w:val="22"/>
              </w:rPr>
              <w:t> </w:t>
            </w:r>
          </w:p>
        </w:tc>
        <w:tc>
          <w:tcPr>
            <w:tcW w:w="2640" w:type="dxa"/>
            <w:tcBorders>
              <w:top w:val="single" w:sz="4" w:space="0" w:color="auto"/>
              <w:left w:val="nil"/>
              <w:bottom w:val="nil"/>
              <w:right w:val="nil"/>
            </w:tcBorders>
            <w:shd w:val="clear" w:color="000000" w:fill="555759"/>
            <w:vAlign w:val="center"/>
            <w:hideMark/>
          </w:tcPr>
          <w:p w14:paraId="53F28CAA" w14:textId="77777777" w:rsidR="00D069CB" w:rsidRPr="00722AB0" w:rsidRDefault="00D069CB" w:rsidP="00D069CB">
            <w:pPr>
              <w:spacing w:line="240" w:lineRule="atLeast"/>
              <w:jc w:val="center"/>
              <w:rPr>
                <w:rFonts w:cs="Arial"/>
                <w:color w:val="FFFFFF"/>
                <w:sz w:val="22"/>
                <w:szCs w:val="22"/>
              </w:rPr>
            </w:pPr>
            <w:r w:rsidRPr="00722AB0">
              <w:rPr>
                <w:rFonts w:cs="Arial"/>
                <w:color w:val="FFFFFF"/>
                <w:sz w:val="22"/>
                <w:szCs w:val="22"/>
              </w:rPr>
              <w:t> </w:t>
            </w:r>
          </w:p>
        </w:tc>
        <w:tc>
          <w:tcPr>
            <w:tcW w:w="5640" w:type="dxa"/>
            <w:gridSpan w:val="5"/>
            <w:tcBorders>
              <w:top w:val="single" w:sz="4" w:space="0" w:color="auto"/>
              <w:left w:val="nil"/>
              <w:bottom w:val="nil"/>
              <w:right w:val="single" w:sz="4" w:space="0" w:color="000000"/>
            </w:tcBorders>
            <w:shd w:val="clear" w:color="000000" w:fill="555759"/>
            <w:vAlign w:val="center"/>
            <w:hideMark/>
          </w:tcPr>
          <w:p w14:paraId="1B0B2C74" w14:textId="77777777" w:rsidR="00D069CB" w:rsidRPr="00722AB0" w:rsidRDefault="00D069CB" w:rsidP="00D069CB">
            <w:pPr>
              <w:spacing w:line="240" w:lineRule="atLeast"/>
              <w:jc w:val="center"/>
              <w:rPr>
                <w:rFonts w:cs="Arial"/>
                <w:color w:val="FFFFFF"/>
                <w:sz w:val="22"/>
                <w:szCs w:val="22"/>
              </w:rPr>
            </w:pPr>
            <w:r w:rsidRPr="00722AB0">
              <w:rPr>
                <w:rFonts w:cs="Arial"/>
                <w:color w:val="FFFFFF"/>
                <w:sz w:val="22"/>
                <w:szCs w:val="22"/>
              </w:rPr>
              <w:t>Day Type</w:t>
            </w:r>
          </w:p>
        </w:tc>
      </w:tr>
      <w:tr w:rsidR="00D069CB" w:rsidRPr="00722AB0" w14:paraId="5BAF5792" w14:textId="77777777" w:rsidTr="00D069CB">
        <w:trPr>
          <w:trHeight w:val="460"/>
        </w:trPr>
        <w:tc>
          <w:tcPr>
            <w:tcW w:w="800" w:type="dxa"/>
            <w:tcBorders>
              <w:top w:val="nil"/>
              <w:left w:val="single" w:sz="4" w:space="0" w:color="auto"/>
              <w:bottom w:val="nil"/>
              <w:right w:val="nil"/>
            </w:tcBorders>
            <w:shd w:val="clear" w:color="000000" w:fill="555759"/>
            <w:vAlign w:val="center"/>
            <w:hideMark/>
          </w:tcPr>
          <w:p w14:paraId="3C5A8198" w14:textId="77777777" w:rsidR="00D069CB" w:rsidRPr="00722AB0" w:rsidRDefault="00D069CB" w:rsidP="00D069CB">
            <w:pPr>
              <w:spacing w:line="240" w:lineRule="atLeast"/>
              <w:jc w:val="center"/>
              <w:rPr>
                <w:rFonts w:cs="Arial"/>
                <w:sz w:val="22"/>
                <w:szCs w:val="22"/>
              </w:rPr>
            </w:pPr>
            <w:r w:rsidRPr="00722AB0">
              <w:rPr>
                <w:rFonts w:cs="Arial"/>
                <w:sz w:val="22"/>
                <w:szCs w:val="22"/>
              </w:rPr>
              <w:t> </w:t>
            </w:r>
          </w:p>
        </w:tc>
        <w:tc>
          <w:tcPr>
            <w:tcW w:w="2640" w:type="dxa"/>
            <w:tcBorders>
              <w:top w:val="nil"/>
              <w:left w:val="nil"/>
              <w:bottom w:val="nil"/>
              <w:right w:val="nil"/>
            </w:tcBorders>
            <w:shd w:val="clear" w:color="000000" w:fill="555759"/>
            <w:vAlign w:val="center"/>
            <w:hideMark/>
          </w:tcPr>
          <w:p w14:paraId="772A8912" w14:textId="77777777" w:rsidR="00D069CB" w:rsidRPr="00722AB0" w:rsidRDefault="00D069CB" w:rsidP="00D069CB">
            <w:pPr>
              <w:spacing w:line="240" w:lineRule="atLeast"/>
              <w:jc w:val="center"/>
              <w:rPr>
                <w:rFonts w:cs="Arial"/>
                <w:color w:val="FFFFFF"/>
                <w:sz w:val="22"/>
                <w:szCs w:val="22"/>
              </w:rPr>
            </w:pPr>
            <w:r w:rsidRPr="00722AB0">
              <w:rPr>
                <w:rFonts w:cs="Arial"/>
                <w:color w:val="FFFFFF"/>
                <w:sz w:val="22"/>
                <w:szCs w:val="22"/>
              </w:rPr>
              <w:t> </w:t>
            </w:r>
          </w:p>
        </w:tc>
        <w:tc>
          <w:tcPr>
            <w:tcW w:w="4390" w:type="dxa"/>
            <w:gridSpan w:val="4"/>
            <w:tcBorders>
              <w:top w:val="nil"/>
              <w:left w:val="nil"/>
              <w:bottom w:val="nil"/>
              <w:right w:val="nil"/>
            </w:tcBorders>
            <w:shd w:val="clear" w:color="000000" w:fill="555759"/>
            <w:vAlign w:val="center"/>
            <w:hideMark/>
          </w:tcPr>
          <w:p w14:paraId="35D9641C" w14:textId="77777777" w:rsidR="00D069CB" w:rsidRPr="00722AB0" w:rsidRDefault="00D069CB" w:rsidP="00D069CB">
            <w:pPr>
              <w:spacing w:line="240" w:lineRule="atLeast"/>
              <w:jc w:val="center"/>
              <w:rPr>
                <w:rFonts w:cs="Arial"/>
                <w:color w:val="FFFFFF"/>
                <w:sz w:val="22"/>
                <w:szCs w:val="22"/>
              </w:rPr>
            </w:pPr>
            <w:r w:rsidRPr="00722AB0">
              <w:rPr>
                <w:rFonts w:cs="Arial"/>
                <w:color w:val="FFFFFF"/>
                <w:sz w:val="22"/>
                <w:szCs w:val="22"/>
              </w:rPr>
              <w:t>Weekdays</w:t>
            </w:r>
          </w:p>
        </w:tc>
        <w:tc>
          <w:tcPr>
            <w:tcW w:w="1250" w:type="dxa"/>
            <w:tcBorders>
              <w:top w:val="nil"/>
              <w:left w:val="nil"/>
              <w:bottom w:val="nil"/>
              <w:right w:val="single" w:sz="4" w:space="0" w:color="auto"/>
            </w:tcBorders>
            <w:shd w:val="clear" w:color="000000" w:fill="555759"/>
            <w:vAlign w:val="center"/>
            <w:hideMark/>
          </w:tcPr>
          <w:p w14:paraId="6FE267A7" w14:textId="77777777" w:rsidR="00D069CB" w:rsidRPr="00722AB0" w:rsidRDefault="00D069CB" w:rsidP="00D069CB">
            <w:pPr>
              <w:spacing w:line="240" w:lineRule="atLeast"/>
              <w:jc w:val="center"/>
              <w:rPr>
                <w:rFonts w:cs="Arial"/>
                <w:color w:val="FFFFFF"/>
                <w:szCs w:val="18"/>
              </w:rPr>
            </w:pPr>
            <w:r w:rsidRPr="00722AB0">
              <w:rPr>
                <w:rFonts w:cs="Arial"/>
                <w:color w:val="FFFFFF"/>
                <w:szCs w:val="18"/>
              </w:rPr>
              <w:t>Weekends/ Holidays</w:t>
            </w:r>
          </w:p>
        </w:tc>
      </w:tr>
      <w:tr w:rsidR="00D069CB" w:rsidRPr="00722AB0" w14:paraId="6A572404" w14:textId="77777777" w:rsidTr="00D069CB">
        <w:trPr>
          <w:trHeight w:val="280"/>
        </w:trPr>
        <w:tc>
          <w:tcPr>
            <w:tcW w:w="800" w:type="dxa"/>
            <w:tcBorders>
              <w:top w:val="nil"/>
              <w:left w:val="single" w:sz="4" w:space="0" w:color="auto"/>
              <w:bottom w:val="single" w:sz="4" w:space="0" w:color="auto"/>
              <w:right w:val="nil"/>
            </w:tcBorders>
            <w:shd w:val="clear" w:color="000000" w:fill="2B2C2D"/>
            <w:vAlign w:val="center"/>
            <w:hideMark/>
          </w:tcPr>
          <w:p w14:paraId="70BF5713" w14:textId="77777777" w:rsidR="00D069CB" w:rsidRPr="00722AB0" w:rsidRDefault="00D069CB" w:rsidP="00D069CB">
            <w:pPr>
              <w:spacing w:line="240" w:lineRule="atLeast"/>
              <w:jc w:val="center"/>
              <w:rPr>
                <w:rFonts w:cs="Arial"/>
                <w:color w:val="FFFFFF"/>
                <w:sz w:val="22"/>
                <w:szCs w:val="22"/>
              </w:rPr>
            </w:pPr>
            <w:r w:rsidRPr="00722AB0">
              <w:rPr>
                <w:rFonts w:cs="Arial"/>
                <w:color w:val="FFFFFF"/>
                <w:sz w:val="22"/>
                <w:szCs w:val="22"/>
              </w:rPr>
              <w:t> </w:t>
            </w:r>
          </w:p>
        </w:tc>
        <w:tc>
          <w:tcPr>
            <w:tcW w:w="2640" w:type="dxa"/>
            <w:tcBorders>
              <w:top w:val="nil"/>
              <w:left w:val="nil"/>
              <w:bottom w:val="single" w:sz="4" w:space="0" w:color="auto"/>
              <w:right w:val="nil"/>
            </w:tcBorders>
            <w:shd w:val="clear" w:color="000000" w:fill="2B2C2D"/>
            <w:vAlign w:val="center"/>
            <w:hideMark/>
          </w:tcPr>
          <w:p w14:paraId="777C6856" w14:textId="77777777" w:rsidR="00D069CB" w:rsidRPr="00722AB0" w:rsidRDefault="00D069CB" w:rsidP="00D069CB">
            <w:pPr>
              <w:spacing w:line="240" w:lineRule="atLeast"/>
              <w:jc w:val="center"/>
              <w:rPr>
                <w:rFonts w:cs="Arial"/>
                <w:color w:val="FFFFFF"/>
                <w:sz w:val="22"/>
                <w:szCs w:val="22"/>
              </w:rPr>
            </w:pPr>
            <w:r w:rsidRPr="00722AB0">
              <w:rPr>
                <w:rFonts w:cs="Arial"/>
                <w:color w:val="FFFFFF"/>
                <w:sz w:val="22"/>
                <w:szCs w:val="22"/>
              </w:rPr>
              <w:t> </w:t>
            </w:r>
          </w:p>
        </w:tc>
        <w:tc>
          <w:tcPr>
            <w:tcW w:w="1097" w:type="dxa"/>
            <w:tcBorders>
              <w:top w:val="nil"/>
              <w:left w:val="nil"/>
              <w:bottom w:val="nil"/>
              <w:right w:val="nil"/>
            </w:tcBorders>
            <w:shd w:val="clear" w:color="000000" w:fill="2B2C2D"/>
            <w:vAlign w:val="center"/>
            <w:hideMark/>
          </w:tcPr>
          <w:p w14:paraId="7ABBB5EE" w14:textId="77777777" w:rsidR="00D069CB" w:rsidRPr="00722AB0" w:rsidRDefault="00D069CB" w:rsidP="00D069CB">
            <w:pPr>
              <w:spacing w:line="240" w:lineRule="atLeast"/>
              <w:jc w:val="center"/>
              <w:rPr>
                <w:rFonts w:cs="Arial"/>
                <w:color w:val="FFFFFF"/>
                <w:sz w:val="22"/>
                <w:szCs w:val="22"/>
              </w:rPr>
            </w:pPr>
            <w:r w:rsidRPr="00722AB0">
              <w:rPr>
                <w:rFonts w:cs="Arial"/>
                <w:color w:val="FFFFFF"/>
                <w:sz w:val="22"/>
                <w:szCs w:val="22"/>
              </w:rPr>
              <w:t>1</w:t>
            </w:r>
          </w:p>
        </w:tc>
        <w:tc>
          <w:tcPr>
            <w:tcW w:w="1098" w:type="dxa"/>
            <w:tcBorders>
              <w:top w:val="nil"/>
              <w:left w:val="nil"/>
              <w:bottom w:val="nil"/>
              <w:right w:val="nil"/>
            </w:tcBorders>
            <w:shd w:val="clear" w:color="000000" w:fill="2B2C2D"/>
            <w:vAlign w:val="center"/>
            <w:hideMark/>
          </w:tcPr>
          <w:p w14:paraId="0E3F740F" w14:textId="77777777" w:rsidR="00D069CB" w:rsidRPr="00722AB0" w:rsidRDefault="00D069CB" w:rsidP="00D069CB">
            <w:pPr>
              <w:spacing w:line="240" w:lineRule="atLeast"/>
              <w:jc w:val="center"/>
              <w:rPr>
                <w:rFonts w:cs="Arial"/>
                <w:color w:val="FFFFFF"/>
                <w:sz w:val="22"/>
                <w:szCs w:val="22"/>
              </w:rPr>
            </w:pPr>
            <w:r w:rsidRPr="00722AB0">
              <w:rPr>
                <w:rFonts w:cs="Arial"/>
                <w:color w:val="FFFFFF"/>
                <w:sz w:val="22"/>
                <w:szCs w:val="22"/>
              </w:rPr>
              <w:t>2</w:t>
            </w:r>
          </w:p>
        </w:tc>
        <w:tc>
          <w:tcPr>
            <w:tcW w:w="1097" w:type="dxa"/>
            <w:tcBorders>
              <w:top w:val="nil"/>
              <w:left w:val="nil"/>
              <w:bottom w:val="nil"/>
              <w:right w:val="nil"/>
            </w:tcBorders>
            <w:shd w:val="clear" w:color="000000" w:fill="2B2C2D"/>
            <w:vAlign w:val="center"/>
            <w:hideMark/>
          </w:tcPr>
          <w:p w14:paraId="33541C05" w14:textId="77777777" w:rsidR="00D069CB" w:rsidRPr="00722AB0" w:rsidRDefault="00D069CB" w:rsidP="00D069CB">
            <w:pPr>
              <w:spacing w:line="240" w:lineRule="atLeast"/>
              <w:jc w:val="center"/>
              <w:rPr>
                <w:rFonts w:cs="Arial"/>
                <w:color w:val="FFFFFF"/>
                <w:sz w:val="22"/>
                <w:szCs w:val="22"/>
              </w:rPr>
            </w:pPr>
            <w:r w:rsidRPr="00722AB0">
              <w:rPr>
                <w:rFonts w:cs="Arial"/>
                <w:color w:val="FFFFFF"/>
                <w:sz w:val="22"/>
                <w:szCs w:val="22"/>
              </w:rPr>
              <w:t>3</w:t>
            </w:r>
          </w:p>
        </w:tc>
        <w:tc>
          <w:tcPr>
            <w:tcW w:w="1098" w:type="dxa"/>
            <w:tcBorders>
              <w:top w:val="nil"/>
              <w:left w:val="nil"/>
              <w:bottom w:val="nil"/>
              <w:right w:val="nil"/>
            </w:tcBorders>
            <w:shd w:val="clear" w:color="000000" w:fill="2B2C2D"/>
            <w:vAlign w:val="center"/>
            <w:hideMark/>
          </w:tcPr>
          <w:p w14:paraId="3CC3CAFA" w14:textId="77777777" w:rsidR="00D069CB" w:rsidRPr="00722AB0" w:rsidRDefault="00D069CB" w:rsidP="00D069CB">
            <w:pPr>
              <w:spacing w:line="240" w:lineRule="atLeast"/>
              <w:jc w:val="center"/>
              <w:rPr>
                <w:rFonts w:cs="Arial"/>
                <w:color w:val="FFFFFF"/>
                <w:sz w:val="22"/>
                <w:szCs w:val="22"/>
              </w:rPr>
            </w:pPr>
            <w:r w:rsidRPr="00722AB0">
              <w:rPr>
                <w:rFonts w:cs="Arial"/>
                <w:color w:val="FFFFFF"/>
                <w:sz w:val="22"/>
                <w:szCs w:val="22"/>
              </w:rPr>
              <w:t>4</w:t>
            </w:r>
          </w:p>
        </w:tc>
        <w:tc>
          <w:tcPr>
            <w:tcW w:w="1250" w:type="dxa"/>
            <w:tcBorders>
              <w:top w:val="nil"/>
              <w:left w:val="nil"/>
              <w:bottom w:val="single" w:sz="4" w:space="0" w:color="auto"/>
              <w:right w:val="single" w:sz="4" w:space="0" w:color="auto"/>
            </w:tcBorders>
            <w:shd w:val="clear" w:color="000000" w:fill="2B2C2D"/>
            <w:vAlign w:val="center"/>
            <w:hideMark/>
          </w:tcPr>
          <w:p w14:paraId="3E4EA685" w14:textId="77777777" w:rsidR="00D069CB" w:rsidRPr="00722AB0" w:rsidRDefault="00D069CB" w:rsidP="00D069CB">
            <w:pPr>
              <w:spacing w:line="240" w:lineRule="atLeast"/>
              <w:jc w:val="center"/>
              <w:rPr>
                <w:rFonts w:cs="Arial"/>
                <w:color w:val="FFFFFF"/>
                <w:sz w:val="22"/>
                <w:szCs w:val="22"/>
              </w:rPr>
            </w:pPr>
            <w:r w:rsidRPr="00722AB0">
              <w:rPr>
                <w:rFonts w:cs="Arial"/>
                <w:color w:val="FFFFFF"/>
                <w:sz w:val="22"/>
                <w:szCs w:val="22"/>
              </w:rPr>
              <w:t>5</w:t>
            </w:r>
          </w:p>
        </w:tc>
      </w:tr>
      <w:tr w:rsidR="006B1F09" w:rsidRPr="00722AB0" w14:paraId="708B842D" w14:textId="77777777" w:rsidTr="00D069CB">
        <w:trPr>
          <w:trHeight w:val="560"/>
        </w:trPr>
        <w:tc>
          <w:tcPr>
            <w:tcW w:w="800" w:type="dxa"/>
            <w:vMerge w:val="restart"/>
            <w:tcBorders>
              <w:top w:val="nil"/>
              <w:left w:val="single" w:sz="4" w:space="0" w:color="auto"/>
              <w:bottom w:val="single" w:sz="4" w:space="0" w:color="000000"/>
              <w:right w:val="nil"/>
            </w:tcBorders>
            <w:shd w:val="clear" w:color="000000" w:fill="C1EEFF"/>
            <w:textDirection w:val="btLr"/>
            <w:vAlign w:val="center"/>
            <w:hideMark/>
          </w:tcPr>
          <w:p w14:paraId="2C0D9648" w14:textId="77777777" w:rsidR="006B1F09" w:rsidRPr="00722AB0" w:rsidRDefault="006B1F09" w:rsidP="006B1F09">
            <w:pPr>
              <w:spacing w:line="240" w:lineRule="atLeast"/>
              <w:jc w:val="center"/>
              <w:rPr>
                <w:rFonts w:cs="Arial"/>
                <w:sz w:val="22"/>
                <w:szCs w:val="22"/>
              </w:rPr>
            </w:pPr>
            <w:r w:rsidRPr="00722AB0">
              <w:rPr>
                <w:rFonts w:cs="Arial"/>
                <w:sz w:val="22"/>
                <w:szCs w:val="22"/>
              </w:rPr>
              <w:t>Winter</w:t>
            </w:r>
          </w:p>
        </w:tc>
        <w:tc>
          <w:tcPr>
            <w:tcW w:w="2640" w:type="dxa"/>
            <w:tcBorders>
              <w:top w:val="nil"/>
              <w:left w:val="nil"/>
              <w:bottom w:val="nil"/>
              <w:right w:val="nil"/>
            </w:tcBorders>
            <w:shd w:val="clear" w:color="000000" w:fill="C1EEFF"/>
            <w:vAlign w:val="center"/>
            <w:hideMark/>
          </w:tcPr>
          <w:p w14:paraId="204B000E" w14:textId="77777777" w:rsidR="006B1F09" w:rsidRPr="00722AB0" w:rsidRDefault="006B1F09" w:rsidP="006B1F09">
            <w:pPr>
              <w:spacing w:line="240" w:lineRule="atLeast"/>
              <w:jc w:val="center"/>
              <w:rPr>
                <w:rFonts w:cs="Arial"/>
                <w:sz w:val="22"/>
                <w:szCs w:val="22"/>
              </w:rPr>
            </w:pPr>
            <w:r w:rsidRPr="00722AB0">
              <w:rPr>
                <w:rFonts w:cs="Arial"/>
                <w:b/>
                <w:bCs/>
                <w:sz w:val="22"/>
                <w:szCs w:val="22"/>
              </w:rPr>
              <w:t xml:space="preserve">Period A: </w:t>
            </w:r>
            <w:r w:rsidRPr="00722AB0">
              <w:rPr>
                <w:rFonts w:cs="Arial"/>
                <w:sz w:val="22"/>
                <w:szCs w:val="22"/>
              </w:rPr>
              <w:t>Jan &amp; Feb</w:t>
            </w:r>
          </w:p>
        </w:tc>
        <w:tc>
          <w:tcPr>
            <w:tcW w:w="1097" w:type="dxa"/>
            <w:tcBorders>
              <w:top w:val="single" w:sz="4" w:space="0" w:color="auto"/>
              <w:left w:val="single" w:sz="4" w:space="0" w:color="auto"/>
              <w:bottom w:val="nil"/>
              <w:right w:val="nil"/>
            </w:tcBorders>
            <w:shd w:val="clear" w:color="000000" w:fill="FFFFFF"/>
            <w:vAlign w:val="center"/>
            <w:hideMark/>
          </w:tcPr>
          <w:p w14:paraId="784DDFE4" w14:textId="42F7380C" w:rsidR="006B1F09" w:rsidRPr="00722AB0" w:rsidRDefault="006B1F09" w:rsidP="006B1F09">
            <w:pPr>
              <w:spacing w:line="240" w:lineRule="atLeast"/>
              <w:jc w:val="center"/>
              <w:rPr>
                <w:rFonts w:cs="Arial"/>
                <w:sz w:val="22"/>
                <w:szCs w:val="22"/>
              </w:rPr>
            </w:pPr>
            <w:r w:rsidRPr="000E6C55">
              <w:rPr>
                <w:rFonts w:cs="Arial"/>
                <w:sz w:val="22"/>
                <w:szCs w:val="22"/>
              </w:rPr>
              <w:t>&lt;= -11</w:t>
            </w:r>
          </w:p>
        </w:tc>
        <w:tc>
          <w:tcPr>
            <w:tcW w:w="1098" w:type="dxa"/>
            <w:tcBorders>
              <w:top w:val="single" w:sz="4" w:space="0" w:color="auto"/>
              <w:left w:val="nil"/>
              <w:bottom w:val="nil"/>
              <w:right w:val="nil"/>
            </w:tcBorders>
            <w:shd w:val="clear" w:color="000000" w:fill="FFFFFF"/>
            <w:vAlign w:val="center"/>
            <w:hideMark/>
          </w:tcPr>
          <w:p w14:paraId="5E93209E" w14:textId="7E1E8972" w:rsidR="006B1F09" w:rsidRPr="00722AB0" w:rsidRDefault="006B1F09" w:rsidP="006B1F09">
            <w:pPr>
              <w:spacing w:line="240" w:lineRule="atLeast"/>
              <w:jc w:val="center"/>
              <w:rPr>
                <w:rFonts w:cs="Arial"/>
                <w:sz w:val="22"/>
                <w:szCs w:val="22"/>
              </w:rPr>
            </w:pPr>
            <w:r w:rsidRPr="000E6C55">
              <w:rPr>
                <w:rFonts w:cs="Arial"/>
                <w:sz w:val="22"/>
                <w:szCs w:val="22"/>
              </w:rPr>
              <w:t xml:space="preserve">-7 to </w:t>
            </w:r>
            <w:r w:rsidRPr="000E6C55">
              <w:rPr>
                <w:rFonts w:cs="Arial"/>
                <w:sz w:val="22"/>
                <w:szCs w:val="22"/>
              </w:rPr>
              <w:br/>
              <w:t>-11</w:t>
            </w:r>
          </w:p>
        </w:tc>
        <w:tc>
          <w:tcPr>
            <w:tcW w:w="1097" w:type="dxa"/>
            <w:tcBorders>
              <w:top w:val="single" w:sz="4" w:space="0" w:color="auto"/>
              <w:left w:val="nil"/>
              <w:bottom w:val="nil"/>
              <w:right w:val="nil"/>
            </w:tcBorders>
            <w:shd w:val="clear" w:color="000000" w:fill="FFFFFF"/>
            <w:vAlign w:val="center"/>
            <w:hideMark/>
          </w:tcPr>
          <w:p w14:paraId="4D5731BA" w14:textId="30ED7826" w:rsidR="006B1F09" w:rsidRPr="00722AB0" w:rsidRDefault="006B1F09" w:rsidP="006B1F09">
            <w:pPr>
              <w:spacing w:line="240" w:lineRule="atLeast"/>
              <w:jc w:val="center"/>
              <w:rPr>
                <w:rFonts w:cs="Arial"/>
                <w:sz w:val="22"/>
                <w:szCs w:val="22"/>
              </w:rPr>
            </w:pPr>
            <w:r w:rsidRPr="000E6C55">
              <w:rPr>
                <w:rFonts w:cs="Arial"/>
                <w:sz w:val="22"/>
                <w:szCs w:val="22"/>
              </w:rPr>
              <w:t xml:space="preserve">-3 to </w:t>
            </w:r>
            <w:r w:rsidRPr="000E6C55">
              <w:rPr>
                <w:rFonts w:cs="Arial"/>
                <w:sz w:val="22"/>
                <w:szCs w:val="22"/>
              </w:rPr>
              <w:br/>
              <w:t>-7</w:t>
            </w:r>
          </w:p>
        </w:tc>
        <w:tc>
          <w:tcPr>
            <w:tcW w:w="1098" w:type="dxa"/>
            <w:tcBorders>
              <w:top w:val="single" w:sz="4" w:space="0" w:color="auto"/>
              <w:left w:val="nil"/>
              <w:bottom w:val="nil"/>
              <w:right w:val="single" w:sz="4" w:space="0" w:color="auto"/>
            </w:tcBorders>
            <w:shd w:val="clear" w:color="000000" w:fill="FFFFFF"/>
            <w:vAlign w:val="center"/>
            <w:hideMark/>
          </w:tcPr>
          <w:p w14:paraId="251B8EBA" w14:textId="73C3574D" w:rsidR="006B1F09" w:rsidRPr="00722AB0" w:rsidRDefault="006B1F09" w:rsidP="006B1F09">
            <w:pPr>
              <w:spacing w:line="240" w:lineRule="atLeast"/>
              <w:jc w:val="center"/>
              <w:rPr>
                <w:rFonts w:cs="Arial"/>
                <w:sz w:val="22"/>
                <w:szCs w:val="22"/>
              </w:rPr>
            </w:pPr>
            <w:r w:rsidRPr="000E6C55">
              <w:rPr>
                <w:rFonts w:cs="Arial"/>
                <w:sz w:val="22"/>
                <w:szCs w:val="22"/>
              </w:rPr>
              <w:t>&gt; -3</w:t>
            </w:r>
          </w:p>
        </w:tc>
        <w:tc>
          <w:tcPr>
            <w:tcW w:w="1250" w:type="dxa"/>
            <w:tcBorders>
              <w:top w:val="nil"/>
              <w:left w:val="nil"/>
              <w:bottom w:val="nil"/>
              <w:right w:val="single" w:sz="4" w:space="0" w:color="auto"/>
            </w:tcBorders>
            <w:shd w:val="clear" w:color="000000" w:fill="FFFFFF"/>
            <w:vAlign w:val="center"/>
            <w:hideMark/>
          </w:tcPr>
          <w:p w14:paraId="2D3F4D76" w14:textId="77777777" w:rsidR="006B1F09" w:rsidRPr="00722AB0" w:rsidRDefault="006B1F09" w:rsidP="006B1F09">
            <w:pPr>
              <w:spacing w:line="240" w:lineRule="atLeast"/>
              <w:rPr>
                <w:rFonts w:cs="Arial"/>
                <w:sz w:val="22"/>
                <w:szCs w:val="22"/>
              </w:rPr>
            </w:pPr>
            <w:r w:rsidRPr="00722AB0">
              <w:rPr>
                <w:rFonts w:cs="Arial"/>
                <w:sz w:val="22"/>
                <w:szCs w:val="22"/>
              </w:rPr>
              <w:t> </w:t>
            </w:r>
          </w:p>
        </w:tc>
      </w:tr>
      <w:tr w:rsidR="006B1F09" w:rsidRPr="00722AB0" w14:paraId="0D364E9D" w14:textId="77777777" w:rsidTr="00D069CB">
        <w:trPr>
          <w:trHeight w:val="560"/>
        </w:trPr>
        <w:tc>
          <w:tcPr>
            <w:tcW w:w="800" w:type="dxa"/>
            <w:vMerge/>
            <w:tcBorders>
              <w:top w:val="nil"/>
              <w:left w:val="single" w:sz="4" w:space="0" w:color="auto"/>
              <w:bottom w:val="single" w:sz="4" w:space="0" w:color="000000"/>
              <w:right w:val="nil"/>
            </w:tcBorders>
            <w:vAlign w:val="center"/>
            <w:hideMark/>
          </w:tcPr>
          <w:p w14:paraId="335AAA29" w14:textId="77777777" w:rsidR="006B1F09" w:rsidRPr="00722AB0" w:rsidRDefault="006B1F09" w:rsidP="006B1F09">
            <w:pPr>
              <w:spacing w:line="240" w:lineRule="atLeast"/>
              <w:rPr>
                <w:rFonts w:cs="Arial"/>
                <w:sz w:val="22"/>
                <w:szCs w:val="22"/>
              </w:rPr>
            </w:pPr>
          </w:p>
        </w:tc>
        <w:tc>
          <w:tcPr>
            <w:tcW w:w="2640" w:type="dxa"/>
            <w:tcBorders>
              <w:top w:val="nil"/>
              <w:left w:val="nil"/>
              <w:bottom w:val="nil"/>
              <w:right w:val="nil"/>
            </w:tcBorders>
            <w:shd w:val="clear" w:color="000000" w:fill="C1EEFF"/>
            <w:vAlign w:val="center"/>
            <w:hideMark/>
          </w:tcPr>
          <w:p w14:paraId="383EAB74" w14:textId="77777777" w:rsidR="006B1F09" w:rsidRPr="00722AB0" w:rsidRDefault="006B1F09" w:rsidP="006B1F09">
            <w:pPr>
              <w:spacing w:line="240" w:lineRule="atLeast"/>
              <w:jc w:val="center"/>
              <w:rPr>
                <w:rFonts w:cs="Arial"/>
                <w:sz w:val="22"/>
                <w:szCs w:val="22"/>
              </w:rPr>
            </w:pPr>
            <w:r w:rsidRPr="00722AB0">
              <w:rPr>
                <w:rFonts w:cs="Arial"/>
                <w:b/>
                <w:bCs/>
                <w:sz w:val="22"/>
                <w:szCs w:val="22"/>
              </w:rPr>
              <w:t>Period B:</w:t>
            </w:r>
            <w:r w:rsidRPr="00722AB0">
              <w:rPr>
                <w:rFonts w:cs="Arial"/>
                <w:sz w:val="22"/>
                <w:szCs w:val="22"/>
              </w:rPr>
              <w:t xml:space="preserve"> Mar &amp; Dec</w:t>
            </w:r>
          </w:p>
        </w:tc>
        <w:tc>
          <w:tcPr>
            <w:tcW w:w="1097" w:type="dxa"/>
            <w:tcBorders>
              <w:top w:val="nil"/>
              <w:left w:val="single" w:sz="4" w:space="0" w:color="auto"/>
              <w:bottom w:val="nil"/>
              <w:right w:val="nil"/>
            </w:tcBorders>
            <w:shd w:val="clear" w:color="000000" w:fill="EDFFC4"/>
            <w:vAlign w:val="center"/>
            <w:hideMark/>
          </w:tcPr>
          <w:p w14:paraId="574462B2" w14:textId="1D16B575" w:rsidR="006B1F09" w:rsidRPr="00722AB0" w:rsidRDefault="006B1F09" w:rsidP="006B1F09">
            <w:pPr>
              <w:spacing w:line="240" w:lineRule="atLeast"/>
              <w:jc w:val="center"/>
              <w:rPr>
                <w:rFonts w:cs="Arial"/>
                <w:sz w:val="22"/>
                <w:szCs w:val="22"/>
              </w:rPr>
            </w:pPr>
            <w:r w:rsidRPr="000E6C55">
              <w:rPr>
                <w:rFonts w:cs="Arial"/>
                <w:sz w:val="22"/>
                <w:szCs w:val="22"/>
              </w:rPr>
              <w:t>&lt;= -10</w:t>
            </w:r>
          </w:p>
        </w:tc>
        <w:tc>
          <w:tcPr>
            <w:tcW w:w="1098" w:type="dxa"/>
            <w:tcBorders>
              <w:top w:val="nil"/>
              <w:left w:val="nil"/>
              <w:bottom w:val="nil"/>
              <w:right w:val="nil"/>
            </w:tcBorders>
            <w:shd w:val="clear" w:color="000000" w:fill="EDFFC4"/>
            <w:vAlign w:val="center"/>
            <w:hideMark/>
          </w:tcPr>
          <w:p w14:paraId="758B3388" w14:textId="1A47B99F" w:rsidR="006B1F09" w:rsidRPr="00722AB0" w:rsidRDefault="006B1F09" w:rsidP="006B1F09">
            <w:pPr>
              <w:spacing w:line="240" w:lineRule="atLeast"/>
              <w:jc w:val="center"/>
              <w:rPr>
                <w:rFonts w:cs="Arial"/>
                <w:sz w:val="22"/>
                <w:szCs w:val="22"/>
              </w:rPr>
            </w:pPr>
            <w:r w:rsidRPr="000E6C55">
              <w:rPr>
                <w:rFonts w:cs="Arial"/>
                <w:sz w:val="22"/>
                <w:szCs w:val="22"/>
              </w:rPr>
              <w:t xml:space="preserve">-6 to </w:t>
            </w:r>
            <w:r w:rsidRPr="000E6C55">
              <w:rPr>
                <w:rFonts w:cs="Arial"/>
                <w:sz w:val="22"/>
                <w:szCs w:val="22"/>
              </w:rPr>
              <w:br/>
              <w:t>-10</w:t>
            </w:r>
          </w:p>
        </w:tc>
        <w:tc>
          <w:tcPr>
            <w:tcW w:w="1097" w:type="dxa"/>
            <w:tcBorders>
              <w:top w:val="nil"/>
              <w:left w:val="nil"/>
              <w:bottom w:val="nil"/>
              <w:right w:val="nil"/>
            </w:tcBorders>
            <w:shd w:val="clear" w:color="000000" w:fill="EDFFC4"/>
            <w:vAlign w:val="center"/>
            <w:hideMark/>
          </w:tcPr>
          <w:p w14:paraId="7844E5AF" w14:textId="027AC89E" w:rsidR="006B1F09" w:rsidRPr="00722AB0" w:rsidRDefault="006B1F09" w:rsidP="006B1F09">
            <w:pPr>
              <w:spacing w:line="240" w:lineRule="atLeast"/>
              <w:jc w:val="center"/>
              <w:rPr>
                <w:rFonts w:cs="Arial"/>
                <w:sz w:val="22"/>
                <w:szCs w:val="22"/>
              </w:rPr>
            </w:pPr>
            <w:r w:rsidRPr="000E6C55">
              <w:rPr>
                <w:rFonts w:cs="Arial"/>
                <w:sz w:val="22"/>
                <w:szCs w:val="22"/>
              </w:rPr>
              <w:t xml:space="preserve">1 to </w:t>
            </w:r>
            <w:r w:rsidRPr="000E6C55">
              <w:rPr>
                <w:rFonts w:cs="Arial"/>
                <w:sz w:val="22"/>
                <w:szCs w:val="22"/>
              </w:rPr>
              <w:br/>
              <w:t>-6</w:t>
            </w:r>
          </w:p>
        </w:tc>
        <w:tc>
          <w:tcPr>
            <w:tcW w:w="1098" w:type="dxa"/>
            <w:tcBorders>
              <w:top w:val="nil"/>
              <w:left w:val="nil"/>
              <w:bottom w:val="nil"/>
              <w:right w:val="single" w:sz="4" w:space="0" w:color="auto"/>
            </w:tcBorders>
            <w:shd w:val="clear" w:color="000000" w:fill="EDFFC4"/>
            <w:vAlign w:val="center"/>
            <w:hideMark/>
          </w:tcPr>
          <w:p w14:paraId="062C5F64" w14:textId="2DF0A856" w:rsidR="006B1F09" w:rsidRPr="00722AB0" w:rsidRDefault="006B1F09" w:rsidP="006B1F09">
            <w:pPr>
              <w:spacing w:line="240" w:lineRule="atLeast"/>
              <w:jc w:val="center"/>
              <w:rPr>
                <w:rFonts w:cs="Arial"/>
                <w:sz w:val="22"/>
                <w:szCs w:val="22"/>
              </w:rPr>
            </w:pPr>
            <w:r w:rsidRPr="000E6C55">
              <w:rPr>
                <w:rFonts w:cs="Arial"/>
                <w:sz w:val="22"/>
                <w:szCs w:val="22"/>
              </w:rPr>
              <w:t>&gt; 1</w:t>
            </w:r>
          </w:p>
        </w:tc>
        <w:tc>
          <w:tcPr>
            <w:tcW w:w="1250" w:type="dxa"/>
            <w:tcBorders>
              <w:top w:val="nil"/>
              <w:left w:val="nil"/>
              <w:bottom w:val="nil"/>
              <w:right w:val="single" w:sz="4" w:space="0" w:color="auto"/>
            </w:tcBorders>
            <w:shd w:val="clear" w:color="000000" w:fill="FFFFFF"/>
            <w:vAlign w:val="center"/>
            <w:hideMark/>
          </w:tcPr>
          <w:p w14:paraId="6F5439B2" w14:textId="77777777" w:rsidR="006B1F09" w:rsidRPr="00722AB0" w:rsidRDefault="006B1F09" w:rsidP="006B1F09">
            <w:pPr>
              <w:spacing w:line="240" w:lineRule="atLeast"/>
              <w:jc w:val="center"/>
              <w:rPr>
                <w:rFonts w:cs="Arial"/>
                <w:sz w:val="22"/>
                <w:szCs w:val="22"/>
              </w:rPr>
            </w:pPr>
            <w:r w:rsidRPr="00722AB0">
              <w:rPr>
                <w:rFonts w:cs="Arial"/>
                <w:sz w:val="22"/>
                <w:szCs w:val="22"/>
              </w:rPr>
              <w:t>All Days</w:t>
            </w:r>
          </w:p>
        </w:tc>
      </w:tr>
      <w:tr w:rsidR="006B1F09" w:rsidRPr="00722AB0" w14:paraId="2E2CFD0F" w14:textId="77777777" w:rsidTr="00D069CB">
        <w:trPr>
          <w:trHeight w:val="560"/>
        </w:trPr>
        <w:tc>
          <w:tcPr>
            <w:tcW w:w="800" w:type="dxa"/>
            <w:vMerge/>
            <w:tcBorders>
              <w:top w:val="nil"/>
              <w:left w:val="single" w:sz="4" w:space="0" w:color="auto"/>
              <w:bottom w:val="single" w:sz="4" w:space="0" w:color="000000"/>
              <w:right w:val="nil"/>
            </w:tcBorders>
            <w:vAlign w:val="center"/>
            <w:hideMark/>
          </w:tcPr>
          <w:p w14:paraId="777294B4" w14:textId="77777777" w:rsidR="006B1F09" w:rsidRPr="00722AB0" w:rsidRDefault="006B1F09" w:rsidP="006B1F09">
            <w:pPr>
              <w:spacing w:line="240" w:lineRule="atLeast"/>
              <w:rPr>
                <w:rFonts w:cs="Arial"/>
                <w:sz w:val="22"/>
                <w:szCs w:val="22"/>
              </w:rPr>
            </w:pPr>
          </w:p>
        </w:tc>
        <w:tc>
          <w:tcPr>
            <w:tcW w:w="2640" w:type="dxa"/>
            <w:tcBorders>
              <w:top w:val="nil"/>
              <w:left w:val="nil"/>
              <w:bottom w:val="single" w:sz="4" w:space="0" w:color="auto"/>
              <w:right w:val="nil"/>
            </w:tcBorders>
            <w:shd w:val="clear" w:color="000000" w:fill="C1EEFF"/>
            <w:vAlign w:val="center"/>
            <w:hideMark/>
          </w:tcPr>
          <w:p w14:paraId="01BFBC06" w14:textId="77777777" w:rsidR="006B1F09" w:rsidRPr="00722AB0" w:rsidRDefault="006B1F09" w:rsidP="006B1F09">
            <w:pPr>
              <w:spacing w:line="240" w:lineRule="atLeast"/>
              <w:jc w:val="center"/>
              <w:rPr>
                <w:rFonts w:cs="Arial"/>
                <w:sz w:val="22"/>
                <w:szCs w:val="22"/>
              </w:rPr>
            </w:pPr>
            <w:r w:rsidRPr="00722AB0">
              <w:rPr>
                <w:rFonts w:cs="Arial"/>
                <w:b/>
                <w:bCs/>
                <w:sz w:val="22"/>
                <w:szCs w:val="22"/>
              </w:rPr>
              <w:t xml:space="preserve">Period C: </w:t>
            </w:r>
            <w:r w:rsidRPr="00722AB0">
              <w:rPr>
                <w:rFonts w:cs="Arial"/>
                <w:sz w:val="22"/>
                <w:szCs w:val="22"/>
              </w:rPr>
              <w:t>Apr &amp; Nov</w:t>
            </w:r>
          </w:p>
        </w:tc>
        <w:tc>
          <w:tcPr>
            <w:tcW w:w="1097" w:type="dxa"/>
            <w:tcBorders>
              <w:top w:val="nil"/>
              <w:left w:val="single" w:sz="4" w:space="0" w:color="auto"/>
              <w:bottom w:val="single" w:sz="4" w:space="0" w:color="auto"/>
              <w:right w:val="nil"/>
            </w:tcBorders>
            <w:shd w:val="clear" w:color="000000" w:fill="FFFFFF"/>
            <w:vAlign w:val="center"/>
            <w:hideMark/>
          </w:tcPr>
          <w:p w14:paraId="339CE4C2" w14:textId="579C7487" w:rsidR="006B1F09" w:rsidRPr="00722AB0" w:rsidRDefault="006B1F09" w:rsidP="006B1F09">
            <w:pPr>
              <w:spacing w:line="240" w:lineRule="atLeast"/>
              <w:jc w:val="center"/>
              <w:rPr>
                <w:rFonts w:cs="Arial"/>
                <w:sz w:val="22"/>
                <w:szCs w:val="22"/>
              </w:rPr>
            </w:pPr>
            <w:r w:rsidRPr="000E6C55">
              <w:rPr>
                <w:rFonts w:cs="Arial"/>
                <w:sz w:val="22"/>
                <w:szCs w:val="22"/>
              </w:rPr>
              <w:t>&lt;= 1</w:t>
            </w:r>
          </w:p>
        </w:tc>
        <w:tc>
          <w:tcPr>
            <w:tcW w:w="1098" w:type="dxa"/>
            <w:tcBorders>
              <w:top w:val="nil"/>
              <w:left w:val="nil"/>
              <w:bottom w:val="single" w:sz="4" w:space="0" w:color="auto"/>
              <w:right w:val="nil"/>
            </w:tcBorders>
            <w:shd w:val="clear" w:color="000000" w:fill="FFFFFF"/>
            <w:vAlign w:val="center"/>
            <w:hideMark/>
          </w:tcPr>
          <w:p w14:paraId="2500B142" w14:textId="3AD357AA" w:rsidR="006B1F09" w:rsidRPr="00722AB0" w:rsidRDefault="006B1F09" w:rsidP="006B1F09">
            <w:pPr>
              <w:spacing w:line="240" w:lineRule="atLeast"/>
              <w:jc w:val="center"/>
              <w:rPr>
                <w:rFonts w:cs="Arial"/>
                <w:sz w:val="22"/>
                <w:szCs w:val="22"/>
              </w:rPr>
            </w:pPr>
            <w:r w:rsidRPr="000E6C55">
              <w:rPr>
                <w:rFonts w:cs="Arial"/>
                <w:sz w:val="22"/>
                <w:szCs w:val="22"/>
              </w:rPr>
              <w:t xml:space="preserve">2 to </w:t>
            </w:r>
            <w:r w:rsidRPr="000E6C55">
              <w:rPr>
                <w:rFonts w:cs="Arial"/>
                <w:sz w:val="22"/>
                <w:szCs w:val="22"/>
              </w:rPr>
              <w:br/>
              <w:t>1</w:t>
            </w:r>
          </w:p>
        </w:tc>
        <w:tc>
          <w:tcPr>
            <w:tcW w:w="1097" w:type="dxa"/>
            <w:tcBorders>
              <w:top w:val="nil"/>
              <w:left w:val="nil"/>
              <w:bottom w:val="single" w:sz="4" w:space="0" w:color="auto"/>
              <w:right w:val="nil"/>
            </w:tcBorders>
            <w:shd w:val="clear" w:color="000000" w:fill="FFFFFF"/>
            <w:vAlign w:val="center"/>
            <w:hideMark/>
          </w:tcPr>
          <w:p w14:paraId="269D0619" w14:textId="48B47371" w:rsidR="006B1F09" w:rsidRPr="00722AB0" w:rsidRDefault="006B1F09" w:rsidP="006B1F09">
            <w:pPr>
              <w:spacing w:line="240" w:lineRule="atLeast"/>
              <w:jc w:val="center"/>
              <w:rPr>
                <w:rFonts w:cs="Arial"/>
                <w:sz w:val="22"/>
                <w:szCs w:val="22"/>
              </w:rPr>
            </w:pPr>
            <w:r w:rsidRPr="000E6C55">
              <w:rPr>
                <w:rFonts w:cs="Arial"/>
                <w:sz w:val="22"/>
                <w:szCs w:val="22"/>
              </w:rPr>
              <w:t xml:space="preserve">6 to </w:t>
            </w:r>
            <w:r w:rsidRPr="000E6C55">
              <w:rPr>
                <w:rFonts w:cs="Arial"/>
                <w:sz w:val="22"/>
                <w:szCs w:val="22"/>
              </w:rPr>
              <w:br/>
              <w:t>2</w:t>
            </w:r>
          </w:p>
        </w:tc>
        <w:tc>
          <w:tcPr>
            <w:tcW w:w="1098" w:type="dxa"/>
            <w:tcBorders>
              <w:top w:val="nil"/>
              <w:left w:val="nil"/>
              <w:bottom w:val="single" w:sz="4" w:space="0" w:color="auto"/>
              <w:right w:val="single" w:sz="4" w:space="0" w:color="auto"/>
            </w:tcBorders>
            <w:shd w:val="clear" w:color="000000" w:fill="FFFFFF"/>
            <w:vAlign w:val="center"/>
            <w:hideMark/>
          </w:tcPr>
          <w:p w14:paraId="70FFADBE" w14:textId="7F0ECF6C" w:rsidR="006B1F09" w:rsidRPr="00722AB0" w:rsidRDefault="006B1F09" w:rsidP="006B1F09">
            <w:pPr>
              <w:spacing w:line="240" w:lineRule="atLeast"/>
              <w:jc w:val="center"/>
              <w:rPr>
                <w:rFonts w:cs="Arial"/>
                <w:sz w:val="22"/>
                <w:szCs w:val="22"/>
              </w:rPr>
            </w:pPr>
            <w:r w:rsidRPr="000E6C55">
              <w:rPr>
                <w:rFonts w:cs="Arial"/>
                <w:sz w:val="22"/>
                <w:szCs w:val="22"/>
              </w:rPr>
              <w:t>&gt; 6</w:t>
            </w:r>
          </w:p>
        </w:tc>
        <w:tc>
          <w:tcPr>
            <w:tcW w:w="1250" w:type="dxa"/>
            <w:tcBorders>
              <w:top w:val="nil"/>
              <w:left w:val="nil"/>
              <w:bottom w:val="single" w:sz="4" w:space="0" w:color="auto"/>
              <w:right w:val="single" w:sz="4" w:space="0" w:color="auto"/>
            </w:tcBorders>
            <w:shd w:val="clear" w:color="000000" w:fill="FFFFFF"/>
            <w:vAlign w:val="center"/>
            <w:hideMark/>
          </w:tcPr>
          <w:p w14:paraId="1BB948DD" w14:textId="77777777" w:rsidR="006B1F09" w:rsidRPr="00722AB0" w:rsidRDefault="006B1F09" w:rsidP="006B1F09">
            <w:pPr>
              <w:spacing w:line="240" w:lineRule="atLeast"/>
              <w:rPr>
                <w:rFonts w:cs="Arial"/>
                <w:sz w:val="22"/>
                <w:szCs w:val="22"/>
              </w:rPr>
            </w:pPr>
            <w:r w:rsidRPr="00722AB0">
              <w:rPr>
                <w:rFonts w:cs="Arial"/>
                <w:sz w:val="22"/>
                <w:szCs w:val="22"/>
              </w:rPr>
              <w:t> </w:t>
            </w:r>
          </w:p>
        </w:tc>
      </w:tr>
      <w:tr w:rsidR="006B1F09" w:rsidRPr="00722AB0" w14:paraId="7E659941" w14:textId="77777777" w:rsidTr="00D069CB">
        <w:trPr>
          <w:trHeight w:val="560"/>
        </w:trPr>
        <w:tc>
          <w:tcPr>
            <w:tcW w:w="800" w:type="dxa"/>
            <w:vMerge w:val="restart"/>
            <w:tcBorders>
              <w:top w:val="nil"/>
              <w:left w:val="single" w:sz="4" w:space="0" w:color="auto"/>
              <w:bottom w:val="single" w:sz="4" w:space="0" w:color="000000"/>
              <w:right w:val="nil"/>
            </w:tcBorders>
            <w:shd w:val="clear" w:color="000000" w:fill="FFE3A2"/>
            <w:textDirection w:val="btLr"/>
            <w:vAlign w:val="center"/>
            <w:hideMark/>
          </w:tcPr>
          <w:p w14:paraId="0EF4F9D3" w14:textId="77777777" w:rsidR="006B1F09" w:rsidRPr="00722AB0" w:rsidRDefault="006B1F09" w:rsidP="006B1F09">
            <w:pPr>
              <w:spacing w:line="240" w:lineRule="atLeast"/>
              <w:jc w:val="center"/>
              <w:rPr>
                <w:rFonts w:cs="Arial"/>
                <w:sz w:val="22"/>
                <w:szCs w:val="22"/>
              </w:rPr>
            </w:pPr>
            <w:r w:rsidRPr="00722AB0">
              <w:rPr>
                <w:rFonts w:cs="Arial"/>
                <w:sz w:val="22"/>
                <w:szCs w:val="22"/>
              </w:rPr>
              <w:t>Summer</w:t>
            </w:r>
          </w:p>
        </w:tc>
        <w:tc>
          <w:tcPr>
            <w:tcW w:w="2640" w:type="dxa"/>
            <w:tcBorders>
              <w:top w:val="nil"/>
              <w:left w:val="nil"/>
              <w:bottom w:val="nil"/>
              <w:right w:val="single" w:sz="4" w:space="0" w:color="auto"/>
            </w:tcBorders>
            <w:shd w:val="clear" w:color="000000" w:fill="FFE3A2"/>
            <w:vAlign w:val="center"/>
            <w:hideMark/>
          </w:tcPr>
          <w:p w14:paraId="6720D12B" w14:textId="77777777" w:rsidR="006B1F09" w:rsidRPr="00722AB0" w:rsidRDefault="006B1F09" w:rsidP="006B1F09">
            <w:pPr>
              <w:spacing w:line="240" w:lineRule="atLeast"/>
              <w:jc w:val="center"/>
              <w:rPr>
                <w:rFonts w:cs="Arial"/>
                <w:sz w:val="22"/>
                <w:szCs w:val="22"/>
              </w:rPr>
            </w:pPr>
            <w:r w:rsidRPr="00722AB0">
              <w:rPr>
                <w:rFonts w:cs="Arial"/>
                <w:b/>
                <w:bCs/>
                <w:sz w:val="22"/>
                <w:szCs w:val="22"/>
              </w:rPr>
              <w:t xml:space="preserve">Period D: </w:t>
            </w:r>
            <w:r w:rsidRPr="00722AB0">
              <w:rPr>
                <w:rFonts w:cs="Arial"/>
                <w:sz w:val="22"/>
                <w:szCs w:val="22"/>
              </w:rPr>
              <w:t>May &amp; Oct</w:t>
            </w:r>
          </w:p>
        </w:tc>
        <w:tc>
          <w:tcPr>
            <w:tcW w:w="1097" w:type="dxa"/>
            <w:tcBorders>
              <w:top w:val="nil"/>
              <w:left w:val="nil"/>
              <w:bottom w:val="nil"/>
              <w:right w:val="nil"/>
            </w:tcBorders>
            <w:shd w:val="clear" w:color="000000" w:fill="FFFFFF"/>
            <w:vAlign w:val="center"/>
            <w:hideMark/>
          </w:tcPr>
          <w:p w14:paraId="71053D54" w14:textId="6E24DD69" w:rsidR="006B1F09" w:rsidRPr="00722AB0" w:rsidRDefault="006B1F09" w:rsidP="006B1F09">
            <w:pPr>
              <w:spacing w:line="240" w:lineRule="atLeast"/>
              <w:jc w:val="center"/>
              <w:rPr>
                <w:rFonts w:cs="Arial"/>
                <w:sz w:val="22"/>
                <w:szCs w:val="22"/>
              </w:rPr>
            </w:pPr>
            <w:r w:rsidRPr="000E6C55">
              <w:rPr>
                <w:rFonts w:cs="Arial"/>
                <w:sz w:val="22"/>
                <w:szCs w:val="22"/>
              </w:rPr>
              <w:t>&gt;= 18</w:t>
            </w:r>
          </w:p>
        </w:tc>
        <w:tc>
          <w:tcPr>
            <w:tcW w:w="1098" w:type="dxa"/>
            <w:tcBorders>
              <w:top w:val="nil"/>
              <w:left w:val="nil"/>
              <w:bottom w:val="nil"/>
              <w:right w:val="nil"/>
            </w:tcBorders>
            <w:shd w:val="clear" w:color="000000" w:fill="FFFFFF"/>
            <w:vAlign w:val="center"/>
            <w:hideMark/>
          </w:tcPr>
          <w:p w14:paraId="710EB021" w14:textId="4DD7B5B7" w:rsidR="006B1F09" w:rsidRPr="00722AB0" w:rsidRDefault="006B1F09" w:rsidP="006B1F09">
            <w:pPr>
              <w:spacing w:line="240" w:lineRule="atLeast"/>
              <w:jc w:val="center"/>
              <w:rPr>
                <w:rFonts w:cs="Arial"/>
                <w:sz w:val="22"/>
                <w:szCs w:val="22"/>
              </w:rPr>
            </w:pPr>
            <w:r w:rsidRPr="000E6C55">
              <w:rPr>
                <w:rFonts w:cs="Arial"/>
                <w:sz w:val="22"/>
                <w:szCs w:val="22"/>
              </w:rPr>
              <w:t xml:space="preserve">15 to </w:t>
            </w:r>
            <w:r w:rsidRPr="000E6C55">
              <w:rPr>
                <w:rFonts w:cs="Arial"/>
                <w:sz w:val="22"/>
                <w:szCs w:val="22"/>
              </w:rPr>
              <w:br/>
              <w:t>18</w:t>
            </w:r>
          </w:p>
        </w:tc>
        <w:tc>
          <w:tcPr>
            <w:tcW w:w="1097" w:type="dxa"/>
            <w:tcBorders>
              <w:top w:val="nil"/>
              <w:left w:val="nil"/>
              <w:bottom w:val="nil"/>
              <w:right w:val="nil"/>
            </w:tcBorders>
            <w:shd w:val="clear" w:color="000000" w:fill="FFFFFF"/>
            <w:vAlign w:val="center"/>
            <w:hideMark/>
          </w:tcPr>
          <w:p w14:paraId="5B87E27D" w14:textId="5F476D80" w:rsidR="006B1F09" w:rsidRPr="00722AB0" w:rsidRDefault="006B1F09" w:rsidP="006B1F09">
            <w:pPr>
              <w:spacing w:line="240" w:lineRule="atLeast"/>
              <w:jc w:val="center"/>
              <w:rPr>
                <w:rFonts w:cs="Arial"/>
                <w:sz w:val="22"/>
                <w:szCs w:val="22"/>
              </w:rPr>
            </w:pPr>
            <w:r w:rsidRPr="000E6C55">
              <w:rPr>
                <w:rFonts w:cs="Arial"/>
                <w:sz w:val="22"/>
                <w:szCs w:val="22"/>
              </w:rPr>
              <w:t xml:space="preserve">11 to </w:t>
            </w:r>
            <w:r w:rsidRPr="000E6C55">
              <w:rPr>
                <w:rFonts w:cs="Arial"/>
                <w:sz w:val="22"/>
                <w:szCs w:val="22"/>
              </w:rPr>
              <w:br/>
              <w:t>15</w:t>
            </w:r>
          </w:p>
        </w:tc>
        <w:tc>
          <w:tcPr>
            <w:tcW w:w="1098" w:type="dxa"/>
            <w:tcBorders>
              <w:top w:val="nil"/>
              <w:left w:val="nil"/>
              <w:bottom w:val="nil"/>
              <w:right w:val="nil"/>
            </w:tcBorders>
            <w:shd w:val="clear" w:color="000000" w:fill="FFFFFF"/>
            <w:vAlign w:val="center"/>
            <w:hideMark/>
          </w:tcPr>
          <w:p w14:paraId="0708C309" w14:textId="15F2E757" w:rsidR="006B1F09" w:rsidRPr="00722AB0" w:rsidRDefault="006B1F09" w:rsidP="006B1F09">
            <w:pPr>
              <w:spacing w:line="240" w:lineRule="atLeast"/>
              <w:jc w:val="center"/>
              <w:rPr>
                <w:rFonts w:cs="Arial"/>
                <w:sz w:val="22"/>
                <w:szCs w:val="22"/>
              </w:rPr>
            </w:pPr>
            <w:r w:rsidRPr="000E6C55">
              <w:rPr>
                <w:rFonts w:cs="Arial"/>
                <w:sz w:val="22"/>
                <w:szCs w:val="22"/>
              </w:rPr>
              <w:t>&lt; 11</w:t>
            </w:r>
          </w:p>
        </w:tc>
        <w:tc>
          <w:tcPr>
            <w:tcW w:w="1250" w:type="dxa"/>
            <w:tcBorders>
              <w:top w:val="nil"/>
              <w:left w:val="single" w:sz="4" w:space="0" w:color="auto"/>
              <w:bottom w:val="nil"/>
              <w:right w:val="single" w:sz="4" w:space="0" w:color="auto"/>
            </w:tcBorders>
            <w:shd w:val="clear" w:color="000000" w:fill="FFFFFF"/>
            <w:vAlign w:val="center"/>
            <w:hideMark/>
          </w:tcPr>
          <w:p w14:paraId="762ED9C7" w14:textId="77777777" w:rsidR="006B1F09" w:rsidRPr="00722AB0" w:rsidRDefault="006B1F09" w:rsidP="006B1F09">
            <w:pPr>
              <w:spacing w:line="240" w:lineRule="atLeast"/>
              <w:rPr>
                <w:rFonts w:cs="Arial"/>
                <w:sz w:val="22"/>
                <w:szCs w:val="22"/>
              </w:rPr>
            </w:pPr>
            <w:r w:rsidRPr="00722AB0">
              <w:rPr>
                <w:rFonts w:cs="Arial"/>
                <w:sz w:val="22"/>
                <w:szCs w:val="22"/>
              </w:rPr>
              <w:t> </w:t>
            </w:r>
          </w:p>
        </w:tc>
      </w:tr>
      <w:tr w:rsidR="006B1F09" w:rsidRPr="00722AB0" w14:paraId="7EA802A7" w14:textId="77777777" w:rsidTr="00D069CB">
        <w:trPr>
          <w:trHeight w:val="560"/>
        </w:trPr>
        <w:tc>
          <w:tcPr>
            <w:tcW w:w="800" w:type="dxa"/>
            <w:vMerge/>
            <w:tcBorders>
              <w:top w:val="nil"/>
              <w:left w:val="single" w:sz="4" w:space="0" w:color="auto"/>
              <w:bottom w:val="single" w:sz="4" w:space="0" w:color="000000"/>
              <w:right w:val="nil"/>
            </w:tcBorders>
            <w:vAlign w:val="center"/>
            <w:hideMark/>
          </w:tcPr>
          <w:p w14:paraId="1AB55D75" w14:textId="77777777" w:rsidR="006B1F09" w:rsidRPr="00722AB0" w:rsidRDefault="006B1F09" w:rsidP="006B1F09">
            <w:pPr>
              <w:spacing w:line="240" w:lineRule="atLeast"/>
              <w:rPr>
                <w:rFonts w:cs="Arial"/>
                <w:sz w:val="22"/>
                <w:szCs w:val="22"/>
              </w:rPr>
            </w:pPr>
          </w:p>
        </w:tc>
        <w:tc>
          <w:tcPr>
            <w:tcW w:w="2640" w:type="dxa"/>
            <w:tcBorders>
              <w:top w:val="nil"/>
              <w:left w:val="nil"/>
              <w:bottom w:val="nil"/>
              <w:right w:val="single" w:sz="4" w:space="0" w:color="auto"/>
            </w:tcBorders>
            <w:shd w:val="clear" w:color="000000" w:fill="FFE3A2"/>
            <w:vAlign w:val="center"/>
            <w:hideMark/>
          </w:tcPr>
          <w:p w14:paraId="3ACF1B4F" w14:textId="77777777" w:rsidR="006B1F09" w:rsidRPr="00722AB0" w:rsidRDefault="006B1F09" w:rsidP="006B1F09">
            <w:pPr>
              <w:spacing w:line="240" w:lineRule="atLeast"/>
              <w:jc w:val="center"/>
              <w:rPr>
                <w:rFonts w:cs="Arial"/>
                <w:sz w:val="22"/>
                <w:szCs w:val="22"/>
              </w:rPr>
            </w:pPr>
            <w:r w:rsidRPr="00722AB0">
              <w:rPr>
                <w:rFonts w:cs="Arial"/>
                <w:b/>
                <w:bCs/>
                <w:sz w:val="22"/>
                <w:szCs w:val="22"/>
              </w:rPr>
              <w:t>Period E:</w:t>
            </w:r>
            <w:r w:rsidRPr="00722AB0">
              <w:rPr>
                <w:rFonts w:cs="Arial"/>
                <w:sz w:val="22"/>
                <w:szCs w:val="22"/>
              </w:rPr>
              <w:t xml:space="preserve"> Jun &amp; Sept</w:t>
            </w:r>
          </w:p>
        </w:tc>
        <w:tc>
          <w:tcPr>
            <w:tcW w:w="1097" w:type="dxa"/>
            <w:tcBorders>
              <w:top w:val="nil"/>
              <w:left w:val="nil"/>
              <w:bottom w:val="nil"/>
              <w:right w:val="nil"/>
            </w:tcBorders>
            <w:shd w:val="clear" w:color="000000" w:fill="EDFFC4"/>
            <w:vAlign w:val="center"/>
            <w:hideMark/>
          </w:tcPr>
          <w:p w14:paraId="36577C51" w14:textId="2E3E64DD" w:rsidR="006B1F09" w:rsidRPr="00722AB0" w:rsidRDefault="006B1F09" w:rsidP="006B1F09">
            <w:pPr>
              <w:spacing w:line="240" w:lineRule="atLeast"/>
              <w:jc w:val="center"/>
              <w:rPr>
                <w:rFonts w:cs="Arial"/>
                <w:sz w:val="22"/>
                <w:szCs w:val="22"/>
              </w:rPr>
            </w:pPr>
            <w:r w:rsidRPr="000E6C55">
              <w:rPr>
                <w:rFonts w:cs="Arial"/>
                <w:sz w:val="22"/>
                <w:szCs w:val="22"/>
              </w:rPr>
              <w:t>&gt;= 23</w:t>
            </w:r>
          </w:p>
        </w:tc>
        <w:tc>
          <w:tcPr>
            <w:tcW w:w="1098" w:type="dxa"/>
            <w:tcBorders>
              <w:top w:val="nil"/>
              <w:left w:val="nil"/>
              <w:bottom w:val="nil"/>
              <w:right w:val="nil"/>
            </w:tcBorders>
            <w:shd w:val="clear" w:color="000000" w:fill="EDFFC4"/>
            <w:vAlign w:val="center"/>
            <w:hideMark/>
          </w:tcPr>
          <w:p w14:paraId="5549085D" w14:textId="4623734B" w:rsidR="006B1F09" w:rsidRPr="00722AB0" w:rsidRDefault="006B1F09" w:rsidP="006B1F09">
            <w:pPr>
              <w:spacing w:line="240" w:lineRule="atLeast"/>
              <w:jc w:val="center"/>
              <w:rPr>
                <w:rFonts w:cs="Arial"/>
                <w:sz w:val="22"/>
                <w:szCs w:val="22"/>
              </w:rPr>
            </w:pPr>
            <w:r w:rsidRPr="000E6C55">
              <w:rPr>
                <w:rFonts w:cs="Arial"/>
                <w:sz w:val="22"/>
                <w:szCs w:val="22"/>
              </w:rPr>
              <w:t xml:space="preserve">21 to </w:t>
            </w:r>
            <w:r w:rsidRPr="000E6C55">
              <w:rPr>
                <w:rFonts w:cs="Arial"/>
                <w:sz w:val="22"/>
                <w:szCs w:val="22"/>
              </w:rPr>
              <w:br/>
              <w:t>23</w:t>
            </w:r>
          </w:p>
        </w:tc>
        <w:tc>
          <w:tcPr>
            <w:tcW w:w="1097" w:type="dxa"/>
            <w:tcBorders>
              <w:top w:val="nil"/>
              <w:left w:val="nil"/>
              <w:bottom w:val="nil"/>
              <w:right w:val="nil"/>
            </w:tcBorders>
            <w:shd w:val="clear" w:color="000000" w:fill="EDFFC4"/>
            <w:vAlign w:val="center"/>
            <w:hideMark/>
          </w:tcPr>
          <w:p w14:paraId="6DD2C8ED" w14:textId="0E8CBF79" w:rsidR="006B1F09" w:rsidRPr="00722AB0" w:rsidRDefault="006B1F09" w:rsidP="006B1F09">
            <w:pPr>
              <w:spacing w:line="240" w:lineRule="atLeast"/>
              <w:jc w:val="center"/>
              <w:rPr>
                <w:rFonts w:cs="Arial"/>
                <w:sz w:val="22"/>
                <w:szCs w:val="22"/>
              </w:rPr>
            </w:pPr>
            <w:r w:rsidRPr="000E6C55">
              <w:rPr>
                <w:rFonts w:cs="Arial"/>
                <w:sz w:val="22"/>
                <w:szCs w:val="22"/>
              </w:rPr>
              <w:t xml:space="preserve">16 to </w:t>
            </w:r>
            <w:r w:rsidRPr="000E6C55">
              <w:rPr>
                <w:rFonts w:cs="Arial"/>
                <w:sz w:val="22"/>
                <w:szCs w:val="22"/>
              </w:rPr>
              <w:br/>
              <w:t>21</w:t>
            </w:r>
          </w:p>
        </w:tc>
        <w:tc>
          <w:tcPr>
            <w:tcW w:w="1098" w:type="dxa"/>
            <w:tcBorders>
              <w:top w:val="nil"/>
              <w:left w:val="nil"/>
              <w:bottom w:val="nil"/>
              <w:right w:val="nil"/>
            </w:tcBorders>
            <w:shd w:val="clear" w:color="000000" w:fill="EDFFC4"/>
            <w:vAlign w:val="center"/>
            <w:hideMark/>
          </w:tcPr>
          <w:p w14:paraId="4A731094" w14:textId="5FEF666F" w:rsidR="006B1F09" w:rsidRPr="00722AB0" w:rsidRDefault="006B1F09" w:rsidP="006B1F09">
            <w:pPr>
              <w:spacing w:line="240" w:lineRule="atLeast"/>
              <w:jc w:val="center"/>
              <w:rPr>
                <w:rFonts w:cs="Arial"/>
                <w:sz w:val="22"/>
                <w:szCs w:val="22"/>
              </w:rPr>
            </w:pPr>
            <w:r w:rsidRPr="000E6C55">
              <w:rPr>
                <w:rFonts w:cs="Arial"/>
                <w:sz w:val="22"/>
                <w:szCs w:val="22"/>
              </w:rPr>
              <w:t>&lt; 16</w:t>
            </w:r>
          </w:p>
        </w:tc>
        <w:tc>
          <w:tcPr>
            <w:tcW w:w="1250" w:type="dxa"/>
            <w:tcBorders>
              <w:top w:val="nil"/>
              <w:left w:val="single" w:sz="4" w:space="0" w:color="auto"/>
              <w:bottom w:val="nil"/>
              <w:right w:val="single" w:sz="4" w:space="0" w:color="auto"/>
            </w:tcBorders>
            <w:shd w:val="clear" w:color="000000" w:fill="FFFFFF"/>
            <w:vAlign w:val="center"/>
            <w:hideMark/>
          </w:tcPr>
          <w:p w14:paraId="3B4FC792" w14:textId="77777777" w:rsidR="006B1F09" w:rsidRPr="00722AB0" w:rsidRDefault="006B1F09" w:rsidP="006B1F09">
            <w:pPr>
              <w:spacing w:line="240" w:lineRule="atLeast"/>
              <w:jc w:val="center"/>
              <w:rPr>
                <w:rFonts w:cs="Arial"/>
                <w:sz w:val="22"/>
                <w:szCs w:val="22"/>
              </w:rPr>
            </w:pPr>
            <w:r w:rsidRPr="00722AB0">
              <w:rPr>
                <w:rFonts w:cs="Arial"/>
                <w:sz w:val="22"/>
                <w:szCs w:val="22"/>
              </w:rPr>
              <w:t>All Days</w:t>
            </w:r>
          </w:p>
        </w:tc>
      </w:tr>
      <w:tr w:rsidR="006B1F09" w:rsidRPr="00722AB0" w14:paraId="086255A7" w14:textId="77777777" w:rsidTr="00D069CB">
        <w:trPr>
          <w:trHeight w:val="560"/>
        </w:trPr>
        <w:tc>
          <w:tcPr>
            <w:tcW w:w="800" w:type="dxa"/>
            <w:vMerge/>
            <w:tcBorders>
              <w:top w:val="nil"/>
              <w:left w:val="single" w:sz="4" w:space="0" w:color="auto"/>
              <w:bottom w:val="single" w:sz="4" w:space="0" w:color="000000"/>
              <w:right w:val="nil"/>
            </w:tcBorders>
            <w:vAlign w:val="center"/>
            <w:hideMark/>
          </w:tcPr>
          <w:p w14:paraId="0E7ABFF9" w14:textId="77777777" w:rsidR="006B1F09" w:rsidRPr="00722AB0" w:rsidRDefault="006B1F09" w:rsidP="006B1F09">
            <w:pPr>
              <w:spacing w:line="240" w:lineRule="atLeast"/>
              <w:rPr>
                <w:rFonts w:cs="Arial"/>
                <w:sz w:val="22"/>
                <w:szCs w:val="22"/>
              </w:rPr>
            </w:pPr>
          </w:p>
        </w:tc>
        <w:tc>
          <w:tcPr>
            <w:tcW w:w="2640" w:type="dxa"/>
            <w:tcBorders>
              <w:top w:val="nil"/>
              <w:left w:val="nil"/>
              <w:bottom w:val="single" w:sz="4" w:space="0" w:color="auto"/>
              <w:right w:val="single" w:sz="4" w:space="0" w:color="auto"/>
            </w:tcBorders>
            <w:shd w:val="clear" w:color="000000" w:fill="FFE3A2"/>
            <w:vAlign w:val="center"/>
            <w:hideMark/>
          </w:tcPr>
          <w:p w14:paraId="16237E50" w14:textId="77777777" w:rsidR="006B1F09" w:rsidRPr="00722AB0" w:rsidRDefault="006B1F09" w:rsidP="006B1F09">
            <w:pPr>
              <w:spacing w:line="240" w:lineRule="atLeast"/>
              <w:jc w:val="center"/>
              <w:rPr>
                <w:rFonts w:cs="Arial"/>
                <w:sz w:val="22"/>
                <w:szCs w:val="22"/>
              </w:rPr>
            </w:pPr>
            <w:r w:rsidRPr="00722AB0">
              <w:rPr>
                <w:rFonts w:cs="Arial"/>
                <w:b/>
                <w:bCs/>
                <w:sz w:val="22"/>
                <w:szCs w:val="22"/>
              </w:rPr>
              <w:t>Period F:</w:t>
            </w:r>
            <w:r w:rsidRPr="00722AB0">
              <w:rPr>
                <w:rFonts w:cs="Arial"/>
                <w:sz w:val="22"/>
                <w:szCs w:val="22"/>
              </w:rPr>
              <w:t xml:space="preserve"> Jul &amp; Aug</w:t>
            </w:r>
          </w:p>
        </w:tc>
        <w:tc>
          <w:tcPr>
            <w:tcW w:w="1097" w:type="dxa"/>
            <w:tcBorders>
              <w:top w:val="nil"/>
              <w:left w:val="nil"/>
              <w:bottom w:val="single" w:sz="4" w:space="0" w:color="auto"/>
              <w:right w:val="nil"/>
            </w:tcBorders>
            <w:shd w:val="clear" w:color="000000" w:fill="FFFFFF"/>
            <w:vAlign w:val="center"/>
            <w:hideMark/>
          </w:tcPr>
          <w:p w14:paraId="6AB18825" w14:textId="0295867E" w:rsidR="006B1F09" w:rsidRPr="00722AB0" w:rsidRDefault="006B1F09" w:rsidP="006B1F09">
            <w:pPr>
              <w:spacing w:line="240" w:lineRule="atLeast"/>
              <w:jc w:val="center"/>
              <w:rPr>
                <w:rFonts w:cs="Arial"/>
                <w:sz w:val="22"/>
                <w:szCs w:val="22"/>
              </w:rPr>
            </w:pPr>
            <w:r w:rsidRPr="000E6C55">
              <w:rPr>
                <w:rFonts w:cs="Arial"/>
                <w:sz w:val="22"/>
                <w:szCs w:val="22"/>
              </w:rPr>
              <w:t>&gt;= 23</w:t>
            </w:r>
          </w:p>
        </w:tc>
        <w:tc>
          <w:tcPr>
            <w:tcW w:w="1098" w:type="dxa"/>
            <w:tcBorders>
              <w:top w:val="nil"/>
              <w:left w:val="nil"/>
              <w:bottom w:val="single" w:sz="4" w:space="0" w:color="auto"/>
              <w:right w:val="nil"/>
            </w:tcBorders>
            <w:shd w:val="clear" w:color="000000" w:fill="FFFFFF"/>
            <w:vAlign w:val="center"/>
            <w:hideMark/>
          </w:tcPr>
          <w:p w14:paraId="37C0DF6A" w14:textId="0935D49F" w:rsidR="006B1F09" w:rsidRPr="00722AB0" w:rsidRDefault="006B1F09" w:rsidP="006B1F09">
            <w:pPr>
              <w:spacing w:line="240" w:lineRule="atLeast"/>
              <w:jc w:val="center"/>
              <w:rPr>
                <w:rFonts w:cs="Arial"/>
                <w:sz w:val="22"/>
                <w:szCs w:val="22"/>
              </w:rPr>
            </w:pPr>
            <w:r w:rsidRPr="000E6C55">
              <w:rPr>
                <w:rFonts w:cs="Arial"/>
                <w:sz w:val="22"/>
                <w:szCs w:val="22"/>
              </w:rPr>
              <w:t xml:space="preserve">21 to </w:t>
            </w:r>
            <w:r w:rsidRPr="000E6C55">
              <w:rPr>
                <w:rFonts w:cs="Arial"/>
                <w:sz w:val="22"/>
                <w:szCs w:val="22"/>
              </w:rPr>
              <w:br/>
              <w:t>23</w:t>
            </w:r>
          </w:p>
        </w:tc>
        <w:tc>
          <w:tcPr>
            <w:tcW w:w="1097" w:type="dxa"/>
            <w:tcBorders>
              <w:top w:val="nil"/>
              <w:left w:val="nil"/>
              <w:bottom w:val="single" w:sz="4" w:space="0" w:color="auto"/>
              <w:right w:val="nil"/>
            </w:tcBorders>
            <w:shd w:val="clear" w:color="000000" w:fill="FFFFFF"/>
            <w:vAlign w:val="center"/>
            <w:hideMark/>
          </w:tcPr>
          <w:p w14:paraId="7D47B587" w14:textId="06E1E3B5" w:rsidR="006B1F09" w:rsidRPr="00722AB0" w:rsidRDefault="006B1F09" w:rsidP="006B1F09">
            <w:pPr>
              <w:spacing w:line="240" w:lineRule="atLeast"/>
              <w:jc w:val="center"/>
              <w:rPr>
                <w:rFonts w:cs="Arial"/>
                <w:sz w:val="22"/>
                <w:szCs w:val="22"/>
              </w:rPr>
            </w:pPr>
            <w:r w:rsidRPr="000E6C55">
              <w:rPr>
                <w:rFonts w:cs="Arial"/>
                <w:sz w:val="22"/>
                <w:szCs w:val="22"/>
              </w:rPr>
              <w:t xml:space="preserve">20 to </w:t>
            </w:r>
            <w:r w:rsidRPr="000E6C55">
              <w:rPr>
                <w:rFonts w:cs="Arial"/>
                <w:sz w:val="22"/>
                <w:szCs w:val="22"/>
              </w:rPr>
              <w:br/>
              <w:t>21</w:t>
            </w:r>
          </w:p>
        </w:tc>
        <w:tc>
          <w:tcPr>
            <w:tcW w:w="1098" w:type="dxa"/>
            <w:tcBorders>
              <w:top w:val="nil"/>
              <w:left w:val="nil"/>
              <w:bottom w:val="single" w:sz="4" w:space="0" w:color="auto"/>
              <w:right w:val="nil"/>
            </w:tcBorders>
            <w:shd w:val="clear" w:color="000000" w:fill="FFFFFF"/>
            <w:vAlign w:val="center"/>
            <w:hideMark/>
          </w:tcPr>
          <w:p w14:paraId="430BFBF2" w14:textId="6CCB7457" w:rsidR="006B1F09" w:rsidRPr="00722AB0" w:rsidRDefault="006B1F09" w:rsidP="006B1F09">
            <w:pPr>
              <w:spacing w:line="240" w:lineRule="atLeast"/>
              <w:jc w:val="center"/>
              <w:rPr>
                <w:rFonts w:cs="Arial"/>
                <w:sz w:val="22"/>
                <w:szCs w:val="22"/>
              </w:rPr>
            </w:pPr>
            <w:r w:rsidRPr="000E6C55">
              <w:rPr>
                <w:rFonts w:cs="Arial"/>
                <w:sz w:val="22"/>
                <w:szCs w:val="22"/>
              </w:rPr>
              <w:t>&lt; 20</w:t>
            </w:r>
          </w:p>
        </w:tc>
        <w:tc>
          <w:tcPr>
            <w:tcW w:w="1250" w:type="dxa"/>
            <w:tcBorders>
              <w:top w:val="nil"/>
              <w:left w:val="single" w:sz="4" w:space="0" w:color="auto"/>
              <w:bottom w:val="single" w:sz="4" w:space="0" w:color="auto"/>
              <w:right w:val="single" w:sz="4" w:space="0" w:color="auto"/>
            </w:tcBorders>
            <w:shd w:val="clear" w:color="000000" w:fill="FFFFFF"/>
            <w:vAlign w:val="center"/>
            <w:hideMark/>
          </w:tcPr>
          <w:p w14:paraId="3DCD4F27" w14:textId="77777777" w:rsidR="006B1F09" w:rsidRPr="00722AB0" w:rsidRDefault="006B1F09" w:rsidP="006B1F09">
            <w:pPr>
              <w:spacing w:line="240" w:lineRule="atLeast"/>
              <w:rPr>
                <w:rFonts w:cs="Arial"/>
                <w:sz w:val="22"/>
                <w:szCs w:val="22"/>
              </w:rPr>
            </w:pPr>
            <w:r w:rsidRPr="00722AB0">
              <w:rPr>
                <w:rFonts w:cs="Arial"/>
                <w:sz w:val="22"/>
                <w:szCs w:val="22"/>
              </w:rPr>
              <w:t> </w:t>
            </w:r>
          </w:p>
        </w:tc>
      </w:tr>
    </w:tbl>
    <w:p w14:paraId="3F7C89E9" w14:textId="77777777" w:rsidR="00D069CB" w:rsidRPr="00D20DF4" w:rsidRDefault="00D069CB" w:rsidP="00D069CB">
      <w:pPr>
        <w:spacing w:line="240" w:lineRule="atLeast"/>
        <w:jc w:val="center"/>
        <w:rPr>
          <w:i/>
          <w:sz w:val="16"/>
        </w:rPr>
      </w:pPr>
      <w:r w:rsidRPr="00D20DF4">
        <w:rPr>
          <w:i/>
          <w:sz w:val="16"/>
        </w:rPr>
        <w:t xml:space="preserve">Source: </w:t>
      </w:r>
      <w:r>
        <w:rPr>
          <w:i/>
          <w:sz w:val="16"/>
        </w:rPr>
        <w:t>Environment Canada weather data</w:t>
      </w:r>
      <w:r w:rsidRPr="00D20DF4">
        <w:rPr>
          <w:i/>
          <w:sz w:val="16"/>
        </w:rPr>
        <w:t xml:space="preserve"> and Navigant analysis</w:t>
      </w:r>
    </w:p>
    <w:p w14:paraId="27C389DC" w14:textId="77777777" w:rsidR="00D069CB" w:rsidRDefault="00D069CB" w:rsidP="00D069CB">
      <w:pPr>
        <w:spacing w:line="240" w:lineRule="atLeast"/>
      </w:pPr>
    </w:p>
    <w:p w14:paraId="138C8B13" w14:textId="4ECEB583" w:rsidR="00D069CB" w:rsidRDefault="00D069CB" w:rsidP="00D069CB">
      <w:pPr>
        <w:spacing w:line="240" w:lineRule="atLeast"/>
      </w:pPr>
      <w:r>
        <w:t xml:space="preserve">So, for example, if the average temperature on a non-holiday </w:t>
      </w:r>
      <w:r w:rsidR="006B1F09">
        <w:t>February</w:t>
      </w:r>
      <w:r>
        <w:t xml:space="preserve"> weekday was -11 C or below, that day was assigned day-type A_1.</w:t>
      </w:r>
    </w:p>
    <w:p w14:paraId="11C01CB1" w14:textId="77777777" w:rsidR="00D069CB" w:rsidRDefault="00D069CB" w:rsidP="00D069CB">
      <w:pPr>
        <w:spacing w:line="240" w:lineRule="atLeast"/>
      </w:pPr>
    </w:p>
    <w:p w14:paraId="12195C0A" w14:textId="77777777" w:rsidR="00D069CB" w:rsidRDefault="00D069CB" w:rsidP="00D069CB">
      <w:pPr>
        <w:spacing w:line="240" w:lineRule="atLeast"/>
      </w:pPr>
      <w:r>
        <w:t>The weather data thresholds were selected based on the observed weather in matching period (2017-02-01 through 2018-01-31) such that approximately 10% of the non-holiday weekdays were day-type 1 (the most extreme temperature), 20% were day type 2, 30% were day type 3 and the remaining 40% were day type 4. Effectively, the day-type thresholds were selected in such a way as to increase the weighting of more extreme temperature days, improving the likelihood that matched controls temperature-sensitive loads will be very close to those of the participants.</w:t>
      </w:r>
    </w:p>
    <w:p w14:paraId="71ECA5C6" w14:textId="77777777" w:rsidR="00D069CB" w:rsidRDefault="00D069CB" w:rsidP="00D069CB">
      <w:pPr>
        <w:spacing w:line="240" w:lineRule="atLeast"/>
      </w:pPr>
    </w:p>
    <w:p w14:paraId="1EA09B56" w14:textId="64D0DA8B" w:rsidR="00D069CB" w:rsidRDefault="00D069CB" w:rsidP="00D069CB">
      <w:pPr>
        <w:spacing w:line="240" w:lineRule="atLeast"/>
      </w:pPr>
      <w:r>
        <w:t xml:space="preserve">This approach was taken based on previous experience with this technique in which it was found that a more balanced weighting delivers slightly better matches on “average” temperature days but considerably worse matches on more extreme temperature days. The </w:t>
      </w:r>
      <w:r w:rsidR="00C66607">
        <w:t>intention</w:t>
      </w:r>
      <w:r>
        <w:t xml:space="preserve"> of the trade-off applied by Navigant (i.e., to over-weight extreme days) is to deliver a data set of considerably greater flexibility, with matches on “average” or unseasonably mild days that are still quite good, but with much </w:t>
      </w:r>
      <w:r w:rsidR="00C66607">
        <w:t>better-quality</w:t>
      </w:r>
      <w:r>
        <w:t xml:space="preserve"> matches on extreme temperature days.</w:t>
      </w:r>
      <w:r w:rsidR="00C66607">
        <w:t xml:space="preserve"> Based on Navigant’s observations in the testing period (see below), Navigant has since concluded that, if anything, there was insufficient weight placed on the most extreme temperature days in each season.</w:t>
      </w:r>
    </w:p>
    <w:p w14:paraId="1273F635" w14:textId="77777777" w:rsidR="00D069CB" w:rsidRDefault="00D069CB" w:rsidP="00D069CB">
      <w:pPr>
        <w:spacing w:line="240" w:lineRule="atLeast"/>
      </w:pPr>
    </w:p>
    <w:p w14:paraId="6B6E54B0" w14:textId="05B8F911" w:rsidR="002635CA" w:rsidRDefault="00D069CB" w:rsidP="00D069CB">
      <w:r>
        <w:t xml:space="preserve">These day types thresholds were assigned to the matching period customer AMI data, and these interval data were then averaged by day-type and hour, delivering the aforementioned 720 element vector of </w:t>
      </w:r>
      <w:r>
        <w:lastRenderedPageBreak/>
        <w:t>values. The non-participant whose vector of values had the shortest Euclidean distance from the participant’s was selected as that participant’s match.</w:t>
      </w:r>
    </w:p>
    <w:p w14:paraId="016639C7" w14:textId="2585F040" w:rsidR="002635CA" w:rsidRDefault="002635CA" w:rsidP="002635CA"/>
    <w:p w14:paraId="1E5E82E5" w14:textId="77777777" w:rsidR="00C66607" w:rsidRPr="002635CA" w:rsidRDefault="00C66607" w:rsidP="002635CA"/>
    <w:p w14:paraId="7EA98BAF" w14:textId="5D80933B" w:rsidR="002635CA" w:rsidRDefault="002635CA" w:rsidP="002635CA">
      <w:pPr>
        <w:pStyle w:val="Heading1"/>
      </w:pPr>
      <w:bookmarkStart w:id="6" w:name="_Ref3268192"/>
      <w:r>
        <w:lastRenderedPageBreak/>
        <w:t>Control Group Assessment</w:t>
      </w:r>
      <w:bookmarkEnd w:id="6"/>
    </w:p>
    <w:bookmarkEnd w:id="2"/>
    <w:p w14:paraId="35ACD0AE" w14:textId="76690D8A" w:rsidR="00F8785F" w:rsidRDefault="00D22755" w:rsidP="002635CA">
      <w:r>
        <w:t>The best way to test a control group for bias is to compare it to the participant group in some pre-program period using the same approach that will be used to evaluate the program effects. In this case, Navigant estimated a slightly simplified</w:t>
      </w:r>
      <w:r>
        <w:rPr>
          <w:rStyle w:val="FootnoteReference"/>
        </w:rPr>
        <w:footnoteReference w:id="4"/>
      </w:r>
      <w:r>
        <w:t xml:space="preserve"> (but identical in terms of delivering ex-post impacts) version of the regression equation used to estimate program impacts using the testing period data (i.e., consumption from May 1 through October 31 of 2016).</w:t>
      </w:r>
    </w:p>
    <w:p w14:paraId="37395A73" w14:textId="458F77A6" w:rsidR="00D22755" w:rsidRDefault="00D22755" w:rsidP="002635CA"/>
    <w:p w14:paraId="2BEE03D5" w14:textId="44FC6585" w:rsidR="00D22755" w:rsidRDefault="00D22755" w:rsidP="002635CA">
      <w:r>
        <w:t>The parameter estimates associated with the treatment variables provide an indication of how similar the control and participant groups are. These parameters should be as close as possible to zero, and definitely not be statistically significant for the control group to be considered as a reasonable control group for the analysis. An estimate of a parameter of interest (i.e., that captures a program effect) that is statistically significant is an indication that any program period estimates could be biased. This finding indicates that there exists a consistent difference between the consumption patterns of the participants and controls which is not being adequately controlled for and is therefore being attributed to (in the testing period) a non-existent “program”.</w:t>
      </w:r>
    </w:p>
    <w:p w14:paraId="21CF85F8" w14:textId="06B5BF42" w:rsidR="00D22755" w:rsidRDefault="00D22755" w:rsidP="002635CA"/>
    <w:p w14:paraId="05770A0B" w14:textId="57CA47A1" w:rsidR="00D22755" w:rsidRDefault="00D22755" w:rsidP="002635CA">
      <w:r>
        <w:t>Navigant performed this test using both control groups (RCT controls and matched controls) and compared the p-values and parameter estimates of the parameters of interest</w:t>
      </w:r>
      <w:r w:rsidR="00604A8C">
        <w:t xml:space="preserve">, see </w:t>
      </w:r>
      <w:r w:rsidR="00604A8C">
        <w:fldChar w:fldCharType="begin"/>
      </w:r>
      <w:r w:rsidR="00604A8C">
        <w:instrText xml:space="preserve"> REF _Ref3274185 \h </w:instrText>
      </w:r>
      <w:r w:rsidR="00604A8C">
        <w:fldChar w:fldCharType="separate"/>
      </w:r>
      <w:r w:rsidR="00604A8C">
        <w:t xml:space="preserve">Figure H - </w:t>
      </w:r>
      <w:r w:rsidR="00604A8C">
        <w:rPr>
          <w:noProof/>
        </w:rPr>
        <w:t>1</w:t>
      </w:r>
      <w:r w:rsidR="00604A8C">
        <w:fldChar w:fldCharType="end"/>
      </w:r>
      <w:r w:rsidR="00604A8C">
        <w:t>, below</w:t>
      </w:r>
      <w:r>
        <w:t>. Recall that a p-value is a measure of estimate uncertainty – the higher the p-value, the more uncertain the result. A p-value of 0.1 or less indicates that a parameter estimate is statistically significant at the 90% confidence level. A p-value of 0.5, on the other hand, would indicate that a parameter is only statistically significant at the 50% confidence level.</w:t>
      </w:r>
    </w:p>
    <w:p w14:paraId="703C2A1A" w14:textId="51555B93" w:rsidR="00D22755" w:rsidRDefault="00D22755" w:rsidP="002635CA"/>
    <w:p w14:paraId="76D5ECF2" w14:textId="2CA2CB1B" w:rsidR="00D22755" w:rsidRPr="00D22755" w:rsidRDefault="00D22755" w:rsidP="00D22755">
      <w:pPr>
        <w:pStyle w:val="Caption"/>
      </w:pPr>
      <w:bookmarkStart w:id="7" w:name="_Ref3274185"/>
      <w:r>
        <w:t xml:space="preserve">Figure H - </w:t>
      </w:r>
      <w:r w:rsidR="001421CB">
        <w:rPr>
          <w:noProof/>
        </w:rPr>
        <w:fldChar w:fldCharType="begin"/>
      </w:r>
      <w:r w:rsidR="001421CB">
        <w:rPr>
          <w:noProof/>
        </w:rPr>
        <w:instrText xml:space="preserve"> SEQ Figure_H_- \* ARABIC </w:instrText>
      </w:r>
      <w:r w:rsidR="001421CB">
        <w:rPr>
          <w:noProof/>
        </w:rPr>
        <w:fldChar w:fldCharType="separate"/>
      </w:r>
      <w:r w:rsidR="009212E8">
        <w:rPr>
          <w:noProof/>
        </w:rPr>
        <w:t>3</w:t>
      </w:r>
      <w:r w:rsidR="001421CB">
        <w:rPr>
          <w:noProof/>
        </w:rPr>
        <w:fldChar w:fldCharType="end"/>
      </w:r>
      <w:bookmarkEnd w:id="7"/>
      <w:r>
        <w:t>: Parameter Estimates and P-Values</w:t>
      </w:r>
    </w:p>
    <w:tbl>
      <w:tblPr>
        <w:tblW w:w="5140" w:type="dxa"/>
        <w:jc w:val="center"/>
        <w:tblLook w:val="04A0" w:firstRow="1" w:lastRow="0" w:firstColumn="1" w:lastColumn="0" w:noHBand="0" w:noVBand="1"/>
      </w:tblPr>
      <w:tblGrid>
        <w:gridCol w:w="1020"/>
        <w:gridCol w:w="1080"/>
        <w:gridCol w:w="1520"/>
        <w:gridCol w:w="1520"/>
      </w:tblGrid>
      <w:tr w:rsidR="00D22755" w:rsidRPr="00D22755" w14:paraId="377293EA" w14:textId="77777777" w:rsidTr="00D22755">
        <w:trPr>
          <w:trHeight w:val="420"/>
          <w:jc w:val="center"/>
        </w:trPr>
        <w:tc>
          <w:tcPr>
            <w:tcW w:w="1020" w:type="dxa"/>
            <w:tcBorders>
              <w:top w:val="single" w:sz="4" w:space="0" w:color="auto"/>
              <w:left w:val="single" w:sz="4" w:space="0" w:color="auto"/>
              <w:bottom w:val="single" w:sz="4" w:space="0" w:color="auto"/>
              <w:right w:val="single" w:sz="4" w:space="0" w:color="auto"/>
            </w:tcBorders>
            <w:shd w:val="clear" w:color="000000" w:fill="555759"/>
            <w:noWrap/>
            <w:vAlign w:val="center"/>
            <w:hideMark/>
          </w:tcPr>
          <w:p w14:paraId="78939F02" w14:textId="77777777" w:rsidR="00D22755" w:rsidRPr="00D22755" w:rsidRDefault="00D22755" w:rsidP="00D22755">
            <w:pPr>
              <w:spacing w:line="240" w:lineRule="auto"/>
              <w:jc w:val="center"/>
              <w:rPr>
                <w:rFonts w:cs="Arial"/>
                <w:b/>
                <w:bCs/>
                <w:color w:val="FFFFFF"/>
                <w:sz w:val="16"/>
                <w:szCs w:val="16"/>
              </w:rPr>
            </w:pPr>
            <w:r w:rsidRPr="00D22755">
              <w:rPr>
                <w:rFonts w:cs="Arial"/>
                <w:b/>
                <w:bCs/>
                <w:color w:val="FFFFFF"/>
                <w:sz w:val="16"/>
                <w:szCs w:val="16"/>
              </w:rPr>
              <w:t>TOU Period</w:t>
            </w:r>
          </w:p>
        </w:tc>
        <w:tc>
          <w:tcPr>
            <w:tcW w:w="1080" w:type="dxa"/>
            <w:tcBorders>
              <w:top w:val="single" w:sz="4" w:space="0" w:color="auto"/>
              <w:left w:val="nil"/>
              <w:bottom w:val="single" w:sz="4" w:space="0" w:color="auto"/>
              <w:right w:val="nil"/>
            </w:tcBorders>
            <w:shd w:val="clear" w:color="000000" w:fill="555759"/>
            <w:noWrap/>
            <w:vAlign w:val="center"/>
            <w:hideMark/>
          </w:tcPr>
          <w:p w14:paraId="524817A5" w14:textId="77777777" w:rsidR="00D22755" w:rsidRPr="00D22755" w:rsidRDefault="00D22755" w:rsidP="00D22755">
            <w:pPr>
              <w:spacing w:line="240" w:lineRule="auto"/>
              <w:jc w:val="center"/>
              <w:rPr>
                <w:rFonts w:cs="Arial"/>
                <w:b/>
                <w:bCs/>
                <w:color w:val="FFFFFF"/>
                <w:sz w:val="16"/>
                <w:szCs w:val="16"/>
              </w:rPr>
            </w:pPr>
            <w:r w:rsidRPr="00D22755">
              <w:rPr>
                <w:rFonts w:cs="Arial"/>
                <w:b/>
                <w:bCs/>
                <w:color w:val="FFFFFF"/>
                <w:sz w:val="16"/>
                <w:szCs w:val="16"/>
              </w:rPr>
              <w:t>Value Type</w:t>
            </w:r>
          </w:p>
        </w:tc>
        <w:tc>
          <w:tcPr>
            <w:tcW w:w="1520" w:type="dxa"/>
            <w:tcBorders>
              <w:top w:val="single" w:sz="4" w:space="0" w:color="auto"/>
              <w:left w:val="nil"/>
              <w:bottom w:val="single" w:sz="4" w:space="0" w:color="auto"/>
              <w:right w:val="nil"/>
            </w:tcBorders>
            <w:shd w:val="clear" w:color="000000" w:fill="555759"/>
            <w:vAlign w:val="center"/>
            <w:hideMark/>
          </w:tcPr>
          <w:p w14:paraId="32C001F7" w14:textId="77777777" w:rsidR="00D22755" w:rsidRPr="00D22755" w:rsidRDefault="00D22755" w:rsidP="00D22755">
            <w:pPr>
              <w:spacing w:line="240" w:lineRule="auto"/>
              <w:jc w:val="center"/>
              <w:rPr>
                <w:rFonts w:cs="Arial"/>
                <w:b/>
                <w:bCs/>
                <w:color w:val="FFFFFF"/>
                <w:sz w:val="16"/>
                <w:szCs w:val="16"/>
              </w:rPr>
            </w:pPr>
            <w:r w:rsidRPr="00D22755">
              <w:rPr>
                <w:rFonts w:cs="Arial"/>
                <w:b/>
                <w:bCs/>
                <w:color w:val="FFFFFF"/>
                <w:sz w:val="16"/>
                <w:szCs w:val="16"/>
              </w:rPr>
              <w:t>RCT Counterfactual</w:t>
            </w:r>
          </w:p>
        </w:tc>
        <w:tc>
          <w:tcPr>
            <w:tcW w:w="1520" w:type="dxa"/>
            <w:tcBorders>
              <w:top w:val="single" w:sz="4" w:space="0" w:color="auto"/>
              <w:left w:val="nil"/>
              <w:bottom w:val="single" w:sz="4" w:space="0" w:color="auto"/>
              <w:right w:val="single" w:sz="4" w:space="0" w:color="auto"/>
            </w:tcBorders>
            <w:shd w:val="clear" w:color="000000" w:fill="555759"/>
            <w:vAlign w:val="center"/>
            <w:hideMark/>
          </w:tcPr>
          <w:p w14:paraId="0B181F39" w14:textId="77777777" w:rsidR="00D22755" w:rsidRPr="00D22755" w:rsidRDefault="00D22755" w:rsidP="00D22755">
            <w:pPr>
              <w:spacing w:line="240" w:lineRule="auto"/>
              <w:jc w:val="center"/>
              <w:rPr>
                <w:rFonts w:cs="Arial"/>
                <w:b/>
                <w:bCs/>
                <w:color w:val="FFFFFF"/>
                <w:sz w:val="16"/>
                <w:szCs w:val="16"/>
              </w:rPr>
            </w:pPr>
            <w:r w:rsidRPr="00D22755">
              <w:rPr>
                <w:rFonts w:cs="Arial"/>
                <w:b/>
                <w:bCs/>
                <w:color w:val="FFFFFF"/>
                <w:sz w:val="16"/>
                <w:szCs w:val="16"/>
              </w:rPr>
              <w:t>Matched Control Counter Factual</w:t>
            </w:r>
          </w:p>
        </w:tc>
      </w:tr>
      <w:tr w:rsidR="00D22755" w:rsidRPr="00D22755" w14:paraId="3A0B6821" w14:textId="77777777" w:rsidTr="00D22755">
        <w:trPr>
          <w:trHeight w:val="200"/>
          <w:jc w:val="center"/>
        </w:trPr>
        <w:tc>
          <w:tcPr>
            <w:tcW w:w="10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1A1596A" w14:textId="77777777" w:rsidR="00D22755" w:rsidRPr="00D22755" w:rsidRDefault="00D22755" w:rsidP="00D22755">
            <w:pPr>
              <w:spacing w:line="240" w:lineRule="auto"/>
              <w:jc w:val="center"/>
              <w:rPr>
                <w:rFonts w:cs="Arial"/>
                <w:sz w:val="16"/>
                <w:szCs w:val="16"/>
              </w:rPr>
            </w:pPr>
            <w:r w:rsidRPr="00D22755">
              <w:rPr>
                <w:rFonts w:cs="Arial"/>
                <w:sz w:val="16"/>
                <w:szCs w:val="16"/>
              </w:rPr>
              <w:t>On-Peak</w:t>
            </w:r>
          </w:p>
        </w:tc>
        <w:tc>
          <w:tcPr>
            <w:tcW w:w="1080" w:type="dxa"/>
            <w:tcBorders>
              <w:top w:val="nil"/>
              <w:left w:val="nil"/>
              <w:bottom w:val="nil"/>
              <w:right w:val="nil"/>
            </w:tcBorders>
            <w:shd w:val="clear" w:color="000000" w:fill="FFFFFF"/>
            <w:noWrap/>
            <w:vAlign w:val="bottom"/>
            <w:hideMark/>
          </w:tcPr>
          <w:p w14:paraId="65F01671" w14:textId="77777777" w:rsidR="00D22755" w:rsidRPr="00D22755" w:rsidRDefault="00D22755" w:rsidP="00D22755">
            <w:pPr>
              <w:spacing w:line="240" w:lineRule="auto"/>
              <w:rPr>
                <w:rFonts w:cs="Arial"/>
                <w:sz w:val="16"/>
                <w:szCs w:val="16"/>
              </w:rPr>
            </w:pPr>
            <w:r w:rsidRPr="00D22755">
              <w:rPr>
                <w:rFonts w:cs="Arial"/>
                <w:sz w:val="16"/>
                <w:szCs w:val="16"/>
              </w:rPr>
              <w:t>Parameter</w:t>
            </w:r>
          </w:p>
        </w:tc>
        <w:tc>
          <w:tcPr>
            <w:tcW w:w="1520" w:type="dxa"/>
            <w:tcBorders>
              <w:top w:val="nil"/>
              <w:left w:val="single" w:sz="4" w:space="0" w:color="auto"/>
              <w:bottom w:val="nil"/>
              <w:right w:val="single" w:sz="4" w:space="0" w:color="auto"/>
            </w:tcBorders>
            <w:shd w:val="clear" w:color="000000" w:fill="FFFFFF"/>
            <w:noWrap/>
            <w:vAlign w:val="bottom"/>
            <w:hideMark/>
          </w:tcPr>
          <w:p w14:paraId="4699CC36" w14:textId="77777777" w:rsidR="00D22755" w:rsidRPr="00D22755" w:rsidRDefault="00D22755" w:rsidP="00D22755">
            <w:pPr>
              <w:spacing w:line="240" w:lineRule="auto"/>
              <w:jc w:val="center"/>
              <w:rPr>
                <w:rFonts w:cs="Arial"/>
                <w:sz w:val="16"/>
                <w:szCs w:val="16"/>
              </w:rPr>
            </w:pPr>
            <w:r w:rsidRPr="00D22755">
              <w:rPr>
                <w:rFonts w:cs="Arial"/>
                <w:sz w:val="16"/>
                <w:szCs w:val="16"/>
              </w:rPr>
              <w:t>0.001</w:t>
            </w:r>
          </w:p>
        </w:tc>
        <w:tc>
          <w:tcPr>
            <w:tcW w:w="1520" w:type="dxa"/>
            <w:tcBorders>
              <w:top w:val="nil"/>
              <w:left w:val="nil"/>
              <w:bottom w:val="nil"/>
              <w:right w:val="single" w:sz="4" w:space="0" w:color="auto"/>
            </w:tcBorders>
            <w:shd w:val="clear" w:color="000000" w:fill="FFFFFF"/>
            <w:noWrap/>
            <w:vAlign w:val="bottom"/>
            <w:hideMark/>
          </w:tcPr>
          <w:p w14:paraId="153C0152" w14:textId="77777777" w:rsidR="00D22755" w:rsidRPr="00D22755" w:rsidRDefault="00D22755" w:rsidP="00D22755">
            <w:pPr>
              <w:spacing w:line="240" w:lineRule="auto"/>
              <w:jc w:val="center"/>
              <w:rPr>
                <w:rFonts w:cs="Arial"/>
                <w:sz w:val="16"/>
                <w:szCs w:val="16"/>
              </w:rPr>
            </w:pPr>
            <w:r w:rsidRPr="00D22755">
              <w:rPr>
                <w:rFonts w:cs="Arial"/>
                <w:sz w:val="16"/>
                <w:szCs w:val="16"/>
              </w:rPr>
              <w:t>-0.076</w:t>
            </w:r>
          </w:p>
        </w:tc>
      </w:tr>
      <w:tr w:rsidR="00D22755" w:rsidRPr="00D22755" w14:paraId="6046CFA6" w14:textId="77777777" w:rsidTr="00D22755">
        <w:trPr>
          <w:trHeight w:val="200"/>
          <w:jc w:val="center"/>
        </w:trPr>
        <w:tc>
          <w:tcPr>
            <w:tcW w:w="1020" w:type="dxa"/>
            <w:vMerge/>
            <w:tcBorders>
              <w:top w:val="nil"/>
              <w:left w:val="single" w:sz="4" w:space="0" w:color="auto"/>
              <w:bottom w:val="single" w:sz="4" w:space="0" w:color="000000"/>
              <w:right w:val="single" w:sz="4" w:space="0" w:color="auto"/>
            </w:tcBorders>
            <w:vAlign w:val="center"/>
            <w:hideMark/>
          </w:tcPr>
          <w:p w14:paraId="62A67C73" w14:textId="77777777" w:rsidR="00D22755" w:rsidRPr="00D22755" w:rsidRDefault="00D22755" w:rsidP="00D22755">
            <w:pPr>
              <w:spacing w:line="240" w:lineRule="auto"/>
              <w:rPr>
                <w:rFonts w:cs="Arial"/>
                <w:sz w:val="16"/>
                <w:szCs w:val="16"/>
              </w:rPr>
            </w:pPr>
          </w:p>
        </w:tc>
        <w:tc>
          <w:tcPr>
            <w:tcW w:w="1080" w:type="dxa"/>
            <w:tcBorders>
              <w:top w:val="nil"/>
              <w:left w:val="nil"/>
              <w:bottom w:val="single" w:sz="4" w:space="0" w:color="auto"/>
              <w:right w:val="nil"/>
            </w:tcBorders>
            <w:shd w:val="clear" w:color="000000" w:fill="F2F2F2"/>
            <w:noWrap/>
            <w:vAlign w:val="bottom"/>
            <w:hideMark/>
          </w:tcPr>
          <w:p w14:paraId="2801260A" w14:textId="1E62D0E7" w:rsidR="00D22755" w:rsidRPr="00D22755" w:rsidRDefault="00D22755" w:rsidP="00D22755">
            <w:pPr>
              <w:spacing w:line="240" w:lineRule="auto"/>
              <w:rPr>
                <w:rFonts w:cs="Arial"/>
                <w:sz w:val="16"/>
                <w:szCs w:val="16"/>
              </w:rPr>
            </w:pPr>
            <w:r w:rsidRPr="00D22755">
              <w:rPr>
                <w:rFonts w:cs="Arial"/>
                <w:sz w:val="16"/>
                <w:szCs w:val="16"/>
              </w:rPr>
              <w:t>P</w:t>
            </w:r>
            <w:r w:rsidR="00EF6F8E">
              <w:rPr>
                <w:rFonts w:cs="Arial"/>
                <w:sz w:val="16"/>
                <w:szCs w:val="16"/>
              </w:rPr>
              <w:t>-</w:t>
            </w:r>
            <w:r w:rsidRPr="00D22755">
              <w:rPr>
                <w:rFonts w:cs="Arial"/>
                <w:sz w:val="16"/>
                <w:szCs w:val="16"/>
              </w:rPr>
              <w:t>value</w:t>
            </w:r>
          </w:p>
        </w:tc>
        <w:tc>
          <w:tcPr>
            <w:tcW w:w="1520" w:type="dxa"/>
            <w:tcBorders>
              <w:top w:val="nil"/>
              <w:left w:val="single" w:sz="4" w:space="0" w:color="auto"/>
              <w:bottom w:val="single" w:sz="4" w:space="0" w:color="auto"/>
              <w:right w:val="single" w:sz="4" w:space="0" w:color="auto"/>
            </w:tcBorders>
            <w:shd w:val="clear" w:color="000000" w:fill="F2F2F2"/>
            <w:noWrap/>
            <w:vAlign w:val="bottom"/>
            <w:hideMark/>
          </w:tcPr>
          <w:p w14:paraId="4F1D1471" w14:textId="77777777" w:rsidR="00D22755" w:rsidRPr="00D22755" w:rsidRDefault="00D22755" w:rsidP="00D22755">
            <w:pPr>
              <w:spacing w:line="240" w:lineRule="auto"/>
              <w:jc w:val="center"/>
              <w:rPr>
                <w:rFonts w:cs="Arial"/>
                <w:sz w:val="16"/>
                <w:szCs w:val="16"/>
              </w:rPr>
            </w:pPr>
            <w:r w:rsidRPr="00D22755">
              <w:rPr>
                <w:rFonts w:cs="Arial"/>
                <w:sz w:val="16"/>
                <w:szCs w:val="16"/>
              </w:rPr>
              <w:t>0.992</w:t>
            </w:r>
          </w:p>
        </w:tc>
        <w:tc>
          <w:tcPr>
            <w:tcW w:w="1520" w:type="dxa"/>
            <w:tcBorders>
              <w:top w:val="nil"/>
              <w:left w:val="nil"/>
              <w:bottom w:val="single" w:sz="4" w:space="0" w:color="auto"/>
              <w:right w:val="single" w:sz="4" w:space="0" w:color="auto"/>
            </w:tcBorders>
            <w:shd w:val="clear" w:color="000000" w:fill="F2F2F2"/>
            <w:noWrap/>
            <w:vAlign w:val="bottom"/>
            <w:hideMark/>
          </w:tcPr>
          <w:p w14:paraId="29A5FF7B" w14:textId="77777777" w:rsidR="00D22755" w:rsidRPr="00D22755" w:rsidRDefault="00D22755" w:rsidP="00D22755">
            <w:pPr>
              <w:spacing w:line="240" w:lineRule="auto"/>
              <w:jc w:val="center"/>
              <w:rPr>
                <w:rFonts w:cs="Arial"/>
                <w:sz w:val="16"/>
                <w:szCs w:val="16"/>
              </w:rPr>
            </w:pPr>
            <w:r w:rsidRPr="00D22755">
              <w:rPr>
                <w:rFonts w:cs="Arial"/>
                <w:sz w:val="16"/>
                <w:szCs w:val="16"/>
              </w:rPr>
              <w:t>0.227</w:t>
            </w:r>
          </w:p>
        </w:tc>
      </w:tr>
      <w:tr w:rsidR="00D22755" w:rsidRPr="00D22755" w14:paraId="7A752EDC" w14:textId="77777777" w:rsidTr="00D22755">
        <w:trPr>
          <w:trHeight w:val="200"/>
          <w:jc w:val="center"/>
        </w:trPr>
        <w:tc>
          <w:tcPr>
            <w:tcW w:w="10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798F577" w14:textId="77777777" w:rsidR="00D22755" w:rsidRPr="00D22755" w:rsidRDefault="00D22755" w:rsidP="00D22755">
            <w:pPr>
              <w:spacing w:line="240" w:lineRule="auto"/>
              <w:jc w:val="center"/>
              <w:rPr>
                <w:rFonts w:cs="Arial"/>
                <w:sz w:val="16"/>
                <w:szCs w:val="16"/>
              </w:rPr>
            </w:pPr>
            <w:r w:rsidRPr="00D22755">
              <w:rPr>
                <w:rFonts w:cs="Arial"/>
                <w:sz w:val="16"/>
                <w:szCs w:val="16"/>
              </w:rPr>
              <w:t>Mid-Peak</w:t>
            </w:r>
          </w:p>
        </w:tc>
        <w:tc>
          <w:tcPr>
            <w:tcW w:w="1080" w:type="dxa"/>
            <w:tcBorders>
              <w:top w:val="nil"/>
              <w:left w:val="nil"/>
              <w:bottom w:val="nil"/>
              <w:right w:val="nil"/>
            </w:tcBorders>
            <w:shd w:val="clear" w:color="000000" w:fill="FFFFFF"/>
            <w:noWrap/>
            <w:vAlign w:val="bottom"/>
            <w:hideMark/>
          </w:tcPr>
          <w:p w14:paraId="620D87C2" w14:textId="77777777" w:rsidR="00D22755" w:rsidRPr="00D22755" w:rsidRDefault="00D22755" w:rsidP="00D22755">
            <w:pPr>
              <w:spacing w:line="240" w:lineRule="auto"/>
              <w:rPr>
                <w:rFonts w:cs="Arial"/>
                <w:sz w:val="16"/>
                <w:szCs w:val="16"/>
              </w:rPr>
            </w:pPr>
            <w:r w:rsidRPr="00D22755">
              <w:rPr>
                <w:rFonts w:cs="Arial"/>
                <w:sz w:val="16"/>
                <w:szCs w:val="16"/>
              </w:rPr>
              <w:t>Parameter</w:t>
            </w:r>
          </w:p>
        </w:tc>
        <w:tc>
          <w:tcPr>
            <w:tcW w:w="1520" w:type="dxa"/>
            <w:tcBorders>
              <w:top w:val="nil"/>
              <w:left w:val="single" w:sz="4" w:space="0" w:color="auto"/>
              <w:bottom w:val="nil"/>
              <w:right w:val="single" w:sz="4" w:space="0" w:color="auto"/>
            </w:tcBorders>
            <w:shd w:val="clear" w:color="000000" w:fill="FFFFFF"/>
            <w:noWrap/>
            <w:vAlign w:val="bottom"/>
            <w:hideMark/>
          </w:tcPr>
          <w:p w14:paraId="3C1DF9CA" w14:textId="77777777" w:rsidR="00D22755" w:rsidRPr="00D22755" w:rsidRDefault="00D22755" w:rsidP="00D22755">
            <w:pPr>
              <w:spacing w:line="240" w:lineRule="auto"/>
              <w:jc w:val="center"/>
              <w:rPr>
                <w:rFonts w:cs="Arial"/>
                <w:sz w:val="16"/>
                <w:szCs w:val="16"/>
              </w:rPr>
            </w:pPr>
            <w:r w:rsidRPr="00D22755">
              <w:rPr>
                <w:rFonts w:cs="Arial"/>
                <w:sz w:val="16"/>
                <w:szCs w:val="16"/>
              </w:rPr>
              <w:t>-0.020</w:t>
            </w:r>
          </w:p>
        </w:tc>
        <w:tc>
          <w:tcPr>
            <w:tcW w:w="1520" w:type="dxa"/>
            <w:tcBorders>
              <w:top w:val="nil"/>
              <w:left w:val="nil"/>
              <w:bottom w:val="nil"/>
              <w:right w:val="single" w:sz="4" w:space="0" w:color="auto"/>
            </w:tcBorders>
            <w:shd w:val="clear" w:color="000000" w:fill="FFFFFF"/>
            <w:noWrap/>
            <w:vAlign w:val="bottom"/>
            <w:hideMark/>
          </w:tcPr>
          <w:p w14:paraId="65048BD4" w14:textId="77777777" w:rsidR="00D22755" w:rsidRPr="00D22755" w:rsidRDefault="00D22755" w:rsidP="00D22755">
            <w:pPr>
              <w:spacing w:line="240" w:lineRule="auto"/>
              <w:jc w:val="center"/>
              <w:rPr>
                <w:rFonts w:cs="Arial"/>
                <w:sz w:val="16"/>
                <w:szCs w:val="16"/>
              </w:rPr>
            </w:pPr>
            <w:r w:rsidRPr="00D22755">
              <w:rPr>
                <w:rFonts w:cs="Arial"/>
                <w:sz w:val="16"/>
                <w:szCs w:val="16"/>
              </w:rPr>
              <w:t>-0.049</w:t>
            </w:r>
          </w:p>
        </w:tc>
      </w:tr>
      <w:tr w:rsidR="00D22755" w:rsidRPr="00D22755" w14:paraId="47CF7A9B" w14:textId="77777777" w:rsidTr="00D22755">
        <w:trPr>
          <w:trHeight w:val="200"/>
          <w:jc w:val="center"/>
        </w:trPr>
        <w:tc>
          <w:tcPr>
            <w:tcW w:w="1020" w:type="dxa"/>
            <w:vMerge/>
            <w:tcBorders>
              <w:top w:val="nil"/>
              <w:left w:val="single" w:sz="4" w:space="0" w:color="auto"/>
              <w:bottom w:val="single" w:sz="4" w:space="0" w:color="000000"/>
              <w:right w:val="single" w:sz="4" w:space="0" w:color="auto"/>
            </w:tcBorders>
            <w:vAlign w:val="center"/>
            <w:hideMark/>
          </w:tcPr>
          <w:p w14:paraId="7C93AEDF" w14:textId="77777777" w:rsidR="00D22755" w:rsidRPr="00D22755" w:rsidRDefault="00D22755" w:rsidP="00D22755">
            <w:pPr>
              <w:spacing w:line="240" w:lineRule="auto"/>
              <w:rPr>
                <w:rFonts w:cs="Arial"/>
                <w:sz w:val="16"/>
                <w:szCs w:val="16"/>
              </w:rPr>
            </w:pPr>
          </w:p>
        </w:tc>
        <w:tc>
          <w:tcPr>
            <w:tcW w:w="1080" w:type="dxa"/>
            <w:tcBorders>
              <w:top w:val="nil"/>
              <w:left w:val="nil"/>
              <w:bottom w:val="single" w:sz="4" w:space="0" w:color="auto"/>
              <w:right w:val="nil"/>
            </w:tcBorders>
            <w:shd w:val="clear" w:color="000000" w:fill="F2F2F2"/>
            <w:noWrap/>
            <w:vAlign w:val="bottom"/>
            <w:hideMark/>
          </w:tcPr>
          <w:p w14:paraId="48A89214" w14:textId="44D33128" w:rsidR="00D22755" w:rsidRPr="00D22755" w:rsidRDefault="00D22755" w:rsidP="00D22755">
            <w:pPr>
              <w:spacing w:line="240" w:lineRule="auto"/>
              <w:rPr>
                <w:rFonts w:cs="Arial"/>
                <w:sz w:val="16"/>
                <w:szCs w:val="16"/>
              </w:rPr>
            </w:pPr>
            <w:r w:rsidRPr="00D22755">
              <w:rPr>
                <w:rFonts w:cs="Arial"/>
                <w:sz w:val="16"/>
                <w:szCs w:val="16"/>
              </w:rPr>
              <w:t>P</w:t>
            </w:r>
            <w:r w:rsidR="00EF6F8E">
              <w:rPr>
                <w:rFonts w:cs="Arial"/>
                <w:sz w:val="16"/>
                <w:szCs w:val="16"/>
              </w:rPr>
              <w:t>-</w:t>
            </w:r>
            <w:r w:rsidRPr="00D22755">
              <w:rPr>
                <w:rFonts w:cs="Arial"/>
                <w:sz w:val="16"/>
                <w:szCs w:val="16"/>
              </w:rPr>
              <w:t>value</w:t>
            </w:r>
          </w:p>
        </w:tc>
        <w:tc>
          <w:tcPr>
            <w:tcW w:w="1520" w:type="dxa"/>
            <w:tcBorders>
              <w:top w:val="nil"/>
              <w:left w:val="single" w:sz="4" w:space="0" w:color="auto"/>
              <w:bottom w:val="single" w:sz="4" w:space="0" w:color="auto"/>
              <w:right w:val="single" w:sz="4" w:space="0" w:color="auto"/>
            </w:tcBorders>
            <w:shd w:val="clear" w:color="000000" w:fill="F2F2F2"/>
            <w:noWrap/>
            <w:vAlign w:val="bottom"/>
            <w:hideMark/>
          </w:tcPr>
          <w:p w14:paraId="05F8E6DB" w14:textId="77777777" w:rsidR="00D22755" w:rsidRPr="00D22755" w:rsidRDefault="00D22755" w:rsidP="00D22755">
            <w:pPr>
              <w:spacing w:line="240" w:lineRule="auto"/>
              <w:jc w:val="center"/>
              <w:rPr>
                <w:rFonts w:cs="Arial"/>
                <w:sz w:val="16"/>
                <w:szCs w:val="16"/>
              </w:rPr>
            </w:pPr>
            <w:r w:rsidRPr="00D22755">
              <w:rPr>
                <w:rFonts w:cs="Arial"/>
                <w:sz w:val="16"/>
                <w:szCs w:val="16"/>
              </w:rPr>
              <w:t>0.809</w:t>
            </w:r>
          </w:p>
        </w:tc>
        <w:tc>
          <w:tcPr>
            <w:tcW w:w="1520" w:type="dxa"/>
            <w:tcBorders>
              <w:top w:val="nil"/>
              <w:left w:val="nil"/>
              <w:bottom w:val="single" w:sz="4" w:space="0" w:color="auto"/>
              <w:right w:val="single" w:sz="4" w:space="0" w:color="auto"/>
            </w:tcBorders>
            <w:shd w:val="clear" w:color="000000" w:fill="F2F2F2"/>
            <w:noWrap/>
            <w:vAlign w:val="bottom"/>
            <w:hideMark/>
          </w:tcPr>
          <w:p w14:paraId="38BD0E04" w14:textId="77777777" w:rsidR="00D22755" w:rsidRPr="00D22755" w:rsidRDefault="00D22755" w:rsidP="00D22755">
            <w:pPr>
              <w:spacing w:line="240" w:lineRule="auto"/>
              <w:jc w:val="center"/>
              <w:rPr>
                <w:rFonts w:cs="Arial"/>
                <w:sz w:val="16"/>
                <w:szCs w:val="16"/>
              </w:rPr>
            </w:pPr>
            <w:r w:rsidRPr="00D22755">
              <w:rPr>
                <w:rFonts w:cs="Arial"/>
                <w:sz w:val="16"/>
                <w:szCs w:val="16"/>
              </w:rPr>
              <w:t>0.364</w:t>
            </w:r>
          </w:p>
        </w:tc>
      </w:tr>
      <w:tr w:rsidR="00D22755" w:rsidRPr="00D22755" w14:paraId="1D4653AB" w14:textId="77777777" w:rsidTr="00D22755">
        <w:trPr>
          <w:trHeight w:val="200"/>
          <w:jc w:val="center"/>
        </w:trPr>
        <w:tc>
          <w:tcPr>
            <w:tcW w:w="10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D9F6D43" w14:textId="77777777" w:rsidR="00D22755" w:rsidRPr="00D22755" w:rsidRDefault="00D22755" w:rsidP="00D22755">
            <w:pPr>
              <w:spacing w:line="240" w:lineRule="auto"/>
              <w:jc w:val="center"/>
              <w:rPr>
                <w:rFonts w:cs="Arial"/>
                <w:sz w:val="16"/>
                <w:szCs w:val="16"/>
              </w:rPr>
            </w:pPr>
            <w:r w:rsidRPr="00D22755">
              <w:rPr>
                <w:rFonts w:cs="Arial"/>
                <w:sz w:val="16"/>
                <w:szCs w:val="16"/>
              </w:rPr>
              <w:t>Off-Peak</w:t>
            </w:r>
          </w:p>
        </w:tc>
        <w:tc>
          <w:tcPr>
            <w:tcW w:w="1080" w:type="dxa"/>
            <w:tcBorders>
              <w:top w:val="nil"/>
              <w:left w:val="nil"/>
              <w:bottom w:val="nil"/>
              <w:right w:val="nil"/>
            </w:tcBorders>
            <w:shd w:val="clear" w:color="000000" w:fill="FFFFFF"/>
            <w:noWrap/>
            <w:vAlign w:val="bottom"/>
            <w:hideMark/>
          </w:tcPr>
          <w:p w14:paraId="682FA530" w14:textId="77777777" w:rsidR="00D22755" w:rsidRPr="00D22755" w:rsidRDefault="00D22755" w:rsidP="00D22755">
            <w:pPr>
              <w:spacing w:line="240" w:lineRule="auto"/>
              <w:rPr>
                <w:rFonts w:cs="Arial"/>
                <w:sz w:val="16"/>
                <w:szCs w:val="16"/>
              </w:rPr>
            </w:pPr>
            <w:r w:rsidRPr="00D22755">
              <w:rPr>
                <w:rFonts w:cs="Arial"/>
                <w:sz w:val="16"/>
                <w:szCs w:val="16"/>
              </w:rPr>
              <w:t>Parameter</w:t>
            </w:r>
          </w:p>
        </w:tc>
        <w:tc>
          <w:tcPr>
            <w:tcW w:w="1520" w:type="dxa"/>
            <w:tcBorders>
              <w:top w:val="nil"/>
              <w:left w:val="single" w:sz="4" w:space="0" w:color="auto"/>
              <w:bottom w:val="nil"/>
              <w:right w:val="single" w:sz="4" w:space="0" w:color="auto"/>
            </w:tcBorders>
            <w:shd w:val="clear" w:color="000000" w:fill="FFFFFF"/>
            <w:noWrap/>
            <w:vAlign w:val="bottom"/>
            <w:hideMark/>
          </w:tcPr>
          <w:p w14:paraId="06E11A67" w14:textId="77777777" w:rsidR="00D22755" w:rsidRPr="00D22755" w:rsidRDefault="00D22755" w:rsidP="00D22755">
            <w:pPr>
              <w:spacing w:line="240" w:lineRule="auto"/>
              <w:jc w:val="center"/>
              <w:rPr>
                <w:rFonts w:cs="Arial"/>
                <w:sz w:val="16"/>
                <w:szCs w:val="16"/>
              </w:rPr>
            </w:pPr>
            <w:r w:rsidRPr="00D22755">
              <w:rPr>
                <w:rFonts w:cs="Arial"/>
                <w:sz w:val="16"/>
                <w:szCs w:val="16"/>
              </w:rPr>
              <w:t>0.089</w:t>
            </w:r>
          </w:p>
        </w:tc>
        <w:tc>
          <w:tcPr>
            <w:tcW w:w="1520" w:type="dxa"/>
            <w:tcBorders>
              <w:top w:val="nil"/>
              <w:left w:val="nil"/>
              <w:bottom w:val="nil"/>
              <w:right w:val="single" w:sz="4" w:space="0" w:color="auto"/>
            </w:tcBorders>
            <w:shd w:val="clear" w:color="000000" w:fill="FFFFFF"/>
            <w:noWrap/>
            <w:vAlign w:val="bottom"/>
            <w:hideMark/>
          </w:tcPr>
          <w:p w14:paraId="04BE8D7B" w14:textId="77777777" w:rsidR="00D22755" w:rsidRPr="00D22755" w:rsidRDefault="00D22755" w:rsidP="00D22755">
            <w:pPr>
              <w:spacing w:line="240" w:lineRule="auto"/>
              <w:jc w:val="center"/>
              <w:rPr>
                <w:rFonts w:cs="Arial"/>
                <w:sz w:val="16"/>
                <w:szCs w:val="16"/>
              </w:rPr>
            </w:pPr>
            <w:r w:rsidRPr="00D22755">
              <w:rPr>
                <w:rFonts w:cs="Arial"/>
                <w:sz w:val="16"/>
                <w:szCs w:val="16"/>
              </w:rPr>
              <w:t>-0.069</w:t>
            </w:r>
          </w:p>
        </w:tc>
      </w:tr>
      <w:tr w:rsidR="00D22755" w:rsidRPr="00D22755" w14:paraId="395C5ED2" w14:textId="77777777" w:rsidTr="00D22755">
        <w:trPr>
          <w:trHeight w:val="200"/>
          <w:jc w:val="center"/>
        </w:trPr>
        <w:tc>
          <w:tcPr>
            <w:tcW w:w="1020" w:type="dxa"/>
            <w:vMerge/>
            <w:tcBorders>
              <w:top w:val="nil"/>
              <w:left w:val="single" w:sz="4" w:space="0" w:color="auto"/>
              <w:bottom w:val="single" w:sz="4" w:space="0" w:color="000000"/>
              <w:right w:val="single" w:sz="4" w:space="0" w:color="auto"/>
            </w:tcBorders>
            <w:vAlign w:val="center"/>
            <w:hideMark/>
          </w:tcPr>
          <w:p w14:paraId="2E049280" w14:textId="77777777" w:rsidR="00D22755" w:rsidRPr="00D22755" w:rsidRDefault="00D22755" w:rsidP="00D22755">
            <w:pPr>
              <w:spacing w:line="240" w:lineRule="auto"/>
              <w:rPr>
                <w:rFonts w:cs="Arial"/>
                <w:sz w:val="16"/>
                <w:szCs w:val="16"/>
              </w:rPr>
            </w:pPr>
          </w:p>
        </w:tc>
        <w:tc>
          <w:tcPr>
            <w:tcW w:w="1080" w:type="dxa"/>
            <w:tcBorders>
              <w:top w:val="nil"/>
              <w:left w:val="nil"/>
              <w:bottom w:val="single" w:sz="4" w:space="0" w:color="auto"/>
              <w:right w:val="nil"/>
            </w:tcBorders>
            <w:shd w:val="clear" w:color="000000" w:fill="F2F2F2"/>
            <w:noWrap/>
            <w:vAlign w:val="bottom"/>
            <w:hideMark/>
          </w:tcPr>
          <w:p w14:paraId="00750801" w14:textId="3266CAB3" w:rsidR="00D22755" w:rsidRPr="00D22755" w:rsidRDefault="00D22755" w:rsidP="00D22755">
            <w:pPr>
              <w:spacing w:line="240" w:lineRule="auto"/>
              <w:rPr>
                <w:rFonts w:cs="Arial"/>
                <w:sz w:val="16"/>
                <w:szCs w:val="16"/>
              </w:rPr>
            </w:pPr>
            <w:r w:rsidRPr="00D22755">
              <w:rPr>
                <w:rFonts w:cs="Arial"/>
                <w:sz w:val="16"/>
                <w:szCs w:val="16"/>
              </w:rPr>
              <w:t>P</w:t>
            </w:r>
            <w:r w:rsidR="00EF6F8E">
              <w:rPr>
                <w:rFonts w:cs="Arial"/>
                <w:sz w:val="16"/>
                <w:szCs w:val="16"/>
              </w:rPr>
              <w:t>-</w:t>
            </w:r>
            <w:r w:rsidRPr="00D22755">
              <w:rPr>
                <w:rFonts w:cs="Arial"/>
                <w:sz w:val="16"/>
                <w:szCs w:val="16"/>
              </w:rPr>
              <w:t>value</w:t>
            </w:r>
          </w:p>
        </w:tc>
        <w:tc>
          <w:tcPr>
            <w:tcW w:w="1520" w:type="dxa"/>
            <w:tcBorders>
              <w:top w:val="nil"/>
              <w:left w:val="single" w:sz="4" w:space="0" w:color="auto"/>
              <w:bottom w:val="single" w:sz="4" w:space="0" w:color="auto"/>
              <w:right w:val="single" w:sz="4" w:space="0" w:color="auto"/>
            </w:tcBorders>
            <w:shd w:val="clear" w:color="000000" w:fill="F2F2F2"/>
            <w:noWrap/>
            <w:vAlign w:val="bottom"/>
            <w:hideMark/>
          </w:tcPr>
          <w:p w14:paraId="24C0B720" w14:textId="77777777" w:rsidR="00D22755" w:rsidRPr="00D22755" w:rsidRDefault="00D22755" w:rsidP="00D22755">
            <w:pPr>
              <w:spacing w:line="240" w:lineRule="auto"/>
              <w:jc w:val="center"/>
              <w:rPr>
                <w:rFonts w:cs="Arial"/>
                <w:sz w:val="16"/>
                <w:szCs w:val="16"/>
              </w:rPr>
            </w:pPr>
            <w:r w:rsidRPr="00D22755">
              <w:rPr>
                <w:rFonts w:cs="Arial"/>
                <w:sz w:val="16"/>
                <w:szCs w:val="16"/>
              </w:rPr>
              <w:t>0.575</w:t>
            </w:r>
          </w:p>
        </w:tc>
        <w:tc>
          <w:tcPr>
            <w:tcW w:w="1520" w:type="dxa"/>
            <w:tcBorders>
              <w:top w:val="nil"/>
              <w:left w:val="nil"/>
              <w:bottom w:val="single" w:sz="4" w:space="0" w:color="auto"/>
              <w:right w:val="single" w:sz="4" w:space="0" w:color="auto"/>
            </w:tcBorders>
            <w:shd w:val="clear" w:color="000000" w:fill="F2F2F2"/>
            <w:noWrap/>
            <w:vAlign w:val="bottom"/>
            <w:hideMark/>
          </w:tcPr>
          <w:p w14:paraId="103E1946" w14:textId="77777777" w:rsidR="00D22755" w:rsidRPr="00D22755" w:rsidRDefault="00D22755" w:rsidP="00D22755">
            <w:pPr>
              <w:spacing w:line="240" w:lineRule="auto"/>
              <w:jc w:val="center"/>
              <w:rPr>
                <w:rFonts w:cs="Arial"/>
                <w:sz w:val="16"/>
                <w:szCs w:val="16"/>
              </w:rPr>
            </w:pPr>
            <w:r w:rsidRPr="00D22755">
              <w:rPr>
                <w:rFonts w:cs="Arial"/>
                <w:sz w:val="16"/>
                <w:szCs w:val="16"/>
              </w:rPr>
              <w:t>0.517</w:t>
            </w:r>
          </w:p>
        </w:tc>
      </w:tr>
      <w:tr w:rsidR="00D22755" w:rsidRPr="00D22755" w14:paraId="71471B47" w14:textId="77777777" w:rsidTr="00D22755">
        <w:trPr>
          <w:trHeight w:val="200"/>
          <w:jc w:val="center"/>
        </w:trPr>
        <w:tc>
          <w:tcPr>
            <w:tcW w:w="102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7AE6BF4" w14:textId="77777777" w:rsidR="00D22755" w:rsidRPr="00D22755" w:rsidRDefault="00D22755" w:rsidP="00D22755">
            <w:pPr>
              <w:spacing w:line="240" w:lineRule="auto"/>
              <w:jc w:val="center"/>
              <w:rPr>
                <w:rFonts w:cs="Arial"/>
                <w:sz w:val="16"/>
                <w:szCs w:val="16"/>
              </w:rPr>
            </w:pPr>
            <w:r w:rsidRPr="00D22755">
              <w:rPr>
                <w:rFonts w:cs="Arial"/>
                <w:sz w:val="16"/>
                <w:szCs w:val="16"/>
              </w:rPr>
              <w:t>Weekend Off-Peak</w:t>
            </w:r>
          </w:p>
        </w:tc>
        <w:tc>
          <w:tcPr>
            <w:tcW w:w="1080" w:type="dxa"/>
            <w:tcBorders>
              <w:top w:val="nil"/>
              <w:left w:val="nil"/>
              <w:bottom w:val="nil"/>
              <w:right w:val="nil"/>
            </w:tcBorders>
            <w:shd w:val="clear" w:color="000000" w:fill="FFFFFF"/>
            <w:noWrap/>
            <w:vAlign w:val="bottom"/>
            <w:hideMark/>
          </w:tcPr>
          <w:p w14:paraId="697040B6" w14:textId="77777777" w:rsidR="00D22755" w:rsidRPr="00D22755" w:rsidRDefault="00D22755" w:rsidP="00D22755">
            <w:pPr>
              <w:spacing w:line="240" w:lineRule="auto"/>
              <w:rPr>
                <w:rFonts w:cs="Arial"/>
                <w:sz w:val="16"/>
                <w:szCs w:val="16"/>
              </w:rPr>
            </w:pPr>
            <w:r w:rsidRPr="00D22755">
              <w:rPr>
                <w:rFonts w:cs="Arial"/>
                <w:sz w:val="16"/>
                <w:szCs w:val="16"/>
              </w:rPr>
              <w:t>Parameter</w:t>
            </w:r>
          </w:p>
        </w:tc>
        <w:tc>
          <w:tcPr>
            <w:tcW w:w="1520" w:type="dxa"/>
            <w:tcBorders>
              <w:top w:val="nil"/>
              <w:left w:val="single" w:sz="4" w:space="0" w:color="auto"/>
              <w:bottom w:val="nil"/>
              <w:right w:val="single" w:sz="4" w:space="0" w:color="auto"/>
            </w:tcBorders>
            <w:shd w:val="clear" w:color="000000" w:fill="FFFFFF"/>
            <w:noWrap/>
            <w:vAlign w:val="bottom"/>
            <w:hideMark/>
          </w:tcPr>
          <w:p w14:paraId="126F747D" w14:textId="77777777" w:rsidR="00D22755" w:rsidRPr="00D22755" w:rsidRDefault="00D22755" w:rsidP="00D22755">
            <w:pPr>
              <w:spacing w:line="240" w:lineRule="auto"/>
              <w:jc w:val="center"/>
              <w:rPr>
                <w:rFonts w:cs="Arial"/>
                <w:sz w:val="16"/>
                <w:szCs w:val="16"/>
              </w:rPr>
            </w:pPr>
            <w:r w:rsidRPr="00D22755">
              <w:rPr>
                <w:rFonts w:cs="Arial"/>
                <w:sz w:val="16"/>
                <w:szCs w:val="16"/>
              </w:rPr>
              <w:t>0.002</w:t>
            </w:r>
          </w:p>
        </w:tc>
        <w:tc>
          <w:tcPr>
            <w:tcW w:w="1520" w:type="dxa"/>
            <w:tcBorders>
              <w:top w:val="nil"/>
              <w:left w:val="nil"/>
              <w:bottom w:val="nil"/>
              <w:right w:val="single" w:sz="4" w:space="0" w:color="auto"/>
            </w:tcBorders>
            <w:shd w:val="clear" w:color="000000" w:fill="FFFFFF"/>
            <w:noWrap/>
            <w:vAlign w:val="bottom"/>
            <w:hideMark/>
          </w:tcPr>
          <w:p w14:paraId="58D4A83D" w14:textId="77777777" w:rsidR="00D22755" w:rsidRPr="00D22755" w:rsidRDefault="00D22755" w:rsidP="00D22755">
            <w:pPr>
              <w:spacing w:line="240" w:lineRule="auto"/>
              <w:jc w:val="center"/>
              <w:rPr>
                <w:rFonts w:cs="Arial"/>
                <w:sz w:val="16"/>
                <w:szCs w:val="16"/>
              </w:rPr>
            </w:pPr>
            <w:r w:rsidRPr="00D22755">
              <w:rPr>
                <w:rFonts w:cs="Arial"/>
                <w:sz w:val="16"/>
                <w:szCs w:val="16"/>
              </w:rPr>
              <w:t>-0.103</w:t>
            </w:r>
          </w:p>
        </w:tc>
      </w:tr>
      <w:tr w:rsidR="00D22755" w:rsidRPr="00D22755" w14:paraId="508F5CD7" w14:textId="77777777" w:rsidTr="00D22755">
        <w:trPr>
          <w:trHeight w:val="200"/>
          <w:jc w:val="center"/>
        </w:trPr>
        <w:tc>
          <w:tcPr>
            <w:tcW w:w="1020" w:type="dxa"/>
            <w:vMerge/>
            <w:tcBorders>
              <w:top w:val="nil"/>
              <w:left w:val="single" w:sz="4" w:space="0" w:color="auto"/>
              <w:bottom w:val="single" w:sz="4" w:space="0" w:color="000000"/>
              <w:right w:val="single" w:sz="4" w:space="0" w:color="auto"/>
            </w:tcBorders>
            <w:vAlign w:val="center"/>
            <w:hideMark/>
          </w:tcPr>
          <w:p w14:paraId="4FEE5AF1" w14:textId="77777777" w:rsidR="00D22755" w:rsidRPr="00D22755" w:rsidRDefault="00D22755" w:rsidP="00D22755">
            <w:pPr>
              <w:spacing w:line="240" w:lineRule="auto"/>
              <w:rPr>
                <w:rFonts w:cs="Arial"/>
                <w:sz w:val="16"/>
                <w:szCs w:val="16"/>
              </w:rPr>
            </w:pPr>
          </w:p>
        </w:tc>
        <w:tc>
          <w:tcPr>
            <w:tcW w:w="1080" w:type="dxa"/>
            <w:tcBorders>
              <w:top w:val="nil"/>
              <w:left w:val="nil"/>
              <w:bottom w:val="single" w:sz="4" w:space="0" w:color="auto"/>
              <w:right w:val="nil"/>
            </w:tcBorders>
            <w:shd w:val="clear" w:color="000000" w:fill="F2F2F2"/>
            <w:noWrap/>
            <w:vAlign w:val="bottom"/>
            <w:hideMark/>
          </w:tcPr>
          <w:p w14:paraId="0623BBFA" w14:textId="5F8C2015" w:rsidR="00D22755" w:rsidRPr="00D22755" w:rsidRDefault="00D22755" w:rsidP="00D22755">
            <w:pPr>
              <w:spacing w:line="240" w:lineRule="auto"/>
              <w:rPr>
                <w:rFonts w:cs="Arial"/>
                <w:sz w:val="16"/>
                <w:szCs w:val="16"/>
              </w:rPr>
            </w:pPr>
            <w:r w:rsidRPr="00D22755">
              <w:rPr>
                <w:rFonts w:cs="Arial"/>
                <w:sz w:val="16"/>
                <w:szCs w:val="16"/>
              </w:rPr>
              <w:t>P</w:t>
            </w:r>
            <w:r w:rsidR="00EF6F8E">
              <w:rPr>
                <w:rFonts w:cs="Arial"/>
                <w:sz w:val="16"/>
                <w:szCs w:val="16"/>
              </w:rPr>
              <w:t>-</w:t>
            </w:r>
            <w:r w:rsidRPr="00D22755">
              <w:rPr>
                <w:rFonts w:cs="Arial"/>
                <w:sz w:val="16"/>
                <w:szCs w:val="16"/>
              </w:rPr>
              <w:t>value</w:t>
            </w:r>
          </w:p>
        </w:tc>
        <w:tc>
          <w:tcPr>
            <w:tcW w:w="1520" w:type="dxa"/>
            <w:tcBorders>
              <w:top w:val="nil"/>
              <w:left w:val="single" w:sz="4" w:space="0" w:color="auto"/>
              <w:bottom w:val="single" w:sz="4" w:space="0" w:color="auto"/>
              <w:right w:val="single" w:sz="4" w:space="0" w:color="auto"/>
            </w:tcBorders>
            <w:shd w:val="clear" w:color="000000" w:fill="F2F2F2"/>
            <w:noWrap/>
            <w:vAlign w:val="bottom"/>
            <w:hideMark/>
          </w:tcPr>
          <w:p w14:paraId="23EF12EE" w14:textId="77777777" w:rsidR="00D22755" w:rsidRPr="00D22755" w:rsidRDefault="00D22755" w:rsidP="00D22755">
            <w:pPr>
              <w:spacing w:line="240" w:lineRule="auto"/>
              <w:jc w:val="center"/>
              <w:rPr>
                <w:rFonts w:cs="Arial"/>
                <w:sz w:val="16"/>
                <w:szCs w:val="16"/>
              </w:rPr>
            </w:pPr>
            <w:r w:rsidRPr="00D22755">
              <w:rPr>
                <w:rFonts w:cs="Arial"/>
                <w:sz w:val="16"/>
                <w:szCs w:val="16"/>
              </w:rPr>
              <w:t>0.995</w:t>
            </w:r>
          </w:p>
        </w:tc>
        <w:tc>
          <w:tcPr>
            <w:tcW w:w="1520" w:type="dxa"/>
            <w:tcBorders>
              <w:top w:val="nil"/>
              <w:left w:val="nil"/>
              <w:bottom w:val="single" w:sz="4" w:space="0" w:color="auto"/>
              <w:right w:val="single" w:sz="4" w:space="0" w:color="auto"/>
            </w:tcBorders>
            <w:shd w:val="clear" w:color="000000" w:fill="F2F2F2"/>
            <w:noWrap/>
            <w:vAlign w:val="bottom"/>
            <w:hideMark/>
          </w:tcPr>
          <w:p w14:paraId="25B5F547" w14:textId="77777777" w:rsidR="00D22755" w:rsidRPr="00D22755" w:rsidRDefault="00D22755" w:rsidP="00D22755">
            <w:pPr>
              <w:spacing w:line="240" w:lineRule="auto"/>
              <w:jc w:val="center"/>
              <w:rPr>
                <w:rFonts w:cs="Arial"/>
                <w:sz w:val="16"/>
                <w:szCs w:val="16"/>
              </w:rPr>
            </w:pPr>
            <w:r w:rsidRPr="00D22755">
              <w:rPr>
                <w:rFonts w:cs="Arial"/>
                <w:sz w:val="16"/>
                <w:szCs w:val="16"/>
              </w:rPr>
              <w:t>0.630</w:t>
            </w:r>
          </w:p>
        </w:tc>
      </w:tr>
    </w:tbl>
    <w:p w14:paraId="52A6E860" w14:textId="60854910" w:rsidR="00D22755" w:rsidRDefault="00D22755" w:rsidP="002635CA"/>
    <w:p w14:paraId="7450C6C0" w14:textId="73C2F2BC" w:rsidR="00EF6F8E" w:rsidRDefault="00EF6F8E" w:rsidP="002635CA">
      <w:r>
        <w:t>There are two note-worthy facts about these outputs:</w:t>
      </w:r>
    </w:p>
    <w:p w14:paraId="18E706FE" w14:textId="633CFBBE" w:rsidR="00EF6F8E" w:rsidRPr="00EF6F8E" w:rsidRDefault="00EF6F8E" w:rsidP="00EF6F8E">
      <w:pPr>
        <w:pStyle w:val="ListParagraph"/>
        <w:numPr>
          <w:ilvl w:val="0"/>
          <w:numId w:val="35"/>
        </w:numPr>
        <w:rPr>
          <w:b/>
        </w:rPr>
      </w:pPr>
      <w:r w:rsidRPr="00EF6F8E">
        <w:rPr>
          <w:b/>
        </w:rPr>
        <w:t xml:space="preserve">Parameters estimated using RCT Controls are smaller in absolute value. </w:t>
      </w:r>
      <w:r>
        <w:t>For every period except for the weekday Off-Peak, the parameters delivered by the data-set that used the RCT controls (not the matched controls) are much smaller in absolute value. In the one instance in which the absolute value of the parameter associated with the RCT control data set is larger, the difference between the absolute value of the two parameters is smallest of all four parameters.</w:t>
      </w:r>
    </w:p>
    <w:p w14:paraId="3592A36E" w14:textId="7445FB87" w:rsidR="00EF6F8E" w:rsidRPr="00EF6F8E" w:rsidRDefault="00EF6F8E" w:rsidP="00EF6F8E">
      <w:pPr>
        <w:pStyle w:val="ListParagraph"/>
        <w:numPr>
          <w:ilvl w:val="0"/>
          <w:numId w:val="35"/>
        </w:numPr>
        <w:rPr>
          <w:b/>
        </w:rPr>
      </w:pPr>
      <w:r w:rsidRPr="00EF6F8E">
        <w:rPr>
          <w:b/>
        </w:rPr>
        <w:t>P-values associated with parameters using RCT controls are much bigger.</w:t>
      </w:r>
      <w:r>
        <w:rPr>
          <w:b/>
        </w:rPr>
        <w:t xml:space="preserve"> </w:t>
      </w:r>
      <w:r>
        <w:t>P-values are substantially higher for the parameters drawn from the RCT control data set estimation, indicating much weaker evidence against the null hypothesis (that the effect is non-significant) than for the matched controls-based data set.</w:t>
      </w:r>
    </w:p>
    <w:p w14:paraId="3BCF715D" w14:textId="78EC6C55" w:rsidR="00EF6F8E" w:rsidRDefault="00E725D8" w:rsidP="00EF6F8E">
      <w:r>
        <w:lastRenderedPageBreak/>
        <w:t xml:space="preserve">The finding above was the main driver for Navigant concluding that it was more appropriate to proceed with the RCT controls than the matched controls. Navigant also noted that visual comparisons of load profiles in the test period suggested that </w:t>
      </w:r>
    </w:p>
    <w:p w14:paraId="76B445BD" w14:textId="1060A107" w:rsidR="00E725D8" w:rsidRDefault="00E725D8" w:rsidP="00EF6F8E">
      <w:pPr>
        <w:rPr>
          <w:b/>
        </w:rPr>
      </w:pPr>
    </w:p>
    <w:p w14:paraId="660E3201" w14:textId="0712A640" w:rsidR="00E725D8" w:rsidRDefault="00E725D8" w:rsidP="00EF6F8E">
      <w:r>
        <w:t xml:space="preserve">As part of Navigant’s due diligence, </w:t>
      </w:r>
      <w:r w:rsidR="00656D82">
        <w:t xml:space="preserve">Navigant undertook some additional investigation to determine whether these effects were indicative of any consistent underlying issue with the matched controls, or simply </w:t>
      </w:r>
      <w:r w:rsidR="00EA161A">
        <w:t xml:space="preserve">a chance variation in consumption. </w:t>
      </w:r>
    </w:p>
    <w:p w14:paraId="7180A250" w14:textId="4AA5F84C" w:rsidR="00EA161A" w:rsidRDefault="00EA161A" w:rsidP="00EF6F8E"/>
    <w:p w14:paraId="674B64C2" w14:textId="77777777" w:rsidR="00EA161A" w:rsidRDefault="00EA161A" w:rsidP="00EF6F8E">
      <w:r>
        <w:t>A visual comparison of the difference between RCT control and participant loads, and the difference between matched control and participant loads on the hottest days of the year in the matching period and the testing period were quite revealing. In both cases, the control customers had lower demands on average than the participants in the peak parts of the day.</w:t>
      </w:r>
    </w:p>
    <w:p w14:paraId="2086F1A4" w14:textId="77777777" w:rsidR="00EA161A" w:rsidRDefault="00EA161A" w:rsidP="00EF6F8E"/>
    <w:p w14:paraId="15F34F11" w14:textId="0DF1DBEC" w:rsidR="00EA161A" w:rsidRDefault="00EA161A" w:rsidP="00EF6F8E">
      <w:r>
        <w:t>However, when the two time periods were compared, it became apparent that the difference between RCT and participant was much more consistent across time. Given this consistency, these differences are controlled for via the pre-period consumption value included on the right-hand side of the regression equation.</w:t>
      </w:r>
    </w:p>
    <w:p w14:paraId="3031931A" w14:textId="77777777" w:rsidR="00EA161A" w:rsidRDefault="00EA161A" w:rsidP="00EF6F8E"/>
    <w:p w14:paraId="5C3345C9" w14:textId="2DA3C048" w:rsidR="00EA161A" w:rsidRDefault="00EA161A" w:rsidP="00EF6F8E">
      <w:r>
        <w:t xml:space="preserve"> In contrast, the difference between the matched controls and the participants </w:t>
      </w:r>
      <w:r>
        <w:rPr>
          <w:i/>
        </w:rPr>
        <w:t xml:space="preserve">grew </w:t>
      </w:r>
      <w:r>
        <w:t xml:space="preserve">in the testing period (hence the positive coefficients shown above in </w:t>
      </w:r>
      <w:r>
        <w:fldChar w:fldCharType="begin"/>
      </w:r>
      <w:r>
        <w:instrText xml:space="preserve"> REF _Ref3274185 \h </w:instrText>
      </w:r>
      <w:r>
        <w:fldChar w:fldCharType="separate"/>
      </w:r>
      <w:r>
        <w:t xml:space="preserve">Figure H - </w:t>
      </w:r>
      <w:r>
        <w:rPr>
          <w:noProof/>
        </w:rPr>
        <w:t>3</w:t>
      </w:r>
      <w:r>
        <w:fldChar w:fldCharType="end"/>
      </w:r>
      <w:r>
        <w:t>). This was suggestive of the fact that although the matched controls had very similar patterns in the matching period, these patterns deviated in a meaningful way, correlated with weather, outside of that period. Put another way: the matching algorithm did not sufficiently weight consumption at high temperatures.</w:t>
      </w:r>
    </w:p>
    <w:p w14:paraId="7E145874" w14:textId="26BFF661" w:rsidR="00EA161A" w:rsidRDefault="00EA161A" w:rsidP="00EF6F8E"/>
    <w:p w14:paraId="53B0FC90" w14:textId="77777777" w:rsidR="006A3A68" w:rsidRDefault="00EA161A" w:rsidP="00EF6F8E">
      <w:r>
        <w:t>A major reason for this was simply that the matching period was a very mild summer, compared to the test summer: in 2017</w:t>
      </w:r>
      <w:r w:rsidR="007C4D7E">
        <w:t xml:space="preserve"> (the test summer)</w:t>
      </w:r>
      <w:r>
        <w:t xml:space="preserve"> there were only </w:t>
      </w:r>
      <w:r w:rsidR="003772CD">
        <w:t>three</w:t>
      </w:r>
      <w:r>
        <w:t xml:space="preserve"> F_1</w:t>
      </w:r>
      <w:r w:rsidR="006259A9">
        <w:t xml:space="preserve"> day-types (non-holiday weekdays in July or August</w:t>
      </w:r>
      <w:r w:rsidR="003772CD">
        <w:t xml:space="preserve"> where average daily temperature exceeded 23 degrees Celsius</w:t>
      </w:r>
      <w:r w:rsidR="007C4D7E">
        <w:t>)</w:t>
      </w:r>
      <w:r w:rsidR="003772CD">
        <w:t>.</w:t>
      </w:r>
      <w:r w:rsidR="007C4D7E">
        <w:t xml:space="preserve"> In contrast in the test period (summer 2016) there were 17 instances of this day-type, and in the program period (summer 2018) there were 11 instances of this day-type.</w:t>
      </w:r>
    </w:p>
    <w:p w14:paraId="461E7695" w14:textId="77777777" w:rsidR="006A3A68" w:rsidRDefault="006A3A68" w:rsidP="00EF6F8E"/>
    <w:p w14:paraId="3AA0B7BE" w14:textId="7A0D564F" w:rsidR="006A3A68" w:rsidRDefault="006A3A68" w:rsidP="00EF6F8E">
      <w:r>
        <w:t>This difference in seasonal temperatures is also evident when examining the trend of daily temperature values across the three summers as shown in below. Note how much lower the fitted curve is for the matching period summer (blue dotted line) than for the testing period (green dotted line) or program period (purple dotted line) summers.</w:t>
      </w:r>
    </w:p>
    <w:p w14:paraId="2A6BB37E" w14:textId="77777777" w:rsidR="006A3A68" w:rsidRDefault="006A3A68" w:rsidP="00EF6F8E"/>
    <w:p w14:paraId="4DDD58EA" w14:textId="00D39919" w:rsidR="009212E8" w:rsidRDefault="009212E8" w:rsidP="009212E8">
      <w:pPr>
        <w:pStyle w:val="Caption"/>
        <w:jc w:val="left"/>
      </w:pPr>
      <w:r>
        <w:lastRenderedPageBreak/>
        <w:t xml:space="preserve">Figure H - </w:t>
      </w:r>
      <w:r w:rsidR="001421CB">
        <w:rPr>
          <w:noProof/>
        </w:rPr>
        <w:fldChar w:fldCharType="begin"/>
      </w:r>
      <w:r w:rsidR="001421CB">
        <w:rPr>
          <w:noProof/>
        </w:rPr>
        <w:instrText xml:space="preserve"> SEQ Figure_H_- \* ARABIC </w:instrText>
      </w:r>
      <w:r w:rsidR="001421CB">
        <w:rPr>
          <w:noProof/>
        </w:rPr>
        <w:fldChar w:fldCharType="separate"/>
      </w:r>
      <w:r>
        <w:rPr>
          <w:noProof/>
        </w:rPr>
        <w:t>4</w:t>
      </w:r>
      <w:r w:rsidR="001421CB">
        <w:rPr>
          <w:noProof/>
        </w:rPr>
        <w:fldChar w:fldCharType="end"/>
      </w:r>
      <w:r>
        <w:t>: Average Daily Weekday Temperatures, 2016, 2017, and 2018</w:t>
      </w:r>
    </w:p>
    <w:p w14:paraId="2D5BB491" w14:textId="5538A085" w:rsidR="00EA161A" w:rsidRDefault="006A3A68" w:rsidP="00EF6F8E">
      <w:r>
        <w:rPr>
          <w:noProof/>
        </w:rPr>
        <w:drawing>
          <wp:inline distT="0" distB="0" distL="0" distR="0" wp14:anchorId="2A79CF6A" wp14:editId="797B4088">
            <wp:extent cx="5943600" cy="3740150"/>
            <wp:effectExtent l="0" t="0" r="0" b="12700"/>
            <wp:docPr id="1" name="Chart 1">
              <a:extLst xmlns:a="http://schemas.openxmlformats.org/drawingml/2006/main">
                <a:ext uri="{FF2B5EF4-FFF2-40B4-BE49-F238E27FC236}">
                  <a16:creationId xmlns:a16="http://schemas.microsoft.com/office/drawing/2014/main" id="{E4DAE153-B7C7-4635-AE6A-269C3BED70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3772CD">
        <w:t xml:space="preserve"> </w:t>
      </w:r>
    </w:p>
    <w:p w14:paraId="7872E60E" w14:textId="36ABEAE9" w:rsidR="006A3A68" w:rsidRDefault="006A3A68" w:rsidP="00EF6F8E"/>
    <w:p w14:paraId="7C5FC5A8" w14:textId="1B383040" w:rsidR="006A3A68" w:rsidRDefault="006A3A68" w:rsidP="00EF6F8E">
      <w:r>
        <w:t>Navigant’s conclusion from this analysis is that had the RCT controls in the end been found to be unsuitable controls for the RT-only group, Navigant would have needed to make further adjustments to its matching algorithm to put a higher weight on the highest temperature period, to minimize match “drift” in hotter summers.</w:t>
      </w:r>
    </w:p>
    <w:p w14:paraId="559FBC26" w14:textId="638DE189" w:rsidR="006A3A68" w:rsidRDefault="006A3A68" w:rsidP="00EF6F8E"/>
    <w:p w14:paraId="551230F7" w14:textId="23DA648A" w:rsidR="006A3A68" w:rsidRPr="00EA161A" w:rsidRDefault="006A3A68" w:rsidP="00EF6F8E">
      <w:r>
        <w:t xml:space="preserve">For completeness, and at the request of the OEB, Navigant did estimate the RT-only impacts when the match controls were used. Navigant found that using the uncorrected matched controls the model delivered a small, but statistically significant increase in consumption in the Mid-Peak, Off-Peak and weekend Off-Peak periods. Impacts in the On-Peak period were statistically insignificant. Navigant would emphasize that these estimates </w:t>
      </w:r>
      <w:r w:rsidR="009212E8">
        <w:t>are the result of using a control group under development as a contingency, a control group that was abandoned before it was finalized as soon as it became apparent that this contingency was no longer required.</w:t>
      </w:r>
    </w:p>
    <w:sectPr w:rsidR="006A3A68" w:rsidRPr="00EA161A" w:rsidSect="002021E7">
      <w:headerReference w:type="default" r:id="rId16"/>
      <w:footerReference w:type="default" r:id="rId17"/>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B9242" w14:textId="77777777" w:rsidR="006A3A68" w:rsidRDefault="006A3A68">
      <w:r>
        <w:separator/>
      </w:r>
    </w:p>
  </w:endnote>
  <w:endnote w:type="continuationSeparator" w:id="0">
    <w:p w14:paraId="1DD8791E" w14:textId="77777777" w:rsidR="006A3A68" w:rsidRDefault="006A3A68">
      <w:r>
        <w:continuationSeparator/>
      </w:r>
    </w:p>
  </w:endnote>
  <w:endnote w:type="continuationNotice" w:id="1">
    <w:p w14:paraId="04F880B7" w14:textId="77777777" w:rsidR="006A3A68" w:rsidRDefault="006A3A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0C315" w14:textId="77777777" w:rsidR="002E6AAE" w:rsidRDefault="002E6A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12852" w14:textId="77777777" w:rsidR="006A3A68" w:rsidRPr="005C23B8" w:rsidRDefault="006A3A68" w:rsidP="00CA09A7">
    <w:pPr>
      <w:pStyle w:val="Footer"/>
      <w:ind w:right="360"/>
      <w:rPr>
        <w:rFonts w:cs="Arial"/>
        <w:sz w:val="16"/>
      </w:rPr>
    </w:pPr>
  </w:p>
  <w:p w14:paraId="6D1527FA" w14:textId="13F19B1F" w:rsidR="006A3A68" w:rsidRPr="00CA09A7" w:rsidRDefault="006A3A68" w:rsidP="00CA09A7">
    <w:pPr>
      <w:pStyle w:val="Footer"/>
      <w:tabs>
        <w:tab w:val="right" w:pos="9270"/>
      </w:tabs>
      <w:ind w:right="18"/>
      <w:rPr>
        <w:rFonts w:cs="Arial"/>
        <w:color w:val="555759" w:themeColor="text2"/>
        <w:sz w:val="16"/>
      </w:rPr>
    </w:pPr>
    <w:r w:rsidRPr="00CA09A7">
      <w:rPr>
        <w:rFonts w:cs="Arial"/>
        <w:color w:val="555759" w:themeColor="text2"/>
        <w:sz w:val="16"/>
      </w:rPr>
      <w:t>©201</w:t>
    </w:r>
    <w:r w:rsidR="002E6AAE">
      <w:rPr>
        <w:rFonts w:cs="Arial"/>
        <w:color w:val="555759" w:themeColor="text2"/>
        <w:sz w:val="16"/>
      </w:rPr>
      <w:t>9</w:t>
    </w:r>
    <w:r w:rsidRPr="00CA09A7">
      <w:rPr>
        <w:rFonts w:cs="Arial"/>
        <w:color w:val="555759" w:themeColor="text2"/>
        <w:sz w:val="16"/>
      </w:rPr>
      <w:t xml:space="preserve"> Navigant Consulting, Inc.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A689B" w14:textId="77777777" w:rsidR="002E6AAE" w:rsidRDefault="002E6A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E700B" w14:textId="77777777" w:rsidR="006A3A68" w:rsidRPr="00083825" w:rsidRDefault="006A3A68" w:rsidP="001412F5">
    <w:pPr>
      <w:pStyle w:val="Footer"/>
      <w:ind w:right="360"/>
      <w:rPr>
        <w:rFonts w:cs="Arial"/>
        <w:color w:val="555759" w:themeColor="text2"/>
        <w:sz w:val="16"/>
      </w:rPr>
    </w:pPr>
  </w:p>
  <w:p w14:paraId="591D324E" w14:textId="356BCD66" w:rsidR="006A3A68" w:rsidRPr="00083825" w:rsidRDefault="006A3A68" w:rsidP="00083825">
    <w:pPr>
      <w:pStyle w:val="Footer"/>
      <w:tabs>
        <w:tab w:val="clear" w:pos="8640"/>
        <w:tab w:val="right" w:pos="9270"/>
      </w:tabs>
      <w:ind w:right="18"/>
      <w:rPr>
        <w:rFonts w:cs="Arial"/>
        <w:color w:val="555759" w:themeColor="text2"/>
        <w:sz w:val="16"/>
      </w:rPr>
    </w:pPr>
    <w:r w:rsidRPr="00083825">
      <w:rPr>
        <w:rFonts w:cs="Arial"/>
        <w:color w:val="555759" w:themeColor="text2"/>
        <w:sz w:val="16"/>
      </w:rPr>
      <w:tab/>
    </w:r>
    <w:r w:rsidRPr="00083825">
      <w:rPr>
        <w:rFonts w:cs="Arial"/>
        <w:color w:val="555759" w:themeColor="text2"/>
        <w:sz w:val="16"/>
      </w:rPr>
      <w:tab/>
    </w:r>
    <w:r w:rsidRPr="00083825">
      <w:rPr>
        <w:rFonts w:cs="Arial"/>
        <w:color w:val="555759" w:themeColor="text2"/>
      </w:rPr>
      <w:t xml:space="preserve">Page </w:t>
    </w:r>
    <w:r w:rsidRPr="00083825">
      <w:rPr>
        <w:rFonts w:cs="Arial"/>
        <w:color w:val="555759" w:themeColor="text2"/>
      </w:rPr>
      <w:fldChar w:fldCharType="begin"/>
    </w:r>
    <w:r w:rsidRPr="00083825">
      <w:rPr>
        <w:rFonts w:cs="Arial"/>
        <w:color w:val="555759" w:themeColor="text2"/>
      </w:rPr>
      <w:instrText xml:space="preserve"> PAGE </w:instrText>
    </w:r>
    <w:r w:rsidRPr="00083825">
      <w:rPr>
        <w:rFonts w:cs="Arial"/>
        <w:color w:val="555759" w:themeColor="text2"/>
      </w:rPr>
      <w:fldChar w:fldCharType="separate"/>
    </w:r>
    <w:r>
      <w:rPr>
        <w:rFonts w:cs="Arial"/>
        <w:noProof/>
        <w:color w:val="555759" w:themeColor="text2"/>
      </w:rPr>
      <w:t>15</w:t>
    </w:r>
    <w:r w:rsidRPr="00083825">
      <w:rPr>
        <w:rFonts w:cs="Arial"/>
        <w:color w:val="555759" w:themeColor="text2"/>
      </w:rPr>
      <w:fldChar w:fldCharType="end"/>
    </w:r>
  </w:p>
  <w:p w14:paraId="501FD225" w14:textId="6458D270" w:rsidR="006A3A68" w:rsidRPr="00083825" w:rsidRDefault="006A3A68" w:rsidP="00083825">
    <w:pPr>
      <w:pStyle w:val="Footer"/>
      <w:tabs>
        <w:tab w:val="right" w:pos="9270"/>
      </w:tabs>
      <w:ind w:right="18"/>
      <w:rPr>
        <w:rFonts w:cs="Arial"/>
        <w:color w:val="555759" w:themeColor="text2"/>
        <w:sz w:val="16"/>
      </w:rPr>
    </w:pPr>
    <w:r>
      <w:rPr>
        <w:rFonts w:cs="Arial"/>
        <w:color w:val="555759" w:themeColor="text2"/>
        <w:sz w:val="16"/>
      </w:rPr>
      <w:t>©2019</w:t>
    </w:r>
    <w:r w:rsidRPr="00083825">
      <w:rPr>
        <w:rFonts w:cs="Arial"/>
        <w:color w:val="555759" w:themeColor="text2"/>
        <w:sz w:val="16"/>
      </w:rPr>
      <w:t xml:space="preserve"> Navigant Consulting,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57EDD" w14:textId="77777777" w:rsidR="006A3A68" w:rsidRDefault="006A3A68">
      <w:r>
        <w:separator/>
      </w:r>
    </w:p>
  </w:footnote>
  <w:footnote w:type="continuationSeparator" w:id="0">
    <w:p w14:paraId="0D5DA888" w14:textId="77777777" w:rsidR="006A3A68" w:rsidRDefault="006A3A68">
      <w:r>
        <w:continuationSeparator/>
      </w:r>
    </w:p>
  </w:footnote>
  <w:footnote w:type="continuationNotice" w:id="1">
    <w:p w14:paraId="594ECC32" w14:textId="77777777" w:rsidR="006A3A68" w:rsidRDefault="006A3A68"/>
  </w:footnote>
  <w:footnote w:id="2">
    <w:p w14:paraId="5A02D6AD" w14:textId="4C5D2440" w:rsidR="006A3A68" w:rsidRDefault="006A3A68">
      <w:pPr>
        <w:pStyle w:val="FootnoteText"/>
      </w:pPr>
      <w:r>
        <w:rPr>
          <w:rStyle w:val="FootnoteReference"/>
        </w:rPr>
        <w:footnoteRef/>
      </w:r>
      <w:r>
        <w:t xml:space="preserve"> Navigant, prepared for Alectra Utilities, </w:t>
      </w:r>
      <w:r>
        <w:rPr>
          <w:i/>
        </w:rPr>
        <w:t>Advantage Power Pricing Pilot: Impact and Process Evaluation: Winter 2015/2016 and Summer 2016</w:t>
      </w:r>
      <w:r>
        <w:t>, July 2017</w:t>
      </w:r>
    </w:p>
    <w:p w14:paraId="2C44914E" w14:textId="5B3A8DC9" w:rsidR="006A3A68" w:rsidRPr="002635CA" w:rsidRDefault="002C4BDD">
      <w:pPr>
        <w:pStyle w:val="FootnoteText"/>
      </w:pPr>
      <w:hyperlink r:id="rId1" w:history="1">
        <w:r w:rsidR="006A3A68" w:rsidRPr="00FB4B7D">
          <w:rPr>
            <w:rStyle w:val="Hyperlink"/>
            <w:sz w:val="18"/>
          </w:rPr>
          <w:t>https://www.powerstream.ca/attachments/Navigant_Evaluation_Advantage_Power_Pricing_2015-2016.pdf</w:t>
        </w:r>
      </w:hyperlink>
      <w:r w:rsidR="006A3A68">
        <w:t xml:space="preserve"> </w:t>
      </w:r>
    </w:p>
  </w:footnote>
  <w:footnote w:id="3">
    <w:p w14:paraId="62371931" w14:textId="77777777" w:rsidR="006A3A68" w:rsidRDefault="006A3A68" w:rsidP="00D069CB">
      <w:pPr>
        <w:pStyle w:val="FootnoteText"/>
      </w:pPr>
      <w:r>
        <w:rPr>
          <w:rStyle w:val="FootnoteReference"/>
          <w:rFonts w:eastAsiaTheme="majorEastAsia"/>
        </w:rPr>
        <w:footnoteRef/>
      </w:r>
      <w:r>
        <w:t xml:space="preserve"> Since non-participants missing some observations may be included, estimation of some values is required in order to obtain a consistent measure of annual consumption in the matching period. This delivered by multiplying each non-participant’s average hourly consumption in the period by the number of hours in the matching period.</w:t>
      </w:r>
    </w:p>
  </w:footnote>
  <w:footnote w:id="4">
    <w:p w14:paraId="779258F1" w14:textId="405D2BBC" w:rsidR="006A3A68" w:rsidRDefault="006A3A68">
      <w:pPr>
        <w:pStyle w:val="FootnoteText"/>
      </w:pPr>
      <w:r>
        <w:rPr>
          <w:rStyle w:val="FootnoteReference"/>
        </w:rPr>
        <w:footnoteRef/>
      </w:r>
      <w:r>
        <w:t xml:space="preserve"> Instead of including temperature interactions, only dummy variables are used to capture program effects.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304D0" w14:textId="77777777" w:rsidR="002E6AAE" w:rsidRDefault="002E6A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E0BCF" w14:textId="77777777" w:rsidR="006A3A68" w:rsidRDefault="006A3A68" w:rsidP="00263755">
    <w:pPr>
      <w:pStyle w:val="Header"/>
    </w:pPr>
    <w:r>
      <w:rPr>
        <w:noProof/>
        <w:lang w:val="en-CA" w:eastAsia="en-CA"/>
      </w:rPr>
      <w:drawing>
        <wp:anchor distT="0" distB="0" distL="114300" distR="114300" simplePos="0" relativeHeight="251687424" behindDoc="1" locked="0" layoutInCell="1" allowOverlap="1" wp14:anchorId="7B27E5E7" wp14:editId="44ABC322">
          <wp:simplePos x="0" y="0"/>
          <wp:positionH relativeFrom="page">
            <wp:posOffset>219075</wp:posOffset>
          </wp:positionH>
          <wp:positionV relativeFrom="page">
            <wp:align>bottom</wp:align>
          </wp:positionV>
          <wp:extent cx="7886915" cy="10277627"/>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y-triangle.jpg"/>
                  <pic:cNvPicPr/>
                </pic:nvPicPr>
                <pic:blipFill>
                  <a:blip r:embed="rId1">
                    <a:extLst>
                      <a:ext uri="{28A0092B-C50C-407E-A947-70E740481C1C}">
                        <a14:useLocalDpi xmlns:a14="http://schemas.microsoft.com/office/drawing/2010/main" val="0"/>
                      </a:ext>
                    </a:extLst>
                  </a:blip>
                  <a:stretch>
                    <a:fillRect/>
                  </a:stretch>
                </pic:blipFill>
                <pic:spPr>
                  <a:xfrm>
                    <a:off x="0" y="0"/>
                    <a:ext cx="7886915" cy="10277627"/>
                  </a:xfrm>
                  <a:prstGeom prst="rect">
                    <a:avLst/>
                  </a:prstGeom>
                </pic:spPr>
              </pic:pic>
            </a:graphicData>
          </a:graphic>
          <wp14:sizeRelH relativeFrom="margin">
            <wp14:pctWidth>0</wp14:pctWidth>
          </wp14:sizeRelH>
          <wp14:sizeRelV relativeFrom="margin">
            <wp14:pctHeight>0</wp14:pctHeight>
          </wp14:sizeRelV>
        </wp:anchor>
      </w:drawing>
    </w:r>
    <w:r>
      <w:rPr>
        <w:noProof/>
        <w:lang w:val="en-CA" w:eastAsia="en-CA"/>
      </w:rPr>
      <w:drawing>
        <wp:anchor distT="0" distB="0" distL="114300" distR="114300" simplePos="0" relativeHeight="251683328" behindDoc="0" locked="0" layoutInCell="1" allowOverlap="1" wp14:anchorId="0C69BEB4" wp14:editId="4FC5C094">
          <wp:simplePos x="0" y="0"/>
          <wp:positionH relativeFrom="margin">
            <wp:align>left</wp:align>
          </wp:positionH>
          <wp:positionV relativeFrom="paragraph">
            <wp:posOffset>166082</wp:posOffset>
          </wp:positionV>
          <wp:extent cx="1935678" cy="332509"/>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_NavigantLogo_RGB"/>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35678" cy="332509"/>
                  </a:xfrm>
                  <a:prstGeom prst="rect">
                    <a:avLst/>
                  </a:prstGeom>
                  <a:noFill/>
                </pic:spPr>
              </pic:pic>
            </a:graphicData>
          </a:graphic>
          <wp14:sizeRelH relativeFrom="page">
            <wp14:pctWidth>0</wp14:pctWidth>
          </wp14:sizeRelH>
          <wp14:sizeRelV relativeFrom="page">
            <wp14:pctHeight>0</wp14:pctHeight>
          </wp14:sizeRelV>
        </wp:anchor>
      </w:drawing>
    </w:r>
  </w:p>
  <w:p w14:paraId="15D7ACAA" w14:textId="77777777" w:rsidR="006A3A68" w:rsidRDefault="006A3A68" w:rsidP="00263755">
    <w:pPr>
      <w:pStyle w:val="Header"/>
    </w:pPr>
  </w:p>
  <w:p w14:paraId="0E07AC89" w14:textId="77777777" w:rsidR="006A3A68" w:rsidRDefault="006A3A68" w:rsidP="002637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B206B" w14:textId="77777777" w:rsidR="002E6AAE" w:rsidRDefault="002E6A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6650"/>
    </w:tblGrid>
    <w:tr w:rsidR="006A3A68" w14:paraId="25F0E5F0" w14:textId="77777777" w:rsidTr="00263755">
      <w:tc>
        <w:tcPr>
          <w:tcW w:w="2700" w:type="dxa"/>
          <w:vAlign w:val="center"/>
        </w:tcPr>
        <w:p w14:paraId="4EBDEF56" w14:textId="77777777" w:rsidR="006A3A68" w:rsidRPr="00CA09A7" w:rsidRDefault="006A3A68" w:rsidP="00263755">
          <w:pPr>
            <w:pStyle w:val="Header"/>
            <w:rPr>
              <w:color w:val="FFFFFF" w:themeColor="background1"/>
            </w:rPr>
          </w:pPr>
          <w:r>
            <w:rPr>
              <w:noProof/>
              <w:lang w:val="en-CA" w:eastAsia="en-CA"/>
            </w:rPr>
            <w:drawing>
              <wp:anchor distT="0" distB="0" distL="114300" distR="114300" simplePos="0" relativeHeight="251685376" behindDoc="0" locked="0" layoutInCell="1" allowOverlap="1" wp14:anchorId="7079C8A7" wp14:editId="0B13952C">
                <wp:simplePos x="0" y="0"/>
                <wp:positionH relativeFrom="column">
                  <wp:posOffset>-67310</wp:posOffset>
                </wp:positionH>
                <wp:positionV relativeFrom="paragraph">
                  <wp:posOffset>0</wp:posOffset>
                </wp:positionV>
                <wp:extent cx="1490472" cy="256032"/>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_NavigantLogo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90472" cy="256032"/>
                        </a:xfrm>
                        <a:prstGeom prst="rect">
                          <a:avLst/>
                        </a:prstGeom>
                        <a:noFill/>
                      </pic:spPr>
                    </pic:pic>
                  </a:graphicData>
                </a:graphic>
                <wp14:sizeRelH relativeFrom="page">
                  <wp14:pctWidth>0</wp14:pctWidth>
                </wp14:sizeRelH>
                <wp14:sizeRelV relativeFrom="page">
                  <wp14:pctHeight>0</wp14:pctHeight>
                </wp14:sizeRelV>
              </wp:anchor>
            </w:drawing>
          </w:r>
        </w:p>
      </w:tc>
      <w:tc>
        <w:tcPr>
          <w:tcW w:w="6650" w:type="dxa"/>
          <w:shd w:val="clear" w:color="auto" w:fill="555759"/>
          <w:vAlign w:val="center"/>
        </w:tcPr>
        <w:p w14:paraId="6793A369" w14:textId="2BD8A14A" w:rsidR="006A3A68" w:rsidRPr="00CA09A7" w:rsidRDefault="006A3A68" w:rsidP="00E37696">
          <w:pPr>
            <w:pStyle w:val="ProposalTitleGreen"/>
            <w:rPr>
              <w:color w:val="FFFFFF" w:themeColor="background1"/>
            </w:rPr>
          </w:pPr>
          <w:r w:rsidRPr="00CA09A7">
            <w:rPr>
              <w:color w:val="FFFFFF" w:themeColor="background1"/>
            </w:rPr>
            <w:fldChar w:fldCharType="begin"/>
          </w:r>
          <w:r w:rsidRPr="00CA09A7">
            <w:rPr>
              <w:color w:val="FFFFFF" w:themeColor="background1"/>
            </w:rPr>
            <w:instrText xml:space="preserve"> STYLEREF  "Title,Proposal Title"  \* MERGEFORMAT </w:instrText>
          </w:r>
          <w:r w:rsidRPr="00CA09A7">
            <w:rPr>
              <w:color w:val="FFFFFF" w:themeColor="background1"/>
            </w:rPr>
            <w:fldChar w:fldCharType="separate"/>
          </w:r>
          <w:r w:rsidR="002C4BDD">
            <w:rPr>
              <w:noProof/>
              <w:color w:val="FFFFFF" w:themeColor="background1"/>
            </w:rPr>
            <w:t>Regulated Price Plan Roadmap Pilot Program Interim Impact Evaluation: Summer 2018</w:t>
          </w:r>
          <w:r w:rsidRPr="00CA09A7">
            <w:rPr>
              <w:noProof/>
              <w:color w:val="FFFFFF" w:themeColor="background1"/>
            </w:rPr>
            <w:fldChar w:fldCharType="end"/>
          </w:r>
        </w:p>
      </w:tc>
    </w:tr>
  </w:tbl>
  <w:p w14:paraId="25B1E628" w14:textId="77777777" w:rsidR="006A3A68" w:rsidRDefault="006A3A68" w:rsidP="00263755">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64CB"/>
    <w:multiLevelType w:val="hybridMultilevel"/>
    <w:tmpl w:val="17D2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8330F"/>
    <w:multiLevelType w:val="hybridMultilevel"/>
    <w:tmpl w:val="734C8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179FF"/>
    <w:multiLevelType w:val="multilevel"/>
    <w:tmpl w:val="32C4DE42"/>
    <w:lvl w:ilvl="0">
      <w:start w:val="1"/>
      <w:numFmt w:val="decimal"/>
      <w:pStyle w:val="Heading1"/>
      <w:suff w:val="space"/>
      <w:lvlText w:val="%1."/>
      <w:lvlJc w:val="left"/>
      <w:pPr>
        <w:ind w:left="432" w:hanging="432"/>
      </w:pPr>
      <w:rPr>
        <w:rFonts w:ascii="Arial" w:hAnsi="Arial" w:cs="Arial" w:hint="default"/>
        <w:b/>
        <w:i w:val="0"/>
        <w:color w:val="95D600" w:themeColor="accent1"/>
        <w:sz w:val="28"/>
        <w:szCs w:val="26"/>
      </w:rPr>
    </w:lvl>
    <w:lvl w:ilvl="1">
      <w:start w:val="1"/>
      <w:numFmt w:val="decimal"/>
      <w:pStyle w:val="Heading2"/>
      <w:suff w:val="space"/>
      <w:lvlText w:val="%1.%2"/>
      <w:lvlJc w:val="left"/>
      <w:pPr>
        <w:ind w:left="720" w:hanging="720"/>
      </w:pPr>
      <w:rPr>
        <w:rFonts w:ascii="Arial" w:hAnsi="Arial" w:cs="Arial" w:hint="default"/>
        <w:b/>
        <w:i w:val="0"/>
        <w:color w:val="555759" w:themeColor="text2"/>
        <w:sz w:val="26"/>
        <w:szCs w:val="26"/>
      </w:rPr>
    </w:lvl>
    <w:lvl w:ilvl="2">
      <w:start w:val="1"/>
      <w:numFmt w:val="decimal"/>
      <w:pStyle w:val="Heading3"/>
      <w:suff w:val="space"/>
      <w:lvlText w:val="%1.%2.%3"/>
      <w:lvlJc w:val="left"/>
      <w:pPr>
        <w:ind w:left="720" w:hanging="720"/>
      </w:pPr>
      <w:rPr>
        <w:rFonts w:ascii="Arial" w:hAnsi="Arial" w:cs="Arial" w:hint="default"/>
        <w:b/>
        <w:i/>
        <w:color w:val="555759" w:themeColor="text2"/>
        <w:sz w:val="22"/>
      </w:rPr>
    </w:lvl>
    <w:lvl w:ilvl="3">
      <w:start w:val="1"/>
      <w:numFmt w:val="decimal"/>
      <w:pStyle w:val="Heading4"/>
      <w:suff w:val="space"/>
      <w:lvlText w:val="%1.%2.%3.%4"/>
      <w:lvlJc w:val="left"/>
      <w:pPr>
        <w:ind w:left="864" w:hanging="864"/>
      </w:pPr>
      <w:rPr>
        <w:rFonts w:ascii="Arial" w:hAnsi="Arial" w:cs="Arial" w:hint="default"/>
        <w:b/>
        <w:i/>
        <w:color w:val="555759"/>
        <w:kern w:val="0"/>
        <w:position w:val="0"/>
        <w:sz w:val="20"/>
        <w:szCs w:val="20"/>
      </w:rPr>
    </w:lvl>
    <w:lvl w:ilvl="4">
      <w:start w:val="1"/>
      <w:numFmt w:val="upperLetter"/>
      <w:pStyle w:val="Heading5"/>
      <w:suff w:val="space"/>
      <w:lvlText w:val="Appendix %5."/>
      <w:lvlJc w:val="left"/>
      <w:pPr>
        <w:ind w:left="1098" w:hanging="1098"/>
      </w:pPr>
      <w:rPr>
        <w:rFonts w:hint="default"/>
        <w:b/>
        <w:bCs w:val="0"/>
        <w:i w:val="0"/>
        <w:iCs w:val="0"/>
        <w:caps/>
        <w:smallCaps w:val="0"/>
        <w:strike w:val="0"/>
        <w:dstrike w:val="0"/>
        <w:noProof w:val="0"/>
        <w:vanish w:val="0"/>
        <w:color w:val="95D600" w:themeColor="accen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suff w:val="space"/>
      <w:lvlText w:val="%5.%6"/>
      <w:lvlJc w:val="left"/>
      <w:pPr>
        <w:ind w:left="720" w:hanging="720"/>
      </w:pPr>
      <w:rPr>
        <w:rFonts w:ascii="Arial" w:hAnsi="Arial" w:cs="Arial" w:hint="default"/>
        <w:b/>
        <w:i w:val="0"/>
        <w:color w:val="555759" w:themeColor="text2"/>
        <w:kern w:val="0"/>
        <w:sz w:val="24"/>
      </w:rPr>
    </w:lvl>
    <w:lvl w:ilvl="6">
      <w:start w:val="1"/>
      <w:numFmt w:val="none"/>
      <w:lvlText w:val=""/>
      <w:lvlJc w:val="left"/>
      <w:pPr>
        <w:ind w:left="720" w:hanging="720"/>
      </w:pPr>
      <w:rPr>
        <w:rFonts w:ascii="Palatino Linotype" w:hAnsi="Palatino Linotype" w:hint="default"/>
        <w:b/>
        <w:i/>
        <w:color w:val="auto"/>
        <w:sz w:val="24"/>
      </w:rPr>
    </w:lvl>
    <w:lvl w:ilvl="7">
      <w:start w:val="1"/>
      <w:numFmt w:val="none"/>
      <w:lvlText w:val=""/>
      <w:lvlJc w:val="left"/>
      <w:pPr>
        <w:ind w:left="720" w:hanging="720"/>
      </w:pPr>
      <w:rPr>
        <w:rFonts w:ascii="Arial Narrow" w:hAnsi="Arial Narrow" w:hint="default"/>
        <w:b/>
        <w:i w:val="0"/>
        <w:color w:val="A15500"/>
        <w:sz w:val="20"/>
        <w:u w:color="FFFFFF" w:themeColor="background1"/>
      </w:rPr>
    </w:lvl>
    <w:lvl w:ilvl="8">
      <w:start w:val="1"/>
      <w:numFmt w:val="none"/>
      <w:lvlText w:val=""/>
      <w:lvlJc w:val="left"/>
      <w:pPr>
        <w:ind w:left="1584" w:hanging="1584"/>
      </w:pPr>
      <w:rPr>
        <w:rFonts w:hint="default"/>
      </w:rPr>
    </w:lvl>
  </w:abstractNum>
  <w:abstractNum w:abstractNumId="3" w15:restartNumberingAfterBreak="0">
    <w:nsid w:val="0AA515A1"/>
    <w:multiLevelType w:val="hybridMultilevel"/>
    <w:tmpl w:val="00DC4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87A64"/>
    <w:multiLevelType w:val="hybridMultilevel"/>
    <w:tmpl w:val="4CCA65C2"/>
    <w:lvl w:ilvl="0" w:tplc="D61A54C8">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644E4"/>
    <w:multiLevelType w:val="multilevel"/>
    <w:tmpl w:val="D8304EC2"/>
    <w:styleLink w:val="StyleBulleted9"/>
    <w:lvl w:ilvl="0">
      <w:start w:val="1"/>
      <w:numFmt w:val="bullet"/>
      <w:lvlText w:val="»"/>
      <w:lvlJc w:val="left"/>
      <w:pPr>
        <w:tabs>
          <w:tab w:val="num" w:pos="720"/>
        </w:tabs>
        <w:ind w:left="720" w:hanging="360"/>
      </w:pPr>
      <w:rPr>
        <w:rFonts w:ascii="Palatino Linotype" w:hAnsi="Palatino Linotype"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262BC8"/>
    <w:multiLevelType w:val="multilevel"/>
    <w:tmpl w:val="51FECC92"/>
    <w:styleLink w:val="StyleNumberedLeft025Hanging025"/>
    <w:lvl w:ilvl="0">
      <w:start w:val="1"/>
      <w:numFmt w:val="decimal"/>
      <w:lvlText w:val="%1."/>
      <w:lvlJc w:val="left"/>
      <w:pPr>
        <w:tabs>
          <w:tab w:val="num" w:pos="936"/>
        </w:tabs>
        <w:ind w:left="936" w:hanging="360"/>
      </w:pPr>
      <w:rPr>
        <w:rFonts w:ascii="Palatino Linotype" w:hAnsi="Palatino Linotype"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13512FEB"/>
    <w:multiLevelType w:val="hybridMultilevel"/>
    <w:tmpl w:val="B44C4D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965809"/>
    <w:multiLevelType w:val="hybridMultilevel"/>
    <w:tmpl w:val="22707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177BB7"/>
    <w:multiLevelType w:val="hybridMultilevel"/>
    <w:tmpl w:val="E95AD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117DFB"/>
    <w:multiLevelType w:val="hybridMultilevel"/>
    <w:tmpl w:val="B0F4F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226895"/>
    <w:multiLevelType w:val="hybridMultilevel"/>
    <w:tmpl w:val="D3168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7D6028"/>
    <w:multiLevelType w:val="hybridMultilevel"/>
    <w:tmpl w:val="46E42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5A42A0"/>
    <w:multiLevelType w:val="hybridMultilevel"/>
    <w:tmpl w:val="F6688E40"/>
    <w:lvl w:ilvl="0" w:tplc="BF0843F6">
      <w:start w:val="1"/>
      <w:numFmt w:val="bullet"/>
      <w:pStyle w:val="Resum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D63E1C"/>
    <w:multiLevelType w:val="multilevel"/>
    <w:tmpl w:val="42E6EFA2"/>
    <w:styleLink w:val="StyleBulleted"/>
    <w:lvl w:ilvl="0">
      <w:start w:val="1"/>
      <w:numFmt w:val="bullet"/>
      <w:lvlText w:val="»"/>
      <w:lvlJc w:val="left"/>
      <w:pPr>
        <w:tabs>
          <w:tab w:val="num" w:pos="972"/>
        </w:tabs>
        <w:ind w:left="972" w:hanging="432"/>
      </w:pPr>
      <w:rPr>
        <w:rFonts w:ascii="Palatino Linotype" w:hAnsi="Palatino Linotype"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51236D"/>
    <w:multiLevelType w:val="hybridMultilevel"/>
    <w:tmpl w:val="7A84C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8724CA"/>
    <w:multiLevelType w:val="hybridMultilevel"/>
    <w:tmpl w:val="04C8E92A"/>
    <w:lvl w:ilvl="0" w:tplc="D61A54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C47194"/>
    <w:multiLevelType w:val="hybridMultilevel"/>
    <w:tmpl w:val="0B785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6122D4"/>
    <w:multiLevelType w:val="hybridMultilevel"/>
    <w:tmpl w:val="7354C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C96003"/>
    <w:multiLevelType w:val="multilevel"/>
    <w:tmpl w:val="FA2899C8"/>
    <w:styleLink w:val="StyleBulleted6"/>
    <w:lvl w:ilvl="0">
      <w:start w:val="1"/>
      <w:numFmt w:val="bullet"/>
      <w:lvlText w:val="»"/>
      <w:lvlJc w:val="left"/>
      <w:pPr>
        <w:tabs>
          <w:tab w:val="num" w:pos="720"/>
        </w:tabs>
        <w:ind w:left="720" w:hanging="360"/>
      </w:pPr>
      <w:rPr>
        <w:rFonts w:ascii="Palatino Linotype" w:hAnsi="Palatino Linotype"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EA2E11"/>
    <w:multiLevelType w:val="multilevel"/>
    <w:tmpl w:val="55669770"/>
    <w:styleLink w:val="StyleBulletedLeft0Hanging03"/>
    <w:lvl w:ilvl="0">
      <w:start w:val="1"/>
      <w:numFmt w:val="bullet"/>
      <w:lvlText w:val="»"/>
      <w:lvlJc w:val="left"/>
      <w:pPr>
        <w:tabs>
          <w:tab w:val="num" w:pos="864"/>
        </w:tabs>
        <w:ind w:left="720" w:hanging="288"/>
      </w:pPr>
      <w:rPr>
        <w:rFonts w:ascii="Palatino Linotype" w:hAnsi="Palatino Linotype"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D122C2"/>
    <w:multiLevelType w:val="hybridMultilevel"/>
    <w:tmpl w:val="26A86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5A0FDC"/>
    <w:multiLevelType w:val="hybridMultilevel"/>
    <w:tmpl w:val="28409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0E6E09"/>
    <w:multiLevelType w:val="hybridMultilevel"/>
    <w:tmpl w:val="50F09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AA0F0E"/>
    <w:multiLevelType w:val="hybridMultilevel"/>
    <w:tmpl w:val="188C2B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F63C70"/>
    <w:multiLevelType w:val="hybridMultilevel"/>
    <w:tmpl w:val="A864B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BB7393"/>
    <w:multiLevelType w:val="hybridMultilevel"/>
    <w:tmpl w:val="48F8D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225F87"/>
    <w:multiLevelType w:val="hybridMultilevel"/>
    <w:tmpl w:val="581A3B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7E32CBF"/>
    <w:multiLevelType w:val="hybridMultilevel"/>
    <w:tmpl w:val="9F8096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AC54DF"/>
    <w:multiLevelType w:val="hybridMultilevel"/>
    <w:tmpl w:val="24B6D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5C3A8B"/>
    <w:multiLevelType w:val="hybridMultilevel"/>
    <w:tmpl w:val="02C80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FD4BF9"/>
    <w:multiLevelType w:val="hybridMultilevel"/>
    <w:tmpl w:val="9DBA7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425CB7"/>
    <w:multiLevelType w:val="multilevel"/>
    <w:tmpl w:val="6F64E93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78A34F3F"/>
    <w:multiLevelType w:val="hybridMultilevel"/>
    <w:tmpl w:val="88C2E3EC"/>
    <w:lvl w:ilvl="0" w:tplc="57106754">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D65ACC"/>
    <w:multiLevelType w:val="hybridMultilevel"/>
    <w:tmpl w:val="2FE6E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CB08D5"/>
    <w:multiLevelType w:val="hybridMultilevel"/>
    <w:tmpl w:val="E35E1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9B4D00"/>
    <w:multiLevelType w:val="hybridMultilevel"/>
    <w:tmpl w:val="D60E6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2F01EB"/>
    <w:multiLevelType w:val="hybridMultilevel"/>
    <w:tmpl w:val="FB72D8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6"/>
  </w:num>
  <w:num w:numId="4">
    <w:abstractNumId w:val="20"/>
  </w:num>
  <w:num w:numId="5">
    <w:abstractNumId w:val="14"/>
  </w:num>
  <w:num w:numId="6">
    <w:abstractNumId w:val="2"/>
  </w:num>
  <w:num w:numId="7">
    <w:abstractNumId w:val="13"/>
  </w:num>
  <w:num w:numId="8">
    <w:abstractNumId w:val="33"/>
  </w:num>
  <w:num w:numId="9">
    <w:abstractNumId w:val="2"/>
    <w:lvlOverride w:ilvl="0">
      <w:lvl w:ilvl="0">
        <w:start w:val="1"/>
        <w:numFmt w:val="decimal"/>
        <w:pStyle w:val="Heading1"/>
        <w:suff w:val="space"/>
        <w:lvlText w:val="%1."/>
        <w:lvlJc w:val="left"/>
        <w:pPr>
          <w:ind w:left="432" w:hanging="432"/>
        </w:pPr>
        <w:rPr>
          <w:rFonts w:ascii="Arial Bold" w:hAnsi="Arial Bold" w:hint="default"/>
          <w:b/>
          <w:i w:val="0"/>
          <w:color w:val="FFFFFF" w:themeColor="background1"/>
          <w:sz w:val="26"/>
          <w:szCs w:val="26"/>
        </w:rPr>
      </w:lvl>
    </w:lvlOverride>
    <w:lvlOverride w:ilvl="1">
      <w:lvl w:ilvl="1">
        <w:start w:val="1"/>
        <w:numFmt w:val="decimal"/>
        <w:pStyle w:val="Heading2"/>
        <w:suff w:val="space"/>
        <w:lvlText w:val="%1.%2"/>
        <w:lvlJc w:val="left"/>
        <w:pPr>
          <w:ind w:left="720" w:hanging="720"/>
        </w:pPr>
        <w:rPr>
          <w:rFonts w:ascii="Arial Bold" w:hAnsi="Arial Bold" w:hint="default"/>
          <w:b/>
          <w:i w:val="0"/>
          <w:color w:val="95D600"/>
          <w:sz w:val="26"/>
        </w:rPr>
      </w:lvl>
    </w:lvlOverride>
    <w:lvlOverride w:ilvl="2">
      <w:lvl w:ilvl="2">
        <w:start w:val="1"/>
        <w:numFmt w:val="decimal"/>
        <w:pStyle w:val="Heading3"/>
        <w:suff w:val="space"/>
        <w:lvlText w:val="%1.%2.%3"/>
        <w:lvlJc w:val="left"/>
        <w:pPr>
          <w:ind w:left="720" w:hanging="720"/>
        </w:pPr>
        <w:rPr>
          <w:rFonts w:ascii="Arial" w:hAnsi="Arial" w:cs="Arial" w:hint="default"/>
          <w:b/>
          <w:i/>
          <w:color w:val="545759"/>
          <w:sz w:val="22"/>
          <w:szCs w:val="22"/>
        </w:rPr>
      </w:lvl>
    </w:lvlOverride>
    <w:lvlOverride w:ilvl="3">
      <w:lvl w:ilvl="3">
        <w:start w:val="1"/>
        <w:numFmt w:val="decimal"/>
        <w:pStyle w:val="Heading4"/>
        <w:suff w:val="space"/>
        <w:lvlText w:val="%1.%2.%3.%4"/>
        <w:lvlJc w:val="left"/>
        <w:pPr>
          <w:ind w:left="864" w:hanging="864"/>
        </w:pPr>
        <w:rPr>
          <w:rFonts w:ascii="Arial Bold" w:hAnsi="Arial Bold" w:hint="default"/>
          <w:b/>
          <w:i/>
          <w:color w:val="555759"/>
          <w:kern w:val="0"/>
          <w:position w:val="0"/>
          <w:sz w:val="22"/>
        </w:rPr>
      </w:lvl>
    </w:lvlOverride>
    <w:lvlOverride w:ilvl="4">
      <w:lvl w:ilvl="4">
        <w:start w:val="1"/>
        <w:numFmt w:val="upperLetter"/>
        <w:pStyle w:val="Heading5"/>
        <w:suff w:val="space"/>
        <w:lvlText w:val="Appendix %5."/>
        <w:lvlJc w:val="left"/>
        <w:pPr>
          <w:ind w:left="1098" w:hanging="1008"/>
        </w:pPr>
        <w:rPr>
          <w:rFonts w:ascii="Arial Bold" w:hAnsi="Arial Bold" w:hint="default"/>
          <w:b/>
          <w:i w:val="0"/>
          <w:caps/>
          <w:color w:val="FFFFFF" w:themeColor="background1"/>
          <w:kern w:val="28"/>
          <w:position w:val="6"/>
          <w:sz w:val="26"/>
          <w:szCs w:val="26"/>
        </w:rPr>
      </w:lvl>
    </w:lvlOverride>
    <w:lvlOverride w:ilvl="5">
      <w:lvl w:ilvl="5">
        <w:start w:val="1"/>
        <w:numFmt w:val="decimal"/>
        <w:pStyle w:val="Heading6"/>
        <w:suff w:val="space"/>
        <w:lvlText w:val="%5.%6"/>
        <w:lvlJc w:val="left"/>
        <w:pPr>
          <w:ind w:left="720" w:hanging="720"/>
        </w:pPr>
        <w:rPr>
          <w:rFonts w:ascii="Arial Bold" w:hAnsi="Arial Bold" w:hint="default"/>
          <w:b/>
          <w:i w:val="0"/>
          <w:color w:val="95D600" w:themeColor="accent1"/>
          <w:kern w:val="0"/>
          <w:sz w:val="24"/>
        </w:rPr>
      </w:lvl>
    </w:lvlOverride>
    <w:lvlOverride w:ilvl="6">
      <w:lvl w:ilvl="6">
        <w:start w:val="1"/>
        <w:numFmt w:val="none"/>
        <w:lvlText w:val=""/>
        <w:lvlJc w:val="left"/>
        <w:pPr>
          <w:ind w:left="720" w:hanging="720"/>
        </w:pPr>
        <w:rPr>
          <w:rFonts w:ascii="Palatino Linotype" w:hAnsi="Palatino Linotype" w:hint="default"/>
          <w:b/>
          <w:i/>
          <w:color w:val="auto"/>
          <w:sz w:val="24"/>
        </w:rPr>
      </w:lvl>
    </w:lvlOverride>
    <w:lvlOverride w:ilvl="7">
      <w:lvl w:ilvl="7">
        <w:start w:val="1"/>
        <w:numFmt w:val="none"/>
        <w:lvlText w:val=""/>
        <w:lvlJc w:val="left"/>
        <w:pPr>
          <w:ind w:left="720" w:hanging="720"/>
        </w:pPr>
        <w:rPr>
          <w:rFonts w:ascii="Arial Narrow" w:hAnsi="Arial Narrow" w:hint="default"/>
          <w:b/>
          <w:i w:val="0"/>
          <w:color w:val="A15500"/>
          <w:sz w:val="20"/>
          <w:u w:color="FFFFFF" w:themeColor="background1"/>
        </w:rPr>
      </w:lvl>
    </w:lvlOverride>
    <w:lvlOverride w:ilvl="8">
      <w:lvl w:ilvl="8">
        <w:start w:val="1"/>
        <w:numFmt w:val="none"/>
        <w:lvlText w:val=""/>
        <w:lvlJc w:val="left"/>
        <w:pPr>
          <w:ind w:left="1584" w:hanging="1584"/>
        </w:pPr>
        <w:rPr>
          <w:rFonts w:hint="default"/>
        </w:rPr>
      </w:lvl>
    </w:lvlOverride>
  </w:num>
  <w:num w:numId="10">
    <w:abstractNumId w:val="30"/>
  </w:num>
  <w:num w:numId="11">
    <w:abstractNumId w:val="15"/>
  </w:num>
  <w:num w:numId="12">
    <w:abstractNumId w:val="1"/>
  </w:num>
  <w:num w:numId="13">
    <w:abstractNumId w:val="36"/>
  </w:num>
  <w:num w:numId="14">
    <w:abstractNumId w:val="23"/>
  </w:num>
  <w:num w:numId="15">
    <w:abstractNumId w:val="4"/>
  </w:num>
  <w:num w:numId="16">
    <w:abstractNumId w:val="7"/>
  </w:num>
  <w:num w:numId="17">
    <w:abstractNumId w:val="16"/>
  </w:num>
  <w:num w:numId="18">
    <w:abstractNumId w:val="28"/>
  </w:num>
  <w:num w:numId="19">
    <w:abstractNumId w:val="9"/>
  </w:num>
  <w:num w:numId="20">
    <w:abstractNumId w:val="31"/>
  </w:num>
  <w:num w:numId="21">
    <w:abstractNumId w:val="27"/>
  </w:num>
  <w:num w:numId="22">
    <w:abstractNumId w:val="22"/>
  </w:num>
  <w:num w:numId="23">
    <w:abstractNumId w:val="10"/>
  </w:num>
  <w:num w:numId="24">
    <w:abstractNumId w:val="34"/>
  </w:num>
  <w:num w:numId="25">
    <w:abstractNumId w:val="26"/>
  </w:num>
  <w:num w:numId="26">
    <w:abstractNumId w:val="21"/>
  </w:num>
  <w:num w:numId="27">
    <w:abstractNumId w:val="12"/>
  </w:num>
  <w:num w:numId="28">
    <w:abstractNumId w:val="25"/>
  </w:num>
  <w:num w:numId="29">
    <w:abstractNumId w:val="8"/>
  </w:num>
  <w:num w:numId="30">
    <w:abstractNumId w:val="11"/>
  </w:num>
  <w:num w:numId="31">
    <w:abstractNumId w:val="18"/>
  </w:num>
  <w:num w:numId="32">
    <w:abstractNumId w:val="3"/>
  </w:num>
  <w:num w:numId="33">
    <w:abstractNumId w:val="17"/>
  </w:num>
  <w:num w:numId="34">
    <w:abstractNumId w:val="0"/>
  </w:num>
  <w:num w:numId="35">
    <w:abstractNumId w:val="37"/>
  </w:num>
  <w:num w:numId="36">
    <w:abstractNumId w:val="32"/>
  </w:num>
  <w:num w:numId="37">
    <w:abstractNumId w:val="29"/>
  </w:num>
  <w:num w:numId="38">
    <w:abstractNumId w:val="24"/>
  </w:num>
  <w:num w:numId="39">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ABC"/>
    <w:rsid w:val="00002101"/>
    <w:rsid w:val="0000450F"/>
    <w:rsid w:val="00005803"/>
    <w:rsid w:val="00007C30"/>
    <w:rsid w:val="00014230"/>
    <w:rsid w:val="000157F9"/>
    <w:rsid w:val="00021CDF"/>
    <w:rsid w:val="000222C1"/>
    <w:rsid w:val="0002316D"/>
    <w:rsid w:val="00023D0C"/>
    <w:rsid w:val="000245F7"/>
    <w:rsid w:val="00024F11"/>
    <w:rsid w:val="000253AB"/>
    <w:rsid w:val="00025E73"/>
    <w:rsid w:val="0002697C"/>
    <w:rsid w:val="00026BD9"/>
    <w:rsid w:val="00032256"/>
    <w:rsid w:val="00032A54"/>
    <w:rsid w:val="00041DBE"/>
    <w:rsid w:val="000427D4"/>
    <w:rsid w:val="0004343E"/>
    <w:rsid w:val="00044148"/>
    <w:rsid w:val="00045E94"/>
    <w:rsid w:val="0005017F"/>
    <w:rsid w:val="00050476"/>
    <w:rsid w:val="00050BCB"/>
    <w:rsid w:val="00052075"/>
    <w:rsid w:val="00052128"/>
    <w:rsid w:val="00053BD2"/>
    <w:rsid w:val="000601D7"/>
    <w:rsid w:val="00060371"/>
    <w:rsid w:val="000615C0"/>
    <w:rsid w:val="00064B2F"/>
    <w:rsid w:val="000669F0"/>
    <w:rsid w:val="00071CBF"/>
    <w:rsid w:val="00083825"/>
    <w:rsid w:val="00083B73"/>
    <w:rsid w:val="000904DC"/>
    <w:rsid w:val="000972A9"/>
    <w:rsid w:val="000A03B3"/>
    <w:rsid w:val="000A3784"/>
    <w:rsid w:val="000A38CE"/>
    <w:rsid w:val="000B085B"/>
    <w:rsid w:val="000B1B4C"/>
    <w:rsid w:val="000B2D1E"/>
    <w:rsid w:val="000B3045"/>
    <w:rsid w:val="000C20F4"/>
    <w:rsid w:val="000C2CB0"/>
    <w:rsid w:val="000C4628"/>
    <w:rsid w:val="000C6D87"/>
    <w:rsid w:val="000D105F"/>
    <w:rsid w:val="000D54AD"/>
    <w:rsid w:val="000D5F0E"/>
    <w:rsid w:val="000D6C6A"/>
    <w:rsid w:val="000E00B2"/>
    <w:rsid w:val="000E5A68"/>
    <w:rsid w:val="000F20A3"/>
    <w:rsid w:val="000F2625"/>
    <w:rsid w:val="00102D8C"/>
    <w:rsid w:val="001031CB"/>
    <w:rsid w:val="001039DD"/>
    <w:rsid w:val="00104A39"/>
    <w:rsid w:val="0011347D"/>
    <w:rsid w:val="00113E9C"/>
    <w:rsid w:val="001167D5"/>
    <w:rsid w:val="00122E70"/>
    <w:rsid w:val="00123751"/>
    <w:rsid w:val="00124A6C"/>
    <w:rsid w:val="00125099"/>
    <w:rsid w:val="001254CB"/>
    <w:rsid w:val="00127E6A"/>
    <w:rsid w:val="00130123"/>
    <w:rsid w:val="00130CA6"/>
    <w:rsid w:val="00136C06"/>
    <w:rsid w:val="001374D9"/>
    <w:rsid w:val="00140624"/>
    <w:rsid w:val="0014062A"/>
    <w:rsid w:val="00140F43"/>
    <w:rsid w:val="001412F5"/>
    <w:rsid w:val="001421CB"/>
    <w:rsid w:val="001503E3"/>
    <w:rsid w:val="00151674"/>
    <w:rsid w:val="001535D3"/>
    <w:rsid w:val="00154839"/>
    <w:rsid w:val="0016191D"/>
    <w:rsid w:val="00167289"/>
    <w:rsid w:val="00173661"/>
    <w:rsid w:val="00175B18"/>
    <w:rsid w:val="00177191"/>
    <w:rsid w:val="001806B8"/>
    <w:rsid w:val="0018088E"/>
    <w:rsid w:val="0018310B"/>
    <w:rsid w:val="00186913"/>
    <w:rsid w:val="00194F48"/>
    <w:rsid w:val="00195E34"/>
    <w:rsid w:val="001B0A63"/>
    <w:rsid w:val="001B1AC3"/>
    <w:rsid w:val="001C0EAF"/>
    <w:rsid w:val="001C0F93"/>
    <w:rsid w:val="001C3BFC"/>
    <w:rsid w:val="001C3DE3"/>
    <w:rsid w:val="001C4B46"/>
    <w:rsid w:val="001C5BA2"/>
    <w:rsid w:val="001D21DF"/>
    <w:rsid w:val="001D3D85"/>
    <w:rsid w:val="001D4B4F"/>
    <w:rsid w:val="001E6048"/>
    <w:rsid w:val="001F1E8B"/>
    <w:rsid w:val="001F4B2F"/>
    <w:rsid w:val="001F4D0B"/>
    <w:rsid w:val="002021E7"/>
    <w:rsid w:val="0020410C"/>
    <w:rsid w:val="0020490F"/>
    <w:rsid w:val="00204BA0"/>
    <w:rsid w:val="00210591"/>
    <w:rsid w:val="0021166E"/>
    <w:rsid w:val="00215CDD"/>
    <w:rsid w:val="002162BF"/>
    <w:rsid w:val="002225CD"/>
    <w:rsid w:val="00223557"/>
    <w:rsid w:val="002247C8"/>
    <w:rsid w:val="00227D8D"/>
    <w:rsid w:val="00230217"/>
    <w:rsid w:val="002327C6"/>
    <w:rsid w:val="0023376C"/>
    <w:rsid w:val="00234E8D"/>
    <w:rsid w:val="00243DC6"/>
    <w:rsid w:val="00246B8E"/>
    <w:rsid w:val="00250E44"/>
    <w:rsid w:val="00252CCD"/>
    <w:rsid w:val="00253BA2"/>
    <w:rsid w:val="0025427C"/>
    <w:rsid w:val="00254446"/>
    <w:rsid w:val="00262683"/>
    <w:rsid w:val="00262D38"/>
    <w:rsid w:val="002635CA"/>
    <w:rsid w:val="00263755"/>
    <w:rsid w:val="00272A86"/>
    <w:rsid w:val="002744EA"/>
    <w:rsid w:val="0027565C"/>
    <w:rsid w:val="0028325A"/>
    <w:rsid w:val="00285D33"/>
    <w:rsid w:val="00287B0B"/>
    <w:rsid w:val="0029250B"/>
    <w:rsid w:val="0029544E"/>
    <w:rsid w:val="002966AB"/>
    <w:rsid w:val="002A2726"/>
    <w:rsid w:val="002A7ABE"/>
    <w:rsid w:val="002B19FD"/>
    <w:rsid w:val="002B335F"/>
    <w:rsid w:val="002B359E"/>
    <w:rsid w:val="002B3922"/>
    <w:rsid w:val="002B3A85"/>
    <w:rsid w:val="002B5155"/>
    <w:rsid w:val="002C3A79"/>
    <w:rsid w:val="002C4BDD"/>
    <w:rsid w:val="002C5EBC"/>
    <w:rsid w:val="002C663C"/>
    <w:rsid w:val="002D00F4"/>
    <w:rsid w:val="002D472C"/>
    <w:rsid w:val="002D632D"/>
    <w:rsid w:val="002D7723"/>
    <w:rsid w:val="002E4C9C"/>
    <w:rsid w:val="002E572D"/>
    <w:rsid w:val="002E5786"/>
    <w:rsid w:val="002E6AAE"/>
    <w:rsid w:val="002F1ADB"/>
    <w:rsid w:val="002F2124"/>
    <w:rsid w:val="002F68B4"/>
    <w:rsid w:val="002F7BF5"/>
    <w:rsid w:val="0030192D"/>
    <w:rsid w:val="003058AA"/>
    <w:rsid w:val="00310947"/>
    <w:rsid w:val="0031453C"/>
    <w:rsid w:val="003209E3"/>
    <w:rsid w:val="00320B96"/>
    <w:rsid w:val="00321B8F"/>
    <w:rsid w:val="003237F1"/>
    <w:rsid w:val="00325247"/>
    <w:rsid w:val="00326CDB"/>
    <w:rsid w:val="00330DF4"/>
    <w:rsid w:val="0034086D"/>
    <w:rsid w:val="003505C2"/>
    <w:rsid w:val="00361E01"/>
    <w:rsid w:val="003629AA"/>
    <w:rsid w:val="00362CB7"/>
    <w:rsid w:val="00363680"/>
    <w:rsid w:val="003641B8"/>
    <w:rsid w:val="003657CE"/>
    <w:rsid w:val="003666BA"/>
    <w:rsid w:val="003772CD"/>
    <w:rsid w:val="00377A47"/>
    <w:rsid w:val="00380FB9"/>
    <w:rsid w:val="003858E9"/>
    <w:rsid w:val="0038786A"/>
    <w:rsid w:val="00390DEE"/>
    <w:rsid w:val="00390E19"/>
    <w:rsid w:val="003945EA"/>
    <w:rsid w:val="003A0986"/>
    <w:rsid w:val="003A368A"/>
    <w:rsid w:val="003A3A85"/>
    <w:rsid w:val="003A5CBB"/>
    <w:rsid w:val="003B0675"/>
    <w:rsid w:val="003B469E"/>
    <w:rsid w:val="003B5C24"/>
    <w:rsid w:val="003B7884"/>
    <w:rsid w:val="003C2962"/>
    <w:rsid w:val="003C46A8"/>
    <w:rsid w:val="003C4758"/>
    <w:rsid w:val="003C5CCD"/>
    <w:rsid w:val="003C61B8"/>
    <w:rsid w:val="003C72CC"/>
    <w:rsid w:val="003D36AB"/>
    <w:rsid w:val="003D3A23"/>
    <w:rsid w:val="003D6E6D"/>
    <w:rsid w:val="003E0DD3"/>
    <w:rsid w:val="003E2C35"/>
    <w:rsid w:val="003E6ABC"/>
    <w:rsid w:val="003F06A1"/>
    <w:rsid w:val="00403A63"/>
    <w:rsid w:val="004045C5"/>
    <w:rsid w:val="00407C3B"/>
    <w:rsid w:val="004166CF"/>
    <w:rsid w:val="00416D1E"/>
    <w:rsid w:val="004175F4"/>
    <w:rsid w:val="00420F9B"/>
    <w:rsid w:val="00421870"/>
    <w:rsid w:val="0042309A"/>
    <w:rsid w:val="004252A7"/>
    <w:rsid w:val="0043500D"/>
    <w:rsid w:val="00436A8E"/>
    <w:rsid w:val="00441F9D"/>
    <w:rsid w:val="004465B4"/>
    <w:rsid w:val="00451A5C"/>
    <w:rsid w:val="00454CCE"/>
    <w:rsid w:val="00455601"/>
    <w:rsid w:val="00457FDD"/>
    <w:rsid w:val="00462040"/>
    <w:rsid w:val="00462685"/>
    <w:rsid w:val="00463BCD"/>
    <w:rsid w:val="00470E6D"/>
    <w:rsid w:val="004721FB"/>
    <w:rsid w:val="004724A0"/>
    <w:rsid w:val="00472513"/>
    <w:rsid w:val="00474639"/>
    <w:rsid w:val="00476BCF"/>
    <w:rsid w:val="0048021A"/>
    <w:rsid w:val="004843AB"/>
    <w:rsid w:val="004912E2"/>
    <w:rsid w:val="00495117"/>
    <w:rsid w:val="00497533"/>
    <w:rsid w:val="004A3B1F"/>
    <w:rsid w:val="004A50BE"/>
    <w:rsid w:val="004A567A"/>
    <w:rsid w:val="004A701E"/>
    <w:rsid w:val="004A7D97"/>
    <w:rsid w:val="004B393C"/>
    <w:rsid w:val="004B4F5F"/>
    <w:rsid w:val="004B7C53"/>
    <w:rsid w:val="004C1C32"/>
    <w:rsid w:val="004C38FE"/>
    <w:rsid w:val="004D4E8F"/>
    <w:rsid w:val="004E2DCF"/>
    <w:rsid w:val="004E386B"/>
    <w:rsid w:val="004E4D46"/>
    <w:rsid w:val="004E7A99"/>
    <w:rsid w:val="004F42B5"/>
    <w:rsid w:val="004F4D54"/>
    <w:rsid w:val="00500293"/>
    <w:rsid w:val="00500626"/>
    <w:rsid w:val="00500D7A"/>
    <w:rsid w:val="005044E7"/>
    <w:rsid w:val="00505E45"/>
    <w:rsid w:val="005150F3"/>
    <w:rsid w:val="00516276"/>
    <w:rsid w:val="00516BF3"/>
    <w:rsid w:val="0051710C"/>
    <w:rsid w:val="005226DB"/>
    <w:rsid w:val="00522F1F"/>
    <w:rsid w:val="0053380C"/>
    <w:rsid w:val="00536E3F"/>
    <w:rsid w:val="005426E4"/>
    <w:rsid w:val="00543C9C"/>
    <w:rsid w:val="0054437D"/>
    <w:rsid w:val="00544D36"/>
    <w:rsid w:val="00550488"/>
    <w:rsid w:val="00550AB7"/>
    <w:rsid w:val="005510D2"/>
    <w:rsid w:val="005517FF"/>
    <w:rsid w:val="00554101"/>
    <w:rsid w:val="005543EB"/>
    <w:rsid w:val="00557403"/>
    <w:rsid w:val="00560D84"/>
    <w:rsid w:val="005652BA"/>
    <w:rsid w:val="00566A09"/>
    <w:rsid w:val="00573807"/>
    <w:rsid w:val="00573AFD"/>
    <w:rsid w:val="005821DF"/>
    <w:rsid w:val="00587FD0"/>
    <w:rsid w:val="00590619"/>
    <w:rsid w:val="00590834"/>
    <w:rsid w:val="00590A8F"/>
    <w:rsid w:val="00592A30"/>
    <w:rsid w:val="00593CAA"/>
    <w:rsid w:val="005A28FB"/>
    <w:rsid w:val="005A37F9"/>
    <w:rsid w:val="005A61C8"/>
    <w:rsid w:val="005B14FD"/>
    <w:rsid w:val="005B1D5B"/>
    <w:rsid w:val="005B24F9"/>
    <w:rsid w:val="005B31FC"/>
    <w:rsid w:val="005C23B8"/>
    <w:rsid w:val="005D2A60"/>
    <w:rsid w:val="005D405F"/>
    <w:rsid w:val="005D411B"/>
    <w:rsid w:val="005D51F6"/>
    <w:rsid w:val="005D6709"/>
    <w:rsid w:val="005E024C"/>
    <w:rsid w:val="005E260C"/>
    <w:rsid w:val="005E53D6"/>
    <w:rsid w:val="005E7BD5"/>
    <w:rsid w:val="005F1838"/>
    <w:rsid w:val="005F2DB7"/>
    <w:rsid w:val="005F39C5"/>
    <w:rsid w:val="005F5D7D"/>
    <w:rsid w:val="005F6675"/>
    <w:rsid w:val="005F6998"/>
    <w:rsid w:val="00600732"/>
    <w:rsid w:val="00600ADC"/>
    <w:rsid w:val="006018B2"/>
    <w:rsid w:val="00602AA1"/>
    <w:rsid w:val="00603EF8"/>
    <w:rsid w:val="00604A8C"/>
    <w:rsid w:val="0060627A"/>
    <w:rsid w:val="00606CEA"/>
    <w:rsid w:val="006108F2"/>
    <w:rsid w:val="00617449"/>
    <w:rsid w:val="006207AE"/>
    <w:rsid w:val="0062130C"/>
    <w:rsid w:val="00622C05"/>
    <w:rsid w:val="006259A9"/>
    <w:rsid w:val="00632D19"/>
    <w:rsid w:val="006334F8"/>
    <w:rsid w:val="00637E57"/>
    <w:rsid w:val="006412E3"/>
    <w:rsid w:val="00641D54"/>
    <w:rsid w:val="00646E97"/>
    <w:rsid w:val="006514D3"/>
    <w:rsid w:val="00651A28"/>
    <w:rsid w:val="0065433B"/>
    <w:rsid w:val="00656D82"/>
    <w:rsid w:val="00657AAA"/>
    <w:rsid w:val="0066033A"/>
    <w:rsid w:val="006674ED"/>
    <w:rsid w:val="00672649"/>
    <w:rsid w:val="00673B07"/>
    <w:rsid w:val="00674400"/>
    <w:rsid w:val="00681B72"/>
    <w:rsid w:val="006836A4"/>
    <w:rsid w:val="00686935"/>
    <w:rsid w:val="00691748"/>
    <w:rsid w:val="006934A5"/>
    <w:rsid w:val="006940CA"/>
    <w:rsid w:val="006A1B94"/>
    <w:rsid w:val="006A3A68"/>
    <w:rsid w:val="006B0E8E"/>
    <w:rsid w:val="006B1BCC"/>
    <w:rsid w:val="006B1F09"/>
    <w:rsid w:val="006B3934"/>
    <w:rsid w:val="006B5693"/>
    <w:rsid w:val="006B7285"/>
    <w:rsid w:val="006B78A9"/>
    <w:rsid w:val="006C0AB4"/>
    <w:rsid w:val="006C211B"/>
    <w:rsid w:val="006C42E5"/>
    <w:rsid w:val="006D4463"/>
    <w:rsid w:val="006D7C30"/>
    <w:rsid w:val="006E0C69"/>
    <w:rsid w:val="006E17F3"/>
    <w:rsid w:val="006E4E9D"/>
    <w:rsid w:val="006F18F6"/>
    <w:rsid w:val="006F1929"/>
    <w:rsid w:val="00701A04"/>
    <w:rsid w:val="00701A88"/>
    <w:rsid w:val="00705E1B"/>
    <w:rsid w:val="00713FBC"/>
    <w:rsid w:val="0071475E"/>
    <w:rsid w:val="00725175"/>
    <w:rsid w:val="0073323A"/>
    <w:rsid w:val="00734D99"/>
    <w:rsid w:val="00735EAB"/>
    <w:rsid w:val="00743BE1"/>
    <w:rsid w:val="00745ED3"/>
    <w:rsid w:val="00747645"/>
    <w:rsid w:val="00751BAE"/>
    <w:rsid w:val="00751EE6"/>
    <w:rsid w:val="00753BF5"/>
    <w:rsid w:val="00757749"/>
    <w:rsid w:val="00760320"/>
    <w:rsid w:val="00760600"/>
    <w:rsid w:val="00762F9F"/>
    <w:rsid w:val="00771268"/>
    <w:rsid w:val="007734A2"/>
    <w:rsid w:val="0077471E"/>
    <w:rsid w:val="007824F1"/>
    <w:rsid w:val="00782687"/>
    <w:rsid w:val="007864C0"/>
    <w:rsid w:val="0079173C"/>
    <w:rsid w:val="00796EFF"/>
    <w:rsid w:val="0079794C"/>
    <w:rsid w:val="007A102D"/>
    <w:rsid w:val="007B1D8D"/>
    <w:rsid w:val="007B2FBD"/>
    <w:rsid w:val="007B3144"/>
    <w:rsid w:val="007B43D1"/>
    <w:rsid w:val="007B6E10"/>
    <w:rsid w:val="007B71F3"/>
    <w:rsid w:val="007C0AA3"/>
    <w:rsid w:val="007C4D7E"/>
    <w:rsid w:val="007D006E"/>
    <w:rsid w:val="007D02E4"/>
    <w:rsid w:val="007D1EAE"/>
    <w:rsid w:val="007D3CF7"/>
    <w:rsid w:val="007E1341"/>
    <w:rsid w:val="007E17E0"/>
    <w:rsid w:val="008024E9"/>
    <w:rsid w:val="008062BD"/>
    <w:rsid w:val="00812854"/>
    <w:rsid w:val="008137BD"/>
    <w:rsid w:val="00814911"/>
    <w:rsid w:val="00821A55"/>
    <w:rsid w:val="00821BEB"/>
    <w:rsid w:val="00826349"/>
    <w:rsid w:val="00827655"/>
    <w:rsid w:val="00830C9A"/>
    <w:rsid w:val="00831766"/>
    <w:rsid w:val="00832913"/>
    <w:rsid w:val="00836726"/>
    <w:rsid w:val="00836C9A"/>
    <w:rsid w:val="00847E9D"/>
    <w:rsid w:val="008525B0"/>
    <w:rsid w:val="008526A9"/>
    <w:rsid w:val="0085321D"/>
    <w:rsid w:val="00854A4B"/>
    <w:rsid w:val="00855152"/>
    <w:rsid w:val="00855231"/>
    <w:rsid w:val="00855AA8"/>
    <w:rsid w:val="00865B9E"/>
    <w:rsid w:val="008674B9"/>
    <w:rsid w:val="00870BBE"/>
    <w:rsid w:val="00870CD0"/>
    <w:rsid w:val="00873D07"/>
    <w:rsid w:val="00875317"/>
    <w:rsid w:val="00875D37"/>
    <w:rsid w:val="0089079C"/>
    <w:rsid w:val="008939BA"/>
    <w:rsid w:val="0089488B"/>
    <w:rsid w:val="008949A9"/>
    <w:rsid w:val="00894C21"/>
    <w:rsid w:val="00895452"/>
    <w:rsid w:val="008960AC"/>
    <w:rsid w:val="008972FF"/>
    <w:rsid w:val="008A2A3E"/>
    <w:rsid w:val="008A5785"/>
    <w:rsid w:val="008A5AF8"/>
    <w:rsid w:val="008A620A"/>
    <w:rsid w:val="008B0830"/>
    <w:rsid w:val="008B2D3C"/>
    <w:rsid w:val="008B5D10"/>
    <w:rsid w:val="008C09DD"/>
    <w:rsid w:val="008C121A"/>
    <w:rsid w:val="008C7CE0"/>
    <w:rsid w:val="008D1910"/>
    <w:rsid w:val="008D4ACD"/>
    <w:rsid w:val="008D51CF"/>
    <w:rsid w:val="008E062E"/>
    <w:rsid w:val="008E1317"/>
    <w:rsid w:val="008E13F6"/>
    <w:rsid w:val="008E4E53"/>
    <w:rsid w:val="008E5423"/>
    <w:rsid w:val="008E5479"/>
    <w:rsid w:val="008E5671"/>
    <w:rsid w:val="008E6853"/>
    <w:rsid w:val="008E6D2F"/>
    <w:rsid w:val="008E7F1B"/>
    <w:rsid w:val="008F2323"/>
    <w:rsid w:val="008F3579"/>
    <w:rsid w:val="008F469F"/>
    <w:rsid w:val="009006A9"/>
    <w:rsid w:val="009029F7"/>
    <w:rsid w:val="00905DF5"/>
    <w:rsid w:val="009061BE"/>
    <w:rsid w:val="00907581"/>
    <w:rsid w:val="009101EC"/>
    <w:rsid w:val="00910C9B"/>
    <w:rsid w:val="0091167C"/>
    <w:rsid w:val="00914609"/>
    <w:rsid w:val="009212E8"/>
    <w:rsid w:val="00921901"/>
    <w:rsid w:val="00924459"/>
    <w:rsid w:val="00925212"/>
    <w:rsid w:val="009341F2"/>
    <w:rsid w:val="009342B3"/>
    <w:rsid w:val="0093538B"/>
    <w:rsid w:val="00936439"/>
    <w:rsid w:val="00936A7B"/>
    <w:rsid w:val="00940E28"/>
    <w:rsid w:val="0095087E"/>
    <w:rsid w:val="0095737C"/>
    <w:rsid w:val="00957563"/>
    <w:rsid w:val="00964EDB"/>
    <w:rsid w:val="00964F42"/>
    <w:rsid w:val="00966A86"/>
    <w:rsid w:val="00971B7A"/>
    <w:rsid w:val="009720BE"/>
    <w:rsid w:val="00974D1A"/>
    <w:rsid w:val="00975F32"/>
    <w:rsid w:val="00977AAA"/>
    <w:rsid w:val="0098053B"/>
    <w:rsid w:val="009845CB"/>
    <w:rsid w:val="00993090"/>
    <w:rsid w:val="00996132"/>
    <w:rsid w:val="0099613F"/>
    <w:rsid w:val="009A3412"/>
    <w:rsid w:val="009B1289"/>
    <w:rsid w:val="009B402D"/>
    <w:rsid w:val="009C31AF"/>
    <w:rsid w:val="009C542A"/>
    <w:rsid w:val="009C6BE2"/>
    <w:rsid w:val="009D0B21"/>
    <w:rsid w:val="009D290D"/>
    <w:rsid w:val="009D3D95"/>
    <w:rsid w:val="009D4273"/>
    <w:rsid w:val="009E2DAB"/>
    <w:rsid w:val="009E5D80"/>
    <w:rsid w:val="009F02CE"/>
    <w:rsid w:val="009F0AB8"/>
    <w:rsid w:val="009F0AEA"/>
    <w:rsid w:val="009F2465"/>
    <w:rsid w:val="009F42B6"/>
    <w:rsid w:val="00A06554"/>
    <w:rsid w:val="00A0664D"/>
    <w:rsid w:val="00A10AAC"/>
    <w:rsid w:val="00A11C20"/>
    <w:rsid w:val="00A12575"/>
    <w:rsid w:val="00A12937"/>
    <w:rsid w:val="00A217B9"/>
    <w:rsid w:val="00A230E1"/>
    <w:rsid w:val="00A31D1C"/>
    <w:rsid w:val="00A3298A"/>
    <w:rsid w:val="00A3381C"/>
    <w:rsid w:val="00A34E6E"/>
    <w:rsid w:val="00A4109F"/>
    <w:rsid w:val="00A419BF"/>
    <w:rsid w:val="00A4416D"/>
    <w:rsid w:val="00A44911"/>
    <w:rsid w:val="00A4512D"/>
    <w:rsid w:val="00A5340A"/>
    <w:rsid w:val="00A56485"/>
    <w:rsid w:val="00A60DC7"/>
    <w:rsid w:val="00A65F2B"/>
    <w:rsid w:val="00A816FA"/>
    <w:rsid w:val="00A84F14"/>
    <w:rsid w:val="00A859C1"/>
    <w:rsid w:val="00A91D81"/>
    <w:rsid w:val="00A94D01"/>
    <w:rsid w:val="00A95D9D"/>
    <w:rsid w:val="00A962F9"/>
    <w:rsid w:val="00A979F6"/>
    <w:rsid w:val="00A97C52"/>
    <w:rsid w:val="00AA31D7"/>
    <w:rsid w:val="00AA458A"/>
    <w:rsid w:val="00AA5889"/>
    <w:rsid w:val="00AA65C0"/>
    <w:rsid w:val="00AA6E02"/>
    <w:rsid w:val="00AB0367"/>
    <w:rsid w:val="00AB1929"/>
    <w:rsid w:val="00AB1A95"/>
    <w:rsid w:val="00AC1B75"/>
    <w:rsid w:val="00AC4319"/>
    <w:rsid w:val="00AC45D4"/>
    <w:rsid w:val="00AC4E21"/>
    <w:rsid w:val="00AC5D31"/>
    <w:rsid w:val="00AC79BB"/>
    <w:rsid w:val="00AC7AF1"/>
    <w:rsid w:val="00AD00FA"/>
    <w:rsid w:val="00AD5366"/>
    <w:rsid w:val="00AD7930"/>
    <w:rsid w:val="00AE1B50"/>
    <w:rsid w:val="00AE23ED"/>
    <w:rsid w:val="00AE5DC1"/>
    <w:rsid w:val="00AE6273"/>
    <w:rsid w:val="00AE78DC"/>
    <w:rsid w:val="00AF6C48"/>
    <w:rsid w:val="00B02586"/>
    <w:rsid w:val="00B02D3A"/>
    <w:rsid w:val="00B04677"/>
    <w:rsid w:val="00B046AA"/>
    <w:rsid w:val="00B257C3"/>
    <w:rsid w:val="00B26E66"/>
    <w:rsid w:val="00B30253"/>
    <w:rsid w:val="00B328AE"/>
    <w:rsid w:val="00B33E43"/>
    <w:rsid w:val="00B34A67"/>
    <w:rsid w:val="00B40C4A"/>
    <w:rsid w:val="00B4149F"/>
    <w:rsid w:val="00B41CDD"/>
    <w:rsid w:val="00B42200"/>
    <w:rsid w:val="00B46B80"/>
    <w:rsid w:val="00B52087"/>
    <w:rsid w:val="00B557A9"/>
    <w:rsid w:val="00B55EC6"/>
    <w:rsid w:val="00B5607F"/>
    <w:rsid w:val="00B60C56"/>
    <w:rsid w:val="00B6315F"/>
    <w:rsid w:val="00B65435"/>
    <w:rsid w:val="00B75F5D"/>
    <w:rsid w:val="00B9017B"/>
    <w:rsid w:val="00B907CF"/>
    <w:rsid w:val="00B91FBE"/>
    <w:rsid w:val="00B920BC"/>
    <w:rsid w:val="00B9308B"/>
    <w:rsid w:val="00B97393"/>
    <w:rsid w:val="00BA3780"/>
    <w:rsid w:val="00BA3B8C"/>
    <w:rsid w:val="00BB08B9"/>
    <w:rsid w:val="00BB7E41"/>
    <w:rsid w:val="00BC2454"/>
    <w:rsid w:val="00BD0AC7"/>
    <w:rsid w:val="00BD581F"/>
    <w:rsid w:val="00BD607B"/>
    <w:rsid w:val="00BE1F8E"/>
    <w:rsid w:val="00BE236B"/>
    <w:rsid w:val="00BE68B6"/>
    <w:rsid w:val="00BF1A21"/>
    <w:rsid w:val="00BF1F15"/>
    <w:rsid w:val="00BF3438"/>
    <w:rsid w:val="00BF39F0"/>
    <w:rsid w:val="00BF4181"/>
    <w:rsid w:val="00BF539F"/>
    <w:rsid w:val="00BF64FE"/>
    <w:rsid w:val="00C0137E"/>
    <w:rsid w:val="00C10BD5"/>
    <w:rsid w:val="00C11A56"/>
    <w:rsid w:val="00C139B9"/>
    <w:rsid w:val="00C13FA7"/>
    <w:rsid w:val="00C227A0"/>
    <w:rsid w:val="00C22F0D"/>
    <w:rsid w:val="00C26169"/>
    <w:rsid w:val="00C263F7"/>
    <w:rsid w:val="00C274B0"/>
    <w:rsid w:val="00C30E80"/>
    <w:rsid w:val="00C40404"/>
    <w:rsid w:val="00C417FA"/>
    <w:rsid w:val="00C45926"/>
    <w:rsid w:val="00C45A5B"/>
    <w:rsid w:val="00C51EF9"/>
    <w:rsid w:val="00C526AD"/>
    <w:rsid w:val="00C531E6"/>
    <w:rsid w:val="00C54AEC"/>
    <w:rsid w:val="00C551A8"/>
    <w:rsid w:val="00C602CD"/>
    <w:rsid w:val="00C6321F"/>
    <w:rsid w:val="00C639D8"/>
    <w:rsid w:val="00C65116"/>
    <w:rsid w:val="00C66607"/>
    <w:rsid w:val="00C7107B"/>
    <w:rsid w:val="00C71937"/>
    <w:rsid w:val="00C72EF5"/>
    <w:rsid w:val="00C73C3F"/>
    <w:rsid w:val="00C73E9C"/>
    <w:rsid w:val="00C818D2"/>
    <w:rsid w:val="00C81E33"/>
    <w:rsid w:val="00C84745"/>
    <w:rsid w:val="00C85172"/>
    <w:rsid w:val="00C85E3A"/>
    <w:rsid w:val="00C8797B"/>
    <w:rsid w:val="00C94162"/>
    <w:rsid w:val="00C95325"/>
    <w:rsid w:val="00CA09A7"/>
    <w:rsid w:val="00CA2A60"/>
    <w:rsid w:val="00CA2F4C"/>
    <w:rsid w:val="00CA5588"/>
    <w:rsid w:val="00CA5C57"/>
    <w:rsid w:val="00CB0A93"/>
    <w:rsid w:val="00CB2CB8"/>
    <w:rsid w:val="00CC1524"/>
    <w:rsid w:val="00CD12E8"/>
    <w:rsid w:val="00CD1CDC"/>
    <w:rsid w:val="00CD2896"/>
    <w:rsid w:val="00CD3018"/>
    <w:rsid w:val="00CD4A41"/>
    <w:rsid w:val="00CD6046"/>
    <w:rsid w:val="00CE5236"/>
    <w:rsid w:val="00CE61C0"/>
    <w:rsid w:val="00CF354D"/>
    <w:rsid w:val="00CF6FED"/>
    <w:rsid w:val="00D006F9"/>
    <w:rsid w:val="00D04065"/>
    <w:rsid w:val="00D05231"/>
    <w:rsid w:val="00D069CB"/>
    <w:rsid w:val="00D07E9E"/>
    <w:rsid w:val="00D11382"/>
    <w:rsid w:val="00D13F11"/>
    <w:rsid w:val="00D15EDA"/>
    <w:rsid w:val="00D16B78"/>
    <w:rsid w:val="00D20239"/>
    <w:rsid w:val="00D22755"/>
    <w:rsid w:val="00D26781"/>
    <w:rsid w:val="00D30B13"/>
    <w:rsid w:val="00D30C69"/>
    <w:rsid w:val="00D310A4"/>
    <w:rsid w:val="00D347D9"/>
    <w:rsid w:val="00D370A9"/>
    <w:rsid w:val="00D37846"/>
    <w:rsid w:val="00D435DA"/>
    <w:rsid w:val="00D45C61"/>
    <w:rsid w:val="00D54214"/>
    <w:rsid w:val="00D54D2A"/>
    <w:rsid w:val="00D60388"/>
    <w:rsid w:val="00D63DA8"/>
    <w:rsid w:val="00D64C00"/>
    <w:rsid w:val="00D67197"/>
    <w:rsid w:val="00D712AA"/>
    <w:rsid w:val="00D7327F"/>
    <w:rsid w:val="00D77EAB"/>
    <w:rsid w:val="00D80D8E"/>
    <w:rsid w:val="00D82890"/>
    <w:rsid w:val="00D91035"/>
    <w:rsid w:val="00D921C6"/>
    <w:rsid w:val="00D94979"/>
    <w:rsid w:val="00D963BA"/>
    <w:rsid w:val="00D975DF"/>
    <w:rsid w:val="00DA38CB"/>
    <w:rsid w:val="00DB788B"/>
    <w:rsid w:val="00DC2084"/>
    <w:rsid w:val="00DC34FA"/>
    <w:rsid w:val="00DC45E4"/>
    <w:rsid w:val="00DC5B50"/>
    <w:rsid w:val="00DC683F"/>
    <w:rsid w:val="00DD1252"/>
    <w:rsid w:val="00DD26F1"/>
    <w:rsid w:val="00DD6C8F"/>
    <w:rsid w:val="00DE224E"/>
    <w:rsid w:val="00DE30F1"/>
    <w:rsid w:val="00DE346A"/>
    <w:rsid w:val="00DE3DA2"/>
    <w:rsid w:val="00DE6CC2"/>
    <w:rsid w:val="00DF667F"/>
    <w:rsid w:val="00DF7F89"/>
    <w:rsid w:val="00DF7FA6"/>
    <w:rsid w:val="00E01468"/>
    <w:rsid w:val="00E03BEE"/>
    <w:rsid w:val="00E21D11"/>
    <w:rsid w:val="00E2633A"/>
    <w:rsid w:val="00E30708"/>
    <w:rsid w:val="00E319D5"/>
    <w:rsid w:val="00E31CB4"/>
    <w:rsid w:val="00E33A68"/>
    <w:rsid w:val="00E3636E"/>
    <w:rsid w:val="00E372AF"/>
    <w:rsid w:val="00E37696"/>
    <w:rsid w:val="00E40AED"/>
    <w:rsid w:val="00E46B28"/>
    <w:rsid w:val="00E52919"/>
    <w:rsid w:val="00E61079"/>
    <w:rsid w:val="00E62EEF"/>
    <w:rsid w:val="00E633E4"/>
    <w:rsid w:val="00E636D2"/>
    <w:rsid w:val="00E664E9"/>
    <w:rsid w:val="00E70258"/>
    <w:rsid w:val="00E70C1A"/>
    <w:rsid w:val="00E71135"/>
    <w:rsid w:val="00E725D8"/>
    <w:rsid w:val="00E729D4"/>
    <w:rsid w:val="00E75C78"/>
    <w:rsid w:val="00E77FF9"/>
    <w:rsid w:val="00E815DC"/>
    <w:rsid w:val="00E854BF"/>
    <w:rsid w:val="00E86831"/>
    <w:rsid w:val="00E90155"/>
    <w:rsid w:val="00EA161A"/>
    <w:rsid w:val="00EA4C55"/>
    <w:rsid w:val="00EB38FA"/>
    <w:rsid w:val="00EB4B3F"/>
    <w:rsid w:val="00EB4B79"/>
    <w:rsid w:val="00EB603A"/>
    <w:rsid w:val="00EB6A32"/>
    <w:rsid w:val="00EC02FE"/>
    <w:rsid w:val="00EC08A2"/>
    <w:rsid w:val="00EC7496"/>
    <w:rsid w:val="00ED4AED"/>
    <w:rsid w:val="00ED4DC4"/>
    <w:rsid w:val="00ED6045"/>
    <w:rsid w:val="00ED7942"/>
    <w:rsid w:val="00EE0FDE"/>
    <w:rsid w:val="00EE222D"/>
    <w:rsid w:val="00EE2ED8"/>
    <w:rsid w:val="00EE37D7"/>
    <w:rsid w:val="00EE7918"/>
    <w:rsid w:val="00EE7950"/>
    <w:rsid w:val="00EF0C30"/>
    <w:rsid w:val="00EF38B8"/>
    <w:rsid w:val="00EF52B8"/>
    <w:rsid w:val="00EF6904"/>
    <w:rsid w:val="00EF6F8E"/>
    <w:rsid w:val="00F01314"/>
    <w:rsid w:val="00F05180"/>
    <w:rsid w:val="00F07846"/>
    <w:rsid w:val="00F1580D"/>
    <w:rsid w:val="00F24C76"/>
    <w:rsid w:val="00F26244"/>
    <w:rsid w:val="00F2657A"/>
    <w:rsid w:val="00F27B9D"/>
    <w:rsid w:val="00F27FDA"/>
    <w:rsid w:val="00F313F1"/>
    <w:rsid w:val="00F315BA"/>
    <w:rsid w:val="00F32F10"/>
    <w:rsid w:val="00F35752"/>
    <w:rsid w:val="00F376CD"/>
    <w:rsid w:val="00F40A6E"/>
    <w:rsid w:val="00F43C3E"/>
    <w:rsid w:val="00F43F31"/>
    <w:rsid w:val="00F449E9"/>
    <w:rsid w:val="00F44A16"/>
    <w:rsid w:val="00F57A9B"/>
    <w:rsid w:val="00F629CF"/>
    <w:rsid w:val="00F666BB"/>
    <w:rsid w:val="00F703CF"/>
    <w:rsid w:val="00F7098A"/>
    <w:rsid w:val="00F70AB2"/>
    <w:rsid w:val="00F74853"/>
    <w:rsid w:val="00F74B1F"/>
    <w:rsid w:val="00F80766"/>
    <w:rsid w:val="00F85AC0"/>
    <w:rsid w:val="00F85D30"/>
    <w:rsid w:val="00F86C25"/>
    <w:rsid w:val="00F8704E"/>
    <w:rsid w:val="00F8785F"/>
    <w:rsid w:val="00FA3E84"/>
    <w:rsid w:val="00FA44FF"/>
    <w:rsid w:val="00FA6862"/>
    <w:rsid w:val="00FB0E01"/>
    <w:rsid w:val="00FB3735"/>
    <w:rsid w:val="00FB62BB"/>
    <w:rsid w:val="00FB65D7"/>
    <w:rsid w:val="00FB699E"/>
    <w:rsid w:val="00FB6B65"/>
    <w:rsid w:val="00FC1F86"/>
    <w:rsid w:val="00FD03D7"/>
    <w:rsid w:val="00FD2D33"/>
    <w:rsid w:val="00FD2EBF"/>
    <w:rsid w:val="00FD3DC2"/>
    <w:rsid w:val="00FD6A1C"/>
    <w:rsid w:val="00FE310A"/>
    <w:rsid w:val="00FE7705"/>
    <w:rsid w:val="00FE7ECD"/>
    <w:rsid w:val="00FF0150"/>
    <w:rsid w:val="00FF297E"/>
    <w:rsid w:val="00FF34A1"/>
    <w:rsid w:val="00FF459D"/>
    <w:rsid w:val="00FF4C1D"/>
    <w:rsid w:val="00FF5B0E"/>
    <w:rsid w:val="00FF7B5C"/>
    <w:rsid w:val="00FF7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34E3EBE3"/>
  <w15:docId w15:val="{8D078501-89E0-448B-9626-F7E12503E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83825"/>
    <w:pPr>
      <w:spacing w:line="264" w:lineRule="auto"/>
    </w:pPr>
    <w:rPr>
      <w:rFonts w:ascii="Arial" w:hAnsi="Arial"/>
      <w:szCs w:val="24"/>
    </w:rPr>
  </w:style>
  <w:style w:type="paragraph" w:styleId="Heading1">
    <w:name w:val="heading 1"/>
    <w:basedOn w:val="Normal"/>
    <w:next w:val="Normal"/>
    <w:link w:val="Heading1Char"/>
    <w:qFormat/>
    <w:rsid w:val="000D5F0E"/>
    <w:pPr>
      <w:keepNext/>
      <w:keepLines/>
      <w:pageBreakBefore/>
      <w:numPr>
        <w:numId w:val="6"/>
      </w:numPr>
      <w:spacing w:before="360" w:after="240" w:line="240" w:lineRule="auto"/>
      <w:outlineLvl w:val="0"/>
    </w:pPr>
    <w:rPr>
      <w:rFonts w:cs="Arial"/>
      <w:b/>
      <w:bCs/>
      <w:caps/>
      <w:color w:val="95D600" w:themeColor="accent1"/>
      <w:kern w:val="28"/>
      <w:position w:val="6"/>
      <w:sz w:val="28"/>
      <w:szCs w:val="26"/>
    </w:rPr>
  </w:style>
  <w:style w:type="paragraph" w:styleId="Heading2">
    <w:name w:val="heading 2"/>
    <w:basedOn w:val="Normal"/>
    <w:next w:val="Normal"/>
    <w:link w:val="Heading2Char"/>
    <w:qFormat/>
    <w:rsid w:val="00083825"/>
    <w:pPr>
      <w:keepNext/>
      <w:numPr>
        <w:ilvl w:val="1"/>
        <w:numId w:val="6"/>
      </w:numPr>
      <w:spacing w:before="360" w:after="240"/>
      <w:outlineLvl w:val="1"/>
    </w:pPr>
    <w:rPr>
      <w:rFonts w:cs="Arial"/>
      <w:b/>
      <w:bCs/>
      <w:iCs/>
      <w:color w:val="555759" w:themeColor="text2"/>
      <w:sz w:val="26"/>
      <w:szCs w:val="28"/>
    </w:rPr>
  </w:style>
  <w:style w:type="paragraph" w:styleId="Heading3">
    <w:name w:val="heading 3"/>
    <w:basedOn w:val="Normal"/>
    <w:next w:val="Normal"/>
    <w:link w:val="Heading3Char"/>
    <w:qFormat/>
    <w:rsid w:val="00DE346A"/>
    <w:pPr>
      <w:keepNext/>
      <w:numPr>
        <w:ilvl w:val="2"/>
        <w:numId w:val="9"/>
      </w:numPr>
      <w:spacing w:before="360" w:after="240"/>
      <w:outlineLvl w:val="2"/>
    </w:pPr>
    <w:rPr>
      <w:rFonts w:cs="Arial"/>
      <w:b/>
      <w:bCs/>
      <w:i/>
      <w:color w:val="555759" w:themeColor="text2"/>
      <w:sz w:val="22"/>
      <w:szCs w:val="26"/>
    </w:rPr>
  </w:style>
  <w:style w:type="paragraph" w:styleId="Heading4">
    <w:name w:val="heading 4"/>
    <w:basedOn w:val="Normal"/>
    <w:next w:val="Normal"/>
    <w:link w:val="Heading4Char"/>
    <w:unhideWhenUsed/>
    <w:qFormat/>
    <w:rsid w:val="00DE346A"/>
    <w:pPr>
      <w:keepNext/>
      <w:keepLines/>
      <w:numPr>
        <w:ilvl w:val="3"/>
        <w:numId w:val="6"/>
      </w:numPr>
      <w:spacing w:before="360" w:after="240"/>
      <w:outlineLvl w:val="3"/>
    </w:pPr>
    <w:rPr>
      <w:rFonts w:eastAsiaTheme="majorEastAsia" w:cstheme="majorBidi"/>
      <w:b/>
      <w:bCs/>
      <w:i/>
      <w:iCs/>
      <w:color w:val="555759"/>
      <w:kern w:val="28"/>
      <w:szCs w:val="20"/>
    </w:rPr>
  </w:style>
  <w:style w:type="paragraph" w:styleId="Heading5">
    <w:name w:val="heading 5"/>
    <w:aliases w:val="Append Level 1"/>
    <w:basedOn w:val="Normal"/>
    <w:next w:val="Normal"/>
    <w:link w:val="Heading5Char"/>
    <w:unhideWhenUsed/>
    <w:qFormat/>
    <w:rsid w:val="000615C0"/>
    <w:pPr>
      <w:keepNext/>
      <w:keepLines/>
      <w:pageBreakBefore/>
      <w:numPr>
        <w:ilvl w:val="4"/>
        <w:numId w:val="6"/>
      </w:numPr>
      <w:spacing w:before="360" w:after="360" w:line="240" w:lineRule="auto"/>
      <w:outlineLvl w:val="4"/>
    </w:pPr>
    <w:rPr>
      <w:rFonts w:eastAsiaTheme="majorEastAsia" w:cstheme="majorBidi"/>
      <w:b/>
      <w:caps/>
      <w:color w:val="95D600" w:themeColor="accent1"/>
      <w:kern w:val="28"/>
      <w:sz w:val="28"/>
      <w:szCs w:val="26"/>
    </w:rPr>
  </w:style>
  <w:style w:type="paragraph" w:styleId="Heading6">
    <w:name w:val="heading 6"/>
    <w:aliases w:val="Append Level 2"/>
    <w:next w:val="Normal"/>
    <w:link w:val="Heading6Char"/>
    <w:uiPriority w:val="9"/>
    <w:unhideWhenUsed/>
    <w:qFormat/>
    <w:rsid w:val="00B02D3A"/>
    <w:pPr>
      <w:keepNext/>
      <w:keepLines/>
      <w:numPr>
        <w:ilvl w:val="5"/>
        <w:numId w:val="6"/>
      </w:numPr>
      <w:spacing w:before="360" w:after="240"/>
      <w:outlineLvl w:val="5"/>
    </w:pPr>
    <w:rPr>
      <w:rFonts w:ascii="Arial" w:eastAsiaTheme="majorEastAsia" w:hAnsi="Arial" w:cstheme="majorBidi"/>
      <w:b/>
      <w:iCs/>
      <w:color w:val="555759" w:themeColor="text2"/>
      <w:kern w:val="28"/>
      <w:position w:val="6"/>
      <w:sz w:val="24"/>
      <w:szCs w:val="24"/>
    </w:rPr>
  </w:style>
  <w:style w:type="paragraph" w:styleId="Heading7">
    <w:name w:val="heading 7"/>
    <w:aliases w:val="Exec Sum Level 1"/>
    <w:basedOn w:val="ExecSummaryHead1"/>
    <w:next w:val="Normal"/>
    <w:link w:val="Heading7Char"/>
    <w:uiPriority w:val="9"/>
    <w:unhideWhenUsed/>
    <w:qFormat/>
    <w:rsid w:val="000D5F0E"/>
    <w:pPr>
      <w:pageBreakBefore/>
      <w:outlineLvl w:val="6"/>
    </w:pPr>
    <w:rPr>
      <w:caps/>
      <w:szCs w:val="26"/>
    </w:rPr>
  </w:style>
  <w:style w:type="paragraph" w:styleId="Heading8">
    <w:name w:val="heading 8"/>
    <w:aliases w:val="Exec Sum Level 2"/>
    <w:basedOn w:val="Normal"/>
    <w:next w:val="Normal"/>
    <w:link w:val="Heading8Char"/>
    <w:uiPriority w:val="9"/>
    <w:unhideWhenUsed/>
    <w:qFormat/>
    <w:rsid w:val="00083825"/>
    <w:pPr>
      <w:keepNext/>
      <w:keepLines/>
      <w:spacing w:before="360" w:after="240"/>
      <w:outlineLvl w:val="7"/>
    </w:pPr>
    <w:rPr>
      <w:rFonts w:eastAsiaTheme="majorEastAsia" w:cstheme="majorBidi"/>
      <w:b/>
      <w:color w:val="555759" w:themeColor="text2"/>
      <w:sz w:val="26"/>
      <w:szCs w:val="26"/>
    </w:rPr>
  </w:style>
  <w:style w:type="paragraph" w:styleId="Heading9">
    <w:name w:val="heading 9"/>
    <w:aliases w:val="Exec Sum Level 3"/>
    <w:basedOn w:val="Normal"/>
    <w:next w:val="Normal"/>
    <w:link w:val="Heading9Char"/>
    <w:uiPriority w:val="9"/>
    <w:unhideWhenUsed/>
    <w:qFormat/>
    <w:rsid w:val="00083825"/>
    <w:pPr>
      <w:keepNext/>
      <w:keepLines/>
      <w:spacing w:before="360" w:after="240"/>
      <w:outlineLvl w:val="8"/>
    </w:pPr>
    <w:rPr>
      <w:rFonts w:eastAsiaTheme="majorEastAsia" w:cstheme="majorBidi"/>
      <w:b/>
      <w:i/>
      <w:iCs/>
      <w:color w:val="555759" w:themeColor="text2"/>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lassic2">
    <w:name w:val="Table Classic 2"/>
    <w:basedOn w:val="TableNormal"/>
    <w:rsid w:val="00BF64FE"/>
    <w:pPr>
      <w:tabs>
        <w:tab w:val="left" w:pos="360"/>
        <w:tab w:val="left" w:pos="720"/>
        <w:tab w:val="left" w:pos="1080"/>
        <w:tab w:val="left" w:pos="1440"/>
      </w:tabs>
    </w:pPr>
    <w:rPr>
      <w:rFonts w:ascii="Arial" w:hAnsi="Arial"/>
      <w:sz w:val="18"/>
      <w:szCs w:val="18"/>
    </w:rPr>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5" w:type="dxa"/>
        <w:right w:w="115" w:type="dxa"/>
      </w:tblCellMar>
    </w:tblPr>
    <w:trPr>
      <w:jc w:val="center"/>
    </w:trPr>
    <w:tcPr>
      <w:shd w:val="clear" w:color="auto" w:fill="auto"/>
    </w:tcPr>
    <w:tblStylePr w:type="firstRow">
      <w:rPr>
        <w:rFonts w:ascii="Arial" w:hAnsi="Arial"/>
        <w:b/>
        <w:i w:val="0"/>
        <w:color w:val="auto"/>
        <w:sz w:val="18"/>
        <w:szCs w:val="18"/>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CCCCFF"/>
      </w:tcPr>
    </w:tblStylePr>
    <w:tblStylePr w:type="lastRow">
      <w:rPr>
        <w:rFonts w:ascii="Arial" w:hAnsi="Arial"/>
        <w:color w:val="auto"/>
        <w:sz w:val="18"/>
      </w:rPr>
      <w:tblPr/>
      <w:tcPr>
        <w:tcBorders>
          <w:top w:val="single" w:sz="6" w:space="0" w:color="000000"/>
          <w:tl2br w:val="none" w:sz="0" w:space="0" w:color="auto"/>
          <w:tr2bl w:val="none" w:sz="0" w:space="0" w:color="auto"/>
        </w:tcBorders>
      </w:tcPr>
    </w:tblStylePr>
    <w:tblStylePr w:type="firstCol">
      <w:rPr>
        <w:rFonts w:ascii="Arial" w:hAnsi="Arial"/>
        <w:b/>
        <w:bCs/>
        <w:sz w:val="18"/>
      </w:rPr>
      <w:tblPr/>
      <w:tcPr>
        <w:shd w:val="clear" w:color="auto" w:fill="FFFF99"/>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StyleBulleted6">
    <w:name w:val="Style Bulleted6"/>
    <w:rsid w:val="00BF64FE"/>
    <w:pPr>
      <w:numPr>
        <w:numId w:val="1"/>
      </w:numPr>
    </w:pPr>
  </w:style>
  <w:style w:type="numbering" w:customStyle="1" w:styleId="StyleBulleted9">
    <w:name w:val="Style Bulleted9"/>
    <w:basedOn w:val="NoList"/>
    <w:rsid w:val="00BF64FE"/>
    <w:pPr>
      <w:numPr>
        <w:numId w:val="2"/>
      </w:numPr>
    </w:pPr>
  </w:style>
  <w:style w:type="paragraph" w:styleId="Header">
    <w:name w:val="header"/>
    <w:basedOn w:val="Normal"/>
    <w:link w:val="HeaderChar"/>
    <w:rsid w:val="00BF64FE"/>
    <w:pPr>
      <w:tabs>
        <w:tab w:val="center" w:pos="4320"/>
        <w:tab w:val="right" w:pos="8640"/>
      </w:tabs>
    </w:pPr>
  </w:style>
  <w:style w:type="paragraph" w:styleId="Footer">
    <w:name w:val="footer"/>
    <w:basedOn w:val="Normal"/>
    <w:link w:val="FooterChar"/>
    <w:uiPriority w:val="99"/>
    <w:rsid w:val="00BF64FE"/>
    <w:pPr>
      <w:tabs>
        <w:tab w:val="center" w:pos="4320"/>
        <w:tab w:val="right" w:pos="8640"/>
      </w:tabs>
      <w:spacing w:line="240" w:lineRule="auto"/>
    </w:pPr>
    <w:rPr>
      <w:sz w:val="18"/>
    </w:rPr>
  </w:style>
  <w:style w:type="paragraph" w:styleId="Title">
    <w:name w:val="Title"/>
    <w:aliases w:val="Proposal Title"/>
    <w:basedOn w:val="Normal"/>
    <w:next w:val="Normal"/>
    <w:link w:val="TitleChar"/>
    <w:uiPriority w:val="10"/>
    <w:qFormat/>
    <w:rsid w:val="00C51EF9"/>
    <w:pPr>
      <w:widowControl w:val="0"/>
      <w:spacing w:before="120" w:after="120" w:line="240" w:lineRule="auto"/>
    </w:pPr>
    <w:rPr>
      <w:rFonts w:eastAsiaTheme="majorEastAsia" w:cstheme="majorBidi"/>
      <w:b/>
      <w:color w:val="95D600" w:themeColor="accent1"/>
      <w:spacing w:val="-10"/>
      <w:kern w:val="28"/>
      <w:sz w:val="48"/>
      <w:szCs w:val="56"/>
    </w:rPr>
  </w:style>
  <w:style w:type="paragraph" w:styleId="Subtitle">
    <w:name w:val="Subtitle"/>
    <w:basedOn w:val="Normal"/>
    <w:next w:val="Normal"/>
    <w:link w:val="SubtitleChar"/>
    <w:uiPriority w:val="11"/>
    <w:qFormat/>
    <w:rsid w:val="008C7CE0"/>
    <w:pPr>
      <w:widowControl w:val="0"/>
      <w:numPr>
        <w:ilvl w:val="1"/>
      </w:numPr>
      <w:spacing w:before="240" w:line="240" w:lineRule="auto"/>
    </w:pPr>
    <w:rPr>
      <w:rFonts w:eastAsiaTheme="minorEastAsia" w:cstheme="minorBidi"/>
      <w:b/>
      <w:color w:val="5A5A5A" w:themeColor="text1" w:themeTint="A5"/>
      <w:spacing w:val="15"/>
      <w:sz w:val="28"/>
      <w:szCs w:val="22"/>
    </w:rPr>
  </w:style>
  <w:style w:type="character" w:customStyle="1" w:styleId="CoverText">
    <w:name w:val="Cover Text"/>
    <w:basedOn w:val="DefaultParagraphFont"/>
    <w:rsid w:val="00BF64FE"/>
    <w:rPr>
      <w:rFonts w:ascii="Arial" w:hAnsi="Arial"/>
      <w:color w:val="545759"/>
      <w:sz w:val="20"/>
    </w:rPr>
  </w:style>
  <w:style w:type="paragraph" w:styleId="TOC1">
    <w:name w:val="toc 1"/>
    <w:basedOn w:val="Normal"/>
    <w:next w:val="Normal"/>
    <w:link w:val="TOC1Char"/>
    <w:autoRedefine/>
    <w:uiPriority w:val="39"/>
    <w:unhideWhenUsed/>
    <w:rsid w:val="00E03BEE"/>
    <w:pPr>
      <w:widowControl w:val="0"/>
      <w:tabs>
        <w:tab w:val="right" w:leader="dot" w:pos="9350"/>
      </w:tabs>
      <w:spacing w:before="120" w:after="120" w:line="240" w:lineRule="auto"/>
    </w:pPr>
    <w:rPr>
      <w:rFonts w:eastAsiaTheme="minorHAnsi" w:cstheme="minorBidi"/>
      <w:b/>
      <w:sz w:val="24"/>
      <w:szCs w:val="22"/>
    </w:rPr>
  </w:style>
  <w:style w:type="paragraph" w:styleId="TOC2">
    <w:name w:val="toc 2"/>
    <w:basedOn w:val="Normal"/>
    <w:next w:val="Normal"/>
    <w:autoRedefine/>
    <w:uiPriority w:val="39"/>
    <w:rsid w:val="00E03BEE"/>
    <w:pPr>
      <w:tabs>
        <w:tab w:val="left" w:pos="1080"/>
        <w:tab w:val="right" w:pos="9346"/>
      </w:tabs>
      <w:ind w:left="1080" w:hanging="540"/>
    </w:pPr>
    <w:rPr>
      <w:noProof/>
    </w:rPr>
  </w:style>
  <w:style w:type="paragraph" w:styleId="TOC3">
    <w:name w:val="toc 3"/>
    <w:basedOn w:val="Normal"/>
    <w:next w:val="Normal"/>
    <w:autoRedefine/>
    <w:uiPriority w:val="39"/>
    <w:rsid w:val="009D0B21"/>
    <w:pPr>
      <w:tabs>
        <w:tab w:val="left" w:pos="1800"/>
        <w:tab w:val="right" w:leader="dot" w:pos="9346"/>
      </w:tabs>
      <w:ind w:left="1800" w:hanging="720"/>
    </w:pPr>
    <w:rPr>
      <w:rFonts w:eastAsiaTheme="minorEastAsia" w:cstheme="minorBidi"/>
      <w:noProof/>
      <w:szCs w:val="20"/>
    </w:rPr>
  </w:style>
  <w:style w:type="character" w:styleId="Hyperlink">
    <w:name w:val="Hyperlink"/>
    <w:basedOn w:val="DefaultParagraphFont"/>
    <w:rsid w:val="00BF64FE"/>
    <w:rPr>
      <w:rFonts w:ascii="Arial" w:hAnsi="Arial"/>
      <w:color w:val="95D600"/>
      <w:sz w:val="20"/>
      <w:u w:val="single"/>
    </w:rPr>
  </w:style>
  <w:style w:type="paragraph" w:styleId="TOCHeading">
    <w:name w:val="TOC Heading"/>
    <w:basedOn w:val="Heading1"/>
    <w:next w:val="Normal"/>
    <w:link w:val="TOCHeadingChar"/>
    <w:uiPriority w:val="39"/>
    <w:unhideWhenUsed/>
    <w:qFormat/>
    <w:rsid w:val="00122E70"/>
    <w:pPr>
      <w:keepNext w:val="0"/>
      <w:keepLines w:val="0"/>
      <w:pageBreakBefore w:val="0"/>
      <w:widowControl w:val="0"/>
      <w:numPr>
        <w:numId w:val="0"/>
      </w:numPr>
      <w:outlineLvl w:val="9"/>
    </w:pPr>
    <w:rPr>
      <w:rFonts w:ascii="Arial Bold" w:eastAsiaTheme="minorHAnsi" w:hAnsi="Arial Bold" w:cstheme="minorBidi"/>
      <w:bCs w:val="0"/>
      <w:kern w:val="0"/>
      <w:position w:val="0"/>
      <w:szCs w:val="22"/>
    </w:rPr>
  </w:style>
  <w:style w:type="numbering" w:customStyle="1" w:styleId="StyleNumberedLeft025Hanging025">
    <w:name w:val="Style Numbered Left:  0.25&quot; Hanging:  0.25&quot;"/>
    <w:basedOn w:val="NoList"/>
    <w:rsid w:val="00BF64FE"/>
    <w:pPr>
      <w:numPr>
        <w:numId w:val="3"/>
      </w:numPr>
    </w:pPr>
  </w:style>
  <w:style w:type="paragraph" w:styleId="FootnoteText">
    <w:name w:val="footnote text"/>
    <w:aliases w:val="Footnote Text1 Char,Footnote Text Char Ch,Footnote Text Char Ch Char Char Char,Footnote Text Char Ch Char Char,Footnote Text1 Char Char Char,Footnote Text Char Ch Char,ft Char,ft,Footnote_Text,Char2 Char,TBG Style,ALTS FOOTNOTE,fn"/>
    <w:basedOn w:val="Normal"/>
    <w:link w:val="FootnoteTextChar"/>
    <w:rsid w:val="00BF64FE"/>
    <w:pPr>
      <w:keepLines/>
    </w:pPr>
    <w:rPr>
      <w:sz w:val="18"/>
      <w:szCs w:val="20"/>
    </w:rPr>
  </w:style>
  <w:style w:type="character" w:styleId="FootnoteReference">
    <w:name w:val="footnote reference"/>
    <w:aliases w:val="Footnote_Reference,o,Style 17,fr,o + Times New Roman"/>
    <w:basedOn w:val="DefaultParagraphFont"/>
    <w:qFormat/>
    <w:rsid w:val="008E5479"/>
    <w:rPr>
      <w:rFonts w:ascii="Arial" w:hAnsi="Arial"/>
      <w:color w:val="555759" w:themeColor="text2"/>
      <w:vertAlign w:val="superscript"/>
    </w:rPr>
  </w:style>
  <w:style w:type="paragraph" w:styleId="Caption">
    <w:name w:val="caption"/>
    <w:aliases w:val="Table Caption,Char,Caption Char1 Char"/>
    <w:basedOn w:val="Normal"/>
    <w:next w:val="Normal"/>
    <w:link w:val="CaptionChar"/>
    <w:qFormat/>
    <w:rsid w:val="00083825"/>
    <w:pPr>
      <w:keepNext/>
      <w:spacing w:after="120"/>
      <w:jc w:val="center"/>
    </w:pPr>
    <w:rPr>
      <w:b/>
      <w:bCs/>
      <w:color w:val="3F4042" w:themeColor="text2" w:themeShade="BF"/>
      <w:szCs w:val="20"/>
    </w:rPr>
  </w:style>
  <w:style w:type="numbering" w:customStyle="1" w:styleId="StyleBulletedLeft0Hanging03">
    <w:name w:val="Style Bulleted Left:  0&quot; Hanging:  0.3&quot;"/>
    <w:basedOn w:val="NoList"/>
    <w:rsid w:val="00BF64FE"/>
    <w:pPr>
      <w:numPr>
        <w:numId w:val="4"/>
      </w:numPr>
    </w:pPr>
  </w:style>
  <w:style w:type="paragraph" w:customStyle="1" w:styleId="StyleCaptionWhite">
    <w:name w:val="Style Caption + White"/>
    <w:basedOn w:val="Caption"/>
    <w:rsid w:val="00BF64FE"/>
    <w:pPr>
      <w:spacing w:before="120"/>
    </w:pPr>
    <w:rPr>
      <w:color w:val="FFFFFF"/>
      <w14:textFill>
        <w14:solidFill>
          <w14:srgbClr w14:val="FFFFFF">
            <w14:lumMod w14:val="50000"/>
          </w14:srgbClr>
        </w14:solidFill>
      </w14:textFill>
    </w:rPr>
  </w:style>
  <w:style w:type="numbering" w:customStyle="1" w:styleId="StyleBulleted">
    <w:name w:val="Style Bulleted"/>
    <w:basedOn w:val="NoList"/>
    <w:rsid w:val="00BF64FE"/>
    <w:pPr>
      <w:numPr>
        <w:numId w:val="5"/>
      </w:numPr>
    </w:pPr>
  </w:style>
  <w:style w:type="character" w:customStyle="1" w:styleId="Heading4Char">
    <w:name w:val="Heading 4 Char"/>
    <w:basedOn w:val="DefaultParagraphFont"/>
    <w:link w:val="Heading4"/>
    <w:rsid w:val="00DE346A"/>
    <w:rPr>
      <w:rFonts w:ascii="Arial" w:eastAsiaTheme="majorEastAsia" w:hAnsi="Arial" w:cstheme="majorBidi"/>
      <w:b/>
      <w:bCs/>
      <w:i/>
      <w:iCs/>
      <w:color w:val="555759"/>
      <w:kern w:val="28"/>
    </w:rPr>
  </w:style>
  <w:style w:type="character" w:customStyle="1" w:styleId="Heading5Char">
    <w:name w:val="Heading 5 Char"/>
    <w:aliases w:val="Append Level 1 Char"/>
    <w:basedOn w:val="DefaultParagraphFont"/>
    <w:link w:val="Heading5"/>
    <w:rsid w:val="000615C0"/>
    <w:rPr>
      <w:rFonts w:ascii="Arial" w:eastAsiaTheme="majorEastAsia" w:hAnsi="Arial" w:cstheme="majorBidi"/>
      <w:b/>
      <w:caps/>
      <w:color w:val="95D600" w:themeColor="accent1"/>
      <w:kern w:val="28"/>
      <w:sz w:val="28"/>
      <w:szCs w:val="26"/>
    </w:rPr>
  </w:style>
  <w:style w:type="character" w:customStyle="1" w:styleId="Heading6Char">
    <w:name w:val="Heading 6 Char"/>
    <w:aliases w:val="Append Level 2 Char"/>
    <w:basedOn w:val="DefaultParagraphFont"/>
    <w:link w:val="Heading6"/>
    <w:rsid w:val="00B02D3A"/>
    <w:rPr>
      <w:rFonts w:ascii="Arial" w:eastAsiaTheme="majorEastAsia" w:hAnsi="Arial" w:cstheme="majorBidi"/>
      <w:b/>
      <w:iCs/>
      <w:color w:val="555759" w:themeColor="text2"/>
      <w:kern w:val="28"/>
      <w:position w:val="6"/>
      <w:sz w:val="24"/>
      <w:szCs w:val="24"/>
    </w:rPr>
  </w:style>
  <w:style w:type="character" w:customStyle="1" w:styleId="Heading7Char">
    <w:name w:val="Heading 7 Char"/>
    <w:aliases w:val="Exec Sum Level 1 Char"/>
    <w:basedOn w:val="DefaultParagraphFont"/>
    <w:link w:val="Heading7"/>
    <w:rsid w:val="000D5F0E"/>
    <w:rPr>
      <w:rFonts w:ascii="Arial Bold" w:eastAsiaTheme="minorHAnsi" w:hAnsi="Arial Bold" w:cstheme="minorBidi"/>
      <w:b/>
      <w:caps/>
      <w:color w:val="95D600" w:themeColor="accent1"/>
      <w:sz w:val="28"/>
      <w:szCs w:val="26"/>
    </w:rPr>
  </w:style>
  <w:style w:type="character" w:customStyle="1" w:styleId="Heading8Char">
    <w:name w:val="Heading 8 Char"/>
    <w:aliases w:val="Exec Sum Level 2 Char"/>
    <w:basedOn w:val="DefaultParagraphFont"/>
    <w:link w:val="Heading8"/>
    <w:rsid w:val="00083825"/>
    <w:rPr>
      <w:rFonts w:ascii="Arial" w:eastAsiaTheme="majorEastAsia" w:hAnsi="Arial" w:cstheme="majorBidi"/>
      <w:b/>
      <w:color w:val="555759" w:themeColor="text2"/>
      <w:sz w:val="26"/>
      <w:szCs w:val="26"/>
    </w:rPr>
  </w:style>
  <w:style w:type="character" w:customStyle="1" w:styleId="Heading9Char">
    <w:name w:val="Heading 9 Char"/>
    <w:aliases w:val="Exec Sum Level 3 Char"/>
    <w:basedOn w:val="DefaultParagraphFont"/>
    <w:link w:val="Heading9"/>
    <w:rsid w:val="00083825"/>
    <w:rPr>
      <w:rFonts w:ascii="Arial" w:eastAsiaTheme="majorEastAsia" w:hAnsi="Arial" w:cstheme="majorBidi"/>
      <w:b/>
      <w:i/>
      <w:iCs/>
      <w:color w:val="555759" w:themeColor="text2"/>
      <w:sz w:val="22"/>
    </w:rPr>
  </w:style>
  <w:style w:type="paragraph" w:styleId="ListParagraph">
    <w:name w:val="List Paragraph"/>
    <w:aliases w:val="List Paragraph - RFP,Bullet Styles para,TOC etc.,Numbered Standard,Numbered Para 1,Dot pt,No Spacing1,List Paragraph Char Char Char,Indicator Text,List Paragraph1,Bullet Points,MAIN CONTENT,List Paragraph12,F5 List Paragraph,lp1,TOC style"/>
    <w:basedOn w:val="Normal"/>
    <w:link w:val="ListParagraphChar"/>
    <w:uiPriority w:val="34"/>
    <w:qFormat/>
    <w:rsid w:val="00BF64FE"/>
    <w:pPr>
      <w:spacing w:before="120"/>
      <w:ind w:left="720"/>
    </w:pPr>
  </w:style>
  <w:style w:type="table" w:styleId="TableGrid">
    <w:name w:val="Table Grid"/>
    <w:basedOn w:val="TableNormal"/>
    <w:rsid w:val="00BF64F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List7">
    <w:name w:val="Table List 7"/>
    <w:basedOn w:val="TableNormal"/>
    <w:rsid w:val="00BF64F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paragraph" w:customStyle="1" w:styleId="ExecSummaryHead1">
    <w:name w:val="Exec Summary Head 1"/>
    <w:basedOn w:val="TOCHeading"/>
    <w:next w:val="Normal"/>
    <w:link w:val="ExecSummaryHead1Char"/>
    <w:rsid w:val="008E5479"/>
    <w:rPr>
      <w:caps w:val="0"/>
    </w:rPr>
  </w:style>
  <w:style w:type="character" w:customStyle="1" w:styleId="TOCHeadingChar">
    <w:name w:val="TOC Heading Char"/>
    <w:basedOn w:val="DefaultParagraphFont"/>
    <w:link w:val="TOCHeading"/>
    <w:uiPriority w:val="39"/>
    <w:rsid w:val="00122E70"/>
    <w:rPr>
      <w:rFonts w:ascii="Arial Bold" w:eastAsiaTheme="minorHAnsi" w:hAnsi="Arial Bold" w:cstheme="minorBidi"/>
      <w:b/>
      <w:caps/>
      <w:color w:val="95D600" w:themeColor="accent1"/>
      <w:sz w:val="28"/>
      <w:szCs w:val="22"/>
    </w:rPr>
  </w:style>
  <w:style w:type="character" w:customStyle="1" w:styleId="ExecSummaryHead1Char">
    <w:name w:val="Exec Summary Head 1 Char"/>
    <w:basedOn w:val="TOCHeadingChar"/>
    <w:link w:val="ExecSummaryHead1"/>
    <w:rsid w:val="008E5479"/>
    <w:rPr>
      <w:rFonts w:ascii="Arial Bold" w:eastAsiaTheme="minorHAnsi" w:hAnsi="Arial Bold" w:cstheme="minorBidi"/>
      <w:b/>
      <w:caps/>
      <w:color w:val="555759"/>
      <w:sz w:val="28"/>
      <w:szCs w:val="22"/>
    </w:rPr>
  </w:style>
  <w:style w:type="character" w:customStyle="1" w:styleId="Heading1Char">
    <w:name w:val="Heading 1 Char"/>
    <w:basedOn w:val="DefaultParagraphFont"/>
    <w:link w:val="Heading1"/>
    <w:rsid w:val="000D5F0E"/>
    <w:rPr>
      <w:rFonts w:ascii="Arial" w:hAnsi="Arial" w:cs="Arial"/>
      <w:b/>
      <w:bCs/>
      <w:caps/>
      <w:color w:val="95D600" w:themeColor="accent1"/>
      <w:kern w:val="28"/>
      <w:position w:val="6"/>
      <w:sz w:val="28"/>
      <w:szCs w:val="26"/>
    </w:rPr>
  </w:style>
  <w:style w:type="character" w:customStyle="1" w:styleId="Heading2Char">
    <w:name w:val="Heading 2 Char"/>
    <w:basedOn w:val="DefaultParagraphFont"/>
    <w:link w:val="Heading2"/>
    <w:rsid w:val="00083825"/>
    <w:rPr>
      <w:rFonts w:ascii="Arial" w:hAnsi="Arial" w:cs="Arial"/>
      <w:b/>
      <w:bCs/>
      <w:iCs/>
      <w:color w:val="555759" w:themeColor="text2"/>
      <w:sz w:val="26"/>
      <w:szCs w:val="28"/>
    </w:rPr>
  </w:style>
  <w:style w:type="character" w:customStyle="1" w:styleId="Heading3Char">
    <w:name w:val="Heading 3 Char"/>
    <w:basedOn w:val="DefaultParagraphFont"/>
    <w:link w:val="Heading3"/>
    <w:rsid w:val="00DE346A"/>
    <w:rPr>
      <w:rFonts w:ascii="Arial" w:hAnsi="Arial" w:cs="Arial"/>
      <w:b/>
      <w:bCs/>
      <w:i/>
      <w:color w:val="555759" w:themeColor="text2"/>
      <w:sz w:val="22"/>
      <w:szCs w:val="26"/>
    </w:rPr>
  </w:style>
  <w:style w:type="character" w:styleId="PlaceholderText">
    <w:name w:val="Placeholder Text"/>
    <w:basedOn w:val="DefaultParagraphFont"/>
    <w:uiPriority w:val="99"/>
    <w:semiHidden/>
    <w:rsid w:val="00BF64FE"/>
    <w:rPr>
      <w:color w:val="808080"/>
    </w:rPr>
  </w:style>
  <w:style w:type="paragraph" w:styleId="TOC4">
    <w:name w:val="toc 4"/>
    <w:basedOn w:val="Normal"/>
    <w:next w:val="Normal"/>
    <w:autoRedefine/>
    <w:uiPriority w:val="39"/>
    <w:rsid w:val="00CB2CB8"/>
    <w:pPr>
      <w:tabs>
        <w:tab w:val="left" w:pos="2700"/>
        <w:tab w:val="right" w:leader="dot" w:pos="9278"/>
      </w:tabs>
      <w:spacing w:after="100"/>
      <w:ind w:left="2700" w:hanging="900"/>
    </w:pPr>
    <w:rPr>
      <w:i/>
      <w:noProof/>
    </w:rPr>
  </w:style>
  <w:style w:type="character" w:customStyle="1" w:styleId="CaptionChar">
    <w:name w:val="Caption Char"/>
    <w:aliases w:val="Table Caption Char,Char Char,Caption Char1 Char Char"/>
    <w:basedOn w:val="DefaultParagraphFont"/>
    <w:link w:val="Caption"/>
    <w:rsid w:val="00083825"/>
    <w:rPr>
      <w:rFonts w:ascii="Arial" w:hAnsi="Arial"/>
      <w:b/>
      <w:bCs/>
      <w:color w:val="3F4042" w:themeColor="text2" w:themeShade="BF"/>
    </w:rPr>
  </w:style>
  <w:style w:type="paragraph" w:styleId="TableofFigures">
    <w:name w:val="table of figures"/>
    <w:basedOn w:val="Normal"/>
    <w:next w:val="Normal"/>
    <w:uiPriority w:val="99"/>
    <w:rsid w:val="008E5479"/>
    <w:pPr>
      <w:tabs>
        <w:tab w:val="right" w:leader="dot" w:pos="9274"/>
      </w:tabs>
    </w:pPr>
  </w:style>
  <w:style w:type="paragraph" w:customStyle="1" w:styleId="Source">
    <w:name w:val="Source"/>
    <w:basedOn w:val="Normal"/>
    <w:link w:val="SourceChar"/>
    <w:qFormat/>
    <w:rsid w:val="00DE346A"/>
    <w:pPr>
      <w:spacing w:after="240"/>
    </w:pPr>
    <w:rPr>
      <w:i/>
      <w:color w:val="3F4042" w:themeColor="text2" w:themeShade="BF"/>
      <w:sz w:val="16"/>
      <w:szCs w:val="20"/>
    </w:rPr>
  </w:style>
  <w:style w:type="character" w:customStyle="1" w:styleId="SourceChar">
    <w:name w:val="Source Char"/>
    <w:basedOn w:val="DefaultParagraphFont"/>
    <w:link w:val="Source"/>
    <w:rsid w:val="00DE346A"/>
    <w:rPr>
      <w:rFonts w:ascii="Arial" w:hAnsi="Arial"/>
      <w:i/>
      <w:color w:val="3F4042" w:themeColor="text2" w:themeShade="BF"/>
      <w:sz w:val="16"/>
    </w:rPr>
  </w:style>
  <w:style w:type="character" w:customStyle="1" w:styleId="HeaderChar">
    <w:name w:val="Header Char"/>
    <w:basedOn w:val="DefaultParagraphFont"/>
    <w:link w:val="Header"/>
    <w:locked/>
    <w:rsid w:val="00BF64FE"/>
    <w:rPr>
      <w:rFonts w:ascii="Arial" w:hAnsi="Arial"/>
      <w:szCs w:val="24"/>
    </w:rPr>
  </w:style>
  <w:style w:type="character" w:customStyle="1" w:styleId="ListParagraphChar">
    <w:name w:val="List Paragraph Char"/>
    <w:aliases w:val="List Paragraph - RFP Char,Bullet Styles para Char,TOC etc. Char,Numbered Standard Char,Numbered Para 1 Char,Dot pt Char,No Spacing1 Char,List Paragraph Char Char Char Char,Indicator Text Char,List Paragraph1 Char,Bullet Points Char"/>
    <w:basedOn w:val="DefaultParagraphFont"/>
    <w:link w:val="ListParagraph"/>
    <w:uiPriority w:val="34"/>
    <w:locked/>
    <w:rsid w:val="00BF64FE"/>
    <w:rPr>
      <w:rFonts w:ascii="Arial" w:hAnsi="Arial"/>
      <w:szCs w:val="24"/>
    </w:rPr>
  </w:style>
  <w:style w:type="table" w:customStyle="1" w:styleId="MediumShading1-Accent61">
    <w:name w:val="Medium Shading 1 - Accent 61"/>
    <w:basedOn w:val="TableNormal"/>
    <w:next w:val="MediumShading1-Accent6"/>
    <w:uiPriority w:val="63"/>
    <w:rsid w:val="00BF64FE"/>
    <w:rPr>
      <w:rFonts w:eastAsia="Calibri"/>
    </w:rPr>
    <w:tblPr>
      <w:tblStyleRowBandSize w:val="1"/>
      <w:tblStyleColBandSize w:val="1"/>
      <w:tblBorders>
        <w:top w:val="single" w:sz="8" w:space="0" w:color="98BF1E"/>
        <w:left w:val="single" w:sz="8" w:space="0" w:color="98BF1E"/>
        <w:bottom w:val="single" w:sz="8" w:space="0" w:color="98BF1E"/>
        <w:right w:val="single" w:sz="8" w:space="0" w:color="98BF1E"/>
        <w:insideH w:val="single" w:sz="8" w:space="0" w:color="98BF1E"/>
      </w:tblBorders>
    </w:tblPr>
    <w:tblStylePr w:type="firstRow">
      <w:pPr>
        <w:spacing w:before="0" w:after="0" w:line="240" w:lineRule="auto"/>
      </w:pPr>
      <w:rPr>
        <w:b/>
        <w:bCs/>
        <w:color w:val="FFFFFF"/>
      </w:rPr>
      <w:tblPr/>
      <w:tcPr>
        <w:tcBorders>
          <w:top w:val="single" w:sz="8" w:space="0" w:color="98BF1E"/>
          <w:left w:val="single" w:sz="8" w:space="0" w:color="98BF1E"/>
          <w:bottom w:val="single" w:sz="8" w:space="0" w:color="98BF1E"/>
          <w:right w:val="single" w:sz="8" w:space="0" w:color="98BF1E"/>
          <w:insideH w:val="nil"/>
          <w:insideV w:val="nil"/>
        </w:tcBorders>
        <w:shd w:val="clear" w:color="auto" w:fill="566C11"/>
      </w:tcPr>
    </w:tblStylePr>
    <w:tblStylePr w:type="lastRow">
      <w:pPr>
        <w:spacing w:before="0" w:after="0" w:line="240" w:lineRule="auto"/>
      </w:pPr>
      <w:rPr>
        <w:b/>
        <w:bCs/>
      </w:rPr>
      <w:tblPr/>
      <w:tcPr>
        <w:tcBorders>
          <w:top w:val="double" w:sz="6" w:space="0" w:color="98BF1E"/>
          <w:left w:val="single" w:sz="8" w:space="0" w:color="98BF1E"/>
          <w:bottom w:val="single" w:sz="8" w:space="0" w:color="98BF1E"/>
          <w:right w:val="single" w:sz="8" w:space="0" w:color="98BF1E"/>
          <w:insideH w:val="nil"/>
          <w:insideV w:val="nil"/>
        </w:tcBorders>
      </w:tcPr>
    </w:tblStylePr>
    <w:tblStylePr w:type="firstCol">
      <w:rPr>
        <w:b/>
        <w:bCs/>
      </w:rPr>
    </w:tblStylePr>
    <w:tblStylePr w:type="lastCol">
      <w:rPr>
        <w:b/>
        <w:bCs/>
      </w:rPr>
    </w:tblStylePr>
    <w:tblStylePr w:type="band1Vert">
      <w:tblPr/>
      <w:tcPr>
        <w:shd w:val="clear" w:color="auto" w:fill="E1F2AC"/>
      </w:tcPr>
    </w:tblStylePr>
    <w:tblStylePr w:type="band1Horz">
      <w:tblPr/>
      <w:tcPr>
        <w:tcBorders>
          <w:insideH w:val="nil"/>
          <w:insideV w:val="nil"/>
        </w:tcBorders>
        <w:shd w:val="clear" w:color="auto" w:fill="E1F2AC"/>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F64FE"/>
    <w:tblPr>
      <w:tblStyleRowBandSize w:val="1"/>
      <w:tblStyleColBandSize w:val="1"/>
      <w:tblBorders>
        <w:top w:val="single" w:sz="8" w:space="0" w:color="FF015F" w:themeColor="accent6" w:themeTint="BF"/>
        <w:left w:val="single" w:sz="8" w:space="0" w:color="FF015F" w:themeColor="accent6" w:themeTint="BF"/>
        <w:bottom w:val="single" w:sz="8" w:space="0" w:color="FF015F" w:themeColor="accent6" w:themeTint="BF"/>
        <w:right w:val="single" w:sz="8" w:space="0" w:color="FF015F" w:themeColor="accent6" w:themeTint="BF"/>
        <w:insideH w:val="single" w:sz="8" w:space="0" w:color="FF015F" w:themeColor="accent6" w:themeTint="BF"/>
      </w:tblBorders>
    </w:tblPr>
    <w:tblStylePr w:type="firstRow">
      <w:pPr>
        <w:spacing w:before="0" w:after="0" w:line="240" w:lineRule="auto"/>
      </w:pPr>
      <w:rPr>
        <w:b/>
        <w:bCs/>
        <w:color w:val="FFFFFF" w:themeColor="background1"/>
      </w:rPr>
      <w:tblPr/>
      <w:tcPr>
        <w:tcBorders>
          <w:top w:val="single" w:sz="8" w:space="0" w:color="FF015F" w:themeColor="accent6" w:themeTint="BF"/>
          <w:left w:val="single" w:sz="8" w:space="0" w:color="FF015F" w:themeColor="accent6" w:themeTint="BF"/>
          <w:bottom w:val="single" w:sz="8" w:space="0" w:color="FF015F" w:themeColor="accent6" w:themeTint="BF"/>
          <w:right w:val="single" w:sz="8" w:space="0" w:color="FF015F" w:themeColor="accent6" w:themeTint="BF"/>
          <w:insideH w:val="nil"/>
          <w:insideV w:val="nil"/>
        </w:tcBorders>
        <w:shd w:val="clear" w:color="auto" w:fill="AC0040" w:themeFill="accent6"/>
      </w:tcPr>
    </w:tblStylePr>
    <w:tblStylePr w:type="lastRow">
      <w:pPr>
        <w:spacing w:before="0" w:after="0" w:line="240" w:lineRule="auto"/>
      </w:pPr>
      <w:rPr>
        <w:b/>
        <w:bCs/>
      </w:rPr>
      <w:tblPr/>
      <w:tcPr>
        <w:tcBorders>
          <w:top w:val="double" w:sz="6" w:space="0" w:color="FF015F" w:themeColor="accent6" w:themeTint="BF"/>
          <w:left w:val="single" w:sz="8" w:space="0" w:color="FF015F" w:themeColor="accent6" w:themeTint="BF"/>
          <w:bottom w:val="single" w:sz="8" w:space="0" w:color="FF015F" w:themeColor="accent6" w:themeTint="BF"/>
          <w:right w:val="single" w:sz="8" w:space="0" w:color="FF015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ABCA" w:themeFill="accent6" w:themeFillTint="3F"/>
      </w:tcPr>
    </w:tblStylePr>
    <w:tblStylePr w:type="band1Horz">
      <w:tblPr/>
      <w:tcPr>
        <w:tcBorders>
          <w:insideH w:val="nil"/>
          <w:insideV w:val="nil"/>
        </w:tcBorders>
        <w:shd w:val="clear" w:color="auto" w:fill="FFABCA" w:themeFill="accent6" w:themeFillTint="3F"/>
      </w:tcPr>
    </w:tblStylePr>
    <w:tblStylePr w:type="band2Horz">
      <w:tblPr/>
      <w:tcPr>
        <w:tcBorders>
          <w:insideH w:val="nil"/>
          <w:insideV w:val="nil"/>
        </w:tcBorders>
      </w:tcPr>
    </w:tblStylePr>
  </w:style>
  <w:style w:type="paragraph" w:styleId="BalloonText">
    <w:name w:val="Balloon Text"/>
    <w:basedOn w:val="Normal"/>
    <w:link w:val="BalloonTextChar"/>
    <w:rsid w:val="00BF64FE"/>
    <w:rPr>
      <w:rFonts w:ascii="Tahoma" w:hAnsi="Tahoma" w:cs="Tahoma"/>
      <w:sz w:val="16"/>
      <w:szCs w:val="16"/>
    </w:rPr>
  </w:style>
  <w:style w:type="character" w:customStyle="1" w:styleId="BalloonTextChar">
    <w:name w:val="Balloon Text Char"/>
    <w:basedOn w:val="DefaultParagraphFont"/>
    <w:link w:val="BalloonText"/>
    <w:rsid w:val="00BF64FE"/>
    <w:rPr>
      <w:rFonts w:ascii="Tahoma" w:hAnsi="Tahoma" w:cs="Tahoma"/>
      <w:sz w:val="16"/>
      <w:szCs w:val="16"/>
    </w:rPr>
  </w:style>
  <w:style w:type="paragraph" w:styleId="EndnoteText">
    <w:name w:val="endnote text"/>
    <w:basedOn w:val="Normal"/>
    <w:link w:val="EndnoteTextChar"/>
    <w:rsid w:val="00BF64FE"/>
    <w:rPr>
      <w:szCs w:val="20"/>
    </w:rPr>
  </w:style>
  <w:style w:type="character" w:customStyle="1" w:styleId="EndnoteTextChar">
    <w:name w:val="Endnote Text Char"/>
    <w:basedOn w:val="DefaultParagraphFont"/>
    <w:link w:val="EndnoteText"/>
    <w:rsid w:val="00BF64FE"/>
    <w:rPr>
      <w:rFonts w:ascii="Arial" w:hAnsi="Arial"/>
    </w:rPr>
  </w:style>
  <w:style w:type="character" w:styleId="EndnoteReference">
    <w:name w:val="endnote reference"/>
    <w:basedOn w:val="DefaultParagraphFont"/>
    <w:rsid w:val="00BF64FE"/>
    <w:rPr>
      <w:rFonts w:ascii="Arial" w:hAnsi="Arial"/>
      <w:color w:val="555759"/>
      <w:vertAlign w:val="superscript"/>
    </w:rPr>
  </w:style>
  <w:style w:type="paragraph" w:customStyle="1" w:styleId="TableBullet">
    <w:name w:val="Table Bullet"/>
    <w:basedOn w:val="ListParagraph"/>
    <w:link w:val="TableBulletChar"/>
    <w:qFormat/>
    <w:rsid w:val="00F70AB2"/>
    <w:pPr>
      <w:numPr>
        <w:numId w:val="8"/>
      </w:numPr>
      <w:spacing w:before="0"/>
      <w:contextualSpacing/>
    </w:pPr>
  </w:style>
  <w:style w:type="character" w:customStyle="1" w:styleId="TableBulletChar">
    <w:name w:val="Table Bullet Char"/>
    <w:basedOn w:val="DefaultParagraphFont"/>
    <w:link w:val="TableBullet"/>
    <w:rsid w:val="00F70AB2"/>
    <w:rPr>
      <w:rFonts w:ascii="Arial" w:hAnsi="Arial"/>
      <w:szCs w:val="24"/>
    </w:rPr>
  </w:style>
  <w:style w:type="character" w:styleId="CommentReference">
    <w:name w:val="annotation reference"/>
    <w:basedOn w:val="DefaultParagraphFont"/>
    <w:rsid w:val="008E5479"/>
    <w:rPr>
      <w:rFonts w:ascii="Arial" w:hAnsi="Arial"/>
      <w:sz w:val="16"/>
      <w:szCs w:val="16"/>
    </w:rPr>
  </w:style>
  <w:style w:type="paragraph" w:styleId="Revision">
    <w:name w:val="Revision"/>
    <w:hidden/>
    <w:uiPriority w:val="99"/>
    <w:semiHidden/>
    <w:rsid w:val="000C2CB0"/>
    <w:rPr>
      <w:rFonts w:ascii="Palatino Linotype" w:hAnsi="Palatino Linotype"/>
      <w:szCs w:val="24"/>
    </w:rPr>
  </w:style>
  <w:style w:type="paragraph" w:customStyle="1" w:styleId="FooterAddress">
    <w:name w:val="Footer Address"/>
    <w:basedOn w:val="Footer"/>
    <w:link w:val="FooterAddressChar"/>
    <w:qFormat/>
    <w:rsid w:val="00BF64FE"/>
    <w:pPr>
      <w:tabs>
        <w:tab w:val="left" w:pos="360"/>
        <w:tab w:val="left" w:pos="720"/>
        <w:tab w:val="left" w:pos="1080"/>
        <w:tab w:val="left" w:pos="1440"/>
      </w:tabs>
      <w:spacing w:line="240" w:lineRule="exact"/>
    </w:pPr>
    <w:rPr>
      <w:color w:val="555759"/>
      <w:sz w:val="16"/>
    </w:rPr>
  </w:style>
  <w:style w:type="character" w:customStyle="1" w:styleId="FooterAddressChar">
    <w:name w:val="Footer Address Char"/>
    <w:basedOn w:val="DefaultParagraphFont"/>
    <w:link w:val="FooterAddress"/>
    <w:rsid w:val="00BF64FE"/>
    <w:rPr>
      <w:rFonts w:ascii="Arial" w:hAnsi="Arial"/>
      <w:color w:val="555759"/>
      <w:sz w:val="16"/>
      <w:szCs w:val="24"/>
    </w:rPr>
  </w:style>
  <w:style w:type="paragraph" w:styleId="BodyText">
    <w:name w:val="Body Text"/>
    <w:basedOn w:val="Normal"/>
    <w:link w:val="BodyTextChar"/>
    <w:semiHidden/>
    <w:unhideWhenUsed/>
    <w:rsid w:val="00BF64FE"/>
    <w:pPr>
      <w:spacing w:after="120"/>
    </w:pPr>
  </w:style>
  <w:style w:type="character" w:customStyle="1" w:styleId="BodyTextChar">
    <w:name w:val="Body Text Char"/>
    <w:basedOn w:val="DefaultParagraphFont"/>
    <w:link w:val="BodyText"/>
    <w:semiHidden/>
    <w:rsid w:val="00BF64FE"/>
    <w:rPr>
      <w:rFonts w:ascii="Arial" w:hAnsi="Arial"/>
      <w:szCs w:val="24"/>
    </w:rPr>
  </w:style>
  <w:style w:type="character" w:customStyle="1" w:styleId="FooterChar">
    <w:name w:val="Footer Char"/>
    <w:basedOn w:val="DefaultParagraphFont"/>
    <w:link w:val="Footer"/>
    <w:uiPriority w:val="99"/>
    <w:rsid w:val="00BF64FE"/>
    <w:rPr>
      <w:rFonts w:ascii="Arial" w:hAnsi="Arial"/>
      <w:sz w:val="18"/>
      <w:szCs w:val="24"/>
    </w:rPr>
  </w:style>
  <w:style w:type="character" w:customStyle="1" w:styleId="FootnoteTextChar">
    <w:name w:val="Footnote Text Char"/>
    <w:aliases w:val="Footnote Text1 Char Char,Footnote Text Char Ch Char1,Footnote Text Char Ch Char Char Char Char,Footnote Text Char Ch Char Char Char1,Footnote Text1 Char Char Char Char,Footnote Text Char Ch Char Char1,ft Char Char,ft Char1,fn Char"/>
    <w:basedOn w:val="DefaultParagraphFont"/>
    <w:link w:val="FootnoteText"/>
    <w:uiPriority w:val="99"/>
    <w:rsid w:val="00BF64FE"/>
    <w:rPr>
      <w:rFonts w:ascii="Arial" w:hAnsi="Arial"/>
      <w:sz w:val="18"/>
    </w:rPr>
  </w:style>
  <w:style w:type="paragraph" w:customStyle="1" w:styleId="Headerinfo">
    <w:name w:val="Header info"/>
    <w:basedOn w:val="Normal"/>
    <w:qFormat/>
    <w:rsid w:val="00BF64FE"/>
    <w:pPr>
      <w:tabs>
        <w:tab w:val="right" w:pos="9000"/>
      </w:tabs>
      <w:spacing w:line="276" w:lineRule="auto"/>
    </w:pPr>
    <w:rPr>
      <w:rFonts w:cs="Arial"/>
      <w:noProof/>
      <w:color w:val="545759"/>
      <w:sz w:val="24"/>
      <w:szCs w:val="21"/>
      <w:lang w:val="fr-FR"/>
    </w:rPr>
  </w:style>
  <w:style w:type="paragraph" w:customStyle="1" w:styleId="Heading4b">
    <w:name w:val="Heading 4b"/>
    <w:basedOn w:val="Normal"/>
    <w:qFormat/>
    <w:rsid w:val="00BF64FE"/>
    <w:pPr>
      <w:keepNext/>
      <w:tabs>
        <w:tab w:val="num" w:pos="720"/>
        <w:tab w:val="left" w:pos="1080"/>
        <w:tab w:val="left" w:pos="1440"/>
      </w:tabs>
      <w:spacing w:before="240" w:after="240" w:line="240" w:lineRule="auto"/>
      <w:outlineLvl w:val="3"/>
    </w:pPr>
    <w:rPr>
      <w:rFonts w:ascii="Arial Narrow" w:hAnsi="Arial Narrow"/>
      <w:b/>
      <w:bCs/>
      <w:i/>
      <w:color w:val="6F6754"/>
    </w:rPr>
  </w:style>
  <w:style w:type="paragraph" w:customStyle="1" w:styleId="ResumeBullet">
    <w:name w:val="Resume Bullet"/>
    <w:basedOn w:val="BodyText"/>
    <w:link w:val="ResumeBulletChar"/>
    <w:autoRedefine/>
    <w:rsid w:val="00BF64FE"/>
    <w:pPr>
      <w:keepLines/>
      <w:numPr>
        <w:numId w:val="7"/>
      </w:numPr>
      <w:spacing w:after="240" w:line="240" w:lineRule="auto"/>
    </w:pPr>
    <w:rPr>
      <w:bCs/>
      <w:color w:val="545759"/>
      <w:szCs w:val="20"/>
      <w:lang w:val="en-GB" w:eastAsia="x-none"/>
    </w:rPr>
  </w:style>
  <w:style w:type="character" w:customStyle="1" w:styleId="ResumeBulletChar">
    <w:name w:val="Resume Bullet Char"/>
    <w:link w:val="ResumeBullet"/>
    <w:rsid w:val="00BF64FE"/>
    <w:rPr>
      <w:rFonts w:ascii="Arial" w:hAnsi="Arial"/>
      <w:bCs/>
      <w:color w:val="545759"/>
      <w:lang w:val="en-GB" w:eastAsia="x-none"/>
    </w:rPr>
  </w:style>
  <w:style w:type="paragraph" w:customStyle="1" w:styleId="SectionHeading">
    <w:name w:val="Section Heading"/>
    <w:basedOn w:val="Normal"/>
    <w:autoRedefine/>
    <w:qFormat/>
    <w:rsid w:val="00BF64FE"/>
    <w:pPr>
      <w:keepNext/>
      <w:pBdr>
        <w:top w:val="single" w:sz="4" w:space="1" w:color="95D600"/>
        <w:left w:val="single" w:sz="4" w:space="4" w:color="95D600"/>
        <w:bottom w:val="single" w:sz="4" w:space="1" w:color="95D600"/>
        <w:right w:val="single" w:sz="4" w:space="4" w:color="95D600"/>
      </w:pBdr>
      <w:shd w:val="clear" w:color="auto" w:fill="95D600"/>
      <w:spacing w:before="240" w:after="120" w:line="276" w:lineRule="auto"/>
    </w:pPr>
    <w:rPr>
      <w:rFonts w:eastAsia="Calibri" w:cs="Arial"/>
      <w:b/>
      <w:bCs/>
      <w:color w:val="FFFFFF" w:themeColor="background1"/>
      <w:szCs w:val="22"/>
      <w:lang w:val="en-GB"/>
    </w:rPr>
  </w:style>
  <w:style w:type="paragraph" w:customStyle="1" w:styleId="SubHeaderBold">
    <w:name w:val="Sub Header Bold"/>
    <w:basedOn w:val="Normal"/>
    <w:qFormat/>
    <w:rsid w:val="005426E4"/>
    <w:pPr>
      <w:spacing w:after="120" w:line="240" w:lineRule="auto"/>
      <w:ind w:left="360" w:hanging="360"/>
    </w:pPr>
    <w:rPr>
      <w:rFonts w:cs="Arial"/>
      <w:b/>
      <w:noProof/>
      <w:sz w:val="28"/>
      <w:szCs w:val="22"/>
      <w:lang w:val="en-GB"/>
    </w:rPr>
  </w:style>
  <w:style w:type="character" w:customStyle="1" w:styleId="SubtitleChar">
    <w:name w:val="Subtitle Char"/>
    <w:basedOn w:val="DefaultParagraphFont"/>
    <w:link w:val="Subtitle"/>
    <w:uiPriority w:val="11"/>
    <w:rsid w:val="008C7CE0"/>
    <w:rPr>
      <w:rFonts w:ascii="Arial" w:eastAsiaTheme="minorEastAsia" w:hAnsi="Arial" w:cstheme="minorBidi"/>
      <w:b/>
      <w:color w:val="5A5A5A" w:themeColor="text1" w:themeTint="A5"/>
      <w:spacing w:val="15"/>
      <w:sz w:val="28"/>
      <w:szCs w:val="22"/>
    </w:rPr>
  </w:style>
  <w:style w:type="character" w:customStyle="1" w:styleId="ProposalBodyHeading">
    <w:name w:val="Proposal Body Heading"/>
    <w:basedOn w:val="DefaultParagraphFont"/>
    <w:uiPriority w:val="1"/>
    <w:qFormat/>
    <w:rsid w:val="00C51EF9"/>
    <w:rPr>
      <w:rFonts w:ascii="Arial" w:hAnsi="Arial"/>
      <w:b/>
      <w:color w:val="555759"/>
      <w:sz w:val="22"/>
    </w:rPr>
  </w:style>
  <w:style w:type="character" w:customStyle="1" w:styleId="TitleChar">
    <w:name w:val="Title Char"/>
    <w:aliases w:val="Proposal Title Char"/>
    <w:basedOn w:val="DefaultParagraphFont"/>
    <w:link w:val="Title"/>
    <w:uiPriority w:val="10"/>
    <w:rsid w:val="00C51EF9"/>
    <w:rPr>
      <w:rFonts w:ascii="Arial" w:eastAsiaTheme="majorEastAsia" w:hAnsi="Arial" w:cstheme="majorBidi"/>
      <w:b/>
      <w:color w:val="95D600" w:themeColor="accent1"/>
      <w:spacing w:val="-10"/>
      <w:kern w:val="28"/>
      <w:sz w:val="48"/>
      <w:szCs w:val="56"/>
    </w:rPr>
  </w:style>
  <w:style w:type="character" w:customStyle="1" w:styleId="TOC1Char">
    <w:name w:val="TOC 1 Char"/>
    <w:basedOn w:val="DefaultParagraphFont"/>
    <w:link w:val="TOC1"/>
    <w:uiPriority w:val="39"/>
    <w:rsid w:val="00E03BEE"/>
    <w:rPr>
      <w:rFonts w:ascii="Arial" w:eastAsiaTheme="minorHAnsi" w:hAnsi="Arial" w:cstheme="minorBidi"/>
      <w:b/>
      <w:color w:val="555759" w:themeColor="text2"/>
      <w:sz w:val="24"/>
      <w:szCs w:val="22"/>
    </w:rPr>
  </w:style>
  <w:style w:type="table" w:customStyle="1" w:styleId="TableGrid1">
    <w:name w:val="Table Grid1"/>
    <w:basedOn w:val="TableNormal"/>
    <w:next w:val="TableGrid"/>
    <w:uiPriority w:val="39"/>
    <w:rsid w:val="004626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rsid w:val="00646E97"/>
    <w:rPr>
      <w:rFonts w:ascii="Arial" w:hAnsi="Arial"/>
    </w:rPr>
    <w:tblPr>
      <w:tblStyleRowBandSize w:val="1"/>
      <w:tblStyleColBandSize w:val="1"/>
      <w:tblBorders>
        <w:top w:val="single" w:sz="4" w:space="0" w:color="95D600" w:themeColor="accent1"/>
        <w:bottom w:val="single" w:sz="4" w:space="0" w:color="95D600" w:themeColor="accent1"/>
        <w:insideH w:val="single" w:sz="4" w:space="0" w:color="95D600" w:themeColor="accent1"/>
      </w:tblBorders>
    </w:tblPr>
    <w:tblStylePr w:type="firstRow">
      <w:rPr>
        <w:b/>
        <w:bCs/>
        <w:color w:val="FFFFFF" w:themeColor="background1"/>
      </w:rPr>
      <w:tblPr/>
      <w:tcPr>
        <w:shd w:val="clear" w:color="auto" w:fill="95D600" w:themeFill="accent1"/>
      </w:tcPr>
    </w:tblStylePr>
    <w:tblStylePr w:type="lastRow">
      <w:rPr>
        <w:b/>
        <w:bCs/>
      </w:rPr>
      <w:tblPr/>
      <w:tcPr>
        <w:tcBorders>
          <w:top w:val="double" w:sz="4" w:space="0" w:color="95D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5D600" w:themeColor="accent1"/>
          <w:right w:val="single" w:sz="4" w:space="0" w:color="95D600" w:themeColor="accent1"/>
        </w:tcBorders>
      </w:tcPr>
    </w:tblStylePr>
    <w:tblStylePr w:type="band1Horz">
      <w:tblPr/>
      <w:tcPr>
        <w:tcBorders>
          <w:top w:val="single" w:sz="4" w:space="0" w:color="95D600" w:themeColor="accent1"/>
          <w:bottom w:val="single" w:sz="4" w:space="0" w:color="95D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5D600" w:themeColor="accent1"/>
          <w:left w:val="nil"/>
        </w:tcBorders>
      </w:tcPr>
    </w:tblStylePr>
    <w:tblStylePr w:type="swCell">
      <w:tblPr/>
      <w:tcPr>
        <w:tcBorders>
          <w:top w:val="double" w:sz="4" w:space="0" w:color="95D600" w:themeColor="accent1"/>
          <w:right w:val="nil"/>
        </w:tcBorders>
      </w:tcPr>
    </w:tblStylePr>
  </w:style>
  <w:style w:type="paragraph" w:customStyle="1" w:styleId="ResumeSubHead">
    <w:name w:val="Resume Sub Head"/>
    <w:basedOn w:val="Normal"/>
    <w:qFormat/>
    <w:rsid w:val="00C551A8"/>
    <w:pPr>
      <w:spacing w:after="120" w:line="276" w:lineRule="auto"/>
      <w:ind w:left="360" w:hanging="360"/>
    </w:pPr>
    <w:rPr>
      <w:rFonts w:cs="Arial"/>
      <w:b/>
      <w:szCs w:val="22"/>
      <w:lang w:val="en-GB"/>
    </w:rPr>
  </w:style>
  <w:style w:type="paragraph" w:customStyle="1" w:styleId="ResumeParagraphText">
    <w:name w:val="Resume Paragraph Text"/>
    <w:basedOn w:val="Normal"/>
    <w:link w:val="ResumeParagraphTextChar"/>
    <w:qFormat/>
    <w:rsid w:val="00252CCD"/>
    <w:pPr>
      <w:spacing w:line="276" w:lineRule="auto"/>
    </w:pPr>
    <w:rPr>
      <w:szCs w:val="20"/>
      <w:lang w:val="en-GB"/>
    </w:rPr>
  </w:style>
  <w:style w:type="character" w:customStyle="1" w:styleId="ResumeParagraphTextChar">
    <w:name w:val="Resume Paragraph Text Char"/>
    <w:basedOn w:val="DefaultParagraphFont"/>
    <w:link w:val="ResumeParagraphText"/>
    <w:rsid w:val="00252CCD"/>
    <w:rPr>
      <w:rFonts w:ascii="Arial" w:hAnsi="Arial"/>
      <w:color w:val="555759" w:themeColor="text2"/>
      <w:sz w:val="22"/>
      <w:lang w:val="en-GB"/>
    </w:rPr>
  </w:style>
  <w:style w:type="paragraph" w:styleId="NoSpacing">
    <w:name w:val="No Spacing"/>
    <w:uiPriority w:val="1"/>
    <w:qFormat/>
    <w:rsid w:val="00263755"/>
    <w:pPr>
      <w:widowControl w:val="0"/>
    </w:pPr>
    <w:rPr>
      <w:rFonts w:ascii="Arial" w:eastAsiaTheme="minorHAnsi" w:hAnsi="Arial" w:cstheme="minorBidi"/>
      <w:color w:val="555759" w:themeColor="text2"/>
      <w:sz w:val="22"/>
      <w:szCs w:val="22"/>
    </w:rPr>
  </w:style>
  <w:style w:type="paragraph" w:customStyle="1" w:styleId="ProposalTitleGreen">
    <w:name w:val="Proposal Title Green"/>
    <w:basedOn w:val="Header"/>
    <w:link w:val="ProposalTitleGreenChar"/>
    <w:qFormat/>
    <w:rsid w:val="00263755"/>
    <w:pPr>
      <w:widowControl w:val="0"/>
      <w:tabs>
        <w:tab w:val="clear" w:pos="4320"/>
        <w:tab w:val="clear" w:pos="8640"/>
      </w:tabs>
      <w:spacing w:before="240" w:after="240" w:line="240" w:lineRule="auto"/>
    </w:pPr>
    <w:rPr>
      <w:rFonts w:eastAsiaTheme="minorHAnsi" w:cstheme="minorBidi"/>
      <w:b/>
      <w:color w:val="95D600"/>
      <w:sz w:val="24"/>
      <w:szCs w:val="22"/>
    </w:rPr>
  </w:style>
  <w:style w:type="character" w:customStyle="1" w:styleId="ProposalTitleGreenChar">
    <w:name w:val="Proposal Title Green Char"/>
    <w:basedOn w:val="HeaderChar"/>
    <w:link w:val="ProposalTitleGreen"/>
    <w:rsid w:val="00263755"/>
    <w:rPr>
      <w:rFonts w:ascii="Arial" w:eastAsiaTheme="minorHAnsi" w:hAnsi="Arial" w:cstheme="minorBidi"/>
      <w:b/>
      <w:color w:val="95D600"/>
      <w:sz w:val="24"/>
      <w:szCs w:val="22"/>
    </w:rPr>
  </w:style>
  <w:style w:type="table" w:customStyle="1" w:styleId="EnergyTable">
    <w:name w:val="Energy Table"/>
    <w:basedOn w:val="TableNormal"/>
    <w:uiPriority w:val="99"/>
    <w:qFormat/>
    <w:rsid w:val="00DE346A"/>
    <w:pPr>
      <w:spacing w:before="40" w:after="40"/>
      <w:jc w:val="center"/>
    </w:pPr>
    <w:rPr>
      <w:rFonts w:ascii="Arial" w:hAnsi="Arial"/>
    </w:rPr>
    <w:tblPr>
      <w:tblStyleRowBandSize w:val="1"/>
      <w:jc w:val="center"/>
      <w:tblBorders>
        <w:bottom w:val="single" w:sz="8" w:space="0" w:color="555759" w:themeColor="text2"/>
        <w:insideH w:val="single" w:sz="4" w:space="0" w:color="DCDDDE" w:themeColor="text2" w:themeTint="33"/>
      </w:tblBorders>
    </w:tblPr>
    <w:trPr>
      <w:cantSplit/>
      <w:jc w:val="center"/>
    </w:trPr>
    <w:tcPr>
      <w:vAlign w:val="center"/>
    </w:tcPr>
    <w:tblStylePr w:type="firstRow">
      <w:pPr>
        <w:jc w:val="center"/>
      </w:pPr>
      <w:rPr>
        <w:rFonts w:ascii="Arial" w:hAnsi="Arial"/>
        <w:b/>
        <w:color w:val="FFFFFF" w:themeColor="background1"/>
        <w:sz w:val="20"/>
      </w:rPr>
      <w:tblPr/>
      <w:tcPr>
        <w:tcBorders>
          <w:top w:val="nil"/>
          <w:left w:val="nil"/>
          <w:bottom w:val="single" w:sz="12" w:space="0" w:color="95D600" w:themeColor="accent1"/>
          <w:right w:val="nil"/>
          <w:insideH w:val="nil"/>
          <w:insideV w:val="nil"/>
          <w:tl2br w:val="nil"/>
          <w:tr2bl w:val="nil"/>
        </w:tcBorders>
        <w:shd w:val="clear" w:color="auto" w:fill="555759" w:themeFill="text2"/>
      </w:tcPr>
    </w:tblStylePr>
    <w:tblStylePr w:type="lastRow">
      <w:pPr>
        <w:jc w:val="center"/>
      </w:pPr>
      <w:rPr>
        <w:rFonts w:ascii="Arial Narrow" w:hAnsi="Arial Narrow"/>
        <w:b/>
      </w:rPr>
      <w:tblPr/>
      <w:tcPr>
        <w:tcBorders>
          <w:top w:val="double" w:sz="4" w:space="0" w:color="545759"/>
          <w:bottom w:val="single" w:sz="4" w:space="0" w:color="545759"/>
        </w:tcBorders>
      </w:tcPr>
    </w:tblStylePr>
    <w:tblStylePr w:type="firstCol">
      <w:rPr>
        <w:rFonts w:ascii="Palatino Linotype" w:hAnsi="Palatino Linotype"/>
        <w:b w:val="0"/>
        <w:color w:val="auto"/>
      </w:rPr>
    </w:tblStylePr>
    <w:tblStylePr w:type="band1Horz">
      <w:pPr>
        <w:jc w:val="center"/>
      </w:pPr>
      <w:tblPr/>
      <w:tcPr>
        <w:vAlign w:val="center"/>
      </w:tcPr>
    </w:tblStylePr>
    <w:tblStylePr w:type="band2Horz">
      <w:pPr>
        <w:jc w:val="center"/>
      </w:pPr>
      <w:tblPr/>
      <w:tcPr>
        <w:shd w:val="clear" w:color="auto" w:fill="FFFFFF" w:themeFill="background1"/>
      </w:tcPr>
    </w:tblStylePr>
  </w:style>
  <w:style w:type="paragraph" w:styleId="CommentText">
    <w:name w:val="annotation text"/>
    <w:basedOn w:val="Normal"/>
    <w:link w:val="CommentTextChar"/>
    <w:semiHidden/>
    <w:unhideWhenUsed/>
    <w:rsid w:val="007C0AA3"/>
    <w:pPr>
      <w:spacing w:line="240" w:lineRule="auto"/>
    </w:pPr>
    <w:rPr>
      <w:szCs w:val="20"/>
    </w:rPr>
  </w:style>
  <w:style w:type="character" w:customStyle="1" w:styleId="CommentTextChar">
    <w:name w:val="Comment Text Char"/>
    <w:basedOn w:val="DefaultParagraphFont"/>
    <w:link w:val="CommentText"/>
    <w:semiHidden/>
    <w:rsid w:val="007C0AA3"/>
    <w:rPr>
      <w:rFonts w:ascii="Arial" w:hAnsi="Arial"/>
    </w:rPr>
  </w:style>
  <w:style w:type="paragraph" w:styleId="CommentSubject">
    <w:name w:val="annotation subject"/>
    <w:basedOn w:val="CommentText"/>
    <w:next w:val="CommentText"/>
    <w:link w:val="CommentSubjectChar"/>
    <w:semiHidden/>
    <w:unhideWhenUsed/>
    <w:rsid w:val="007C0AA3"/>
    <w:rPr>
      <w:b/>
      <w:bCs/>
    </w:rPr>
  </w:style>
  <w:style w:type="character" w:customStyle="1" w:styleId="CommentSubjectChar">
    <w:name w:val="Comment Subject Char"/>
    <w:basedOn w:val="CommentTextChar"/>
    <w:link w:val="CommentSubject"/>
    <w:semiHidden/>
    <w:rsid w:val="007C0AA3"/>
    <w:rPr>
      <w:rFonts w:ascii="Arial" w:hAnsi="Arial"/>
      <w:b/>
      <w:bCs/>
    </w:rPr>
  </w:style>
  <w:style w:type="paragraph" w:customStyle="1" w:styleId="MTDisplayEquation">
    <w:name w:val="MTDisplayEquation"/>
    <w:basedOn w:val="Normal"/>
    <w:next w:val="Normal"/>
    <w:link w:val="MTDisplayEquationChar"/>
    <w:rsid w:val="00550AB7"/>
    <w:pPr>
      <w:tabs>
        <w:tab w:val="center" w:pos="4640"/>
        <w:tab w:val="right" w:pos="9280"/>
      </w:tabs>
      <w:spacing w:line="240" w:lineRule="auto"/>
    </w:pPr>
    <w:rPr>
      <w:rFonts w:ascii="Palatino Linotype" w:hAnsi="Palatino Linotype"/>
    </w:rPr>
  </w:style>
  <w:style w:type="character" w:customStyle="1" w:styleId="MTDisplayEquationChar">
    <w:name w:val="MTDisplayEquation Char"/>
    <w:basedOn w:val="DefaultParagraphFont"/>
    <w:link w:val="MTDisplayEquation"/>
    <w:rsid w:val="00550AB7"/>
    <w:rPr>
      <w:rFonts w:ascii="Palatino Linotype" w:hAnsi="Palatino Linotype"/>
      <w:szCs w:val="24"/>
    </w:rPr>
  </w:style>
  <w:style w:type="character" w:customStyle="1" w:styleId="MTEquationSection">
    <w:name w:val="MTEquationSection"/>
    <w:basedOn w:val="DefaultParagraphFont"/>
    <w:rsid w:val="00812854"/>
    <w:rPr>
      <w:vanish/>
      <w:color w:val="FF0000"/>
    </w:rPr>
  </w:style>
  <w:style w:type="character" w:styleId="UnresolvedMention">
    <w:name w:val="Unresolved Mention"/>
    <w:basedOn w:val="DefaultParagraphFont"/>
    <w:uiPriority w:val="99"/>
    <w:semiHidden/>
    <w:unhideWhenUsed/>
    <w:rsid w:val="00DC34FA"/>
    <w:rPr>
      <w:color w:val="605E5C"/>
      <w:shd w:val="clear" w:color="auto" w:fill="E1DFDD"/>
    </w:rPr>
  </w:style>
  <w:style w:type="character" w:styleId="FollowedHyperlink">
    <w:name w:val="FollowedHyperlink"/>
    <w:basedOn w:val="DefaultParagraphFont"/>
    <w:semiHidden/>
    <w:unhideWhenUsed/>
    <w:rsid w:val="00964F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00921">
      <w:bodyDiv w:val="1"/>
      <w:marLeft w:val="0"/>
      <w:marRight w:val="0"/>
      <w:marTop w:val="0"/>
      <w:marBottom w:val="0"/>
      <w:divBdr>
        <w:top w:val="none" w:sz="0" w:space="0" w:color="auto"/>
        <w:left w:val="none" w:sz="0" w:space="0" w:color="auto"/>
        <w:bottom w:val="none" w:sz="0" w:space="0" w:color="auto"/>
        <w:right w:val="none" w:sz="0" w:space="0" w:color="auto"/>
      </w:divBdr>
    </w:div>
    <w:div w:id="70934472">
      <w:bodyDiv w:val="1"/>
      <w:marLeft w:val="0"/>
      <w:marRight w:val="0"/>
      <w:marTop w:val="0"/>
      <w:marBottom w:val="0"/>
      <w:divBdr>
        <w:top w:val="none" w:sz="0" w:space="0" w:color="auto"/>
        <w:left w:val="none" w:sz="0" w:space="0" w:color="auto"/>
        <w:bottom w:val="none" w:sz="0" w:space="0" w:color="auto"/>
        <w:right w:val="none" w:sz="0" w:space="0" w:color="auto"/>
      </w:divBdr>
    </w:div>
    <w:div w:id="344089639">
      <w:bodyDiv w:val="1"/>
      <w:marLeft w:val="0"/>
      <w:marRight w:val="0"/>
      <w:marTop w:val="0"/>
      <w:marBottom w:val="0"/>
      <w:divBdr>
        <w:top w:val="none" w:sz="0" w:space="0" w:color="auto"/>
        <w:left w:val="none" w:sz="0" w:space="0" w:color="auto"/>
        <w:bottom w:val="none" w:sz="0" w:space="0" w:color="auto"/>
        <w:right w:val="none" w:sz="0" w:space="0" w:color="auto"/>
      </w:divBdr>
    </w:div>
    <w:div w:id="350573516">
      <w:bodyDiv w:val="1"/>
      <w:marLeft w:val="0"/>
      <w:marRight w:val="0"/>
      <w:marTop w:val="0"/>
      <w:marBottom w:val="0"/>
      <w:divBdr>
        <w:top w:val="none" w:sz="0" w:space="0" w:color="auto"/>
        <w:left w:val="none" w:sz="0" w:space="0" w:color="auto"/>
        <w:bottom w:val="none" w:sz="0" w:space="0" w:color="auto"/>
        <w:right w:val="none" w:sz="0" w:space="0" w:color="auto"/>
      </w:divBdr>
    </w:div>
    <w:div w:id="354159498">
      <w:bodyDiv w:val="1"/>
      <w:marLeft w:val="0"/>
      <w:marRight w:val="0"/>
      <w:marTop w:val="0"/>
      <w:marBottom w:val="0"/>
      <w:divBdr>
        <w:top w:val="none" w:sz="0" w:space="0" w:color="auto"/>
        <w:left w:val="none" w:sz="0" w:space="0" w:color="auto"/>
        <w:bottom w:val="none" w:sz="0" w:space="0" w:color="auto"/>
        <w:right w:val="none" w:sz="0" w:space="0" w:color="auto"/>
      </w:divBdr>
      <w:divsChild>
        <w:div w:id="511917668">
          <w:marLeft w:val="136"/>
          <w:marRight w:val="136"/>
          <w:marTop w:val="204"/>
          <w:marBottom w:val="0"/>
          <w:divBdr>
            <w:top w:val="none" w:sz="0" w:space="0" w:color="auto"/>
            <w:left w:val="none" w:sz="0" w:space="0" w:color="auto"/>
            <w:bottom w:val="none" w:sz="0" w:space="0" w:color="auto"/>
            <w:right w:val="none" w:sz="0" w:space="0" w:color="auto"/>
          </w:divBdr>
          <w:divsChild>
            <w:div w:id="147282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039157">
      <w:bodyDiv w:val="1"/>
      <w:marLeft w:val="0"/>
      <w:marRight w:val="0"/>
      <w:marTop w:val="0"/>
      <w:marBottom w:val="0"/>
      <w:divBdr>
        <w:top w:val="none" w:sz="0" w:space="0" w:color="auto"/>
        <w:left w:val="none" w:sz="0" w:space="0" w:color="auto"/>
        <w:bottom w:val="none" w:sz="0" w:space="0" w:color="auto"/>
        <w:right w:val="none" w:sz="0" w:space="0" w:color="auto"/>
      </w:divBdr>
    </w:div>
    <w:div w:id="624820892">
      <w:bodyDiv w:val="1"/>
      <w:marLeft w:val="0"/>
      <w:marRight w:val="0"/>
      <w:marTop w:val="0"/>
      <w:marBottom w:val="0"/>
      <w:divBdr>
        <w:top w:val="none" w:sz="0" w:space="0" w:color="auto"/>
        <w:left w:val="none" w:sz="0" w:space="0" w:color="auto"/>
        <w:bottom w:val="none" w:sz="0" w:space="0" w:color="auto"/>
        <w:right w:val="none" w:sz="0" w:space="0" w:color="auto"/>
      </w:divBdr>
    </w:div>
    <w:div w:id="816923164">
      <w:bodyDiv w:val="1"/>
      <w:marLeft w:val="0"/>
      <w:marRight w:val="0"/>
      <w:marTop w:val="0"/>
      <w:marBottom w:val="0"/>
      <w:divBdr>
        <w:top w:val="none" w:sz="0" w:space="0" w:color="auto"/>
        <w:left w:val="none" w:sz="0" w:space="0" w:color="auto"/>
        <w:bottom w:val="none" w:sz="0" w:space="0" w:color="auto"/>
        <w:right w:val="none" w:sz="0" w:space="0" w:color="auto"/>
      </w:divBdr>
    </w:div>
    <w:div w:id="901326471">
      <w:bodyDiv w:val="1"/>
      <w:marLeft w:val="0"/>
      <w:marRight w:val="0"/>
      <w:marTop w:val="0"/>
      <w:marBottom w:val="0"/>
      <w:divBdr>
        <w:top w:val="none" w:sz="0" w:space="0" w:color="auto"/>
        <w:left w:val="none" w:sz="0" w:space="0" w:color="auto"/>
        <w:bottom w:val="none" w:sz="0" w:space="0" w:color="auto"/>
        <w:right w:val="none" w:sz="0" w:space="0" w:color="auto"/>
      </w:divBdr>
    </w:div>
    <w:div w:id="911231929">
      <w:bodyDiv w:val="1"/>
      <w:marLeft w:val="0"/>
      <w:marRight w:val="0"/>
      <w:marTop w:val="0"/>
      <w:marBottom w:val="0"/>
      <w:divBdr>
        <w:top w:val="none" w:sz="0" w:space="0" w:color="auto"/>
        <w:left w:val="none" w:sz="0" w:space="0" w:color="auto"/>
        <w:bottom w:val="none" w:sz="0" w:space="0" w:color="auto"/>
        <w:right w:val="none" w:sz="0" w:space="0" w:color="auto"/>
      </w:divBdr>
    </w:div>
    <w:div w:id="1002852267">
      <w:bodyDiv w:val="1"/>
      <w:marLeft w:val="0"/>
      <w:marRight w:val="0"/>
      <w:marTop w:val="0"/>
      <w:marBottom w:val="0"/>
      <w:divBdr>
        <w:top w:val="none" w:sz="0" w:space="0" w:color="auto"/>
        <w:left w:val="none" w:sz="0" w:space="0" w:color="auto"/>
        <w:bottom w:val="none" w:sz="0" w:space="0" w:color="auto"/>
        <w:right w:val="none" w:sz="0" w:space="0" w:color="auto"/>
      </w:divBdr>
    </w:div>
    <w:div w:id="1219048300">
      <w:bodyDiv w:val="1"/>
      <w:marLeft w:val="0"/>
      <w:marRight w:val="0"/>
      <w:marTop w:val="0"/>
      <w:marBottom w:val="0"/>
      <w:divBdr>
        <w:top w:val="none" w:sz="0" w:space="0" w:color="auto"/>
        <w:left w:val="none" w:sz="0" w:space="0" w:color="auto"/>
        <w:bottom w:val="none" w:sz="0" w:space="0" w:color="auto"/>
        <w:right w:val="none" w:sz="0" w:space="0" w:color="auto"/>
      </w:divBdr>
    </w:div>
    <w:div w:id="1225681921">
      <w:bodyDiv w:val="1"/>
      <w:marLeft w:val="0"/>
      <w:marRight w:val="0"/>
      <w:marTop w:val="0"/>
      <w:marBottom w:val="0"/>
      <w:divBdr>
        <w:top w:val="none" w:sz="0" w:space="0" w:color="auto"/>
        <w:left w:val="none" w:sz="0" w:space="0" w:color="auto"/>
        <w:bottom w:val="none" w:sz="0" w:space="0" w:color="auto"/>
        <w:right w:val="none" w:sz="0" w:space="0" w:color="auto"/>
      </w:divBdr>
    </w:div>
    <w:div w:id="1268007235">
      <w:bodyDiv w:val="1"/>
      <w:marLeft w:val="0"/>
      <w:marRight w:val="0"/>
      <w:marTop w:val="0"/>
      <w:marBottom w:val="0"/>
      <w:divBdr>
        <w:top w:val="none" w:sz="0" w:space="0" w:color="auto"/>
        <w:left w:val="none" w:sz="0" w:space="0" w:color="auto"/>
        <w:bottom w:val="none" w:sz="0" w:space="0" w:color="auto"/>
        <w:right w:val="none" w:sz="0" w:space="0" w:color="auto"/>
      </w:divBdr>
    </w:div>
    <w:div w:id="1277176999">
      <w:bodyDiv w:val="1"/>
      <w:marLeft w:val="0"/>
      <w:marRight w:val="0"/>
      <w:marTop w:val="0"/>
      <w:marBottom w:val="0"/>
      <w:divBdr>
        <w:top w:val="none" w:sz="0" w:space="0" w:color="auto"/>
        <w:left w:val="none" w:sz="0" w:space="0" w:color="auto"/>
        <w:bottom w:val="none" w:sz="0" w:space="0" w:color="auto"/>
        <w:right w:val="none" w:sz="0" w:space="0" w:color="auto"/>
      </w:divBdr>
    </w:div>
    <w:div w:id="1349602182">
      <w:bodyDiv w:val="1"/>
      <w:marLeft w:val="0"/>
      <w:marRight w:val="0"/>
      <w:marTop w:val="0"/>
      <w:marBottom w:val="0"/>
      <w:divBdr>
        <w:top w:val="none" w:sz="0" w:space="0" w:color="auto"/>
        <w:left w:val="none" w:sz="0" w:space="0" w:color="auto"/>
        <w:bottom w:val="none" w:sz="0" w:space="0" w:color="auto"/>
        <w:right w:val="none" w:sz="0" w:space="0" w:color="auto"/>
      </w:divBdr>
      <w:divsChild>
        <w:div w:id="629480102">
          <w:marLeft w:val="0"/>
          <w:marRight w:val="0"/>
          <w:marTop w:val="0"/>
          <w:marBottom w:val="0"/>
          <w:divBdr>
            <w:top w:val="none" w:sz="0" w:space="0" w:color="auto"/>
            <w:left w:val="none" w:sz="0" w:space="0" w:color="auto"/>
            <w:bottom w:val="none" w:sz="0" w:space="0" w:color="auto"/>
            <w:right w:val="none" w:sz="0" w:space="0" w:color="auto"/>
          </w:divBdr>
          <w:divsChild>
            <w:div w:id="563764185">
              <w:marLeft w:val="0"/>
              <w:marRight w:val="0"/>
              <w:marTop w:val="0"/>
              <w:marBottom w:val="0"/>
              <w:divBdr>
                <w:top w:val="none" w:sz="0" w:space="0" w:color="auto"/>
                <w:left w:val="none" w:sz="0" w:space="0" w:color="auto"/>
                <w:bottom w:val="none" w:sz="0" w:space="0" w:color="auto"/>
                <w:right w:val="none" w:sz="0" w:space="0" w:color="auto"/>
              </w:divBdr>
              <w:divsChild>
                <w:div w:id="274101921">
                  <w:marLeft w:val="0"/>
                  <w:marRight w:val="0"/>
                  <w:marTop w:val="0"/>
                  <w:marBottom w:val="150"/>
                  <w:divBdr>
                    <w:top w:val="none" w:sz="0" w:space="0" w:color="auto"/>
                    <w:left w:val="none" w:sz="0" w:space="0" w:color="auto"/>
                    <w:bottom w:val="none" w:sz="0" w:space="0" w:color="auto"/>
                    <w:right w:val="none" w:sz="0" w:space="0" w:color="auto"/>
                  </w:divBdr>
                  <w:divsChild>
                    <w:div w:id="1461462266">
                      <w:marLeft w:val="0"/>
                      <w:marRight w:val="0"/>
                      <w:marTop w:val="0"/>
                      <w:marBottom w:val="1200"/>
                      <w:divBdr>
                        <w:top w:val="none" w:sz="0" w:space="0" w:color="auto"/>
                        <w:left w:val="none" w:sz="0" w:space="0" w:color="auto"/>
                        <w:bottom w:val="none" w:sz="0" w:space="0" w:color="auto"/>
                        <w:right w:val="none" w:sz="0" w:space="0" w:color="auto"/>
                      </w:divBdr>
                    </w:div>
                  </w:divsChild>
                </w:div>
              </w:divsChild>
            </w:div>
          </w:divsChild>
        </w:div>
      </w:divsChild>
    </w:div>
    <w:div w:id="1362705848">
      <w:bodyDiv w:val="1"/>
      <w:marLeft w:val="0"/>
      <w:marRight w:val="0"/>
      <w:marTop w:val="0"/>
      <w:marBottom w:val="0"/>
      <w:divBdr>
        <w:top w:val="none" w:sz="0" w:space="0" w:color="auto"/>
        <w:left w:val="none" w:sz="0" w:space="0" w:color="auto"/>
        <w:bottom w:val="none" w:sz="0" w:space="0" w:color="auto"/>
        <w:right w:val="none" w:sz="0" w:space="0" w:color="auto"/>
      </w:divBdr>
    </w:div>
    <w:div w:id="1440833450">
      <w:bodyDiv w:val="1"/>
      <w:marLeft w:val="0"/>
      <w:marRight w:val="0"/>
      <w:marTop w:val="0"/>
      <w:marBottom w:val="0"/>
      <w:divBdr>
        <w:top w:val="none" w:sz="0" w:space="0" w:color="auto"/>
        <w:left w:val="none" w:sz="0" w:space="0" w:color="auto"/>
        <w:bottom w:val="none" w:sz="0" w:space="0" w:color="auto"/>
        <w:right w:val="none" w:sz="0" w:space="0" w:color="auto"/>
      </w:divBdr>
      <w:divsChild>
        <w:div w:id="1111123260">
          <w:marLeft w:val="136"/>
          <w:marRight w:val="136"/>
          <w:marTop w:val="204"/>
          <w:marBottom w:val="0"/>
          <w:divBdr>
            <w:top w:val="none" w:sz="0" w:space="0" w:color="auto"/>
            <w:left w:val="none" w:sz="0" w:space="0" w:color="auto"/>
            <w:bottom w:val="none" w:sz="0" w:space="0" w:color="auto"/>
            <w:right w:val="none" w:sz="0" w:space="0" w:color="auto"/>
          </w:divBdr>
          <w:divsChild>
            <w:div w:id="18654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9027">
      <w:bodyDiv w:val="1"/>
      <w:marLeft w:val="0"/>
      <w:marRight w:val="0"/>
      <w:marTop w:val="0"/>
      <w:marBottom w:val="0"/>
      <w:divBdr>
        <w:top w:val="none" w:sz="0" w:space="0" w:color="auto"/>
        <w:left w:val="none" w:sz="0" w:space="0" w:color="auto"/>
        <w:bottom w:val="none" w:sz="0" w:space="0" w:color="auto"/>
        <w:right w:val="none" w:sz="0" w:space="0" w:color="auto"/>
      </w:divBdr>
    </w:div>
    <w:div w:id="1939673845">
      <w:bodyDiv w:val="1"/>
      <w:marLeft w:val="0"/>
      <w:marRight w:val="0"/>
      <w:marTop w:val="0"/>
      <w:marBottom w:val="0"/>
      <w:divBdr>
        <w:top w:val="none" w:sz="0" w:space="0" w:color="auto"/>
        <w:left w:val="none" w:sz="0" w:space="0" w:color="auto"/>
        <w:bottom w:val="none" w:sz="0" w:space="0" w:color="auto"/>
        <w:right w:val="none" w:sz="0" w:space="0" w:color="auto"/>
      </w:divBdr>
    </w:div>
    <w:div w:id="1971552250">
      <w:bodyDiv w:val="1"/>
      <w:marLeft w:val="0"/>
      <w:marRight w:val="0"/>
      <w:marTop w:val="0"/>
      <w:marBottom w:val="0"/>
      <w:divBdr>
        <w:top w:val="none" w:sz="0" w:space="0" w:color="auto"/>
        <w:left w:val="none" w:sz="0" w:space="0" w:color="auto"/>
        <w:bottom w:val="none" w:sz="0" w:space="0" w:color="auto"/>
        <w:right w:val="none" w:sz="0" w:space="0" w:color="auto"/>
      </w:divBdr>
    </w:div>
    <w:div w:id="2077823575">
      <w:bodyDiv w:val="1"/>
      <w:marLeft w:val="0"/>
      <w:marRight w:val="0"/>
      <w:marTop w:val="0"/>
      <w:marBottom w:val="0"/>
      <w:divBdr>
        <w:top w:val="none" w:sz="0" w:space="0" w:color="auto"/>
        <w:left w:val="none" w:sz="0" w:space="0" w:color="auto"/>
        <w:bottom w:val="none" w:sz="0" w:space="0" w:color="auto"/>
        <w:right w:val="none" w:sz="0" w:space="0" w:color="auto"/>
      </w:divBdr>
    </w:div>
    <w:div w:id="2119982339">
      <w:bodyDiv w:val="1"/>
      <w:marLeft w:val="0"/>
      <w:marRight w:val="0"/>
      <w:marTop w:val="0"/>
      <w:marBottom w:val="0"/>
      <w:divBdr>
        <w:top w:val="none" w:sz="0" w:space="0" w:color="auto"/>
        <w:left w:val="none" w:sz="0" w:space="0" w:color="auto"/>
        <w:bottom w:val="none" w:sz="0" w:space="0" w:color="auto"/>
        <w:right w:val="none" w:sz="0" w:space="0" w:color="auto"/>
      </w:divBdr>
    </w:div>
    <w:div w:id="212954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powerstream.ca/attachments/Navigant_Evaluation_Advantage_Power_Pricing_2015-2016.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NCI\NCI%20Templates\Energy_Report%20Template_01-27-16.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'Daily Scatter'!$K$7</c:f>
              <c:strCache>
                <c:ptCount val="1"/>
                <c:pt idx="0">
                  <c:v>Test Period - Weekdays</c:v>
                </c:pt>
              </c:strCache>
            </c:strRef>
          </c:tx>
          <c:spPr>
            <a:ln w="25400" cap="rnd">
              <a:noFill/>
              <a:round/>
            </a:ln>
            <a:effectLst/>
          </c:spPr>
          <c:marker>
            <c:symbol val="diamond"/>
            <c:size val="5"/>
            <c:spPr>
              <a:solidFill>
                <a:schemeClr val="accent2">
                  <a:lumMod val="40000"/>
                  <a:lumOff val="60000"/>
                </a:schemeClr>
              </a:solidFill>
              <a:ln w="9525">
                <a:solidFill>
                  <a:schemeClr val="accent1"/>
                </a:solidFill>
              </a:ln>
              <a:effectLst/>
            </c:spPr>
          </c:marker>
          <c:trendline>
            <c:spPr>
              <a:ln w="31750" cap="rnd">
                <a:solidFill>
                  <a:schemeClr val="accent2">
                    <a:lumMod val="75000"/>
                  </a:schemeClr>
                </a:solidFill>
                <a:prstDash val="sysDot"/>
              </a:ln>
              <a:effectLst/>
            </c:spPr>
            <c:trendlineType val="poly"/>
            <c:order val="2"/>
            <c:dispRSqr val="0"/>
            <c:dispEq val="0"/>
          </c:trendline>
          <c:xVal>
            <c:numRef>
              <c:f>'Daily Scatter'!$H$8:$H$191</c:f>
              <c:numCache>
                <c:formatCode>[$-409]d\-mmm;@</c:formatCode>
                <c:ptCount val="184"/>
                <c:pt idx="0">
                  <c:v>43221</c:v>
                </c:pt>
                <c:pt idx="1">
                  <c:v>43222</c:v>
                </c:pt>
                <c:pt idx="2">
                  <c:v>43223</c:v>
                </c:pt>
                <c:pt idx="3">
                  <c:v>43224</c:v>
                </c:pt>
                <c:pt idx="4">
                  <c:v>43225</c:v>
                </c:pt>
                <c:pt idx="5">
                  <c:v>43226</c:v>
                </c:pt>
                <c:pt idx="6">
                  <c:v>43227</c:v>
                </c:pt>
                <c:pt idx="7">
                  <c:v>43228</c:v>
                </c:pt>
                <c:pt idx="8">
                  <c:v>43229</c:v>
                </c:pt>
                <c:pt idx="9">
                  <c:v>43230</c:v>
                </c:pt>
                <c:pt idx="10">
                  <c:v>43231</c:v>
                </c:pt>
                <c:pt idx="11">
                  <c:v>43232</c:v>
                </c:pt>
                <c:pt idx="12">
                  <c:v>43233</c:v>
                </c:pt>
                <c:pt idx="13">
                  <c:v>43234</c:v>
                </c:pt>
                <c:pt idx="14">
                  <c:v>43235</c:v>
                </c:pt>
                <c:pt idx="15">
                  <c:v>43236</c:v>
                </c:pt>
                <c:pt idx="16">
                  <c:v>43237</c:v>
                </c:pt>
                <c:pt idx="17">
                  <c:v>43238</c:v>
                </c:pt>
                <c:pt idx="18">
                  <c:v>43239</c:v>
                </c:pt>
                <c:pt idx="19">
                  <c:v>43240</c:v>
                </c:pt>
                <c:pt idx="20">
                  <c:v>43241</c:v>
                </c:pt>
                <c:pt idx="21">
                  <c:v>43242</c:v>
                </c:pt>
                <c:pt idx="22">
                  <c:v>43243</c:v>
                </c:pt>
                <c:pt idx="23">
                  <c:v>43244</c:v>
                </c:pt>
                <c:pt idx="24">
                  <c:v>43245</c:v>
                </c:pt>
                <c:pt idx="25">
                  <c:v>43246</c:v>
                </c:pt>
                <c:pt idx="26">
                  <c:v>43247</c:v>
                </c:pt>
                <c:pt idx="27">
                  <c:v>43248</c:v>
                </c:pt>
                <c:pt idx="28">
                  <c:v>43249</c:v>
                </c:pt>
                <c:pt idx="29">
                  <c:v>43250</c:v>
                </c:pt>
                <c:pt idx="30">
                  <c:v>43251</c:v>
                </c:pt>
                <c:pt idx="31">
                  <c:v>43252</c:v>
                </c:pt>
                <c:pt idx="32">
                  <c:v>43253</c:v>
                </c:pt>
                <c:pt idx="33">
                  <c:v>43254</c:v>
                </c:pt>
                <c:pt idx="34">
                  <c:v>43255</c:v>
                </c:pt>
                <c:pt idx="35">
                  <c:v>43256</c:v>
                </c:pt>
                <c:pt idx="36">
                  <c:v>43257</c:v>
                </c:pt>
                <c:pt idx="37">
                  <c:v>43258</c:v>
                </c:pt>
                <c:pt idx="38">
                  <c:v>43259</c:v>
                </c:pt>
                <c:pt idx="39">
                  <c:v>43260</c:v>
                </c:pt>
                <c:pt idx="40">
                  <c:v>43261</c:v>
                </c:pt>
                <c:pt idx="41">
                  <c:v>43262</c:v>
                </c:pt>
                <c:pt idx="42">
                  <c:v>43263</c:v>
                </c:pt>
                <c:pt idx="43">
                  <c:v>43264</c:v>
                </c:pt>
                <c:pt idx="44">
                  <c:v>43265</c:v>
                </c:pt>
                <c:pt idx="45">
                  <c:v>43266</c:v>
                </c:pt>
                <c:pt idx="46">
                  <c:v>43267</c:v>
                </c:pt>
                <c:pt idx="47">
                  <c:v>43268</c:v>
                </c:pt>
                <c:pt idx="48">
                  <c:v>43269</c:v>
                </c:pt>
                <c:pt idx="49">
                  <c:v>43270</c:v>
                </c:pt>
                <c:pt idx="50">
                  <c:v>43271</c:v>
                </c:pt>
                <c:pt idx="51">
                  <c:v>43272</c:v>
                </c:pt>
                <c:pt idx="52">
                  <c:v>43273</c:v>
                </c:pt>
                <c:pt idx="53">
                  <c:v>43274</c:v>
                </c:pt>
                <c:pt idx="54">
                  <c:v>43275</c:v>
                </c:pt>
                <c:pt idx="55">
                  <c:v>43276</c:v>
                </c:pt>
                <c:pt idx="56">
                  <c:v>43277</c:v>
                </c:pt>
                <c:pt idx="57">
                  <c:v>43278</c:v>
                </c:pt>
                <c:pt idx="58">
                  <c:v>43279</c:v>
                </c:pt>
                <c:pt idx="59">
                  <c:v>43280</c:v>
                </c:pt>
                <c:pt idx="60">
                  <c:v>43281</c:v>
                </c:pt>
                <c:pt idx="61">
                  <c:v>43282</c:v>
                </c:pt>
                <c:pt idx="62">
                  <c:v>43283</c:v>
                </c:pt>
                <c:pt idx="63">
                  <c:v>43284</c:v>
                </c:pt>
                <c:pt idx="64">
                  <c:v>43285</c:v>
                </c:pt>
                <c:pt idx="65">
                  <c:v>43286</c:v>
                </c:pt>
                <c:pt idx="66">
                  <c:v>43287</c:v>
                </c:pt>
                <c:pt idx="67">
                  <c:v>43288</c:v>
                </c:pt>
                <c:pt idx="68">
                  <c:v>43289</c:v>
                </c:pt>
                <c:pt idx="69">
                  <c:v>43290</c:v>
                </c:pt>
                <c:pt idx="70">
                  <c:v>43291</c:v>
                </c:pt>
                <c:pt idx="71">
                  <c:v>43292</c:v>
                </c:pt>
                <c:pt idx="72">
                  <c:v>43293</c:v>
                </c:pt>
                <c:pt idx="73">
                  <c:v>43294</c:v>
                </c:pt>
                <c:pt idx="74">
                  <c:v>43295</c:v>
                </c:pt>
                <c:pt idx="75">
                  <c:v>43296</c:v>
                </c:pt>
                <c:pt idx="76">
                  <c:v>43297</c:v>
                </c:pt>
                <c:pt idx="77">
                  <c:v>43298</c:v>
                </c:pt>
                <c:pt idx="78">
                  <c:v>43299</c:v>
                </c:pt>
                <c:pt idx="79">
                  <c:v>43300</c:v>
                </c:pt>
                <c:pt idx="80">
                  <c:v>43301</c:v>
                </c:pt>
                <c:pt idx="81">
                  <c:v>43302</c:v>
                </c:pt>
                <c:pt idx="82">
                  <c:v>43303</c:v>
                </c:pt>
                <c:pt idx="83">
                  <c:v>43304</c:v>
                </c:pt>
                <c:pt idx="84">
                  <c:v>43305</c:v>
                </c:pt>
                <c:pt idx="85">
                  <c:v>43306</c:v>
                </c:pt>
                <c:pt idx="86">
                  <c:v>43307</c:v>
                </c:pt>
                <c:pt idx="87">
                  <c:v>43308</c:v>
                </c:pt>
                <c:pt idx="88">
                  <c:v>43309</c:v>
                </c:pt>
                <c:pt idx="89">
                  <c:v>43310</c:v>
                </c:pt>
                <c:pt idx="90">
                  <c:v>43311</c:v>
                </c:pt>
                <c:pt idx="91">
                  <c:v>43312</c:v>
                </c:pt>
                <c:pt idx="92">
                  <c:v>43313</c:v>
                </c:pt>
                <c:pt idx="93">
                  <c:v>43314</c:v>
                </c:pt>
                <c:pt idx="94">
                  <c:v>43315</c:v>
                </c:pt>
                <c:pt idx="95">
                  <c:v>43316</c:v>
                </c:pt>
                <c:pt idx="96">
                  <c:v>43317</c:v>
                </c:pt>
                <c:pt idx="97">
                  <c:v>43318</c:v>
                </c:pt>
                <c:pt idx="98">
                  <c:v>43319</c:v>
                </c:pt>
                <c:pt idx="99">
                  <c:v>43320</c:v>
                </c:pt>
                <c:pt idx="100">
                  <c:v>43321</c:v>
                </c:pt>
                <c:pt idx="101">
                  <c:v>43322</c:v>
                </c:pt>
                <c:pt idx="102">
                  <c:v>43323</c:v>
                </c:pt>
                <c:pt idx="103">
                  <c:v>43324</c:v>
                </c:pt>
                <c:pt idx="104">
                  <c:v>43325</c:v>
                </c:pt>
                <c:pt idx="105">
                  <c:v>43326</c:v>
                </c:pt>
                <c:pt idx="106">
                  <c:v>43327</c:v>
                </c:pt>
                <c:pt idx="107">
                  <c:v>43328</c:v>
                </c:pt>
                <c:pt idx="108">
                  <c:v>43329</c:v>
                </c:pt>
                <c:pt idx="109">
                  <c:v>43330</c:v>
                </c:pt>
                <c:pt idx="110">
                  <c:v>43331</c:v>
                </c:pt>
                <c:pt idx="111">
                  <c:v>43332</c:v>
                </c:pt>
                <c:pt idx="112">
                  <c:v>43333</c:v>
                </c:pt>
                <c:pt idx="113">
                  <c:v>43334</c:v>
                </c:pt>
                <c:pt idx="114">
                  <c:v>43335</c:v>
                </c:pt>
                <c:pt idx="115">
                  <c:v>43336</c:v>
                </c:pt>
                <c:pt idx="116">
                  <c:v>43337</c:v>
                </c:pt>
                <c:pt idx="117">
                  <c:v>43338</c:v>
                </c:pt>
                <c:pt idx="118">
                  <c:v>43339</c:v>
                </c:pt>
                <c:pt idx="119">
                  <c:v>43340</c:v>
                </c:pt>
                <c:pt idx="120">
                  <c:v>43341</c:v>
                </c:pt>
                <c:pt idx="121">
                  <c:v>43342</c:v>
                </c:pt>
                <c:pt idx="122">
                  <c:v>43343</c:v>
                </c:pt>
                <c:pt idx="123">
                  <c:v>43344</c:v>
                </c:pt>
                <c:pt idx="124">
                  <c:v>43345</c:v>
                </c:pt>
                <c:pt idx="125">
                  <c:v>43346</c:v>
                </c:pt>
                <c:pt idx="126">
                  <c:v>43347</c:v>
                </c:pt>
                <c:pt idx="127">
                  <c:v>43348</c:v>
                </c:pt>
                <c:pt idx="128">
                  <c:v>43349</c:v>
                </c:pt>
                <c:pt idx="129">
                  <c:v>43350</c:v>
                </c:pt>
                <c:pt idx="130">
                  <c:v>43351</c:v>
                </c:pt>
                <c:pt idx="131">
                  <c:v>43352</c:v>
                </c:pt>
                <c:pt idx="132">
                  <c:v>43353</c:v>
                </c:pt>
                <c:pt idx="133">
                  <c:v>43354</c:v>
                </c:pt>
                <c:pt idx="134">
                  <c:v>43355</c:v>
                </c:pt>
                <c:pt idx="135">
                  <c:v>43356</c:v>
                </c:pt>
                <c:pt idx="136">
                  <c:v>43357</c:v>
                </c:pt>
                <c:pt idx="137">
                  <c:v>43358</c:v>
                </c:pt>
                <c:pt idx="138">
                  <c:v>43359</c:v>
                </c:pt>
                <c:pt idx="139">
                  <c:v>43360</c:v>
                </c:pt>
                <c:pt idx="140">
                  <c:v>43361</c:v>
                </c:pt>
                <c:pt idx="141">
                  <c:v>43362</c:v>
                </c:pt>
                <c:pt idx="142">
                  <c:v>43363</c:v>
                </c:pt>
                <c:pt idx="143">
                  <c:v>43364</c:v>
                </c:pt>
                <c:pt idx="144">
                  <c:v>43365</c:v>
                </c:pt>
                <c:pt idx="145">
                  <c:v>43366</c:v>
                </c:pt>
                <c:pt idx="146">
                  <c:v>43367</c:v>
                </c:pt>
                <c:pt idx="147">
                  <c:v>43368</c:v>
                </c:pt>
                <c:pt idx="148">
                  <c:v>43369</c:v>
                </c:pt>
                <c:pt idx="149">
                  <c:v>43370</c:v>
                </c:pt>
                <c:pt idx="150">
                  <c:v>43371</c:v>
                </c:pt>
                <c:pt idx="151">
                  <c:v>43372</c:v>
                </c:pt>
                <c:pt idx="152">
                  <c:v>43373</c:v>
                </c:pt>
                <c:pt idx="153">
                  <c:v>43374</c:v>
                </c:pt>
                <c:pt idx="154">
                  <c:v>43375</c:v>
                </c:pt>
                <c:pt idx="155">
                  <c:v>43376</c:v>
                </c:pt>
                <c:pt idx="156">
                  <c:v>43377</c:v>
                </c:pt>
                <c:pt idx="157">
                  <c:v>43378</c:v>
                </c:pt>
                <c:pt idx="158">
                  <c:v>43379</c:v>
                </c:pt>
                <c:pt idx="159">
                  <c:v>43380</c:v>
                </c:pt>
                <c:pt idx="160">
                  <c:v>43381</c:v>
                </c:pt>
                <c:pt idx="161">
                  <c:v>43382</c:v>
                </c:pt>
                <c:pt idx="162">
                  <c:v>43383</c:v>
                </c:pt>
                <c:pt idx="163">
                  <c:v>43384</c:v>
                </c:pt>
                <c:pt idx="164">
                  <c:v>43385</c:v>
                </c:pt>
                <c:pt idx="165">
                  <c:v>43386</c:v>
                </c:pt>
                <c:pt idx="166">
                  <c:v>43387</c:v>
                </c:pt>
                <c:pt idx="167">
                  <c:v>43388</c:v>
                </c:pt>
                <c:pt idx="168">
                  <c:v>43389</c:v>
                </c:pt>
                <c:pt idx="169">
                  <c:v>43390</c:v>
                </c:pt>
                <c:pt idx="170">
                  <c:v>43391</c:v>
                </c:pt>
                <c:pt idx="171">
                  <c:v>43392</c:v>
                </c:pt>
                <c:pt idx="172">
                  <c:v>43393</c:v>
                </c:pt>
                <c:pt idx="173">
                  <c:v>43394</c:v>
                </c:pt>
                <c:pt idx="174">
                  <c:v>43395</c:v>
                </c:pt>
                <c:pt idx="175">
                  <c:v>43396</c:v>
                </c:pt>
                <c:pt idx="176">
                  <c:v>43397</c:v>
                </c:pt>
                <c:pt idx="177">
                  <c:v>43398</c:v>
                </c:pt>
                <c:pt idx="178">
                  <c:v>43399</c:v>
                </c:pt>
                <c:pt idx="179">
                  <c:v>43400</c:v>
                </c:pt>
                <c:pt idx="180">
                  <c:v>43401</c:v>
                </c:pt>
                <c:pt idx="181">
                  <c:v>43402</c:v>
                </c:pt>
                <c:pt idx="182">
                  <c:v>43403</c:v>
                </c:pt>
                <c:pt idx="183">
                  <c:v>43404</c:v>
                </c:pt>
              </c:numCache>
            </c:numRef>
          </c:xVal>
          <c:yVal>
            <c:numRef>
              <c:f>'Daily Scatter'!$K$8:$K$191</c:f>
              <c:numCache>
                <c:formatCode>General</c:formatCode>
                <c:ptCount val="184"/>
                <c:pt idx="0">
                  <c:v>#N/A</c:v>
                </c:pt>
                <c:pt idx="1">
                  <c:v>8.65</c:v>
                </c:pt>
                <c:pt idx="2">
                  <c:v>8.9708333333333297</c:v>
                </c:pt>
                <c:pt idx="3">
                  <c:v>10.758333333333301</c:v>
                </c:pt>
                <c:pt idx="4">
                  <c:v>11.875</c:v>
                </c:pt>
                <c:pt idx="5">
                  <c:v>14.570833333333301</c:v>
                </c:pt>
                <c:pt idx="6">
                  <c:v>#N/A</c:v>
                </c:pt>
                <c:pt idx="7">
                  <c:v>#N/A</c:v>
                </c:pt>
                <c:pt idx="8">
                  <c:v>9.3958333333333304</c:v>
                </c:pt>
                <c:pt idx="9">
                  <c:v>10.387499999999999</c:v>
                </c:pt>
                <c:pt idx="10">
                  <c:v>14.762499999999999</c:v>
                </c:pt>
                <c:pt idx="11">
                  <c:v>17.129166666666698</c:v>
                </c:pt>
                <c:pt idx="12">
                  <c:v>15.1875</c:v>
                </c:pt>
                <c:pt idx="13">
                  <c:v>#N/A</c:v>
                </c:pt>
                <c:pt idx="14">
                  <c:v>#N/A</c:v>
                </c:pt>
                <c:pt idx="15">
                  <c:v>9.75416666666667</c:v>
                </c:pt>
                <c:pt idx="16">
                  <c:v>11.7125</c:v>
                </c:pt>
                <c:pt idx="17">
                  <c:v>11.112500000000001</c:v>
                </c:pt>
                <c:pt idx="18">
                  <c:v>12.341666666666701</c:v>
                </c:pt>
                <c:pt idx="19">
                  <c:v>15.033333333333299</c:v>
                </c:pt>
                <c:pt idx="20">
                  <c:v>#N/A</c:v>
                </c:pt>
                <c:pt idx="21">
                  <c:v>#N/A</c:v>
                </c:pt>
                <c:pt idx="22">
                  <c:v>#N/A</c:v>
                </c:pt>
                <c:pt idx="23">
                  <c:v>18.620833333333302</c:v>
                </c:pt>
                <c:pt idx="24">
                  <c:v>21.691666666666698</c:v>
                </c:pt>
                <c:pt idx="25">
                  <c:v>21.9375</c:v>
                </c:pt>
                <c:pt idx="26">
                  <c:v>23.3541666666667</c:v>
                </c:pt>
                <c:pt idx="27">
                  <c:v>#N/A</c:v>
                </c:pt>
                <c:pt idx="28">
                  <c:v>#N/A</c:v>
                </c:pt>
                <c:pt idx="29">
                  <c:v>20.712499999999999</c:v>
                </c:pt>
                <c:pt idx="30">
                  <c:v>19.287500000000001</c:v>
                </c:pt>
                <c:pt idx="31">
                  <c:v>19.3333333333333</c:v>
                </c:pt>
                <c:pt idx="32">
                  <c:v>21.137499999999999</c:v>
                </c:pt>
                <c:pt idx="33">
                  <c:v>19.662500000000001</c:v>
                </c:pt>
                <c:pt idx="34">
                  <c:v>#N/A</c:v>
                </c:pt>
                <c:pt idx="35">
                  <c:v>#N/A</c:v>
                </c:pt>
                <c:pt idx="36">
                  <c:v>17.9166666666667</c:v>
                </c:pt>
                <c:pt idx="37">
                  <c:v>13.358333333333301</c:v>
                </c:pt>
                <c:pt idx="38">
                  <c:v>10.3</c:v>
                </c:pt>
                <c:pt idx="39">
                  <c:v>12.4791666666667</c:v>
                </c:pt>
                <c:pt idx="40">
                  <c:v>16.774999999999999</c:v>
                </c:pt>
                <c:pt idx="41">
                  <c:v>#N/A</c:v>
                </c:pt>
                <c:pt idx="42">
                  <c:v>#N/A</c:v>
                </c:pt>
                <c:pt idx="43">
                  <c:v>13.475</c:v>
                </c:pt>
                <c:pt idx="44">
                  <c:v>15.6052083333333</c:v>
                </c:pt>
                <c:pt idx="45">
                  <c:v>16.179166666666699</c:v>
                </c:pt>
                <c:pt idx="46">
                  <c:v>18.7291666666667</c:v>
                </c:pt>
                <c:pt idx="47">
                  <c:v>21.362500000000001</c:v>
                </c:pt>
                <c:pt idx="48">
                  <c:v>#N/A</c:v>
                </c:pt>
                <c:pt idx="49">
                  <c:v>#N/A</c:v>
                </c:pt>
                <c:pt idx="50">
                  <c:v>25.129166666666698</c:v>
                </c:pt>
                <c:pt idx="51">
                  <c:v>18.475000000000001</c:v>
                </c:pt>
                <c:pt idx="52">
                  <c:v>19.05</c:v>
                </c:pt>
                <c:pt idx="53">
                  <c:v>18.716666666666701</c:v>
                </c:pt>
                <c:pt idx="54">
                  <c:v>19.5208333333333</c:v>
                </c:pt>
                <c:pt idx="55">
                  <c:v>#N/A</c:v>
                </c:pt>
                <c:pt idx="56">
                  <c:v>#N/A</c:v>
                </c:pt>
                <c:pt idx="57">
                  <c:v>24.683333333333302</c:v>
                </c:pt>
                <c:pt idx="58">
                  <c:v>15.045833333333301</c:v>
                </c:pt>
                <c:pt idx="59">
                  <c:v>16.641666666666701</c:v>
                </c:pt>
                <c:pt idx="60">
                  <c:v>18.179166666666699</c:v>
                </c:pt>
                <c:pt idx="61">
                  <c:v>#N/A</c:v>
                </c:pt>
                <c:pt idx="62">
                  <c:v>#N/A</c:v>
                </c:pt>
                <c:pt idx="63">
                  <c:v>#N/A</c:v>
                </c:pt>
                <c:pt idx="64">
                  <c:v>20.391666666666701</c:v>
                </c:pt>
                <c:pt idx="65">
                  <c:v>23.4</c:v>
                </c:pt>
                <c:pt idx="66">
                  <c:v>23.154166666666701</c:v>
                </c:pt>
                <c:pt idx="67">
                  <c:v>24.712499999999999</c:v>
                </c:pt>
                <c:pt idx="68">
                  <c:v>22.929166666666699</c:v>
                </c:pt>
                <c:pt idx="69">
                  <c:v>#N/A</c:v>
                </c:pt>
                <c:pt idx="70">
                  <c:v>#N/A</c:v>
                </c:pt>
                <c:pt idx="71">
                  <c:v>21.3541666666667</c:v>
                </c:pt>
                <c:pt idx="72">
                  <c:v>24.612500000000001</c:v>
                </c:pt>
                <c:pt idx="73">
                  <c:v>26.1666666666667</c:v>
                </c:pt>
                <c:pt idx="74">
                  <c:v>23.508333333333301</c:v>
                </c:pt>
                <c:pt idx="75">
                  <c:v>19.975000000000001</c:v>
                </c:pt>
                <c:pt idx="76">
                  <c:v>#N/A</c:v>
                </c:pt>
                <c:pt idx="77">
                  <c:v>#N/A</c:v>
                </c:pt>
                <c:pt idx="78">
                  <c:v>24.033333333333299</c:v>
                </c:pt>
                <c:pt idx="79">
                  <c:v>18.879166666666698</c:v>
                </c:pt>
                <c:pt idx="80">
                  <c:v>19.149999999999999</c:v>
                </c:pt>
                <c:pt idx="81">
                  <c:v>23.508333333333301</c:v>
                </c:pt>
                <c:pt idx="82">
                  <c:v>25.962499999999999</c:v>
                </c:pt>
                <c:pt idx="83">
                  <c:v>#N/A</c:v>
                </c:pt>
                <c:pt idx="84">
                  <c:v>#N/A</c:v>
                </c:pt>
                <c:pt idx="85">
                  <c:v>25.4166666666667</c:v>
                </c:pt>
                <c:pt idx="86">
                  <c:v>22.683333333333302</c:v>
                </c:pt>
                <c:pt idx="87">
                  <c:v>25.1458333333333</c:v>
                </c:pt>
                <c:pt idx="88">
                  <c:v>22.9</c:v>
                </c:pt>
                <c:pt idx="89">
                  <c:v>22.074999999999999</c:v>
                </c:pt>
                <c:pt idx="90">
                  <c:v>#N/A</c:v>
                </c:pt>
                <c:pt idx="91">
                  <c:v>#N/A</c:v>
                </c:pt>
                <c:pt idx="92">
                  <c:v>#N/A</c:v>
                </c:pt>
                <c:pt idx="93">
                  <c:v>22.629166666666698</c:v>
                </c:pt>
                <c:pt idx="94">
                  <c:v>23</c:v>
                </c:pt>
                <c:pt idx="95">
                  <c:v>23.837499999999999</c:v>
                </c:pt>
                <c:pt idx="96">
                  <c:v>25.433333333333302</c:v>
                </c:pt>
                <c:pt idx="97">
                  <c:v>#N/A</c:v>
                </c:pt>
                <c:pt idx="98">
                  <c:v>#N/A</c:v>
                </c:pt>
                <c:pt idx="99">
                  <c:v>20.191666666666698</c:v>
                </c:pt>
                <c:pt idx="100">
                  <c:v>22.95</c:v>
                </c:pt>
                <c:pt idx="101">
                  <c:v>25.220833333333299</c:v>
                </c:pt>
                <c:pt idx="102">
                  <c:v>24.2083333333333</c:v>
                </c:pt>
                <c:pt idx="103">
                  <c:v>26.1041666666667</c:v>
                </c:pt>
                <c:pt idx="104">
                  <c:v>#N/A</c:v>
                </c:pt>
                <c:pt idx="105">
                  <c:v>#N/A</c:v>
                </c:pt>
                <c:pt idx="106">
                  <c:v>21.608333333333299</c:v>
                </c:pt>
                <c:pt idx="107">
                  <c:v>21.962499999999999</c:v>
                </c:pt>
                <c:pt idx="108">
                  <c:v>20.545833333333299</c:v>
                </c:pt>
                <c:pt idx="109">
                  <c:v>21.5625</c:v>
                </c:pt>
                <c:pt idx="110">
                  <c:v>22.024999999999999</c:v>
                </c:pt>
                <c:pt idx="111">
                  <c:v>#N/A</c:v>
                </c:pt>
                <c:pt idx="112">
                  <c:v>#N/A</c:v>
                </c:pt>
                <c:pt idx="113">
                  <c:v>17.691666666666698</c:v>
                </c:pt>
                <c:pt idx="114">
                  <c:v>19.2291666666667</c:v>
                </c:pt>
                <c:pt idx="115">
                  <c:v>21.4166666666667</c:v>
                </c:pt>
                <c:pt idx="116">
                  <c:v>23.108333333333299</c:v>
                </c:pt>
                <c:pt idx="117">
                  <c:v>21.970833333333299</c:v>
                </c:pt>
                <c:pt idx="118">
                  <c:v>#N/A</c:v>
                </c:pt>
                <c:pt idx="119">
                  <c:v>#N/A</c:v>
                </c:pt>
                <c:pt idx="120">
                  <c:v>20.345833333333299</c:v>
                </c:pt>
                <c:pt idx="121">
                  <c:v>21.1666666666667</c:v>
                </c:pt>
                <c:pt idx="122">
                  <c:v>20.554166666666699</c:v>
                </c:pt>
                <c:pt idx="123">
                  <c:v>17.045833333333299</c:v>
                </c:pt>
                <c:pt idx="124">
                  <c:v>16.524999999999999</c:v>
                </c:pt>
                <c:pt idx="125">
                  <c:v>#N/A</c:v>
                </c:pt>
                <c:pt idx="126">
                  <c:v>#N/A</c:v>
                </c:pt>
                <c:pt idx="127">
                  <c:v>#N/A</c:v>
                </c:pt>
                <c:pt idx="128">
                  <c:v>23.6875</c:v>
                </c:pt>
                <c:pt idx="129">
                  <c:v>26.241666666666699</c:v>
                </c:pt>
                <c:pt idx="130">
                  <c:v>24.691666666666698</c:v>
                </c:pt>
                <c:pt idx="131">
                  <c:v>22.170833333333299</c:v>
                </c:pt>
                <c:pt idx="132">
                  <c:v>#N/A</c:v>
                </c:pt>
                <c:pt idx="133">
                  <c:v>#N/A</c:v>
                </c:pt>
                <c:pt idx="134">
                  <c:v>15.362500000000001</c:v>
                </c:pt>
                <c:pt idx="135">
                  <c:v>18.954166666666701</c:v>
                </c:pt>
                <c:pt idx="136">
                  <c:v>17.574999999999999</c:v>
                </c:pt>
                <c:pt idx="137">
                  <c:v>14.9333333333333</c:v>
                </c:pt>
                <c:pt idx="138">
                  <c:v>16.712499999999999</c:v>
                </c:pt>
                <c:pt idx="139">
                  <c:v>#N/A</c:v>
                </c:pt>
                <c:pt idx="140">
                  <c:v>#N/A</c:v>
                </c:pt>
                <c:pt idx="141">
                  <c:v>19.6666666666667</c:v>
                </c:pt>
                <c:pt idx="142">
                  <c:v>19.620833333333302</c:v>
                </c:pt>
                <c:pt idx="143">
                  <c:v>17.779166666666701</c:v>
                </c:pt>
                <c:pt idx="144">
                  <c:v>20.527083333333302</c:v>
                </c:pt>
                <c:pt idx="145">
                  <c:v>17.7916666666667</c:v>
                </c:pt>
                <c:pt idx="146">
                  <c:v>#N/A</c:v>
                </c:pt>
                <c:pt idx="147">
                  <c:v>#N/A</c:v>
                </c:pt>
                <c:pt idx="148">
                  <c:v>13.9958333333333</c:v>
                </c:pt>
                <c:pt idx="149">
                  <c:v>14.858333333333301</c:v>
                </c:pt>
                <c:pt idx="150">
                  <c:v>15.9125</c:v>
                </c:pt>
                <c:pt idx="151">
                  <c:v>14.929166666666699</c:v>
                </c:pt>
                <c:pt idx="152">
                  <c:v>14.1458333333333</c:v>
                </c:pt>
                <c:pt idx="153">
                  <c:v>#N/A</c:v>
                </c:pt>
                <c:pt idx="154">
                  <c:v>#N/A</c:v>
                </c:pt>
                <c:pt idx="155">
                  <c:v>14.762499999999999</c:v>
                </c:pt>
                <c:pt idx="156">
                  <c:v>15.391666666666699</c:v>
                </c:pt>
                <c:pt idx="157">
                  <c:v>16.545833333333299</c:v>
                </c:pt>
                <c:pt idx="158">
                  <c:v>18.441666666666698</c:v>
                </c:pt>
                <c:pt idx="159">
                  <c:v>17.195833333333301</c:v>
                </c:pt>
                <c:pt idx="160">
                  <c:v>#N/A</c:v>
                </c:pt>
                <c:pt idx="161">
                  <c:v>#N/A</c:v>
                </c:pt>
                <c:pt idx="162">
                  <c:v>#N/A</c:v>
                </c:pt>
                <c:pt idx="163">
                  <c:v>10</c:v>
                </c:pt>
                <c:pt idx="164">
                  <c:v>15.516666666666699</c:v>
                </c:pt>
                <c:pt idx="165">
                  <c:v>9.7041666666666693</c:v>
                </c:pt>
                <c:pt idx="166">
                  <c:v>7.6749999999999998</c:v>
                </c:pt>
                <c:pt idx="167">
                  <c:v>#N/A</c:v>
                </c:pt>
                <c:pt idx="168">
                  <c:v>#N/A</c:v>
                </c:pt>
                <c:pt idx="169">
                  <c:v>19.829166666666701</c:v>
                </c:pt>
                <c:pt idx="170">
                  <c:v>20.162500000000001</c:v>
                </c:pt>
                <c:pt idx="171">
                  <c:v>13.820833333333301</c:v>
                </c:pt>
                <c:pt idx="172">
                  <c:v>11.966666666666701</c:v>
                </c:pt>
                <c:pt idx="173">
                  <c:v>8.0625</c:v>
                </c:pt>
                <c:pt idx="174">
                  <c:v>#N/A</c:v>
                </c:pt>
                <c:pt idx="175">
                  <c:v>#N/A</c:v>
                </c:pt>
                <c:pt idx="176">
                  <c:v>7.4041666666666703</c:v>
                </c:pt>
                <c:pt idx="177">
                  <c:v>4.8375000000000004</c:v>
                </c:pt>
                <c:pt idx="178">
                  <c:v>1.0625</c:v>
                </c:pt>
                <c:pt idx="179">
                  <c:v>2.35</c:v>
                </c:pt>
                <c:pt idx="180">
                  <c:v>4.7416666666666698</c:v>
                </c:pt>
                <c:pt idx="181">
                  <c:v>#N/A</c:v>
                </c:pt>
                <c:pt idx="182">
                  <c:v>#N/A</c:v>
                </c:pt>
                <c:pt idx="183">
                  <c:v>3.43333333333333</c:v>
                </c:pt>
              </c:numCache>
            </c:numRef>
          </c:yVal>
          <c:smooth val="0"/>
          <c:extLst>
            <c:ext xmlns:c16="http://schemas.microsoft.com/office/drawing/2014/chart" uri="{C3380CC4-5D6E-409C-BE32-E72D297353CC}">
              <c16:uniqueId val="{00000001-2F0F-4832-AEF0-F530AFA34BE1}"/>
            </c:ext>
          </c:extLst>
        </c:ser>
        <c:ser>
          <c:idx val="2"/>
          <c:order val="2"/>
          <c:tx>
            <c:strRef>
              <c:f>'Daily Scatter'!$M$7</c:f>
              <c:strCache>
                <c:ptCount val="1"/>
                <c:pt idx="0">
                  <c:v>Matching Period - Weekdays</c:v>
                </c:pt>
              </c:strCache>
            </c:strRef>
          </c:tx>
          <c:spPr>
            <a:ln w="25400" cap="rnd">
              <a:noFill/>
              <a:round/>
            </a:ln>
            <a:effectLst/>
          </c:spPr>
          <c:marker>
            <c:symbol val="square"/>
            <c:size val="5"/>
            <c:spPr>
              <a:solidFill>
                <a:schemeClr val="accent3">
                  <a:lumMod val="40000"/>
                  <a:lumOff val="60000"/>
                </a:schemeClr>
              </a:solidFill>
              <a:ln w="9525">
                <a:solidFill>
                  <a:schemeClr val="accent1"/>
                </a:solidFill>
              </a:ln>
              <a:effectLst/>
            </c:spPr>
          </c:marker>
          <c:trendline>
            <c:spPr>
              <a:ln w="31750" cap="rnd">
                <a:solidFill>
                  <a:schemeClr val="accent3"/>
                </a:solidFill>
                <a:prstDash val="sysDot"/>
              </a:ln>
              <a:effectLst/>
            </c:spPr>
            <c:trendlineType val="poly"/>
            <c:order val="2"/>
            <c:dispRSqr val="0"/>
            <c:dispEq val="0"/>
          </c:trendline>
          <c:xVal>
            <c:numRef>
              <c:f>'Daily Scatter'!$H$8:$H$191</c:f>
              <c:numCache>
                <c:formatCode>[$-409]d\-mmm;@</c:formatCode>
                <c:ptCount val="184"/>
                <c:pt idx="0">
                  <c:v>43221</c:v>
                </c:pt>
                <c:pt idx="1">
                  <c:v>43222</c:v>
                </c:pt>
                <c:pt idx="2">
                  <c:v>43223</c:v>
                </c:pt>
                <c:pt idx="3">
                  <c:v>43224</c:v>
                </c:pt>
                <c:pt idx="4">
                  <c:v>43225</c:v>
                </c:pt>
                <c:pt idx="5">
                  <c:v>43226</c:v>
                </c:pt>
                <c:pt idx="6">
                  <c:v>43227</c:v>
                </c:pt>
                <c:pt idx="7">
                  <c:v>43228</c:v>
                </c:pt>
                <c:pt idx="8">
                  <c:v>43229</c:v>
                </c:pt>
                <c:pt idx="9">
                  <c:v>43230</c:v>
                </c:pt>
                <c:pt idx="10">
                  <c:v>43231</c:v>
                </c:pt>
                <c:pt idx="11">
                  <c:v>43232</c:v>
                </c:pt>
                <c:pt idx="12">
                  <c:v>43233</c:v>
                </c:pt>
                <c:pt idx="13">
                  <c:v>43234</c:v>
                </c:pt>
                <c:pt idx="14">
                  <c:v>43235</c:v>
                </c:pt>
                <c:pt idx="15">
                  <c:v>43236</c:v>
                </c:pt>
                <c:pt idx="16">
                  <c:v>43237</c:v>
                </c:pt>
                <c:pt idx="17">
                  <c:v>43238</c:v>
                </c:pt>
                <c:pt idx="18">
                  <c:v>43239</c:v>
                </c:pt>
                <c:pt idx="19">
                  <c:v>43240</c:v>
                </c:pt>
                <c:pt idx="20">
                  <c:v>43241</c:v>
                </c:pt>
                <c:pt idx="21">
                  <c:v>43242</c:v>
                </c:pt>
                <c:pt idx="22">
                  <c:v>43243</c:v>
                </c:pt>
                <c:pt idx="23">
                  <c:v>43244</c:v>
                </c:pt>
                <c:pt idx="24">
                  <c:v>43245</c:v>
                </c:pt>
                <c:pt idx="25">
                  <c:v>43246</c:v>
                </c:pt>
                <c:pt idx="26">
                  <c:v>43247</c:v>
                </c:pt>
                <c:pt idx="27">
                  <c:v>43248</c:v>
                </c:pt>
                <c:pt idx="28">
                  <c:v>43249</c:v>
                </c:pt>
                <c:pt idx="29">
                  <c:v>43250</c:v>
                </c:pt>
                <c:pt idx="30">
                  <c:v>43251</c:v>
                </c:pt>
                <c:pt idx="31">
                  <c:v>43252</c:v>
                </c:pt>
                <c:pt idx="32">
                  <c:v>43253</c:v>
                </c:pt>
                <c:pt idx="33">
                  <c:v>43254</c:v>
                </c:pt>
                <c:pt idx="34">
                  <c:v>43255</c:v>
                </c:pt>
                <c:pt idx="35">
                  <c:v>43256</c:v>
                </c:pt>
                <c:pt idx="36">
                  <c:v>43257</c:v>
                </c:pt>
                <c:pt idx="37">
                  <c:v>43258</c:v>
                </c:pt>
                <c:pt idx="38">
                  <c:v>43259</c:v>
                </c:pt>
                <c:pt idx="39">
                  <c:v>43260</c:v>
                </c:pt>
                <c:pt idx="40">
                  <c:v>43261</c:v>
                </c:pt>
                <c:pt idx="41">
                  <c:v>43262</c:v>
                </c:pt>
                <c:pt idx="42">
                  <c:v>43263</c:v>
                </c:pt>
                <c:pt idx="43">
                  <c:v>43264</c:v>
                </c:pt>
                <c:pt idx="44">
                  <c:v>43265</c:v>
                </c:pt>
                <c:pt idx="45">
                  <c:v>43266</c:v>
                </c:pt>
                <c:pt idx="46">
                  <c:v>43267</c:v>
                </c:pt>
                <c:pt idx="47">
                  <c:v>43268</c:v>
                </c:pt>
                <c:pt idx="48">
                  <c:v>43269</c:v>
                </c:pt>
                <c:pt idx="49">
                  <c:v>43270</c:v>
                </c:pt>
                <c:pt idx="50">
                  <c:v>43271</c:v>
                </c:pt>
                <c:pt idx="51">
                  <c:v>43272</c:v>
                </c:pt>
                <c:pt idx="52">
                  <c:v>43273</c:v>
                </c:pt>
                <c:pt idx="53">
                  <c:v>43274</c:v>
                </c:pt>
                <c:pt idx="54">
                  <c:v>43275</c:v>
                </c:pt>
                <c:pt idx="55">
                  <c:v>43276</c:v>
                </c:pt>
                <c:pt idx="56">
                  <c:v>43277</c:v>
                </c:pt>
                <c:pt idx="57">
                  <c:v>43278</c:v>
                </c:pt>
                <c:pt idx="58">
                  <c:v>43279</c:v>
                </c:pt>
                <c:pt idx="59">
                  <c:v>43280</c:v>
                </c:pt>
                <c:pt idx="60">
                  <c:v>43281</c:v>
                </c:pt>
                <c:pt idx="61">
                  <c:v>43282</c:v>
                </c:pt>
                <c:pt idx="62">
                  <c:v>43283</c:v>
                </c:pt>
                <c:pt idx="63">
                  <c:v>43284</c:v>
                </c:pt>
                <c:pt idx="64">
                  <c:v>43285</c:v>
                </c:pt>
                <c:pt idx="65">
                  <c:v>43286</c:v>
                </c:pt>
                <c:pt idx="66">
                  <c:v>43287</c:v>
                </c:pt>
                <c:pt idx="67">
                  <c:v>43288</c:v>
                </c:pt>
                <c:pt idx="68">
                  <c:v>43289</c:v>
                </c:pt>
                <c:pt idx="69">
                  <c:v>43290</c:v>
                </c:pt>
                <c:pt idx="70">
                  <c:v>43291</c:v>
                </c:pt>
                <c:pt idx="71">
                  <c:v>43292</c:v>
                </c:pt>
                <c:pt idx="72">
                  <c:v>43293</c:v>
                </c:pt>
                <c:pt idx="73">
                  <c:v>43294</c:v>
                </c:pt>
                <c:pt idx="74">
                  <c:v>43295</c:v>
                </c:pt>
                <c:pt idx="75">
                  <c:v>43296</c:v>
                </c:pt>
                <c:pt idx="76">
                  <c:v>43297</c:v>
                </c:pt>
                <c:pt idx="77">
                  <c:v>43298</c:v>
                </c:pt>
                <c:pt idx="78">
                  <c:v>43299</c:v>
                </c:pt>
                <c:pt idx="79">
                  <c:v>43300</c:v>
                </c:pt>
                <c:pt idx="80">
                  <c:v>43301</c:v>
                </c:pt>
                <c:pt idx="81">
                  <c:v>43302</c:v>
                </c:pt>
                <c:pt idx="82">
                  <c:v>43303</c:v>
                </c:pt>
                <c:pt idx="83">
                  <c:v>43304</c:v>
                </c:pt>
                <c:pt idx="84">
                  <c:v>43305</c:v>
                </c:pt>
                <c:pt idx="85">
                  <c:v>43306</c:v>
                </c:pt>
                <c:pt idx="86">
                  <c:v>43307</c:v>
                </c:pt>
                <c:pt idx="87">
                  <c:v>43308</c:v>
                </c:pt>
                <c:pt idx="88">
                  <c:v>43309</c:v>
                </c:pt>
                <c:pt idx="89">
                  <c:v>43310</c:v>
                </c:pt>
                <c:pt idx="90">
                  <c:v>43311</c:v>
                </c:pt>
                <c:pt idx="91">
                  <c:v>43312</c:v>
                </c:pt>
                <c:pt idx="92">
                  <c:v>43313</c:v>
                </c:pt>
                <c:pt idx="93">
                  <c:v>43314</c:v>
                </c:pt>
                <c:pt idx="94">
                  <c:v>43315</c:v>
                </c:pt>
                <c:pt idx="95">
                  <c:v>43316</c:v>
                </c:pt>
                <c:pt idx="96">
                  <c:v>43317</c:v>
                </c:pt>
                <c:pt idx="97">
                  <c:v>43318</c:v>
                </c:pt>
                <c:pt idx="98">
                  <c:v>43319</c:v>
                </c:pt>
                <c:pt idx="99">
                  <c:v>43320</c:v>
                </c:pt>
                <c:pt idx="100">
                  <c:v>43321</c:v>
                </c:pt>
                <c:pt idx="101">
                  <c:v>43322</c:v>
                </c:pt>
                <c:pt idx="102">
                  <c:v>43323</c:v>
                </c:pt>
                <c:pt idx="103">
                  <c:v>43324</c:v>
                </c:pt>
                <c:pt idx="104">
                  <c:v>43325</c:v>
                </c:pt>
                <c:pt idx="105">
                  <c:v>43326</c:v>
                </c:pt>
                <c:pt idx="106">
                  <c:v>43327</c:v>
                </c:pt>
                <c:pt idx="107">
                  <c:v>43328</c:v>
                </c:pt>
                <c:pt idx="108">
                  <c:v>43329</c:v>
                </c:pt>
                <c:pt idx="109">
                  <c:v>43330</c:v>
                </c:pt>
                <c:pt idx="110">
                  <c:v>43331</c:v>
                </c:pt>
                <c:pt idx="111">
                  <c:v>43332</c:v>
                </c:pt>
                <c:pt idx="112">
                  <c:v>43333</c:v>
                </c:pt>
                <c:pt idx="113">
                  <c:v>43334</c:v>
                </c:pt>
                <c:pt idx="114">
                  <c:v>43335</c:v>
                </c:pt>
                <c:pt idx="115">
                  <c:v>43336</c:v>
                </c:pt>
                <c:pt idx="116">
                  <c:v>43337</c:v>
                </c:pt>
                <c:pt idx="117">
                  <c:v>43338</c:v>
                </c:pt>
                <c:pt idx="118">
                  <c:v>43339</c:v>
                </c:pt>
                <c:pt idx="119">
                  <c:v>43340</c:v>
                </c:pt>
                <c:pt idx="120">
                  <c:v>43341</c:v>
                </c:pt>
                <c:pt idx="121">
                  <c:v>43342</c:v>
                </c:pt>
                <c:pt idx="122">
                  <c:v>43343</c:v>
                </c:pt>
                <c:pt idx="123">
                  <c:v>43344</c:v>
                </c:pt>
                <c:pt idx="124">
                  <c:v>43345</c:v>
                </c:pt>
                <c:pt idx="125">
                  <c:v>43346</c:v>
                </c:pt>
                <c:pt idx="126">
                  <c:v>43347</c:v>
                </c:pt>
                <c:pt idx="127">
                  <c:v>43348</c:v>
                </c:pt>
                <c:pt idx="128">
                  <c:v>43349</c:v>
                </c:pt>
                <c:pt idx="129">
                  <c:v>43350</c:v>
                </c:pt>
                <c:pt idx="130">
                  <c:v>43351</c:v>
                </c:pt>
                <c:pt idx="131">
                  <c:v>43352</c:v>
                </c:pt>
                <c:pt idx="132">
                  <c:v>43353</c:v>
                </c:pt>
                <c:pt idx="133">
                  <c:v>43354</c:v>
                </c:pt>
                <c:pt idx="134">
                  <c:v>43355</c:v>
                </c:pt>
                <c:pt idx="135">
                  <c:v>43356</c:v>
                </c:pt>
                <c:pt idx="136">
                  <c:v>43357</c:v>
                </c:pt>
                <c:pt idx="137">
                  <c:v>43358</c:v>
                </c:pt>
                <c:pt idx="138">
                  <c:v>43359</c:v>
                </c:pt>
                <c:pt idx="139">
                  <c:v>43360</c:v>
                </c:pt>
                <c:pt idx="140">
                  <c:v>43361</c:v>
                </c:pt>
                <c:pt idx="141">
                  <c:v>43362</c:v>
                </c:pt>
                <c:pt idx="142">
                  <c:v>43363</c:v>
                </c:pt>
                <c:pt idx="143">
                  <c:v>43364</c:v>
                </c:pt>
                <c:pt idx="144">
                  <c:v>43365</c:v>
                </c:pt>
                <c:pt idx="145">
                  <c:v>43366</c:v>
                </c:pt>
                <c:pt idx="146">
                  <c:v>43367</c:v>
                </c:pt>
                <c:pt idx="147">
                  <c:v>43368</c:v>
                </c:pt>
                <c:pt idx="148">
                  <c:v>43369</c:v>
                </c:pt>
                <c:pt idx="149">
                  <c:v>43370</c:v>
                </c:pt>
                <c:pt idx="150">
                  <c:v>43371</c:v>
                </c:pt>
                <c:pt idx="151">
                  <c:v>43372</c:v>
                </c:pt>
                <c:pt idx="152">
                  <c:v>43373</c:v>
                </c:pt>
                <c:pt idx="153">
                  <c:v>43374</c:v>
                </c:pt>
                <c:pt idx="154">
                  <c:v>43375</c:v>
                </c:pt>
                <c:pt idx="155">
                  <c:v>43376</c:v>
                </c:pt>
                <c:pt idx="156">
                  <c:v>43377</c:v>
                </c:pt>
                <c:pt idx="157">
                  <c:v>43378</c:v>
                </c:pt>
                <c:pt idx="158">
                  <c:v>43379</c:v>
                </c:pt>
                <c:pt idx="159">
                  <c:v>43380</c:v>
                </c:pt>
                <c:pt idx="160">
                  <c:v>43381</c:v>
                </c:pt>
                <c:pt idx="161">
                  <c:v>43382</c:v>
                </c:pt>
                <c:pt idx="162">
                  <c:v>43383</c:v>
                </c:pt>
                <c:pt idx="163">
                  <c:v>43384</c:v>
                </c:pt>
                <c:pt idx="164">
                  <c:v>43385</c:v>
                </c:pt>
                <c:pt idx="165">
                  <c:v>43386</c:v>
                </c:pt>
                <c:pt idx="166">
                  <c:v>43387</c:v>
                </c:pt>
                <c:pt idx="167">
                  <c:v>43388</c:v>
                </c:pt>
                <c:pt idx="168">
                  <c:v>43389</c:v>
                </c:pt>
                <c:pt idx="169">
                  <c:v>43390</c:v>
                </c:pt>
                <c:pt idx="170">
                  <c:v>43391</c:v>
                </c:pt>
                <c:pt idx="171">
                  <c:v>43392</c:v>
                </c:pt>
                <c:pt idx="172">
                  <c:v>43393</c:v>
                </c:pt>
                <c:pt idx="173">
                  <c:v>43394</c:v>
                </c:pt>
                <c:pt idx="174">
                  <c:v>43395</c:v>
                </c:pt>
                <c:pt idx="175">
                  <c:v>43396</c:v>
                </c:pt>
                <c:pt idx="176">
                  <c:v>43397</c:v>
                </c:pt>
                <c:pt idx="177">
                  <c:v>43398</c:v>
                </c:pt>
                <c:pt idx="178">
                  <c:v>43399</c:v>
                </c:pt>
                <c:pt idx="179">
                  <c:v>43400</c:v>
                </c:pt>
                <c:pt idx="180">
                  <c:v>43401</c:v>
                </c:pt>
                <c:pt idx="181">
                  <c:v>43402</c:v>
                </c:pt>
                <c:pt idx="182">
                  <c:v>43403</c:v>
                </c:pt>
                <c:pt idx="183">
                  <c:v>43404</c:v>
                </c:pt>
              </c:numCache>
            </c:numRef>
          </c:xVal>
          <c:yVal>
            <c:numRef>
              <c:f>'Daily Scatter'!$M$8:$M$191</c:f>
              <c:numCache>
                <c:formatCode>General</c:formatCode>
                <c:ptCount val="184"/>
                <c:pt idx="0">
                  <c:v>11.8333333333333</c:v>
                </c:pt>
                <c:pt idx="1">
                  <c:v>7.9291666666666698</c:v>
                </c:pt>
                <c:pt idx="2">
                  <c:v>7.5333333333333297</c:v>
                </c:pt>
                <c:pt idx="3">
                  <c:v>6.5083333333333302</c:v>
                </c:pt>
                <c:pt idx="4">
                  <c:v>6.4083333333333297</c:v>
                </c:pt>
                <c:pt idx="5">
                  <c:v>#N/A</c:v>
                </c:pt>
                <c:pt idx="6">
                  <c:v>#N/A</c:v>
                </c:pt>
                <c:pt idx="7">
                  <c:v>4.9833333333333298</c:v>
                </c:pt>
                <c:pt idx="8">
                  <c:v>7.0625</c:v>
                </c:pt>
                <c:pt idx="9">
                  <c:v>9.7041666666666693</c:v>
                </c:pt>
                <c:pt idx="10">
                  <c:v>9.8041666666666707</c:v>
                </c:pt>
                <c:pt idx="11">
                  <c:v>10.704166666666699</c:v>
                </c:pt>
                <c:pt idx="12">
                  <c:v>#N/A</c:v>
                </c:pt>
                <c:pt idx="13">
                  <c:v>#N/A</c:v>
                </c:pt>
                <c:pt idx="14">
                  <c:v>11.112500000000001</c:v>
                </c:pt>
                <c:pt idx="15">
                  <c:v>13.3541666666667</c:v>
                </c:pt>
                <c:pt idx="16">
                  <c:v>22.75</c:v>
                </c:pt>
                <c:pt idx="17">
                  <c:v>23.5625</c:v>
                </c:pt>
                <c:pt idx="18">
                  <c:v>10.85</c:v>
                </c:pt>
                <c:pt idx="19">
                  <c:v>#N/A</c:v>
                </c:pt>
                <c:pt idx="20">
                  <c:v>#N/A</c:v>
                </c:pt>
                <c:pt idx="21">
                  <c:v>#N/A</c:v>
                </c:pt>
                <c:pt idx="22">
                  <c:v>16.029166666666701</c:v>
                </c:pt>
                <c:pt idx="23">
                  <c:v>15.858333333333301</c:v>
                </c:pt>
                <c:pt idx="24">
                  <c:v>13.0041666666667</c:v>
                </c:pt>
                <c:pt idx="25">
                  <c:v>12.408333333333299</c:v>
                </c:pt>
                <c:pt idx="26">
                  <c:v>#N/A</c:v>
                </c:pt>
                <c:pt idx="27">
                  <c:v>#N/A</c:v>
                </c:pt>
                <c:pt idx="28">
                  <c:v>18.158333333333299</c:v>
                </c:pt>
                <c:pt idx="29">
                  <c:v>17.5625</c:v>
                </c:pt>
                <c:pt idx="30">
                  <c:v>15.904166666666701</c:v>
                </c:pt>
                <c:pt idx="31">
                  <c:v>13.225</c:v>
                </c:pt>
                <c:pt idx="32">
                  <c:v>14.05</c:v>
                </c:pt>
                <c:pt idx="33">
                  <c:v>#N/A</c:v>
                </c:pt>
                <c:pt idx="34">
                  <c:v>#N/A</c:v>
                </c:pt>
                <c:pt idx="35">
                  <c:v>15.6041666666667</c:v>
                </c:pt>
                <c:pt idx="36">
                  <c:v>13.7916666666667</c:v>
                </c:pt>
                <c:pt idx="37">
                  <c:v>15.195833333333301</c:v>
                </c:pt>
                <c:pt idx="38">
                  <c:v>16.074999999999999</c:v>
                </c:pt>
                <c:pt idx="39">
                  <c:v>18.141666666666701</c:v>
                </c:pt>
                <c:pt idx="40">
                  <c:v>#N/A</c:v>
                </c:pt>
                <c:pt idx="41">
                  <c:v>#N/A</c:v>
                </c:pt>
                <c:pt idx="42">
                  <c:v>25.795833333333299</c:v>
                </c:pt>
                <c:pt idx="43">
                  <c:v>24.2916666666667</c:v>
                </c:pt>
                <c:pt idx="44">
                  <c:v>21.558333333333302</c:v>
                </c:pt>
                <c:pt idx="45">
                  <c:v>20.412500000000001</c:v>
                </c:pt>
                <c:pt idx="46">
                  <c:v>23.304166666666699</c:v>
                </c:pt>
                <c:pt idx="47">
                  <c:v>#N/A</c:v>
                </c:pt>
                <c:pt idx="48">
                  <c:v>#N/A</c:v>
                </c:pt>
                <c:pt idx="49">
                  <c:v>18.95</c:v>
                </c:pt>
                <c:pt idx="50">
                  <c:v>16.454166666666701</c:v>
                </c:pt>
                <c:pt idx="51">
                  <c:v>16.491666666666699</c:v>
                </c:pt>
                <c:pt idx="52">
                  <c:v>19.7291666666667</c:v>
                </c:pt>
                <c:pt idx="53">
                  <c:v>20.758333333333301</c:v>
                </c:pt>
                <c:pt idx="54">
                  <c:v>#N/A</c:v>
                </c:pt>
                <c:pt idx="55">
                  <c:v>#N/A</c:v>
                </c:pt>
                <c:pt idx="56">
                  <c:v>15.508333333333301</c:v>
                </c:pt>
                <c:pt idx="57">
                  <c:v>14.3541666666667</c:v>
                </c:pt>
                <c:pt idx="58">
                  <c:v>17.566666666666698</c:v>
                </c:pt>
                <c:pt idx="59">
                  <c:v>21.1666666666667</c:v>
                </c:pt>
                <c:pt idx="60">
                  <c:v>21.933333333333302</c:v>
                </c:pt>
                <c:pt idx="61">
                  <c:v>#N/A</c:v>
                </c:pt>
                <c:pt idx="62">
                  <c:v>#N/A</c:v>
                </c:pt>
                <c:pt idx="63">
                  <c:v>#N/A</c:v>
                </c:pt>
                <c:pt idx="64">
                  <c:v>19.191666666666698</c:v>
                </c:pt>
                <c:pt idx="65">
                  <c:v>20.975000000000001</c:v>
                </c:pt>
                <c:pt idx="66">
                  <c:v>22.3</c:v>
                </c:pt>
                <c:pt idx="67">
                  <c:v>21.341666666666701</c:v>
                </c:pt>
                <c:pt idx="68">
                  <c:v>#N/A</c:v>
                </c:pt>
                <c:pt idx="69">
                  <c:v>#N/A</c:v>
                </c:pt>
                <c:pt idx="70">
                  <c:v>19.445833333333301</c:v>
                </c:pt>
                <c:pt idx="71">
                  <c:v>21.891666666666701</c:v>
                </c:pt>
                <c:pt idx="72">
                  <c:v>23.504166666666698</c:v>
                </c:pt>
                <c:pt idx="73">
                  <c:v>21.883333333333301</c:v>
                </c:pt>
                <c:pt idx="74">
                  <c:v>20.358333333333299</c:v>
                </c:pt>
                <c:pt idx="75">
                  <c:v>#N/A</c:v>
                </c:pt>
                <c:pt idx="76">
                  <c:v>#N/A</c:v>
                </c:pt>
                <c:pt idx="77">
                  <c:v>19.5208333333333</c:v>
                </c:pt>
                <c:pt idx="78">
                  <c:v>20.341666666666701</c:v>
                </c:pt>
                <c:pt idx="79">
                  <c:v>22.495833333333302</c:v>
                </c:pt>
                <c:pt idx="80">
                  <c:v>23.033333333333299</c:v>
                </c:pt>
                <c:pt idx="81">
                  <c:v>23.439583333333299</c:v>
                </c:pt>
                <c:pt idx="82">
                  <c:v>#N/A</c:v>
                </c:pt>
                <c:pt idx="83">
                  <c:v>#N/A</c:v>
                </c:pt>
                <c:pt idx="84">
                  <c:v>17.508333333333301</c:v>
                </c:pt>
                <c:pt idx="85">
                  <c:v>18.95</c:v>
                </c:pt>
                <c:pt idx="86">
                  <c:v>19.074999999999999</c:v>
                </c:pt>
                <c:pt idx="87">
                  <c:v>22.133333333333301</c:v>
                </c:pt>
                <c:pt idx="88">
                  <c:v>18.695833333333301</c:v>
                </c:pt>
                <c:pt idx="89">
                  <c:v>#N/A</c:v>
                </c:pt>
                <c:pt idx="90">
                  <c:v>#N/A</c:v>
                </c:pt>
                <c:pt idx="91">
                  <c:v>21.9166666666667</c:v>
                </c:pt>
                <c:pt idx="92">
                  <c:v>22.7708333333333</c:v>
                </c:pt>
                <c:pt idx="93">
                  <c:v>21.279166666666701</c:v>
                </c:pt>
                <c:pt idx="94">
                  <c:v>20.8541666666667</c:v>
                </c:pt>
                <c:pt idx="95">
                  <c:v>20.220833333333299</c:v>
                </c:pt>
                <c:pt idx="96">
                  <c:v>#N/A</c:v>
                </c:pt>
                <c:pt idx="97">
                  <c:v>#N/A</c:v>
                </c:pt>
                <c:pt idx="98">
                  <c:v>#N/A</c:v>
                </c:pt>
                <c:pt idx="99">
                  <c:v>18.112500000000001</c:v>
                </c:pt>
                <c:pt idx="100">
                  <c:v>20.987500000000001</c:v>
                </c:pt>
                <c:pt idx="101">
                  <c:v>20.358333333333299</c:v>
                </c:pt>
                <c:pt idx="102">
                  <c:v>20.274999999999999</c:v>
                </c:pt>
                <c:pt idx="103">
                  <c:v>#N/A</c:v>
                </c:pt>
                <c:pt idx="104">
                  <c:v>#N/A</c:v>
                </c:pt>
                <c:pt idx="105">
                  <c:v>19.399999999999999</c:v>
                </c:pt>
                <c:pt idx="106">
                  <c:v>19.758333333333301</c:v>
                </c:pt>
                <c:pt idx="107">
                  <c:v>19.5208333333333</c:v>
                </c:pt>
                <c:pt idx="108">
                  <c:v>19.279166666666701</c:v>
                </c:pt>
                <c:pt idx="109">
                  <c:v>21.304166666666699</c:v>
                </c:pt>
                <c:pt idx="110">
                  <c:v>#N/A</c:v>
                </c:pt>
                <c:pt idx="111">
                  <c:v>#N/A</c:v>
                </c:pt>
                <c:pt idx="112">
                  <c:v>22.558333333333302</c:v>
                </c:pt>
                <c:pt idx="113">
                  <c:v>21.5833333333333</c:v>
                </c:pt>
                <c:pt idx="114">
                  <c:v>16.191666666666698</c:v>
                </c:pt>
                <c:pt idx="115">
                  <c:v>14.4375</c:v>
                </c:pt>
                <c:pt idx="116">
                  <c:v>14.1916666666667</c:v>
                </c:pt>
                <c:pt idx="117">
                  <c:v>#N/A</c:v>
                </c:pt>
                <c:pt idx="118">
                  <c:v>#N/A</c:v>
                </c:pt>
                <c:pt idx="119">
                  <c:v>18.237500000000001</c:v>
                </c:pt>
                <c:pt idx="120">
                  <c:v>18.883333333333301</c:v>
                </c:pt>
                <c:pt idx="121">
                  <c:v>17.716666666666701</c:v>
                </c:pt>
                <c:pt idx="122">
                  <c:v>15.4</c:v>
                </c:pt>
                <c:pt idx="123">
                  <c:v>10.862500000000001</c:v>
                </c:pt>
                <c:pt idx="124">
                  <c:v>#N/A</c:v>
                </c:pt>
                <c:pt idx="125">
                  <c:v>#N/A</c:v>
                </c:pt>
                <c:pt idx="126">
                  <c:v>#N/A</c:v>
                </c:pt>
                <c:pt idx="127">
                  <c:v>15.358333333333301</c:v>
                </c:pt>
                <c:pt idx="128">
                  <c:v>13.295833333333301</c:v>
                </c:pt>
                <c:pt idx="129">
                  <c:v>12.045833333333301</c:v>
                </c:pt>
                <c:pt idx="130">
                  <c:v>12.179166666666699</c:v>
                </c:pt>
                <c:pt idx="131">
                  <c:v>#N/A</c:v>
                </c:pt>
                <c:pt idx="132">
                  <c:v>#N/A</c:v>
                </c:pt>
                <c:pt idx="133">
                  <c:v>13.954166666666699</c:v>
                </c:pt>
                <c:pt idx="134">
                  <c:v>15.5375</c:v>
                </c:pt>
                <c:pt idx="135">
                  <c:v>17.995833333333302</c:v>
                </c:pt>
                <c:pt idx="136">
                  <c:v>19.262499999999999</c:v>
                </c:pt>
                <c:pt idx="137">
                  <c:v>17.933333333333302</c:v>
                </c:pt>
                <c:pt idx="138">
                  <c:v>#N/A</c:v>
                </c:pt>
                <c:pt idx="139">
                  <c:v>#N/A</c:v>
                </c:pt>
                <c:pt idx="140">
                  <c:v>20.154166666666701</c:v>
                </c:pt>
                <c:pt idx="141">
                  <c:v>20.85</c:v>
                </c:pt>
                <c:pt idx="142">
                  <c:v>21.375</c:v>
                </c:pt>
                <c:pt idx="143">
                  <c:v>21.716666666666701</c:v>
                </c:pt>
                <c:pt idx="144">
                  <c:v>22.379166666666698</c:v>
                </c:pt>
                <c:pt idx="145">
                  <c:v>#N/A</c:v>
                </c:pt>
                <c:pt idx="146">
                  <c:v>#N/A</c:v>
                </c:pt>
                <c:pt idx="147">
                  <c:v>23.283333333333299</c:v>
                </c:pt>
                <c:pt idx="148">
                  <c:v>23.866666666666699</c:v>
                </c:pt>
                <c:pt idx="149">
                  <c:v>19.4791666666667</c:v>
                </c:pt>
                <c:pt idx="150">
                  <c:v>12.9125</c:v>
                </c:pt>
                <c:pt idx="151">
                  <c:v>11.658333333333299</c:v>
                </c:pt>
                <c:pt idx="152">
                  <c:v>#N/A</c:v>
                </c:pt>
                <c:pt idx="153">
                  <c:v>#N/A</c:v>
                </c:pt>
                <c:pt idx="154">
                  <c:v>13.108333333333301</c:v>
                </c:pt>
                <c:pt idx="155">
                  <c:v>16.995833333333302</c:v>
                </c:pt>
                <c:pt idx="156">
                  <c:v>20.9375</c:v>
                </c:pt>
                <c:pt idx="157">
                  <c:v>15.5875</c:v>
                </c:pt>
                <c:pt idx="158">
                  <c:v>16.254166666666698</c:v>
                </c:pt>
                <c:pt idx="159">
                  <c:v>#N/A</c:v>
                </c:pt>
                <c:pt idx="160">
                  <c:v>#N/A</c:v>
                </c:pt>
                <c:pt idx="161">
                  <c:v>#N/A</c:v>
                </c:pt>
                <c:pt idx="162">
                  <c:v>14.7458333333333</c:v>
                </c:pt>
                <c:pt idx="163">
                  <c:v>10.1458333333333</c:v>
                </c:pt>
                <c:pt idx="164">
                  <c:v>11.508333333333301</c:v>
                </c:pt>
                <c:pt idx="165">
                  <c:v>15.1666666666667</c:v>
                </c:pt>
                <c:pt idx="166">
                  <c:v>#N/A</c:v>
                </c:pt>
                <c:pt idx="167">
                  <c:v>#N/A</c:v>
                </c:pt>
                <c:pt idx="168">
                  <c:v>6.1624999999999996</c:v>
                </c:pt>
                <c:pt idx="169">
                  <c:v>11.175000000000001</c:v>
                </c:pt>
                <c:pt idx="170">
                  <c:v>13.445833333333301</c:v>
                </c:pt>
                <c:pt idx="171">
                  <c:v>13.6208333333333</c:v>
                </c:pt>
                <c:pt idx="172">
                  <c:v>12.045833333333301</c:v>
                </c:pt>
                <c:pt idx="173">
                  <c:v>#N/A</c:v>
                </c:pt>
                <c:pt idx="174">
                  <c:v>#N/A</c:v>
                </c:pt>
                <c:pt idx="175">
                  <c:v>16.175000000000001</c:v>
                </c:pt>
                <c:pt idx="176">
                  <c:v>10.383333333333301</c:v>
                </c:pt>
                <c:pt idx="177">
                  <c:v>5.8125</c:v>
                </c:pt>
                <c:pt idx="178">
                  <c:v>4.12083333333333</c:v>
                </c:pt>
                <c:pt idx="179">
                  <c:v>9.7208333333333297</c:v>
                </c:pt>
                <c:pt idx="180">
                  <c:v>#N/A</c:v>
                </c:pt>
                <c:pt idx="181">
                  <c:v>#N/A</c:v>
                </c:pt>
                <c:pt idx="182">
                  <c:v>4.2958333333333298</c:v>
                </c:pt>
                <c:pt idx="183">
                  <c:v>3.7916666666666701</c:v>
                </c:pt>
              </c:numCache>
            </c:numRef>
          </c:yVal>
          <c:smooth val="0"/>
          <c:extLst>
            <c:ext xmlns:c16="http://schemas.microsoft.com/office/drawing/2014/chart" uri="{C3380CC4-5D6E-409C-BE32-E72D297353CC}">
              <c16:uniqueId val="{00000003-2F0F-4832-AEF0-F530AFA34BE1}"/>
            </c:ext>
          </c:extLst>
        </c:ser>
        <c:ser>
          <c:idx val="4"/>
          <c:order val="4"/>
          <c:tx>
            <c:strRef>
              <c:f>'Daily Scatter'!$O$7</c:f>
              <c:strCache>
                <c:ptCount val="1"/>
                <c:pt idx="0">
                  <c:v>Program Period - Weekdays</c:v>
                </c:pt>
              </c:strCache>
            </c:strRef>
          </c:tx>
          <c:spPr>
            <a:ln w="25400" cap="rnd">
              <a:noFill/>
              <a:round/>
            </a:ln>
            <a:effectLst/>
          </c:spPr>
          <c:marker>
            <c:symbol val="circle"/>
            <c:size val="5"/>
            <c:spPr>
              <a:solidFill>
                <a:schemeClr val="accent6">
                  <a:lumMod val="40000"/>
                  <a:lumOff val="60000"/>
                </a:schemeClr>
              </a:solidFill>
              <a:ln w="9525">
                <a:solidFill>
                  <a:schemeClr val="accent1"/>
                </a:solidFill>
              </a:ln>
              <a:effectLst/>
            </c:spPr>
          </c:marker>
          <c:trendline>
            <c:spPr>
              <a:ln w="31750" cap="rnd">
                <a:solidFill>
                  <a:schemeClr val="accent6">
                    <a:lumMod val="75000"/>
                  </a:schemeClr>
                </a:solidFill>
                <a:prstDash val="sysDot"/>
              </a:ln>
              <a:effectLst/>
            </c:spPr>
            <c:trendlineType val="poly"/>
            <c:order val="2"/>
            <c:dispRSqr val="0"/>
            <c:dispEq val="0"/>
          </c:trendline>
          <c:xVal>
            <c:numRef>
              <c:f>'Daily Scatter'!$H$8:$H$191</c:f>
              <c:numCache>
                <c:formatCode>[$-409]d\-mmm;@</c:formatCode>
                <c:ptCount val="184"/>
                <c:pt idx="0">
                  <c:v>43221</c:v>
                </c:pt>
                <c:pt idx="1">
                  <c:v>43222</c:v>
                </c:pt>
                <c:pt idx="2">
                  <c:v>43223</c:v>
                </c:pt>
                <c:pt idx="3">
                  <c:v>43224</c:v>
                </c:pt>
                <c:pt idx="4">
                  <c:v>43225</c:v>
                </c:pt>
                <c:pt idx="5">
                  <c:v>43226</c:v>
                </c:pt>
                <c:pt idx="6">
                  <c:v>43227</c:v>
                </c:pt>
                <c:pt idx="7">
                  <c:v>43228</c:v>
                </c:pt>
                <c:pt idx="8">
                  <c:v>43229</c:v>
                </c:pt>
                <c:pt idx="9">
                  <c:v>43230</c:v>
                </c:pt>
                <c:pt idx="10">
                  <c:v>43231</c:v>
                </c:pt>
                <c:pt idx="11">
                  <c:v>43232</c:v>
                </c:pt>
                <c:pt idx="12">
                  <c:v>43233</c:v>
                </c:pt>
                <c:pt idx="13">
                  <c:v>43234</c:v>
                </c:pt>
                <c:pt idx="14">
                  <c:v>43235</c:v>
                </c:pt>
                <c:pt idx="15">
                  <c:v>43236</c:v>
                </c:pt>
                <c:pt idx="16">
                  <c:v>43237</c:v>
                </c:pt>
                <c:pt idx="17">
                  <c:v>43238</c:v>
                </c:pt>
                <c:pt idx="18">
                  <c:v>43239</c:v>
                </c:pt>
                <c:pt idx="19">
                  <c:v>43240</c:v>
                </c:pt>
                <c:pt idx="20">
                  <c:v>43241</c:v>
                </c:pt>
                <c:pt idx="21">
                  <c:v>43242</c:v>
                </c:pt>
                <c:pt idx="22">
                  <c:v>43243</c:v>
                </c:pt>
                <c:pt idx="23">
                  <c:v>43244</c:v>
                </c:pt>
                <c:pt idx="24">
                  <c:v>43245</c:v>
                </c:pt>
                <c:pt idx="25">
                  <c:v>43246</c:v>
                </c:pt>
                <c:pt idx="26">
                  <c:v>43247</c:v>
                </c:pt>
                <c:pt idx="27">
                  <c:v>43248</c:v>
                </c:pt>
                <c:pt idx="28">
                  <c:v>43249</c:v>
                </c:pt>
                <c:pt idx="29">
                  <c:v>43250</c:v>
                </c:pt>
                <c:pt idx="30">
                  <c:v>43251</c:v>
                </c:pt>
                <c:pt idx="31">
                  <c:v>43252</c:v>
                </c:pt>
                <c:pt idx="32">
                  <c:v>43253</c:v>
                </c:pt>
                <c:pt idx="33">
                  <c:v>43254</c:v>
                </c:pt>
                <c:pt idx="34">
                  <c:v>43255</c:v>
                </c:pt>
                <c:pt idx="35">
                  <c:v>43256</c:v>
                </c:pt>
                <c:pt idx="36">
                  <c:v>43257</c:v>
                </c:pt>
                <c:pt idx="37">
                  <c:v>43258</c:v>
                </c:pt>
                <c:pt idx="38">
                  <c:v>43259</c:v>
                </c:pt>
                <c:pt idx="39">
                  <c:v>43260</c:v>
                </c:pt>
                <c:pt idx="40">
                  <c:v>43261</c:v>
                </c:pt>
                <c:pt idx="41">
                  <c:v>43262</c:v>
                </c:pt>
                <c:pt idx="42">
                  <c:v>43263</c:v>
                </c:pt>
                <c:pt idx="43">
                  <c:v>43264</c:v>
                </c:pt>
                <c:pt idx="44">
                  <c:v>43265</c:v>
                </c:pt>
                <c:pt idx="45">
                  <c:v>43266</c:v>
                </c:pt>
                <c:pt idx="46">
                  <c:v>43267</c:v>
                </c:pt>
                <c:pt idx="47">
                  <c:v>43268</c:v>
                </c:pt>
                <c:pt idx="48">
                  <c:v>43269</c:v>
                </c:pt>
                <c:pt idx="49">
                  <c:v>43270</c:v>
                </c:pt>
                <c:pt idx="50">
                  <c:v>43271</c:v>
                </c:pt>
                <c:pt idx="51">
                  <c:v>43272</c:v>
                </c:pt>
                <c:pt idx="52">
                  <c:v>43273</c:v>
                </c:pt>
                <c:pt idx="53">
                  <c:v>43274</c:v>
                </c:pt>
                <c:pt idx="54">
                  <c:v>43275</c:v>
                </c:pt>
                <c:pt idx="55">
                  <c:v>43276</c:v>
                </c:pt>
                <c:pt idx="56">
                  <c:v>43277</c:v>
                </c:pt>
                <c:pt idx="57">
                  <c:v>43278</c:v>
                </c:pt>
                <c:pt idx="58">
                  <c:v>43279</c:v>
                </c:pt>
                <c:pt idx="59">
                  <c:v>43280</c:v>
                </c:pt>
                <c:pt idx="60">
                  <c:v>43281</c:v>
                </c:pt>
                <c:pt idx="61">
                  <c:v>43282</c:v>
                </c:pt>
                <c:pt idx="62">
                  <c:v>43283</c:v>
                </c:pt>
                <c:pt idx="63">
                  <c:v>43284</c:v>
                </c:pt>
                <c:pt idx="64">
                  <c:v>43285</c:v>
                </c:pt>
                <c:pt idx="65">
                  <c:v>43286</c:v>
                </c:pt>
                <c:pt idx="66">
                  <c:v>43287</c:v>
                </c:pt>
                <c:pt idx="67">
                  <c:v>43288</c:v>
                </c:pt>
                <c:pt idx="68">
                  <c:v>43289</c:v>
                </c:pt>
                <c:pt idx="69">
                  <c:v>43290</c:v>
                </c:pt>
                <c:pt idx="70">
                  <c:v>43291</c:v>
                </c:pt>
                <c:pt idx="71">
                  <c:v>43292</c:v>
                </c:pt>
                <c:pt idx="72">
                  <c:v>43293</c:v>
                </c:pt>
                <c:pt idx="73">
                  <c:v>43294</c:v>
                </c:pt>
                <c:pt idx="74">
                  <c:v>43295</c:v>
                </c:pt>
                <c:pt idx="75">
                  <c:v>43296</c:v>
                </c:pt>
                <c:pt idx="76">
                  <c:v>43297</c:v>
                </c:pt>
                <c:pt idx="77">
                  <c:v>43298</c:v>
                </c:pt>
                <c:pt idx="78">
                  <c:v>43299</c:v>
                </c:pt>
                <c:pt idx="79">
                  <c:v>43300</c:v>
                </c:pt>
                <c:pt idx="80">
                  <c:v>43301</c:v>
                </c:pt>
                <c:pt idx="81">
                  <c:v>43302</c:v>
                </c:pt>
                <c:pt idx="82">
                  <c:v>43303</c:v>
                </c:pt>
                <c:pt idx="83">
                  <c:v>43304</c:v>
                </c:pt>
                <c:pt idx="84">
                  <c:v>43305</c:v>
                </c:pt>
                <c:pt idx="85">
                  <c:v>43306</c:v>
                </c:pt>
                <c:pt idx="86">
                  <c:v>43307</c:v>
                </c:pt>
                <c:pt idx="87">
                  <c:v>43308</c:v>
                </c:pt>
                <c:pt idx="88">
                  <c:v>43309</c:v>
                </c:pt>
                <c:pt idx="89">
                  <c:v>43310</c:v>
                </c:pt>
                <c:pt idx="90">
                  <c:v>43311</c:v>
                </c:pt>
                <c:pt idx="91">
                  <c:v>43312</c:v>
                </c:pt>
                <c:pt idx="92">
                  <c:v>43313</c:v>
                </c:pt>
                <c:pt idx="93">
                  <c:v>43314</c:v>
                </c:pt>
                <c:pt idx="94">
                  <c:v>43315</c:v>
                </c:pt>
                <c:pt idx="95">
                  <c:v>43316</c:v>
                </c:pt>
                <c:pt idx="96">
                  <c:v>43317</c:v>
                </c:pt>
                <c:pt idx="97">
                  <c:v>43318</c:v>
                </c:pt>
                <c:pt idx="98">
                  <c:v>43319</c:v>
                </c:pt>
                <c:pt idx="99">
                  <c:v>43320</c:v>
                </c:pt>
                <c:pt idx="100">
                  <c:v>43321</c:v>
                </c:pt>
                <c:pt idx="101">
                  <c:v>43322</c:v>
                </c:pt>
                <c:pt idx="102">
                  <c:v>43323</c:v>
                </c:pt>
                <c:pt idx="103">
                  <c:v>43324</c:v>
                </c:pt>
                <c:pt idx="104">
                  <c:v>43325</c:v>
                </c:pt>
                <c:pt idx="105">
                  <c:v>43326</c:v>
                </c:pt>
                <c:pt idx="106">
                  <c:v>43327</c:v>
                </c:pt>
                <c:pt idx="107">
                  <c:v>43328</c:v>
                </c:pt>
                <c:pt idx="108">
                  <c:v>43329</c:v>
                </c:pt>
                <c:pt idx="109">
                  <c:v>43330</c:v>
                </c:pt>
                <c:pt idx="110">
                  <c:v>43331</c:v>
                </c:pt>
                <c:pt idx="111">
                  <c:v>43332</c:v>
                </c:pt>
                <c:pt idx="112">
                  <c:v>43333</c:v>
                </c:pt>
                <c:pt idx="113">
                  <c:v>43334</c:v>
                </c:pt>
                <c:pt idx="114">
                  <c:v>43335</c:v>
                </c:pt>
                <c:pt idx="115">
                  <c:v>43336</c:v>
                </c:pt>
                <c:pt idx="116">
                  <c:v>43337</c:v>
                </c:pt>
                <c:pt idx="117">
                  <c:v>43338</c:v>
                </c:pt>
                <c:pt idx="118">
                  <c:v>43339</c:v>
                </c:pt>
                <c:pt idx="119">
                  <c:v>43340</c:v>
                </c:pt>
                <c:pt idx="120">
                  <c:v>43341</c:v>
                </c:pt>
                <c:pt idx="121">
                  <c:v>43342</c:v>
                </c:pt>
                <c:pt idx="122">
                  <c:v>43343</c:v>
                </c:pt>
                <c:pt idx="123">
                  <c:v>43344</c:v>
                </c:pt>
                <c:pt idx="124">
                  <c:v>43345</c:v>
                </c:pt>
                <c:pt idx="125">
                  <c:v>43346</c:v>
                </c:pt>
                <c:pt idx="126">
                  <c:v>43347</c:v>
                </c:pt>
                <c:pt idx="127">
                  <c:v>43348</c:v>
                </c:pt>
                <c:pt idx="128">
                  <c:v>43349</c:v>
                </c:pt>
                <c:pt idx="129">
                  <c:v>43350</c:v>
                </c:pt>
                <c:pt idx="130">
                  <c:v>43351</c:v>
                </c:pt>
                <c:pt idx="131">
                  <c:v>43352</c:v>
                </c:pt>
                <c:pt idx="132">
                  <c:v>43353</c:v>
                </c:pt>
                <c:pt idx="133">
                  <c:v>43354</c:v>
                </c:pt>
                <c:pt idx="134">
                  <c:v>43355</c:v>
                </c:pt>
                <c:pt idx="135">
                  <c:v>43356</c:v>
                </c:pt>
                <c:pt idx="136">
                  <c:v>43357</c:v>
                </c:pt>
                <c:pt idx="137">
                  <c:v>43358</c:v>
                </c:pt>
                <c:pt idx="138">
                  <c:v>43359</c:v>
                </c:pt>
                <c:pt idx="139">
                  <c:v>43360</c:v>
                </c:pt>
                <c:pt idx="140">
                  <c:v>43361</c:v>
                </c:pt>
                <c:pt idx="141">
                  <c:v>43362</c:v>
                </c:pt>
                <c:pt idx="142">
                  <c:v>43363</c:v>
                </c:pt>
                <c:pt idx="143">
                  <c:v>43364</c:v>
                </c:pt>
                <c:pt idx="144">
                  <c:v>43365</c:v>
                </c:pt>
                <c:pt idx="145">
                  <c:v>43366</c:v>
                </c:pt>
                <c:pt idx="146">
                  <c:v>43367</c:v>
                </c:pt>
                <c:pt idx="147">
                  <c:v>43368</c:v>
                </c:pt>
                <c:pt idx="148">
                  <c:v>43369</c:v>
                </c:pt>
                <c:pt idx="149">
                  <c:v>43370</c:v>
                </c:pt>
                <c:pt idx="150">
                  <c:v>43371</c:v>
                </c:pt>
                <c:pt idx="151">
                  <c:v>43372</c:v>
                </c:pt>
                <c:pt idx="152">
                  <c:v>43373</c:v>
                </c:pt>
                <c:pt idx="153">
                  <c:v>43374</c:v>
                </c:pt>
                <c:pt idx="154">
                  <c:v>43375</c:v>
                </c:pt>
                <c:pt idx="155">
                  <c:v>43376</c:v>
                </c:pt>
                <c:pt idx="156">
                  <c:v>43377</c:v>
                </c:pt>
                <c:pt idx="157">
                  <c:v>43378</c:v>
                </c:pt>
                <c:pt idx="158">
                  <c:v>43379</c:v>
                </c:pt>
                <c:pt idx="159">
                  <c:v>43380</c:v>
                </c:pt>
                <c:pt idx="160">
                  <c:v>43381</c:v>
                </c:pt>
                <c:pt idx="161">
                  <c:v>43382</c:v>
                </c:pt>
                <c:pt idx="162">
                  <c:v>43383</c:v>
                </c:pt>
                <c:pt idx="163">
                  <c:v>43384</c:v>
                </c:pt>
                <c:pt idx="164">
                  <c:v>43385</c:v>
                </c:pt>
                <c:pt idx="165">
                  <c:v>43386</c:v>
                </c:pt>
                <c:pt idx="166">
                  <c:v>43387</c:v>
                </c:pt>
                <c:pt idx="167">
                  <c:v>43388</c:v>
                </c:pt>
                <c:pt idx="168">
                  <c:v>43389</c:v>
                </c:pt>
                <c:pt idx="169">
                  <c:v>43390</c:v>
                </c:pt>
                <c:pt idx="170">
                  <c:v>43391</c:v>
                </c:pt>
                <c:pt idx="171">
                  <c:v>43392</c:v>
                </c:pt>
                <c:pt idx="172">
                  <c:v>43393</c:v>
                </c:pt>
                <c:pt idx="173">
                  <c:v>43394</c:v>
                </c:pt>
                <c:pt idx="174">
                  <c:v>43395</c:v>
                </c:pt>
                <c:pt idx="175">
                  <c:v>43396</c:v>
                </c:pt>
                <c:pt idx="176">
                  <c:v>43397</c:v>
                </c:pt>
                <c:pt idx="177">
                  <c:v>43398</c:v>
                </c:pt>
                <c:pt idx="178">
                  <c:v>43399</c:v>
                </c:pt>
                <c:pt idx="179">
                  <c:v>43400</c:v>
                </c:pt>
                <c:pt idx="180">
                  <c:v>43401</c:v>
                </c:pt>
                <c:pt idx="181">
                  <c:v>43402</c:v>
                </c:pt>
                <c:pt idx="182">
                  <c:v>43403</c:v>
                </c:pt>
                <c:pt idx="183">
                  <c:v>43404</c:v>
                </c:pt>
              </c:numCache>
            </c:numRef>
          </c:xVal>
          <c:yVal>
            <c:numRef>
              <c:f>'Daily Scatter'!$O$8:$O$191</c:f>
              <c:numCache>
                <c:formatCode>General</c:formatCode>
                <c:ptCount val="184"/>
                <c:pt idx="0">
                  <c:v>17.4073958333333</c:v>
                </c:pt>
                <c:pt idx="1">
                  <c:v>21.171666666666699</c:v>
                </c:pt>
                <c:pt idx="2">
                  <c:v>17.338333333333299</c:v>
                </c:pt>
                <c:pt idx="3">
                  <c:v>15.6991666666667</c:v>
                </c:pt>
                <c:pt idx="4">
                  <c:v>#N/A</c:v>
                </c:pt>
                <c:pt idx="5">
                  <c:v>#N/A</c:v>
                </c:pt>
                <c:pt idx="6">
                  <c:v>13.4627083333333</c:v>
                </c:pt>
                <c:pt idx="7">
                  <c:v>14.674375</c:v>
                </c:pt>
                <c:pt idx="8">
                  <c:v>17.608333333333299</c:v>
                </c:pt>
                <c:pt idx="9">
                  <c:v>15.642708333333299</c:v>
                </c:pt>
                <c:pt idx="10">
                  <c:v>7.2331250000000002</c:v>
                </c:pt>
                <c:pt idx="11">
                  <c:v>#N/A</c:v>
                </c:pt>
                <c:pt idx="12">
                  <c:v>#N/A</c:v>
                </c:pt>
                <c:pt idx="13">
                  <c:v>13.869375</c:v>
                </c:pt>
                <c:pt idx="14">
                  <c:v>16.3072916666667</c:v>
                </c:pt>
                <c:pt idx="15">
                  <c:v>16.5997916666667</c:v>
                </c:pt>
                <c:pt idx="16">
                  <c:v>18.896875000000001</c:v>
                </c:pt>
                <c:pt idx="17">
                  <c:v>14.2589583333333</c:v>
                </c:pt>
                <c:pt idx="18">
                  <c:v>#N/A</c:v>
                </c:pt>
                <c:pt idx="19">
                  <c:v>#N/A</c:v>
                </c:pt>
                <c:pt idx="20">
                  <c:v>#N/A</c:v>
                </c:pt>
                <c:pt idx="21">
                  <c:v>14.47125</c:v>
                </c:pt>
                <c:pt idx="22">
                  <c:v>16.675625</c:v>
                </c:pt>
                <c:pt idx="23">
                  <c:v>19.207916666666701</c:v>
                </c:pt>
                <c:pt idx="24">
                  <c:v>21.4933333333333</c:v>
                </c:pt>
                <c:pt idx="25">
                  <c:v>#N/A</c:v>
                </c:pt>
                <c:pt idx="26">
                  <c:v>#N/A</c:v>
                </c:pt>
                <c:pt idx="27">
                  <c:v>24.818750000000001</c:v>
                </c:pt>
                <c:pt idx="28">
                  <c:v>24.294791666666701</c:v>
                </c:pt>
                <c:pt idx="29">
                  <c:v>24.188124999999999</c:v>
                </c:pt>
                <c:pt idx="30">
                  <c:v>24.376666666666701</c:v>
                </c:pt>
                <c:pt idx="31">
                  <c:v>22.175833333333301</c:v>
                </c:pt>
                <c:pt idx="32">
                  <c:v>#N/A</c:v>
                </c:pt>
                <c:pt idx="33">
                  <c:v>#N/A</c:v>
                </c:pt>
                <c:pt idx="34">
                  <c:v>15.604791666666699</c:v>
                </c:pt>
                <c:pt idx="35">
                  <c:v>11.5547916666667</c:v>
                </c:pt>
                <c:pt idx="36">
                  <c:v>12.774374999999999</c:v>
                </c:pt>
                <c:pt idx="37">
                  <c:v>17.286041666666701</c:v>
                </c:pt>
                <c:pt idx="38">
                  <c:v>19.434166666666702</c:v>
                </c:pt>
                <c:pt idx="39">
                  <c:v>#N/A</c:v>
                </c:pt>
                <c:pt idx="40">
                  <c:v>#N/A</c:v>
                </c:pt>
                <c:pt idx="41">
                  <c:v>18.497916666666701</c:v>
                </c:pt>
                <c:pt idx="42">
                  <c:v>19.229791666666699</c:v>
                </c:pt>
                <c:pt idx="43">
                  <c:v>21.1658333333333</c:v>
                </c:pt>
                <c:pt idx="44">
                  <c:v>18.492291666666699</c:v>
                </c:pt>
                <c:pt idx="45">
                  <c:v>18.329166666666701</c:v>
                </c:pt>
                <c:pt idx="46">
                  <c:v>#N/A</c:v>
                </c:pt>
                <c:pt idx="47">
                  <c:v>#N/A</c:v>
                </c:pt>
                <c:pt idx="48">
                  <c:v>25.40625</c:v>
                </c:pt>
                <c:pt idx="49">
                  <c:v>21.1741666666667</c:v>
                </c:pt>
                <c:pt idx="50">
                  <c:v>18.311875000000001</c:v>
                </c:pt>
                <c:pt idx="51">
                  <c:v>18.622499999999999</c:v>
                </c:pt>
                <c:pt idx="52">
                  <c:v>16.5908333333333</c:v>
                </c:pt>
                <c:pt idx="53">
                  <c:v>#N/A</c:v>
                </c:pt>
                <c:pt idx="54">
                  <c:v>#N/A</c:v>
                </c:pt>
                <c:pt idx="55">
                  <c:v>17.553750000000001</c:v>
                </c:pt>
                <c:pt idx="56">
                  <c:v>18.431249999999999</c:v>
                </c:pt>
                <c:pt idx="57">
                  <c:v>19.430208333333301</c:v>
                </c:pt>
                <c:pt idx="58">
                  <c:v>21.463333333333299</c:v>
                </c:pt>
                <c:pt idx="59">
                  <c:v>24.209375000000001</c:v>
                </c:pt>
                <c:pt idx="60">
                  <c:v>#N/A</c:v>
                </c:pt>
                <c:pt idx="61">
                  <c:v>#N/A</c:v>
                </c:pt>
                <c:pt idx="62">
                  <c:v>#N/A</c:v>
                </c:pt>
                <c:pt idx="63">
                  <c:v>23.322500000000002</c:v>
                </c:pt>
                <c:pt idx="64">
                  <c:v>25.73</c:v>
                </c:pt>
                <c:pt idx="65">
                  <c:v>25.1220833333333</c:v>
                </c:pt>
                <c:pt idx="66">
                  <c:v>18.968958333333301</c:v>
                </c:pt>
                <c:pt idx="67">
                  <c:v>#N/A</c:v>
                </c:pt>
                <c:pt idx="68">
                  <c:v>#N/A</c:v>
                </c:pt>
                <c:pt idx="69">
                  <c:v>22.0870833333333</c:v>
                </c:pt>
                <c:pt idx="70">
                  <c:v>22.658958333333299</c:v>
                </c:pt>
                <c:pt idx="71">
                  <c:v>20.423749999999998</c:v>
                </c:pt>
                <c:pt idx="72">
                  <c:v>21.038125000000001</c:v>
                </c:pt>
                <c:pt idx="73">
                  <c:v>23.246666666666702</c:v>
                </c:pt>
                <c:pt idx="74">
                  <c:v>#N/A</c:v>
                </c:pt>
                <c:pt idx="75">
                  <c:v>#N/A</c:v>
                </c:pt>
                <c:pt idx="76">
                  <c:v>24.747916666666701</c:v>
                </c:pt>
                <c:pt idx="77">
                  <c:v>20.4597916666667</c:v>
                </c:pt>
                <c:pt idx="78">
                  <c:v>18.398958333333301</c:v>
                </c:pt>
                <c:pt idx="79">
                  <c:v>18.793541666666702</c:v>
                </c:pt>
                <c:pt idx="80">
                  <c:v>21.75375</c:v>
                </c:pt>
                <c:pt idx="81">
                  <c:v>#N/A</c:v>
                </c:pt>
                <c:pt idx="82">
                  <c:v>#N/A</c:v>
                </c:pt>
                <c:pt idx="83">
                  <c:v>22.511875</c:v>
                </c:pt>
                <c:pt idx="84">
                  <c:v>22.0097916666667</c:v>
                </c:pt>
                <c:pt idx="85">
                  <c:v>21.980416666666699</c:v>
                </c:pt>
                <c:pt idx="86">
                  <c:v>20.5847916666667</c:v>
                </c:pt>
                <c:pt idx="87">
                  <c:v>19.135208333333299</c:v>
                </c:pt>
                <c:pt idx="88">
                  <c:v>#N/A</c:v>
                </c:pt>
                <c:pt idx="89">
                  <c:v>#N/A</c:v>
                </c:pt>
                <c:pt idx="90">
                  <c:v>20.161666666666701</c:v>
                </c:pt>
                <c:pt idx="91">
                  <c:v>21.116666666666699</c:v>
                </c:pt>
                <c:pt idx="92">
                  <c:v>21.459375000000001</c:v>
                </c:pt>
                <c:pt idx="93">
                  <c:v>21.341041666666701</c:v>
                </c:pt>
                <c:pt idx="94">
                  <c:v>21.970624999999998</c:v>
                </c:pt>
                <c:pt idx="95">
                  <c:v>#N/A</c:v>
                </c:pt>
                <c:pt idx="96">
                  <c:v>#N/A</c:v>
                </c:pt>
                <c:pt idx="97">
                  <c:v>#N/A</c:v>
                </c:pt>
                <c:pt idx="98">
                  <c:v>23.008749999999999</c:v>
                </c:pt>
                <c:pt idx="99">
                  <c:v>21.359375</c:v>
                </c:pt>
                <c:pt idx="100">
                  <c:v>20.960208333333298</c:v>
                </c:pt>
                <c:pt idx="101">
                  <c:v>20.722916666666698</c:v>
                </c:pt>
                <c:pt idx="102">
                  <c:v>#N/A</c:v>
                </c:pt>
                <c:pt idx="103">
                  <c:v>#N/A</c:v>
                </c:pt>
                <c:pt idx="104">
                  <c:v>21.847083333333298</c:v>
                </c:pt>
                <c:pt idx="105">
                  <c:v>23.057708333333299</c:v>
                </c:pt>
                <c:pt idx="106">
                  <c:v>23.806249999999999</c:v>
                </c:pt>
                <c:pt idx="107">
                  <c:v>21.633125</c:v>
                </c:pt>
                <c:pt idx="108">
                  <c:v>23.280208333333299</c:v>
                </c:pt>
                <c:pt idx="109">
                  <c:v>#N/A</c:v>
                </c:pt>
                <c:pt idx="110">
                  <c:v>#N/A</c:v>
                </c:pt>
                <c:pt idx="111">
                  <c:v>20.396875000000001</c:v>
                </c:pt>
                <c:pt idx="112">
                  <c:v>21.488541666666698</c:v>
                </c:pt>
                <c:pt idx="113">
                  <c:v>17.8341666666667</c:v>
                </c:pt>
                <c:pt idx="114">
                  <c:v>18.9285416666667</c:v>
                </c:pt>
                <c:pt idx="115">
                  <c:v>19.769166666666699</c:v>
                </c:pt>
                <c:pt idx="116">
                  <c:v>#N/A</c:v>
                </c:pt>
                <c:pt idx="117">
                  <c:v>#N/A</c:v>
                </c:pt>
                <c:pt idx="118">
                  <c:v>24.128958333333301</c:v>
                </c:pt>
                <c:pt idx="119">
                  <c:v>26.407083333333301</c:v>
                </c:pt>
                <c:pt idx="120">
                  <c:v>22.491666666666699</c:v>
                </c:pt>
                <c:pt idx="121">
                  <c:v>17.611458333333299</c:v>
                </c:pt>
                <c:pt idx="122">
                  <c:v>18.0654166666667</c:v>
                </c:pt>
                <c:pt idx="123">
                  <c:v>#N/A</c:v>
                </c:pt>
                <c:pt idx="124">
                  <c:v>#N/A</c:v>
                </c:pt>
                <c:pt idx="125">
                  <c:v>#N/A</c:v>
                </c:pt>
                <c:pt idx="126">
                  <c:v>23.6666666666667</c:v>
                </c:pt>
                <c:pt idx="127">
                  <c:v>25.4583333333333</c:v>
                </c:pt>
                <c:pt idx="128">
                  <c:v>20.204166666666701</c:v>
                </c:pt>
                <c:pt idx="129">
                  <c:v>17.637499999999999</c:v>
                </c:pt>
                <c:pt idx="130">
                  <c:v>#N/A</c:v>
                </c:pt>
                <c:pt idx="131">
                  <c:v>#N/A</c:v>
                </c:pt>
                <c:pt idx="132">
                  <c:v>13.1275</c:v>
                </c:pt>
                <c:pt idx="133">
                  <c:v>15.6641666666667</c:v>
                </c:pt>
                <c:pt idx="134">
                  <c:v>17.0572916666667</c:v>
                </c:pt>
                <c:pt idx="135">
                  <c:v>19.754166666666698</c:v>
                </c:pt>
                <c:pt idx="136">
                  <c:v>21.879166666666698</c:v>
                </c:pt>
                <c:pt idx="137">
                  <c:v>#N/A</c:v>
                </c:pt>
                <c:pt idx="138">
                  <c:v>#N/A</c:v>
                </c:pt>
                <c:pt idx="139">
                  <c:v>20.966666666666701</c:v>
                </c:pt>
                <c:pt idx="140">
                  <c:v>18.987500000000001</c:v>
                </c:pt>
                <c:pt idx="141">
                  <c:v>16.866666666666699</c:v>
                </c:pt>
                <c:pt idx="142">
                  <c:v>16.870833333333302</c:v>
                </c:pt>
                <c:pt idx="143">
                  <c:v>23.045833333333299</c:v>
                </c:pt>
                <c:pt idx="144">
                  <c:v>#N/A</c:v>
                </c:pt>
                <c:pt idx="145">
                  <c:v>#N/A</c:v>
                </c:pt>
                <c:pt idx="146">
                  <c:v>15.141666666666699</c:v>
                </c:pt>
                <c:pt idx="147">
                  <c:v>19.4002083333333</c:v>
                </c:pt>
                <c:pt idx="148">
                  <c:v>16.5691666666667</c:v>
                </c:pt>
                <c:pt idx="149">
                  <c:v>10.98</c:v>
                </c:pt>
                <c:pt idx="150">
                  <c:v>12.2158333333333</c:v>
                </c:pt>
                <c:pt idx="151">
                  <c:v>#N/A</c:v>
                </c:pt>
                <c:pt idx="152">
                  <c:v>#N/A</c:v>
                </c:pt>
                <c:pt idx="153">
                  <c:v>9.6129166666666706</c:v>
                </c:pt>
                <c:pt idx="154">
                  <c:v>13.7529166666667</c:v>
                </c:pt>
                <c:pt idx="155">
                  <c:v>13.965208333333299</c:v>
                </c:pt>
                <c:pt idx="156">
                  <c:v>14.9920833333333</c:v>
                </c:pt>
                <c:pt idx="157">
                  <c:v>8.6102083333333308</c:v>
                </c:pt>
                <c:pt idx="158">
                  <c:v>#N/A</c:v>
                </c:pt>
                <c:pt idx="159">
                  <c:v>#N/A</c:v>
                </c:pt>
                <c:pt idx="160">
                  <c:v>#N/A</c:v>
                </c:pt>
                <c:pt idx="161">
                  <c:v>21.999166666666699</c:v>
                </c:pt>
                <c:pt idx="162">
                  <c:v>21.475000000000001</c:v>
                </c:pt>
                <c:pt idx="163">
                  <c:v>14.7597916666667</c:v>
                </c:pt>
                <c:pt idx="164">
                  <c:v>6.2660416666666698</c:v>
                </c:pt>
                <c:pt idx="165">
                  <c:v>#N/A</c:v>
                </c:pt>
                <c:pt idx="166">
                  <c:v>#N/A</c:v>
                </c:pt>
                <c:pt idx="167">
                  <c:v>7.8141666666666696</c:v>
                </c:pt>
                <c:pt idx="168">
                  <c:v>5.9841666666666704</c:v>
                </c:pt>
                <c:pt idx="169">
                  <c:v>5.5968749999999998</c:v>
                </c:pt>
                <c:pt idx="170">
                  <c:v>4.0681250000000002</c:v>
                </c:pt>
                <c:pt idx="171">
                  <c:v>8.3262499999999999</c:v>
                </c:pt>
                <c:pt idx="172">
                  <c:v>#N/A</c:v>
                </c:pt>
                <c:pt idx="173">
                  <c:v>#N/A</c:v>
                </c:pt>
                <c:pt idx="174">
                  <c:v>6.5408333333333299</c:v>
                </c:pt>
                <c:pt idx="175">
                  <c:v>4.9683333333333302</c:v>
                </c:pt>
                <c:pt idx="176">
                  <c:v>3.5454166666666702</c:v>
                </c:pt>
                <c:pt idx="177">
                  <c:v>3.9224999999999999</c:v>
                </c:pt>
                <c:pt idx="178">
                  <c:v>4.8839583333333296</c:v>
                </c:pt>
                <c:pt idx="179">
                  <c:v>#N/A</c:v>
                </c:pt>
                <c:pt idx="180">
                  <c:v>#N/A</c:v>
                </c:pt>
                <c:pt idx="181">
                  <c:v>5.1941666666666704</c:v>
                </c:pt>
                <c:pt idx="182">
                  <c:v>5.8235416666666699</c:v>
                </c:pt>
                <c:pt idx="183">
                  <c:v>9.5981249999999996</c:v>
                </c:pt>
              </c:numCache>
            </c:numRef>
          </c:yVal>
          <c:smooth val="0"/>
          <c:extLst>
            <c:ext xmlns:c16="http://schemas.microsoft.com/office/drawing/2014/chart" uri="{C3380CC4-5D6E-409C-BE32-E72D297353CC}">
              <c16:uniqueId val="{00000005-2F0F-4832-AEF0-F530AFA34BE1}"/>
            </c:ext>
          </c:extLst>
        </c:ser>
        <c:dLbls>
          <c:showLegendKey val="0"/>
          <c:showVal val="0"/>
          <c:showCatName val="0"/>
          <c:showSerName val="0"/>
          <c:showPercent val="0"/>
          <c:showBubbleSize val="0"/>
        </c:dLbls>
        <c:axId val="717536232"/>
        <c:axId val="717534920"/>
        <c:extLst>
          <c:ext xmlns:c15="http://schemas.microsoft.com/office/drawing/2012/chart" uri="{02D57815-91ED-43cb-92C2-25804820EDAC}">
            <c15:filteredScatterSeries>
              <c15:ser>
                <c:idx val="1"/>
                <c:order val="1"/>
                <c:tx>
                  <c:strRef>
                    <c:extLst>
                      <c:ext uri="{02D57815-91ED-43cb-92C2-25804820EDAC}">
                        <c15:formulaRef>
                          <c15:sqref>'Daily Scatter'!$L$7</c15:sqref>
                        </c15:formulaRef>
                      </c:ext>
                    </c:extLst>
                    <c:strCache>
                      <c:ptCount val="1"/>
                      <c:pt idx="0">
                        <c:v>Test Period Weekends/Holidays</c:v>
                      </c:pt>
                    </c:strCache>
                  </c:strRef>
                </c:tx>
                <c:spPr>
                  <a:ln w="25400" cap="rnd">
                    <a:noFill/>
                    <a:round/>
                  </a:ln>
                  <a:effectLst/>
                </c:spPr>
                <c:marker>
                  <c:symbol val="diamond"/>
                  <c:size val="5"/>
                  <c:spPr>
                    <a:solidFill>
                      <a:schemeClr val="accent2">
                        <a:lumMod val="40000"/>
                        <a:lumOff val="60000"/>
                      </a:schemeClr>
                    </a:solidFill>
                    <a:ln w="9525">
                      <a:solidFill>
                        <a:schemeClr val="accent1"/>
                      </a:solidFill>
                    </a:ln>
                    <a:effectLst/>
                  </c:spPr>
                </c:marker>
                <c:trendline>
                  <c:spPr>
                    <a:ln w="28575" cap="rnd">
                      <a:solidFill>
                        <a:schemeClr val="accent2"/>
                      </a:solidFill>
                      <a:prstDash val="sysDot"/>
                    </a:ln>
                    <a:effectLst/>
                  </c:spPr>
                  <c:trendlineType val="poly"/>
                  <c:order val="2"/>
                  <c:dispRSqr val="0"/>
                  <c:dispEq val="0"/>
                </c:trendline>
                <c:xVal>
                  <c:numRef>
                    <c:extLst>
                      <c:ext uri="{02D57815-91ED-43cb-92C2-25804820EDAC}">
                        <c15:formulaRef>
                          <c15:sqref>'Daily Scatter'!$H$8:$H$191</c15:sqref>
                        </c15:formulaRef>
                      </c:ext>
                    </c:extLst>
                    <c:numCache>
                      <c:formatCode>[$-409]d\-mmm;@</c:formatCode>
                      <c:ptCount val="184"/>
                      <c:pt idx="0">
                        <c:v>43221</c:v>
                      </c:pt>
                      <c:pt idx="1">
                        <c:v>43222</c:v>
                      </c:pt>
                      <c:pt idx="2">
                        <c:v>43223</c:v>
                      </c:pt>
                      <c:pt idx="3">
                        <c:v>43224</c:v>
                      </c:pt>
                      <c:pt idx="4">
                        <c:v>43225</c:v>
                      </c:pt>
                      <c:pt idx="5">
                        <c:v>43226</c:v>
                      </c:pt>
                      <c:pt idx="6">
                        <c:v>43227</c:v>
                      </c:pt>
                      <c:pt idx="7">
                        <c:v>43228</c:v>
                      </c:pt>
                      <c:pt idx="8">
                        <c:v>43229</c:v>
                      </c:pt>
                      <c:pt idx="9">
                        <c:v>43230</c:v>
                      </c:pt>
                      <c:pt idx="10">
                        <c:v>43231</c:v>
                      </c:pt>
                      <c:pt idx="11">
                        <c:v>43232</c:v>
                      </c:pt>
                      <c:pt idx="12">
                        <c:v>43233</c:v>
                      </c:pt>
                      <c:pt idx="13">
                        <c:v>43234</c:v>
                      </c:pt>
                      <c:pt idx="14">
                        <c:v>43235</c:v>
                      </c:pt>
                      <c:pt idx="15">
                        <c:v>43236</c:v>
                      </c:pt>
                      <c:pt idx="16">
                        <c:v>43237</c:v>
                      </c:pt>
                      <c:pt idx="17">
                        <c:v>43238</c:v>
                      </c:pt>
                      <c:pt idx="18">
                        <c:v>43239</c:v>
                      </c:pt>
                      <c:pt idx="19">
                        <c:v>43240</c:v>
                      </c:pt>
                      <c:pt idx="20">
                        <c:v>43241</c:v>
                      </c:pt>
                      <c:pt idx="21">
                        <c:v>43242</c:v>
                      </c:pt>
                      <c:pt idx="22">
                        <c:v>43243</c:v>
                      </c:pt>
                      <c:pt idx="23">
                        <c:v>43244</c:v>
                      </c:pt>
                      <c:pt idx="24">
                        <c:v>43245</c:v>
                      </c:pt>
                      <c:pt idx="25">
                        <c:v>43246</c:v>
                      </c:pt>
                      <c:pt idx="26">
                        <c:v>43247</c:v>
                      </c:pt>
                      <c:pt idx="27">
                        <c:v>43248</c:v>
                      </c:pt>
                      <c:pt idx="28">
                        <c:v>43249</c:v>
                      </c:pt>
                      <c:pt idx="29">
                        <c:v>43250</c:v>
                      </c:pt>
                      <c:pt idx="30">
                        <c:v>43251</c:v>
                      </c:pt>
                      <c:pt idx="31">
                        <c:v>43252</c:v>
                      </c:pt>
                      <c:pt idx="32">
                        <c:v>43253</c:v>
                      </c:pt>
                      <c:pt idx="33">
                        <c:v>43254</c:v>
                      </c:pt>
                      <c:pt idx="34">
                        <c:v>43255</c:v>
                      </c:pt>
                      <c:pt idx="35">
                        <c:v>43256</c:v>
                      </c:pt>
                      <c:pt idx="36">
                        <c:v>43257</c:v>
                      </c:pt>
                      <c:pt idx="37">
                        <c:v>43258</c:v>
                      </c:pt>
                      <c:pt idx="38">
                        <c:v>43259</c:v>
                      </c:pt>
                      <c:pt idx="39">
                        <c:v>43260</c:v>
                      </c:pt>
                      <c:pt idx="40">
                        <c:v>43261</c:v>
                      </c:pt>
                      <c:pt idx="41">
                        <c:v>43262</c:v>
                      </c:pt>
                      <c:pt idx="42">
                        <c:v>43263</c:v>
                      </c:pt>
                      <c:pt idx="43">
                        <c:v>43264</c:v>
                      </c:pt>
                      <c:pt idx="44">
                        <c:v>43265</c:v>
                      </c:pt>
                      <c:pt idx="45">
                        <c:v>43266</c:v>
                      </c:pt>
                      <c:pt idx="46">
                        <c:v>43267</c:v>
                      </c:pt>
                      <c:pt idx="47">
                        <c:v>43268</c:v>
                      </c:pt>
                      <c:pt idx="48">
                        <c:v>43269</c:v>
                      </c:pt>
                      <c:pt idx="49">
                        <c:v>43270</c:v>
                      </c:pt>
                      <c:pt idx="50">
                        <c:v>43271</c:v>
                      </c:pt>
                      <c:pt idx="51">
                        <c:v>43272</c:v>
                      </c:pt>
                      <c:pt idx="52">
                        <c:v>43273</c:v>
                      </c:pt>
                      <c:pt idx="53">
                        <c:v>43274</c:v>
                      </c:pt>
                      <c:pt idx="54">
                        <c:v>43275</c:v>
                      </c:pt>
                      <c:pt idx="55">
                        <c:v>43276</c:v>
                      </c:pt>
                      <c:pt idx="56">
                        <c:v>43277</c:v>
                      </c:pt>
                      <c:pt idx="57">
                        <c:v>43278</c:v>
                      </c:pt>
                      <c:pt idx="58">
                        <c:v>43279</c:v>
                      </c:pt>
                      <c:pt idx="59">
                        <c:v>43280</c:v>
                      </c:pt>
                      <c:pt idx="60">
                        <c:v>43281</c:v>
                      </c:pt>
                      <c:pt idx="61">
                        <c:v>43282</c:v>
                      </c:pt>
                      <c:pt idx="62">
                        <c:v>43283</c:v>
                      </c:pt>
                      <c:pt idx="63">
                        <c:v>43284</c:v>
                      </c:pt>
                      <c:pt idx="64">
                        <c:v>43285</c:v>
                      </c:pt>
                      <c:pt idx="65">
                        <c:v>43286</c:v>
                      </c:pt>
                      <c:pt idx="66">
                        <c:v>43287</c:v>
                      </c:pt>
                      <c:pt idx="67">
                        <c:v>43288</c:v>
                      </c:pt>
                      <c:pt idx="68">
                        <c:v>43289</c:v>
                      </c:pt>
                      <c:pt idx="69">
                        <c:v>43290</c:v>
                      </c:pt>
                      <c:pt idx="70">
                        <c:v>43291</c:v>
                      </c:pt>
                      <c:pt idx="71">
                        <c:v>43292</c:v>
                      </c:pt>
                      <c:pt idx="72">
                        <c:v>43293</c:v>
                      </c:pt>
                      <c:pt idx="73">
                        <c:v>43294</c:v>
                      </c:pt>
                      <c:pt idx="74">
                        <c:v>43295</c:v>
                      </c:pt>
                      <c:pt idx="75">
                        <c:v>43296</c:v>
                      </c:pt>
                      <c:pt idx="76">
                        <c:v>43297</c:v>
                      </c:pt>
                      <c:pt idx="77">
                        <c:v>43298</c:v>
                      </c:pt>
                      <c:pt idx="78">
                        <c:v>43299</c:v>
                      </c:pt>
                      <c:pt idx="79">
                        <c:v>43300</c:v>
                      </c:pt>
                      <c:pt idx="80">
                        <c:v>43301</c:v>
                      </c:pt>
                      <c:pt idx="81">
                        <c:v>43302</c:v>
                      </c:pt>
                      <c:pt idx="82">
                        <c:v>43303</c:v>
                      </c:pt>
                      <c:pt idx="83">
                        <c:v>43304</c:v>
                      </c:pt>
                      <c:pt idx="84">
                        <c:v>43305</c:v>
                      </c:pt>
                      <c:pt idx="85">
                        <c:v>43306</c:v>
                      </c:pt>
                      <c:pt idx="86">
                        <c:v>43307</c:v>
                      </c:pt>
                      <c:pt idx="87">
                        <c:v>43308</c:v>
                      </c:pt>
                      <c:pt idx="88">
                        <c:v>43309</c:v>
                      </c:pt>
                      <c:pt idx="89">
                        <c:v>43310</c:v>
                      </c:pt>
                      <c:pt idx="90">
                        <c:v>43311</c:v>
                      </c:pt>
                      <c:pt idx="91">
                        <c:v>43312</c:v>
                      </c:pt>
                      <c:pt idx="92">
                        <c:v>43313</c:v>
                      </c:pt>
                      <c:pt idx="93">
                        <c:v>43314</c:v>
                      </c:pt>
                      <c:pt idx="94">
                        <c:v>43315</c:v>
                      </c:pt>
                      <c:pt idx="95">
                        <c:v>43316</c:v>
                      </c:pt>
                      <c:pt idx="96">
                        <c:v>43317</c:v>
                      </c:pt>
                      <c:pt idx="97">
                        <c:v>43318</c:v>
                      </c:pt>
                      <c:pt idx="98">
                        <c:v>43319</c:v>
                      </c:pt>
                      <c:pt idx="99">
                        <c:v>43320</c:v>
                      </c:pt>
                      <c:pt idx="100">
                        <c:v>43321</c:v>
                      </c:pt>
                      <c:pt idx="101">
                        <c:v>43322</c:v>
                      </c:pt>
                      <c:pt idx="102">
                        <c:v>43323</c:v>
                      </c:pt>
                      <c:pt idx="103">
                        <c:v>43324</c:v>
                      </c:pt>
                      <c:pt idx="104">
                        <c:v>43325</c:v>
                      </c:pt>
                      <c:pt idx="105">
                        <c:v>43326</c:v>
                      </c:pt>
                      <c:pt idx="106">
                        <c:v>43327</c:v>
                      </c:pt>
                      <c:pt idx="107">
                        <c:v>43328</c:v>
                      </c:pt>
                      <c:pt idx="108">
                        <c:v>43329</c:v>
                      </c:pt>
                      <c:pt idx="109">
                        <c:v>43330</c:v>
                      </c:pt>
                      <c:pt idx="110">
                        <c:v>43331</c:v>
                      </c:pt>
                      <c:pt idx="111">
                        <c:v>43332</c:v>
                      </c:pt>
                      <c:pt idx="112">
                        <c:v>43333</c:v>
                      </c:pt>
                      <c:pt idx="113">
                        <c:v>43334</c:v>
                      </c:pt>
                      <c:pt idx="114">
                        <c:v>43335</c:v>
                      </c:pt>
                      <c:pt idx="115">
                        <c:v>43336</c:v>
                      </c:pt>
                      <c:pt idx="116">
                        <c:v>43337</c:v>
                      </c:pt>
                      <c:pt idx="117">
                        <c:v>43338</c:v>
                      </c:pt>
                      <c:pt idx="118">
                        <c:v>43339</c:v>
                      </c:pt>
                      <c:pt idx="119">
                        <c:v>43340</c:v>
                      </c:pt>
                      <c:pt idx="120">
                        <c:v>43341</c:v>
                      </c:pt>
                      <c:pt idx="121">
                        <c:v>43342</c:v>
                      </c:pt>
                      <c:pt idx="122">
                        <c:v>43343</c:v>
                      </c:pt>
                      <c:pt idx="123">
                        <c:v>43344</c:v>
                      </c:pt>
                      <c:pt idx="124">
                        <c:v>43345</c:v>
                      </c:pt>
                      <c:pt idx="125">
                        <c:v>43346</c:v>
                      </c:pt>
                      <c:pt idx="126">
                        <c:v>43347</c:v>
                      </c:pt>
                      <c:pt idx="127">
                        <c:v>43348</c:v>
                      </c:pt>
                      <c:pt idx="128">
                        <c:v>43349</c:v>
                      </c:pt>
                      <c:pt idx="129">
                        <c:v>43350</c:v>
                      </c:pt>
                      <c:pt idx="130">
                        <c:v>43351</c:v>
                      </c:pt>
                      <c:pt idx="131">
                        <c:v>43352</c:v>
                      </c:pt>
                      <c:pt idx="132">
                        <c:v>43353</c:v>
                      </c:pt>
                      <c:pt idx="133">
                        <c:v>43354</c:v>
                      </c:pt>
                      <c:pt idx="134">
                        <c:v>43355</c:v>
                      </c:pt>
                      <c:pt idx="135">
                        <c:v>43356</c:v>
                      </c:pt>
                      <c:pt idx="136">
                        <c:v>43357</c:v>
                      </c:pt>
                      <c:pt idx="137">
                        <c:v>43358</c:v>
                      </c:pt>
                      <c:pt idx="138">
                        <c:v>43359</c:v>
                      </c:pt>
                      <c:pt idx="139">
                        <c:v>43360</c:v>
                      </c:pt>
                      <c:pt idx="140">
                        <c:v>43361</c:v>
                      </c:pt>
                      <c:pt idx="141">
                        <c:v>43362</c:v>
                      </c:pt>
                      <c:pt idx="142">
                        <c:v>43363</c:v>
                      </c:pt>
                      <c:pt idx="143">
                        <c:v>43364</c:v>
                      </c:pt>
                      <c:pt idx="144">
                        <c:v>43365</c:v>
                      </c:pt>
                      <c:pt idx="145">
                        <c:v>43366</c:v>
                      </c:pt>
                      <c:pt idx="146">
                        <c:v>43367</c:v>
                      </c:pt>
                      <c:pt idx="147">
                        <c:v>43368</c:v>
                      </c:pt>
                      <c:pt idx="148">
                        <c:v>43369</c:v>
                      </c:pt>
                      <c:pt idx="149">
                        <c:v>43370</c:v>
                      </c:pt>
                      <c:pt idx="150">
                        <c:v>43371</c:v>
                      </c:pt>
                      <c:pt idx="151">
                        <c:v>43372</c:v>
                      </c:pt>
                      <c:pt idx="152">
                        <c:v>43373</c:v>
                      </c:pt>
                      <c:pt idx="153">
                        <c:v>43374</c:v>
                      </c:pt>
                      <c:pt idx="154">
                        <c:v>43375</c:v>
                      </c:pt>
                      <c:pt idx="155">
                        <c:v>43376</c:v>
                      </c:pt>
                      <c:pt idx="156">
                        <c:v>43377</c:v>
                      </c:pt>
                      <c:pt idx="157">
                        <c:v>43378</c:v>
                      </c:pt>
                      <c:pt idx="158">
                        <c:v>43379</c:v>
                      </c:pt>
                      <c:pt idx="159">
                        <c:v>43380</c:v>
                      </c:pt>
                      <c:pt idx="160">
                        <c:v>43381</c:v>
                      </c:pt>
                      <c:pt idx="161">
                        <c:v>43382</c:v>
                      </c:pt>
                      <c:pt idx="162">
                        <c:v>43383</c:v>
                      </c:pt>
                      <c:pt idx="163">
                        <c:v>43384</c:v>
                      </c:pt>
                      <c:pt idx="164">
                        <c:v>43385</c:v>
                      </c:pt>
                      <c:pt idx="165">
                        <c:v>43386</c:v>
                      </c:pt>
                      <c:pt idx="166">
                        <c:v>43387</c:v>
                      </c:pt>
                      <c:pt idx="167">
                        <c:v>43388</c:v>
                      </c:pt>
                      <c:pt idx="168">
                        <c:v>43389</c:v>
                      </c:pt>
                      <c:pt idx="169">
                        <c:v>43390</c:v>
                      </c:pt>
                      <c:pt idx="170">
                        <c:v>43391</c:v>
                      </c:pt>
                      <c:pt idx="171">
                        <c:v>43392</c:v>
                      </c:pt>
                      <c:pt idx="172">
                        <c:v>43393</c:v>
                      </c:pt>
                      <c:pt idx="173">
                        <c:v>43394</c:v>
                      </c:pt>
                      <c:pt idx="174">
                        <c:v>43395</c:v>
                      </c:pt>
                      <c:pt idx="175">
                        <c:v>43396</c:v>
                      </c:pt>
                      <c:pt idx="176">
                        <c:v>43397</c:v>
                      </c:pt>
                      <c:pt idx="177">
                        <c:v>43398</c:v>
                      </c:pt>
                      <c:pt idx="178">
                        <c:v>43399</c:v>
                      </c:pt>
                      <c:pt idx="179">
                        <c:v>43400</c:v>
                      </c:pt>
                      <c:pt idx="180">
                        <c:v>43401</c:v>
                      </c:pt>
                      <c:pt idx="181">
                        <c:v>43402</c:v>
                      </c:pt>
                      <c:pt idx="182">
                        <c:v>43403</c:v>
                      </c:pt>
                      <c:pt idx="183">
                        <c:v>43404</c:v>
                      </c:pt>
                    </c:numCache>
                  </c:numRef>
                </c:xVal>
                <c:yVal>
                  <c:numRef>
                    <c:extLst>
                      <c:ext uri="{02D57815-91ED-43cb-92C2-25804820EDAC}">
                        <c15:formulaRef>
                          <c15:sqref>'Daily Scatter'!$L$8:$L$191</c15:sqref>
                        </c15:formulaRef>
                      </c:ext>
                    </c:extLst>
                    <c:numCache>
                      <c:formatCode>General</c:formatCode>
                      <c:ptCount val="184"/>
                      <c:pt idx="0">
                        <c:v>8.3541666666666696</c:v>
                      </c:pt>
                      <c:pt idx="1">
                        <c:v>#N/A</c:v>
                      </c:pt>
                      <c:pt idx="2">
                        <c:v>#N/A</c:v>
                      </c:pt>
                      <c:pt idx="3">
                        <c:v>#N/A</c:v>
                      </c:pt>
                      <c:pt idx="4">
                        <c:v>#N/A</c:v>
                      </c:pt>
                      <c:pt idx="5">
                        <c:v>#N/A</c:v>
                      </c:pt>
                      <c:pt idx="6">
                        <c:v>11.108333333333301</c:v>
                      </c:pt>
                      <c:pt idx="7">
                        <c:v>9.2708333333333304</c:v>
                      </c:pt>
                      <c:pt idx="8">
                        <c:v>#N/A</c:v>
                      </c:pt>
                      <c:pt idx="9">
                        <c:v>#N/A</c:v>
                      </c:pt>
                      <c:pt idx="10">
                        <c:v>#N/A</c:v>
                      </c:pt>
                      <c:pt idx="11">
                        <c:v>#N/A</c:v>
                      </c:pt>
                      <c:pt idx="12">
                        <c:v>#N/A</c:v>
                      </c:pt>
                      <c:pt idx="13">
                        <c:v>7.5416666666666696</c:v>
                      </c:pt>
                      <c:pt idx="14">
                        <c:v>3.69166666666667</c:v>
                      </c:pt>
                      <c:pt idx="15">
                        <c:v>#N/A</c:v>
                      </c:pt>
                      <c:pt idx="16">
                        <c:v>#N/A</c:v>
                      </c:pt>
                      <c:pt idx="17">
                        <c:v>#N/A</c:v>
                      </c:pt>
                      <c:pt idx="18">
                        <c:v>#N/A</c:v>
                      </c:pt>
                      <c:pt idx="19">
                        <c:v>#N/A</c:v>
                      </c:pt>
                      <c:pt idx="20">
                        <c:v>15.883333333333301</c:v>
                      </c:pt>
                      <c:pt idx="21">
                        <c:v>15.266666666666699</c:v>
                      </c:pt>
                      <c:pt idx="22">
                        <c:v>16.600000000000001</c:v>
                      </c:pt>
                      <c:pt idx="23">
                        <c:v>#N/A</c:v>
                      </c:pt>
                      <c:pt idx="24">
                        <c:v>#N/A</c:v>
                      </c:pt>
                      <c:pt idx="25">
                        <c:v>#N/A</c:v>
                      </c:pt>
                      <c:pt idx="26">
                        <c:v>#N/A</c:v>
                      </c:pt>
                      <c:pt idx="27">
                        <c:v>23.591666666666701</c:v>
                      </c:pt>
                      <c:pt idx="28">
                        <c:v>22</c:v>
                      </c:pt>
                      <c:pt idx="29">
                        <c:v>#N/A</c:v>
                      </c:pt>
                      <c:pt idx="30">
                        <c:v>#N/A</c:v>
                      </c:pt>
                      <c:pt idx="31">
                        <c:v>#N/A</c:v>
                      </c:pt>
                      <c:pt idx="32">
                        <c:v>#N/A</c:v>
                      </c:pt>
                      <c:pt idx="33">
                        <c:v>#N/A</c:v>
                      </c:pt>
                      <c:pt idx="34">
                        <c:v>19.987500000000001</c:v>
                      </c:pt>
                      <c:pt idx="35">
                        <c:v>18.4166666666667</c:v>
                      </c:pt>
                      <c:pt idx="36">
                        <c:v>#N/A</c:v>
                      </c:pt>
                      <c:pt idx="37">
                        <c:v>#N/A</c:v>
                      </c:pt>
                      <c:pt idx="38">
                        <c:v>#N/A</c:v>
                      </c:pt>
                      <c:pt idx="39">
                        <c:v>#N/A</c:v>
                      </c:pt>
                      <c:pt idx="40">
                        <c:v>#N/A</c:v>
                      </c:pt>
                      <c:pt idx="41">
                        <c:v>24.391666666666701</c:v>
                      </c:pt>
                      <c:pt idx="42">
                        <c:v>15.2875</c:v>
                      </c:pt>
                      <c:pt idx="43">
                        <c:v>#N/A</c:v>
                      </c:pt>
                      <c:pt idx="44">
                        <c:v>#N/A</c:v>
                      </c:pt>
                      <c:pt idx="45">
                        <c:v>#N/A</c:v>
                      </c:pt>
                      <c:pt idx="46">
                        <c:v>#N/A</c:v>
                      </c:pt>
                      <c:pt idx="47">
                        <c:v>#N/A</c:v>
                      </c:pt>
                      <c:pt idx="48">
                        <c:v>21.766666666666701</c:v>
                      </c:pt>
                      <c:pt idx="49">
                        <c:v>22.695833333333301</c:v>
                      </c:pt>
                      <c:pt idx="50">
                        <c:v>#N/A</c:v>
                      </c:pt>
                      <c:pt idx="51">
                        <c:v>#N/A</c:v>
                      </c:pt>
                      <c:pt idx="52">
                        <c:v>#N/A</c:v>
                      </c:pt>
                      <c:pt idx="53">
                        <c:v>#N/A</c:v>
                      </c:pt>
                      <c:pt idx="54">
                        <c:v>#N/A</c:v>
                      </c:pt>
                      <c:pt idx="55">
                        <c:v>21.283333333333299</c:v>
                      </c:pt>
                      <c:pt idx="56">
                        <c:v>23.558333333333302</c:v>
                      </c:pt>
                      <c:pt idx="57">
                        <c:v>#N/A</c:v>
                      </c:pt>
                      <c:pt idx="58">
                        <c:v>#N/A</c:v>
                      </c:pt>
                      <c:pt idx="59">
                        <c:v>#N/A</c:v>
                      </c:pt>
                      <c:pt idx="60">
                        <c:v>#N/A</c:v>
                      </c:pt>
                      <c:pt idx="61">
                        <c:v>16.445833333333301</c:v>
                      </c:pt>
                      <c:pt idx="62">
                        <c:v>17.745833333333302</c:v>
                      </c:pt>
                      <c:pt idx="63">
                        <c:v>19.358333333333299</c:v>
                      </c:pt>
                      <c:pt idx="64">
                        <c:v>#N/A</c:v>
                      </c:pt>
                      <c:pt idx="65">
                        <c:v>#N/A</c:v>
                      </c:pt>
                      <c:pt idx="66">
                        <c:v>#N/A</c:v>
                      </c:pt>
                      <c:pt idx="67">
                        <c:v>#N/A</c:v>
                      </c:pt>
                      <c:pt idx="68">
                        <c:v>#N/A</c:v>
                      </c:pt>
                      <c:pt idx="69">
                        <c:v>18.841666666666701</c:v>
                      </c:pt>
                      <c:pt idx="70">
                        <c:v>20.95</c:v>
                      </c:pt>
                      <c:pt idx="71">
                        <c:v>#N/A</c:v>
                      </c:pt>
                      <c:pt idx="72">
                        <c:v>#N/A</c:v>
                      </c:pt>
                      <c:pt idx="73">
                        <c:v>#N/A</c:v>
                      </c:pt>
                      <c:pt idx="74">
                        <c:v>#N/A</c:v>
                      </c:pt>
                      <c:pt idx="75">
                        <c:v>#N/A</c:v>
                      </c:pt>
                      <c:pt idx="76">
                        <c:v>17.487500000000001</c:v>
                      </c:pt>
                      <c:pt idx="77">
                        <c:v>19.55</c:v>
                      </c:pt>
                      <c:pt idx="78">
                        <c:v>#N/A</c:v>
                      </c:pt>
                      <c:pt idx="79">
                        <c:v>#N/A</c:v>
                      </c:pt>
                      <c:pt idx="80">
                        <c:v>#N/A</c:v>
                      </c:pt>
                      <c:pt idx="81">
                        <c:v>#N/A</c:v>
                      </c:pt>
                      <c:pt idx="82">
                        <c:v>#N/A</c:v>
                      </c:pt>
                      <c:pt idx="83">
                        <c:v>24.120833333333302</c:v>
                      </c:pt>
                      <c:pt idx="84">
                        <c:v>22.008333333333301</c:v>
                      </c:pt>
                      <c:pt idx="85">
                        <c:v>#N/A</c:v>
                      </c:pt>
                      <c:pt idx="86">
                        <c:v>#N/A</c:v>
                      </c:pt>
                      <c:pt idx="87">
                        <c:v>#N/A</c:v>
                      </c:pt>
                      <c:pt idx="88">
                        <c:v>#N/A</c:v>
                      </c:pt>
                      <c:pt idx="89">
                        <c:v>#N/A</c:v>
                      </c:pt>
                      <c:pt idx="90">
                        <c:v>20.954166666666701</c:v>
                      </c:pt>
                      <c:pt idx="91">
                        <c:v>21.125</c:v>
                      </c:pt>
                      <c:pt idx="92">
                        <c:v>21.712499999999999</c:v>
                      </c:pt>
                      <c:pt idx="93">
                        <c:v>#N/A</c:v>
                      </c:pt>
                      <c:pt idx="94">
                        <c:v>#N/A</c:v>
                      </c:pt>
                      <c:pt idx="95">
                        <c:v>#N/A</c:v>
                      </c:pt>
                      <c:pt idx="96">
                        <c:v>#N/A</c:v>
                      </c:pt>
                      <c:pt idx="97">
                        <c:v>21.3125</c:v>
                      </c:pt>
                      <c:pt idx="98">
                        <c:v>20.404166666666701</c:v>
                      </c:pt>
                      <c:pt idx="99">
                        <c:v>#N/A</c:v>
                      </c:pt>
                      <c:pt idx="100">
                        <c:v>#N/A</c:v>
                      </c:pt>
                      <c:pt idx="101">
                        <c:v>#N/A</c:v>
                      </c:pt>
                      <c:pt idx="102">
                        <c:v>#N/A</c:v>
                      </c:pt>
                      <c:pt idx="103">
                        <c:v>#N/A</c:v>
                      </c:pt>
                      <c:pt idx="104">
                        <c:v>24.379166666666698</c:v>
                      </c:pt>
                      <c:pt idx="105">
                        <c:v>21.966666666666701</c:v>
                      </c:pt>
                      <c:pt idx="106">
                        <c:v>#N/A</c:v>
                      </c:pt>
                      <c:pt idx="107">
                        <c:v>#N/A</c:v>
                      </c:pt>
                      <c:pt idx="108">
                        <c:v>#N/A</c:v>
                      </c:pt>
                      <c:pt idx="109">
                        <c:v>#N/A</c:v>
                      </c:pt>
                      <c:pt idx="110">
                        <c:v>#N/A</c:v>
                      </c:pt>
                      <c:pt idx="111">
                        <c:v>24.283333333333299</c:v>
                      </c:pt>
                      <c:pt idx="112">
                        <c:v>20.274999999999999</c:v>
                      </c:pt>
                      <c:pt idx="113">
                        <c:v>#N/A</c:v>
                      </c:pt>
                      <c:pt idx="114">
                        <c:v>#N/A</c:v>
                      </c:pt>
                      <c:pt idx="115">
                        <c:v>#N/A</c:v>
                      </c:pt>
                      <c:pt idx="116">
                        <c:v>#N/A</c:v>
                      </c:pt>
                      <c:pt idx="117">
                        <c:v>#N/A</c:v>
                      </c:pt>
                      <c:pt idx="118">
                        <c:v>21.258333333333301</c:v>
                      </c:pt>
                      <c:pt idx="119">
                        <c:v>21.991666666666699</c:v>
                      </c:pt>
                      <c:pt idx="120">
                        <c:v>#N/A</c:v>
                      </c:pt>
                      <c:pt idx="121">
                        <c:v>#N/A</c:v>
                      </c:pt>
                      <c:pt idx="122">
                        <c:v>#N/A</c:v>
                      </c:pt>
                      <c:pt idx="123">
                        <c:v>#N/A</c:v>
                      </c:pt>
                      <c:pt idx="124">
                        <c:v>#N/A</c:v>
                      </c:pt>
                      <c:pt idx="125">
                        <c:v>16.870833333333302</c:v>
                      </c:pt>
                      <c:pt idx="126">
                        <c:v>17.158333333333299</c:v>
                      </c:pt>
                      <c:pt idx="127">
                        <c:v>19.758333333333301</c:v>
                      </c:pt>
                      <c:pt idx="128">
                        <c:v>#N/A</c:v>
                      </c:pt>
                      <c:pt idx="129">
                        <c:v>#N/A</c:v>
                      </c:pt>
                      <c:pt idx="130">
                        <c:v>#N/A</c:v>
                      </c:pt>
                      <c:pt idx="131">
                        <c:v>#N/A</c:v>
                      </c:pt>
                      <c:pt idx="132">
                        <c:v>20.970833333333299</c:v>
                      </c:pt>
                      <c:pt idx="133">
                        <c:v>16.037500000000001</c:v>
                      </c:pt>
                      <c:pt idx="134">
                        <c:v>#N/A</c:v>
                      </c:pt>
                      <c:pt idx="135">
                        <c:v>#N/A</c:v>
                      </c:pt>
                      <c:pt idx="136">
                        <c:v>#N/A</c:v>
                      </c:pt>
                      <c:pt idx="137">
                        <c:v>#N/A</c:v>
                      </c:pt>
                      <c:pt idx="138">
                        <c:v>#N/A</c:v>
                      </c:pt>
                      <c:pt idx="139">
                        <c:v>20.129166666666698</c:v>
                      </c:pt>
                      <c:pt idx="140">
                        <c:v>20.3958333333333</c:v>
                      </c:pt>
                      <c:pt idx="141">
                        <c:v>#N/A</c:v>
                      </c:pt>
                      <c:pt idx="142">
                        <c:v>#N/A</c:v>
                      </c:pt>
                      <c:pt idx="143">
                        <c:v>#N/A</c:v>
                      </c:pt>
                      <c:pt idx="144">
                        <c:v>#N/A</c:v>
                      </c:pt>
                      <c:pt idx="145">
                        <c:v>#N/A</c:v>
                      </c:pt>
                      <c:pt idx="146">
                        <c:v>12.6833333333333</c:v>
                      </c:pt>
                      <c:pt idx="147">
                        <c:v>13.133333333333301</c:v>
                      </c:pt>
                      <c:pt idx="148">
                        <c:v>#N/A</c:v>
                      </c:pt>
                      <c:pt idx="149">
                        <c:v>#N/A</c:v>
                      </c:pt>
                      <c:pt idx="150">
                        <c:v>#N/A</c:v>
                      </c:pt>
                      <c:pt idx="151">
                        <c:v>#N/A</c:v>
                      </c:pt>
                      <c:pt idx="152">
                        <c:v>#N/A</c:v>
                      </c:pt>
                      <c:pt idx="153">
                        <c:v>13.7708333333333</c:v>
                      </c:pt>
                      <c:pt idx="154">
                        <c:v>14.533333333333299</c:v>
                      </c:pt>
                      <c:pt idx="155">
                        <c:v>#N/A</c:v>
                      </c:pt>
                      <c:pt idx="156">
                        <c:v>#N/A</c:v>
                      </c:pt>
                      <c:pt idx="157">
                        <c:v>#N/A</c:v>
                      </c:pt>
                      <c:pt idx="158">
                        <c:v>#N/A</c:v>
                      </c:pt>
                      <c:pt idx="159">
                        <c:v>#N/A</c:v>
                      </c:pt>
                      <c:pt idx="160">
                        <c:v>11.720833333333299</c:v>
                      </c:pt>
                      <c:pt idx="161">
                        <c:v>8.00416666666667</c:v>
                      </c:pt>
                      <c:pt idx="162">
                        <c:v>6.7291666666666696</c:v>
                      </c:pt>
                      <c:pt idx="163">
                        <c:v>#N/A</c:v>
                      </c:pt>
                      <c:pt idx="164">
                        <c:v>#N/A</c:v>
                      </c:pt>
                      <c:pt idx="165">
                        <c:v>#N/A</c:v>
                      </c:pt>
                      <c:pt idx="166">
                        <c:v>#N/A</c:v>
                      </c:pt>
                      <c:pt idx="167">
                        <c:v>13.045833333333301</c:v>
                      </c:pt>
                      <c:pt idx="168">
                        <c:v>18.216666666666701</c:v>
                      </c:pt>
                      <c:pt idx="169">
                        <c:v>#N/A</c:v>
                      </c:pt>
                      <c:pt idx="170">
                        <c:v>#N/A</c:v>
                      </c:pt>
                      <c:pt idx="171">
                        <c:v>#N/A</c:v>
                      </c:pt>
                      <c:pt idx="172">
                        <c:v>#N/A</c:v>
                      </c:pt>
                      <c:pt idx="173">
                        <c:v>#N/A</c:v>
                      </c:pt>
                      <c:pt idx="174">
                        <c:v>4.4458333333333302</c:v>
                      </c:pt>
                      <c:pt idx="175">
                        <c:v>8.5749999999999993</c:v>
                      </c:pt>
                      <c:pt idx="176">
                        <c:v>#N/A</c:v>
                      </c:pt>
                      <c:pt idx="177">
                        <c:v>#N/A</c:v>
                      </c:pt>
                      <c:pt idx="178">
                        <c:v>#N/A</c:v>
                      </c:pt>
                      <c:pt idx="179">
                        <c:v>#N/A</c:v>
                      </c:pt>
                      <c:pt idx="180">
                        <c:v>#N/A</c:v>
                      </c:pt>
                      <c:pt idx="181">
                        <c:v>14.904166666666701</c:v>
                      </c:pt>
                      <c:pt idx="182">
                        <c:v>6.93333333333333</c:v>
                      </c:pt>
                      <c:pt idx="183">
                        <c:v>#N/A</c:v>
                      </c:pt>
                    </c:numCache>
                  </c:numRef>
                </c:yVal>
                <c:smooth val="0"/>
                <c:extLst>
                  <c:ext xmlns:c16="http://schemas.microsoft.com/office/drawing/2014/chart" uri="{C3380CC4-5D6E-409C-BE32-E72D297353CC}">
                    <c16:uniqueId val="{00000007-2F0F-4832-AEF0-F530AFA34BE1}"/>
                  </c:ext>
                </c:extLst>
              </c15:ser>
            </c15:filteredScatterSeries>
            <c15:filteredScatterSeries>
              <c15:ser>
                <c:idx val="3"/>
                <c:order val="3"/>
                <c:tx>
                  <c:strRef>
                    <c:extLst xmlns:c15="http://schemas.microsoft.com/office/drawing/2012/chart">
                      <c:ext xmlns:c15="http://schemas.microsoft.com/office/drawing/2012/chart" uri="{02D57815-91ED-43cb-92C2-25804820EDAC}">
                        <c15:formulaRef>
                          <c15:sqref>'Daily Scatter'!$N$7</c15:sqref>
                        </c15:formulaRef>
                      </c:ext>
                    </c:extLst>
                    <c:strCache>
                      <c:ptCount val="1"/>
                      <c:pt idx="0">
                        <c:v>Matching Period - Weekends/Holidays</c:v>
                      </c:pt>
                    </c:strCache>
                  </c:strRef>
                </c:tx>
                <c:spPr>
                  <a:ln w="25400" cap="rnd">
                    <a:noFill/>
                    <a:round/>
                  </a:ln>
                  <a:effectLst/>
                </c:spPr>
                <c:marker>
                  <c:symbol val="square"/>
                  <c:size val="5"/>
                  <c:spPr>
                    <a:solidFill>
                      <a:schemeClr val="accent3">
                        <a:lumMod val="40000"/>
                        <a:lumOff val="60000"/>
                      </a:schemeClr>
                    </a:solidFill>
                    <a:ln w="9525">
                      <a:solidFill>
                        <a:schemeClr val="accent1"/>
                      </a:solidFill>
                    </a:ln>
                    <a:effectLst/>
                  </c:spPr>
                </c:marker>
                <c:trendline>
                  <c:spPr>
                    <a:ln w="31750" cap="rnd">
                      <a:solidFill>
                        <a:schemeClr val="accent3">
                          <a:lumMod val="40000"/>
                          <a:lumOff val="60000"/>
                        </a:schemeClr>
                      </a:solidFill>
                      <a:prstDash val="sysDot"/>
                    </a:ln>
                    <a:effectLst/>
                  </c:spPr>
                  <c:trendlineType val="poly"/>
                  <c:order val="2"/>
                  <c:dispRSqr val="0"/>
                  <c:dispEq val="0"/>
                </c:trendline>
                <c:xVal>
                  <c:numRef>
                    <c:extLst xmlns:c15="http://schemas.microsoft.com/office/drawing/2012/chart">
                      <c:ext xmlns:c15="http://schemas.microsoft.com/office/drawing/2012/chart" uri="{02D57815-91ED-43cb-92C2-25804820EDAC}">
                        <c15:formulaRef>
                          <c15:sqref>'Daily Scatter'!$H$8:$H$191</c15:sqref>
                        </c15:formulaRef>
                      </c:ext>
                    </c:extLst>
                    <c:numCache>
                      <c:formatCode>[$-409]d\-mmm;@</c:formatCode>
                      <c:ptCount val="184"/>
                      <c:pt idx="0">
                        <c:v>43221</c:v>
                      </c:pt>
                      <c:pt idx="1">
                        <c:v>43222</c:v>
                      </c:pt>
                      <c:pt idx="2">
                        <c:v>43223</c:v>
                      </c:pt>
                      <c:pt idx="3">
                        <c:v>43224</c:v>
                      </c:pt>
                      <c:pt idx="4">
                        <c:v>43225</c:v>
                      </c:pt>
                      <c:pt idx="5">
                        <c:v>43226</c:v>
                      </c:pt>
                      <c:pt idx="6">
                        <c:v>43227</c:v>
                      </c:pt>
                      <c:pt idx="7">
                        <c:v>43228</c:v>
                      </c:pt>
                      <c:pt idx="8">
                        <c:v>43229</c:v>
                      </c:pt>
                      <c:pt idx="9">
                        <c:v>43230</c:v>
                      </c:pt>
                      <c:pt idx="10">
                        <c:v>43231</c:v>
                      </c:pt>
                      <c:pt idx="11">
                        <c:v>43232</c:v>
                      </c:pt>
                      <c:pt idx="12">
                        <c:v>43233</c:v>
                      </c:pt>
                      <c:pt idx="13">
                        <c:v>43234</c:v>
                      </c:pt>
                      <c:pt idx="14">
                        <c:v>43235</c:v>
                      </c:pt>
                      <c:pt idx="15">
                        <c:v>43236</c:v>
                      </c:pt>
                      <c:pt idx="16">
                        <c:v>43237</c:v>
                      </c:pt>
                      <c:pt idx="17">
                        <c:v>43238</c:v>
                      </c:pt>
                      <c:pt idx="18">
                        <c:v>43239</c:v>
                      </c:pt>
                      <c:pt idx="19">
                        <c:v>43240</c:v>
                      </c:pt>
                      <c:pt idx="20">
                        <c:v>43241</c:v>
                      </c:pt>
                      <c:pt idx="21">
                        <c:v>43242</c:v>
                      </c:pt>
                      <c:pt idx="22">
                        <c:v>43243</c:v>
                      </c:pt>
                      <c:pt idx="23">
                        <c:v>43244</c:v>
                      </c:pt>
                      <c:pt idx="24">
                        <c:v>43245</c:v>
                      </c:pt>
                      <c:pt idx="25">
                        <c:v>43246</c:v>
                      </c:pt>
                      <c:pt idx="26">
                        <c:v>43247</c:v>
                      </c:pt>
                      <c:pt idx="27">
                        <c:v>43248</c:v>
                      </c:pt>
                      <c:pt idx="28">
                        <c:v>43249</c:v>
                      </c:pt>
                      <c:pt idx="29">
                        <c:v>43250</c:v>
                      </c:pt>
                      <c:pt idx="30">
                        <c:v>43251</c:v>
                      </c:pt>
                      <c:pt idx="31">
                        <c:v>43252</c:v>
                      </c:pt>
                      <c:pt idx="32">
                        <c:v>43253</c:v>
                      </c:pt>
                      <c:pt idx="33">
                        <c:v>43254</c:v>
                      </c:pt>
                      <c:pt idx="34">
                        <c:v>43255</c:v>
                      </c:pt>
                      <c:pt idx="35">
                        <c:v>43256</c:v>
                      </c:pt>
                      <c:pt idx="36">
                        <c:v>43257</c:v>
                      </c:pt>
                      <c:pt idx="37">
                        <c:v>43258</c:v>
                      </c:pt>
                      <c:pt idx="38">
                        <c:v>43259</c:v>
                      </c:pt>
                      <c:pt idx="39">
                        <c:v>43260</c:v>
                      </c:pt>
                      <c:pt idx="40">
                        <c:v>43261</c:v>
                      </c:pt>
                      <c:pt idx="41">
                        <c:v>43262</c:v>
                      </c:pt>
                      <c:pt idx="42">
                        <c:v>43263</c:v>
                      </c:pt>
                      <c:pt idx="43">
                        <c:v>43264</c:v>
                      </c:pt>
                      <c:pt idx="44">
                        <c:v>43265</c:v>
                      </c:pt>
                      <c:pt idx="45">
                        <c:v>43266</c:v>
                      </c:pt>
                      <c:pt idx="46">
                        <c:v>43267</c:v>
                      </c:pt>
                      <c:pt idx="47">
                        <c:v>43268</c:v>
                      </c:pt>
                      <c:pt idx="48">
                        <c:v>43269</c:v>
                      </c:pt>
                      <c:pt idx="49">
                        <c:v>43270</c:v>
                      </c:pt>
                      <c:pt idx="50">
                        <c:v>43271</c:v>
                      </c:pt>
                      <c:pt idx="51">
                        <c:v>43272</c:v>
                      </c:pt>
                      <c:pt idx="52">
                        <c:v>43273</c:v>
                      </c:pt>
                      <c:pt idx="53">
                        <c:v>43274</c:v>
                      </c:pt>
                      <c:pt idx="54">
                        <c:v>43275</c:v>
                      </c:pt>
                      <c:pt idx="55">
                        <c:v>43276</c:v>
                      </c:pt>
                      <c:pt idx="56">
                        <c:v>43277</c:v>
                      </c:pt>
                      <c:pt idx="57">
                        <c:v>43278</c:v>
                      </c:pt>
                      <c:pt idx="58">
                        <c:v>43279</c:v>
                      </c:pt>
                      <c:pt idx="59">
                        <c:v>43280</c:v>
                      </c:pt>
                      <c:pt idx="60">
                        <c:v>43281</c:v>
                      </c:pt>
                      <c:pt idx="61">
                        <c:v>43282</c:v>
                      </c:pt>
                      <c:pt idx="62">
                        <c:v>43283</c:v>
                      </c:pt>
                      <c:pt idx="63">
                        <c:v>43284</c:v>
                      </c:pt>
                      <c:pt idx="64">
                        <c:v>43285</c:v>
                      </c:pt>
                      <c:pt idx="65">
                        <c:v>43286</c:v>
                      </c:pt>
                      <c:pt idx="66">
                        <c:v>43287</c:v>
                      </c:pt>
                      <c:pt idx="67">
                        <c:v>43288</c:v>
                      </c:pt>
                      <c:pt idx="68">
                        <c:v>43289</c:v>
                      </c:pt>
                      <c:pt idx="69">
                        <c:v>43290</c:v>
                      </c:pt>
                      <c:pt idx="70">
                        <c:v>43291</c:v>
                      </c:pt>
                      <c:pt idx="71">
                        <c:v>43292</c:v>
                      </c:pt>
                      <c:pt idx="72">
                        <c:v>43293</c:v>
                      </c:pt>
                      <c:pt idx="73">
                        <c:v>43294</c:v>
                      </c:pt>
                      <c:pt idx="74">
                        <c:v>43295</c:v>
                      </c:pt>
                      <c:pt idx="75">
                        <c:v>43296</c:v>
                      </c:pt>
                      <c:pt idx="76">
                        <c:v>43297</c:v>
                      </c:pt>
                      <c:pt idx="77">
                        <c:v>43298</c:v>
                      </c:pt>
                      <c:pt idx="78">
                        <c:v>43299</c:v>
                      </c:pt>
                      <c:pt idx="79">
                        <c:v>43300</c:v>
                      </c:pt>
                      <c:pt idx="80">
                        <c:v>43301</c:v>
                      </c:pt>
                      <c:pt idx="81">
                        <c:v>43302</c:v>
                      </c:pt>
                      <c:pt idx="82">
                        <c:v>43303</c:v>
                      </c:pt>
                      <c:pt idx="83">
                        <c:v>43304</c:v>
                      </c:pt>
                      <c:pt idx="84">
                        <c:v>43305</c:v>
                      </c:pt>
                      <c:pt idx="85">
                        <c:v>43306</c:v>
                      </c:pt>
                      <c:pt idx="86">
                        <c:v>43307</c:v>
                      </c:pt>
                      <c:pt idx="87">
                        <c:v>43308</c:v>
                      </c:pt>
                      <c:pt idx="88">
                        <c:v>43309</c:v>
                      </c:pt>
                      <c:pt idx="89">
                        <c:v>43310</c:v>
                      </c:pt>
                      <c:pt idx="90">
                        <c:v>43311</c:v>
                      </c:pt>
                      <c:pt idx="91">
                        <c:v>43312</c:v>
                      </c:pt>
                      <c:pt idx="92">
                        <c:v>43313</c:v>
                      </c:pt>
                      <c:pt idx="93">
                        <c:v>43314</c:v>
                      </c:pt>
                      <c:pt idx="94">
                        <c:v>43315</c:v>
                      </c:pt>
                      <c:pt idx="95">
                        <c:v>43316</c:v>
                      </c:pt>
                      <c:pt idx="96">
                        <c:v>43317</c:v>
                      </c:pt>
                      <c:pt idx="97">
                        <c:v>43318</c:v>
                      </c:pt>
                      <c:pt idx="98">
                        <c:v>43319</c:v>
                      </c:pt>
                      <c:pt idx="99">
                        <c:v>43320</c:v>
                      </c:pt>
                      <c:pt idx="100">
                        <c:v>43321</c:v>
                      </c:pt>
                      <c:pt idx="101">
                        <c:v>43322</c:v>
                      </c:pt>
                      <c:pt idx="102">
                        <c:v>43323</c:v>
                      </c:pt>
                      <c:pt idx="103">
                        <c:v>43324</c:v>
                      </c:pt>
                      <c:pt idx="104">
                        <c:v>43325</c:v>
                      </c:pt>
                      <c:pt idx="105">
                        <c:v>43326</c:v>
                      </c:pt>
                      <c:pt idx="106">
                        <c:v>43327</c:v>
                      </c:pt>
                      <c:pt idx="107">
                        <c:v>43328</c:v>
                      </c:pt>
                      <c:pt idx="108">
                        <c:v>43329</c:v>
                      </c:pt>
                      <c:pt idx="109">
                        <c:v>43330</c:v>
                      </c:pt>
                      <c:pt idx="110">
                        <c:v>43331</c:v>
                      </c:pt>
                      <c:pt idx="111">
                        <c:v>43332</c:v>
                      </c:pt>
                      <c:pt idx="112">
                        <c:v>43333</c:v>
                      </c:pt>
                      <c:pt idx="113">
                        <c:v>43334</c:v>
                      </c:pt>
                      <c:pt idx="114">
                        <c:v>43335</c:v>
                      </c:pt>
                      <c:pt idx="115">
                        <c:v>43336</c:v>
                      </c:pt>
                      <c:pt idx="116">
                        <c:v>43337</c:v>
                      </c:pt>
                      <c:pt idx="117">
                        <c:v>43338</c:v>
                      </c:pt>
                      <c:pt idx="118">
                        <c:v>43339</c:v>
                      </c:pt>
                      <c:pt idx="119">
                        <c:v>43340</c:v>
                      </c:pt>
                      <c:pt idx="120">
                        <c:v>43341</c:v>
                      </c:pt>
                      <c:pt idx="121">
                        <c:v>43342</c:v>
                      </c:pt>
                      <c:pt idx="122">
                        <c:v>43343</c:v>
                      </c:pt>
                      <c:pt idx="123">
                        <c:v>43344</c:v>
                      </c:pt>
                      <c:pt idx="124">
                        <c:v>43345</c:v>
                      </c:pt>
                      <c:pt idx="125">
                        <c:v>43346</c:v>
                      </c:pt>
                      <c:pt idx="126">
                        <c:v>43347</c:v>
                      </c:pt>
                      <c:pt idx="127">
                        <c:v>43348</c:v>
                      </c:pt>
                      <c:pt idx="128">
                        <c:v>43349</c:v>
                      </c:pt>
                      <c:pt idx="129">
                        <c:v>43350</c:v>
                      </c:pt>
                      <c:pt idx="130">
                        <c:v>43351</c:v>
                      </c:pt>
                      <c:pt idx="131">
                        <c:v>43352</c:v>
                      </c:pt>
                      <c:pt idx="132">
                        <c:v>43353</c:v>
                      </c:pt>
                      <c:pt idx="133">
                        <c:v>43354</c:v>
                      </c:pt>
                      <c:pt idx="134">
                        <c:v>43355</c:v>
                      </c:pt>
                      <c:pt idx="135">
                        <c:v>43356</c:v>
                      </c:pt>
                      <c:pt idx="136">
                        <c:v>43357</c:v>
                      </c:pt>
                      <c:pt idx="137">
                        <c:v>43358</c:v>
                      </c:pt>
                      <c:pt idx="138">
                        <c:v>43359</c:v>
                      </c:pt>
                      <c:pt idx="139">
                        <c:v>43360</c:v>
                      </c:pt>
                      <c:pt idx="140">
                        <c:v>43361</c:v>
                      </c:pt>
                      <c:pt idx="141">
                        <c:v>43362</c:v>
                      </c:pt>
                      <c:pt idx="142">
                        <c:v>43363</c:v>
                      </c:pt>
                      <c:pt idx="143">
                        <c:v>43364</c:v>
                      </c:pt>
                      <c:pt idx="144">
                        <c:v>43365</c:v>
                      </c:pt>
                      <c:pt idx="145">
                        <c:v>43366</c:v>
                      </c:pt>
                      <c:pt idx="146">
                        <c:v>43367</c:v>
                      </c:pt>
                      <c:pt idx="147">
                        <c:v>43368</c:v>
                      </c:pt>
                      <c:pt idx="148">
                        <c:v>43369</c:v>
                      </c:pt>
                      <c:pt idx="149">
                        <c:v>43370</c:v>
                      </c:pt>
                      <c:pt idx="150">
                        <c:v>43371</c:v>
                      </c:pt>
                      <c:pt idx="151">
                        <c:v>43372</c:v>
                      </c:pt>
                      <c:pt idx="152">
                        <c:v>43373</c:v>
                      </c:pt>
                      <c:pt idx="153">
                        <c:v>43374</c:v>
                      </c:pt>
                      <c:pt idx="154">
                        <c:v>43375</c:v>
                      </c:pt>
                      <c:pt idx="155">
                        <c:v>43376</c:v>
                      </c:pt>
                      <c:pt idx="156">
                        <c:v>43377</c:v>
                      </c:pt>
                      <c:pt idx="157">
                        <c:v>43378</c:v>
                      </c:pt>
                      <c:pt idx="158">
                        <c:v>43379</c:v>
                      </c:pt>
                      <c:pt idx="159">
                        <c:v>43380</c:v>
                      </c:pt>
                      <c:pt idx="160">
                        <c:v>43381</c:v>
                      </c:pt>
                      <c:pt idx="161">
                        <c:v>43382</c:v>
                      </c:pt>
                      <c:pt idx="162">
                        <c:v>43383</c:v>
                      </c:pt>
                      <c:pt idx="163">
                        <c:v>43384</c:v>
                      </c:pt>
                      <c:pt idx="164">
                        <c:v>43385</c:v>
                      </c:pt>
                      <c:pt idx="165">
                        <c:v>43386</c:v>
                      </c:pt>
                      <c:pt idx="166">
                        <c:v>43387</c:v>
                      </c:pt>
                      <c:pt idx="167">
                        <c:v>43388</c:v>
                      </c:pt>
                      <c:pt idx="168">
                        <c:v>43389</c:v>
                      </c:pt>
                      <c:pt idx="169">
                        <c:v>43390</c:v>
                      </c:pt>
                      <c:pt idx="170">
                        <c:v>43391</c:v>
                      </c:pt>
                      <c:pt idx="171">
                        <c:v>43392</c:v>
                      </c:pt>
                      <c:pt idx="172">
                        <c:v>43393</c:v>
                      </c:pt>
                      <c:pt idx="173">
                        <c:v>43394</c:v>
                      </c:pt>
                      <c:pt idx="174">
                        <c:v>43395</c:v>
                      </c:pt>
                      <c:pt idx="175">
                        <c:v>43396</c:v>
                      </c:pt>
                      <c:pt idx="176">
                        <c:v>43397</c:v>
                      </c:pt>
                      <c:pt idx="177">
                        <c:v>43398</c:v>
                      </c:pt>
                      <c:pt idx="178">
                        <c:v>43399</c:v>
                      </c:pt>
                      <c:pt idx="179">
                        <c:v>43400</c:v>
                      </c:pt>
                      <c:pt idx="180">
                        <c:v>43401</c:v>
                      </c:pt>
                      <c:pt idx="181">
                        <c:v>43402</c:v>
                      </c:pt>
                      <c:pt idx="182">
                        <c:v>43403</c:v>
                      </c:pt>
                      <c:pt idx="183">
                        <c:v>43404</c:v>
                      </c:pt>
                    </c:numCache>
                  </c:numRef>
                </c:xVal>
                <c:yVal>
                  <c:numRef>
                    <c:extLst xmlns:c15="http://schemas.microsoft.com/office/drawing/2012/chart">
                      <c:ext xmlns:c15="http://schemas.microsoft.com/office/drawing/2012/chart" uri="{02D57815-91ED-43cb-92C2-25804820EDAC}">
                        <c15:formulaRef>
                          <c15:sqref>'Daily Scatter'!$N$8:$N$191</c15:sqref>
                        </c15:formulaRef>
                      </c:ext>
                    </c:extLst>
                    <c:numCache>
                      <c:formatCode>General</c:formatCode>
                      <c:ptCount val="184"/>
                      <c:pt idx="0">
                        <c:v>#N/A</c:v>
                      </c:pt>
                      <c:pt idx="1">
                        <c:v>#N/A</c:v>
                      </c:pt>
                      <c:pt idx="2">
                        <c:v>#N/A</c:v>
                      </c:pt>
                      <c:pt idx="3">
                        <c:v>#N/A</c:v>
                      </c:pt>
                      <c:pt idx="4">
                        <c:v>#N/A</c:v>
                      </c:pt>
                      <c:pt idx="5">
                        <c:v>5.6875</c:v>
                      </c:pt>
                      <c:pt idx="6">
                        <c:v>4.9166666666666696</c:v>
                      </c:pt>
                      <c:pt idx="7">
                        <c:v>#N/A</c:v>
                      </c:pt>
                      <c:pt idx="8">
                        <c:v>#N/A</c:v>
                      </c:pt>
                      <c:pt idx="9">
                        <c:v>#N/A</c:v>
                      </c:pt>
                      <c:pt idx="10">
                        <c:v>#N/A</c:v>
                      </c:pt>
                      <c:pt idx="11">
                        <c:v>#N/A</c:v>
                      </c:pt>
                      <c:pt idx="12">
                        <c:v>11.625</c:v>
                      </c:pt>
                      <c:pt idx="13">
                        <c:v>10.387499999999999</c:v>
                      </c:pt>
                      <c:pt idx="14">
                        <c:v>#N/A</c:v>
                      </c:pt>
                      <c:pt idx="15">
                        <c:v>#N/A</c:v>
                      </c:pt>
                      <c:pt idx="16">
                        <c:v>#N/A</c:v>
                      </c:pt>
                      <c:pt idx="17">
                        <c:v>#N/A</c:v>
                      </c:pt>
                      <c:pt idx="18">
                        <c:v>#N/A</c:v>
                      </c:pt>
                      <c:pt idx="19">
                        <c:v>12.3</c:v>
                      </c:pt>
                      <c:pt idx="20">
                        <c:v>14.9791666666667</c:v>
                      </c:pt>
                      <c:pt idx="21">
                        <c:v>13.7125</c:v>
                      </c:pt>
                      <c:pt idx="22">
                        <c:v>#N/A</c:v>
                      </c:pt>
                      <c:pt idx="23">
                        <c:v>#N/A</c:v>
                      </c:pt>
                      <c:pt idx="24">
                        <c:v>#N/A</c:v>
                      </c:pt>
                      <c:pt idx="25">
                        <c:v>#N/A</c:v>
                      </c:pt>
                      <c:pt idx="26">
                        <c:v>14.970833333333299</c:v>
                      </c:pt>
                      <c:pt idx="27">
                        <c:v>17.408333333333299</c:v>
                      </c:pt>
                      <c:pt idx="28">
                        <c:v>#N/A</c:v>
                      </c:pt>
                      <c:pt idx="29">
                        <c:v>#N/A</c:v>
                      </c:pt>
                      <c:pt idx="30">
                        <c:v>#N/A</c:v>
                      </c:pt>
                      <c:pt idx="31">
                        <c:v>#N/A</c:v>
                      </c:pt>
                      <c:pt idx="32">
                        <c:v>#N/A</c:v>
                      </c:pt>
                      <c:pt idx="33">
                        <c:v>16.783333333333299</c:v>
                      </c:pt>
                      <c:pt idx="34">
                        <c:v>18.670833333333299</c:v>
                      </c:pt>
                      <c:pt idx="35">
                        <c:v>#N/A</c:v>
                      </c:pt>
                      <c:pt idx="36">
                        <c:v>#N/A</c:v>
                      </c:pt>
                      <c:pt idx="37">
                        <c:v>#N/A</c:v>
                      </c:pt>
                      <c:pt idx="38">
                        <c:v>#N/A</c:v>
                      </c:pt>
                      <c:pt idx="39">
                        <c:v>#N/A</c:v>
                      </c:pt>
                      <c:pt idx="40">
                        <c:v>21.566666666666698</c:v>
                      </c:pt>
                      <c:pt idx="41">
                        <c:v>24.774999999999999</c:v>
                      </c:pt>
                      <c:pt idx="42">
                        <c:v>#N/A</c:v>
                      </c:pt>
                      <c:pt idx="43">
                        <c:v>#N/A</c:v>
                      </c:pt>
                      <c:pt idx="44">
                        <c:v>#N/A</c:v>
                      </c:pt>
                      <c:pt idx="45">
                        <c:v>#N/A</c:v>
                      </c:pt>
                      <c:pt idx="46">
                        <c:v>#N/A</c:v>
                      </c:pt>
                      <c:pt idx="47">
                        <c:v>23.5</c:v>
                      </c:pt>
                      <c:pt idx="48">
                        <c:v>23.412500000000001</c:v>
                      </c:pt>
                      <c:pt idx="49">
                        <c:v>#N/A</c:v>
                      </c:pt>
                      <c:pt idx="50">
                        <c:v>#N/A</c:v>
                      </c:pt>
                      <c:pt idx="51">
                        <c:v>#N/A</c:v>
                      </c:pt>
                      <c:pt idx="52">
                        <c:v>#N/A</c:v>
                      </c:pt>
                      <c:pt idx="53">
                        <c:v>#N/A</c:v>
                      </c:pt>
                      <c:pt idx="54">
                        <c:v>17.920833333333299</c:v>
                      </c:pt>
                      <c:pt idx="55">
                        <c:v>15.1625</c:v>
                      </c:pt>
                      <c:pt idx="56">
                        <c:v>#N/A</c:v>
                      </c:pt>
                      <c:pt idx="57">
                        <c:v>#N/A</c:v>
                      </c:pt>
                      <c:pt idx="58">
                        <c:v>#N/A</c:v>
                      </c:pt>
                      <c:pt idx="59">
                        <c:v>#N/A</c:v>
                      </c:pt>
                      <c:pt idx="60">
                        <c:v>#N/A</c:v>
                      </c:pt>
                      <c:pt idx="61">
                        <c:v>20.045833333333299</c:v>
                      </c:pt>
                      <c:pt idx="62">
                        <c:v>20.7</c:v>
                      </c:pt>
                      <c:pt idx="63">
                        <c:v>18.904166666666701</c:v>
                      </c:pt>
                      <c:pt idx="64">
                        <c:v>#N/A</c:v>
                      </c:pt>
                      <c:pt idx="65">
                        <c:v>#N/A</c:v>
                      </c:pt>
                      <c:pt idx="66">
                        <c:v>#N/A</c:v>
                      </c:pt>
                      <c:pt idx="67">
                        <c:v>#N/A</c:v>
                      </c:pt>
                      <c:pt idx="68">
                        <c:v>18.899999999999999</c:v>
                      </c:pt>
                      <c:pt idx="69">
                        <c:v>20.170833333333299</c:v>
                      </c:pt>
                      <c:pt idx="70">
                        <c:v>#N/A</c:v>
                      </c:pt>
                      <c:pt idx="71">
                        <c:v>#N/A</c:v>
                      </c:pt>
                      <c:pt idx="72">
                        <c:v>#N/A</c:v>
                      </c:pt>
                      <c:pt idx="73">
                        <c:v>#N/A</c:v>
                      </c:pt>
                      <c:pt idx="74">
                        <c:v>#N/A</c:v>
                      </c:pt>
                      <c:pt idx="75">
                        <c:v>20.375</c:v>
                      </c:pt>
                      <c:pt idx="76">
                        <c:v>20.375</c:v>
                      </c:pt>
                      <c:pt idx="77">
                        <c:v>#N/A</c:v>
                      </c:pt>
                      <c:pt idx="78">
                        <c:v>#N/A</c:v>
                      </c:pt>
                      <c:pt idx="79">
                        <c:v>#N/A</c:v>
                      </c:pt>
                      <c:pt idx="80">
                        <c:v>#N/A</c:v>
                      </c:pt>
                      <c:pt idx="81">
                        <c:v>#N/A</c:v>
                      </c:pt>
                      <c:pt idx="82">
                        <c:v>20.9791666666667</c:v>
                      </c:pt>
                      <c:pt idx="83">
                        <c:v>21.683333333333302</c:v>
                      </c:pt>
                      <c:pt idx="84">
                        <c:v>#N/A</c:v>
                      </c:pt>
                      <c:pt idx="85">
                        <c:v>#N/A</c:v>
                      </c:pt>
                      <c:pt idx="86">
                        <c:v>#N/A</c:v>
                      </c:pt>
                      <c:pt idx="87">
                        <c:v>#N/A</c:v>
                      </c:pt>
                      <c:pt idx="88">
                        <c:v>#N/A</c:v>
                      </c:pt>
                      <c:pt idx="89">
                        <c:v>19.712499999999999</c:v>
                      </c:pt>
                      <c:pt idx="90">
                        <c:v>20.987500000000001</c:v>
                      </c:pt>
                      <c:pt idx="91">
                        <c:v>#N/A</c:v>
                      </c:pt>
                      <c:pt idx="92">
                        <c:v>#N/A</c:v>
                      </c:pt>
                      <c:pt idx="93">
                        <c:v>#N/A</c:v>
                      </c:pt>
                      <c:pt idx="94">
                        <c:v>#N/A</c:v>
                      </c:pt>
                      <c:pt idx="95">
                        <c:v>#N/A</c:v>
                      </c:pt>
                      <c:pt idx="96">
                        <c:v>16.2</c:v>
                      </c:pt>
                      <c:pt idx="97">
                        <c:v>17.162500000000001</c:v>
                      </c:pt>
                      <c:pt idx="98">
                        <c:v>18.612500000000001</c:v>
                      </c:pt>
                      <c:pt idx="99">
                        <c:v>#N/A</c:v>
                      </c:pt>
                      <c:pt idx="100">
                        <c:v>#N/A</c:v>
                      </c:pt>
                      <c:pt idx="101">
                        <c:v>#N/A</c:v>
                      </c:pt>
                      <c:pt idx="102">
                        <c:v>#N/A</c:v>
                      </c:pt>
                      <c:pt idx="103">
                        <c:v>18.929166666666699</c:v>
                      </c:pt>
                      <c:pt idx="104">
                        <c:v>18.829166666666701</c:v>
                      </c:pt>
                      <c:pt idx="105">
                        <c:v>#N/A</c:v>
                      </c:pt>
                      <c:pt idx="106">
                        <c:v>#N/A</c:v>
                      </c:pt>
                      <c:pt idx="107">
                        <c:v>#N/A</c:v>
                      </c:pt>
                      <c:pt idx="108">
                        <c:v>#N/A</c:v>
                      </c:pt>
                      <c:pt idx="109">
                        <c:v>#N/A</c:v>
                      </c:pt>
                      <c:pt idx="110">
                        <c:v>18.741666666666699</c:v>
                      </c:pt>
                      <c:pt idx="111">
                        <c:v>20.725000000000001</c:v>
                      </c:pt>
                      <c:pt idx="112">
                        <c:v>#N/A</c:v>
                      </c:pt>
                      <c:pt idx="113">
                        <c:v>#N/A</c:v>
                      </c:pt>
                      <c:pt idx="114">
                        <c:v>#N/A</c:v>
                      </c:pt>
                      <c:pt idx="115">
                        <c:v>#N/A</c:v>
                      </c:pt>
                      <c:pt idx="116">
                        <c:v>#N/A</c:v>
                      </c:pt>
                      <c:pt idx="117">
                        <c:v>14.3541666666667</c:v>
                      </c:pt>
                      <c:pt idx="118">
                        <c:v>16.3333333333333</c:v>
                      </c:pt>
                      <c:pt idx="119">
                        <c:v>#N/A</c:v>
                      </c:pt>
                      <c:pt idx="120">
                        <c:v>#N/A</c:v>
                      </c:pt>
                      <c:pt idx="121">
                        <c:v>#N/A</c:v>
                      </c:pt>
                      <c:pt idx="122">
                        <c:v>#N/A</c:v>
                      </c:pt>
                      <c:pt idx="123">
                        <c:v>#N/A</c:v>
                      </c:pt>
                      <c:pt idx="124">
                        <c:v>13.320833333333301</c:v>
                      </c:pt>
                      <c:pt idx="125">
                        <c:v>16.033333333333299</c:v>
                      </c:pt>
                      <c:pt idx="126">
                        <c:v>19.087499999999999</c:v>
                      </c:pt>
                      <c:pt idx="127">
                        <c:v>#N/A</c:v>
                      </c:pt>
                      <c:pt idx="128">
                        <c:v>#N/A</c:v>
                      </c:pt>
                      <c:pt idx="129">
                        <c:v>#N/A</c:v>
                      </c:pt>
                      <c:pt idx="130">
                        <c:v>#N/A</c:v>
                      </c:pt>
                      <c:pt idx="131">
                        <c:v>10.887499999999999</c:v>
                      </c:pt>
                      <c:pt idx="132">
                        <c:v>12.1833333333333</c:v>
                      </c:pt>
                      <c:pt idx="133">
                        <c:v>#N/A</c:v>
                      </c:pt>
                      <c:pt idx="134">
                        <c:v>#N/A</c:v>
                      </c:pt>
                      <c:pt idx="135">
                        <c:v>#N/A</c:v>
                      </c:pt>
                      <c:pt idx="136">
                        <c:v>#N/A</c:v>
                      </c:pt>
                      <c:pt idx="137">
                        <c:v>#N/A</c:v>
                      </c:pt>
                      <c:pt idx="138">
                        <c:v>19.0625</c:v>
                      </c:pt>
                      <c:pt idx="139">
                        <c:v>19.883333333333301</c:v>
                      </c:pt>
                      <c:pt idx="140">
                        <c:v>#N/A</c:v>
                      </c:pt>
                      <c:pt idx="141">
                        <c:v>#N/A</c:v>
                      </c:pt>
                      <c:pt idx="142">
                        <c:v>#N/A</c:v>
                      </c:pt>
                      <c:pt idx="143">
                        <c:v>#N/A</c:v>
                      </c:pt>
                      <c:pt idx="144">
                        <c:v>#N/A</c:v>
                      </c:pt>
                      <c:pt idx="145">
                        <c:v>22.316666666666698</c:v>
                      </c:pt>
                      <c:pt idx="146">
                        <c:v>23.033333333333299</c:v>
                      </c:pt>
                      <c:pt idx="147">
                        <c:v>#N/A</c:v>
                      </c:pt>
                      <c:pt idx="148">
                        <c:v>#N/A</c:v>
                      </c:pt>
                      <c:pt idx="149">
                        <c:v>#N/A</c:v>
                      </c:pt>
                      <c:pt idx="150">
                        <c:v>#N/A</c:v>
                      </c:pt>
                      <c:pt idx="151">
                        <c:v>#N/A</c:v>
                      </c:pt>
                      <c:pt idx="152">
                        <c:v>9.8958333333333304</c:v>
                      </c:pt>
                      <c:pt idx="153">
                        <c:v>9.9708333333333297</c:v>
                      </c:pt>
                      <c:pt idx="154">
                        <c:v>#N/A</c:v>
                      </c:pt>
                      <c:pt idx="155">
                        <c:v>#N/A</c:v>
                      </c:pt>
                      <c:pt idx="156">
                        <c:v>#N/A</c:v>
                      </c:pt>
                      <c:pt idx="157">
                        <c:v>#N/A</c:v>
                      </c:pt>
                      <c:pt idx="158">
                        <c:v>#N/A</c:v>
                      </c:pt>
                      <c:pt idx="159">
                        <c:v>21.370833333333302</c:v>
                      </c:pt>
                      <c:pt idx="160">
                        <c:v>17.899999999999999</c:v>
                      </c:pt>
                      <c:pt idx="161">
                        <c:v>16.975000000000001</c:v>
                      </c:pt>
                      <c:pt idx="162">
                        <c:v>#N/A</c:v>
                      </c:pt>
                      <c:pt idx="163">
                        <c:v>#N/A</c:v>
                      </c:pt>
                      <c:pt idx="164">
                        <c:v>#N/A</c:v>
                      </c:pt>
                      <c:pt idx="165">
                        <c:v>#N/A</c:v>
                      </c:pt>
                      <c:pt idx="166">
                        <c:v>15.008333333333301</c:v>
                      </c:pt>
                      <c:pt idx="167">
                        <c:v>15.9375</c:v>
                      </c:pt>
                      <c:pt idx="168">
                        <c:v>#N/A</c:v>
                      </c:pt>
                      <c:pt idx="169">
                        <c:v>#N/A</c:v>
                      </c:pt>
                      <c:pt idx="170">
                        <c:v>#N/A</c:v>
                      </c:pt>
                      <c:pt idx="171">
                        <c:v>#N/A</c:v>
                      </c:pt>
                      <c:pt idx="172">
                        <c:v>#N/A</c:v>
                      </c:pt>
                      <c:pt idx="173">
                        <c:v>13.2</c:v>
                      </c:pt>
                      <c:pt idx="174">
                        <c:v>15.9333333333333</c:v>
                      </c:pt>
                      <c:pt idx="175">
                        <c:v>#N/A</c:v>
                      </c:pt>
                      <c:pt idx="176">
                        <c:v>#N/A</c:v>
                      </c:pt>
                      <c:pt idx="177">
                        <c:v>#N/A</c:v>
                      </c:pt>
                      <c:pt idx="178">
                        <c:v>#N/A</c:v>
                      </c:pt>
                      <c:pt idx="179">
                        <c:v>#N/A</c:v>
                      </c:pt>
                      <c:pt idx="180">
                        <c:v>4.3833333333333302</c:v>
                      </c:pt>
                      <c:pt idx="181">
                        <c:v>4.7833333333333297</c:v>
                      </c:pt>
                      <c:pt idx="182">
                        <c:v>#N/A</c:v>
                      </c:pt>
                      <c:pt idx="183">
                        <c:v>#N/A</c:v>
                      </c:pt>
                    </c:numCache>
                  </c:numRef>
                </c:yVal>
                <c:smooth val="0"/>
                <c:extLst xmlns:c15="http://schemas.microsoft.com/office/drawing/2012/chart">
                  <c:ext xmlns:c16="http://schemas.microsoft.com/office/drawing/2014/chart" uri="{C3380CC4-5D6E-409C-BE32-E72D297353CC}">
                    <c16:uniqueId val="{00000009-2F0F-4832-AEF0-F530AFA34BE1}"/>
                  </c:ext>
                </c:extLst>
              </c15:ser>
            </c15:filteredScatterSeries>
            <c15:filteredScatterSeries>
              <c15:ser>
                <c:idx val="5"/>
                <c:order val="5"/>
                <c:tx>
                  <c:strRef>
                    <c:extLst xmlns:c15="http://schemas.microsoft.com/office/drawing/2012/chart">
                      <c:ext xmlns:c15="http://schemas.microsoft.com/office/drawing/2012/chart" uri="{02D57815-91ED-43cb-92C2-25804820EDAC}">
                        <c15:formulaRef>
                          <c15:sqref>'Daily Scatter'!$P$7</c15:sqref>
                        </c15:formulaRef>
                      </c:ext>
                    </c:extLst>
                    <c:strCache>
                      <c:ptCount val="1"/>
                      <c:pt idx="0">
                        <c:v>Program Period - Weekends</c:v>
                      </c:pt>
                    </c:strCache>
                  </c:strRef>
                </c:tx>
                <c:spPr>
                  <a:ln w="25400" cap="rnd">
                    <a:noFill/>
                    <a:round/>
                  </a:ln>
                  <a:effectLst/>
                </c:spPr>
                <c:marker>
                  <c:symbol val="circle"/>
                  <c:size val="5"/>
                  <c:spPr>
                    <a:solidFill>
                      <a:schemeClr val="accent6">
                        <a:lumMod val="20000"/>
                        <a:lumOff val="80000"/>
                      </a:schemeClr>
                    </a:solidFill>
                    <a:ln w="9525">
                      <a:solidFill>
                        <a:schemeClr val="accent1"/>
                      </a:solidFill>
                    </a:ln>
                    <a:effectLst/>
                  </c:spPr>
                </c:marker>
                <c:trendline>
                  <c:spPr>
                    <a:ln w="31750" cap="rnd">
                      <a:solidFill>
                        <a:schemeClr val="accent6"/>
                      </a:solidFill>
                      <a:prstDash val="sysDot"/>
                    </a:ln>
                    <a:effectLst/>
                  </c:spPr>
                  <c:trendlineType val="poly"/>
                  <c:order val="2"/>
                  <c:dispRSqr val="0"/>
                  <c:dispEq val="0"/>
                </c:trendline>
                <c:xVal>
                  <c:numRef>
                    <c:extLst xmlns:c15="http://schemas.microsoft.com/office/drawing/2012/chart">
                      <c:ext xmlns:c15="http://schemas.microsoft.com/office/drawing/2012/chart" uri="{02D57815-91ED-43cb-92C2-25804820EDAC}">
                        <c15:formulaRef>
                          <c15:sqref>'Daily Scatter'!$H$8:$H$191</c15:sqref>
                        </c15:formulaRef>
                      </c:ext>
                    </c:extLst>
                    <c:numCache>
                      <c:formatCode>[$-409]d\-mmm;@</c:formatCode>
                      <c:ptCount val="184"/>
                      <c:pt idx="0">
                        <c:v>43221</c:v>
                      </c:pt>
                      <c:pt idx="1">
                        <c:v>43222</c:v>
                      </c:pt>
                      <c:pt idx="2">
                        <c:v>43223</c:v>
                      </c:pt>
                      <c:pt idx="3">
                        <c:v>43224</c:v>
                      </c:pt>
                      <c:pt idx="4">
                        <c:v>43225</c:v>
                      </c:pt>
                      <c:pt idx="5">
                        <c:v>43226</c:v>
                      </c:pt>
                      <c:pt idx="6">
                        <c:v>43227</c:v>
                      </c:pt>
                      <c:pt idx="7">
                        <c:v>43228</c:v>
                      </c:pt>
                      <c:pt idx="8">
                        <c:v>43229</c:v>
                      </c:pt>
                      <c:pt idx="9">
                        <c:v>43230</c:v>
                      </c:pt>
                      <c:pt idx="10">
                        <c:v>43231</c:v>
                      </c:pt>
                      <c:pt idx="11">
                        <c:v>43232</c:v>
                      </c:pt>
                      <c:pt idx="12">
                        <c:v>43233</c:v>
                      </c:pt>
                      <c:pt idx="13">
                        <c:v>43234</c:v>
                      </c:pt>
                      <c:pt idx="14">
                        <c:v>43235</c:v>
                      </c:pt>
                      <c:pt idx="15">
                        <c:v>43236</c:v>
                      </c:pt>
                      <c:pt idx="16">
                        <c:v>43237</c:v>
                      </c:pt>
                      <c:pt idx="17">
                        <c:v>43238</c:v>
                      </c:pt>
                      <c:pt idx="18">
                        <c:v>43239</c:v>
                      </c:pt>
                      <c:pt idx="19">
                        <c:v>43240</c:v>
                      </c:pt>
                      <c:pt idx="20">
                        <c:v>43241</c:v>
                      </c:pt>
                      <c:pt idx="21">
                        <c:v>43242</c:v>
                      </c:pt>
                      <c:pt idx="22">
                        <c:v>43243</c:v>
                      </c:pt>
                      <c:pt idx="23">
                        <c:v>43244</c:v>
                      </c:pt>
                      <c:pt idx="24">
                        <c:v>43245</c:v>
                      </c:pt>
                      <c:pt idx="25">
                        <c:v>43246</c:v>
                      </c:pt>
                      <c:pt idx="26">
                        <c:v>43247</c:v>
                      </c:pt>
                      <c:pt idx="27">
                        <c:v>43248</c:v>
                      </c:pt>
                      <c:pt idx="28">
                        <c:v>43249</c:v>
                      </c:pt>
                      <c:pt idx="29">
                        <c:v>43250</c:v>
                      </c:pt>
                      <c:pt idx="30">
                        <c:v>43251</c:v>
                      </c:pt>
                      <c:pt idx="31">
                        <c:v>43252</c:v>
                      </c:pt>
                      <c:pt idx="32">
                        <c:v>43253</c:v>
                      </c:pt>
                      <c:pt idx="33">
                        <c:v>43254</c:v>
                      </c:pt>
                      <c:pt idx="34">
                        <c:v>43255</c:v>
                      </c:pt>
                      <c:pt idx="35">
                        <c:v>43256</c:v>
                      </c:pt>
                      <c:pt idx="36">
                        <c:v>43257</c:v>
                      </c:pt>
                      <c:pt idx="37">
                        <c:v>43258</c:v>
                      </c:pt>
                      <c:pt idx="38">
                        <c:v>43259</c:v>
                      </c:pt>
                      <c:pt idx="39">
                        <c:v>43260</c:v>
                      </c:pt>
                      <c:pt idx="40">
                        <c:v>43261</c:v>
                      </c:pt>
                      <c:pt idx="41">
                        <c:v>43262</c:v>
                      </c:pt>
                      <c:pt idx="42">
                        <c:v>43263</c:v>
                      </c:pt>
                      <c:pt idx="43">
                        <c:v>43264</c:v>
                      </c:pt>
                      <c:pt idx="44">
                        <c:v>43265</c:v>
                      </c:pt>
                      <c:pt idx="45">
                        <c:v>43266</c:v>
                      </c:pt>
                      <c:pt idx="46">
                        <c:v>43267</c:v>
                      </c:pt>
                      <c:pt idx="47">
                        <c:v>43268</c:v>
                      </c:pt>
                      <c:pt idx="48">
                        <c:v>43269</c:v>
                      </c:pt>
                      <c:pt idx="49">
                        <c:v>43270</c:v>
                      </c:pt>
                      <c:pt idx="50">
                        <c:v>43271</c:v>
                      </c:pt>
                      <c:pt idx="51">
                        <c:v>43272</c:v>
                      </c:pt>
                      <c:pt idx="52">
                        <c:v>43273</c:v>
                      </c:pt>
                      <c:pt idx="53">
                        <c:v>43274</c:v>
                      </c:pt>
                      <c:pt idx="54">
                        <c:v>43275</c:v>
                      </c:pt>
                      <c:pt idx="55">
                        <c:v>43276</c:v>
                      </c:pt>
                      <c:pt idx="56">
                        <c:v>43277</c:v>
                      </c:pt>
                      <c:pt idx="57">
                        <c:v>43278</c:v>
                      </c:pt>
                      <c:pt idx="58">
                        <c:v>43279</c:v>
                      </c:pt>
                      <c:pt idx="59">
                        <c:v>43280</c:v>
                      </c:pt>
                      <c:pt idx="60">
                        <c:v>43281</c:v>
                      </c:pt>
                      <c:pt idx="61">
                        <c:v>43282</c:v>
                      </c:pt>
                      <c:pt idx="62">
                        <c:v>43283</c:v>
                      </c:pt>
                      <c:pt idx="63">
                        <c:v>43284</c:v>
                      </c:pt>
                      <c:pt idx="64">
                        <c:v>43285</c:v>
                      </c:pt>
                      <c:pt idx="65">
                        <c:v>43286</c:v>
                      </c:pt>
                      <c:pt idx="66">
                        <c:v>43287</c:v>
                      </c:pt>
                      <c:pt idx="67">
                        <c:v>43288</c:v>
                      </c:pt>
                      <c:pt idx="68">
                        <c:v>43289</c:v>
                      </c:pt>
                      <c:pt idx="69">
                        <c:v>43290</c:v>
                      </c:pt>
                      <c:pt idx="70">
                        <c:v>43291</c:v>
                      </c:pt>
                      <c:pt idx="71">
                        <c:v>43292</c:v>
                      </c:pt>
                      <c:pt idx="72">
                        <c:v>43293</c:v>
                      </c:pt>
                      <c:pt idx="73">
                        <c:v>43294</c:v>
                      </c:pt>
                      <c:pt idx="74">
                        <c:v>43295</c:v>
                      </c:pt>
                      <c:pt idx="75">
                        <c:v>43296</c:v>
                      </c:pt>
                      <c:pt idx="76">
                        <c:v>43297</c:v>
                      </c:pt>
                      <c:pt idx="77">
                        <c:v>43298</c:v>
                      </c:pt>
                      <c:pt idx="78">
                        <c:v>43299</c:v>
                      </c:pt>
                      <c:pt idx="79">
                        <c:v>43300</c:v>
                      </c:pt>
                      <c:pt idx="80">
                        <c:v>43301</c:v>
                      </c:pt>
                      <c:pt idx="81">
                        <c:v>43302</c:v>
                      </c:pt>
                      <c:pt idx="82">
                        <c:v>43303</c:v>
                      </c:pt>
                      <c:pt idx="83">
                        <c:v>43304</c:v>
                      </c:pt>
                      <c:pt idx="84">
                        <c:v>43305</c:v>
                      </c:pt>
                      <c:pt idx="85">
                        <c:v>43306</c:v>
                      </c:pt>
                      <c:pt idx="86">
                        <c:v>43307</c:v>
                      </c:pt>
                      <c:pt idx="87">
                        <c:v>43308</c:v>
                      </c:pt>
                      <c:pt idx="88">
                        <c:v>43309</c:v>
                      </c:pt>
                      <c:pt idx="89">
                        <c:v>43310</c:v>
                      </c:pt>
                      <c:pt idx="90">
                        <c:v>43311</c:v>
                      </c:pt>
                      <c:pt idx="91">
                        <c:v>43312</c:v>
                      </c:pt>
                      <c:pt idx="92">
                        <c:v>43313</c:v>
                      </c:pt>
                      <c:pt idx="93">
                        <c:v>43314</c:v>
                      </c:pt>
                      <c:pt idx="94">
                        <c:v>43315</c:v>
                      </c:pt>
                      <c:pt idx="95">
                        <c:v>43316</c:v>
                      </c:pt>
                      <c:pt idx="96">
                        <c:v>43317</c:v>
                      </c:pt>
                      <c:pt idx="97">
                        <c:v>43318</c:v>
                      </c:pt>
                      <c:pt idx="98">
                        <c:v>43319</c:v>
                      </c:pt>
                      <c:pt idx="99">
                        <c:v>43320</c:v>
                      </c:pt>
                      <c:pt idx="100">
                        <c:v>43321</c:v>
                      </c:pt>
                      <c:pt idx="101">
                        <c:v>43322</c:v>
                      </c:pt>
                      <c:pt idx="102">
                        <c:v>43323</c:v>
                      </c:pt>
                      <c:pt idx="103">
                        <c:v>43324</c:v>
                      </c:pt>
                      <c:pt idx="104">
                        <c:v>43325</c:v>
                      </c:pt>
                      <c:pt idx="105">
                        <c:v>43326</c:v>
                      </c:pt>
                      <c:pt idx="106">
                        <c:v>43327</c:v>
                      </c:pt>
                      <c:pt idx="107">
                        <c:v>43328</c:v>
                      </c:pt>
                      <c:pt idx="108">
                        <c:v>43329</c:v>
                      </c:pt>
                      <c:pt idx="109">
                        <c:v>43330</c:v>
                      </c:pt>
                      <c:pt idx="110">
                        <c:v>43331</c:v>
                      </c:pt>
                      <c:pt idx="111">
                        <c:v>43332</c:v>
                      </c:pt>
                      <c:pt idx="112">
                        <c:v>43333</c:v>
                      </c:pt>
                      <c:pt idx="113">
                        <c:v>43334</c:v>
                      </c:pt>
                      <c:pt idx="114">
                        <c:v>43335</c:v>
                      </c:pt>
                      <c:pt idx="115">
                        <c:v>43336</c:v>
                      </c:pt>
                      <c:pt idx="116">
                        <c:v>43337</c:v>
                      </c:pt>
                      <c:pt idx="117">
                        <c:v>43338</c:v>
                      </c:pt>
                      <c:pt idx="118">
                        <c:v>43339</c:v>
                      </c:pt>
                      <c:pt idx="119">
                        <c:v>43340</c:v>
                      </c:pt>
                      <c:pt idx="120">
                        <c:v>43341</c:v>
                      </c:pt>
                      <c:pt idx="121">
                        <c:v>43342</c:v>
                      </c:pt>
                      <c:pt idx="122">
                        <c:v>43343</c:v>
                      </c:pt>
                      <c:pt idx="123">
                        <c:v>43344</c:v>
                      </c:pt>
                      <c:pt idx="124">
                        <c:v>43345</c:v>
                      </c:pt>
                      <c:pt idx="125">
                        <c:v>43346</c:v>
                      </c:pt>
                      <c:pt idx="126">
                        <c:v>43347</c:v>
                      </c:pt>
                      <c:pt idx="127">
                        <c:v>43348</c:v>
                      </c:pt>
                      <c:pt idx="128">
                        <c:v>43349</c:v>
                      </c:pt>
                      <c:pt idx="129">
                        <c:v>43350</c:v>
                      </c:pt>
                      <c:pt idx="130">
                        <c:v>43351</c:v>
                      </c:pt>
                      <c:pt idx="131">
                        <c:v>43352</c:v>
                      </c:pt>
                      <c:pt idx="132">
                        <c:v>43353</c:v>
                      </c:pt>
                      <c:pt idx="133">
                        <c:v>43354</c:v>
                      </c:pt>
                      <c:pt idx="134">
                        <c:v>43355</c:v>
                      </c:pt>
                      <c:pt idx="135">
                        <c:v>43356</c:v>
                      </c:pt>
                      <c:pt idx="136">
                        <c:v>43357</c:v>
                      </c:pt>
                      <c:pt idx="137">
                        <c:v>43358</c:v>
                      </c:pt>
                      <c:pt idx="138">
                        <c:v>43359</c:v>
                      </c:pt>
                      <c:pt idx="139">
                        <c:v>43360</c:v>
                      </c:pt>
                      <c:pt idx="140">
                        <c:v>43361</c:v>
                      </c:pt>
                      <c:pt idx="141">
                        <c:v>43362</c:v>
                      </c:pt>
                      <c:pt idx="142">
                        <c:v>43363</c:v>
                      </c:pt>
                      <c:pt idx="143">
                        <c:v>43364</c:v>
                      </c:pt>
                      <c:pt idx="144">
                        <c:v>43365</c:v>
                      </c:pt>
                      <c:pt idx="145">
                        <c:v>43366</c:v>
                      </c:pt>
                      <c:pt idx="146">
                        <c:v>43367</c:v>
                      </c:pt>
                      <c:pt idx="147">
                        <c:v>43368</c:v>
                      </c:pt>
                      <c:pt idx="148">
                        <c:v>43369</c:v>
                      </c:pt>
                      <c:pt idx="149">
                        <c:v>43370</c:v>
                      </c:pt>
                      <c:pt idx="150">
                        <c:v>43371</c:v>
                      </c:pt>
                      <c:pt idx="151">
                        <c:v>43372</c:v>
                      </c:pt>
                      <c:pt idx="152">
                        <c:v>43373</c:v>
                      </c:pt>
                      <c:pt idx="153">
                        <c:v>43374</c:v>
                      </c:pt>
                      <c:pt idx="154">
                        <c:v>43375</c:v>
                      </c:pt>
                      <c:pt idx="155">
                        <c:v>43376</c:v>
                      </c:pt>
                      <c:pt idx="156">
                        <c:v>43377</c:v>
                      </c:pt>
                      <c:pt idx="157">
                        <c:v>43378</c:v>
                      </c:pt>
                      <c:pt idx="158">
                        <c:v>43379</c:v>
                      </c:pt>
                      <c:pt idx="159">
                        <c:v>43380</c:v>
                      </c:pt>
                      <c:pt idx="160">
                        <c:v>43381</c:v>
                      </c:pt>
                      <c:pt idx="161">
                        <c:v>43382</c:v>
                      </c:pt>
                      <c:pt idx="162">
                        <c:v>43383</c:v>
                      </c:pt>
                      <c:pt idx="163">
                        <c:v>43384</c:v>
                      </c:pt>
                      <c:pt idx="164">
                        <c:v>43385</c:v>
                      </c:pt>
                      <c:pt idx="165">
                        <c:v>43386</c:v>
                      </c:pt>
                      <c:pt idx="166">
                        <c:v>43387</c:v>
                      </c:pt>
                      <c:pt idx="167">
                        <c:v>43388</c:v>
                      </c:pt>
                      <c:pt idx="168">
                        <c:v>43389</c:v>
                      </c:pt>
                      <c:pt idx="169">
                        <c:v>43390</c:v>
                      </c:pt>
                      <c:pt idx="170">
                        <c:v>43391</c:v>
                      </c:pt>
                      <c:pt idx="171">
                        <c:v>43392</c:v>
                      </c:pt>
                      <c:pt idx="172">
                        <c:v>43393</c:v>
                      </c:pt>
                      <c:pt idx="173">
                        <c:v>43394</c:v>
                      </c:pt>
                      <c:pt idx="174">
                        <c:v>43395</c:v>
                      </c:pt>
                      <c:pt idx="175">
                        <c:v>43396</c:v>
                      </c:pt>
                      <c:pt idx="176">
                        <c:v>43397</c:v>
                      </c:pt>
                      <c:pt idx="177">
                        <c:v>43398</c:v>
                      </c:pt>
                      <c:pt idx="178">
                        <c:v>43399</c:v>
                      </c:pt>
                      <c:pt idx="179">
                        <c:v>43400</c:v>
                      </c:pt>
                      <c:pt idx="180">
                        <c:v>43401</c:v>
                      </c:pt>
                      <c:pt idx="181">
                        <c:v>43402</c:v>
                      </c:pt>
                      <c:pt idx="182">
                        <c:v>43403</c:v>
                      </c:pt>
                      <c:pt idx="183">
                        <c:v>43404</c:v>
                      </c:pt>
                    </c:numCache>
                  </c:numRef>
                </c:xVal>
                <c:yVal>
                  <c:numRef>
                    <c:extLst xmlns:c15="http://schemas.microsoft.com/office/drawing/2012/chart">
                      <c:ext xmlns:c15="http://schemas.microsoft.com/office/drawing/2012/chart" uri="{02D57815-91ED-43cb-92C2-25804820EDAC}">
                        <c15:formulaRef>
                          <c15:sqref>'Daily Scatter'!$P$8:$P$191</c15:sqref>
                        </c15:formulaRef>
                      </c:ext>
                    </c:extLst>
                    <c:numCache>
                      <c:formatCode>General</c:formatCode>
                      <c:ptCount val="184"/>
                      <c:pt idx="0">
                        <c:v>#N/A</c:v>
                      </c:pt>
                      <c:pt idx="1">
                        <c:v>#N/A</c:v>
                      </c:pt>
                      <c:pt idx="2">
                        <c:v>#N/A</c:v>
                      </c:pt>
                      <c:pt idx="3">
                        <c:v>#N/A</c:v>
                      </c:pt>
                      <c:pt idx="4">
                        <c:v>15.872291666666699</c:v>
                      </c:pt>
                      <c:pt idx="5">
                        <c:v>15.024374999999999</c:v>
                      </c:pt>
                      <c:pt idx="6">
                        <c:v>#N/A</c:v>
                      </c:pt>
                      <c:pt idx="7">
                        <c:v>#N/A</c:v>
                      </c:pt>
                      <c:pt idx="8">
                        <c:v>#N/A</c:v>
                      </c:pt>
                      <c:pt idx="9">
                        <c:v>#N/A</c:v>
                      </c:pt>
                      <c:pt idx="10">
                        <c:v>#N/A</c:v>
                      </c:pt>
                      <c:pt idx="11">
                        <c:v>9.6172916666666701</c:v>
                      </c:pt>
                      <c:pt idx="12">
                        <c:v>13.668333333333299</c:v>
                      </c:pt>
                      <c:pt idx="13">
                        <c:v>#N/A</c:v>
                      </c:pt>
                      <c:pt idx="14">
                        <c:v>#N/A</c:v>
                      </c:pt>
                      <c:pt idx="15">
                        <c:v>#N/A</c:v>
                      </c:pt>
                      <c:pt idx="16">
                        <c:v>#N/A</c:v>
                      </c:pt>
                      <c:pt idx="17">
                        <c:v>#N/A</c:v>
                      </c:pt>
                      <c:pt idx="18">
                        <c:v>16.099374999999998</c:v>
                      </c:pt>
                      <c:pt idx="19">
                        <c:v>13.268125</c:v>
                      </c:pt>
                      <c:pt idx="20">
                        <c:v>13.8827083333333</c:v>
                      </c:pt>
                      <c:pt idx="21">
                        <c:v>#N/A</c:v>
                      </c:pt>
                      <c:pt idx="22">
                        <c:v>#N/A</c:v>
                      </c:pt>
                      <c:pt idx="23">
                        <c:v>#N/A</c:v>
                      </c:pt>
                      <c:pt idx="24">
                        <c:v>#N/A</c:v>
                      </c:pt>
                      <c:pt idx="25">
                        <c:v>21.1689583333333</c:v>
                      </c:pt>
                      <c:pt idx="26">
                        <c:v>21.831666666666699</c:v>
                      </c:pt>
                      <c:pt idx="27">
                        <c:v>#N/A</c:v>
                      </c:pt>
                      <c:pt idx="28">
                        <c:v>#N/A</c:v>
                      </c:pt>
                      <c:pt idx="29">
                        <c:v>#N/A</c:v>
                      </c:pt>
                      <c:pt idx="30">
                        <c:v>#N/A</c:v>
                      </c:pt>
                      <c:pt idx="31">
                        <c:v>#N/A</c:v>
                      </c:pt>
                      <c:pt idx="32">
                        <c:v>16.7945833333333</c:v>
                      </c:pt>
                      <c:pt idx="33">
                        <c:v>18.1079166666667</c:v>
                      </c:pt>
                      <c:pt idx="34">
                        <c:v>#N/A</c:v>
                      </c:pt>
                      <c:pt idx="35">
                        <c:v>#N/A</c:v>
                      </c:pt>
                      <c:pt idx="36">
                        <c:v>#N/A</c:v>
                      </c:pt>
                      <c:pt idx="37">
                        <c:v>#N/A</c:v>
                      </c:pt>
                      <c:pt idx="38">
                        <c:v>#N/A</c:v>
                      </c:pt>
                      <c:pt idx="39">
                        <c:v>17.632291666666699</c:v>
                      </c:pt>
                      <c:pt idx="40">
                        <c:v>18.951458333333299</c:v>
                      </c:pt>
                      <c:pt idx="41">
                        <c:v>#N/A</c:v>
                      </c:pt>
                      <c:pt idx="42">
                        <c:v>#N/A</c:v>
                      </c:pt>
                      <c:pt idx="43">
                        <c:v>#N/A</c:v>
                      </c:pt>
                      <c:pt idx="44">
                        <c:v>#N/A</c:v>
                      </c:pt>
                      <c:pt idx="45">
                        <c:v>#N/A</c:v>
                      </c:pt>
                      <c:pt idx="46">
                        <c:v>20.376666666666701</c:v>
                      </c:pt>
                      <c:pt idx="47">
                        <c:v>24.030625000000001</c:v>
                      </c:pt>
                      <c:pt idx="48">
                        <c:v>#N/A</c:v>
                      </c:pt>
                      <c:pt idx="49">
                        <c:v>#N/A</c:v>
                      </c:pt>
                      <c:pt idx="50">
                        <c:v>#N/A</c:v>
                      </c:pt>
                      <c:pt idx="51">
                        <c:v>#N/A</c:v>
                      </c:pt>
                      <c:pt idx="52">
                        <c:v>#N/A</c:v>
                      </c:pt>
                      <c:pt idx="53">
                        <c:v>18.801874999999999</c:v>
                      </c:pt>
                      <c:pt idx="54">
                        <c:v>18.648541666666699</c:v>
                      </c:pt>
                      <c:pt idx="55">
                        <c:v>#N/A</c:v>
                      </c:pt>
                      <c:pt idx="56">
                        <c:v>#N/A</c:v>
                      </c:pt>
                      <c:pt idx="57">
                        <c:v>#N/A</c:v>
                      </c:pt>
                      <c:pt idx="58">
                        <c:v>#N/A</c:v>
                      </c:pt>
                      <c:pt idx="59">
                        <c:v>#N/A</c:v>
                      </c:pt>
                      <c:pt idx="60">
                        <c:v>26.965416666666702</c:v>
                      </c:pt>
                      <c:pt idx="61">
                        <c:v>26.7314583333333</c:v>
                      </c:pt>
                      <c:pt idx="62">
                        <c:v>25.559374999999999</c:v>
                      </c:pt>
                      <c:pt idx="63">
                        <c:v>#N/A</c:v>
                      </c:pt>
                      <c:pt idx="64">
                        <c:v>#N/A</c:v>
                      </c:pt>
                      <c:pt idx="65">
                        <c:v>#N/A</c:v>
                      </c:pt>
                      <c:pt idx="66">
                        <c:v>#N/A</c:v>
                      </c:pt>
                      <c:pt idx="67">
                        <c:v>18.419166666666701</c:v>
                      </c:pt>
                      <c:pt idx="68">
                        <c:v>19.612083333333299</c:v>
                      </c:pt>
                      <c:pt idx="69">
                        <c:v>#N/A</c:v>
                      </c:pt>
                      <c:pt idx="70">
                        <c:v>#N/A</c:v>
                      </c:pt>
                      <c:pt idx="71">
                        <c:v>#N/A</c:v>
                      </c:pt>
                      <c:pt idx="72">
                        <c:v>#N/A</c:v>
                      </c:pt>
                      <c:pt idx="73">
                        <c:v>#N/A</c:v>
                      </c:pt>
                      <c:pt idx="74">
                        <c:v>22.884374999999999</c:v>
                      </c:pt>
                      <c:pt idx="75">
                        <c:v>24.555</c:v>
                      </c:pt>
                      <c:pt idx="76">
                        <c:v>#N/A</c:v>
                      </c:pt>
                      <c:pt idx="77">
                        <c:v>#N/A</c:v>
                      </c:pt>
                      <c:pt idx="78">
                        <c:v>#N/A</c:v>
                      </c:pt>
                      <c:pt idx="79">
                        <c:v>#N/A</c:v>
                      </c:pt>
                      <c:pt idx="80">
                        <c:v>#N/A</c:v>
                      </c:pt>
                      <c:pt idx="81">
                        <c:v>21.893750000000001</c:v>
                      </c:pt>
                      <c:pt idx="82">
                        <c:v>17.414999999999999</c:v>
                      </c:pt>
                      <c:pt idx="83">
                        <c:v>#N/A</c:v>
                      </c:pt>
                      <c:pt idx="84">
                        <c:v>#N/A</c:v>
                      </c:pt>
                      <c:pt idx="85">
                        <c:v>#N/A</c:v>
                      </c:pt>
                      <c:pt idx="86">
                        <c:v>#N/A</c:v>
                      </c:pt>
                      <c:pt idx="87">
                        <c:v>#N/A</c:v>
                      </c:pt>
                      <c:pt idx="88">
                        <c:v>17.954999999999998</c:v>
                      </c:pt>
                      <c:pt idx="89">
                        <c:v>18.6502083333333</c:v>
                      </c:pt>
                      <c:pt idx="90">
                        <c:v>#N/A</c:v>
                      </c:pt>
                      <c:pt idx="91">
                        <c:v>#N/A</c:v>
                      </c:pt>
                      <c:pt idx="92">
                        <c:v>#N/A</c:v>
                      </c:pt>
                      <c:pt idx="93">
                        <c:v>#N/A</c:v>
                      </c:pt>
                      <c:pt idx="94">
                        <c:v>#N/A</c:v>
                      </c:pt>
                      <c:pt idx="95">
                        <c:v>22.906874999999999</c:v>
                      </c:pt>
                      <c:pt idx="96">
                        <c:v>24.5879166666667</c:v>
                      </c:pt>
                      <c:pt idx="97">
                        <c:v>25.215208333333301</c:v>
                      </c:pt>
                      <c:pt idx="98">
                        <c:v>#N/A</c:v>
                      </c:pt>
                      <c:pt idx="99">
                        <c:v>#N/A</c:v>
                      </c:pt>
                      <c:pt idx="100">
                        <c:v>#N/A</c:v>
                      </c:pt>
                      <c:pt idx="101">
                        <c:v>#N/A</c:v>
                      </c:pt>
                      <c:pt idx="102">
                        <c:v>20.38625</c:v>
                      </c:pt>
                      <c:pt idx="103">
                        <c:v>21.2925</c:v>
                      </c:pt>
                      <c:pt idx="104">
                        <c:v>#N/A</c:v>
                      </c:pt>
                      <c:pt idx="105">
                        <c:v>#N/A</c:v>
                      </c:pt>
                      <c:pt idx="106">
                        <c:v>#N/A</c:v>
                      </c:pt>
                      <c:pt idx="107">
                        <c:v>#N/A</c:v>
                      </c:pt>
                      <c:pt idx="108">
                        <c:v>#N/A</c:v>
                      </c:pt>
                      <c:pt idx="109">
                        <c:v>21.893958333333298</c:v>
                      </c:pt>
                      <c:pt idx="110">
                        <c:v>20.0497916666667</c:v>
                      </c:pt>
                      <c:pt idx="111">
                        <c:v>#N/A</c:v>
                      </c:pt>
                      <c:pt idx="112">
                        <c:v>#N/A</c:v>
                      </c:pt>
                      <c:pt idx="113">
                        <c:v>#N/A</c:v>
                      </c:pt>
                      <c:pt idx="114">
                        <c:v>#N/A</c:v>
                      </c:pt>
                      <c:pt idx="115">
                        <c:v>#N/A</c:v>
                      </c:pt>
                      <c:pt idx="116">
                        <c:v>21.6145833333333</c:v>
                      </c:pt>
                      <c:pt idx="117">
                        <c:v>23.38</c:v>
                      </c:pt>
                      <c:pt idx="118">
                        <c:v>#N/A</c:v>
                      </c:pt>
                      <c:pt idx="119">
                        <c:v>#N/A</c:v>
                      </c:pt>
                      <c:pt idx="120">
                        <c:v>#N/A</c:v>
                      </c:pt>
                      <c:pt idx="121">
                        <c:v>#N/A</c:v>
                      </c:pt>
                      <c:pt idx="122">
                        <c:v>#N/A</c:v>
                      </c:pt>
                      <c:pt idx="123">
                        <c:v>21.9791666666667</c:v>
                      </c:pt>
                      <c:pt idx="124">
                        <c:v>25.141666666666701</c:v>
                      </c:pt>
                      <c:pt idx="125">
                        <c:v>24.996458333333301</c:v>
                      </c:pt>
                      <c:pt idx="126">
                        <c:v>#N/A</c:v>
                      </c:pt>
                      <c:pt idx="127">
                        <c:v>#N/A</c:v>
                      </c:pt>
                      <c:pt idx="128">
                        <c:v>#N/A</c:v>
                      </c:pt>
                      <c:pt idx="129">
                        <c:v>#N/A</c:v>
                      </c:pt>
                      <c:pt idx="130">
                        <c:v>13.8025</c:v>
                      </c:pt>
                      <c:pt idx="131">
                        <c:v>12.414999999999999</c:v>
                      </c:pt>
                      <c:pt idx="132">
                        <c:v>#N/A</c:v>
                      </c:pt>
                      <c:pt idx="133">
                        <c:v>#N/A</c:v>
                      </c:pt>
                      <c:pt idx="134">
                        <c:v>#N/A</c:v>
                      </c:pt>
                      <c:pt idx="135">
                        <c:v>#N/A</c:v>
                      </c:pt>
                      <c:pt idx="136">
                        <c:v>#N/A</c:v>
                      </c:pt>
                      <c:pt idx="137">
                        <c:v>22.033333333333299</c:v>
                      </c:pt>
                      <c:pt idx="138">
                        <c:v>22.170833333333299</c:v>
                      </c:pt>
                      <c:pt idx="139">
                        <c:v>#N/A</c:v>
                      </c:pt>
                      <c:pt idx="140">
                        <c:v>#N/A</c:v>
                      </c:pt>
                      <c:pt idx="141">
                        <c:v>#N/A</c:v>
                      </c:pt>
                      <c:pt idx="142">
                        <c:v>#N/A</c:v>
                      </c:pt>
                      <c:pt idx="143">
                        <c:v>#N/A</c:v>
                      </c:pt>
                      <c:pt idx="144">
                        <c:v>11.404166666666701</c:v>
                      </c:pt>
                      <c:pt idx="145">
                        <c:v>11.920833333333301</c:v>
                      </c:pt>
                      <c:pt idx="146">
                        <c:v>#N/A</c:v>
                      </c:pt>
                      <c:pt idx="147">
                        <c:v>#N/A</c:v>
                      </c:pt>
                      <c:pt idx="148">
                        <c:v>#N/A</c:v>
                      </c:pt>
                      <c:pt idx="149">
                        <c:v>#N/A</c:v>
                      </c:pt>
                      <c:pt idx="150">
                        <c:v>#N/A</c:v>
                      </c:pt>
                      <c:pt idx="151">
                        <c:v>10.548541666666701</c:v>
                      </c:pt>
                      <c:pt idx="152">
                        <c:v>10.096458333333301</c:v>
                      </c:pt>
                      <c:pt idx="153">
                        <c:v>#N/A</c:v>
                      </c:pt>
                      <c:pt idx="154">
                        <c:v>#N/A</c:v>
                      </c:pt>
                      <c:pt idx="155">
                        <c:v>#N/A</c:v>
                      </c:pt>
                      <c:pt idx="156">
                        <c:v>#N/A</c:v>
                      </c:pt>
                      <c:pt idx="157">
                        <c:v>#N/A</c:v>
                      </c:pt>
                      <c:pt idx="158">
                        <c:v>16.214166666666699</c:v>
                      </c:pt>
                      <c:pt idx="159">
                        <c:v>14.192083333333301</c:v>
                      </c:pt>
                      <c:pt idx="160">
                        <c:v>17.987083333333299</c:v>
                      </c:pt>
                      <c:pt idx="161">
                        <c:v>#N/A</c:v>
                      </c:pt>
                      <c:pt idx="162">
                        <c:v>#N/A</c:v>
                      </c:pt>
                      <c:pt idx="163">
                        <c:v>#N/A</c:v>
                      </c:pt>
                      <c:pt idx="164">
                        <c:v>#N/A</c:v>
                      </c:pt>
                      <c:pt idx="165">
                        <c:v>5.4858333333333302</c:v>
                      </c:pt>
                      <c:pt idx="166">
                        <c:v>6.7829166666666696</c:v>
                      </c:pt>
                      <c:pt idx="167">
                        <c:v>#N/A</c:v>
                      </c:pt>
                      <c:pt idx="168">
                        <c:v>#N/A</c:v>
                      </c:pt>
                      <c:pt idx="169">
                        <c:v>#N/A</c:v>
                      </c:pt>
                      <c:pt idx="170">
                        <c:v>#N/A</c:v>
                      </c:pt>
                      <c:pt idx="171">
                        <c:v>#N/A</c:v>
                      </c:pt>
                      <c:pt idx="172">
                        <c:v>6.6777083333333298</c:v>
                      </c:pt>
                      <c:pt idx="173">
                        <c:v>2.5506250000000001</c:v>
                      </c:pt>
                      <c:pt idx="174">
                        <c:v>#N/A</c:v>
                      </c:pt>
                      <c:pt idx="175">
                        <c:v>#N/A</c:v>
                      </c:pt>
                      <c:pt idx="176">
                        <c:v>#N/A</c:v>
                      </c:pt>
                      <c:pt idx="177">
                        <c:v>#N/A</c:v>
                      </c:pt>
                      <c:pt idx="178">
                        <c:v>#N/A</c:v>
                      </c:pt>
                      <c:pt idx="179">
                        <c:v>3.5408333333333299</c:v>
                      </c:pt>
                      <c:pt idx="180">
                        <c:v>3.7372916666666698</c:v>
                      </c:pt>
                      <c:pt idx="181">
                        <c:v>#N/A</c:v>
                      </c:pt>
                      <c:pt idx="182">
                        <c:v>#N/A</c:v>
                      </c:pt>
                      <c:pt idx="183">
                        <c:v>#N/A</c:v>
                      </c:pt>
                    </c:numCache>
                  </c:numRef>
                </c:yVal>
                <c:smooth val="0"/>
                <c:extLst xmlns:c15="http://schemas.microsoft.com/office/drawing/2012/chart">
                  <c:ext xmlns:c16="http://schemas.microsoft.com/office/drawing/2014/chart" uri="{C3380CC4-5D6E-409C-BE32-E72D297353CC}">
                    <c16:uniqueId val="{0000000B-2F0F-4832-AEF0-F530AFA34BE1}"/>
                  </c:ext>
                </c:extLst>
              </c15:ser>
            </c15:filteredScatterSeries>
          </c:ext>
        </c:extLst>
      </c:scatterChart>
      <c:valAx>
        <c:axId val="717536232"/>
        <c:scaling>
          <c:orientation val="minMax"/>
          <c:max val="43404"/>
          <c:min val="43221"/>
        </c:scaling>
        <c:delete val="0"/>
        <c:axPos val="b"/>
        <c:majorGridlines>
          <c:spPr>
            <a:ln w="9525" cap="flat" cmpd="sng" algn="ctr">
              <a:solidFill>
                <a:schemeClr val="tx1">
                  <a:lumMod val="15000"/>
                  <a:lumOff val="85000"/>
                </a:schemeClr>
              </a:solidFill>
              <a:round/>
            </a:ln>
            <a:effectLst/>
          </c:spPr>
        </c:majorGridlines>
        <c:numFmt formatCode="[$-409]d\-mmm;@"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17534920"/>
        <c:crosses val="autoZero"/>
        <c:crossBetween val="midCat"/>
      </c:valAx>
      <c:valAx>
        <c:axId val="717534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a:t>Degrees C</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71753623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Navigant 2016 Rev">
      <a:dk1>
        <a:sysClr val="windowText" lastClr="000000"/>
      </a:dk1>
      <a:lt1>
        <a:sysClr val="window" lastClr="FFFFFF"/>
      </a:lt1>
      <a:dk2>
        <a:srgbClr val="555759"/>
      </a:dk2>
      <a:lt2>
        <a:srgbClr val="F2F2F2"/>
      </a:lt2>
      <a:accent1>
        <a:srgbClr val="95D600"/>
      </a:accent1>
      <a:accent2>
        <a:srgbClr val="648C1A"/>
      </a:accent2>
      <a:accent3>
        <a:srgbClr val="0093C9"/>
      </a:accent3>
      <a:accent4>
        <a:srgbClr val="FFB718"/>
      </a:accent4>
      <a:accent5>
        <a:srgbClr val="F07B05"/>
      </a:accent5>
      <a:accent6>
        <a:srgbClr val="AC0040"/>
      </a:accent6>
      <a:hlink>
        <a:srgbClr val="006579"/>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Navigant">
    <a:dk1>
      <a:srgbClr val="555759"/>
    </a:dk1>
    <a:lt1>
      <a:sysClr val="window" lastClr="FFFFFF"/>
    </a:lt1>
    <a:dk2>
      <a:srgbClr val="555759"/>
    </a:dk2>
    <a:lt2>
      <a:srgbClr val="FFFFFF"/>
    </a:lt2>
    <a:accent1>
      <a:srgbClr val="555759"/>
    </a:accent1>
    <a:accent2>
      <a:srgbClr val="95D600"/>
    </a:accent2>
    <a:accent3>
      <a:srgbClr val="0093C9"/>
    </a:accent3>
    <a:accent4>
      <a:srgbClr val="FFB718"/>
    </a:accent4>
    <a:accent5>
      <a:srgbClr val="E53C2E"/>
    </a:accent5>
    <a:accent6>
      <a:srgbClr val="8B189B"/>
    </a:accent6>
    <a:hlink>
      <a:srgbClr val="85D206"/>
    </a:hlink>
    <a:folHlink>
      <a:srgbClr val="648C1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BB92D-787F-4BDE-B5E0-CBB9B6538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Energy_Report Template_01-27-16.dotx</Template>
  <TotalTime>1</TotalTime>
  <Pages>10</Pages>
  <Words>2909</Words>
  <Characters>16310</Characters>
  <Application>Microsoft Office Word</Application>
  <DocSecurity>0</DocSecurity>
  <Lines>815</Lines>
  <Paragraphs>492</Paragraphs>
  <ScaleCrop>false</ScaleCrop>
  <HeadingPairs>
    <vt:vector size="2" baseType="variant">
      <vt:variant>
        <vt:lpstr>Title</vt:lpstr>
      </vt:variant>
      <vt:variant>
        <vt:i4>1</vt:i4>
      </vt:variant>
    </vt:vector>
  </HeadingPairs>
  <TitlesOfParts>
    <vt:vector size="1" baseType="lpstr">
      <vt:lpstr>[DOCUMENT TITLE]</vt:lpstr>
    </vt:vector>
  </TitlesOfParts>
  <Company>Navigant Consulting Inc.</Company>
  <LinksUpToDate>false</LinksUpToDate>
  <CharactersWithSpaces>18727</CharactersWithSpaces>
  <SharedDoc>false</SharedDoc>
  <HLinks>
    <vt:vector size="60" baseType="variant">
      <vt:variant>
        <vt:i4>1966139</vt:i4>
      </vt:variant>
      <vt:variant>
        <vt:i4>56</vt:i4>
      </vt:variant>
      <vt:variant>
        <vt:i4>0</vt:i4>
      </vt:variant>
      <vt:variant>
        <vt:i4>5</vt:i4>
      </vt:variant>
      <vt:variant>
        <vt:lpwstr/>
      </vt:variant>
      <vt:variant>
        <vt:lpwstr>_Toc145987735</vt:lpwstr>
      </vt:variant>
      <vt:variant>
        <vt:i4>1966139</vt:i4>
      </vt:variant>
      <vt:variant>
        <vt:i4>50</vt:i4>
      </vt:variant>
      <vt:variant>
        <vt:i4>0</vt:i4>
      </vt:variant>
      <vt:variant>
        <vt:i4>5</vt:i4>
      </vt:variant>
      <vt:variant>
        <vt:lpwstr/>
      </vt:variant>
      <vt:variant>
        <vt:lpwstr>_Toc145987734</vt:lpwstr>
      </vt:variant>
      <vt:variant>
        <vt:i4>1966139</vt:i4>
      </vt:variant>
      <vt:variant>
        <vt:i4>44</vt:i4>
      </vt:variant>
      <vt:variant>
        <vt:i4>0</vt:i4>
      </vt:variant>
      <vt:variant>
        <vt:i4>5</vt:i4>
      </vt:variant>
      <vt:variant>
        <vt:lpwstr/>
      </vt:variant>
      <vt:variant>
        <vt:lpwstr>_Toc145987733</vt:lpwstr>
      </vt:variant>
      <vt:variant>
        <vt:i4>1966139</vt:i4>
      </vt:variant>
      <vt:variant>
        <vt:i4>38</vt:i4>
      </vt:variant>
      <vt:variant>
        <vt:i4>0</vt:i4>
      </vt:variant>
      <vt:variant>
        <vt:i4>5</vt:i4>
      </vt:variant>
      <vt:variant>
        <vt:lpwstr/>
      </vt:variant>
      <vt:variant>
        <vt:lpwstr>_Toc145987732</vt:lpwstr>
      </vt:variant>
      <vt:variant>
        <vt:i4>1966139</vt:i4>
      </vt:variant>
      <vt:variant>
        <vt:i4>32</vt:i4>
      </vt:variant>
      <vt:variant>
        <vt:i4>0</vt:i4>
      </vt:variant>
      <vt:variant>
        <vt:i4>5</vt:i4>
      </vt:variant>
      <vt:variant>
        <vt:lpwstr/>
      </vt:variant>
      <vt:variant>
        <vt:lpwstr>_Toc145987731</vt:lpwstr>
      </vt:variant>
      <vt:variant>
        <vt:i4>1966139</vt:i4>
      </vt:variant>
      <vt:variant>
        <vt:i4>26</vt:i4>
      </vt:variant>
      <vt:variant>
        <vt:i4>0</vt:i4>
      </vt:variant>
      <vt:variant>
        <vt:i4>5</vt:i4>
      </vt:variant>
      <vt:variant>
        <vt:lpwstr/>
      </vt:variant>
      <vt:variant>
        <vt:lpwstr>_Toc145987730</vt:lpwstr>
      </vt:variant>
      <vt:variant>
        <vt:i4>2031675</vt:i4>
      </vt:variant>
      <vt:variant>
        <vt:i4>20</vt:i4>
      </vt:variant>
      <vt:variant>
        <vt:i4>0</vt:i4>
      </vt:variant>
      <vt:variant>
        <vt:i4>5</vt:i4>
      </vt:variant>
      <vt:variant>
        <vt:lpwstr/>
      </vt:variant>
      <vt:variant>
        <vt:lpwstr>_Toc145987729</vt:lpwstr>
      </vt:variant>
      <vt:variant>
        <vt:i4>2031675</vt:i4>
      </vt:variant>
      <vt:variant>
        <vt:i4>14</vt:i4>
      </vt:variant>
      <vt:variant>
        <vt:i4>0</vt:i4>
      </vt:variant>
      <vt:variant>
        <vt:i4>5</vt:i4>
      </vt:variant>
      <vt:variant>
        <vt:lpwstr/>
      </vt:variant>
      <vt:variant>
        <vt:lpwstr>_Toc145987728</vt:lpwstr>
      </vt:variant>
      <vt:variant>
        <vt:i4>2031675</vt:i4>
      </vt:variant>
      <vt:variant>
        <vt:i4>8</vt:i4>
      </vt:variant>
      <vt:variant>
        <vt:i4>0</vt:i4>
      </vt:variant>
      <vt:variant>
        <vt:i4>5</vt:i4>
      </vt:variant>
      <vt:variant>
        <vt:lpwstr/>
      </vt:variant>
      <vt:variant>
        <vt:lpwstr>_Toc145987727</vt:lpwstr>
      </vt:variant>
      <vt:variant>
        <vt:i4>2031675</vt:i4>
      </vt:variant>
      <vt:variant>
        <vt:i4>2</vt:i4>
      </vt:variant>
      <vt:variant>
        <vt:i4>0</vt:i4>
      </vt:variant>
      <vt:variant>
        <vt:i4>5</vt:i4>
      </vt:variant>
      <vt:variant>
        <vt:lpwstr/>
      </vt:variant>
      <vt:variant>
        <vt:lpwstr>_Toc145987726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Peter Steele-Mosey</dc:creator>
  <cp:lastModifiedBy>Peter Steele-Mosey</cp:lastModifiedBy>
  <cp:revision>2</cp:revision>
  <cp:lastPrinted>2012-12-13T16:54:00Z</cp:lastPrinted>
  <dcterms:created xsi:type="dcterms:W3CDTF">2020-04-21T13:28:00Z</dcterms:created>
  <dcterms:modified xsi:type="dcterms:W3CDTF">2020-04-21T13:28:00Z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WinEqns">
    <vt:bool>true</vt:bool>
  </property>
  <property fmtid="{D5CDD505-2E9C-101B-9397-08002B2CF9AE}" pid="4" name="MTEquationNumber2">
    <vt:lpwstr>(#E1)</vt:lpwstr>
  </property>
</Properties>
</file>