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AD778" w14:textId="557B9195" w:rsidR="00C95F7C" w:rsidRPr="00BF20CF" w:rsidRDefault="00C95F7C" w:rsidP="003041BF">
      <w:pPr>
        <w:autoSpaceDE w:val="0"/>
        <w:autoSpaceDN w:val="0"/>
        <w:adjustRightInd w:val="0"/>
        <w:spacing w:before="240" w:after="120" w:line="276" w:lineRule="auto"/>
        <w:rPr>
          <w:rFonts w:ascii="Arial" w:hAnsi="Arial" w:cs="Arial"/>
          <w:b/>
        </w:rPr>
      </w:pPr>
      <w:r w:rsidRPr="00BF20CF">
        <w:rPr>
          <w:rFonts w:ascii="Arial" w:hAnsi="Arial" w:cs="Arial"/>
          <w:b/>
        </w:rPr>
        <w:t>Exhibit 1 - Administration</w:t>
      </w:r>
    </w:p>
    <w:p w14:paraId="33031DBC" w14:textId="69E0110C" w:rsidR="00D8452D" w:rsidRPr="00BF20CF" w:rsidRDefault="00963D72" w:rsidP="003041BF">
      <w:pPr>
        <w:autoSpaceDE w:val="0"/>
        <w:autoSpaceDN w:val="0"/>
        <w:adjustRightInd w:val="0"/>
        <w:spacing w:before="240" w:after="120" w:line="276" w:lineRule="auto"/>
        <w:rPr>
          <w:rFonts w:ascii="Arial" w:hAnsi="Arial" w:cs="Arial"/>
          <w:b/>
        </w:rPr>
      </w:pPr>
      <w:r w:rsidRPr="00BF20CF">
        <w:rPr>
          <w:rFonts w:ascii="Arial" w:hAnsi="Arial" w:cs="Arial"/>
          <w:b/>
        </w:rPr>
        <w:t>Custom Incentive Rate-Setting Framework</w:t>
      </w:r>
    </w:p>
    <w:p w14:paraId="2F95EE1B" w14:textId="0A2C4239" w:rsidR="007509C7" w:rsidRPr="00BF20CF" w:rsidRDefault="007509C7" w:rsidP="003041BF">
      <w:pPr>
        <w:autoSpaceDE w:val="0"/>
        <w:autoSpaceDN w:val="0"/>
        <w:adjustRightInd w:val="0"/>
        <w:spacing w:before="240" w:after="120" w:line="276" w:lineRule="auto"/>
        <w:rPr>
          <w:rFonts w:ascii="Arial" w:hAnsi="Arial" w:cs="Arial"/>
          <w:b/>
        </w:rPr>
      </w:pPr>
      <w:r w:rsidRPr="00BF20CF">
        <w:rPr>
          <w:rFonts w:ascii="Arial" w:hAnsi="Arial" w:cs="Arial"/>
          <w:b/>
        </w:rPr>
        <w:t>Specific Relief Requested</w:t>
      </w:r>
    </w:p>
    <w:p w14:paraId="476AD5E4" w14:textId="7E05AFB5"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t xml:space="preserve">1-Staff-1  </w:t>
      </w:r>
    </w:p>
    <w:p w14:paraId="689C5ABA" w14:textId="0553E25E" w:rsidR="007509C7" w:rsidRPr="00BF20CF" w:rsidRDefault="007509C7" w:rsidP="003041BF">
      <w:pPr>
        <w:spacing w:after="160" w:line="259"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r>
      <w:r w:rsidR="000728E5" w:rsidRPr="00BF20CF">
        <w:rPr>
          <w:rFonts w:ascii="Arial" w:eastAsia="Calibri" w:hAnsi="Arial" w:cs="Arial"/>
          <w:b/>
        </w:rPr>
        <w:t xml:space="preserve">Updated </w:t>
      </w:r>
      <w:r w:rsidRPr="00BF20CF">
        <w:rPr>
          <w:rFonts w:ascii="Arial" w:eastAsia="Calibri" w:hAnsi="Arial" w:cs="Arial"/>
          <w:b/>
        </w:rPr>
        <w:t>Exhibit 1/Tab 1/Schedule 4/pp. 1</w:t>
      </w:r>
      <w:r w:rsidR="000728E5" w:rsidRPr="00BF20CF">
        <w:rPr>
          <w:rFonts w:ascii="Arial" w:eastAsia="Calibri" w:hAnsi="Arial" w:cs="Arial"/>
          <w:b/>
        </w:rPr>
        <w:t>2</w:t>
      </w:r>
      <w:r w:rsidRPr="00BF20CF">
        <w:rPr>
          <w:rFonts w:ascii="Arial" w:eastAsia="Calibri" w:hAnsi="Arial" w:cs="Arial"/>
          <w:b/>
        </w:rPr>
        <w:t>-</w:t>
      </w:r>
      <w:r w:rsidR="000728E5" w:rsidRPr="00BF20CF">
        <w:rPr>
          <w:rFonts w:ascii="Arial" w:eastAsia="Calibri" w:hAnsi="Arial" w:cs="Arial"/>
          <w:b/>
        </w:rPr>
        <w:t>14</w:t>
      </w:r>
      <w:r w:rsidRPr="00BF20CF">
        <w:rPr>
          <w:rFonts w:ascii="Arial" w:eastAsia="Calibri" w:hAnsi="Arial" w:cs="Arial"/>
          <w:b/>
        </w:rPr>
        <w:br/>
      </w:r>
      <w:r w:rsidRPr="00BF20CF">
        <w:rPr>
          <w:rFonts w:ascii="Arial" w:eastAsia="Calibri" w:hAnsi="Arial" w:cs="Arial"/>
          <w:b/>
        </w:rPr>
        <w:tab/>
        <w:t xml:space="preserve">Exhibit 8/Tab 10/Schedule 1/Attachment </w:t>
      </w:r>
      <w:proofErr w:type="gramStart"/>
      <w:r w:rsidRPr="00BF20CF">
        <w:rPr>
          <w:rFonts w:ascii="Arial" w:eastAsia="Calibri" w:hAnsi="Arial" w:cs="Arial"/>
          <w:b/>
        </w:rPr>
        <w:t>A</w:t>
      </w:r>
      <w:proofErr w:type="gramEnd"/>
      <w:r w:rsidRPr="00BF20CF">
        <w:rPr>
          <w:rFonts w:ascii="Arial" w:eastAsia="Calibri" w:hAnsi="Arial" w:cs="Arial"/>
          <w:b/>
        </w:rPr>
        <w:br/>
      </w:r>
      <w:r w:rsidRPr="00BF20CF">
        <w:rPr>
          <w:rFonts w:ascii="Arial" w:eastAsia="Calibri" w:hAnsi="Arial" w:cs="Arial"/>
          <w:b/>
        </w:rPr>
        <w:tab/>
        <w:t>Exhibit 8/Tab 10/Schedule 1/Attachment B</w:t>
      </w:r>
    </w:p>
    <w:p w14:paraId="515175AC" w14:textId="77777777" w:rsidR="007509C7" w:rsidRPr="00BF20CF" w:rsidRDefault="007509C7" w:rsidP="003041BF">
      <w:pPr>
        <w:spacing w:after="160" w:line="259" w:lineRule="auto"/>
        <w:rPr>
          <w:rFonts w:ascii="Arial" w:eastAsia="Calibri" w:hAnsi="Arial" w:cs="Arial"/>
        </w:rPr>
      </w:pPr>
      <w:r w:rsidRPr="00BF20CF">
        <w:rPr>
          <w:rFonts w:ascii="Arial" w:eastAsia="Calibri" w:hAnsi="Arial" w:cs="Arial"/>
        </w:rPr>
        <w:t>Preamble:</w:t>
      </w:r>
    </w:p>
    <w:p w14:paraId="3D1C3B19"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In section 16 of Exhibit 1/Tab 1/Schedule 4, Hydro Ottawa lists the specific approvals that it is seeking in this application (the Application). The first three of these are:</w:t>
      </w:r>
    </w:p>
    <w:p w14:paraId="7F141255" w14:textId="03FD6E00" w:rsidR="007509C7" w:rsidRPr="00BF20CF" w:rsidRDefault="007509C7" w:rsidP="00876E97">
      <w:pPr>
        <w:numPr>
          <w:ilvl w:val="0"/>
          <w:numId w:val="41"/>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Approval of 2021-2025 revenue requirement, as proposed in </w:t>
      </w:r>
      <w:r w:rsidR="000728E5" w:rsidRPr="00BF20CF">
        <w:rPr>
          <w:rFonts w:ascii="Arial" w:hAnsi="Arial" w:cs="Arial"/>
          <w:lang w:val="en-CA"/>
        </w:rPr>
        <w:t xml:space="preserve">UPDATED </w:t>
      </w:r>
      <w:r w:rsidRPr="00BF20CF">
        <w:rPr>
          <w:rFonts w:ascii="Arial" w:hAnsi="Arial" w:cs="Arial"/>
          <w:lang w:val="en-CA"/>
        </w:rPr>
        <w:t>Exhibit 6-1-1: Calculation of Revenue Deficiency or Sufficiency;</w:t>
      </w:r>
    </w:p>
    <w:p w14:paraId="4010486E" w14:textId="28AC0A24" w:rsidR="007509C7" w:rsidRPr="00BF20CF" w:rsidRDefault="007509C7" w:rsidP="00876E97">
      <w:pPr>
        <w:numPr>
          <w:ilvl w:val="0"/>
          <w:numId w:val="41"/>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Approval of 2021 distribution rates and charges, effective January 1, 2021, as proposed in </w:t>
      </w:r>
      <w:r w:rsidR="000728E5" w:rsidRPr="00BF20CF">
        <w:rPr>
          <w:rFonts w:ascii="Arial" w:hAnsi="Arial" w:cs="Arial"/>
          <w:lang w:val="en-CA"/>
        </w:rPr>
        <w:t xml:space="preserve">UPDATED </w:t>
      </w:r>
      <w:r w:rsidRPr="00BF20CF">
        <w:rPr>
          <w:rFonts w:ascii="Arial" w:hAnsi="Arial" w:cs="Arial"/>
          <w:lang w:val="en-CA"/>
        </w:rPr>
        <w:t>Exhibit 8-10-1: Current and Proposed Tariff of Rates and Charges;</w:t>
      </w:r>
    </w:p>
    <w:p w14:paraId="4BB7800C" w14:textId="39FFDD55" w:rsidR="007509C7" w:rsidRPr="00BF20CF" w:rsidRDefault="007509C7" w:rsidP="00876E97">
      <w:pPr>
        <w:numPr>
          <w:ilvl w:val="0"/>
          <w:numId w:val="41"/>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Approval of the Custom IR rate-setting formula and related elements for 2022-2025 distribution rates and charges, as proposed in</w:t>
      </w:r>
      <w:r w:rsidR="000728E5" w:rsidRPr="00BF20CF">
        <w:rPr>
          <w:rFonts w:ascii="Arial" w:hAnsi="Arial" w:cs="Arial"/>
          <w:lang w:val="en-CA"/>
        </w:rPr>
        <w:t xml:space="preserve"> UPDATED</w:t>
      </w:r>
      <w:r w:rsidRPr="00BF20CF">
        <w:rPr>
          <w:rFonts w:ascii="Arial" w:hAnsi="Arial" w:cs="Arial"/>
          <w:lang w:val="en-CA"/>
        </w:rPr>
        <w:t xml:space="preserve"> Exhibit 1-1-10: Alignment with the Renewed Regulatory Framework;</w:t>
      </w:r>
    </w:p>
    <w:p w14:paraId="59B82F43" w14:textId="77777777" w:rsidR="007509C7" w:rsidRPr="00BF20CF" w:rsidRDefault="007509C7" w:rsidP="003041BF">
      <w:pPr>
        <w:autoSpaceDE w:val="0"/>
        <w:autoSpaceDN w:val="0"/>
        <w:adjustRightInd w:val="0"/>
        <w:spacing w:before="240" w:after="120" w:line="276" w:lineRule="auto"/>
        <w:ind w:left="720"/>
        <w:contextualSpacing/>
        <w:rPr>
          <w:rFonts w:ascii="Arial" w:hAnsi="Arial" w:cs="Arial"/>
          <w:lang w:val="en-CA"/>
        </w:rPr>
      </w:pPr>
      <w:r w:rsidRPr="00BF20CF">
        <w:rPr>
          <w:rFonts w:ascii="Arial" w:hAnsi="Arial" w:cs="Arial"/>
          <w:lang w:val="en-CA"/>
        </w:rPr>
        <w:t>…</w:t>
      </w:r>
    </w:p>
    <w:p w14:paraId="09FA148E"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In its Application, Hydro Ottawa has forecasted the OM&amp;A adjustment factor, all parameters of the cost of capital, the capital expenditures and capital additions, and the load forecast for each year of the plan, and is seeking approval of these as filed with no updates during the term of the plan.</w:t>
      </w:r>
    </w:p>
    <w:p w14:paraId="59F33EB0"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As Hydro Ottawa is seeking approval of all elements of its base and service revenue requirements for each year of the plan, as well as the load forecast which serves as the billing determinants for determining distribution rates, base distribution rates would be established if Hydro Ottawa’s application is approved as filed.</w:t>
      </w:r>
    </w:p>
    <w:p w14:paraId="63B8BB21"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Hydro Ottawa has provided the draft Tariff of Rates and Charges for 2021 in Exhibit 8/Tab 10/Schedule A, and draft Tariffs of Rates and Charges for each of 2022 to 2025 in Attachment B of the same exhibit. </w:t>
      </w:r>
    </w:p>
    <w:p w14:paraId="0A41A504" w14:textId="77777777" w:rsidR="0086688A" w:rsidRPr="00BF20CF" w:rsidRDefault="0086688A" w:rsidP="003041BF">
      <w:pPr>
        <w:spacing w:before="240" w:after="120" w:line="23" w:lineRule="atLeast"/>
        <w:rPr>
          <w:rFonts w:ascii="Arial" w:eastAsia="Calibri" w:hAnsi="Arial" w:cs="Arial"/>
        </w:rPr>
      </w:pPr>
      <w:r w:rsidRPr="00BF20CF">
        <w:rPr>
          <w:rFonts w:ascii="Arial" w:eastAsia="Calibri" w:hAnsi="Arial" w:cs="Arial"/>
        </w:rPr>
        <w:br w:type="page"/>
      </w:r>
    </w:p>
    <w:p w14:paraId="40EFCEFC" w14:textId="594D6C53" w:rsidR="007509C7" w:rsidRPr="00BF20CF" w:rsidRDefault="007509C7" w:rsidP="003041BF">
      <w:pPr>
        <w:spacing w:before="240" w:after="120" w:line="23" w:lineRule="atLeast"/>
        <w:rPr>
          <w:rFonts w:ascii="Arial" w:eastAsia="Calibri" w:hAnsi="Arial" w:cs="Arial"/>
        </w:rPr>
      </w:pPr>
      <w:r w:rsidRPr="00BF20CF">
        <w:rPr>
          <w:rFonts w:ascii="Arial" w:eastAsia="Calibri" w:hAnsi="Arial" w:cs="Arial"/>
        </w:rPr>
        <w:lastRenderedPageBreak/>
        <w:t>Question</w:t>
      </w:r>
      <w:r w:rsidR="00996121" w:rsidRPr="00BF20CF">
        <w:rPr>
          <w:rFonts w:ascii="Arial" w:eastAsia="Calibri" w:hAnsi="Arial" w:cs="Arial"/>
        </w:rPr>
        <w:t>(</w:t>
      </w:r>
      <w:r w:rsidRPr="00BF20CF">
        <w:rPr>
          <w:rFonts w:ascii="Arial" w:eastAsia="Calibri" w:hAnsi="Arial" w:cs="Arial"/>
        </w:rPr>
        <w:t>s</w:t>
      </w:r>
      <w:r w:rsidR="00996121" w:rsidRPr="00BF20CF">
        <w:rPr>
          <w:rFonts w:ascii="Arial" w:eastAsia="Calibri" w:hAnsi="Arial" w:cs="Arial"/>
        </w:rPr>
        <w:t>)</w:t>
      </w:r>
      <w:r w:rsidRPr="00BF20CF">
        <w:rPr>
          <w:rFonts w:ascii="Arial" w:eastAsia="Calibri" w:hAnsi="Arial" w:cs="Arial"/>
        </w:rPr>
        <w:t>:</w:t>
      </w:r>
    </w:p>
    <w:p w14:paraId="4AE465E6" w14:textId="636097A6" w:rsidR="007509C7" w:rsidRPr="00BF20CF" w:rsidRDefault="007509C7" w:rsidP="00876E97">
      <w:pPr>
        <w:numPr>
          <w:ilvl w:val="0"/>
          <w:numId w:val="42"/>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explain the reason for only seeking approval of the 2021 Tariff of Rates and Charges in this Application.</w:t>
      </w:r>
    </w:p>
    <w:p w14:paraId="0BA694D9" w14:textId="77777777" w:rsidR="0086688A" w:rsidRPr="00BF20CF" w:rsidRDefault="0086688A" w:rsidP="0086688A">
      <w:pPr>
        <w:autoSpaceDE w:val="0"/>
        <w:autoSpaceDN w:val="0"/>
        <w:adjustRightInd w:val="0"/>
        <w:spacing w:before="240" w:after="120" w:line="276" w:lineRule="auto"/>
        <w:ind w:left="720"/>
        <w:contextualSpacing/>
        <w:rPr>
          <w:rFonts w:ascii="Arial" w:hAnsi="Arial" w:cs="Arial"/>
          <w:lang w:val="en-CA"/>
        </w:rPr>
      </w:pPr>
    </w:p>
    <w:p w14:paraId="372605EB" w14:textId="77777777" w:rsidR="007509C7" w:rsidRPr="00BF20CF" w:rsidRDefault="007509C7" w:rsidP="00876E97">
      <w:pPr>
        <w:numPr>
          <w:ilvl w:val="0"/>
          <w:numId w:val="42"/>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Does Hydro Ottawa contemplate that it will be filing a rate application each year to deal with matters such a Group 1 Deferral and Variance Account balances and dispositions? </w:t>
      </w:r>
    </w:p>
    <w:p w14:paraId="48BDC849" w14:textId="40AC4383" w:rsidR="007509C7" w:rsidRPr="00BF20CF" w:rsidRDefault="007509C7" w:rsidP="00876E97">
      <w:pPr>
        <w:numPr>
          <w:ilvl w:val="0"/>
          <w:numId w:val="81"/>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If not, please explain why not.</w:t>
      </w:r>
    </w:p>
    <w:p w14:paraId="2BA6DDD2" w14:textId="77777777" w:rsidR="0086688A" w:rsidRPr="00BF20CF" w:rsidRDefault="0086688A" w:rsidP="00303070">
      <w:pPr>
        <w:autoSpaceDE w:val="0"/>
        <w:autoSpaceDN w:val="0"/>
        <w:adjustRightInd w:val="0"/>
        <w:spacing w:before="240" w:after="120" w:line="276" w:lineRule="auto"/>
        <w:ind w:left="720"/>
        <w:contextualSpacing/>
        <w:rPr>
          <w:rFonts w:ascii="Arial" w:hAnsi="Arial" w:cs="Arial"/>
          <w:lang w:val="en-CA"/>
        </w:rPr>
      </w:pPr>
    </w:p>
    <w:p w14:paraId="33B97009" w14:textId="1925C791" w:rsidR="007509C7" w:rsidRPr="00BF20CF" w:rsidRDefault="007509C7" w:rsidP="00876E97">
      <w:pPr>
        <w:numPr>
          <w:ilvl w:val="0"/>
          <w:numId w:val="42"/>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If Hydro Ottawa does contemplate filing annual rate applications, please identify what rate-setting matters would be reviewed in those applications.</w:t>
      </w:r>
    </w:p>
    <w:p w14:paraId="5965D639" w14:textId="77777777" w:rsidR="0086688A" w:rsidRPr="00BF20CF" w:rsidRDefault="0086688A" w:rsidP="0086688A">
      <w:pPr>
        <w:autoSpaceDE w:val="0"/>
        <w:autoSpaceDN w:val="0"/>
        <w:adjustRightInd w:val="0"/>
        <w:spacing w:before="240" w:after="120" w:line="276" w:lineRule="auto"/>
        <w:ind w:left="720"/>
        <w:contextualSpacing/>
        <w:rPr>
          <w:rFonts w:ascii="Arial" w:hAnsi="Arial" w:cs="Arial"/>
          <w:lang w:val="en-CA"/>
        </w:rPr>
      </w:pPr>
    </w:p>
    <w:p w14:paraId="6C0BE91A" w14:textId="77777777" w:rsidR="007509C7" w:rsidRPr="00BF20CF" w:rsidRDefault="007509C7" w:rsidP="00876E97">
      <w:pPr>
        <w:numPr>
          <w:ilvl w:val="0"/>
          <w:numId w:val="42"/>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If Hydro Ottawa will be making annual rate applications, please explain the rationale for approving and fixing the OM&amp;A expense factor with the forecasted inflation estimates for each year in this application.</w:t>
      </w:r>
    </w:p>
    <w:p w14:paraId="1FFA7080" w14:textId="77777777"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p>
    <w:p w14:paraId="43C95B1C" w14:textId="64907536"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t>1-Staff-2</w:t>
      </w:r>
    </w:p>
    <w:p w14:paraId="1EB91DDC" w14:textId="14D13565"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t>Ref:</w:t>
      </w:r>
      <w:r w:rsidRPr="00BF20CF">
        <w:rPr>
          <w:rFonts w:ascii="Arial" w:hAnsi="Arial" w:cs="Arial"/>
          <w:b/>
          <w:lang w:val="en-CA"/>
        </w:rPr>
        <w:tab/>
      </w:r>
      <w:r w:rsidR="000728E5" w:rsidRPr="00BF20CF">
        <w:rPr>
          <w:rFonts w:ascii="Arial" w:hAnsi="Arial" w:cs="Arial"/>
          <w:b/>
          <w:lang w:val="en-CA"/>
        </w:rPr>
        <w:t xml:space="preserve">Updated </w:t>
      </w:r>
      <w:r w:rsidRPr="00BF20CF">
        <w:rPr>
          <w:rFonts w:ascii="Arial" w:hAnsi="Arial" w:cs="Arial"/>
          <w:b/>
          <w:lang w:val="en-CA"/>
        </w:rPr>
        <w:t>Exhibit 1/Tab 1/Schedule 8</w:t>
      </w:r>
      <w:r w:rsidRPr="00BF20CF">
        <w:rPr>
          <w:rFonts w:ascii="Arial" w:hAnsi="Arial" w:cs="Arial"/>
          <w:b/>
          <w:lang w:val="en-CA"/>
        </w:rPr>
        <w:br/>
      </w:r>
      <w:r w:rsidRPr="00BF20CF">
        <w:rPr>
          <w:rFonts w:ascii="Arial" w:hAnsi="Arial" w:cs="Arial"/>
          <w:b/>
          <w:lang w:val="en-CA"/>
        </w:rPr>
        <w:tab/>
      </w:r>
      <w:r w:rsidR="000728E5" w:rsidRPr="00BF20CF">
        <w:rPr>
          <w:rFonts w:ascii="Arial" w:hAnsi="Arial" w:cs="Arial"/>
          <w:b/>
          <w:lang w:val="en-CA"/>
        </w:rPr>
        <w:t xml:space="preserve">Updated </w:t>
      </w:r>
      <w:r w:rsidRPr="00BF20CF">
        <w:rPr>
          <w:rFonts w:ascii="Arial" w:hAnsi="Arial" w:cs="Arial"/>
          <w:b/>
          <w:lang w:val="en-CA"/>
        </w:rPr>
        <w:t>Exhibit 1/Tab 1/Schedule 10</w:t>
      </w:r>
      <w:r w:rsidRPr="00BF20CF">
        <w:rPr>
          <w:rFonts w:ascii="Arial" w:hAnsi="Arial" w:cs="Arial"/>
          <w:b/>
          <w:lang w:val="en-CA"/>
        </w:rPr>
        <w:br/>
      </w:r>
      <w:r w:rsidRPr="00BF20CF">
        <w:rPr>
          <w:rFonts w:ascii="Arial" w:hAnsi="Arial" w:cs="Arial"/>
          <w:b/>
          <w:lang w:val="en-CA"/>
        </w:rPr>
        <w:tab/>
      </w:r>
    </w:p>
    <w:p w14:paraId="3EBB4ED9"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Preamble:</w:t>
      </w:r>
    </w:p>
    <w:p w14:paraId="32CCB113"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w:p>
    <w:p w14:paraId="71B2025C"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Hydro Ottawa has proposed a Custom IR plan where, after rebasing in 2021, the revenue requirement and rates for each of 2022 to 2025 would be calculated by:</w:t>
      </w:r>
    </w:p>
    <w:p w14:paraId="5511892B"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w:p>
    <w:p w14:paraId="1CC8194E" w14:textId="77777777" w:rsidR="007509C7" w:rsidRPr="00BF20CF" w:rsidRDefault="007509C7" w:rsidP="00876E97">
      <w:pPr>
        <w:numPr>
          <w:ilvl w:val="0"/>
          <w:numId w:val="6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Capital is passed through annually by updating the rate base for capital additions and removals each year, and recalculating the capital-related revenue requirement (return of capital – depreciation/amortization, return on capital and associated taxes)</w:t>
      </w:r>
    </w:p>
    <w:p w14:paraId="437F8147" w14:textId="5AAA38BF" w:rsidR="007509C7" w:rsidRPr="00BF20CF" w:rsidRDefault="007509C7" w:rsidP="00876E97">
      <w:pPr>
        <w:numPr>
          <w:ilvl w:val="0"/>
          <w:numId w:val="6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Aggregate OM&amp;A expenses are updated via a Custom </w:t>
      </w:r>
      <w:r w:rsidR="003041BF" w:rsidRPr="00BF20CF">
        <w:rPr>
          <w:rFonts w:ascii="Arial" w:hAnsi="Arial" w:cs="Arial"/>
          <w:lang w:val="en-CA"/>
        </w:rPr>
        <w:t>Price Escalator Factor</w:t>
      </w:r>
      <w:r w:rsidRPr="00BF20CF">
        <w:rPr>
          <w:rFonts w:ascii="Arial" w:hAnsi="Arial" w:cs="Arial"/>
          <w:lang w:val="en-CA"/>
        </w:rPr>
        <w:t xml:space="preserve"> (CPEF) annually for inflation less productivity plus a growth component, with:</w:t>
      </w:r>
    </w:p>
    <w:p w14:paraId="0D8F66A0" w14:textId="77777777" w:rsidR="007509C7" w:rsidRPr="00BF20CF" w:rsidRDefault="007509C7" w:rsidP="00876E97">
      <w:pPr>
        <w:numPr>
          <w:ilvl w:val="1"/>
          <w:numId w:val="6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Inflation being a custom inflation index with weights for labour and non-labour (i.e., materials) reflecting the revenue requirement weights for OM&amp;A; other than that, the inflation factor uses the same methodology as is current used for other inflation factors that the OEB has approved for electricity and gas incentive rate-setting mechanism (IRM) rate regulation</w:t>
      </w:r>
    </w:p>
    <w:p w14:paraId="5160B5D5" w14:textId="7CCD588E" w:rsidR="007509C7" w:rsidRPr="00BF20CF" w:rsidRDefault="007509C7" w:rsidP="00876E97">
      <w:pPr>
        <w:numPr>
          <w:ilvl w:val="1"/>
          <w:numId w:val="6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lastRenderedPageBreak/>
        <w:t xml:space="preserve">The X-factor, for productivity, is composed of a base productivity factor of 0%, as used by the OEB for electricity distribution (and other energy sector) IRM rate regulation, and a stretch factor. Hydro Ottawa has proposed a 0.15% stretch factor, based on the total cost benchmarking analysis of </w:t>
      </w:r>
      <w:proofErr w:type="spellStart"/>
      <w:r w:rsidRPr="00BF20CF">
        <w:rPr>
          <w:rFonts w:ascii="Arial" w:hAnsi="Arial" w:cs="Arial"/>
          <w:lang w:val="en-CA"/>
        </w:rPr>
        <w:t>Clearspring</w:t>
      </w:r>
      <w:proofErr w:type="spellEnd"/>
      <w:r w:rsidRPr="00BF20CF">
        <w:rPr>
          <w:rFonts w:ascii="Arial" w:hAnsi="Arial" w:cs="Arial"/>
          <w:lang w:val="en-CA"/>
        </w:rPr>
        <w:t xml:space="preserve"> Energy Consultants Inc. (</w:t>
      </w:r>
      <w:proofErr w:type="spellStart"/>
      <w:r w:rsidRPr="00BF20CF">
        <w:rPr>
          <w:rFonts w:ascii="Arial" w:hAnsi="Arial" w:cs="Arial"/>
          <w:lang w:val="en-CA"/>
        </w:rPr>
        <w:t>Clearspring</w:t>
      </w:r>
      <w:proofErr w:type="spellEnd"/>
      <w:r w:rsidRPr="00BF20CF">
        <w:rPr>
          <w:rFonts w:ascii="Arial" w:hAnsi="Arial" w:cs="Arial"/>
          <w:lang w:val="en-CA"/>
        </w:rPr>
        <w:t xml:space="preserve">), as documented in the Appendix to </w:t>
      </w:r>
      <w:proofErr w:type="spellStart"/>
      <w:r w:rsidRPr="00BF20CF">
        <w:rPr>
          <w:rFonts w:ascii="Arial" w:hAnsi="Arial" w:cs="Arial"/>
          <w:lang w:val="en-CA"/>
        </w:rPr>
        <w:t>Clearspring’s</w:t>
      </w:r>
      <w:proofErr w:type="spellEnd"/>
      <w:r w:rsidRPr="00BF20CF">
        <w:rPr>
          <w:rFonts w:ascii="Arial" w:hAnsi="Arial" w:cs="Arial"/>
          <w:lang w:val="en-CA"/>
        </w:rPr>
        <w:t xml:space="preserve"> evidence, ex</w:t>
      </w:r>
      <w:r w:rsidR="00E65BF2" w:rsidRPr="00BF20CF">
        <w:rPr>
          <w:rFonts w:ascii="Arial" w:hAnsi="Arial" w:cs="Arial"/>
          <w:lang w:val="en-CA"/>
        </w:rPr>
        <w:t>c</w:t>
      </w:r>
      <w:r w:rsidRPr="00BF20CF">
        <w:rPr>
          <w:rFonts w:ascii="Arial" w:hAnsi="Arial" w:cs="Arial"/>
          <w:lang w:val="en-CA"/>
        </w:rPr>
        <w:t xml:space="preserve">luding the two “generational” (capital) projects of Facilities Renewal and the Cambrian municipal transformer station (MTS). This is in contrast to </w:t>
      </w:r>
      <w:proofErr w:type="spellStart"/>
      <w:r w:rsidRPr="00BF20CF">
        <w:rPr>
          <w:rFonts w:ascii="Arial" w:hAnsi="Arial" w:cs="Arial"/>
          <w:lang w:val="en-CA"/>
        </w:rPr>
        <w:t>Clearspring’s</w:t>
      </w:r>
      <w:proofErr w:type="spellEnd"/>
      <w:r w:rsidRPr="00BF20CF">
        <w:rPr>
          <w:rFonts w:ascii="Arial" w:hAnsi="Arial" w:cs="Arial"/>
          <w:lang w:val="en-CA"/>
        </w:rPr>
        <w:t xml:space="preserve"> analysis and recommendation of a 0.30% stretch factor, and a 0.45% stretch factor based on the forecast from the OEB-issued PEG cost benchmarking model.</w:t>
      </w:r>
    </w:p>
    <w:p w14:paraId="062C7E94" w14:textId="77777777" w:rsidR="007509C7" w:rsidRPr="00BF20CF" w:rsidRDefault="007509C7" w:rsidP="00876E97">
      <w:pPr>
        <w:numPr>
          <w:ilvl w:val="1"/>
          <w:numId w:val="6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Growth (“g”) is based on Hydro Ottawa’s forecasted average annual increase in the number of metered customers over the plan term, altered by a factor of 0.35 to account for economies of scale in OM&amp;A expenses due to customer growth. The scaling is indicated to be analogous to scaling adjustments approved in other Canadian jurisdictions.</w:t>
      </w:r>
    </w:p>
    <w:p w14:paraId="7400B134" w14:textId="77777777" w:rsidR="007509C7" w:rsidRPr="00BF20CF" w:rsidRDefault="007509C7" w:rsidP="00876E97">
      <w:pPr>
        <w:numPr>
          <w:ilvl w:val="1"/>
          <w:numId w:val="6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Hydro Ottawa has forecasted inflation for each year, and proposes to fix the X-factor (both the base productivity and the stretch factor) for the plan term, and has calculated a 2.51% OM&amp;A annual adjustment for each year from 2022 to 2025.</w:t>
      </w:r>
    </w:p>
    <w:p w14:paraId="599B15FE" w14:textId="77777777" w:rsidR="007509C7" w:rsidRPr="00BF20CF" w:rsidRDefault="007509C7" w:rsidP="00876E97">
      <w:pPr>
        <w:numPr>
          <w:ilvl w:val="0"/>
          <w:numId w:val="6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Hydro Ottawa has forecasted the cost of capital parameters (Return on Equity (ROE), long-term debt rates and short-term debt rate and its portfolio of long-term debt for each year of the plan, as follows:</w:t>
      </w:r>
    </w:p>
    <w:p w14:paraId="2DA7A617" w14:textId="77777777" w:rsidR="007509C7" w:rsidRPr="00BF20CF" w:rsidRDefault="007509C7" w:rsidP="00876E97">
      <w:pPr>
        <w:numPr>
          <w:ilvl w:val="1"/>
          <w:numId w:val="6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Hydro Ottawa proposes to use the OEB’s deemed capital structure of 40% equity, 56% long-term debt and 4% short-term debt.</w:t>
      </w:r>
    </w:p>
    <w:p w14:paraId="139B7AA7" w14:textId="77777777" w:rsidR="007509C7" w:rsidRPr="00BF20CF" w:rsidRDefault="007509C7" w:rsidP="00876E97">
      <w:pPr>
        <w:numPr>
          <w:ilvl w:val="1"/>
          <w:numId w:val="6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The deemed short-term debt rate is proposed to be fixed at 2.75%, as issued by the OEB for the 2020 rate year, with no updates.</w:t>
      </w:r>
    </w:p>
    <w:p w14:paraId="4EBD1848" w14:textId="77777777" w:rsidR="007509C7" w:rsidRPr="00BF20CF" w:rsidRDefault="007509C7" w:rsidP="00876E97">
      <w:pPr>
        <w:numPr>
          <w:ilvl w:val="1"/>
          <w:numId w:val="6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Hydro Ottawa has calculated forecasted 10-year and 30-year long term debt rates. The principal-weighted average cost of long-term debt would be based on the portfolio of existing and forecasted long-term debt and the actual or forecasted debt rate for each debt instrument.</w:t>
      </w:r>
    </w:p>
    <w:p w14:paraId="4759642A" w14:textId="77777777" w:rsidR="007509C7" w:rsidRPr="00BF20CF" w:rsidRDefault="007509C7" w:rsidP="00876E97">
      <w:pPr>
        <w:numPr>
          <w:ilvl w:val="1"/>
          <w:numId w:val="6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Hydro Ottawa has forecasted the ROE for each year of the plan to be used in calculating the return on capital for the updated rate base in each year. This would also impact on the grossed-up tax expense.</w:t>
      </w:r>
    </w:p>
    <w:p w14:paraId="4B646936" w14:textId="77777777" w:rsidR="007509C7" w:rsidRPr="00BF20CF" w:rsidRDefault="007509C7" w:rsidP="00876E97">
      <w:pPr>
        <w:numPr>
          <w:ilvl w:val="0"/>
          <w:numId w:val="6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Hydro Ottawa has forecasted the number of customers, kWh and kW, by customer class, for each year of the plan, and proposes no further </w:t>
      </w:r>
      <w:r w:rsidRPr="00BF20CF">
        <w:rPr>
          <w:rFonts w:ascii="Arial" w:hAnsi="Arial" w:cs="Arial"/>
          <w:lang w:val="en-CA"/>
        </w:rPr>
        <w:lastRenderedPageBreak/>
        <w:t>updates. The updated load forecast for each year will be used in the cost allocation to allocate the revenue requirement between customer classes, and then used as the billing determinants to determine fixed and variable distribution rates (and for deferral and variance account (DVA) rate adders and retail transmission service rates (RTSRs)).</w:t>
      </w:r>
    </w:p>
    <w:p w14:paraId="6625212B" w14:textId="5CABF5CB"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Question</w:t>
      </w:r>
      <w:r w:rsidR="00996121" w:rsidRPr="00BF20CF">
        <w:rPr>
          <w:rFonts w:ascii="Arial" w:eastAsia="Calibri" w:hAnsi="Arial" w:cs="Arial"/>
        </w:rPr>
        <w:t>(</w:t>
      </w:r>
      <w:r w:rsidRPr="00BF20CF">
        <w:rPr>
          <w:rFonts w:ascii="Arial" w:eastAsia="Calibri" w:hAnsi="Arial" w:cs="Arial"/>
        </w:rPr>
        <w:t>s</w:t>
      </w:r>
      <w:r w:rsidR="00996121" w:rsidRPr="00BF20CF">
        <w:rPr>
          <w:rFonts w:ascii="Arial" w:eastAsia="Calibri" w:hAnsi="Arial" w:cs="Arial"/>
        </w:rPr>
        <w:t>)</w:t>
      </w:r>
      <w:r w:rsidRPr="00BF20CF">
        <w:rPr>
          <w:rFonts w:ascii="Arial" w:eastAsia="Calibri" w:hAnsi="Arial" w:cs="Arial"/>
        </w:rPr>
        <w:t>:</w:t>
      </w:r>
    </w:p>
    <w:p w14:paraId="397665AF" w14:textId="62FA7EFE" w:rsidR="007509C7" w:rsidRPr="00BF20CF" w:rsidRDefault="007509C7" w:rsidP="00876E97">
      <w:pPr>
        <w:numPr>
          <w:ilvl w:val="0"/>
          <w:numId w:val="6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confirm or correct the above summary of Hydro Ottawa’s Custom IR plan for adjusting its revenue requirement for each of 2022-2025, following rebasing in 2021.</w:t>
      </w:r>
    </w:p>
    <w:p w14:paraId="3EE6C0BF" w14:textId="77777777" w:rsidR="0086688A" w:rsidRPr="00BF20CF" w:rsidRDefault="0086688A" w:rsidP="0086688A">
      <w:pPr>
        <w:autoSpaceDE w:val="0"/>
        <w:autoSpaceDN w:val="0"/>
        <w:adjustRightInd w:val="0"/>
        <w:spacing w:before="240" w:after="120" w:line="276" w:lineRule="auto"/>
        <w:ind w:left="720"/>
        <w:contextualSpacing/>
        <w:rPr>
          <w:rFonts w:ascii="Arial" w:hAnsi="Arial" w:cs="Arial"/>
          <w:lang w:val="en-CA"/>
        </w:rPr>
      </w:pPr>
    </w:p>
    <w:p w14:paraId="2481E0E2" w14:textId="35F18217" w:rsidR="007509C7" w:rsidRPr="00BF20CF" w:rsidRDefault="007509C7" w:rsidP="00876E97">
      <w:pPr>
        <w:numPr>
          <w:ilvl w:val="0"/>
          <w:numId w:val="6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identify any precedents that Hydro Ottawa is relying on to fix the OM&amp;</w:t>
      </w:r>
      <w:proofErr w:type="gramStart"/>
      <w:r w:rsidRPr="00BF20CF">
        <w:rPr>
          <w:rFonts w:ascii="Arial" w:hAnsi="Arial" w:cs="Arial"/>
          <w:lang w:val="en-CA"/>
        </w:rPr>
        <w:t>A</w:t>
      </w:r>
      <w:proofErr w:type="gramEnd"/>
      <w:r w:rsidRPr="00BF20CF">
        <w:rPr>
          <w:rFonts w:ascii="Arial" w:hAnsi="Arial" w:cs="Arial"/>
          <w:lang w:val="en-CA"/>
        </w:rPr>
        <w:t xml:space="preserve"> adjustment at the outset and not update the adjustment with the most current Statistics Canada data each year. As is necessary, where precedents are for other jurisdictions, please provide the cited references.</w:t>
      </w:r>
    </w:p>
    <w:p w14:paraId="0D1871F8" w14:textId="7FD4BC1C" w:rsidR="0086688A" w:rsidRPr="00BF20CF" w:rsidRDefault="0086688A" w:rsidP="0086688A">
      <w:pPr>
        <w:autoSpaceDE w:val="0"/>
        <w:autoSpaceDN w:val="0"/>
        <w:adjustRightInd w:val="0"/>
        <w:spacing w:before="240" w:after="120" w:line="276" w:lineRule="auto"/>
        <w:ind w:left="720"/>
        <w:contextualSpacing/>
        <w:rPr>
          <w:rFonts w:ascii="Arial" w:hAnsi="Arial" w:cs="Arial"/>
          <w:lang w:val="en-CA"/>
        </w:rPr>
      </w:pPr>
    </w:p>
    <w:p w14:paraId="259D04FC" w14:textId="44EC982F" w:rsidR="007509C7" w:rsidRPr="00BF20CF" w:rsidRDefault="007509C7" w:rsidP="00876E97">
      <w:pPr>
        <w:numPr>
          <w:ilvl w:val="0"/>
          <w:numId w:val="6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As OEB staff understands Hydro Ottawa’s proposal, the utility is not proposing to update the inflation forecasts for each year</w:t>
      </w:r>
      <w:r w:rsidR="00837EF0" w:rsidRPr="00BF20CF">
        <w:rPr>
          <w:rFonts w:ascii="Arial" w:hAnsi="Arial" w:cs="Arial"/>
          <w:lang w:val="en-CA"/>
        </w:rPr>
        <w:t xml:space="preserve">, which it has estimated at an annual rate of </w:t>
      </w:r>
      <w:r w:rsidR="002B07EF" w:rsidRPr="00BF20CF">
        <w:rPr>
          <w:rFonts w:ascii="Arial" w:hAnsi="Arial" w:cs="Arial"/>
          <w:lang w:val="en-CA"/>
        </w:rPr>
        <w:t>2.26%</w:t>
      </w:r>
      <w:r w:rsidR="00837EF0" w:rsidRPr="00BF20CF">
        <w:rPr>
          <w:rFonts w:ascii="Arial" w:hAnsi="Arial" w:cs="Arial"/>
          <w:lang w:val="en-CA"/>
        </w:rPr>
        <w:t xml:space="preserve"> for 2022-2025 </w:t>
      </w:r>
      <w:r w:rsidRPr="00BF20CF">
        <w:rPr>
          <w:rFonts w:ascii="Arial" w:hAnsi="Arial" w:cs="Arial"/>
          <w:lang w:val="en-CA"/>
        </w:rPr>
        <w:t xml:space="preserve"> even at the decision and draft rate order stage this year (i.e., for 2021 rates).</w:t>
      </w:r>
    </w:p>
    <w:p w14:paraId="13D50AF2" w14:textId="77777777" w:rsidR="007509C7" w:rsidRPr="00BF20CF" w:rsidRDefault="007509C7" w:rsidP="00876E97">
      <w:pPr>
        <w:numPr>
          <w:ilvl w:val="1"/>
          <w:numId w:val="71"/>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confirm or correct OEB staff’s understanding.</w:t>
      </w:r>
    </w:p>
    <w:p w14:paraId="6F119FC2" w14:textId="15F76FC9" w:rsidR="007509C7" w:rsidRPr="00BF20CF" w:rsidRDefault="007509C7" w:rsidP="00876E97">
      <w:pPr>
        <w:numPr>
          <w:ilvl w:val="1"/>
          <w:numId w:val="71"/>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If confirmed, and assuming Hydro Ottawa’s Application is approved as filed, please explain the basis for not updating the inflation factor at the draft rate order stage, when more current information will be available.</w:t>
      </w:r>
    </w:p>
    <w:p w14:paraId="50883634" w14:textId="77777777" w:rsidR="0086688A" w:rsidRPr="00BF20CF" w:rsidRDefault="0086688A" w:rsidP="0086688A">
      <w:pPr>
        <w:autoSpaceDE w:val="0"/>
        <w:autoSpaceDN w:val="0"/>
        <w:adjustRightInd w:val="0"/>
        <w:spacing w:before="240" w:after="120" w:line="276" w:lineRule="auto"/>
        <w:ind w:left="1440"/>
        <w:contextualSpacing/>
        <w:rPr>
          <w:rFonts w:ascii="Arial" w:hAnsi="Arial" w:cs="Arial"/>
          <w:lang w:val="en-CA"/>
        </w:rPr>
      </w:pPr>
    </w:p>
    <w:p w14:paraId="122AB803" w14:textId="77777777" w:rsidR="007509C7" w:rsidRPr="00BF20CF" w:rsidRDefault="007509C7" w:rsidP="00876E97">
      <w:pPr>
        <w:numPr>
          <w:ilvl w:val="0"/>
          <w:numId w:val="6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As OEB staff understands Hydro Ottawa’s proposal, the utility is not proposing to update the cost of capital forecasts for each year, including 2021, at the decision and draft rate order stage this year (i.e., for 2021 rates).</w:t>
      </w:r>
    </w:p>
    <w:p w14:paraId="0BE1F92D" w14:textId="77777777" w:rsidR="007509C7" w:rsidRPr="00BF20CF" w:rsidRDefault="007509C7" w:rsidP="00876E97">
      <w:pPr>
        <w:numPr>
          <w:ilvl w:val="1"/>
          <w:numId w:val="72"/>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confirm or correct OEB staff’s understanding.</w:t>
      </w:r>
    </w:p>
    <w:p w14:paraId="7720DBA8" w14:textId="77777777" w:rsidR="007509C7" w:rsidRPr="00BF20CF" w:rsidRDefault="007509C7" w:rsidP="00876E97">
      <w:pPr>
        <w:numPr>
          <w:ilvl w:val="1"/>
          <w:numId w:val="72"/>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If confirmed, and assuming Hydro Ottawa’s Application is approved as filed, please explain the basis for not updating the cost of capital data at the draft rate order stage, when more current information will be available. Please identify any precedents that Hydro Ottawa is relying on in support of its proposal.</w:t>
      </w:r>
    </w:p>
    <w:p w14:paraId="4297B198"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w:p>
    <w:p w14:paraId="41F0A0A2" w14:textId="77777777" w:rsidR="0086688A" w:rsidRPr="00BF20CF" w:rsidRDefault="0086688A"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br w:type="page"/>
      </w:r>
    </w:p>
    <w:p w14:paraId="5084EDE8" w14:textId="74A6E6C9"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lastRenderedPageBreak/>
        <w:t>1-Staff-3</w:t>
      </w:r>
    </w:p>
    <w:p w14:paraId="3D98B5DF" w14:textId="4C9CC45A"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t>Ref:</w:t>
      </w:r>
      <w:r w:rsidRPr="00BF20CF">
        <w:rPr>
          <w:rFonts w:ascii="Arial" w:hAnsi="Arial" w:cs="Arial"/>
          <w:b/>
          <w:lang w:val="en-CA"/>
        </w:rPr>
        <w:tab/>
      </w:r>
      <w:r w:rsidR="000728E5" w:rsidRPr="00BF20CF">
        <w:rPr>
          <w:rFonts w:ascii="Arial" w:hAnsi="Arial" w:cs="Arial"/>
          <w:b/>
          <w:lang w:val="en-CA"/>
        </w:rPr>
        <w:t xml:space="preserve">Updated </w:t>
      </w:r>
      <w:r w:rsidRPr="00BF20CF">
        <w:rPr>
          <w:rFonts w:ascii="Arial" w:hAnsi="Arial" w:cs="Arial"/>
          <w:b/>
          <w:lang w:val="en-CA"/>
        </w:rPr>
        <w:t>Exhibit 1/Tab 1/Schedule 8</w:t>
      </w:r>
    </w:p>
    <w:p w14:paraId="2685F97D" w14:textId="3459BE69"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tab/>
      </w:r>
      <w:r w:rsidR="000728E5" w:rsidRPr="00BF20CF">
        <w:rPr>
          <w:rFonts w:ascii="Arial" w:hAnsi="Arial" w:cs="Arial"/>
          <w:b/>
          <w:lang w:val="en-CA"/>
        </w:rPr>
        <w:t xml:space="preserve">Updated </w:t>
      </w:r>
      <w:r w:rsidRPr="00BF20CF">
        <w:rPr>
          <w:rFonts w:ascii="Arial" w:hAnsi="Arial" w:cs="Arial"/>
          <w:b/>
          <w:lang w:val="en-CA"/>
        </w:rPr>
        <w:t>Exhibit 1/Tab 1/Schedule 10</w:t>
      </w:r>
    </w:p>
    <w:p w14:paraId="7CC10334" w14:textId="77777777"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tab/>
        <w:t>Decision and Order EB-2017-0049, March 7, 2019</w:t>
      </w:r>
    </w:p>
    <w:p w14:paraId="13A4D715" w14:textId="77777777"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tab/>
        <w:t>Decision and Order EB-2018-0165, December 19, 2019</w:t>
      </w:r>
    </w:p>
    <w:p w14:paraId="35DBF767" w14:textId="77777777"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p>
    <w:p w14:paraId="52AEFBCA" w14:textId="70AB53DA" w:rsidR="007509C7" w:rsidRPr="00BF20CF" w:rsidRDefault="007509C7" w:rsidP="003041BF">
      <w:p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Preamble</w:t>
      </w:r>
      <w:r w:rsidR="003041BF" w:rsidRPr="00BF20CF">
        <w:rPr>
          <w:rFonts w:ascii="Arial" w:hAnsi="Arial" w:cs="Arial"/>
          <w:lang w:val="en-CA"/>
        </w:rPr>
        <w:t>:</w:t>
      </w:r>
    </w:p>
    <w:p w14:paraId="1DFE5844" w14:textId="77777777"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p>
    <w:p w14:paraId="418CE10D"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Hydro Ottawa has proposed a Custom IR plan which is similar to its first Custom IR plan, in that only OM&amp;A expenses are adjusted via an inflation less productivity (which including an overall stretch factor) plus growth (</w:t>
      </w:r>
      <w:r w:rsidRPr="00BF20CF">
        <w:rPr>
          <w:i/>
          <w:lang w:val="en-CA"/>
        </w:rPr>
        <w:t>I – X + g</w:t>
      </w:r>
      <w:r w:rsidRPr="00BF20CF">
        <w:rPr>
          <w:rFonts w:ascii="Arial" w:hAnsi="Arial" w:cs="Arial"/>
          <w:lang w:val="en-CA"/>
        </w:rPr>
        <w:t>) formula, while capital expenditures (capital additions) are fully passed through via the annual updating of the rate base and, hence, the capital-related revenue requirement. Hydro Ottawa has also forecasted the OM&amp;A adjustment formula, as well as the cost of capital parameters, for each year of the plan, and proposes that the forecasted OM&amp;A adjustment and cost of capital parameters be set and fixed for each year of the plan for 2022 to 2025.</w:t>
      </w:r>
    </w:p>
    <w:p w14:paraId="54A279FA"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w:p>
    <w:p w14:paraId="782E45E2" w14:textId="1F0FACDA" w:rsidR="007509C7" w:rsidRPr="00BF20CF" w:rsidRDefault="007509C7" w:rsidP="003041BF">
      <w:p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Subsequent to the issuance of the Rate Handbook on October 13, 2016, the OEB has approved 5-year Custom IR plans for Hydro One Networks distribution (EB-2017-0049) and Toronto Hydro (EB-2018-0265). For each of these plans, the Custom IR plan </w:t>
      </w:r>
      <w:r w:rsidR="00095F42" w:rsidRPr="00BF20CF">
        <w:rPr>
          <w:rFonts w:ascii="Arial" w:hAnsi="Arial" w:cs="Arial"/>
          <w:lang w:val="en-CA"/>
        </w:rPr>
        <w:t xml:space="preserve">as proposed </w:t>
      </w:r>
      <w:r w:rsidRPr="00BF20CF">
        <w:rPr>
          <w:rFonts w:ascii="Arial" w:hAnsi="Arial" w:cs="Arial"/>
          <w:lang w:val="en-CA"/>
        </w:rPr>
        <w:t xml:space="preserve">was essentially of a price cap index form, whereby the rate adjustment formula applied to both OM&amp;A and the capital-related revenue requirement. Incremental capital needs were factored into the formula via a capital factor (C-factor), such that the price cap adjustment formula (beyond the rebasing year) becomes </w:t>
      </w:r>
      <w:proofErr w:type="gramStart"/>
      <w:r w:rsidRPr="00BF20CF">
        <w:rPr>
          <w:rFonts w:ascii="Arial" w:hAnsi="Arial" w:cs="Arial"/>
          <w:lang w:val="en-CA"/>
        </w:rPr>
        <w:t>I</w:t>
      </w:r>
      <w:proofErr w:type="gramEnd"/>
      <w:r w:rsidRPr="00BF20CF">
        <w:rPr>
          <w:rFonts w:ascii="Arial" w:hAnsi="Arial" w:cs="Arial"/>
          <w:lang w:val="en-CA"/>
        </w:rPr>
        <w:t xml:space="preserve"> – X + C. The OEB, in its decisions on the</w:t>
      </w:r>
      <w:r w:rsidR="00095F42" w:rsidRPr="00BF20CF">
        <w:rPr>
          <w:rFonts w:ascii="Arial" w:hAnsi="Arial" w:cs="Arial"/>
          <w:lang w:val="en-CA"/>
        </w:rPr>
        <w:t>se</w:t>
      </w:r>
      <w:r w:rsidRPr="00BF20CF">
        <w:rPr>
          <w:rFonts w:ascii="Arial" w:hAnsi="Arial" w:cs="Arial"/>
          <w:lang w:val="en-CA"/>
        </w:rPr>
        <w:t xml:space="preserve"> recent Hydro One Networks distribution and Toronto Hydro Custom IR plans, </w:t>
      </w:r>
      <w:r w:rsidR="00095F42" w:rsidRPr="00BF20CF">
        <w:rPr>
          <w:rFonts w:ascii="Arial" w:hAnsi="Arial" w:cs="Arial"/>
          <w:lang w:val="en-CA"/>
        </w:rPr>
        <w:t xml:space="preserve">approved the general price cap approaches proposed but also </w:t>
      </w:r>
      <w:r w:rsidRPr="00BF20CF">
        <w:rPr>
          <w:rFonts w:ascii="Arial" w:hAnsi="Arial" w:cs="Arial"/>
          <w:lang w:val="en-CA"/>
        </w:rPr>
        <w:t>determined that an incremental stretch factor (S-factor) on capital was appropriate to incentivize further productivity on the capital budget in the plan. Further, the OEB determined that there would be no updating of the cost of capital beyond the rebasing year during the plan term, and that the inflation adjustment would be done annually based on published Statistics Canada data, as is done for price cap and revenue cap adjustment formulae for other electricity distributors, transmitters, Ontario Power Generation, and Enbridge Gas Distribution.</w:t>
      </w:r>
    </w:p>
    <w:p w14:paraId="223BD5AE"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w:p>
    <w:p w14:paraId="6C81414F" w14:textId="4D696E82" w:rsidR="007509C7" w:rsidRPr="00BF20CF" w:rsidRDefault="007509C7" w:rsidP="003041BF">
      <w:p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Question</w:t>
      </w:r>
      <w:r w:rsidR="00996121" w:rsidRPr="00BF20CF">
        <w:rPr>
          <w:rFonts w:ascii="Arial" w:hAnsi="Arial" w:cs="Arial"/>
          <w:lang w:val="en-CA"/>
        </w:rPr>
        <w:t>(</w:t>
      </w:r>
      <w:r w:rsidRPr="00BF20CF">
        <w:rPr>
          <w:rFonts w:ascii="Arial" w:hAnsi="Arial" w:cs="Arial"/>
          <w:lang w:val="en-CA"/>
        </w:rPr>
        <w:t>s</w:t>
      </w:r>
      <w:r w:rsidR="00996121" w:rsidRPr="00BF20CF">
        <w:rPr>
          <w:rFonts w:ascii="Arial" w:hAnsi="Arial" w:cs="Arial"/>
          <w:lang w:val="en-CA"/>
        </w:rPr>
        <w:t>)</w:t>
      </w:r>
      <w:r w:rsidRPr="00BF20CF">
        <w:rPr>
          <w:rFonts w:ascii="Arial" w:hAnsi="Arial" w:cs="Arial"/>
          <w:lang w:val="en-CA"/>
        </w:rPr>
        <w:t>:</w:t>
      </w:r>
    </w:p>
    <w:p w14:paraId="35B37061"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w:p>
    <w:p w14:paraId="14158592" w14:textId="35605668" w:rsidR="0086688A" w:rsidRPr="00BF20CF" w:rsidRDefault="007509C7" w:rsidP="002466DF">
      <w:pPr>
        <w:numPr>
          <w:ilvl w:val="0"/>
          <w:numId w:val="78"/>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provide Hydro Ottawa’s rationale for not proposing a</w:t>
      </w:r>
      <w:r w:rsidR="00E65BF2" w:rsidRPr="00BF20CF">
        <w:rPr>
          <w:rFonts w:ascii="Arial" w:hAnsi="Arial" w:cs="Arial"/>
          <w:lang w:val="en-CA"/>
        </w:rPr>
        <w:t xml:space="preserve">n S-factor in order to incentivize further cost efficiencies and productivity gains with </w:t>
      </w:r>
      <w:r w:rsidR="00E65BF2" w:rsidRPr="00BF20CF">
        <w:rPr>
          <w:rFonts w:ascii="Arial" w:hAnsi="Arial" w:cs="Arial"/>
          <w:lang w:val="en-CA"/>
        </w:rPr>
        <w:lastRenderedPageBreak/>
        <w:t>respect to capital beyond what the utility has forecasted in the capital plan in its distribution system plan (DSP)</w:t>
      </w:r>
      <w:r w:rsidR="002466DF" w:rsidRPr="00BF20CF">
        <w:rPr>
          <w:rFonts w:ascii="Arial" w:hAnsi="Arial" w:cs="Arial"/>
          <w:lang w:val="en-CA"/>
        </w:rPr>
        <w:t xml:space="preserve">, </w:t>
      </w:r>
      <w:r w:rsidR="00E65BF2" w:rsidRPr="00BF20CF">
        <w:rPr>
          <w:rFonts w:ascii="Arial" w:hAnsi="Arial" w:cs="Arial"/>
          <w:lang w:val="en-CA"/>
        </w:rPr>
        <w:t>similar to what the OEB determined should be included in the recently approved Custom IR plans for Toronto Hydro and Hydro One distribution.</w:t>
      </w:r>
      <w:r w:rsidRPr="00BF20CF">
        <w:rPr>
          <w:rFonts w:ascii="Arial" w:hAnsi="Arial" w:cs="Arial"/>
          <w:lang w:val="en-CA"/>
        </w:rPr>
        <w:t xml:space="preserve"> </w:t>
      </w:r>
    </w:p>
    <w:p w14:paraId="4F136828" w14:textId="77777777" w:rsidR="002466DF" w:rsidRPr="00BF20CF" w:rsidRDefault="002466DF" w:rsidP="002466DF">
      <w:pPr>
        <w:autoSpaceDE w:val="0"/>
        <w:autoSpaceDN w:val="0"/>
        <w:adjustRightInd w:val="0"/>
        <w:spacing w:before="240" w:after="120" w:line="276" w:lineRule="auto"/>
        <w:ind w:left="720"/>
        <w:contextualSpacing/>
        <w:rPr>
          <w:rFonts w:ascii="Arial" w:hAnsi="Arial" w:cs="Arial"/>
          <w:lang w:val="en-CA"/>
        </w:rPr>
      </w:pPr>
    </w:p>
    <w:p w14:paraId="0C5054F3" w14:textId="77777777" w:rsidR="007509C7" w:rsidRPr="00BF20CF" w:rsidRDefault="007509C7" w:rsidP="00876E97">
      <w:pPr>
        <w:numPr>
          <w:ilvl w:val="0"/>
          <w:numId w:val="78"/>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In light of the OEB’s policy for no cost of capital updates during the plan term, and the OEB’s decisions for the recent Hydro One Networks distribution and Toronto Hydro Custom IR plan providing for no cost of capital updates during the Custom IR plan term, please explain the rationale for Hydro Ottawa’s proposal to forecast at the outset of the five-year plan the cost of capital for each year of the Custom IR plan.</w:t>
      </w:r>
    </w:p>
    <w:p w14:paraId="00D79D43" w14:textId="77777777" w:rsidR="007509C7" w:rsidRPr="00BF20CF" w:rsidRDefault="007509C7" w:rsidP="003041BF">
      <w:pPr>
        <w:autoSpaceDE w:val="0"/>
        <w:autoSpaceDN w:val="0"/>
        <w:adjustRightInd w:val="0"/>
        <w:contextualSpacing/>
        <w:rPr>
          <w:rFonts w:ascii="Arial" w:hAnsi="Arial" w:cs="Arial"/>
          <w:b/>
          <w:lang w:val="en-CA"/>
        </w:rPr>
      </w:pPr>
    </w:p>
    <w:p w14:paraId="6AB8C28B" w14:textId="77777777"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t>1-Staff-4</w:t>
      </w:r>
    </w:p>
    <w:p w14:paraId="68F26BAA" w14:textId="5DFE29FD"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t>Ref:</w:t>
      </w:r>
      <w:r w:rsidRPr="00BF20CF">
        <w:rPr>
          <w:rFonts w:ascii="Arial" w:hAnsi="Arial" w:cs="Arial"/>
          <w:lang w:val="en-CA"/>
        </w:rPr>
        <w:tab/>
      </w:r>
      <w:r w:rsidR="000728E5" w:rsidRPr="00BF20CF">
        <w:rPr>
          <w:rFonts w:ascii="Arial" w:hAnsi="Arial" w:cs="Arial"/>
          <w:b/>
          <w:lang w:val="en-CA"/>
        </w:rPr>
        <w:t>Updated</w:t>
      </w:r>
      <w:r w:rsidR="000728E5" w:rsidRPr="00BF20CF">
        <w:rPr>
          <w:rFonts w:ascii="Arial" w:hAnsi="Arial" w:cs="Arial"/>
          <w:lang w:val="en-CA"/>
        </w:rPr>
        <w:t xml:space="preserve"> </w:t>
      </w:r>
      <w:r w:rsidRPr="00BF20CF">
        <w:rPr>
          <w:rFonts w:ascii="Arial" w:hAnsi="Arial" w:cs="Arial"/>
          <w:b/>
          <w:lang w:val="en-CA"/>
        </w:rPr>
        <w:t>Exhibit 1/Tab 1/Schedule 8</w:t>
      </w:r>
      <w:r w:rsidRPr="00BF20CF">
        <w:rPr>
          <w:rFonts w:ascii="Arial" w:hAnsi="Arial" w:cs="Arial"/>
          <w:b/>
          <w:lang w:val="en-CA"/>
        </w:rPr>
        <w:br/>
      </w:r>
      <w:r w:rsidRPr="00BF20CF">
        <w:rPr>
          <w:rFonts w:ascii="Arial" w:hAnsi="Arial" w:cs="Arial"/>
          <w:b/>
          <w:lang w:val="en-CA"/>
        </w:rPr>
        <w:tab/>
        <w:t>Exhibit 1/Tab 1/Schedule 10</w:t>
      </w:r>
    </w:p>
    <w:p w14:paraId="37195657" w14:textId="77777777" w:rsidR="007509C7" w:rsidRPr="00BF20CF" w:rsidRDefault="007509C7"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tab/>
      </w:r>
      <w:r w:rsidRPr="00BF20CF">
        <w:rPr>
          <w:rFonts w:ascii="Arial" w:hAnsi="Arial" w:cs="Arial"/>
          <w:b/>
          <w:i/>
          <w:lang w:val="en-CA"/>
        </w:rPr>
        <w:t>Handbook for Utility Rate Applications</w:t>
      </w:r>
      <w:r w:rsidRPr="00BF20CF">
        <w:rPr>
          <w:rFonts w:ascii="Arial" w:hAnsi="Arial" w:cs="Arial"/>
          <w:b/>
          <w:lang w:val="en-CA"/>
        </w:rPr>
        <w:t xml:space="preserve">, October 13, 2016, pp. 25-26 </w:t>
      </w:r>
    </w:p>
    <w:p w14:paraId="62120B90"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w:p>
    <w:p w14:paraId="695289D9"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Preamble:</w:t>
      </w:r>
    </w:p>
    <w:p w14:paraId="1E7F314F"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w:p>
    <w:p w14:paraId="1093779F" w14:textId="224E7465" w:rsidR="007509C7" w:rsidRPr="00BF20CF" w:rsidRDefault="007509C7" w:rsidP="003041BF">
      <w:p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Subsequent to the approval of Hydro Ottawa’s first Custom IR plan for 2016-2020,</w:t>
      </w:r>
      <w:r w:rsidRPr="00BF20CF">
        <w:rPr>
          <w:rFonts w:ascii="Arial" w:hAnsi="Arial"/>
          <w:sz w:val="22"/>
          <w:szCs w:val="20"/>
          <w:vertAlign w:val="superscript"/>
          <w:lang w:val="en-CA"/>
        </w:rPr>
        <w:footnoteReference w:id="2"/>
      </w:r>
      <w:r w:rsidRPr="00BF20CF">
        <w:rPr>
          <w:rFonts w:ascii="Arial" w:hAnsi="Arial" w:cs="Arial"/>
          <w:lang w:val="en-CA"/>
        </w:rPr>
        <w:t xml:space="preserve"> the OEB issued the </w:t>
      </w:r>
      <w:r w:rsidRPr="00BF20CF">
        <w:rPr>
          <w:rFonts w:ascii="Arial" w:hAnsi="Arial" w:cs="Arial"/>
          <w:i/>
          <w:lang w:val="en-CA"/>
        </w:rPr>
        <w:t>Handbook for Utility Rate Applications</w:t>
      </w:r>
      <w:r w:rsidRPr="00BF20CF">
        <w:rPr>
          <w:rFonts w:ascii="Arial" w:hAnsi="Arial" w:cs="Arial"/>
          <w:lang w:val="en-CA"/>
        </w:rPr>
        <w:t xml:space="preserve"> (Rate Handbook) on October 13, 2016. The Rate Handbook extended the Renewed Regulatory Framework to rate-regulated utilities, in order to establish greater consistency is rate-setting methodologies to the extent possible and appropriate. The Rate Handbook also added greater clarification on the OEB’s policies, principles and expectations with respect to rate-setting options, including for the Custom IR; a section is devoted to the Custom IR option. The Rate Handbook states, on pages 25-26:</w:t>
      </w:r>
    </w:p>
    <w:p w14:paraId="0460D306" w14:textId="77777777" w:rsidR="007509C7" w:rsidRPr="00BF20CF" w:rsidRDefault="007509C7" w:rsidP="003041BF">
      <w:pPr>
        <w:spacing w:before="240" w:after="120" w:line="276" w:lineRule="auto"/>
        <w:ind w:left="720" w:right="720"/>
        <w:rPr>
          <w:rFonts w:ascii="Arial" w:eastAsia="Calibri" w:hAnsi="Arial" w:cs="Arial"/>
        </w:rPr>
      </w:pPr>
      <w:r w:rsidRPr="00BF20CF">
        <w:rPr>
          <w:rFonts w:ascii="Arial" w:eastAsia="Calibri" w:hAnsi="Arial" w:cs="Arial"/>
        </w:rPr>
        <w:t>Index for the Annual Rate Adjustment: The annual rate adjustment must be based on a custom index supported by empirical evidence (using third party and/or internal resources) that can be tested. Custom IR is not a multi-year cost of service; explicit financial incentives for continuous improvement and cost control targets must be included in the application. These incentive elements, including a productivity factor, must be incorporated through a custom index or an explicit revenue reduction over the term of the plan (not built into the cost forecast).</w:t>
      </w:r>
    </w:p>
    <w:p w14:paraId="118C52DE" w14:textId="77777777" w:rsidR="007509C7" w:rsidRPr="00BF20CF" w:rsidRDefault="007509C7" w:rsidP="003041BF">
      <w:pPr>
        <w:spacing w:before="240" w:after="120" w:line="276" w:lineRule="auto"/>
        <w:ind w:left="720" w:right="720"/>
        <w:rPr>
          <w:rFonts w:ascii="Arial" w:eastAsia="Calibri" w:hAnsi="Arial" w:cs="Arial"/>
        </w:rPr>
      </w:pPr>
      <w:r w:rsidRPr="00BF20CF">
        <w:rPr>
          <w:rFonts w:ascii="Arial" w:eastAsia="Calibri" w:hAnsi="Arial" w:cs="Arial"/>
        </w:rPr>
        <w:lastRenderedPageBreak/>
        <w:t>The index must be informed by an analysis of the trade-offs between capital and operating costs, which may be presented through a five-year forecast of operating and capital costs and volumes. If a five-year forecast is provided, it is to be used to inform the derivation of the custom index, not solely to set rates on the basis of multi-year cost of service. An application containing a proposed custom index which lacks the required supporting empirical information may be considered to be incomplete and not processed until that information is provided.</w:t>
      </w:r>
    </w:p>
    <w:p w14:paraId="4F53BF47" w14:textId="77777777" w:rsidR="007509C7" w:rsidRPr="00BF20CF" w:rsidRDefault="007509C7" w:rsidP="003041BF">
      <w:pPr>
        <w:spacing w:before="240" w:after="120" w:line="276" w:lineRule="auto"/>
        <w:ind w:left="720" w:right="720"/>
        <w:rPr>
          <w:rFonts w:ascii="Arial" w:eastAsia="Calibri" w:hAnsi="Arial" w:cs="Arial"/>
        </w:rPr>
      </w:pPr>
      <w:r w:rsidRPr="00BF20CF">
        <w:rPr>
          <w:rFonts w:ascii="Arial" w:eastAsia="Calibri" w:hAnsi="Arial" w:cs="Arial"/>
        </w:rPr>
        <w:t>It is insufficient to simply adopt the stretch factor that the OEB has established for electricity distribution IRM applications. Given a utility’s ability to customize the approach to rate-setting to meet its specific circumstances, the OEB would generally expect the custom index to be higher, and certainly no lower, than the OEB-approved X factor for Price Cap IR (productivity and stretch factors) that is used for electricity distributors.</w:t>
      </w:r>
    </w:p>
    <w:p w14:paraId="5ADDDC36"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OEB staff have compiled the following table of cohorts and stretch factors for Hydro Ottawa for the period from 2014 to 2020, based on the annual Ontario distributor benchmarking. These are based on the annual reports for the study conducted by Pacific Economics Research Group LLC (PEG), as commissioned by the OEB. The studies are publicly available on the OEB’s website.</w:t>
      </w:r>
      <w:r w:rsidRPr="00BF20CF">
        <w:rPr>
          <w:rFonts w:ascii="Arial" w:eastAsia="Calibri" w:hAnsi="Arial" w:cs="Arial"/>
          <w:vertAlign w:val="superscript"/>
        </w:rPr>
        <w:footnoteReference w:id="3"/>
      </w:r>
    </w:p>
    <w:p w14:paraId="0C55E028" w14:textId="77777777" w:rsidR="007509C7" w:rsidRPr="00BF20CF" w:rsidRDefault="007509C7" w:rsidP="003041BF">
      <w:pPr>
        <w:spacing w:after="160" w:line="259" w:lineRule="auto"/>
        <w:jc w:val="center"/>
        <w:rPr>
          <w:rFonts w:ascii="Arial" w:eastAsia="Calibri" w:hAnsi="Arial" w:cs="Arial"/>
          <w:b/>
        </w:rPr>
      </w:pPr>
      <w:r w:rsidRPr="00BF20CF">
        <w:rPr>
          <w:rFonts w:ascii="Arial" w:eastAsia="Calibri" w:hAnsi="Arial" w:cs="Arial"/>
          <w:b/>
        </w:rPr>
        <w:t>Table 1-Staff-4-1:</w:t>
      </w:r>
    </w:p>
    <w:p w14:paraId="55851E85" w14:textId="77777777" w:rsidR="007509C7" w:rsidRPr="00BF20CF" w:rsidRDefault="007509C7" w:rsidP="003041BF">
      <w:pPr>
        <w:spacing w:after="160" w:line="259" w:lineRule="auto"/>
        <w:jc w:val="center"/>
        <w:rPr>
          <w:rFonts w:ascii="Arial" w:eastAsia="Calibri" w:hAnsi="Arial" w:cs="Arial"/>
          <w:b/>
        </w:rPr>
      </w:pPr>
      <w:r w:rsidRPr="00BF20CF">
        <w:rPr>
          <w:rFonts w:ascii="Arial" w:eastAsia="Calibri" w:hAnsi="Arial" w:cs="Arial"/>
          <w:b/>
        </w:rPr>
        <w:t>Hydro Ottawa’s Cohort Ranking and Stretch Factor by Year</w:t>
      </w:r>
    </w:p>
    <w:tbl>
      <w:tblPr>
        <w:tblStyle w:val="TableGrid1"/>
        <w:tblW w:w="0" w:type="auto"/>
        <w:tblInd w:w="1255" w:type="dxa"/>
        <w:tblLook w:val="04A0" w:firstRow="1" w:lastRow="0" w:firstColumn="1" w:lastColumn="0" w:noHBand="0" w:noVBand="1"/>
      </w:tblPr>
      <w:tblGrid>
        <w:gridCol w:w="1440"/>
        <w:gridCol w:w="1710"/>
        <w:gridCol w:w="1080"/>
        <w:gridCol w:w="1980"/>
      </w:tblGrid>
      <w:tr w:rsidR="007509C7" w:rsidRPr="00BF20CF" w14:paraId="3CD8BE3B" w14:textId="77777777" w:rsidTr="0086688A">
        <w:tc>
          <w:tcPr>
            <w:tcW w:w="1440" w:type="dxa"/>
          </w:tcPr>
          <w:p w14:paraId="6EF0B2CC" w14:textId="77777777" w:rsidR="007509C7" w:rsidRPr="00BF20CF" w:rsidRDefault="007509C7" w:rsidP="003041BF">
            <w:pPr>
              <w:jc w:val="center"/>
              <w:rPr>
                <w:rFonts w:ascii="Arial" w:hAnsi="Arial" w:cs="Arial"/>
                <w:b/>
              </w:rPr>
            </w:pPr>
            <w:r w:rsidRPr="00BF20CF">
              <w:rPr>
                <w:rFonts w:ascii="Arial" w:hAnsi="Arial" w:cs="Arial"/>
                <w:b/>
              </w:rPr>
              <w:t>Rate Year</w:t>
            </w:r>
          </w:p>
        </w:tc>
        <w:tc>
          <w:tcPr>
            <w:tcW w:w="1710" w:type="dxa"/>
          </w:tcPr>
          <w:p w14:paraId="23083E30" w14:textId="77777777" w:rsidR="007509C7" w:rsidRPr="00BF20CF" w:rsidRDefault="007509C7" w:rsidP="003041BF">
            <w:pPr>
              <w:jc w:val="center"/>
              <w:rPr>
                <w:rFonts w:ascii="Arial" w:hAnsi="Arial" w:cs="Arial"/>
                <w:b/>
              </w:rPr>
            </w:pPr>
            <w:r w:rsidRPr="00BF20CF">
              <w:rPr>
                <w:rFonts w:ascii="Arial" w:hAnsi="Arial" w:cs="Arial"/>
                <w:b/>
              </w:rPr>
              <w:t>3-year data range</w:t>
            </w:r>
          </w:p>
        </w:tc>
        <w:tc>
          <w:tcPr>
            <w:tcW w:w="1080" w:type="dxa"/>
          </w:tcPr>
          <w:p w14:paraId="0E467781" w14:textId="77777777" w:rsidR="007509C7" w:rsidRPr="00BF20CF" w:rsidRDefault="007509C7" w:rsidP="003041BF">
            <w:pPr>
              <w:jc w:val="center"/>
              <w:rPr>
                <w:rFonts w:ascii="Arial" w:hAnsi="Arial" w:cs="Arial"/>
                <w:b/>
              </w:rPr>
            </w:pPr>
            <w:r w:rsidRPr="00BF20CF">
              <w:rPr>
                <w:rFonts w:ascii="Arial" w:hAnsi="Arial" w:cs="Arial"/>
                <w:b/>
              </w:rPr>
              <w:t>Cohort</w:t>
            </w:r>
          </w:p>
        </w:tc>
        <w:tc>
          <w:tcPr>
            <w:tcW w:w="1980" w:type="dxa"/>
          </w:tcPr>
          <w:p w14:paraId="40634EF4" w14:textId="77777777" w:rsidR="007509C7" w:rsidRPr="00BF20CF" w:rsidRDefault="007509C7" w:rsidP="003041BF">
            <w:pPr>
              <w:jc w:val="center"/>
              <w:rPr>
                <w:rFonts w:ascii="Arial" w:hAnsi="Arial" w:cs="Arial"/>
                <w:b/>
              </w:rPr>
            </w:pPr>
            <w:r w:rsidRPr="00BF20CF">
              <w:rPr>
                <w:rFonts w:ascii="Arial" w:hAnsi="Arial" w:cs="Arial"/>
                <w:b/>
              </w:rPr>
              <w:t>Stretch Factor</w:t>
            </w:r>
          </w:p>
        </w:tc>
      </w:tr>
      <w:tr w:rsidR="007509C7" w:rsidRPr="00BF20CF" w14:paraId="71FEA3AE" w14:textId="77777777" w:rsidTr="0086688A">
        <w:tc>
          <w:tcPr>
            <w:tcW w:w="1440" w:type="dxa"/>
          </w:tcPr>
          <w:p w14:paraId="6206C43C" w14:textId="77777777" w:rsidR="007509C7" w:rsidRPr="00BF20CF" w:rsidRDefault="007509C7" w:rsidP="003041BF">
            <w:pPr>
              <w:jc w:val="center"/>
              <w:rPr>
                <w:rFonts w:ascii="Arial" w:hAnsi="Arial" w:cs="Arial"/>
              </w:rPr>
            </w:pPr>
            <w:r w:rsidRPr="00BF20CF">
              <w:rPr>
                <w:rFonts w:ascii="Arial" w:hAnsi="Arial" w:cs="Arial"/>
              </w:rPr>
              <w:t>2014</w:t>
            </w:r>
          </w:p>
        </w:tc>
        <w:tc>
          <w:tcPr>
            <w:tcW w:w="1710" w:type="dxa"/>
          </w:tcPr>
          <w:p w14:paraId="38A313BB" w14:textId="77777777" w:rsidR="007509C7" w:rsidRPr="00BF20CF" w:rsidRDefault="007509C7" w:rsidP="003041BF">
            <w:pPr>
              <w:jc w:val="center"/>
              <w:rPr>
                <w:rFonts w:ascii="Arial" w:hAnsi="Arial" w:cs="Arial"/>
              </w:rPr>
            </w:pPr>
            <w:r w:rsidRPr="00BF20CF">
              <w:rPr>
                <w:rFonts w:ascii="Arial" w:hAnsi="Arial" w:cs="Arial"/>
              </w:rPr>
              <w:t>2010-12</w:t>
            </w:r>
          </w:p>
        </w:tc>
        <w:tc>
          <w:tcPr>
            <w:tcW w:w="1080" w:type="dxa"/>
          </w:tcPr>
          <w:p w14:paraId="6338AFEB" w14:textId="77777777" w:rsidR="007509C7" w:rsidRPr="00BF20CF" w:rsidRDefault="007509C7" w:rsidP="003041BF">
            <w:pPr>
              <w:jc w:val="center"/>
              <w:rPr>
                <w:rFonts w:ascii="Arial" w:hAnsi="Arial" w:cs="Arial"/>
              </w:rPr>
            </w:pPr>
            <w:r w:rsidRPr="00BF20CF">
              <w:rPr>
                <w:rFonts w:ascii="Arial" w:hAnsi="Arial" w:cs="Arial"/>
              </w:rPr>
              <w:t>3</w:t>
            </w:r>
          </w:p>
        </w:tc>
        <w:tc>
          <w:tcPr>
            <w:tcW w:w="1980" w:type="dxa"/>
          </w:tcPr>
          <w:p w14:paraId="10C1B30D" w14:textId="77777777" w:rsidR="007509C7" w:rsidRPr="00BF20CF" w:rsidRDefault="007509C7" w:rsidP="003041BF">
            <w:pPr>
              <w:jc w:val="center"/>
              <w:rPr>
                <w:rFonts w:ascii="Arial" w:hAnsi="Arial" w:cs="Arial"/>
              </w:rPr>
            </w:pPr>
            <w:r w:rsidRPr="00BF20CF">
              <w:rPr>
                <w:rFonts w:ascii="Arial" w:hAnsi="Arial" w:cs="Arial"/>
              </w:rPr>
              <w:t>0.30%</w:t>
            </w:r>
          </w:p>
        </w:tc>
      </w:tr>
      <w:tr w:rsidR="007509C7" w:rsidRPr="00BF20CF" w14:paraId="318EE04E" w14:textId="77777777" w:rsidTr="0086688A">
        <w:tc>
          <w:tcPr>
            <w:tcW w:w="1440" w:type="dxa"/>
          </w:tcPr>
          <w:p w14:paraId="50DA3F9F" w14:textId="77777777" w:rsidR="007509C7" w:rsidRPr="00BF20CF" w:rsidRDefault="007509C7" w:rsidP="003041BF">
            <w:pPr>
              <w:jc w:val="center"/>
              <w:rPr>
                <w:rFonts w:ascii="Arial" w:hAnsi="Arial" w:cs="Arial"/>
              </w:rPr>
            </w:pPr>
            <w:r w:rsidRPr="00BF20CF">
              <w:rPr>
                <w:rFonts w:ascii="Arial" w:hAnsi="Arial" w:cs="Arial"/>
              </w:rPr>
              <w:t>2015</w:t>
            </w:r>
          </w:p>
        </w:tc>
        <w:tc>
          <w:tcPr>
            <w:tcW w:w="1710" w:type="dxa"/>
          </w:tcPr>
          <w:p w14:paraId="5FC7A8E0" w14:textId="77777777" w:rsidR="007509C7" w:rsidRPr="00BF20CF" w:rsidRDefault="007509C7" w:rsidP="003041BF">
            <w:pPr>
              <w:jc w:val="center"/>
              <w:rPr>
                <w:rFonts w:ascii="Arial" w:hAnsi="Arial" w:cs="Arial"/>
              </w:rPr>
            </w:pPr>
            <w:r w:rsidRPr="00BF20CF">
              <w:rPr>
                <w:rFonts w:ascii="Arial" w:hAnsi="Arial" w:cs="Arial"/>
              </w:rPr>
              <w:t>2011-13</w:t>
            </w:r>
          </w:p>
        </w:tc>
        <w:tc>
          <w:tcPr>
            <w:tcW w:w="1080" w:type="dxa"/>
          </w:tcPr>
          <w:p w14:paraId="09A68BB8" w14:textId="77777777" w:rsidR="007509C7" w:rsidRPr="00BF20CF" w:rsidRDefault="007509C7" w:rsidP="003041BF">
            <w:pPr>
              <w:jc w:val="center"/>
              <w:rPr>
                <w:rFonts w:ascii="Arial" w:hAnsi="Arial" w:cs="Arial"/>
              </w:rPr>
            </w:pPr>
            <w:r w:rsidRPr="00BF20CF">
              <w:rPr>
                <w:rFonts w:ascii="Arial" w:hAnsi="Arial" w:cs="Arial"/>
              </w:rPr>
              <w:t>3</w:t>
            </w:r>
          </w:p>
        </w:tc>
        <w:tc>
          <w:tcPr>
            <w:tcW w:w="1980" w:type="dxa"/>
          </w:tcPr>
          <w:p w14:paraId="554ACC5D" w14:textId="77777777" w:rsidR="007509C7" w:rsidRPr="00BF20CF" w:rsidRDefault="007509C7" w:rsidP="003041BF">
            <w:pPr>
              <w:jc w:val="center"/>
              <w:rPr>
                <w:rFonts w:ascii="Arial" w:hAnsi="Arial" w:cs="Arial"/>
              </w:rPr>
            </w:pPr>
            <w:r w:rsidRPr="00BF20CF">
              <w:rPr>
                <w:rFonts w:ascii="Arial" w:hAnsi="Arial" w:cs="Arial"/>
              </w:rPr>
              <w:t>0.30%</w:t>
            </w:r>
          </w:p>
        </w:tc>
      </w:tr>
      <w:tr w:rsidR="007509C7" w:rsidRPr="00BF20CF" w14:paraId="4DAB7BC6" w14:textId="77777777" w:rsidTr="0086688A">
        <w:tc>
          <w:tcPr>
            <w:tcW w:w="1440" w:type="dxa"/>
          </w:tcPr>
          <w:p w14:paraId="513FE5FA" w14:textId="77777777" w:rsidR="007509C7" w:rsidRPr="00BF20CF" w:rsidRDefault="007509C7" w:rsidP="003041BF">
            <w:pPr>
              <w:jc w:val="center"/>
              <w:rPr>
                <w:rFonts w:ascii="Arial" w:hAnsi="Arial" w:cs="Arial"/>
              </w:rPr>
            </w:pPr>
            <w:r w:rsidRPr="00BF20CF">
              <w:rPr>
                <w:rFonts w:ascii="Arial" w:hAnsi="Arial" w:cs="Arial"/>
              </w:rPr>
              <w:t>2016</w:t>
            </w:r>
          </w:p>
        </w:tc>
        <w:tc>
          <w:tcPr>
            <w:tcW w:w="1710" w:type="dxa"/>
          </w:tcPr>
          <w:p w14:paraId="1B669944" w14:textId="77777777" w:rsidR="007509C7" w:rsidRPr="00BF20CF" w:rsidRDefault="007509C7" w:rsidP="003041BF">
            <w:pPr>
              <w:jc w:val="center"/>
              <w:rPr>
                <w:rFonts w:ascii="Arial" w:hAnsi="Arial" w:cs="Arial"/>
              </w:rPr>
            </w:pPr>
            <w:r w:rsidRPr="00BF20CF">
              <w:rPr>
                <w:rFonts w:ascii="Arial" w:hAnsi="Arial" w:cs="Arial"/>
              </w:rPr>
              <w:t>2012-14</w:t>
            </w:r>
          </w:p>
        </w:tc>
        <w:tc>
          <w:tcPr>
            <w:tcW w:w="1080" w:type="dxa"/>
          </w:tcPr>
          <w:p w14:paraId="4A127954" w14:textId="77777777" w:rsidR="007509C7" w:rsidRPr="00BF20CF" w:rsidRDefault="007509C7" w:rsidP="003041BF">
            <w:pPr>
              <w:jc w:val="center"/>
              <w:rPr>
                <w:rFonts w:ascii="Arial" w:hAnsi="Arial" w:cs="Arial"/>
              </w:rPr>
            </w:pPr>
            <w:r w:rsidRPr="00BF20CF">
              <w:rPr>
                <w:rFonts w:ascii="Arial" w:hAnsi="Arial" w:cs="Arial"/>
              </w:rPr>
              <w:t>3</w:t>
            </w:r>
          </w:p>
        </w:tc>
        <w:tc>
          <w:tcPr>
            <w:tcW w:w="1980" w:type="dxa"/>
          </w:tcPr>
          <w:p w14:paraId="41C56B20" w14:textId="77777777" w:rsidR="007509C7" w:rsidRPr="00BF20CF" w:rsidRDefault="007509C7" w:rsidP="003041BF">
            <w:pPr>
              <w:jc w:val="center"/>
              <w:rPr>
                <w:rFonts w:ascii="Arial" w:hAnsi="Arial" w:cs="Arial"/>
              </w:rPr>
            </w:pPr>
            <w:r w:rsidRPr="00BF20CF">
              <w:rPr>
                <w:rFonts w:ascii="Arial" w:hAnsi="Arial" w:cs="Arial"/>
              </w:rPr>
              <w:t>0.30%</w:t>
            </w:r>
          </w:p>
        </w:tc>
      </w:tr>
      <w:tr w:rsidR="007509C7" w:rsidRPr="00BF20CF" w14:paraId="2BF8AA07" w14:textId="77777777" w:rsidTr="0086688A">
        <w:tc>
          <w:tcPr>
            <w:tcW w:w="1440" w:type="dxa"/>
          </w:tcPr>
          <w:p w14:paraId="46B829E7" w14:textId="77777777" w:rsidR="007509C7" w:rsidRPr="00BF20CF" w:rsidRDefault="007509C7" w:rsidP="003041BF">
            <w:pPr>
              <w:jc w:val="center"/>
              <w:rPr>
                <w:rFonts w:ascii="Arial" w:hAnsi="Arial" w:cs="Arial"/>
              </w:rPr>
            </w:pPr>
            <w:r w:rsidRPr="00BF20CF">
              <w:rPr>
                <w:rFonts w:ascii="Arial" w:hAnsi="Arial" w:cs="Arial"/>
              </w:rPr>
              <w:t>2017</w:t>
            </w:r>
          </w:p>
        </w:tc>
        <w:tc>
          <w:tcPr>
            <w:tcW w:w="1710" w:type="dxa"/>
          </w:tcPr>
          <w:p w14:paraId="222C6DFE" w14:textId="77777777" w:rsidR="007509C7" w:rsidRPr="00BF20CF" w:rsidRDefault="007509C7" w:rsidP="003041BF">
            <w:pPr>
              <w:jc w:val="center"/>
              <w:rPr>
                <w:rFonts w:ascii="Arial" w:hAnsi="Arial" w:cs="Arial"/>
              </w:rPr>
            </w:pPr>
            <w:r w:rsidRPr="00BF20CF">
              <w:rPr>
                <w:rFonts w:ascii="Arial" w:hAnsi="Arial" w:cs="Arial"/>
              </w:rPr>
              <w:t>2013-15</w:t>
            </w:r>
          </w:p>
        </w:tc>
        <w:tc>
          <w:tcPr>
            <w:tcW w:w="1080" w:type="dxa"/>
          </w:tcPr>
          <w:p w14:paraId="1D847268" w14:textId="77777777" w:rsidR="007509C7" w:rsidRPr="00BF20CF" w:rsidRDefault="007509C7" w:rsidP="003041BF">
            <w:pPr>
              <w:jc w:val="center"/>
              <w:rPr>
                <w:rFonts w:ascii="Arial" w:hAnsi="Arial" w:cs="Arial"/>
              </w:rPr>
            </w:pPr>
            <w:r w:rsidRPr="00BF20CF">
              <w:rPr>
                <w:rFonts w:ascii="Arial" w:hAnsi="Arial" w:cs="Arial"/>
              </w:rPr>
              <w:t>4</w:t>
            </w:r>
          </w:p>
        </w:tc>
        <w:tc>
          <w:tcPr>
            <w:tcW w:w="1980" w:type="dxa"/>
          </w:tcPr>
          <w:p w14:paraId="7D25BE0B" w14:textId="77777777" w:rsidR="007509C7" w:rsidRPr="00BF20CF" w:rsidRDefault="007509C7" w:rsidP="003041BF">
            <w:pPr>
              <w:jc w:val="center"/>
              <w:rPr>
                <w:rFonts w:ascii="Arial" w:hAnsi="Arial" w:cs="Arial"/>
              </w:rPr>
            </w:pPr>
            <w:r w:rsidRPr="00BF20CF">
              <w:rPr>
                <w:rFonts w:ascii="Arial" w:hAnsi="Arial" w:cs="Arial"/>
              </w:rPr>
              <w:t>0.45%</w:t>
            </w:r>
          </w:p>
        </w:tc>
      </w:tr>
      <w:tr w:rsidR="007509C7" w:rsidRPr="00BF20CF" w14:paraId="64EEA252" w14:textId="77777777" w:rsidTr="0086688A">
        <w:tc>
          <w:tcPr>
            <w:tcW w:w="1440" w:type="dxa"/>
          </w:tcPr>
          <w:p w14:paraId="7D9F9619" w14:textId="77777777" w:rsidR="007509C7" w:rsidRPr="00BF20CF" w:rsidRDefault="007509C7" w:rsidP="003041BF">
            <w:pPr>
              <w:jc w:val="center"/>
              <w:rPr>
                <w:rFonts w:ascii="Arial" w:hAnsi="Arial" w:cs="Arial"/>
              </w:rPr>
            </w:pPr>
            <w:r w:rsidRPr="00BF20CF">
              <w:rPr>
                <w:rFonts w:ascii="Arial" w:hAnsi="Arial" w:cs="Arial"/>
              </w:rPr>
              <w:t>2018</w:t>
            </w:r>
          </w:p>
        </w:tc>
        <w:tc>
          <w:tcPr>
            <w:tcW w:w="1710" w:type="dxa"/>
          </w:tcPr>
          <w:p w14:paraId="6E4E28D4" w14:textId="77777777" w:rsidR="007509C7" w:rsidRPr="00BF20CF" w:rsidRDefault="007509C7" w:rsidP="003041BF">
            <w:pPr>
              <w:jc w:val="center"/>
              <w:rPr>
                <w:rFonts w:ascii="Arial" w:hAnsi="Arial" w:cs="Arial"/>
              </w:rPr>
            </w:pPr>
            <w:r w:rsidRPr="00BF20CF">
              <w:rPr>
                <w:rFonts w:ascii="Arial" w:hAnsi="Arial" w:cs="Arial"/>
              </w:rPr>
              <w:t>2014-16</w:t>
            </w:r>
          </w:p>
        </w:tc>
        <w:tc>
          <w:tcPr>
            <w:tcW w:w="1080" w:type="dxa"/>
          </w:tcPr>
          <w:p w14:paraId="47812EA6" w14:textId="77777777" w:rsidR="007509C7" w:rsidRPr="00BF20CF" w:rsidRDefault="007509C7" w:rsidP="003041BF">
            <w:pPr>
              <w:jc w:val="center"/>
              <w:rPr>
                <w:rFonts w:ascii="Arial" w:hAnsi="Arial" w:cs="Arial"/>
              </w:rPr>
            </w:pPr>
            <w:r w:rsidRPr="00BF20CF">
              <w:rPr>
                <w:rFonts w:ascii="Arial" w:hAnsi="Arial" w:cs="Arial"/>
              </w:rPr>
              <w:t>4</w:t>
            </w:r>
          </w:p>
        </w:tc>
        <w:tc>
          <w:tcPr>
            <w:tcW w:w="1980" w:type="dxa"/>
          </w:tcPr>
          <w:p w14:paraId="41E763DB" w14:textId="77777777" w:rsidR="007509C7" w:rsidRPr="00BF20CF" w:rsidRDefault="007509C7" w:rsidP="003041BF">
            <w:pPr>
              <w:jc w:val="center"/>
              <w:rPr>
                <w:rFonts w:ascii="Arial" w:hAnsi="Arial" w:cs="Arial"/>
              </w:rPr>
            </w:pPr>
            <w:r w:rsidRPr="00BF20CF">
              <w:rPr>
                <w:rFonts w:ascii="Arial" w:hAnsi="Arial" w:cs="Arial"/>
              </w:rPr>
              <w:t>0.45%</w:t>
            </w:r>
          </w:p>
        </w:tc>
      </w:tr>
      <w:tr w:rsidR="007509C7" w:rsidRPr="00BF20CF" w14:paraId="0C7BD267" w14:textId="77777777" w:rsidTr="0086688A">
        <w:tc>
          <w:tcPr>
            <w:tcW w:w="1440" w:type="dxa"/>
          </w:tcPr>
          <w:p w14:paraId="31D614DB" w14:textId="77777777" w:rsidR="007509C7" w:rsidRPr="00BF20CF" w:rsidRDefault="007509C7" w:rsidP="003041BF">
            <w:pPr>
              <w:jc w:val="center"/>
              <w:rPr>
                <w:rFonts w:ascii="Arial" w:hAnsi="Arial" w:cs="Arial"/>
              </w:rPr>
            </w:pPr>
            <w:r w:rsidRPr="00BF20CF">
              <w:rPr>
                <w:rFonts w:ascii="Arial" w:hAnsi="Arial" w:cs="Arial"/>
              </w:rPr>
              <w:t>2019</w:t>
            </w:r>
          </w:p>
        </w:tc>
        <w:tc>
          <w:tcPr>
            <w:tcW w:w="1710" w:type="dxa"/>
          </w:tcPr>
          <w:p w14:paraId="7CEAF311" w14:textId="77777777" w:rsidR="007509C7" w:rsidRPr="00BF20CF" w:rsidRDefault="007509C7" w:rsidP="003041BF">
            <w:pPr>
              <w:jc w:val="center"/>
              <w:rPr>
                <w:rFonts w:ascii="Arial" w:hAnsi="Arial" w:cs="Arial"/>
              </w:rPr>
            </w:pPr>
            <w:r w:rsidRPr="00BF20CF">
              <w:rPr>
                <w:rFonts w:ascii="Arial" w:hAnsi="Arial" w:cs="Arial"/>
              </w:rPr>
              <w:t>2015-17</w:t>
            </w:r>
          </w:p>
        </w:tc>
        <w:tc>
          <w:tcPr>
            <w:tcW w:w="1080" w:type="dxa"/>
          </w:tcPr>
          <w:p w14:paraId="5C7BC763" w14:textId="77777777" w:rsidR="007509C7" w:rsidRPr="00BF20CF" w:rsidRDefault="007509C7" w:rsidP="003041BF">
            <w:pPr>
              <w:jc w:val="center"/>
              <w:rPr>
                <w:rFonts w:ascii="Arial" w:hAnsi="Arial" w:cs="Arial"/>
              </w:rPr>
            </w:pPr>
            <w:r w:rsidRPr="00BF20CF">
              <w:rPr>
                <w:rFonts w:ascii="Arial" w:hAnsi="Arial" w:cs="Arial"/>
              </w:rPr>
              <w:t>4</w:t>
            </w:r>
          </w:p>
        </w:tc>
        <w:tc>
          <w:tcPr>
            <w:tcW w:w="1980" w:type="dxa"/>
          </w:tcPr>
          <w:p w14:paraId="139D16AE" w14:textId="77777777" w:rsidR="007509C7" w:rsidRPr="00BF20CF" w:rsidRDefault="007509C7" w:rsidP="003041BF">
            <w:pPr>
              <w:jc w:val="center"/>
              <w:rPr>
                <w:rFonts w:ascii="Arial" w:hAnsi="Arial" w:cs="Arial"/>
              </w:rPr>
            </w:pPr>
            <w:r w:rsidRPr="00BF20CF">
              <w:rPr>
                <w:rFonts w:ascii="Arial" w:hAnsi="Arial" w:cs="Arial"/>
              </w:rPr>
              <w:t>0.45%</w:t>
            </w:r>
          </w:p>
        </w:tc>
      </w:tr>
      <w:tr w:rsidR="007509C7" w:rsidRPr="00BF20CF" w14:paraId="711C1FF8" w14:textId="77777777" w:rsidTr="0086688A">
        <w:tc>
          <w:tcPr>
            <w:tcW w:w="1440" w:type="dxa"/>
          </w:tcPr>
          <w:p w14:paraId="05436DF2" w14:textId="77777777" w:rsidR="007509C7" w:rsidRPr="00BF20CF" w:rsidRDefault="007509C7" w:rsidP="003041BF">
            <w:pPr>
              <w:jc w:val="center"/>
              <w:rPr>
                <w:rFonts w:ascii="Arial" w:hAnsi="Arial" w:cs="Arial"/>
              </w:rPr>
            </w:pPr>
            <w:r w:rsidRPr="00BF20CF">
              <w:rPr>
                <w:rFonts w:ascii="Arial" w:hAnsi="Arial" w:cs="Arial"/>
              </w:rPr>
              <w:t>2020</w:t>
            </w:r>
          </w:p>
        </w:tc>
        <w:tc>
          <w:tcPr>
            <w:tcW w:w="1710" w:type="dxa"/>
          </w:tcPr>
          <w:p w14:paraId="06DD9D0E" w14:textId="77777777" w:rsidR="007509C7" w:rsidRPr="00BF20CF" w:rsidRDefault="007509C7" w:rsidP="003041BF">
            <w:pPr>
              <w:jc w:val="center"/>
              <w:rPr>
                <w:rFonts w:ascii="Arial" w:hAnsi="Arial" w:cs="Arial"/>
              </w:rPr>
            </w:pPr>
            <w:r w:rsidRPr="00BF20CF">
              <w:rPr>
                <w:rFonts w:ascii="Arial" w:hAnsi="Arial" w:cs="Arial"/>
              </w:rPr>
              <w:t>2016-18</w:t>
            </w:r>
          </w:p>
        </w:tc>
        <w:tc>
          <w:tcPr>
            <w:tcW w:w="1080" w:type="dxa"/>
          </w:tcPr>
          <w:p w14:paraId="7EDEE824" w14:textId="77777777" w:rsidR="007509C7" w:rsidRPr="00BF20CF" w:rsidRDefault="007509C7" w:rsidP="003041BF">
            <w:pPr>
              <w:jc w:val="center"/>
              <w:rPr>
                <w:rFonts w:ascii="Arial" w:hAnsi="Arial" w:cs="Arial"/>
              </w:rPr>
            </w:pPr>
            <w:r w:rsidRPr="00BF20CF">
              <w:rPr>
                <w:rFonts w:ascii="Arial" w:hAnsi="Arial" w:cs="Arial"/>
              </w:rPr>
              <w:t>4</w:t>
            </w:r>
          </w:p>
        </w:tc>
        <w:tc>
          <w:tcPr>
            <w:tcW w:w="1980" w:type="dxa"/>
          </w:tcPr>
          <w:p w14:paraId="487CA6E9" w14:textId="77777777" w:rsidR="007509C7" w:rsidRPr="00BF20CF" w:rsidRDefault="007509C7" w:rsidP="003041BF">
            <w:pPr>
              <w:jc w:val="center"/>
              <w:rPr>
                <w:rFonts w:ascii="Arial" w:hAnsi="Arial" w:cs="Arial"/>
              </w:rPr>
            </w:pPr>
            <w:r w:rsidRPr="00BF20CF">
              <w:rPr>
                <w:rFonts w:ascii="Arial" w:hAnsi="Arial" w:cs="Arial"/>
              </w:rPr>
              <w:t>0.45%</w:t>
            </w:r>
          </w:p>
        </w:tc>
      </w:tr>
    </w:tbl>
    <w:p w14:paraId="1E8B10B4" w14:textId="54C8C72B"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Question</w:t>
      </w:r>
      <w:r w:rsidR="00996121" w:rsidRPr="00BF20CF">
        <w:rPr>
          <w:rFonts w:ascii="Arial" w:eastAsia="Calibri" w:hAnsi="Arial" w:cs="Arial"/>
        </w:rPr>
        <w:t>(</w:t>
      </w:r>
      <w:r w:rsidRPr="00BF20CF">
        <w:rPr>
          <w:rFonts w:ascii="Arial" w:eastAsia="Calibri" w:hAnsi="Arial" w:cs="Arial"/>
        </w:rPr>
        <w:t>s</w:t>
      </w:r>
      <w:r w:rsidR="00996121" w:rsidRPr="00BF20CF">
        <w:rPr>
          <w:rFonts w:ascii="Arial" w:eastAsia="Calibri" w:hAnsi="Arial" w:cs="Arial"/>
        </w:rPr>
        <w:t>)</w:t>
      </w:r>
      <w:r w:rsidRPr="00BF20CF">
        <w:rPr>
          <w:rFonts w:ascii="Arial" w:eastAsia="Calibri" w:hAnsi="Arial" w:cs="Arial"/>
        </w:rPr>
        <w:t>:</w:t>
      </w:r>
    </w:p>
    <w:p w14:paraId="580C9C43" w14:textId="2B7105D9" w:rsidR="007509C7" w:rsidRPr="00BF20CF" w:rsidRDefault="007509C7" w:rsidP="00876E97">
      <w:pPr>
        <w:numPr>
          <w:ilvl w:val="0"/>
          <w:numId w:val="68"/>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confirm or correct Hydro Ottawa’s cohort ranking and stretch factor for each year from 2014 to 2020, as shown in the above table.</w:t>
      </w:r>
    </w:p>
    <w:p w14:paraId="76D38C21" w14:textId="40AF32CA" w:rsidR="007509C7" w:rsidRPr="00BF20CF" w:rsidRDefault="007509C7" w:rsidP="00876E97">
      <w:pPr>
        <w:numPr>
          <w:ilvl w:val="0"/>
          <w:numId w:val="68"/>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lastRenderedPageBreak/>
        <w:t>Since Hydro Ottawa’s proposed Custom IR plan only applies the (inflation-less-productivity-plus-growth) adjustment to OM&amp;A expenses, while capital additions are passed-through through the annual rate base and capital-related revenue requirement update, please explain how Hydro Ottawa’s proposed Custom IR plan satisfies the Rate Handbook expectation that the “incentive elements, including a productivity factor, must be incorporated through a custom index or an explicit revenue reduction over the term of the plan (not built into the cost forecast)”.</w:t>
      </w:r>
    </w:p>
    <w:p w14:paraId="1C3C57D6" w14:textId="50302574" w:rsidR="0086688A" w:rsidRPr="00BF20CF" w:rsidRDefault="0086688A" w:rsidP="0086688A">
      <w:pPr>
        <w:autoSpaceDE w:val="0"/>
        <w:autoSpaceDN w:val="0"/>
        <w:adjustRightInd w:val="0"/>
        <w:spacing w:before="240" w:after="120" w:line="276" w:lineRule="auto"/>
        <w:ind w:left="720"/>
        <w:contextualSpacing/>
        <w:rPr>
          <w:rFonts w:ascii="Arial" w:hAnsi="Arial" w:cs="Arial"/>
          <w:lang w:val="en-CA"/>
        </w:rPr>
      </w:pPr>
    </w:p>
    <w:p w14:paraId="2CB3CD5E" w14:textId="48CA60F8" w:rsidR="007509C7" w:rsidRPr="00BF20CF" w:rsidRDefault="007509C7" w:rsidP="00876E97">
      <w:pPr>
        <w:numPr>
          <w:ilvl w:val="0"/>
          <w:numId w:val="68"/>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Hydro Ottawa is proposing a stretch factor lower than what the PEG model would forecast or has been Hydro Ottawa’s stretch factor for the period 2014-2020. Please explain how Hydro Ottawa’s proposal is consistent with the OEB’s general expectation that “the custom index to be higher, and certainly no lower, than the OEB-approved X factor for Price Cap IR (productivity and stretch factors) that is used for electricity distributors”.</w:t>
      </w:r>
    </w:p>
    <w:p w14:paraId="2B5AB401" w14:textId="77777777" w:rsidR="003041BF" w:rsidRPr="00BF20CF" w:rsidRDefault="003041BF" w:rsidP="003041BF">
      <w:pPr>
        <w:autoSpaceDE w:val="0"/>
        <w:autoSpaceDN w:val="0"/>
        <w:adjustRightInd w:val="0"/>
        <w:spacing w:before="240" w:after="120" w:line="276" w:lineRule="auto"/>
        <w:contextualSpacing/>
        <w:rPr>
          <w:rFonts w:ascii="Arial" w:hAnsi="Arial" w:cs="Arial"/>
          <w:lang w:val="en-CA"/>
        </w:rPr>
      </w:pPr>
    </w:p>
    <w:p w14:paraId="1A262B6D" w14:textId="75FE4FC9" w:rsidR="003041BF" w:rsidRPr="00BF20CF" w:rsidRDefault="003041BF" w:rsidP="003041BF">
      <w:pPr>
        <w:spacing w:before="240" w:after="120" w:line="276" w:lineRule="auto"/>
        <w:rPr>
          <w:rFonts w:ascii="Arial" w:eastAsia="Calibri" w:hAnsi="Arial" w:cs="Arial"/>
          <w:b/>
        </w:rPr>
      </w:pPr>
      <w:r w:rsidRPr="00BF20CF">
        <w:rPr>
          <w:rFonts w:ascii="Arial" w:hAnsi="Arial" w:cs="Arial"/>
          <w:b/>
          <w:lang w:val="en-CA"/>
        </w:rPr>
        <w:t>Custom Price Escalator Factor</w:t>
      </w:r>
      <w:r w:rsidRPr="00BF20CF">
        <w:rPr>
          <w:rFonts w:ascii="Arial" w:eastAsia="Calibri" w:hAnsi="Arial" w:cs="Arial"/>
          <w:b/>
        </w:rPr>
        <w:t xml:space="preserve"> Forecast</w:t>
      </w:r>
    </w:p>
    <w:p w14:paraId="08DA60E6" w14:textId="42BA433F" w:rsidR="007509C7" w:rsidRPr="00BF20CF" w:rsidRDefault="0086688A" w:rsidP="003041BF">
      <w:pPr>
        <w:autoSpaceDE w:val="0"/>
        <w:autoSpaceDN w:val="0"/>
        <w:adjustRightInd w:val="0"/>
        <w:spacing w:before="240" w:after="120" w:line="276" w:lineRule="auto"/>
        <w:contextualSpacing/>
        <w:rPr>
          <w:rFonts w:ascii="Arial" w:hAnsi="Arial" w:cs="Arial"/>
          <w:b/>
          <w:lang w:val="en-CA"/>
        </w:rPr>
      </w:pPr>
      <w:r w:rsidRPr="00BF20CF">
        <w:rPr>
          <w:rFonts w:ascii="Arial" w:hAnsi="Arial" w:cs="Arial"/>
          <w:b/>
          <w:lang w:val="en-CA"/>
        </w:rPr>
        <w:t>1-Staff-5</w:t>
      </w:r>
    </w:p>
    <w:p w14:paraId="3CC4118D" w14:textId="3B98FD37" w:rsidR="007509C7" w:rsidRPr="00BF20CF" w:rsidRDefault="007509C7" w:rsidP="003041BF">
      <w:pPr>
        <w:spacing w:line="276" w:lineRule="auto"/>
        <w:ind w:left="720" w:hanging="720"/>
        <w:rPr>
          <w:rFonts w:ascii="Arial" w:eastAsia="Calibri" w:hAnsi="Arial" w:cs="Arial"/>
          <w:b/>
        </w:rPr>
      </w:pPr>
      <w:r w:rsidRPr="00BF20CF">
        <w:rPr>
          <w:rFonts w:ascii="Arial" w:eastAsia="Calibri" w:hAnsi="Arial" w:cs="Arial"/>
          <w:b/>
        </w:rPr>
        <w:t>Ref:</w:t>
      </w:r>
      <w:r w:rsidRPr="00BF20CF">
        <w:rPr>
          <w:rFonts w:ascii="Arial" w:eastAsia="Calibri" w:hAnsi="Arial" w:cs="Arial"/>
          <w:b/>
        </w:rPr>
        <w:tab/>
      </w:r>
      <w:r w:rsidR="006E0CFC" w:rsidRPr="00BF20CF">
        <w:rPr>
          <w:rFonts w:ascii="Arial" w:eastAsia="Calibri" w:hAnsi="Arial" w:cs="Arial"/>
          <w:b/>
        </w:rPr>
        <w:t xml:space="preserve">Updated </w:t>
      </w:r>
      <w:r w:rsidRPr="00BF20CF">
        <w:rPr>
          <w:rFonts w:ascii="Arial" w:eastAsia="Calibri" w:hAnsi="Arial" w:cs="Arial"/>
          <w:b/>
        </w:rPr>
        <w:t>Exhibit 1/Tab 1/Schedule 10/pp. 12-1</w:t>
      </w:r>
      <w:r w:rsidR="006E0CFC" w:rsidRPr="00BF20CF">
        <w:rPr>
          <w:rFonts w:ascii="Arial" w:eastAsia="Calibri" w:hAnsi="Arial" w:cs="Arial"/>
          <w:b/>
        </w:rPr>
        <w:t>7</w:t>
      </w:r>
      <w:r w:rsidRPr="00BF20CF">
        <w:rPr>
          <w:rFonts w:ascii="Arial" w:eastAsia="Calibri" w:hAnsi="Arial" w:cs="Arial"/>
          <w:b/>
        </w:rPr>
        <w:br/>
        <w:t xml:space="preserve">FORTISBC Inc. Multi-Year Performance Based Ratemaking Plan </w:t>
      </w:r>
      <w:proofErr w:type="gramStart"/>
      <w:r w:rsidRPr="00BF20CF">
        <w:rPr>
          <w:rFonts w:ascii="Arial" w:eastAsia="Calibri" w:hAnsi="Arial" w:cs="Arial"/>
          <w:b/>
        </w:rPr>
        <w:t>For</w:t>
      </w:r>
      <w:proofErr w:type="gramEnd"/>
      <w:r w:rsidRPr="00BF20CF">
        <w:rPr>
          <w:rFonts w:ascii="Arial" w:eastAsia="Calibri" w:hAnsi="Arial" w:cs="Arial"/>
          <w:b/>
        </w:rPr>
        <w:t xml:space="preserve"> 2014 Through 2018, Decision, September 15, 2014</w:t>
      </w:r>
      <w:r w:rsidRPr="00BF20CF">
        <w:rPr>
          <w:rFonts w:ascii="Arial" w:eastAsia="Calibri" w:hAnsi="Arial" w:cs="Arial"/>
          <w:b/>
        </w:rPr>
        <w:br/>
        <w:t>FORTISBC Energy Inc. Multi-Year Performance Based Ratemaking Plan For 2014 Through 2018, Decision, September 15, 2014</w:t>
      </w:r>
    </w:p>
    <w:p w14:paraId="48E21854"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24CC1AA5" w14:textId="039E7DD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On pages 12 to 16 of this exhibit, Hydro Ottawa documents its calculation of the CPEF and its components of inflation (I), X (base productivity and stretch) and growth (g). </w:t>
      </w:r>
      <w:r w:rsidR="00A66813" w:rsidRPr="00BF20CF">
        <w:rPr>
          <w:rFonts w:ascii="Arial" w:eastAsia="Calibri" w:hAnsi="Arial" w:cs="Arial"/>
        </w:rPr>
        <w:t>On pages</w:t>
      </w:r>
      <w:r w:rsidRPr="00BF20CF">
        <w:rPr>
          <w:rFonts w:ascii="Arial" w:eastAsia="Calibri" w:hAnsi="Arial" w:cs="Arial"/>
        </w:rPr>
        <w:t xml:space="preserve"> 15-16, tables for the forecasted inflation for the CPEF are provided:</w:t>
      </w:r>
    </w:p>
    <w:p w14:paraId="4526F466" w14:textId="77777777" w:rsidR="007509C7" w:rsidRPr="00BF20CF" w:rsidRDefault="007509C7" w:rsidP="003041BF">
      <w:pPr>
        <w:spacing w:after="160" w:line="259" w:lineRule="auto"/>
        <w:jc w:val="center"/>
        <w:rPr>
          <w:rFonts w:ascii="Arial" w:eastAsia="Calibri" w:hAnsi="Arial" w:cs="Arial"/>
        </w:rPr>
      </w:pPr>
      <w:r w:rsidRPr="00BF20CF">
        <w:rPr>
          <w:rFonts w:ascii="Calibri" w:eastAsia="Calibri" w:hAnsi="Calibri"/>
          <w:noProof/>
          <w:sz w:val="22"/>
          <w:szCs w:val="22"/>
        </w:rPr>
        <w:lastRenderedPageBreak/>
        <w:drawing>
          <wp:inline distT="0" distB="0" distL="0" distR="0" wp14:anchorId="73747B7B" wp14:editId="56B220E2">
            <wp:extent cx="3856901" cy="711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4714" cy="7129589"/>
                    </a:xfrm>
                    <a:prstGeom prst="rect">
                      <a:avLst/>
                    </a:prstGeom>
                    <a:noFill/>
                    <a:ln>
                      <a:noFill/>
                    </a:ln>
                  </pic:spPr>
                </pic:pic>
              </a:graphicData>
            </a:graphic>
          </wp:inline>
        </w:drawing>
      </w:r>
    </w:p>
    <w:p w14:paraId="027AB956" w14:textId="11728922"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On page</w:t>
      </w:r>
      <w:r w:rsidR="006E0CFC" w:rsidRPr="00BF20CF">
        <w:rPr>
          <w:rFonts w:ascii="Arial" w:eastAsia="Calibri" w:hAnsi="Arial" w:cs="Arial"/>
        </w:rPr>
        <w:t xml:space="preserve"> 17</w:t>
      </w:r>
      <w:r w:rsidRPr="00BF20CF">
        <w:rPr>
          <w:rFonts w:ascii="Arial" w:eastAsia="Calibri" w:hAnsi="Arial" w:cs="Arial"/>
        </w:rPr>
        <w:t>, Hydro Ottawa states that:</w:t>
      </w:r>
    </w:p>
    <w:p w14:paraId="3924C846" w14:textId="77777777" w:rsidR="007509C7" w:rsidRPr="00BF20CF" w:rsidRDefault="007509C7" w:rsidP="003041BF">
      <w:pPr>
        <w:spacing w:before="240" w:after="120" w:line="276" w:lineRule="auto"/>
        <w:ind w:left="720" w:right="720"/>
        <w:rPr>
          <w:rFonts w:ascii="Arial" w:eastAsia="Calibri" w:hAnsi="Arial" w:cs="Arial"/>
        </w:rPr>
      </w:pPr>
      <w:r w:rsidRPr="00BF20CF">
        <w:rPr>
          <w:rFonts w:ascii="Arial" w:eastAsia="Calibri" w:hAnsi="Arial" w:cs="Arial"/>
        </w:rPr>
        <w:t>Hydro Ottawa does not intend to update the inflation factor over the course of its 2021-2025 rate term.</w:t>
      </w:r>
    </w:p>
    <w:p w14:paraId="5323E977" w14:textId="19470A5E"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lastRenderedPageBreak/>
        <w:t>Question</w:t>
      </w:r>
      <w:r w:rsidR="003041BF" w:rsidRPr="00BF20CF">
        <w:rPr>
          <w:rFonts w:ascii="Arial" w:eastAsia="Calibri" w:hAnsi="Arial" w:cs="Arial"/>
        </w:rPr>
        <w:t>(s)</w:t>
      </w:r>
      <w:r w:rsidRPr="00BF20CF">
        <w:rPr>
          <w:rFonts w:ascii="Arial" w:eastAsia="Calibri" w:hAnsi="Arial" w:cs="Arial"/>
        </w:rPr>
        <w:t>:</w:t>
      </w:r>
    </w:p>
    <w:p w14:paraId="23C06861" w14:textId="36D3FD64" w:rsidR="007509C7" w:rsidRPr="00BF20CF" w:rsidRDefault="007509C7" w:rsidP="00876E97">
      <w:pPr>
        <w:numPr>
          <w:ilvl w:val="0"/>
          <w:numId w:val="7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For which years are data actuals as opposed to forecasts</w:t>
      </w:r>
      <w:r w:rsidR="000A31AC" w:rsidRPr="00BF20CF">
        <w:rPr>
          <w:rFonts w:ascii="Arial" w:hAnsi="Arial" w:cs="Arial"/>
          <w:lang w:val="en-CA"/>
        </w:rPr>
        <w:t>?</w:t>
      </w:r>
    </w:p>
    <w:p w14:paraId="1365E976" w14:textId="77777777" w:rsidR="007D32E1" w:rsidRPr="00BF20CF" w:rsidRDefault="007D32E1" w:rsidP="007D32E1">
      <w:pPr>
        <w:autoSpaceDE w:val="0"/>
        <w:autoSpaceDN w:val="0"/>
        <w:adjustRightInd w:val="0"/>
        <w:spacing w:before="240" w:after="120" w:line="276" w:lineRule="auto"/>
        <w:ind w:left="720"/>
        <w:contextualSpacing/>
        <w:rPr>
          <w:rFonts w:ascii="Arial" w:hAnsi="Arial" w:cs="Arial"/>
          <w:lang w:val="en-CA"/>
        </w:rPr>
      </w:pPr>
    </w:p>
    <w:p w14:paraId="2771052A" w14:textId="78C3FFFC" w:rsidR="007509C7" w:rsidRPr="00BF20CF" w:rsidRDefault="007509C7" w:rsidP="00876E97">
      <w:pPr>
        <w:numPr>
          <w:ilvl w:val="0"/>
          <w:numId w:val="7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For Tables 4 and 5, the source identified is the Conference Board of Canada. Are all data from the Conference Board of Canada? If not, please identify the source for each datum.</w:t>
      </w:r>
    </w:p>
    <w:p w14:paraId="12406E78" w14:textId="653B513C" w:rsidR="007D32E1" w:rsidRPr="00BF20CF" w:rsidRDefault="007D32E1" w:rsidP="007D32E1">
      <w:pPr>
        <w:autoSpaceDE w:val="0"/>
        <w:autoSpaceDN w:val="0"/>
        <w:adjustRightInd w:val="0"/>
        <w:spacing w:before="240" w:after="120" w:line="276" w:lineRule="auto"/>
        <w:ind w:left="720"/>
        <w:contextualSpacing/>
        <w:rPr>
          <w:rFonts w:ascii="Arial" w:hAnsi="Arial" w:cs="Arial"/>
          <w:lang w:val="en-CA"/>
        </w:rPr>
      </w:pPr>
    </w:p>
    <w:p w14:paraId="35DFF161" w14:textId="6742C786" w:rsidR="007509C7" w:rsidRPr="00BF20CF" w:rsidRDefault="007509C7" w:rsidP="00876E97">
      <w:pPr>
        <w:numPr>
          <w:ilvl w:val="0"/>
          <w:numId w:val="7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provide the source of the Conference Board of Canada forecast, and the date of the forecast.</w:t>
      </w:r>
    </w:p>
    <w:p w14:paraId="07ED4284" w14:textId="5C66FCE5" w:rsidR="007D32E1" w:rsidRPr="00BF20CF" w:rsidRDefault="007D32E1" w:rsidP="007D32E1">
      <w:pPr>
        <w:autoSpaceDE w:val="0"/>
        <w:autoSpaceDN w:val="0"/>
        <w:adjustRightInd w:val="0"/>
        <w:spacing w:before="240" w:after="120" w:line="276" w:lineRule="auto"/>
        <w:ind w:left="720"/>
        <w:contextualSpacing/>
        <w:rPr>
          <w:rFonts w:ascii="Arial" w:hAnsi="Arial" w:cs="Arial"/>
          <w:lang w:val="en-CA"/>
        </w:rPr>
      </w:pPr>
    </w:p>
    <w:p w14:paraId="6B3BD6E6" w14:textId="0F55BB31" w:rsidR="007509C7" w:rsidRPr="00BF20CF" w:rsidRDefault="007509C7" w:rsidP="00876E97">
      <w:pPr>
        <w:numPr>
          <w:ilvl w:val="0"/>
          <w:numId w:val="7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In Table 4, what is the derivation of the Adjusted GDP-IPI shown in the right-most column?</w:t>
      </w:r>
    </w:p>
    <w:p w14:paraId="66FAEDC3" w14:textId="37A7E2CF" w:rsidR="007D32E1" w:rsidRPr="00BF20CF" w:rsidRDefault="007D32E1" w:rsidP="007D32E1">
      <w:pPr>
        <w:autoSpaceDE w:val="0"/>
        <w:autoSpaceDN w:val="0"/>
        <w:adjustRightInd w:val="0"/>
        <w:spacing w:before="240" w:after="120" w:line="276" w:lineRule="auto"/>
        <w:ind w:left="720"/>
        <w:contextualSpacing/>
        <w:rPr>
          <w:rFonts w:ascii="Arial" w:hAnsi="Arial" w:cs="Arial"/>
          <w:lang w:val="en-CA"/>
        </w:rPr>
      </w:pPr>
    </w:p>
    <w:p w14:paraId="71B02C63" w14:textId="28861254" w:rsidR="007509C7" w:rsidRPr="00BF20CF" w:rsidRDefault="007509C7" w:rsidP="00876E97">
      <w:pPr>
        <w:numPr>
          <w:ilvl w:val="0"/>
          <w:numId w:val="7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In Table 5, what is the derivation of the Adjusted AWE shown in the right-</w:t>
      </w:r>
      <w:r w:rsidR="001C211A" w:rsidRPr="00BF20CF">
        <w:rPr>
          <w:rFonts w:ascii="Arial" w:hAnsi="Arial" w:cs="Arial"/>
          <w:lang w:val="en-CA"/>
        </w:rPr>
        <w:t>most</w:t>
      </w:r>
      <w:r w:rsidRPr="00BF20CF">
        <w:rPr>
          <w:rFonts w:ascii="Arial" w:hAnsi="Arial" w:cs="Arial"/>
          <w:lang w:val="en-CA"/>
        </w:rPr>
        <w:t xml:space="preserve"> column?</w:t>
      </w:r>
    </w:p>
    <w:p w14:paraId="3A79F569" w14:textId="39998BD3" w:rsidR="007D32E1" w:rsidRPr="00BF20CF" w:rsidRDefault="007D32E1" w:rsidP="007D32E1">
      <w:pPr>
        <w:autoSpaceDE w:val="0"/>
        <w:autoSpaceDN w:val="0"/>
        <w:adjustRightInd w:val="0"/>
        <w:spacing w:before="240" w:after="120" w:line="276" w:lineRule="auto"/>
        <w:ind w:left="720"/>
        <w:contextualSpacing/>
        <w:rPr>
          <w:rFonts w:ascii="Arial" w:hAnsi="Arial" w:cs="Arial"/>
          <w:lang w:val="en-CA"/>
        </w:rPr>
      </w:pPr>
    </w:p>
    <w:p w14:paraId="0EA3D578" w14:textId="7DACC6BB" w:rsidR="007509C7" w:rsidRPr="00BF20CF" w:rsidRDefault="007509C7" w:rsidP="00876E97">
      <w:pPr>
        <w:numPr>
          <w:ilvl w:val="0"/>
          <w:numId w:val="7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In Table 6, OEB staff observe</w:t>
      </w:r>
      <w:r w:rsidR="00F36397" w:rsidRPr="00BF20CF">
        <w:rPr>
          <w:rFonts w:ascii="Arial" w:hAnsi="Arial" w:cs="Arial"/>
          <w:lang w:val="en-CA"/>
        </w:rPr>
        <w:t>s</w:t>
      </w:r>
      <w:r w:rsidRPr="00BF20CF">
        <w:rPr>
          <w:rFonts w:ascii="Arial" w:hAnsi="Arial" w:cs="Arial"/>
          <w:lang w:val="en-CA"/>
        </w:rPr>
        <w:t xml:space="preserve"> that it is the Adjusted GDP-IPI and Adjusted AWE which are used to calculate the inflation factor. </w:t>
      </w:r>
      <w:proofErr w:type="gramStart"/>
      <w:r w:rsidRPr="00BF20CF">
        <w:rPr>
          <w:rFonts w:ascii="Arial" w:hAnsi="Arial" w:cs="Arial"/>
          <w:lang w:val="en-CA"/>
        </w:rPr>
        <w:t xml:space="preserve">Why  </w:t>
      </w:r>
      <w:r w:rsidR="000A31AC" w:rsidRPr="00BF20CF">
        <w:rPr>
          <w:rFonts w:ascii="Arial" w:hAnsi="Arial" w:cs="Arial"/>
          <w:lang w:val="en-CA"/>
        </w:rPr>
        <w:t>has</w:t>
      </w:r>
      <w:proofErr w:type="gramEnd"/>
      <w:r w:rsidR="000A31AC" w:rsidRPr="00BF20CF">
        <w:rPr>
          <w:rFonts w:ascii="Arial" w:hAnsi="Arial" w:cs="Arial"/>
          <w:lang w:val="en-CA"/>
        </w:rPr>
        <w:t xml:space="preserve"> </w:t>
      </w:r>
      <w:r w:rsidRPr="00BF20CF">
        <w:rPr>
          <w:rFonts w:ascii="Arial" w:hAnsi="Arial" w:cs="Arial"/>
          <w:lang w:val="en-CA"/>
        </w:rPr>
        <w:t>Hydro Ottawa used the adjusted data rather that the unadjusted data? Also, what is the formula for calculating the inflation factor shown in the right-most column?</w:t>
      </w:r>
    </w:p>
    <w:p w14:paraId="2AC83C9A" w14:textId="734B1E5F" w:rsidR="007D32E1" w:rsidRPr="00BF20CF" w:rsidRDefault="007D32E1" w:rsidP="007D32E1">
      <w:pPr>
        <w:autoSpaceDE w:val="0"/>
        <w:autoSpaceDN w:val="0"/>
        <w:adjustRightInd w:val="0"/>
        <w:spacing w:before="240" w:after="120" w:line="276" w:lineRule="auto"/>
        <w:ind w:left="720"/>
        <w:contextualSpacing/>
        <w:rPr>
          <w:rFonts w:ascii="Arial" w:hAnsi="Arial" w:cs="Arial"/>
          <w:lang w:val="en-CA"/>
        </w:rPr>
      </w:pPr>
    </w:p>
    <w:p w14:paraId="3E4107AE" w14:textId="34FF69E0" w:rsidR="007509C7" w:rsidRPr="00BF20CF" w:rsidRDefault="007509C7" w:rsidP="00876E97">
      <w:pPr>
        <w:numPr>
          <w:ilvl w:val="0"/>
          <w:numId w:val="7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On an assumption that 2017 and 2018 data are actuals, OEB staff </w:t>
      </w:r>
      <w:r w:rsidR="0045028B" w:rsidRPr="00BF20CF">
        <w:rPr>
          <w:rFonts w:ascii="Arial" w:hAnsi="Arial" w:cs="Arial"/>
          <w:lang w:val="en-CA"/>
        </w:rPr>
        <w:t xml:space="preserve">has </w:t>
      </w:r>
      <w:r w:rsidRPr="00BF20CF">
        <w:rPr>
          <w:rFonts w:ascii="Arial" w:hAnsi="Arial" w:cs="Arial"/>
          <w:lang w:val="en-CA"/>
        </w:rPr>
        <w:t>prepared the following table comparing the (unadjusted) GDP-IPI and AWE from Tables 4 and 5 against the same variables as published by Statistics Canada and used in the calculation of the distribution Input Price Index for 2020 IRM and Custom IR applications. The Statistics Canada data were downloaded on September 13, 2019.</w:t>
      </w:r>
      <w:r w:rsidRPr="00BF20CF">
        <w:rPr>
          <w:rFonts w:ascii="Arial" w:hAnsi="Arial" w:cs="Arial"/>
          <w:lang w:val="en-CA"/>
        </w:rPr>
        <w:br/>
      </w:r>
    </w:p>
    <w:p w14:paraId="5FD062B2" w14:textId="77777777" w:rsidR="007509C7" w:rsidRPr="00BF20CF" w:rsidRDefault="007509C7" w:rsidP="003041BF">
      <w:pPr>
        <w:autoSpaceDE w:val="0"/>
        <w:autoSpaceDN w:val="0"/>
        <w:adjustRightInd w:val="0"/>
        <w:spacing w:before="240" w:after="120" w:line="276" w:lineRule="auto"/>
        <w:ind w:left="720"/>
        <w:contextualSpacing/>
        <w:jc w:val="center"/>
        <w:rPr>
          <w:rFonts w:ascii="Arial" w:hAnsi="Arial" w:cs="Arial"/>
          <w:b/>
          <w:lang w:val="en-CA"/>
        </w:rPr>
      </w:pPr>
      <w:r w:rsidRPr="00BF20CF">
        <w:rPr>
          <w:rFonts w:ascii="Arial" w:hAnsi="Arial" w:cs="Arial"/>
          <w:b/>
          <w:lang w:val="en-CA"/>
        </w:rPr>
        <w:t>Table 1-Staff-5-1</w:t>
      </w:r>
    </w:p>
    <w:tbl>
      <w:tblPr>
        <w:tblStyle w:val="TableGrid1"/>
        <w:tblW w:w="0" w:type="auto"/>
        <w:tblInd w:w="625" w:type="dxa"/>
        <w:tblLook w:val="04A0" w:firstRow="1" w:lastRow="0" w:firstColumn="1" w:lastColumn="0" w:noHBand="0" w:noVBand="1"/>
      </w:tblPr>
      <w:tblGrid>
        <w:gridCol w:w="1096"/>
        <w:gridCol w:w="1734"/>
        <w:gridCol w:w="1734"/>
        <w:gridCol w:w="1722"/>
        <w:gridCol w:w="1719"/>
      </w:tblGrid>
      <w:tr w:rsidR="007509C7" w:rsidRPr="00BF20CF" w14:paraId="758228DA" w14:textId="77777777" w:rsidTr="0086688A">
        <w:tc>
          <w:tcPr>
            <w:tcW w:w="1096" w:type="dxa"/>
            <w:vMerge w:val="restart"/>
          </w:tcPr>
          <w:p w14:paraId="58672140" w14:textId="77777777" w:rsidR="007509C7" w:rsidRPr="00BF20CF" w:rsidRDefault="007509C7" w:rsidP="003041BF">
            <w:pPr>
              <w:rPr>
                <w:rFonts w:cs="Arial"/>
                <w:b/>
              </w:rPr>
            </w:pPr>
            <w:r w:rsidRPr="00BF20CF">
              <w:rPr>
                <w:rFonts w:cs="Arial"/>
                <w:b/>
              </w:rPr>
              <w:t>Year</w:t>
            </w:r>
          </w:p>
        </w:tc>
        <w:tc>
          <w:tcPr>
            <w:tcW w:w="3468" w:type="dxa"/>
            <w:gridSpan w:val="2"/>
          </w:tcPr>
          <w:p w14:paraId="0773853F" w14:textId="77777777" w:rsidR="007509C7" w:rsidRPr="00BF20CF" w:rsidRDefault="007509C7" w:rsidP="003041BF">
            <w:pPr>
              <w:jc w:val="center"/>
              <w:rPr>
                <w:rFonts w:cs="Arial"/>
                <w:b/>
              </w:rPr>
            </w:pPr>
            <w:r w:rsidRPr="00BF20CF">
              <w:rPr>
                <w:rFonts w:cs="Arial"/>
                <w:b/>
              </w:rPr>
              <w:t>Hydro Ottawa’s data from</w:t>
            </w:r>
          </w:p>
          <w:p w14:paraId="75CB7210" w14:textId="77777777" w:rsidR="007509C7" w:rsidRPr="00BF20CF" w:rsidRDefault="007509C7" w:rsidP="003041BF">
            <w:pPr>
              <w:jc w:val="center"/>
              <w:rPr>
                <w:rFonts w:cs="Arial"/>
                <w:b/>
              </w:rPr>
            </w:pPr>
            <w:r w:rsidRPr="00BF20CF">
              <w:rPr>
                <w:rFonts w:cs="Arial"/>
                <w:b/>
              </w:rPr>
              <w:t xml:space="preserve"> Tables 4 and 5</w:t>
            </w:r>
          </w:p>
        </w:tc>
        <w:tc>
          <w:tcPr>
            <w:tcW w:w="3441" w:type="dxa"/>
            <w:gridSpan w:val="2"/>
          </w:tcPr>
          <w:p w14:paraId="18E3C826" w14:textId="77777777" w:rsidR="007509C7" w:rsidRPr="00BF20CF" w:rsidRDefault="007509C7" w:rsidP="003041BF">
            <w:pPr>
              <w:jc w:val="center"/>
              <w:rPr>
                <w:rFonts w:cs="Arial"/>
                <w:b/>
              </w:rPr>
            </w:pPr>
            <w:r w:rsidRPr="00BF20CF">
              <w:rPr>
                <w:rFonts w:cs="Arial"/>
                <w:b/>
              </w:rPr>
              <w:t>Statistics Canada data used for OEB 2020 IPI Calculation</w:t>
            </w:r>
          </w:p>
        </w:tc>
      </w:tr>
      <w:tr w:rsidR="007509C7" w:rsidRPr="00BF20CF" w14:paraId="6E5B8FA2" w14:textId="77777777" w:rsidTr="0086688A">
        <w:tc>
          <w:tcPr>
            <w:tcW w:w="1096" w:type="dxa"/>
            <w:vMerge/>
          </w:tcPr>
          <w:p w14:paraId="1D66253D" w14:textId="77777777" w:rsidR="007509C7" w:rsidRPr="00BF20CF" w:rsidRDefault="007509C7" w:rsidP="003041BF">
            <w:pPr>
              <w:rPr>
                <w:rFonts w:cs="Arial"/>
                <w:b/>
              </w:rPr>
            </w:pPr>
          </w:p>
        </w:tc>
        <w:tc>
          <w:tcPr>
            <w:tcW w:w="1734" w:type="dxa"/>
          </w:tcPr>
          <w:p w14:paraId="72AF5A51" w14:textId="77777777" w:rsidR="007509C7" w:rsidRPr="00BF20CF" w:rsidRDefault="007509C7" w:rsidP="003041BF">
            <w:pPr>
              <w:jc w:val="center"/>
              <w:rPr>
                <w:rFonts w:cs="Arial"/>
                <w:b/>
              </w:rPr>
            </w:pPr>
            <w:r w:rsidRPr="00BF20CF">
              <w:rPr>
                <w:rFonts w:cs="Arial"/>
                <w:b/>
              </w:rPr>
              <w:t>GDP-IPI</w:t>
            </w:r>
          </w:p>
        </w:tc>
        <w:tc>
          <w:tcPr>
            <w:tcW w:w="1734" w:type="dxa"/>
          </w:tcPr>
          <w:p w14:paraId="4C28C85E" w14:textId="77777777" w:rsidR="007509C7" w:rsidRPr="00BF20CF" w:rsidRDefault="007509C7" w:rsidP="003041BF">
            <w:pPr>
              <w:jc w:val="center"/>
              <w:rPr>
                <w:rFonts w:cs="Arial"/>
                <w:b/>
              </w:rPr>
            </w:pPr>
            <w:r w:rsidRPr="00BF20CF">
              <w:rPr>
                <w:rFonts w:cs="Arial"/>
                <w:b/>
              </w:rPr>
              <w:t>AWE</w:t>
            </w:r>
          </w:p>
        </w:tc>
        <w:tc>
          <w:tcPr>
            <w:tcW w:w="1722" w:type="dxa"/>
          </w:tcPr>
          <w:p w14:paraId="539B8A33" w14:textId="77777777" w:rsidR="007509C7" w:rsidRPr="00BF20CF" w:rsidRDefault="007509C7" w:rsidP="003041BF">
            <w:pPr>
              <w:jc w:val="center"/>
              <w:rPr>
                <w:rFonts w:cs="Arial"/>
                <w:b/>
              </w:rPr>
            </w:pPr>
            <w:r w:rsidRPr="00BF20CF">
              <w:rPr>
                <w:rFonts w:cs="Arial"/>
                <w:b/>
              </w:rPr>
              <w:t>GDP-IPI</w:t>
            </w:r>
          </w:p>
        </w:tc>
        <w:tc>
          <w:tcPr>
            <w:tcW w:w="1719" w:type="dxa"/>
          </w:tcPr>
          <w:p w14:paraId="1111AE62" w14:textId="77777777" w:rsidR="007509C7" w:rsidRPr="00BF20CF" w:rsidRDefault="007509C7" w:rsidP="003041BF">
            <w:pPr>
              <w:jc w:val="center"/>
              <w:rPr>
                <w:rFonts w:cs="Arial"/>
                <w:b/>
              </w:rPr>
            </w:pPr>
            <w:r w:rsidRPr="00BF20CF">
              <w:rPr>
                <w:rFonts w:cs="Arial"/>
                <w:b/>
              </w:rPr>
              <w:t>AWE</w:t>
            </w:r>
          </w:p>
        </w:tc>
      </w:tr>
      <w:tr w:rsidR="007509C7" w:rsidRPr="00BF20CF" w14:paraId="097B5F72" w14:textId="77777777" w:rsidTr="0086688A">
        <w:tc>
          <w:tcPr>
            <w:tcW w:w="1096" w:type="dxa"/>
            <w:vMerge/>
          </w:tcPr>
          <w:p w14:paraId="49A2363B" w14:textId="77777777" w:rsidR="007509C7" w:rsidRPr="00BF20CF" w:rsidRDefault="007509C7" w:rsidP="003041BF">
            <w:pPr>
              <w:rPr>
                <w:rFonts w:cs="Arial"/>
                <w:b/>
              </w:rPr>
            </w:pPr>
          </w:p>
        </w:tc>
        <w:tc>
          <w:tcPr>
            <w:tcW w:w="6909" w:type="dxa"/>
            <w:gridSpan w:val="4"/>
          </w:tcPr>
          <w:p w14:paraId="6F07635A" w14:textId="77777777" w:rsidR="007509C7" w:rsidRPr="00BF20CF" w:rsidRDefault="007509C7" w:rsidP="003041BF">
            <w:pPr>
              <w:jc w:val="center"/>
              <w:rPr>
                <w:rFonts w:cs="Arial"/>
                <w:b/>
              </w:rPr>
            </w:pPr>
            <w:r w:rsidRPr="00BF20CF">
              <w:rPr>
                <w:rFonts w:cs="Arial"/>
                <w:b/>
              </w:rPr>
              <w:t>Annual % Change</w:t>
            </w:r>
          </w:p>
        </w:tc>
      </w:tr>
      <w:tr w:rsidR="007509C7" w:rsidRPr="00BF20CF" w14:paraId="3535D56E" w14:textId="77777777" w:rsidTr="0086688A">
        <w:tc>
          <w:tcPr>
            <w:tcW w:w="1096" w:type="dxa"/>
          </w:tcPr>
          <w:p w14:paraId="5D0953AE" w14:textId="77777777" w:rsidR="007509C7" w:rsidRPr="00BF20CF" w:rsidRDefault="007509C7" w:rsidP="003041BF">
            <w:pPr>
              <w:rPr>
                <w:rFonts w:cs="Arial"/>
                <w:b/>
              </w:rPr>
            </w:pPr>
            <w:r w:rsidRPr="00BF20CF">
              <w:rPr>
                <w:rFonts w:cs="Arial"/>
                <w:b/>
              </w:rPr>
              <w:t>2017</w:t>
            </w:r>
          </w:p>
        </w:tc>
        <w:tc>
          <w:tcPr>
            <w:tcW w:w="1734" w:type="dxa"/>
          </w:tcPr>
          <w:p w14:paraId="49DC2E0D" w14:textId="77777777" w:rsidR="007509C7" w:rsidRPr="00BF20CF" w:rsidRDefault="007509C7" w:rsidP="003041BF">
            <w:pPr>
              <w:jc w:val="center"/>
              <w:rPr>
                <w:rFonts w:cs="Arial"/>
              </w:rPr>
            </w:pPr>
            <w:r w:rsidRPr="00BF20CF">
              <w:rPr>
                <w:rFonts w:cs="Arial"/>
              </w:rPr>
              <w:t>2.50%</w:t>
            </w:r>
          </w:p>
        </w:tc>
        <w:tc>
          <w:tcPr>
            <w:tcW w:w="1734" w:type="dxa"/>
          </w:tcPr>
          <w:p w14:paraId="1EDF7B85" w14:textId="77777777" w:rsidR="007509C7" w:rsidRPr="00BF20CF" w:rsidRDefault="007509C7" w:rsidP="003041BF">
            <w:pPr>
              <w:jc w:val="center"/>
              <w:rPr>
                <w:rFonts w:cs="Arial"/>
              </w:rPr>
            </w:pPr>
            <w:r w:rsidRPr="00BF20CF">
              <w:rPr>
                <w:rFonts w:cs="Arial"/>
              </w:rPr>
              <w:t>0.82%</w:t>
            </w:r>
          </w:p>
        </w:tc>
        <w:tc>
          <w:tcPr>
            <w:tcW w:w="1722" w:type="dxa"/>
          </w:tcPr>
          <w:p w14:paraId="7E926C23" w14:textId="77777777" w:rsidR="007509C7" w:rsidRPr="00BF20CF" w:rsidRDefault="007509C7" w:rsidP="003041BF">
            <w:pPr>
              <w:jc w:val="center"/>
              <w:rPr>
                <w:rFonts w:cs="Arial"/>
              </w:rPr>
            </w:pPr>
            <w:r w:rsidRPr="00BF20CF">
              <w:rPr>
                <w:rFonts w:cs="Arial"/>
              </w:rPr>
              <w:t>1.4%</w:t>
            </w:r>
          </w:p>
        </w:tc>
        <w:tc>
          <w:tcPr>
            <w:tcW w:w="1719" w:type="dxa"/>
          </w:tcPr>
          <w:p w14:paraId="524B7E37" w14:textId="77777777" w:rsidR="007509C7" w:rsidRPr="00BF20CF" w:rsidRDefault="007509C7" w:rsidP="003041BF">
            <w:pPr>
              <w:jc w:val="center"/>
              <w:rPr>
                <w:rFonts w:cs="Arial"/>
              </w:rPr>
            </w:pPr>
            <w:r w:rsidRPr="00BF20CF">
              <w:rPr>
                <w:rFonts w:cs="Arial"/>
              </w:rPr>
              <w:t>1.9%</w:t>
            </w:r>
          </w:p>
        </w:tc>
      </w:tr>
      <w:tr w:rsidR="007509C7" w:rsidRPr="00BF20CF" w14:paraId="62A290A8" w14:textId="77777777" w:rsidTr="0086688A">
        <w:tc>
          <w:tcPr>
            <w:tcW w:w="1096" w:type="dxa"/>
          </w:tcPr>
          <w:p w14:paraId="6D49A171" w14:textId="77777777" w:rsidR="007509C7" w:rsidRPr="00BF20CF" w:rsidRDefault="007509C7" w:rsidP="003041BF">
            <w:pPr>
              <w:rPr>
                <w:rFonts w:cs="Arial"/>
                <w:b/>
              </w:rPr>
            </w:pPr>
            <w:r w:rsidRPr="00BF20CF">
              <w:rPr>
                <w:rFonts w:cs="Arial"/>
                <w:b/>
              </w:rPr>
              <w:t>2018</w:t>
            </w:r>
          </w:p>
        </w:tc>
        <w:tc>
          <w:tcPr>
            <w:tcW w:w="1734" w:type="dxa"/>
          </w:tcPr>
          <w:p w14:paraId="3CC36D01" w14:textId="77777777" w:rsidR="007509C7" w:rsidRPr="00BF20CF" w:rsidRDefault="007509C7" w:rsidP="003041BF">
            <w:pPr>
              <w:jc w:val="center"/>
              <w:rPr>
                <w:rFonts w:cs="Arial"/>
              </w:rPr>
            </w:pPr>
            <w:r w:rsidRPr="00BF20CF">
              <w:rPr>
                <w:rFonts w:cs="Arial"/>
              </w:rPr>
              <w:t>1.67%</w:t>
            </w:r>
          </w:p>
        </w:tc>
        <w:tc>
          <w:tcPr>
            <w:tcW w:w="1734" w:type="dxa"/>
          </w:tcPr>
          <w:p w14:paraId="30398A11" w14:textId="77777777" w:rsidR="007509C7" w:rsidRPr="00BF20CF" w:rsidRDefault="007509C7" w:rsidP="003041BF">
            <w:pPr>
              <w:jc w:val="center"/>
              <w:rPr>
                <w:rFonts w:cs="Arial"/>
              </w:rPr>
            </w:pPr>
            <w:r w:rsidRPr="00BF20CF">
              <w:rPr>
                <w:rFonts w:cs="Arial"/>
              </w:rPr>
              <w:t>3.40%</w:t>
            </w:r>
          </w:p>
        </w:tc>
        <w:tc>
          <w:tcPr>
            <w:tcW w:w="1722" w:type="dxa"/>
          </w:tcPr>
          <w:p w14:paraId="2A728BB0" w14:textId="77777777" w:rsidR="007509C7" w:rsidRPr="00BF20CF" w:rsidRDefault="007509C7" w:rsidP="003041BF">
            <w:pPr>
              <w:jc w:val="center"/>
              <w:rPr>
                <w:rFonts w:cs="Arial"/>
              </w:rPr>
            </w:pPr>
            <w:r w:rsidRPr="00BF20CF">
              <w:rPr>
                <w:rFonts w:cs="Arial"/>
              </w:rPr>
              <w:t>1.6%</w:t>
            </w:r>
          </w:p>
        </w:tc>
        <w:tc>
          <w:tcPr>
            <w:tcW w:w="1719" w:type="dxa"/>
          </w:tcPr>
          <w:p w14:paraId="0765ACCB" w14:textId="77777777" w:rsidR="007509C7" w:rsidRPr="00BF20CF" w:rsidRDefault="007509C7" w:rsidP="003041BF">
            <w:pPr>
              <w:jc w:val="center"/>
              <w:rPr>
                <w:rFonts w:cs="Arial"/>
              </w:rPr>
            </w:pPr>
            <w:r w:rsidRPr="00BF20CF">
              <w:rPr>
                <w:rFonts w:cs="Arial"/>
              </w:rPr>
              <w:t>2.9%</w:t>
            </w:r>
          </w:p>
        </w:tc>
      </w:tr>
    </w:tbl>
    <w:p w14:paraId="11945D9E" w14:textId="77777777" w:rsidR="007509C7" w:rsidRPr="00BF20CF" w:rsidRDefault="007509C7" w:rsidP="003041BF">
      <w:pPr>
        <w:spacing w:after="160" w:line="259" w:lineRule="auto"/>
        <w:rPr>
          <w:rFonts w:ascii="Calibri" w:eastAsia="Calibri" w:hAnsi="Calibri" w:cs="Arial"/>
        </w:rPr>
      </w:pPr>
    </w:p>
    <w:p w14:paraId="03D82F0C" w14:textId="77777777" w:rsidR="007509C7" w:rsidRPr="00BF20CF" w:rsidRDefault="007509C7" w:rsidP="003041BF">
      <w:pPr>
        <w:spacing w:before="240" w:after="120" w:line="276" w:lineRule="auto"/>
        <w:ind w:left="720"/>
        <w:rPr>
          <w:rFonts w:ascii="Arial" w:eastAsia="Calibri" w:hAnsi="Arial" w:cs="Arial"/>
        </w:rPr>
      </w:pPr>
      <w:r w:rsidRPr="00BF20CF">
        <w:rPr>
          <w:rFonts w:ascii="Arial" w:eastAsia="Calibri" w:hAnsi="Arial" w:cs="Arial"/>
        </w:rPr>
        <w:t>On page 14 of this exhibit, Hydro Ottawa documents that it is using the same series as the OEB uses for the Input Price Index calculations:</w:t>
      </w:r>
    </w:p>
    <w:p w14:paraId="17919F20" w14:textId="77777777" w:rsidR="007509C7" w:rsidRPr="00BF20CF" w:rsidRDefault="007509C7" w:rsidP="003041BF">
      <w:pPr>
        <w:spacing w:before="240" w:after="120" w:line="276" w:lineRule="auto"/>
        <w:ind w:left="720" w:right="720"/>
        <w:rPr>
          <w:rFonts w:ascii="Arial" w:eastAsia="Calibri" w:hAnsi="Arial" w:cs="Arial"/>
          <w:i/>
        </w:rPr>
      </w:pPr>
      <w:r w:rsidRPr="00BF20CF">
        <w:rPr>
          <w:rFonts w:ascii="Arial" w:eastAsia="Calibri" w:hAnsi="Arial" w:cs="Arial"/>
          <w:b/>
          <w:i/>
        </w:rPr>
        <w:lastRenderedPageBreak/>
        <w:t>GDP-IPI (FDD)</w:t>
      </w:r>
      <w:r w:rsidRPr="00BF20CF">
        <w:rPr>
          <w:rFonts w:ascii="Arial" w:eastAsia="Calibri" w:hAnsi="Arial" w:cs="Arial"/>
          <w:i/>
        </w:rPr>
        <w:t xml:space="preserve"> is the annual Implicit Price Index for (national) Gross Domestic Product.</w:t>
      </w:r>
    </w:p>
    <w:p w14:paraId="48925834" w14:textId="77777777" w:rsidR="007509C7" w:rsidRPr="00BF20CF" w:rsidRDefault="007509C7" w:rsidP="003041BF">
      <w:pPr>
        <w:spacing w:before="240" w:after="120" w:line="276" w:lineRule="auto"/>
        <w:ind w:left="720" w:right="720"/>
        <w:rPr>
          <w:rFonts w:ascii="Arial" w:eastAsia="Calibri" w:hAnsi="Arial" w:cs="Arial"/>
          <w:i/>
        </w:rPr>
      </w:pPr>
      <w:r w:rsidRPr="00BF20CF">
        <w:rPr>
          <w:rFonts w:ascii="Arial" w:eastAsia="Calibri" w:hAnsi="Arial" w:cs="Arial"/>
          <w:b/>
          <w:i/>
        </w:rPr>
        <w:t>AWE (Ontario)</w:t>
      </w:r>
      <w:r w:rsidRPr="00BF20CF">
        <w:rPr>
          <w:rFonts w:ascii="Arial" w:eastAsia="Calibri" w:hAnsi="Arial" w:cs="Arial"/>
          <w:i/>
        </w:rPr>
        <w:t xml:space="preserve"> is the annual Average Weekly Earnings for Ontario, all businesses except unclassified, including overtime.</w:t>
      </w:r>
    </w:p>
    <w:p w14:paraId="314EAAF8" w14:textId="77777777" w:rsidR="007509C7" w:rsidRPr="00BF20CF" w:rsidRDefault="007509C7" w:rsidP="003041BF">
      <w:pPr>
        <w:spacing w:before="240" w:after="120" w:line="276" w:lineRule="auto"/>
        <w:ind w:left="720"/>
        <w:rPr>
          <w:rFonts w:ascii="Arial" w:eastAsia="Calibri" w:hAnsi="Arial" w:cs="Arial"/>
        </w:rPr>
      </w:pPr>
      <w:r w:rsidRPr="00BF20CF">
        <w:rPr>
          <w:rFonts w:ascii="Arial" w:eastAsia="Calibri" w:hAnsi="Arial" w:cs="Arial"/>
        </w:rPr>
        <w:t>Please explain why Hydro Ottawa’s data vary so much from the published Statistics Canada data used by the OEB in its IPI calculations.</w:t>
      </w:r>
    </w:p>
    <w:p w14:paraId="3201AB09" w14:textId="205D0237" w:rsidR="007509C7" w:rsidRPr="00BF20CF" w:rsidRDefault="007509C7" w:rsidP="00876E97">
      <w:pPr>
        <w:numPr>
          <w:ilvl w:val="0"/>
          <w:numId w:val="7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In support of its growth factor, Hydro Ottawa references decisions from British Columbia, Alberta, and Québec. On</w:t>
      </w:r>
      <w:r w:rsidR="00652EEE" w:rsidRPr="00BF20CF">
        <w:rPr>
          <w:rFonts w:ascii="Arial" w:hAnsi="Arial" w:cs="Arial"/>
          <w:lang w:val="en-CA"/>
        </w:rPr>
        <w:t>e</w:t>
      </w:r>
      <w:r w:rsidRPr="00BF20CF">
        <w:rPr>
          <w:rFonts w:ascii="Arial" w:hAnsi="Arial" w:cs="Arial"/>
          <w:lang w:val="en-CA"/>
        </w:rPr>
        <w:t xml:space="preserve"> of the referenced decisions was a British Columbia Utilities Commission (BCUC) decision for </w:t>
      </w:r>
      <w:proofErr w:type="spellStart"/>
      <w:r w:rsidRPr="00BF20CF">
        <w:rPr>
          <w:rFonts w:ascii="Arial" w:hAnsi="Arial" w:cs="Arial"/>
          <w:lang w:val="en-CA"/>
        </w:rPr>
        <w:t>FortisBC</w:t>
      </w:r>
      <w:proofErr w:type="spellEnd"/>
      <w:r w:rsidRPr="00BF20CF">
        <w:rPr>
          <w:rFonts w:ascii="Arial" w:hAnsi="Arial" w:cs="Arial"/>
          <w:lang w:val="en-CA"/>
        </w:rPr>
        <w:t xml:space="preserve"> Inc.’s (Fortis BC’s) 2014-2019 Performance-Based Regulation (PBR) plan. </w:t>
      </w:r>
      <w:r w:rsidR="002620BE" w:rsidRPr="00BF20CF">
        <w:rPr>
          <w:rFonts w:ascii="Arial" w:hAnsi="Arial" w:cs="Arial"/>
          <w:lang w:val="en-CA"/>
        </w:rPr>
        <w:t>In that</w:t>
      </w:r>
      <w:r w:rsidR="000A31AC" w:rsidRPr="00BF20CF">
        <w:rPr>
          <w:rFonts w:ascii="Arial" w:hAnsi="Arial" w:cs="Arial"/>
          <w:lang w:val="en-CA"/>
        </w:rPr>
        <w:t xml:space="preserve"> </w:t>
      </w:r>
      <w:r w:rsidRPr="00BF20CF">
        <w:rPr>
          <w:rFonts w:ascii="Arial" w:hAnsi="Arial" w:cs="Arial"/>
          <w:lang w:val="en-CA"/>
        </w:rPr>
        <w:t xml:space="preserve">application, </w:t>
      </w:r>
      <w:proofErr w:type="spellStart"/>
      <w:r w:rsidRPr="00BF20CF">
        <w:rPr>
          <w:rFonts w:ascii="Arial" w:hAnsi="Arial" w:cs="Arial"/>
          <w:lang w:val="en-CA"/>
        </w:rPr>
        <w:t>FortisBC</w:t>
      </w:r>
      <w:proofErr w:type="spellEnd"/>
      <w:r w:rsidRPr="00BF20CF">
        <w:rPr>
          <w:rFonts w:ascii="Arial" w:hAnsi="Arial" w:cs="Arial"/>
          <w:lang w:val="en-CA"/>
        </w:rPr>
        <w:t xml:space="preserve"> was proposing to forecast inflation for the coming rate year as part of the annual rate update. In its decision, the BCUC panel stated in its determinations, with respect to the utility’s proposal to forecast inflation over the plan term:</w:t>
      </w:r>
      <w:r w:rsidRPr="00BF20CF">
        <w:rPr>
          <w:rFonts w:ascii="Arial" w:hAnsi="Arial" w:cs="Arial"/>
          <w:vertAlign w:val="superscript"/>
          <w:lang w:val="en-CA"/>
        </w:rPr>
        <w:footnoteReference w:id="4"/>
      </w:r>
      <w:r w:rsidRPr="00BF20CF">
        <w:rPr>
          <w:rFonts w:ascii="Arial" w:hAnsi="Arial" w:cs="Arial"/>
          <w:lang w:val="en-CA"/>
        </w:rPr>
        <w:t xml:space="preserve"> </w:t>
      </w:r>
    </w:p>
    <w:p w14:paraId="050B41EE" w14:textId="77777777" w:rsidR="007509C7" w:rsidRPr="00BF20CF" w:rsidRDefault="007509C7" w:rsidP="003041BF">
      <w:pPr>
        <w:spacing w:before="240" w:after="120" w:line="276" w:lineRule="auto"/>
        <w:ind w:left="1440"/>
        <w:rPr>
          <w:rFonts w:ascii="Arial" w:eastAsia="Calibri" w:hAnsi="Arial" w:cs="Arial"/>
        </w:rPr>
      </w:pPr>
      <w:r w:rsidRPr="00BF20CF">
        <w:rPr>
          <w:rFonts w:ascii="Arial" w:eastAsia="Calibri" w:hAnsi="Arial" w:cs="Arial"/>
        </w:rPr>
        <w:t>From the evidence presented it is clear there is no perfect way to determine the I-Factor. Therefore, the best that can be expected is to derive a proxy that best estimates the impact of inflation on the Companies for the full PBR period.</w:t>
      </w:r>
    </w:p>
    <w:p w14:paraId="1BECE9C8" w14:textId="77777777" w:rsidR="007509C7" w:rsidRPr="00BF20CF" w:rsidRDefault="007509C7" w:rsidP="003041BF">
      <w:pPr>
        <w:spacing w:before="240" w:after="120" w:line="276" w:lineRule="auto"/>
        <w:ind w:left="1440"/>
        <w:rPr>
          <w:rFonts w:ascii="Arial" w:eastAsia="Calibri" w:hAnsi="Arial" w:cs="Arial"/>
          <w:b/>
        </w:rPr>
      </w:pPr>
      <w:r w:rsidRPr="00BF20CF">
        <w:rPr>
          <w:rFonts w:ascii="Arial" w:eastAsia="Calibri" w:hAnsi="Arial" w:cs="Arial"/>
        </w:rPr>
        <w:t xml:space="preserve">The problem with the forecast approach proposed by Fortis is that there will almost always be a variance between forecast and actual. Fortis has not disputed this but has argued that its actual costs are very much influenced by forecast as they often make binding commitments in advance of a given year and these take into account forecasted inflation. The Commission Panel accepts that this may be the case but it is not unique to Fortis as actual inflation measures reflect this spending </w:t>
      </w:r>
      <w:proofErr w:type="spellStart"/>
      <w:r w:rsidRPr="00BF20CF">
        <w:rPr>
          <w:rFonts w:ascii="Arial" w:eastAsia="Calibri" w:hAnsi="Arial" w:cs="Arial"/>
        </w:rPr>
        <w:t>behaviour</w:t>
      </w:r>
      <w:proofErr w:type="spellEnd"/>
      <w:r w:rsidRPr="00BF20CF">
        <w:rPr>
          <w:rFonts w:ascii="Arial" w:eastAsia="Calibri" w:hAnsi="Arial" w:cs="Arial"/>
        </w:rPr>
        <w:t xml:space="preserve"> on a broader basis. BCPSO makes a similar point as it observes that “actual inflation differs from forecast inflation and therefore actual increases are not driven by forecasts.” In the view of the Panel, a significant problem with Fortis’ proposed reliance on forecast rates of inflation lies in the fact that any variances which do occur are compounded each year. This may not be too serious where there is some assurance that over time these forecast errors will balance out. However, this is not the case. Instead, it is reasonable to assume that over the </w:t>
      </w:r>
      <w:r w:rsidRPr="00BF20CF">
        <w:rPr>
          <w:rFonts w:ascii="Arial" w:eastAsia="Calibri" w:hAnsi="Arial" w:cs="Arial"/>
        </w:rPr>
        <w:lastRenderedPageBreak/>
        <w:t xml:space="preserve">PBR period future forecasts may be significantly skewed either up or down relative to actuals and, as stated by BCPSO, wins or losses may have little to do with gains or losses in efficiency. </w:t>
      </w:r>
      <w:r w:rsidRPr="00BF20CF">
        <w:rPr>
          <w:rFonts w:ascii="Arial" w:eastAsia="Calibri" w:hAnsi="Arial" w:cs="Arial"/>
          <w:b/>
        </w:rPr>
        <w:t>Considering the potential for a significant impact on the I-X formula resulting from this, the Commission Panel denies Fortis’ proposal to rely on forecast data in the determination of the I-Factor. [Emphasis in original.]</w:t>
      </w:r>
    </w:p>
    <w:p w14:paraId="6AD15879" w14:textId="77777777" w:rsidR="007509C7" w:rsidRPr="00BF20CF" w:rsidRDefault="007509C7" w:rsidP="003041BF">
      <w:pPr>
        <w:tabs>
          <w:tab w:val="left" w:pos="720"/>
        </w:tabs>
        <w:spacing w:before="240" w:after="120" w:line="276" w:lineRule="auto"/>
        <w:ind w:left="720"/>
        <w:rPr>
          <w:rFonts w:ascii="Arial" w:eastAsia="Calibri" w:hAnsi="Arial" w:cs="Arial"/>
        </w:rPr>
      </w:pPr>
      <w:r w:rsidRPr="00BF20CF">
        <w:rPr>
          <w:rFonts w:ascii="Arial" w:eastAsia="Calibri" w:hAnsi="Arial" w:cs="Arial"/>
        </w:rPr>
        <w:t xml:space="preserve">A similar determination on forecasting inflation was made by the BCUC for </w:t>
      </w:r>
      <w:proofErr w:type="spellStart"/>
      <w:r w:rsidRPr="00BF20CF">
        <w:rPr>
          <w:rFonts w:ascii="Arial" w:eastAsia="Calibri" w:hAnsi="Arial" w:cs="Arial"/>
        </w:rPr>
        <w:t>FortisBC</w:t>
      </w:r>
      <w:proofErr w:type="spellEnd"/>
      <w:r w:rsidRPr="00BF20CF">
        <w:rPr>
          <w:rFonts w:ascii="Arial" w:eastAsia="Calibri" w:hAnsi="Arial" w:cs="Arial"/>
        </w:rPr>
        <w:t xml:space="preserve"> Energy Inc.’s PBR plan for 2014-2019.</w:t>
      </w:r>
      <w:r w:rsidRPr="00BF20CF">
        <w:rPr>
          <w:rFonts w:ascii="Arial" w:eastAsia="Calibri" w:hAnsi="Arial" w:cs="Arial"/>
          <w:vertAlign w:val="superscript"/>
        </w:rPr>
        <w:footnoteReference w:id="5"/>
      </w:r>
    </w:p>
    <w:p w14:paraId="7C3C0A59" w14:textId="2A5A3EDE" w:rsidR="007509C7" w:rsidRPr="00BF20CF" w:rsidRDefault="007509C7" w:rsidP="003041BF">
      <w:pPr>
        <w:tabs>
          <w:tab w:val="left" w:pos="720"/>
        </w:tabs>
        <w:spacing w:before="240" w:after="120" w:line="276" w:lineRule="auto"/>
        <w:ind w:left="720"/>
        <w:rPr>
          <w:rFonts w:ascii="Arial" w:eastAsia="Calibri" w:hAnsi="Arial" w:cs="Arial"/>
        </w:rPr>
      </w:pPr>
      <w:r w:rsidRPr="00BF20CF">
        <w:rPr>
          <w:rFonts w:ascii="Arial" w:eastAsia="Calibri" w:hAnsi="Arial" w:cs="Arial"/>
        </w:rPr>
        <w:t>While acknowledging the lag in using actual data, the OEB, and other regulators have generally relied on using actual historical data from accredited sources such as national statistical agencies, for estimating inflation for rate adjustment formulae.</w:t>
      </w:r>
      <w:r w:rsidRPr="00BF20CF">
        <w:rPr>
          <w:rFonts w:ascii="Arial" w:eastAsia="Calibri" w:hAnsi="Arial" w:cs="Arial"/>
        </w:rPr>
        <w:br/>
      </w:r>
      <w:r w:rsidRPr="00BF20CF">
        <w:rPr>
          <w:rFonts w:ascii="Arial" w:eastAsia="Calibri" w:hAnsi="Arial" w:cs="Arial"/>
        </w:rPr>
        <w:br/>
        <w:t xml:space="preserve">Hydro Ottawa is proposing to forecast inflation for each year of the whole plan term in this Application, and is seeking approval in this Application with no updates in annual rate applications for 2022 to 2025. Please explain why Hydro Ottawa believes that its proposal does </w:t>
      </w:r>
      <w:r w:rsidR="000A31AC" w:rsidRPr="00BF20CF">
        <w:rPr>
          <w:rFonts w:ascii="Arial" w:eastAsia="Calibri" w:hAnsi="Arial" w:cs="Arial"/>
        </w:rPr>
        <w:t xml:space="preserve">not </w:t>
      </w:r>
      <w:r w:rsidRPr="00BF20CF">
        <w:rPr>
          <w:rFonts w:ascii="Arial" w:eastAsia="Calibri" w:hAnsi="Arial" w:cs="Arial"/>
        </w:rPr>
        <w:t>raise similar concerns of forecasting error and possible bias</w:t>
      </w:r>
      <w:r w:rsidR="00837EF0" w:rsidRPr="00BF20CF">
        <w:rPr>
          <w:rFonts w:ascii="Arial" w:eastAsia="Calibri" w:hAnsi="Arial" w:cs="Arial"/>
        </w:rPr>
        <w:t xml:space="preserve"> as the BCUC has noted in the referenced decisions</w:t>
      </w:r>
      <w:r w:rsidRPr="00BF20CF">
        <w:rPr>
          <w:rFonts w:ascii="Arial" w:eastAsia="Calibri" w:hAnsi="Arial" w:cs="Arial"/>
        </w:rPr>
        <w:t>, in light of the extended forecasting period.</w:t>
      </w:r>
    </w:p>
    <w:p w14:paraId="78E7B206" w14:textId="7A9E9494" w:rsidR="003041BF" w:rsidRPr="00BF20CF" w:rsidRDefault="0045028B" w:rsidP="00F25870">
      <w:pPr>
        <w:tabs>
          <w:tab w:val="left" w:pos="720"/>
        </w:tabs>
        <w:spacing w:before="240" w:after="120" w:line="276" w:lineRule="auto"/>
        <w:rPr>
          <w:rFonts w:ascii="Arial" w:eastAsia="Calibri" w:hAnsi="Arial" w:cs="Arial"/>
        </w:rPr>
      </w:pPr>
      <w:r w:rsidRPr="00BF20CF">
        <w:rPr>
          <w:rFonts w:ascii="Arial" w:eastAsia="Calibri" w:hAnsi="Arial" w:cs="Arial"/>
          <w:b/>
        </w:rPr>
        <w:t>X-factor</w:t>
      </w:r>
    </w:p>
    <w:p w14:paraId="2665E3DB" w14:textId="458D7F94" w:rsidR="007509C7" w:rsidRPr="00BF20CF" w:rsidRDefault="007509C7" w:rsidP="003041BF">
      <w:pPr>
        <w:spacing w:line="276" w:lineRule="auto"/>
        <w:rPr>
          <w:rFonts w:ascii="Arial" w:eastAsia="Calibri" w:hAnsi="Arial" w:cs="Arial"/>
          <w:b/>
        </w:rPr>
      </w:pPr>
      <w:r w:rsidRPr="00BF20CF">
        <w:rPr>
          <w:rFonts w:ascii="Arial" w:eastAsia="Calibri" w:hAnsi="Arial" w:cs="Arial"/>
          <w:b/>
        </w:rPr>
        <w:t>1-Staff-6</w:t>
      </w:r>
      <w:r w:rsidRPr="00BF20CF">
        <w:rPr>
          <w:rFonts w:ascii="Arial" w:eastAsia="Calibri" w:hAnsi="Arial" w:cs="Arial"/>
          <w:b/>
        </w:rPr>
        <w:tab/>
      </w:r>
    </w:p>
    <w:p w14:paraId="2DE31536" w14:textId="0D25AEB6" w:rsidR="007509C7" w:rsidRPr="00BF20CF" w:rsidRDefault="007509C7" w:rsidP="003041BF">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rPr>
        <w:tab/>
      </w:r>
      <w:r w:rsidR="006E0CFC" w:rsidRPr="00BF20CF">
        <w:rPr>
          <w:rFonts w:ascii="Arial" w:eastAsia="Calibri" w:hAnsi="Arial" w:cs="Arial"/>
          <w:b/>
        </w:rPr>
        <w:t xml:space="preserve">Updated </w:t>
      </w:r>
      <w:r w:rsidRPr="00BF20CF">
        <w:rPr>
          <w:rFonts w:ascii="Arial" w:eastAsia="Calibri" w:hAnsi="Arial" w:cs="Arial"/>
          <w:b/>
        </w:rPr>
        <w:t>Exhibit 1/Tab 1/Schedule 10/p</w:t>
      </w:r>
      <w:r w:rsidR="006E0CFC" w:rsidRPr="00BF20CF">
        <w:rPr>
          <w:rFonts w:ascii="Arial" w:eastAsia="Calibri" w:hAnsi="Arial" w:cs="Arial"/>
          <w:b/>
        </w:rPr>
        <w:t>age</w:t>
      </w:r>
      <w:r w:rsidRPr="00BF20CF">
        <w:rPr>
          <w:rFonts w:ascii="Arial" w:eastAsia="Calibri" w:hAnsi="Arial" w:cs="Arial"/>
          <w:b/>
        </w:rPr>
        <w:t xml:space="preserve"> 17</w:t>
      </w:r>
      <w:r w:rsidRPr="00BF20CF">
        <w:rPr>
          <w:rFonts w:ascii="Arial" w:eastAsia="Calibri" w:hAnsi="Arial" w:cs="Arial"/>
          <w:b/>
        </w:rPr>
        <w:br/>
      </w:r>
      <w:r w:rsidRPr="00BF20CF">
        <w:rPr>
          <w:rFonts w:ascii="Arial" w:eastAsia="Calibri" w:hAnsi="Arial" w:cs="Arial"/>
          <w:b/>
        </w:rPr>
        <w:tab/>
        <w:t>Decision and Order EB-2017-0049, March 7, 2019</w:t>
      </w:r>
      <w:r w:rsidRPr="00BF20CF">
        <w:rPr>
          <w:rFonts w:ascii="Arial" w:eastAsia="Calibri" w:hAnsi="Arial" w:cs="Arial"/>
          <w:b/>
        </w:rPr>
        <w:br/>
      </w:r>
      <w:r w:rsidRPr="00BF20CF">
        <w:rPr>
          <w:rFonts w:ascii="Arial" w:eastAsia="Calibri" w:hAnsi="Arial" w:cs="Arial"/>
          <w:b/>
        </w:rPr>
        <w:tab/>
        <w:t>Decision and Order EB-2018-0165, December 19, 2019</w:t>
      </w:r>
    </w:p>
    <w:p w14:paraId="7BB18B7C" w14:textId="5CD86C87" w:rsidR="007509C7" w:rsidRPr="00BF20CF" w:rsidRDefault="007509C7" w:rsidP="000E7D3E">
      <w:pPr>
        <w:spacing w:before="120" w:line="276" w:lineRule="auto"/>
        <w:rPr>
          <w:rFonts w:ascii="Arial" w:eastAsia="Calibri" w:hAnsi="Arial" w:cs="Arial"/>
        </w:rPr>
      </w:pPr>
      <w:r w:rsidRPr="00BF20CF">
        <w:rPr>
          <w:rFonts w:ascii="Arial" w:eastAsia="Calibri" w:hAnsi="Arial" w:cs="Arial"/>
        </w:rPr>
        <w:t>Preamble:</w:t>
      </w:r>
    </w:p>
    <w:p w14:paraId="75C853A7" w14:textId="77777777" w:rsidR="000E7D3E" w:rsidRPr="00BF20CF" w:rsidRDefault="000E7D3E" w:rsidP="000E7D3E">
      <w:pPr>
        <w:spacing w:line="276" w:lineRule="auto"/>
        <w:rPr>
          <w:rFonts w:ascii="Arial" w:eastAsia="Calibri" w:hAnsi="Arial" w:cs="Arial"/>
        </w:rPr>
      </w:pPr>
    </w:p>
    <w:p w14:paraId="65411033" w14:textId="74F1E5BE" w:rsidR="007509C7" w:rsidRPr="00BF20CF" w:rsidRDefault="007509C7" w:rsidP="000E7D3E">
      <w:pPr>
        <w:spacing w:line="276" w:lineRule="auto"/>
        <w:rPr>
          <w:rFonts w:ascii="Arial" w:eastAsia="Calibri" w:hAnsi="Arial" w:cs="Arial"/>
        </w:rPr>
      </w:pPr>
      <w:r w:rsidRPr="00BF20CF">
        <w:rPr>
          <w:rFonts w:ascii="Arial" w:eastAsia="Calibri" w:hAnsi="Arial" w:cs="Arial"/>
        </w:rPr>
        <w:t xml:space="preserve">Hydro Ottawa has proposed to adopt the base X (base productivity) factor of 0%, as established by the OEB for electricity distribution incentive regulation most recently in the </w:t>
      </w:r>
      <w:r w:rsidRPr="00BF20CF">
        <w:rPr>
          <w:rFonts w:ascii="Arial" w:eastAsia="Calibri" w:hAnsi="Arial" w:cs="Arial"/>
          <w:i/>
        </w:rPr>
        <w:t>Supplemental Report of the Board on Rate Setting Parameters and Benchmarking under the Renewed Regulatory Framework for Ontario’s Electricity Distributors</w:t>
      </w:r>
      <w:r w:rsidRPr="00BF20CF">
        <w:rPr>
          <w:rFonts w:ascii="Arial" w:eastAsia="Calibri" w:hAnsi="Arial" w:cs="Arial"/>
        </w:rPr>
        <w:t xml:space="preserve"> (EB-2010-0379),</w:t>
      </w:r>
      <w:r w:rsidRPr="00BF20CF">
        <w:rPr>
          <w:rFonts w:ascii="Arial" w:eastAsia="Calibri" w:hAnsi="Arial" w:cs="Arial"/>
          <w:vertAlign w:val="superscript"/>
        </w:rPr>
        <w:footnoteReference w:id="6"/>
      </w:r>
      <w:r w:rsidRPr="00BF20CF">
        <w:rPr>
          <w:rFonts w:ascii="Arial" w:eastAsia="Calibri" w:hAnsi="Arial" w:cs="Arial"/>
        </w:rPr>
        <w:t xml:space="preserve"> and which the OEB has reaffirmed in </w:t>
      </w:r>
      <w:r w:rsidRPr="00BF20CF">
        <w:rPr>
          <w:rFonts w:ascii="Arial" w:eastAsia="Calibri" w:hAnsi="Arial" w:cs="Arial"/>
        </w:rPr>
        <w:lastRenderedPageBreak/>
        <w:t xml:space="preserve">recent decisions for custom IR plans. Hydro Ottawa has noted that this base X factor is based on analyses of Total Factor Productivity (TFP) for the electricity distribution sector. </w:t>
      </w:r>
    </w:p>
    <w:p w14:paraId="7F07A0DB" w14:textId="77777777" w:rsidR="000E7D3E" w:rsidRPr="00BF20CF" w:rsidRDefault="000E7D3E" w:rsidP="000E7D3E">
      <w:pPr>
        <w:spacing w:line="276" w:lineRule="auto"/>
        <w:rPr>
          <w:rFonts w:ascii="Arial" w:eastAsia="Calibri" w:hAnsi="Arial" w:cs="Arial"/>
        </w:rPr>
      </w:pPr>
    </w:p>
    <w:p w14:paraId="0C1773FC" w14:textId="77777777" w:rsidR="007509C7" w:rsidRPr="00BF20CF" w:rsidRDefault="007509C7" w:rsidP="000E7D3E">
      <w:pPr>
        <w:spacing w:line="276" w:lineRule="auto"/>
        <w:rPr>
          <w:rFonts w:ascii="Arial" w:eastAsia="Calibri" w:hAnsi="Arial" w:cs="Arial"/>
        </w:rPr>
      </w:pPr>
      <w:r w:rsidRPr="00BF20CF">
        <w:rPr>
          <w:rFonts w:ascii="Arial" w:eastAsia="Calibri" w:hAnsi="Arial" w:cs="Arial"/>
        </w:rPr>
        <w:t>Hydro Ottawa specifically references the Hydro One Networks distribution Custom IR plan for 2018-2022 and the OEB’s decision in that case reaffirming the 0% base X-factor.</w:t>
      </w:r>
      <w:r w:rsidRPr="00BF20CF">
        <w:rPr>
          <w:rFonts w:ascii="Arial" w:eastAsia="Calibri" w:hAnsi="Arial" w:cs="Arial"/>
          <w:vertAlign w:val="superscript"/>
        </w:rPr>
        <w:footnoteReference w:id="7"/>
      </w:r>
    </w:p>
    <w:p w14:paraId="054F1C19" w14:textId="4DECB667" w:rsidR="003041BF" w:rsidRPr="00BF20CF" w:rsidRDefault="007509C7" w:rsidP="003041BF">
      <w:pPr>
        <w:spacing w:before="240" w:after="120" w:line="276" w:lineRule="auto"/>
        <w:rPr>
          <w:rFonts w:ascii="Arial" w:eastAsia="Calibri" w:hAnsi="Arial" w:cs="Arial"/>
        </w:rPr>
      </w:pPr>
      <w:r w:rsidRPr="00BF20CF">
        <w:rPr>
          <w:rFonts w:ascii="Arial" w:eastAsia="Calibri" w:hAnsi="Arial" w:cs="Arial"/>
        </w:rPr>
        <w:t>Question</w:t>
      </w:r>
      <w:r w:rsidR="003041BF" w:rsidRPr="00BF20CF">
        <w:rPr>
          <w:rFonts w:ascii="Arial" w:eastAsia="Calibri" w:hAnsi="Arial" w:cs="Arial"/>
        </w:rPr>
        <w:t>(</w:t>
      </w:r>
      <w:r w:rsidRPr="00BF20CF">
        <w:rPr>
          <w:rFonts w:ascii="Arial" w:eastAsia="Calibri" w:hAnsi="Arial" w:cs="Arial"/>
        </w:rPr>
        <w:t>s</w:t>
      </w:r>
      <w:r w:rsidR="003041BF" w:rsidRPr="00BF20CF">
        <w:rPr>
          <w:rFonts w:ascii="Arial" w:eastAsia="Calibri" w:hAnsi="Arial" w:cs="Arial"/>
        </w:rPr>
        <w:t>)</w:t>
      </w:r>
      <w:r w:rsidRPr="00BF20CF">
        <w:rPr>
          <w:rFonts w:ascii="Arial" w:eastAsia="Calibri" w:hAnsi="Arial" w:cs="Arial"/>
        </w:rPr>
        <w:t>:</w:t>
      </w:r>
    </w:p>
    <w:p w14:paraId="15321FCB" w14:textId="1885F4D6" w:rsidR="007509C7" w:rsidRPr="00BF20CF" w:rsidRDefault="007509C7" w:rsidP="00876E97">
      <w:pPr>
        <w:numPr>
          <w:ilvl w:val="0"/>
          <w:numId w:val="79"/>
        </w:numPr>
        <w:autoSpaceDE w:val="0"/>
        <w:autoSpaceDN w:val="0"/>
        <w:adjustRightInd w:val="0"/>
        <w:spacing w:before="240" w:after="160" w:line="276" w:lineRule="auto"/>
        <w:contextualSpacing/>
        <w:rPr>
          <w:rFonts w:ascii="Arial" w:hAnsi="Arial" w:cs="Arial"/>
          <w:lang w:val="en-CA"/>
        </w:rPr>
      </w:pPr>
      <w:r w:rsidRPr="00BF20CF">
        <w:rPr>
          <w:rFonts w:ascii="Arial" w:hAnsi="Arial" w:cs="Arial"/>
          <w:lang w:val="en-CA"/>
        </w:rPr>
        <w:t>Please confirm Hydro Ottawa’s understanding that TFP analyses relate to productivity growth for all outputs (products and services produced and offered by the firm) relative to all inputs (capital, labour and materials) used in the production and delivery of those products and services.</w:t>
      </w:r>
    </w:p>
    <w:p w14:paraId="660E7C06" w14:textId="77777777" w:rsidR="007E759E" w:rsidRPr="00BF20CF" w:rsidRDefault="007E759E" w:rsidP="007E759E">
      <w:pPr>
        <w:autoSpaceDE w:val="0"/>
        <w:autoSpaceDN w:val="0"/>
        <w:adjustRightInd w:val="0"/>
        <w:spacing w:before="240" w:after="160" w:line="276" w:lineRule="auto"/>
        <w:ind w:left="720"/>
        <w:contextualSpacing/>
        <w:rPr>
          <w:rFonts w:ascii="Arial" w:hAnsi="Arial" w:cs="Arial"/>
          <w:lang w:val="en-CA"/>
        </w:rPr>
      </w:pPr>
    </w:p>
    <w:p w14:paraId="3EFA794D" w14:textId="784C9A37" w:rsidR="007509C7" w:rsidRPr="00BF20CF" w:rsidRDefault="007509C7" w:rsidP="00876E97">
      <w:pPr>
        <w:numPr>
          <w:ilvl w:val="0"/>
          <w:numId w:val="79"/>
        </w:numPr>
        <w:autoSpaceDE w:val="0"/>
        <w:autoSpaceDN w:val="0"/>
        <w:adjustRightInd w:val="0"/>
        <w:spacing w:before="240" w:after="160" w:line="276" w:lineRule="auto"/>
        <w:contextualSpacing/>
        <w:rPr>
          <w:rFonts w:ascii="Arial" w:hAnsi="Arial" w:cs="Arial"/>
          <w:lang w:val="en-CA"/>
        </w:rPr>
      </w:pPr>
      <w:r w:rsidRPr="00BF20CF">
        <w:rPr>
          <w:rFonts w:ascii="Arial" w:hAnsi="Arial" w:cs="Arial"/>
          <w:lang w:val="en-CA"/>
        </w:rPr>
        <w:t>Please confirm that the approved Hydro One Networks’ distribution Custom IR plan</w:t>
      </w:r>
      <w:r w:rsidRPr="00BF20CF">
        <w:rPr>
          <w:rFonts w:ascii="Arial" w:hAnsi="Arial" w:cs="Arial"/>
          <w:vertAlign w:val="superscript"/>
          <w:lang w:val="en-CA"/>
        </w:rPr>
        <w:footnoteReference w:id="8"/>
      </w:r>
      <w:r w:rsidRPr="00BF20CF">
        <w:rPr>
          <w:rFonts w:ascii="Arial" w:hAnsi="Arial" w:cs="Arial"/>
          <w:lang w:val="en-CA"/>
        </w:rPr>
        <w:t xml:space="preserve"> uses an adjustment formula that applies to all inputs (i.e., capital, including capitalized labour, and expensed labour and materials).</w:t>
      </w:r>
    </w:p>
    <w:p w14:paraId="2DC5191B" w14:textId="75627FCA" w:rsidR="007E759E" w:rsidRPr="00BF20CF" w:rsidRDefault="007E759E" w:rsidP="007E759E">
      <w:pPr>
        <w:autoSpaceDE w:val="0"/>
        <w:autoSpaceDN w:val="0"/>
        <w:adjustRightInd w:val="0"/>
        <w:spacing w:before="240" w:after="160" w:line="276" w:lineRule="auto"/>
        <w:ind w:left="720"/>
        <w:contextualSpacing/>
        <w:rPr>
          <w:rFonts w:ascii="Arial" w:hAnsi="Arial" w:cs="Arial"/>
          <w:lang w:val="en-CA"/>
        </w:rPr>
      </w:pPr>
    </w:p>
    <w:p w14:paraId="2A0C4E8C" w14:textId="754F372E" w:rsidR="007509C7" w:rsidRPr="00BF20CF" w:rsidRDefault="007509C7" w:rsidP="00876E97">
      <w:pPr>
        <w:numPr>
          <w:ilvl w:val="0"/>
          <w:numId w:val="79"/>
        </w:numPr>
        <w:autoSpaceDE w:val="0"/>
        <w:autoSpaceDN w:val="0"/>
        <w:adjustRightInd w:val="0"/>
        <w:spacing w:before="240" w:after="160" w:line="276" w:lineRule="auto"/>
        <w:contextualSpacing/>
        <w:rPr>
          <w:rFonts w:ascii="Arial" w:hAnsi="Arial" w:cs="Arial"/>
          <w:lang w:val="en-CA"/>
        </w:rPr>
      </w:pPr>
      <w:r w:rsidRPr="00BF20CF">
        <w:rPr>
          <w:rFonts w:ascii="Arial" w:hAnsi="Arial" w:cs="Arial"/>
          <w:lang w:val="en-CA"/>
        </w:rPr>
        <w:t>Please confirm that the Custom IR plan more recently approved for Toronto Hydro-Electric System Limited (Toronto Hydro),</w:t>
      </w:r>
      <w:r w:rsidRPr="00BF20CF">
        <w:rPr>
          <w:rFonts w:ascii="Arial" w:hAnsi="Arial" w:cs="Arial"/>
          <w:vertAlign w:val="superscript"/>
          <w:lang w:val="en-CA"/>
        </w:rPr>
        <w:footnoteReference w:id="9"/>
      </w:r>
      <w:r w:rsidRPr="00BF20CF">
        <w:rPr>
          <w:rFonts w:ascii="Arial" w:hAnsi="Arial" w:cs="Arial"/>
          <w:lang w:val="en-CA"/>
        </w:rPr>
        <w:t xml:space="preserve"> similar uses an adjustment formula that applies to all inputs (i.e., capital, including capitalized labour, and expensed labour and materials). </w:t>
      </w:r>
    </w:p>
    <w:p w14:paraId="7B04DBB7" w14:textId="774E3A94" w:rsidR="007E759E" w:rsidRPr="00BF20CF" w:rsidRDefault="007E759E" w:rsidP="007E759E">
      <w:pPr>
        <w:autoSpaceDE w:val="0"/>
        <w:autoSpaceDN w:val="0"/>
        <w:adjustRightInd w:val="0"/>
        <w:spacing w:before="240" w:after="160" w:line="276" w:lineRule="auto"/>
        <w:ind w:left="720"/>
        <w:contextualSpacing/>
        <w:rPr>
          <w:rFonts w:ascii="Arial" w:hAnsi="Arial" w:cs="Arial"/>
          <w:lang w:val="en-CA"/>
        </w:rPr>
      </w:pPr>
    </w:p>
    <w:p w14:paraId="352E26F4" w14:textId="25E8298F" w:rsidR="007509C7" w:rsidRPr="00BF20CF" w:rsidRDefault="007509C7" w:rsidP="00876E97">
      <w:pPr>
        <w:numPr>
          <w:ilvl w:val="0"/>
          <w:numId w:val="79"/>
        </w:numPr>
        <w:autoSpaceDE w:val="0"/>
        <w:autoSpaceDN w:val="0"/>
        <w:adjustRightInd w:val="0"/>
        <w:spacing w:before="240" w:after="160" w:line="276" w:lineRule="auto"/>
        <w:contextualSpacing/>
        <w:rPr>
          <w:rFonts w:ascii="Arial" w:hAnsi="Arial" w:cs="Arial"/>
          <w:lang w:val="en-CA"/>
        </w:rPr>
      </w:pPr>
      <w:r w:rsidRPr="00BF20CF">
        <w:rPr>
          <w:rFonts w:ascii="Arial" w:hAnsi="Arial" w:cs="Arial"/>
          <w:lang w:val="en-CA"/>
        </w:rPr>
        <w:t>Please confirm that Hydro Ottawa’s proposed Custom IR plan differs from both the Hydro One Networks distribution and Toronto Hydro Custom IR plans in that Hydro Ottawa proposes that the adjustment formula only apply to OM&amp;A. If not confirmed, please explain.</w:t>
      </w:r>
    </w:p>
    <w:p w14:paraId="568F096C" w14:textId="4635A467" w:rsidR="007E759E" w:rsidRPr="00BF20CF" w:rsidRDefault="007E759E" w:rsidP="007E759E">
      <w:pPr>
        <w:autoSpaceDE w:val="0"/>
        <w:autoSpaceDN w:val="0"/>
        <w:adjustRightInd w:val="0"/>
        <w:spacing w:before="240" w:after="160" w:line="276" w:lineRule="auto"/>
        <w:ind w:left="720"/>
        <w:contextualSpacing/>
        <w:rPr>
          <w:rFonts w:ascii="Arial" w:hAnsi="Arial" w:cs="Arial"/>
          <w:lang w:val="en-CA"/>
        </w:rPr>
      </w:pPr>
    </w:p>
    <w:p w14:paraId="46992D2A" w14:textId="77777777" w:rsidR="007509C7" w:rsidRPr="00BF20CF" w:rsidRDefault="007509C7" w:rsidP="00876E97">
      <w:pPr>
        <w:numPr>
          <w:ilvl w:val="0"/>
          <w:numId w:val="79"/>
        </w:numPr>
        <w:autoSpaceDE w:val="0"/>
        <w:autoSpaceDN w:val="0"/>
        <w:adjustRightInd w:val="0"/>
        <w:spacing w:before="240" w:after="160" w:line="276" w:lineRule="auto"/>
        <w:contextualSpacing/>
        <w:rPr>
          <w:rFonts w:ascii="Arial" w:hAnsi="Arial" w:cs="Arial"/>
          <w:lang w:val="en-CA"/>
        </w:rPr>
      </w:pPr>
      <w:r w:rsidRPr="00BF20CF">
        <w:rPr>
          <w:rFonts w:ascii="Arial" w:hAnsi="Arial" w:cs="Arial"/>
          <w:lang w:val="en-CA"/>
        </w:rPr>
        <w:t>Does Hydro Ottawa consider that partial factor productivity (PFP) with respect to OM&amp;A and all outputs would be equal to TFP? Please explain your response.</w:t>
      </w:r>
    </w:p>
    <w:p w14:paraId="7D668BE1" w14:textId="6900D93F" w:rsidR="007509C7" w:rsidRPr="00BF20CF" w:rsidRDefault="007509C7" w:rsidP="00876E97">
      <w:pPr>
        <w:numPr>
          <w:ilvl w:val="0"/>
          <w:numId w:val="79"/>
        </w:numPr>
        <w:autoSpaceDE w:val="0"/>
        <w:autoSpaceDN w:val="0"/>
        <w:adjustRightInd w:val="0"/>
        <w:spacing w:before="240" w:after="160" w:line="276" w:lineRule="auto"/>
        <w:contextualSpacing/>
        <w:rPr>
          <w:rFonts w:ascii="Arial" w:hAnsi="Arial" w:cs="Arial"/>
          <w:lang w:val="en-CA"/>
        </w:rPr>
      </w:pPr>
      <w:r w:rsidRPr="00BF20CF">
        <w:rPr>
          <w:rFonts w:ascii="Arial" w:hAnsi="Arial" w:cs="Arial"/>
          <w:lang w:val="en-CA"/>
        </w:rPr>
        <w:t>Please provide all evidence that Hydro Ottawa has on its PFP with respect to OM&amp;A.</w:t>
      </w:r>
    </w:p>
    <w:p w14:paraId="609B3335" w14:textId="77777777" w:rsidR="007E759E" w:rsidRPr="00BF20CF" w:rsidRDefault="007E759E" w:rsidP="007E759E">
      <w:pPr>
        <w:autoSpaceDE w:val="0"/>
        <w:autoSpaceDN w:val="0"/>
        <w:adjustRightInd w:val="0"/>
        <w:spacing w:before="240" w:after="160" w:line="276" w:lineRule="auto"/>
        <w:ind w:left="720"/>
        <w:contextualSpacing/>
        <w:rPr>
          <w:rFonts w:ascii="Arial" w:hAnsi="Arial" w:cs="Arial"/>
          <w:lang w:val="en-CA"/>
        </w:rPr>
      </w:pPr>
    </w:p>
    <w:p w14:paraId="62113EF5" w14:textId="2F553A9F" w:rsidR="007509C7" w:rsidRPr="00BF20CF" w:rsidRDefault="007509C7" w:rsidP="00876E97">
      <w:pPr>
        <w:numPr>
          <w:ilvl w:val="0"/>
          <w:numId w:val="79"/>
        </w:numPr>
        <w:autoSpaceDE w:val="0"/>
        <w:autoSpaceDN w:val="0"/>
        <w:adjustRightInd w:val="0"/>
        <w:spacing w:before="240" w:after="160" w:line="276" w:lineRule="auto"/>
        <w:contextualSpacing/>
        <w:rPr>
          <w:rFonts w:ascii="Arial" w:hAnsi="Arial" w:cs="Arial"/>
          <w:lang w:val="en-CA"/>
        </w:rPr>
      </w:pPr>
      <w:r w:rsidRPr="00BF20CF">
        <w:rPr>
          <w:rFonts w:ascii="Arial" w:hAnsi="Arial" w:cs="Arial"/>
          <w:lang w:val="en-CA"/>
        </w:rPr>
        <w:lastRenderedPageBreak/>
        <w:t xml:space="preserve">Please explain the </w:t>
      </w:r>
      <w:r w:rsidR="002620BE" w:rsidRPr="00BF20CF">
        <w:rPr>
          <w:rFonts w:ascii="Arial" w:hAnsi="Arial" w:cs="Arial"/>
          <w:lang w:val="en-CA"/>
        </w:rPr>
        <w:t>rationale for</w:t>
      </w:r>
      <w:r w:rsidR="00A37DB8" w:rsidRPr="00BF20CF">
        <w:rPr>
          <w:rFonts w:ascii="Arial" w:hAnsi="Arial" w:cs="Arial"/>
          <w:lang w:val="en-CA"/>
        </w:rPr>
        <w:t xml:space="preserve"> </w:t>
      </w:r>
      <w:r w:rsidRPr="00BF20CF">
        <w:rPr>
          <w:rFonts w:ascii="Arial" w:hAnsi="Arial" w:cs="Arial"/>
          <w:lang w:val="en-CA"/>
        </w:rPr>
        <w:t xml:space="preserve">Hydro </w:t>
      </w:r>
      <w:r w:rsidR="002620BE" w:rsidRPr="00BF20CF">
        <w:rPr>
          <w:rFonts w:ascii="Arial" w:hAnsi="Arial" w:cs="Arial"/>
          <w:lang w:val="en-CA"/>
        </w:rPr>
        <w:t>Ottawa’s assertion</w:t>
      </w:r>
      <w:r w:rsidR="00A37DB8" w:rsidRPr="00BF20CF">
        <w:rPr>
          <w:rFonts w:ascii="Arial" w:hAnsi="Arial" w:cs="Arial"/>
          <w:lang w:val="en-CA"/>
        </w:rPr>
        <w:t xml:space="preserve"> </w:t>
      </w:r>
      <w:r w:rsidRPr="00BF20CF">
        <w:rPr>
          <w:rFonts w:ascii="Arial" w:hAnsi="Arial" w:cs="Arial"/>
          <w:lang w:val="en-CA"/>
        </w:rPr>
        <w:t>that the base X-factor of 0% used by the OEB is appropriate for an OM&amp;</w:t>
      </w:r>
      <w:proofErr w:type="gramStart"/>
      <w:r w:rsidRPr="00BF20CF">
        <w:rPr>
          <w:rFonts w:ascii="Arial" w:hAnsi="Arial" w:cs="Arial"/>
          <w:lang w:val="en-CA"/>
        </w:rPr>
        <w:t>A</w:t>
      </w:r>
      <w:proofErr w:type="gramEnd"/>
      <w:r w:rsidRPr="00BF20CF">
        <w:rPr>
          <w:rFonts w:ascii="Arial" w:hAnsi="Arial" w:cs="Arial"/>
          <w:lang w:val="en-CA"/>
        </w:rPr>
        <w:t xml:space="preserve"> adjustment formula.</w:t>
      </w:r>
    </w:p>
    <w:p w14:paraId="4F883DDB" w14:textId="77777777" w:rsidR="003041BF" w:rsidRPr="00BF20CF" w:rsidRDefault="003041BF" w:rsidP="003041BF">
      <w:pPr>
        <w:autoSpaceDE w:val="0"/>
        <w:autoSpaceDN w:val="0"/>
        <w:adjustRightInd w:val="0"/>
        <w:spacing w:before="240" w:after="160" w:line="276" w:lineRule="auto"/>
        <w:ind w:left="720"/>
        <w:contextualSpacing/>
        <w:rPr>
          <w:rFonts w:ascii="Arial" w:hAnsi="Arial" w:cs="Arial"/>
          <w:lang w:val="en-CA"/>
        </w:rPr>
      </w:pPr>
    </w:p>
    <w:p w14:paraId="2AEF690E" w14:textId="2AC723D5" w:rsidR="003041BF" w:rsidRPr="00BF20CF" w:rsidRDefault="003041BF" w:rsidP="003041BF">
      <w:pPr>
        <w:spacing w:before="240" w:line="276" w:lineRule="auto"/>
        <w:rPr>
          <w:rFonts w:ascii="Arial" w:eastAsia="Calibri" w:hAnsi="Arial" w:cs="Arial"/>
          <w:b/>
        </w:rPr>
      </w:pPr>
      <w:r w:rsidRPr="00BF20CF">
        <w:rPr>
          <w:rFonts w:ascii="Arial" w:eastAsia="Calibri" w:hAnsi="Arial" w:cs="Arial"/>
          <w:b/>
        </w:rPr>
        <w:t>Growth Factor</w:t>
      </w:r>
    </w:p>
    <w:p w14:paraId="4AA91F89" w14:textId="15771027" w:rsidR="007509C7" w:rsidRPr="00BF20CF" w:rsidRDefault="007509C7" w:rsidP="001C211A">
      <w:pPr>
        <w:spacing w:before="240" w:line="276" w:lineRule="auto"/>
        <w:rPr>
          <w:rFonts w:ascii="Arial" w:eastAsia="Calibri" w:hAnsi="Arial" w:cs="Arial"/>
          <w:b/>
        </w:rPr>
      </w:pPr>
      <w:r w:rsidRPr="00BF20CF">
        <w:rPr>
          <w:rFonts w:ascii="Arial" w:eastAsia="Calibri" w:hAnsi="Arial" w:cs="Arial"/>
          <w:b/>
        </w:rPr>
        <w:t>1-Staff-7</w:t>
      </w:r>
      <w:r w:rsidRPr="00BF20CF">
        <w:rPr>
          <w:rFonts w:ascii="Arial" w:eastAsia="Calibri" w:hAnsi="Arial" w:cs="Arial"/>
          <w:b/>
        </w:rPr>
        <w:tab/>
      </w:r>
    </w:p>
    <w:p w14:paraId="552B9F23" w14:textId="68FC6A7D" w:rsidR="007509C7" w:rsidRPr="00BF20CF" w:rsidRDefault="007509C7" w:rsidP="003041BF">
      <w:pPr>
        <w:spacing w:line="276" w:lineRule="auto"/>
        <w:rPr>
          <w:rFonts w:ascii="Arial" w:eastAsia="Calibri" w:hAnsi="Arial"/>
          <w:b/>
        </w:rPr>
      </w:pPr>
      <w:r w:rsidRPr="00BF20CF">
        <w:rPr>
          <w:rFonts w:ascii="Arial" w:eastAsia="Calibri" w:hAnsi="Arial" w:cs="Arial"/>
          <w:b/>
        </w:rPr>
        <w:t>Ref:</w:t>
      </w:r>
      <w:r w:rsidRPr="00BF20CF">
        <w:rPr>
          <w:rFonts w:ascii="Arial" w:eastAsia="Calibri" w:hAnsi="Arial" w:cs="Arial"/>
        </w:rPr>
        <w:tab/>
      </w:r>
      <w:r w:rsidR="006E0CFC" w:rsidRPr="00BF20CF">
        <w:rPr>
          <w:rFonts w:ascii="Arial" w:eastAsia="Calibri" w:hAnsi="Arial" w:cs="Arial"/>
          <w:b/>
        </w:rPr>
        <w:t xml:space="preserve">Updated </w:t>
      </w:r>
      <w:r w:rsidRPr="00BF20CF">
        <w:rPr>
          <w:rFonts w:ascii="Arial" w:eastAsia="Calibri" w:hAnsi="Arial"/>
          <w:b/>
        </w:rPr>
        <w:t>Exhibit 1/Tab 1/Schedule 10/pp. 20-24</w:t>
      </w:r>
    </w:p>
    <w:p w14:paraId="0584EFCA" w14:textId="77777777" w:rsidR="007509C7" w:rsidRPr="00BF20CF" w:rsidRDefault="007509C7" w:rsidP="003041BF">
      <w:pPr>
        <w:spacing w:before="240" w:line="276" w:lineRule="auto"/>
        <w:rPr>
          <w:rFonts w:ascii="Arial" w:eastAsia="Calibri" w:hAnsi="Arial" w:cs="Arial"/>
        </w:rPr>
      </w:pPr>
      <w:r w:rsidRPr="00BF20CF">
        <w:rPr>
          <w:rFonts w:ascii="Arial" w:eastAsia="Calibri" w:hAnsi="Arial" w:cs="Arial"/>
        </w:rPr>
        <w:t>Preamble:</w:t>
      </w:r>
    </w:p>
    <w:p w14:paraId="57EFC557" w14:textId="77777777" w:rsidR="007509C7" w:rsidRPr="00BF20CF" w:rsidRDefault="007509C7" w:rsidP="003041BF">
      <w:pPr>
        <w:spacing w:before="240" w:line="276" w:lineRule="auto"/>
        <w:rPr>
          <w:rFonts w:ascii="Arial" w:eastAsia="Calibri" w:hAnsi="Arial" w:cs="Arial"/>
        </w:rPr>
      </w:pPr>
      <w:r w:rsidRPr="00BF20CF">
        <w:rPr>
          <w:rFonts w:ascii="Arial" w:eastAsia="Calibri" w:hAnsi="Arial" w:cs="Arial"/>
        </w:rPr>
        <w:t>Hydro Ottawa has incorporated a growth factor (</w:t>
      </w:r>
      <w:r w:rsidRPr="00BF20CF">
        <w:rPr>
          <w:rFonts w:eastAsia="Calibri"/>
          <w:i/>
        </w:rPr>
        <w:t>g</w:t>
      </w:r>
      <w:r w:rsidRPr="00BF20CF">
        <w:rPr>
          <w:rFonts w:ascii="Arial" w:eastAsia="Calibri" w:hAnsi="Arial" w:cs="Arial"/>
        </w:rPr>
        <w:t>) into its proposed OM&amp;A adjustment formula, so that the CPEF (Custom Price Escalation Factor) is of the form:</w:t>
      </w:r>
    </w:p>
    <w:p w14:paraId="247273D9" w14:textId="77777777" w:rsidR="007509C7" w:rsidRPr="00BF20CF" w:rsidRDefault="007509C7" w:rsidP="003041BF">
      <w:pPr>
        <w:spacing w:before="240" w:line="276" w:lineRule="auto"/>
        <w:rPr>
          <w:rFonts w:ascii="Arial" w:hAnsi="Arial" w:cs="Arial"/>
        </w:rPr>
      </w:pPr>
      <m:oMathPara>
        <m:oMath>
          <m:r>
            <w:rPr>
              <w:rFonts w:ascii="Cambria Math" w:eastAsia="Calibri" w:hAnsi="Cambria Math" w:cs="Arial"/>
            </w:rPr>
            <m:t>CPEF=I-</m:t>
          </m:r>
          <m:d>
            <m:dPr>
              <m:ctrlPr>
                <w:rPr>
                  <w:rFonts w:ascii="Cambria Math" w:eastAsia="Calibri" w:hAnsi="Cambria Math" w:cs="Arial"/>
                  <w:i/>
                </w:rPr>
              </m:ctrlPr>
            </m:dPr>
            <m:e>
              <m:r>
                <w:rPr>
                  <w:rFonts w:ascii="Cambria Math" w:eastAsia="Calibri" w:hAnsi="Cambria Math" w:cs="Arial"/>
                </w:rPr>
                <m:t>X+stretc</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factor</m:t>
                  </m:r>
                </m:sub>
              </m:sSub>
            </m:e>
          </m:d>
          <m:r>
            <w:rPr>
              <w:rFonts w:ascii="Cambria Math" w:eastAsia="Calibri" w:hAnsi="Cambria Math" w:cs="Arial"/>
            </w:rPr>
            <m:t>+g</m:t>
          </m:r>
        </m:oMath>
      </m:oMathPara>
    </w:p>
    <w:p w14:paraId="55D30C1F" w14:textId="77777777" w:rsidR="007509C7" w:rsidRPr="00BF20CF" w:rsidRDefault="007509C7" w:rsidP="003041BF">
      <w:pPr>
        <w:spacing w:before="240" w:line="276" w:lineRule="auto"/>
        <w:rPr>
          <w:rFonts w:ascii="Arial" w:hAnsi="Arial" w:cs="Arial"/>
        </w:rPr>
      </w:pPr>
      <w:r w:rsidRPr="00BF20CF">
        <w:rPr>
          <w:rFonts w:ascii="Arial" w:hAnsi="Arial" w:cs="Arial"/>
        </w:rPr>
        <w:t>A growth factor was also incorporated into the formula for Hydro Ottawa’s current Custom IR plan for 2016-2020.</w:t>
      </w:r>
    </w:p>
    <w:p w14:paraId="2EF61035" w14:textId="77777777" w:rsidR="007509C7" w:rsidRPr="00BF20CF" w:rsidRDefault="007509C7" w:rsidP="003041BF">
      <w:pPr>
        <w:spacing w:before="240" w:line="276" w:lineRule="auto"/>
        <w:rPr>
          <w:rFonts w:ascii="Arial" w:hAnsi="Arial" w:cs="Arial"/>
        </w:rPr>
      </w:pPr>
      <w:r w:rsidRPr="00BF20CF">
        <w:rPr>
          <w:rFonts w:ascii="Arial" w:hAnsi="Arial" w:cs="Arial"/>
        </w:rPr>
        <w:t>Hydro Ottawa has assumed a 1.34% average annual growth in number of customers from 2012 to 2020 (forecasted). Hydro Ottawa has then applied a factor to account for economies of scale; the factor used is 0.35, which OEB staff would interpret as the elasticity of customer growth for OM&amp;A expenses. Based on this, Hydro Ottawa then proposes a g-factor of 0.40%, which Hydro Ottawa then assumes for all years that the CPEF is applied (i.e., 2022 to 2025).</w:t>
      </w:r>
    </w:p>
    <w:p w14:paraId="30D882D1" w14:textId="77777777" w:rsidR="007509C7" w:rsidRPr="00BF20CF" w:rsidRDefault="007509C7" w:rsidP="003041BF">
      <w:pPr>
        <w:spacing w:before="240" w:line="276" w:lineRule="auto"/>
        <w:rPr>
          <w:rFonts w:ascii="Arial" w:hAnsi="Arial" w:cs="Arial"/>
        </w:rPr>
      </w:pPr>
      <w:r w:rsidRPr="00BF20CF">
        <w:rPr>
          <w:rFonts w:ascii="Arial" w:hAnsi="Arial" w:cs="Arial"/>
        </w:rPr>
        <w:t>Hydro Ottawa references precedents with respect to an Enbridge Gas Distribution plan in 2007, and more recent decisions in British Columbia, Québec, and Alberta on utility incentive rate-setting plans.</w:t>
      </w:r>
    </w:p>
    <w:p w14:paraId="7D1F634A" w14:textId="1CE1C2AF" w:rsidR="007509C7" w:rsidRPr="00BF20CF" w:rsidRDefault="007509C7" w:rsidP="003041BF">
      <w:pPr>
        <w:spacing w:before="240" w:after="120" w:line="276" w:lineRule="auto"/>
        <w:rPr>
          <w:rFonts w:ascii="Arial" w:hAnsi="Arial" w:cs="Arial"/>
        </w:rPr>
      </w:pPr>
      <w:r w:rsidRPr="00BF20CF">
        <w:rPr>
          <w:rFonts w:ascii="Arial" w:hAnsi="Arial" w:cs="Arial"/>
        </w:rPr>
        <w:t>Question</w:t>
      </w:r>
      <w:r w:rsidR="003041BF" w:rsidRPr="00BF20CF">
        <w:rPr>
          <w:rFonts w:ascii="Arial" w:hAnsi="Arial" w:cs="Arial"/>
        </w:rPr>
        <w:t>(</w:t>
      </w:r>
      <w:r w:rsidRPr="00BF20CF">
        <w:rPr>
          <w:rFonts w:ascii="Arial" w:hAnsi="Arial" w:cs="Arial"/>
        </w:rPr>
        <w:t>s</w:t>
      </w:r>
      <w:r w:rsidR="003041BF" w:rsidRPr="00BF20CF">
        <w:rPr>
          <w:rFonts w:ascii="Arial" w:hAnsi="Arial" w:cs="Arial"/>
        </w:rPr>
        <w:t>)</w:t>
      </w:r>
      <w:r w:rsidRPr="00BF20CF">
        <w:rPr>
          <w:rFonts w:ascii="Arial" w:hAnsi="Arial" w:cs="Arial"/>
        </w:rPr>
        <w:t>:</w:t>
      </w:r>
    </w:p>
    <w:p w14:paraId="38310625" w14:textId="6DB8AFAA" w:rsidR="007509C7" w:rsidRPr="00BF20CF" w:rsidRDefault="007509C7" w:rsidP="00876E97">
      <w:pPr>
        <w:numPr>
          <w:ilvl w:val="0"/>
          <w:numId w:val="80"/>
        </w:numPr>
        <w:autoSpaceDE w:val="0"/>
        <w:autoSpaceDN w:val="0"/>
        <w:adjustRightInd w:val="0"/>
        <w:spacing w:before="240" w:after="160" w:line="276" w:lineRule="auto"/>
        <w:contextualSpacing/>
        <w:rPr>
          <w:rFonts w:ascii="Arial" w:hAnsi="Arial" w:cs="Arial"/>
          <w:lang w:val="en-CA"/>
        </w:rPr>
      </w:pPr>
      <w:r w:rsidRPr="00BF20CF">
        <w:rPr>
          <w:rFonts w:ascii="Arial" w:hAnsi="Arial" w:cs="Arial"/>
          <w:lang w:val="en-CA"/>
        </w:rPr>
        <w:t>In Table 7 (Exhibit 1/Tab 1/Schedule 10/page 20), are the data shown for 2019 actuals or estimates? If estimates please update Table 7 with 2019 actuals.</w:t>
      </w:r>
    </w:p>
    <w:p w14:paraId="61380949" w14:textId="77777777" w:rsidR="007E759E" w:rsidRPr="00BF20CF" w:rsidRDefault="007E759E" w:rsidP="007E759E">
      <w:pPr>
        <w:autoSpaceDE w:val="0"/>
        <w:autoSpaceDN w:val="0"/>
        <w:adjustRightInd w:val="0"/>
        <w:spacing w:before="240" w:after="160" w:line="276" w:lineRule="auto"/>
        <w:ind w:left="720"/>
        <w:contextualSpacing/>
        <w:rPr>
          <w:rFonts w:ascii="Arial" w:hAnsi="Arial" w:cs="Arial"/>
          <w:lang w:val="en-CA"/>
        </w:rPr>
      </w:pPr>
    </w:p>
    <w:p w14:paraId="4BC58172" w14:textId="5244271E" w:rsidR="007509C7" w:rsidRPr="00BF20CF" w:rsidRDefault="007509C7" w:rsidP="00876E97">
      <w:pPr>
        <w:numPr>
          <w:ilvl w:val="0"/>
          <w:numId w:val="80"/>
        </w:numPr>
        <w:autoSpaceDE w:val="0"/>
        <w:autoSpaceDN w:val="0"/>
        <w:adjustRightInd w:val="0"/>
        <w:spacing w:before="240" w:after="160" w:line="276" w:lineRule="auto"/>
        <w:contextualSpacing/>
        <w:rPr>
          <w:rFonts w:ascii="Arial" w:hAnsi="Arial" w:cs="Arial"/>
          <w:lang w:val="en-CA"/>
        </w:rPr>
      </w:pPr>
      <w:r w:rsidRPr="00BF20CF">
        <w:rPr>
          <w:rFonts w:ascii="Arial" w:hAnsi="Arial" w:cs="Arial"/>
          <w:lang w:val="en-CA"/>
        </w:rPr>
        <w:t>Please calculate the average annual growth in customers based on actuals for 2012-2019, based on Table 7, including any update in a).</w:t>
      </w:r>
    </w:p>
    <w:p w14:paraId="1B9D865D" w14:textId="6CADD020" w:rsidR="007E759E" w:rsidRPr="00BF20CF" w:rsidRDefault="007E759E" w:rsidP="007E759E">
      <w:pPr>
        <w:autoSpaceDE w:val="0"/>
        <w:autoSpaceDN w:val="0"/>
        <w:adjustRightInd w:val="0"/>
        <w:spacing w:before="240" w:after="160" w:line="276" w:lineRule="auto"/>
        <w:ind w:left="720"/>
        <w:contextualSpacing/>
        <w:rPr>
          <w:rFonts w:ascii="Arial" w:hAnsi="Arial" w:cs="Arial"/>
          <w:lang w:val="en-CA"/>
        </w:rPr>
      </w:pPr>
    </w:p>
    <w:p w14:paraId="7303E19B" w14:textId="0F7F4937" w:rsidR="007509C7" w:rsidRPr="00BF20CF" w:rsidRDefault="007509C7" w:rsidP="00876E97">
      <w:pPr>
        <w:numPr>
          <w:ilvl w:val="0"/>
          <w:numId w:val="80"/>
        </w:numPr>
        <w:autoSpaceDE w:val="0"/>
        <w:autoSpaceDN w:val="0"/>
        <w:adjustRightInd w:val="0"/>
        <w:spacing w:before="240" w:after="160" w:line="276" w:lineRule="auto"/>
        <w:contextualSpacing/>
        <w:rPr>
          <w:rFonts w:ascii="Arial" w:hAnsi="Arial" w:cs="Arial"/>
          <w:lang w:val="en-CA"/>
        </w:rPr>
      </w:pPr>
      <w:r w:rsidRPr="00BF20CF">
        <w:rPr>
          <w:rFonts w:ascii="Arial" w:hAnsi="Arial" w:cs="Arial"/>
          <w:lang w:val="en-CA"/>
        </w:rPr>
        <w:t>Please provide further details, and data used, in deriving the estimate of 0.35 for the customer growth elasticity of OM&amp;A expenses.</w:t>
      </w:r>
    </w:p>
    <w:p w14:paraId="76F2E66D" w14:textId="4186CDEC" w:rsidR="007509C7" w:rsidRPr="00BF20CF" w:rsidRDefault="007509C7" w:rsidP="00876E97">
      <w:pPr>
        <w:numPr>
          <w:ilvl w:val="0"/>
          <w:numId w:val="80"/>
        </w:numPr>
        <w:autoSpaceDE w:val="0"/>
        <w:autoSpaceDN w:val="0"/>
        <w:adjustRightInd w:val="0"/>
        <w:spacing w:before="240" w:after="160" w:line="276" w:lineRule="auto"/>
        <w:contextualSpacing/>
        <w:rPr>
          <w:rFonts w:ascii="Arial" w:hAnsi="Arial" w:cs="Arial"/>
          <w:lang w:val="en-CA"/>
        </w:rPr>
      </w:pPr>
      <w:r w:rsidRPr="00BF20CF">
        <w:rPr>
          <w:rFonts w:ascii="Arial" w:hAnsi="Arial" w:cs="Arial"/>
          <w:lang w:val="en-CA"/>
        </w:rPr>
        <w:lastRenderedPageBreak/>
        <w:t>Does Hydro Ottawa also agree that there are economies of scale with respect to capital additions? In other words, there would, all else being equal, normally be less than a 1% growth in capital for a 1% growth in number of customers. In other words, both OM&amp;A expenses and capital are inelastic with respect to customer growth. Please explain your reasons.</w:t>
      </w:r>
    </w:p>
    <w:p w14:paraId="6B96B2AB" w14:textId="378F5EE8" w:rsidR="007E759E" w:rsidRPr="00BF20CF" w:rsidRDefault="007E759E" w:rsidP="007E759E">
      <w:pPr>
        <w:autoSpaceDE w:val="0"/>
        <w:autoSpaceDN w:val="0"/>
        <w:adjustRightInd w:val="0"/>
        <w:spacing w:before="240" w:after="160" w:line="276" w:lineRule="auto"/>
        <w:ind w:left="720"/>
        <w:contextualSpacing/>
        <w:rPr>
          <w:rFonts w:ascii="Arial" w:hAnsi="Arial" w:cs="Arial"/>
          <w:lang w:val="en-CA"/>
        </w:rPr>
      </w:pPr>
    </w:p>
    <w:p w14:paraId="5F7ECBD2" w14:textId="2483D769" w:rsidR="007509C7" w:rsidRPr="00BF20CF" w:rsidRDefault="007509C7" w:rsidP="00876E97">
      <w:pPr>
        <w:numPr>
          <w:ilvl w:val="0"/>
          <w:numId w:val="80"/>
        </w:numPr>
        <w:autoSpaceDE w:val="0"/>
        <w:autoSpaceDN w:val="0"/>
        <w:adjustRightInd w:val="0"/>
        <w:spacing w:before="240" w:after="160" w:line="276" w:lineRule="auto"/>
        <w:contextualSpacing/>
        <w:rPr>
          <w:rFonts w:ascii="Arial" w:hAnsi="Arial" w:cs="Arial"/>
          <w:lang w:val="en-CA"/>
        </w:rPr>
      </w:pPr>
      <w:r w:rsidRPr="00BF20CF">
        <w:rPr>
          <w:rFonts w:ascii="Arial" w:hAnsi="Arial" w:cs="Arial"/>
          <w:lang w:val="en-CA"/>
        </w:rPr>
        <w:t xml:space="preserve">In the </w:t>
      </w:r>
      <w:proofErr w:type="spellStart"/>
      <w:r w:rsidRPr="00BF20CF">
        <w:rPr>
          <w:rFonts w:ascii="Arial" w:hAnsi="Arial" w:cs="Arial"/>
          <w:lang w:val="en-CA"/>
        </w:rPr>
        <w:t>FortisBC</w:t>
      </w:r>
      <w:proofErr w:type="spellEnd"/>
      <w:r w:rsidRPr="00BF20CF">
        <w:rPr>
          <w:rFonts w:ascii="Arial" w:hAnsi="Arial" w:cs="Arial"/>
          <w:lang w:val="en-CA"/>
        </w:rPr>
        <w:t xml:space="preserve"> and </w:t>
      </w:r>
      <w:proofErr w:type="spellStart"/>
      <w:r w:rsidRPr="00BF20CF">
        <w:rPr>
          <w:rFonts w:ascii="Arial" w:hAnsi="Arial" w:cs="Arial"/>
          <w:lang w:val="en-CA"/>
        </w:rPr>
        <w:t>FortisBC</w:t>
      </w:r>
      <w:proofErr w:type="spellEnd"/>
      <w:r w:rsidRPr="00BF20CF">
        <w:rPr>
          <w:rFonts w:ascii="Arial" w:hAnsi="Arial" w:cs="Arial"/>
          <w:lang w:val="en-CA"/>
        </w:rPr>
        <w:t xml:space="preserve"> Energy decisions that OEB staff have referenced in 1-Staff-5 and which Hydro Ottawa references in this exhibit of its application, the BCUC determined that an adjustment factor (i.e., customer growth elasticity of capital additions) of 0.5 should apply.</w:t>
      </w:r>
      <w:r w:rsidRPr="00BF20CF">
        <w:rPr>
          <w:rFonts w:ascii="Arial" w:hAnsi="Arial" w:cs="Arial"/>
          <w:vertAlign w:val="superscript"/>
          <w:lang w:val="en-CA"/>
        </w:rPr>
        <w:footnoteReference w:id="10"/>
      </w:r>
      <w:r w:rsidRPr="00BF20CF">
        <w:rPr>
          <w:rFonts w:ascii="Arial" w:hAnsi="Arial" w:cs="Arial"/>
          <w:lang w:val="en-CA"/>
        </w:rPr>
        <w:t xml:space="preserve"> Hydro Ottawa has proposed no adjustment should apply to the capital additions it has forecasted per its DSP and proposes by approved in this application for the whole of the five year Custom IR plan.</w:t>
      </w:r>
      <w:r w:rsidRPr="00BF20CF">
        <w:rPr>
          <w:rFonts w:ascii="Arial" w:hAnsi="Arial" w:cs="Arial"/>
          <w:lang w:val="en-CA"/>
        </w:rPr>
        <w:br/>
      </w:r>
      <w:r w:rsidRPr="00BF20CF">
        <w:rPr>
          <w:rFonts w:ascii="Arial" w:hAnsi="Arial" w:cs="Arial"/>
          <w:lang w:val="en-CA"/>
        </w:rPr>
        <w:br/>
        <w:t>Considering that it is relying on these precedents for its OM&amp;A growth adjustment, please explain, with reasons, why Hydro Ottawa has not proposed a similar growth adjustment</w:t>
      </w:r>
      <w:r w:rsidR="0010102D" w:rsidRPr="00BF20CF">
        <w:rPr>
          <w:rFonts w:ascii="Arial" w:hAnsi="Arial" w:cs="Arial"/>
          <w:lang w:val="en-CA"/>
        </w:rPr>
        <w:t>, including an economies of scale factor, for</w:t>
      </w:r>
      <w:r w:rsidRPr="00BF20CF">
        <w:rPr>
          <w:rFonts w:ascii="Arial" w:hAnsi="Arial" w:cs="Arial"/>
          <w:lang w:val="en-CA"/>
        </w:rPr>
        <w:t xml:space="preserve"> its forecasted capital</w:t>
      </w:r>
      <w:r w:rsidR="0010102D" w:rsidRPr="00BF20CF">
        <w:rPr>
          <w:rFonts w:ascii="Arial" w:hAnsi="Arial" w:cs="Arial"/>
          <w:lang w:val="en-CA"/>
        </w:rPr>
        <w:t xml:space="preserve"> budget as documented in its DSP</w:t>
      </w:r>
      <w:r w:rsidRPr="00BF20CF">
        <w:rPr>
          <w:rFonts w:ascii="Arial" w:hAnsi="Arial" w:cs="Arial"/>
          <w:lang w:val="en-CA"/>
        </w:rPr>
        <w:t>.</w:t>
      </w:r>
    </w:p>
    <w:p w14:paraId="436F4AC2" w14:textId="77777777" w:rsidR="003041BF" w:rsidRPr="00BF20CF" w:rsidRDefault="003041BF" w:rsidP="003041BF">
      <w:pPr>
        <w:spacing w:before="240" w:line="276" w:lineRule="auto"/>
        <w:rPr>
          <w:rFonts w:ascii="Arial" w:eastAsia="Calibri" w:hAnsi="Arial" w:cs="Arial"/>
          <w:b/>
        </w:rPr>
      </w:pPr>
    </w:p>
    <w:p w14:paraId="7D3283DF" w14:textId="2E5CEEC0" w:rsidR="0039317E" w:rsidRPr="00BF20CF" w:rsidRDefault="003041BF" w:rsidP="0039317E">
      <w:pPr>
        <w:spacing w:before="120" w:line="276" w:lineRule="auto"/>
        <w:rPr>
          <w:rFonts w:ascii="Arial" w:eastAsia="Calibri" w:hAnsi="Arial" w:cs="Arial"/>
          <w:b/>
        </w:rPr>
      </w:pPr>
      <w:r w:rsidRPr="00BF20CF">
        <w:rPr>
          <w:rFonts w:ascii="Arial" w:eastAsia="Calibri" w:hAnsi="Arial" w:cs="Arial"/>
          <w:b/>
        </w:rPr>
        <w:t>Earnings Sharing Mechanism</w:t>
      </w:r>
    </w:p>
    <w:p w14:paraId="0278FF9D" w14:textId="5B8A0747" w:rsidR="007509C7" w:rsidRPr="00BF20CF" w:rsidRDefault="007E759E" w:rsidP="001C211A">
      <w:pPr>
        <w:spacing w:before="240" w:line="276" w:lineRule="auto"/>
        <w:rPr>
          <w:rFonts w:ascii="Arial" w:eastAsia="Calibri" w:hAnsi="Arial" w:cs="Arial"/>
          <w:b/>
        </w:rPr>
      </w:pPr>
      <w:r w:rsidRPr="00BF20CF">
        <w:rPr>
          <w:rFonts w:ascii="Arial" w:eastAsia="Calibri" w:hAnsi="Arial" w:cs="Arial"/>
          <w:b/>
        </w:rPr>
        <w:t>1- Staff-8</w:t>
      </w:r>
    </w:p>
    <w:p w14:paraId="76F2DE2F" w14:textId="2D7E94F5" w:rsidR="007509C7" w:rsidRPr="00BF20CF" w:rsidRDefault="007509C7" w:rsidP="003041BF">
      <w:pPr>
        <w:spacing w:line="276" w:lineRule="auto"/>
        <w:ind w:left="720" w:hanging="720"/>
        <w:rPr>
          <w:rFonts w:ascii="Arial" w:eastAsia="Calibri" w:hAnsi="Arial" w:cs="Arial"/>
          <w:b/>
        </w:rPr>
      </w:pPr>
      <w:r w:rsidRPr="00BF20CF">
        <w:rPr>
          <w:rFonts w:ascii="Arial" w:eastAsia="Calibri" w:hAnsi="Arial" w:cs="Arial"/>
          <w:b/>
        </w:rPr>
        <w:t>Ref:</w:t>
      </w:r>
      <w:r w:rsidRPr="00BF20CF">
        <w:rPr>
          <w:rFonts w:ascii="Arial" w:eastAsia="Calibri" w:hAnsi="Arial" w:cs="Arial"/>
          <w:b/>
        </w:rPr>
        <w:tab/>
      </w:r>
      <w:r w:rsidR="000728E5" w:rsidRPr="00BF20CF">
        <w:rPr>
          <w:rFonts w:ascii="Arial" w:eastAsia="Calibri" w:hAnsi="Arial" w:cs="Arial"/>
          <w:b/>
        </w:rPr>
        <w:t xml:space="preserve">Updated </w:t>
      </w:r>
      <w:r w:rsidRPr="00BF20CF">
        <w:rPr>
          <w:rFonts w:ascii="Arial" w:eastAsia="Calibri" w:hAnsi="Arial" w:cs="Arial"/>
          <w:b/>
        </w:rPr>
        <w:t>Exhibit 1/Tab 1/Schedule 8/pp. 2</w:t>
      </w:r>
      <w:r w:rsidR="000728E5" w:rsidRPr="00BF20CF">
        <w:rPr>
          <w:rFonts w:ascii="Arial" w:eastAsia="Calibri" w:hAnsi="Arial" w:cs="Arial"/>
          <w:b/>
        </w:rPr>
        <w:t>9</w:t>
      </w:r>
      <w:r w:rsidRPr="00BF20CF">
        <w:rPr>
          <w:rFonts w:ascii="Arial" w:eastAsia="Calibri" w:hAnsi="Arial" w:cs="Arial"/>
          <w:b/>
        </w:rPr>
        <w:t>-</w:t>
      </w:r>
      <w:r w:rsidR="000728E5" w:rsidRPr="00BF20CF">
        <w:rPr>
          <w:rFonts w:ascii="Arial" w:eastAsia="Calibri" w:hAnsi="Arial" w:cs="Arial"/>
          <w:b/>
        </w:rPr>
        <w:t>30</w:t>
      </w:r>
      <w:r w:rsidRPr="00BF20CF">
        <w:rPr>
          <w:rFonts w:ascii="Arial" w:eastAsia="Calibri" w:hAnsi="Arial" w:cs="Arial"/>
          <w:b/>
        </w:rPr>
        <w:br/>
      </w:r>
      <w:r w:rsidR="006E0CFC" w:rsidRPr="00BF20CF">
        <w:rPr>
          <w:rFonts w:ascii="Arial" w:eastAsia="Calibri" w:hAnsi="Arial" w:cs="Arial"/>
          <w:b/>
        </w:rPr>
        <w:t xml:space="preserve">Updated </w:t>
      </w:r>
      <w:r w:rsidRPr="00BF20CF">
        <w:rPr>
          <w:rFonts w:ascii="Arial" w:eastAsia="Calibri" w:hAnsi="Arial" w:cs="Arial"/>
          <w:b/>
        </w:rPr>
        <w:t>Exhibit 1/Tab 1/Schedule 10/</w:t>
      </w:r>
      <w:r w:rsidR="008D1A4D" w:rsidRPr="00BF20CF">
        <w:rPr>
          <w:rFonts w:ascii="Arial" w:eastAsia="Calibri" w:hAnsi="Arial" w:cs="Arial"/>
          <w:b/>
        </w:rPr>
        <w:t>p</w:t>
      </w:r>
      <w:r w:rsidR="006E0CFC" w:rsidRPr="00BF20CF">
        <w:rPr>
          <w:rFonts w:ascii="Arial" w:eastAsia="Calibri" w:hAnsi="Arial" w:cs="Arial"/>
          <w:b/>
        </w:rPr>
        <w:t>p.</w:t>
      </w:r>
      <w:r w:rsidRPr="00BF20CF">
        <w:rPr>
          <w:rFonts w:ascii="Arial" w:eastAsia="Calibri" w:hAnsi="Arial" w:cs="Arial"/>
          <w:b/>
        </w:rPr>
        <w:t xml:space="preserve"> 26</w:t>
      </w:r>
      <w:r w:rsidR="006E0CFC" w:rsidRPr="00BF20CF">
        <w:rPr>
          <w:rFonts w:ascii="Arial" w:eastAsia="Calibri" w:hAnsi="Arial" w:cs="Arial"/>
          <w:b/>
        </w:rPr>
        <w:t>-27</w:t>
      </w:r>
      <w:r w:rsidRPr="00BF20CF">
        <w:rPr>
          <w:rFonts w:ascii="Arial" w:eastAsia="Calibri" w:hAnsi="Arial" w:cs="Arial"/>
          <w:b/>
        </w:rPr>
        <w:br/>
      </w:r>
      <w:r w:rsidR="004A2AAA" w:rsidRPr="00BF20CF">
        <w:rPr>
          <w:rFonts w:ascii="Arial" w:eastAsia="Calibri" w:hAnsi="Arial" w:cs="Arial"/>
          <w:b/>
        </w:rPr>
        <w:t xml:space="preserve">Updated </w:t>
      </w:r>
      <w:r w:rsidRPr="00BF20CF">
        <w:rPr>
          <w:rFonts w:ascii="Arial" w:eastAsia="Calibri" w:hAnsi="Arial" w:cs="Arial"/>
          <w:b/>
        </w:rPr>
        <w:t xml:space="preserve">Exhibit 9/Tab 1/Schedule 3/pp. 3, </w:t>
      </w:r>
      <w:r w:rsidR="004A2AAA" w:rsidRPr="00BF20CF">
        <w:rPr>
          <w:rFonts w:ascii="Arial" w:eastAsia="Calibri" w:hAnsi="Arial" w:cs="Arial"/>
          <w:b/>
        </w:rPr>
        <w:t>17</w:t>
      </w:r>
      <w:r w:rsidRPr="00BF20CF">
        <w:rPr>
          <w:rFonts w:ascii="Arial" w:eastAsia="Calibri" w:hAnsi="Arial" w:cs="Arial"/>
          <w:b/>
        </w:rPr>
        <w:br/>
        <w:t xml:space="preserve">Exhibit 9/Tab </w:t>
      </w:r>
      <w:r w:rsidR="00D86AEF" w:rsidRPr="00BF20CF">
        <w:rPr>
          <w:rFonts w:ascii="Arial" w:eastAsia="Calibri" w:hAnsi="Arial" w:cs="Arial"/>
          <w:b/>
        </w:rPr>
        <w:t>2</w:t>
      </w:r>
      <w:r w:rsidRPr="00BF20CF">
        <w:rPr>
          <w:rFonts w:ascii="Arial" w:eastAsia="Calibri" w:hAnsi="Arial" w:cs="Arial"/>
          <w:b/>
        </w:rPr>
        <w:t>/Schedule 1/pp. 6-8</w:t>
      </w:r>
      <w:r w:rsidRPr="00BF20CF">
        <w:rPr>
          <w:rFonts w:ascii="Arial" w:eastAsia="Calibri" w:hAnsi="Arial" w:cs="Arial"/>
          <w:b/>
        </w:rPr>
        <w:br/>
        <w:t>EB-2015-0004, Decision and Rate Order, December 22, 2015</w:t>
      </w:r>
    </w:p>
    <w:p w14:paraId="5E429B19" w14:textId="77777777" w:rsidR="007509C7" w:rsidRPr="00BF20CF" w:rsidRDefault="007509C7" w:rsidP="003041BF">
      <w:pPr>
        <w:spacing w:before="240" w:line="276" w:lineRule="auto"/>
        <w:rPr>
          <w:rFonts w:ascii="Arial" w:eastAsia="Calibri" w:hAnsi="Arial" w:cs="Arial"/>
        </w:rPr>
      </w:pPr>
      <w:r w:rsidRPr="00BF20CF">
        <w:rPr>
          <w:rFonts w:ascii="Arial" w:eastAsia="Calibri" w:hAnsi="Arial" w:cs="Arial"/>
        </w:rPr>
        <w:t>Preamble:</w:t>
      </w:r>
    </w:p>
    <w:p w14:paraId="3C44FFC0" w14:textId="77777777" w:rsidR="007509C7" w:rsidRPr="00BF20CF" w:rsidRDefault="007509C7" w:rsidP="003041BF">
      <w:pPr>
        <w:spacing w:before="240" w:line="276" w:lineRule="auto"/>
        <w:rPr>
          <w:rFonts w:ascii="Arial" w:eastAsia="Calibri" w:hAnsi="Arial" w:cs="Arial"/>
        </w:rPr>
      </w:pPr>
      <w:r w:rsidRPr="00BF20CF">
        <w:rPr>
          <w:rFonts w:ascii="Arial" w:eastAsia="Calibri" w:hAnsi="Arial" w:cs="Arial"/>
        </w:rPr>
        <w:t xml:space="preserve">In this Application, Hydro Ottawa is proposing an asymmetrical Earnings Sharing Mechanism (ESM) with a </w:t>
      </w:r>
      <w:proofErr w:type="spellStart"/>
      <w:r w:rsidRPr="00BF20CF">
        <w:rPr>
          <w:rFonts w:ascii="Arial" w:eastAsia="Calibri" w:hAnsi="Arial" w:cs="Arial"/>
        </w:rPr>
        <w:t>deadband</w:t>
      </w:r>
      <w:proofErr w:type="spellEnd"/>
      <w:r w:rsidRPr="00BF20CF">
        <w:rPr>
          <w:rFonts w:ascii="Arial" w:eastAsia="Calibri" w:hAnsi="Arial" w:cs="Arial"/>
        </w:rPr>
        <w:t xml:space="preserve"> of +150 basis points above the allowed Return on Equity (ROE).</w:t>
      </w:r>
    </w:p>
    <w:p w14:paraId="3E143148" w14:textId="77777777" w:rsidR="007509C7" w:rsidRPr="00BF20CF" w:rsidRDefault="007509C7" w:rsidP="003041BF">
      <w:pPr>
        <w:spacing w:before="240" w:line="276" w:lineRule="auto"/>
        <w:rPr>
          <w:rFonts w:ascii="Arial" w:eastAsia="Calibri" w:hAnsi="Arial" w:cs="Arial"/>
        </w:rPr>
      </w:pPr>
      <w:r w:rsidRPr="00BF20CF">
        <w:rPr>
          <w:rFonts w:ascii="Arial" w:eastAsia="Calibri" w:hAnsi="Arial" w:cs="Arial"/>
        </w:rPr>
        <w:t xml:space="preserve">In its current Custom IR plan for 2016-2020, Hydro Ottawa is subject to an ESM with no </w:t>
      </w:r>
      <w:proofErr w:type="spellStart"/>
      <w:r w:rsidRPr="00BF20CF">
        <w:rPr>
          <w:rFonts w:ascii="Arial" w:eastAsia="Calibri" w:hAnsi="Arial" w:cs="Arial"/>
        </w:rPr>
        <w:t>deadband</w:t>
      </w:r>
      <w:proofErr w:type="spellEnd"/>
      <w:r w:rsidRPr="00BF20CF">
        <w:rPr>
          <w:rFonts w:ascii="Arial" w:eastAsia="Calibri" w:hAnsi="Arial" w:cs="Arial"/>
        </w:rPr>
        <w:t xml:space="preserve">; all earnings above the allowed ROE on a regulated basis are </w:t>
      </w:r>
      <w:r w:rsidRPr="00BF20CF">
        <w:rPr>
          <w:rFonts w:ascii="Arial" w:eastAsia="Calibri" w:hAnsi="Arial" w:cs="Arial"/>
        </w:rPr>
        <w:lastRenderedPageBreak/>
        <w:t>to be shared 50:50 between shareholders and ratepayers. This ESM was part of the settlement proposal for Hydro Ottawa’s Custom IR, which settlement proposal was accepted by the OEB in its Decision and Rate Order EB-2015-0004, issued December 22, 2015.</w:t>
      </w:r>
    </w:p>
    <w:p w14:paraId="27B36A67" w14:textId="77777777" w:rsidR="007509C7" w:rsidRPr="00BF20CF" w:rsidRDefault="007509C7" w:rsidP="003041BF">
      <w:pPr>
        <w:spacing w:before="240" w:line="276" w:lineRule="auto"/>
        <w:rPr>
          <w:rFonts w:ascii="Arial" w:eastAsia="Calibri" w:hAnsi="Arial" w:cs="Arial"/>
        </w:rPr>
      </w:pPr>
      <w:r w:rsidRPr="00BF20CF">
        <w:rPr>
          <w:rFonts w:ascii="Arial" w:eastAsia="Calibri" w:hAnsi="Arial" w:cs="Arial"/>
        </w:rPr>
        <w:t>In Exhibit 9/Tab 2/Schedule 1, on pages 6-7, Hydro Ottawa states:</w:t>
      </w:r>
    </w:p>
    <w:p w14:paraId="2905C3B1" w14:textId="77777777" w:rsidR="007509C7" w:rsidRPr="00BF20CF" w:rsidRDefault="007509C7" w:rsidP="003041BF">
      <w:pPr>
        <w:spacing w:before="240" w:line="276" w:lineRule="auto"/>
        <w:ind w:left="360" w:right="720"/>
        <w:rPr>
          <w:rFonts w:ascii="Arial" w:eastAsia="Calibri" w:hAnsi="Arial" w:cs="Arial"/>
        </w:rPr>
      </w:pPr>
      <w:r w:rsidRPr="00BF20CF">
        <w:rPr>
          <w:rFonts w:ascii="Arial" w:eastAsia="Calibri" w:hAnsi="Arial" w:cs="Arial"/>
        </w:rPr>
        <w:t>If the utility’s actual Return on Equity (“ROE”) differs from the approved ROE, Hydro Ottawa proposes returning any excess earnings based on the following (which is consistent with the OEB’s recent Decision and Order on THESL’s [Toronto Hydro’s] 2020-2024 rate application</w:t>
      </w:r>
      <w:r w:rsidRPr="00BF20CF">
        <w:rPr>
          <w:rFonts w:ascii="Arial" w:eastAsia="Calibri" w:hAnsi="Arial" w:cs="Arial"/>
          <w:vertAlign w:val="superscript"/>
        </w:rPr>
        <w:t>7</w:t>
      </w:r>
      <w:r w:rsidRPr="00BF20CF">
        <w:rPr>
          <w:rFonts w:ascii="Arial" w:eastAsia="Calibri" w:hAnsi="Arial" w:cs="Arial"/>
        </w:rPr>
        <w:t>):</w:t>
      </w:r>
    </w:p>
    <w:p w14:paraId="5D3121B5" w14:textId="77777777" w:rsidR="007509C7" w:rsidRPr="00BF20CF" w:rsidRDefault="007509C7" w:rsidP="00876E97">
      <w:pPr>
        <w:numPr>
          <w:ilvl w:val="0"/>
          <w:numId w:val="76"/>
        </w:numPr>
        <w:autoSpaceDE w:val="0"/>
        <w:autoSpaceDN w:val="0"/>
        <w:adjustRightInd w:val="0"/>
        <w:spacing w:before="240" w:after="160" w:line="276" w:lineRule="auto"/>
        <w:ind w:left="1080" w:right="720"/>
        <w:contextualSpacing/>
        <w:rPr>
          <w:rFonts w:ascii="Arial" w:hAnsi="Arial" w:cs="Arial"/>
          <w:lang w:val="en-CA"/>
        </w:rPr>
      </w:pPr>
      <w:r w:rsidRPr="00BF20CF">
        <w:rPr>
          <w:rFonts w:ascii="Arial" w:hAnsi="Arial" w:cs="Arial"/>
          <w:lang w:val="en-CA"/>
        </w:rPr>
        <w:t>Under earning – borne entirely by the shareholder</w:t>
      </w:r>
    </w:p>
    <w:p w14:paraId="40E716BD" w14:textId="77777777" w:rsidR="007509C7" w:rsidRPr="00BF20CF" w:rsidRDefault="007509C7" w:rsidP="00876E97">
      <w:pPr>
        <w:numPr>
          <w:ilvl w:val="0"/>
          <w:numId w:val="76"/>
        </w:numPr>
        <w:autoSpaceDE w:val="0"/>
        <w:autoSpaceDN w:val="0"/>
        <w:adjustRightInd w:val="0"/>
        <w:spacing w:before="240" w:after="160" w:line="276" w:lineRule="auto"/>
        <w:ind w:left="1080" w:right="720"/>
        <w:contextualSpacing/>
        <w:rPr>
          <w:rFonts w:ascii="Arial" w:hAnsi="Arial" w:cs="Arial"/>
          <w:lang w:val="en-CA"/>
        </w:rPr>
      </w:pPr>
      <w:r w:rsidRPr="00BF20CF">
        <w:rPr>
          <w:rFonts w:ascii="Arial" w:hAnsi="Arial" w:cs="Arial"/>
          <w:lang w:val="en-CA"/>
        </w:rPr>
        <w:t>0 - 150 basis points – fully retained by shareholder</w:t>
      </w:r>
    </w:p>
    <w:p w14:paraId="7C601F68" w14:textId="77777777" w:rsidR="007509C7" w:rsidRPr="00BF20CF" w:rsidRDefault="007509C7" w:rsidP="00876E97">
      <w:pPr>
        <w:numPr>
          <w:ilvl w:val="0"/>
          <w:numId w:val="76"/>
        </w:numPr>
        <w:autoSpaceDE w:val="0"/>
        <w:autoSpaceDN w:val="0"/>
        <w:adjustRightInd w:val="0"/>
        <w:spacing w:before="240" w:after="160" w:line="276" w:lineRule="auto"/>
        <w:ind w:left="1080" w:right="720"/>
        <w:contextualSpacing/>
        <w:rPr>
          <w:rFonts w:ascii="Arial" w:hAnsi="Arial" w:cs="Arial"/>
          <w:lang w:val="en-CA"/>
        </w:rPr>
      </w:pPr>
      <w:r w:rsidRPr="00BF20CF">
        <w:rPr>
          <w:rFonts w:ascii="Arial" w:hAnsi="Arial" w:cs="Arial"/>
          <w:lang w:val="en-CA"/>
        </w:rPr>
        <w:t>Above 150 basis points – 50:50 sharing between ratepayer/shareholder</w:t>
      </w:r>
    </w:p>
    <w:p w14:paraId="0EA1D551" w14:textId="77777777" w:rsidR="007509C7" w:rsidRPr="00BF20CF" w:rsidRDefault="007509C7" w:rsidP="003041BF">
      <w:pPr>
        <w:spacing w:before="240" w:line="276" w:lineRule="auto"/>
        <w:ind w:left="360" w:right="720"/>
        <w:rPr>
          <w:rFonts w:ascii="Arial" w:eastAsia="Calibri" w:hAnsi="Arial" w:cs="Arial"/>
        </w:rPr>
      </w:pPr>
      <w:r w:rsidRPr="00BF20CF">
        <w:rPr>
          <w:rFonts w:ascii="Arial" w:eastAsia="Calibri" w:hAnsi="Arial" w:cs="Arial"/>
        </w:rPr>
        <w:t>The above would be based on overall earnings at the end of the Custom IR rate term (i.e. end of 2025), as per the direction signaled in the OEB’s Handbook for Utility Rate Applications.</w:t>
      </w:r>
      <w:r w:rsidRPr="00BF20CF">
        <w:rPr>
          <w:rFonts w:ascii="Arial" w:eastAsia="Calibri" w:hAnsi="Arial" w:cs="Arial"/>
          <w:vertAlign w:val="superscript"/>
        </w:rPr>
        <w:t>8</w:t>
      </w:r>
      <w:r w:rsidRPr="00BF20CF">
        <w:rPr>
          <w:rFonts w:ascii="Arial" w:eastAsia="Calibri" w:hAnsi="Arial" w:cs="Arial"/>
        </w:rPr>
        <w:t xml:space="preserve"> </w:t>
      </w:r>
      <w:r w:rsidRPr="00BF20CF">
        <w:rPr>
          <w:rFonts w:ascii="Arial" w:eastAsia="Calibri" w:hAnsi="Arial" w:cs="Arial"/>
        </w:rPr>
        <w:br/>
      </w:r>
    </w:p>
    <w:p w14:paraId="718133B4" w14:textId="77777777" w:rsidR="007509C7" w:rsidRPr="00BF20CF" w:rsidRDefault="007509C7" w:rsidP="003041BF">
      <w:pPr>
        <w:spacing w:after="160" w:line="259" w:lineRule="auto"/>
        <w:ind w:left="360" w:right="720"/>
        <w:rPr>
          <w:rFonts w:ascii="Arial" w:eastAsia="Calibri" w:hAnsi="Arial" w:cs="Arial"/>
          <w:sz w:val="18"/>
          <w:szCs w:val="18"/>
        </w:rPr>
      </w:pPr>
      <w:r w:rsidRPr="00BF20CF">
        <w:rPr>
          <w:rFonts w:ascii="Arial" w:eastAsia="Calibri" w:hAnsi="Arial" w:cs="Arial"/>
          <w:sz w:val="18"/>
          <w:szCs w:val="18"/>
        </w:rPr>
        <w:t xml:space="preserve">7 Ontario Energy Board, </w:t>
      </w:r>
      <w:r w:rsidRPr="00BF20CF">
        <w:rPr>
          <w:rFonts w:ascii="Arial" w:eastAsia="Calibri" w:hAnsi="Arial" w:cs="Arial"/>
          <w:i/>
          <w:sz w:val="18"/>
          <w:szCs w:val="18"/>
        </w:rPr>
        <w:t>Decision and Order</w:t>
      </w:r>
      <w:r w:rsidRPr="00BF20CF">
        <w:rPr>
          <w:rFonts w:ascii="Arial" w:eastAsia="Calibri" w:hAnsi="Arial" w:cs="Arial"/>
          <w:sz w:val="18"/>
          <w:szCs w:val="18"/>
        </w:rPr>
        <w:t>, EB-2018-0165 (December 19, 2019), pages 42-43.</w:t>
      </w:r>
      <w:r w:rsidRPr="00BF20CF">
        <w:rPr>
          <w:rFonts w:ascii="Arial" w:eastAsia="Calibri" w:hAnsi="Arial" w:cs="Arial"/>
          <w:sz w:val="18"/>
          <w:szCs w:val="18"/>
        </w:rPr>
        <w:br/>
        <w:t xml:space="preserve">8 Ontario Energy Board, </w:t>
      </w:r>
      <w:r w:rsidRPr="00BF20CF">
        <w:rPr>
          <w:rFonts w:ascii="Arial" w:eastAsia="Calibri" w:hAnsi="Arial" w:cs="Arial"/>
          <w:i/>
          <w:sz w:val="18"/>
          <w:szCs w:val="18"/>
        </w:rPr>
        <w:t>Handbook for Utility Rate Applications</w:t>
      </w:r>
      <w:r w:rsidRPr="00BF20CF">
        <w:rPr>
          <w:rFonts w:ascii="Arial" w:eastAsia="Calibri" w:hAnsi="Arial" w:cs="Arial"/>
          <w:sz w:val="18"/>
          <w:szCs w:val="18"/>
        </w:rPr>
        <w:t xml:space="preserve"> (October 13, 2016), page 28.</w:t>
      </w:r>
    </w:p>
    <w:p w14:paraId="44B469D6" w14:textId="77777777" w:rsidR="005C434D" w:rsidRPr="00BF20CF" w:rsidRDefault="005C434D" w:rsidP="003041BF">
      <w:pPr>
        <w:spacing w:before="240" w:after="120" w:line="276" w:lineRule="auto"/>
        <w:rPr>
          <w:rFonts w:ascii="Arial" w:eastAsia="Calibri" w:hAnsi="Arial" w:cs="Arial"/>
        </w:rPr>
      </w:pPr>
      <w:r w:rsidRPr="00BF20CF">
        <w:rPr>
          <w:rFonts w:ascii="Arial" w:eastAsia="Calibri" w:hAnsi="Arial" w:cs="Arial"/>
        </w:rPr>
        <w:t>For both the 2016-2020 Custom IR plan and the proposed 2021-2025 plan, any overearnings are tracked in Account 1508 sub-account Earnings Sharing Mechanism, as noted in Exhibit 9/Tab 1/Schedule 1.</w:t>
      </w:r>
    </w:p>
    <w:p w14:paraId="04A971D6" w14:textId="574D1F3E"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In its Decision and Order EB-2018-0165, the OEB approved Toronto Hydro’s ESM with a threshold of 100 basis points:</w:t>
      </w:r>
    </w:p>
    <w:p w14:paraId="7380D284" w14:textId="77777777" w:rsidR="007509C7" w:rsidRPr="00BF20CF" w:rsidRDefault="007509C7" w:rsidP="003041BF">
      <w:pPr>
        <w:spacing w:before="240" w:after="120" w:line="276" w:lineRule="auto"/>
        <w:ind w:left="720" w:right="720"/>
        <w:rPr>
          <w:rFonts w:ascii="Arial" w:eastAsia="Calibri" w:hAnsi="Arial" w:cs="Arial"/>
        </w:rPr>
      </w:pPr>
      <w:r w:rsidRPr="00BF20CF">
        <w:rPr>
          <w:rFonts w:ascii="Arial" w:eastAsia="Calibri" w:hAnsi="Arial" w:cs="Arial"/>
        </w:rPr>
        <w:t>The OEB approves a cumulative, asymmetrical ESM using an ROE-based calculation with all earnings in excess of 100 basis points over the approved ROE shared 50:50 with ratepayers.</w:t>
      </w:r>
      <w:r w:rsidRPr="00BF20CF">
        <w:rPr>
          <w:rFonts w:ascii="Arial" w:eastAsia="Calibri" w:hAnsi="Arial" w:cs="Arial"/>
          <w:vertAlign w:val="superscript"/>
        </w:rPr>
        <w:footnoteReference w:id="11"/>
      </w:r>
      <w:r w:rsidRPr="00BF20CF">
        <w:rPr>
          <w:rFonts w:ascii="Arial" w:eastAsia="Calibri" w:hAnsi="Arial" w:cs="Arial"/>
        </w:rPr>
        <w:t xml:space="preserve"> </w:t>
      </w:r>
    </w:p>
    <w:p w14:paraId="3018FF80" w14:textId="4B60C52D"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Question</w:t>
      </w:r>
      <w:r w:rsidR="003041BF" w:rsidRPr="00BF20CF">
        <w:rPr>
          <w:rFonts w:ascii="Arial" w:eastAsia="Calibri" w:hAnsi="Arial" w:cs="Arial"/>
        </w:rPr>
        <w:t>(</w:t>
      </w:r>
      <w:r w:rsidRPr="00BF20CF">
        <w:rPr>
          <w:rFonts w:ascii="Arial" w:eastAsia="Calibri" w:hAnsi="Arial" w:cs="Arial"/>
        </w:rPr>
        <w:t>s</w:t>
      </w:r>
      <w:r w:rsidR="003041BF" w:rsidRPr="00BF20CF">
        <w:rPr>
          <w:rFonts w:ascii="Arial" w:eastAsia="Calibri" w:hAnsi="Arial" w:cs="Arial"/>
        </w:rPr>
        <w:t>)</w:t>
      </w:r>
      <w:r w:rsidRPr="00BF20CF">
        <w:rPr>
          <w:rFonts w:ascii="Arial" w:eastAsia="Calibri" w:hAnsi="Arial" w:cs="Arial"/>
        </w:rPr>
        <w:t>:</w:t>
      </w:r>
    </w:p>
    <w:p w14:paraId="4A0E9A8E" w14:textId="51299EF2" w:rsidR="007509C7" w:rsidRPr="00BF20CF" w:rsidRDefault="007509C7" w:rsidP="00876E97">
      <w:pPr>
        <w:numPr>
          <w:ilvl w:val="0"/>
          <w:numId w:val="69"/>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Why is Hydro Ottawa proposing a different ESM from its </w:t>
      </w:r>
      <w:r w:rsidR="006F2282" w:rsidRPr="00BF20CF">
        <w:rPr>
          <w:rFonts w:ascii="Arial" w:hAnsi="Arial" w:cs="Arial"/>
          <w:lang w:val="en-CA"/>
        </w:rPr>
        <w:t xml:space="preserve">2016-2020 </w:t>
      </w:r>
      <w:r w:rsidRPr="00BF20CF">
        <w:rPr>
          <w:rFonts w:ascii="Arial" w:hAnsi="Arial" w:cs="Arial"/>
          <w:lang w:val="en-CA"/>
        </w:rPr>
        <w:t>Custom IR plan?</w:t>
      </w:r>
    </w:p>
    <w:p w14:paraId="44C37E5C" w14:textId="77777777" w:rsidR="007E759E" w:rsidRPr="00BF20CF" w:rsidRDefault="007E759E" w:rsidP="007E759E">
      <w:pPr>
        <w:autoSpaceDE w:val="0"/>
        <w:autoSpaceDN w:val="0"/>
        <w:adjustRightInd w:val="0"/>
        <w:spacing w:before="240" w:after="120" w:line="276" w:lineRule="auto"/>
        <w:ind w:left="720"/>
        <w:contextualSpacing/>
        <w:rPr>
          <w:rFonts w:ascii="Arial" w:hAnsi="Arial" w:cs="Arial"/>
          <w:lang w:val="en-CA"/>
        </w:rPr>
      </w:pPr>
    </w:p>
    <w:p w14:paraId="2D4C173F" w14:textId="1519CF50" w:rsidR="007509C7" w:rsidRPr="00BF20CF" w:rsidRDefault="007509C7" w:rsidP="00876E97">
      <w:pPr>
        <w:numPr>
          <w:ilvl w:val="0"/>
          <w:numId w:val="69"/>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lastRenderedPageBreak/>
        <w:t>Please confirm that Hydro Ottawa’s ESM proposal is consistent with what the OEB approved for Toronto Hydro in the EB-2018-0165 Decision and Order with the exception of the threshold of 150 basis points proposed by Hydro Ottawa. If there are other differences, please identify and document them and the reasons for the differences.</w:t>
      </w:r>
    </w:p>
    <w:p w14:paraId="1A32DFCB" w14:textId="786DB938" w:rsidR="007E759E" w:rsidRPr="00BF20CF" w:rsidRDefault="007E759E" w:rsidP="007E759E">
      <w:pPr>
        <w:autoSpaceDE w:val="0"/>
        <w:autoSpaceDN w:val="0"/>
        <w:adjustRightInd w:val="0"/>
        <w:spacing w:before="240" w:after="120" w:line="276" w:lineRule="auto"/>
        <w:ind w:left="720"/>
        <w:contextualSpacing/>
        <w:rPr>
          <w:rFonts w:ascii="Arial" w:hAnsi="Arial" w:cs="Arial"/>
          <w:lang w:val="en-CA"/>
        </w:rPr>
      </w:pPr>
    </w:p>
    <w:p w14:paraId="5B24A7AC" w14:textId="6218014B" w:rsidR="007509C7" w:rsidRPr="00BF20CF" w:rsidRDefault="007509C7" w:rsidP="00876E97">
      <w:pPr>
        <w:numPr>
          <w:ilvl w:val="0"/>
          <w:numId w:val="69"/>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What is the basis for the </w:t>
      </w:r>
      <w:proofErr w:type="spellStart"/>
      <w:r w:rsidRPr="00BF20CF">
        <w:rPr>
          <w:rFonts w:ascii="Arial" w:hAnsi="Arial" w:cs="Arial"/>
          <w:lang w:val="en-CA"/>
        </w:rPr>
        <w:t>deadband</w:t>
      </w:r>
      <w:proofErr w:type="spellEnd"/>
      <w:r w:rsidRPr="00BF20CF">
        <w:rPr>
          <w:rFonts w:ascii="Arial" w:hAnsi="Arial" w:cs="Arial"/>
          <w:lang w:val="en-CA"/>
        </w:rPr>
        <w:t xml:space="preserve"> threshold of 150 basis points above the allowed ROE? This should also address why Hydro Ottawa is proposing a different </w:t>
      </w:r>
      <w:proofErr w:type="spellStart"/>
      <w:r w:rsidRPr="00BF20CF">
        <w:rPr>
          <w:rFonts w:ascii="Arial" w:hAnsi="Arial" w:cs="Arial"/>
          <w:lang w:val="en-CA"/>
        </w:rPr>
        <w:t>deadband</w:t>
      </w:r>
      <w:proofErr w:type="spellEnd"/>
      <w:r w:rsidRPr="00BF20CF">
        <w:rPr>
          <w:rFonts w:ascii="Arial" w:hAnsi="Arial" w:cs="Arial"/>
          <w:lang w:val="en-CA"/>
        </w:rPr>
        <w:t xml:space="preserve"> threshold than that proposed by and approved by the OEB for, Toronto Hydro in that distributor’s 2020-2024 Custom IR plan.</w:t>
      </w:r>
    </w:p>
    <w:p w14:paraId="4DF69102" w14:textId="31FFB4BA" w:rsidR="007E759E" w:rsidRPr="00BF20CF" w:rsidRDefault="007E759E" w:rsidP="007E759E">
      <w:pPr>
        <w:autoSpaceDE w:val="0"/>
        <w:autoSpaceDN w:val="0"/>
        <w:adjustRightInd w:val="0"/>
        <w:spacing w:before="240" w:after="120" w:line="276" w:lineRule="auto"/>
        <w:ind w:left="720"/>
        <w:contextualSpacing/>
        <w:rPr>
          <w:rFonts w:ascii="Arial" w:hAnsi="Arial" w:cs="Arial"/>
          <w:lang w:val="en-CA"/>
        </w:rPr>
      </w:pPr>
    </w:p>
    <w:p w14:paraId="457A07E9" w14:textId="6D0227B0" w:rsidR="0039317E" w:rsidRPr="00BF20CF" w:rsidRDefault="007509C7" w:rsidP="00876E97">
      <w:pPr>
        <w:numPr>
          <w:ilvl w:val="0"/>
          <w:numId w:val="69"/>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As documented under the Custom IR plan and further detailed in Exhibit 5, Hydro Ottawa has forecasted the cost of capital parameters, including the ROE for each year of the plan. For 2025, Hydro Ottawa has forecasted an ROE of 9.46%. Please confirm that Hydro Ottawa’s Custom IR proposal is that the ESM would be triggered if the achieved ROE, on a regulated basis, exceeds each year’s forecasted ROE by over 150 basis points. In other words, under Hydro Ottawa’s proposals in its Application, for 2025, the ESM would only be triggered if actual ROE on a regulated basis was over 10.96% (= 9.46% + 150 </w:t>
      </w:r>
      <w:proofErr w:type="spellStart"/>
      <w:r w:rsidRPr="00BF20CF">
        <w:rPr>
          <w:rFonts w:ascii="Arial" w:hAnsi="Arial" w:cs="Arial"/>
          <w:lang w:val="en-CA"/>
        </w:rPr>
        <w:t>b.p</w:t>
      </w:r>
      <w:proofErr w:type="spellEnd"/>
      <w:r w:rsidRPr="00BF20CF">
        <w:rPr>
          <w:rFonts w:ascii="Arial" w:hAnsi="Arial" w:cs="Arial"/>
          <w:lang w:val="en-CA"/>
        </w:rPr>
        <w:t>.).</w:t>
      </w:r>
    </w:p>
    <w:p w14:paraId="06B97FD4" w14:textId="75B8D206" w:rsidR="00A66813" w:rsidRPr="00BF20CF" w:rsidRDefault="00A66813" w:rsidP="00A66813">
      <w:pPr>
        <w:autoSpaceDE w:val="0"/>
        <w:autoSpaceDN w:val="0"/>
        <w:adjustRightInd w:val="0"/>
        <w:spacing w:before="240" w:after="120" w:line="276" w:lineRule="auto"/>
        <w:ind w:left="720"/>
        <w:contextualSpacing/>
        <w:rPr>
          <w:rFonts w:ascii="Arial" w:hAnsi="Arial" w:cs="Arial"/>
          <w:lang w:val="en-CA"/>
        </w:rPr>
      </w:pPr>
    </w:p>
    <w:p w14:paraId="1FAA8CED" w14:textId="540A8B4F" w:rsidR="00AA02F4" w:rsidRPr="00BF20CF" w:rsidRDefault="00AA02F4" w:rsidP="00AA02F4">
      <w:pPr>
        <w:spacing w:before="240" w:line="276" w:lineRule="auto"/>
        <w:rPr>
          <w:rFonts w:ascii="Arial" w:eastAsia="Calibri" w:hAnsi="Arial" w:cs="Arial"/>
          <w:b/>
        </w:rPr>
      </w:pPr>
      <w:r w:rsidRPr="00BF20CF">
        <w:rPr>
          <w:rFonts w:ascii="Arial" w:eastAsia="Calibri" w:hAnsi="Arial" w:cs="Arial"/>
          <w:b/>
        </w:rPr>
        <w:t>1- Staff-9</w:t>
      </w:r>
    </w:p>
    <w:p w14:paraId="42244B85" w14:textId="5FF48C75" w:rsidR="00DA51DD" w:rsidRPr="00BF20CF" w:rsidRDefault="00AA02F4" w:rsidP="00AA02F4">
      <w:pPr>
        <w:spacing w:line="276" w:lineRule="auto"/>
        <w:ind w:left="720" w:hanging="720"/>
        <w:rPr>
          <w:rFonts w:ascii="Arial" w:eastAsia="Calibri" w:hAnsi="Arial" w:cs="Arial"/>
          <w:b/>
        </w:rPr>
      </w:pPr>
      <w:r w:rsidRPr="00BF20CF">
        <w:rPr>
          <w:rFonts w:ascii="Arial" w:eastAsia="Calibri" w:hAnsi="Arial" w:cs="Arial"/>
          <w:b/>
        </w:rPr>
        <w:t>Ref:</w:t>
      </w:r>
      <w:r w:rsidRPr="00BF20CF">
        <w:rPr>
          <w:rFonts w:ascii="Arial" w:eastAsia="Calibri" w:hAnsi="Arial" w:cs="Arial"/>
          <w:b/>
        </w:rPr>
        <w:tab/>
      </w:r>
      <w:r w:rsidR="00A15343" w:rsidRPr="00BF20CF">
        <w:rPr>
          <w:rFonts w:ascii="Arial" w:eastAsia="Calibri" w:hAnsi="Arial" w:cs="Arial"/>
          <w:b/>
        </w:rPr>
        <w:t xml:space="preserve">Updated </w:t>
      </w:r>
      <w:r w:rsidRPr="00BF20CF">
        <w:rPr>
          <w:rFonts w:ascii="Arial" w:eastAsia="Calibri" w:hAnsi="Arial" w:cs="Arial"/>
          <w:b/>
        </w:rPr>
        <w:t>Exhibit 1/Tab 1/Schedule 8</w:t>
      </w:r>
      <w:r w:rsidRPr="00BF20CF">
        <w:rPr>
          <w:rFonts w:ascii="Arial" w:eastAsia="Calibri" w:hAnsi="Arial" w:cs="Arial"/>
          <w:b/>
        </w:rPr>
        <w:br/>
      </w:r>
      <w:r w:rsidR="00A15343" w:rsidRPr="00BF20CF">
        <w:rPr>
          <w:rFonts w:ascii="Arial" w:eastAsia="Calibri" w:hAnsi="Arial" w:cs="Arial"/>
          <w:b/>
        </w:rPr>
        <w:t xml:space="preserve">Updated </w:t>
      </w:r>
      <w:r w:rsidRPr="00BF20CF">
        <w:rPr>
          <w:rFonts w:ascii="Arial" w:eastAsia="Calibri" w:hAnsi="Arial" w:cs="Arial"/>
          <w:b/>
        </w:rPr>
        <w:t>Exhibit 1/Tab 1/Schedule 10</w:t>
      </w:r>
      <w:r w:rsidRPr="00BF20CF">
        <w:rPr>
          <w:rFonts w:ascii="Arial" w:eastAsia="Calibri" w:hAnsi="Arial" w:cs="Arial"/>
          <w:b/>
        </w:rPr>
        <w:br/>
      </w:r>
      <w:r w:rsidR="00211624" w:rsidRPr="00BF20CF">
        <w:rPr>
          <w:rFonts w:ascii="Arial" w:eastAsia="Calibri" w:hAnsi="Arial" w:cs="Arial"/>
          <w:b/>
        </w:rPr>
        <w:t xml:space="preserve">Updated </w:t>
      </w:r>
      <w:r w:rsidRPr="00BF20CF">
        <w:rPr>
          <w:rFonts w:ascii="Arial" w:eastAsia="Calibri" w:hAnsi="Arial" w:cs="Arial"/>
          <w:b/>
        </w:rPr>
        <w:t xml:space="preserve">Exhibit 9/Tab 1/Schedule </w:t>
      </w:r>
      <w:r w:rsidR="00167ED9" w:rsidRPr="00BF20CF">
        <w:rPr>
          <w:rFonts w:ascii="Arial" w:eastAsia="Calibri" w:hAnsi="Arial" w:cs="Arial"/>
          <w:b/>
        </w:rPr>
        <w:t>1</w:t>
      </w:r>
      <w:r w:rsidRPr="00BF20CF">
        <w:rPr>
          <w:rFonts w:ascii="Arial" w:eastAsia="Calibri" w:hAnsi="Arial" w:cs="Arial"/>
          <w:b/>
        </w:rPr>
        <w:t>/p</w:t>
      </w:r>
      <w:r w:rsidR="00381134" w:rsidRPr="00BF20CF">
        <w:rPr>
          <w:rFonts w:ascii="Arial" w:eastAsia="Calibri" w:hAnsi="Arial" w:cs="Arial"/>
          <w:b/>
        </w:rPr>
        <w:t>age</w:t>
      </w:r>
      <w:r w:rsidRPr="00BF20CF">
        <w:rPr>
          <w:rFonts w:ascii="Arial" w:eastAsia="Calibri" w:hAnsi="Arial" w:cs="Arial"/>
          <w:b/>
        </w:rPr>
        <w:t xml:space="preserve"> </w:t>
      </w:r>
      <w:r w:rsidR="00381134" w:rsidRPr="00BF20CF">
        <w:rPr>
          <w:rFonts w:ascii="Arial" w:eastAsia="Calibri" w:hAnsi="Arial" w:cs="Arial"/>
          <w:b/>
        </w:rPr>
        <w:t>9</w:t>
      </w:r>
      <w:r w:rsidRPr="00BF20CF">
        <w:rPr>
          <w:rFonts w:ascii="Arial" w:eastAsia="Calibri" w:hAnsi="Arial" w:cs="Arial"/>
          <w:b/>
        </w:rPr>
        <w:br/>
        <w:t xml:space="preserve">Exhibit 9/Tab </w:t>
      </w:r>
      <w:r w:rsidR="00381134" w:rsidRPr="00BF20CF">
        <w:rPr>
          <w:rFonts w:ascii="Arial" w:eastAsia="Calibri" w:hAnsi="Arial" w:cs="Arial"/>
          <w:b/>
        </w:rPr>
        <w:t>1</w:t>
      </w:r>
      <w:r w:rsidRPr="00BF20CF">
        <w:rPr>
          <w:rFonts w:ascii="Arial" w:eastAsia="Calibri" w:hAnsi="Arial" w:cs="Arial"/>
          <w:b/>
        </w:rPr>
        <w:t xml:space="preserve">/Schedule </w:t>
      </w:r>
      <w:r w:rsidR="00167ED9" w:rsidRPr="00BF20CF">
        <w:rPr>
          <w:rFonts w:ascii="Arial" w:eastAsia="Calibri" w:hAnsi="Arial" w:cs="Arial"/>
          <w:b/>
        </w:rPr>
        <w:t>3</w:t>
      </w:r>
      <w:r w:rsidRPr="00BF20CF">
        <w:rPr>
          <w:rFonts w:ascii="Arial" w:eastAsia="Calibri" w:hAnsi="Arial" w:cs="Arial"/>
          <w:b/>
        </w:rPr>
        <w:t>/p</w:t>
      </w:r>
      <w:r w:rsidR="00DA51DD" w:rsidRPr="00BF20CF">
        <w:rPr>
          <w:rFonts w:ascii="Arial" w:eastAsia="Calibri" w:hAnsi="Arial" w:cs="Arial"/>
          <w:b/>
        </w:rPr>
        <w:t>p</w:t>
      </w:r>
      <w:r w:rsidRPr="00BF20CF">
        <w:rPr>
          <w:rFonts w:ascii="Arial" w:eastAsia="Calibri" w:hAnsi="Arial" w:cs="Arial"/>
          <w:b/>
        </w:rPr>
        <w:t xml:space="preserve">. </w:t>
      </w:r>
      <w:r w:rsidR="00DA51DD" w:rsidRPr="00BF20CF">
        <w:rPr>
          <w:rFonts w:ascii="Arial" w:eastAsia="Calibri" w:hAnsi="Arial" w:cs="Arial"/>
          <w:b/>
        </w:rPr>
        <w:t>4, 17-18</w:t>
      </w:r>
    </w:p>
    <w:p w14:paraId="6CED354A" w14:textId="10D478A0" w:rsidR="00AA02F4" w:rsidRPr="00BF20CF" w:rsidRDefault="00AA02F4" w:rsidP="005C434D">
      <w:pPr>
        <w:spacing w:line="276" w:lineRule="auto"/>
        <w:ind w:left="720"/>
        <w:rPr>
          <w:rFonts w:ascii="Arial" w:eastAsia="Calibri" w:hAnsi="Arial" w:cs="Arial"/>
          <w:b/>
        </w:rPr>
      </w:pPr>
      <w:r w:rsidRPr="00BF20CF">
        <w:rPr>
          <w:rFonts w:ascii="Arial" w:eastAsia="Calibri" w:hAnsi="Arial" w:cs="Arial"/>
          <w:b/>
        </w:rPr>
        <w:t>EB-2015-0004, Decision and Rate Order, December 22, 2015</w:t>
      </w:r>
    </w:p>
    <w:p w14:paraId="632245E0" w14:textId="77777777" w:rsidR="00AA02F4" w:rsidRPr="00BF20CF" w:rsidRDefault="00AA02F4" w:rsidP="00AA02F4">
      <w:pPr>
        <w:spacing w:before="240" w:line="276" w:lineRule="auto"/>
        <w:rPr>
          <w:rFonts w:ascii="Arial" w:eastAsia="Calibri" w:hAnsi="Arial" w:cs="Arial"/>
        </w:rPr>
      </w:pPr>
      <w:r w:rsidRPr="00BF20CF">
        <w:rPr>
          <w:rFonts w:ascii="Arial" w:eastAsia="Calibri" w:hAnsi="Arial" w:cs="Arial"/>
        </w:rPr>
        <w:t>Preamble:</w:t>
      </w:r>
    </w:p>
    <w:p w14:paraId="3F30302B" w14:textId="77777777" w:rsidR="00167ED9" w:rsidRPr="00BF20CF" w:rsidRDefault="00AA02F4" w:rsidP="00AA02F4">
      <w:pPr>
        <w:spacing w:before="240" w:line="276" w:lineRule="auto"/>
        <w:rPr>
          <w:rFonts w:ascii="Arial" w:eastAsia="Calibri" w:hAnsi="Arial" w:cs="Arial"/>
        </w:rPr>
      </w:pPr>
      <w:r w:rsidRPr="00BF20CF">
        <w:rPr>
          <w:rFonts w:ascii="Arial" w:eastAsia="Calibri" w:hAnsi="Arial" w:cs="Arial"/>
        </w:rPr>
        <w:t xml:space="preserve">Hydro Ottawa had an Efficiency Adjustment Mechanism (EAM) as part of its current 2016-2020 Custom IR plan. The purpose of the EAM was to track any over-recoveries of the revenue requirement through distribution rates for any year(s) in that plan when Hydro Ottawa’s efficiency ranking dropped below cohort 3, which was assumed for all years in the 2016-2020 plan. </w:t>
      </w:r>
    </w:p>
    <w:p w14:paraId="1BBC47AA" w14:textId="43BD5DAA" w:rsidR="00167ED9" w:rsidRPr="00BF20CF" w:rsidRDefault="00AA02F4" w:rsidP="00AA02F4">
      <w:pPr>
        <w:spacing w:before="240" w:line="276" w:lineRule="auto"/>
        <w:rPr>
          <w:rFonts w:ascii="Arial" w:eastAsia="Calibri" w:hAnsi="Arial" w:cs="Arial"/>
        </w:rPr>
      </w:pPr>
      <w:r w:rsidRPr="00BF20CF">
        <w:rPr>
          <w:rFonts w:ascii="Arial" w:eastAsia="Calibri" w:hAnsi="Arial" w:cs="Arial"/>
        </w:rPr>
        <w:t xml:space="preserve">Over-recoveries were recorded and tracked in </w:t>
      </w:r>
      <w:r w:rsidR="00167ED9" w:rsidRPr="00BF20CF">
        <w:rPr>
          <w:rFonts w:ascii="Arial" w:eastAsia="Calibri" w:hAnsi="Arial" w:cs="Arial"/>
        </w:rPr>
        <w:t xml:space="preserve">an EAM sub-account of Account 1508, and the balance to be disposed at the end of the plan term. In </w:t>
      </w:r>
      <w:r w:rsidR="00381134" w:rsidRPr="00BF20CF">
        <w:rPr>
          <w:rFonts w:ascii="Arial" w:eastAsia="Calibri" w:hAnsi="Arial" w:cs="Arial"/>
        </w:rPr>
        <w:t xml:space="preserve">Updated </w:t>
      </w:r>
      <w:r w:rsidR="00167ED9" w:rsidRPr="00BF20CF">
        <w:rPr>
          <w:rFonts w:ascii="Arial" w:eastAsia="Calibri" w:hAnsi="Arial" w:cs="Arial"/>
        </w:rPr>
        <w:t xml:space="preserve">Exhibit 9/Tab 1/Schedule 1, at page </w:t>
      </w:r>
      <w:r w:rsidR="00381134" w:rsidRPr="00BF20CF">
        <w:rPr>
          <w:rFonts w:ascii="Arial" w:eastAsia="Calibri" w:hAnsi="Arial" w:cs="Arial"/>
        </w:rPr>
        <w:t xml:space="preserve">9 </w:t>
      </w:r>
      <w:r w:rsidR="00167ED9" w:rsidRPr="00BF20CF">
        <w:rPr>
          <w:rFonts w:ascii="Arial" w:eastAsia="Calibri" w:hAnsi="Arial" w:cs="Arial"/>
        </w:rPr>
        <w:t>and</w:t>
      </w:r>
      <w:r w:rsidR="00DA51DD" w:rsidRPr="00BF20CF">
        <w:rPr>
          <w:rFonts w:ascii="Arial" w:eastAsia="Calibri" w:hAnsi="Arial" w:cs="Arial"/>
        </w:rPr>
        <w:t xml:space="preserve"> on pages 17-18 of Exhibit 9/Tab </w:t>
      </w:r>
      <w:r w:rsidR="00DA51DD" w:rsidRPr="00BF20CF">
        <w:rPr>
          <w:rFonts w:ascii="Arial" w:eastAsia="Calibri" w:hAnsi="Arial" w:cs="Arial"/>
        </w:rPr>
        <w:lastRenderedPageBreak/>
        <w:t>1/Schedule 3, Hydro Ottawa discusses continuation of the 2016-2020 EAM, as final audited actuals for 2020 would only be known at the time of, and disposition applied for in, Hydro Ottawa’s 2022 rate application.</w:t>
      </w:r>
      <w:r w:rsidR="00167ED9" w:rsidRPr="00BF20CF">
        <w:rPr>
          <w:rFonts w:ascii="Arial" w:eastAsia="Calibri" w:hAnsi="Arial" w:cs="Arial"/>
        </w:rPr>
        <w:t xml:space="preserve"> </w:t>
      </w:r>
    </w:p>
    <w:p w14:paraId="34DF9517" w14:textId="24E31106" w:rsidR="00AA02F4" w:rsidRPr="00BF20CF" w:rsidRDefault="00167ED9" w:rsidP="00AA02F4">
      <w:pPr>
        <w:spacing w:before="240" w:line="276" w:lineRule="auto"/>
        <w:rPr>
          <w:rFonts w:ascii="Arial" w:eastAsia="Calibri" w:hAnsi="Arial" w:cs="Arial"/>
        </w:rPr>
      </w:pPr>
      <w:r w:rsidRPr="00BF20CF">
        <w:rPr>
          <w:rFonts w:ascii="Arial" w:eastAsia="Calibri" w:hAnsi="Arial" w:cs="Arial"/>
        </w:rPr>
        <w:t>OEB staff’s reading of Hydro Ottawa’s proposed 2021-2025 Custom IR plan, in Exhibit 1/Tab 1/Schedules 8 and 10 indicates that Hydro Ottawa is not proposing an EAM for the 2021-2025 Custom IR plan.</w:t>
      </w:r>
    </w:p>
    <w:p w14:paraId="48D526F5" w14:textId="735ED3F7" w:rsidR="00DA51DD" w:rsidRPr="00BF20CF" w:rsidRDefault="00167ED9" w:rsidP="00167ED9">
      <w:pPr>
        <w:spacing w:before="240" w:line="276" w:lineRule="auto"/>
        <w:rPr>
          <w:rFonts w:ascii="Arial" w:eastAsia="Calibri" w:hAnsi="Arial" w:cs="Arial"/>
        </w:rPr>
      </w:pPr>
      <w:r w:rsidRPr="00BF20CF">
        <w:rPr>
          <w:rFonts w:ascii="Arial" w:eastAsia="Calibri" w:hAnsi="Arial" w:cs="Arial"/>
        </w:rPr>
        <w:t>Question</w:t>
      </w:r>
      <w:r w:rsidR="00996121" w:rsidRPr="00BF20CF">
        <w:rPr>
          <w:rFonts w:ascii="Arial" w:eastAsia="Calibri" w:hAnsi="Arial" w:cs="Arial"/>
        </w:rPr>
        <w:t>(</w:t>
      </w:r>
      <w:r w:rsidRPr="00BF20CF">
        <w:rPr>
          <w:rFonts w:ascii="Arial" w:eastAsia="Calibri" w:hAnsi="Arial" w:cs="Arial"/>
        </w:rPr>
        <w:t>s</w:t>
      </w:r>
      <w:r w:rsidR="00996121" w:rsidRPr="00BF20CF">
        <w:rPr>
          <w:rFonts w:ascii="Arial" w:eastAsia="Calibri" w:hAnsi="Arial" w:cs="Arial"/>
        </w:rPr>
        <w:t>)</w:t>
      </w:r>
      <w:r w:rsidR="00DA51DD" w:rsidRPr="00BF20CF">
        <w:rPr>
          <w:rFonts w:ascii="Arial" w:eastAsia="Calibri" w:hAnsi="Arial" w:cs="Arial"/>
        </w:rPr>
        <w:t>:</w:t>
      </w:r>
    </w:p>
    <w:p w14:paraId="40E1280F" w14:textId="22096E89" w:rsidR="00167ED9" w:rsidRPr="00BF20CF" w:rsidRDefault="00167ED9" w:rsidP="00876E97">
      <w:pPr>
        <w:pStyle w:val="ListParagraph"/>
        <w:numPr>
          <w:ilvl w:val="0"/>
          <w:numId w:val="86"/>
        </w:numPr>
        <w:spacing w:before="240" w:line="276" w:lineRule="auto"/>
        <w:rPr>
          <w:rFonts w:ascii="Arial" w:hAnsi="Arial" w:cs="Arial"/>
        </w:rPr>
      </w:pPr>
      <w:r w:rsidRPr="00BF20CF">
        <w:rPr>
          <w:rFonts w:ascii="Arial" w:hAnsi="Arial" w:cs="Arial"/>
        </w:rPr>
        <w:t>Please confirm that Hydro Ottawa’s proposal to “continue” with Account 1508 sub-account Efficiency Adjustment Mechanism is solely with respect to allow for tracking of the final account balance</w:t>
      </w:r>
      <w:r w:rsidR="00DA51DD" w:rsidRPr="00BF20CF">
        <w:rPr>
          <w:rFonts w:ascii="Arial" w:hAnsi="Arial" w:cs="Arial"/>
        </w:rPr>
        <w:t>s and subsequent disposition of 2020 balances of the EAM for the 2016-2020 Custom IR plan. In the alternative please explain.</w:t>
      </w:r>
    </w:p>
    <w:p w14:paraId="5EE23810" w14:textId="77777777" w:rsidR="007E759E" w:rsidRPr="00BF20CF" w:rsidRDefault="007E759E" w:rsidP="007E759E">
      <w:pPr>
        <w:pStyle w:val="ListParagraph"/>
        <w:spacing w:before="240" w:line="276" w:lineRule="auto"/>
        <w:ind w:left="1080"/>
        <w:rPr>
          <w:rFonts w:ascii="Arial" w:hAnsi="Arial" w:cs="Arial"/>
        </w:rPr>
      </w:pPr>
    </w:p>
    <w:p w14:paraId="661321E8" w14:textId="6B2030CE" w:rsidR="00DA51DD" w:rsidRPr="00BF20CF" w:rsidRDefault="00DA51DD" w:rsidP="007E759E">
      <w:pPr>
        <w:pStyle w:val="ListParagraph"/>
        <w:numPr>
          <w:ilvl w:val="0"/>
          <w:numId w:val="86"/>
        </w:numPr>
        <w:spacing w:line="276" w:lineRule="auto"/>
        <w:rPr>
          <w:rFonts w:ascii="Arial" w:hAnsi="Arial" w:cs="Arial"/>
        </w:rPr>
      </w:pPr>
      <w:r w:rsidRPr="00BF20CF">
        <w:rPr>
          <w:rFonts w:ascii="Arial" w:hAnsi="Arial" w:cs="Arial"/>
        </w:rPr>
        <w:t>Please confirm that Hydro Ottawa is not proposing an EAM as part of the 2021-2025 Custom IR plan.</w:t>
      </w:r>
    </w:p>
    <w:p w14:paraId="4CFD3CC1" w14:textId="1E697E0D" w:rsidR="007E759E" w:rsidRPr="00BF20CF" w:rsidRDefault="007E759E" w:rsidP="007E759E">
      <w:pPr>
        <w:spacing w:line="276" w:lineRule="auto"/>
        <w:ind w:left="1080"/>
        <w:rPr>
          <w:rFonts w:ascii="Arial" w:hAnsi="Arial" w:cs="Arial"/>
        </w:rPr>
      </w:pPr>
    </w:p>
    <w:p w14:paraId="63302492" w14:textId="5E38571A" w:rsidR="00DA51DD" w:rsidRPr="00BF20CF" w:rsidRDefault="00DA51DD" w:rsidP="007E759E">
      <w:pPr>
        <w:pStyle w:val="ListParagraph"/>
        <w:numPr>
          <w:ilvl w:val="0"/>
          <w:numId w:val="86"/>
        </w:numPr>
        <w:spacing w:line="276" w:lineRule="auto"/>
        <w:rPr>
          <w:rFonts w:ascii="Arial" w:hAnsi="Arial" w:cs="Arial"/>
        </w:rPr>
      </w:pPr>
      <w:r w:rsidRPr="00BF20CF">
        <w:rPr>
          <w:rFonts w:ascii="Arial" w:hAnsi="Arial" w:cs="Arial"/>
        </w:rPr>
        <w:t>Please provide detailed reasons as to why Hydro Ottawa is not proposing an EAM for its 2021-2025 Custom IR plan.</w:t>
      </w:r>
    </w:p>
    <w:p w14:paraId="32726CCB" w14:textId="73BF26EC" w:rsidR="00C37C3F" w:rsidRPr="00BF20CF" w:rsidRDefault="00C37C3F" w:rsidP="00876E97">
      <w:pPr>
        <w:pStyle w:val="ListParagraph"/>
        <w:numPr>
          <w:ilvl w:val="0"/>
          <w:numId w:val="86"/>
        </w:numPr>
        <w:spacing w:before="240" w:line="276" w:lineRule="auto"/>
        <w:rPr>
          <w:rFonts w:ascii="Arial" w:hAnsi="Arial" w:cs="Arial"/>
        </w:rPr>
      </w:pPr>
      <w:r w:rsidRPr="00BF20CF">
        <w:rPr>
          <w:rFonts w:ascii="Arial" w:hAnsi="Arial" w:cs="Arial"/>
        </w:rPr>
        <w:t>If Hydro Ottawa is proposing to continue with an EAM as part of the 2021-2025 plan, please provide details on how Hydro Ottawa proposes that it would operate.</w:t>
      </w:r>
    </w:p>
    <w:p w14:paraId="07452F2A" w14:textId="77777777" w:rsidR="000E7D3E" w:rsidRPr="00BF20CF" w:rsidRDefault="000E7D3E" w:rsidP="000E7D3E">
      <w:pPr>
        <w:pStyle w:val="ListParagraph"/>
        <w:spacing w:before="240" w:line="276" w:lineRule="auto"/>
        <w:ind w:left="1080"/>
        <w:rPr>
          <w:rFonts w:ascii="Arial" w:hAnsi="Arial" w:cs="Arial"/>
        </w:rPr>
      </w:pPr>
    </w:p>
    <w:p w14:paraId="6EE1BF11" w14:textId="62C89E9E" w:rsidR="007509C7" w:rsidRPr="00BF20CF" w:rsidRDefault="007509C7" w:rsidP="00A66813">
      <w:pPr>
        <w:spacing w:before="240" w:after="120" w:line="276" w:lineRule="auto"/>
        <w:rPr>
          <w:rFonts w:ascii="Arial" w:eastAsia="Calibri" w:hAnsi="Arial" w:cs="Arial"/>
          <w:b/>
        </w:rPr>
      </w:pPr>
      <w:r w:rsidRPr="00BF20CF">
        <w:rPr>
          <w:rFonts w:ascii="Arial" w:eastAsia="Calibri" w:hAnsi="Arial" w:cs="Arial"/>
          <w:b/>
        </w:rPr>
        <w:t>Clearspring Total Cost and Reliability Benchmarking</w:t>
      </w:r>
    </w:p>
    <w:p w14:paraId="656BED81" w14:textId="5DDA68A3" w:rsidR="007509C7" w:rsidRPr="00BF20CF" w:rsidRDefault="007509C7" w:rsidP="001C211A">
      <w:pPr>
        <w:spacing w:before="240" w:line="276" w:lineRule="auto"/>
        <w:rPr>
          <w:rFonts w:ascii="Arial" w:eastAsia="Calibri" w:hAnsi="Arial" w:cs="Arial"/>
          <w:b/>
        </w:rPr>
      </w:pPr>
      <w:r w:rsidRPr="00BF20CF">
        <w:rPr>
          <w:rFonts w:ascii="Arial" w:eastAsia="Calibri" w:hAnsi="Arial" w:cs="Arial"/>
          <w:b/>
        </w:rPr>
        <w:t>1-Staff-</w:t>
      </w:r>
      <w:r w:rsidR="008D1A4D" w:rsidRPr="00BF20CF">
        <w:rPr>
          <w:rFonts w:ascii="Arial" w:eastAsia="Calibri" w:hAnsi="Arial" w:cs="Arial"/>
          <w:b/>
        </w:rPr>
        <w:t>10</w:t>
      </w:r>
    </w:p>
    <w:p w14:paraId="7883514A" w14:textId="77777777" w:rsidR="007509C7" w:rsidRPr="00BF20CF" w:rsidRDefault="007509C7" w:rsidP="0039317E">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Exhibit 1/Tab 1/Schedule 12/Attachment A/p. 1</w:t>
      </w:r>
    </w:p>
    <w:p w14:paraId="60D28582"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0758AF5C"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In the Overview provided on page 1 of its study, </w:t>
      </w:r>
      <w:proofErr w:type="spellStart"/>
      <w:r w:rsidRPr="00BF20CF">
        <w:rPr>
          <w:rFonts w:ascii="Arial" w:eastAsia="Calibri" w:hAnsi="Arial" w:cs="Arial"/>
        </w:rPr>
        <w:t>Clearspring</w:t>
      </w:r>
      <w:proofErr w:type="spellEnd"/>
      <w:r w:rsidRPr="00BF20CF">
        <w:rPr>
          <w:rFonts w:ascii="Arial" w:eastAsia="Calibri" w:hAnsi="Arial" w:cs="Arial"/>
        </w:rPr>
        <w:t xml:space="preserve"> states:</w:t>
      </w:r>
    </w:p>
    <w:p w14:paraId="704C1BCF" w14:textId="77777777" w:rsidR="007509C7" w:rsidRPr="00BF20CF" w:rsidRDefault="007509C7" w:rsidP="003041BF">
      <w:pPr>
        <w:spacing w:before="240" w:after="120" w:line="276" w:lineRule="auto"/>
        <w:ind w:left="720" w:right="720"/>
        <w:rPr>
          <w:rFonts w:ascii="Arial" w:eastAsia="Calibri" w:hAnsi="Arial" w:cs="Arial"/>
        </w:rPr>
      </w:pPr>
      <w:r w:rsidRPr="00BF20CF">
        <w:rPr>
          <w:rFonts w:ascii="Arial" w:eastAsia="Calibri" w:hAnsi="Arial" w:cs="Arial"/>
        </w:rPr>
        <w:t>The benchmarking study evaluates Hydro Ottawa’s historical and projected total cost amounts. It also evaluates the Company’s historical system reliability metrics: the system average interruption frequency index (“SAIFI”), and the customer average interruption duration index (“CAIDI”).</w:t>
      </w:r>
    </w:p>
    <w:p w14:paraId="7F325192" w14:textId="77777777" w:rsidR="000E7D3E" w:rsidRPr="00BF20CF" w:rsidRDefault="000E7D3E" w:rsidP="003041BF">
      <w:pPr>
        <w:spacing w:before="240" w:after="120" w:line="276" w:lineRule="auto"/>
        <w:rPr>
          <w:rFonts w:ascii="Arial" w:eastAsia="Calibri" w:hAnsi="Arial" w:cs="Arial"/>
        </w:rPr>
      </w:pPr>
    </w:p>
    <w:p w14:paraId="32D3C7AA" w14:textId="569A7975"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lastRenderedPageBreak/>
        <w:t>Question</w:t>
      </w:r>
      <w:r w:rsidR="0039317E" w:rsidRPr="00BF20CF">
        <w:rPr>
          <w:rFonts w:ascii="Arial" w:eastAsia="Calibri" w:hAnsi="Arial" w:cs="Arial"/>
        </w:rPr>
        <w:t>(</w:t>
      </w:r>
      <w:r w:rsidRPr="00BF20CF">
        <w:rPr>
          <w:rFonts w:ascii="Arial" w:eastAsia="Calibri" w:hAnsi="Arial" w:cs="Arial"/>
        </w:rPr>
        <w:t>s</w:t>
      </w:r>
      <w:r w:rsidR="0039317E" w:rsidRPr="00BF20CF">
        <w:rPr>
          <w:rFonts w:ascii="Arial" w:eastAsia="Calibri" w:hAnsi="Arial" w:cs="Arial"/>
        </w:rPr>
        <w:t>)</w:t>
      </w:r>
      <w:r w:rsidRPr="00BF20CF">
        <w:rPr>
          <w:rFonts w:ascii="Arial" w:eastAsia="Calibri" w:hAnsi="Arial" w:cs="Arial"/>
        </w:rPr>
        <w:t>:</w:t>
      </w:r>
    </w:p>
    <w:p w14:paraId="019F9B27" w14:textId="0CE4DAA8" w:rsidR="007509C7" w:rsidRPr="00BF20CF" w:rsidRDefault="007509C7" w:rsidP="00876E97">
      <w:pPr>
        <w:numPr>
          <w:ilvl w:val="0"/>
          <w:numId w:val="4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Please confirm </w:t>
      </w:r>
      <w:proofErr w:type="spellStart"/>
      <w:r w:rsidRPr="00BF20CF">
        <w:rPr>
          <w:rFonts w:ascii="Arial" w:hAnsi="Arial" w:cs="Arial"/>
          <w:lang w:val="en-CA"/>
        </w:rPr>
        <w:t>Clearspring’s</w:t>
      </w:r>
      <w:proofErr w:type="spellEnd"/>
      <w:r w:rsidRPr="00BF20CF">
        <w:rPr>
          <w:rFonts w:ascii="Arial" w:hAnsi="Arial" w:cs="Arial"/>
          <w:lang w:val="en-CA"/>
        </w:rPr>
        <w:t xml:space="preserve"> understanding that, consistent with its previously approved Custom IR plan for the term 2016-2020, Hydro Ottawa has proposed a plan that is a pass-through of forecasted budgeted capital costs (capital additions), subject to a Capital Variance Account (CVA), and applies a price cap-like (actually revenue cap-like) “inflation less productivity plus growth” (I – X + g) annual adjustment to aggregate OM&amp;A expenses. When was </w:t>
      </w:r>
      <w:proofErr w:type="spellStart"/>
      <w:r w:rsidRPr="00BF20CF">
        <w:rPr>
          <w:rFonts w:ascii="Arial" w:hAnsi="Arial" w:cs="Arial"/>
          <w:lang w:val="en-CA"/>
        </w:rPr>
        <w:t>Clearspring</w:t>
      </w:r>
      <w:proofErr w:type="spellEnd"/>
      <w:r w:rsidRPr="00BF20CF">
        <w:rPr>
          <w:rFonts w:ascii="Arial" w:hAnsi="Arial" w:cs="Arial"/>
          <w:lang w:val="en-CA"/>
        </w:rPr>
        <w:t xml:space="preserve"> made aware of Hydro Ottawa’s proposal that the incentive adjustment mechanism would only apply to OM&amp;A expenses?</w:t>
      </w:r>
    </w:p>
    <w:p w14:paraId="42A50BFD" w14:textId="77777777" w:rsidR="007E759E" w:rsidRPr="00BF20CF" w:rsidRDefault="007E759E" w:rsidP="007E759E">
      <w:pPr>
        <w:autoSpaceDE w:val="0"/>
        <w:autoSpaceDN w:val="0"/>
        <w:adjustRightInd w:val="0"/>
        <w:spacing w:before="240" w:after="120" w:line="276" w:lineRule="auto"/>
        <w:ind w:left="720"/>
        <w:contextualSpacing/>
        <w:rPr>
          <w:rFonts w:ascii="Arial" w:hAnsi="Arial" w:cs="Arial"/>
          <w:lang w:val="en-CA"/>
        </w:rPr>
      </w:pPr>
    </w:p>
    <w:p w14:paraId="630FEB33" w14:textId="77289BCD" w:rsidR="007509C7" w:rsidRPr="00BF20CF" w:rsidRDefault="007509C7" w:rsidP="00876E97">
      <w:pPr>
        <w:numPr>
          <w:ilvl w:val="0"/>
          <w:numId w:val="4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Why does </w:t>
      </w:r>
      <w:proofErr w:type="spellStart"/>
      <w:r w:rsidRPr="00BF20CF">
        <w:rPr>
          <w:rFonts w:ascii="Arial" w:hAnsi="Arial" w:cs="Arial"/>
          <w:lang w:val="en-CA"/>
        </w:rPr>
        <w:t>Clearspring</w:t>
      </w:r>
      <w:proofErr w:type="spellEnd"/>
      <w:r w:rsidRPr="00BF20CF">
        <w:rPr>
          <w:rFonts w:ascii="Arial" w:hAnsi="Arial" w:cs="Arial"/>
          <w:lang w:val="en-CA"/>
        </w:rPr>
        <w:t xml:space="preserve"> believe that the results of its benchmarking of Hydro Ottawa’s </w:t>
      </w:r>
      <w:r w:rsidRPr="00BF20CF">
        <w:rPr>
          <w:rFonts w:ascii="Arial" w:hAnsi="Arial" w:cs="Arial"/>
          <w:u w:val="single"/>
          <w:lang w:val="en-CA"/>
        </w:rPr>
        <w:t>total</w:t>
      </w:r>
      <w:r w:rsidRPr="00BF20CF">
        <w:rPr>
          <w:rFonts w:ascii="Arial" w:hAnsi="Arial" w:cs="Arial"/>
          <w:lang w:val="en-CA"/>
        </w:rPr>
        <w:t xml:space="preserve"> costs with comparator U.S. and Ontario utilities is appropriate for establishing the stretch factor for </w:t>
      </w:r>
      <w:r w:rsidRPr="00BF20CF">
        <w:rPr>
          <w:rFonts w:ascii="Arial" w:hAnsi="Arial" w:cs="Arial"/>
          <w:u w:val="single"/>
          <w:lang w:val="en-CA"/>
        </w:rPr>
        <w:t>OM&amp;A expenses alone</w:t>
      </w:r>
      <w:r w:rsidRPr="00BF20CF">
        <w:rPr>
          <w:rFonts w:ascii="Arial" w:hAnsi="Arial" w:cs="Arial"/>
          <w:lang w:val="en-CA"/>
        </w:rPr>
        <w:t>? Please elaborate on the conceptual basis that would justifies this assumption.</w:t>
      </w:r>
    </w:p>
    <w:p w14:paraId="6BEDF8FD" w14:textId="7F255B7B" w:rsidR="0039317E" w:rsidRPr="00BF20CF" w:rsidRDefault="0039317E" w:rsidP="0039317E">
      <w:pPr>
        <w:autoSpaceDE w:val="0"/>
        <w:autoSpaceDN w:val="0"/>
        <w:adjustRightInd w:val="0"/>
        <w:spacing w:before="240" w:after="120" w:line="276" w:lineRule="auto"/>
        <w:ind w:left="720"/>
        <w:contextualSpacing/>
        <w:rPr>
          <w:rFonts w:ascii="Arial" w:hAnsi="Arial" w:cs="Arial"/>
          <w:lang w:val="en-CA"/>
        </w:rPr>
      </w:pPr>
    </w:p>
    <w:p w14:paraId="74BF0108" w14:textId="77B7661D" w:rsidR="007509C7" w:rsidRPr="00BF20CF" w:rsidRDefault="007509C7" w:rsidP="0039317E">
      <w:pPr>
        <w:spacing w:line="276" w:lineRule="auto"/>
        <w:rPr>
          <w:rFonts w:ascii="Arial" w:eastAsia="Calibri" w:hAnsi="Arial" w:cs="Arial"/>
          <w:b/>
        </w:rPr>
      </w:pPr>
      <w:r w:rsidRPr="00BF20CF">
        <w:rPr>
          <w:rFonts w:ascii="Arial" w:eastAsia="Calibri" w:hAnsi="Arial" w:cs="Arial"/>
          <w:b/>
        </w:rPr>
        <w:t>1-Staff-</w:t>
      </w:r>
      <w:r w:rsidR="005D326D" w:rsidRPr="00BF20CF">
        <w:rPr>
          <w:rFonts w:ascii="Arial" w:eastAsia="Calibri" w:hAnsi="Arial" w:cs="Arial"/>
          <w:b/>
        </w:rPr>
        <w:t xml:space="preserve">11 </w:t>
      </w:r>
    </w:p>
    <w:p w14:paraId="5E977EB9" w14:textId="77777777" w:rsidR="007509C7" w:rsidRPr="00BF20CF" w:rsidRDefault="007509C7" w:rsidP="0039317E">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Exhibit 1/Tab 1/Schedule 12/Attachment A/pp. 10-11</w:t>
      </w:r>
      <w:r w:rsidRPr="00BF20CF">
        <w:rPr>
          <w:rFonts w:ascii="Arial" w:eastAsia="Calibri" w:hAnsi="Arial" w:cs="Arial"/>
          <w:b/>
        </w:rPr>
        <w:br/>
      </w:r>
      <w:r w:rsidRPr="00BF20CF">
        <w:rPr>
          <w:rFonts w:ascii="Arial" w:eastAsia="Calibri" w:hAnsi="Arial" w:cs="Arial"/>
          <w:b/>
        </w:rPr>
        <w:tab/>
        <w:t>Exhibit 1/Tab 1/Schedule 12/Attachment C</w:t>
      </w:r>
    </w:p>
    <w:p w14:paraId="74E571EB"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21504819"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At p.10 of its study, </w:t>
      </w:r>
      <w:proofErr w:type="spellStart"/>
      <w:r w:rsidRPr="00BF20CF">
        <w:rPr>
          <w:rFonts w:ascii="Arial" w:eastAsia="Calibri" w:hAnsi="Arial" w:cs="Arial"/>
        </w:rPr>
        <w:t>Clearspring</w:t>
      </w:r>
      <w:proofErr w:type="spellEnd"/>
      <w:r w:rsidRPr="00BF20CF">
        <w:rPr>
          <w:rFonts w:ascii="Arial" w:eastAsia="Calibri" w:hAnsi="Arial" w:cs="Arial"/>
        </w:rPr>
        <w:t xml:space="preserve"> describes the sample of 81 U.S. utilities and 7 Ontario distributors, including Hydro Ottawa, which </w:t>
      </w:r>
      <w:proofErr w:type="spellStart"/>
      <w:r w:rsidRPr="00BF20CF">
        <w:rPr>
          <w:rFonts w:ascii="Arial" w:eastAsia="Calibri" w:hAnsi="Arial" w:cs="Arial"/>
        </w:rPr>
        <w:t>Clearspring</w:t>
      </w:r>
      <w:proofErr w:type="spellEnd"/>
      <w:r w:rsidRPr="00BF20CF">
        <w:rPr>
          <w:rFonts w:ascii="Arial" w:eastAsia="Calibri" w:hAnsi="Arial" w:cs="Arial"/>
        </w:rPr>
        <w:t xml:space="preserve"> has used for its total cost benchmarking model. Table 4 on p. 11 of the study lists these along with the 2017 number of customers served by each utility.</w:t>
      </w:r>
    </w:p>
    <w:p w14:paraId="1FEAA726"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In Exhibit 1/Tab 1/Exhibit 12/Attachment C, Hydro Ottawa provides its own benchmarking of its performance with respect to certain cost category metrics, service quality and reliability and certain financial metrics. In its analysis, Hydro Ottawa has benchmarked itself against eleven other Ontario distributors; these distributors are mostly larger distributors. These are:</w:t>
      </w:r>
    </w:p>
    <w:p w14:paraId="081B1BE6"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rPr>
          <w:rFonts w:ascii="Arial" w:hAnsi="Arial" w:cs="Arial"/>
          <w:i/>
          <w:lang w:val="en-CA"/>
        </w:rPr>
      </w:pPr>
      <w:r w:rsidRPr="00BF20CF">
        <w:rPr>
          <w:rFonts w:ascii="Arial" w:hAnsi="Arial" w:cs="Arial"/>
          <w:i/>
          <w:lang w:val="en-CA"/>
        </w:rPr>
        <w:t>Alectra Utilities Corporation</w:t>
      </w:r>
    </w:p>
    <w:p w14:paraId="1309F7C9"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r w:rsidRPr="00BF20CF">
        <w:rPr>
          <w:rFonts w:ascii="Arial" w:hAnsi="Arial" w:cs="Arial"/>
          <w:lang w:val="en-CA"/>
        </w:rPr>
        <w:t>Burlington Hydro Inc.</w:t>
      </w:r>
    </w:p>
    <w:p w14:paraId="00739A76"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rPr>
          <w:rFonts w:ascii="Arial" w:hAnsi="Arial" w:cs="Arial"/>
          <w:i/>
          <w:lang w:val="en-CA"/>
        </w:rPr>
      </w:pPr>
      <w:proofErr w:type="spellStart"/>
      <w:r w:rsidRPr="00BF20CF">
        <w:rPr>
          <w:rFonts w:ascii="Arial" w:hAnsi="Arial" w:cs="Arial"/>
          <w:i/>
          <w:lang w:val="en-CA"/>
        </w:rPr>
        <w:t>EnWin</w:t>
      </w:r>
      <w:proofErr w:type="spellEnd"/>
      <w:r w:rsidRPr="00BF20CF">
        <w:rPr>
          <w:rFonts w:ascii="Arial" w:hAnsi="Arial" w:cs="Arial"/>
          <w:i/>
          <w:lang w:val="en-CA"/>
        </w:rPr>
        <w:t xml:space="preserve"> Utilities Ltd.</w:t>
      </w:r>
    </w:p>
    <w:p w14:paraId="6DF95C6F"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rPr>
          <w:rFonts w:ascii="Arial" w:hAnsi="Arial" w:cs="Arial"/>
          <w:i/>
          <w:lang w:val="en-CA"/>
        </w:rPr>
      </w:pPr>
      <w:r w:rsidRPr="00BF20CF">
        <w:rPr>
          <w:rFonts w:ascii="Arial" w:hAnsi="Arial" w:cs="Arial"/>
          <w:i/>
          <w:lang w:val="en-CA"/>
        </w:rPr>
        <w:t>Hydro One Networks Inc.</w:t>
      </w:r>
    </w:p>
    <w:p w14:paraId="125BF7AD"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rPr>
          <w:rFonts w:ascii="Arial" w:hAnsi="Arial" w:cs="Arial"/>
          <w:i/>
          <w:lang w:val="en-CA"/>
        </w:rPr>
      </w:pPr>
      <w:r w:rsidRPr="00BF20CF">
        <w:rPr>
          <w:rFonts w:ascii="Arial" w:hAnsi="Arial" w:cs="Arial"/>
          <w:i/>
          <w:lang w:val="en-CA"/>
        </w:rPr>
        <w:t>Kitchener-Wilmot Hydro Inc.</w:t>
      </w:r>
    </w:p>
    <w:p w14:paraId="6D3975B2"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rPr>
          <w:rFonts w:ascii="Arial" w:hAnsi="Arial" w:cs="Arial"/>
          <w:i/>
          <w:lang w:val="en-CA"/>
        </w:rPr>
      </w:pPr>
      <w:r w:rsidRPr="00BF20CF">
        <w:rPr>
          <w:rFonts w:ascii="Arial" w:hAnsi="Arial" w:cs="Arial"/>
          <w:i/>
          <w:lang w:val="en-CA"/>
        </w:rPr>
        <w:t>London Hydro Inc.</w:t>
      </w:r>
    </w:p>
    <w:p w14:paraId="5065234D"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r w:rsidRPr="00BF20CF">
        <w:rPr>
          <w:rFonts w:ascii="Arial" w:hAnsi="Arial" w:cs="Arial"/>
          <w:lang w:val="en-CA"/>
        </w:rPr>
        <w:lastRenderedPageBreak/>
        <w:t>Oakville Hydro Electricity Distribution Inc.</w:t>
      </w:r>
    </w:p>
    <w:p w14:paraId="530821B4"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r w:rsidRPr="00BF20CF">
        <w:rPr>
          <w:rFonts w:ascii="Arial" w:hAnsi="Arial" w:cs="Arial"/>
          <w:lang w:val="en-CA"/>
        </w:rPr>
        <w:t>Thunder Bay Hydro Electricity Distribution Inc.</w:t>
      </w:r>
    </w:p>
    <w:p w14:paraId="7A01E355"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rPr>
          <w:rFonts w:ascii="Arial" w:hAnsi="Arial" w:cs="Arial"/>
          <w:i/>
          <w:lang w:val="en-CA"/>
        </w:rPr>
      </w:pPr>
      <w:r w:rsidRPr="00BF20CF">
        <w:rPr>
          <w:rFonts w:ascii="Arial" w:hAnsi="Arial" w:cs="Arial"/>
          <w:i/>
          <w:lang w:val="en-CA"/>
        </w:rPr>
        <w:t>Toronto Hydro-Electric System Limited</w:t>
      </w:r>
    </w:p>
    <w:p w14:paraId="357B3821"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proofErr w:type="spellStart"/>
      <w:r w:rsidRPr="00BF20CF">
        <w:rPr>
          <w:rFonts w:ascii="Arial" w:hAnsi="Arial" w:cs="Arial"/>
          <w:lang w:val="en-CA"/>
        </w:rPr>
        <w:t>Veridian</w:t>
      </w:r>
      <w:proofErr w:type="spellEnd"/>
      <w:r w:rsidRPr="00BF20CF">
        <w:rPr>
          <w:rFonts w:ascii="Arial" w:hAnsi="Arial" w:cs="Arial"/>
          <w:lang w:val="en-CA"/>
        </w:rPr>
        <w:t xml:space="preserve"> Connections</w:t>
      </w:r>
    </w:p>
    <w:p w14:paraId="53251464"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r w:rsidRPr="00BF20CF">
        <w:rPr>
          <w:rFonts w:ascii="Arial" w:hAnsi="Arial" w:cs="Arial"/>
          <w:lang w:val="en-CA"/>
        </w:rPr>
        <w:t>Waterloo North Hydro Inc.</w:t>
      </w:r>
    </w:p>
    <w:p w14:paraId="508C2854" w14:textId="77777777" w:rsidR="007509C7" w:rsidRPr="00BF20CF" w:rsidRDefault="007509C7" w:rsidP="003041BF">
      <w:pPr>
        <w:autoSpaceDE w:val="0"/>
        <w:autoSpaceDN w:val="0"/>
        <w:adjustRightInd w:val="0"/>
        <w:spacing w:before="240" w:after="120" w:line="276" w:lineRule="auto"/>
        <w:ind w:left="720"/>
        <w:contextualSpacing/>
        <w:rPr>
          <w:rFonts w:ascii="Arial" w:hAnsi="Arial" w:cs="Arial"/>
          <w:lang w:val="en-CA"/>
        </w:rPr>
      </w:pPr>
      <w:r w:rsidRPr="00BF20CF">
        <w:rPr>
          <w:rFonts w:ascii="Arial" w:hAnsi="Arial" w:cs="Arial"/>
          <w:lang w:val="en-CA"/>
        </w:rPr>
        <w:br/>
        <w:t xml:space="preserve">The six Ontario distributors whose names are italicized above are included in </w:t>
      </w:r>
      <w:proofErr w:type="spellStart"/>
      <w:r w:rsidRPr="00BF20CF">
        <w:rPr>
          <w:rFonts w:ascii="Arial" w:hAnsi="Arial" w:cs="Arial"/>
          <w:lang w:val="en-CA"/>
        </w:rPr>
        <w:t>Clearspring’s</w:t>
      </w:r>
      <w:proofErr w:type="spellEnd"/>
      <w:r w:rsidRPr="00BF20CF">
        <w:rPr>
          <w:rFonts w:ascii="Arial" w:hAnsi="Arial" w:cs="Arial"/>
          <w:lang w:val="en-CA"/>
        </w:rPr>
        <w:t xml:space="preserve"> sample, but the other five distributors are not.</w:t>
      </w:r>
    </w:p>
    <w:p w14:paraId="2BF3FCDA" w14:textId="20AD916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Question</w:t>
      </w:r>
      <w:r w:rsidR="0039317E" w:rsidRPr="00BF20CF">
        <w:rPr>
          <w:rFonts w:ascii="Arial" w:eastAsia="Calibri" w:hAnsi="Arial" w:cs="Arial"/>
        </w:rPr>
        <w:t>(</w:t>
      </w:r>
      <w:r w:rsidRPr="00BF20CF">
        <w:rPr>
          <w:rFonts w:ascii="Arial" w:eastAsia="Calibri" w:hAnsi="Arial" w:cs="Arial"/>
        </w:rPr>
        <w:t>s</w:t>
      </w:r>
      <w:r w:rsidR="0039317E" w:rsidRPr="00BF20CF">
        <w:rPr>
          <w:rFonts w:ascii="Arial" w:eastAsia="Calibri" w:hAnsi="Arial" w:cs="Arial"/>
        </w:rPr>
        <w:t>)</w:t>
      </w:r>
      <w:r w:rsidRPr="00BF20CF">
        <w:rPr>
          <w:rFonts w:ascii="Arial" w:eastAsia="Calibri" w:hAnsi="Arial" w:cs="Arial"/>
        </w:rPr>
        <w:t>:</w:t>
      </w:r>
    </w:p>
    <w:p w14:paraId="4A3804F8" w14:textId="42A6F5E8" w:rsidR="007509C7" w:rsidRPr="00BF20CF" w:rsidRDefault="007509C7" w:rsidP="00876E97">
      <w:pPr>
        <w:numPr>
          <w:ilvl w:val="0"/>
          <w:numId w:val="64"/>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Was </w:t>
      </w:r>
      <w:proofErr w:type="spellStart"/>
      <w:r w:rsidRPr="00BF20CF">
        <w:rPr>
          <w:rFonts w:ascii="Arial" w:hAnsi="Arial" w:cs="Arial"/>
          <w:lang w:val="en-CA"/>
        </w:rPr>
        <w:t>Clearspring</w:t>
      </w:r>
      <w:proofErr w:type="spellEnd"/>
      <w:r w:rsidRPr="00BF20CF">
        <w:rPr>
          <w:rFonts w:ascii="Arial" w:hAnsi="Arial" w:cs="Arial"/>
          <w:lang w:val="en-CA"/>
        </w:rPr>
        <w:t xml:space="preserve"> aware of the Ontario distributors that Hydro Ottawa had itself selected as a peer group for Hydro Ottawa’s own benchmarking?</w:t>
      </w:r>
    </w:p>
    <w:p w14:paraId="1A348DD1" w14:textId="77777777" w:rsidR="007E759E" w:rsidRPr="00BF20CF" w:rsidRDefault="007E759E" w:rsidP="007E759E">
      <w:pPr>
        <w:autoSpaceDE w:val="0"/>
        <w:autoSpaceDN w:val="0"/>
        <w:adjustRightInd w:val="0"/>
        <w:spacing w:before="240" w:after="120" w:line="276" w:lineRule="auto"/>
        <w:ind w:left="1440"/>
        <w:contextualSpacing/>
        <w:rPr>
          <w:rFonts w:ascii="Arial" w:hAnsi="Arial" w:cs="Arial"/>
          <w:lang w:val="en-CA"/>
        </w:rPr>
      </w:pPr>
    </w:p>
    <w:p w14:paraId="62238CC3" w14:textId="77777777" w:rsidR="007509C7" w:rsidRPr="00BF20CF" w:rsidRDefault="007509C7" w:rsidP="00876E97">
      <w:pPr>
        <w:numPr>
          <w:ilvl w:val="0"/>
          <w:numId w:val="64"/>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If yes to a), please explain why </w:t>
      </w:r>
      <w:proofErr w:type="spellStart"/>
      <w:r w:rsidRPr="00BF20CF">
        <w:rPr>
          <w:rFonts w:ascii="Arial" w:hAnsi="Arial" w:cs="Arial"/>
          <w:lang w:val="en-CA"/>
        </w:rPr>
        <w:t>Clearspring</w:t>
      </w:r>
      <w:proofErr w:type="spellEnd"/>
      <w:r w:rsidRPr="00BF20CF">
        <w:rPr>
          <w:rFonts w:ascii="Arial" w:hAnsi="Arial" w:cs="Arial"/>
          <w:lang w:val="en-CA"/>
        </w:rPr>
        <w:t xml:space="preserve"> did not also include the other five Ontario distributors in its data set.</w:t>
      </w:r>
    </w:p>
    <w:p w14:paraId="6BD09B09" w14:textId="77777777" w:rsidR="0039317E" w:rsidRPr="00BF20CF" w:rsidRDefault="0039317E" w:rsidP="0039317E">
      <w:pPr>
        <w:spacing w:line="276" w:lineRule="auto"/>
        <w:rPr>
          <w:rFonts w:ascii="Arial" w:eastAsia="Calibri" w:hAnsi="Arial" w:cs="Arial"/>
          <w:b/>
        </w:rPr>
      </w:pPr>
    </w:p>
    <w:p w14:paraId="08DBF98C" w14:textId="16B46210" w:rsidR="007509C7" w:rsidRPr="00BF20CF" w:rsidRDefault="007509C7" w:rsidP="0039317E">
      <w:pPr>
        <w:spacing w:line="276" w:lineRule="auto"/>
        <w:rPr>
          <w:rFonts w:ascii="Arial" w:eastAsia="Calibri" w:hAnsi="Arial" w:cs="Arial"/>
          <w:b/>
        </w:rPr>
      </w:pPr>
      <w:r w:rsidRPr="00BF20CF">
        <w:rPr>
          <w:rFonts w:ascii="Arial" w:eastAsia="Calibri" w:hAnsi="Arial" w:cs="Arial"/>
          <w:b/>
        </w:rPr>
        <w:t>1-Staff-</w:t>
      </w:r>
      <w:r w:rsidR="005D326D" w:rsidRPr="00BF20CF">
        <w:rPr>
          <w:rFonts w:ascii="Arial" w:eastAsia="Calibri" w:hAnsi="Arial" w:cs="Arial"/>
          <w:b/>
        </w:rPr>
        <w:t>12</w:t>
      </w:r>
    </w:p>
    <w:p w14:paraId="7A012821" w14:textId="77777777" w:rsidR="007509C7" w:rsidRPr="00BF20CF" w:rsidRDefault="007509C7" w:rsidP="0039317E">
      <w:pPr>
        <w:spacing w:line="276" w:lineRule="auto"/>
        <w:ind w:left="720" w:hanging="720"/>
        <w:rPr>
          <w:rFonts w:ascii="Arial" w:eastAsia="Calibri" w:hAnsi="Arial" w:cs="Arial"/>
          <w:b/>
        </w:rPr>
      </w:pPr>
      <w:r w:rsidRPr="00BF20CF">
        <w:rPr>
          <w:rFonts w:ascii="Arial" w:eastAsia="Calibri" w:hAnsi="Arial" w:cs="Arial"/>
          <w:b/>
        </w:rPr>
        <w:t>Ref:</w:t>
      </w:r>
      <w:r w:rsidRPr="00BF20CF">
        <w:rPr>
          <w:rFonts w:ascii="Arial" w:eastAsia="Calibri" w:hAnsi="Arial" w:cs="Arial"/>
          <w:b/>
        </w:rPr>
        <w:tab/>
        <w:t xml:space="preserve">Exhibit 1/Tab 1/Schedule 12/Attachment </w:t>
      </w:r>
      <w:proofErr w:type="gramStart"/>
      <w:r w:rsidRPr="00BF20CF">
        <w:rPr>
          <w:rFonts w:ascii="Arial" w:eastAsia="Calibri" w:hAnsi="Arial" w:cs="Arial"/>
          <w:b/>
        </w:rPr>
        <w:t>A</w:t>
      </w:r>
      <w:proofErr w:type="gramEnd"/>
      <w:r w:rsidRPr="00BF20CF">
        <w:rPr>
          <w:rFonts w:ascii="Arial" w:eastAsia="Calibri" w:hAnsi="Arial" w:cs="Arial"/>
          <w:b/>
        </w:rPr>
        <w:br/>
        <w:t>EB-2018-0165, Exhibit 1/Tab 4/Schedule 2/p. 26/Table 5</w:t>
      </w:r>
      <w:r w:rsidRPr="00BF20CF">
        <w:rPr>
          <w:rFonts w:ascii="Arial" w:eastAsia="Calibri" w:hAnsi="Arial" w:cs="Arial"/>
          <w:b/>
        </w:rPr>
        <w:br/>
        <w:t>2006 and 2017 Yearbooks, OEB Website</w:t>
      </w:r>
    </w:p>
    <w:p w14:paraId="196D63A4"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1494428D"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On page 10, in describing its sample of U.S. and Canadian utilities for the total cost benchmarking analysis, </w:t>
      </w:r>
      <w:proofErr w:type="spellStart"/>
      <w:r w:rsidRPr="00BF20CF">
        <w:rPr>
          <w:rFonts w:ascii="Arial" w:eastAsia="Calibri" w:hAnsi="Arial" w:cs="Arial"/>
        </w:rPr>
        <w:t>Clearspring</w:t>
      </w:r>
      <w:proofErr w:type="spellEnd"/>
      <w:r w:rsidRPr="00BF20CF">
        <w:rPr>
          <w:rFonts w:ascii="Arial" w:eastAsia="Calibri" w:hAnsi="Arial" w:cs="Arial"/>
        </w:rPr>
        <w:t xml:space="preserve"> states:</w:t>
      </w:r>
    </w:p>
    <w:p w14:paraId="16C9E900" w14:textId="77777777" w:rsidR="007509C7" w:rsidRPr="00BF20CF" w:rsidRDefault="007509C7" w:rsidP="003041BF">
      <w:pPr>
        <w:spacing w:before="240" w:after="120" w:line="276" w:lineRule="auto"/>
        <w:ind w:left="720" w:right="720"/>
        <w:rPr>
          <w:rFonts w:ascii="Arial" w:eastAsia="Calibri" w:hAnsi="Arial" w:cs="Arial"/>
        </w:rPr>
      </w:pPr>
      <w:r w:rsidRPr="00BF20CF">
        <w:rPr>
          <w:rFonts w:ascii="Arial" w:eastAsia="Calibri" w:hAnsi="Arial" w:cs="Arial"/>
        </w:rPr>
        <w:t>The sample includes Ontario and U.S. utilities that, individually, serve more than 59,806 customers.</w:t>
      </w:r>
      <w:r w:rsidRPr="00BF20CF">
        <w:rPr>
          <w:rFonts w:ascii="Arial" w:eastAsia="Calibri" w:hAnsi="Arial" w:cs="Arial"/>
          <w:vertAlign w:val="superscript"/>
        </w:rPr>
        <w:t>10</w:t>
      </w:r>
    </w:p>
    <w:p w14:paraId="5AFC6D4E"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Footnote 10 states:</w:t>
      </w:r>
    </w:p>
    <w:p w14:paraId="20FA2E0B" w14:textId="77777777" w:rsidR="007509C7" w:rsidRPr="00BF20CF" w:rsidRDefault="007509C7" w:rsidP="003041BF">
      <w:pPr>
        <w:spacing w:after="160" w:line="259" w:lineRule="auto"/>
        <w:ind w:left="720" w:right="720"/>
        <w:rPr>
          <w:rFonts w:ascii="Arial" w:eastAsia="Calibri" w:hAnsi="Arial" w:cs="Arial"/>
          <w:sz w:val="20"/>
          <w:szCs w:val="20"/>
        </w:rPr>
      </w:pPr>
      <w:r w:rsidRPr="00BF20CF">
        <w:rPr>
          <w:rFonts w:ascii="Arial" w:eastAsia="Calibri" w:hAnsi="Arial" w:cs="Arial"/>
          <w:sz w:val="20"/>
          <w:szCs w:val="20"/>
        </w:rPr>
        <w:t>10 This specific cut-off was used for the Ontario distributors so that it would be consistent with the U.S. sample. The smallest customer count in the U.S. sample is from Black Hills Power, which served 59,807 customers in 2002.</w:t>
      </w:r>
    </w:p>
    <w:p w14:paraId="38C51445"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OEB staff has also provided, as an attachment, Table 5 from the evidence of PSE, Mr. </w:t>
      </w:r>
      <w:proofErr w:type="spellStart"/>
      <w:r w:rsidRPr="00BF20CF">
        <w:rPr>
          <w:rFonts w:ascii="Arial" w:eastAsia="Calibri" w:hAnsi="Arial" w:cs="Arial"/>
        </w:rPr>
        <w:t>Fenrick’s</w:t>
      </w:r>
      <w:proofErr w:type="spellEnd"/>
      <w:r w:rsidRPr="00BF20CF">
        <w:rPr>
          <w:rFonts w:ascii="Arial" w:eastAsia="Calibri" w:hAnsi="Arial" w:cs="Arial"/>
        </w:rPr>
        <w:t xml:space="preserve"> former employer, in its evidence filed in Toronto Hydro’s 2020-2024 Custom IR plan. This table lists the firms included in the total cost benchmarking report filed in that application.</w:t>
      </w:r>
    </w:p>
    <w:p w14:paraId="7BA75E59" w14:textId="70EB8A78"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lastRenderedPageBreak/>
        <w:t xml:space="preserve">OEB staff has populated the following table of certain Ontario distributors from the 2006 and 2017 Yearbooks, available on the OEB’s website at </w:t>
      </w:r>
      <w:hyperlink r:id="rId9" w:history="1">
        <w:r w:rsidRPr="00BF20CF">
          <w:rPr>
            <w:rFonts w:ascii="Arial" w:eastAsia="Calibri" w:hAnsi="Arial" w:cs="Arial"/>
            <w:color w:val="0563C1"/>
            <w:u w:val="single"/>
          </w:rPr>
          <w:t>https://www.oeb.ca/utility-performance-and-monitoring/natural-gas-and-electricity-utility-yearbooks</w:t>
        </w:r>
      </w:hyperlink>
      <w:r w:rsidRPr="00BF20CF">
        <w:rPr>
          <w:rFonts w:ascii="Arial" w:eastAsia="Calibri" w:hAnsi="Arial" w:cs="Arial"/>
        </w:rPr>
        <w:t>:</w:t>
      </w:r>
    </w:p>
    <w:p w14:paraId="5EDB80E1" w14:textId="790B4F42" w:rsidR="007509C7" w:rsidRPr="00BF20CF" w:rsidRDefault="007509C7" w:rsidP="003041BF">
      <w:pPr>
        <w:spacing w:before="240" w:after="120" w:line="276" w:lineRule="auto"/>
        <w:jc w:val="center"/>
        <w:rPr>
          <w:rFonts w:ascii="Arial" w:eastAsia="Calibri" w:hAnsi="Arial" w:cs="Arial"/>
          <w:b/>
        </w:rPr>
      </w:pPr>
      <w:r w:rsidRPr="00BF20CF">
        <w:rPr>
          <w:rFonts w:ascii="Arial" w:eastAsia="Calibri" w:hAnsi="Arial" w:cs="Arial"/>
          <w:b/>
        </w:rPr>
        <w:t>Table 1-Staff-</w:t>
      </w:r>
      <w:r w:rsidR="005D326D" w:rsidRPr="00BF20CF">
        <w:rPr>
          <w:rFonts w:ascii="Arial" w:eastAsia="Calibri" w:hAnsi="Arial" w:cs="Arial"/>
          <w:b/>
        </w:rPr>
        <w:t>12</w:t>
      </w:r>
      <w:r w:rsidRPr="00BF20CF">
        <w:rPr>
          <w:rFonts w:ascii="Arial" w:eastAsia="Calibri" w:hAnsi="Arial" w:cs="Arial"/>
          <w:b/>
        </w:rPr>
        <w:t xml:space="preserve">-1: </w:t>
      </w:r>
      <w:r w:rsidRPr="00BF20CF">
        <w:rPr>
          <w:rFonts w:ascii="Arial" w:eastAsia="Calibri" w:hAnsi="Arial" w:cs="Arial"/>
          <w:b/>
        </w:rPr>
        <w:br/>
        <w:t>Customers for Selected Ontario Electricity Distributors</w:t>
      </w:r>
    </w:p>
    <w:tbl>
      <w:tblPr>
        <w:tblStyle w:val="TableGrid1"/>
        <w:tblW w:w="0" w:type="auto"/>
        <w:tblLook w:val="04A0" w:firstRow="1" w:lastRow="0" w:firstColumn="1" w:lastColumn="0" w:noHBand="0" w:noVBand="1"/>
      </w:tblPr>
      <w:tblGrid>
        <w:gridCol w:w="2882"/>
        <w:gridCol w:w="2874"/>
        <w:gridCol w:w="2874"/>
      </w:tblGrid>
      <w:tr w:rsidR="007509C7" w:rsidRPr="00BF20CF" w14:paraId="11FD353A" w14:textId="77777777" w:rsidTr="003041BF">
        <w:tc>
          <w:tcPr>
            <w:tcW w:w="3116" w:type="dxa"/>
          </w:tcPr>
          <w:p w14:paraId="25EC1E04" w14:textId="77777777" w:rsidR="007509C7" w:rsidRPr="00BF20CF" w:rsidRDefault="007509C7" w:rsidP="003041BF">
            <w:pPr>
              <w:rPr>
                <w:rFonts w:ascii="Arial" w:hAnsi="Arial" w:cs="Arial"/>
                <w:b/>
                <w:sz w:val="20"/>
                <w:szCs w:val="20"/>
              </w:rPr>
            </w:pPr>
            <w:r w:rsidRPr="00BF20CF">
              <w:rPr>
                <w:rFonts w:ascii="Arial" w:hAnsi="Arial" w:cs="Arial"/>
                <w:b/>
                <w:sz w:val="20"/>
                <w:szCs w:val="20"/>
              </w:rPr>
              <w:t>Ontario Distribution Utility</w:t>
            </w:r>
          </w:p>
        </w:tc>
        <w:tc>
          <w:tcPr>
            <w:tcW w:w="3117" w:type="dxa"/>
          </w:tcPr>
          <w:p w14:paraId="6E4856F8" w14:textId="77777777" w:rsidR="007509C7" w:rsidRPr="00BF20CF" w:rsidRDefault="007509C7" w:rsidP="003041BF">
            <w:pPr>
              <w:rPr>
                <w:rFonts w:ascii="Arial" w:hAnsi="Arial" w:cs="Arial"/>
                <w:b/>
                <w:sz w:val="20"/>
                <w:szCs w:val="20"/>
              </w:rPr>
            </w:pPr>
            <w:r w:rsidRPr="00BF20CF">
              <w:rPr>
                <w:rFonts w:ascii="Arial" w:hAnsi="Arial" w:cs="Arial"/>
                <w:b/>
                <w:sz w:val="20"/>
                <w:szCs w:val="20"/>
              </w:rPr>
              <w:t>2006 Number of Customers</w:t>
            </w:r>
          </w:p>
        </w:tc>
        <w:tc>
          <w:tcPr>
            <w:tcW w:w="3117" w:type="dxa"/>
          </w:tcPr>
          <w:p w14:paraId="683D47ED" w14:textId="77777777" w:rsidR="007509C7" w:rsidRPr="00BF20CF" w:rsidRDefault="007509C7" w:rsidP="003041BF">
            <w:pPr>
              <w:rPr>
                <w:rFonts w:ascii="Arial" w:hAnsi="Arial" w:cs="Arial"/>
                <w:b/>
                <w:sz w:val="20"/>
                <w:szCs w:val="20"/>
              </w:rPr>
            </w:pPr>
            <w:r w:rsidRPr="00BF20CF">
              <w:rPr>
                <w:rFonts w:ascii="Arial" w:hAnsi="Arial" w:cs="Arial"/>
                <w:b/>
                <w:sz w:val="20"/>
                <w:szCs w:val="20"/>
              </w:rPr>
              <w:t>2017 Number of Customers</w:t>
            </w:r>
          </w:p>
        </w:tc>
      </w:tr>
      <w:tr w:rsidR="007509C7" w:rsidRPr="00BF20CF" w14:paraId="00854328" w14:textId="77777777" w:rsidTr="003041BF">
        <w:tc>
          <w:tcPr>
            <w:tcW w:w="3116" w:type="dxa"/>
          </w:tcPr>
          <w:p w14:paraId="39EFBBA7" w14:textId="77777777" w:rsidR="007509C7" w:rsidRPr="00BF20CF" w:rsidRDefault="007509C7" w:rsidP="003041BF">
            <w:pPr>
              <w:rPr>
                <w:rFonts w:ascii="Arial" w:hAnsi="Arial" w:cs="Arial"/>
                <w:sz w:val="20"/>
                <w:szCs w:val="20"/>
              </w:rPr>
            </w:pPr>
            <w:r w:rsidRPr="00BF20CF">
              <w:rPr>
                <w:rFonts w:ascii="Arial" w:hAnsi="Arial" w:cs="Arial"/>
                <w:sz w:val="20"/>
                <w:szCs w:val="20"/>
              </w:rPr>
              <w:t>Burlington Hydro</w:t>
            </w:r>
          </w:p>
        </w:tc>
        <w:tc>
          <w:tcPr>
            <w:tcW w:w="3117" w:type="dxa"/>
          </w:tcPr>
          <w:p w14:paraId="3CFEB761" w14:textId="77777777" w:rsidR="007509C7" w:rsidRPr="00BF20CF" w:rsidRDefault="007509C7" w:rsidP="003041BF">
            <w:pPr>
              <w:rPr>
                <w:rFonts w:ascii="Arial" w:hAnsi="Arial" w:cs="Arial"/>
                <w:sz w:val="20"/>
                <w:szCs w:val="20"/>
              </w:rPr>
            </w:pPr>
            <w:r w:rsidRPr="00BF20CF">
              <w:rPr>
                <w:rFonts w:ascii="Arial" w:hAnsi="Arial" w:cs="Arial"/>
                <w:sz w:val="20"/>
                <w:szCs w:val="20"/>
              </w:rPr>
              <w:t>60,749</w:t>
            </w:r>
          </w:p>
        </w:tc>
        <w:tc>
          <w:tcPr>
            <w:tcW w:w="3117" w:type="dxa"/>
          </w:tcPr>
          <w:p w14:paraId="12CDE98B" w14:textId="77777777" w:rsidR="007509C7" w:rsidRPr="00BF20CF" w:rsidRDefault="007509C7" w:rsidP="003041BF">
            <w:pPr>
              <w:rPr>
                <w:rFonts w:ascii="Arial" w:hAnsi="Arial" w:cs="Arial"/>
                <w:sz w:val="20"/>
                <w:szCs w:val="20"/>
              </w:rPr>
            </w:pPr>
            <w:r w:rsidRPr="00BF20CF">
              <w:rPr>
                <w:rFonts w:ascii="Arial" w:hAnsi="Arial" w:cs="Arial"/>
                <w:sz w:val="20"/>
                <w:szCs w:val="20"/>
              </w:rPr>
              <w:t>67,122</w:t>
            </w:r>
          </w:p>
        </w:tc>
      </w:tr>
      <w:tr w:rsidR="007509C7" w:rsidRPr="00BF20CF" w14:paraId="41787664" w14:textId="77777777" w:rsidTr="003041BF">
        <w:tc>
          <w:tcPr>
            <w:tcW w:w="3116" w:type="dxa"/>
          </w:tcPr>
          <w:p w14:paraId="136DF7DA" w14:textId="77777777" w:rsidR="007509C7" w:rsidRPr="00BF20CF" w:rsidRDefault="007509C7" w:rsidP="003041BF">
            <w:pPr>
              <w:rPr>
                <w:rFonts w:ascii="Arial" w:hAnsi="Arial" w:cs="Arial"/>
                <w:sz w:val="20"/>
                <w:szCs w:val="20"/>
              </w:rPr>
            </w:pPr>
            <w:r w:rsidRPr="00BF20CF">
              <w:rPr>
                <w:rFonts w:ascii="Arial" w:hAnsi="Arial" w:cs="Arial"/>
                <w:sz w:val="20"/>
                <w:szCs w:val="20"/>
              </w:rPr>
              <w:t>Energy+ (Cambridge and North Dumfries Hydro + Brant County Power)</w:t>
            </w:r>
          </w:p>
        </w:tc>
        <w:tc>
          <w:tcPr>
            <w:tcW w:w="3117" w:type="dxa"/>
          </w:tcPr>
          <w:p w14:paraId="7CCA2103" w14:textId="77777777" w:rsidR="007509C7" w:rsidRPr="00BF20CF" w:rsidRDefault="007509C7" w:rsidP="003041BF">
            <w:pPr>
              <w:rPr>
                <w:rFonts w:ascii="Arial" w:hAnsi="Arial" w:cs="Arial"/>
                <w:sz w:val="20"/>
                <w:szCs w:val="20"/>
              </w:rPr>
            </w:pPr>
            <w:r w:rsidRPr="00BF20CF">
              <w:rPr>
                <w:rFonts w:ascii="Arial" w:hAnsi="Arial" w:cs="Arial"/>
                <w:sz w:val="20"/>
                <w:szCs w:val="20"/>
              </w:rPr>
              <w:t>57,903 (48,619 + 9284)</w:t>
            </w:r>
          </w:p>
        </w:tc>
        <w:tc>
          <w:tcPr>
            <w:tcW w:w="3117" w:type="dxa"/>
          </w:tcPr>
          <w:p w14:paraId="71616BFB" w14:textId="77777777" w:rsidR="007509C7" w:rsidRPr="00BF20CF" w:rsidRDefault="007509C7" w:rsidP="003041BF">
            <w:pPr>
              <w:rPr>
                <w:rFonts w:ascii="Arial" w:hAnsi="Arial" w:cs="Arial"/>
                <w:sz w:val="20"/>
                <w:szCs w:val="20"/>
              </w:rPr>
            </w:pPr>
            <w:r w:rsidRPr="00BF20CF">
              <w:rPr>
                <w:rFonts w:ascii="Arial" w:hAnsi="Arial" w:cs="Arial"/>
                <w:sz w:val="20"/>
                <w:szCs w:val="20"/>
              </w:rPr>
              <w:t>64,724</w:t>
            </w:r>
          </w:p>
        </w:tc>
      </w:tr>
      <w:tr w:rsidR="007509C7" w:rsidRPr="00BF20CF" w14:paraId="04A6B349" w14:textId="77777777" w:rsidTr="003041BF">
        <w:tc>
          <w:tcPr>
            <w:tcW w:w="3116" w:type="dxa"/>
          </w:tcPr>
          <w:p w14:paraId="4562BE0F" w14:textId="77777777" w:rsidR="007509C7" w:rsidRPr="00BF20CF" w:rsidRDefault="007509C7" w:rsidP="003041BF">
            <w:pPr>
              <w:rPr>
                <w:rFonts w:ascii="Arial" w:hAnsi="Arial" w:cs="Arial"/>
                <w:sz w:val="20"/>
                <w:szCs w:val="20"/>
              </w:rPr>
            </w:pPr>
            <w:r w:rsidRPr="00BF20CF">
              <w:rPr>
                <w:rFonts w:ascii="Arial" w:hAnsi="Arial" w:cs="Arial"/>
                <w:sz w:val="20"/>
                <w:szCs w:val="20"/>
              </w:rPr>
              <w:t>Guelph Hydro</w:t>
            </w:r>
          </w:p>
        </w:tc>
        <w:tc>
          <w:tcPr>
            <w:tcW w:w="3117" w:type="dxa"/>
          </w:tcPr>
          <w:p w14:paraId="78221638" w14:textId="77777777" w:rsidR="007509C7" w:rsidRPr="00BF20CF" w:rsidRDefault="007509C7" w:rsidP="003041BF">
            <w:pPr>
              <w:rPr>
                <w:rFonts w:ascii="Arial" w:hAnsi="Arial" w:cs="Arial"/>
                <w:sz w:val="20"/>
                <w:szCs w:val="20"/>
              </w:rPr>
            </w:pPr>
            <w:r w:rsidRPr="00BF20CF">
              <w:rPr>
                <w:rFonts w:ascii="Arial" w:hAnsi="Arial" w:cs="Arial"/>
                <w:sz w:val="20"/>
                <w:szCs w:val="20"/>
              </w:rPr>
              <w:t>58,941</w:t>
            </w:r>
          </w:p>
        </w:tc>
        <w:tc>
          <w:tcPr>
            <w:tcW w:w="3117" w:type="dxa"/>
          </w:tcPr>
          <w:p w14:paraId="4EBB5B34" w14:textId="77777777" w:rsidR="007509C7" w:rsidRPr="00BF20CF" w:rsidRDefault="007509C7" w:rsidP="003041BF">
            <w:pPr>
              <w:rPr>
                <w:rFonts w:ascii="Arial" w:hAnsi="Arial" w:cs="Arial"/>
                <w:sz w:val="20"/>
                <w:szCs w:val="20"/>
              </w:rPr>
            </w:pPr>
            <w:r w:rsidRPr="00BF20CF">
              <w:rPr>
                <w:rFonts w:ascii="Arial" w:hAnsi="Arial" w:cs="Arial"/>
                <w:sz w:val="20"/>
                <w:szCs w:val="20"/>
              </w:rPr>
              <w:t>55,239</w:t>
            </w:r>
          </w:p>
        </w:tc>
      </w:tr>
      <w:tr w:rsidR="007509C7" w:rsidRPr="00BF20CF" w14:paraId="33D83B27" w14:textId="77777777" w:rsidTr="003041BF">
        <w:tc>
          <w:tcPr>
            <w:tcW w:w="3116" w:type="dxa"/>
          </w:tcPr>
          <w:p w14:paraId="0A389F63" w14:textId="77777777" w:rsidR="007509C7" w:rsidRPr="00BF20CF" w:rsidRDefault="007509C7" w:rsidP="003041BF">
            <w:pPr>
              <w:rPr>
                <w:rFonts w:ascii="Arial" w:hAnsi="Arial" w:cs="Arial"/>
                <w:sz w:val="20"/>
                <w:szCs w:val="20"/>
              </w:rPr>
            </w:pPr>
            <w:r w:rsidRPr="00BF20CF">
              <w:rPr>
                <w:rFonts w:ascii="Arial" w:hAnsi="Arial" w:cs="Arial"/>
                <w:sz w:val="20"/>
                <w:szCs w:val="20"/>
              </w:rPr>
              <w:t>Oakville Hydro</w:t>
            </w:r>
          </w:p>
        </w:tc>
        <w:tc>
          <w:tcPr>
            <w:tcW w:w="3117" w:type="dxa"/>
          </w:tcPr>
          <w:p w14:paraId="39473E5B" w14:textId="77777777" w:rsidR="007509C7" w:rsidRPr="00BF20CF" w:rsidRDefault="007509C7" w:rsidP="003041BF">
            <w:pPr>
              <w:rPr>
                <w:rFonts w:ascii="Arial" w:hAnsi="Arial" w:cs="Arial"/>
                <w:sz w:val="20"/>
                <w:szCs w:val="20"/>
              </w:rPr>
            </w:pPr>
            <w:r w:rsidRPr="00BF20CF">
              <w:rPr>
                <w:rFonts w:ascii="Arial" w:hAnsi="Arial" w:cs="Arial"/>
                <w:sz w:val="20"/>
                <w:szCs w:val="20"/>
              </w:rPr>
              <w:t>58,220</w:t>
            </w:r>
          </w:p>
        </w:tc>
        <w:tc>
          <w:tcPr>
            <w:tcW w:w="3117" w:type="dxa"/>
          </w:tcPr>
          <w:p w14:paraId="7D2FF508" w14:textId="77777777" w:rsidR="007509C7" w:rsidRPr="00BF20CF" w:rsidRDefault="007509C7" w:rsidP="003041BF">
            <w:pPr>
              <w:rPr>
                <w:rFonts w:ascii="Arial" w:hAnsi="Arial" w:cs="Arial"/>
                <w:sz w:val="20"/>
                <w:szCs w:val="20"/>
              </w:rPr>
            </w:pPr>
            <w:r w:rsidRPr="00BF20CF">
              <w:rPr>
                <w:rFonts w:ascii="Arial" w:hAnsi="Arial" w:cs="Arial"/>
                <w:sz w:val="20"/>
                <w:szCs w:val="20"/>
              </w:rPr>
              <w:t>70,491</w:t>
            </w:r>
          </w:p>
        </w:tc>
      </w:tr>
      <w:tr w:rsidR="007509C7" w:rsidRPr="00BF20CF" w14:paraId="14A98273" w14:textId="77777777" w:rsidTr="003041BF">
        <w:tc>
          <w:tcPr>
            <w:tcW w:w="3116" w:type="dxa"/>
          </w:tcPr>
          <w:p w14:paraId="09621BC4" w14:textId="77777777" w:rsidR="007509C7" w:rsidRPr="00BF20CF" w:rsidRDefault="007509C7" w:rsidP="003041BF">
            <w:pPr>
              <w:rPr>
                <w:rFonts w:ascii="Arial" w:hAnsi="Arial" w:cs="Arial"/>
                <w:sz w:val="20"/>
                <w:szCs w:val="20"/>
              </w:rPr>
            </w:pPr>
            <w:proofErr w:type="spellStart"/>
            <w:r w:rsidRPr="00BF20CF">
              <w:rPr>
                <w:rFonts w:ascii="Arial" w:hAnsi="Arial" w:cs="Arial"/>
                <w:sz w:val="20"/>
                <w:szCs w:val="20"/>
              </w:rPr>
              <w:t>Veridian</w:t>
            </w:r>
            <w:proofErr w:type="spellEnd"/>
            <w:r w:rsidRPr="00BF20CF">
              <w:rPr>
                <w:rFonts w:ascii="Arial" w:hAnsi="Arial" w:cs="Arial"/>
                <w:sz w:val="20"/>
                <w:szCs w:val="20"/>
              </w:rPr>
              <w:t xml:space="preserve"> Connections</w:t>
            </w:r>
          </w:p>
        </w:tc>
        <w:tc>
          <w:tcPr>
            <w:tcW w:w="3117" w:type="dxa"/>
          </w:tcPr>
          <w:p w14:paraId="13CFE474" w14:textId="77777777" w:rsidR="007509C7" w:rsidRPr="00BF20CF" w:rsidRDefault="007509C7" w:rsidP="003041BF">
            <w:pPr>
              <w:rPr>
                <w:rFonts w:ascii="Arial" w:hAnsi="Arial" w:cs="Arial"/>
                <w:sz w:val="20"/>
                <w:szCs w:val="20"/>
              </w:rPr>
            </w:pPr>
            <w:r w:rsidRPr="00BF20CF">
              <w:rPr>
                <w:rFonts w:ascii="Arial" w:hAnsi="Arial" w:cs="Arial"/>
                <w:sz w:val="20"/>
                <w:szCs w:val="20"/>
              </w:rPr>
              <w:t>107,231</w:t>
            </w:r>
          </w:p>
        </w:tc>
        <w:tc>
          <w:tcPr>
            <w:tcW w:w="3117" w:type="dxa"/>
          </w:tcPr>
          <w:p w14:paraId="297BFD19" w14:textId="77777777" w:rsidR="007509C7" w:rsidRPr="00BF20CF" w:rsidRDefault="007509C7" w:rsidP="003041BF">
            <w:pPr>
              <w:rPr>
                <w:rFonts w:ascii="Arial" w:hAnsi="Arial" w:cs="Arial"/>
                <w:sz w:val="20"/>
                <w:szCs w:val="20"/>
              </w:rPr>
            </w:pPr>
            <w:r w:rsidRPr="00BF20CF">
              <w:rPr>
                <w:rFonts w:ascii="Arial" w:hAnsi="Arial" w:cs="Arial"/>
                <w:sz w:val="20"/>
                <w:szCs w:val="20"/>
              </w:rPr>
              <w:t>120,457</w:t>
            </w:r>
          </w:p>
        </w:tc>
      </w:tr>
      <w:tr w:rsidR="007509C7" w:rsidRPr="00BF20CF" w14:paraId="2EE660D6" w14:textId="77777777" w:rsidTr="003041BF">
        <w:tc>
          <w:tcPr>
            <w:tcW w:w="3116" w:type="dxa"/>
          </w:tcPr>
          <w:p w14:paraId="45FE2B80" w14:textId="77777777" w:rsidR="007509C7" w:rsidRPr="00BF20CF" w:rsidRDefault="007509C7" w:rsidP="003041BF">
            <w:pPr>
              <w:rPr>
                <w:rFonts w:ascii="Arial" w:hAnsi="Arial" w:cs="Arial"/>
                <w:sz w:val="20"/>
                <w:szCs w:val="20"/>
              </w:rPr>
            </w:pPr>
            <w:proofErr w:type="spellStart"/>
            <w:r w:rsidRPr="00BF20CF">
              <w:rPr>
                <w:rFonts w:ascii="Arial" w:hAnsi="Arial" w:cs="Arial"/>
                <w:sz w:val="20"/>
                <w:szCs w:val="20"/>
              </w:rPr>
              <w:t>Veridian</w:t>
            </w:r>
            <w:proofErr w:type="spellEnd"/>
            <w:r w:rsidRPr="00BF20CF">
              <w:rPr>
                <w:rFonts w:ascii="Arial" w:hAnsi="Arial" w:cs="Arial"/>
                <w:sz w:val="20"/>
                <w:szCs w:val="20"/>
              </w:rPr>
              <w:t xml:space="preserve"> Connections + </w:t>
            </w:r>
            <w:proofErr w:type="spellStart"/>
            <w:r w:rsidRPr="00BF20CF">
              <w:rPr>
                <w:rFonts w:ascii="Arial" w:hAnsi="Arial" w:cs="Arial"/>
                <w:sz w:val="20"/>
                <w:szCs w:val="20"/>
              </w:rPr>
              <w:t>Whitby</w:t>
            </w:r>
            <w:proofErr w:type="spellEnd"/>
            <w:r w:rsidRPr="00BF20CF">
              <w:rPr>
                <w:rFonts w:ascii="Arial" w:hAnsi="Arial" w:cs="Arial"/>
                <w:sz w:val="20"/>
                <w:szCs w:val="20"/>
              </w:rPr>
              <w:t xml:space="preserve"> Hydro</w:t>
            </w:r>
          </w:p>
        </w:tc>
        <w:tc>
          <w:tcPr>
            <w:tcW w:w="3117" w:type="dxa"/>
          </w:tcPr>
          <w:p w14:paraId="42D7B068" w14:textId="77777777" w:rsidR="007509C7" w:rsidRPr="00BF20CF" w:rsidRDefault="007509C7" w:rsidP="003041BF">
            <w:pPr>
              <w:rPr>
                <w:rFonts w:ascii="Arial" w:hAnsi="Arial" w:cs="Arial"/>
                <w:sz w:val="20"/>
                <w:szCs w:val="20"/>
              </w:rPr>
            </w:pPr>
            <w:r w:rsidRPr="00BF20CF">
              <w:rPr>
                <w:rFonts w:ascii="Arial" w:hAnsi="Arial" w:cs="Arial"/>
                <w:sz w:val="20"/>
                <w:szCs w:val="20"/>
              </w:rPr>
              <w:t>142,178 (107,231 + 34,947)</w:t>
            </w:r>
          </w:p>
          <w:p w14:paraId="679756A0" w14:textId="77777777" w:rsidR="007509C7" w:rsidRPr="00BF20CF" w:rsidRDefault="007509C7" w:rsidP="003041BF">
            <w:pPr>
              <w:rPr>
                <w:rFonts w:ascii="Arial" w:hAnsi="Arial" w:cs="Arial"/>
                <w:sz w:val="20"/>
                <w:szCs w:val="20"/>
              </w:rPr>
            </w:pPr>
          </w:p>
        </w:tc>
        <w:tc>
          <w:tcPr>
            <w:tcW w:w="3117" w:type="dxa"/>
          </w:tcPr>
          <w:p w14:paraId="33E337F4" w14:textId="77777777" w:rsidR="007509C7" w:rsidRPr="00BF20CF" w:rsidRDefault="007509C7" w:rsidP="003041BF">
            <w:pPr>
              <w:rPr>
                <w:rFonts w:ascii="Arial" w:hAnsi="Arial" w:cs="Arial"/>
                <w:sz w:val="20"/>
                <w:szCs w:val="20"/>
              </w:rPr>
            </w:pPr>
            <w:r w:rsidRPr="00BF20CF">
              <w:rPr>
                <w:rFonts w:ascii="Arial" w:hAnsi="Arial" w:cs="Arial"/>
                <w:sz w:val="20"/>
                <w:szCs w:val="20"/>
              </w:rPr>
              <w:t>162,955 (120,457 + 42,498)</w:t>
            </w:r>
          </w:p>
        </w:tc>
      </w:tr>
    </w:tbl>
    <w:p w14:paraId="571DB95F" w14:textId="21936943"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Question</w:t>
      </w:r>
      <w:r w:rsidR="0039317E" w:rsidRPr="00BF20CF">
        <w:rPr>
          <w:rFonts w:ascii="Arial" w:eastAsia="Calibri" w:hAnsi="Arial" w:cs="Arial"/>
        </w:rPr>
        <w:t>(</w:t>
      </w:r>
      <w:r w:rsidRPr="00BF20CF">
        <w:rPr>
          <w:rFonts w:ascii="Arial" w:eastAsia="Calibri" w:hAnsi="Arial" w:cs="Arial"/>
        </w:rPr>
        <w:t>s</w:t>
      </w:r>
      <w:r w:rsidR="0039317E" w:rsidRPr="00BF20CF">
        <w:rPr>
          <w:rFonts w:ascii="Arial" w:eastAsia="Calibri" w:hAnsi="Arial" w:cs="Arial"/>
        </w:rPr>
        <w:t>)</w:t>
      </w:r>
      <w:r w:rsidRPr="00BF20CF">
        <w:rPr>
          <w:rFonts w:ascii="Arial" w:eastAsia="Calibri" w:hAnsi="Arial" w:cs="Arial"/>
        </w:rPr>
        <w:t>:</w:t>
      </w:r>
    </w:p>
    <w:p w14:paraId="2A5D643B" w14:textId="6AB4F6C9" w:rsidR="007509C7" w:rsidRPr="00BF20CF" w:rsidRDefault="007509C7" w:rsidP="00876E97">
      <w:pPr>
        <w:numPr>
          <w:ilvl w:val="0"/>
          <w:numId w:val="60"/>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Was the 59,807 customer limit applied for all years and for each utility?</w:t>
      </w:r>
    </w:p>
    <w:p w14:paraId="3B6C688B" w14:textId="77777777" w:rsidR="000E7D3E" w:rsidRPr="00BF20CF" w:rsidRDefault="000E7D3E" w:rsidP="000E7D3E">
      <w:pPr>
        <w:autoSpaceDE w:val="0"/>
        <w:autoSpaceDN w:val="0"/>
        <w:adjustRightInd w:val="0"/>
        <w:spacing w:before="240" w:after="120" w:line="276" w:lineRule="auto"/>
        <w:ind w:left="720"/>
        <w:contextualSpacing/>
        <w:rPr>
          <w:rFonts w:ascii="Arial" w:hAnsi="Arial" w:cs="Arial"/>
          <w:lang w:val="en-CA"/>
        </w:rPr>
      </w:pPr>
    </w:p>
    <w:p w14:paraId="5BDAE26E" w14:textId="73B162B4" w:rsidR="007509C7" w:rsidRPr="00BF20CF" w:rsidRDefault="007509C7" w:rsidP="00876E97">
      <w:pPr>
        <w:numPr>
          <w:ilvl w:val="0"/>
          <w:numId w:val="60"/>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Since the Ontario distributors included have a time frame of 2006 to 2018, how was the 59,807 customers served threshold used to identify what Ontario distributors to include in the sample.</w:t>
      </w:r>
    </w:p>
    <w:p w14:paraId="772488A6" w14:textId="77777777" w:rsidR="007E759E" w:rsidRPr="00BF20CF" w:rsidRDefault="007E759E" w:rsidP="007E759E">
      <w:pPr>
        <w:autoSpaceDE w:val="0"/>
        <w:autoSpaceDN w:val="0"/>
        <w:adjustRightInd w:val="0"/>
        <w:spacing w:before="240" w:after="120" w:line="276" w:lineRule="auto"/>
        <w:ind w:left="720"/>
        <w:contextualSpacing/>
        <w:rPr>
          <w:rFonts w:ascii="Arial" w:hAnsi="Arial" w:cs="Arial"/>
          <w:lang w:val="en-CA"/>
        </w:rPr>
      </w:pPr>
    </w:p>
    <w:p w14:paraId="772D7C3C" w14:textId="07BE590A" w:rsidR="007509C7" w:rsidRPr="00BF20CF" w:rsidRDefault="007509C7" w:rsidP="00876E97">
      <w:pPr>
        <w:numPr>
          <w:ilvl w:val="0"/>
          <w:numId w:val="60"/>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confirm that, for U.S. utilities, DTE Electric Company and MDU Resources Group Inc., that were included in the sample in the Toronto Hydro Study, have been omitted from the current study in this case. Please explain why these two utilities have been removed.</w:t>
      </w:r>
    </w:p>
    <w:p w14:paraId="2C6A8A35" w14:textId="616FA3AF" w:rsidR="007E759E" w:rsidRPr="00BF20CF" w:rsidRDefault="007E759E" w:rsidP="007E759E">
      <w:pPr>
        <w:autoSpaceDE w:val="0"/>
        <w:autoSpaceDN w:val="0"/>
        <w:adjustRightInd w:val="0"/>
        <w:spacing w:before="240" w:after="120" w:line="276" w:lineRule="auto"/>
        <w:ind w:left="720"/>
        <w:contextualSpacing/>
        <w:rPr>
          <w:rFonts w:ascii="Arial" w:hAnsi="Arial" w:cs="Arial"/>
          <w:lang w:val="en-CA"/>
        </w:rPr>
      </w:pPr>
    </w:p>
    <w:p w14:paraId="270407AE" w14:textId="77777777" w:rsidR="007509C7" w:rsidRPr="00BF20CF" w:rsidRDefault="007509C7" w:rsidP="00876E97">
      <w:pPr>
        <w:numPr>
          <w:ilvl w:val="0"/>
          <w:numId w:val="60"/>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confirm the following differences with respect to Ontario distributors that have been included in the total cost benchmarking sample for this current Hydro Ottawa sample, versus the sample for PSE’s study in the Toronto Hydro Custom IR application:</w:t>
      </w:r>
    </w:p>
    <w:p w14:paraId="60A757AE" w14:textId="77777777" w:rsidR="007509C7" w:rsidRPr="00BF20CF" w:rsidRDefault="007509C7" w:rsidP="00876E97">
      <w:pPr>
        <w:numPr>
          <w:ilvl w:val="1"/>
          <w:numId w:val="61"/>
        </w:numPr>
        <w:autoSpaceDE w:val="0"/>
        <w:autoSpaceDN w:val="0"/>
        <w:adjustRightInd w:val="0"/>
        <w:spacing w:before="240" w:after="120" w:line="276" w:lineRule="auto"/>
        <w:contextualSpacing/>
        <w:rPr>
          <w:rFonts w:ascii="Arial" w:hAnsi="Arial" w:cs="Arial"/>
          <w:lang w:val="en-CA"/>
        </w:rPr>
      </w:pPr>
      <w:proofErr w:type="spellStart"/>
      <w:r w:rsidRPr="00BF20CF">
        <w:rPr>
          <w:rFonts w:ascii="Arial" w:hAnsi="Arial" w:cs="Arial"/>
          <w:lang w:val="en-CA"/>
        </w:rPr>
        <w:t>Alectra</w:t>
      </w:r>
      <w:proofErr w:type="spellEnd"/>
      <w:r w:rsidRPr="00BF20CF">
        <w:rPr>
          <w:rFonts w:ascii="Arial" w:hAnsi="Arial" w:cs="Arial"/>
          <w:lang w:val="en-CA"/>
        </w:rPr>
        <w:t xml:space="preserve"> has been included, replacing predecessor utilities of </w:t>
      </w:r>
      <w:proofErr w:type="spellStart"/>
      <w:r w:rsidRPr="00BF20CF">
        <w:rPr>
          <w:rFonts w:ascii="Arial" w:hAnsi="Arial" w:cs="Arial"/>
          <w:lang w:val="en-CA"/>
        </w:rPr>
        <w:t>Enersource</w:t>
      </w:r>
      <w:proofErr w:type="spellEnd"/>
      <w:r w:rsidRPr="00BF20CF">
        <w:rPr>
          <w:rFonts w:ascii="Arial" w:hAnsi="Arial" w:cs="Arial"/>
          <w:lang w:val="en-CA"/>
        </w:rPr>
        <w:t xml:space="preserve"> Hydro Mississauga and Horizon Utilities.</w:t>
      </w:r>
    </w:p>
    <w:p w14:paraId="0EDB9444" w14:textId="172C07B2" w:rsidR="007509C7" w:rsidRPr="00BF20CF" w:rsidRDefault="007509C7" w:rsidP="00876E97">
      <w:pPr>
        <w:numPr>
          <w:ilvl w:val="2"/>
          <w:numId w:val="62"/>
        </w:numPr>
        <w:autoSpaceDE w:val="0"/>
        <w:autoSpaceDN w:val="0"/>
        <w:adjustRightInd w:val="0"/>
        <w:spacing w:before="240" w:after="120" w:line="276" w:lineRule="auto"/>
        <w:ind w:hanging="720"/>
        <w:contextualSpacing/>
        <w:rPr>
          <w:rFonts w:ascii="Arial" w:hAnsi="Arial" w:cs="Arial"/>
          <w:lang w:val="en-CA"/>
        </w:rPr>
      </w:pPr>
      <w:r w:rsidRPr="00BF20CF">
        <w:rPr>
          <w:rFonts w:ascii="Arial" w:hAnsi="Arial" w:cs="Arial"/>
          <w:lang w:val="en-CA"/>
        </w:rPr>
        <w:t xml:space="preserve">Please confirm the definition of </w:t>
      </w:r>
      <w:proofErr w:type="spellStart"/>
      <w:r w:rsidRPr="00BF20CF">
        <w:rPr>
          <w:rFonts w:ascii="Arial" w:hAnsi="Arial" w:cs="Arial"/>
          <w:lang w:val="en-CA"/>
        </w:rPr>
        <w:t>Allectra</w:t>
      </w:r>
      <w:proofErr w:type="spellEnd"/>
      <w:r w:rsidRPr="00BF20CF">
        <w:rPr>
          <w:rFonts w:ascii="Arial" w:hAnsi="Arial" w:cs="Arial"/>
          <w:lang w:val="en-CA"/>
        </w:rPr>
        <w:t xml:space="preserve"> used in the current study – does its composition include </w:t>
      </w:r>
      <w:proofErr w:type="spellStart"/>
      <w:r w:rsidRPr="00BF20CF">
        <w:rPr>
          <w:rFonts w:ascii="Arial" w:hAnsi="Arial" w:cs="Arial"/>
          <w:lang w:val="en-CA"/>
        </w:rPr>
        <w:t>Enersource</w:t>
      </w:r>
      <w:proofErr w:type="spellEnd"/>
      <w:r w:rsidRPr="00BF20CF">
        <w:rPr>
          <w:rFonts w:ascii="Arial" w:hAnsi="Arial" w:cs="Arial"/>
          <w:lang w:val="en-CA"/>
        </w:rPr>
        <w:t xml:space="preserve"> Hydro Mississauga, </w:t>
      </w:r>
      <w:proofErr w:type="spellStart"/>
      <w:r w:rsidRPr="00BF20CF">
        <w:rPr>
          <w:rFonts w:ascii="Arial" w:hAnsi="Arial" w:cs="Arial"/>
          <w:lang w:val="en-CA"/>
        </w:rPr>
        <w:t>PowerStream</w:t>
      </w:r>
      <w:proofErr w:type="spellEnd"/>
      <w:r w:rsidRPr="00BF20CF">
        <w:rPr>
          <w:rFonts w:ascii="Arial" w:hAnsi="Arial" w:cs="Arial"/>
          <w:lang w:val="en-CA"/>
        </w:rPr>
        <w:t xml:space="preserve">, </w:t>
      </w:r>
      <w:proofErr w:type="gramStart"/>
      <w:r w:rsidRPr="00BF20CF">
        <w:rPr>
          <w:rFonts w:ascii="Arial" w:hAnsi="Arial" w:cs="Arial"/>
          <w:lang w:val="en-CA"/>
        </w:rPr>
        <w:t>Horizon</w:t>
      </w:r>
      <w:proofErr w:type="gramEnd"/>
      <w:r w:rsidRPr="00BF20CF">
        <w:rPr>
          <w:rFonts w:ascii="Arial" w:hAnsi="Arial" w:cs="Arial"/>
          <w:lang w:val="en-CA"/>
        </w:rPr>
        <w:t xml:space="preserve"> Utilities, Hydro One Brampton Networks and Guelph Hydro-Electric System or just the previous four utilities</w:t>
      </w:r>
      <w:r w:rsidR="0010102D" w:rsidRPr="00BF20CF">
        <w:rPr>
          <w:rFonts w:ascii="Arial" w:hAnsi="Arial" w:cs="Arial"/>
          <w:lang w:val="en-CA"/>
        </w:rPr>
        <w:t>?</w:t>
      </w:r>
    </w:p>
    <w:p w14:paraId="18D3B751" w14:textId="77777777" w:rsidR="007509C7" w:rsidRPr="00BF20CF" w:rsidRDefault="007509C7" w:rsidP="00876E97">
      <w:pPr>
        <w:numPr>
          <w:ilvl w:val="2"/>
          <w:numId w:val="62"/>
        </w:numPr>
        <w:autoSpaceDE w:val="0"/>
        <w:autoSpaceDN w:val="0"/>
        <w:adjustRightInd w:val="0"/>
        <w:spacing w:before="240" w:after="120" w:line="276" w:lineRule="auto"/>
        <w:ind w:hanging="720"/>
        <w:contextualSpacing/>
        <w:rPr>
          <w:rFonts w:ascii="Arial" w:hAnsi="Arial" w:cs="Arial"/>
          <w:lang w:val="en-CA"/>
        </w:rPr>
      </w:pPr>
      <w:r w:rsidRPr="00BF20CF">
        <w:rPr>
          <w:rFonts w:ascii="Arial" w:hAnsi="Arial" w:cs="Arial"/>
          <w:lang w:val="en-CA"/>
        </w:rPr>
        <w:lastRenderedPageBreak/>
        <w:t xml:space="preserve">Please explain how </w:t>
      </w:r>
      <w:proofErr w:type="spellStart"/>
      <w:r w:rsidRPr="00BF20CF">
        <w:rPr>
          <w:rFonts w:ascii="Arial" w:hAnsi="Arial" w:cs="Arial"/>
          <w:lang w:val="en-CA"/>
        </w:rPr>
        <w:t>Clearspring</w:t>
      </w:r>
      <w:proofErr w:type="spellEnd"/>
      <w:r w:rsidRPr="00BF20CF">
        <w:rPr>
          <w:rFonts w:ascii="Arial" w:hAnsi="Arial" w:cs="Arial"/>
          <w:lang w:val="en-CA"/>
        </w:rPr>
        <w:t xml:space="preserve"> combined the data of the predecessor utilities, including how the Congested Urban variable was updated for this utility.</w:t>
      </w:r>
    </w:p>
    <w:p w14:paraId="0D2C6443" w14:textId="1F3AF388" w:rsidR="007509C7" w:rsidRPr="00BF20CF" w:rsidRDefault="007509C7" w:rsidP="00876E97">
      <w:pPr>
        <w:numPr>
          <w:ilvl w:val="1"/>
          <w:numId w:val="61"/>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Hydro One Networks was added to Ontario distributors.</w:t>
      </w:r>
    </w:p>
    <w:p w14:paraId="339D5E6E" w14:textId="77777777" w:rsidR="007E759E" w:rsidRPr="00BF20CF" w:rsidRDefault="007E759E" w:rsidP="007E759E">
      <w:pPr>
        <w:autoSpaceDE w:val="0"/>
        <w:autoSpaceDN w:val="0"/>
        <w:adjustRightInd w:val="0"/>
        <w:spacing w:before="240" w:after="120" w:line="276" w:lineRule="auto"/>
        <w:ind w:left="1440"/>
        <w:contextualSpacing/>
        <w:rPr>
          <w:rFonts w:ascii="Arial" w:hAnsi="Arial" w:cs="Arial"/>
          <w:lang w:val="en-CA"/>
        </w:rPr>
      </w:pPr>
    </w:p>
    <w:p w14:paraId="7B0F1CE7" w14:textId="3EA815B0" w:rsidR="007509C7" w:rsidRPr="00BF20CF" w:rsidRDefault="007509C7" w:rsidP="00876E97">
      <w:pPr>
        <w:numPr>
          <w:ilvl w:val="0"/>
          <w:numId w:val="60"/>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For the changes to Ontario distributors identified in d) above, please provide the reasons for the changes.</w:t>
      </w:r>
    </w:p>
    <w:p w14:paraId="5154C7BE" w14:textId="77777777" w:rsidR="007E759E" w:rsidRPr="00BF20CF" w:rsidRDefault="007E759E" w:rsidP="007E759E">
      <w:pPr>
        <w:autoSpaceDE w:val="0"/>
        <w:autoSpaceDN w:val="0"/>
        <w:adjustRightInd w:val="0"/>
        <w:spacing w:before="240" w:after="120" w:line="276" w:lineRule="auto"/>
        <w:ind w:left="720"/>
        <w:contextualSpacing/>
        <w:rPr>
          <w:rFonts w:ascii="Arial" w:hAnsi="Arial" w:cs="Arial"/>
          <w:lang w:val="en-CA"/>
        </w:rPr>
      </w:pPr>
    </w:p>
    <w:p w14:paraId="0DD4BD76" w14:textId="77777777" w:rsidR="007509C7" w:rsidRPr="00BF20CF" w:rsidRDefault="007509C7" w:rsidP="00876E97">
      <w:pPr>
        <w:numPr>
          <w:ilvl w:val="0"/>
          <w:numId w:val="60"/>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From the table provided above with respect to Ontario distributors not included in </w:t>
      </w:r>
      <w:proofErr w:type="spellStart"/>
      <w:r w:rsidRPr="00BF20CF">
        <w:rPr>
          <w:rFonts w:ascii="Arial" w:hAnsi="Arial" w:cs="Arial"/>
          <w:lang w:val="en-CA"/>
        </w:rPr>
        <w:t>Clearspring’s</w:t>
      </w:r>
      <w:proofErr w:type="spellEnd"/>
      <w:r w:rsidRPr="00BF20CF">
        <w:rPr>
          <w:rFonts w:ascii="Arial" w:hAnsi="Arial" w:cs="Arial"/>
          <w:lang w:val="en-CA"/>
        </w:rPr>
        <w:t xml:space="preserve"> sample, please explain the reasons for why these distributors were not included:</w:t>
      </w:r>
    </w:p>
    <w:p w14:paraId="35750EF1" w14:textId="77777777" w:rsidR="007509C7" w:rsidRPr="00BF20CF" w:rsidRDefault="007509C7" w:rsidP="00876E97">
      <w:pPr>
        <w:numPr>
          <w:ilvl w:val="1"/>
          <w:numId w:val="63"/>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Burlington Hydro, which grew from 60,749 customers in 2006 to 67,122 customers in 2017</w:t>
      </w:r>
    </w:p>
    <w:p w14:paraId="66CAFA6E" w14:textId="77777777" w:rsidR="007509C7" w:rsidRPr="00BF20CF" w:rsidRDefault="007509C7" w:rsidP="00876E97">
      <w:pPr>
        <w:numPr>
          <w:ilvl w:val="1"/>
          <w:numId w:val="63"/>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Energy+, formed from Cambridge and North Dumfries Hydro and Brant County Power, with a combined number of customers served 57,9034 in 2006 to 64,724 in 2017</w:t>
      </w:r>
    </w:p>
    <w:p w14:paraId="13F647B9" w14:textId="77777777" w:rsidR="007509C7" w:rsidRPr="00BF20CF" w:rsidRDefault="007509C7" w:rsidP="00876E97">
      <w:pPr>
        <w:numPr>
          <w:ilvl w:val="1"/>
          <w:numId w:val="63"/>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Oakville Hydro, with 58,220 customers in 2006 increasing to 70,491 in 2017</w:t>
      </w:r>
    </w:p>
    <w:p w14:paraId="6A2A3E0D" w14:textId="77777777" w:rsidR="007509C7" w:rsidRPr="00BF20CF" w:rsidRDefault="007509C7" w:rsidP="00876E97">
      <w:pPr>
        <w:numPr>
          <w:ilvl w:val="1"/>
          <w:numId w:val="63"/>
        </w:numPr>
        <w:autoSpaceDE w:val="0"/>
        <w:autoSpaceDN w:val="0"/>
        <w:adjustRightInd w:val="0"/>
        <w:spacing w:before="240" w:after="120" w:line="276" w:lineRule="auto"/>
        <w:contextualSpacing/>
        <w:rPr>
          <w:rFonts w:ascii="Arial" w:hAnsi="Arial" w:cs="Arial"/>
          <w:lang w:val="en-CA"/>
        </w:rPr>
      </w:pPr>
      <w:proofErr w:type="spellStart"/>
      <w:r w:rsidRPr="00BF20CF">
        <w:rPr>
          <w:rFonts w:ascii="Arial" w:hAnsi="Arial" w:cs="Arial"/>
          <w:lang w:val="en-CA"/>
        </w:rPr>
        <w:t>Veridian</w:t>
      </w:r>
      <w:proofErr w:type="spellEnd"/>
      <w:r w:rsidRPr="00BF20CF">
        <w:rPr>
          <w:rFonts w:ascii="Arial" w:hAnsi="Arial" w:cs="Arial"/>
          <w:lang w:val="en-CA"/>
        </w:rPr>
        <w:t xml:space="preserve"> Connections, with or without Whitby Hydro, with which it merged in 2019 under the new name </w:t>
      </w:r>
      <w:proofErr w:type="spellStart"/>
      <w:r w:rsidRPr="00BF20CF">
        <w:rPr>
          <w:rFonts w:ascii="Arial" w:hAnsi="Arial" w:cs="Arial"/>
          <w:lang w:val="en-CA"/>
        </w:rPr>
        <w:t>Elexicon</w:t>
      </w:r>
      <w:proofErr w:type="spellEnd"/>
      <w:r w:rsidRPr="00BF20CF">
        <w:rPr>
          <w:rFonts w:ascii="Arial" w:hAnsi="Arial" w:cs="Arial"/>
          <w:lang w:val="en-CA"/>
        </w:rPr>
        <w:t xml:space="preserve"> Energy Inc. </w:t>
      </w:r>
      <w:proofErr w:type="spellStart"/>
      <w:r w:rsidRPr="00BF20CF">
        <w:rPr>
          <w:rFonts w:ascii="Arial" w:hAnsi="Arial" w:cs="Arial"/>
          <w:lang w:val="en-CA"/>
        </w:rPr>
        <w:t>Veridian</w:t>
      </w:r>
      <w:proofErr w:type="spellEnd"/>
      <w:r w:rsidRPr="00BF20CF">
        <w:rPr>
          <w:rFonts w:ascii="Arial" w:hAnsi="Arial" w:cs="Arial"/>
          <w:lang w:val="en-CA"/>
        </w:rPr>
        <w:t xml:space="preserve"> Connections alone had 107,231 customers in 2006, increasing to 120,457 in 2016. Combined, </w:t>
      </w:r>
      <w:proofErr w:type="spellStart"/>
      <w:r w:rsidRPr="00BF20CF">
        <w:rPr>
          <w:rFonts w:ascii="Arial" w:hAnsi="Arial" w:cs="Arial"/>
          <w:lang w:val="en-CA"/>
        </w:rPr>
        <w:t>Veridian</w:t>
      </w:r>
      <w:proofErr w:type="spellEnd"/>
      <w:r w:rsidRPr="00BF20CF">
        <w:rPr>
          <w:rFonts w:ascii="Arial" w:hAnsi="Arial" w:cs="Arial"/>
          <w:lang w:val="en-CA"/>
        </w:rPr>
        <w:t xml:space="preserve"> Connections and Whitby Hydro has 142,178 customers in 2006 and 162,955 in 2017.</w:t>
      </w:r>
    </w:p>
    <w:p w14:paraId="1B0B04FF" w14:textId="77777777" w:rsidR="0039317E" w:rsidRPr="00BF20CF" w:rsidRDefault="0039317E" w:rsidP="0039317E">
      <w:pPr>
        <w:spacing w:line="276" w:lineRule="auto"/>
        <w:rPr>
          <w:rFonts w:ascii="Arial" w:eastAsia="Calibri" w:hAnsi="Arial" w:cs="Arial"/>
          <w:b/>
        </w:rPr>
      </w:pPr>
    </w:p>
    <w:p w14:paraId="719B5B40" w14:textId="41EC86EC" w:rsidR="007509C7" w:rsidRPr="00BF20CF" w:rsidRDefault="007509C7" w:rsidP="0039317E">
      <w:pPr>
        <w:spacing w:line="276" w:lineRule="auto"/>
        <w:rPr>
          <w:rFonts w:ascii="Arial" w:eastAsia="Calibri" w:hAnsi="Arial" w:cs="Arial"/>
          <w:b/>
        </w:rPr>
      </w:pPr>
      <w:r w:rsidRPr="00BF20CF">
        <w:rPr>
          <w:rFonts w:ascii="Arial" w:eastAsia="Calibri" w:hAnsi="Arial" w:cs="Arial"/>
          <w:b/>
        </w:rPr>
        <w:t>1-Staff-</w:t>
      </w:r>
      <w:r w:rsidR="005D326D" w:rsidRPr="00BF20CF">
        <w:rPr>
          <w:rFonts w:ascii="Arial" w:eastAsia="Calibri" w:hAnsi="Arial" w:cs="Arial"/>
          <w:b/>
        </w:rPr>
        <w:t>13</w:t>
      </w:r>
    </w:p>
    <w:p w14:paraId="7008A0FB" w14:textId="77777777" w:rsidR="007509C7" w:rsidRPr="00BF20CF" w:rsidRDefault="007509C7" w:rsidP="0039317E">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Exhibit 1/Tab 1/Schedule 12/Attachment A</w:t>
      </w:r>
    </w:p>
    <w:p w14:paraId="1614AB68"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32006FC0"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On pages 7-8 of its study, </w:t>
      </w:r>
      <w:proofErr w:type="spellStart"/>
      <w:r w:rsidRPr="00BF20CF">
        <w:rPr>
          <w:rFonts w:ascii="Arial" w:eastAsia="Calibri" w:hAnsi="Arial" w:cs="Arial"/>
        </w:rPr>
        <w:t>Clearspring</w:t>
      </w:r>
      <w:proofErr w:type="spellEnd"/>
      <w:r w:rsidRPr="00BF20CF">
        <w:rPr>
          <w:rFonts w:ascii="Arial" w:eastAsia="Calibri" w:hAnsi="Arial" w:cs="Arial"/>
        </w:rPr>
        <w:t xml:space="preserve"> provides its recommendation for the stretch factor for Hydro Ottawa, stating on page 8:</w:t>
      </w:r>
    </w:p>
    <w:p w14:paraId="55CBF0B7" w14:textId="77777777" w:rsidR="007509C7" w:rsidRPr="00BF20CF" w:rsidRDefault="007509C7" w:rsidP="003041BF">
      <w:pPr>
        <w:spacing w:before="240" w:after="120" w:line="276" w:lineRule="auto"/>
        <w:ind w:left="720" w:right="720"/>
        <w:rPr>
          <w:rFonts w:ascii="Arial" w:eastAsia="Calibri" w:hAnsi="Arial" w:cs="Arial"/>
        </w:rPr>
      </w:pPr>
      <w:r w:rsidRPr="00BF20CF">
        <w:rPr>
          <w:rFonts w:ascii="Arial" w:eastAsia="Calibri" w:hAnsi="Arial" w:cs="Arial"/>
        </w:rPr>
        <w:t xml:space="preserve">Our total cost study findings for Hydro Ottawa show that during the Custom IR period, the Company’s total cost benchmarking score is -7.1%. Based on the 4th Generation IR stretch factors, this suggests a stretch factor of 0.30%. The reliability benchmarking results provide no clear evidence that Hydro Ottawa is producing this better than average cost performance at the expense of reliability outcomes. Therefore, </w:t>
      </w:r>
      <w:proofErr w:type="spellStart"/>
      <w:r w:rsidRPr="00BF20CF">
        <w:rPr>
          <w:rFonts w:ascii="Arial" w:eastAsia="Calibri" w:hAnsi="Arial" w:cs="Arial"/>
        </w:rPr>
        <w:t>Clearspring</w:t>
      </w:r>
      <w:proofErr w:type="spellEnd"/>
      <w:r w:rsidRPr="00BF20CF">
        <w:rPr>
          <w:rFonts w:ascii="Arial" w:eastAsia="Calibri" w:hAnsi="Arial" w:cs="Arial"/>
        </w:rPr>
        <w:t xml:space="preserve"> Energy’s recommended stretch factor for Hydro Ottawa’s Custom IR application is 0.30%.</w:t>
      </w:r>
      <w:r w:rsidRPr="00BF20CF">
        <w:rPr>
          <w:rFonts w:ascii="Arial" w:eastAsia="Calibri" w:hAnsi="Arial" w:cs="Arial"/>
          <w:vertAlign w:val="superscript"/>
        </w:rPr>
        <w:t>9</w:t>
      </w:r>
    </w:p>
    <w:p w14:paraId="0BDE7FC4"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lastRenderedPageBreak/>
        <w:t>Footnote 9 states:</w:t>
      </w:r>
    </w:p>
    <w:p w14:paraId="71D8292A" w14:textId="77777777" w:rsidR="007509C7" w:rsidRPr="00BF20CF" w:rsidRDefault="007509C7" w:rsidP="003041BF">
      <w:pPr>
        <w:spacing w:after="160" w:line="259" w:lineRule="auto"/>
        <w:ind w:left="720" w:right="720"/>
        <w:rPr>
          <w:rFonts w:ascii="Arial" w:eastAsia="Calibri" w:hAnsi="Arial" w:cs="Arial"/>
          <w:sz w:val="20"/>
          <w:szCs w:val="20"/>
        </w:rPr>
      </w:pPr>
      <w:r w:rsidRPr="00BF20CF">
        <w:rPr>
          <w:rFonts w:ascii="Arial" w:eastAsia="Calibri" w:hAnsi="Arial" w:cs="Arial"/>
          <w:sz w:val="20"/>
          <w:szCs w:val="20"/>
        </w:rPr>
        <w:t xml:space="preserve">The company requested </w:t>
      </w:r>
      <w:proofErr w:type="spellStart"/>
      <w:r w:rsidRPr="00BF20CF">
        <w:rPr>
          <w:rFonts w:ascii="Arial" w:eastAsia="Calibri" w:hAnsi="Arial" w:cs="Arial"/>
          <w:sz w:val="20"/>
          <w:szCs w:val="20"/>
        </w:rPr>
        <w:t>Clearspring</w:t>
      </w:r>
      <w:proofErr w:type="spellEnd"/>
      <w:r w:rsidRPr="00BF20CF">
        <w:rPr>
          <w:rFonts w:ascii="Arial" w:eastAsia="Calibri" w:hAnsi="Arial" w:cs="Arial"/>
          <w:sz w:val="20"/>
          <w:szCs w:val="20"/>
        </w:rPr>
        <w:t xml:space="preserve"> Energy examine how the total cost benchmarking results would change if the “once in a generation” Facilities Renewal Program and the South Nepean Municipal Transformer Station projects had not been pursued. In that hypothetical, the average 2021-2025 score would be -12.5%. This would have changed our stretch factor recommendation from 0.3% to 0.15%. Please see the Appendix for more background and the benchmarking scores with and without these project investments.</w:t>
      </w:r>
    </w:p>
    <w:p w14:paraId="0CB01B7C"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In its proposed Custom IR plan as documented in Exhibit 1/Tab 1/Schedules 8 and 10, Hydro Ottawa is proposing a stretch factor of 0.15% (i.e., excluding the impacts of the Facilities Renewal Program and the Cambrian MTS capital projects).</w:t>
      </w:r>
    </w:p>
    <w:p w14:paraId="5B1B14D3"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Questions:</w:t>
      </w:r>
    </w:p>
    <w:p w14:paraId="38FAC602" w14:textId="34B48249" w:rsidR="007509C7" w:rsidRPr="00BF20CF" w:rsidRDefault="007509C7" w:rsidP="00876E97">
      <w:pPr>
        <w:numPr>
          <w:ilvl w:val="0"/>
          <w:numId w:val="59"/>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Please explain, with reasons, why </w:t>
      </w:r>
      <w:proofErr w:type="spellStart"/>
      <w:r w:rsidRPr="00BF20CF">
        <w:rPr>
          <w:rFonts w:ascii="Arial" w:hAnsi="Arial" w:cs="Arial"/>
          <w:lang w:val="en-CA"/>
        </w:rPr>
        <w:t>Clearspring</w:t>
      </w:r>
      <w:proofErr w:type="spellEnd"/>
      <w:r w:rsidRPr="00BF20CF">
        <w:rPr>
          <w:rFonts w:ascii="Arial" w:hAnsi="Arial" w:cs="Arial"/>
          <w:lang w:val="en-CA"/>
        </w:rPr>
        <w:t xml:space="preserve"> is recommending the 0.30% stretch factor.</w:t>
      </w:r>
    </w:p>
    <w:p w14:paraId="0BF6E8CA" w14:textId="77777777" w:rsidR="007E759E" w:rsidRPr="00BF20CF" w:rsidRDefault="007E759E" w:rsidP="007E759E">
      <w:pPr>
        <w:autoSpaceDE w:val="0"/>
        <w:autoSpaceDN w:val="0"/>
        <w:adjustRightInd w:val="0"/>
        <w:spacing w:before="240" w:after="120" w:line="276" w:lineRule="auto"/>
        <w:ind w:left="720"/>
        <w:contextualSpacing/>
        <w:rPr>
          <w:rFonts w:ascii="Arial" w:hAnsi="Arial" w:cs="Arial"/>
          <w:lang w:val="en-CA"/>
        </w:rPr>
      </w:pPr>
    </w:p>
    <w:p w14:paraId="078B0F06" w14:textId="328CFB02" w:rsidR="007509C7" w:rsidRPr="00BF20CF" w:rsidRDefault="007509C7" w:rsidP="00876E97">
      <w:pPr>
        <w:numPr>
          <w:ilvl w:val="0"/>
          <w:numId w:val="59"/>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confirm that the Facilities Renewal and Camb</w:t>
      </w:r>
      <w:r w:rsidR="00652EEE" w:rsidRPr="00BF20CF">
        <w:rPr>
          <w:rFonts w:ascii="Arial" w:hAnsi="Arial" w:cs="Arial"/>
          <w:lang w:val="en-CA"/>
        </w:rPr>
        <w:t>r</w:t>
      </w:r>
      <w:r w:rsidRPr="00BF20CF">
        <w:rPr>
          <w:rFonts w:ascii="Arial" w:hAnsi="Arial" w:cs="Arial"/>
          <w:lang w:val="en-CA"/>
        </w:rPr>
        <w:t xml:space="preserve">ian MTS projects are in large part, </w:t>
      </w:r>
      <w:r w:rsidRPr="00BF20CF">
        <w:rPr>
          <w:rFonts w:ascii="Arial" w:hAnsi="Arial" w:cs="Arial"/>
          <w:b/>
          <w:lang w:val="en-CA"/>
        </w:rPr>
        <w:t>capital</w:t>
      </w:r>
      <w:r w:rsidRPr="00BF20CF">
        <w:rPr>
          <w:rFonts w:ascii="Arial" w:hAnsi="Arial" w:cs="Arial"/>
          <w:lang w:val="en-CA"/>
        </w:rPr>
        <w:t xml:space="preserve"> projects.</w:t>
      </w:r>
    </w:p>
    <w:p w14:paraId="709BC5D0" w14:textId="77777777" w:rsidR="007E759E" w:rsidRPr="00BF20CF" w:rsidRDefault="007E759E" w:rsidP="007E759E">
      <w:pPr>
        <w:pStyle w:val="ListParagraph"/>
        <w:rPr>
          <w:rFonts w:ascii="Arial" w:hAnsi="Arial" w:cs="Arial"/>
        </w:rPr>
      </w:pPr>
    </w:p>
    <w:p w14:paraId="7CCC19EA" w14:textId="3D328BCF" w:rsidR="007509C7" w:rsidRPr="00BF20CF" w:rsidRDefault="007509C7" w:rsidP="00876E97">
      <w:pPr>
        <w:numPr>
          <w:ilvl w:val="0"/>
          <w:numId w:val="59"/>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Since the Facilities Renewal and Cambrian MTS projects are largely </w:t>
      </w:r>
      <w:r w:rsidRPr="00BF20CF">
        <w:rPr>
          <w:rFonts w:ascii="Arial" w:hAnsi="Arial" w:cs="Arial"/>
          <w:b/>
          <w:lang w:val="en-CA"/>
        </w:rPr>
        <w:t>capital</w:t>
      </w:r>
      <w:r w:rsidRPr="00BF20CF">
        <w:rPr>
          <w:rFonts w:ascii="Arial" w:hAnsi="Arial" w:cs="Arial"/>
          <w:lang w:val="en-CA"/>
        </w:rPr>
        <w:t xml:space="preserve"> in nature, please explain, conceptually, why inclusion or exclusion of these projects should have any impact on the proposed stretch factor for the </w:t>
      </w:r>
      <w:r w:rsidRPr="00BF20CF">
        <w:rPr>
          <w:rFonts w:ascii="Arial" w:hAnsi="Arial" w:cs="Arial"/>
          <w:b/>
          <w:lang w:val="en-CA"/>
        </w:rPr>
        <w:t>OM&amp;A expense adjustment formula</w:t>
      </w:r>
      <w:r w:rsidRPr="00BF20CF">
        <w:rPr>
          <w:rFonts w:ascii="Arial" w:hAnsi="Arial" w:cs="Arial"/>
          <w:lang w:val="en-CA"/>
        </w:rPr>
        <w:t>.</w:t>
      </w:r>
    </w:p>
    <w:p w14:paraId="572A4EE7" w14:textId="48482E77" w:rsidR="007E759E" w:rsidRPr="00BF20CF" w:rsidRDefault="007E759E" w:rsidP="007E759E">
      <w:pPr>
        <w:autoSpaceDE w:val="0"/>
        <w:autoSpaceDN w:val="0"/>
        <w:adjustRightInd w:val="0"/>
        <w:spacing w:before="240" w:after="120" w:line="276" w:lineRule="auto"/>
        <w:ind w:left="720"/>
        <w:contextualSpacing/>
        <w:rPr>
          <w:rFonts w:ascii="Arial" w:hAnsi="Arial" w:cs="Arial"/>
          <w:lang w:val="en-CA"/>
        </w:rPr>
      </w:pPr>
    </w:p>
    <w:p w14:paraId="3D0B23D0" w14:textId="77777777" w:rsidR="007509C7" w:rsidRPr="00BF20CF" w:rsidRDefault="007509C7" w:rsidP="00876E97">
      <w:pPr>
        <w:numPr>
          <w:ilvl w:val="0"/>
          <w:numId w:val="59"/>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For the analysis excluding the Facilities Renewal and Cambrian MTS projects documented in the Appendix of </w:t>
      </w:r>
      <w:proofErr w:type="spellStart"/>
      <w:r w:rsidRPr="00BF20CF">
        <w:rPr>
          <w:rFonts w:ascii="Arial" w:hAnsi="Arial" w:cs="Arial"/>
          <w:lang w:val="en-CA"/>
        </w:rPr>
        <w:t>Clearspring’s</w:t>
      </w:r>
      <w:proofErr w:type="spellEnd"/>
      <w:r w:rsidRPr="00BF20CF">
        <w:rPr>
          <w:rFonts w:ascii="Arial" w:hAnsi="Arial" w:cs="Arial"/>
          <w:lang w:val="en-CA"/>
        </w:rPr>
        <w:t xml:space="preserve"> report, please identify whether </w:t>
      </w:r>
      <w:proofErr w:type="spellStart"/>
      <w:r w:rsidRPr="00BF20CF">
        <w:rPr>
          <w:rFonts w:ascii="Arial" w:hAnsi="Arial" w:cs="Arial"/>
          <w:lang w:val="en-CA"/>
        </w:rPr>
        <w:t>Clearspring</w:t>
      </w:r>
      <w:proofErr w:type="spellEnd"/>
      <w:r w:rsidRPr="00BF20CF">
        <w:rPr>
          <w:rFonts w:ascii="Arial" w:hAnsi="Arial" w:cs="Arial"/>
          <w:lang w:val="en-CA"/>
        </w:rPr>
        <w:t xml:space="preserve"> undertook to also identify and exclude similar material “generational” projects for the other 81 U.S. utilities and six Ontario distributors in the total cost benchmarking analysis.</w:t>
      </w:r>
    </w:p>
    <w:p w14:paraId="6F69BB80" w14:textId="77777777" w:rsidR="007509C7" w:rsidRPr="00BF20CF" w:rsidRDefault="007509C7" w:rsidP="00876E97">
      <w:pPr>
        <w:numPr>
          <w:ilvl w:val="1"/>
          <w:numId w:val="70"/>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If exclusions were made for other utilities in the sample, please provide detailed documentation identifying the utility, the time period involved and the magnitude of the adjustments via a suitable metric (i.e., percentage change in rate base).</w:t>
      </w:r>
    </w:p>
    <w:p w14:paraId="464B0EA4" w14:textId="4399E1D5" w:rsidR="007509C7" w:rsidRPr="00BF20CF" w:rsidRDefault="007509C7" w:rsidP="00876E97">
      <w:pPr>
        <w:numPr>
          <w:ilvl w:val="1"/>
          <w:numId w:val="70"/>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If exclusions were not made for other utilities in the sample, does not </w:t>
      </w:r>
      <w:proofErr w:type="spellStart"/>
      <w:r w:rsidRPr="00BF20CF">
        <w:rPr>
          <w:rFonts w:ascii="Arial" w:hAnsi="Arial" w:cs="Arial"/>
          <w:lang w:val="en-CA"/>
        </w:rPr>
        <w:t>Clearspring</w:t>
      </w:r>
      <w:proofErr w:type="spellEnd"/>
      <w:r w:rsidRPr="00BF20CF">
        <w:rPr>
          <w:rFonts w:ascii="Arial" w:hAnsi="Arial" w:cs="Arial"/>
          <w:lang w:val="en-CA"/>
        </w:rPr>
        <w:t xml:space="preserve"> consider that making such exclusionary adjustments only for Hydro Ottawa biases the total cost benchmarking results in favour of Hydro Ottawa? Please explain your reasons.</w:t>
      </w:r>
    </w:p>
    <w:p w14:paraId="487D8E35" w14:textId="2A00E487" w:rsidR="007509C7" w:rsidRPr="00BF20CF" w:rsidRDefault="007509C7" w:rsidP="0039317E">
      <w:pPr>
        <w:spacing w:line="276" w:lineRule="auto"/>
        <w:rPr>
          <w:rFonts w:ascii="Arial" w:eastAsia="Calibri" w:hAnsi="Arial" w:cs="Arial"/>
          <w:b/>
        </w:rPr>
      </w:pPr>
      <w:r w:rsidRPr="00BF20CF">
        <w:rPr>
          <w:rFonts w:ascii="Arial" w:eastAsia="Calibri" w:hAnsi="Arial" w:cs="Arial"/>
          <w:b/>
        </w:rPr>
        <w:lastRenderedPageBreak/>
        <w:t>1-Staff-</w:t>
      </w:r>
      <w:r w:rsidR="005D326D" w:rsidRPr="00BF20CF">
        <w:rPr>
          <w:rFonts w:ascii="Arial" w:eastAsia="Calibri" w:hAnsi="Arial" w:cs="Arial"/>
          <w:b/>
        </w:rPr>
        <w:t>14</w:t>
      </w:r>
    </w:p>
    <w:p w14:paraId="13C55EEC" w14:textId="77777777" w:rsidR="007509C7" w:rsidRPr="00BF20CF" w:rsidRDefault="007509C7" w:rsidP="0039317E">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 xml:space="preserve">Exhibit 1/Tab 1/Schedule 12/Attachment </w:t>
      </w:r>
      <w:proofErr w:type="gramStart"/>
      <w:r w:rsidRPr="00BF20CF">
        <w:rPr>
          <w:rFonts w:ascii="Arial" w:eastAsia="Calibri" w:hAnsi="Arial" w:cs="Arial"/>
          <w:b/>
        </w:rPr>
        <w:t>A</w:t>
      </w:r>
      <w:proofErr w:type="gramEnd"/>
      <w:r w:rsidRPr="00BF20CF">
        <w:rPr>
          <w:rFonts w:ascii="Arial" w:eastAsia="Calibri" w:hAnsi="Arial" w:cs="Arial"/>
          <w:b/>
        </w:rPr>
        <w:br/>
      </w:r>
      <w:r w:rsidRPr="00BF20CF">
        <w:rPr>
          <w:rFonts w:ascii="Arial" w:eastAsia="Calibri" w:hAnsi="Arial" w:cs="Arial"/>
          <w:b/>
        </w:rPr>
        <w:tab/>
        <w:t>Distribution Rate Application Filing Requirements – Chapter 2</w:t>
      </w:r>
      <w:r w:rsidRPr="00BF20CF">
        <w:rPr>
          <w:rFonts w:ascii="Arial" w:eastAsia="Calibri" w:hAnsi="Arial" w:cs="Arial"/>
          <w:b/>
        </w:rPr>
        <w:br/>
      </w:r>
      <w:r w:rsidRPr="00BF20CF">
        <w:rPr>
          <w:rFonts w:ascii="Arial" w:eastAsia="Calibri" w:hAnsi="Arial" w:cs="Arial"/>
          <w:b/>
        </w:rPr>
        <w:tab/>
        <w:t>Exhibit 3/Tab 1/Schedule 1/Attachment C/p. 5</w:t>
      </w:r>
    </w:p>
    <w:p w14:paraId="15D74B25"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7F6A81E3"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On page 18 of its study, </w:t>
      </w:r>
      <w:proofErr w:type="spellStart"/>
      <w:r w:rsidRPr="00BF20CF">
        <w:rPr>
          <w:rFonts w:ascii="Arial" w:eastAsia="Calibri" w:hAnsi="Arial" w:cs="Arial"/>
        </w:rPr>
        <w:t>Clearspring</w:t>
      </w:r>
      <w:proofErr w:type="spellEnd"/>
      <w:r w:rsidRPr="00BF20CF">
        <w:rPr>
          <w:rFonts w:ascii="Arial" w:eastAsia="Calibri" w:hAnsi="Arial" w:cs="Arial"/>
        </w:rPr>
        <w:t xml:space="preserve"> provides the following short summary of the temperature variable included in its total cost benchmarking model:</w:t>
      </w:r>
    </w:p>
    <w:p w14:paraId="3405CB31" w14:textId="77777777" w:rsidR="007509C7" w:rsidRPr="00BF20CF" w:rsidRDefault="007509C7" w:rsidP="003041BF">
      <w:pPr>
        <w:spacing w:before="240" w:after="120" w:line="276" w:lineRule="auto"/>
        <w:ind w:left="720" w:right="720"/>
        <w:rPr>
          <w:rFonts w:ascii="Arial" w:eastAsia="Calibri" w:hAnsi="Arial" w:cs="Arial"/>
        </w:rPr>
      </w:pPr>
      <w:r w:rsidRPr="00BF20CF">
        <w:rPr>
          <w:rFonts w:ascii="Arial" w:eastAsia="Calibri" w:hAnsi="Arial" w:cs="Arial"/>
        </w:rPr>
        <w:t>The temperature variable measures the amount of cooling degree days over a base of 80 degrees Fahrenheit (26.667 degrees Celsius) plus the number of heating degree days over a base of 10 degrees Fahrenheit (-12.222 degrees Celsius) in each year of the sample. As extreme weather increases, we would expect costs to also increase.</w:t>
      </w:r>
    </w:p>
    <w:p w14:paraId="5D50D5AA"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The OEB’s own filing requirements for electricity distributors recognizes the importance of heating degree days (HDD) and cooling degree days (CDD), and most utilities include HDD and CDD variables (for weather normalization) in their load forecast models filed in support of cost of service and Custom IR applications to rebase rates. The OEB provides the following guidance in Chapter 2 of its filing requirements:</w:t>
      </w:r>
    </w:p>
    <w:p w14:paraId="0121C3D0" w14:textId="77777777" w:rsidR="007509C7" w:rsidRPr="00BF20CF" w:rsidRDefault="007509C7" w:rsidP="0039317E">
      <w:pPr>
        <w:autoSpaceDE w:val="0"/>
        <w:autoSpaceDN w:val="0"/>
        <w:adjustRightInd w:val="0"/>
        <w:spacing w:before="240" w:after="120" w:line="276" w:lineRule="auto"/>
        <w:rPr>
          <w:rFonts w:ascii="Arial" w:eastAsia="Calibri" w:hAnsi="Arial" w:cs="Arial"/>
          <w:color w:val="000000"/>
        </w:rPr>
      </w:pPr>
      <w:r w:rsidRPr="00BF20CF">
        <w:rPr>
          <w:rFonts w:ascii="Arial" w:eastAsia="Calibri" w:hAnsi="Arial" w:cs="Arial"/>
          <w:color w:val="000000"/>
        </w:rPr>
        <w:t xml:space="preserve">Explanation of the weather-normalization methodology proposed including: </w:t>
      </w:r>
    </w:p>
    <w:p w14:paraId="0761A901" w14:textId="77777777" w:rsidR="007509C7" w:rsidRPr="00BF20CF" w:rsidRDefault="007509C7" w:rsidP="00876E97">
      <w:pPr>
        <w:numPr>
          <w:ilvl w:val="0"/>
          <w:numId w:val="51"/>
        </w:numPr>
        <w:autoSpaceDE w:val="0"/>
        <w:autoSpaceDN w:val="0"/>
        <w:adjustRightInd w:val="0"/>
        <w:spacing w:before="240" w:after="120" w:line="276" w:lineRule="auto"/>
        <w:contextualSpacing/>
        <w:rPr>
          <w:rFonts w:ascii="Arial" w:hAnsi="Arial" w:cs="Arial"/>
          <w:color w:val="000000"/>
          <w:lang w:val="en-CA"/>
        </w:rPr>
      </w:pPr>
      <w:r w:rsidRPr="00BF20CF">
        <w:rPr>
          <w:rFonts w:ascii="Arial" w:hAnsi="Arial" w:cs="Arial"/>
          <w:color w:val="000000"/>
          <w:lang w:val="en-CA"/>
        </w:rPr>
        <w:t xml:space="preserve">If monthly Heating Degree Days (HDD) and/or Cooling Degree Days (CDD) are used to determine normal weather, the monthly HDD and CDD based on: a) 10-year average and b) a trend based on 20-years. If the applicant proposes an alternative approach, it must be supported. </w:t>
      </w:r>
    </w:p>
    <w:p w14:paraId="489D45CF" w14:textId="77777777" w:rsidR="007509C7" w:rsidRPr="00BF20CF" w:rsidRDefault="007509C7" w:rsidP="00876E97">
      <w:pPr>
        <w:numPr>
          <w:ilvl w:val="0"/>
          <w:numId w:val="51"/>
        </w:numPr>
        <w:autoSpaceDE w:val="0"/>
        <w:autoSpaceDN w:val="0"/>
        <w:adjustRightInd w:val="0"/>
        <w:spacing w:before="240" w:after="120" w:line="276" w:lineRule="auto"/>
        <w:contextualSpacing/>
        <w:rPr>
          <w:rFonts w:ascii="Arial" w:hAnsi="Arial" w:cs="Arial"/>
          <w:color w:val="000000"/>
          <w:lang w:val="en-CA"/>
        </w:rPr>
      </w:pPr>
      <w:r w:rsidRPr="00BF20CF">
        <w:rPr>
          <w:rFonts w:ascii="Arial" w:hAnsi="Arial" w:cs="Arial"/>
          <w:color w:val="000000"/>
          <w:lang w:val="en-CA"/>
        </w:rPr>
        <w:t xml:space="preserve">Definitions of HDD and CDD, including: </w:t>
      </w:r>
    </w:p>
    <w:p w14:paraId="548BEF40" w14:textId="77777777" w:rsidR="007509C7" w:rsidRPr="00BF20CF" w:rsidRDefault="007509C7" w:rsidP="00876E97">
      <w:pPr>
        <w:numPr>
          <w:ilvl w:val="0"/>
          <w:numId w:val="53"/>
        </w:numPr>
        <w:autoSpaceDE w:val="0"/>
        <w:autoSpaceDN w:val="0"/>
        <w:adjustRightInd w:val="0"/>
        <w:spacing w:before="240" w:after="120" w:line="276" w:lineRule="auto"/>
        <w:contextualSpacing/>
        <w:rPr>
          <w:rFonts w:ascii="Arial" w:hAnsi="Arial" w:cs="Arial"/>
          <w:color w:val="000000"/>
          <w:lang w:val="en-CA"/>
        </w:rPr>
      </w:pPr>
      <w:r w:rsidRPr="00BF20CF">
        <w:rPr>
          <w:rFonts w:ascii="Arial" w:hAnsi="Arial" w:cs="Arial"/>
          <w:color w:val="000000"/>
          <w:lang w:val="en-CA"/>
        </w:rPr>
        <w:t xml:space="preserve">Climatological measurement point(s) (i.e. identification of Environment Canada weather station(s)) and why these are appropriate for the distributor’s service territory </w:t>
      </w:r>
    </w:p>
    <w:p w14:paraId="176652B4" w14:textId="77777777" w:rsidR="007509C7" w:rsidRPr="00BF20CF" w:rsidRDefault="007509C7" w:rsidP="00876E97">
      <w:pPr>
        <w:numPr>
          <w:ilvl w:val="0"/>
          <w:numId w:val="53"/>
        </w:numPr>
        <w:autoSpaceDE w:val="0"/>
        <w:autoSpaceDN w:val="0"/>
        <w:adjustRightInd w:val="0"/>
        <w:spacing w:before="240" w:after="120" w:line="276" w:lineRule="auto"/>
        <w:contextualSpacing/>
        <w:rPr>
          <w:rFonts w:ascii="Arial" w:hAnsi="Arial" w:cs="Arial"/>
          <w:color w:val="000000"/>
          <w:lang w:val="en-CA"/>
        </w:rPr>
      </w:pPr>
      <w:r w:rsidRPr="00BF20CF">
        <w:rPr>
          <w:rFonts w:ascii="Arial" w:hAnsi="Arial" w:cs="Arial"/>
          <w:color w:val="000000"/>
          <w:lang w:val="en-CA"/>
        </w:rPr>
        <w:t xml:space="preserve">Identification of base degrees from which HDDs and CDDs are measured (e.g. 18° C or other) </w:t>
      </w:r>
    </w:p>
    <w:p w14:paraId="4B7F7ECF" w14:textId="77777777" w:rsidR="007509C7" w:rsidRPr="00BF20CF" w:rsidRDefault="007509C7" w:rsidP="00876E97">
      <w:pPr>
        <w:numPr>
          <w:ilvl w:val="0"/>
          <w:numId w:val="52"/>
        </w:numPr>
        <w:autoSpaceDE w:val="0"/>
        <w:autoSpaceDN w:val="0"/>
        <w:adjustRightInd w:val="0"/>
        <w:spacing w:before="240" w:after="120" w:line="276" w:lineRule="auto"/>
        <w:contextualSpacing/>
        <w:rPr>
          <w:rFonts w:ascii="Arial" w:hAnsi="Arial" w:cs="Arial"/>
          <w:color w:val="000000"/>
          <w:lang w:val="en-CA"/>
        </w:rPr>
      </w:pPr>
      <w:r w:rsidRPr="00BF20CF">
        <w:rPr>
          <w:rFonts w:ascii="Arial" w:hAnsi="Arial" w:cs="Arial"/>
          <w:color w:val="000000"/>
          <w:lang w:val="en-CA"/>
        </w:rPr>
        <w:t xml:space="preserve">In addition to the proposed test year load forecast, the load forecasts based on 10-year average and 20-year trends in HDD and CDD </w:t>
      </w:r>
    </w:p>
    <w:p w14:paraId="7530A69C" w14:textId="77777777" w:rsidR="007509C7" w:rsidRPr="00BF20CF" w:rsidRDefault="007509C7" w:rsidP="00876E97">
      <w:pPr>
        <w:numPr>
          <w:ilvl w:val="0"/>
          <w:numId w:val="52"/>
        </w:numPr>
        <w:autoSpaceDE w:val="0"/>
        <w:autoSpaceDN w:val="0"/>
        <w:adjustRightInd w:val="0"/>
        <w:spacing w:before="240" w:after="120" w:line="276" w:lineRule="auto"/>
        <w:contextualSpacing/>
        <w:rPr>
          <w:rFonts w:ascii="Arial" w:hAnsi="Arial" w:cs="Arial"/>
          <w:lang w:val="en-CA"/>
        </w:rPr>
      </w:pPr>
      <w:r w:rsidRPr="00BF20CF">
        <w:rPr>
          <w:rFonts w:ascii="Arial" w:hAnsi="Arial" w:cs="Arial"/>
          <w:color w:val="000000"/>
          <w:lang w:val="en-CA"/>
        </w:rPr>
        <w:t>Rationale to support the weather-normalization methodology chosen</w:t>
      </w:r>
    </w:p>
    <w:p w14:paraId="231B3382" w14:textId="581C5A42"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lastRenderedPageBreak/>
        <w:t>The distributor identifies the thresholds for HDD and CDD, and these are often different. In its load forecast provided in Exhibit 3 in this Application, Hydro Ottawa has used 13°C for HDD and 18°C for CDD.</w:t>
      </w:r>
    </w:p>
    <w:p w14:paraId="6593B8EC" w14:textId="7DB61BCE"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Question</w:t>
      </w:r>
      <w:r w:rsidR="0039317E" w:rsidRPr="00BF20CF">
        <w:rPr>
          <w:rFonts w:ascii="Arial" w:eastAsia="Calibri" w:hAnsi="Arial" w:cs="Arial"/>
        </w:rPr>
        <w:t>(</w:t>
      </w:r>
      <w:r w:rsidRPr="00BF20CF">
        <w:rPr>
          <w:rFonts w:ascii="Arial" w:eastAsia="Calibri" w:hAnsi="Arial" w:cs="Arial"/>
        </w:rPr>
        <w:t>s</w:t>
      </w:r>
      <w:r w:rsidR="0039317E" w:rsidRPr="00BF20CF">
        <w:rPr>
          <w:rFonts w:ascii="Arial" w:eastAsia="Calibri" w:hAnsi="Arial" w:cs="Arial"/>
        </w:rPr>
        <w:t>)</w:t>
      </w:r>
      <w:r w:rsidRPr="00BF20CF">
        <w:rPr>
          <w:rFonts w:ascii="Arial" w:eastAsia="Calibri" w:hAnsi="Arial" w:cs="Arial"/>
        </w:rPr>
        <w:t>:</w:t>
      </w:r>
    </w:p>
    <w:p w14:paraId="6F2A2680" w14:textId="49FF5A92" w:rsidR="007509C7" w:rsidRPr="00BF20CF" w:rsidRDefault="007509C7" w:rsidP="00876E97">
      <w:pPr>
        <w:numPr>
          <w:ilvl w:val="0"/>
          <w:numId w:val="54"/>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OEB staff observes that the thresholds of 80°F (26.667°C) for CDD and 10°F (-12.222°) for HDD used by </w:t>
      </w:r>
      <w:proofErr w:type="spellStart"/>
      <w:r w:rsidRPr="00BF20CF">
        <w:rPr>
          <w:rFonts w:ascii="Arial" w:hAnsi="Arial" w:cs="Arial"/>
          <w:lang w:val="en-CA"/>
        </w:rPr>
        <w:t>Clearspring</w:t>
      </w:r>
      <w:proofErr w:type="spellEnd"/>
      <w:r w:rsidRPr="00BF20CF">
        <w:rPr>
          <w:rFonts w:ascii="Arial" w:hAnsi="Arial" w:cs="Arial"/>
          <w:lang w:val="en-CA"/>
        </w:rPr>
        <w:t xml:space="preserve"> are at the extremes of thresholds that Ontario distributors have used. Please explain how </w:t>
      </w:r>
      <w:proofErr w:type="spellStart"/>
      <w:r w:rsidRPr="00BF20CF">
        <w:rPr>
          <w:rFonts w:ascii="Arial" w:hAnsi="Arial" w:cs="Arial"/>
          <w:lang w:val="en-CA"/>
        </w:rPr>
        <w:t>Clearspring</w:t>
      </w:r>
      <w:proofErr w:type="spellEnd"/>
      <w:r w:rsidRPr="00BF20CF">
        <w:rPr>
          <w:rFonts w:ascii="Arial" w:hAnsi="Arial" w:cs="Arial"/>
          <w:lang w:val="en-CA"/>
        </w:rPr>
        <w:t xml:space="preserve"> identified the HDD and CDD thresholds chosen.</w:t>
      </w:r>
    </w:p>
    <w:p w14:paraId="64427498" w14:textId="77777777" w:rsidR="00C443D1" w:rsidRPr="00BF20CF" w:rsidRDefault="00C443D1" w:rsidP="00C443D1">
      <w:pPr>
        <w:autoSpaceDE w:val="0"/>
        <w:autoSpaceDN w:val="0"/>
        <w:adjustRightInd w:val="0"/>
        <w:spacing w:before="240" w:after="120" w:line="276" w:lineRule="auto"/>
        <w:ind w:left="720"/>
        <w:contextualSpacing/>
        <w:rPr>
          <w:rFonts w:ascii="Arial" w:hAnsi="Arial" w:cs="Arial"/>
          <w:lang w:val="en-CA"/>
        </w:rPr>
      </w:pPr>
    </w:p>
    <w:p w14:paraId="3F13E480" w14:textId="77777777" w:rsidR="007509C7" w:rsidRPr="00BF20CF" w:rsidRDefault="007509C7" w:rsidP="00876E97">
      <w:pPr>
        <w:numPr>
          <w:ilvl w:val="0"/>
          <w:numId w:val="54"/>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OEB staff also observe, based on experience with cost of service and rebasing applications, IESO system demand data and forecasts, and Ontario’s electricity Conservation and Demand Management programs over the years, that energy consumption and demand for heating and for cooling purposes are generally quite different. Further, most distributors in Ontario are either clearly winter-peaking or summer-peaking; OEB staff would expect that this would generally also hold for most electric utilities in the U.S. and Canada. </w:t>
      </w:r>
    </w:p>
    <w:p w14:paraId="7931E0D5" w14:textId="77777777" w:rsidR="007509C7" w:rsidRPr="00BF20CF" w:rsidRDefault="007509C7" w:rsidP="00876E97">
      <w:pPr>
        <w:numPr>
          <w:ilvl w:val="1"/>
          <w:numId w:val="7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What U.S. utilities in the sample are winter peaking?</w:t>
      </w:r>
    </w:p>
    <w:p w14:paraId="098B3F85" w14:textId="18F004A7" w:rsidR="007509C7" w:rsidRPr="00BF20CF" w:rsidRDefault="007509C7" w:rsidP="00876E97">
      <w:pPr>
        <w:numPr>
          <w:ilvl w:val="1"/>
          <w:numId w:val="7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With a threshold of 10°F for HDD, it would seem that HDD would provide little contribution for utilities serving more southerly latitudes, including utilities in much of California, </w:t>
      </w:r>
      <w:r w:rsidR="001C211A" w:rsidRPr="00BF20CF">
        <w:rPr>
          <w:rFonts w:ascii="Arial" w:hAnsi="Arial" w:cs="Arial"/>
          <w:lang w:val="en-CA"/>
        </w:rPr>
        <w:t>Arizona</w:t>
      </w:r>
      <w:r w:rsidRPr="00BF20CF">
        <w:rPr>
          <w:rFonts w:ascii="Arial" w:hAnsi="Arial" w:cs="Arial"/>
          <w:lang w:val="en-CA"/>
        </w:rPr>
        <w:t>, Nevada, Texas, New Mexico, Oklahoma, Georgia, Florida and the Carolinas. In contrast, more northerly states would have a greater mix of CDD and HDD. What is the rationale for summing HDD and CDD into a single “weather” variable rather than maintaining as separate variables?</w:t>
      </w:r>
    </w:p>
    <w:p w14:paraId="4AEF418D" w14:textId="77777777" w:rsidR="00C443D1" w:rsidRPr="00BF20CF" w:rsidRDefault="00C443D1" w:rsidP="00C443D1">
      <w:pPr>
        <w:autoSpaceDE w:val="0"/>
        <w:autoSpaceDN w:val="0"/>
        <w:adjustRightInd w:val="0"/>
        <w:spacing w:before="240" w:after="120" w:line="276" w:lineRule="auto"/>
        <w:ind w:left="1440"/>
        <w:contextualSpacing/>
        <w:rPr>
          <w:rFonts w:ascii="Arial" w:hAnsi="Arial" w:cs="Arial"/>
          <w:lang w:val="en-CA"/>
        </w:rPr>
      </w:pPr>
    </w:p>
    <w:p w14:paraId="3E1099C6" w14:textId="3120EDCC" w:rsidR="007509C7" w:rsidRPr="00BF20CF" w:rsidRDefault="007509C7" w:rsidP="00876E97">
      <w:pPr>
        <w:numPr>
          <w:ilvl w:val="0"/>
          <w:numId w:val="54"/>
        </w:numPr>
        <w:autoSpaceDE w:val="0"/>
        <w:autoSpaceDN w:val="0"/>
        <w:adjustRightInd w:val="0"/>
        <w:spacing w:before="240" w:after="120" w:line="276" w:lineRule="auto"/>
        <w:contextualSpacing/>
        <w:rPr>
          <w:rFonts w:ascii="Arial" w:hAnsi="Arial" w:cs="Arial"/>
          <w:lang w:val="en-CA"/>
        </w:rPr>
      </w:pPr>
      <w:proofErr w:type="spellStart"/>
      <w:r w:rsidRPr="00BF20CF">
        <w:rPr>
          <w:rFonts w:ascii="Arial" w:hAnsi="Arial" w:cs="Arial"/>
          <w:lang w:val="en-CA"/>
        </w:rPr>
        <w:t>Clearspring</w:t>
      </w:r>
      <w:proofErr w:type="spellEnd"/>
      <w:r w:rsidRPr="00BF20CF">
        <w:rPr>
          <w:rFonts w:ascii="Arial" w:hAnsi="Arial" w:cs="Arial"/>
          <w:lang w:val="en-CA"/>
        </w:rPr>
        <w:t xml:space="preserve"> also using ratcheted peak demand (</w:t>
      </w:r>
      <w:r w:rsidRPr="00BF20CF">
        <w:rPr>
          <w:i/>
          <w:lang w:val="en-CA"/>
        </w:rPr>
        <w:t>D</w:t>
      </w:r>
      <w:r w:rsidRPr="00BF20CF">
        <w:rPr>
          <w:rFonts w:ascii="Arial" w:hAnsi="Arial" w:cs="Arial"/>
          <w:lang w:val="en-CA"/>
        </w:rPr>
        <w:t xml:space="preserve">) as an “output” variable to explain a utility’s total costs. </w:t>
      </w:r>
      <w:r w:rsidRPr="00BF20CF">
        <w:rPr>
          <w:i/>
          <w:lang w:val="en-CA"/>
        </w:rPr>
        <w:t>D</w:t>
      </w:r>
      <w:r w:rsidRPr="00BF20CF">
        <w:rPr>
          <w:rFonts w:ascii="Arial" w:hAnsi="Arial" w:cs="Arial"/>
          <w:lang w:val="en-CA"/>
        </w:rPr>
        <w:t xml:space="preserve"> and </w:t>
      </w:r>
      <w:r w:rsidRPr="00BF20CF">
        <w:rPr>
          <w:i/>
          <w:lang w:val="en-CA"/>
        </w:rPr>
        <w:t>D</w:t>
      </w:r>
      <w:r w:rsidRPr="00BF20CF">
        <w:rPr>
          <w:i/>
          <w:vertAlign w:val="superscript"/>
          <w:lang w:val="en-CA"/>
        </w:rPr>
        <w:t>2</w:t>
      </w:r>
      <w:r w:rsidRPr="00BF20CF">
        <w:rPr>
          <w:rFonts w:ascii="Arial" w:hAnsi="Arial" w:cs="Arial"/>
          <w:lang w:val="en-CA"/>
        </w:rPr>
        <w:t xml:space="preserve"> are both </w:t>
      </w:r>
      <w:proofErr w:type="spellStart"/>
      <w:r w:rsidRPr="00BF20CF">
        <w:rPr>
          <w:rFonts w:ascii="Arial" w:hAnsi="Arial" w:cs="Arial"/>
          <w:lang w:val="en-CA"/>
        </w:rPr>
        <w:t>regressor</w:t>
      </w:r>
      <w:proofErr w:type="spellEnd"/>
      <w:r w:rsidRPr="00BF20CF">
        <w:rPr>
          <w:rFonts w:ascii="Arial" w:hAnsi="Arial" w:cs="Arial"/>
          <w:lang w:val="en-CA"/>
        </w:rPr>
        <w:t xml:space="preserve"> variables in </w:t>
      </w:r>
      <w:proofErr w:type="spellStart"/>
      <w:r w:rsidRPr="00BF20CF">
        <w:rPr>
          <w:rFonts w:ascii="Arial" w:hAnsi="Arial" w:cs="Arial"/>
          <w:lang w:val="en-CA"/>
        </w:rPr>
        <w:t>Clearspring’s</w:t>
      </w:r>
      <w:proofErr w:type="spellEnd"/>
      <w:r w:rsidRPr="00BF20CF">
        <w:rPr>
          <w:rFonts w:ascii="Arial" w:hAnsi="Arial" w:cs="Arial"/>
          <w:lang w:val="en-CA"/>
        </w:rPr>
        <w:t xml:space="preserve"> total cost model.</w:t>
      </w:r>
      <w:r w:rsidR="00E277FA" w:rsidRPr="00BF20CF">
        <w:rPr>
          <w:rFonts w:ascii="Arial" w:hAnsi="Arial" w:cs="Arial"/>
          <w:lang w:val="en-CA"/>
        </w:rPr>
        <w:t xml:space="preserve"> Ratcheted peak demand is defined as the maximum peak system demand in the year or any year prior to it, on the basis that the utility has constructed and operates the system to accommodate at least that peak and, once built as such, the assets are sunk. Please explain why the ratcheted system peak demand does not overlap and mask the effect of </w:t>
      </w:r>
      <w:proofErr w:type="spellStart"/>
      <w:r w:rsidR="00E277FA" w:rsidRPr="00BF20CF">
        <w:rPr>
          <w:rFonts w:ascii="Arial" w:hAnsi="Arial" w:cs="Arial"/>
          <w:lang w:val="en-CA"/>
        </w:rPr>
        <w:t>Clearspring’s</w:t>
      </w:r>
      <w:proofErr w:type="spellEnd"/>
      <w:r w:rsidR="00E277FA" w:rsidRPr="00BF20CF">
        <w:rPr>
          <w:rFonts w:ascii="Arial" w:hAnsi="Arial" w:cs="Arial"/>
          <w:lang w:val="en-CA"/>
        </w:rPr>
        <w:t xml:space="preserve"> HDD+CDD variable in explaining a firm’s total costs.</w:t>
      </w:r>
    </w:p>
    <w:p w14:paraId="574F6B06" w14:textId="04EF0434" w:rsidR="00F3144B" w:rsidRPr="00BF20CF" w:rsidRDefault="00F3144B" w:rsidP="001C211A">
      <w:p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br w:type="page"/>
      </w:r>
    </w:p>
    <w:p w14:paraId="1DE80D36" w14:textId="4A9EFACA" w:rsidR="007509C7" w:rsidRPr="00BF20CF" w:rsidRDefault="007509C7" w:rsidP="0039317E">
      <w:pPr>
        <w:spacing w:line="276" w:lineRule="auto"/>
        <w:rPr>
          <w:rFonts w:ascii="Arial" w:eastAsia="Calibri" w:hAnsi="Arial" w:cs="Arial"/>
          <w:b/>
        </w:rPr>
      </w:pPr>
      <w:r w:rsidRPr="00BF20CF">
        <w:rPr>
          <w:rFonts w:ascii="Arial" w:eastAsia="Calibri" w:hAnsi="Arial" w:cs="Arial"/>
          <w:b/>
        </w:rPr>
        <w:lastRenderedPageBreak/>
        <w:t>1-Staff-</w:t>
      </w:r>
      <w:r w:rsidR="005D326D" w:rsidRPr="00BF20CF">
        <w:rPr>
          <w:rFonts w:ascii="Arial" w:eastAsia="Calibri" w:hAnsi="Arial" w:cs="Arial"/>
          <w:b/>
        </w:rPr>
        <w:t>15</w:t>
      </w:r>
    </w:p>
    <w:p w14:paraId="6A4F80A5" w14:textId="77777777" w:rsidR="007509C7" w:rsidRPr="00BF20CF" w:rsidRDefault="007509C7" w:rsidP="0039317E">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Exhibit 1/Tab 1/Schedule 12/Attachment A/pp. 5-6, 26-32</w:t>
      </w:r>
    </w:p>
    <w:p w14:paraId="07072458"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3809F4BF" w14:textId="77777777" w:rsidR="007509C7" w:rsidRPr="00BF20CF" w:rsidRDefault="007509C7" w:rsidP="003041BF">
      <w:pPr>
        <w:spacing w:before="240" w:after="120" w:line="276" w:lineRule="auto"/>
        <w:rPr>
          <w:rFonts w:ascii="Arial" w:eastAsia="Calibri" w:hAnsi="Arial" w:cs="Arial"/>
        </w:rPr>
      </w:pPr>
      <w:proofErr w:type="spellStart"/>
      <w:r w:rsidRPr="00BF20CF">
        <w:rPr>
          <w:rFonts w:ascii="Arial" w:eastAsia="Calibri" w:hAnsi="Arial" w:cs="Arial"/>
        </w:rPr>
        <w:t>Clearspring</w:t>
      </w:r>
      <w:proofErr w:type="spellEnd"/>
      <w:r w:rsidRPr="00BF20CF">
        <w:rPr>
          <w:rFonts w:ascii="Arial" w:eastAsia="Calibri" w:hAnsi="Arial" w:cs="Arial"/>
        </w:rPr>
        <w:t xml:space="preserve"> provides its analysis and summary tables of reliability benchmarking on pages 26 to 31 of its report. </w:t>
      </w:r>
    </w:p>
    <w:p w14:paraId="70FF26BD"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Table 9 on page 28 provides summary estimated coefficient statistics of the SAIFI model, and </w:t>
      </w:r>
      <w:proofErr w:type="spellStart"/>
      <w:r w:rsidRPr="00BF20CF">
        <w:rPr>
          <w:rFonts w:ascii="Arial" w:eastAsia="Calibri" w:hAnsi="Arial" w:cs="Arial"/>
        </w:rPr>
        <w:t>Clearspring</w:t>
      </w:r>
      <w:proofErr w:type="spellEnd"/>
      <w:r w:rsidRPr="00BF20CF">
        <w:rPr>
          <w:rFonts w:ascii="Arial" w:eastAsia="Calibri" w:hAnsi="Arial" w:cs="Arial"/>
        </w:rPr>
        <w:t xml:space="preserve"> indicates that the model has an adjusted R</w:t>
      </w:r>
      <w:r w:rsidRPr="00BF20CF">
        <w:rPr>
          <w:rFonts w:ascii="Arial" w:eastAsia="Calibri" w:hAnsi="Arial" w:cs="Arial"/>
          <w:vertAlign w:val="superscript"/>
        </w:rPr>
        <w:t>2</w:t>
      </w:r>
      <w:r w:rsidRPr="00BF20CF">
        <w:rPr>
          <w:rFonts w:ascii="Arial" w:eastAsia="Calibri" w:hAnsi="Arial" w:cs="Arial"/>
        </w:rPr>
        <w:t xml:space="preserve"> of 0.462:</w:t>
      </w:r>
    </w:p>
    <w:p w14:paraId="077E1B52" w14:textId="77777777" w:rsidR="007509C7" w:rsidRPr="00BF20CF" w:rsidRDefault="007509C7" w:rsidP="003041BF">
      <w:pPr>
        <w:spacing w:after="160" w:line="259" w:lineRule="auto"/>
        <w:jc w:val="center"/>
        <w:rPr>
          <w:rFonts w:ascii="Arial" w:eastAsia="Calibri" w:hAnsi="Arial" w:cs="Arial"/>
        </w:rPr>
      </w:pPr>
      <w:r w:rsidRPr="00BF20CF">
        <w:rPr>
          <w:rFonts w:ascii="Arial" w:eastAsia="Calibri" w:hAnsi="Arial" w:cs="Arial"/>
          <w:noProof/>
        </w:rPr>
        <w:drawing>
          <wp:inline distT="0" distB="0" distL="0" distR="0" wp14:anchorId="0AA45A0B" wp14:editId="164CA6B5">
            <wp:extent cx="3633746" cy="25679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017" cy="2584385"/>
                    </a:xfrm>
                    <a:prstGeom prst="rect">
                      <a:avLst/>
                    </a:prstGeom>
                    <a:noFill/>
                    <a:ln>
                      <a:noFill/>
                    </a:ln>
                  </pic:spPr>
                </pic:pic>
              </a:graphicData>
            </a:graphic>
          </wp:inline>
        </w:drawing>
      </w:r>
    </w:p>
    <w:p w14:paraId="0BEAD99B"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Table 10 on page 29 provides similar estimated coefficient statistics for the CAIDI model, and the adjusted R</w:t>
      </w:r>
      <w:r w:rsidRPr="00BF20CF">
        <w:rPr>
          <w:rFonts w:ascii="Arial" w:eastAsia="Calibri" w:hAnsi="Arial" w:cs="Arial"/>
          <w:vertAlign w:val="superscript"/>
        </w:rPr>
        <w:t>2</w:t>
      </w:r>
      <w:r w:rsidRPr="00BF20CF">
        <w:rPr>
          <w:rFonts w:ascii="Arial" w:eastAsia="Calibri" w:hAnsi="Arial" w:cs="Arial"/>
        </w:rPr>
        <w:t xml:space="preserve"> is stated to be 0.440:</w:t>
      </w:r>
    </w:p>
    <w:p w14:paraId="4BAAC75B" w14:textId="77777777" w:rsidR="007509C7" w:rsidRPr="00BF20CF" w:rsidRDefault="007509C7" w:rsidP="003041BF">
      <w:pPr>
        <w:spacing w:after="160" w:line="259" w:lineRule="auto"/>
        <w:jc w:val="center"/>
        <w:rPr>
          <w:rFonts w:ascii="Arial" w:eastAsia="Calibri" w:hAnsi="Arial" w:cs="Arial"/>
        </w:rPr>
      </w:pPr>
      <w:r w:rsidRPr="00BF20CF">
        <w:rPr>
          <w:rFonts w:ascii="Arial" w:eastAsia="Calibri" w:hAnsi="Arial" w:cs="Arial"/>
          <w:noProof/>
        </w:rPr>
        <w:drawing>
          <wp:inline distT="0" distB="0" distL="0" distR="0" wp14:anchorId="674D1B08" wp14:editId="60D5B8AE">
            <wp:extent cx="3673502" cy="254381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2208" cy="2563688"/>
                    </a:xfrm>
                    <a:prstGeom prst="rect">
                      <a:avLst/>
                    </a:prstGeom>
                    <a:noFill/>
                    <a:ln>
                      <a:noFill/>
                    </a:ln>
                  </pic:spPr>
                </pic:pic>
              </a:graphicData>
            </a:graphic>
          </wp:inline>
        </w:drawing>
      </w:r>
    </w:p>
    <w:p w14:paraId="71AEC2CD" w14:textId="0189291C"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lastRenderedPageBreak/>
        <w:t>Question</w:t>
      </w:r>
      <w:r w:rsidR="0039317E" w:rsidRPr="00BF20CF">
        <w:rPr>
          <w:rFonts w:ascii="Arial" w:eastAsia="Calibri" w:hAnsi="Arial" w:cs="Arial"/>
        </w:rPr>
        <w:t>(</w:t>
      </w:r>
      <w:r w:rsidRPr="00BF20CF">
        <w:rPr>
          <w:rFonts w:ascii="Arial" w:eastAsia="Calibri" w:hAnsi="Arial" w:cs="Arial"/>
        </w:rPr>
        <w:t>s</w:t>
      </w:r>
      <w:r w:rsidR="0039317E" w:rsidRPr="00BF20CF">
        <w:rPr>
          <w:rFonts w:ascii="Arial" w:eastAsia="Calibri" w:hAnsi="Arial" w:cs="Arial"/>
        </w:rPr>
        <w:t>)</w:t>
      </w:r>
      <w:r w:rsidRPr="00BF20CF">
        <w:rPr>
          <w:rFonts w:ascii="Arial" w:eastAsia="Calibri" w:hAnsi="Arial" w:cs="Arial"/>
        </w:rPr>
        <w:t>:</w:t>
      </w:r>
    </w:p>
    <w:p w14:paraId="58741D05" w14:textId="77777777" w:rsidR="007509C7" w:rsidRPr="00BF20CF" w:rsidRDefault="007509C7" w:rsidP="00876E97">
      <w:pPr>
        <w:numPr>
          <w:ilvl w:val="0"/>
          <w:numId w:val="5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provide full regression model summary tables for each of Tables 9 and 10, showing statistics such as the F-statistic, Durbin-Watson, etc.</w:t>
      </w:r>
    </w:p>
    <w:p w14:paraId="798A2E0B" w14:textId="77777777" w:rsidR="007509C7" w:rsidRPr="00BF20CF" w:rsidRDefault="007509C7" w:rsidP="00876E97">
      <w:pPr>
        <w:numPr>
          <w:ilvl w:val="0"/>
          <w:numId w:val="5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OEB staff observe that, while some of the variables in the SAIFI and CAIDI models are also used in the total cost benchmarking model, others are not. </w:t>
      </w:r>
      <w:proofErr w:type="spellStart"/>
      <w:r w:rsidRPr="00BF20CF">
        <w:rPr>
          <w:rFonts w:ascii="Arial" w:hAnsi="Arial" w:cs="Arial"/>
          <w:lang w:val="en-CA"/>
        </w:rPr>
        <w:t>Clearspring</w:t>
      </w:r>
      <w:proofErr w:type="spellEnd"/>
      <w:r w:rsidRPr="00BF20CF">
        <w:rPr>
          <w:rFonts w:ascii="Arial" w:hAnsi="Arial" w:cs="Arial"/>
          <w:lang w:val="en-CA"/>
        </w:rPr>
        <w:t xml:space="preserve"> has not provided definitions for the additional variables.</w:t>
      </w:r>
      <w:r w:rsidRPr="00BF20CF">
        <w:rPr>
          <w:rFonts w:ascii="Arial" w:hAnsi="Arial" w:cs="Arial"/>
          <w:lang w:val="en-CA"/>
        </w:rPr>
        <w:br/>
      </w:r>
      <w:r w:rsidRPr="00BF20CF">
        <w:rPr>
          <w:rFonts w:ascii="Arial" w:hAnsi="Arial" w:cs="Arial"/>
          <w:lang w:val="en-CA"/>
        </w:rPr>
        <w:br/>
        <w:t>For each of the following variables used only in the SAIFI and/or CAIDI models please provide definitions of the variable, including identification of the source, the scale of the variable, whether it is expressed in logarithmic or untransformed form, whether the variable is a binary (indicator) variable, and whether the variable is based on a snapshot in time for each utility, or whether it varies over time as well as across utilities (for example, OEB staff understand that the Congested Urban variable is based on a recent snapshot in time, and thus has the same value for a specific utility for all years, despite the fact that some utilities, like Toronto Hydro, Commonwealth Edison, and Consolidated Edison may see changes over the sample period):</w:t>
      </w:r>
    </w:p>
    <w:p w14:paraId="4515450C" w14:textId="77777777" w:rsidR="007509C7" w:rsidRPr="00BF20CF" w:rsidRDefault="007509C7" w:rsidP="00876E97">
      <w:pPr>
        <w:numPr>
          <w:ilvl w:val="1"/>
          <w:numId w:val="5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Plant Underground</w:t>
      </w:r>
    </w:p>
    <w:p w14:paraId="5C06AA4F" w14:textId="77777777" w:rsidR="007509C7" w:rsidRPr="00BF20CF" w:rsidRDefault="007509C7" w:rsidP="00876E97">
      <w:pPr>
        <w:numPr>
          <w:ilvl w:val="1"/>
          <w:numId w:val="5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Average Wind Speeds Above 20 MPH</w:t>
      </w:r>
    </w:p>
    <w:p w14:paraId="06C08772" w14:textId="322BFF6E" w:rsidR="007509C7" w:rsidRPr="00BF20CF" w:rsidRDefault="007509C7" w:rsidP="00876E97">
      <w:pPr>
        <w:numPr>
          <w:ilvl w:val="1"/>
          <w:numId w:val="56"/>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IEEE MED [Major Event Day] Definition</w:t>
      </w:r>
    </w:p>
    <w:p w14:paraId="5CF2F8CC" w14:textId="77777777" w:rsidR="00123CD1" w:rsidRPr="00BF20CF" w:rsidRDefault="00123CD1" w:rsidP="00123CD1">
      <w:pPr>
        <w:autoSpaceDE w:val="0"/>
        <w:autoSpaceDN w:val="0"/>
        <w:adjustRightInd w:val="0"/>
        <w:spacing w:before="240" w:after="120" w:line="276" w:lineRule="auto"/>
        <w:ind w:left="1440"/>
        <w:contextualSpacing/>
        <w:rPr>
          <w:rFonts w:ascii="Arial" w:hAnsi="Arial" w:cs="Arial"/>
          <w:lang w:val="en-CA"/>
        </w:rPr>
      </w:pPr>
    </w:p>
    <w:p w14:paraId="2318E5BA" w14:textId="64E9EAFF" w:rsidR="007509C7" w:rsidRPr="00BF20CF" w:rsidRDefault="007509C7" w:rsidP="00876E97">
      <w:pPr>
        <w:numPr>
          <w:ilvl w:val="0"/>
          <w:numId w:val="5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What other variables did </w:t>
      </w:r>
      <w:proofErr w:type="spellStart"/>
      <w:r w:rsidRPr="00BF20CF">
        <w:rPr>
          <w:rFonts w:ascii="Arial" w:hAnsi="Arial" w:cs="Arial"/>
          <w:lang w:val="en-CA"/>
        </w:rPr>
        <w:t>Clearspring</w:t>
      </w:r>
      <w:proofErr w:type="spellEnd"/>
      <w:r w:rsidRPr="00BF20CF">
        <w:rPr>
          <w:rFonts w:ascii="Arial" w:hAnsi="Arial" w:cs="Arial"/>
          <w:lang w:val="en-CA"/>
        </w:rPr>
        <w:t xml:space="preserve"> test in its analyses for the SAIFI and CAIDI reliability models?</w:t>
      </w:r>
    </w:p>
    <w:p w14:paraId="7CE930BE" w14:textId="77777777" w:rsidR="00123CD1" w:rsidRPr="00BF20CF" w:rsidRDefault="00123CD1" w:rsidP="00123CD1">
      <w:pPr>
        <w:autoSpaceDE w:val="0"/>
        <w:autoSpaceDN w:val="0"/>
        <w:adjustRightInd w:val="0"/>
        <w:spacing w:before="240" w:after="120" w:line="276" w:lineRule="auto"/>
        <w:ind w:left="720"/>
        <w:contextualSpacing/>
        <w:rPr>
          <w:rFonts w:ascii="Arial" w:hAnsi="Arial" w:cs="Arial"/>
          <w:lang w:val="en-CA"/>
        </w:rPr>
      </w:pPr>
    </w:p>
    <w:p w14:paraId="0D31C4B9" w14:textId="28E3F0C8" w:rsidR="007509C7" w:rsidRPr="00BF20CF" w:rsidRDefault="007509C7" w:rsidP="00876E97">
      <w:pPr>
        <w:numPr>
          <w:ilvl w:val="0"/>
          <w:numId w:val="55"/>
        </w:numPr>
        <w:autoSpaceDE w:val="0"/>
        <w:autoSpaceDN w:val="0"/>
        <w:adjustRightInd w:val="0"/>
        <w:spacing w:before="240" w:after="120" w:line="276" w:lineRule="auto"/>
        <w:contextualSpacing/>
        <w:rPr>
          <w:rFonts w:ascii="Arial" w:hAnsi="Arial" w:cs="Arial"/>
          <w:lang w:val="en-CA"/>
        </w:rPr>
      </w:pPr>
      <w:proofErr w:type="spellStart"/>
      <w:r w:rsidRPr="00BF20CF">
        <w:rPr>
          <w:rFonts w:ascii="Arial" w:hAnsi="Arial" w:cs="Arial"/>
          <w:lang w:val="en-CA"/>
        </w:rPr>
        <w:t>Clearspring</w:t>
      </w:r>
      <w:proofErr w:type="spellEnd"/>
      <w:r w:rsidRPr="00BF20CF">
        <w:rPr>
          <w:rFonts w:ascii="Arial" w:hAnsi="Arial" w:cs="Arial"/>
          <w:lang w:val="en-CA"/>
        </w:rPr>
        <w:t xml:space="preserve"> does not include any factors related to system age, unitized OM&amp;A expenditures, or other utility characteristics that are under the firm’s control, other than %</w:t>
      </w:r>
      <w:proofErr w:type="gramStart"/>
      <w:r w:rsidRPr="00BF20CF">
        <w:rPr>
          <w:rFonts w:ascii="Arial" w:hAnsi="Arial" w:cs="Arial"/>
          <w:lang w:val="en-CA"/>
        </w:rPr>
        <w:t>Underground</w:t>
      </w:r>
      <w:proofErr w:type="gramEnd"/>
      <w:r w:rsidRPr="00BF20CF">
        <w:rPr>
          <w:rFonts w:ascii="Arial" w:hAnsi="Arial" w:cs="Arial"/>
          <w:lang w:val="en-CA"/>
        </w:rPr>
        <w:t xml:space="preserve"> and %AMI in its reliability models. Please explain why </w:t>
      </w:r>
      <w:proofErr w:type="spellStart"/>
      <w:r w:rsidRPr="00BF20CF">
        <w:rPr>
          <w:rFonts w:ascii="Arial" w:hAnsi="Arial" w:cs="Arial"/>
          <w:lang w:val="en-CA"/>
        </w:rPr>
        <w:t>Clearspring</w:t>
      </w:r>
      <w:proofErr w:type="spellEnd"/>
      <w:r w:rsidRPr="00BF20CF">
        <w:rPr>
          <w:rFonts w:ascii="Arial" w:hAnsi="Arial" w:cs="Arial"/>
          <w:lang w:val="en-CA"/>
        </w:rPr>
        <w:t xml:space="preserve"> does not consider operational and system characteristics that are under the control of utility’s management, as explanatory variables for differences of utilities’ reliability performance over time and across utilities.</w:t>
      </w:r>
    </w:p>
    <w:p w14:paraId="4B98E1C0" w14:textId="789C43D5" w:rsidR="00123CD1" w:rsidRPr="00BF20CF" w:rsidRDefault="00123CD1" w:rsidP="00123CD1">
      <w:pPr>
        <w:autoSpaceDE w:val="0"/>
        <w:autoSpaceDN w:val="0"/>
        <w:adjustRightInd w:val="0"/>
        <w:spacing w:before="240" w:after="120" w:line="276" w:lineRule="auto"/>
        <w:ind w:left="720"/>
        <w:contextualSpacing/>
        <w:rPr>
          <w:rFonts w:ascii="Arial" w:hAnsi="Arial" w:cs="Arial"/>
          <w:lang w:val="en-CA"/>
        </w:rPr>
      </w:pPr>
    </w:p>
    <w:p w14:paraId="4954B0DE" w14:textId="1185D94B" w:rsidR="007509C7" w:rsidRPr="00BF20CF" w:rsidRDefault="007509C7" w:rsidP="00876E97">
      <w:pPr>
        <w:numPr>
          <w:ilvl w:val="0"/>
          <w:numId w:val="5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Please describe </w:t>
      </w:r>
      <w:proofErr w:type="spellStart"/>
      <w:r w:rsidRPr="00BF20CF">
        <w:rPr>
          <w:rFonts w:ascii="Arial" w:hAnsi="Arial" w:cs="Arial"/>
          <w:lang w:val="en-CA"/>
        </w:rPr>
        <w:t>Clearspring’s</w:t>
      </w:r>
      <w:proofErr w:type="spellEnd"/>
      <w:r w:rsidRPr="00BF20CF">
        <w:rPr>
          <w:rFonts w:ascii="Arial" w:hAnsi="Arial" w:cs="Arial"/>
          <w:lang w:val="en-CA"/>
        </w:rPr>
        <w:t xml:space="preserve"> methodology for testing various model specifications and variables for its reliability modelling. How has </w:t>
      </w:r>
      <w:proofErr w:type="spellStart"/>
      <w:r w:rsidRPr="00BF20CF">
        <w:rPr>
          <w:rFonts w:ascii="Arial" w:hAnsi="Arial" w:cs="Arial"/>
          <w:lang w:val="en-CA"/>
        </w:rPr>
        <w:t>Clearspring</w:t>
      </w:r>
      <w:proofErr w:type="spellEnd"/>
      <w:r w:rsidRPr="00BF20CF">
        <w:rPr>
          <w:rFonts w:ascii="Arial" w:hAnsi="Arial" w:cs="Arial"/>
          <w:lang w:val="en-CA"/>
        </w:rPr>
        <w:t xml:space="preserve"> satisfied itself that the variables included in its final models are the best clear drivers of SAIFI and CAIDI performance, and, both individually and in combination, proxy other business condition and utility </w:t>
      </w:r>
      <w:r w:rsidRPr="00BF20CF">
        <w:rPr>
          <w:rFonts w:ascii="Arial" w:hAnsi="Arial" w:cs="Arial"/>
          <w:lang w:val="en-CA"/>
        </w:rPr>
        <w:lastRenderedPageBreak/>
        <w:t>operational and system characteristics (of the sampled utilities) that the included variables may be correlated with?</w:t>
      </w:r>
    </w:p>
    <w:p w14:paraId="56EDD262" w14:textId="313DF0A1" w:rsidR="00123CD1" w:rsidRPr="00BF20CF" w:rsidRDefault="00123CD1" w:rsidP="00123CD1">
      <w:pPr>
        <w:autoSpaceDE w:val="0"/>
        <w:autoSpaceDN w:val="0"/>
        <w:adjustRightInd w:val="0"/>
        <w:spacing w:before="240" w:after="120" w:line="276" w:lineRule="auto"/>
        <w:ind w:left="720"/>
        <w:contextualSpacing/>
        <w:rPr>
          <w:rFonts w:ascii="Arial" w:hAnsi="Arial" w:cs="Arial"/>
          <w:lang w:val="en-CA"/>
        </w:rPr>
      </w:pPr>
    </w:p>
    <w:p w14:paraId="51120F50" w14:textId="626F5925" w:rsidR="007509C7" w:rsidRPr="00BF20CF" w:rsidRDefault="001C211A" w:rsidP="00876E97">
      <w:pPr>
        <w:numPr>
          <w:ilvl w:val="0"/>
          <w:numId w:val="5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For the SAIFI model, %</w:t>
      </w:r>
      <w:proofErr w:type="gramStart"/>
      <w:r w:rsidR="007509C7" w:rsidRPr="00BF20CF">
        <w:rPr>
          <w:rFonts w:ascii="Arial" w:hAnsi="Arial" w:cs="Arial"/>
          <w:lang w:val="en-CA"/>
        </w:rPr>
        <w:t>Underground</w:t>
      </w:r>
      <w:proofErr w:type="gramEnd"/>
      <w:r w:rsidR="007509C7" w:rsidRPr="00BF20CF">
        <w:rPr>
          <w:rFonts w:ascii="Arial" w:hAnsi="Arial" w:cs="Arial"/>
          <w:lang w:val="en-CA"/>
        </w:rPr>
        <w:t xml:space="preserve"> has a positive and statistically significant coefficient estimate. </w:t>
      </w:r>
      <w:r w:rsidR="007509C7" w:rsidRPr="00BF20CF">
        <w:rPr>
          <w:rFonts w:ascii="Arial" w:hAnsi="Arial" w:cs="Arial"/>
          <w:i/>
          <w:lang w:val="en-CA"/>
        </w:rPr>
        <w:t>Ceteris paribus</w:t>
      </w:r>
      <w:r w:rsidR="007509C7" w:rsidRPr="00BF20CF">
        <w:rPr>
          <w:rFonts w:ascii="Arial" w:hAnsi="Arial" w:cs="Arial"/>
          <w:lang w:val="en-CA"/>
        </w:rPr>
        <w:t>, this would imply that the average frequency of sustained service interruptions (i.e., of 1 minute or more) increases (i.e., poorer reliability performance) with more undergrounding. This would seem counter-intuitive, since one of the reasons for undergrounding, which is more expensive to install and replace, is to improve reliability by reducing tree, animal, and human contact, and protect the infrastructure from many weather-related factors. Please explain the rationale for the positive % Undergrounding coefficient.</w:t>
      </w:r>
    </w:p>
    <w:p w14:paraId="64BBC01F" w14:textId="22AEBC06" w:rsidR="00123CD1" w:rsidRPr="00BF20CF" w:rsidRDefault="00123CD1" w:rsidP="00123CD1">
      <w:pPr>
        <w:autoSpaceDE w:val="0"/>
        <w:autoSpaceDN w:val="0"/>
        <w:adjustRightInd w:val="0"/>
        <w:spacing w:before="240" w:after="120" w:line="276" w:lineRule="auto"/>
        <w:ind w:left="720"/>
        <w:contextualSpacing/>
        <w:rPr>
          <w:rFonts w:ascii="Arial" w:hAnsi="Arial" w:cs="Arial"/>
          <w:lang w:val="en-CA"/>
        </w:rPr>
      </w:pPr>
    </w:p>
    <w:p w14:paraId="3CE241A9" w14:textId="77777777" w:rsidR="007509C7" w:rsidRPr="00BF20CF" w:rsidRDefault="007509C7" w:rsidP="00876E97">
      <w:pPr>
        <w:numPr>
          <w:ilvl w:val="0"/>
          <w:numId w:val="5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On pages 5-6, and again on pages 30 and 32, </w:t>
      </w:r>
      <w:proofErr w:type="spellStart"/>
      <w:r w:rsidRPr="00BF20CF">
        <w:rPr>
          <w:rFonts w:ascii="Arial" w:hAnsi="Arial" w:cs="Arial"/>
          <w:lang w:val="en-CA"/>
        </w:rPr>
        <w:t>Clearspring</w:t>
      </w:r>
      <w:proofErr w:type="spellEnd"/>
      <w:r w:rsidRPr="00BF20CF">
        <w:rPr>
          <w:rFonts w:ascii="Arial" w:hAnsi="Arial" w:cs="Arial"/>
          <w:lang w:val="en-CA"/>
        </w:rPr>
        <w:t xml:space="preserve"> summarizes the results of the reliability benchmarking, stating the Hydro Ottawa is 11.3% above the benchmark (i.e., poorer performance) for SAIFI but 13.7% below the benchmark (i.e., superior performance) for CAIDI, and that both results are converging towards the benchmark.</w:t>
      </w:r>
    </w:p>
    <w:p w14:paraId="4EFDC2D1" w14:textId="77777777" w:rsidR="007509C7" w:rsidRPr="00BF20CF" w:rsidRDefault="007509C7" w:rsidP="00876E97">
      <w:pPr>
        <w:numPr>
          <w:ilvl w:val="1"/>
          <w:numId w:val="5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Does </w:t>
      </w:r>
      <w:proofErr w:type="spellStart"/>
      <w:r w:rsidRPr="00BF20CF">
        <w:rPr>
          <w:rFonts w:ascii="Arial" w:hAnsi="Arial" w:cs="Arial"/>
          <w:lang w:val="en-CA"/>
        </w:rPr>
        <w:t>Clearspring</w:t>
      </w:r>
      <w:proofErr w:type="spellEnd"/>
      <w:r w:rsidRPr="00BF20CF">
        <w:rPr>
          <w:rFonts w:ascii="Arial" w:hAnsi="Arial" w:cs="Arial"/>
          <w:lang w:val="en-CA"/>
        </w:rPr>
        <w:t xml:space="preserve"> have any other conclusions or recommendations based on its reliability model analysis? If so, please provide.</w:t>
      </w:r>
    </w:p>
    <w:p w14:paraId="78279E45" w14:textId="77777777" w:rsidR="007509C7" w:rsidRPr="00BF20CF" w:rsidRDefault="007509C7" w:rsidP="00876E97">
      <w:pPr>
        <w:numPr>
          <w:ilvl w:val="1"/>
          <w:numId w:val="5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Did </w:t>
      </w:r>
      <w:proofErr w:type="spellStart"/>
      <w:r w:rsidRPr="00BF20CF">
        <w:rPr>
          <w:rFonts w:ascii="Arial" w:hAnsi="Arial" w:cs="Arial"/>
          <w:lang w:val="en-CA"/>
        </w:rPr>
        <w:t>Clearspring</w:t>
      </w:r>
      <w:proofErr w:type="spellEnd"/>
      <w:r w:rsidRPr="00BF20CF">
        <w:rPr>
          <w:rFonts w:ascii="Arial" w:hAnsi="Arial" w:cs="Arial"/>
          <w:lang w:val="en-CA"/>
        </w:rPr>
        <w:t xml:space="preserve"> use the results of the reliability modelling in its conclusions and recommendations for Hydro Ottawa’s Custom IR proposal including the recommended stretch factor? If so, please explain.</w:t>
      </w:r>
    </w:p>
    <w:p w14:paraId="22EFAECF" w14:textId="77777777" w:rsidR="007509C7" w:rsidRPr="00BF20CF" w:rsidRDefault="007509C7" w:rsidP="00876E97">
      <w:pPr>
        <w:numPr>
          <w:ilvl w:val="1"/>
          <w:numId w:val="57"/>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How has Hydro Ottawa taken account of the results of </w:t>
      </w:r>
      <w:proofErr w:type="spellStart"/>
      <w:r w:rsidRPr="00BF20CF">
        <w:rPr>
          <w:rFonts w:ascii="Arial" w:hAnsi="Arial" w:cs="Arial"/>
          <w:lang w:val="en-CA"/>
        </w:rPr>
        <w:t>Clearspring’s</w:t>
      </w:r>
      <w:proofErr w:type="spellEnd"/>
      <w:r w:rsidRPr="00BF20CF">
        <w:rPr>
          <w:rFonts w:ascii="Arial" w:hAnsi="Arial" w:cs="Arial"/>
          <w:lang w:val="en-CA"/>
        </w:rPr>
        <w:t xml:space="preserve"> reliability modelling into:</w:t>
      </w:r>
    </w:p>
    <w:p w14:paraId="60120AD9" w14:textId="77777777" w:rsidR="007509C7" w:rsidRPr="00BF20CF" w:rsidRDefault="007509C7" w:rsidP="00876E97">
      <w:pPr>
        <w:numPr>
          <w:ilvl w:val="2"/>
          <w:numId w:val="58"/>
        </w:numPr>
        <w:autoSpaceDE w:val="0"/>
        <w:autoSpaceDN w:val="0"/>
        <w:adjustRightInd w:val="0"/>
        <w:spacing w:before="240" w:after="120" w:line="276" w:lineRule="auto"/>
        <w:ind w:left="2340" w:hanging="630"/>
        <w:contextualSpacing/>
        <w:rPr>
          <w:rFonts w:ascii="Arial" w:hAnsi="Arial" w:cs="Arial"/>
          <w:lang w:val="en-CA"/>
        </w:rPr>
      </w:pPr>
      <w:r w:rsidRPr="00BF20CF">
        <w:rPr>
          <w:rFonts w:ascii="Arial" w:hAnsi="Arial" w:cs="Arial"/>
          <w:lang w:val="en-CA"/>
        </w:rPr>
        <w:t>Hydro Ottawa’s operational and capital planning;</w:t>
      </w:r>
    </w:p>
    <w:p w14:paraId="2F3703E5" w14:textId="77777777" w:rsidR="007509C7" w:rsidRPr="00BF20CF" w:rsidRDefault="007509C7" w:rsidP="00876E97">
      <w:pPr>
        <w:numPr>
          <w:ilvl w:val="2"/>
          <w:numId w:val="58"/>
        </w:numPr>
        <w:autoSpaceDE w:val="0"/>
        <w:autoSpaceDN w:val="0"/>
        <w:adjustRightInd w:val="0"/>
        <w:spacing w:before="240" w:after="120" w:line="276" w:lineRule="auto"/>
        <w:ind w:left="2340" w:hanging="630"/>
        <w:contextualSpacing/>
        <w:rPr>
          <w:rFonts w:ascii="Arial" w:hAnsi="Arial" w:cs="Arial"/>
          <w:lang w:val="en-CA"/>
        </w:rPr>
      </w:pPr>
      <w:r w:rsidRPr="00BF20CF">
        <w:rPr>
          <w:rFonts w:ascii="Arial" w:hAnsi="Arial" w:cs="Arial"/>
          <w:lang w:val="en-CA"/>
        </w:rPr>
        <w:t>Hydro Ottawa’s Custom IR plan, and capital and operational plans and budgets as proposed in this Application?</w:t>
      </w:r>
    </w:p>
    <w:p w14:paraId="5B00D56F" w14:textId="77777777" w:rsidR="0039317E" w:rsidRPr="00BF20CF" w:rsidRDefault="0039317E" w:rsidP="0039317E">
      <w:pPr>
        <w:spacing w:line="276" w:lineRule="auto"/>
        <w:rPr>
          <w:rFonts w:ascii="Arial" w:eastAsia="Calibri" w:hAnsi="Arial" w:cs="Arial"/>
          <w:b/>
        </w:rPr>
      </w:pPr>
    </w:p>
    <w:p w14:paraId="6C9D3298" w14:textId="19D989D3" w:rsidR="007509C7" w:rsidRPr="00BF20CF" w:rsidRDefault="007509C7" w:rsidP="0039317E">
      <w:pPr>
        <w:spacing w:line="276" w:lineRule="auto"/>
        <w:rPr>
          <w:rFonts w:ascii="Arial" w:eastAsia="Calibri" w:hAnsi="Arial" w:cs="Arial"/>
          <w:b/>
        </w:rPr>
      </w:pPr>
      <w:r w:rsidRPr="00BF20CF">
        <w:rPr>
          <w:rFonts w:ascii="Arial" w:eastAsia="Calibri" w:hAnsi="Arial" w:cs="Arial"/>
          <w:b/>
        </w:rPr>
        <w:t>1-Staff-</w:t>
      </w:r>
      <w:r w:rsidR="00B2431E" w:rsidRPr="00BF20CF">
        <w:rPr>
          <w:rFonts w:ascii="Arial" w:eastAsia="Calibri" w:hAnsi="Arial" w:cs="Arial"/>
          <w:b/>
        </w:rPr>
        <w:t>16</w:t>
      </w:r>
    </w:p>
    <w:p w14:paraId="65AAD938" w14:textId="77777777" w:rsidR="007509C7" w:rsidRPr="00BF20CF" w:rsidRDefault="007509C7" w:rsidP="0039317E">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Exhibit 1/Tab 1/Schedule 12/Attachment A/pp. 10</w:t>
      </w:r>
    </w:p>
    <w:p w14:paraId="665C17AD"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76053BFC" w14:textId="77777777" w:rsidR="007509C7" w:rsidRPr="00BF20CF" w:rsidRDefault="007509C7" w:rsidP="003041BF">
      <w:pPr>
        <w:spacing w:before="240" w:after="120" w:line="276" w:lineRule="auto"/>
        <w:rPr>
          <w:rFonts w:ascii="Arial" w:eastAsia="Calibri" w:hAnsi="Arial" w:cs="Arial"/>
        </w:rPr>
      </w:pPr>
      <w:proofErr w:type="spellStart"/>
      <w:r w:rsidRPr="00BF20CF">
        <w:rPr>
          <w:rFonts w:ascii="Arial" w:eastAsia="Calibri" w:hAnsi="Arial" w:cs="Arial"/>
        </w:rPr>
        <w:t>Clearspring</w:t>
      </w:r>
      <w:proofErr w:type="spellEnd"/>
      <w:r w:rsidRPr="00BF20CF">
        <w:rPr>
          <w:rFonts w:ascii="Arial" w:eastAsia="Calibri" w:hAnsi="Arial" w:cs="Arial"/>
        </w:rPr>
        <w:t xml:space="preserve"> notes on the cover page that its report was completed on September 30, 2019, with some updating in November 2019. On p. 10, </w:t>
      </w:r>
      <w:proofErr w:type="spellStart"/>
      <w:r w:rsidRPr="00BF20CF">
        <w:rPr>
          <w:rFonts w:ascii="Arial" w:eastAsia="Calibri" w:hAnsi="Arial" w:cs="Arial"/>
        </w:rPr>
        <w:t>Clearspring</w:t>
      </w:r>
      <w:proofErr w:type="spellEnd"/>
      <w:r w:rsidRPr="00BF20CF">
        <w:rPr>
          <w:rFonts w:ascii="Arial" w:eastAsia="Calibri" w:hAnsi="Arial" w:cs="Arial"/>
        </w:rPr>
        <w:t xml:space="preserve"> notes that the data range for the 81 U.S. utilities is 2002-2017 and that for the six other </w:t>
      </w:r>
      <w:r w:rsidRPr="00BF20CF">
        <w:rPr>
          <w:rFonts w:ascii="Arial" w:eastAsia="Calibri" w:hAnsi="Arial" w:cs="Arial"/>
        </w:rPr>
        <w:lastRenderedPageBreak/>
        <w:t>Ontario distributors is 2006-2017. For Hydro Ottawa, 2018 actuals and 2019-2025 forecasts are also used.</w:t>
      </w:r>
    </w:p>
    <w:p w14:paraId="41DB2137" w14:textId="608C0D84"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Question</w:t>
      </w:r>
      <w:r w:rsidR="0039317E" w:rsidRPr="00BF20CF">
        <w:rPr>
          <w:rFonts w:ascii="Arial" w:eastAsia="Calibri" w:hAnsi="Arial" w:cs="Arial"/>
        </w:rPr>
        <w:t>(</w:t>
      </w:r>
      <w:r w:rsidRPr="00BF20CF">
        <w:rPr>
          <w:rFonts w:ascii="Arial" w:eastAsia="Calibri" w:hAnsi="Arial" w:cs="Arial"/>
        </w:rPr>
        <w:t>s</w:t>
      </w:r>
      <w:r w:rsidR="0039317E" w:rsidRPr="00BF20CF">
        <w:rPr>
          <w:rFonts w:ascii="Arial" w:eastAsia="Calibri" w:hAnsi="Arial" w:cs="Arial"/>
        </w:rPr>
        <w:t>)</w:t>
      </w:r>
      <w:r w:rsidRPr="00BF20CF">
        <w:rPr>
          <w:rFonts w:ascii="Arial" w:eastAsia="Calibri" w:hAnsi="Arial" w:cs="Arial"/>
        </w:rPr>
        <w:t>:</w:t>
      </w:r>
    </w:p>
    <w:p w14:paraId="0E961FC3" w14:textId="4E367BFC" w:rsidR="007509C7" w:rsidRPr="00BF20CF" w:rsidRDefault="007509C7" w:rsidP="00876E97">
      <w:pPr>
        <w:numPr>
          <w:ilvl w:val="0"/>
          <w:numId w:val="6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Please explain why </w:t>
      </w:r>
      <w:proofErr w:type="spellStart"/>
      <w:r w:rsidRPr="00BF20CF">
        <w:rPr>
          <w:rFonts w:ascii="Arial" w:hAnsi="Arial" w:cs="Arial"/>
          <w:lang w:val="en-CA"/>
        </w:rPr>
        <w:t>Clearspring</w:t>
      </w:r>
      <w:proofErr w:type="spellEnd"/>
      <w:r w:rsidRPr="00BF20CF">
        <w:rPr>
          <w:rFonts w:ascii="Arial" w:hAnsi="Arial" w:cs="Arial"/>
          <w:lang w:val="en-CA"/>
        </w:rPr>
        <w:t xml:space="preserve"> has not updated the dataset with 2018 actuals for U.S. and Ontario distributors other than Hydro Ottawa.</w:t>
      </w:r>
    </w:p>
    <w:p w14:paraId="1B3F4B6A" w14:textId="77777777" w:rsidR="00123CD1" w:rsidRPr="00BF20CF" w:rsidRDefault="00123CD1" w:rsidP="00123CD1">
      <w:pPr>
        <w:autoSpaceDE w:val="0"/>
        <w:autoSpaceDN w:val="0"/>
        <w:adjustRightInd w:val="0"/>
        <w:spacing w:before="240" w:after="120" w:line="276" w:lineRule="auto"/>
        <w:ind w:left="720"/>
        <w:contextualSpacing/>
        <w:rPr>
          <w:rFonts w:ascii="Arial" w:hAnsi="Arial" w:cs="Arial"/>
          <w:lang w:val="en-CA"/>
        </w:rPr>
      </w:pPr>
    </w:p>
    <w:p w14:paraId="304D3B15" w14:textId="79CCD087" w:rsidR="007509C7" w:rsidRPr="00BF20CF" w:rsidRDefault="007509C7" w:rsidP="00876E97">
      <w:pPr>
        <w:numPr>
          <w:ilvl w:val="0"/>
          <w:numId w:val="6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Based on the utilities sampled, and certain variables such as Congested Urban, % Forestation, etc., it appears that the data set and total cost model is an update of PSE’s evidence as filed in and considered in the Toronto Hydro 2020-2024 Custom IR application in 2019 (EB-2018-0165). Please confirm this. In the alternative, please explain the differences.</w:t>
      </w:r>
    </w:p>
    <w:p w14:paraId="4168C39A" w14:textId="1CB19BCE" w:rsidR="00123CD1" w:rsidRPr="00BF20CF" w:rsidRDefault="00123CD1" w:rsidP="00123CD1">
      <w:pPr>
        <w:autoSpaceDE w:val="0"/>
        <w:autoSpaceDN w:val="0"/>
        <w:adjustRightInd w:val="0"/>
        <w:spacing w:before="240" w:after="120" w:line="276" w:lineRule="auto"/>
        <w:ind w:left="720"/>
        <w:contextualSpacing/>
        <w:rPr>
          <w:rFonts w:ascii="Arial" w:hAnsi="Arial" w:cs="Arial"/>
          <w:lang w:val="en-CA"/>
        </w:rPr>
      </w:pPr>
    </w:p>
    <w:p w14:paraId="1DE053CC" w14:textId="77777777" w:rsidR="007509C7" w:rsidRPr="00BF20CF" w:rsidRDefault="007509C7" w:rsidP="00876E97">
      <w:pPr>
        <w:numPr>
          <w:ilvl w:val="0"/>
          <w:numId w:val="6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With the exception of utility inclusions and exclusion, for which information is requested in other interrogatories, please document any changes in data, variable definitions and variable construction that </w:t>
      </w:r>
      <w:proofErr w:type="spellStart"/>
      <w:r w:rsidRPr="00BF20CF">
        <w:rPr>
          <w:rFonts w:ascii="Arial" w:hAnsi="Arial" w:cs="Arial"/>
          <w:lang w:val="en-CA"/>
        </w:rPr>
        <w:t>Clearspring</w:t>
      </w:r>
      <w:proofErr w:type="spellEnd"/>
      <w:r w:rsidRPr="00BF20CF">
        <w:rPr>
          <w:rFonts w:ascii="Arial" w:hAnsi="Arial" w:cs="Arial"/>
          <w:lang w:val="en-CA"/>
        </w:rPr>
        <w:t xml:space="preserve"> has made from the data set used in its total cost benchmarking from that used in the recent Toronto Hydro Custom IR application.</w:t>
      </w:r>
    </w:p>
    <w:p w14:paraId="4AF14E4B" w14:textId="77777777" w:rsidR="0039317E" w:rsidRPr="00BF20CF" w:rsidRDefault="0039317E" w:rsidP="0039317E">
      <w:pPr>
        <w:spacing w:line="276" w:lineRule="auto"/>
        <w:rPr>
          <w:rFonts w:ascii="Arial" w:eastAsia="Calibri" w:hAnsi="Arial" w:cs="Arial"/>
          <w:b/>
        </w:rPr>
      </w:pPr>
    </w:p>
    <w:p w14:paraId="41FB714E" w14:textId="49892CB5" w:rsidR="007509C7" w:rsidRPr="00BF20CF" w:rsidRDefault="007509C7" w:rsidP="0039317E">
      <w:pPr>
        <w:spacing w:line="276" w:lineRule="auto"/>
        <w:rPr>
          <w:rFonts w:ascii="Arial" w:eastAsia="Calibri" w:hAnsi="Arial" w:cs="Arial"/>
          <w:b/>
        </w:rPr>
      </w:pPr>
      <w:r w:rsidRPr="00BF20CF">
        <w:rPr>
          <w:rFonts w:ascii="Arial" w:eastAsia="Calibri" w:hAnsi="Arial" w:cs="Arial"/>
          <w:b/>
        </w:rPr>
        <w:t>1-Staff-</w:t>
      </w:r>
      <w:r w:rsidR="00B2431E" w:rsidRPr="00BF20CF">
        <w:rPr>
          <w:rFonts w:ascii="Arial" w:eastAsia="Calibri" w:hAnsi="Arial" w:cs="Arial"/>
          <w:b/>
        </w:rPr>
        <w:t>17</w:t>
      </w:r>
    </w:p>
    <w:p w14:paraId="6636A004" w14:textId="77777777" w:rsidR="007509C7" w:rsidRPr="00BF20CF" w:rsidRDefault="007509C7" w:rsidP="0039317E">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 xml:space="preserve">Exhibit 1/Tab 1/Schedule 12/Attachment </w:t>
      </w:r>
      <w:proofErr w:type="gramStart"/>
      <w:r w:rsidRPr="00BF20CF">
        <w:rPr>
          <w:rFonts w:ascii="Arial" w:eastAsia="Calibri" w:hAnsi="Arial" w:cs="Arial"/>
          <w:b/>
        </w:rPr>
        <w:t>A</w:t>
      </w:r>
      <w:proofErr w:type="gramEnd"/>
      <w:r w:rsidRPr="00BF20CF">
        <w:rPr>
          <w:rFonts w:ascii="Arial" w:eastAsia="Calibri" w:hAnsi="Arial" w:cs="Arial"/>
          <w:b/>
        </w:rPr>
        <w:br/>
      </w:r>
      <w:r w:rsidRPr="00BF20CF">
        <w:rPr>
          <w:rFonts w:ascii="Arial" w:eastAsia="Calibri" w:hAnsi="Arial" w:cs="Arial"/>
          <w:b/>
        </w:rPr>
        <w:tab/>
        <w:t>EB-2018-0165 Exhibit 1/Tab 4/Schedule 2</w:t>
      </w:r>
    </w:p>
    <w:p w14:paraId="58A59BC2"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369D4F68" w14:textId="70B04ED2"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OEB staff </w:t>
      </w:r>
      <w:r w:rsidR="00153541" w:rsidRPr="00BF20CF">
        <w:rPr>
          <w:rFonts w:ascii="Arial" w:eastAsia="Calibri" w:hAnsi="Arial" w:cs="Arial"/>
        </w:rPr>
        <w:t xml:space="preserve">has </w:t>
      </w:r>
      <w:r w:rsidR="0010102D" w:rsidRPr="00BF20CF">
        <w:rPr>
          <w:rFonts w:ascii="Arial" w:eastAsia="Calibri" w:hAnsi="Arial" w:cs="Arial"/>
        </w:rPr>
        <w:t>prepared</w:t>
      </w:r>
      <w:r w:rsidRPr="00BF20CF">
        <w:rPr>
          <w:rFonts w:ascii="Arial" w:eastAsia="Calibri" w:hAnsi="Arial" w:cs="Arial"/>
        </w:rPr>
        <w:t xml:space="preserve"> Table </w:t>
      </w:r>
      <w:r w:rsidR="002669CC" w:rsidRPr="00BF20CF">
        <w:rPr>
          <w:rFonts w:ascii="Arial" w:eastAsia="Calibri" w:hAnsi="Arial" w:cs="Arial"/>
        </w:rPr>
        <w:t>1-Staff-17-1</w:t>
      </w:r>
      <w:r w:rsidRPr="00BF20CF">
        <w:rPr>
          <w:rFonts w:ascii="Arial" w:eastAsia="Calibri" w:hAnsi="Arial" w:cs="Arial"/>
        </w:rPr>
        <w:t>: Total Cost Model Estimates from PSE’s Total Cost Benchmarking and Reliability Benchmarking report filed in Toronto Hydro’s 2020-2024 Custom IR application</w:t>
      </w:r>
      <w:r w:rsidR="0010102D" w:rsidRPr="00BF20CF">
        <w:rPr>
          <w:rFonts w:ascii="Arial" w:eastAsia="Calibri" w:hAnsi="Arial" w:cs="Arial"/>
        </w:rPr>
        <w:t xml:space="preserve"> below</w:t>
      </w:r>
      <w:r w:rsidRPr="00BF20CF">
        <w:rPr>
          <w:rFonts w:ascii="Arial" w:eastAsia="Calibri" w:hAnsi="Arial" w:cs="Arial"/>
        </w:rPr>
        <w:t>.</w:t>
      </w:r>
      <w:r w:rsidRPr="00BF20CF">
        <w:rPr>
          <w:rFonts w:ascii="Arial" w:eastAsia="Calibri" w:hAnsi="Arial" w:cs="Arial"/>
          <w:vertAlign w:val="superscript"/>
        </w:rPr>
        <w:footnoteReference w:id="12"/>
      </w:r>
      <w:r w:rsidRPr="00BF20CF">
        <w:rPr>
          <w:rFonts w:ascii="Arial" w:eastAsia="Calibri" w:hAnsi="Arial" w:cs="Arial"/>
        </w:rPr>
        <w:t xml:space="preserve"> The counterpart is Table 6 on page 23 of </w:t>
      </w:r>
      <w:proofErr w:type="spellStart"/>
      <w:r w:rsidRPr="00BF20CF">
        <w:rPr>
          <w:rFonts w:ascii="Arial" w:eastAsia="Calibri" w:hAnsi="Arial" w:cs="Arial"/>
        </w:rPr>
        <w:t>Clearspring’s</w:t>
      </w:r>
      <w:proofErr w:type="spellEnd"/>
      <w:r w:rsidRPr="00BF20CF">
        <w:rPr>
          <w:rFonts w:ascii="Arial" w:eastAsia="Calibri" w:hAnsi="Arial" w:cs="Arial"/>
        </w:rPr>
        <w:t xml:space="preserve"> report filed in Attachment </w:t>
      </w:r>
      <w:proofErr w:type="gramStart"/>
      <w:r w:rsidRPr="00BF20CF">
        <w:rPr>
          <w:rFonts w:ascii="Arial" w:eastAsia="Calibri" w:hAnsi="Arial" w:cs="Arial"/>
        </w:rPr>
        <w:t>A</w:t>
      </w:r>
      <w:proofErr w:type="gramEnd"/>
      <w:r w:rsidRPr="00BF20CF">
        <w:rPr>
          <w:rFonts w:ascii="Arial" w:eastAsia="Calibri" w:hAnsi="Arial" w:cs="Arial"/>
        </w:rPr>
        <w:t xml:space="preserve"> of Exhibit 1/Tab 1/Schedule 12.</w:t>
      </w:r>
      <w:r w:rsidR="0010102D" w:rsidRPr="00BF20CF">
        <w:rPr>
          <w:rFonts w:ascii="Arial" w:eastAsia="Calibri" w:hAnsi="Arial" w:cs="Arial"/>
        </w:rPr>
        <w:t xml:space="preserve"> The </w:t>
      </w:r>
      <w:r w:rsidRPr="00BF20CF">
        <w:rPr>
          <w:rFonts w:ascii="Arial" w:eastAsia="Calibri" w:hAnsi="Arial" w:cs="Arial"/>
        </w:rPr>
        <w:t>table compar</w:t>
      </w:r>
      <w:r w:rsidR="0010102D" w:rsidRPr="00BF20CF">
        <w:rPr>
          <w:rFonts w:ascii="Arial" w:eastAsia="Calibri" w:hAnsi="Arial" w:cs="Arial"/>
        </w:rPr>
        <w:t>es</w:t>
      </w:r>
      <w:r w:rsidRPr="00BF20CF">
        <w:rPr>
          <w:rFonts w:ascii="Arial" w:eastAsia="Calibri" w:hAnsi="Arial" w:cs="Arial"/>
        </w:rPr>
        <w:t xml:space="preserve"> the model specifications, coefficient estimates and </w:t>
      </w:r>
      <w:r w:rsidRPr="00BF20CF">
        <w:rPr>
          <w:rFonts w:eastAsia="Calibri"/>
          <w:i/>
        </w:rPr>
        <w:t>t</w:t>
      </w:r>
      <w:r w:rsidRPr="00BF20CF">
        <w:rPr>
          <w:rFonts w:ascii="Arial" w:eastAsia="Calibri" w:hAnsi="Arial" w:cs="Arial"/>
        </w:rPr>
        <w:t>-statistics</w:t>
      </w:r>
      <w:r w:rsidR="0010102D" w:rsidRPr="00BF20CF">
        <w:rPr>
          <w:rFonts w:ascii="Arial" w:eastAsia="Calibri" w:hAnsi="Arial" w:cs="Arial"/>
        </w:rPr>
        <w:t xml:space="preserve"> as filed in the two applications</w:t>
      </w:r>
      <w:r w:rsidRPr="00BF20CF">
        <w:rPr>
          <w:rFonts w:ascii="Arial" w:eastAsia="Calibri" w:hAnsi="Arial" w:cs="Arial"/>
        </w:rPr>
        <w:t>.</w:t>
      </w:r>
    </w:p>
    <w:p w14:paraId="611CF09A" w14:textId="77777777" w:rsidR="00123CD1" w:rsidRPr="00BF20CF" w:rsidRDefault="00123CD1" w:rsidP="003041BF">
      <w:pPr>
        <w:keepLines/>
        <w:spacing w:after="160" w:line="259" w:lineRule="auto"/>
        <w:jc w:val="center"/>
        <w:rPr>
          <w:rFonts w:ascii="Arial" w:eastAsia="Calibri" w:hAnsi="Arial" w:cs="Arial"/>
          <w:b/>
        </w:rPr>
      </w:pPr>
      <w:r w:rsidRPr="00BF20CF">
        <w:rPr>
          <w:rFonts w:ascii="Arial" w:eastAsia="Calibri" w:hAnsi="Arial" w:cs="Arial"/>
          <w:b/>
        </w:rPr>
        <w:br w:type="page"/>
      </w:r>
    </w:p>
    <w:p w14:paraId="4BFC1AFA" w14:textId="78A15A95" w:rsidR="007509C7" w:rsidRPr="00BF20CF" w:rsidRDefault="0039317E" w:rsidP="003041BF">
      <w:pPr>
        <w:keepLines/>
        <w:spacing w:after="160" w:line="259" w:lineRule="auto"/>
        <w:jc w:val="center"/>
        <w:rPr>
          <w:rFonts w:ascii="Arial" w:eastAsia="Calibri" w:hAnsi="Arial" w:cs="Arial"/>
          <w:b/>
        </w:rPr>
      </w:pPr>
      <w:r w:rsidRPr="00BF20CF">
        <w:rPr>
          <w:rFonts w:ascii="Arial" w:eastAsia="Calibri" w:hAnsi="Arial" w:cs="Arial"/>
          <w:b/>
        </w:rPr>
        <w:lastRenderedPageBreak/>
        <w:t>Table 1-Staff-</w:t>
      </w:r>
      <w:r w:rsidR="00B2431E" w:rsidRPr="00BF20CF">
        <w:rPr>
          <w:rFonts w:ascii="Arial" w:eastAsia="Calibri" w:hAnsi="Arial" w:cs="Arial"/>
          <w:b/>
        </w:rPr>
        <w:t>17</w:t>
      </w:r>
      <w:r w:rsidR="007509C7" w:rsidRPr="00BF20CF">
        <w:rPr>
          <w:rFonts w:ascii="Arial" w:eastAsia="Calibri" w:hAnsi="Arial" w:cs="Arial"/>
          <w:b/>
        </w:rPr>
        <w:t>-1</w:t>
      </w:r>
      <w:proofErr w:type="gramStart"/>
      <w:r w:rsidR="007509C7" w:rsidRPr="00BF20CF">
        <w:rPr>
          <w:rFonts w:ascii="Arial" w:eastAsia="Calibri" w:hAnsi="Arial" w:cs="Arial"/>
          <w:b/>
        </w:rPr>
        <w:t>:</w:t>
      </w:r>
      <w:proofErr w:type="gramEnd"/>
      <w:r w:rsidR="007509C7" w:rsidRPr="00BF20CF">
        <w:rPr>
          <w:rFonts w:ascii="Arial" w:eastAsia="Calibri" w:hAnsi="Arial" w:cs="Arial"/>
          <w:b/>
        </w:rPr>
        <w:br/>
        <w:t xml:space="preserve">Comparison of Toronto Hydro and Hydro Ottawa </w:t>
      </w:r>
      <w:r w:rsidR="007509C7" w:rsidRPr="00BF20CF">
        <w:rPr>
          <w:rFonts w:ascii="Arial" w:eastAsia="Calibri" w:hAnsi="Arial" w:cs="Arial"/>
          <w:b/>
        </w:rPr>
        <w:br/>
        <w:t>Total Cost Benchmarking Analyses</w:t>
      </w:r>
    </w:p>
    <w:tbl>
      <w:tblPr>
        <w:tblStyle w:val="TableGrid1"/>
        <w:tblW w:w="9445" w:type="dxa"/>
        <w:tblLook w:val="04A0" w:firstRow="1" w:lastRow="0" w:firstColumn="1" w:lastColumn="0" w:noHBand="0" w:noVBand="1"/>
      </w:tblPr>
      <w:tblGrid>
        <w:gridCol w:w="3055"/>
        <w:gridCol w:w="1710"/>
        <w:gridCol w:w="1530"/>
        <w:gridCol w:w="1710"/>
        <w:gridCol w:w="1440"/>
      </w:tblGrid>
      <w:tr w:rsidR="007509C7" w:rsidRPr="00BF20CF" w14:paraId="0264BBDF" w14:textId="77777777" w:rsidTr="003041BF">
        <w:tc>
          <w:tcPr>
            <w:tcW w:w="3055" w:type="dxa"/>
          </w:tcPr>
          <w:p w14:paraId="21A3CCA1" w14:textId="77777777" w:rsidR="007509C7" w:rsidRPr="00BF20CF" w:rsidRDefault="007509C7" w:rsidP="003041BF">
            <w:pPr>
              <w:keepLines/>
              <w:rPr>
                <w:rFonts w:ascii="Arial" w:hAnsi="Arial" w:cs="Arial"/>
                <w:b/>
                <w:sz w:val="20"/>
                <w:szCs w:val="20"/>
              </w:rPr>
            </w:pPr>
            <w:r w:rsidRPr="00BF20CF">
              <w:rPr>
                <w:rFonts w:ascii="Arial" w:hAnsi="Arial" w:cs="Arial"/>
                <w:b/>
                <w:sz w:val="20"/>
                <w:szCs w:val="20"/>
              </w:rPr>
              <w:t>Application</w:t>
            </w:r>
          </w:p>
        </w:tc>
        <w:tc>
          <w:tcPr>
            <w:tcW w:w="3240" w:type="dxa"/>
            <w:gridSpan w:val="2"/>
          </w:tcPr>
          <w:p w14:paraId="23EDEDDE" w14:textId="77777777" w:rsidR="007509C7" w:rsidRPr="00BF20CF" w:rsidRDefault="007509C7" w:rsidP="003041BF">
            <w:pPr>
              <w:keepLines/>
              <w:jc w:val="center"/>
              <w:rPr>
                <w:rFonts w:ascii="Arial" w:hAnsi="Arial" w:cs="Arial"/>
                <w:b/>
                <w:sz w:val="20"/>
                <w:szCs w:val="20"/>
              </w:rPr>
            </w:pPr>
            <w:r w:rsidRPr="00BF20CF">
              <w:rPr>
                <w:rFonts w:ascii="Arial" w:hAnsi="Arial" w:cs="Arial"/>
                <w:b/>
                <w:sz w:val="20"/>
                <w:szCs w:val="20"/>
              </w:rPr>
              <w:t>Toronto Hydro 2020-24 Custom IR</w:t>
            </w:r>
          </w:p>
        </w:tc>
        <w:tc>
          <w:tcPr>
            <w:tcW w:w="3150" w:type="dxa"/>
            <w:gridSpan w:val="2"/>
          </w:tcPr>
          <w:p w14:paraId="79CB2C05" w14:textId="77777777" w:rsidR="007509C7" w:rsidRPr="00BF20CF" w:rsidRDefault="007509C7" w:rsidP="003041BF">
            <w:pPr>
              <w:keepLines/>
              <w:jc w:val="center"/>
              <w:rPr>
                <w:rFonts w:ascii="Arial" w:hAnsi="Arial" w:cs="Arial"/>
                <w:b/>
                <w:sz w:val="20"/>
                <w:szCs w:val="20"/>
              </w:rPr>
            </w:pPr>
            <w:r w:rsidRPr="00BF20CF">
              <w:rPr>
                <w:rFonts w:ascii="Arial" w:hAnsi="Arial" w:cs="Arial"/>
                <w:b/>
                <w:sz w:val="20"/>
                <w:szCs w:val="20"/>
              </w:rPr>
              <w:t>Hydro Ottawa 2021-25 Custom IR</w:t>
            </w:r>
          </w:p>
        </w:tc>
      </w:tr>
      <w:tr w:rsidR="007509C7" w:rsidRPr="00BF20CF" w14:paraId="10D7CB6A" w14:textId="77777777" w:rsidTr="003041BF">
        <w:tc>
          <w:tcPr>
            <w:tcW w:w="3055" w:type="dxa"/>
          </w:tcPr>
          <w:p w14:paraId="6D881DD2" w14:textId="77777777" w:rsidR="007509C7" w:rsidRPr="00BF20CF" w:rsidRDefault="007509C7" w:rsidP="003041BF">
            <w:pPr>
              <w:keepLines/>
              <w:rPr>
                <w:rFonts w:ascii="Arial" w:hAnsi="Arial" w:cs="Arial"/>
                <w:b/>
                <w:sz w:val="20"/>
                <w:szCs w:val="20"/>
              </w:rPr>
            </w:pPr>
          </w:p>
        </w:tc>
        <w:tc>
          <w:tcPr>
            <w:tcW w:w="3240" w:type="dxa"/>
            <w:gridSpan w:val="2"/>
          </w:tcPr>
          <w:p w14:paraId="19ECE9E5" w14:textId="77777777" w:rsidR="007509C7" w:rsidRPr="00BF20CF" w:rsidRDefault="007509C7" w:rsidP="003041BF">
            <w:pPr>
              <w:keepLines/>
              <w:jc w:val="center"/>
              <w:rPr>
                <w:rFonts w:ascii="Arial" w:hAnsi="Arial" w:cs="Arial"/>
                <w:b/>
                <w:sz w:val="20"/>
                <w:szCs w:val="20"/>
              </w:rPr>
            </w:pPr>
            <w:r w:rsidRPr="00BF20CF">
              <w:rPr>
                <w:rFonts w:ascii="Arial" w:hAnsi="Arial" w:cs="Arial"/>
                <w:b/>
                <w:sz w:val="20"/>
                <w:szCs w:val="20"/>
              </w:rPr>
              <w:t>EB-2018-0165</w:t>
            </w:r>
          </w:p>
        </w:tc>
        <w:tc>
          <w:tcPr>
            <w:tcW w:w="3150" w:type="dxa"/>
            <w:gridSpan w:val="2"/>
          </w:tcPr>
          <w:p w14:paraId="30D5B043" w14:textId="77777777" w:rsidR="007509C7" w:rsidRPr="00BF20CF" w:rsidRDefault="007509C7" w:rsidP="003041BF">
            <w:pPr>
              <w:keepLines/>
              <w:jc w:val="center"/>
              <w:rPr>
                <w:rFonts w:ascii="Arial" w:hAnsi="Arial" w:cs="Arial"/>
                <w:b/>
                <w:sz w:val="20"/>
                <w:szCs w:val="20"/>
              </w:rPr>
            </w:pPr>
            <w:r w:rsidRPr="00BF20CF">
              <w:rPr>
                <w:rFonts w:ascii="Arial" w:hAnsi="Arial" w:cs="Arial"/>
                <w:b/>
                <w:sz w:val="20"/>
                <w:szCs w:val="20"/>
              </w:rPr>
              <w:t>EB-2019-0261</w:t>
            </w:r>
          </w:p>
        </w:tc>
      </w:tr>
      <w:tr w:rsidR="007509C7" w:rsidRPr="00BF20CF" w14:paraId="50B64EAA" w14:textId="77777777" w:rsidTr="003041BF">
        <w:tc>
          <w:tcPr>
            <w:tcW w:w="3055" w:type="dxa"/>
          </w:tcPr>
          <w:p w14:paraId="41A36984" w14:textId="77777777" w:rsidR="007509C7" w:rsidRPr="00BF20CF" w:rsidRDefault="007509C7" w:rsidP="003041BF">
            <w:pPr>
              <w:keepLines/>
              <w:rPr>
                <w:rFonts w:ascii="Arial" w:hAnsi="Arial" w:cs="Arial"/>
                <w:b/>
                <w:sz w:val="20"/>
                <w:szCs w:val="20"/>
              </w:rPr>
            </w:pPr>
            <w:r w:rsidRPr="00BF20CF">
              <w:rPr>
                <w:rFonts w:ascii="Arial" w:hAnsi="Arial" w:cs="Arial"/>
                <w:b/>
                <w:sz w:val="20"/>
                <w:szCs w:val="20"/>
              </w:rPr>
              <w:t>Data Range (for estimation)</w:t>
            </w:r>
          </w:p>
        </w:tc>
        <w:tc>
          <w:tcPr>
            <w:tcW w:w="3240" w:type="dxa"/>
            <w:gridSpan w:val="2"/>
          </w:tcPr>
          <w:p w14:paraId="3513B5C9"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2002-2016 (U.S. utilities)</w:t>
            </w:r>
          </w:p>
          <w:p w14:paraId="5031A8C6"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200-2016 (Canadian distributors)</w:t>
            </w:r>
          </w:p>
        </w:tc>
        <w:tc>
          <w:tcPr>
            <w:tcW w:w="3150" w:type="dxa"/>
            <w:gridSpan w:val="2"/>
          </w:tcPr>
          <w:p w14:paraId="1C249C15"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2002-2016 (U.S. utilities)</w:t>
            </w:r>
          </w:p>
          <w:p w14:paraId="4384978A"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200-2016 (Canadian distributors)</w:t>
            </w:r>
          </w:p>
        </w:tc>
      </w:tr>
      <w:tr w:rsidR="007509C7" w:rsidRPr="00BF20CF" w14:paraId="510B391C" w14:textId="77777777" w:rsidTr="003041BF">
        <w:tc>
          <w:tcPr>
            <w:tcW w:w="3055" w:type="dxa"/>
          </w:tcPr>
          <w:p w14:paraId="7CF4BF2C" w14:textId="77777777" w:rsidR="007509C7" w:rsidRPr="00BF20CF" w:rsidRDefault="007509C7" w:rsidP="003041BF">
            <w:pPr>
              <w:keepLines/>
              <w:rPr>
                <w:rFonts w:ascii="Arial" w:hAnsi="Arial" w:cs="Arial"/>
                <w:b/>
                <w:sz w:val="20"/>
                <w:szCs w:val="20"/>
              </w:rPr>
            </w:pPr>
            <w:r w:rsidRPr="00BF20CF">
              <w:rPr>
                <w:rFonts w:ascii="Arial" w:hAnsi="Arial" w:cs="Arial"/>
                <w:b/>
                <w:sz w:val="20"/>
                <w:szCs w:val="20"/>
              </w:rPr>
              <w:t>Variable</w:t>
            </w:r>
          </w:p>
        </w:tc>
        <w:tc>
          <w:tcPr>
            <w:tcW w:w="1710" w:type="dxa"/>
          </w:tcPr>
          <w:p w14:paraId="5456FF02"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Coefficient</w:t>
            </w:r>
          </w:p>
        </w:tc>
        <w:tc>
          <w:tcPr>
            <w:tcW w:w="1530" w:type="dxa"/>
          </w:tcPr>
          <w:p w14:paraId="2881CBAA" w14:textId="77777777" w:rsidR="007509C7" w:rsidRPr="00BF20CF" w:rsidRDefault="007509C7" w:rsidP="003041BF">
            <w:pPr>
              <w:keepLines/>
              <w:rPr>
                <w:rFonts w:ascii="Arial" w:hAnsi="Arial" w:cs="Arial"/>
                <w:sz w:val="20"/>
                <w:szCs w:val="20"/>
              </w:rPr>
            </w:pPr>
            <w:r w:rsidRPr="00BF20CF">
              <w:rPr>
                <w:rFonts w:ascii="Times New Roman" w:hAnsi="Times New Roman"/>
                <w:i/>
                <w:sz w:val="20"/>
                <w:szCs w:val="20"/>
              </w:rPr>
              <w:t>t</w:t>
            </w:r>
            <w:r w:rsidRPr="00BF20CF">
              <w:rPr>
                <w:rFonts w:ascii="Arial" w:hAnsi="Arial" w:cs="Arial"/>
                <w:sz w:val="20"/>
                <w:szCs w:val="20"/>
              </w:rPr>
              <w:t>-statistic</w:t>
            </w:r>
          </w:p>
        </w:tc>
        <w:tc>
          <w:tcPr>
            <w:tcW w:w="1710" w:type="dxa"/>
          </w:tcPr>
          <w:p w14:paraId="166F0DBB"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Coefficient</w:t>
            </w:r>
          </w:p>
        </w:tc>
        <w:tc>
          <w:tcPr>
            <w:tcW w:w="1440" w:type="dxa"/>
          </w:tcPr>
          <w:p w14:paraId="3D6E71A9" w14:textId="77777777" w:rsidR="007509C7" w:rsidRPr="00BF20CF" w:rsidRDefault="007509C7" w:rsidP="003041BF">
            <w:pPr>
              <w:keepLines/>
              <w:rPr>
                <w:rFonts w:ascii="Arial" w:hAnsi="Arial" w:cs="Arial"/>
                <w:sz w:val="20"/>
                <w:szCs w:val="20"/>
              </w:rPr>
            </w:pPr>
            <w:r w:rsidRPr="00BF20CF">
              <w:rPr>
                <w:rFonts w:ascii="Times New Roman" w:hAnsi="Times New Roman"/>
                <w:i/>
                <w:sz w:val="20"/>
                <w:szCs w:val="20"/>
              </w:rPr>
              <w:t>t</w:t>
            </w:r>
            <w:r w:rsidRPr="00BF20CF">
              <w:rPr>
                <w:rFonts w:ascii="Arial" w:hAnsi="Arial" w:cs="Arial"/>
                <w:sz w:val="20"/>
                <w:szCs w:val="20"/>
              </w:rPr>
              <w:t>-statistic</w:t>
            </w:r>
          </w:p>
        </w:tc>
      </w:tr>
      <w:tr w:rsidR="007509C7" w:rsidRPr="00BF20CF" w14:paraId="103135DE" w14:textId="77777777" w:rsidTr="003041BF">
        <w:tc>
          <w:tcPr>
            <w:tcW w:w="3055" w:type="dxa"/>
          </w:tcPr>
          <w:p w14:paraId="369AC369"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Constant</w:t>
            </w:r>
          </w:p>
        </w:tc>
        <w:tc>
          <w:tcPr>
            <w:tcW w:w="1710" w:type="dxa"/>
          </w:tcPr>
          <w:p w14:paraId="6A475D9F"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12.780</w:t>
            </w:r>
          </w:p>
        </w:tc>
        <w:tc>
          <w:tcPr>
            <w:tcW w:w="1530" w:type="dxa"/>
          </w:tcPr>
          <w:p w14:paraId="4EDF8BBB"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535.646</w:t>
            </w:r>
          </w:p>
        </w:tc>
        <w:tc>
          <w:tcPr>
            <w:tcW w:w="1710" w:type="dxa"/>
          </w:tcPr>
          <w:p w14:paraId="71005F25"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13.012</w:t>
            </w:r>
          </w:p>
        </w:tc>
        <w:tc>
          <w:tcPr>
            <w:tcW w:w="1440" w:type="dxa"/>
          </w:tcPr>
          <w:p w14:paraId="364F02F5"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615.256</w:t>
            </w:r>
          </w:p>
        </w:tc>
      </w:tr>
      <w:tr w:rsidR="007509C7" w:rsidRPr="00BF20CF" w14:paraId="30F8AC3E" w14:textId="77777777" w:rsidTr="003041BF">
        <w:tc>
          <w:tcPr>
            <w:tcW w:w="3055" w:type="dxa"/>
          </w:tcPr>
          <w:p w14:paraId="4AEC365A"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Number of Customers (N)</w:t>
            </w:r>
          </w:p>
        </w:tc>
        <w:tc>
          <w:tcPr>
            <w:tcW w:w="1710" w:type="dxa"/>
          </w:tcPr>
          <w:p w14:paraId="62EDF715"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0.715</w:t>
            </w:r>
          </w:p>
        </w:tc>
        <w:tc>
          <w:tcPr>
            <w:tcW w:w="1530" w:type="dxa"/>
          </w:tcPr>
          <w:p w14:paraId="5E2CB90B"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67.903</w:t>
            </w:r>
          </w:p>
        </w:tc>
        <w:tc>
          <w:tcPr>
            <w:tcW w:w="1710" w:type="dxa"/>
          </w:tcPr>
          <w:p w14:paraId="74C3C1B8"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0.567</w:t>
            </w:r>
          </w:p>
        </w:tc>
        <w:tc>
          <w:tcPr>
            <w:tcW w:w="1440" w:type="dxa"/>
          </w:tcPr>
          <w:p w14:paraId="14EBB12C"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66.513</w:t>
            </w:r>
          </w:p>
        </w:tc>
      </w:tr>
      <w:tr w:rsidR="007509C7" w:rsidRPr="00BF20CF" w14:paraId="1AADF48C" w14:textId="77777777" w:rsidTr="003041BF">
        <w:tc>
          <w:tcPr>
            <w:tcW w:w="3055" w:type="dxa"/>
          </w:tcPr>
          <w:p w14:paraId="4EF49665"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N</w:t>
            </w:r>
            <w:r w:rsidRPr="00BF20CF">
              <w:rPr>
                <w:rFonts w:ascii="Arial" w:hAnsi="Arial" w:cs="Arial"/>
                <w:sz w:val="20"/>
                <w:szCs w:val="20"/>
                <w:vertAlign w:val="superscript"/>
              </w:rPr>
              <w:t>2</w:t>
            </w:r>
          </w:p>
        </w:tc>
        <w:tc>
          <w:tcPr>
            <w:tcW w:w="1710" w:type="dxa"/>
          </w:tcPr>
          <w:p w14:paraId="183A92A9"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0.213</w:t>
            </w:r>
          </w:p>
        </w:tc>
        <w:tc>
          <w:tcPr>
            <w:tcW w:w="1530" w:type="dxa"/>
          </w:tcPr>
          <w:p w14:paraId="1A191B70"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15.334</w:t>
            </w:r>
          </w:p>
        </w:tc>
        <w:tc>
          <w:tcPr>
            <w:tcW w:w="1710" w:type="dxa"/>
          </w:tcPr>
          <w:p w14:paraId="503E5A73"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0.991</w:t>
            </w:r>
          </w:p>
        </w:tc>
        <w:tc>
          <w:tcPr>
            <w:tcW w:w="1440" w:type="dxa"/>
          </w:tcPr>
          <w:p w14:paraId="0320C18D"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8.097</w:t>
            </w:r>
          </w:p>
        </w:tc>
      </w:tr>
      <w:tr w:rsidR="007509C7" w:rsidRPr="00BF20CF" w14:paraId="0926DEF5" w14:textId="77777777" w:rsidTr="003041BF">
        <w:tc>
          <w:tcPr>
            <w:tcW w:w="3055" w:type="dxa"/>
          </w:tcPr>
          <w:p w14:paraId="1E8B6CCA"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Ratcheted Peak Demand (D)</w:t>
            </w:r>
          </w:p>
        </w:tc>
        <w:tc>
          <w:tcPr>
            <w:tcW w:w="1710" w:type="dxa"/>
          </w:tcPr>
          <w:p w14:paraId="65D94843"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0.261</w:t>
            </w:r>
          </w:p>
        </w:tc>
        <w:tc>
          <w:tcPr>
            <w:tcW w:w="1530" w:type="dxa"/>
          </w:tcPr>
          <w:p w14:paraId="5BB62C19"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24.040</w:t>
            </w:r>
          </w:p>
        </w:tc>
        <w:tc>
          <w:tcPr>
            <w:tcW w:w="1710" w:type="dxa"/>
          </w:tcPr>
          <w:p w14:paraId="76C69B49"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0.442</w:t>
            </w:r>
          </w:p>
        </w:tc>
        <w:tc>
          <w:tcPr>
            <w:tcW w:w="1440" w:type="dxa"/>
          </w:tcPr>
          <w:p w14:paraId="3C40486A"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43.586</w:t>
            </w:r>
          </w:p>
        </w:tc>
      </w:tr>
      <w:tr w:rsidR="007509C7" w:rsidRPr="00BF20CF" w14:paraId="1A8E99F8" w14:textId="77777777" w:rsidTr="003041BF">
        <w:tc>
          <w:tcPr>
            <w:tcW w:w="3055" w:type="dxa"/>
          </w:tcPr>
          <w:p w14:paraId="33440551"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D</w:t>
            </w:r>
            <w:r w:rsidRPr="00BF20CF">
              <w:rPr>
                <w:rFonts w:ascii="Arial" w:hAnsi="Arial" w:cs="Arial"/>
                <w:sz w:val="20"/>
                <w:szCs w:val="20"/>
                <w:vertAlign w:val="superscript"/>
              </w:rPr>
              <w:t>2</w:t>
            </w:r>
          </w:p>
        </w:tc>
        <w:tc>
          <w:tcPr>
            <w:tcW w:w="1710" w:type="dxa"/>
          </w:tcPr>
          <w:p w14:paraId="538CC3A0"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0.145</w:t>
            </w:r>
          </w:p>
        </w:tc>
        <w:tc>
          <w:tcPr>
            <w:tcW w:w="1530" w:type="dxa"/>
          </w:tcPr>
          <w:p w14:paraId="5A39AABD"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25.346</w:t>
            </w:r>
          </w:p>
        </w:tc>
        <w:tc>
          <w:tcPr>
            <w:tcW w:w="1710" w:type="dxa"/>
          </w:tcPr>
          <w:p w14:paraId="7157F7CA"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1.164</w:t>
            </w:r>
          </w:p>
        </w:tc>
        <w:tc>
          <w:tcPr>
            <w:tcW w:w="1440" w:type="dxa"/>
          </w:tcPr>
          <w:p w14:paraId="56C9E622"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7.478</w:t>
            </w:r>
          </w:p>
        </w:tc>
      </w:tr>
      <w:tr w:rsidR="007509C7" w:rsidRPr="00BF20CF" w14:paraId="1888E25F" w14:textId="77777777" w:rsidTr="003041BF">
        <w:tc>
          <w:tcPr>
            <w:tcW w:w="3055" w:type="dxa"/>
          </w:tcPr>
          <w:p w14:paraId="6BB57CFB"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N × D</w:t>
            </w:r>
          </w:p>
        </w:tc>
        <w:tc>
          <w:tcPr>
            <w:tcW w:w="1710" w:type="dxa"/>
          </w:tcPr>
          <w:p w14:paraId="2C88AABC"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-0.308</w:t>
            </w:r>
          </w:p>
        </w:tc>
        <w:tc>
          <w:tcPr>
            <w:tcW w:w="1530" w:type="dxa"/>
          </w:tcPr>
          <w:p w14:paraId="120ACA63"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-23.501</w:t>
            </w:r>
          </w:p>
        </w:tc>
        <w:tc>
          <w:tcPr>
            <w:tcW w:w="1710" w:type="dxa"/>
          </w:tcPr>
          <w:p w14:paraId="4302F482"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-2.120</w:t>
            </w:r>
          </w:p>
        </w:tc>
        <w:tc>
          <w:tcPr>
            <w:tcW w:w="1440" w:type="dxa"/>
          </w:tcPr>
          <w:p w14:paraId="636AF013"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-7.461</w:t>
            </w:r>
          </w:p>
        </w:tc>
      </w:tr>
      <w:tr w:rsidR="007509C7" w:rsidRPr="00BF20CF" w14:paraId="16BF8BC6" w14:textId="77777777" w:rsidTr="003041BF">
        <w:tc>
          <w:tcPr>
            <w:tcW w:w="3055" w:type="dxa"/>
          </w:tcPr>
          <w:p w14:paraId="56610557"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 Electric Customers (of Gas and Electric) (%E)</w:t>
            </w:r>
          </w:p>
        </w:tc>
        <w:tc>
          <w:tcPr>
            <w:tcW w:w="1710" w:type="dxa"/>
          </w:tcPr>
          <w:p w14:paraId="6316C899"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0.407</w:t>
            </w:r>
          </w:p>
        </w:tc>
        <w:tc>
          <w:tcPr>
            <w:tcW w:w="1530" w:type="dxa"/>
          </w:tcPr>
          <w:p w14:paraId="7C1A884B"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17.431</w:t>
            </w:r>
          </w:p>
        </w:tc>
        <w:tc>
          <w:tcPr>
            <w:tcW w:w="1710" w:type="dxa"/>
          </w:tcPr>
          <w:p w14:paraId="20EBA8F9"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0.080</w:t>
            </w:r>
          </w:p>
        </w:tc>
        <w:tc>
          <w:tcPr>
            <w:tcW w:w="1440" w:type="dxa"/>
          </w:tcPr>
          <w:p w14:paraId="0BBE1886"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3.193</w:t>
            </w:r>
          </w:p>
        </w:tc>
      </w:tr>
      <w:tr w:rsidR="007509C7" w:rsidRPr="00BF20CF" w14:paraId="76FF6417" w14:textId="77777777" w:rsidTr="007509C7">
        <w:tc>
          <w:tcPr>
            <w:tcW w:w="3055" w:type="dxa"/>
          </w:tcPr>
          <w:p w14:paraId="4D61DC28"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%E</w:t>
            </w:r>
            <w:r w:rsidRPr="00BF20CF">
              <w:rPr>
                <w:rFonts w:ascii="Arial" w:hAnsi="Arial" w:cs="Arial"/>
                <w:sz w:val="20"/>
                <w:szCs w:val="20"/>
                <w:vertAlign w:val="superscript"/>
              </w:rPr>
              <w:t>2</w:t>
            </w:r>
          </w:p>
        </w:tc>
        <w:tc>
          <w:tcPr>
            <w:tcW w:w="1710" w:type="dxa"/>
          </w:tcPr>
          <w:p w14:paraId="3E47D155"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0.348</w:t>
            </w:r>
          </w:p>
        </w:tc>
        <w:tc>
          <w:tcPr>
            <w:tcW w:w="1530" w:type="dxa"/>
          </w:tcPr>
          <w:p w14:paraId="64368BCF"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10.766</w:t>
            </w:r>
          </w:p>
        </w:tc>
        <w:tc>
          <w:tcPr>
            <w:tcW w:w="1710" w:type="dxa"/>
            <w:shd w:val="clear" w:color="auto" w:fill="000000"/>
          </w:tcPr>
          <w:p w14:paraId="1B9E6D8D" w14:textId="77777777" w:rsidR="007509C7" w:rsidRPr="00BF20CF" w:rsidRDefault="007509C7" w:rsidP="003041BF">
            <w:pPr>
              <w:keepLines/>
              <w:rPr>
                <w:rFonts w:ascii="Arial" w:hAnsi="Arial" w:cs="Arial"/>
                <w:sz w:val="20"/>
                <w:szCs w:val="20"/>
              </w:rPr>
            </w:pPr>
          </w:p>
        </w:tc>
        <w:tc>
          <w:tcPr>
            <w:tcW w:w="1440" w:type="dxa"/>
            <w:shd w:val="clear" w:color="auto" w:fill="000000"/>
          </w:tcPr>
          <w:p w14:paraId="27DD7C89" w14:textId="77777777" w:rsidR="007509C7" w:rsidRPr="00BF20CF" w:rsidRDefault="007509C7" w:rsidP="003041BF">
            <w:pPr>
              <w:keepLines/>
              <w:rPr>
                <w:rFonts w:ascii="Arial" w:hAnsi="Arial" w:cs="Arial"/>
                <w:sz w:val="20"/>
                <w:szCs w:val="20"/>
              </w:rPr>
            </w:pPr>
          </w:p>
        </w:tc>
      </w:tr>
      <w:tr w:rsidR="007509C7" w:rsidRPr="00BF20CF" w14:paraId="69C1D403" w14:textId="77777777" w:rsidTr="003041BF">
        <w:tc>
          <w:tcPr>
            <w:tcW w:w="3055" w:type="dxa"/>
          </w:tcPr>
          <w:p w14:paraId="3EAFBBC5"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Standard Deviation of Elevation (El)</w:t>
            </w:r>
          </w:p>
        </w:tc>
        <w:tc>
          <w:tcPr>
            <w:tcW w:w="1710" w:type="dxa"/>
          </w:tcPr>
          <w:p w14:paraId="76C34051"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0.102</w:t>
            </w:r>
          </w:p>
        </w:tc>
        <w:tc>
          <w:tcPr>
            <w:tcW w:w="1530" w:type="dxa"/>
          </w:tcPr>
          <w:p w14:paraId="3B8755C4"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6.816</w:t>
            </w:r>
          </w:p>
        </w:tc>
        <w:tc>
          <w:tcPr>
            <w:tcW w:w="1710" w:type="dxa"/>
          </w:tcPr>
          <w:p w14:paraId="51F2213C"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0.030</w:t>
            </w:r>
          </w:p>
        </w:tc>
        <w:tc>
          <w:tcPr>
            <w:tcW w:w="1440" w:type="dxa"/>
          </w:tcPr>
          <w:p w14:paraId="50F1DD40"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9.80</w:t>
            </w:r>
          </w:p>
        </w:tc>
      </w:tr>
      <w:tr w:rsidR="007509C7" w:rsidRPr="00BF20CF" w14:paraId="42EF99EF" w14:textId="77777777" w:rsidTr="007509C7">
        <w:tc>
          <w:tcPr>
            <w:tcW w:w="3055" w:type="dxa"/>
          </w:tcPr>
          <w:p w14:paraId="4BEF6948"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El</w:t>
            </w:r>
            <w:r w:rsidRPr="00BF20CF">
              <w:rPr>
                <w:rFonts w:ascii="Arial" w:hAnsi="Arial" w:cs="Arial"/>
                <w:sz w:val="20"/>
                <w:szCs w:val="20"/>
                <w:vertAlign w:val="superscript"/>
              </w:rPr>
              <w:t>2</w:t>
            </w:r>
          </w:p>
        </w:tc>
        <w:tc>
          <w:tcPr>
            <w:tcW w:w="1710" w:type="dxa"/>
          </w:tcPr>
          <w:p w14:paraId="3AA6C21A"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-0.007</w:t>
            </w:r>
          </w:p>
        </w:tc>
        <w:tc>
          <w:tcPr>
            <w:tcW w:w="1530" w:type="dxa"/>
          </w:tcPr>
          <w:p w14:paraId="2A713C35"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-3.942</w:t>
            </w:r>
          </w:p>
        </w:tc>
        <w:tc>
          <w:tcPr>
            <w:tcW w:w="1710" w:type="dxa"/>
            <w:shd w:val="clear" w:color="auto" w:fill="000000"/>
          </w:tcPr>
          <w:p w14:paraId="551F9226" w14:textId="77777777" w:rsidR="007509C7" w:rsidRPr="00BF20CF" w:rsidRDefault="007509C7" w:rsidP="003041BF">
            <w:pPr>
              <w:keepLines/>
              <w:rPr>
                <w:rFonts w:ascii="Arial" w:hAnsi="Arial" w:cs="Arial"/>
                <w:sz w:val="20"/>
                <w:szCs w:val="20"/>
              </w:rPr>
            </w:pPr>
          </w:p>
        </w:tc>
        <w:tc>
          <w:tcPr>
            <w:tcW w:w="1440" w:type="dxa"/>
            <w:shd w:val="clear" w:color="auto" w:fill="000000"/>
          </w:tcPr>
          <w:p w14:paraId="37368DED" w14:textId="77777777" w:rsidR="007509C7" w:rsidRPr="00BF20CF" w:rsidRDefault="007509C7" w:rsidP="003041BF">
            <w:pPr>
              <w:keepLines/>
              <w:rPr>
                <w:rFonts w:ascii="Arial" w:hAnsi="Arial" w:cs="Arial"/>
                <w:sz w:val="20"/>
                <w:szCs w:val="20"/>
              </w:rPr>
            </w:pPr>
          </w:p>
        </w:tc>
      </w:tr>
      <w:tr w:rsidR="007509C7" w:rsidRPr="00BF20CF" w14:paraId="49161C10" w14:textId="77777777" w:rsidTr="003041BF">
        <w:tc>
          <w:tcPr>
            <w:tcW w:w="3055" w:type="dxa"/>
          </w:tcPr>
          <w:p w14:paraId="7CF141AF"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 Forestation (%F)</w:t>
            </w:r>
          </w:p>
        </w:tc>
        <w:tc>
          <w:tcPr>
            <w:tcW w:w="1710" w:type="dxa"/>
          </w:tcPr>
          <w:p w14:paraId="4E71CAF0"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0.081</w:t>
            </w:r>
          </w:p>
        </w:tc>
        <w:tc>
          <w:tcPr>
            <w:tcW w:w="1530" w:type="dxa"/>
          </w:tcPr>
          <w:p w14:paraId="7E833678"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18.163</w:t>
            </w:r>
          </w:p>
        </w:tc>
        <w:tc>
          <w:tcPr>
            <w:tcW w:w="1710" w:type="dxa"/>
          </w:tcPr>
          <w:p w14:paraId="0ACD9F45"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0.043</w:t>
            </w:r>
          </w:p>
        </w:tc>
        <w:tc>
          <w:tcPr>
            <w:tcW w:w="1440" w:type="dxa"/>
          </w:tcPr>
          <w:p w14:paraId="0D63CF58"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16.081</w:t>
            </w:r>
          </w:p>
        </w:tc>
      </w:tr>
      <w:tr w:rsidR="007509C7" w:rsidRPr="00BF20CF" w14:paraId="518624F6" w14:textId="77777777" w:rsidTr="007509C7">
        <w:tc>
          <w:tcPr>
            <w:tcW w:w="3055" w:type="dxa"/>
          </w:tcPr>
          <w:p w14:paraId="703F7B62"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%F</w:t>
            </w:r>
            <w:r w:rsidRPr="00BF20CF">
              <w:rPr>
                <w:rFonts w:ascii="Arial" w:hAnsi="Arial" w:cs="Arial"/>
                <w:sz w:val="20"/>
                <w:szCs w:val="20"/>
                <w:vertAlign w:val="superscript"/>
              </w:rPr>
              <w:t>2</w:t>
            </w:r>
          </w:p>
        </w:tc>
        <w:tc>
          <w:tcPr>
            <w:tcW w:w="1710" w:type="dxa"/>
          </w:tcPr>
          <w:p w14:paraId="4E6D5C2E"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0.007</w:t>
            </w:r>
          </w:p>
        </w:tc>
        <w:tc>
          <w:tcPr>
            <w:tcW w:w="1530" w:type="dxa"/>
          </w:tcPr>
          <w:p w14:paraId="54763B09"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12.977</w:t>
            </w:r>
          </w:p>
        </w:tc>
        <w:tc>
          <w:tcPr>
            <w:tcW w:w="1710" w:type="dxa"/>
            <w:shd w:val="clear" w:color="auto" w:fill="000000"/>
          </w:tcPr>
          <w:p w14:paraId="56C39871" w14:textId="77777777" w:rsidR="007509C7" w:rsidRPr="00BF20CF" w:rsidRDefault="007509C7" w:rsidP="003041BF">
            <w:pPr>
              <w:keepLines/>
              <w:rPr>
                <w:rFonts w:ascii="Arial" w:hAnsi="Arial" w:cs="Arial"/>
                <w:sz w:val="20"/>
                <w:szCs w:val="20"/>
              </w:rPr>
            </w:pPr>
          </w:p>
        </w:tc>
        <w:tc>
          <w:tcPr>
            <w:tcW w:w="1440" w:type="dxa"/>
            <w:shd w:val="clear" w:color="auto" w:fill="000000"/>
          </w:tcPr>
          <w:p w14:paraId="28BC0E87" w14:textId="77777777" w:rsidR="007509C7" w:rsidRPr="00BF20CF" w:rsidRDefault="007509C7" w:rsidP="003041BF">
            <w:pPr>
              <w:keepLines/>
              <w:rPr>
                <w:rFonts w:ascii="Arial" w:hAnsi="Arial" w:cs="Arial"/>
                <w:sz w:val="20"/>
                <w:szCs w:val="20"/>
              </w:rPr>
            </w:pPr>
          </w:p>
        </w:tc>
      </w:tr>
      <w:tr w:rsidR="007509C7" w:rsidRPr="00BF20CF" w14:paraId="08C78C1E" w14:textId="77777777" w:rsidTr="003041BF">
        <w:tc>
          <w:tcPr>
            <w:tcW w:w="3055" w:type="dxa"/>
          </w:tcPr>
          <w:p w14:paraId="2244DBFE"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 Congested Urban (%CU)</w:t>
            </w:r>
          </w:p>
        </w:tc>
        <w:tc>
          <w:tcPr>
            <w:tcW w:w="1710" w:type="dxa"/>
          </w:tcPr>
          <w:p w14:paraId="46B864F5"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160.845</w:t>
            </w:r>
          </w:p>
        </w:tc>
        <w:tc>
          <w:tcPr>
            <w:tcW w:w="1530" w:type="dxa"/>
          </w:tcPr>
          <w:p w14:paraId="2B05E1FF"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19.0382</w:t>
            </w:r>
          </w:p>
        </w:tc>
        <w:tc>
          <w:tcPr>
            <w:tcW w:w="1710" w:type="dxa"/>
            <w:tcBorders>
              <w:bottom w:val="single" w:sz="4" w:space="0" w:color="auto"/>
            </w:tcBorders>
          </w:tcPr>
          <w:p w14:paraId="1BBBC90F"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25.912</w:t>
            </w:r>
          </w:p>
        </w:tc>
        <w:tc>
          <w:tcPr>
            <w:tcW w:w="1440" w:type="dxa"/>
            <w:tcBorders>
              <w:bottom w:val="single" w:sz="4" w:space="0" w:color="auto"/>
            </w:tcBorders>
          </w:tcPr>
          <w:p w14:paraId="0E1CFAA0"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6.650</w:t>
            </w:r>
          </w:p>
        </w:tc>
      </w:tr>
      <w:tr w:rsidR="007509C7" w:rsidRPr="00BF20CF" w14:paraId="6C86F814" w14:textId="77777777" w:rsidTr="003041BF">
        <w:tc>
          <w:tcPr>
            <w:tcW w:w="3055" w:type="dxa"/>
          </w:tcPr>
          <w:p w14:paraId="6A571304"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%CU</w:t>
            </w:r>
            <w:r w:rsidRPr="00BF20CF">
              <w:rPr>
                <w:rFonts w:ascii="Arial" w:hAnsi="Arial" w:cs="Arial"/>
                <w:sz w:val="20"/>
                <w:szCs w:val="20"/>
                <w:vertAlign w:val="superscript"/>
              </w:rPr>
              <w:t>2</w:t>
            </w:r>
          </w:p>
        </w:tc>
        <w:tc>
          <w:tcPr>
            <w:tcW w:w="1710" w:type="dxa"/>
          </w:tcPr>
          <w:p w14:paraId="29818288"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-5664.714</w:t>
            </w:r>
          </w:p>
        </w:tc>
        <w:tc>
          <w:tcPr>
            <w:tcW w:w="1530" w:type="dxa"/>
          </w:tcPr>
          <w:p w14:paraId="68795B78"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-12.751</w:t>
            </w:r>
          </w:p>
        </w:tc>
        <w:tc>
          <w:tcPr>
            <w:tcW w:w="1710" w:type="dxa"/>
            <w:shd w:val="clear" w:color="auto" w:fill="auto"/>
          </w:tcPr>
          <w:p w14:paraId="12B6F00D"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-763.329</w:t>
            </w:r>
          </w:p>
        </w:tc>
        <w:tc>
          <w:tcPr>
            <w:tcW w:w="1440" w:type="dxa"/>
            <w:shd w:val="clear" w:color="auto" w:fill="auto"/>
          </w:tcPr>
          <w:p w14:paraId="0F23D3F4"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-5.286</w:t>
            </w:r>
          </w:p>
        </w:tc>
      </w:tr>
      <w:tr w:rsidR="007509C7" w:rsidRPr="00BF20CF" w14:paraId="26451044" w14:textId="77777777" w:rsidTr="003041BF">
        <w:tc>
          <w:tcPr>
            <w:tcW w:w="3055" w:type="dxa"/>
          </w:tcPr>
          <w:p w14:paraId="10E7F933"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 AMI (Customers with smart meters)</w:t>
            </w:r>
          </w:p>
        </w:tc>
        <w:tc>
          <w:tcPr>
            <w:tcW w:w="1710" w:type="dxa"/>
          </w:tcPr>
          <w:p w14:paraId="2E4FDC97"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0.109</w:t>
            </w:r>
          </w:p>
        </w:tc>
        <w:tc>
          <w:tcPr>
            <w:tcW w:w="1530" w:type="dxa"/>
          </w:tcPr>
          <w:p w14:paraId="48CE5623"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2.581</w:t>
            </w:r>
          </w:p>
        </w:tc>
        <w:tc>
          <w:tcPr>
            <w:tcW w:w="1710" w:type="dxa"/>
          </w:tcPr>
          <w:p w14:paraId="2ECB48EB"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0.040</w:t>
            </w:r>
          </w:p>
        </w:tc>
        <w:tc>
          <w:tcPr>
            <w:tcW w:w="1440" w:type="dxa"/>
          </w:tcPr>
          <w:p w14:paraId="47B92ECC"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2.786</w:t>
            </w:r>
          </w:p>
        </w:tc>
      </w:tr>
      <w:tr w:rsidR="007509C7" w:rsidRPr="00BF20CF" w14:paraId="64498465" w14:textId="77777777" w:rsidTr="007509C7">
        <w:tc>
          <w:tcPr>
            <w:tcW w:w="3055" w:type="dxa"/>
          </w:tcPr>
          <w:p w14:paraId="428DD778"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%AMI</w:t>
            </w:r>
            <w:r w:rsidRPr="00BF20CF">
              <w:rPr>
                <w:rFonts w:ascii="Arial" w:hAnsi="Arial" w:cs="Arial"/>
                <w:sz w:val="20"/>
                <w:szCs w:val="20"/>
                <w:vertAlign w:val="superscript"/>
              </w:rPr>
              <w:t>2</w:t>
            </w:r>
          </w:p>
        </w:tc>
        <w:tc>
          <w:tcPr>
            <w:tcW w:w="1710" w:type="dxa"/>
          </w:tcPr>
          <w:p w14:paraId="568FFD78"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-0.029</w:t>
            </w:r>
          </w:p>
        </w:tc>
        <w:tc>
          <w:tcPr>
            <w:tcW w:w="1530" w:type="dxa"/>
          </w:tcPr>
          <w:p w14:paraId="6CFBCD7E"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-0.642</w:t>
            </w:r>
          </w:p>
        </w:tc>
        <w:tc>
          <w:tcPr>
            <w:tcW w:w="1710" w:type="dxa"/>
            <w:shd w:val="clear" w:color="auto" w:fill="000000"/>
          </w:tcPr>
          <w:p w14:paraId="13074001" w14:textId="77777777" w:rsidR="007509C7" w:rsidRPr="00BF20CF" w:rsidRDefault="007509C7" w:rsidP="003041BF">
            <w:pPr>
              <w:keepLines/>
              <w:rPr>
                <w:rFonts w:ascii="Arial" w:hAnsi="Arial" w:cs="Arial"/>
                <w:sz w:val="20"/>
                <w:szCs w:val="20"/>
              </w:rPr>
            </w:pPr>
          </w:p>
        </w:tc>
        <w:tc>
          <w:tcPr>
            <w:tcW w:w="1440" w:type="dxa"/>
            <w:shd w:val="clear" w:color="auto" w:fill="000000"/>
          </w:tcPr>
          <w:p w14:paraId="182F2921" w14:textId="77777777" w:rsidR="007509C7" w:rsidRPr="00BF20CF" w:rsidRDefault="007509C7" w:rsidP="003041BF">
            <w:pPr>
              <w:keepLines/>
              <w:rPr>
                <w:rFonts w:ascii="Arial" w:hAnsi="Arial" w:cs="Arial"/>
                <w:sz w:val="20"/>
                <w:szCs w:val="20"/>
              </w:rPr>
            </w:pPr>
          </w:p>
        </w:tc>
      </w:tr>
      <w:tr w:rsidR="007509C7" w:rsidRPr="00BF20CF" w14:paraId="09C4715C" w14:textId="77777777" w:rsidTr="007509C7">
        <w:tc>
          <w:tcPr>
            <w:tcW w:w="3055" w:type="dxa"/>
          </w:tcPr>
          <w:p w14:paraId="7368F360"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 Underground (%UG)</w:t>
            </w:r>
          </w:p>
        </w:tc>
        <w:tc>
          <w:tcPr>
            <w:tcW w:w="1710" w:type="dxa"/>
          </w:tcPr>
          <w:p w14:paraId="1C4D9E2B"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-0.077</w:t>
            </w:r>
          </w:p>
        </w:tc>
        <w:tc>
          <w:tcPr>
            <w:tcW w:w="1530" w:type="dxa"/>
          </w:tcPr>
          <w:p w14:paraId="68B98780"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-4.676</w:t>
            </w:r>
          </w:p>
        </w:tc>
        <w:tc>
          <w:tcPr>
            <w:tcW w:w="1710" w:type="dxa"/>
            <w:shd w:val="clear" w:color="auto" w:fill="000000"/>
          </w:tcPr>
          <w:p w14:paraId="309015F6" w14:textId="77777777" w:rsidR="007509C7" w:rsidRPr="00BF20CF" w:rsidRDefault="007509C7" w:rsidP="003041BF">
            <w:pPr>
              <w:keepLines/>
              <w:rPr>
                <w:rFonts w:ascii="Arial" w:hAnsi="Arial" w:cs="Arial"/>
                <w:sz w:val="20"/>
                <w:szCs w:val="20"/>
              </w:rPr>
            </w:pPr>
          </w:p>
        </w:tc>
        <w:tc>
          <w:tcPr>
            <w:tcW w:w="1440" w:type="dxa"/>
            <w:shd w:val="clear" w:color="auto" w:fill="000000"/>
          </w:tcPr>
          <w:p w14:paraId="22A75DC1" w14:textId="77777777" w:rsidR="007509C7" w:rsidRPr="00BF20CF" w:rsidRDefault="007509C7" w:rsidP="003041BF">
            <w:pPr>
              <w:keepLines/>
              <w:rPr>
                <w:rFonts w:ascii="Arial" w:hAnsi="Arial" w:cs="Arial"/>
                <w:sz w:val="20"/>
                <w:szCs w:val="20"/>
              </w:rPr>
            </w:pPr>
          </w:p>
        </w:tc>
      </w:tr>
      <w:tr w:rsidR="007509C7" w:rsidRPr="00BF20CF" w14:paraId="1FEAC111" w14:textId="77777777" w:rsidTr="007509C7">
        <w:tc>
          <w:tcPr>
            <w:tcW w:w="3055" w:type="dxa"/>
          </w:tcPr>
          <w:p w14:paraId="503D8B65"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%UG</w:t>
            </w:r>
            <w:r w:rsidRPr="00BF20CF">
              <w:rPr>
                <w:rFonts w:ascii="Arial" w:hAnsi="Arial" w:cs="Arial"/>
                <w:sz w:val="20"/>
                <w:szCs w:val="20"/>
                <w:vertAlign w:val="superscript"/>
              </w:rPr>
              <w:t>2</w:t>
            </w:r>
          </w:p>
        </w:tc>
        <w:tc>
          <w:tcPr>
            <w:tcW w:w="1710" w:type="dxa"/>
          </w:tcPr>
          <w:p w14:paraId="64198BA3"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-0.002</w:t>
            </w:r>
          </w:p>
        </w:tc>
        <w:tc>
          <w:tcPr>
            <w:tcW w:w="1530" w:type="dxa"/>
          </w:tcPr>
          <w:p w14:paraId="430EE646"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-0.482</w:t>
            </w:r>
          </w:p>
        </w:tc>
        <w:tc>
          <w:tcPr>
            <w:tcW w:w="1710" w:type="dxa"/>
            <w:tcBorders>
              <w:bottom w:val="single" w:sz="4" w:space="0" w:color="auto"/>
            </w:tcBorders>
            <w:shd w:val="clear" w:color="auto" w:fill="000000"/>
          </w:tcPr>
          <w:p w14:paraId="2DA4E126" w14:textId="77777777" w:rsidR="007509C7" w:rsidRPr="00BF20CF" w:rsidRDefault="007509C7" w:rsidP="003041BF">
            <w:pPr>
              <w:keepLines/>
              <w:rPr>
                <w:rFonts w:ascii="Arial" w:hAnsi="Arial" w:cs="Arial"/>
                <w:sz w:val="20"/>
                <w:szCs w:val="20"/>
              </w:rPr>
            </w:pPr>
          </w:p>
        </w:tc>
        <w:tc>
          <w:tcPr>
            <w:tcW w:w="1440" w:type="dxa"/>
            <w:tcBorders>
              <w:bottom w:val="single" w:sz="4" w:space="0" w:color="auto"/>
            </w:tcBorders>
            <w:shd w:val="clear" w:color="auto" w:fill="000000"/>
          </w:tcPr>
          <w:p w14:paraId="295E40DA" w14:textId="77777777" w:rsidR="007509C7" w:rsidRPr="00BF20CF" w:rsidRDefault="007509C7" w:rsidP="003041BF">
            <w:pPr>
              <w:keepLines/>
              <w:rPr>
                <w:rFonts w:ascii="Arial" w:hAnsi="Arial" w:cs="Arial"/>
                <w:sz w:val="20"/>
                <w:szCs w:val="20"/>
              </w:rPr>
            </w:pPr>
          </w:p>
        </w:tc>
      </w:tr>
      <w:tr w:rsidR="007509C7" w:rsidRPr="00BF20CF" w14:paraId="1838E4F2" w14:textId="77777777" w:rsidTr="007509C7">
        <w:tc>
          <w:tcPr>
            <w:tcW w:w="3055" w:type="dxa"/>
          </w:tcPr>
          <w:p w14:paraId="0BFD62CD"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%UG × %CU (UGU)</w:t>
            </w:r>
          </w:p>
        </w:tc>
        <w:tc>
          <w:tcPr>
            <w:tcW w:w="1710" w:type="dxa"/>
          </w:tcPr>
          <w:p w14:paraId="12C3F9BD"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104.843</w:t>
            </w:r>
          </w:p>
        </w:tc>
        <w:tc>
          <w:tcPr>
            <w:tcW w:w="1530" w:type="dxa"/>
          </w:tcPr>
          <w:p w14:paraId="03508209"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10.564</w:t>
            </w:r>
          </w:p>
        </w:tc>
        <w:tc>
          <w:tcPr>
            <w:tcW w:w="1710" w:type="dxa"/>
            <w:shd w:val="clear" w:color="auto" w:fill="000000"/>
          </w:tcPr>
          <w:p w14:paraId="4299337D" w14:textId="77777777" w:rsidR="007509C7" w:rsidRPr="00BF20CF" w:rsidRDefault="007509C7" w:rsidP="003041BF">
            <w:pPr>
              <w:keepLines/>
              <w:rPr>
                <w:rFonts w:ascii="Arial" w:hAnsi="Arial" w:cs="Arial"/>
                <w:sz w:val="20"/>
                <w:szCs w:val="20"/>
              </w:rPr>
            </w:pPr>
          </w:p>
        </w:tc>
        <w:tc>
          <w:tcPr>
            <w:tcW w:w="1440" w:type="dxa"/>
            <w:shd w:val="clear" w:color="auto" w:fill="000000"/>
          </w:tcPr>
          <w:p w14:paraId="0A59204D" w14:textId="77777777" w:rsidR="007509C7" w:rsidRPr="00BF20CF" w:rsidRDefault="007509C7" w:rsidP="003041BF">
            <w:pPr>
              <w:keepLines/>
              <w:rPr>
                <w:rFonts w:ascii="Arial" w:hAnsi="Arial" w:cs="Arial"/>
                <w:sz w:val="20"/>
                <w:szCs w:val="20"/>
              </w:rPr>
            </w:pPr>
          </w:p>
        </w:tc>
      </w:tr>
      <w:tr w:rsidR="007509C7" w:rsidRPr="00BF20CF" w14:paraId="022B07CC" w14:textId="77777777" w:rsidTr="007509C7">
        <w:tc>
          <w:tcPr>
            <w:tcW w:w="3055" w:type="dxa"/>
          </w:tcPr>
          <w:p w14:paraId="59B3C984"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UGU</w:t>
            </w:r>
            <w:r w:rsidRPr="00BF20CF">
              <w:rPr>
                <w:rFonts w:ascii="Arial" w:hAnsi="Arial" w:cs="Arial"/>
                <w:sz w:val="20"/>
                <w:szCs w:val="20"/>
                <w:vertAlign w:val="superscript"/>
              </w:rPr>
              <w:t>2</w:t>
            </w:r>
          </w:p>
        </w:tc>
        <w:tc>
          <w:tcPr>
            <w:tcW w:w="1710" w:type="dxa"/>
            <w:tcBorders>
              <w:bottom w:val="single" w:sz="4" w:space="0" w:color="auto"/>
            </w:tcBorders>
          </w:tcPr>
          <w:p w14:paraId="6146B03B"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6080.017</w:t>
            </w:r>
          </w:p>
        </w:tc>
        <w:tc>
          <w:tcPr>
            <w:tcW w:w="1530" w:type="dxa"/>
            <w:tcBorders>
              <w:bottom w:val="single" w:sz="4" w:space="0" w:color="auto"/>
            </w:tcBorders>
          </w:tcPr>
          <w:p w14:paraId="6FE3BB1F"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7.620</w:t>
            </w:r>
          </w:p>
        </w:tc>
        <w:tc>
          <w:tcPr>
            <w:tcW w:w="1710" w:type="dxa"/>
            <w:shd w:val="clear" w:color="auto" w:fill="000000"/>
          </w:tcPr>
          <w:p w14:paraId="0E8E7F7D" w14:textId="77777777" w:rsidR="007509C7" w:rsidRPr="00BF20CF" w:rsidRDefault="007509C7" w:rsidP="003041BF">
            <w:pPr>
              <w:keepLines/>
              <w:rPr>
                <w:rFonts w:ascii="Arial" w:hAnsi="Arial" w:cs="Arial"/>
                <w:sz w:val="20"/>
                <w:szCs w:val="20"/>
              </w:rPr>
            </w:pPr>
          </w:p>
        </w:tc>
        <w:tc>
          <w:tcPr>
            <w:tcW w:w="1440" w:type="dxa"/>
            <w:shd w:val="clear" w:color="auto" w:fill="000000"/>
          </w:tcPr>
          <w:p w14:paraId="0BBD8F31" w14:textId="77777777" w:rsidR="007509C7" w:rsidRPr="00BF20CF" w:rsidRDefault="007509C7" w:rsidP="003041BF">
            <w:pPr>
              <w:keepLines/>
              <w:rPr>
                <w:rFonts w:ascii="Arial" w:hAnsi="Arial" w:cs="Arial"/>
                <w:sz w:val="20"/>
                <w:szCs w:val="20"/>
              </w:rPr>
            </w:pPr>
          </w:p>
        </w:tc>
      </w:tr>
      <w:tr w:rsidR="007509C7" w:rsidRPr="00BF20CF" w14:paraId="0352260D" w14:textId="77777777" w:rsidTr="007509C7">
        <w:tc>
          <w:tcPr>
            <w:tcW w:w="3055" w:type="dxa"/>
          </w:tcPr>
          <w:p w14:paraId="47D6CB0A"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Rural Density (RD)</w:t>
            </w:r>
          </w:p>
        </w:tc>
        <w:tc>
          <w:tcPr>
            <w:tcW w:w="1710" w:type="dxa"/>
            <w:shd w:val="clear" w:color="auto" w:fill="000000"/>
          </w:tcPr>
          <w:p w14:paraId="163825BD" w14:textId="77777777" w:rsidR="007509C7" w:rsidRPr="00BF20CF" w:rsidRDefault="007509C7" w:rsidP="003041BF">
            <w:pPr>
              <w:keepLines/>
              <w:rPr>
                <w:rFonts w:ascii="Arial" w:hAnsi="Arial" w:cs="Arial"/>
                <w:sz w:val="20"/>
                <w:szCs w:val="20"/>
              </w:rPr>
            </w:pPr>
          </w:p>
        </w:tc>
        <w:tc>
          <w:tcPr>
            <w:tcW w:w="1530" w:type="dxa"/>
            <w:shd w:val="clear" w:color="auto" w:fill="000000"/>
          </w:tcPr>
          <w:p w14:paraId="030C8BBF" w14:textId="77777777" w:rsidR="007509C7" w:rsidRPr="00BF20CF" w:rsidRDefault="007509C7" w:rsidP="003041BF">
            <w:pPr>
              <w:keepLines/>
              <w:rPr>
                <w:rFonts w:ascii="Arial" w:hAnsi="Arial" w:cs="Arial"/>
                <w:sz w:val="20"/>
                <w:szCs w:val="20"/>
              </w:rPr>
            </w:pPr>
          </w:p>
        </w:tc>
        <w:tc>
          <w:tcPr>
            <w:tcW w:w="1710" w:type="dxa"/>
          </w:tcPr>
          <w:p w14:paraId="1359C7D3"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0.082</w:t>
            </w:r>
          </w:p>
        </w:tc>
        <w:tc>
          <w:tcPr>
            <w:tcW w:w="1440" w:type="dxa"/>
          </w:tcPr>
          <w:p w14:paraId="7653AE49"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26.049</w:t>
            </w:r>
          </w:p>
        </w:tc>
      </w:tr>
      <w:tr w:rsidR="007509C7" w:rsidRPr="00BF20CF" w14:paraId="150AD0D9" w14:textId="77777777" w:rsidTr="007509C7">
        <w:tc>
          <w:tcPr>
            <w:tcW w:w="3055" w:type="dxa"/>
          </w:tcPr>
          <w:p w14:paraId="018A7A32"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RD</w:t>
            </w:r>
            <w:r w:rsidRPr="00BF20CF">
              <w:rPr>
                <w:rFonts w:ascii="Arial" w:hAnsi="Arial" w:cs="Arial"/>
                <w:sz w:val="20"/>
                <w:szCs w:val="20"/>
                <w:vertAlign w:val="superscript"/>
              </w:rPr>
              <w:t>2</w:t>
            </w:r>
          </w:p>
        </w:tc>
        <w:tc>
          <w:tcPr>
            <w:tcW w:w="1710" w:type="dxa"/>
            <w:shd w:val="clear" w:color="auto" w:fill="000000"/>
          </w:tcPr>
          <w:p w14:paraId="387E8FDB" w14:textId="77777777" w:rsidR="007509C7" w:rsidRPr="00BF20CF" w:rsidRDefault="007509C7" w:rsidP="003041BF">
            <w:pPr>
              <w:keepLines/>
              <w:rPr>
                <w:rFonts w:ascii="Arial" w:hAnsi="Arial" w:cs="Arial"/>
                <w:sz w:val="20"/>
                <w:szCs w:val="20"/>
              </w:rPr>
            </w:pPr>
          </w:p>
        </w:tc>
        <w:tc>
          <w:tcPr>
            <w:tcW w:w="1530" w:type="dxa"/>
            <w:shd w:val="clear" w:color="auto" w:fill="000000"/>
          </w:tcPr>
          <w:p w14:paraId="6A619E2A" w14:textId="77777777" w:rsidR="007509C7" w:rsidRPr="00BF20CF" w:rsidRDefault="007509C7" w:rsidP="003041BF">
            <w:pPr>
              <w:keepLines/>
              <w:rPr>
                <w:rFonts w:ascii="Arial" w:hAnsi="Arial" w:cs="Arial"/>
                <w:sz w:val="20"/>
                <w:szCs w:val="20"/>
              </w:rPr>
            </w:pPr>
          </w:p>
        </w:tc>
        <w:tc>
          <w:tcPr>
            <w:tcW w:w="1710" w:type="dxa"/>
          </w:tcPr>
          <w:p w14:paraId="3DFDA7A5"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0.029</w:t>
            </w:r>
          </w:p>
        </w:tc>
        <w:tc>
          <w:tcPr>
            <w:tcW w:w="1440" w:type="dxa"/>
          </w:tcPr>
          <w:p w14:paraId="47153E7B"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15.834</w:t>
            </w:r>
          </w:p>
        </w:tc>
      </w:tr>
      <w:tr w:rsidR="007509C7" w:rsidRPr="00BF20CF" w14:paraId="7CCF581E" w14:textId="77777777" w:rsidTr="007509C7">
        <w:tc>
          <w:tcPr>
            <w:tcW w:w="3055" w:type="dxa"/>
          </w:tcPr>
          <w:p w14:paraId="5AFAD857"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Temperature (HDD + CDD)</w:t>
            </w:r>
          </w:p>
        </w:tc>
        <w:tc>
          <w:tcPr>
            <w:tcW w:w="1710" w:type="dxa"/>
            <w:shd w:val="clear" w:color="auto" w:fill="000000"/>
          </w:tcPr>
          <w:p w14:paraId="644A74B2" w14:textId="77777777" w:rsidR="007509C7" w:rsidRPr="00BF20CF" w:rsidRDefault="007509C7" w:rsidP="003041BF">
            <w:pPr>
              <w:keepLines/>
              <w:rPr>
                <w:rFonts w:ascii="Arial" w:hAnsi="Arial" w:cs="Arial"/>
                <w:sz w:val="20"/>
                <w:szCs w:val="20"/>
              </w:rPr>
            </w:pPr>
          </w:p>
        </w:tc>
        <w:tc>
          <w:tcPr>
            <w:tcW w:w="1530" w:type="dxa"/>
            <w:shd w:val="clear" w:color="auto" w:fill="000000"/>
          </w:tcPr>
          <w:p w14:paraId="176BAA82" w14:textId="77777777" w:rsidR="007509C7" w:rsidRPr="00BF20CF" w:rsidRDefault="007509C7" w:rsidP="003041BF">
            <w:pPr>
              <w:keepLines/>
              <w:rPr>
                <w:rFonts w:ascii="Arial" w:hAnsi="Arial" w:cs="Arial"/>
                <w:sz w:val="20"/>
                <w:szCs w:val="20"/>
              </w:rPr>
            </w:pPr>
          </w:p>
        </w:tc>
        <w:tc>
          <w:tcPr>
            <w:tcW w:w="1710" w:type="dxa"/>
          </w:tcPr>
          <w:p w14:paraId="1878E88A"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0.000</w:t>
            </w:r>
          </w:p>
        </w:tc>
        <w:tc>
          <w:tcPr>
            <w:tcW w:w="1440" w:type="dxa"/>
          </w:tcPr>
          <w:p w14:paraId="717DA928"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3.193</w:t>
            </w:r>
          </w:p>
        </w:tc>
      </w:tr>
      <w:tr w:rsidR="007509C7" w:rsidRPr="00BF20CF" w14:paraId="7ED90508" w14:textId="77777777" w:rsidTr="003041BF">
        <w:tc>
          <w:tcPr>
            <w:tcW w:w="3055" w:type="dxa"/>
          </w:tcPr>
          <w:p w14:paraId="39746904"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Ontario (Binary Variable)</w:t>
            </w:r>
          </w:p>
        </w:tc>
        <w:tc>
          <w:tcPr>
            <w:tcW w:w="1710" w:type="dxa"/>
          </w:tcPr>
          <w:p w14:paraId="41ED8A81"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-0.304</w:t>
            </w:r>
          </w:p>
        </w:tc>
        <w:tc>
          <w:tcPr>
            <w:tcW w:w="1530" w:type="dxa"/>
          </w:tcPr>
          <w:p w14:paraId="50E75EB7"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-35.592</w:t>
            </w:r>
          </w:p>
        </w:tc>
        <w:tc>
          <w:tcPr>
            <w:tcW w:w="1710" w:type="dxa"/>
          </w:tcPr>
          <w:p w14:paraId="572962E1" w14:textId="77777777" w:rsidR="007509C7" w:rsidRPr="00BF20CF" w:rsidRDefault="007509C7" w:rsidP="003041BF">
            <w:pPr>
              <w:keepLines/>
              <w:rPr>
                <w:rFonts w:ascii="Arial" w:hAnsi="Arial" w:cs="Arial"/>
                <w:sz w:val="20"/>
                <w:szCs w:val="20"/>
              </w:rPr>
            </w:pPr>
          </w:p>
        </w:tc>
        <w:tc>
          <w:tcPr>
            <w:tcW w:w="1440" w:type="dxa"/>
          </w:tcPr>
          <w:p w14:paraId="69C327C1" w14:textId="77777777" w:rsidR="007509C7" w:rsidRPr="00BF20CF" w:rsidRDefault="007509C7" w:rsidP="003041BF">
            <w:pPr>
              <w:keepLines/>
              <w:rPr>
                <w:rFonts w:ascii="Arial" w:hAnsi="Arial" w:cs="Arial"/>
                <w:sz w:val="20"/>
                <w:szCs w:val="20"/>
              </w:rPr>
            </w:pPr>
          </w:p>
        </w:tc>
      </w:tr>
      <w:tr w:rsidR="007509C7" w:rsidRPr="00BF20CF" w14:paraId="5887A834" w14:textId="77777777" w:rsidTr="003041BF">
        <w:tc>
          <w:tcPr>
            <w:tcW w:w="3055" w:type="dxa"/>
          </w:tcPr>
          <w:p w14:paraId="66A2EFA7"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Trend</w:t>
            </w:r>
          </w:p>
        </w:tc>
        <w:tc>
          <w:tcPr>
            <w:tcW w:w="1710" w:type="dxa"/>
          </w:tcPr>
          <w:p w14:paraId="13D0BB4D"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-0.005</w:t>
            </w:r>
          </w:p>
        </w:tc>
        <w:tc>
          <w:tcPr>
            <w:tcW w:w="1530" w:type="dxa"/>
          </w:tcPr>
          <w:p w14:paraId="49AE4673"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-8.463</w:t>
            </w:r>
          </w:p>
        </w:tc>
        <w:tc>
          <w:tcPr>
            <w:tcW w:w="1710" w:type="dxa"/>
          </w:tcPr>
          <w:p w14:paraId="3DD17C93"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-0.004</w:t>
            </w:r>
          </w:p>
        </w:tc>
        <w:tc>
          <w:tcPr>
            <w:tcW w:w="1440" w:type="dxa"/>
          </w:tcPr>
          <w:p w14:paraId="28A4E23B" w14:textId="77777777" w:rsidR="007509C7" w:rsidRPr="00BF20CF" w:rsidRDefault="007509C7" w:rsidP="003041BF">
            <w:pPr>
              <w:keepLines/>
              <w:rPr>
                <w:rFonts w:ascii="Arial" w:hAnsi="Arial" w:cs="Arial"/>
                <w:sz w:val="20"/>
                <w:szCs w:val="20"/>
              </w:rPr>
            </w:pPr>
            <w:r w:rsidRPr="00BF20CF">
              <w:rPr>
                <w:rFonts w:ascii="Arial" w:hAnsi="Arial" w:cs="Arial"/>
                <w:sz w:val="20"/>
                <w:szCs w:val="20"/>
              </w:rPr>
              <w:t>-4.211</w:t>
            </w:r>
          </w:p>
        </w:tc>
      </w:tr>
    </w:tbl>
    <w:p w14:paraId="674CCAA0"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The blacked-out cells indicate that the variable was omitted in the final model in each study.</w:t>
      </w:r>
    </w:p>
    <w:p w14:paraId="08064002"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OEB staff observes that there are several differences between the total cost benchmarking models from the Toronto Hydro Custom IR and that in </w:t>
      </w:r>
      <w:proofErr w:type="spellStart"/>
      <w:r w:rsidRPr="00BF20CF">
        <w:rPr>
          <w:rFonts w:ascii="Arial" w:eastAsia="Calibri" w:hAnsi="Arial" w:cs="Arial"/>
        </w:rPr>
        <w:t>Clearspring’s</w:t>
      </w:r>
      <w:proofErr w:type="spellEnd"/>
      <w:r w:rsidRPr="00BF20CF">
        <w:rPr>
          <w:rFonts w:ascii="Arial" w:eastAsia="Calibri" w:hAnsi="Arial" w:cs="Arial"/>
        </w:rPr>
        <w:t xml:space="preserve"> evidence filed in this Application.</w:t>
      </w:r>
    </w:p>
    <w:p w14:paraId="4F5D7571" w14:textId="77777777" w:rsidR="00123CD1" w:rsidRPr="00BF20CF" w:rsidRDefault="00123CD1" w:rsidP="003041BF">
      <w:pPr>
        <w:spacing w:before="240" w:after="120" w:line="276" w:lineRule="auto"/>
        <w:rPr>
          <w:rFonts w:ascii="Arial" w:eastAsia="Calibri" w:hAnsi="Arial" w:cs="Arial"/>
        </w:rPr>
      </w:pPr>
      <w:r w:rsidRPr="00BF20CF">
        <w:rPr>
          <w:rFonts w:ascii="Arial" w:eastAsia="Calibri" w:hAnsi="Arial" w:cs="Arial"/>
        </w:rPr>
        <w:br w:type="page"/>
      </w:r>
    </w:p>
    <w:p w14:paraId="72D24512" w14:textId="5775702E"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lastRenderedPageBreak/>
        <w:t>Question</w:t>
      </w:r>
      <w:r w:rsidR="0039317E" w:rsidRPr="00BF20CF">
        <w:rPr>
          <w:rFonts w:ascii="Arial" w:eastAsia="Calibri" w:hAnsi="Arial" w:cs="Arial"/>
        </w:rPr>
        <w:t>(</w:t>
      </w:r>
      <w:r w:rsidRPr="00BF20CF">
        <w:rPr>
          <w:rFonts w:ascii="Arial" w:eastAsia="Calibri" w:hAnsi="Arial" w:cs="Arial"/>
        </w:rPr>
        <w:t>s</w:t>
      </w:r>
      <w:r w:rsidR="0039317E" w:rsidRPr="00BF20CF">
        <w:rPr>
          <w:rFonts w:ascii="Arial" w:eastAsia="Calibri" w:hAnsi="Arial" w:cs="Arial"/>
        </w:rPr>
        <w:t>)</w:t>
      </w:r>
      <w:r w:rsidRPr="00BF20CF">
        <w:rPr>
          <w:rFonts w:ascii="Arial" w:eastAsia="Calibri" w:hAnsi="Arial" w:cs="Arial"/>
        </w:rPr>
        <w:t>:</w:t>
      </w:r>
    </w:p>
    <w:p w14:paraId="07B0B429" w14:textId="76E3A711" w:rsidR="007509C7" w:rsidRPr="00BF20CF" w:rsidRDefault="007509C7" w:rsidP="00876E97">
      <w:pPr>
        <w:numPr>
          <w:ilvl w:val="3"/>
          <w:numId w:val="61"/>
        </w:numPr>
        <w:autoSpaceDE w:val="0"/>
        <w:autoSpaceDN w:val="0"/>
        <w:adjustRightInd w:val="0"/>
        <w:spacing w:before="240" w:after="120" w:line="276" w:lineRule="auto"/>
        <w:ind w:left="720"/>
        <w:contextualSpacing/>
        <w:rPr>
          <w:rFonts w:ascii="Arial" w:hAnsi="Arial" w:cs="Arial"/>
          <w:lang w:val="en-CA"/>
        </w:rPr>
      </w:pPr>
      <w:r w:rsidRPr="00BF20CF">
        <w:rPr>
          <w:rFonts w:ascii="Arial" w:hAnsi="Arial" w:cs="Arial"/>
          <w:lang w:val="en-CA"/>
        </w:rPr>
        <w:t>Please re-file Table 6 in this proceeding with a standard regression table format, including summary statistics such as F-statistic, R</w:t>
      </w:r>
      <w:r w:rsidRPr="00BF20CF">
        <w:rPr>
          <w:rFonts w:ascii="Arial" w:hAnsi="Arial" w:cs="Arial"/>
          <w:vertAlign w:val="superscript"/>
          <w:lang w:val="en-CA"/>
        </w:rPr>
        <w:t>2</w:t>
      </w:r>
      <w:r w:rsidRPr="00BF20CF">
        <w:rPr>
          <w:rFonts w:ascii="Arial" w:hAnsi="Arial" w:cs="Arial"/>
          <w:lang w:val="en-CA"/>
        </w:rPr>
        <w:t>, adjusted R</w:t>
      </w:r>
      <w:r w:rsidRPr="00BF20CF">
        <w:rPr>
          <w:rFonts w:ascii="Arial" w:hAnsi="Arial" w:cs="Arial"/>
          <w:vertAlign w:val="superscript"/>
          <w:lang w:val="en-CA"/>
        </w:rPr>
        <w:t>2</w:t>
      </w:r>
      <w:r w:rsidRPr="00BF20CF">
        <w:rPr>
          <w:rFonts w:ascii="Arial" w:hAnsi="Arial" w:cs="Arial"/>
          <w:lang w:val="en-CA"/>
        </w:rPr>
        <w:t>, Durbin-Watson statistic, etc.</w:t>
      </w:r>
    </w:p>
    <w:p w14:paraId="168D3DE6" w14:textId="77777777" w:rsidR="00123CD1" w:rsidRPr="00BF20CF" w:rsidRDefault="00123CD1" w:rsidP="00123CD1">
      <w:pPr>
        <w:autoSpaceDE w:val="0"/>
        <w:autoSpaceDN w:val="0"/>
        <w:adjustRightInd w:val="0"/>
        <w:spacing w:before="240" w:after="120" w:line="276" w:lineRule="auto"/>
        <w:ind w:left="720"/>
        <w:contextualSpacing/>
        <w:rPr>
          <w:rFonts w:ascii="Arial" w:hAnsi="Arial" w:cs="Arial"/>
          <w:lang w:val="en-CA"/>
        </w:rPr>
      </w:pPr>
    </w:p>
    <w:p w14:paraId="20FC3CAC" w14:textId="6D4F9AE1" w:rsidR="007509C7" w:rsidRPr="00BF20CF" w:rsidRDefault="007509C7" w:rsidP="00876E97">
      <w:pPr>
        <w:numPr>
          <w:ilvl w:val="3"/>
          <w:numId w:val="61"/>
        </w:numPr>
        <w:autoSpaceDE w:val="0"/>
        <w:autoSpaceDN w:val="0"/>
        <w:adjustRightInd w:val="0"/>
        <w:spacing w:before="240" w:after="120" w:line="276" w:lineRule="auto"/>
        <w:ind w:left="720"/>
        <w:contextualSpacing/>
        <w:rPr>
          <w:rFonts w:ascii="Arial" w:hAnsi="Arial" w:cs="Arial"/>
          <w:lang w:val="en-CA"/>
        </w:rPr>
      </w:pPr>
      <w:r w:rsidRPr="00BF20CF">
        <w:rPr>
          <w:rFonts w:ascii="Arial" w:hAnsi="Arial" w:cs="Arial"/>
          <w:lang w:val="en-CA"/>
        </w:rPr>
        <w:t>Please confirm or correct the table above.</w:t>
      </w:r>
    </w:p>
    <w:p w14:paraId="21F59E1B" w14:textId="588CE63F" w:rsidR="00123CD1" w:rsidRPr="00BF20CF" w:rsidRDefault="00123CD1" w:rsidP="00123CD1">
      <w:pPr>
        <w:autoSpaceDE w:val="0"/>
        <w:autoSpaceDN w:val="0"/>
        <w:adjustRightInd w:val="0"/>
        <w:spacing w:before="240" w:after="120" w:line="276" w:lineRule="auto"/>
        <w:ind w:left="720"/>
        <w:contextualSpacing/>
        <w:rPr>
          <w:rFonts w:ascii="Arial" w:hAnsi="Arial" w:cs="Arial"/>
          <w:lang w:val="en-CA"/>
        </w:rPr>
      </w:pPr>
    </w:p>
    <w:p w14:paraId="07B059AC" w14:textId="77777777" w:rsidR="007509C7" w:rsidRPr="00BF20CF" w:rsidRDefault="007509C7" w:rsidP="00876E97">
      <w:pPr>
        <w:numPr>
          <w:ilvl w:val="3"/>
          <w:numId w:val="61"/>
        </w:numPr>
        <w:autoSpaceDE w:val="0"/>
        <w:autoSpaceDN w:val="0"/>
        <w:adjustRightInd w:val="0"/>
        <w:spacing w:before="240" w:after="120" w:line="276" w:lineRule="auto"/>
        <w:ind w:left="720"/>
        <w:contextualSpacing/>
        <w:rPr>
          <w:rFonts w:ascii="Arial" w:hAnsi="Arial" w:cs="Arial"/>
          <w:lang w:val="en-CA"/>
        </w:rPr>
      </w:pPr>
      <w:r w:rsidRPr="00BF20CF">
        <w:rPr>
          <w:rFonts w:ascii="Arial" w:hAnsi="Arial" w:cs="Arial"/>
          <w:lang w:val="en-CA"/>
        </w:rPr>
        <w:t xml:space="preserve">The Temperature variable, contained only in the total cost benchmarking model filed in this Application, has an estimated coefficient of 0.000, but is statistically significant. </w:t>
      </w:r>
    </w:p>
    <w:p w14:paraId="136CBE08" w14:textId="77777777" w:rsidR="007509C7" w:rsidRPr="00BF20CF" w:rsidRDefault="007509C7" w:rsidP="00876E97">
      <w:pPr>
        <w:numPr>
          <w:ilvl w:val="4"/>
          <w:numId w:val="74"/>
        </w:numPr>
        <w:autoSpaceDE w:val="0"/>
        <w:autoSpaceDN w:val="0"/>
        <w:adjustRightInd w:val="0"/>
        <w:spacing w:before="240" w:after="120" w:line="276" w:lineRule="auto"/>
        <w:ind w:left="1440"/>
        <w:contextualSpacing/>
        <w:rPr>
          <w:rFonts w:ascii="Arial" w:hAnsi="Arial" w:cs="Arial"/>
          <w:lang w:val="en-CA"/>
        </w:rPr>
      </w:pPr>
      <w:r w:rsidRPr="00BF20CF">
        <w:rPr>
          <w:rFonts w:ascii="Arial" w:hAnsi="Arial" w:cs="Arial"/>
          <w:lang w:val="en-CA"/>
        </w:rPr>
        <w:t>What is the value of the estimated coefficient expressed in scientific notation? (i.e., X.XXX × 10</w:t>
      </w:r>
      <w:r w:rsidRPr="00BF20CF">
        <w:rPr>
          <w:rFonts w:ascii="Arial" w:hAnsi="Arial" w:cs="Arial"/>
          <w:vertAlign w:val="superscript"/>
          <w:lang w:val="en-CA"/>
        </w:rPr>
        <w:t>y</w:t>
      </w:r>
      <w:r w:rsidRPr="00BF20CF">
        <w:rPr>
          <w:rFonts w:ascii="Arial" w:hAnsi="Arial" w:cs="Arial"/>
          <w:lang w:val="en-CA"/>
        </w:rPr>
        <w:t xml:space="preserve">)? </w:t>
      </w:r>
    </w:p>
    <w:p w14:paraId="4DC2E244" w14:textId="5B4E3177" w:rsidR="007509C7" w:rsidRPr="00BF20CF" w:rsidRDefault="007509C7" w:rsidP="00876E97">
      <w:pPr>
        <w:numPr>
          <w:ilvl w:val="4"/>
          <w:numId w:val="74"/>
        </w:numPr>
        <w:autoSpaceDE w:val="0"/>
        <w:autoSpaceDN w:val="0"/>
        <w:adjustRightInd w:val="0"/>
        <w:spacing w:before="240" w:after="120" w:line="276" w:lineRule="auto"/>
        <w:ind w:left="1440"/>
        <w:contextualSpacing/>
        <w:rPr>
          <w:rFonts w:ascii="Arial" w:hAnsi="Arial" w:cs="Arial"/>
          <w:lang w:val="en-CA"/>
        </w:rPr>
      </w:pPr>
      <w:r w:rsidRPr="00BF20CF">
        <w:rPr>
          <w:rFonts w:ascii="Arial" w:hAnsi="Arial" w:cs="Arial"/>
          <w:lang w:val="en-CA"/>
        </w:rPr>
        <w:t>What is the unit of measurement, and is the variable transformed in the estimated total cost benchmarking model?</w:t>
      </w:r>
    </w:p>
    <w:p w14:paraId="61CC861C" w14:textId="77777777" w:rsidR="00123CD1" w:rsidRPr="00BF20CF" w:rsidRDefault="00123CD1" w:rsidP="00123CD1">
      <w:pPr>
        <w:autoSpaceDE w:val="0"/>
        <w:autoSpaceDN w:val="0"/>
        <w:adjustRightInd w:val="0"/>
        <w:spacing w:before="240" w:after="120" w:line="276" w:lineRule="auto"/>
        <w:ind w:left="1440"/>
        <w:contextualSpacing/>
        <w:rPr>
          <w:rFonts w:ascii="Arial" w:hAnsi="Arial" w:cs="Arial"/>
          <w:lang w:val="en-CA"/>
        </w:rPr>
      </w:pPr>
    </w:p>
    <w:p w14:paraId="486F2EBB" w14:textId="21349616" w:rsidR="007509C7" w:rsidRPr="00BF20CF" w:rsidRDefault="007509C7" w:rsidP="00876E97">
      <w:pPr>
        <w:numPr>
          <w:ilvl w:val="3"/>
          <w:numId w:val="61"/>
        </w:numPr>
        <w:autoSpaceDE w:val="0"/>
        <w:autoSpaceDN w:val="0"/>
        <w:adjustRightInd w:val="0"/>
        <w:spacing w:before="240" w:after="120" w:line="276" w:lineRule="auto"/>
        <w:ind w:left="720"/>
        <w:contextualSpacing/>
        <w:rPr>
          <w:rFonts w:ascii="Arial" w:hAnsi="Arial" w:cs="Arial"/>
          <w:lang w:val="en-CA"/>
        </w:rPr>
      </w:pPr>
      <w:r w:rsidRPr="00BF20CF">
        <w:rPr>
          <w:rFonts w:ascii="Arial" w:hAnsi="Arial" w:cs="Arial"/>
          <w:lang w:val="en-CA"/>
        </w:rPr>
        <w:t xml:space="preserve">Undergrounding was contained in the Toronto Hydro model, but has been dropped in the current model; this also includes quadratic and cross-product terms (i.e., interaction with congested urban). This seems counter-intuitive, as undergrounding of distribution services increases capital costs, but should also, intuitively, result in increased reliability and lower OM&amp;A. Also, in recent decades (e.g. from the 1970s or 1980s), many municipalities have undergrounding requirements (for at least new developments) also for aesthetic reasons. OEB staff observes that </w:t>
      </w:r>
      <w:proofErr w:type="spellStart"/>
      <w:r w:rsidRPr="00BF20CF">
        <w:rPr>
          <w:rFonts w:ascii="Arial" w:hAnsi="Arial" w:cs="Arial"/>
          <w:lang w:val="en-CA"/>
        </w:rPr>
        <w:t>Clearspring</w:t>
      </w:r>
      <w:proofErr w:type="spellEnd"/>
      <w:r w:rsidRPr="00BF20CF">
        <w:rPr>
          <w:rFonts w:ascii="Arial" w:hAnsi="Arial" w:cs="Arial"/>
          <w:lang w:val="en-CA"/>
        </w:rPr>
        <w:t xml:space="preserve"> has retained the undergrounding variable in the SAIFI and CAIDI reliability models. Please explain why </w:t>
      </w:r>
      <w:proofErr w:type="spellStart"/>
      <w:r w:rsidRPr="00BF20CF">
        <w:rPr>
          <w:rFonts w:ascii="Arial" w:hAnsi="Arial" w:cs="Arial"/>
          <w:lang w:val="en-CA"/>
        </w:rPr>
        <w:t>Clearspring</w:t>
      </w:r>
      <w:proofErr w:type="spellEnd"/>
      <w:r w:rsidRPr="00BF20CF">
        <w:rPr>
          <w:rFonts w:ascii="Arial" w:hAnsi="Arial" w:cs="Arial"/>
          <w:lang w:val="en-CA"/>
        </w:rPr>
        <w:t xml:space="preserve"> has omitted %</w:t>
      </w:r>
      <w:proofErr w:type="gramStart"/>
      <w:r w:rsidRPr="00BF20CF">
        <w:rPr>
          <w:rFonts w:ascii="Arial" w:hAnsi="Arial" w:cs="Arial"/>
          <w:lang w:val="en-CA"/>
        </w:rPr>
        <w:t>Undergrounding</w:t>
      </w:r>
      <w:proofErr w:type="gramEnd"/>
      <w:r w:rsidRPr="00BF20CF">
        <w:rPr>
          <w:rFonts w:ascii="Arial" w:hAnsi="Arial" w:cs="Arial"/>
          <w:lang w:val="en-CA"/>
        </w:rPr>
        <w:t xml:space="preserve"> from its total cost benchmarking model.</w:t>
      </w:r>
    </w:p>
    <w:p w14:paraId="796E9EF5" w14:textId="77777777" w:rsidR="00123CD1" w:rsidRPr="00BF20CF" w:rsidRDefault="00123CD1" w:rsidP="00123CD1">
      <w:pPr>
        <w:autoSpaceDE w:val="0"/>
        <w:autoSpaceDN w:val="0"/>
        <w:adjustRightInd w:val="0"/>
        <w:spacing w:before="240" w:after="120" w:line="276" w:lineRule="auto"/>
        <w:ind w:left="720"/>
        <w:contextualSpacing/>
        <w:rPr>
          <w:rFonts w:ascii="Arial" w:hAnsi="Arial" w:cs="Arial"/>
          <w:lang w:val="en-CA"/>
        </w:rPr>
      </w:pPr>
    </w:p>
    <w:p w14:paraId="6C60A894" w14:textId="77777777" w:rsidR="007509C7" w:rsidRPr="00BF20CF" w:rsidRDefault="007509C7" w:rsidP="00876E97">
      <w:pPr>
        <w:numPr>
          <w:ilvl w:val="3"/>
          <w:numId w:val="61"/>
        </w:numPr>
        <w:autoSpaceDE w:val="0"/>
        <w:autoSpaceDN w:val="0"/>
        <w:adjustRightInd w:val="0"/>
        <w:spacing w:before="240" w:after="120" w:line="276" w:lineRule="auto"/>
        <w:ind w:left="720"/>
        <w:contextualSpacing/>
        <w:rPr>
          <w:rFonts w:ascii="Arial" w:hAnsi="Arial" w:cs="Arial"/>
          <w:lang w:val="en-CA"/>
        </w:rPr>
      </w:pPr>
      <w:r w:rsidRPr="00BF20CF">
        <w:rPr>
          <w:rFonts w:ascii="Arial" w:hAnsi="Arial" w:cs="Arial"/>
          <w:lang w:val="en-CA"/>
        </w:rPr>
        <w:t>% Congested Urban had an estimated coefficient of 160.845 in PSE’s total cost model filed in EB-2018-0165, but the coefficient estimate has decreased to 25.912. Based on the estimated standard deviations, the change in the coefficient estimate would appear to be material. Quadratic and cross-product terms of %Congested Urban have been omitted from the model filed in this Application. Please provide an explanation for the change in variable specification (i.e. omission of quadratic and cross-product terms for %Congested Urban) and the change in the estimated coefficient.</w:t>
      </w:r>
    </w:p>
    <w:p w14:paraId="406F3D64" w14:textId="77777777" w:rsidR="0039317E" w:rsidRPr="00BF20CF" w:rsidRDefault="0039317E" w:rsidP="0039317E">
      <w:pPr>
        <w:spacing w:line="276" w:lineRule="auto"/>
        <w:rPr>
          <w:rFonts w:ascii="Arial" w:eastAsia="Calibri" w:hAnsi="Arial" w:cs="Arial"/>
          <w:b/>
        </w:rPr>
      </w:pPr>
    </w:p>
    <w:p w14:paraId="6BEE7838" w14:textId="77777777" w:rsidR="00123CD1" w:rsidRPr="00BF20CF" w:rsidRDefault="00123CD1" w:rsidP="0039317E">
      <w:pPr>
        <w:spacing w:line="276" w:lineRule="auto"/>
        <w:rPr>
          <w:rFonts w:ascii="Arial" w:eastAsia="Calibri" w:hAnsi="Arial" w:cs="Arial"/>
          <w:b/>
        </w:rPr>
      </w:pPr>
      <w:r w:rsidRPr="00BF20CF">
        <w:rPr>
          <w:rFonts w:ascii="Arial" w:eastAsia="Calibri" w:hAnsi="Arial" w:cs="Arial"/>
          <w:b/>
        </w:rPr>
        <w:br w:type="page"/>
      </w:r>
    </w:p>
    <w:p w14:paraId="53301E24" w14:textId="3E4B5AFD" w:rsidR="007509C7" w:rsidRPr="00BF20CF" w:rsidRDefault="007509C7" w:rsidP="0039317E">
      <w:pPr>
        <w:spacing w:line="276" w:lineRule="auto"/>
        <w:rPr>
          <w:rFonts w:ascii="Arial" w:eastAsia="Calibri" w:hAnsi="Arial" w:cs="Arial"/>
          <w:b/>
        </w:rPr>
      </w:pPr>
      <w:r w:rsidRPr="00BF20CF">
        <w:rPr>
          <w:rFonts w:ascii="Arial" w:eastAsia="Calibri" w:hAnsi="Arial" w:cs="Arial"/>
          <w:b/>
        </w:rPr>
        <w:lastRenderedPageBreak/>
        <w:t>1-Staff-</w:t>
      </w:r>
      <w:r w:rsidR="00B2431E" w:rsidRPr="00BF20CF">
        <w:rPr>
          <w:rFonts w:ascii="Arial" w:eastAsia="Calibri" w:hAnsi="Arial" w:cs="Arial"/>
          <w:b/>
        </w:rPr>
        <w:t>18</w:t>
      </w:r>
    </w:p>
    <w:p w14:paraId="780125F7" w14:textId="77777777" w:rsidR="007509C7" w:rsidRPr="00BF20CF" w:rsidRDefault="007509C7" w:rsidP="0039317E">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 xml:space="preserve">Exhibit 1/Tab 1/Schedule 12/Attachment </w:t>
      </w:r>
      <w:proofErr w:type="gramStart"/>
      <w:r w:rsidRPr="00BF20CF">
        <w:rPr>
          <w:rFonts w:ascii="Arial" w:eastAsia="Calibri" w:hAnsi="Arial" w:cs="Arial"/>
          <w:b/>
        </w:rPr>
        <w:t>A</w:t>
      </w:r>
      <w:proofErr w:type="gramEnd"/>
      <w:r w:rsidRPr="00BF20CF">
        <w:rPr>
          <w:rFonts w:ascii="Arial" w:eastAsia="Calibri" w:hAnsi="Arial" w:cs="Arial"/>
          <w:b/>
        </w:rPr>
        <w:br/>
      </w:r>
      <w:r w:rsidRPr="00BF20CF">
        <w:rPr>
          <w:rFonts w:ascii="Arial" w:eastAsia="Calibri" w:hAnsi="Arial" w:cs="Arial"/>
          <w:b/>
        </w:rPr>
        <w:tab/>
        <w:t>EB-2017-0049, Decision and Order, March 7, 2019</w:t>
      </w:r>
    </w:p>
    <w:p w14:paraId="5F1A5B3B"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112AD2DC" w14:textId="77777777" w:rsidR="007509C7" w:rsidRPr="00BF20CF" w:rsidRDefault="007509C7" w:rsidP="003041BF">
      <w:pPr>
        <w:spacing w:before="240" w:after="120" w:line="276" w:lineRule="auto"/>
        <w:rPr>
          <w:rFonts w:ascii="Arial" w:eastAsia="Calibri" w:hAnsi="Arial" w:cs="Arial"/>
        </w:rPr>
      </w:pPr>
      <w:proofErr w:type="spellStart"/>
      <w:r w:rsidRPr="00BF20CF">
        <w:rPr>
          <w:rFonts w:ascii="Arial" w:eastAsia="Calibri" w:hAnsi="Arial" w:cs="Arial"/>
        </w:rPr>
        <w:t>Clearspring</w:t>
      </w:r>
      <w:proofErr w:type="spellEnd"/>
      <w:r w:rsidRPr="00BF20CF">
        <w:rPr>
          <w:rFonts w:ascii="Arial" w:eastAsia="Calibri" w:hAnsi="Arial" w:cs="Arial"/>
        </w:rPr>
        <w:t xml:space="preserve"> has included Hydro One Networks in its sample. This utility was not in the sample for PSE’s total cost and reliability benchmarking evidence filed in Toronto Hydro’s recent Custom IR application (EB-2018-0165). However, PSE did file similar total cost benchmarking evidence for Hydro One Networks’ Custom IR plan for distribution rates for 2018-2022 considered by the OEB in EB-2017-0049. The OEB issued its decision on March 7, 2019.</w:t>
      </w:r>
    </w:p>
    <w:p w14:paraId="32E7EF08"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Hydro One Networks’ data was, for obvious reasons, part of the sample for the total cost benchmarking in EB-2017-0049. OEB staff and its consultant, PEG, raised a concern in that proceeding with respect to the service territory documented for Hydro One Networks being larger than the land are for the province of Ontario, and also noted that there were extensive areas in northern Ontario, as well as large park areas in the province not serviced by Hydro One Networks. The OEB, in Decision and Order EB-2017-0049, noted:</w:t>
      </w:r>
      <w:r w:rsidRPr="00BF20CF">
        <w:rPr>
          <w:rFonts w:ascii="Arial" w:eastAsia="Calibri" w:hAnsi="Arial" w:cs="Arial"/>
          <w:vertAlign w:val="superscript"/>
        </w:rPr>
        <w:footnoteReference w:id="13"/>
      </w:r>
    </w:p>
    <w:p w14:paraId="06C9C6B9" w14:textId="77777777" w:rsidR="007509C7" w:rsidRPr="00BF20CF" w:rsidRDefault="007509C7" w:rsidP="00F3144B">
      <w:pPr>
        <w:spacing w:before="120" w:after="120" w:line="276" w:lineRule="auto"/>
        <w:ind w:left="720" w:right="720"/>
        <w:rPr>
          <w:rFonts w:ascii="Arial" w:eastAsia="Calibri" w:hAnsi="Arial" w:cs="Arial"/>
          <w:vertAlign w:val="superscript"/>
        </w:rPr>
      </w:pPr>
      <w:r w:rsidRPr="00BF20CF">
        <w:rPr>
          <w:rFonts w:ascii="Arial" w:eastAsia="Calibri" w:hAnsi="Arial" w:cs="Arial"/>
        </w:rPr>
        <w:t>One issue of concern raised by PEG and OEB staff was the use by PSE of service area as a business condition variable for the benchmarking analysis. PEG highlighted a threshold issue of “whether the territory is the area which the utility must stand ready to serve if demand arises or the (often much smaller) area it actually serves”.</w:t>
      </w:r>
      <w:r w:rsidRPr="00BF20CF">
        <w:rPr>
          <w:rFonts w:ascii="Arial" w:eastAsia="Calibri" w:hAnsi="Arial" w:cs="Arial"/>
          <w:vertAlign w:val="superscript"/>
        </w:rPr>
        <w:t>55</w:t>
      </w:r>
      <w:r w:rsidRPr="00BF20CF">
        <w:rPr>
          <w:rFonts w:ascii="Arial" w:eastAsia="Calibri" w:hAnsi="Arial" w:cs="Arial"/>
        </w:rPr>
        <w:t xml:space="preserve"> OEB staff noted that “Hydro One is claiming huge unserved areas of the province as its service territory in spite of the fact that there is no electrification and no likelihood of electrification in the foreseeable future”. OEB staff submitted that a better parameter to use would be density expressed as customers per km of line. OEB staff however, agreed with PEG’s assessment that there is not enough information to suggest a stretch factor other than 0.45%. OEB staff submitted that Hydro One should be directed to improve its information on its actual served territory. QMA supported OEB staff’s submission.</w:t>
      </w:r>
      <w:r w:rsidRPr="00BF20CF">
        <w:rPr>
          <w:rFonts w:ascii="Arial" w:eastAsia="Calibri" w:hAnsi="Arial" w:cs="Arial"/>
          <w:vertAlign w:val="superscript"/>
        </w:rPr>
        <w:t>56</w:t>
      </w:r>
    </w:p>
    <w:p w14:paraId="05D95F42" w14:textId="77777777" w:rsidR="007509C7" w:rsidRPr="00BF20CF" w:rsidRDefault="007509C7" w:rsidP="003041BF">
      <w:pPr>
        <w:autoSpaceDE w:val="0"/>
        <w:autoSpaceDN w:val="0"/>
        <w:adjustRightInd w:val="0"/>
        <w:ind w:firstLine="720"/>
        <w:rPr>
          <w:rFonts w:ascii="Arial" w:eastAsia="Calibri" w:hAnsi="Arial" w:cs="Arial"/>
          <w:color w:val="000000"/>
          <w:sz w:val="20"/>
          <w:szCs w:val="20"/>
        </w:rPr>
      </w:pPr>
      <w:r w:rsidRPr="00BF20CF">
        <w:rPr>
          <w:rFonts w:ascii="Arial" w:eastAsia="Calibri" w:hAnsi="Arial" w:cs="Arial"/>
          <w:color w:val="000000"/>
          <w:sz w:val="13"/>
          <w:szCs w:val="13"/>
        </w:rPr>
        <w:t xml:space="preserve">55 </w:t>
      </w:r>
      <w:r w:rsidRPr="00BF20CF">
        <w:rPr>
          <w:rFonts w:ascii="Arial" w:eastAsia="Calibri" w:hAnsi="Arial" w:cs="Arial"/>
          <w:color w:val="000000"/>
          <w:sz w:val="20"/>
          <w:szCs w:val="20"/>
        </w:rPr>
        <w:t xml:space="preserve">Exhibit M1, page 23. </w:t>
      </w:r>
    </w:p>
    <w:p w14:paraId="7F28155B" w14:textId="77777777" w:rsidR="007509C7" w:rsidRPr="00BF20CF" w:rsidRDefault="007509C7" w:rsidP="003041BF">
      <w:pPr>
        <w:spacing w:after="160" w:line="259" w:lineRule="auto"/>
        <w:ind w:left="720" w:right="720"/>
        <w:rPr>
          <w:rFonts w:ascii="Arial" w:eastAsia="Calibri" w:hAnsi="Arial" w:cs="Arial"/>
        </w:rPr>
      </w:pPr>
      <w:r w:rsidRPr="00BF20CF">
        <w:rPr>
          <w:rFonts w:ascii="Arial" w:eastAsia="Calibri" w:hAnsi="Arial" w:cs="Arial"/>
          <w:color w:val="000000"/>
          <w:sz w:val="13"/>
          <w:szCs w:val="13"/>
        </w:rPr>
        <w:t xml:space="preserve">56 </w:t>
      </w:r>
      <w:r w:rsidRPr="00BF20CF">
        <w:rPr>
          <w:rFonts w:ascii="Arial" w:eastAsia="Calibri" w:hAnsi="Arial" w:cs="Arial"/>
          <w:color w:val="000000"/>
          <w:sz w:val="20"/>
          <w:szCs w:val="20"/>
        </w:rPr>
        <w:t xml:space="preserve">QMA, </w:t>
      </w:r>
      <w:r w:rsidRPr="00BF20CF">
        <w:rPr>
          <w:rFonts w:ascii="Arial" w:eastAsia="Calibri" w:hAnsi="Arial" w:cs="Arial"/>
          <w:i/>
          <w:iCs/>
          <w:color w:val="000000"/>
          <w:sz w:val="20"/>
          <w:szCs w:val="20"/>
        </w:rPr>
        <w:t>op. cit</w:t>
      </w:r>
      <w:r w:rsidRPr="00BF20CF">
        <w:rPr>
          <w:rFonts w:ascii="Arial" w:eastAsia="Calibri" w:hAnsi="Arial" w:cs="Arial"/>
          <w:color w:val="000000"/>
          <w:sz w:val="20"/>
          <w:szCs w:val="20"/>
        </w:rPr>
        <w:t>., pp. 7-8.</w:t>
      </w:r>
    </w:p>
    <w:p w14:paraId="3FC82E9B" w14:textId="77777777" w:rsidR="007509C7" w:rsidRPr="00BF20CF" w:rsidRDefault="007509C7" w:rsidP="003041BF">
      <w:pPr>
        <w:spacing w:before="240" w:line="276" w:lineRule="auto"/>
        <w:rPr>
          <w:rFonts w:ascii="Arial" w:eastAsia="Calibri" w:hAnsi="Arial" w:cs="Arial"/>
        </w:rPr>
      </w:pPr>
      <w:r w:rsidRPr="00BF20CF">
        <w:rPr>
          <w:rFonts w:ascii="Arial" w:eastAsia="Calibri" w:hAnsi="Arial" w:cs="Arial"/>
        </w:rPr>
        <w:lastRenderedPageBreak/>
        <w:t>The OEB stated, in its findings:</w:t>
      </w:r>
      <w:r w:rsidRPr="00BF20CF">
        <w:rPr>
          <w:rFonts w:ascii="Arial" w:eastAsia="Calibri" w:hAnsi="Arial" w:cs="Arial"/>
          <w:vertAlign w:val="superscript"/>
        </w:rPr>
        <w:footnoteReference w:id="14"/>
      </w:r>
    </w:p>
    <w:p w14:paraId="7DB0D589" w14:textId="77777777" w:rsidR="007509C7" w:rsidRPr="00BF20CF" w:rsidRDefault="007509C7" w:rsidP="003041BF">
      <w:pPr>
        <w:spacing w:before="240" w:line="276" w:lineRule="auto"/>
        <w:ind w:left="720" w:right="720"/>
        <w:rPr>
          <w:rFonts w:ascii="Arial" w:eastAsia="Calibri" w:hAnsi="Arial" w:cs="Arial"/>
        </w:rPr>
      </w:pPr>
      <w:r w:rsidRPr="00BF20CF">
        <w:rPr>
          <w:rFonts w:ascii="Arial" w:eastAsia="Calibri" w:hAnsi="Arial" w:cs="Arial"/>
          <w:b/>
        </w:rPr>
        <w:t xml:space="preserve">There are large areas of the province in which there is no electricity distribution system and the OEB agrees that this unserved service area is an issue when using service area as a business condition variable for benchmarking. The extent to which this is also an issue for the comparator distributors used by PSE, which included U.S. investor-owned utilities and rural electric cooperatives, is unknown. </w:t>
      </w:r>
      <w:r w:rsidRPr="00BF20CF">
        <w:rPr>
          <w:rFonts w:ascii="Arial" w:eastAsia="Calibri" w:hAnsi="Arial" w:cs="Arial"/>
        </w:rPr>
        <w:t>There is also no evidence on the record on the accuracy of reported data for circuit-</w:t>
      </w:r>
      <w:proofErr w:type="spellStart"/>
      <w:r w:rsidRPr="00BF20CF">
        <w:rPr>
          <w:rFonts w:ascii="Arial" w:eastAsia="Calibri" w:hAnsi="Arial" w:cs="Arial"/>
        </w:rPr>
        <w:t>kilometres</w:t>
      </w:r>
      <w:proofErr w:type="spellEnd"/>
      <w:r w:rsidRPr="00BF20CF">
        <w:rPr>
          <w:rFonts w:ascii="Arial" w:eastAsia="Calibri" w:hAnsi="Arial" w:cs="Arial"/>
        </w:rPr>
        <w:t xml:space="preserve"> of line.</w:t>
      </w:r>
    </w:p>
    <w:p w14:paraId="03FCD1D3" w14:textId="77777777" w:rsidR="007509C7" w:rsidRPr="00BF20CF" w:rsidRDefault="007509C7" w:rsidP="003041BF">
      <w:pPr>
        <w:spacing w:before="240" w:line="276" w:lineRule="auto"/>
        <w:ind w:left="720" w:right="720"/>
        <w:rPr>
          <w:rFonts w:ascii="Arial" w:eastAsia="Calibri" w:hAnsi="Arial" w:cs="Arial"/>
          <w:b/>
        </w:rPr>
      </w:pPr>
      <w:r w:rsidRPr="00BF20CF">
        <w:rPr>
          <w:rFonts w:ascii="Arial" w:eastAsia="Calibri" w:hAnsi="Arial" w:cs="Arial"/>
        </w:rPr>
        <w:t>Concerns have been expressed by parties about both potential variables, service area and density. The OEB has the benefit of two different econometric analyses, one that used service area and the other circuit-</w:t>
      </w:r>
      <w:proofErr w:type="spellStart"/>
      <w:r w:rsidRPr="00BF20CF">
        <w:rPr>
          <w:rFonts w:ascii="Arial" w:eastAsia="Calibri" w:hAnsi="Arial" w:cs="Arial"/>
        </w:rPr>
        <w:t>kilometres</w:t>
      </w:r>
      <w:proofErr w:type="spellEnd"/>
      <w:r w:rsidRPr="00BF20CF">
        <w:rPr>
          <w:rFonts w:ascii="Arial" w:eastAsia="Calibri" w:hAnsi="Arial" w:cs="Arial"/>
        </w:rPr>
        <w:t xml:space="preserve"> of line. Both of these reports recommended a productivity factor of 0% and a stretch factor of 0.45%. It is not necessary at this time for the OEB to make a determination on the appropriate business condition variables to use for TFP and benchmarking analyses. </w:t>
      </w:r>
      <w:r w:rsidRPr="00BF20CF">
        <w:rPr>
          <w:rFonts w:ascii="Arial" w:eastAsia="Calibri" w:hAnsi="Arial" w:cs="Arial"/>
          <w:b/>
        </w:rPr>
        <w:t>[Emphasis added]</w:t>
      </w:r>
    </w:p>
    <w:p w14:paraId="150A323E" w14:textId="6A994471" w:rsidR="007509C7" w:rsidRPr="00BF20CF" w:rsidRDefault="007509C7" w:rsidP="0039317E">
      <w:pPr>
        <w:spacing w:before="120" w:after="240" w:line="276" w:lineRule="auto"/>
        <w:rPr>
          <w:rFonts w:ascii="Arial" w:eastAsia="Calibri" w:hAnsi="Arial" w:cs="Arial"/>
        </w:rPr>
      </w:pPr>
      <w:r w:rsidRPr="00BF20CF">
        <w:rPr>
          <w:rFonts w:ascii="Arial" w:eastAsia="Calibri" w:hAnsi="Arial" w:cs="Arial"/>
        </w:rPr>
        <w:t>Question</w:t>
      </w:r>
      <w:r w:rsidR="0039317E" w:rsidRPr="00BF20CF">
        <w:rPr>
          <w:rFonts w:ascii="Arial" w:eastAsia="Calibri" w:hAnsi="Arial" w:cs="Arial"/>
        </w:rPr>
        <w:t>(</w:t>
      </w:r>
      <w:r w:rsidRPr="00BF20CF">
        <w:rPr>
          <w:rFonts w:ascii="Arial" w:eastAsia="Calibri" w:hAnsi="Arial" w:cs="Arial"/>
        </w:rPr>
        <w:t>s</w:t>
      </w:r>
      <w:r w:rsidR="0039317E" w:rsidRPr="00BF20CF">
        <w:rPr>
          <w:rFonts w:ascii="Arial" w:eastAsia="Calibri" w:hAnsi="Arial" w:cs="Arial"/>
        </w:rPr>
        <w:t>)</w:t>
      </w:r>
      <w:r w:rsidRPr="00BF20CF">
        <w:rPr>
          <w:rFonts w:ascii="Arial" w:eastAsia="Calibri" w:hAnsi="Arial" w:cs="Arial"/>
        </w:rPr>
        <w:t>:</w:t>
      </w:r>
    </w:p>
    <w:p w14:paraId="43363CE8" w14:textId="20C3917E" w:rsidR="007509C7" w:rsidRPr="00BF20CF" w:rsidRDefault="007509C7" w:rsidP="00876E97">
      <w:pPr>
        <w:numPr>
          <w:ilvl w:val="3"/>
          <w:numId w:val="62"/>
        </w:numPr>
        <w:autoSpaceDE w:val="0"/>
        <w:autoSpaceDN w:val="0"/>
        <w:adjustRightInd w:val="0"/>
        <w:spacing w:before="240" w:after="160" w:line="276" w:lineRule="auto"/>
        <w:ind w:left="720"/>
        <w:contextualSpacing/>
        <w:rPr>
          <w:rFonts w:ascii="Arial" w:hAnsi="Arial" w:cs="Arial"/>
          <w:lang w:val="en-CA"/>
        </w:rPr>
      </w:pPr>
      <w:r w:rsidRPr="00BF20CF">
        <w:rPr>
          <w:rFonts w:ascii="Arial" w:hAnsi="Arial" w:cs="Arial"/>
          <w:lang w:val="en-CA"/>
        </w:rPr>
        <w:t xml:space="preserve">What revisions has </w:t>
      </w:r>
      <w:proofErr w:type="spellStart"/>
      <w:r w:rsidRPr="00BF20CF">
        <w:rPr>
          <w:rFonts w:ascii="Arial" w:hAnsi="Arial" w:cs="Arial"/>
          <w:lang w:val="en-CA"/>
        </w:rPr>
        <w:t>Clearspring</w:t>
      </w:r>
      <w:proofErr w:type="spellEnd"/>
      <w:r w:rsidRPr="00BF20CF">
        <w:rPr>
          <w:rFonts w:ascii="Arial" w:hAnsi="Arial" w:cs="Arial"/>
          <w:lang w:val="en-CA"/>
        </w:rPr>
        <w:t xml:space="preserve"> made to Hydro One Networks’ data included in this study relative to the data used in total cost benchmarking study filed in EB-2017-0049?</w:t>
      </w:r>
    </w:p>
    <w:p w14:paraId="09B165B2" w14:textId="77777777" w:rsidR="00123CD1" w:rsidRPr="00BF20CF" w:rsidRDefault="00123CD1" w:rsidP="00123CD1">
      <w:pPr>
        <w:autoSpaceDE w:val="0"/>
        <w:autoSpaceDN w:val="0"/>
        <w:adjustRightInd w:val="0"/>
        <w:spacing w:before="240" w:after="160" w:line="276" w:lineRule="auto"/>
        <w:ind w:left="720"/>
        <w:contextualSpacing/>
        <w:rPr>
          <w:rFonts w:ascii="Arial" w:hAnsi="Arial" w:cs="Arial"/>
          <w:lang w:val="en-CA"/>
        </w:rPr>
      </w:pPr>
    </w:p>
    <w:p w14:paraId="12CB5598" w14:textId="77777777" w:rsidR="007509C7" w:rsidRPr="00BF20CF" w:rsidRDefault="007509C7" w:rsidP="00876E97">
      <w:pPr>
        <w:numPr>
          <w:ilvl w:val="3"/>
          <w:numId w:val="62"/>
        </w:numPr>
        <w:autoSpaceDE w:val="0"/>
        <w:autoSpaceDN w:val="0"/>
        <w:adjustRightInd w:val="0"/>
        <w:spacing w:before="240" w:after="160" w:line="276" w:lineRule="auto"/>
        <w:ind w:left="720"/>
        <w:contextualSpacing/>
        <w:rPr>
          <w:rFonts w:ascii="Arial" w:hAnsi="Arial" w:cs="Arial"/>
          <w:lang w:val="en-CA"/>
        </w:rPr>
      </w:pPr>
      <w:proofErr w:type="spellStart"/>
      <w:r w:rsidRPr="00BF20CF">
        <w:rPr>
          <w:rFonts w:ascii="Arial" w:hAnsi="Arial" w:cs="Arial"/>
          <w:lang w:val="en-CA"/>
        </w:rPr>
        <w:t>Clearspring</w:t>
      </w:r>
      <w:proofErr w:type="spellEnd"/>
      <w:r w:rsidRPr="00BF20CF">
        <w:rPr>
          <w:rFonts w:ascii="Arial" w:hAnsi="Arial" w:cs="Arial"/>
          <w:lang w:val="en-CA"/>
        </w:rPr>
        <w:t xml:space="preserve"> is still using service territory as a business condition variable through the Rural Density variable, defined as square kilometres of service area per customer.</w:t>
      </w:r>
      <w:r w:rsidRPr="00BF20CF">
        <w:rPr>
          <w:rFonts w:ascii="Arial" w:hAnsi="Arial" w:cs="Arial"/>
          <w:vertAlign w:val="superscript"/>
          <w:lang w:val="en-CA"/>
        </w:rPr>
        <w:footnoteReference w:id="15"/>
      </w:r>
      <w:r w:rsidRPr="00BF20CF">
        <w:rPr>
          <w:rFonts w:ascii="Arial" w:hAnsi="Arial" w:cs="Arial"/>
          <w:lang w:val="en-CA"/>
        </w:rPr>
        <w:t xml:space="preserve"> Has, and if so, how has </w:t>
      </w:r>
      <w:proofErr w:type="spellStart"/>
      <w:r w:rsidRPr="00BF20CF">
        <w:rPr>
          <w:rFonts w:ascii="Arial" w:hAnsi="Arial" w:cs="Arial"/>
          <w:lang w:val="en-CA"/>
        </w:rPr>
        <w:t>Clearspring</w:t>
      </w:r>
      <w:proofErr w:type="spellEnd"/>
      <w:r w:rsidRPr="00BF20CF">
        <w:rPr>
          <w:rFonts w:ascii="Arial" w:hAnsi="Arial" w:cs="Arial"/>
          <w:lang w:val="en-CA"/>
        </w:rPr>
        <w:t xml:space="preserve"> addressed the concerns acknowledged by the OEB in the EB-2017-0049 Decision and Order regarding unserved territory for Hydro One Networks (and possibly other utilities).</w:t>
      </w:r>
    </w:p>
    <w:p w14:paraId="714116AE" w14:textId="77777777" w:rsidR="0039317E" w:rsidRPr="00BF20CF" w:rsidRDefault="0039317E" w:rsidP="0039317E">
      <w:pPr>
        <w:spacing w:line="276" w:lineRule="auto"/>
        <w:rPr>
          <w:rFonts w:ascii="Arial" w:eastAsia="Calibri" w:hAnsi="Arial" w:cs="Arial"/>
          <w:b/>
        </w:rPr>
      </w:pPr>
    </w:p>
    <w:p w14:paraId="547D218B" w14:textId="77777777" w:rsidR="00123CD1" w:rsidRPr="00BF20CF" w:rsidRDefault="00123CD1" w:rsidP="0039317E">
      <w:pPr>
        <w:spacing w:line="276" w:lineRule="auto"/>
        <w:rPr>
          <w:rFonts w:ascii="Arial" w:eastAsia="Calibri" w:hAnsi="Arial" w:cs="Arial"/>
          <w:b/>
        </w:rPr>
      </w:pPr>
      <w:r w:rsidRPr="00BF20CF">
        <w:rPr>
          <w:rFonts w:ascii="Arial" w:eastAsia="Calibri" w:hAnsi="Arial" w:cs="Arial"/>
          <w:b/>
        </w:rPr>
        <w:br w:type="page"/>
      </w:r>
    </w:p>
    <w:p w14:paraId="1D9F5C5F" w14:textId="05060F14" w:rsidR="007509C7" w:rsidRPr="00BF20CF" w:rsidRDefault="007509C7" w:rsidP="0039317E">
      <w:pPr>
        <w:spacing w:line="276" w:lineRule="auto"/>
        <w:rPr>
          <w:rFonts w:ascii="Arial" w:eastAsia="Calibri" w:hAnsi="Arial" w:cs="Arial"/>
          <w:b/>
        </w:rPr>
      </w:pPr>
      <w:r w:rsidRPr="00BF20CF">
        <w:rPr>
          <w:rFonts w:ascii="Arial" w:eastAsia="Calibri" w:hAnsi="Arial" w:cs="Arial"/>
          <w:b/>
        </w:rPr>
        <w:lastRenderedPageBreak/>
        <w:t>1-Staff-</w:t>
      </w:r>
      <w:r w:rsidR="00B2431E" w:rsidRPr="00BF20CF">
        <w:rPr>
          <w:rFonts w:ascii="Arial" w:eastAsia="Calibri" w:hAnsi="Arial" w:cs="Arial"/>
          <w:b/>
        </w:rPr>
        <w:t>19</w:t>
      </w:r>
    </w:p>
    <w:p w14:paraId="05A76C2D" w14:textId="77777777" w:rsidR="007509C7" w:rsidRPr="00BF20CF" w:rsidRDefault="007509C7" w:rsidP="0039317E">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Exhibit 1/Tab 1/Schedule 12/Attachment A</w:t>
      </w:r>
    </w:p>
    <w:p w14:paraId="02EDAEA7"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On page 20 of its evidence, </w:t>
      </w:r>
      <w:proofErr w:type="spellStart"/>
      <w:r w:rsidRPr="00BF20CF">
        <w:rPr>
          <w:rFonts w:ascii="Arial" w:eastAsia="Calibri" w:hAnsi="Arial" w:cs="Arial"/>
        </w:rPr>
        <w:t>Clearspring</w:t>
      </w:r>
      <w:proofErr w:type="spellEnd"/>
      <w:r w:rsidRPr="00BF20CF">
        <w:rPr>
          <w:rFonts w:ascii="Arial" w:eastAsia="Calibri" w:hAnsi="Arial" w:cs="Arial"/>
        </w:rPr>
        <w:t xml:space="preserve"> notes that the total cost model uses a </w:t>
      </w:r>
      <w:proofErr w:type="spellStart"/>
      <w:r w:rsidRPr="00BF20CF">
        <w:rPr>
          <w:rFonts w:ascii="Arial" w:eastAsia="Calibri" w:hAnsi="Arial" w:cs="Arial"/>
        </w:rPr>
        <w:t>translog</w:t>
      </w:r>
      <w:proofErr w:type="spellEnd"/>
      <w:r w:rsidRPr="00BF20CF">
        <w:rPr>
          <w:rFonts w:ascii="Arial" w:eastAsia="Calibri" w:hAnsi="Arial" w:cs="Arial"/>
        </w:rPr>
        <w:t xml:space="preserve"> function form, expressed mathematically as:</w:t>
      </w:r>
    </w:p>
    <w:p w14:paraId="7351E7E6" w14:textId="77777777" w:rsidR="007509C7" w:rsidRPr="00BF20CF" w:rsidRDefault="007509C7" w:rsidP="003041BF">
      <w:pPr>
        <w:spacing w:after="160" w:line="259" w:lineRule="auto"/>
        <w:rPr>
          <w:rFonts w:ascii="Arial" w:eastAsia="Calibri" w:hAnsi="Arial" w:cs="Arial"/>
        </w:rPr>
      </w:pPr>
      <w:r w:rsidRPr="00BF20CF">
        <w:rPr>
          <w:rFonts w:ascii="Arial" w:eastAsia="Calibri" w:hAnsi="Arial" w:cs="Arial"/>
          <w:noProof/>
        </w:rPr>
        <w:drawing>
          <wp:inline distT="0" distB="0" distL="0" distR="0" wp14:anchorId="38199FC9" wp14:editId="4A13AC7F">
            <wp:extent cx="5778500" cy="8433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4176" cy="855853"/>
                    </a:xfrm>
                    <a:prstGeom prst="rect">
                      <a:avLst/>
                    </a:prstGeom>
                    <a:noFill/>
                    <a:ln>
                      <a:noFill/>
                    </a:ln>
                  </pic:spPr>
                </pic:pic>
              </a:graphicData>
            </a:graphic>
          </wp:inline>
        </w:drawing>
      </w:r>
    </w:p>
    <w:p w14:paraId="283A5B58" w14:textId="77777777" w:rsidR="007509C7" w:rsidRPr="00BF20CF" w:rsidRDefault="007509C7" w:rsidP="003041BF">
      <w:pPr>
        <w:spacing w:before="240" w:after="120" w:line="276" w:lineRule="auto"/>
        <w:rPr>
          <w:rFonts w:ascii="Arial" w:eastAsia="Calibri" w:hAnsi="Arial" w:cs="Arial"/>
        </w:rPr>
      </w:pPr>
      <w:proofErr w:type="spellStart"/>
      <w:r w:rsidRPr="00BF20CF">
        <w:rPr>
          <w:rFonts w:ascii="Arial" w:eastAsia="Calibri" w:hAnsi="Arial" w:cs="Arial"/>
        </w:rPr>
        <w:t>Clearspring</w:t>
      </w:r>
      <w:proofErr w:type="spellEnd"/>
      <w:r w:rsidRPr="00BF20CF">
        <w:rPr>
          <w:rFonts w:ascii="Arial" w:eastAsia="Calibri" w:hAnsi="Arial" w:cs="Arial"/>
        </w:rPr>
        <w:t xml:space="preserve"> has included a Rural Density variable in its model. On page 17, this is defined as:</w:t>
      </w:r>
    </w:p>
    <w:p w14:paraId="61CF0207" w14:textId="4748D2A3" w:rsidR="007509C7" w:rsidRPr="00BF20CF" w:rsidRDefault="007509C7" w:rsidP="003041BF">
      <w:pPr>
        <w:spacing w:before="240" w:after="120" w:line="276" w:lineRule="auto"/>
        <w:ind w:left="720"/>
        <w:rPr>
          <w:rFonts w:ascii="Arial" w:eastAsia="Calibri" w:hAnsi="Arial" w:cs="Arial"/>
        </w:rPr>
      </w:pPr>
      <w:r w:rsidRPr="00BF20CF">
        <w:rPr>
          <w:rFonts w:ascii="Arial" w:eastAsia="Calibri" w:hAnsi="Arial" w:cs="Arial"/>
        </w:rPr>
        <w:t xml:space="preserve">The rural density variable measures the amount of square </w:t>
      </w:r>
      <w:r w:rsidR="001C211A" w:rsidRPr="00BF20CF">
        <w:rPr>
          <w:rFonts w:ascii="Arial" w:eastAsia="Calibri" w:hAnsi="Arial" w:cs="Arial"/>
        </w:rPr>
        <w:t>kilometers</w:t>
      </w:r>
      <w:r w:rsidRPr="00BF20CF">
        <w:rPr>
          <w:rFonts w:ascii="Arial" w:eastAsia="Calibri" w:hAnsi="Arial" w:cs="Arial"/>
        </w:rPr>
        <w:t xml:space="preserve"> served per customer. As the amount of service territory increases, assets become more spread out and drive times increase. We would expect that costs would increase as the amount of service territory per customer increases. Similar to the congested urban variable, we also included a quadratic term for this variable, because as the rural density becomes more extreme, cost impacts accelerate.</w:t>
      </w:r>
    </w:p>
    <w:p w14:paraId="5D8DB62F"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As OEB staff would understand it, the rural density variable is thus defined as:</w:t>
      </w:r>
    </w:p>
    <w:p w14:paraId="20931BA4" w14:textId="77777777" w:rsidR="007509C7" w:rsidRPr="00BF20CF" w:rsidRDefault="007509C7" w:rsidP="003041BF">
      <w:pPr>
        <w:spacing w:before="240" w:after="120" w:line="276" w:lineRule="auto"/>
        <w:rPr>
          <w:rFonts w:ascii="Arial" w:hAnsi="Arial" w:cs="Arial"/>
        </w:rPr>
      </w:pPr>
      <m:oMathPara>
        <m:oMath>
          <m:r>
            <w:rPr>
              <w:rFonts w:ascii="Cambria Math" w:eastAsia="Calibri" w:hAnsi="Cambria Math" w:cs="Arial"/>
            </w:rPr>
            <m:t>RD=</m:t>
          </m:r>
          <m:f>
            <m:fPr>
              <m:ctrlPr>
                <w:rPr>
                  <w:rFonts w:ascii="Cambria Math" w:eastAsia="Calibri" w:hAnsi="Cambria Math" w:cs="Arial"/>
                  <w:i/>
                </w:rPr>
              </m:ctrlPr>
            </m:fPr>
            <m:num>
              <m:r>
                <w:rPr>
                  <w:rFonts w:ascii="Cambria Math" w:eastAsia="Calibri" w:hAnsi="Cambria Math" w:cs="Arial"/>
                </w:rPr>
                <m:t>A</m:t>
              </m:r>
            </m:num>
            <m:den>
              <m:r>
                <w:rPr>
                  <w:rFonts w:ascii="Cambria Math" w:eastAsia="Calibri" w:hAnsi="Cambria Math" w:cs="Arial"/>
                </w:rPr>
                <m:t>N</m:t>
              </m:r>
            </m:den>
          </m:f>
        </m:oMath>
      </m:oMathPara>
    </w:p>
    <w:p w14:paraId="46983201" w14:textId="77777777" w:rsidR="007509C7" w:rsidRPr="00BF20CF" w:rsidRDefault="007509C7" w:rsidP="003041BF">
      <w:pPr>
        <w:spacing w:before="240" w:after="120" w:line="276" w:lineRule="auto"/>
        <w:rPr>
          <w:rFonts w:ascii="Arial" w:hAnsi="Arial" w:cs="Arial"/>
        </w:rPr>
      </w:pPr>
      <w:proofErr w:type="gramStart"/>
      <w:r w:rsidRPr="00BF20CF">
        <w:rPr>
          <w:rFonts w:ascii="Arial" w:hAnsi="Arial" w:cs="Arial"/>
        </w:rPr>
        <w:t>where</w:t>
      </w:r>
      <w:proofErr w:type="gramEnd"/>
      <w:r w:rsidRPr="00BF20CF">
        <w:rPr>
          <w:rFonts w:ascii="Arial" w:hAnsi="Arial" w:cs="Arial"/>
        </w:rPr>
        <w:t xml:space="preserve"> </w:t>
      </w:r>
      <w:r w:rsidRPr="00BF20CF">
        <w:rPr>
          <w:i/>
        </w:rPr>
        <w:t>A</w:t>
      </w:r>
      <w:r w:rsidRPr="00BF20CF">
        <w:rPr>
          <w:rFonts w:ascii="Arial" w:hAnsi="Arial" w:cs="Arial"/>
        </w:rPr>
        <w:t xml:space="preserve"> is the square kilometers of service territory and </w:t>
      </w:r>
      <w:r w:rsidRPr="00BF20CF">
        <w:rPr>
          <w:i/>
        </w:rPr>
        <w:t>N</w:t>
      </w:r>
      <w:r w:rsidRPr="00BF20CF">
        <w:rPr>
          <w:rFonts w:ascii="Arial" w:hAnsi="Arial" w:cs="Arial"/>
        </w:rPr>
        <w:t xml:space="preserve"> is the number of customers.</w:t>
      </w:r>
    </w:p>
    <w:p w14:paraId="57C31885" w14:textId="77777777" w:rsidR="007509C7" w:rsidRPr="00BF20CF" w:rsidRDefault="007509C7" w:rsidP="003041BF">
      <w:pPr>
        <w:spacing w:before="240" w:after="120" w:line="276" w:lineRule="auto"/>
        <w:rPr>
          <w:rFonts w:ascii="Arial" w:hAnsi="Arial" w:cs="Arial"/>
        </w:rPr>
      </w:pPr>
      <w:proofErr w:type="spellStart"/>
      <w:r w:rsidRPr="00BF20CF">
        <w:rPr>
          <w:rFonts w:ascii="Arial" w:hAnsi="Arial" w:cs="Arial"/>
        </w:rPr>
        <w:t>Clearspring</w:t>
      </w:r>
      <w:proofErr w:type="spellEnd"/>
      <w:r w:rsidRPr="00BF20CF">
        <w:rPr>
          <w:rFonts w:ascii="Arial" w:hAnsi="Arial" w:cs="Arial"/>
        </w:rPr>
        <w:t xml:space="preserve"> includes </w:t>
      </w:r>
      <w:r w:rsidRPr="00BF20CF">
        <w:rPr>
          <w:i/>
        </w:rPr>
        <w:t>N, N</w:t>
      </w:r>
      <w:r w:rsidRPr="00BF20CF">
        <w:rPr>
          <w:i/>
          <w:vertAlign w:val="superscript"/>
        </w:rPr>
        <w:t>2</w:t>
      </w:r>
      <w:r w:rsidRPr="00BF20CF">
        <w:rPr>
          <w:i/>
        </w:rPr>
        <w:t>, RD</w:t>
      </w:r>
      <w:r w:rsidRPr="00BF20CF">
        <w:rPr>
          <w:rFonts w:ascii="Arial" w:hAnsi="Arial" w:cs="Arial"/>
        </w:rPr>
        <w:t xml:space="preserve"> and </w:t>
      </w:r>
      <w:r w:rsidRPr="00BF20CF">
        <w:rPr>
          <w:i/>
        </w:rPr>
        <w:t>RD</w:t>
      </w:r>
      <w:r w:rsidRPr="00BF20CF">
        <w:rPr>
          <w:i/>
          <w:vertAlign w:val="superscript"/>
        </w:rPr>
        <w:t>2</w:t>
      </w:r>
      <w:r w:rsidRPr="00BF20CF">
        <w:rPr>
          <w:rFonts w:ascii="Arial" w:hAnsi="Arial" w:cs="Arial"/>
        </w:rPr>
        <w:t xml:space="preserve"> as explanatory business condition variables in its model.</w:t>
      </w:r>
    </w:p>
    <w:p w14:paraId="72907D15" w14:textId="3173D32F"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Question</w:t>
      </w:r>
      <w:r w:rsidR="0039317E" w:rsidRPr="00BF20CF">
        <w:rPr>
          <w:rFonts w:ascii="Arial" w:eastAsia="Calibri" w:hAnsi="Arial" w:cs="Arial"/>
        </w:rPr>
        <w:t>(</w:t>
      </w:r>
      <w:r w:rsidRPr="00BF20CF">
        <w:rPr>
          <w:rFonts w:ascii="Arial" w:eastAsia="Calibri" w:hAnsi="Arial" w:cs="Arial"/>
        </w:rPr>
        <w:t>s</w:t>
      </w:r>
      <w:r w:rsidR="0039317E" w:rsidRPr="00BF20CF">
        <w:rPr>
          <w:rFonts w:ascii="Arial" w:eastAsia="Calibri" w:hAnsi="Arial" w:cs="Arial"/>
        </w:rPr>
        <w:t>)</w:t>
      </w:r>
      <w:r w:rsidRPr="00BF20CF">
        <w:rPr>
          <w:rFonts w:ascii="Arial" w:eastAsia="Calibri" w:hAnsi="Arial" w:cs="Arial"/>
        </w:rPr>
        <w:t>:</w:t>
      </w:r>
    </w:p>
    <w:p w14:paraId="2C1B7582" w14:textId="54D268EC" w:rsidR="007509C7" w:rsidRPr="00BF20CF" w:rsidRDefault="007509C7" w:rsidP="00876E97">
      <w:pPr>
        <w:numPr>
          <w:ilvl w:val="0"/>
          <w:numId w:val="73"/>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On page 17 of its evidence, </w:t>
      </w:r>
      <w:proofErr w:type="spellStart"/>
      <w:r w:rsidRPr="00BF20CF">
        <w:rPr>
          <w:rFonts w:ascii="Arial" w:hAnsi="Arial" w:cs="Arial"/>
          <w:lang w:val="en-CA"/>
        </w:rPr>
        <w:t>Clearspring</w:t>
      </w:r>
      <w:proofErr w:type="spellEnd"/>
      <w:r w:rsidRPr="00BF20CF">
        <w:rPr>
          <w:rFonts w:ascii="Arial" w:hAnsi="Arial" w:cs="Arial"/>
          <w:lang w:val="en-CA"/>
        </w:rPr>
        <w:t xml:space="preserve"> states that, in the </w:t>
      </w:r>
      <w:proofErr w:type="spellStart"/>
      <w:r w:rsidRPr="00BF20CF">
        <w:rPr>
          <w:rFonts w:ascii="Arial" w:hAnsi="Arial" w:cs="Arial"/>
          <w:lang w:val="en-CA"/>
        </w:rPr>
        <w:t>translog</w:t>
      </w:r>
      <w:proofErr w:type="spellEnd"/>
      <w:r w:rsidRPr="00BF20CF">
        <w:rPr>
          <w:rFonts w:ascii="Arial" w:hAnsi="Arial" w:cs="Arial"/>
          <w:lang w:val="en-CA"/>
        </w:rPr>
        <w:t xml:space="preserve"> function form shown above, “</w:t>
      </w:r>
      <w:r w:rsidRPr="00BF20CF">
        <w:rPr>
          <w:rFonts w:ascii="Arial" w:hAnsi="Arial" w:cs="Arial"/>
          <w:i/>
          <w:lang w:val="en-CA"/>
        </w:rPr>
        <w:t>α</w:t>
      </w:r>
      <w:r w:rsidRPr="00BF20CF">
        <w:rPr>
          <w:rFonts w:ascii="Arial" w:hAnsi="Arial" w:cs="Arial"/>
          <w:lang w:val="en-CA"/>
        </w:rPr>
        <w:t xml:space="preserve">'s and </w:t>
      </w:r>
      <w:r w:rsidRPr="00BF20CF">
        <w:rPr>
          <w:rFonts w:ascii="Arial" w:hAnsi="Arial" w:cs="Arial"/>
          <w:i/>
          <w:lang w:val="en-CA"/>
        </w:rPr>
        <w:t>β</w:t>
      </w:r>
      <w:r w:rsidRPr="00BF20CF">
        <w:rPr>
          <w:rFonts w:ascii="Arial" w:hAnsi="Arial" w:cs="Arial"/>
          <w:lang w:val="en-CA"/>
        </w:rPr>
        <w:t xml:space="preserve">'s are model parameters”. Please confirm that the coefficients </w:t>
      </w:r>
      <w:proofErr w:type="spellStart"/>
      <w:r w:rsidRPr="00BF20CF">
        <w:rPr>
          <w:rFonts w:ascii="Arial" w:hAnsi="Arial" w:cs="Arial"/>
          <w:i/>
          <w:lang w:val="en-CA"/>
        </w:rPr>
        <w:t>γ</w:t>
      </w:r>
      <w:r w:rsidRPr="00BF20CF">
        <w:rPr>
          <w:rFonts w:ascii="Arial" w:hAnsi="Arial" w:cs="Arial"/>
          <w:lang w:val="en-CA"/>
        </w:rPr>
        <w:t>’s</w:t>
      </w:r>
      <w:proofErr w:type="spellEnd"/>
      <w:r w:rsidRPr="00BF20CF">
        <w:rPr>
          <w:rFonts w:ascii="Arial" w:hAnsi="Arial" w:cs="Arial"/>
          <w:lang w:val="en-CA"/>
        </w:rPr>
        <w:t xml:space="preserve"> for the business condition variables are also estimated model coefficients. In the alternative, please explain.</w:t>
      </w:r>
    </w:p>
    <w:p w14:paraId="27100831" w14:textId="77777777" w:rsidR="00123CD1" w:rsidRPr="00BF20CF" w:rsidRDefault="00123CD1" w:rsidP="00123CD1">
      <w:pPr>
        <w:autoSpaceDE w:val="0"/>
        <w:autoSpaceDN w:val="0"/>
        <w:adjustRightInd w:val="0"/>
        <w:spacing w:before="240" w:after="120" w:line="276" w:lineRule="auto"/>
        <w:ind w:left="720"/>
        <w:contextualSpacing/>
        <w:rPr>
          <w:rFonts w:ascii="Arial" w:hAnsi="Arial" w:cs="Arial"/>
          <w:lang w:val="en-CA"/>
        </w:rPr>
      </w:pPr>
    </w:p>
    <w:p w14:paraId="3477BED7" w14:textId="77777777" w:rsidR="007509C7" w:rsidRPr="00BF20CF" w:rsidRDefault="007509C7" w:rsidP="00876E97">
      <w:pPr>
        <w:numPr>
          <w:ilvl w:val="0"/>
          <w:numId w:val="73"/>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Please confirm or correct OEB staff’s understanding that rural density variable is constructed </w:t>
      </w:r>
      <w:proofErr w:type="gramStart"/>
      <w:r w:rsidRPr="00BF20CF">
        <w:rPr>
          <w:rFonts w:ascii="Arial" w:hAnsi="Arial" w:cs="Arial"/>
          <w:lang w:val="en-CA"/>
        </w:rPr>
        <w:t xml:space="preserve">as </w:t>
      </w:r>
      <m:oMath>
        <m:r>
          <w:rPr>
            <w:rFonts w:ascii="Cambria Math" w:hAnsi="Cambria Math" w:cs="Arial"/>
            <w:lang w:val="en-CA"/>
          </w:rPr>
          <m:t>=</m:t>
        </m:r>
        <w:proofErr w:type="gramEnd"/>
        <m:f>
          <m:fPr>
            <m:ctrlPr>
              <w:rPr>
                <w:rFonts w:ascii="Cambria Math" w:hAnsi="Cambria Math" w:cs="Arial"/>
                <w:i/>
                <w:lang w:val="en-CA"/>
              </w:rPr>
            </m:ctrlPr>
          </m:fPr>
          <m:num>
            <m:r>
              <w:rPr>
                <w:rFonts w:ascii="Cambria Math" w:hAnsi="Cambria Math" w:cs="Arial"/>
                <w:lang w:val="en-CA"/>
              </w:rPr>
              <m:t>A</m:t>
            </m:r>
          </m:num>
          <m:den>
            <m:r>
              <w:rPr>
                <w:rFonts w:ascii="Cambria Math" w:hAnsi="Cambria Math" w:cs="Arial"/>
                <w:lang w:val="en-CA"/>
              </w:rPr>
              <m:t>N</m:t>
            </m:r>
          </m:den>
        </m:f>
      </m:oMath>
      <w:r w:rsidRPr="00BF20CF">
        <w:rPr>
          <w:rFonts w:ascii="Arial" w:hAnsi="Arial" w:cs="Arial"/>
          <w:lang w:val="en-CA"/>
        </w:rPr>
        <w:t xml:space="preserve"> .</w:t>
      </w:r>
    </w:p>
    <w:p w14:paraId="70E103F0" w14:textId="77777777" w:rsidR="007509C7" w:rsidRPr="00BF20CF" w:rsidRDefault="007509C7" w:rsidP="00123CD1">
      <w:pPr>
        <w:numPr>
          <w:ilvl w:val="0"/>
          <w:numId w:val="73"/>
        </w:numPr>
        <w:autoSpaceDE w:val="0"/>
        <w:autoSpaceDN w:val="0"/>
        <w:adjustRightInd w:val="0"/>
        <w:spacing w:before="120" w:after="120" w:line="276" w:lineRule="auto"/>
        <w:contextualSpacing/>
        <w:rPr>
          <w:rFonts w:ascii="Arial" w:hAnsi="Arial" w:cs="Arial"/>
          <w:lang w:val="en-CA"/>
        </w:rPr>
      </w:pPr>
      <w:r w:rsidRPr="00BF20CF">
        <w:rPr>
          <w:rFonts w:ascii="Arial" w:hAnsi="Arial" w:cs="Arial"/>
          <w:lang w:val="en-CA"/>
        </w:rPr>
        <w:lastRenderedPageBreak/>
        <w:t xml:space="preserve">Assuming b) is confirmed, OEB staff note the following mathematical specification of </w:t>
      </w:r>
      <w:proofErr w:type="spellStart"/>
      <w:r w:rsidRPr="00BF20CF">
        <w:rPr>
          <w:rFonts w:ascii="Arial" w:hAnsi="Arial" w:cs="Arial"/>
          <w:lang w:val="en-CA"/>
        </w:rPr>
        <w:t>Clearspring’s</w:t>
      </w:r>
      <w:proofErr w:type="spellEnd"/>
      <w:r w:rsidRPr="00BF20CF">
        <w:rPr>
          <w:rFonts w:ascii="Arial" w:hAnsi="Arial" w:cs="Arial"/>
          <w:lang w:val="en-CA"/>
        </w:rPr>
        <w:t xml:space="preserve"> model, with respect to the N and RD variables and the quadratic forms (i.e., ignoring all other terms):</w:t>
      </w:r>
    </w:p>
    <w:p w14:paraId="0360F31F" w14:textId="77777777" w:rsidR="007509C7" w:rsidRPr="00BF20CF" w:rsidRDefault="007509C7" w:rsidP="00123CD1">
      <w:pPr>
        <w:spacing w:before="120" w:after="120" w:line="276" w:lineRule="auto"/>
        <w:ind w:left="720"/>
        <w:rPr>
          <w:rFonts w:ascii="Calibri" w:eastAsia="Calibri" w:hAnsi="Calibri" w:cs="Arial"/>
        </w:rPr>
      </w:pPr>
    </w:p>
    <w:p w14:paraId="395B9326" w14:textId="77777777" w:rsidR="007509C7" w:rsidRPr="00BF20CF" w:rsidRDefault="00637CD5" w:rsidP="003041BF">
      <w:pPr>
        <w:tabs>
          <w:tab w:val="left" w:pos="720"/>
        </w:tabs>
        <w:spacing w:before="240" w:after="120" w:line="276" w:lineRule="auto"/>
        <w:rPr>
          <w:rFonts w:ascii="Calibri" w:eastAsia="Calibri" w:hAnsi="Calibri" w:cs="Arial"/>
        </w:rPr>
      </w:pPr>
      <m:oMathPara>
        <m:oMath>
          <m:func>
            <m:funcPr>
              <m:ctrlPr>
                <w:rPr>
                  <w:rFonts w:ascii="Cambria Math" w:eastAsia="Calibri" w:hAnsi="Cambria Math" w:cs="Arial"/>
                </w:rPr>
              </m:ctrlPr>
            </m:funcPr>
            <m:fName>
              <m:r>
                <m:rPr>
                  <m:sty m:val="p"/>
                </m:rPr>
                <w:rPr>
                  <w:rFonts w:ascii="Cambria Math" w:eastAsia="Calibri" w:hAnsi="Cambria Math" w:cs="Arial"/>
                </w:rPr>
                <m:t>ln</m:t>
              </m:r>
            </m:fName>
            <m:e>
              <m:d>
                <m:dPr>
                  <m:ctrlPr>
                    <w:rPr>
                      <w:rFonts w:ascii="Cambria Math" w:eastAsia="Calibri" w:hAnsi="Cambria Math" w:cs="Arial"/>
                      <w:i/>
                    </w:rPr>
                  </m:ctrlPr>
                </m:dPr>
                <m:e>
                  <m:r>
                    <w:rPr>
                      <w:rFonts w:ascii="Cambria Math" w:eastAsia="Calibri" w:hAnsi="Cambria Math" w:cs="Arial"/>
                    </w:rPr>
                    <m:t>C</m:t>
                  </m:r>
                </m:e>
              </m:d>
            </m:e>
          </m:func>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 xml:space="preserve"> γ</m:t>
              </m:r>
            </m:e>
            <m:sub>
              <m:r>
                <w:rPr>
                  <w:rFonts w:ascii="Cambria Math" w:eastAsia="Calibri" w:hAnsi="Cambria Math" w:cs="Arial"/>
                </w:rPr>
                <m:t>1</m:t>
              </m:r>
            </m:sub>
          </m:sSub>
          <m:func>
            <m:funcPr>
              <m:ctrlPr>
                <w:rPr>
                  <w:rFonts w:ascii="Cambria Math" w:eastAsia="Calibri" w:hAnsi="Cambria Math" w:cs="Arial"/>
                </w:rPr>
              </m:ctrlPr>
            </m:funcPr>
            <m:fName>
              <m:r>
                <m:rPr>
                  <m:sty m:val="p"/>
                </m:rPr>
                <w:rPr>
                  <w:rFonts w:ascii="Cambria Math" w:eastAsia="Calibri" w:hAnsi="Cambria Math" w:cs="Arial"/>
                </w:rPr>
                <m:t>ln</m:t>
              </m:r>
            </m:fName>
            <m:e>
              <m:d>
                <m:dPr>
                  <m:ctrlPr>
                    <w:rPr>
                      <w:rFonts w:ascii="Cambria Math" w:eastAsia="Calibri" w:hAnsi="Cambria Math" w:cs="Arial"/>
                      <w:i/>
                    </w:rPr>
                  </m:ctrlPr>
                </m:dPr>
                <m:e>
                  <m:r>
                    <w:rPr>
                      <w:rFonts w:ascii="Cambria Math" w:eastAsia="Calibri" w:hAnsi="Cambria Math" w:cs="Arial"/>
                    </w:rPr>
                    <m:t>N</m:t>
                  </m:r>
                </m:e>
              </m:d>
            </m:e>
          </m:func>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γ</m:t>
              </m:r>
            </m:e>
            <m:sub>
              <m:r>
                <w:rPr>
                  <w:rFonts w:ascii="Cambria Math" w:eastAsia="Calibri" w:hAnsi="Cambria Math" w:cs="Arial"/>
                </w:rPr>
                <m:t>2</m:t>
              </m:r>
            </m:sub>
          </m:sSub>
          <m:sSup>
            <m:sSupPr>
              <m:ctrlPr>
                <w:rPr>
                  <w:rFonts w:ascii="Cambria Math" w:eastAsia="Calibri" w:hAnsi="Cambria Math" w:cs="Arial"/>
                </w:rPr>
              </m:ctrlPr>
            </m:sSupPr>
            <m:e>
              <m:r>
                <m:rPr>
                  <m:sty m:val="p"/>
                </m:rPr>
                <w:rPr>
                  <w:rFonts w:ascii="Cambria Math" w:eastAsia="Calibri" w:hAnsi="Cambria Math" w:cs="Arial"/>
                </w:rPr>
                <m:t>ln</m:t>
              </m:r>
            </m:e>
            <m:sup>
              <m:r>
                <w:rPr>
                  <w:rFonts w:ascii="Cambria Math" w:eastAsia="Calibri" w:hAnsi="Cambria Math" w:cs="Arial"/>
                </w:rPr>
                <m:t>2</m:t>
              </m:r>
            </m:sup>
          </m:sSup>
          <m:d>
            <m:dPr>
              <m:ctrlPr>
                <w:rPr>
                  <w:rFonts w:ascii="Cambria Math" w:eastAsia="Calibri" w:hAnsi="Cambria Math" w:cs="Arial"/>
                  <w:i/>
                </w:rPr>
              </m:ctrlPr>
            </m:dPr>
            <m:e>
              <m:r>
                <w:rPr>
                  <w:rFonts w:ascii="Cambria Math" w:eastAsia="Calibri" w:hAnsi="Cambria Math" w:cs="Arial"/>
                </w:rPr>
                <m:t>N</m:t>
              </m:r>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γ</m:t>
              </m:r>
            </m:e>
            <m:sub>
              <m:r>
                <w:rPr>
                  <w:rFonts w:ascii="Cambria Math" w:eastAsia="Calibri" w:hAnsi="Cambria Math" w:cs="Arial"/>
                </w:rPr>
                <m:t>3</m:t>
              </m:r>
            </m:sub>
          </m:sSub>
          <m:func>
            <m:funcPr>
              <m:ctrlPr>
                <w:rPr>
                  <w:rFonts w:ascii="Cambria Math" w:eastAsia="Calibri" w:hAnsi="Cambria Math" w:cs="Arial"/>
                </w:rPr>
              </m:ctrlPr>
            </m:funcPr>
            <m:fName>
              <m:r>
                <m:rPr>
                  <m:sty m:val="p"/>
                </m:rPr>
                <w:rPr>
                  <w:rFonts w:ascii="Cambria Math" w:eastAsia="Calibri" w:hAnsi="Cambria Math" w:cs="Arial"/>
                </w:rPr>
                <m:t>ln</m:t>
              </m:r>
            </m:fName>
            <m:e>
              <m:d>
                <m:dPr>
                  <m:ctrlPr>
                    <w:rPr>
                      <w:rFonts w:ascii="Cambria Math" w:eastAsia="Calibri" w:hAnsi="Cambria Math" w:cs="Arial"/>
                      <w:i/>
                    </w:rPr>
                  </m:ctrlPr>
                </m:dPr>
                <m:e>
                  <m:r>
                    <w:rPr>
                      <w:rFonts w:ascii="Cambria Math" w:eastAsia="Calibri" w:hAnsi="Cambria Math" w:cs="Arial"/>
                    </w:rPr>
                    <m:t>RD</m:t>
                  </m:r>
                </m:e>
              </m:d>
            </m:e>
          </m:func>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γ</m:t>
              </m:r>
            </m:e>
            <m:sub>
              <m:r>
                <w:rPr>
                  <w:rFonts w:ascii="Cambria Math" w:eastAsia="Calibri" w:hAnsi="Cambria Math" w:cs="Arial"/>
                </w:rPr>
                <m:t>4</m:t>
              </m:r>
            </m:sub>
          </m:sSub>
          <m:sSup>
            <m:sSupPr>
              <m:ctrlPr>
                <w:rPr>
                  <w:rFonts w:ascii="Cambria Math" w:eastAsia="Calibri" w:hAnsi="Cambria Math" w:cs="Arial"/>
                  <w:i/>
                </w:rPr>
              </m:ctrlPr>
            </m:sSupPr>
            <m:e>
              <m:r>
                <w:rPr>
                  <w:rFonts w:ascii="Cambria Math" w:eastAsia="Calibri" w:hAnsi="Cambria Math" w:cs="Arial"/>
                </w:rPr>
                <m:t>ln</m:t>
              </m:r>
            </m:e>
            <m:sup>
              <m:r>
                <w:rPr>
                  <w:rFonts w:ascii="Cambria Math" w:eastAsia="Calibri" w:hAnsi="Cambria Math" w:cs="Arial"/>
                </w:rPr>
                <m:t>2</m:t>
              </m:r>
            </m:sup>
          </m:sSup>
          <m:d>
            <m:dPr>
              <m:ctrlPr>
                <w:rPr>
                  <w:rFonts w:ascii="Cambria Math" w:eastAsia="Calibri" w:hAnsi="Cambria Math" w:cs="Arial"/>
                  <w:i/>
                </w:rPr>
              </m:ctrlPr>
            </m:dPr>
            <m:e>
              <m:r>
                <w:rPr>
                  <w:rFonts w:ascii="Cambria Math" w:eastAsia="Calibri" w:hAnsi="Cambria Math" w:cs="Arial"/>
                </w:rPr>
                <m:t>RD</m:t>
              </m:r>
            </m:e>
          </m:d>
          <m:r>
            <w:rPr>
              <w:rFonts w:ascii="Cambria Math" w:eastAsia="Calibri" w:hAnsi="Cambria Math" w:cs="Arial"/>
            </w:rPr>
            <m:t>+…</m:t>
          </m:r>
        </m:oMath>
      </m:oMathPara>
    </w:p>
    <w:p w14:paraId="0928FD10" w14:textId="77777777" w:rsidR="007509C7" w:rsidRPr="00BF20CF" w:rsidRDefault="007509C7" w:rsidP="003041BF">
      <w:pPr>
        <w:tabs>
          <w:tab w:val="left" w:pos="720"/>
        </w:tabs>
        <w:autoSpaceDE w:val="0"/>
        <w:autoSpaceDN w:val="0"/>
        <w:adjustRightInd w:val="0"/>
        <w:spacing w:before="240" w:after="120" w:line="276" w:lineRule="auto"/>
        <w:ind w:left="720"/>
        <w:contextualSpacing/>
        <w:rPr>
          <w:rFonts w:ascii="Arial" w:hAnsi="Arial" w:cs="Arial"/>
          <w:lang w:val="en-CA"/>
        </w:rPr>
      </w:pPr>
      <m:oMathPara>
        <m:oMath>
          <m:r>
            <w:rPr>
              <w:rFonts w:ascii="Cambria Math" w:hAnsi="Cambria Math" w:cs="Arial"/>
              <w:lang w:val="en-CA"/>
            </w:rPr>
            <m:t xml:space="preserve">=…+ </m:t>
          </m:r>
          <m:sSub>
            <m:sSubPr>
              <m:ctrlPr>
                <w:rPr>
                  <w:rFonts w:ascii="Cambria Math" w:eastAsia="Calibri" w:hAnsi="Cambria Math" w:cs="Arial"/>
                  <w:i/>
                </w:rPr>
              </m:ctrlPr>
            </m:sSubPr>
            <m:e>
              <m:r>
                <w:rPr>
                  <w:rFonts w:ascii="Cambria Math" w:hAnsi="Cambria Math" w:cs="Arial"/>
                  <w:lang w:val="en-CA"/>
                </w:rPr>
                <m:t xml:space="preserve"> γ</m:t>
              </m:r>
            </m:e>
            <m:sub>
              <m:r>
                <w:rPr>
                  <w:rFonts w:ascii="Cambria Math" w:hAnsi="Cambria Math" w:cs="Arial"/>
                  <w:lang w:val="en-CA"/>
                </w:rPr>
                <m:t>1</m:t>
              </m:r>
            </m:sub>
          </m:sSub>
          <m:func>
            <m:funcPr>
              <m:ctrlPr>
                <w:rPr>
                  <w:rFonts w:ascii="Cambria Math" w:hAnsi="Cambria Math" w:cs="Arial"/>
                  <w:lang w:val="en-CA"/>
                </w:rPr>
              </m:ctrlPr>
            </m:funcPr>
            <m:fName>
              <m:r>
                <m:rPr>
                  <m:sty m:val="p"/>
                </m:rPr>
                <w:rPr>
                  <w:rFonts w:ascii="Cambria Math" w:hAnsi="Cambria Math" w:cs="Arial"/>
                  <w:lang w:val="en-CA"/>
                </w:rPr>
                <m:t>ln</m:t>
              </m:r>
            </m:fName>
            <m:e>
              <m:d>
                <m:dPr>
                  <m:ctrlPr>
                    <w:rPr>
                      <w:rFonts w:ascii="Cambria Math" w:hAnsi="Cambria Math" w:cs="Arial"/>
                      <w:i/>
                      <w:lang w:val="en-CA"/>
                    </w:rPr>
                  </m:ctrlPr>
                </m:dPr>
                <m:e>
                  <m:r>
                    <w:rPr>
                      <w:rFonts w:ascii="Cambria Math" w:hAnsi="Cambria Math" w:cs="Arial"/>
                      <w:lang w:val="en-CA"/>
                    </w:rPr>
                    <m:t>N</m:t>
                  </m:r>
                </m:e>
              </m:d>
            </m:e>
          </m:func>
          <m:r>
            <w:rPr>
              <w:rFonts w:ascii="Cambria Math" w:hAnsi="Cambria Math" w:cs="Arial"/>
              <w:lang w:val="en-CA"/>
            </w:rPr>
            <m:t>+</m:t>
          </m:r>
          <m:sSub>
            <m:sSubPr>
              <m:ctrlPr>
                <w:rPr>
                  <w:rFonts w:ascii="Cambria Math" w:eastAsia="Calibri" w:hAnsi="Cambria Math" w:cs="Arial"/>
                  <w:i/>
                </w:rPr>
              </m:ctrlPr>
            </m:sSubPr>
            <m:e>
              <m:r>
                <w:rPr>
                  <w:rFonts w:ascii="Cambria Math" w:hAnsi="Cambria Math" w:cs="Arial"/>
                  <w:lang w:val="en-CA"/>
                </w:rPr>
                <m:t>γ</m:t>
              </m:r>
            </m:e>
            <m:sub>
              <m:r>
                <w:rPr>
                  <w:rFonts w:ascii="Cambria Math" w:hAnsi="Cambria Math" w:cs="Arial"/>
                  <w:lang w:val="en-CA"/>
                </w:rPr>
                <m:t>2</m:t>
              </m:r>
            </m:sub>
          </m:sSub>
          <m:sSup>
            <m:sSupPr>
              <m:ctrlPr>
                <w:rPr>
                  <w:rFonts w:ascii="Cambria Math" w:eastAsia="Calibri" w:hAnsi="Cambria Math" w:cs="Arial"/>
                </w:rPr>
              </m:ctrlPr>
            </m:sSupPr>
            <m:e>
              <m:r>
                <m:rPr>
                  <m:sty m:val="p"/>
                </m:rPr>
                <w:rPr>
                  <w:rFonts w:ascii="Cambria Math" w:hAnsi="Cambria Math" w:cs="Arial"/>
                  <w:lang w:val="en-CA"/>
                </w:rPr>
                <m:t>ln</m:t>
              </m:r>
            </m:e>
            <m:sup>
              <m:r>
                <w:rPr>
                  <w:rFonts w:ascii="Cambria Math" w:hAnsi="Cambria Math" w:cs="Arial"/>
                  <w:lang w:val="en-CA"/>
                </w:rPr>
                <m:t>2</m:t>
              </m:r>
            </m:sup>
          </m:sSup>
          <m:d>
            <m:dPr>
              <m:ctrlPr>
                <w:rPr>
                  <w:rFonts w:ascii="Cambria Math" w:hAnsi="Cambria Math" w:cs="Arial"/>
                  <w:i/>
                  <w:lang w:val="en-CA"/>
                </w:rPr>
              </m:ctrlPr>
            </m:dPr>
            <m:e>
              <m:r>
                <w:rPr>
                  <w:rFonts w:ascii="Cambria Math" w:hAnsi="Cambria Math" w:cs="Arial"/>
                  <w:lang w:val="en-CA"/>
                </w:rPr>
                <m:t>N</m:t>
              </m:r>
            </m:e>
          </m:d>
          <m:r>
            <w:rPr>
              <w:rFonts w:ascii="Cambria Math" w:hAnsi="Cambria Math" w:cs="Arial"/>
              <w:lang w:val="en-CA"/>
            </w:rPr>
            <m:t>+</m:t>
          </m:r>
          <m:sSub>
            <m:sSubPr>
              <m:ctrlPr>
                <w:rPr>
                  <w:rFonts w:ascii="Cambria Math" w:eastAsia="Calibri" w:hAnsi="Cambria Math" w:cs="Arial"/>
                  <w:i/>
                </w:rPr>
              </m:ctrlPr>
            </m:sSubPr>
            <m:e>
              <m:r>
                <w:rPr>
                  <w:rFonts w:ascii="Cambria Math" w:hAnsi="Cambria Math" w:cs="Arial"/>
                  <w:lang w:val="en-CA"/>
                </w:rPr>
                <m:t>γ</m:t>
              </m:r>
            </m:e>
            <m:sub>
              <m:r>
                <w:rPr>
                  <w:rFonts w:ascii="Cambria Math" w:hAnsi="Cambria Math" w:cs="Arial"/>
                  <w:lang w:val="en-CA"/>
                </w:rPr>
                <m:t>3</m:t>
              </m:r>
            </m:sub>
          </m:sSub>
          <m:func>
            <m:funcPr>
              <m:ctrlPr>
                <w:rPr>
                  <w:rFonts w:ascii="Cambria Math" w:hAnsi="Cambria Math" w:cs="Arial"/>
                  <w:lang w:val="en-CA"/>
                </w:rPr>
              </m:ctrlPr>
            </m:funcPr>
            <m:fName>
              <m:r>
                <m:rPr>
                  <m:sty m:val="p"/>
                </m:rPr>
                <w:rPr>
                  <w:rFonts w:ascii="Cambria Math" w:hAnsi="Cambria Math" w:cs="Arial"/>
                  <w:lang w:val="en-CA"/>
                </w:rPr>
                <m:t>ln</m:t>
              </m:r>
            </m:fName>
            <m:e>
              <m:d>
                <m:dPr>
                  <m:ctrlPr>
                    <w:rPr>
                      <w:rFonts w:ascii="Cambria Math" w:hAnsi="Cambria Math" w:cs="Arial"/>
                      <w:i/>
                      <w:lang w:val="en-CA"/>
                    </w:rPr>
                  </m:ctrlPr>
                </m:dPr>
                <m:e>
                  <m:r>
                    <w:rPr>
                      <w:rFonts w:ascii="Cambria Math" w:hAnsi="Cambria Math" w:cs="Arial"/>
                      <w:lang w:val="en-CA"/>
                    </w:rPr>
                    <m:t>A/N</m:t>
                  </m:r>
                </m:e>
              </m:d>
            </m:e>
          </m:func>
          <m:r>
            <w:rPr>
              <w:rFonts w:ascii="Cambria Math" w:hAnsi="Cambria Math" w:cs="Arial"/>
              <w:lang w:val="en-CA"/>
            </w:rPr>
            <m:t xml:space="preserve">+ </m:t>
          </m:r>
          <m:sSub>
            <m:sSubPr>
              <m:ctrlPr>
                <w:rPr>
                  <w:rFonts w:ascii="Cambria Math" w:eastAsia="Calibri" w:hAnsi="Cambria Math" w:cs="Arial"/>
                  <w:i/>
                </w:rPr>
              </m:ctrlPr>
            </m:sSubPr>
            <m:e>
              <m:r>
                <w:rPr>
                  <w:rFonts w:ascii="Cambria Math" w:hAnsi="Cambria Math" w:cs="Arial"/>
                  <w:lang w:val="en-CA"/>
                </w:rPr>
                <m:t>γ</m:t>
              </m:r>
            </m:e>
            <m:sub>
              <m:r>
                <w:rPr>
                  <w:rFonts w:ascii="Cambria Math" w:hAnsi="Cambria Math" w:cs="Arial"/>
                  <w:lang w:val="en-CA"/>
                </w:rPr>
                <m:t>4</m:t>
              </m:r>
            </m:sub>
          </m:sSub>
          <m:sSup>
            <m:sSupPr>
              <m:ctrlPr>
                <w:rPr>
                  <w:rFonts w:ascii="Cambria Math" w:eastAsia="Calibri" w:hAnsi="Cambria Math" w:cs="Arial"/>
                  <w:i/>
                </w:rPr>
              </m:ctrlPr>
            </m:sSupPr>
            <m:e>
              <m:r>
                <w:rPr>
                  <w:rFonts w:ascii="Cambria Math" w:hAnsi="Cambria Math" w:cs="Arial"/>
                  <w:lang w:val="en-CA"/>
                </w:rPr>
                <m:t>ln</m:t>
              </m:r>
            </m:e>
            <m:sup>
              <m:r>
                <w:rPr>
                  <w:rFonts w:ascii="Cambria Math" w:hAnsi="Cambria Math" w:cs="Arial"/>
                  <w:lang w:val="en-CA"/>
                </w:rPr>
                <m:t>2</m:t>
              </m:r>
            </m:sup>
          </m:sSup>
          <m:d>
            <m:dPr>
              <m:ctrlPr>
                <w:rPr>
                  <w:rFonts w:ascii="Cambria Math" w:hAnsi="Cambria Math" w:cs="Arial"/>
                  <w:i/>
                  <w:lang w:val="en-CA"/>
                </w:rPr>
              </m:ctrlPr>
            </m:dPr>
            <m:e>
              <m:r>
                <w:rPr>
                  <w:rFonts w:ascii="Cambria Math" w:hAnsi="Cambria Math" w:cs="Arial"/>
                  <w:lang w:val="en-CA"/>
                </w:rPr>
                <m:t>A/N</m:t>
              </m:r>
            </m:e>
          </m:d>
          <m:r>
            <w:rPr>
              <w:rFonts w:ascii="Cambria Math" w:hAnsi="Cambria Math" w:cs="Arial"/>
              <w:lang w:val="en-CA"/>
            </w:rPr>
            <m:t>+…</m:t>
          </m:r>
        </m:oMath>
      </m:oMathPara>
    </w:p>
    <w:p w14:paraId="048103A4" w14:textId="77777777" w:rsidR="007509C7" w:rsidRPr="00BF20CF" w:rsidRDefault="007509C7" w:rsidP="003041BF">
      <w:pPr>
        <w:tabs>
          <w:tab w:val="left" w:pos="720"/>
        </w:tabs>
        <w:autoSpaceDE w:val="0"/>
        <w:autoSpaceDN w:val="0"/>
        <w:adjustRightInd w:val="0"/>
        <w:spacing w:before="240" w:after="120" w:line="276" w:lineRule="auto"/>
        <w:ind w:left="720"/>
        <w:contextualSpacing/>
        <w:rPr>
          <w:rFonts w:ascii="Arial" w:hAnsi="Arial" w:cs="Arial"/>
          <w:lang w:val="en-CA"/>
        </w:rPr>
      </w:pPr>
    </w:p>
    <w:p w14:paraId="6475603A" w14:textId="77777777" w:rsidR="007509C7" w:rsidRPr="00BF20CF" w:rsidRDefault="007509C7" w:rsidP="003041BF">
      <w:pPr>
        <w:tabs>
          <w:tab w:val="left" w:pos="720"/>
        </w:tabs>
        <w:autoSpaceDE w:val="0"/>
        <w:autoSpaceDN w:val="0"/>
        <w:adjustRightInd w:val="0"/>
        <w:spacing w:before="240" w:after="120" w:line="276" w:lineRule="auto"/>
        <w:ind w:left="720"/>
        <w:contextualSpacing/>
        <w:rPr>
          <w:rFonts w:ascii="Arial" w:hAnsi="Arial" w:cs="Arial"/>
          <w:lang w:val="en-CA"/>
        </w:rPr>
      </w:pPr>
      <m:oMathPara>
        <m:oMath>
          <m:r>
            <w:rPr>
              <w:rFonts w:ascii="Cambria Math" w:hAnsi="Cambria Math" w:cs="Arial"/>
              <w:lang w:val="en-CA"/>
            </w:rPr>
            <m:t xml:space="preserve">=…+ </m:t>
          </m:r>
          <m:sSub>
            <m:sSubPr>
              <m:ctrlPr>
                <w:rPr>
                  <w:rFonts w:ascii="Cambria Math" w:eastAsia="Calibri" w:hAnsi="Cambria Math" w:cs="Arial"/>
                  <w:i/>
                </w:rPr>
              </m:ctrlPr>
            </m:sSubPr>
            <m:e>
              <m:r>
                <w:rPr>
                  <w:rFonts w:ascii="Cambria Math" w:hAnsi="Cambria Math" w:cs="Arial"/>
                  <w:lang w:val="en-CA"/>
                </w:rPr>
                <m:t xml:space="preserve"> γ</m:t>
              </m:r>
            </m:e>
            <m:sub>
              <m:r>
                <w:rPr>
                  <w:rFonts w:ascii="Cambria Math" w:hAnsi="Cambria Math" w:cs="Arial"/>
                  <w:lang w:val="en-CA"/>
                </w:rPr>
                <m:t>1</m:t>
              </m:r>
            </m:sub>
          </m:sSub>
          <m:func>
            <m:funcPr>
              <m:ctrlPr>
                <w:rPr>
                  <w:rFonts w:ascii="Cambria Math" w:hAnsi="Cambria Math" w:cs="Arial"/>
                  <w:lang w:val="en-CA"/>
                </w:rPr>
              </m:ctrlPr>
            </m:funcPr>
            <m:fName>
              <m:r>
                <m:rPr>
                  <m:sty m:val="p"/>
                </m:rPr>
                <w:rPr>
                  <w:rFonts w:ascii="Cambria Math" w:hAnsi="Cambria Math" w:cs="Arial"/>
                  <w:lang w:val="en-CA"/>
                </w:rPr>
                <m:t>ln</m:t>
              </m:r>
            </m:fName>
            <m:e>
              <m:d>
                <m:dPr>
                  <m:ctrlPr>
                    <w:rPr>
                      <w:rFonts w:ascii="Cambria Math" w:hAnsi="Cambria Math" w:cs="Arial"/>
                      <w:i/>
                      <w:lang w:val="en-CA"/>
                    </w:rPr>
                  </m:ctrlPr>
                </m:dPr>
                <m:e>
                  <m:r>
                    <w:rPr>
                      <w:rFonts w:ascii="Cambria Math" w:hAnsi="Cambria Math" w:cs="Arial"/>
                      <w:lang w:val="en-CA"/>
                    </w:rPr>
                    <m:t>N</m:t>
                  </m:r>
                </m:e>
              </m:d>
            </m:e>
          </m:func>
          <m:r>
            <w:rPr>
              <w:rFonts w:ascii="Cambria Math" w:hAnsi="Cambria Math" w:cs="Arial"/>
              <w:lang w:val="en-CA"/>
            </w:rPr>
            <m:t>+</m:t>
          </m:r>
          <m:sSub>
            <m:sSubPr>
              <m:ctrlPr>
                <w:rPr>
                  <w:rFonts w:ascii="Cambria Math" w:eastAsia="Calibri" w:hAnsi="Cambria Math" w:cs="Arial"/>
                  <w:i/>
                </w:rPr>
              </m:ctrlPr>
            </m:sSubPr>
            <m:e>
              <m:r>
                <w:rPr>
                  <w:rFonts w:ascii="Cambria Math" w:hAnsi="Cambria Math" w:cs="Arial"/>
                  <w:lang w:val="en-CA"/>
                </w:rPr>
                <m:t>γ</m:t>
              </m:r>
            </m:e>
            <m:sub>
              <m:r>
                <w:rPr>
                  <w:rFonts w:ascii="Cambria Math" w:hAnsi="Cambria Math" w:cs="Arial"/>
                  <w:lang w:val="en-CA"/>
                </w:rPr>
                <m:t>2</m:t>
              </m:r>
            </m:sub>
          </m:sSub>
          <m:sSup>
            <m:sSupPr>
              <m:ctrlPr>
                <w:rPr>
                  <w:rFonts w:ascii="Cambria Math" w:eastAsia="Calibri" w:hAnsi="Cambria Math" w:cs="Arial"/>
                </w:rPr>
              </m:ctrlPr>
            </m:sSupPr>
            <m:e>
              <m:r>
                <m:rPr>
                  <m:sty m:val="p"/>
                </m:rPr>
                <w:rPr>
                  <w:rFonts w:ascii="Cambria Math" w:hAnsi="Cambria Math" w:cs="Arial"/>
                  <w:lang w:val="en-CA"/>
                </w:rPr>
                <m:t>ln</m:t>
              </m:r>
            </m:e>
            <m:sup>
              <m:r>
                <w:rPr>
                  <w:rFonts w:ascii="Cambria Math" w:hAnsi="Cambria Math" w:cs="Arial"/>
                  <w:lang w:val="en-CA"/>
                </w:rPr>
                <m:t>2</m:t>
              </m:r>
            </m:sup>
          </m:sSup>
          <m:d>
            <m:dPr>
              <m:ctrlPr>
                <w:rPr>
                  <w:rFonts w:ascii="Cambria Math" w:hAnsi="Cambria Math" w:cs="Arial"/>
                  <w:i/>
                  <w:lang w:val="en-CA"/>
                </w:rPr>
              </m:ctrlPr>
            </m:dPr>
            <m:e>
              <m:r>
                <w:rPr>
                  <w:rFonts w:ascii="Cambria Math" w:hAnsi="Cambria Math" w:cs="Arial"/>
                  <w:lang w:val="en-CA"/>
                </w:rPr>
                <m:t>N</m:t>
              </m:r>
            </m:e>
          </m:d>
          <m:r>
            <w:rPr>
              <w:rFonts w:ascii="Cambria Math" w:hAnsi="Cambria Math" w:cs="Arial"/>
              <w:lang w:val="en-CA"/>
            </w:rPr>
            <m:t>+</m:t>
          </m:r>
          <m:sSub>
            <m:sSubPr>
              <m:ctrlPr>
                <w:rPr>
                  <w:rFonts w:ascii="Cambria Math" w:eastAsia="Calibri" w:hAnsi="Cambria Math" w:cs="Arial"/>
                  <w:i/>
                </w:rPr>
              </m:ctrlPr>
            </m:sSubPr>
            <m:e>
              <m:r>
                <w:rPr>
                  <w:rFonts w:ascii="Cambria Math" w:hAnsi="Cambria Math" w:cs="Arial"/>
                  <w:lang w:val="en-CA"/>
                </w:rPr>
                <m:t>γ</m:t>
              </m:r>
            </m:e>
            <m:sub>
              <m:r>
                <w:rPr>
                  <w:rFonts w:ascii="Cambria Math" w:hAnsi="Cambria Math" w:cs="Arial"/>
                  <w:lang w:val="en-CA"/>
                </w:rPr>
                <m:t>3</m:t>
              </m:r>
            </m:sub>
          </m:sSub>
          <m:func>
            <m:funcPr>
              <m:ctrlPr>
                <w:rPr>
                  <w:rFonts w:ascii="Cambria Math" w:hAnsi="Cambria Math" w:cs="Arial"/>
                  <w:lang w:val="en-CA"/>
                </w:rPr>
              </m:ctrlPr>
            </m:funcPr>
            <m:fName>
              <m:r>
                <m:rPr>
                  <m:sty m:val="p"/>
                </m:rPr>
                <w:rPr>
                  <w:rFonts w:ascii="Cambria Math" w:hAnsi="Cambria Math" w:cs="Arial"/>
                  <w:lang w:val="en-CA"/>
                </w:rPr>
                <m:t>[ln</m:t>
              </m:r>
            </m:fName>
            <m:e>
              <m:d>
                <m:dPr>
                  <m:ctrlPr>
                    <w:rPr>
                      <w:rFonts w:ascii="Cambria Math" w:hAnsi="Cambria Math" w:cs="Arial"/>
                      <w:i/>
                      <w:lang w:val="en-CA"/>
                    </w:rPr>
                  </m:ctrlPr>
                </m:dPr>
                <m:e>
                  <m:r>
                    <w:rPr>
                      <w:rFonts w:ascii="Cambria Math" w:hAnsi="Cambria Math" w:cs="Arial"/>
                      <w:lang w:val="en-CA"/>
                    </w:rPr>
                    <m:t>A)-</m:t>
                  </m:r>
                  <m:r>
                    <m:rPr>
                      <m:sty m:val="p"/>
                    </m:rPr>
                    <w:rPr>
                      <w:rFonts w:ascii="Cambria Math" w:hAnsi="Cambria Math" w:cs="Arial"/>
                      <w:lang w:val="en-CA"/>
                    </w:rPr>
                    <m:t>ln⁡</m:t>
                  </m:r>
                  <m:r>
                    <w:rPr>
                      <w:rFonts w:ascii="Cambria Math" w:hAnsi="Cambria Math" w:cs="Arial"/>
                      <w:lang w:val="en-CA"/>
                    </w:rPr>
                    <m:t>(N</m:t>
                  </m:r>
                </m:e>
              </m:d>
              <m:r>
                <w:rPr>
                  <w:rFonts w:ascii="Cambria Math" w:hAnsi="Cambria Math" w:cs="Arial"/>
                  <w:lang w:val="en-CA"/>
                </w:rPr>
                <m:t>]</m:t>
              </m:r>
            </m:e>
          </m:func>
          <m:r>
            <w:rPr>
              <w:rFonts w:ascii="Cambria Math" w:hAnsi="Cambria Math" w:cs="Arial"/>
              <w:lang w:val="en-CA"/>
            </w:rPr>
            <m:t xml:space="preserve">+ </m:t>
          </m:r>
          <m:sSub>
            <m:sSubPr>
              <m:ctrlPr>
                <w:rPr>
                  <w:rFonts w:ascii="Cambria Math" w:eastAsia="Calibri" w:hAnsi="Cambria Math" w:cs="Arial"/>
                  <w:i/>
                </w:rPr>
              </m:ctrlPr>
            </m:sSubPr>
            <m:e>
              <m:r>
                <w:rPr>
                  <w:rFonts w:ascii="Cambria Math" w:hAnsi="Cambria Math" w:cs="Arial"/>
                  <w:lang w:val="en-CA"/>
                </w:rPr>
                <m:t>γ</m:t>
              </m:r>
            </m:e>
            <m:sub>
              <m:r>
                <w:rPr>
                  <w:rFonts w:ascii="Cambria Math" w:hAnsi="Cambria Math" w:cs="Arial"/>
                  <w:lang w:val="en-CA"/>
                </w:rPr>
                <m:t>4</m:t>
              </m:r>
            </m:sub>
          </m:sSub>
          <m:sSup>
            <m:sSupPr>
              <m:ctrlPr>
                <w:rPr>
                  <w:rFonts w:ascii="Cambria Math" w:hAnsi="Cambria Math" w:cs="Arial"/>
                  <w:i/>
                </w:rPr>
              </m:ctrlPr>
            </m:sSupPr>
            <m:e>
              <m:r>
                <w:rPr>
                  <w:rFonts w:ascii="Cambria Math" w:hAnsi="Cambria Math" w:cs="Arial"/>
                </w:rPr>
                <m:t>[ln</m:t>
              </m:r>
              <m:r>
                <w:rPr>
                  <w:rFonts w:ascii="Cambria Math" w:hAnsi="Cambria Math" w:cs="Cambria Math"/>
                </w:rPr>
                <m:t>⁡</m:t>
              </m:r>
              <m:r>
                <w:rPr>
                  <w:rFonts w:ascii="Cambria Math" w:hAnsi="Cambria Math" w:cs="Arial"/>
                </w:rPr>
                <m:t>(A)-ln</m:t>
              </m:r>
              <m:r>
                <w:rPr>
                  <w:rFonts w:ascii="Cambria Math" w:hAnsi="Cambria Math" w:cs="Cambria Math"/>
                </w:rPr>
                <m:t>⁡</m:t>
              </m:r>
              <m:r>
                <w:rPr>
                  <w:rFonts w:ascii="Cambria Math" w:hAnsi="Cambria Math" w:cs="Arial"/>
                </w:rPr>
                <m:t>(N)]</m:t>
              </m:r>
            </m:e>
            <m:sup>
              <m:r>
                <w:rPr>
                  <w:rFonts w:ascii="Cambria Math" w:hAnsi="Cambria Math" w:cs="Arial"/>
                </w:rPr>
                <m:t>2</m:t>
              </m:r>
            </m:sup>
          </m:sSup>
          <m:r>
            <w:rPr>
              <w:rFonts w:ascii="Cambria Math" w:hAnsi="Cambria Math" w:cs="Arial"/>
              <w:lang w:val="en-CA"/>
            </w:rPr>
            <m:t>+…</m:t>
          </m:r>
        </m:oMath>
      </m:oMathPara>
    </w:p>
    <w:p w14:paraId="05F96D03" w14:textId="77777777" w:rsidR="007509C7" w:rsidRPr="00BF20CF" w:rsidRDefault="007509C7" w:rsidP="003041BF">
      <w:pPr>
        <w:tabs>
          <w:tab w:val="left" w:pos="720"/>
        </w:tabs>
        <w:autoSpaceDE w:val="0"/>
        <w:autoSpaceDN w:val="0"/>
        <w:adjustRightInd w:val="0"/>
        <w:spacing w:before="240" w:after="120" w:line="276" w:lineRule="auto"/>
        <w:ind w:left="720"/>
        <w:contextualSpacing/>
        <w:rPr>
          <w:rFonts w:ascii="Arial" w:hAnsi="Arial" w:cs="Arial"/>
          <w:lang w:val="en-CA"/>
        </w:rPr>
      </w:pPr>
    </w:p>
    <w:p w14:paraId="4CD7BAB2" w14:textId="77777777" w:rsidR="007509C7" w:rsidRPr="00BF20CF" w:rsidRDefault="007509C7" w:rsidP="003041BF">
      <w:pPr>
        <w:autoSpaceDE w:val="0"/>
        <w:autoSpaceDN w:val="0"/>
        <w:adjustRightInd w:val="0"/>
        <w:spacing w:before="240" w:after="120" w:line="276" w:lineRule="auto"/>
        <w:contextualSpacing/>
        <w:rPr>
          <w:rFonts w:ascii="Arial" w:hAnsi="Arial" w:cs="Arial"/>
          <w:lang w:val="en-CA"/>
        </w:rPr>
      </w:pPr>
      <m:oMathPara>
        <m:oMath>
          <m:r>
            <w:rPr>
              <w:rFonts w:ascii="Cambria Math" w:hAnsi="Cambria Math" w:cs="Arial"/>
              <w:lang w:val="en-CA"/>
            </w:rPr>
            <m:t>=…+</m:t>
          </m:r>
          <m:sSub>
            <m:sSubPr>
              <m:ctrlPr>
                <w:rPr>
                  <w:rFonts w:ascii="Cambria Math" w:hAnsi="Cambria Math" w:cs="Arial"/>
                  <w:i/>
                  <w:lang w:val="en-CA"/>
                </w:rPr>
              </m:ctrlPr>
            </m:sSubPr>
            <m:e>
              <m:r>
                <w:rPr>
                  <w:rFonts w:ascii="Cambria Math" w:hAnsi="Cambria Math" w:cs="Arial"/>
                  <w:lang w:val="en-CA"/>
                </w:rPr>
                <m:t>γ</m:t>
              </m:r>
            </m:e>
            <m:sub>
              <m:r>
                <w:rPr>
                  <w:rFonts w:ascii="Cambria Math" w:hAnsi="Cambria Math" w:cs="Arial"/>
                  <w:lang w:val="en-CA"/>
                </w:rPr>
                <m:t>1</m:t>
              </m:r>
            </m:sub>
          </m:sSub>
          <m:func>
            <m:funcPr>
              <m:ctrlPr>
                <w:rPr>
                  <w:rFonts w:ascii="Cambria Math" w:hAnsi="Cambria Math" w:cs="Arial"/>
                  <w:lang w:val="en-CA"/>
                </w:rPr>
              </m:ctrlPr>
            </m:funcPr>
            <m:fName>
              <m:r>
                <m:rPr>
                  <m:sty m:val="p"/>
                </m:rPr>
                <w:rPr>
                  <w:rFonts w:ascii="Cambria Math" w:hAnsi="Cambria Math" w:cs="Arial"/>
                  <w:lang w:val="en-CA"/>
                </w:rPr>
                <m:t>ln</m:t>
              </m:r>
            </m:fName>
            <m:e>
              <m:d>
                <m:dPr>
                  <m:ctrlPr>
                    <w:rPr>
                      <w:rFonts w:ascii="Cambria Math" w:hAnsi="Cambria Math" w:cs="Arial"/>
                      <w:i/>
                      <w:lang w:val="en-CA"/>
                    </w:rPr>
                  </m:ctrlPr>
                </m:dPr>
                <m:e>
                  <m:r>
                    <w:rPr>
                      <w:rFonts w:ascii="Cambria Math" w:hAnsi="Cambria Math" w:cs="Arial"/>
                      <w:lang w:val="en-CA"/>
                    </w:rPr>
                    <m:t>N</m:t>
                  </m:r>
                </m:e>
              </m:d>
            </m:e>
          </m:func>
          <m:r>
            <w:rPr>
              <w:rFonts w:ascii="Cambria Math" w:hAnsi="Cambria Math" w:cs="Arial"/>
              <w:lang w:val="en-CA"/>
            </w:rPr>
            <m:t>+</m:t>
          </m:r>
          <m:sSub>
            <m:sSubPr>
              <m:ctrlPr>
                <w:rPr>
                  <w:rFonts w:ascii="Cambria Math" w:hAnsi="Cambria Math" w:cs="Arial"/>
                  <w:i/>
                  <w:lang w:val="en-CA"/>
                </w:rPr>
              </m:ctrlPr>
            </m:sSubPr>
            <m:e>
              <m:r>
                <w:rPr>
                  <w:rFonts w:ascii="Cambria Math" w:hAnsi="Cambria Math" w:cs="Arial"/>
                  <w:lang w:val="en-CA"/>
                </w:rPr>
                <m:t>γ</m:t>
              </m:r>
            </m:e>
            <m:sub>
              <m:r>
                <w:rPr>
                  <w:rFonts w:ascii="Cambria Math" w:hAnsi="Cambria Math" w:cs="Arial"/>
                  <w:lang w:val="en-CA"/>
                </w:rPr>
                <m:t>2</m:t>
              </m:r>
            </m:sub>
          </m:sSub>
          <m:func>
            <m:funcPr>
              <m:ctrlPr>
                <w:rPr>
                  <w:rFonts w:ascii="Cambria Math" w:hAnsi="Cambria Math" w:cs="Arial"/>
                  <w:lang w:val="en-CA"/>
                </w:rPr>
              </m:ctrlPr>
            </m:funcPr>
            <m:fName>
              <m:sSup>
                <m:sSupPr>
                  <m:ctrlPr>
                    <w:rPr>
                      <w:rFonts w:ascii="Cambria Math" w:hAnsi="Cambria Math" w:cs="Arial"/>
                      <w:lang w:val="en-CA"/>
                    </w:rPr>
                  </m:ctrlPr>
                </m:sSupPr>
                <m:e>
                  <m:r>
                    <m:rPr>
                      <m:sty m:val="p"/>
                    </m:rPr>
                    <w:rPr>
                      <w:rFonts w:ascii="Cambria Math" w:hAnsi="Cambria Math" w:cs="Arial"/>
                      <w:lang w:val="en-CA"/>
                    </w:rPr>
                    <m:t>ln</m:t>
                  </m:r>
                </m:e>
                <m:sup>
                  <m:r>
                    <w:rPr>
                      <w:rFonts w:ascii="Cambria Math" w:hAnsi="Cambria Math" w:cs="Arial"/>
                      <w:lang w:val="en-CA"/>
                    </w:rPr>
                    <m:t>2</m:t>
                  </m:r>
                </m:sup>
              </m:sSup>
              <m:ctrlPr>
                <w:rPr>
                  <w:rFonts w:ascii="Cambria Math" w:hAnsi="Cambria Math" w:cs="Arial"/>
                  <w:i/>
                  <w:lang w:val="en-CA"/>
                </w:rPr>
              </m:ctrlPr>
            </m:fName>
            <m:e>
              <m:d>
                <m:dPr>
                  <m:ctrlPr>
                    <w:rPr>
                      <w:rFonts w:ascii="Cambria Math" w:hAnsi="Cambria Math" w:cs="Arial"/>
                      <w:i/>
                      <w:lang w:val="en-CA"/>
                    </w:rPr>
                  </m:ctrlPr>
                </m:dPr>
                <m:e>
                  <m:r>
                    <w:rPr>
                      <w:rFonts w:ascii="Cambria Math" w:hAnsi="Cambria Math" w:cs="Arial"/>
                      <w:lang w:val="en-CA"/>
                    </w:rPr>
                    <m:t>N</m:t>
                  </m:r>
                </m:e>
              </m:d>
            </m:e>
          </m:func>
          <m:r>
            <w:rPr>
              <w:rFonts w:ascii="Cambria Math" w:hAnsi="Cambria Math" w:cs="Arial"/>
              <w:lang w:val="en-CA"/>
            </w:rPr>
            <m:t>+</m:t>
          </m:r>
          <m:sSub>
            <m:sSubPr>
              <m:ctrlPr>
                <w:rPr>
                  <w:rFonts w:ascii="Cambria Math" w:hAnsi="Cambria Math" w:cs="Arial"/>
                  <w:i/>
                  <w:lang w:val="en-CA"/>
                </w:rPr>
              </m:ctrlPr>
            </m:sSubPr>
            <m:e>
              <m:r>
                <w:rPr>
                  <w:rFonts w:ascii="Cambria Math" w:hAnsi="Cambria Math" w:cs="Arial"/>
                  <w:lang w:val="en-CA"/>
                </w:rPr>
                <m:t>γ</m:t>
              </m:r>
            </m:e>
            <m:sub>
              <m:r>
                <w:rPr>
                  <w:rFonts w:ascii="Cambria Math" w:hAnsi="Cambria Math" w:cs="Arial"/>
                  <w:lang w:val="en-CA"/>
                </w:rPr>
                <m:t>3</m:t>
              </m:r>
            </m:sub>
          </m:sSub>
          <m:func>
            <m:funcPr>
              <m:ctrlPr>
                <w:rPr>
                  <w:rFonts w:ascii="Cambria Math" w:hAnsi="Cambria Math" w:cs="Arial"/>
                  <w:lang w:val="en-CA"/>
                </w:rPr>
              </m:ctrlPr>
            </m:funcPr>
            <m:fName>
              <m:r>
                <m:rPr>
                  <m:sty m:val="p"/>
                </m:rPr>
                <w:rPr>
                  <w:rFonts w:ascii="Cambria Math" w:hAnsi="Cambria Math" w:cs="Arial"/>
                  <w:lang w:val="en-CA"/>
                </w:rPr>
                <m:t>ln</m:t>
              </m:r>
            </m:fName>
            <m:e>
              <m:d>
                <m:dPr>
                  <m:ctrlPr>
                    <w:rPr>
                      <w:rFonts w:ascii="Cambria Math" w:hAnsi="Cambria Math" w:cs="Arial"/>
                      <w:i/>
                      <w:lang w:val="en-CA"/>
                    </w:rPr>
                  </m:ctrlPr>
                </m:dPr>
                <m:e>
                  <m:r>
                    <w:rPr>
                      <w:rFonts w:ascii="Cambria Math" w:hAnsi="Cambria Math" w:cs="Arial"/>
                      <w:lang w:val="en-CA"/>
                    </w:rPr>
                    <m:t>A</m:t>
                  </m:r>
                </m:e>
              </m:d>
            </m:e>
          </m:func>
          <m:r>
            <w:rPr>
              <w:rFonts w:ascii="Cambria Math" w:hAnsi="Cambria Math" w:cs="Arial"/>
              <w:lang w:val="en-CA"/>
            </w:rPr>
            <m:t>-</m:t>
          </m:r>
          <m:sSub>
            <m:sSubPr>
              <m:ctrlPr>
                <w:rPr>
                  <w:rFonts w:ascii="Cambria Math" w:hAnsi="Cambria Math" w:cs="Arial"/>
                  <w:i/>
                  <w:lang w:val="en-CA"/>
                </w:rPr>
              </m:ctrlPr>
            </m:sSubPr>
            <m:e>
              <m:r>
                <w:rPr>
                  <w:rFonts w:ascii="Cambria Math" w:hAnsi="Cambria Math" w:cs="Arial"/>
                  <w:lang w:val="en-CA"/>
                </w:rPr>
                <m:t>γ</m:t>
              </m:r>
            </m:e>
            <m:sub>
              <m:r>
                <w:rPr>
                  <w:rFonts w:ascii="Cambria Math" w:hAnsi="Cambria Math" w:cs="Arial"/>
                  <w:lang w:val="en-CA"/>
                </w:rPr>
                <m:t>3</m:t>
              </m:r>
            </m:sub>
          </m:sSub>
          <m:func>
            <m:funcPr>
              <m:ctrlPr>
                <w:rPr>
                  <w:rFonts w:ascii="Cambria Math" w:hAnsi="Cambria Math" w:cs="Arial"/>
                  <w:lang w:val="en-CA"/>
                </w:rPr>
              </m:ctrlPr>
            </m:funcPr>
            <m:fName>
              <m:r>
                <m:rPr>
                  <m:sty m:val="p"/>
                </m:rPr>
                <w:rPr>
                  <w:rFonts w:ascii="Cambria Math" w:hAnsi="Cambria Math" w:cs="Arial"/>
                  <w:lang w:val="en-CA"/>
                </w:rPr>
                <m:t>ln</m:t>
              </m:r>
            </m:fName>
            <m:e>
              <m:d>
                <m:dPr>
                  <m:ctrlPr>
                    <w:rPr>
                      <w:rFonts w:ascii="Cambria Math" w:hAnsi="Cambria Math" w:cs="Arial"/>
                      <w:i/>
                      <w:lang w:val="en-CA"/>
                    </w:rPr>
                  </m:ctrlPr>
                </m:dPr>
                <m:e>
                  <m:r>
                    <w:rPr>
                      <w:rFonts w:ascii="Cambria Math" w:hAnsi="Cambria Math" w:cs="Arial"/>
                      <w:lang w:val="en-CA"/>
                    </w:rPr>
                    <m:t>N</m:t>
                  </m:r>
                </m:e>
              </m:d>
            </m:e>
          </m:func>
          <m:r>
            <w:rPr>
              <w:rFonts w:ascii="Cambria Math" w:hAnsi="Cambria Math" w:cs="Arial"/>
              <w:lang w:val="en-CA"/>
            </w:rPr>
            <m:t>+</m:t>
          </m:r>
          <m:sSub>
            <m:sSubPr>
              <m:ctrlPr>
                <w:rPr>
                  <w:rFonts w:ascii="Cambria Math" w:hAnsi="Cambria Math" w:cs="Arial"/>
                  <w:i/>
                  <w:lang w:val="en-CA"/>
                </w:rPr>
              </m:ctrlPr>
            </m:sSubPr>
            <m:e>
              <m:r>
                <w:rPr>
                  <w:rFonts w:ascii="Cambria Math" w:hAnsi="Cambria Math" w:cs="Arial"/>
                  <w:lang w:val="en-CA"/>
                </w:rPr>
                <m:t>γ</m:t>
              </m:r>
            </m:e>
            <m:sub>
              <m:r>
                <w:rPr>
                  <w:rFonts w:ascii="Cambria Math" w:hAnsi="Cambria Math" w:cs="Arial"/>
                  <w:lang w:val="en-CA"/>
                </w:rPr>
                <m:t>4</m:t>
              </m:r>
            </m:sub>
          </m:sSub>
          <m:r>
            <w:rPr>
              <w:rFonts w:ascii="Cambria Math" w:hAnsi="Cambria Math" w:cs="Arial"/>
              <w:lang w:val="en-CA"/>
            </w:rPr>
            <m:t>×</m:t>
          </m:r>
          <m:d>
            <m:dPr>
              <m:begChr m:val="["/>
              <m:ctrlPr>
                <w:rPr>
                  <w:rFonts w:ascii="Cambria Math" w:hAnsi="Cambria Math" w:cs="Arial"/>
                  <w:i/>
                  <w:lang w:val="en-CA"/>
                </w:rPr>
              </m:ctrlPr>
            </m:dPr>
            <m:e>
              <m:sSup>
                <m:sSupPr>
                  <m:ctrlPr>
                    <w:rPr>
                      <w:rFonts w:ascii="Cambria Math" w:hAnsi="Cambria Math" w:cs="Arial"/>
                      <w:i/>
                      <w:lang w:val="en-CA"/>
                    </w:rPr>
                  </m:ctrlPr>
                </m:sSupPr>
                <m:e>
                  <m:r>
                    <w:rPr>
                      <w:rFonts w:ascii="Cambria Math" w:hAnsi="Cambria Math" w:cs="Arial"/>
                      <w:lang w:val="en-CA"/>
                    </w:rPr>
                    <m:t>ln</m:t>
                  </m:r>
                </m:e>
                <m:sup>
                  <m:r>
                    <w:rPr>
                      <w:rFonts w:ascii="Cambria Math" w:hAnsi="Cambria Math" w:cs="Arial"/>
                      <w:lang w:val="en-CA"/>
                    </w:rPr>
                    <m:t>2</m:t>
                  </m:r>
                </m:sup>
              </m:sSup>
              <m:d>
                <m:dPr>
                  <m:ctrlPr>
                    <w:rPr>
                      <w:rFonts w:ascii="Cambria Math" w:hAnsi="Cambria Math" w:cs="Arial"/>
                      <w:i/>
                      <w:lang w:val="en-CA"/>
                    </w:rPr>
                  </m:ctrlPr>
                </m:dPr>
                <m:e>
                  <m:r>
                    <w:rPr>
                      <w:rFonts w:ascii="Cambria Math" w:hAnsi="Cambria Math" w:cs="Arial"/>
                      <w:lang w:val="en-CA"/>
                    </w:rPr>
                    <m:t>A</m:t>
                  </m:r>
                </m:e>
              </m:d>
              <m:r>
                <w:rPr>
                  <w:rFonts w:ascii="Cambria Math" w:hAnsi="Cambria Math" w:cs="Arial"/>
                  <w:lang w:val="en-CA"/>
                </w:rPr>
                <m:t>-2×</m:t>
              </m:r>
              <m:d>
                <m:dPr>
                  <m:ctrlPr>
                    <w:rPr>
                      <w:rFonts w:ascii="Cambria Math" w:hAnsi="Cambria Math" w:cs="Arial"/>
                      <w:i/>
                      <w:lang w:val="en-CA"/>
                    </w:rPr>
                  </m:ctrlPr>
                </m:dPr>
                <m:e>
                  <m:func>
                    <m:funcPr>
                      <m:ctrlPr>
                        <w:rPr>
                          <w:rFonts w:ascii="Cambria Math" w:hAnsi="Cambria Math" w:cs="Arial"/>
                          <w:lang w:val="en-CA"/>
                        </w:rPr>
                      </m:ctrlPr>
                    </m:funcPr>
                    <m:fName>
                      <m:r>
                        <m:rPr>
                          <m:sty m:val="p"/>
                        </m:rPr>
                        <w:rPr>
                          <w:rFonts w:ascii="Cambria Math" w:hAnsi="Cambria Math" w:cs="Arial"/>
                          <w:lang w:val="en-CA"/>
                        </w:rPr>
                        <m:t>ln</m:t>
                      </m:r>
                      <m:ctrlPr>
                        <w:rPr>
                          <w:rFonts w:ascii="Cambria Math" w:hAnsi="Cambria Math" w:cs="Arial"/>
                          <w:i/>
                          <w:lang w:val="en-CA"/>
                        </w:rPr>
                      </m:ctrlPr>
                    </m:fName>
                    <m:e>
                      <m:d>
                        <m:dPr>
                          <m:ctrlPr>
                            <w:rPr>
                              <w:rFonts w:ascii="Cambria Math" w:hAnsi="Cambria Math" w:cs="Arial"/>
                              <w:i/>
                              <w:lang w:val="en-CA"/>
                            </w:rPr>
                          </m:ctrlPr>
                        </m:dPr>
                        <m:e>
                          <m:r>
                            <w:rPr>
                              <w:rFonts w:ascii="Cambria Math" w:hAnsi="Cambria Math" w:cs="Arial"/>
                              <w:lang w:val="en-CA"/>
                            </w:rPr>
                            <m:t>A</m:t>
                          </m:r>
                        </m:e>
                      </m:d>
                    </m:e>
                  </m:func>
                  <m:r>
                    <w:rPr>
                      <w:rFonts w:ascii="Cambria Math" w:hAnsi="Cambria Math" w:cs="Arial"/>
                      <w:lang w:val="en-CA"/>
                    </w:rPr>
                    <m:t>×</m:t>
                  </m:r>
                  <m:func>
                    <m:funcPr>
                      <m:ctrlPr>
                        <w:rPr>
                          <w:rFonts w:ascii="Cambria Math" w:hAnsi="Cambria Math" w:cs="Arial"/>
                          <w:lang w:val="en-CA"/>
                        </w:rPr>
                      </m:ctrlPr>
                    </m:funcPr>
                    <m:fName>
                      <m:r>
                        <m:rPr>
                          <m:sty m:val="p"/>
                        </m:rPr>
                        <w:rPr>
                          <w:rFonts w:ascii="Cambria Math" w:hAnsi="Cambria Math" w:cs="Arial"/>
                          <w:lang w:val="en-CA"/>
                        </w:rPr>
                        <m:t>ln</m:t>
                      </m:r>
                      <m:ctrlPr>
                        <w:rPr>
                          <w:rFonts w:ascii="Cambria Math" w:hAnsi="Cambria Math" w:cs="Arial"/>
                          <w:i/>
                          <w:lang w:val="en-CA"/>
                        </w:rPr>
                      </m:ctrlPr>
                    </m:fName>
                    <m:e>
                      <m:d>
                        <m:dPr>
                          <m:ctrlPr>
                            <w:rPr>
                              <w:rFonts w:ascii="Cambria Math" w:hAnsi="Cambria Math" w:cs="Arial"/>
                              <w:i/>
                              <w:lang w:val="en-CA"/>
                            </w:rPr>
                          </m:ctrlPr>
                        </m:dPr>
                        <m:e>
                          <m:r>
                            <w:rPr>
                              <w:rFonts w:ascii="Cambria Math" w:hAnsi="Cambria Math" w:cs="Arial"/>
                              <w:lang w:val="en-CA"/>
                            </w:rPr>
                            <m:t>N</m:t>
                          </m:r>
                        </m:e>
                      </m:d>
                    </m:e>
                  </m:func>
                </m:e>
              </m:d>
              <m:r>
                <w:rPr>
                  <w:rFonts w:ascii="Cambria Math" w:hAnsi="Cambria Math" w:cs="Arial"/>
                  <w:lang w:val="en-CA"/>
                </w:rPr>
                <m:t>+</m:t>
              </m:r>
              <m:func>
                <m:funcPr>
                  <m:ctrlPr>
                    <w:rPr>
                      <w:rFonts w:ascii="Cambria Math" w:hAnsi="Cambria Math" w:cs="Arial"/>
                      <w:lang w:val="en-CA"/>
                    </w:rPr>
                  </m:ctrlPr>
                </m:funcPr>
                <m:fName>
                  <m:sSup>
                    <m:sSupPr>
                      <m:ctrlPr>
                        <w:rPr>
                          <w:rFonts w:ascii="Cambria Math" w:hAnsi="Cambria Math" w:cs="Arial"/>
                          <w:lang w:val="en-CA"/>
                        </w:rPr>
                      </m:ctrlPr>
                    </m:sSupPr>
                    <m:e>
                      <m:r>
                        <m:rPr>
                          <m:sty m:val="p"/>
                        </m:rPr>
                        <w:rPr>
                          <w:rFonts w:ascii="Cambria Math" w:hAnsi="Cambria Math" w:cs="Arial"/>
                          <w:lang w:val="en-CA"/>
                        </w:rPr>
                        <m:t>ln</m:t>
                      </m:r>
                    </m:e>
                    <m:sup>
                      <m:r>
                        <w:rPr>
                          <w:rFonts w:ascii="Cambria Math" w:hAnsi="Cambria Math" w:cs="Arial"/>
                          <w:lang w:val="en-CA"/>
                        </w:rPr>
                        <m:t>2</m:t>
                      </m:r>
                    </m:sup>
                  </m:sSup>
                  <m:ctrlPr>
                    <w:rPr>
                      <w:rFonts w:ascii="Cambria Math" w:hAnsi="Cambria Math" w:cs="Arial"/>
                      <w:i/>
                      <w:lang w:val="en-CA"/>
                    </w:rPr>
                  </m:ctrlPr>
                </m:fName>
                <m:e>
                  <m:d>
                    <m:dPr>
                      <m:ctrlPr>
                        <w:rPr>
                          <w:rFonts w:ascii="Cambria Math" w:hAnsi="Cambria Math" w:cs="Arial"/>
                          <w:i/>
                          <w:lang w:val="en-CA"/>
                        </w:rPr>
                      </m:ctrlPr>
                    </m:dPr>
                    <m:e>
                      <m:r>
                        <w:rPr>
                          <w:rFonts w:ascii="Cambria Math" w:hAnsi="Cambria Math" w:cs="Arial"/>
                          <w:lang w:val="en-CA"/>
                        </w:rPr>
                        <m:t>N</m:t>
                      </m:r>
                    </m:e>
                  </m:d>
                </m:e>
              </m:func>
            </m:e>
          </m:d>
          <m:r>
            <w:rPr>
              <w:rFonts w:ascii="Cambria Math" w:hAnsi="Cambria Math" w:cs="Arial"/>
              <w:lang w:val="en-CA"/>
            </w:rPr>
            <m:t>+…</m:t>
          </m:r>
        </m:oMath>
      </m:oMathPara>
    </w:p>
    <w:p w14:paraId="0B2217C2" w14:textId="77777777" w:rsidR="007509C7" w:rsidRPr="00BF20CF" w:rsidRDefault="007509C7" w:rsidP="003041BF">
      <w:pPr>
        <w:tabs>
          <w:tab w:val="left" w:pos="720"/>
        </w:tabs>
        <w:autoSpaceDE w:val="0"/>
        <w:autoSpaceDN w:val="0"/>
        <w:adjustRightInd w:val="0"/>
        <w:spacing w:before="240" w:after="120" w:line="276" w:lineRule="auto"/>
        <w:ind w:left="360"/>
        <w:contextualSpacing/>
        <w:rPr>
          <w:rFonts w:ascii="Arial" w:hAnsi="Arial" w:cs="Arial"/>
          <w:lang w:val="en-CA"/>
        </w:rPr>
      </w:pPr>
      <m:oMathPara>
        <m:oMath>
          <m:r>
            <w:rPr>
              <w:rFonts w:ascii="Cambria Math" w:hAnsi="Cambria Math" w:cs="Arial"/>
              <w:lang w:val="en-CA"/>
            </w:rPr>
            <m:t>=</m:t>
          </m:r>
          <m:d>
            <m:dPr>
              <m:ctrlPr>
                <w:rPr>
                  <w:rFonts w:ascii="Cambria Math" w:hAnsi="Cambria Math" w:cs="Arial"/>
                  <w:i/>
                  <w:lang w:val="en-CA"/>
                </w:rPr>
              </m:ctrlPr>
            </m:dPr>
            <m:e>
              <m:sSub>
                <m:sSubPr>
                  <m:ctrlPr>
                    <w:rPr>
                      <w:rFonts w:ascii="Cambria Math" w:hAnsi="Cambria Math" w:cs="Arial"/>
                      <w:i/>
                      <w:lang w:val="en-CA"/>
                    </w:rPr>
                  </m:ctrlPr>
                </m:sSubPr>
                <m:e>
                  <m:r>
                    <w:rPr>
                      <w:rFonts w:ascii="Cambria Math" w:hAnsi="Cambria Math" w:cs="Arial"/>
                      <w:lang w:val="en-CA"/>
                    </w:rPr>
                    <m:t>γ</m:t>
                  </m:r>
                </m:e>
                <m:sub>
                  <m:r>
                    <w:rPr>
                      <w:rFonts w:ascii="Cambria Math" w:hAnsi="Cambria Math" w:cs="Arial"/>
                      <w:lang w:val="en-CA"/>
                    </w:rPr>
                    <m:t>1</m:t>
                  </m:r>
                </m:sub>
              </m:sSub>
              <m:r>
                <w:rPr>
                  <w:rFonts w:ascii="Cambria Math" w:hAnsi="Cambria Math" w:cs="Arial"/>
                  <w:lang w:val="en-CA"/>
                </w:rPr>
                <m:t>-</m:t>
              </m:r>
              <m:sSub>
                <m:sSubPr>
                  <m:ctrlPr>
                    <w:rPr>
                      <w:rFonts w:ascii="Cambria Math" w:hAnsi="Cambria Math" w:cs="Arial"/>
                      <w:i/>
                      <w:lang w:val="en-CA"/>
                    </w:rPr>
                  </m:ctrlPr>
                </m:sSubPr>
                <m:e>
                  <m:r>
                    <w:rPr>
                      <w:rFonts w:ascii="Cambria Math" w:hAnsi="Cambria Math" w:cs="Arial"/>
                      <w:lang w:val="en-CA"/>
                    </w:rPr>
                    <m:t>γ</m:t>
                  </m:r>
                </m:e>
                <m:sub>
                  <m:r>
                    <w:rPr>
                      <w:rFonts w:ascii="Cambria Math" w:hAnsi="Cambria Math" w:cs="Arial"/>
                      <w:lang w:val="en-CA"/>
                    </w:rPr>
                    <m:t>3</m:t>
                  </m:r>
                </m:sub>
              </m:sSub>
            </m:e>
          </m:d>
          <m:func>
            <m:funcPr>
              <m:ctrlPr>
                <w:rPr>
                  <w:rFonts w:ascii="Cambria Math" w:hAnsi="Cambria Math" w:cs="Arial"/>
                  <w:lang w:val="en-CA"/>
                </w:rPr>
              </m:ctrlPr>
            </m:funcPr>
            <m:fName>
              <m:r>
                <m:rPr>
                  <m:sty m:val="p"/>
                </m:rPr>
                <w:rPr>
                  <w:rFonts w:ascii="Cambria Math" w:hAnsi="Cambria Math" w:cs="Arial"/>
                  <w:lang w:val="en-CA"/>
                </w:rPr>
                <m:t>ln</m:t>
              </m:r>
            </m:fName>
            <m:e>
              <m:d>
                <m:dPr>
                  <m:ctrlPr>
                    <w:rPr>
                      <w:rFonts w:ascii="Cambria Math" w:hAnsi="Cambria Math" w:cs="Arial"/>
                      <w:i/>
                      <w:lang w:val="en-CA"/>
                    </w:rPr>
                  </m:ctrlPr>
                </m:dPr>
                <m:e>
                  <m:r>
                    <w:rPr>
                      <w:rFonts w:ascii="Cambria Math" w:hAnsi="Cambria Math" w:cs="Arial"/>
                      <w:lang w:val="en-CA"/>
                    </w:rPr>
                    <m:t>N</m:t>
                  </m:r>
                </m:e>
              </m:d>
            </m:e>
          </m:func>
          <m:r>
            <w:rPr>
              <w:rFonts w:ascii="Cambria Math" w:hAnsi="Cambria Math" w:cs="Arial"/>
              <w:lang w:val="en-CA"/>
            </w:rPr>
            <m:t>+</m:t>
          </m:r>
          <m:d>
            <m:dPr>
              <m:ctrlPr>
                <w:rPr>
                  <w:rFonts w:ascii="Cambria Math" w:hAnsi="Cambria Math" w:cs="Arial"/>
                  <w:i/>
                  <w:lang w:val="en-CA"/>
                </w:rPr>
              </m:ctrlPr>
            </m:dPr>
            <m:e>
              <m:sSub>
                <m:sSubPr>
                  <m:ctrlPr>
                    <w:rPr>
                      <w:rFonts w:ascii="Cambria Math" w:hAnsi="Cambria Math" w:cs="Arial"/>
                      <w:i/>
                      <w:lang w:val="en-CA"/>
                    </w:rPr>
                  </m:ctrlPr>
                </m:sSubPr>
                <m:e>
                  <m:r>
                    <w:rPr>
                      <w:rFonts w:ascii="Cambria Math" w:hAnsi="Cambria Math" w:cs="Arial"/>
                      <w:lang w:val="en-CA"/>
                    </w:rPr>
                    <m:t>γ</m:t>
                  </m:r>
                </m:e>
                <m:sub>
                  <m:r>
                    <w:rPr>
                      <w:rFonts w:ascii="Cambria Math" w:hAnsi="Cambria Math" w:cs="Arial"/>
                      <w:lang w:val="en-CA"/>
                    </w:rPr>
                    <m:t>2</m:t>
                  </m:r>
                </m:sub>
              </m:sSub>
              <m:r>
                <w:rPr>
                  <w:rFonts w:ascii="Cambria Math" w:hAnsi="Cambria Math" w:cs="Arial"/>
                  <w:lang w:val="en-CA"/>
                </w:rPr>
                <m:t>+</m:t>
              </m:r>
              <m:sSub>
                <m:sSubPr>
                  <m:ctrlPr>
                    <w:rPr>
                      <w:rFonts w:ascii="Cambria Math" w:hAnsi="Cambria Math" w:cs="Arial"/>
                      <w:i/>
                      <w:lang w:val="en-CA"/>
                    </w:rPr>
                  </m:ctrlPr>
                </m:sSubPr>
                <m:e>
                  <m:r>
                    <w:rPr>
                      <w:rFonts w:ascii="Cambria Math" w:hAnsi="Cambria Math" w:cs="Arial"/>
                      <w:lang w:val="en-CA"/>
                    </w:rPr>
                    <m:t>γ</m:t>
                  </m:r>
                </m:e>
                <m:sub>
                  <m:r>
                    <w:rPr>
                      <w:rFonts w:ascii="Cambria Math" w:hAnsi="Cambria Math" w:cs="Arial"/>
                      <w:lang w:val="en-CA"/>
                    </w:rPr>
                    <m:t>4</m:t>
                  </m:r>
                </m:sub>
              </m:sSub>
            </m:e>
          </m:d>
          <m:func>
            <m:funcPr>
              <m:ctrlPr>
                <w:rPr>
                  <w:rFonts w:ascii="Cambria Math" w:hAnsi="Cambria Math" w:cs="Arial"/>
                  <w:lang w:val="en-CA"/>
                </w:rPr>
              </m:ctrlPr>
            </m:funcPr>
            <m:fName>
              <m:sSup>
                <m:sSupPr>
                  <m:ctrlPr>
                    <w:rPr>
                      <w:rFonts w:ascii="Cambria Math" w:hAnsi="Cambria Math" w:cs="Arial"/>
                      <w:lang w:val="en-CA"/>
                    </w:rPr>
                  </m:ctrlPr>
                </m:sSupPr>
                <m:e>
                  <m:r>
                    <m:rPr>
                      <m:sty m:val="p"/>
                    </m:rPr>
                    <w:rPr>
                      <w:rFonts w:ascii="Cambria Math" w:hAnsi="Cambria Math" w:cs="Arial"/>
                      <w:lang w:val="en-CA"/>
                    </w:rPr>
                    <m:t>ln</m:t>
                  </m:r>
                </m:e>
                <m:sup>
                  <m:r>
                    <w:rPr>
                      <w:rFonts w:ascii="Cambria Math" w:hAnsi="Cambria Math" w:cs="Arial"/>
                      <w:lang w:val="en-CA"/>
                    </w:rPr>
                    <m:t>2</m:t>
                  </m:r>
                </m:sup>
              </m:sSup>
            </m:fName>
            <m:e>
              <m:d>
                <m:dPr>
                  <m:ctrlPr>
                    <w:rPr>
                      <w:rFonts w:ascii="Cambria Math" w:hAnsi="Cambria Math" w:cs="Arial"/>
                      <w:i/>
                      <w:lang w:val="en-CA"/>
                    </w:rPr>
                  </m:ctrlPr>
                </m:dPr>
                <m:e>
                  <m:r>
                    <w:rPr>
                      <w:rFonts w:ascii="Cambria Math" w:hAnsi="Cambria Math" w:cs="Arial"/>
                      <w:lang w:val="en-CA"/>
                    </w:rPr>
                    <m:t>N</m:t>
                  </m:r>
                </m:e>
              </m:d>
            </m:e>
          </m:func>
          <m:r>
            <w:rPr>
              <w:rFonts w:ascii="Cambria Math" w:hAnsi="Cambria Math" w:cs="Arial"/>
              <w:lang w:val="en-CA"/>
            </w:rPr>
            <m:t>+</m:t>
          </m:r>
          <m:sSub>
            <m:sSubPr>
              <m:ctrlPr>
                <w:rPr>
                  <w:rFonts w:ascii="Cambria Math" w:hAnsi="Cambria Math" w:cs="Arial"/>
                  <w:i/>
                  <w:lang w:val="en-CA"/>
                </w:rPr>
              </m:ctrlPr>
            </m:sSubPr>
            <m:e>
              <m:r>
                <w:rPr>
                  <w:rFonts w:ascii="Cambria Math" w:hAnsi="Cambria Math" w:cs="Arial"/>
                  <w:lang w:val="en-CA"/>
                </w:rPr>
                <m:t>γ</m:t>
              </m:r>
            </m:e>
            <m:sub>
              <m:r>
                <w:rPr>
                  <w:rFonts w:ascii="Cambria Math" w:hAnsi="Cambria Math" w:cs="Arial"/>
                  <w:lang w:val="en-CA"/>
                </w:rPr>
                <m:t>3</m:t>
              </m:r>
            </m:sub>
          </m:sSub>
          <m:func>
            <m:funcPr>
              <m:ctrlPr>
                <w:rPr>
                  <w:rFonts w:ascii="Cambria Math" w:hAnsi="Cambria Math" w:cs="Arial"/>
                  <w:lang w:val="en-CA"/>
                </w:rPr>
              </m:ctrlPr>
            </m:funcPr>
            <m:fName>
              <m:r>
                <m:rPr>
                  <m:sty m:val="p"/>
                </m:rPr>
                <w:rPr>
                  <w:rFonts w:ascii="Cambria Math" w:hAnsi="Cambria Math" w:cs="Arial"/>
                  <w:lang w:val="en-CA"/>
                </w:rPr>
                <m:t>ln</m:t>
              </m:r>
            </m:fName>
            <m:e>
              <m:d>
                <m:dPr>
                  <m:ctrlPr>
                    <w:rPr>
                      <w:rFonts w:ascii="Cambria Math" w:hAnsi="Cambria Math" w:cs="Arial"/>
                      <w:i/>
                      <w:lang w:val="en-CA"/>
                    </w:rPr>
                  </m:ctrlPr>
                </m:dPr>
                <m:e>
                  <m:r>
                    <w:rPr>
                      <w:rFonts w:ascii="Cambria Math" w:hAnsi="Cambria Math" w:cs="Arial"/>
                      <w:lang w:val="en-CA"/>
                    </w:rPr>
                    <m:t>A</m:t>
                  </m:r>
                </m:e>
              </m:d>
            </m:e>
          </m:func>
          <m:r>
            <w:rPr>
              <w:rFonts w:ascii="Cambria Math" w:hAnsi="Cambria Math" w:cs="Arial"/>
              <w:lang w:val="en-CA"/>
            </w:rPr>
            <m:t>+</m:t>
          </m:r>
          <m:sSub>
            <m:sSubPr>
              <m:ctrlPr>
                <w:rPr>
                  <w:rFonts w:ascii="Cambria Math" w:hAnsi="Cambria Math" w:cs="Arial"/>
                  <w:i/>
                  <w:lang w:val="en-CA"/>
                </w:rPr>
              </m:ctrlPr>
            </m:sSubPr>
            <m:e>
              <m:r>
                <w:rPr>
                  <w:rFonts w:ascii="Cambria Math" w:hAnsi="Cambria Math" w:cs="Arial"/>
                  <w:lang w:val="en-CA"/>
                </w:rPr>
                <m:t>γ</m:t>
              </m:r>
            </m:e>
            <m:sub>
              <m:r>
                <w:rPr>
                  <w:rFonts w:ascii="Cambria Math" w:hAnsi="Cambria Math" w:cs="Arial"/>
                  <w:lang w:val="en-CA"/>
                </w:rPr>
                <m:t>4</m:t>
              </m:r>
            </m:sub>
          </m:sSub>
          <m:func>
            <m:funcPr>
              <m:ctrlPr>
                <w:rPr>
                  <w:rFonts w:ascii="Cambria Math" w:hAnsi="Cambria Math" w:cs="Arial"/>
                  <w:lang w:val="en-CA"/>
                </w:rPr>
              </m:ctrlPr>
            </m:funcPr>
            <m:fName>
              <m:sSup>
                <m:sSupPr>
                  <m:ctrlPr>
                    <w:rPr>
                      <w:rFonts w:ascii="Cambria Math" w:hAnsi="Cambria Math" w:cs="Arial"/>
                      <w:lang w:val="en-CA"/>
                    </w:rPr>
                  </m:ctrlPr>
                </m:sSupPr>
                <m:e>
                  <m:r>
                    <m:rPr>
                      <m:sty m:val="p"/>
                    </m:rPr>
                    <w:rPr>
                      <w:rFonts w:ascii="Cambria Math" w:hAnsi="Cambria Math" w:cs="Arial"/>
                      <w:lang w:val="en-CA"/>
                    </w:rPr>
                    <m:t>ln</m:t>
                  </m:r>
                </m:e>
                <m:sup>
                  <m:r>
                    <w:rPr>
                      <w:rFonts w:ascii="Cambria Math" w:hAnsi="Cambria Math" w:cs="Arial"/>
                      <w:lang w:val="en-CA"/>
                    </w:rPr>
                    <m:t>2</m:t>
                  </m:r>
                </m:sup>
              </m:sSup>
              <m:ctrlPr>
                <w:rPr>
                  <w:rFonts w:ascii="Cambria Math" w:hAnsi="Cambria Math" w:cs="Arial"/>
                  <w:i/>
                  <w:lang w:val="en-CA"/>
                </w:rPr>
              </m:ctrlPr>
            </m:fName>
            <m:e>
              <m:d>
                <m:dPr>
                  <m:ctrlPr>
                    <w:rPr>
                      <w:rFonts w:ascii="Cambria Math" w:hAnsi="Cambria Math" w:cs="Arial"/>
                      <w:i/>
                      <w:lang w:val="en-CA"/>
                    </w:rPr>
                  </m:ctrlPr>
                </m:dPr>
                <m:e>
                  <m:r>
                    <w:rPr>
                      <w:rFonts w:ascii="Cambria Math" w:hAnsi="Cambria Math" w:cs="Arial"/>
                      <w:lang w:val="en-CA"/>
                    </w:rPr>
                    <m:t>A</m:t>
                  </m:r>
                </m:e>
              </m:d>
            </m:e>
          </m:func>
          <m:r>
            <w:rPr>
              <w:rFonts w:ascii="Cambria Math" w:hAnsi="Cambria Math" w:cs="Arial"/>
              <w:lang w:val="en-CA"/>
            </w:rPr>
            <m:t>-2</m:t>
          </m:r>
          <m:sSub>
            <m:sSubPr>
              <m:ctrlPr>
                <w:rPr>
                  <w:rFonts w:ascii="Cambria Math" w:hAnsi="Cambria Math" w:cs="Arial"/>
                  <w:i/>
                  <w:lang w:val="en-CA"/>
                </w:rPr>
              </m:ctrlPr>
            </m:sSubPr>
            <m:e>
              <m:r>
                <w:rPr>
                  <w:rFonts w:ascii="Cambria Math" w:hAnsi="Cambria Math" w:cs="Arial"/>
                  <w:lang w:val="en-CA"/>
                </w:rPr>
                <m:t>γ</m:t>
              </m:r>
            </m:e>
            <m:sub>
              <m:r>
                <w:rPr>
                  <w:rFonts w:ascii="Cambria Math" w:hAnsi="Cambria Math" w:cs="Arial"/>
                  <w:lang w:val="en-CA"/>
                </w:rPr>
                <m:t>4</m:t>
              </m:r>
            </m:sub>
          </m:sSub>
          <m:d>
            <m:dPr>
              <m:ctrlPr>
                <w:rPr>
                  <w:rFonts w:ascii="Cambria Math" w:hAnsi="Cambria Math" w:cs="Arial"/>
                  <w:i/>
                  <w:lang w:val="en-CA"/>
                </w:rPr>
              </m:ctrlPr>
            </m:dPr>
            <m:e>
              <m:func>
                <m:funcPr>
                  <m:ctrlPr>
                    <w:rPr>
                      <w:rFonts w:ascii="Cambria Math" w:hAnsi="Cambria Math" w:cs="Arial"/>
                      <w:lang w:val="en-CA"/>
                    </w:rPr>
                  </m:ctrlPr>
                </m:funcPr>
                <m:fName>
                  <m:r>
                    <m:rPr>
                      <m:sty m:val="p"/>
                    </m:rPr>
                    <w:rPr>
                      <w:rFonts w:ascii="Cambria Math" w:hAnsi="Cambria Math" w:cs="Arial"/>
                      <w:lang w:val="en-CA"/>
                    </w:rPr>
                    <m:t>ln</m:t>
                  </m:r>
                  <m:ctrlPr>
                    <w:rPr>
                      <w:rFonts w:ascii="Cambria Math" w:hAnsi="Cambria Math" w:cs="Arial"/>
                      <w:i/>
                      <w:lang w:val="en-CA"/>
                    </w:rPr>
                  </m:ctrlPr>
                </m:fName>
                <m:e>
                  <m:d>
                    <m:dPr>
                      <m:ctrlPr>
                        <w:rPr>
                          <w:rFonts w:ascii="Cambria Math" w:hAnsi="Cambria Math" w:cs="Arial"/>
                          <w:i/>
                          <w:lang w:val="en-CA"/>
                        </w:rPr>
                      </m:ctrlPr>
                    </m:dPr>
                    <m:e>
                      <m:r>
                        <w:rPr>
                          <w:rFonts w:ascii="Cambria Math" w:hAnsi="Cambria Math" w:cs="Arial"/>
                          <w:lang w:val="en-CA"/>
                        </w:rPr>
                        <m:t>A</m:t>
                      </m:r>
                    </m:e>
                  </m:d>
                </m:e>
              </m:func>
              <m:r>
                <w:rPr>
                  <w:rFonts w:ascii="Cambria Math" w:hAnsi="Cambria Math" w:cs="Arial"/>
                  <w:lang w:val="en-CA"/>
                </w:rPr>
                <m:t>×</m:t>
              </m:r>
              <m:func>
                <m:funcPr>
                  <m:ctrlPr>
                    <w:rPr>
                      <w:rFonts w:ascii="Cambria Math" w:hAnsi="Cambria Math" w:cs="Arial"/>
                      <w:lang w:val="en-CA"/>
                    </w:rPr>
                  </m:ctrlPr>
                </m:funcPr>
                <m:fName>
                  <m:r>
                    <m:rPr>
                      <m:sty m:val="p"/>
                    </m:rPr>
                    <w:rPr>
                      <w:rFonts w:ascii="Cambria Math" w:hAnsi="Cambria Math" w:cs="Arial"/>
                      <w:lang w:val="en-CA"/>
                    </w:rPr>
                    <m:t>ln</m:t>
                  </m:r>
                  <m:ctrlPr>
                    <w:rPr>
                      <w:rFonts w:ascii="Cambria Math" w:hAnsi="Cambria Math" w:cs="Arial"/>
                      <w:i/>
                      <w:lang w:val="en-CA"/>
                    </w:rPr>
                  </m:ctrlPr>
                </m:fName>
                <m:e>
                  <m:d>
                    <m:dPr>
                      <m:ctrlPr>
                        <w:rPr>
                          <w:rFonts w:ascii="Cambria Math" w:hAnsi="Cambria Math" w:cs="Arial"/>
                          <w:i/>
                          <w:lang w:val="en-CA"/>
                        </w:rPr>
                      </m:ctrlPr>
                    </m:dPr>
                    <m:e>
                      <m:r>
                        <w:rPr>
                          <w:rFonts w:ascii="Cambria Math" w:hAnsi="Cambria Math" w:cs="Arial"/>
                          <w:lang w:val="en-CA"/>
                        </w:rPr>
                        <m:t>N</m:t>
                      </m:r>
                    </m:e>
                  </m:d>
                </m:e>
              </m:func>
            </m:e>
          </m:d>
          <m:r>
            <w:rPr>
              <w:rFonts w:ascii="Cambria Math" w:hAnsi="Cambria Math" w:cs="Arial"/>
              <w:lang w:val="en-CA"/>
            </w:rPr>
            <m:t>+…</m:t>
          </m:r>
        </m:oMath>
      </m:oMathPara>
    </w:p>
    <w:p w14:paraId="35F61FD4" w14:textId="77777777" w:rsidR="007509C7" w:rsidRPr="00BF20CF" w:rsidRDefault="007509C7" w:rsidP="003041BF">
      <w:pPr>
        <w:autoSpaceDE w:val="0"/>
        <w:autoSpaceDN w:val="0"/>
        <w:adjustRightInd w:val="0"/>
        <w:spacing w:before="240" w:after="120" w:line="276" w:lineRule="auto"/>
        <w:ind w:left="720"/>
        <w:contextualSpacing/>
        <w:rPr>
          <w:rFonts w:ascii="Arial" w:hAnsi="Arial" w:cs="Arial"/>
          <w:lang w:val="en-CA"/>
        </w:rPr>
      </w:pPr>
    </w:p>
    <w:p w14:paraId="3E2FE441" w14:textId="15C53612" w:rsidR="007509C7" w:rsidRPr="00BF20CF" w:rsidRDefault="007509C7" w:rsidP="003041BF">
      <w:pPr>
        <w:autoSpaceDE w:val="0"/>
        <w:autoSpaceDN w:val="0"/>
        <w:adjustRightInd w:val="0"/>
        <w:spacing w:before="240" w:after="120" w:line="276" w:lineRule="auto"/>
        <w:ind w:left="720"/>
        <w:contextualSpacing/>
        <w:rPr>
          <w:rFonts w:ascii="Arial" w:hAnsi="Arial" w:cs="Arial"/>
          <w:lang w:val="en-CA"/>
        </w:rPr>
      </w:pPr>
      <w:r w:rsidRPr="00BF20CF">
        <w:rPr>
          <w:rFonts w:ascii="Arial" w:hAnsi="Arial" w:cs="Arial"/>
          <w:lang w:val="en-CA"/>
        </w:rPr>
        <w:t xml:space="preserve">In other words, the inclusion of </w:t>
      </w:r>
      <w:r w:rsidRPr="00BF20CF">
        <w:rPr>
          <w:i/>
          <w:lang w:val="en-CA"/>
        </w:rPr>
        <w:t>N</w:t>
      </w:r>
      <w:r w:rsidRPr="00BF20CF">
        <w:rPr>
          <w:rFonts w:ascii="Arial" w:hAnsi="Arial" w:cs="Arial"/>
          <w:lang w:val="en-CA"/>
        </w:rPr>
        <w:t xml:space="preserve"> and </w:t>
      </w:r>
      <w:r w:rsidRPr="00BF20CF">
        <w:rPr>
          <w:i/>
          <w:lang w:val="en-CA"/>
        </w:rPr>
        <w:t>RD</w:t>
      </w:r>
      <w:r w:rsidRPr="00BF20CF">
        <w:rPr>
          <w:rFonts w:ascii="Arial" w:hAnsi="Arial" w:cs="Arial"/>
          <w:lang w:val="en-CA"/>
        </w:rPr>
        <w:t xml:space="preserve"> and associated quadratic terms is essentially equivalent to including </w:t>
      </w:r>
      <w:r w:rsidRPr="00BF20CF">
        <w:rPr>
          <w:i/>
          <w:lang w:val="en-CA"/>
        </w:rPr>
        <w:t>N</w:t>
      </w:r>
      <w:r w:rsidRPr="00BF20CF">
        <w:rPr>
          <w:rFonts w:ascii="Arial" w:hAnsi="Arial" w:cs="Arial"/>
          <w:lang w:val="en-CA"/>
        </w:rPr>
        <w:t xml:space="preserve"> (the number of customers), </w:t>
      </w:r>
      <w:r w:rsidRPr="00BF20CF">
        <w:rPr>
          <w:i/>
          <w:lang w:val="en-CA"/>
        </w:rPr>
        <w:t>A</w:t>
      </w:r>
      <w:r w:rsidRPr="00BF20CF">
        <w:rPr>
          <w:rFonts w:ascii="Arial" w:hAnsi="Arial" w:cs="Arial"/>
          <w:lang w:val="en-CA"/>
        </w:rPr>
        <w:t xml:space="preserve"> (the service territory of the utility) and the interaction between the two terms. The only explicit addition is the cross-product of </w:t>
      </w:r>
      <w:proofErr w:type="gramStart"/>
      <w:r w:rsidRPr="00BF20CF">
        <w:rPr>
          <w:lang w:val="en-CA"/>
        </w:rPr>
        <w:t>ln(</w:t>
      </w:r>
      <w:proofErr w:type="gramEnd"/>
      <w:r w:rsidRPr="00BF20CF">
        <w:rPr>
          <w:i/>
          <w:lang w:val="en-CA"/>
        </w:rPr>
        <w:t>A</w:t>
      </w:r>
      <w:r w:rsidRPr="00BF20CF">
        <w:rPr>
          <w:lang w:val="en-CA"/>
        </w:rPr>
        <w:t>)</w:t>
      </w:r>
      <w:r w:rsidRPr="00BF20CF">
        <w:rPr>
          <w:rFonts w:ascii="Arial" w:hAnsi="Arial" w:cs="Arial"/>
          <w:lang w:val="en-CA"/>
        </w:rPr>
        <w:t xml:space="preserve"> and </w:t>
      </w:r>
      <w:r w:rsidRPr="00BF20CF">
        <w:rPr>
          <w:lang w:val="en-CA"/>
        </w:rPr>
        <w:t>ln(</w:t>
      </w:r>
      <w:r w:rsidRPr="00BF20CF">
        <w:rPr>
          <w:i/>
          <w:lang w:val="en-CA"/>
        </w:rPr>
        <w:t>N</w:t>
      </w:r>
      <w:r w:rsidRPr="00BF20CF">
        <w:rPr>
          <w:lang w:val="en-CA"/>
        </w:rPr>
        <w:t>)</w:t>
      </w:r>
      <w:r w:rsidRPr="00BF20CF">
        <w:rPr>
          <w:rFonts w:ascii="Arial" w:hAnsi="Arial" w:cs="Arial"/>
          <w:lang w:val="en-CA"/>
        </w:rPr>
        <w:t xml:space="preserve">. Please confirm or correct OEB staff’s understanding of </w:t>
      </w:r>
      <w:proofErr w:type="spellStart"/>
      <w:r w:rsidRPr="00BF20CF">
        <w:rPr>
          <w:rFonts w:ascii="Arial" w:hAnsi="Arial" w:cs="Arial"/>
          <w:lang w:val="en-CA"/>
        </w:rPr>
        <w:t>Clearspring’s</w:t>
      </w:r>
      <w:proofErr w:type="spellEnd"/>
      <w:r w:rsidRPr="00BF20CF">
        <w:rPr>
          <w:rFonts w:ascii="Arial" w:hAnsi="Arial" w:cs="Arial"/>
          <w:lang w:val="en-CA"/>
        </w:rPr>
        <w:t xml:space="preserve"> model specification. If confirmed, please explain why </w:t>
      </w:r>
      <w:proofErr w:type="spellStart"/>
      <w:r w:rsidRPr="00BF20CF">
        <w:rPr>
          <w:rFonts w:ascii="Arial" w:hAnsi="Arial" w:cs="Arial"/>
          <w:lang w:val="en-CA"/>
        </w:rPr>
        <w:t>Clearspring</w:t>
      </w:r>
      <w:proofErr w:type="spellEnd"/>
      <w:r w:rsidRPr="00BF20CF">
        <w:rPr>
          <w:rFonts w:ascii="Arial" w:hAnsi="Arial" w:cs="Arial"/>
          <w:lang w:val="en-CA"/>
        </w:rPr>
        <w:t xml:space="preserve"> preferred its model specification as opposed to entering </w:t>
      </w:r>
      <w:r w:rsidRPr="00BF20CF">
        <w:rPr>
          <w:i/>
          <w:lang w:val="en-CA"/>
        </w:rPr>
        <w:t>N</w:t>
      </w:r>
      <w:r w:rsidRPr="00BF20CF">
        <w:rPr>
          <w:rFonts w:ascii="Arial" w:hAnsi="Arial" w:cs="Arial"/>
          <w:lang w:val="en-CA"/>
        </w:rPr>
        <w:t xml:space="preserve"> and </w:t>
      </w:r>
      <w:proofErr w:type="gramStart"/>
      <w:r w:rsidRPr="00BF20CF">
        <w:rPr>
          <w:i/>
          <w:lang w:val="en-CA"/>
        </w:rPr>
        <w:t>A</w:t>
      </w:r>
      <w:proofErr w:type="gramEnd"/>
      <w:r w:rsidRPr="00BF20CF">
        <w:rPr>
          <w:rFonts w:ascii="Arial" w:hAnsi="Arial" w:cs="Arial"/>
          <w:lang w:val="en-CA"/>
        </w:rPr>
        <w:t xml:space="preserve"> as separate variables in the model.</w:t>
      </w:r>
    </w:p>
    <w:p w14:paraId="49B81FE3" w14:textId="77777777" w:rsidR="00123CD1" w:rsidRPr="00BF20CF" w:rsidRDefault="00123CD1" w:rsidP="003041BF">
      <w:pPr>
        <w:autoSpaceDE w:val="0"/>
        <w:autoSpaceDN w:val="0"/>
        <w:adjustRightInd w:val="0"/>
        <w:spacing w:before="240" w:after="120" w:line="276" w:lineRule="auto"/>
        <w:ind w:left="720"/>
        <w:contextualSpacing/>
        <w:rPr>
          <w:rFonts w:ascii="Arial" w:hAnsi="Arial" w:cs="Arial"/>
          <w:lang w:val="en-CA"/>
        </w:rPr>
      </w:pPr>
    </w:p>
    <w:p w14:paraId="4E545C17" w14:textId="77777777" w:rsidR="007509C7" w:rsidRPr="00BF20CF" w:rsidRDefault="007509C7" w:rsidP="00876E97">
      <w:pPr>
        <w:numPr>
          <w:ilvl w:val="0"/>
          <w:numId w:val="73"/>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With the functional form estimated, the parameter coefficients for these variables correspond with the elasticities. Based on this and Table 1-Staff-12-1 (from interrogatory 1-Staff-12, please confirm or correct that the estimated customer elasticity of total costs is 0.567 – 0.082 = 0.485.</w:t>
      </w:r>
    </w:p>
    <w:p w14:paraId="696629E6" w14:textId="5502CFC0" w:rsidR="006F2282" w:rsidRPr="00BF20CF" w:rsidRDefault="006F2282" w:rsidP="00B60528">
      <w:pPr>
        <w:autoSpaceDE w:val="0"/>
        <w:autoSpaceDN w:val="0"/>
        <w:adjustRightInd w:val="0"/>
        <w:contextualSpacing/>
        <w:rPr>
          <w:rFonts w:ascii="Arial" w:hAnsi="Arial" w:cs="Arial"/>
          <w:lang w:val="en-CA"/>
        </w:rPr>
      </w:pPr>
    </w:p>
    <w:p w14:paraId="645B06D0" w14:textId="1F9E8385" w:rsidR="00B60528" w:rsidRPr="00BF20CF" w:rsidRDefault="00B60528" w:rsidP="0007231E">
      <w:pPr>
        <w:spacing w:before="120" w:line="259" w:lineRule="auto"/>
        <w:rPr>
          <w:rFonts w:ascii="Calibri" w:eastAsia="Calibri" w:hAnsi="Calibri" w:cs="Calibri"/>
          <w:sz w:val="22"/>
          <w:szCs w:val="22"/>
        </w:rPr>
      </w:pPr>
      <w:bookmarkStart w:id="0" w:name="_heading=h.2uklos4wmpjx" w:colFirst="0" w:colLast="0"/>
      <w:bookmarkEnd w:id="0"/>
      <w:r w:rsidRPr="00BF20CF">
        <w:rPr>
          <w:rFonts w:ascii="Arial" w:eastAsia="Calibri" w:hAnsi="Arial" w:cs="Arial"/>
          <w:b/>
        </w:rPr>
        <w:t>1-Staff-</w:t>
      </w:r>
      <w:r w:rsidR="00607880" w:rsidRPr="00BF20CF">
        <w:rPr>
          <w:rFonts w:ascii="Arial" w:eastAsia="Calibri" w:hAnsi="Arial" w:cs="Arial"/>
          <w:b/>
        </w:rPr>
        <w:t>20</w:t>
      </w:r>
      <w:r w:rsidRPr="00BF20CF">
        <w:rPr>
          <w:rFonts w:ascii="Calibri" w:eastAsia="Calibri" w:hAnsi="Calibri" w:cs="Calibri"/>
          <w:sz w:val="22"/>
          <w:szCs w:val="22"/>
        </w:rPr>
        <w:tab/>
      </w:r>
    </w:p>
    <w:p w14:paraId="13213E92" w14:textId="77777777" w:rsidR="00B60528" w:rsidRPr="00BF20CF" w:rsidRDefault="00B60528" w:rsidP="00B60528">
      <w:pPr>
        <w:spacing w:line="276" w:lineRule="auto"/>
        <w:rPr>
          <w:rFonts w:ascii="Arial" w:eastAsia="Arial" w:hAnsi="Arial" w:cs="Arial"/>
          <w:b/>
        </w:rPr>
      </w:pPr>
      <w:r w:rsidRPr="00BF20CF">
        <w:rPr>
          <w:rFonts w:ascii="Arial" w:eastAsia="Arial" w:hAnsi="Arial" w:cs="Arial"/>
          <w:b/>
        </w:rPr>
        <w:t>Ref:  Exhibit 1/Tab 1/Schedule 12/Attachment A/ pp. 10-12</w:t>
      </w:r>
    </w:p>
    <w:p w14:paraId="7D6A14D1"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Preamble:</w:t>
      </w:r>
    </w:p>
    <w:p w14:paraId="69AD9574" w14:textId="2F714168"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On page 10 of its study, </w:t>
      </w:r>
      <w:proofErr w:type="spellStart"/>
      <w:r w:rsidRPr="00BF20CF">
        <w:rPr>
          <w:rFonts w:ascii="Arial" w:eastAsia="Arial" w:hAnsi="Arial" w:cs="Arial"/>
        </w:rPr>
        <w:t>Clearspring</w:t>
      </w:r>
      <w:proofErr w:type="spellEnd"/>
      <w:r w:rsidRPr="00BF20CF">
        <w:rPr>
          <w:rFonts w:ascii="Arial" w:eastAsia="Arial" w:hAnsi="Arial" w:cs="Arial"/>
        </w:rPr>
        <w:t xml:space="preserve"> states:</w:t>
      </w:r>
    </w:p>
    <w:p w14:paraId="434B62F9" w14:textId="7777777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 xml:space="preserve">There are 81 U.S. utilities and 7 Ontario distributors in the sample. The sampled years for the U.S. observations include 2002 through 2017. The </w:t>
      </w:r>
      <w:r w:rsidRPr="00BF20CF">
        <w:rPr>
          <w:rFonts w:ascii="Arial" w:eastAsia="Arial" w:hAnsi="Arial" w:cs="Arial"/>
        </w:rPr>
        <w:lastRenderedPageBreak/>
        <w:t>sampled years for the Ontario observations include 2006 through 2017 except for Hydro Ottawa which has observations through 2025.</w:t>
      </w:r>
    </w:p>
    <w:p w14:paraId="3E20D083"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In footnotes on page 10 of its study, </w:t>
      </w:r>
      <w:proofErr w:type="spellStart"/>
      <w:r w:rsidRPr="00BF20CF">
        <w:rPr>
          <w:rFonts w:ascii="Arial" w:eastAsia="Arial" w:hAnsi="Arial" w:cs="Arial"/>
        </w:rPr>
        <w:t>Clearspring</w:t>
      </w:r>
      <w:proofErr w:type="spellEnd"/>
      <w:r w:rsidRPr="00BF20CF">
        <w:rPr>
          <w:rFonts w:ascii="Arial" w:eastAsia="Arial" w:hAnsi="Arial" w:cs="Arial"/>
        </w:rPr>
        <w:t xml:space="preserve"> states:</w:t>
      </w:r>
    </w:p>
    <w:p w14:paraId="0BEBF434" w14:textId="7777777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vertAlign w:val="superscript"/>
        </w:rPr>
        <w:t>11</w:t>
      </w:r>
      <w:r w:rsidRPr="00BF20CF">
        <w:rPr>
          <w:rFonts w:ascii="Arial" w:eastAsia="Arial" w:hAnsi="Arial" w:cs="Arial"/>
        </w:rPr>
        <w:t xml:space="preserve"> </w:t>
      </w:r>
      <w:r w:rsidRPr="00BF20CF">
        <w:rPr>
          <w:rFonts w:ascii="Arial" w:eastAsia="Arial" w:hAnsi="Arial" w:cs="Arial"/>
          <w:sz w:val="20"/>
          <w:szCs w:val="20"/>
        </w:rPr>
        <w:t>We began the U.S. sample in 2002 because this was the starting period used in the prior Hydro Ottawa sample and the latest Toronto Hydro benchmarking study that our team conducted. Beginning in 2002 provides a sufficiently large sample size, while providing observations that are more contemporary than observations from the 1990s.</w:t>
      </w:r>
    </w:p>
    <w:p w14:paraId="760434B9" w14:textId="77777777" w:rsidR="00B60528" w:rsidRPr="00BF20CF" w:rsidRDefault="00B60528" w:rsidP="00B60528">
      <w:pPr>
        <w:spacing w:after="120" w:line="276" w:lineRule="auto"/>
        <w:ind w:left="720"/>
        <w:rPr>
          <w:rFonts w:ascii="Arial" w:eastAsia="Arial" w:hAnsi="Arial" w:cs="Arial"/>
        </w:rPr>
      </w:pPr>
      <w:r w:rsidRPr="00BF20CF">
        <w:rPr>
          <w:rFonts w:ascii="Arial" w:eastAsia="Arial" w:hAnsi="Arial" w:cs="Arial"/>
          <w:vertAlign w:val="superscript"/>
        </w:rPr>
        <w:t>12</w:t>
      </w:r>
      <w:r w:rsidRPr="00BF20CF">
        <w:rPr>
          <w:rFonts w:ascii="Arial" w:eastAsia="Arial" w:hAnsi="Arial" w:cs="Arial"/>
        </w:rPr>
        <w:t xml:space="preserve"> </w:t>
      </w:r>
      <w:r w:rsidRPr="00BF20CF">
        <w:rPr>
          <w:rFonts w:ascii="Arial" w:eastAsia="Arial" w:hAnsi="Arial" w:cs="Arial"/>
          <w:sz w:val="20"/>
          <w:szCs w:val="20"/>
        </w:rPr>
        <w:t>Given the definition of the ratcheted peak demand variable as the highest peak demand for the utility in the last five years, 2006 becomes the first available year for the variable, since the peak demand data for Ontario distributors is available starting in 2002. Hydro Ottawa’s data is actual through 2018 and then projected from 2019 to 2025.</w:t>
      </w:r>
    </w:p>
    <w:p w14:paraId="1A678223" w14:textId="51278D0B"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On page 12 of its study, </w:t>
      </w:r>
      <w:proofErr w:type="spellStart"/>
      <w:r w:rsidRPr="00BF20CF">
        <w:rPr>
          <w:rFonts w:ascii="Arial" w:eastAsia="Arial" w:hAnsi="Arial" w:cs="Arial"/>
        </w:rPr>
        <w:t>Clearspring</w:t>
      </w:r>
      <w:proofErr w:type="spellEnd"/>
      <w:r w:rsidRPr="00BF20CF">
        <w:rPr>
          <w:rFonts w:ascii="Arial" w:eastAsia="Arial" w:hAnsi="Arial" w:cs="Arial"/>
        </w:rPr>
        <w:t xml:space="preserve"> states:</w:t>
      </w:r>
    </w:p>
    <w:p w14:paraId="0FF845F8" w14:textId="329254B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Pension and benefit costs have remained in the cost definition, because these costs appear to not be accurately disaggregated for the Ontario distributors.</w:t>
      </w:r>
    </w:p>
    <w:p w14:paraId="42A0F8FC" w14:textId="12698DB6"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Question(s): </w:t>
      </w:r>
    </w:p>
    <w:p w14:paraId="347CB6BC" w14:textId="7245FCAD" w:rsidR="00B60528" w:rsidRPr="00BF20CF" w:rsidRDefault="00B60528" w:rsidP="004B3ACE">
      <w:pPr>
        <w:numPr>
          <w:ilvl w:val="0"/>
          <w:numId w:val="232"/>
        </w:numPr>
        <w:spacing w:line="276" w:lineRule="auto"/>
        <w:rPr>
          <w:rFonts w:ascii="Arial" w:eastAsia="Arial" w:hAnsi="Arial" w:cs="Arial"/>
          <w:sz w:val="22"/>
          <w:szCs w:val="22"/>
        </w:rPr>
      </w:pPr>
      <w:r w:rsidRPr="00BF20CF">
        <w:rPr>
          <w:rFonts w:ascii="Arial" w:eastAsia="Arial" w:hAnsi="Arial" w:cs="Arial"/>
        </w:rPr>
        <w:t xml:space="preserve">Please discuss the rationale for the Ontario utilities that </w:t>
      </w:r>
      <w:proofErr w:type="spellStart"/>
      <w:r w:rsidRPr="00BF20CF">
        <w:rPr>
          <w:rFonts w:ascii="Arial" w:eastAsia="Arial" w:hAnsi="Arial" w:cs="Arial"/>
        </w:rPr>
        <w:t>Clearspring</w:t>
      </w:r>
      <w:proofErr w:type="spellEnd"/>
      <w:r w:rsidRPr="00BF20CF">
        <w:rPr>
          <w:rFonts w:ascii="Arial" w:eastAsia="Arial" w:hAnsi="Arial" w:cs="Arial"/>
        </w:rPr>
        <w:t xml:space="preserve"> chose to add to the sample for the econometric total cost and reliability benchmarking work.  Doesn’t the accuracy of an econometric cost model prediction depend on the diversity of data used in model estimation as well as on the similarity of the business conditions of the subject utility to sample norms?  What is the consequence for the ranking of Hydro Ottawa of adding data for these Ontario distributors to the sample?  </w:t>
      </w:r>
    </w:p>
    <w:p w14:paraId="01FB7562" w14:textId="77777777" w:rsidR="004B3ACE" w:rsidRPr="00BF20CF" w:rsidRDefault="004B3ACE" w:rsidP="004B3ACE">
      <w:pPr>
        <w:spacing w:line="276" w:lineRule="auto"/>
        <w:ind w:left="720"/>
        <w:rPr>
          <w:rFonts w:ascii="Arial" w:eastAsia="Arial" w:hAnsi="Arial" w:cs="Arial"/>
          <w:sz w:val="22"/>
          <w:szCs w:val="22"/>
        </w:rPr>
      </w:pPr>
    </w:p>
    <w:p w14:paraId="2F7B264F" w14:textId="1039A66A" w:rsidR="00B60528" w:rsidRPr="00BF20CF" w:rsidRDefault="00B60528" w:rsidP="004B3ACE">
      <w:pPr>
        <w:numPr>
          <w:ilvl w:val="0"/>
          <w:numId w:val="232"/>
        </w:numPr>
        <w:spacing w:line="276" w:lineRule="auto"/>
        <w:rPr>
          <w:rFonts w:ascii="Arial" w:eastAsia="Arial" w:hAnsi="Arial" w:cs="Arial"/>
          <w:sz w:val="22"/>
          <w:szCs w:val="22"/>
        </w:rPr>
      </w:pPr>
      <w:r w:rsidRPr="00BF20CF">
        <w:rPr>
          <w:rFonts w:ascii="Arial" w:eastAsia="Arial" w:hAnsi="Arial" w:cs="Arial"/>
        </w:rPr>
        <w:t xml:space="preserve">Please confirm that the inclusion of data for additional Ontario distributors has the disadvantage of constraining the definition of cost and the array of available business condition variables to those that are feasible for the Ontario distributors?  </w:t>
      </w:r>
    </w:p>
    <w:p w14:paraId="6638F4F4" w14:textId="77777777" w:rsidR="004B3ACE" w:rsidRPr="00BF20CF" w:rsidRDefault="004B3ACE" w:rsidP="004B3ACE">
      <w:pPr>
        <w:pStyle w:val="ListParagraph"/>
        <w:rPr>
          <w:rFonts w:ascii="Arial" w:eastAsia="Arial" w:hAnsi="Arial" w:cs="Arial"/>
          <w:sz w:val="22"/>
          <w:szCs w:val="22"/>
        </w:rPr>
      </w:pPr>
    </w:p>
    <w:p w14:paraId="227980A3" w14:textId="00308C0D" w:rsidR="00B60528" w:rsidRPr="00BF20CF" w:rsidRDefault="00B60528" w:rsidP="004B3ACE">
      <w:pPr>
        <w:numPr>
          <w:ilvl w:val="0"/>
          <w:numId w:val="232"/>
        </w:numPr>
        <w:spacing w:line="276" w:lineRule="auto"/>
        <w:rPr>
          <w:rFonts w:ascii="Arial" w:eastAsia="Arial" w:hAnsi="Arial" w:cs="Arial"/>
          <w:sz w:val="22"/>
          <w:szCs w:val="22"/>
        </w:rPr>
      </w:pPr>
      <w:r w:rsidRPr="00BF20CF">
        <w:rPr>
          <w:rFonts w:ascii="Arial" w:eastAsia="Arial" w:hAnsi="Arial" w:cs="Arial"/>
        </w:rPr>
        <w:t>Did the sample selection process take into account large transfers of utility plant from transmission to distribution and vice versa, for some of the U.S. utilities in the sample?  Would the perpetual inventory method for calculating distributor capital cost include plant formerly classified as transmission?  If so, please explain.</w:t>
      </w:r>
    </w:p>
    <w:p w14:paraId="3F893AFC" w14:textId="77777777" w:rsidR="004B3ACE" w:rsidRPr="00BF20CF" w:rsidRDefault="004B3ACE" w:rsidP="004B3ACE">
      <w:pPr>
        <w:pStyle w:val="ListParagraph"/>
        <w:rPr>
          <w:rFonts w:ascii="Arial" w:eastAsia="Arial" w:hAnsi="Arial" w:cs="Arial"/>
          <w:sz w:val="22"/>
          <w:szCs w:val="22"/>
        </w:rPr>
      </w:pPr>
    </w:p>
    <w:p w14:paraId="2A48C22F" w14:textId="0C6ADFE2" w:rsidR="00B60528" w:rsidRPr="00BF20CF" w:rsidRDefault="00B60528" w:rsidP="004B3ACE">
      <w:pPr>
        <w:numPr>
          <w:ilvl w:val="0"/>
          <w:numId w:val="232"/>
        </w:numPr>
        <w:spacing w:line="276" w:lineRule="auto"/>
        <w:rPr>
          <w:rFonts w:ascii="Arial" w:eastAsia="Arial" w:hAnsi="Arial" w:cs="Arial"/>
          <w:sz w:val="22"/>
          <w:szCs w:val="22"/>
        </w:rPr>
      </w:pPr>
      <w:r w:rsidRPr="00BF20CF">
        <w:rPr>
          <w:rFonts w:ascii="Arial" w:eastAsia="Arial" w:hAnsi="Arial" w:cs="Arial"/>
        </w:rPr>
        <w:lastRenderedPageBreak/>
        <w:t xml:space="preserve">In what year does the calculation of the ratcheted peak demand variable for the US utilities begin?  </w:t>
      </w:r>
    </w:p>
    <w:p w14:paraId="707375AF" w14:textId="77777777" w:rsidR="004B3ACE" w:rsidRPr="00BF20CF" w:rsidRDefault="004B3ACE" w:rsidP="004B3ACE">
      <w:pPr>
        <w:pStyle w:val="ListParagraph"/>
        <w:rPr>
          <w:rFonts w:ascii="Arial" w:eastAsia="Arial" w:hAnsi="Arial" w:cs="Arial"/>
          <w:sz w:val="22"/>
          <w:szCs w:val="22"/>
        </w:rPr>
      </w:pPr>
    </w:p>
    <w:p w14:paraId="444E5E2A" w14:textId="770E4600" w:rsidR="00B60528" w:rsidRPr="00BF20CF" w:rsidRDefault="00B60528" w:rsidP="004B3ACE">
      <w:pPr>
        <w:spacing w:before="120" w:line="259" w:lineRule="auto"/>
        <w:rPr>
          <w:rFonts w:ascii="Arial" w:eastAsia="Calibri" w:hAnsi="Arial" w:cs="Arial"/>
          <w:b/>
        </w:rPr>
      </w:pPr>
      <w:bookmarkStart w:id="1" w:name="_heading=h.f27nsue9imjg" w:colFirst="0" w:colLast="0"/>
      <w:bookmarkEnd w:id="1"/>
      <w:r w:rsidRPr="00BF20CF">
        <w:rPr>
          <w:rFonts w:ascii="Arial" w:eastAsia="Calibri" w:hAnsi="Arial" w:cs="Arial"/>
          <w:b/>
        </w:rPr>
        <w:t>1-Staff-2</w:t>
      </w:r>
      <w:r w:rsidR="00607880" w:rsidRPr="00BF20CF">
        <w:rPr>
          <w:rFonts w:ascii="Arial" w:eastAsia="Calibri" w:hAnsi="Arial" w:cs="Arial"/>
          <w:b/>
        </w:rPr>
        <w:t>1</w:t>
      </w:r>
    </w:p>
    <w:bookmarkStart w:id="2" w:name="_heading=h.5kki3k4g9vvz" w:colFirst="0" w:colLast="0" w:displacedByCustomXml="next"/>
    <w:bookmarkEnd w:id="2" w:displacedByCustomXml="next"/>
    <w:sdt>
      <w:sdtPr>
        <w:rPr>
          <w:rFonts w:ascii="Arial" w:eastAsia="Calibri" w:hAnsi="Arial" w:cs="Arial"/>
          <w:b/>
        </w:rPr>
        <w:tag w:val="goog_rdk_0"/>
        <w:id w:val="115032799"/>
      </w:sdtPr>
      <w:sdtEndPr/>
      <w:sdtContent>
        <w:p w14:paraId="0D7F49FA" w14:textId="77777777" w:rsidR="00B60528" w:rsidRPr="00BF20CF" w:rsidRDefault="00B60528" w:rsidP="00B60528">
          <w:pPr>
            <w:spacing w:line="259"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Exhibit 1/Tab 1/Schedule 12/Attachment A/page 12</w:t>
          </w:r>
        </w:p>
      </w:sdtContent>
    </w:sdt>
    <w:p w14:paraId="6745B1B1"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Preamble:</w:t>
      </w:r>
    </w:p>
    <w:p w14:paraId="77BEC424"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On page 12 of its study, </w:t>
      </w:r>
      <w:proofErr w:type="spellStart"/>
      <w:r w:rsidRPr="00BF20CF">
        <w:rPr>
          <w:rFonts w:ascii="Arial" w:eastAsia="Arial" w:hAnsi="Arial" w:cs="Arial"/>
        </w:rPr>
        <w:t>Clearspring</w:t>
      </w:r>
      <w:proofErr w:type="spellEnd"/>
      <w:r w:rsidRPr="00BF20CF">
        <w:rPr>
          <w:rFonts w:ascii="Arial" w:eastAsia="Arial" w:hAnsi="Arial" w:cs="Arial"/>
        </w:rPr>
        <w:t xml:space="preserve"> states:</w:t>
      </w:r>
    </w:p>
    <w:p w14:paraId="6C77880B" w14:textId="3408986E"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Pension and benefit costs have remained in the cost definition, because these costs appear to not be accurately disaggregated for the Ontario distributors.</w:t>
      </w:r>
    </w:p>
    <w:p w14:paraId="40AB0EA6" w14:textId="77777777" w:rsidR="00B60528" w:rsidRPr="00BF20CF" w:rsidRDefault="00B60528" w:rsidP="00B60528">
      <w:pPr>
        <w:spacing w:before="240" w:after="120" w:line="276" w:lineRule="auto"/>
        <w:rPr>
          <w:rFonts w:ascii="Arial" w:eastAsia="Arial" w:hAnsi="Arial" w:cs="Arial"/>
        </w:rPr>
      </w:pPr>
      <w:r w:rsidRPr="00BF20CF">
        <w:rPr>
          <w:rFonts w:ascii="Arial" w:eastAsia="Arial" w:hAnsi="Arial" w:cs="Arial"/>
        </w:rPr>
        <w:t xml:space="preserve">PEG seeks some additional information regarding Hydro Ottawa’s accounting for pensions and other benefits. PEG is seeking a reasonable method for controlling for differences between the </w:t>
      </w:r>
      <w:proofErr w:type="gramStart"/>
      <w:r w:rsidRPr="00BF20CF">
        <w:rPr>
          <w:rFonts w:ascii="Arial" w:eastAsia="Arial" w:hAnsi="Arial" w:cs="Arial"/>
        </w:rPr>
        <w:t>level</w:t>
      </w:r>
      <w:proofErr w:type="gramEnd"/>
      <w:r w:rsidRPr="00BF20CF">
        <w:rPr>
          <w:rFonts w:ascii="Arial" w:eastAsia="Arial" w:hAnsi="Arial" w:cs="Arial"/>
        </w:rPr>
        <w:t xml:space="preserve"> of benefits provided by Hydro Ottawa vs. typical US distributors.</w:t>
      </w:r>
    </w:p>
    <w:p w14:paraId="7D5DCB7F"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Question(s):</w:t>
      </w:r>
    </w:p>
    <w:p w14:paraId="1254B522" w14:textId="77777777" w:rsidR="00B60528" w:rsidRPr="00BF20CF" w:rsidRDefault="00B60528" w:rsidP="00B60528">
      <w:pPr>
        <w:numPr>
          <w:ilvl w:val="0"/>
          <w:numId w:val="233"/>
        </w:numPr>
        <w:spacing w:after="160" w:line="276" w:lineRule="auto"/>
        <w:rPr>
          <w:rFonts w:ascii="Arial" w:eastAsia="Arial" w:hAnsi="Arial" w:cs="Arial"/>
        </w:rPr>
      </w:pPr>
      <w:r w:rsidRPr="00BF20CF">
        <w:rPr>
          <w:rFonts w:ascii="Arial" w:eastAsia="Arial" w:hAnsi="Arial" w:cs="Arial"/>
        </w:rPr>
        <w:t>In the context of other projects for the OEB, PEG has found that some distributors put all pension and benefit expenses into A&amp;G accounts and some fully distribute them to individual OM&amp;A accounts to “fully load” labor costs in these categories. Which method does Hydro Ottawa use in its accounting?</w:t>
      </w:r>
    </w:p>
    <w:p w14:paraId="56B5A5B4" w14:textId="77777777" w:rsidR="00B60528" w:rsidRPr="00BF20CF" w:rsidRDefault="00B60528" w:rsidP="00B60528">
      <w:pPr>
        <w:numPr>
          <w:ilvl w:val="0"/>
          <w:numId w:val="233"/>
        </w:numPr>
        <w:spacing w:after="160" w:line="276" w:lineRule="auto"/>
        <w:rPr>
          <w:rFonts w:ascii="Arial" w:eastAsia="Arial" w:hAnsi="Arial" w:cs="Arial"/>
        </w:rPr>
      </w:pPr>
      <w:r w:rsidRPr="00BF20CF">
        <w:rPr>
          <w:rFonts w:ascii="Arial" w:eastAsia="Arial" w:hAnsi="Arial" w:cs="Arial"/>
        </w:rPr>
        <w:t xml:space="preserve">Are total company contributions to OMERS and/or other pension funds associated with OM&amp;A </w:t>
      </w:r>
      <w:proofErr w:type="spellStart"/>
      <w:r w:rsidRPr="00BF20CF">
        <w:rPr>
          <w:rFonts w:ascii="Arial" w:eastAsia="Arial" w:hAnsi="Arial" w:cs="Arial"/>
        </w:rPr>
        <w:t>labour</w:t>
      </w:r>
      <w:proofErr w:type="spellEnd"/>
      <w:r w:rsidRPr="00BF20CF">
        <w:rPr>
          <w:rFonts w:ascii="Arial" w:eastAsia="Arial" w:hAnsi="Arial" w:cs="Arial"/>
        </w:rPr>
        <w:t xml:space="preserve"> (i.e. not capitalized) available?  If so, please provide for the sample period.  If this is not possible, please provide for a recent year.</w:t>
      </w:r>
    </w:p>
    <w:p w14:paraId="11A2C7C1" w14:textId="77777777" w:rsidR="00B60528" w:rsidRPr="00BF20CF" w:rsidRDefault="00B60528" w:rsidP="00B60528">
      <w:pPr>
        <w:numPr>
          <w:ilvl w:val="0"/>
          <w:numId w:val="233"/>
        </w:numPr>
        <w:spacing w:after="160" w:line="276" w:lineRule="auto"/>
        <w:rPr>
          <w:rFonts w:ascii="Arial" w:eastAsia="Arial" w:hAnsi="Arial" w:cs="Arial"/>
        </w:rPr>
      </w:pPr>
      <w:r w:rsidRPr="00BF20CF">
        <w:rPr>
          <w:rFonts w:ascii="Arial" w:eastAsia="Arial" w:hAnsi="Arial" w:cs="Arial"/>
        </w:rPr>
        <w:t xml:space="preserve">Are total company contributions to health and other insurance policies associated with OM&amp;A </w:t>
      </w:r>
      <w:proofErr w:type="spellStart"/>
      <w:r w:rsidRPr="00BF20CF">
        <w:rPr>
          <w:rFonts w:ascii="Arial" w:eastAsia="Arial" w:hAnsi="Arial" w:cs="Arial"/>
        </w:rPr>
        <w:t>labour</w:t>
      </w:r>
      <w:proofErr w:type="spellEnd"/>
      <w:r w:rsidRPr="00BF20CF">
        <w:rPr>
          <w:rFonts w:ascii="Arial" w:eastAsia="Arial" w:hAnsi="Arial" w:cs="Arial"/>
        </w:rPr>
        <w:t xml:space="preserve"> available?  If so, please provide for the sample period. If this is not possible, please provide for a recent year.</w:t>
      </w:r>
    </w:p>
    <w:p w14:paraId="2CD5F707" w14:textId="290E5106" w:rsidR="00B60528" w:rsidRPr="00BF20CF" w:rsidRDefault="00B60528" w:rsidP="00B60528">
      <w:pPr>
        <w:numPr>
          <w:ilvl w:val="0"/>
          <w:numId w:val="233"/>
        </w:numPr>
        <w:spacing w:after="160" w:line="276" w:lineRule="auto"/>
        <w:rPr>
          <w:rFonts w:ascii="Arial" w:eastAsia="Arial" w:hAnsi="Arial" w:cs="Arial"/>
        </w:rPr>
      </w:pPr>
      <w:r w:rsidRPr="00BF20CF">
        <w:rPr>
          <w:rFonts w:ascii="Arial" w:eastAsia="Arial" w:hAnsi="Arial" w:cs="Arial"/>
        </w:rPr>
        <w:t>What is Hydro Ottawa’s understanding as to how the per-employee level of pensions and other (both current and post-employment) benefits that it provides differs from that of U.S. investor-owned electric utility norms?</w:t>
      </w:r>
    </w:p>
    <w:p w14:paraId="25471C76" w14:textId="412B86F2" w:rsidR="00607880" w:rsidRPr="00BF20CF" w:rsidRDefault="00607880" w:rsidP="00607880">
      <w:pPr>
        <w:spacing w:after="160" w:line="276" w:lineRule="auto"/>
        <w:ind w:left="720"/>
        <w:rPr>
          <w:rFonts w:ascii="Arial" w:eastAsia="Arial" w:hAnsi="Arial" w:cs="Arial"/>
        </w:rPr>
      </w:pPr>
      <w:r w:rsidRPr="00BF20CF">
        <w:rPr>
          <w:rFonts w:ascii="Arial" w:eastAsia="Arial" w:hAnsi="Arial" w:cs="Arial"/>
        </w:rPr>
        <w:br w:type="page"/>
      </w:r>
    </w:p>
    <w:p w14:paraId="27729F10" w14:textId="4F61DB29" w:rsidR="00B60528" w:rsidRPr="00BF20CF" w:rsidRDefault="00B60528" w:rsidP="00607880">
      <w:pPr>
        <w:spacing w:line="276" w:lineRule="auto"/>
        <w:outlineLvl w:val="2"/>
        <w:rPr>
          <w:rFonts w:ascii="Arial" w:eastAsia="Calibri" w:hAnsi="Arial" w:cs="Arial"/>
          <w:b/>
        </w:rPr>
      </w:pPr>
      <w:bookmarkStart w:id="3" w:name="_heading=h.908fub2tzvan" w:colFirst="0" w:colLast="0"/>
      <w:bookmarkEnd w:id="3"/>
      <w:r w:rsidRPr="00BF20CF">
        <w:rPr>
          <w:rFonts w:ascii="Arial" w:eastAsia="Calibri" w:hAnsi="Arial" w:cs="Arial"/>
          <w:b/>
        </w:rPr>
        <w:lastRenderedPageBreak/>
        <w:t>1-Staff-</w:t>
      </w:r>
      <w:r w:rsidR="00607880" w:rsidRPr="00BF20CF">
        <w:rPr>
          <w:rFonts w:ascii="Arial" w:eastAsia="Calibri" w:hAnsi="Arial" w:cs="Arial"/>
          <w:b/>
        </w:rPr>
        <w:t>22</w:t>
      </w:r>
    </w:p>
    <w:p w14:paraId="734CE248" w14:textId="2396D8E5" w:rsidR="00B60528" w:rsidRPr="00BF20CF" w:rsidRDefault="00B60528" w:rsidP="00607880">
      <w:pPr>
        <w:spacing w:line="276" w:lineRule="auto"/>
        <w:rPr>
          <w:rFonts w:ascii="Arial" w:eastAsia="Arial" w:hAnsi="Arial" w:cs="Arial"/>
          <w:b/>
        </w:rPr>
      </w:pPr>
      <w:r w:rsidRPr="00BF20CF">
        <w:rPr>
          <w:rFonts w:ascii="Arial" w:eastAsia="Arial" w:hAnsi="Arial" w:cs="Arial"/>
          <w:b/>
        </w:rPr>
        <w:t>Ref:  Exhibit 1/Tab 1/Schedule 12/Attachment A/ pp. 10-12</w:t>
      </w:r>
    </w:p>
    <w:p w14:paraId="6791CA35"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Preamble:</w:t>
      </w:r>
    </w:p>
    <w:p w14:paraId="5F073C60" w14:textId="7EC3A78E"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On page 12 of its study, </w:t>
      </w:r>
      <w:proofErr w:type="spellStart"/>
      <w:r w:rsidRPr="00BF20CF">
        <w:rPr>
          <w:rFonts w:ascii="Arial" w:eastAsia="Arial" w:hAnsi="Arial" w:cs="Arial"/>
        </w:rPr>
        <w:t>Clearspring</w:t>
      </w:r>
      <w:proofErr w:type="spellEnd"/>
      <w:r w:rsidRPr="00BF20CF">
        <w:rPr>
          <w:rFonts w:ascii="Arial" w:eastAsia="Arial" w:hAnsi="Arial" w:cs="Arial"/>
        </w:rPr>
        <w:t xml:space="preserve"> states:</w:t>
      </w:r>
    </w:p>
    <w:p w14:paraId="33A42902" w14:textId="77777777" w:rsidR="00B60528" w:rsidRPr="00BF20CF" w:rsidRDefault="00B60528" w:rsidP="00B60528">
      <w:pPr>
        <w:spacing w:before="240" w:after="240" w:line="276" w:lineRule="auto"/>
        <w:ind w:left="720"/>
        <w:rPr>
          <w:rFonts w:ascii="Arial" w:eastAsia="Arial" w:hAnsi="Arial" w:cs="Arial"/>
        </w:rPr>
      </w:pPr>
      <w:proofErr w:type="spellStart"/>
      <w:r w:rsidRPr="00BF20CF">
        <w:rPr>
          <w:rFonts w:ascii="Arial" w:eastAsia="Arial" w:hAnsi="Arial" w:cs="Arial"/>
        </w:rPr>
        <w:t>Clearspring</w:t>
      </w:r>
      <w:proofErr w:type="spellEnd"/>
      <w:r w:rsidRPr="00BF20CF">
        <w:rPr>
          <w:rFonts w:ascii="Arial" w:eastAsia="Arial" w:hAnsi="Arial" w:cs="Arial"/>
        </w:rPr>
        <w:t xml:space="preserve"> Energy began with the benchmark-based cost definition used by the Board Staff’s consultant (“PEG”) in the 4GIR proceeding. To be consistent with the U.S. sample, we then added high-voltage expenses to the cost definition for the Ontario distributors.</w:t>
      </w:r>
    </w:p>
    <w:p w14:paraId="3BC60E6A"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Question(s):</w:t>
      </w:r>
    </w:p>
    <w:p w14:paraId="3823C66F" w14:textId="465FEA71" w:rsidR="00B60528" w:rsidRPr="00BF20CF" w:rsidRDefault="00B60528" w:rsidP="00607880">
      <w:pPr>
        <w:numPr>
          <w:ilvl w:val="0"/>
          <w:numId w:val="234"/>
        </w:numPr>
        <w:autoSpaceDE w:val="0"/>
        <w:autoSpaceDN w:val="0"/>
        <w:adjustRightInd w:val="0"/>
        <w:spacing w:before="240" w:after="240" w:line="276" w:lineRule="auto"/>
        <w:contextualSpacing/>
        <w:rPr>
          <w:rFonts w:ascii="Arial" w:eastAsia="Arial" w:hAnsi="Arial" w:cs="Arial"/>
          <w:lang w:val="en-CA"/>
        </w:rPr>
      </w:pPr>
      <w:r w:rsidRPr="00BF20CF">
        <w:rPr>
          <w:rFonts w:ascii="Arial" w:eastAsia="Arial" w:hAnsi="Arial" w:cs="Arial"/>
          <w:lang w:val="en-CA"/>
        </w:rPr>
        <w:t>Please discuss the high voltage operations and related expenses of Hydro Ottawa which are addressed by the cost benchmarking study, and explain the dividing line between the operations and assets of Hydro Ottawa and Hydro One.</w:t>
      </w:r>
    </w:p>
    <w:p w14:paraId="68B1D142" w14:textId="77777777" w:rsidR="00607880" w:rsidRPr="00BF20CF" w:rsidRDefault="00607880" w:rsidP="0007231E">
      <w:pPr>
        <w:autoSpaceDE w:val="0"/>
        <w:autoSpaceDN w:val="0"/>
        <w:adjustRightInd w:val="0"/>
        <w:spacing w:line="276" w:lineRule="auto"/>
        <w:ind w:left="720"/>
        <w:contextualSpacing/>
        <w:rPr>
          <w:rFonts w:ascii="Arial" w:eastAsia="Arial" w:hAnsi="Arial" w:cs="Arial"/>
          <w:lang w:val="en-CA"/>
        </w:rPr>
      </w:pPr>
    </w:p>
    <w:p w14:paraId="4F806691" w14:textId="4FCBC4BC" w:rsidR="00B60528" w:rsidRPr="00BF20CF" w:rsidRDefault="00B60528" w:rsidP="0007231E">
      <w:pPr>
        <w:spacing w:before="120" w:line="276" w:lineRule="auto"/>
        <w:outlineLvl w:val="2"/>
        <w:rPr>
          <w:rFonts w:ascii="Arial" w:eastAsia="Calibri" w:hAnsi="Arial" w:cs="Arial"/>
          <w:b/>
        </w:rPr>
      </w:pPr>
      <w:bookmarkStart w:id="4" w:name="_heading=h.4rk0oiah4m2b" w:colFirst="0" w:colLast="0"/>
      <w:bookmarkEnd w:id="4"/>
      <w:r w:rsidRPr="00BF20CF">
        <w:rPr>
          <w:rFonts w:ascii="Arial" w:eastAsia="Calibri" w:hAnsi="Arial" w:cs="Arial"/>
          <w:b/>
        </w:rPr>
        <w:t>1-Staff-</w:t>
      </w:r>
      <w:r w:rsidR="00607880" w:rsidRPr="00BF20CF">
        <w:rPr>
          <w:rFonts w:ascii="Arial" w:eastAsia="Calibri" w:hAnsi="Arial" w:cs="Arial"/>
          <w:b/>
        </w:rPr>
        <w:t>23</w:t>
      </w:r>
    </w:p>
    <w:p w14:paraId="0BEBA524" w14:textId="0650F1F2" w:rsidR="00B60528" w:rsidRPr="00BF20CF" w:rsidRDefault="00B60528" w:rsidP="00607880">
      <w:pPr>
        <w:spacing w:line="276" w:lineRule="auto"/>
        <w:rPr>
          <w:rFonts w:ascii="Arial" w:eastAsia="Arial" w:hAnsi="Arial" w:cs="Arial"/>
          <w:b/>
        </w:rPr>
      </w:pPr>
      <w:r w:rsidRPr="00BF20CF">
        <w:rPr>
          <w:rFonts w:ascii="Arial" w:eastAsia="Arial" w:hAnsi="Arial" w:cs="Arial"/>
          <w:b/>
        </w:rPr>
        <w:t>Ref:  Exhibit 1/Tab 1/Schedule 12/Attachment A</w:t>
      </w:r>
    </w:p>
    <w:p w14:paraId="6A2B0F19" w14:textId="338179A6"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Preamble:</w:t>
      </w:r>
    </w:p>
    <w:p w14:paraId="10EF14B1"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On pages 13-14 of its study, </w:t>
      </w:r>
      <w:proofErr w:type="spellStart"/>
      <w:r w:rsidRPr="00BF20CF">
        <w:rPr>
          <w:rFonts w:ascii="Arial" w:eastAsia="Arial" w:hAnsi="Arial" w:cs="Arial"/>
        </w:rPr>
        <w:t>Clearspring</w:t>
      </w:r>
      <w:proofErr w:type="spellEnd"/>
      <w:r w:rsidRPr="00BF20CF">
        <w:rPr>
          <w:rFonts w:ascii="Arial" w:eastAsia="Arial" w:hAnsi="Arial" w:cs="Arial"/>
        </w:rPr>
        <w:t xml:space="preserve"> states:</w:t>
      </w:r>
    </w:p>
    <w:p w14:paraId="3EF97F47" w14:textId="7777777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The capital quantity index (XK) is constructed based on the value of net plant in a benchmark year, and on gross plant additions in years subsequent to the capital benchmark year. We use 1989 for all U.S. sampled utilities as the capital benchmark year because this is the first available year of publicly available data from SNL Energy. Years prior to 1989 would require extensive effort and could not be easily verified or replicated by another consultant. We used 2002 as the capital benchmark year for the Ontario sampled utilities because this is the first year where data can be readily verified.</w:t>
      </w:r>
    </w:p>
    <w:p w14:paraId="04948A62" w14:textId="6C36C898"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Question</w:t>
      </w:r>
      <w:r w:rsidR="0007231E" w:rsidRPr="00BF20CF">
        <w:rPr>
          <w:rFonts w:ascii="Arial" w:eastAsia="Arial" w:hAnsi="Arial" w:cs="Arial"/>
        </w:rPr>
        <w:t>(s)</w:t>
      </w:r>
      <w:r w:rsidRPr="00BF20CF">
        <w:rPr>
          <w:rFonts w:ascii="Arial" w:eastAsia="Arial" w:hAnsi="Arial" w:cs="Arial"/>
        </w:rPr>
        <w:t>:</w:t>
      </w:r>
    </w:p>
    <w:p w14:paraId="518D7EEF" w14:textId="468F71DD" w:rsidR="00B60528" w:rsidRPr="00BF20CF" w:rsidRDefault="00B60528" w:rsidP="00B60528">
      <w:pPr>
        <w:numPr>
          <w:ilvl w:val="0"/>
          <w:numId w:val="235"/>
        </w:numPr>
        <w:autoSpaceDE w:val="0"/>
        <w:autoSpaceDN w:val="0"/>
        <w:adjustRightInd w:val="0"/>
        <w:spacing w:before="240" w:after="240" w:line="276" w:lineRule="auto"/>
        <w:contextualSpacing/>
        <w:rPr>
          <w:rFonts w:ascii="Arial" w:eastAsia="Arial" w:hAnsi="Arial" w:cs="Arial"/>
          <w:lang w:val="en-CA"/>
        </w:rPr>
      </w:pPr>
      <w:r w:rsidRPr="00BF20CF">
        <w:rPr>
          <w:rFonts w:ascii="Arial" w:eastAsia="Arial" w:hAnsi="Arial" w:cs="Arial"/>
          <w:lang w:val="en-CA"/>
        </w:rPr>
        <w:t xml:space="preserve">Mr. </w:t>
      </w:r>
      <w:proofErr w:type="spellStart"/>
      <w:r w:rsidRPr="00BF20CF">
        <w:rPr>
          <w:rFonts w:ascii="Arial" w:eastAsia="Arial" w:hAnsi="Arial" w:cs="Arial"/>
          <w:lang w:val="en-CA"/>
        </w:rPr>
        <w:t>Fenrick</w:t>
      </w:r>
      <w:proofErr w:type="spellEnd"/>
      <w:r w:rsidRPr="00BF20CF">
        <w:rPr>
          <w:rFonts w:ascii="Arial" w:eastAsia="Arial" w:hAnsi="Arial" w:cs="Arial"/>
          <w:lang w:val="en-CA"/>
        </w:rPr>
        <w:t xml:space="preserve"> has done numerous electric utility benchmarking studies using U.S data and, in these studies, has developed many business condition variables that are not easily verified or replicated by another consultant.  Please explain then why the development of an earlier benchmark year, </w:t>
      </w:r>
      <w:r w:rsidRPr="00BF20CF">
        <w:rPr>
          <w:rFonts w:ascii="Arial" w:eastAsia="Arial" w:hAnsi="Arial" w:cs="Arial"/>
          <w:lang w:val="en-CA"/>
        </w:rPr>
        <w:lastRenderedPageBreak/>
        <w:t>such as those used by NERA and Christensen Associates as well as PEG, is uniquely unwarranted because it “would require extensive effort” and face review challenges.</w:t>
      </w:r>
    </w:p>
    <w:p w14:paraId="080FF505" w14:textId="77777777" w:rsidR="0007231E" w:rsidRPr="00BF20CF" w:rsidRDefault="0007231E" w:rsidP="0007231E">
      <w:pPr>
        <w:autoSpaceDE w:val="0"/>
        <w:autoSpaceDN w:val="0"/>
        <w:adjustRightInd w:val="0"/>
        <w:spacing w:line="276" w:lineRule="auto"/>
        <w:ind w:left="720"/>
        <w:contextualSpacing/>
        <w:rPr>
          <w:rFonts w:ascii="Arial" w:eastAsia="Arial" w:hAnsi="Arial" w:cs="Arial"/>
          <w:lang w:val="en-CA"/>
        </w:rPr>
      </w:pPr>
    </w:p>
    <w:p w14:paraId="3C4B6C8B" w14:textId="3B8B7FE7" w:rsidR="00B60528" w:rsidRPr="00BF20CF" w:rsidRDefault="00B60528" w:rsidP="0007231E">
      <w:pPr>
        <w:spacing w:before="120" w:line="276" w:lineRule="auto"/>
        <w:outlineLvl w:val="2"/>
        <w:rPr>
          <w:rFonts w:ascii="Arial" w:eastAsia="Calibri" w:hAnsi="Arial" w:cs="Arial"/>
          <w:b/>
        </w:rPr>
      </w:pPr>
      <w:bookmarkStart w:id="5" w:name="_heading=h.soqpj51c3rnp" w:colFirst="0" w:colLast="0"/>
      <w:bookmarkEnd w:id="5"/>
      <w:r w:rsidRPr="00BF20CF">
        <w:rPr>
          <w:rFonts w:ascii="Arial" w:eastAsia="Calibri" w:hAnsi="Arial" w:cs="Arial"/>
          <w:b/>
        </w:rPr>
        <w:t>1-Staff-</w:t>
      </w:r>
      <w:r w:rsidR="0007231E" w:rsidRPr="00BF20CF">
        <w:rPr>
          <w:rFonts w:ascii="Arial" w:eastAsia="Calibri" w:hAnsi="Arial" w:cs="Arial"/>
          <w:b/>
        </w:rPr>
        <w:t>24</w:t>
      </w:r>
      <w:r w:rsidRPr="00BF20CF">
        <w:rPr>
          <w:rFonts w:ascii="Arial" w:eastAsia="Calibri" w:hAnsi="Arial" w:cs="Arial"/>
          <w:b/>
        </w:rPr>
        <w:tab/>
      </w:r>
    </w:p>
    <w:p w14:paraId="348FE28B" w14:textId="1652EC5B" w:rsidR="00B60528" w:rsidRPr="00BF20CF" w:rsidRDefault="00B60528" w:rsidP="0007231E">
      <w:pPr>
        <w:spacing w:line="276" w:lineRule="auto"/>
        <w:rPr>
          <w:rFonts w:ascii="Arial" w:eastAsia="Arial" w:hAnsi="Arial" w:cs="Arial"/>
          <w:b/>
        </w:rPr>
      </w:pPr>
      <w:r w:rsidRPr="00BF20CF">
        <w:rPr>
          <w:rFonts w:ascii="Arial" w:eastAsia="Arial" w:hAnsi="Arial" w:cs="Arial"/>
          <w:b/>
        </w:rPr>
        <w:t>Ref:  Exhibit 1/Tab 1/Schedule 12/Attachment A</w:t>
      </w:r>
    </w:p>
    <w:p w14:paraId="0EF2C45E" w14:textId="6E78F2C2" w:rsidR="00B60528" w:rsidRPr="00BF20CF" w:rsidRDefault="00B60528" w:rsidP="00B60528">
      <w:pPr>
        <w:spacing w:before="240" w:after="240" w:line="276" w:lineRule="auto"/>
        <w:rPr>
          <w:rFonts w:ascii="Arial" w:eastAsia="Arial" w:hAnsi="Arial" w:cs="Arial"/>
          <w:bCs/>
        </w:rPr>
      </w:pPr>
      <w:r w:rsidRPr="00BF20CF">
        <w:rPr>
          <w:rFonts w:ascii="Arial" w:eastAsia="Arial" w:hAnsi="Arial" w:cs="Arial"/>
          <w:bCs/>
        </w:rPr>
        <w:t>Preamble:</w:t>
      </w:r>
    </w:p>
    <w:p w14:paraId="126403C5" w14:textId="77777777" w:rsidR="00B60528" w:rsidRPr="00BF20CF" w:rsidRDefault="00B60528" w:rsidP="00B60528">
      <w:pPr>
        <w:spacing w:before="240" w:after="240" w:line="276" w:lineRule="auto"/>
        <w:rPr>
          <w:rFonts w:ascii="Arial" w:eastAsia="Arial" w:hAnsi="Arial" w:cs="Arial"/>
        </w:rPr>
      </w:pPr>
      <w:proofErr w:type="spellStart"/>
      <w:r w:rsidRPr="00BF20CF">
        <w:rPr>
          <w:rFonts w:ascii="Arial" w:eastAsia="Arial" w:hAnsi="Arial" w:cs="Arial"/>
        </w:rPr>
        <w:t>Clearspring</w:t>
      </w:r>
      <w:proofErr w:type="spellEnd"/>
      <w:r w:rsidRPr="00BF20CF">
        <w:rPr>
          <w:rFonts w:ascii="Arial" w:eastAsia="Arial" w:hAnsi="Arial" w:cs="Arial"/>
        </w:rPr>
        <w:t xml:space="preserve"> states on pp. 15-16 of their report that</w:t>
      </w:r>
    </w:p>
    <w:p w14:paraId="21F16A32" w14:textId="7777777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 xml:space="preserve">The </w:t>
      </w:r>
      <w:proofErr w:type="spellStart"/>
      <w:r w:rsidRPr="00BF20CF">
        <w:rPr>
          <w:rFonts w:ascii="Arial" w:eastAsia="Arial" w:hAnsi="Arial" w:cs="Arial"/>
        </w:rPr>
        <w:t>labour</w:t>
      </w:r>
      <w:proofErr w:type="spellEnd"/>
      <w:r w:rsidRPr="00BF20CF">
        <w:rPr>
          <w:rFonts w:ascii="Arial" w:eastAsia="Arial" w:hAnsi="Arial" w:cs="Arial"/>
        </w:rPr>
        <w:t xml:space="preserve"> component [of the OM&amp;A input price index] is calculated by taking wage levels of numerous job occupations and weighting them based on the U.S. Bureau of Labor Statistics (“BLS”) estimates of job occupation weights in the Electric Power Generation, Transmission, and Distribution Industry. We then escalated </w:t>
      </w:r>
      <w:proofErr w:type="spellStart"/>
      <w:r w:rsidRPr="00BF20CF">
        <w:rPr>
          <w:rFonts w:ascii="Arial" w:eastAsia="Arial" w:hAnsi="Arial" w:cs="Arial"/>
        </w:rPr>
        <w:t>labour</w:t>
      </w:r>
      <w:proofErr w:type="spellEnd"/>
      <w:r w:rsidRPr="00BF20CF">
        <w:rPr>
          <w:rFonts w:ascii="Arial" w:eastAsia="Arial" w:hAnsi="Arial" w:cs="Arial"/>
        </w:rPr>
        <w:t xml:space="preserve"> prices for U.S. utilities using BLS employment cost indexes for the utility sector and escalated Ontario prices using the Ontario average weekly earnings estimates.  The non-</w:t>
      </w:r>
      <w:proofErr w:type="spellStart"/>
      <w:r w:rsidRPr="00BF20CF">
        <w:rPr>
          <w:rFonts w:ascii="Arial" w:eastAsia="Arial" w:hAnsi="Arial" w:cs="Arial"/>
        </w:rPr>
        <w:t>labour</w:t>
      </w:r>
      <w:proofErr w:type="spellEnd"/>
      <w:r w:rsidRPr="00BF20CF">
        <w:rPr>
          <w:rFonts w:ascii="Arial" w:eastAsia="Arial" w:hAnsi="Arial" w:cs="Arial"/>
        </w:rPr>
        <w:t xml:space="preserve"> component of the OM&amp;A input price uses the U.S. gross domestic product price index for the U.S. utilities. The Ontario non-</w:t>
      </w:r>
      <w:proofErr w:type="spellStart"/>
      <w:r w:rsidRPr="00BF20CF">
        <w:rPr>
          <w:rFonts w:ascii="Arial" w:eastAsia="Arial" w:hAnsi="Arial" w:cs="Arial"/>
        </w:rPr>
        <w:t>labour</w:t>
      </w:r>
      <w:proofErr w:type="spellEnd"/>
      <w:r w:rsidRPr="00BF20CF">
        <w:rPr>
          <w:rFonts w:ascii="Arial" w:eastAsia="Arial" w:hAnsi="Arial" w:cs="Arial"/>
        </w:rPr>
        <w:t xml:space="preserve"> component uses the same GDP-PI in each year, but adjusted for the purchasing power parity (“PPP”) index. This translates the non-</w:t>
      </w:r>
      <w:proofErr w:type="spellStart"/>
      <w:r w:rsidRPr="00BF20CF">
        <w:rPr>
          <w:rFonts w:ascii="Arial" w:eastAsia="Arial" w:hAnsi="Arial" w:cs="Arial"/>
        </w:rPr>
        <w:t>labour</w:t>
      </w:r>
      <w:proofErr w:type="spellEnd"/>
      <w:r w:rsidRPr="00BF20CF">
        <w:rPr>
          <w:rFonts w:ascii="Arial" w:eastAsia="Arial" w:hAnsi="Arial" w:cs="Arial"/>
        </w:rPr>
        <w:t xml:space="preserve"> input price component into Canadian dollars. To construct the overall OM&amp;A input price we weighted each index using a 70% </w:t>
      </w:r>
      <w:proofErr w:type="spellStart"/>
      <w:r w:rsidRPr="00BF20CF">
        <w:rPr>
          <w:rFonts w:ascii="Arial" w:eastAsia="Arial" w:hAnsi="Arial" w:cs="Arial"/>
        </w:rPr>
        <w:t>labour</w:t>
      </w:r>
      <w:proofErr w:type="spellEnd"/>
      <w:r w:rsidRPr="00BF20CF">
        <w:rPr>
          <w:rFonts w:ascii="Arial" w:eastAsia="Arial" w:hAnsi="Arial" w:cs="Arial"/>
        </w:rPr>
        <w:t xml:space="preserve"> and a 30% non-</w:t>
      </w:r>
      <w:proofErr w:type="spellStart"/>
      <w:r w:rsidRPr="00BF20CF">
        <w:rPr>
          <w:rFonts w:ascii="Arial" w:eastAsia="Arial" w:hAnsi="Arial" w:cs="Arial"/>
        </w:rPr>
        <w:t>labour</w:t>
      </w:r>
      <w:proofErr w:type="spellEnd"/>
      <w:r w:rsidRPr="00BF20CF">
        <w:rPr>
          <w:rFonts w:ascii="Arial" w:eastAsia="Arial" w:hAnsi="Arial" w:cs="Arial"/>
        </w:rPr>
        <w:t xml:space="preserve"> rate. This was the same weighting used by PEG in its 4GIR benchmarking research. Using the capital and OM&amp;A cost shares, </w:t>
      </w:r>
      <w:proofErr w:type="spellStart"/>
      <w:r w:rsidRPr="00BF20CF">
        <w:rPr>
          <w:rFonts w:ascii="Arial" w:eastAsia="Arial" w:hAnsi="Arial" w:cs="Arial"/>
        </w:rPr>
        <w:t>Clearspring</w:t>
      </w:r>
      <w:proofErr w:type="spellEnd"/>
      <w:r w:rsidRPr="00BF20CF">
        <w:rPr>
          <w:rFonts w:ascii="Arial" w:eastAsia="Arial" w:hAnsi="Arial" w:cs="Arial"/>
        </w:rPr>
        <w:t xml:space="preserve"> Energy calculated a total input price index.</w:t>
      </w:r>
    </w:p>
    <w:p w14:paraId="4583BA88" w14:textId="61736392"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Question</w:t>
      </w:r>
      <w:r w:rsidR="0007231E" w:rsidRPr="00BF20CF">
        <w:rPr>
          <w:rFonts w:ascii="Arial" w:eastAsia="Arial" w:hAnsi="Arial" w:cs="Arial"/>
        </w:rPr>
        <w:t>(</w:t>
      </w:r>
      <w:r w:rsidRPr="00BF20CF">
        <w:rPr>
          <w:rFonts w:ascii="Arial" w:eastAsia="Arial" w:hAnsi="Arial" w:cs="Arial"/>
        </w:rPr>
        <w:t>s</w:t>
      </w:r>
      <w:r w:rsidR="0007231E" w:rsidRPr="00BF20CF">
        <w:rPr>
          <w:rFonts w:ascii="Arial" w:eastAsia="Arial" w:hAnsi="Arial" w:cs="Arial"/>
        </w:rPr>
        <w:t>):</w:t>
      </w:r>
    </w:p>
    <w:p w14:paraId="6997E05A" w14:textId="77777777" w:rsidR="00B60528" w:rsidRPr="00BF20CF" w:rsidRDefault="00B60528" w:rsidP="00B60528">
      <w:pPr>
        <w:numPr>
          <w:ilvl w:val="0"/>
          <w:numId w:val="236"/>
        </w:numPr>
        <w:spacing w:before="240" w:after="160" w:line="276" w:lineRule="auto"/>
        <w:rPr>
          <w:rFonts w:ascii="Arial" w:eastAsia="Arial" w:hAnsi="Arial" w:cs="Arial"/>
          <w:sz w:val="22"/>
          <w:szCs w:val="22"/>
        </w:rPr>
      </w:pPr>
      <w:r w:rsidRPr="00BF20CF">
        <w:rPr>
          <w:rFonts w:ascii="Arial" w:eastAsia="Arial" w:hAnsi="Arial" w:cs="Arial"/>
        </w:rPr>
        <w:t xml:space="preserve">Why were the weights on the OM&amp;A input price index fixed 70/30 for all utilities in the econometric sample when time-varying weights for U.S. utilities, which account for the majority of data in the sample, are readily available and the OM&amp;A cost shares of Hydro Ottawa were quite different from 2016 to 2020?  Is it possible to construct Company-specific weights for Hydro Ottawa for all years of the sample period?  If so, please provide these calculations.  </w:t>
      </w:r>
    </w:p>
    <w:p w14:paraId="0286BA96" w14:textId="77777777" w:rsidR="00B60528" w:rsidRPr="00BF20CF" w:rsidRDefault="00B60528" w:rsidP="00B60528">
      <w:pPr>
        <w:numPr>
          <w:ilvl w:val="0"/>
          <w:numId w:val="236"/>
        </w:numPr>
        <w:spacing w:after="160" w:line="276" w:lineRule="auto"/>
        <w:rPr>
          <w:rFonts w:ascii="Arial" w:eastAsia="Arial" w:hAnsi="Arial" w:cs="Arial"/>
          <w:sz w:val="22"/>
          <w:szCs w:val="22"/>
        </w:rPr>
      </w:pPr>
      <w:r w:rsidRPr="00BF20CF">
        <w:rPr>
          <w:rFonts w:ascii="Arial" w:eastAsia="Arial" w:hAnsi="Arial" w:cs="Arial"/>
        </w:rPr>
        <w:t xml:space="preserve">Why was the American GDPPI used to construct the material and service input price index for the sampled Ontario distributors when Ontario IRMs commonly use the gross domestic product implicit price index for final </w:t>
      </w:r>
      <w:r w:rsidRPr="00BF20CF">
        <w:rPr>
          <w:rFonts w:ascii="Arial" w:eastAsia="Arial" w:hAnsi="Arial" w:cs="Arial"/>
        </w:rPr>
        <w:lastRenderedPageBreak/>
        <w:t xml:space="preserve">domestic demand [“GDP-IPI (FDD)”] as an inflation measure for these inputs, and </w:t>
      </w:r>
      <w:proofErr w:type="spellStart"/>
      <w:r w:rsidRPr="00BF20CF">
        <w:rPr>
          <w:rFonts w:ascii="Arial" w:eastAsia="Arial" w:hAnsi="Arial" w:cs="Arial"/>
        </w:rPr>
        <w:t>Clearspring</w:t>
      </w:r>
      <w:proofErr w:type="spellEnd"/>
      <w:r w:rsidRPr="00BF20CF">
        <w:rPr>
          <w:rFonts w:ascii="Arial" w:eastAsia="Arial" w:hAnsi="Arial" w:cs="Arial"/>
        </w:rPr>
        <w:t xml:space="preserve"> uses an Ontario-specific labor price index in its calculations?.</w:t>
      </w:r>
    </w:p>
    <w:p w14:paraId="05B0B076" w14:textId="1F434529" w:rsidR="00B60528" w:rsidRPr="00BF20CF" w:rsidRDefault="00B60528" w:rsidP="00B60528">
      <w:pPr>
        <w:numPr>
          <w:ilvl w:val="0"/>
          <w:numId w:val="236"/>
        </w:numPr>
        <w:spacing w:after="120" w:line="276" w:lineRule="auto"/>
        <w:rPr>
          <w:rFonts w:ascii="Arial" w:eastAsia="Arial" w:hAnsi="Arial" w:cs="Arial"/>
        </w:rPr>
      </w:pPr>
      <w:r w:rsidRPr="00BF20CF">
        <w:rPr>
          <w:rFonts w:ascii="Arial" w:eastAsia="Arial" w:hAnsi="Arial" w:cs="Arial"/>
        </w:rPr>
        <w:t>Is the Ontario labor price index [“AWE (Ontario)”] designed to track pension and benefit prices as well as salary and wage prices?</w:t>
      </w:r>
    </w:p>
    <w:p w14:paraId="72C0EC71" w14:textId="77777777" w:rsidR="00CF484A" w:rsidRPr="00BF20CF" w:rsidRDefault="00CF484A" w:rsidP="00CF484A">
      <w:pPr>
        <w:spacing w:after="120" w:line="276" w:lineRule="auto"/>
        <w:ind w:left="720"/>
        <w:rPr>
          <w:rFonts w:ascii="Arial" w:eastAsia="Arial" w:hAnsi="Arial" w:cs="Arial"/>
        </w:rPr>
      </w:pPr>
    </w:p>
    <w:p w14:paraId="666E5989" w14:textId="0FCA8F70" w:rsidR="00B60528" w:rsidRPr="00BF20CF" w:rsidRDefault="00B60528" w:rsidP="0007231E">
      <w:pPr>
        <w:spacing w:line="276" w:lineRule="auto"/>
        <w:outlineLvl w:val="2"/>
        <w:rPr>
          <w:rFonts w:ascii="Arial" w:eastAsia="Calibri" w:hAnsi="Arial" w:cs="Arial"/>
          <w:b/>
        </w:rPr>
      </w:pPr>
      <w:bookmarkStart w:id="6" w:name="_heading=h.qhxmkz1uf301" w:colFirst="0" w:colLast="0"/>
      <w:bookmarkStart w:id="7" w:name="_heading=h.qi93vov10tth" w:colFirst="0" w:colLast="0"/>
      <w:bookmarkEnd w:id="6"/>
      <w:bookmarkEnd w:id="7"/>
      <w:r w:rsidRPr="00BF20CF">
        <w:rPr>
          <w:rFonts w:ascii="Arial" w:eastAsia="Calibri" w:hAnsi="Arial" w:cs="Arial"/>
          <w:b/>
        </w:rPr>
        <w:t>1-Staff-</w:t>
      </w:r>
      <w:r w:rsidR="0007231E" w:rsidRPr="00BF20CF">
        <w:rPr>
          <w:rFonts w:ascii="Arial" w:eastAsia="Calibri" w:hAnsi="Arial" w:cs="Arial"/>
          <w:b/>
        </w:rPr>
        <w:t>25</w:t>
      </w:r>
    </w:p>
    <w:p w14:paraId="326DD638" w14:textId="23AA5E60" w:rsidR="00B60528" w:rsidRPr="00BF20CF" w:rsidRDefault="00B60528" w:rsidP="0007231E">
      <w:pPr>
        <w:spacing w:line="276" w:lineRule="auto"/>
        <w:rPr>
          <w:rFonts w:ascii="Arial" w:eastAsia="Arial" w:hAnsi="Arial" w:cs="Arial"/>
          <w:b/>
        </w:rPr>
      </w:pPr>
      <w:r w:rsidRPr="00BF20CF">
        <w:rPr>
          <w:rFonts w:ascii="Arial" w:eastAsia="Arial" w:hAnsi="Arial" w:cs="Arial"/>
          <w:b/>
        </w:rPr>
        <w:t>Ref:  Exhibit 1/Tab 1/Schedule 12/Attachment A</w:t>
      </w:r>
    </w:p>
    <w:p w14:paraId="3ABFFDC2" w14:textId="705B102B"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Preamble:</w:t>
      </w:r>
    </w:p>
    <w:p w14:paraId="7276C607" w14:textId="77777777" w:rsidR="00B60528" w:rsidRPr="00BF20CF" w:rsidRDefault="00B60528" w:rsidP="00B60528">
      <w:pPr>
        <w:spacing w:before="240" w:after="240" w:line="276" w:lineRule="auto"/>
        <w:rPr>
          <w:rFonts w:ascii="Arial" w:eastAsia="Arial" w:hAnsi="Arial" w:cs="Arial"/>
        </w:rPr>
      </w:pPr>
      <w:proofErr w:type="spellStart"/>
      <w:r w:rsidRPr="00BF20CF">
        <w:rPr>
          <w:rFonts w:ascii="Arial" w:eastAsia="Arial" w:hAnsi="Arial" w:cs="Arial"/>
        </w:rPr>
        <w:t>Clearspring</w:t>
      </w:r>
      <w:proofErr w:type="spellEnd"/>
      <w:r w:rsidRPr="00BF20CF">
        <w:rPr>
          <w:rFonts w:ascii="Arial" w:eastAsia="Arial" w:hAnsi="Arial" w:cs="Arial"/>
        </w:rPr>
        <w:t xml:space="preserve"> states on p. 16 of their report that</w:t>
      </w:r>
    </w:p>
    <w:p w14:paraId="5197F07B" w14:textId="7777777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Beyond the two output variables and input prices, the model also contains business condition variables that provide cost adjustments for given service territory conditions…</w:t>
      </w:r>
    </w:p>
    <w:p w14:paraId="4CF174ED" w14:textId="7777777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The standard deviation of elevation variable is calculated based on geographic information system (“GIS”) elevation topography maps...</w:t>
      </w:r>
    </w:p>
    <w:p w14:paraId="661F848F" w14:textId="77777777" w:rsidR="00B60528" w:rsidRPr="00BF20CF" w:rsidRDefault="00B60528" w:rsidP="00B60528">
      <w:pPr>
        <w:spacing w:before="240" w:after="240" w:line="276" w:lineRule="auto"/>
        <w:ind w:firstLine="720"/>
        <w:rPr>
          <w:rFonts w:ascii="Arial" w:eastAsia="Arial" w:hAnsi="Arial" w:cs="Arial"/>
        </w:rPr>
      </w:pPr>
      <w:r w:rsidRPr="00BF20CF">
        <w:rPr>
          <w:rFonts w:ascii="Arial" w:eastAsia="Arial" w:hAnsi="Arial" w:cs="Arial"/>
        </w:rPr>
        <w:t>The percentage of forestation variable is based on GIS land cover maps.</w:t>
      </w:r>
    </w:p>
    <w:p w14:paraId="622D4155" w14:textId="3E7E4266"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Question</w:t>
      </w:r>
      <w:r w:rsidR="00CF484A" w:rsidRPr="00BF20CF">
        <w:rPr>
          <w:rFonts w:ascii="Arial" w:eastAsia="Arial" w:hAnsi="Arial" w:cs="Arial"/>
        </w:rPr>
        <w:t>(</w:t>
      </w:r>
      <w:r w:rsidRPr="00BF20CF">
        <w:rPr>
          <w:rFonts w:ascii="Arial" w:eastAsia="Arial" w:hAnsi="Arial" w:cs="Arial"/>
        </w:rPr>
        <w:t>s</w:t>
      </w:r>
      <w:r w:rsidR="00CF484A" w:rsidRPr="00BF20CF">
        <w:rPr>
          <w:rFonts w:ascii="Arial" w:eastAsia="Arial" w:hAnsi="Arial" w:cs="Arial"/>
        </w:rPr>
        <w:t>)</w:t>
      </w:r>
      <w:r w:rsidRPr="00BF20CF">
        <w:rPr>
          <w:rFonts w:ascii="Arial" w:eastAsia="Arial" w:hAnsi="Arial" w:cs="Arial"/>
        </w:rPr>
        <w:t>:</w:t>
      </w:r>
    </w:p>
    <w:p w14:paraId="7D303C7B" w14:textId="77777777" w:rsidR="00B60528" w:rsidRPr="00BF20CF" w:rsidRDefault="00B60528" w:rsidP="00B60528">
      <w:pPr>
        <w:numPr>
          <w:ilvl w:val="0"/>
          <w:numId w:val="245"/>
        </w:numPr>
        <w:autoSpaceDE w:val="0"/>
        <w:autoSpaceDN w:val="0"/>
        <w:adjustRightInd w:val="0"/>
        <w:spacing w:before="240" w:after="120" w:line="276" w:lineRule="auto"/>
        <w:contextualSpacing/>
        <w:rPr>
          <w:rFonts w:ascii="Arial" w:eastAsia="Arial" w:hAnsi="Arial" w:cs="Arial"/>
          <w:lang w:val="en-CA"/>
        </w:rPr>
      </w:pPr>
      <w:r w:rsidRPr="00BF20CF">
        <w:rPr>
          <w:rFonts w:ascii="Arial" w:eastAsia="Arial" w:hAnsi="Arial" w:cs="Arial"/>
          <w:lang w:val="en-CA"/>
        </w:rPr>
        <w:t xml:space="preserve">Please prepare a table that compares the 2018 values of each variable in </w:t>
      </w:r>
      <w:proofErr w:type="spellStart"/>
      <w:r w:rsidRPr="00BF20CF">
        <w:rPr>
          <w:rFonts w:ascii="Arial" w:eastAsia="Arial" w:hAnsi="Arial" w:cs="Arial"/>
          <w:lang w:val="en-CA"/>
        </w:rPr>
        <w:t>Clearspring’s</w:t>
      </w:r>
      <w:proofErr w:type="spellEnd"/>
      <w:r w:rsidRPr="00BF20CF">
        <w:rPr>
          <w:rFonts w:ascii="Arial" w:eastAsia="Arial" w:hAnsi="Arial" w:cs="Arial"/>
          <w:lang w:val="en-CA"/>
        </w:rPr>
        <w:t xml:space="preserve"> model to the U.S., Canadian, and full sample means. </w:t>
      </w:r>
    </w:p>
    <w:p w14:paraId="3E8D3C63" w14:textId="77777777" w:rsidR="00B60528" w:rsidRPr="00BF20CF" w:rsidRDefault="00B60528" w:rsidP="00B60528">
      <w:pPr>
        <w:numPr>
          <w:ilvl w:val="0"/>
          <w:numId w:val="245"/>
        </w:numPr>
        <w:autoSpaceDE w:val="0"/>
        <w:autoSpaceDN w:val="0"/>
        <w:adjustRightInd w:val="0"/>
        <w:spacing w:before="240" w:after="240" w:line="276" w:lineRule="auto"/>
        <w:contextualSpacing/>
        <w:rPr>
          <w:rFonts w:ascii="Arial" w:eastAsia="Arial" w:hAnsi="Arial" w:cs="Arial"/>
          <w:lang w:val="en-CA"/>
        </w:rPr>
      </w:pPr>
      <w:r w:rsidRPr="00BF20CF">
        <w:rPr>
          <w:rFonts w:ascii="Arial" w:eastAsia="Arial" w:hAnsi="Arial" w:cs="Arial"/>
          <w:lang w:val="en-CA"/>
        </w:rPr>
        <w:t xml:space="preserve">Please provide step by step explanations of how the forestation and elevation variables were constructed, with sufficient detail that a consultant can replicate them. </w:t>
      </w:r>
      <w:r w:rsidRPr="00BF20CF">
        <w:rPr>
          <w:rFonts w:ascii="Arial" w:eastAsia="Arial" w:hAnsi="Arial" w:cs="Arial"/>
          <w:lang w:val="en-CA"/>
        </w:rPr>
        <w:tab/>
      </w:r>
    </w:p>
    <w:p w14:paraId="4B5265A0" w14:textId="77777777" w:rsidR="00B60528" w:rsidRPr="00BF20CF" w:rsidRDefault="00B60528" w:rsidP="00B60528">
      <w:pPr>
        <w:numPr>
          <w:ilvl w:val="0"/>
          <w:numId w:val="245"/>
        </w:numPr>
        <w:autoSpaceDE w:val="0"/>
        <w:autoSpaceDN w:val="0"/>
        <w:adjustRightInd w:val="0"/>
        <w:spacing w:before="240" w:after="240" w:line="276" w:lineRule="auto"/>
        <w:contextualSpacing/>
        <w:rPr>
          <w:rFonts w:ascii="Arial" w:eastAsia="Arial" w:hAnsi="Arial" w:cs="Arial"/>
          <w:lang w:val="en-CA"/>
        </w:rPr>
      </w:pPr>
      <w:r w:rsidRPr="00BF20CF">
        <w:rPr>
          <w:rFonts w:ascii="Arial" w:eastAsia="Arial" w:hAnsi="Arial" w:cs="Arial"/>
          <w:lang w:val="en-CA"/>
        </w:rPr>
        <w:t>How is forestation treated in urban areas, where trees may or may not line the streets and lines may or may not be undergrounded?</w:t>
      </w:r>
    </w:p>
    <w:p w14:paraId="331185CA" w14:textId="0B469310" w:rsidR="00B60528" w:rsidRPr="00BF20CF" w:rsidRDefault="00B60528" w:rsidP="00B60528">
      <w:pPr>
        <w:numPr>
          <w:ilvl w:val="0"/>
          <w:numId w:val="245"/>
        </w:numPr>
        <w:autoSpaceDE w:val="0"/>
        <w:autoSpaceDN w:val="0"/>
        <w:adjustRightInd w:val="0"/>
        <w:spacing w:before="240" w:after="240" w:line="276" w:lineRule="auto"/>
        <w:contextualSpacing/>
        <w:rPr>
          <w:rFonts w:ascii="Arial" w:eastAsia="Arial" w:hAnsi="Arial" w:cs="Arial"/>
          <w:lang w:val="en-CA"/>
        </w:rPr>
      </w:pPr>
      <w:r w:rsidRPr="00BF20CF">
        <w:rPr>
          <w:rFonts w:ascii="Arial" w:eastAsia="Arial" w:hAnsi="Arial" w:cs="Arial"/>
          <w:lang w:val="en-CA"/>
        </w:rPr>
        <w:t>Is this variable computed without regard to how population is clustered in the service territory?</w:t>
      </w:r>
    </w:p>
    <w:p w14:paraId="2D848B3B" w14:textId="143F854F" w:rsidR="00CF484A" w:rsidRPr="00BF20CF" w:rsidRDefault="00CF484A" w:rsidP="00CF484A">
      <w:pPr>
        <w:autoSpaceDE w:val="0"/>
        <w:autoSpaceDN w:val="0"/>
        <w:adjustRightInd w:val="0"/>
        <w:spacing w:line="276" w:lineRule="auto"/>
        <w:ind w:left="720"/>
        <w:contextualSpacing/>
        <w:rPr>
          <w:rFonts w:ascii="Arial" w:eastAsia="Arial" w:hAnsi="Arial" w:cs="Arial"/>
          <w:lang w:val="en-CA"/>
        </w:rPr>
      </w:pPr>
      <w:r w:rsidRPr="00BF20CF">
        <w:rPr>
          <w:rFonts w:ascii="Arial" w:eastAsia="Arial" w:hAnsi="Arial" w:cs="Arial"/>
          <w:lang w:val="en-CA"/>
        </w:rPr>
        <w:br w:type="page"/>
      </w:r>
    </w:p>
    <w:p w14:paraId="424667FB" w14:textId="57AB15B8" w:rsidR="00B60528" w:rsidRPr="00BF20CF" w:rsidRDefault="00B60528" w:rsidP="00CF484A">
      <w:pPr>
        <w:spacing w:line="276" w:lineRule="auto"/>
        <w:outlineLvl w:val="2"/>
        <w:rPr>
          <w:rFonts w:ascii="Arial" w:eastAsia="Calibri" w:hAnsi="Arial" w:cs="Arial"/>
          <w:b/>
        </w:rPr>
      </w:pPr>
      <w:bookmarkStart w:id="8" w:name="_heading=h.rijdq7hpx9j3" w:colFirst="0" w:colLast="0"/>
      <w:bookmarkStart w:id="9" w:name="_heading=h.22abgqtnyc36" w:colFirst="0" w:colLast="0"/>
      <w:bookmarkEnd w:id="8"/>
      <w:bookmarkEnd w:id="9"/>
      <w:r w:rsidRPr="00BF20CF">
        <w:rPr>
          <w:rFonts w:ascii="Arial" w:eastAsia="Calibri" w:hAnsi="Arial" w:cs="Arial"/>
          <w:b/>
        </w:rPr>
        <w:lastRenderedPageBreak/>
        <w:t>1-Staff-</w:t>
      </w:r>
      <w:r w:rsidR="00CF484A" w:rsidRPr="00BF20CF">
        <w:rPr>
          <w:rFonts w:ascii="Arial" w:eastAsia="Calibri" w:hAnsi="Arial" w:cs="Arial"/>
          <w:b/>
        </w:rPr>
        <w:t>26</w:t>
      </w:r>
    </w:p>
    <w:bookmarkStart w:id="10" w:name="_heading=h.z39ov6w61ost" w:colFirst="0" w:colLast="0" w:displacedByCustomXml="next"/>
    <w:bookmarkEnd w:id="10" w:displacedByCustomXml="next"/>
    <w:sdt>
      <w:sdtPr>
        <w:rPr>
          <w:rFonts w:ascii="Arial" w:eastAsia="Calibri" w:hAnsi="Arial" w:cs="Arial"/>
          <w:b/>
        </w:rPr>
        <w:tag w:val="goog_rdk_1"/>
        <w:id w:val="-1176269493"/>
      </w:sdtPr>
      <w:sdtEndPr>
        <w:rPr>
          <w:rFonts w:ascii="Times New Roman" w:hAnsi="Times New Roman" w:cs="Times New Roman"/>
          <w:b w:val="0"/>
        </w:rPr>
      </w:sdtEndPr>
      <w:sdtContent>
        <w:p w14:paraId="220FDA9B" w14:textId="77777777" w:rsidR="00B60528" w:rsidRPr="00BF20CF" w:rsidRDefault="00B60528" w:rsidP="00637CD5">
          <w:pPr>
            <w:rPr>
              <w:rFonts w:eastAsia="Calibri"/>
            </w:rPr>
          </w:pPr>
          <w:r w:rsidRPr="00637CD5">
            <w:rPr>
              <w:rFonts w:ascii="Arial" w:eastAsia="Calibri" w:hAnsi="Arial" w:cs="Arial"/>
              <w:b/>
            </w:rPr>
            <w:t>Ref:</w:t>
          </w:r>
          <w:r w:rsidRPr="00637CD5">
            <w:rPr>
              <w:rFonts w:ascii="Arial" w:eastAsia="Calibri" w:hAnsi="Arial" w:cs="Arial"/>
              <w:b/>
            </w:rPr>
            <w:tab/>
            <w:t xml:space="preserve">Exhibit 1/Tab 1/Schedule 12/Attachment A/p. 17 and </w:t>
          </w:r>
          <w:proofErr w:type="spellStart"/>
          <w:r w:rsidRPr="00637CD5">
            <w:rPr>
              <w:rFonts w:ascii="Arial" w:eastAsia="Calibri" w:hAnsi="Arial" w:cs="Arial"/>
              <w:b/>
            </w:rPr>
            <w:t>Clearspring</w:t>
          </w:r>
          <w:proofErr w:type="spellEnd"/>
          <w:r w:rsidRPr="00637CD5">
            <w:rPr>
              <w:rFonts w:ascii="Arial" w:eastAsia="Calibri" w:hAnsi="Arial" w:cs="Arial"/>
              <w:b/>
            </w:rPr>
            <w:t xml:space="preserve"> Working Papers</w:t>
          </w:r>
        </w:p>
      </w:sdtContent>
    </w:sdt>
    <w:p w14:paraId="55423EA7" w14:textId="77777777" w:rsidR="00B60528" w:rsidRPr="00BF20CF" w:rsidRDefault="00B60528" w:rsidP="00B60528">
      <w:pPr>
        <w:spacing w:before="240" w:after="240" w:line="276" w:lineRule="auto"/>
        <w:rPr>
          <w:rFonts w:ascii="Arial" w:eastAsia="Arial" w:hAnsi="Arial" w:cs="Arial"/>
          <w:bCs/>
        </w:rPr>
      </w:pPr>
      <w:r w:rsidRPr="00BF20CF">
        <w:rPr>
          <w:rFonts w:ascii="Arial" w:eastAsia="Arial" w:hAnsi="Arial" w:cs="Arial"/>
          <w:bCs/>
        </w:rPr>
        <w:t>Preamble:</w:t>
      </w:r>
    </w:p>
    <w:p w14:paraId="696A7E68" w14:textId="77777777" w:rsidR="00B60528" w:rsidRPr="00BF20CF" w:rsidRDefault="00B60528" w:rsidP="00B60528">
      <w:pPr>
        <w:spacing w:before="240" w:after="120" w:line="276" w:lineRule="auto"/>
        <w:rPr>
          <w:rFonts w:ascii="Arial" w:eastAsia="Arial" w:hAnsi="Arial" w:cs="Arial"/>
        </w:rPr>
      </w:pPr>
      <w:r w:rsidRPr="00BF20CF">
        <w:rPr>
          <w:rFonts w:ascii="Arial" w:eastAsia="Arial" w:hAnsi="Arial" w:cs="Arial"/>
        </w:rPr>
        <w:t xml:space="preserve">In its review of </w:t>
      </w:r>
      <w:proofErr w:type="spellStart"/>
      <w:r w:rsidRPr="00BF20CF">
        <w:rPr>
          <w:rFonts w:ascii="Arial" w:eastAsia="Arial" w:hAnsi="Arial" w:cs="Arial"/>
        </w:rPr>
        <w:t>Clearspring’s</w:t>
      </w:r>
      <w:proofErr w:type="spellEnd"/>
      <w:r w:rsidRPr="00BF20CF">
        <w:rPr>
          <w:rFonts w:ascii="Arial" w:eastAsia="Arial" w:hAnsi="Arial" w:cs="Arial"/>
        </w:rPr>
        <w:t xml:space="preserve"> Working Papers, PEG noticed some oddities in the calculation of the percentage of smart meters</w:t>
      </w:r>
      <w:r w:rsidRPr="00BF20CF">
        <w:rPr>
          <w:rFonts w:ascii="Arial" w:eastAsia="Arial" w:hAnsi="Arial" w:cs="Arial"/>
          <w:color w:val="FF0000"/>
        </w:rPr>
        <w:t xml:space="preserve"> </w:t>
      </w:r>
      <w:r w:rsidRPr="00BF20CF">
        <w:rPr>
          <w:rFonts w:ascii="Arial" w:eastAsia="Arial" w:hAnsi="Arial" w:cs="Arial"/>
        </w:rPr>
        <w:t xml:space="preserve">variable.  For example, </w:t>
      </w:r>
      <w:proofErr w:type="spellStart"/>
      <w:r w:rsidRPr="00BF20CF">
        <w:rPr>
          <w:rFonts w:ascii="Arial" w:eastAsia="Arial" w:hAnsi="Arial" w:cs="Arial"/>
        </w:rPr>
        <w:t>Clearspring’s</w:t>
      </w:r>
      <w:proofErr w:type="spellEnd"/>
      <w:r w:rsidRPr="00BF20CF">
        <w:rPr>
          <w:rFonts w:ascii="Arial" w:eastAsia="Arial" w:hAnsi="Arial" w:cs="Arial"/>
        </w:rPr>
        <w:t xml:space="preserve"> working papers indicate that five utilities (Alabama Power, Pennsylvania Power, Gulf Power, PP&amp;L Electric Utilities, and Black Hills Power) have each undertaken a nearly complete (e.g., 95% or higher) smart meter deployment in the course of a single year.  </w:t>
      </w:r>
      <w:proofErr w:type="spellStart"/>
      <w:r w:rsidRPr="00BF20CF">
        <w:rPr>
          <w:rFonts w:ascii="Arial" w:eastAsia="Arial" w:hAnsi="Arial" w:cs="Arial"/>
        </w:rPr>
        <w:t>Clearspring’s</w:t>
      </w:r>
      <w:proofErr w:type="spellEnd"/>
      <w:r w:rsidRPr="00BF20CF">
        <w:rPr>
          <w:rFonts w:ascii="Arial" w:eastAsia="Arial" w:hAnsi="Arial" w:cs="Arial"/>
        </w:rPr>
        <w:t xml:space="preserve"> working papers also show that a sixth utility, Southern California Edison, managed to deploy more than 3.75 million smart meters in a single year.</w:t>
      </w:r>
    </w:p>
    <w:p w14:paraId="358051A5" w14:textId="77777777" w:rsidR="00B60528" w:rsidRPr="00BF20CF" w:rsidRDefault="00B60528" w:rsidP="00B60528">
      <w:pPr>
        <w:spacing w:before="240" w:after="120" w:line="276" w:lineRule="auto"/>
        <w:rPr>
          <w:rFonts w:ascii="Arial" w:eastAsia="Arial" w:hAnsi="Arial" w:cs="Arial"/>
        </w:rPr>
      </w:pPr>
      <w:r w:rsidRPr="00BF20CF">
        <w:rPr>
          <w:rFonts w:ascii="Arial" w:eastAsia="Arial" w:hAnsi="Arial" w:cs="Arial"/>
        </w:rPr>
        <w:t xml:space="preserve">On page 4 of its petition in Pennsylvania Public Utilities Commission Docket No. M-2009-2123945, PP&amp;L Electric Utilities stated: </w:t>
      </w:r>
    </w:p>
    <w:p w14:paraId="16C8F612" w14:textId="77777777" w:rsidR="00B60528" w:rsidRPr="00BF20CF" w:rsidRDefault="00B60528" w:rsidP="00B60528">
      <w:pPr>
        <w:spacing w:before="240" w:after="120" w:line="276" w:lineRule="auto"/>
        <w:ind w:left="720"/>
        <w:rPr>
          <w:rFonts w:ascii="Arial" w:eastAsia="Arial" w:hAnsi="Arial" w:cs="Arial"/>
        </w:rPr>
      </w:pPr>
      <w:r w:rsidRPr="00BF20CF">
        <w:rPr>
          <w:rFonts w:ascii="Arial" w:eastAsia="Arial" w:hAnsi="Arial" w:cs="Arial"/>
        </w:rPr>
        <w:t xml:space="preserve">In the </w:t>
      </w:r>
      <w:proofErr w:type="gramStart"/>
      <w:r w:rsidRPr="00BF20CF">
        <w:rPr>
          <w:rFonts w:ascii="Arial" w:eastAsia="Arial" w:hAnsi="Arial" w:cs="Arial"/>
        </w:rPr>
        <w:t>Spring</w:t>
      </w:r>
      <w:proofErr w:type="gramEnd"/>
      <w:r w:rsidRPr="00BF20CF">
        <w:rPr>
          <w:rFonts w:ascii="Arial" w:eastAsia="Arial" w:hAnsi="Arial" w:cs="Arial"/>
        </w:rPr>
        <w:t xml:space="preserve"> of 2002, PPL Electric implemented an advance meter pilot to approximately 10,000 customers in the Allentown/Bethlehem, Pennsylvania area.  Under the pilot, PPL Electric tested the technical capabilities of its smart meter equipment and established procedures for system-wide deployment of its AMI system.</w:t>
      </w:r>
    </w:p>
    <w:p w14:paraId="3694BCD3" w14:textId="77777777" w:rsidR="00B60528" w:rsidRPr="00BF20CF" w:rsidRDefault="00B60528" w:rsidP="00B60528">
      <w:pPr>
        <w:spacing w:before="240" w:after="120" w:line="276" w:lineRule="auto"/>
        <w:ind w:left="720"/>
        <w:rPr>
          <w:rFonts w:ascii="Arial" w:eastAsia="Arial" w:hAnsi="Arial" w:cs="Arial"/>
        </w:rPr>
      </w:pPr>
      <w:r w:rsidRPr="00BF20CF">
        <w:rPr>
          <w:rFonts w:ascii="Arial" w:eastAsia="Arial" w:hAnsi="Arial" w:cs="Arial"/>
        </w:rPr>
        <w:t xml:space="preserve">Later in 2002, PPL began full scale deployment of its AMI system, and by September 2004 had installed smart meters for all of its metered customers.  The PPL Electric AMI system consists of meters, communications, infrastructure, computer services and applications that allow the Company to remotely read the meters for all of its customers. </w:t>
      </w:r>
    </w:p>
    <w:sdt>
      <w:sdtPr>
        <w:rPr>
          <w:rFonts w:ascii="Calibri" w:eastAsia="Calibri" w:hAnsi="Calibri" w:cs="Calibri"/>
          <w:sz w:val="22"/>
          <w:szCs w:val="22"/>
        </w:rPr>
        <w:tag w:val="goog_rdk_2"/>
        <w:id w:val="-761758158"/>
      </w:sdtPr>
      <w:sdtEndPr/>
      <w:sdtContent>
        <w:p w14:paraId="031CAB8B" w14:textId="293F36C6" w:rsidR="00B60528" w:rsidRPr="00BF20CF" w:rsidRDefault="00B60528" w:rsidP="00B60528">
          <w:pPr>
            <w:spacing w:before="240" w:after="120" w:line="276" w:lineRule="auto"/>
            <w:rPr>
              <w:rFonts w:ascii="Arial" w:eastAsia="Arial" w:hAnsi="Arial" w:cs="Arial"/>
            </w:rPr>
          </w:pPr>
          <w:r w:rsidRPr="00BF20CF">
            <w:rPr>
              <w:rFonts w:ascii="Arial" w:eastAsia="Arial" w:hAnsi="Arial" w:cs="Arial"/>
            </w:rPr>
            <w:t>Question</w:t>
          </w:r>
          <w:r w:rsidR="00CF484A" w:rsidRPr="00BF20CF">
            <w:rPr>
              <w:rFonts w:ascii="Arial" w:eastAsia="Arial" w:hAnsi="Arial" w:cs="Arial"/>
            </w:rPr>
            <w:t>(</w:t>
          </w:r>
          <w:r w:rsidRPr="00BF20CF">
            <w:rPr>
              <w:rFonts w:ascii="Arial" w:eastAsia="Arial" w:hAnsi="Arial" w:cs="Arial"/>
            </w:rPr>
            <w:t>s</w:t>
          </w:r>
          <w:r w:rsidR="00CF484A" w:rsidRPr="00BF20CF">
            <w:rPr>
              <w:rFonts w:ascii="Arial" w:eastAsia="Arial" w:hAnsi="Arial" w:cs="Arial"/>
            </w:rPr>
            <w:t>)</w:t>
          </w:r>
          <w:r w:rsidRPr="00BF20CF">
            <w:rPr>
              <w:rFonts w:ascii="Arial" w:eastAsia="Arial" w:hAnsi="Arial" w:cs="Arial"/>
            </w:rPr>
            <w:t>:</w:t>
          </w:r>
        </w:p>
      </w:sdtContent>
    </w:sdt>
    <w:p w14:paraId="7DEDB282" w14:textId="77777777" w:rsidR="00B60528" w:rsidRPr="00BF20CF" w:rsidRDefault="00B60528" w:rsidP="00B60528">
      <w:pPr>
        <w:numPr>
          <w:ilvl w:val="0"/>
          <w:numId w:val="237"/>
        </w:numPr>
        <w:spacing w:before="240" w:after="160" w:line="276" w:lineRule="auto"/>
        <w:rPr>
          <w:rFonts w:ascii="Calibri" w:eastAsia="Calibri" w:hAnsi="Calibri" w:cs="Calibri"/>
          <w:sz w:val="22"/>
          <w:szCs w:val="22"/>
        </w:rPr>
      </w:pPr>
      <w:r w:rsidRPr="00BF20CF">
        <w:rPr>
          <w:rFonts w:ascii="Arial" w:eastAsia="Arial" w:hAnsi="Arial" w:cs="Arial"/>
        </w:rPr>
        <w:t xml:space="preserve">How did </w:t>
      </w:r>
      <w:proofErr w:type="spellStart"/>
      <w:r w:rsidRPr="00BF20CF">
        <w:rPr>
          <w:rFonts w:ascii="Arial" w:eastAsia="Arial" w:hAnsi="Arial" w:cs="Arial"/>
        </w:rPr>
        <w:t>Clearspring</w:t>
      </w:r>
      <w:proofErr w:type="spellEnd"/>
      <w:r w:rsidRPr="00BF20CF">
        <w:rPr>
          <w:rFonts w:ascii="Arial" w:eastAsia="Arial" w:hAnsi="Arial" w:cs="Arial"/>
        </w:rPr>
        <w:t xml:space="preserve"> differentiate between smart meter deployment and automated meter deployment?</w:t>
      </w:r>
    </w:p>
    <w:p w14:paraId="22E61C38" w14:textId="77777777" w:rsidR="00B60528" w:rsidRPr="00BF20CF" w:rsidRDefault="00B60528" w:rsidP="00B60528">
      <w:pPr>
        <w:numPr>
          <w:ilvl w:val="0"/>
          <w:numId w:val="237"/>
        </w:numPr>
        <w:spacing w:after="160" w:line="276" w:lineRule="auto"/>
        <w:rPr>
          <w:rFonts w:ascii="Calibri" w:eastAsia="Calibri" w:hAnsi="Calibri" w:cs="Calibri"/>
          <w:sz w:val="22"/>
          <w:szCs w:val="22"/>
        </w:rPr>
      </w:pPr>
      <w:r w:rsidRPr="00BF20CF">
        <w:rPr>
          <w:rFonts w:ascii="Arial" w:eastAsia="Arial" w:hAnsi="Arial" w:cs="Arial"/>
        </w:rPr>
        <w:t xml:space="preserve">Did </w:t>
      </w:r>
      <w:proofErr w:type="spellStart"/>
      <w:r w:rsidRPr="00BF20CF">
        <w:rPr>
          <w:rFonts w:ascii="Arial" w:eastAsia="Arial" w:hAnsi="Arial" w:cs="Arial"/>
        </w:rPr>
        <w:t>Clearspring</w:t>
      </w:r>
      <w:proofErr w:type="spellEnd"/>
      <w:r w:rsidRPr="00BF20CF">
        <w:rPr>
          <w:rFonts w:ascii="Arial" w:eastAsia="Arial" w:hAnsi="Arial" w:cs="Arial"/>
        </w:rPr>
        <w:t xml:space="preserve"> rely on any information beyond the data reported in the EIA-861 (e.g., Institute for Energy Efficiency’s periodic reports on smart meter deployments, plans, and proposals, utility smart meter filings with regulators or the federal government, or utility press releases on smart meter deployments)?  If so, please provide this supplemental information.</w:t>
      </w:r>
    </w:p>
    <w:p w14:paraId="70D5459D" w14:textId="77777777" w:rsidR="00B60528" w:rsidRPr="00BF20CF" w:rsidRDefault="00B60528" w:rsidP="00B60528">
      <w:pPr>
        <w:numPr>
          <w:ilvl w:val="0"/>
          <w:numId w:val="237"/>
        </w:numPr>
        <w:spacing w:after="160" w:line="276" w:lineRule="auto"/>
        <w:rPr>
          <w:rFonts w:ascii="Calibri" w:eastAsia="Calibri" w:hAnsi="Calibri" w:cs="Calibri"/>
          <w:sz w:val="22"/>
          <w:szCs w:val="22"/>
        </w:rPr>
      </w:pPr>
      <w:r w:rsidRPr="00BF20CF">
        <w:rPr>
          <w:rFonts w:ascii="Arial" w:eastAsia="Arial" w:hAnsi="Arial" w:cs="Arial"/>
        </w:rPr>
        <w:t xml:space="preserve">Was </w:t>
      </w:r>
      <w:proofErr w:type="spellStart"/>
      <w:r w:rsidRPr="00BF20CF">
        <w:rPr>
          <w:rFonts w:ascii="Arial" w:eastAsia="Arial" w:hAnsi="Arial" w:cs="Arial"/>
        </w:rPr>
        <w:t>Clearspring</w:t>
      </w:r>
      <w:proofErr w:type="spellEnd"/>
      <w:r w:rsidRPr="00BF20CF">
        <w:rPr>
          <w:rFonts w:ascii="Arial" w:eastAsia="Arial" w:hAnsi="Arial" w:cs="Arial"/>
        </w:rPr>
        <w:t xml:space="preserve"> aware that PP&amp;L Electric Utilities Corporation had completely deployed AMI as of 2004?  If it was aware, why didn’t </w:t>
      </w:r>
      <w:proofErr w:type="spellStart"/>
      <w:r w:rsidRPr="00BF20CF">
        <w:rPr>
          <w:rFonts w:ascii="Arial" w:eastAsia="Arial" w:hAnsi="Arial" w:cs="Arial"/>
        </w:rPr>
        <w:lastRenderedPageBreak/>
        <w:t>Clearspring</w:t>
      </w:r>
      <w:proofErr w:type="spellEnd"/>
      <w:r w:rsidRPr="00BF20CF">
        <w:rPr>
          <w:rFonts w:ascii="Arial" w:eastAsia="Arial" w:hAnsi="Arial" w:cs="Arial"/>
        </w:rPr>
        <w:t xml:space="preserve"> report a value other than zero for this utility for years prior to 2007?  Is </w:t>
      </w:r>
      <w:proofErr w:type="spellStart"/>
      <w:r w:rsidRPr="00BF20CF">
        <w:rPr>
          <w:rFonts w:ascii="Arial" w:eastAsia="Arial" w:hAnsi="Arial" w:cs="Arial"/>
        </w:rPr>
        <w:t>Clearspring</w:t>
      </w:r>
      <w:proofErr w:type="spellEnd"/>
      <w:r w:rsidRPr="00BF20CF">
        <w:rPr>
          <w:rFonts w:ascii="Arial" w:eastAsia="Arial" w:hAnsi="Arial" w:cs="Arial"/>
        </w:rPr>
        <w:t xml:space="preserve"> aware of any other sampled utilities that had undertaken sizable smart meter deployments prior to 2007?  What is the impact on the AMI parameter estimate of these inaccurate zeros?</w:t>
      </w:r>
    </w:p>
    <w:p w14:paraId="40DC9DDB" w14:textId="77777777" w:rsidR="00B60528" w:rsidRPr="00BF20CF" w:rsidRDefault="00B60528" w:rsidP="00B60528">
      <w:pPr>
        <w:numPr>
          <w:ilvl w:val="0"/>
          <w:numId w:val="237"/>
        </w:numPr>
        <w:spacing w:after="240" w:line="276" w:lineRule="auto"/>
        <w:rPr>
          <w:rFonts w:ascii="Calibri" w:eastAsia="Calibri" w:hAnsi="Calibri" w:cs="Calibri"/>
          <w:sz w:val="22"/>
          <w:szCs w:val="22"/>
        </w:rPr>
      </w:pPr>
      <w:r w:rsidRPr="00BF20CF">
        <w:rPr>
          <w:rFonts w:ascii="Arial" w:eastAsia="Arial" w:hAnsi="Arial" w:cs="Arial"/>
        </w:rPr>
        <w:t xml:space="preserve">For each of the other utilities listed in the preamble, please verify that these rapid smart meter deployments are reasonable and provide any evidence that supports your assessment.   </w:t>
      </w:r>
    </w:p>
    <w:p w14:paraId="6AA0C448" w14:textId="4B9FD143" w:rsidR="00B60528" w:rsidRPr="00BF20CF" w:rsidRDefault="00B60528" w:rsidP="004B3ACE">
      <w:pPr>
        <w:spacing w:line="259" w:lineRule="auto"/>
        <w:outlineLvl w:val="2"/>
        <w:rPr>
          <w:rFonts w:ascii="Arial" w:eastAsia="Calibri" w:hAnsi="Arial" w:cs="Arial"/>
          <w:b/>
        </w:rPr>
      </w:pPr>
      <w:bookmarkStart w:id="11" w:name="_heading=h.u98buoczb79" w:colFirst="0" w:colLast="0"/>
      <w:bookmarkStart w:id="12" w:name="_heading=h.swz2c1hn2jy4" w:colFirst="0" w:colLast="0"/>
      <w:bookmarkEnd w:id="11"/>
      <w:bookmarkEnd w:id="12"/>
      <w:r w:rsidRPr="00BF20CF">
        <w:rPr>
          <w:rFonts w:ascii="Arial" w:eastAsia="Calibri" w:hAnsi="Arial" w:cs="Arial"/>
          <w:b/>
        </w:rPr>
        <w:t>1-Staff-</w:t>
      </w:r>
      <w:r w:rsidR="004B3ACE" w:rsidRPr="00BF20CF">
        <w:rPr>
          <w:rFonts w:ascii="Arial" w:eastAsia="Calibri" w:hAnsi="Arial" w:cs="Arial"/>
          <w:b/>
        </w:rPr>
        <w:t>27</w:t>
      </w:r>
      <w:r w:rsidRPr="00BF20CF">
        <w:rPr>
          <w:rFonts w:ascii="Arial" w:eastAsia="Calibri" w:hAnsi="Arial" w:cs="Arial"/>
          <w:b/>
        </w:rPr>
        <w:t xml:space="preserve">  </w:t>
      </w:r>
    </w:p>
    <w:bookmarkStart w:id="13" w:name="_heading=h.srm6bbm7bu2z" w:colFirst="0" w:colLast="0" w:displacedByCustomXml="next"/>
    <w:bookmarkEnd w:id="13" w:displacedByCustomXml="next"/>
    <w:sdt>
      <w:sdtPr>
        <w:rPr>
          <w:rFonts w:ascii="Arial" w:eastAsia="Calibri" w:hAnsi="Arial" w:cs="Arial"/>
          <w:b/>
        </w:rPr>
        <w:tag w:val="goog_rdk_3"/>
        <w:id w:val="-1898277702"/>
      </w:sdtPr>
      <w:sdtEndPr>
        <w:rPr>
          <w:rFonts w:ascii="Times New Roman" w:hAnsi="Times New Roman" w:cs="Times New Roman"/>
          <w:b w:val="0"/>
        </w:rPr>
      </w:sdtEndPr>
      <w:sdtContent>
        <w:p w14:paraId="3496E34F" w14:textId="77777777" w:rsidR="00B60528" w:rsidRPr="00BF20CF" w:rsidRDefault="00B60528" w:rsidP="00637CD5">
          <w:pPr>
            <w:rPr>
              <w:rFonts w:eastAsia="Calibri"/>
            </w:rPr>
          </w:pPr>
          <w:r w:rsidRPr="00637CD5">
            <w:rPr>
              <w:rFonts w:ascii="Arial" w:eastAsia="Calibri" w:hAnsi="Arial" w:cs="Arial"/>
              <w:b/>
            </w:rPr>
            <w:t>Ref:</w:t>
          </w:r>
          <w:r w:rsidRPr="00637CD5">
            <w:rPr>
              <w:rFonts w:ascii="Arial" w:eastAsia="Calibri" w:hAnsi="Arial" w:cs="Arial"/>
              <w:b/>
            </w:rPr>
            <w:tab/>
            <w:t>Exhibit 1/Tab 1/Schedule 12/Attachment A</w:t>
          </w:r>
        </w:p>
      </w:sdtContent>
    </w:sdt>
    <w:sdt>
      <w:sdtPr>
        <w:rPr>
          <w:rFonts w:ascii="Calibri" w:eastAsia="Calibri" w:hAnsi="Calibri" w:cs="Calibri"/>
          <w:sz w:val="22"/>
          <w:szCs w:val="22"/>
        </w:rPr>
        <w:tag w:val="goog_rdk_4"/>
        <w:id w:val="261968554"/>
      </w:sdtPr>
      <w:sdtEndPr/>
      <w:sdtContent>
        <w:p w14:paraId="1B9B2FC8" w14:textId="77777777" w:rsidR="00B60528" w:rsidRPr="00BF20CF" w:rsidRDefault="00B60528" w:rsidP="004B3ACE">
          <w:pPr>
            <w:spacing w:before="240" w:after="120" w:line="259" w:lineRule="auto"/>
            <w:rPr>
              <w:rFonts w:ascii="Arial" w:eastAsia="Arial" w:hAnsi="Arial" w:cs="Arial"/>
            </w:rPr>
          </w:pPr>
          <w:r w:rsidRPr="00BF20CF">
            <w:rPr>
              <w:rFonts w:ascii="Arial" w:eastAsia="Arial" w:hAnsi="Arial" w:cs="Arial"/>
            </w:rPr>
            <w:t>Preamble:</w:t>
          </w:r>
        </w:p>
      </w:sdtContent>
    </w:sdt>
    <w:p w14:paraId="2B84DC95" w14:textId="77777777" w:rsidR="00B60528" w:rsidRPr="00BF20CF" w:rsidRDefault="00B60528" w:rsidP="00B60528">
      <w:pPr>
        <w:spacing w:before="240" w:after="240" w:line="276" w:lineRule="auto"/>
        <w:rPr>
          <w:rFonts w:ascii="Arial" w:eastAsia="Arial" w:hAnsi="Arial" w:cs="Arial"/>
        </w:rPr>
      </w:pPr>
      <w:proofErr w:type="spellStart"/>
      <w:r w:rsidRPr="00BF20CF">
        <w:rPr>
          <w:rFonts w:ascii="Arial" w:eastAsia="Arial" w:hAnsi="Arial" w:cs="Arial"/>
        </w:rPr>
        <w:t>Clearspring</w:t>
      </w:r>
      <w:proofErr w:type="spellEnd"/>
      <w:r w:rsidRPr="00BF20CF">
        <w:rPr>
          <w:rFonts w:ascii="Arial" w:eastAsia="Arial" w:hAnsi="Arial" w:cs="Arial"/>
        </w:rPr>
        <w:t xml:space="preserve"> states on page 17 of their report that</w:t>
      </w:r>
    </w:p>
    <w:p w14:paraId="230EFA33" w14:textId="7777777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The congested urban variable measures the percentage of a utility’s service territory that consists of a major urban load center that is “congested.”</w:t>
      </w:r>
    </w:p>
    <w:p w14:paraId="10A1479A" w14:textId="77777777" w:rsidR="00B60528" w:rsidRPr="00BF20CF" w:rsidRDefault="00B60528" w:rsidP="00B60528">
      <w:pPr>
        <w:spacing w:after="160" w:line="259" w:lineRule="auto"/>
        <w:rPr>
          <w:rFonts w:ascii="Arial" w:eastAsia="Arial" w:hAnsi="Arial" w:cs="Arial"/>
        </w:rPr>
      </w:pPr>
      <w:r w:rsidRPr="00BF20CF">
        <w:rPr>
          <w:rFonts w:ascii="Arial" w:eastAsia="Arial" w:hAnsi="Arial" w:cs="Arial"/>
        </w:rPr>
        <w:t xml:space="preserve">The OEB commented on page 29 in the December 19, 2019 decision and order in EB-2018-0165 that it had reservations about the Congested Urban variable.  It stated: </w:t>
      </w:r>
    </w:p>
    <w:p w14:paraId="1644A6F4" w14:textId="77777777" w:rsidR="00B60528" w:rsidRPr="00BF20CF" w:rsidRDefault="00B60528" w:rsidP="00B60528">
      <w:pPr>
        <w:spacing w:after="160" w:line="259" w:lineRule="auto"/>
        <w:ind w:left="720"/>
        <w:rPr>
          <w:rFonts w:ascii="Arial" w:eastAsia="Arial" w:hAnsi="Arial" w:cs="Arial"/>
          <w:b/>
        </w:rPr>
      </w:pPr>
      <w:r w:rsidRPr="00BF20CF">
        <w:rPr>
          <w:rFonts w:ascii="Arial" w:eastAsia="Arial" w:hAnsi="Arial" w:cs="Arial"/>
        </w:rPr>
        <w:t>“An updated, improved, congested urban variable was introduced by PSE and used by PEG. As noted by SEC, this variable significantly improved Toronto Hydro’s cost benchmarking performance. The OEB accepts that a well-constructed congested urban variable may be appropriate for Toronto Hydro. However, the OEB concludes that the congested urban variable needs further research and refinement before it can be accepted as a meaningful adjustment to the assessment of cost benchmarking performance.”</w:t>
      </w:r>
    </w:p>
    <w:p w14:paraId="62C5A778" w14:textId="17A0A52C" w:rsidR="00B60528" w:rsidRPr="00BF20CF" w:rsidRDefault="00B60528" w:rsidP="00B60528">
      <w:pPr>
        <w:spacing w:before="240" w:after="120" w:line="259" w:lineRule="auto"/>
        <w:rPr>
          <w:rFonts w:ascii="Arial" w:eastAsia="Arial" w:hAnsi="Arial" w:cs="Arial"/>
        </w:rPr>
      </w:pPr>
      <w:r w:rsidRPr="00BF20CF">
        <w:rPr>
          <w:rFonts w:ascii="Arial" w:eastAsia="Arial" w:hAnsi="Arial" w:cs="Arial"/>
        </w:rPr>
        <w:t>Question</w:t>
      </w:r>
      <w:r w:rsidR="004B3ACE" w:rsidRPr="00BF20CF">
        <w:rPr>
          <w:rFonts w:ascii="Arial" w:eastAsia="Arial" w:hAnsi="Arial" w:cs="Arial"/>
        </w:rPr>
        <w:t>(</w:t>
      </w:r>
      <w:r w:rsidRPr="00BF20CF">
        <w:rPr>
          <w:rFonts w:ascii="Arial" w:eastAsia="Arial" w:hAnsi="Arial" w:cs="Arial"/>
        </w:rPr>
        <w:t>s</w:t>
      </w:r>
      <w:r w:rsidR="004B3ACE" w:rsidRPr="00BF20CF">
        <w:rPr>
          <w:rFonts w:ascii="Arial" w:eastAsia="Arial" w:hAnsi="Arial" w:cs="Arial"/>
        </w:rPr>
        <w:t>)</w:t>
      </w:r>
      <w:r w:rsidRPr="00BF20CF">
        <w:rPr>
          <w:rFonts w:ascii="Arial" w:eastAsia="Arial" w:hAnsi="Arial" w:cs="Arial"/>
        </w:rPr>
        <w:t>:</w:t>
      </w:r>
    </w:p>
    <w:p w14:paraId="53B695B6" w14:textId="4DA1CA4C" w:rsidR="00B60528" w:rsidRPr="00BF20CF" w:rsidRDefault="00B60528" w:rsidP="00A4285C">
      <w:pPr>
        <w:numPr>
          <w:ilvl w:val="0"/>
          <w:numId w:val="231"/>
        </w:numPr>
        <w:spacing w:line="259" w:lineRule="auto"/>
        <w:rPr>
          <w:rFonts w:ascii="Arial" w:eastAsia="Arial" w:hAnsi="Arial" w:cs="Arial"/>
        </w:rPr>
      </w:pPr>
      <w:r w:rsidRPr="00BF20CF">
        <w:rPr>
          <w:rFonts w:ascii="Arial" w:eastAsia="Arial" w:hAnsi="Arial" w:cs="Arial"/>
        </w:rPr>
        <w:t xml:space="preserve">Please discuss any improvements to the congested urban variable made since the study filed in the EB-2018-0165 case for Toronto Hydro.  </w:t>
      </w:r>
    </w:p>
    <w:p w14:paraId="52DA9FF9" w14:textId="77777777" w:rsidR="00A4285C" w:rsidRPr="00BF20CF" w:rsidRDefault="00A4285C" w:rsidP="00A4285C">
      <w:pPr>
        <w:spacing w:line="259" w:lineRule="auto"/>
        <w:ind w:left="720"/>
        <w:rPr>
          <w:rFonts w:ascii="Arial" w:eastAsia="Arial" w:hAnsi="Arial" w:cs="Arial"/>
        </w:rPr>
      </w:pPr>
    </w:p>
    <w:p w14:paraId="1E9A4F45" w14:textId="09B66499" w:rsidR="00B60528" w:rsidRPr="00BF20CF" w:rsidRDefault="00B60528" w:rsidP="00A4285C">
      <w:pPr>
        <w:numPr>
          <w:ilvl w:val="0"/>
          <w:numId w:val="231"/>
        </w:numPr>
        <w:spacing w:line="259" w:lineRule="auto"/>
        <w:rPr>
          <w:rFonts w:ascii="Arial" w:eastAsia="Arial" w:hAnsi="Arial" w:cs="Arial"/>
        </w:rPr>
      </w:pPr>
      <w:r w:rsidRPr="00BF20CF">
        <w:rPr>
          <w:rFonts w:ascii="Arial" w:eastAsia="Arial" w:hAnsi="Arial" w:cs="Arial"/>
        </w:rPr>
        <w:t>If not already provided, please provide the estimated congested urban area for all sampled distributors.</w:t>
      </w:r>
    </w:p>
    <w:p w14:paraId="40E256B5" w14:textId="77777777" w:rsidR="00A4285C" w:rsidRPr="00BF20CF" w:rsidRDefault="00A4285C" w:rsidP="00A4285C">
      <w:pPr>
        <w:pStyle w:val="ListParagraph"/>
        <w:rPr>
          <w:rFonts w:ascii="Arial" w:eastAsia="Arial" w:hAnsi="Arial" w:cs="Arial"/>
        </w:rPr>
      </w:pPr>
    </w:p>
    <w:p w14:paraId="453A6F5B" w14:textId="38B29E27" w:rsidR="00B60528" w:rsidRPr="00BF20CF" w:rsidRDefault="00B60528" w:rsidP="00B60528">
      <w:pPr>
        <w:numPr>
          <w:ilvl w:val="0"/>
          <w:numId w:val="231"/>
        </w:numPr>
        <w:spacing w:after="160" w:line="259" w:lineRule="auto"/>
        <w:rPr>
          <w:rFonts w:ascii="Arial" w:eastAsia="Arial" w:hAnsi="Arial" w:cs="Arial"/>
        </w:rPr>
      </w:pPr>
      <w:r w:rsidRPr="00BF20CF">
        <w:rPr>
          <w:rFonts w:ascii="Arial" w:eastAsia="Arial" w:hAnsi="Arial" w:cs="Arial"/>
        </w:rPr>
        <w:t xml:space="preserve">To inform the panel, please perform a variation on the cost benchmarking work that removes the Congested Urban variables and prepare tables analogous to 6 and 7 from the </w:t>
      </w:r>
      <w:proofErr w:type="spellStart"/>
      <w:r w:rsidRPr="00BF20CF">
        <w:rPr>
          <w:rFonts w:ascii="Arial" w:eastAsia="Arial" w:hAnsi="Arial" w:cs="Arial"/>
        </w:rPr>
        <w:t>Clearspring</w:t>
      </w:r>
      <w:proofErr w:type="spellEnd"/>
      <w:r w:rsidRPr="00BF20CF">
        <w:rPr>
          <w:rFonts w:ascii="Arial" w:eastAsia="Arial" w:hAnsi="Arial" w:cs="Arial"/>
        </w:rPr>
        <w:t xml:space="preserve"> report.</w:t>
      </w:r>
      <w:bookmarkStart w:id="14" w:name="_heading=h.v9dm7mr34zpl" w:colFirst="0" w:colLast="0"/>
      <w:bookmarkEnd w:id="14"/>
    </w:p>
    <w:p w14:paraId="41F582F0" w14:textId="77777777" w:rsidR="00A4285C" w:rsidRPr="00BF20CF" w:rsidRDefault="00A4285C" w:rsidP="00A4285C">
      <w:pPr>
        <w:pStyle w:val="ListParagraph"/>
        <w:rPr>
          <w:rFonts w:ascii="Arial" w:eastAsia="Arial" w:hAnsi="Arial" w:cs="Arial"/>
        </w:rPr>
      </w:pPr>
    </w:p>
    <w:p w14:paraId="6DCEBF1C" w14:textId="512E959C" w:rsidR="00B60528" w:rsidRPr="00BF20CF" w:rsidRDefault="00B60528" w:rsidP="00A4285C">
      <w:pPr>
        <w:spacing w:line="259" w:lineRule="auto"/>
        <w:outlineLvl w:val="2"/>
        <w:rPr>
          <w:rFonts w:ascii="Arial" w:eastAsia="Calibri" w:hAnsi="Arial" w:cs="Arial"/>
          <w:b/>
        </w:rPr>
      </w:pPr>
      <w:bookmarkStart w:id="15" w:name="_heading=h.orrmal3i7fun" w:colFirst="0" w:colLast="0"/>
      <w:bookmarkStart w:id="16" w:name="_heading=h.aq67r44ar039" w:colFirst="0" w:colLast="0"/>
      <w:bookmarkEnd w:id="15"/>
      <w:bookmarkEnd w:id="16"/>
      <w:r w:rsidRPr="00BF20CF">
        <w:rPr>
          <w:rFonts w:ascii="Arial" w:eastAsia="Calibri" w:hAnsi="Arial" w:cs="Arial"/>
          <w:b/>
        </w:rPr>
        <w:t>1-Staff-</w:t>
      </w:r>
      <w:r w:rsidR="00A4285C" w:rsidRPr="00BF20CF">
        <w:rPr>
          <w:rFonts w:ascii="Arial" w:eastAsia="Calibri" w:hAnsi="Arial" w:cs="Arial"/>
          <w:b/>
        </w:rPr>
        <w:t>28</w:t>
      </w:r>
      <w:r w:rsidRPr="00BF20CF">
        <w:rPr>
          <w:rFonts w:ascii="Arial" w:eastAsia="Calibri" w:hAnsi="Arial" w:cs="Arial"/>
          <w:b/>
        </w:rPr>
        <w:t xml:space="preserve"> </w:t>
      </w:r>
    </w:p>
    <w:bookmarkStart w:id="17" w:name="_heading=h.mshejyz51mx" w:colFirst="0" w:colLast="0" w:displacedByCustomXml="next"/>
    <w:bookmarkEnd w:id="17" w:displacedByCustomXml="next"/>
    <w:sdt>
      <w:sdtPr>
        <w:rPr>
          <w:rFonts w:ascii="Arial" w:eastAsia="Calibri" w:hAnsi="Arial" w:cs="Arial"/>
          <w:b/>
        </w:rPr>
        <w:tag w:val="goog_rdk_5"/>
        <w:id w:val="-1991165524"/>
      </w:sdtPr>
      <w:sdtEndPr/>
      <w:sdtContent>
        <w:p w14:paraId="2F869932" w14:textId="77777777" w:rsidR="00B60528" w:rsidRPr="00637CD5" w:rsidRDefault="00B60528" w:rsidP="00637CD5">
          <w:pPr>
            <w:rPr>
              <w:rFonts w:ascii="Arial" w:eastAsia="Calibri" w:hAnsi="Arial" w:cs="Arial"/>
              <w:b/>
            </w:rPr>
          </w:pPr>
          <w:r w:rsidRPr="00637CD5">
            <w:rPr>
              <w:rFonts w:ascii="Arial" w:eastAsia="Calibri" w:hAnsi="Arial" w:cs="Arial"/>
              <w:b/>
            </w:rPr>
            <w:t>Ref:</w:t>
          </w:r>
          <w:r w:rsidRPr="00637CD5">
            <w:rPr>
              <w:rFonts w:ascii="Arial" w:eastAsia="Calibri" w:hAnsi="Arial" w:cs="Arial"/>
              <w:b/>
            </w:rPr>
            <w:tab/>
            <w:t>Exhibit 1/Tab 1/Schedule 12/Attachment A/p.17-18</w:t>
          </w:r>
        </w:p>
      </w:sdtContent>
    </w:sdt>
    <w:p w14:paraId="59AFEF1A" w14:textId="6333D927" w:rsidR="00B60528" w:rsidRPr="00BF20CF" w:rsidRDefault="00B60528" w:rsidP="00A4285C">
      <w:pPr>
        <w:spacing w:before="240" w:after="120" w:line="259" w:lineRule="auto"/>
        <w:rPr>
          <w:rFonts w:ascii="Arial" w:eastAsia="Arial" w:hAnsi="Arial" w:cs="Arial"/>
        </w:rPr>
      </w:pPr>
      <w:r w:rsidRPr="00BF20CF">
        <w:rPr>
          <w:rFonts w:ascii="Arial" w:eastAsia="Arial" w:hAnsi="Arial" w:cs="Arial"/>
        </w:rPr>
        <w:t>Preamble:</w:t>
      </w:r>
    </w:p>
    <w:p w14:paraId="4D748D6A" w14:textId="77777777" w:rsidR="00B60528" w:rsidRPr="00BF20CF" w:rsidRDefault="00B60528" w:rsidP="00B60528">
      <w:pPr>
        <w:spacing w:before="240" w:after="120" w:line="259" w:lineRule="auto"/>
        <w:rPr>
          <w:rFonts w:ascii="Arial" w:eastAsia="Arial" w:hAnsi="Arial" w:cs="Arial"/>
        </w:rPr>
      </w:pPr>
      <w:r w:rsidRPr="00BF20CF">
        <w:rPr>
          <w:rFonts w:ascii="Arial" w:eastAsia="Arial" w:hAnsi="Arial" w:cs="Arial"/>
        </w:rPr>
        <w:t xml:space="preserve">On pages 17-18 of its study, </w:t>
      </w:r>
      <w:proofErr w:type="spellStart"/>
      <w:r w:rsidRPr="00BF20CF">
        <w:rPr>
          <w:rFonts w:ascii="Arial" w:eastAsia="Arial" w:hAnsi="Arial" w:cs="Arial"/>
        </w:rPr>
        <w:t>Clearspring</w:t>
      </w:r>
      <w:proofErr w:type="spellEnd"/>
      <w:r w:rsidRPr="00BF20CF">
        <w:rPr>
          <w:rFonts w:ascii="Arial" w:eastAsia="Arial" w:hAnsi="Arial" w:cs="Arial"/>
        </w:rPr>
        <w:t xml:space="preserve"> states: </w:t>
      </w:r>
    </w:p>
    <w:p w14:paraId="0B61F49A" w14:textId="77777777" w:rsidR="00B60528" w:rsidRPr="00BF20CF" w:rsidRDefault="00B60528" w:rsidP="00B60528">
      <w:pPr>
        <w:spacing w:before="240" w:after="120" w:line="259" w:lineRule="auto"/>
        <w:ind w:left="720"/>
        <w:rPr>
          <w:rFonts w:ascii="Arial" w:eastAsia="Arial" w:hAnsi="Arial" w:cs="Arial"/>
        </w:rPr>
      </w:pPr>
      <w:r w:rsidRPr="00BF20CF">
        <w:rPr>
          <w:rFonts w:ascii="Arial" w:eastAsia="Arial" w:hAnsi="Arial" w:cs="Arial"/>
        </w:rPr>
        <w:t xml:space="preserve">“The </w:t>
      </w:r>
      <w:r w:rsidRPr="00BF20CF">
        <w:rPr>
          <w:rFonts w:ascii="Arial" w:eastAsia="Arial" w:hAnsi="Arial" w:cs="Arial"/>
          <w:b/>
        </w:rPr>
        <w:t xml:space="preserve">rural density </w:t>
      </w:r>
      <w:r w:rsidRPr="00BF20CF">
        <w:rPr>
          <w:rFonts w:ascii="Arial" w:eastAsia="Arial" w:hAnsi="Arial" w:cs="Arial"/>
        </w:rPr>
        <w:t xml:space="preserve">variable measures the amount of square </w:t>
      </w:r>
      <w:proofErr w:type="spellStart"/>
      <w:r w:rsidRPr="00BF20CF">
        <w:rPr>
          <w:rFonts w:ascii="Arial" w:eastAsia="Arial" w:hAnsi="Arial" w:cs="Arial"/>
        </w:rPr>
        <w:t>kilometres</w:t>
      </w:r>
      <w:proofErr w:type="spellEnd"/>
      <w:r w:rsidRPr="00BF20CF">
        <w:rPr>
          <w:rFonts w:ascii="Arial" w:eastAsia="Arial" w:hAnsi="Arial" w:cs="Arial"/>
        </w:rPr>
        <w:t xml:space="preserve"> served per customer. As the amount of service territory increases, assets become more spread out and drive times increase. We would expect that costs would increase as the amount of service territory per customer increases. Similar to the congested urban variable, we also included a quadratic term for this variable, because as the rural density becomes more extreme, cost impacts accelerate.</w:t>
      </w:r>
    </w:p>
    <w:p w14:paraId="47F16A4C" w14:textId="77777777" w:rsidR="00B60528" w:rsidRPr="00BF20CF" w:rsidRDefault="00B60528" w:rsidP="00B60528">
      <w:pPr>
        <w:spacing w:before="240" w:after="120" w:line="259" w:lineRule="auto"/>
        <w:ind w:left="720"/>
        <w:rPr>
          <w:rFonts w:ascii="Arial" w:eastAsia="Arial" w:hAnsi="Arial" w:cs="Arial"/>
          <w:b/>
        </w:rPr>
      </w:pPr>
      <w:r w:rsidRPr="00BF20CF">
        <w:rPr>
          <w:rFonts w:ascii="Arial" w:eastAsia="Arial" w:hAnsi="Arial" w:cs="Arial"/>
        </w:rPr>
        <w:t xml:space="preserve">The </w:t>
      </w:r>
      <w:r w:rsidRPr="00BF20CF">
        <w:rPr>
          <w:rFonts w:ascii="Arial" w:eastAsia="Arial" w:hAnsi="Arial" w:cs="Arial"/>
          <w:b/>
        </w:rPr>
        <w:t xml:space="preserve">temperature </w:t>
      </w:r>
      <w:r w:rsidRPr="00BF20CF">
        <w:rPr>
          <w:rFonts w:ascii="Arial" w:eastAsia="Arial" w:hAnsi="Arial" w:cs="Arial"/>
        </w:rPr>
        <w:t>variable measures the amount of cooling degree days over a base of 80 degrees Fahrenheit (26.667 degrees Celsius) plus the number of heating degree days over a base of 10 degrees Fahrenheit (-12.222 degrees Celsius) in each year of the sample. As extreme weather increases, we would expect costs to also increase.”</w:t>
      </w:r>
    </w:p>
    <w:p w14:paraId="1387C1D9" w14:textId="56362873" w:rsidR="00B60528" w:rsidRPr="00BF20CF" w:rsidRDefault="00B60528" w:rsidP="00B60528">
      <w:pPr>
        <w:spacing w:before="240" w:after="120" w:line="259" w:lineRule="auto"/>
        <w:rPr>
          <w:rFonts w:ascii="Arial" w:eastAsia="Arial" w:hAnsi="Arial" w:cs="Arial"/>
        </w:rPr>
      </w:pPr>
      <w:r w:rsidRPr="00BF20CF">
        <w:rPr>
          <w:rFonts w:ascii="Arial" w:eastAsia="Arial" w:hAnsi="Arial" w:cs="Arial"/>
        </w:rPr>
        <w:t>Question</w:t>
      </w:r>
      <w:r w:rsidR="00A4285C" w:rsidRPr="00BF20CF">
        <w:rPr>
          <w:rFonts w:ascii="Arial" w:eastAsia="Arial" w:hAnsi="Arial" w:cs="Arial"/>
        </w:rPr>
        <w:t>(</w:t>
      </w:r>
      <w:r w:rsidRPr="00BF20CF">
        <w:rPr>
          <w:rFonts w:ascii="Arial" w:eastAsia="Arial" w:hAnsi="Arial" w:cs="Arial"/>
        </w:rPr>
        <w:t>s</w:t>
      </w:r>
      <w:r w:rsidR="00A4285C" w:rsidRPr="00BF20CF">
        <w:rPr>
          <w:rFonts w:ascii="Arial" w:eastAsia="Arial" w:hAnsi="Arial" w:cs="Arial"/>
        </w:rPr>
        <w:t>)</w:t>
      </w:r>
      <w:r w:rsidRPr="00BF20CF">
        <w:rPr>
          <w:rFonts w:ascii="Arial" w:eastAsia="Arial" w:hAnsi="Arial" w:cs="Arial"/>
        </w:rPr>
        <w:t>:</w:t>
      </w:r>
    </w:p>
    <w:p w14:paraId="5A246C4F" w14:textId="336F2F75" w:rsidR="00B60528" w:rsidRPr="00BF20CF" w:rsidRDefault="00B60528" w:rsidP="00A4285C">
      <w:pPr>
        <w:numPr>
          <w:ilvl w:val="0"/>
          <w:numId w:val="230"/>
        </w:numPr>
        <w:spacing w:line="259" w:lineRule="auto"/>
        <w:rPr>
          <w:rFonts w:ascii="Arial" w:eastAsia="Arial" w:hAnsi="Arial" w:cs="Arial"/>
        </w:rPr>
      </w:pPr>
      <w:r w:rsidRPr="00BF20CF">
        <w:rPr>
          <w:rFonts w:ascii="Arial" w:eastAsia="Arial" w:hAnsi="Arial" w:cs="Arial"/>
        </w:rPr>
        <w:t>What is the source of the area measure for US and Ontario distributors?</w:t>
      </w:r>
    </w:p>
    <w:p w14:paraId="4B7C7724" w14:textId="77777777" w:rsidR="00A4285C" w:rsidRPr="00BF20CF" w:rsidRDefault="00A4285C" w:rsidP="00A4285C">
      <w:pPr>
        <w:spacing w:line="259" w:lineRule="auto"/>
        <w:ind w:left="720"/>
        <w:rPr>
          <w:rFonts w:ascii="Arial" w:eastAsia="Arial" w:hAnsi="Arial" w:cs="Arial"/>
        </w:rPr>
      </w:pPr>
    </w:p>
    <w:p w14:paraId="425C01AB" w14:textId="7E0285CA" w:rsidR="00B60528" w:rsidRPr="00BF20CF" w:rsidRDefault="00B60528" w:rsidP="00A4285C">
      <w:pPr>
        <w:numPr>
          <w:ilvl w:val="0"/>
          <w:numId w:val="230"/>
        </w:numPr>
        <w:spacing w:line="259" w:lineRule="auto"/>
        <w:rPr>
          <w:rFonts w:ascii="Arial" w:eastAsia="Arial" w:hAnsi="Arial" w:cs="Arial"/>
        </w:rPr>
      </w:pPr>
      <w:r w:rsidRPr="00BF20CF">
        <w:rPr>
          <w:rFonts w:ascii="Arial" w:eastAsia="Arial" w:hAnsi="Arial" w:cs="Arial"/>
        </w:rPr>
        <w:t xml:space="preserve">Please explain the origin and calculation of the variables </w:t>
      </w:r>
      <w:proofErr w:type="spellStart"/>
      <w:r w:rsidRPr="00BF20CF">
        <w:rPr>
          <w:rFonts w:ascii="Arial" w:eastAsia="Arial" w:hAnsi="Arial" w:cs="Arial"/>
        </w:rPr>
        <w:t>pctsubic</w:t>
      </w:r>
      <w:proofErr w:type="spellEnd"/>
      <w:r w:rsidRPr="00BF20CF">
        <w:rPr>
          <w:rFonts w:ascii="Arial" w:eastAsia="Arial" w:hAnsi="Arial" w:cs="Arial"/>
        </w:rPr>
        <w:t xml:space="preserve">, </w:t>
      </w:r>
      <w:proofErr w:type="spellStart"/>
      <w:r w:rsidRPr="00BF20CF">
        <w:rPr>
          <w:rFonts w:ascii="Arial" w:eastAsia="Arial" w:hAnsi="Arial" w:cs="Arial"/>
        </w:rPr>
        <w:t>pctpark</w:t>
      </w:r>
      <w:proofErr w:type="spellEnd"/>
      <w:r w:rsidRPr="00BF20CF">
        <w:rPr>
          <w:rFonts w:ascii="Arial" w:eastAsia="Arial" w:hAnsi="Arial" w:cs="Arial"/>
        </w:rPr>
        <w:t xml:space="preserve">, </w:t>
      </w:r>
      <w:proofErr w:type="spellStart"/>
      <w:r w:rsidRPr="00BF20CF">
        <w:rPr>
          <w:rFonts w:ascii="Arial" w:eastAsia="Arial" w:hAnsi="Arial" w:cs="Arial"/>
        </w:rPr>
        <w:t>pctrural</w:t>
      </w:r>
      <w:proofErr w:type="spellEnd"/>
      <w:r w:rsidRPr="00BF20CF">
        <w:rPr>
          <w:rFonts w:ascii="Arial" w:eastAsia="Arial" w:hAnsi="Arial" w:cs="Arial"/>
        </w:rPr>
        <w:t xml:space="preserve">, </w:t>
      </w:r>
      <w:proofErr w:type="spellStart"/>
      <w:r w:rsidRPr="00BF20CF">
        <w:rPr>
          <w:rFonts w:ascii="Arial" w:eastAsia="Arial" w:hAnsi="Arial" w:cs="Arial"/>
        </w:rPr>
        <w:t>pctsubrc</w:t>
      </w:r>
      <w:proofErr w:type="spellEnd"/>
      <w:r w:rsidRPr="00BF20CF">
        <w:rPr>
          <w:rFonts w:ascii="Arial" w:eastAsia="Arial" w:hAnsi="Arial" w:cs="Arial"/>
        </w:rPr>
        <w:t xml:space="preserve">, </w:t>
      </w:r>
      <w:proofErr w:type="spellStart"/>
      <w:r w:rsidRPr="00BF20CF">
        <w:rPr>
          <w:rFonts w:ascii="Arial" w:eastAsia="Arial" w:hAnsi="Arial" w:cs="Arial"/>
        </w:rPr>
        <w:t>pcturban</w:t>
      </w:r>
      <w:proofErr w:type="spellEnd"/>
      <w:r w:rsidRPr="00BF20CF">
        <w:rPr>
          <w:rFonts w:ascii="Arial" w:eastAsia="Arial" w:hAnsi="Arial" w:cs="Arial"/>
        </w:rPr>
        <w:t xml:space="preserve">, </w:t>
      </w:r>
      <w:proofErr w:type="spellStart"/>
      <w:r w:rsidRPr="00BF20CF">
        <w:rPr>
          <w:rFonts w:ascii="Arial" w:eastAsia="Arial" w:hAnsi="Arial" w:cs="Arial"/>
        </w:rPr>
        <w:t>pctcore</w:t>
      </w:r>
      <w:proofErr w:type="spellEnd"/>
      <w:r w:rsidRPr="00BF20CF">
        <w:rPr>
          <w:rFonts w:ascii="Arial" w:eastAsia="Arial" w:hAnsi="Arial" w:cs="Arial"/>
        </w:rPr>
        <w:t xml:space="preserve"> that are found in the </w:t>
      </w:r>
      <w:proofErr w:type="spellStart"/>
      <w:r w:rsidRPr="00BF20CF">
        <w:rPr>
          <w:rFonts w:ascii="Arial" w:eastAsia="Arial" w:hAnsi="Arial" w:cs="Arial"/>
        </w:rPr>
        <w:t>Clearspring</w:t>
      </w:r>
      <w:proofErr w:type="spellEnd"/>
      <w:r w:rsidRPr="00BF20CF">
        <w:rPr>
          <w:rFonts w:ascii="Arial" w:eastAsia="Arial" w:hAnsi="Arial" w:cs="Arial"/>
        </w:rPr>
        <w:t xml:space="preserve"> working papers.  Are these variables suitable for use in benchmarking?  If not, why not?</w:t>
      </w:r>
    </w:p>
    <w:p w14:paraId="15A9ABFB" w14:textId="77777777" w:rsidR="00A4285C" w:rsidRPr="00BF20CF" w:rsidRDefault="00A4285C" w:rsidP="00A4285C">
      <w:pPr>
        <w:pStyle w:val="ListParagraph"/>
        <w:rPr>
          <w:rFonts w:ascii="Arial" w:eastAsia="Arial" w:hAnsi="Arial" w:cs="Arial"/>
        </w:rPr>
      </w:pPr>
    </w:p>
    <w:p w14:paraId="5EB8D755" w14:textId="54CE11A1" w:rsidR="00B60528" w:rsidRPr="00BF20CF" w:rsidRDefault="00B60528" w:rsidP="00A4285C">
      <w:pPr>
        <w:numPr>
          <w:ilvl w:val="0"/>
          <w:numId w:val="230"/>
        </w:numPr>
        <w:spacing w:line="259" w:lineRule="auto"/>
        <w:rPr>
          <w:rFonts w:ascii="Arial" w:eastAsia="Arial" w:hAnsi="Arial" w:cs="Arial"/>
        </w:rPr>
      </w:pPr>
      <w:r w:rsidRPr="00BF20CF">
        <w:rPr>
          <w:rFonts w:ascii="Arial" w:eastAsia="Arial" w:hAnsi="Arial" w:cs="Arial"/>
        </w:rPr>
        <w:t>What shares of the area that Hydro Ottawa serves can be considered urban, suburban, and rural?</w:t>
      </w:r>
    </w:p>
    <w:p w14:paraId="0748E7B4" w14:textId="77777777" w:rsidR="00A4285C" w:rsidRPr="00BF20CF" w:rsidRDefault="00A4285C" w:rsidP="00A4285C">
      <w:pPr>
        <w:pStyle w:val="ListParagraph"/>
        <w:rPr>
          <w:rFonts w:ascii="Arial" w:eastAsia="Arial" w:hAnsi="Arial" w:cs="Arial"/>
        </w:rPr>
      </w:pPr>
    </w:p>
    <w:p w14:paraId="7429CC64" w14:textId="51B7E6A8" w:rsidR="00B60528" w:rsidRPr="00BF20CF" w:rsidRDefault="00B60528" w:rsidP="00A4285C">
      <w:pPr>
        <w:numPr>
          <w:ilvl w:val="0"/>
          <w:numId w:val="230"/>
        </w:numPr>
        <w:spacing w:line="259" w:lineRule="auto"/>
        <w:rPr>
          <w:rFonts w:ascii="Arial" w:eastAsia="Arial" w:hAnsi="Arial" w:cs="Arial"/>
        </w:rPr>
      </w:pPr>
      <w:r w:rsidRPr="00BF20CF">
        <w:rPr>
          <w:rFonts w:ascii="Arial" w:eastAsia="Arial" w:hAnsi="Arial" w:cs="Arial"/>
        </w:rPr>
        <w:t>What are the sources for the degree day data for US and Ontario distributors?</w:t>
      </w:r>
    </w:p>
    <w:p w14:paraId="6DFAEE00" w14:textId="77777777" w:rsidR="00A4285C" w:rsidRPr="00BF20CF" w:rsidRDefault="00A4285C" w:rsidP="00A4285C">
      <w:pPr>
        <w:pStyle w:val="ListParagraph"/>
        <w:rPr>
          <w:rFonts w:ascii="Arial" w:eastAsia="Arial" w:hAnsi="Arial" w:cs="Arial"/>
        </w:rPr>
      </w:pPr>
    </w:p>
    <w:p w14:paraId="0293037B" w14:textId="21CFCCED" w:rsidR="00B60528" w:rsidRPr="00BF20CF" w:rsidRDefault="00B60528" w:rsidP="00A4285C">
      <w:pPr>
        <w:numPr>
          <w:ilvl w:val="0"/>
          <w:numId w:val="230"/>
        </w:numPr>
        <w:spacing w:line="259" w:lineRule="auto"/>
        <w:rPr>
          <w:rFonts w:ascii="Arial" w:eastAsia="Arial" w:hAnsi="Arial" w:cs="Arial"/>
        </w:rPr>
      </w:pPr>
      <w:r w:rsidRPr="00BF20CF">
        <w:rPr>
          <w:rFonts w:ascii="Arial" w:eastAsia="Arial" w:hAnsi="Arial" w:cs="Arial"/>
        </w:rPr>
        <w:t>Please briefly describe how weather stations were assigned to distributors.  If multiple stations were assigned, please describe how the data were weighted to arrive at a single value for each distributor.</w:t>
      </w:r>
    </w:p>
    <w:p w14:paraId="3DC98B61" w14:textId="77777777" w:rsidR="00A4285C" w:rsidRPr="00BF20CF" w:rsidRDefault="00A4285C" w:rsidP="00A4285C">
      <w:pPr>
        <w:pStyle w:val="ListParagraph"/>
        <w:rPr>
          <w:rFonts w:ascii="Arial" w:eastAsia="Arial" w:hAnsi="Arial" w:cs="Arial"/>
        </w:rPr>
      </w:pPr>
    </w:p>
    <w:p w14:paraId="5CF92F91" w14:textId="3DD1BAE3" w:rsidR="00B60528" w:rsidRPr="00BF20CF" w:rsidRDefault="00B60528" w:rsidP="00A4285C">
      <w:pPr>
        <w:numPr>
          <w:ilvl w:val="0"/>
          <w:numId w:val="230"/>
        </w:numPr>
        <w:spacing w:line="259" w:lineRule="auto"/>
        <w:rPr>
          <w:rFonts w:ascii="Arial" w:eastAsia="Arial" w:hAnsi="Arial" w:cs="Arial"/>
        </w:rPr>
      </w:pPr>
      <w:r w:rsidRPr="00BF20CF">
        <w:rPr>
          <w:rFonts w:ascii="Arial" w:eastAsia="Arial" w:hAnsi="Arial" w:cs="Arial"/>
        </w:rPr>
        <w:t>Please provide working papers for the temperature variable including the mapping of weather stations if not already provided.</w:t>
      </w:r>
    </w:p>
    <w:p w14:paraId="5710C51E" w14:textId="77777777" w:rsidR="00A4285C" w:rsidRPr="00BF20CF" w:rsidRDefault="00A4285C" w:rsidP="00A4285C">
      <w:pPr>
        <w:pStyle w:val="ListParagraph"/>
        <w:rPr>
          <w:rFonts w:ascii="Arial" w:eastAsia="Arial" w:hAnsi="Arial" w:cs="Arial"/>
        </w:rPr>
      </w:pPr>
    </w:p>
    <w:p w14:paraId="5EA2BC1F" w14:textId="0E654F62" w:rsidR="00B60528" w:rsidRPr="00BF20CF" w:rsidRDefault="00B60528" w:rsidP="00A4285C">
      <w:pPr>
        <w:spacing w:before="240" w:line="276" w:lineRule="auto"/>
        <w:outlineLvl w:val="2"/>
        <w:rPr>
          <w:rFonts w:ascii="Arial" w:eastAsia="Calibri" w:hAnsi="Arial" w:cs="Arial"/>
          <w:b/>
        </w:rPr>
      </w:pPr>
      <w:bookmarkStart w:id="18" w:name="_heading=h.err6ghkh3yim" w:colFirst="0" w:colLast="0"/>
      <w:bookmarkEnd w:id="18"/>
      <w:r w:rsidRPr="00BF20CF">
        <w:rPr>
          <w:rFonts w:ascii="Arial" w:eastAsia="Calibri" w:hAnsi="Arial" w:cs="Arial"/>
          <w:b/>
        </w:rPr>
        <w:lastRenderedPageBreak/>
        <w:t>1-Staff-</w:t>
      </w:r>
      <w:r w:rsidR="00A4285C" w:rsidRPr="00BF20CF">
        <w:rPr>
          <w:rFonts w:ascii="Arial" w:eastAsia="Calibri" w:hAnsi="Arial" w:cs="Arial"/>
          <w:b/>
        </w:rPr>
        <w:t>29</w:t>
      </w:r>
      <w:r w:rsidRPr="00BF20CF">
        <w:rPr>
          <w:rFonts w:ascii="Arial" w:eastAsia="Calibri" w:hAnsi="Arial" w:cs="Arial"/>
          <w:b/>
        </w:rPr>
        <w:tab/>
      </w:r>
    </w:p>
    <w:p w14:paraId="2417D811" w14:textId="77777777" w:rsidR="00B60528" w:rsidRPr="00BF20CF" w:rsidRDefault="00B60528" w:rsidP="00A4285C">
      <w:pPr>
        <w:spacing w:line="276" w:lineRule="auto"/>
        <w:rPr>
          <w:rFonts w:ascii="Arial" w:eastAsia="Arial" w:hAnsi="Arial" w:cs="Arial"/>
          <w:b/>
        </w:rPr>
      </w:pPr>
      <w:r w:rsidRPr="00BF20CF">
        <w:rPr>
          <w:rFonts w:ascii="Arial" w:eastAsia="Arial" w:hAnsi="Arial" w:cs="Arial"/>
          <w:b/>
        </w:rPr>
        <w:t>Ref:  Exhibit 1/Tab 1/Schedule 12/Attachment A</w:t>
      </w:r>
    </w:p>
    <w:p w14:paraId="41C8BFBE" w14:textId="1E843E15" w:rsidR="00B60528" w:rsidRPr="00BF20CF" w:rsidRDefault="00B60528" w:rsidP="00B60528">
      <w:pPr>
        <w:spacing w:before="240" w:after="240" w:line="276" w:lineRule="auto"/>
        <w:rPr>
          <w:rFonts w:ascii="Arial" w:eastAsia="Arial" w:hAnsi="Arial" w:cs="Arial"/>
          <w:bCs/>
        </w:rPr>
      </w:pPr>
      <w:r w:rsidRPr="00BF20CF">
        <w:rPr>
          <w:rFonts w:ascii="Arial" w:eastAsia="Arial" w:hAnsi="Arial" w:cs="Arial"/>
          <w:bCs/>
        </w:rPr>
        <w:t>Preamble:</w:t>
      </w:r>
    </w:p>
    <w:p w14:paraId="4D70C55F" w14:textId="5DBB9F9F"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On pp. 20-21 of its study </w:t>
      </w:r>
      <w:proofErr w:type="spellStart"/>
      <w:r w:rsidRPr="00BF20CF">
        <w:rPr>
          <w:rFonts w:ascii="Arial" w:eastAsia="Arial" w:hAnsi="Arial" w:cs="Arial"/>
        </w:rPr>
        <w:t>Clearspring</w:t>
      </w:r>
      <w:proofErr w:type="spellEnd"/>
      <w:r w:rsidRPr="00BF20CF">
        <w:rPr>
          <w:rFonts w:ascii="Arial" w:eastAsia="Arial" w:hAnsi="Arial" w:cs="Arial"/>
        </w:rPr>
        <w:t xml:space="preserve"> states</w:t>
      </w:r>
    </w:p>
    <w:p w14:paraId="7A50B62F" w14:textId="7777777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Two common issues arise in multivariate regression using real world data: heteroscedasticity and autocorrelation. Neither of these issues cause the coefficient values to be biased. This is important because it means the researcher does not need to worry about correcting the coefficient values: they are not misleading. However, both conditions render the statements about precision problematic. Specifically, the problem with heteroscedasticity and autocorrelation is that they increase the regression variance calculations, which means the researcher is less confident in the calculated coefficient values.</w:t>
      </w:r>
    </w:p>
    <w:p w14:paraId="056A1FC4" w14:textId="7777777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For decades, the standard correction procedure involved trying to figure out the nature of each problem and strategically weighting the regression to render heteroscedasticity and autocorrelation less of a problem. One key issue with this strategy is that the researcher may have a hard time truly understanding how to reweight the regression. Additionally, the coefficient values will be different after the reweighting.</w:t>
      </w:r>
    </w:p>
    <w:p w14:paraId="53514AE3" w14:textId="7777777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More recent treatments for dealing with heteroscedasticity and autocorrelation focus the correction procedures on methods that do not alter the regression or the coefficient values. Instead of reweighting the regression itself, these strategies leave the regression unaltered and focus on altering the way the variances of the coefficients are calculated. These procedures are systematic and do not depend on understanding the underlying reason for the heteroscedasticity and autocorrelation.</w:t>
      </w:r>
    </w:p>
    <w:p w14:paraId="70B2D881" w14:textId="7777777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For our analysis, we have chosen to estimate the precision of our coefficients using Driscoll-</w:t>
      </w:r>
      <w:proofErr w:type="spellStart"/>
      <w:r w:rsidRPr="00BF20CF">
        <w:rPr>
          <w:rFonts w:ascii="Arial" w:eastAsia="Arial" w:hAnsi="Arial" w:cs="Arial"/>
        </w:rPr>
        <w:t>Kraay</w:t>
      </w:r>
      <w:proofErr w:type="spellEnd"/>
      <w:r w:rsidRPr="00BF20CF">
        <w:rPr>
          <w:rFonts w:ascii="Arial" w:eastAsia="Arial" w:hAnsi="Arial" w:cs="Arial"/>
        </w:rPr>
        <w:t xml:space="preserve"> standard errors. Driscoll-</w:t>
      </w:r>
      <w:proofErr w:type="spellStart"/>
      <w:r w:rsidRPr="00BF20CF">
        <w:rPr>
          <w:rFonts w:ascii="Arial" w:eastAsia="Arial" w:hAnsi="Arial" w:cs="Arial"/>
        </w:rPr>
        <w:t>Kraay</w:t>
      </w:r>
      <w:proofErr w:type="spellEnd"/>
      <w:r w:rsidRPr="00BF20CF">
        <w:rPr>
          <w:rFonts w:ascii="Arial" w:eastAsia="Arial" w:hAnsi="Arial" w:cs="Arial"/>
        </w:rPr>
        <w:t xml:space="preserve"> standard errors have been coded and available in the STATA software suite since 2007. The computer software calculates information crucial to understanding whether each relationship as described by each coefficient can be supported statistically.</w:t>
      </w:r>
    </w:p>
    <w:p w14:paraId="1828B83D" w14:textId="7EF3D9C6"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Question</w:t>
      </w:r>
      <w:r w:rsidR="00A4285C" w:rsidRPr="00BF20CF">
        <w:rPr>
          <w:rFonts w:ascii="Arial" w:eastAsia="Arial" w:hAnsi="Arial" w:cs="Arial"/>
        </w:rPr>
        <w:t>(</w:t>
      </w:r>
      <w:r w:rsidRPr="00BF20CF">
        <w:rPr>
          <w:rFonts w:ascii="Arial" w:eastAsia="Arial" w:hAnsi="Arial" w:cs="Arial"/>
        </w:rPr>
        <w:t>s</w:t>
      </w:r>
      <w:r w:rsidR="00A4285C" w:rsidRPr="00BF20CF">
        <w:rPr>
          <w:rFonts w:ascii="Arial" w:eastAsia="Arial" w:hAnsi="Arial" w:cs="Arial"/>
        </w:rPr>
        <w:t>)</w:t>
      </w:r>
      <w:r w:rsidRPr="00BF20CF">
        <w:rPr>
          <w:rFonts w:ascii="Arial" w:eastAsia="Arial" w:hAnsi="Arial" w:cs="Arial"/>
        </w:rPr>
        <w:t>:</w:t>
      </w:r>
    </w:p>
    <w:p w14:paraId="6D30BADF" w14:textId="7A1F0A7B" w:rsidR="00B60528" w:rsidRPr="00BF20CF" w:rsidRDefault="00B60528" w:rsidP="00A4285C">
      <w:pPr>
        <w:numPr>
          <w:ilvl w:val="0"/>
          <w:numId w:val="238"/>
        </w:numPr>
        <w:spacing w:line="276" w:lineRule="auto"/>
        <w:rPr>
          <w:rFonts w:ascii="Arial" w:eastAsia="Arial" w:hAnsi="Arial" w:cs="Arial"/>
        </w:rPr>
      </w:pPr>
      <w:r w:rsidRPr="00BF20CF">
        <w:rPr>
          <w:rFonts w:ascii="Arial" w:eastAsia="Arial" w:hAnsi="Arial" w:cs="Arial"/>
        </w:rPr>
        <w:lastRenderedPageBreak/>
        <w:t xml:space="preserve">Please confirm that autocorrelation reduces the efficiency of parameter estimates and explain what efficiency means in this context, ideally with the aid of a figure. </w:t>
      </w:r>
    </w:p>
    <w:p w14:paraId="13E1FB46" w14:textId="77777777" w:rsidR="00A4285C" w:rsidRPr="00BF20CF" w:rsidRDefault="00A4285C" w:rsidP="00A4285C">
      <w:pPr>
        <w:spacing w:line="276" w:lineRule="auto"/>
        <w:ind w:left="720"/>
        <w:rPr>
          <w:rFonts w:ascii="Arial" w:eastAsia="Arial" w:hAnsi="Arial" w:cs="Arial"/>
        </w:rPr>
      </w:pPr>
    </w:p>
    <w:p w14:paraId="017DFE7E" w14:textId="14CECE22" w:rsidR="00B60528" w:rsidRPr="00BF20CF" w:rsidRDefault="00B60528" w:rsidP="00A4285C">
      <w:pPr>
        <w:numPr>
          <w:ilvl w:val="0"/>
          <w:numId w:val="238"/>
        </w:numPr>
        <w:spacing w:line="276" w:lineRule="auto"/>
        <w:rPr>
          <w:rFonts w:ascii="Arial" w:eastAsia="Arial" w:hAnsi="Arial" w:cs="Arial"/>
        </w:rPr>
      </w:pPr>
      <w:r w:rsidRPr="00BF20CF">
        <w:rPr>
          <w:rFonts w:ascii="Arial" w:eastAsia="Arial" w:hAnsi="Arial" w:cs="Arial"/>
        </w:rPr>
        <w:t>Is efficiency an important criterion for choosing an estimation procedure as well as bias?</w:t>
      </w:r>
    </w:p>
    <w:p w14:paraId="1985D63F" w14:textId="77777777" w:rsidR="00A4285C" w:rsidRPr="00BF20CF" w:rsidRDefault="00A4285C" w:rsidP="00A4285C">
      <w:pPr>
        <w:pStyle w:val="ListParagraph"/>
        <w:rPr>
          <w:rFonts w:ascii="Arial" w:eastAsia="Arial" w:hAnsi="Arial" w:cs="Arial"/>
        </w:rPr>
      </w:pPr>
    </w:p>
    <w:p w14:paraId="5998D674" w14:textId="77777777" w:rsidR="00B60528" w:rsidRPr="00BF20CF" w:rsidRDefault="00B60528" w:rsidP="00A4285C">
      <w:pPr>
        <w:numPr>
          <w:ilvl w:val="0"/>
          <w:numId w:val="238"/>
        </w:numPr>
        <w:spacing w:line="276" w:lineRule="auto"/>
        <w:rPr>
          <w:rFonts w:ascii="Arial" w:eastAsia="Arial" w:hAnsi="Arial" w:cs="Arial"/>
        </w:rPr>
      </w:pPr>
      <w:r w:rsidRPr="00BF20CF">
        <w:rPr>
          <w:rFonts w:ascii="Arial" w:eastAsia="Arial" w:hAnsi="Arial" w:cs="Arial"/>
        </w:rPr>
        <w:t xml:space="preserve">Please confirm that an estimator being unbiased means that the expected value is the true value of the coefficient: </w:t>
      </w:r>
    </w:p>
    <w:p w14:paraId="57680033" w14:textId="77777777" w:rsidR="00B60528" w:rsidRPr="00BF20CF" w:rsidRDefault="00B60528" w:rsidP="00B60528">
      <w:pPr>
        <w:spacing w:before="240" w:line="276" w:lineRule="auto"/>
        <w:ind w:left="720"/>
        <w:jc w:val="center"/>
        <w:rPr>
          <w:rFonts w:ascii="Arial" w:eastAsia="Arial" w:hAnsi="Arial" w:cs="Arial"/>
        </w:rPr>
      </w:pPr>
      <w:proofErr w:type="gramStart"/>
      <w:r w:rsidRPr="00BF20CF">
        <w:rPr>
          <w:rFonts w:ascii="Arial" w:eastAsia="Arial" w:hAnsi="Arial" w:cs="Arial"/>
        </w:rPr>
        <w:t>E(</w:t>
      </w:r>
      <w:proofErr w:type="gramEnd"/>
      <w:r w:rsidRPr="00BF20CF">
        <w:rPr>
          <w:rFonts w:ascii="Arial" w:eastAsia="Arial" w:hAnsi="Arial" w:cs="Arial"/>
          <w:b/>
          <w:bCs/>
        </w:rPr>
        <w:t>b</w:t>
      </w:r>
      <w:r w:rsidRPr="00BF20CF">
        <w:rPr>
          <w:rFonts w:ascii="Arial" w:eastAsia="Arial" w:hAnsi="Arial" w:cs="Arial"/>
        </w:rPr>
        <w:t>) =</w:t>
      </w:r>
      <w:r w:rsidRPr="00BF20CF">
        <w:rPr>
          <w:rFonts w:ascii="Symbol" w:eastAsia="Arial" w:hAnsi="Symbol" w:cs="Arial"/>
        </w:rPr>
        <w:t></w:t>
      </w:r>
      <w:r w:rsidRPr="00BF20CF">
        <w:rPr>
          <w:rFonts w:ascii="Symbol" w:eastAsia="Arial" w:hAnsi="Symbol" w:cs="Arial"/>
          <w:b/>
          <w:bCs/>
        </w:rPr>
        <w:t></w:t>
      </w:r>
    </w:p>
    <w:p w14:paraId="4BDC8496" w14:textId="3D6CD4E2" w:rsidR="00B60528" w:rsidRPr="00BF20CF" w:rsidRDefault="00B60528" w:rsidP="00A4285C">
      <w:pPr>
        <w:numPr>
          <w:ilvl w:val="0"/>
          <w:numId w:val="238"/>
        </w:numPr>
        <w:spacing w:line="276" w:lineRule="auto"/>
        <w:rPr>
          <w:rFonts w:ascii="Arial" w:eastAsia="Arial" w:hAnsi="Arial" w:cs="Arial"/>
        </w:rPr>
      </w:pPr>
      <w:r w:rsidRPr="00BF20CF">
        <w:rPr>
          <w:rFonts w:ascii="Arial" w:eastAsia="Arial" w:hAnsi="Arial" w:cs="Arial"/>
        </w:rPr>
        <w:t>Amongst linear unbiased estimators, aren’t those with minimum variance (i.e. more efficiency) often called the best linear unbiased estimators (or BLUEs) in econometric textbooks?</w:t>
      </w:r>
    </w:p>
    <w:p w14:paraId="132FC430" w14:textId="77777777" w:rsidR="00A4285C" w:rsidRPr="00BF20CF" w:rsidRDefault="00A4285C" w:rsidP="00A4285C">
      <w:pPr>
        <w:spacing w:line="276" w:lineRule="auto"/>
        <w:ind w:left="720"/>
        <w:rPr>
          <w:rFonts w:ascii="Arial" w:eastAsia="Arial" w:hAnsi="Arial" w:cs="Arial"/>
        </w:rPr>
      </w:pPr>
    </w:p>
    <w:p w14:paraId="65D74316" w14:textId="44F10E41" w:rsidR="00B60528" w:rsidRPr="00BF20CF" w:rsidRDefault="00B60528" w:rsidP="00A4285C">
      <w:pPr>
        <w:numPr>
          <w:ilvl w:val="0"/>
          <w:numId w:val="238"/>
        </w:numPr>
        <w:spacing w:line="276" w:lineRule="auto"/>
        <w:rPr>
          <w:rFonts w:ascii="Arial" w:eastAsia="Arial" w:hAnsi="Arial" w:cs="Arial"/>
        </w:rPr>
      </w:pPr>
      <w:r w:rsidRPr="00BF20CF">
        <w:rPr>
          <w:rFonts w:ascii="Arial" w:eastAsia="Arial" w:hAnsi="Arial" w:cs="Arial"/>
        </w:rPr>
        <w:t xml:space="preserve">While an estimator may be unbiased, if it is not a BLUE, then it means that there is a wider distribution (i.e., variance) of the estimate. Using a BLUE would yield an unbiased estimate with a tighter distribution around the true value. In this case, why does </w:t>
      </w:r>
      <w:proofErr w:type="spellStart"/>
      <w:r w:rsidRPr="00BF20CF">
        <w:rPr>
          <w:rFonts w:ascii="Arial" w:eastAsia="Arial" w:hAnsi="Arial" w:cs="Arial"/>
        </w:rPr>
        <w:t>Clearspring</w:t>
      </w:r>
      <w:proofErr w:type="spellEnd"/>
      <w:r w:rsidRPr="00BF20CF">
        <w:rPr>
          <w:rFonts w:ascii="Arial" w:eastAsia="Arial" w:hAnsi="Arial" w:cs="Arial"/>
        </w:rPr>
        <w:t xml:space="preserve"> assert that, if using any unbiased estimator, it is reasonable to say that “it means the researcher does not need to worry about correcting the coefficient values: they are not misleading”? </w:t>
      </w:r>
    </w:p>
    <w:p w14:paraId="55ABE5A8" w14:textId="77777777" w:rsidR="00A4285C" w:rsidRPr="00BF20CF" w:rsidRDefault="00A4285C" w:rsidP="00A4285C">
      <w:pPr>
        <w:pStyle w:val="ListParagraph"/>
        <w:rPr>
          <w:rFonts w:ascii="Arial" w:eastAsia="Arial" w:hAnsi="Arial" w:cs="Arial"/>
        </w:rPr>
      </w:pPr>
    </w:p>
    <w:p w14:paraId="0E357F9B" w14:textId="231BA631" w:rsidR="00B60528" w:rsidRPr="00BF20CF" w:rsidRDefault="00B60528" w:rsidP="00A4285C">
      <w:pPr>
        <w:numPr>
          <w:ilvl w:val="0"/>
          <w:numId w:val="238"/>
        </w:numPr>
        <w:spacing w:line="276" w:lineRule="auto"/>
        <w:rPr>
          <w:rFonts w:ascii="Arial" w:eastAsia="Arial" w:hAnsi="Arial" w:cs="Arial"/>
        </w:rPr>
      </w:pPr>
      <w:r w:rsidRPr="00BF20CF">
        <w:rPr>
          <w:rFonts w:ascii="Arial" w:eastAsia="Arial" w:hAnsi="Arial" w:cs="Arial"/>
        </w:rPr>
        <w:t xml:space="preserve">Isn’t it fair to say that, in developing distributor cost benchmark models, “the researcher may have a hard time truly understanding” how to model the impact of weather or urban congestion? </w:t>
      </w:r>
    </w:p>
    <w:p w14:paraId="5D2B11AD" w14:textId="77777777" w:rsidR="00A4285C" w:rsidRPr="00BF20CF" w:rsidRDefault="00A4285C" w:rsidP="00A4285C">
      <w:pPr>
        <w:pStyle w:val="ListParagraph"/>
        <w:rPr>
          <w:rFonts w:ascii="Arial" w:eastAsia="Arial" w:hAnsi="Arial" w:cs="Arial"/>
        </w:rPr>
      </w:pPr>
    </w:p>
    <w:p w14:paraId="356D2444" w14:textId="0CADCB0D" w:rsidR="00B60528" w:rsidRPr="00BF20CF" w:rsidRDefault="00B60528" w:rsidP="00A4285C">
      <w:pPr>
        <w:numPr>
          <w:ilvl w:val="0"/>
          <w:numId w:val="238"/>
        </w:numPr>
        <w:spacing w:line="276" w:lineRule="auto"/>
        <w:rPr>
          <w:rFonts w:ascii="Arial" w:eastAsia="Arial" w:hAnsi="Arial" w:cs="Arial"/>
        </w:rPr>
      </w:pPr>
      <w:proofErr w:type="spellStart"/>
      <w:r w:rsidRPr="00BF20CF">
        <w:rPr>
          <w:rFonts w:ascii="Arial" w:eastAsia="Arial" w:hAnsi="Arial" w:cs="Arial"/>
        </w:rPr>
        <w:t>Millo</w:t>
      </w:r>
      <w:proofErr w:type="spellEnd"/>
      <w:r w:rsidRPr="00BF20CF">
        <w:rPr>
          <w:rFonts w:ascii="Arial" w:eastAsia="Arial" w:hAnsi="Arial" w:cs="Arial"/>
        </w:rPr>
        <w:t xml:space="preserve"> (2017) suggests that Driscoll-</w:t>
      </w:r>
      <w:proofErr w:type="spellStart"/>
      <w:r w:rsidRPr="00BF20CF">
        <w:rPr>
          <w:rFonts w:ascii="Arial" w:eastAsia="Arial" w:hAnsi="Arial" w:cs="Arial"/>
        </w:rPr>
        <w:t>Kraay</w:t>
      </w:r>
      <w:proofErr w:type="spellEnd"/>
      <w:r w:rsidRPr="00BF20CF">
        <w:rPr>
          <w:rFonts w:ascii="Arial" w:eastAsia="Arial" w:hAnsi="Arial" w:cs="Arial"/>
        </w:rPr>
        <w:t xml:space="preserve"> standard errors are accurate only in large samples.</w:t>
      </w:r>
      <w:r w:rsidRPr="00BF20CF">
        <w:rPr>
          <w:rFonts w:ascii="Arial" w:eastAsia="Arial" w:hAnsi="Arial" w:cs="Arial"/>
          <w:vertAlign w:val="superscript"/>
        </w:rPr>
        <w:footnoteReference w:id="16"/>
      </w:r>
      <w:r w:rsidRPr="00BF20CF">
        <w:rPr>
          <w:rFonts w:ascii="Arial" w:eastAsia="Arial" w:hAnsi="Arial" w:cs="Arial"/>
        </w:rPr>
        <w:t xml:space="preserve"> Is </w:t>
      </w:r>
      <w:proofErr w:type="spellStart"/>
      <w:r w:rsidRPr="00BF20CF">
        <w:rPr>
          <w:rFonts w:ascii="Arial" w:eastAsia="Arial" w:hAnsi="Arial" w:cs="Arial"/>
        </w:rPr>
        <w:t>Clearspring’s</w:t>
      </w:r>
      <w:proofErr w:type="spellEnd"/>
      <w:r w:rsidRPr="00BF20CF">
        <w:rPr>
          <w:rFonts w:ascii="Arial" w:eastAsia="Arial" w:hAnsi="Arial" w:cs="Arial"/>
        </w:rPr>
        <w:t xml:space="preserve"> sample sufficiently large to produce reliable standard errors?</w:t>
      </w:r>
    </w:p>
    <w:p w14:paraId="7D74C22F" w14:textId="77777777" w:rsidR="00A4285C" w:rsidRPr="00BF20CF" w:rsidRDefault="00A4285C" w:rsidP="00A4285C">
      <w:pPr>
        <w:pStyle w:val="ListParagraph"/>
        <w:rPr>
          <w:rFonts w:ascii="Arial" w:eastAsia="Arial" w:hAnsi="Arial" w:cs="Arial"/>
        </w:rPr>
      </w:pPr>
    </w:p>
    <w:p w14:paraId="37151F11" w14:textId="5714B299" w:rsidR="00B60528" w:rsidRPr="00BF20CF" w:rsidRDefault="00B60528" w:rsidP="00A4285C">
      <w:pPr>
        <w:numPr>
          <w:ilvl w:val="0"/>
          <w:numId w:val="238"/>
        </w:numPr>
        <w:spacing w:line="276" w:lineRule="auto"/>
        <w:rPr>
          <w:rFonts w:ascii="Arial" w:eastAsia="Arial" w:hAnsi="Arial" w:cs="Arial"/>
        </w:rPr>
      </w:pPr>
      <w:r w:rsidRPr="00BF20CF">
        <w:rPr>
          <w:rFonts w:ascii="Arial" w:eastAsia="Arial" w:hAnsi="Arial" w:cs="Arial"/>
        </w:rPr>
        <w:t xml:space="preserve">Were the parameters of the model used to benchmark Hydro Ottawa estimated with a sample that included Hydro Ottawa data? </w:t>
      </w:r>
    </w:p>
    <w:p w14:paraId="2C34740D" w14:textId="77777777" w:rsidR="00A4285C" w:rsidRPr="00BF20CF" w:rsidRDefault="00A4285C" w:rsidP="00A4285C">
      <w:pPr>
        <w:pStyle w:val="ListParagraph"/>
        <w:rPr>
          <w:rFonts w:ascii="Arial" w:eastAsia="Arial" w:hAnsi="Arial" w:cs="Arial"/>
        </w:rPr>
      </w:pPr>
    </w:p>
    <w:p w14:paraId="50146C1A" w14:textId="241528B4" w:rsidR="00A4285C" w:rsidRPr="00BF20CF" w:rsidRDefault="00A4285C" w:rsidP="00A4285C">
      <w:pPr>
        <w:spacing w:line="276" w:lineRule="auto"/>
        <w:ind w:left="720"/>
        <w:rPr>
          <w:rFonts w:ascii="Arial" w:eastAsia="Arial" w:hAnsi="Arial" w:cs="Arial"/>
        </w:rPr>
      </w:pPr>
      <w:r w:rsidRPr="00BF20CF">
        <w:rPr>
          <w:rFonts w:ascii="Arial" w:eastAsia="Arial" w:hAnsi="Arial" w:cs="Arial"/>
        </w:rPr>
        <w:br w:type="page"/>
      </w:r>
    </w:p>
    <w:p w14:paraId="4055AB43" w14:textId="342C2C49" w:rsidR="00B60528" w:rsidRPr="00BF20CF" w:rsidRDefault="00B60528" w:rsidP="00A4285C">
      <w:pPr>
        <w:spacing w:line="276" w:lineRule="auto"/>
        <w:outlineLvl w:val="2"/>
        <w:rPr>
          <w:rFonts w:ascii="Arial" w:eastAsia="Calibri" w:hAnsi="Arial" w:cs="Arial"/>
          <w:b/>
        </w:rPr>
      </w:pPr>
      <w:bookmarkStart w:id="19" w:name="_heading=h.1dhfcqngse5a" w:colFirst="0" w:colLast="0"/>
      <w:bookmarkEnd w:id="19"/>
      <w:r w:rsidRPr="00BF20CF">
        <w:rPr>
          <w:rFonts w:ascii="Arial" w:eastAsia="Calibri" w:hAnsi="Arial" w:cs="Arial"/>
          <w:b/>
        </w:rPr>
        <w:lastRenderedPageBreak/>
        <w:t>1-Staff-</w:t>
      </w:r>
      <w:r w:rsidR="00A4285C" w:rsidRPr="00BF20CF">
        <w:rPr>
          <w:rFonts w:ascii="Arial" w:eastAsia="Calibri" w:hAnsi="Arial" w:cs="Arial"/>
          <w:b/>
        </w:rPr>
        <w:t>30</w:t>
      </w:r>
      <w:r w:rsidRPr="00BF20CF">
        <w:rPr>
          <w:rFonts w:ascii="Arial" w:eastAsia="Calibri" w:hAnsi="Arial" w:cs="Arial"/>
          <w:b/>
        </w:rPr>
        <w:t xml:space="preserve">  </w:t>
      </w:r>
    </w:p>
    <w:sdt>
      <w:sdtPr>
        <w:rPr>
          <w:rFonts w:ascii="Arial" w:eastAsia="Calibri" w:hAnsi="Arial" w:cs="Arial"/>
          <w:b/>
        </w:rPr>
        <w:tag w:val="goog_rdk_7"/>
        <w:id w:val="1637761626"/>
      </w:sdtPr>
      <w:sdtEndPr>
        <w:rPr>
          <w:rFonts w:ascii="Times New Roman" w:hAnsi="Times New Roman" w:cs="Times New Roman"/>
          <w:b w:val="0"/>
        </w:rPr>
      </w:sdtEndPr>
      <w:sdtContent>
        <w:p w14:paraId="31980C3F" w14:textId="77777777" w:rsidR="00B60528" w:rsidRPr="00BF20CF" w:rsidRDefault="00B60528" w:rsidP="00637CD5">
          <w:pPr>
            <w:rPr>
              <w:rFonts w:eastAsia="Calibri"/>
            </w:rPr>
          </w:pPr>
          <w:r w:rsidRPr="00637CD5">
            <w:rPr>
              <w:rFonts w:ascii="Arial" w:eastAsia="Calibri" w:hAnsi="Arial" w:cs="Arial"/>
              <w:b/>
            </w:rPr>
            <w:t>Ref:</w:t>
          </w:r>
          <w:r w:rsidRPr="00637CD5">
            <w:rPr>
              <w:rFonts w:ascii="Arial" w:eastAsia="Calibri" w:hAnsi="Arial" w:cs="Arial"/>
              <w:b/>
            </w:rPr>
            <w:tab/>
            <w:t xml:space="preserve">Exhibit 1/Tab 1/Schedule 12/Attachment A and </w:t>
          </w:r>
          <w:proofErr w:type="spellStart"/>
          <w:r w:rsidRPr="00637CD5">
            <w:rPr>
              <w:rFonts w:ascii="Arial" w:eastAsia="Calibri" w:hAnsi="Arial" w:cs="Arial"/>
              <w:b/>
            </w:rPr>
            <w:t>Clearspring</w:t>
          </w:r>
          <w:proofErr w:type="spellEnd"/>
          <w:r w:rsidRPr="00637CD5">
            <w:rPr>
              <w:rFonts w:ascii="Arial" w:eastAsia="Calibri" w:hAnsi="Arial" w:cs="Arial"/>
              <w:b/>
            </w:rPr>
            <w:t xml:space="preserve"> Working Papers</w:t>
          </w:r>
        </w:p>
      </w:sdtContent>
    </w:sdt>
    <w:p w14:paraId="311A9DBC"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Preamble:</w:t>
      </w:r>
    </w:p>
    <w:p w14:paraId="65220EC2" w14:textId="77777777" w:rsidR="00B60528" w:rsidRPr="00BF20CF" w:rsidRDefault="00B60528" w:rsidP="00B60528">
      <w:pPr>
        <w:spacing w:line="276" w:lineRule="auto"/>
        <w:rPr>
          <w:rFonts w:ascii="Arial" w:eastAsia="Arial" w:hAnsi="Arial" w:cs="Arial"/>
        </w:rPr>
      </w:pPr>
      <w:r w:rsidRPr="00BF20CF">
        <w:rPr>
          <w:rFonts w:ascii="Arial" w:eastAsia="Arial" w:hAnsi="Arial" w:cs="Arial"/>
        </w:rPr>
        <w:t xml:space="preserve">PEG is concerned about the shift to MIFRS accounting for Ontario distributors in the previous decade when U.S. utilities did not face similar accounting changes. </w:t>
      </w:r>
    </w:p>
    <w:p w14:paraId="669D2408" w14:textId="77777777" w:rsidR="00B60528" w:rsidRPr="00BF20CF" w:rsidRDefault="00B60528" w:rsidP="00B60528">
      <w:pPr>
        <w:spacing w:line="276" w:lineRule="auto"/>
        <w:rPr>
          <w:rFonts w:ascii="Arial" w:eastAsia="Arial" w:hAnsi="Arial" w:cs="Arial"/>
        </w:rPr>
      </w:pPr>
    </w:p>
    <w:p w14:paraId="357C34E7" w14:textId="2FDDF504" w:rsidR="00B60528" w:rsidRPr="00BF20CF" w:rsidRDefault="00B60528" w:rsidP="007A50D8">
      <w:pPr>
        <w:spacing w:after="240" w:line="276" w:lineRule="auto"/>
        <w:rPr>
          <w:rFonts w:ascii="Arial" w:eastAsia="Arial" w:hAnsi="Arial" w:cs="Arial"/>
        </w:rPr>
      </w:pPr>
      <w:r w:rsidRPr="00BF20CF">
        <w:rPr>
          <w:rFonts w:ascii="Arial" w:eastAsia="Arial" w:hAnsi="Arial" w:cs="Arial"/>
        </w:rPr>
        <w:t>Question</w:t>
      </w:r>
      <w:r w:rsidR="00A4285C" w:rsidRPr="00BF20CF">
        <w:rPr>
          <w:rFonts w:ascii="Arial" w:eastAsia="Arial" w:hAnsi="Arial" w:cs="Arial"/>
        </w:rPr>
        <w:t>(</w:t>
      </w:r>
      <w:r w:rsidRPr="00BF20CF">
        <w:rPr>
          <w:rFonts w:ascii="Arial" w:eastAsia="Arial" w:hAnsi="Arial" w:cs="Arial"/>
        </w:rPr>
        <w:t>s</w:t>
      </w:r>
      <w:r w:rsidR="00A4285C" w:rsidRPr="00BF20CF">
        <w:rPr>
          <w:rFonts w:ascii="Arial" w:eastAsia="Arial" w:hAnsi="Arial" w:cs="Arial"/>
        </w:rPr>
        <w:t>)</w:t>
      </w:r>
      <w:r w:rsidRPr="00BF20CF">
        <w:rPr>
          <w:rFonts w:ascii="Arial" w:eastAsia="Arial" w:hAnsi="Arial" w:cs="Arial"/>
        </w:rPr>
        <w:t>:</w:t>
      </w:r>
    </w:p>
    <w:p w14:paraId="79064E44" w14:textId="5B683542" w:rsidR="00B60528" w:rsidRPr="00BF20CF" w:rsidRDefault="00B60528" w:rsidP="00B60528">
      <w:pPr>
        <w:numPr>
          <w:ilvl w:val="0"/>
          <w:numId w:val="246"/>
        </w:numPr>
        <w:autoSpaceDE w:val="0"/>
        <w:autoSpaceDN w:val="0"/>
        <w:adjustRightInd w:val="0"/>
        <w:spacing w:before="240" w:after="240" w:line="276" w:lineRule="auto"/>
        <w:contextualSpacing/>
        <w:rPr>
          <w:rFonts w:ascii="Arial" w:eastAsia="Arial" w:hAnsi="Arial" w:cs="Arial"/>
          <w:lang w:val="en-CA"/>
        </w:rPr>
      </w:pPr>
      <w:r w:rsidRPr="00BF20CF">
        <w:rPr>
          <w:rFonts w:ascii="Arial" w:eastAsia="Arial" w:hAnsi="Arial" w:cs="Arial"/>
          <w:lang w:val="en-CA"/>
        </w:rPr>
        <w:t>Please discuss how the shift to MIFRS accounting has affected Hydro Ottawa’s cost data.</w:t>
      </w:r>
    </w:p>
    <w:p w14:paraId="47D01C7D" w14:textId="77777777" w:rsidR="00A4285C" w:rsidRPr="00BF20CF" w:rsidRDefault="00A4285C" w:rsidP="00A4285C">
      <w:pPr>
        <w:autoSpaceDE w:val="0"/>
        <w:autoSpaceDN w:val="0"/>
        <w:adjustRightInd w:val="0"/>
        <w:spacing w:before="240" w:after="240" w:line="276" w:lineRule="auto"/>
        <w:ind w:left="720"/>
        <w:contextualSpacing/>
        <w:rPr>
          <w:rFonts w:ascii="Arial" w:eastAsia="Arial" w:hAnsi="Arial" w:cs="Arial"/>
          <w:lang w:val="en-CA"/>
        </w:rPr>
      </w:pPr>
    </w:p>
    <w:p w14:paraId="01F58A6E" w14:textId="67EE7222" w:rsidR="00B60528" w:rsidRPr="00BF20CF" w:rsidRDefault="00B60528" w:rsidP="00A4285C">
      <w:pPr>
        <w:numPr>
          <w:ilvl w:val="0"/>
          <w:numId w:val="246"/>
        </w:numPr>
        <w:autoSpaceDE w:val="0"/>
        <w:autoSpaceDN w:val="0"/>
        <w:adjustRightInd w:val="0"/>
        <w:spacing w:line="276" w:lineRule="auto"/>
        <w:contextualSpacing/>
        <w:rPr>
          <w:rFonts w:ascii="Arial" w:eastAsia="Arial" w:hAnsi="Arial" w:cs="Arial"/>
          <w:lang w:val="en-CA"/>
        </w:rPr>
      </w:pPr>
      <w:r w:rsidRPr="00BF20CF">
        <w:rPr>
          <w:rFonts w:ascii="Arial" w:eastAsia="Arial" w:hAnsi="Arial" w:cs="Arial"/>
          <w:lang w:val="en-CA"/>
        </w:rPr>
        <w:t xml:space="preserve">In </w:t>
      </w:r>
      <w:proofErr w:type="spellStart"/>
      <w:r w:rsidRPr="00BF20CF">
        <w:rPr>
          <w:rFonts w:ascii="Arial" w:eastAsia="Arial" w:hAnsi="Arial" w:cs="Arial"/>
          <w:lang w:val="en-CA"/>
        </w:rPr>
        <w:t>Clearspring’s</w:t>
      </w:r>
      <w:proofErr w:type="spellEnd"/>
      <w:r w:rsidRPr="00BF20CF">
        <w:rPr>
          <w:rFonts w:ascii="Arial" w:eastAsia="Arial" w:hAnsi="Arial" w:cs="Arial"/>
          <w:lang w:val="en-CA"/>
        </w:rPr>
        <w:t xml:space="preserve"> view, should Ontario data be restricted to post-MIFRS years? Please explain your response.</w:t>
      </w:r>
    </w:p>
    <w:p w14:paraId="419D7B36" w14:textId="77777777" w:rsidR="00A4285C" w:rsidRPr="00BF20CF" w:rsidRDefault="00A4285C" w:rsidP="00A4285C">
      <w:pPr>
        <w:autoSpaceDE w:val="0"/>
        <w:autoSpaceDN w:val="0"/>
        <w:adjustRightInd w:val="0"/>
        <w:spacing w:line="276" w:lineRule="auto"/>
        <w:ind w:left="720"/>
        <w:contextualSpacing/>
        <w:rPr>
          <w:rFonts w:ascii="Arial" w:eastAsia="Arial" w:hAnsi="Arial" w:cs="Arial"/>
          <w:lang w:val="en-CA"/>
        </w:rPr>
      </w:pPr>
    </w:p>
    <w:p w14:paraId="43CC5E06" w14:textId="752D1478" w:rsidR="00B60528" w:rsidRPr="00BF20CF" w:rsidRDefault="00B60528" w:rsidP="00A4285C">
      <w:pPr>
        <w:spacing w:before="240" w:line="276" w:lineRule="auto"/>
        <w:outlineLvl w:val="2"/>
        <w:rPr>
          <w:rFonts w:ascii="Arial" w:eastAsia="Calibri" w:hAnsi="Arial" w:cs="Arial"/>
          <w:b/>
        </w:rPr>
      </w:pPr>
      <w:bookmarkStart w:id="20" w:name="_heading=h.bas837mudm4" w:colFirst="0" w:colLast="0"/>
      <w:bookmarkStart w:id="21" w:name="_heading=h.m443ht8w0cxj" w:colFirst="0" w:colLast="0"/>
      <w:bookmarkEnd w:id="20"/>
      <w:bookmarkEnd w:id="21"/>
      <w:r w:rsidRPr="00BF20CF">
        <w:rPr>
          <w:rFonts w:ascii="Arial" w:eastAsia="Calibri" w:hAnsi="Arial" w:cs="Arial"/>
          <w:b/>
        </w:rPr>
        <w:t>1-Staff-</w:t>
      </w:r>
      <w:r w:rsidR="00A4285C" w:rsidRPr="00BF20CF">
        <w:rPr>
          <w:rFonts w:ascii="Arial" w:eastAsia="Calibri" w:hAnsi="Arial" w:cs="Arial"/>
          <w:b/>
        </w:rPr>
        <w:t>3</w:t>
      </w:r>
      <w:r w:rsidRPr="00BF20CF">
        <w:rPr>
          <w:rFonts w:ascii="Arial" w:eastAsia="Calibri" w:hAnsi="Arial" w:cs="Arial"/>
          <w:b/>
        </w:rPr>
        <w:t xml:space="preserve">1  </w:t>
      </w:r>
    </w:p>
    <w:bookmarkStart w:id="22" w:name="_heading=h.hvje1fw6ihho" w:colFirst="0" w:colLast="0" w:displacedByCustomXml="next"/>
    <w:bookmarkEnd w:id="22" w:displacedByCustomXml="next"/>
    <w:sdt>
      <w:sdtPr>
        <w:rPr>
          <w:rFonts w:ascii="Arial" w:eastAsia="Calibri" w:hAnsi="Arial" w:cs="Arial"/>
          <w:b/>
        </w:rPr>
        <w:tag w:val="goog_rdk_8"/>
        <w:id w:val="-791898431"/>
      </w:sdtPr>
      <w:sdtEndPr/>
      <w:sdtContent>
        <w:p w14:paraId="123FF1A3" w14:textId="77777777" w:rsidR="00B60528" w:rsidRPr="00637CD5" w:rsidRDefault="00B60528" w:rsidP="00637CD5">
          <w:pPr>
            <w:rPr>
              <w:rFonts w:ascii="Arial" w:eastAsia="Calibri" w:hAnsi="Arial" w:cs="Arial"/>
              <w:b/>
            </w:rPr>
          </w:pPr>
          <w:r w:rsidRPr="00637CD5">
            <w:rPr>
              <w:rFonts w:ascii="Arial" w:eastAsia="Calibri" w:hAnsi="Arial" w:cs="Arial"/>
              <w:b/>
            </w:rPr>
            <w:t>Ref:</w:t>
          </w:r>
          <w:r w:rsidRPr="00637CD5">
            <w:rPr>
              <w:rFonts w:ascii="Arial" w:eastAsia="Calibri" w:hAnsi="Arial" w:cs="Arial"/>
              <w:b/>
            </w:rPr>
            <w:tab/>
            <w:t xml:space="preserve">Exhibit 1/Tab 1/Schedule 12/Attachment A and </w:t>
          </w:r>
          <w:proofErr w:type="spellStart"/>
          <w:r w:rsidRPr="00637CD5">
            <w:rPr>
              <w:rFonts w:ascii="Arial" w:eastAsia="Calibri" w:hAnsi="Arial" w:cs="Arial"/>
              <w:b/>
            </w:rPr>
            <w:t>Clearspring</w:t>
          </w:r>
          <w:proofErr w:type="spellEnd"/>
          <w:r w:rsidRPr="00637CD5">
            <w:rPr>
              <w:rFonts w:ascii="Arial" w:eastAsia="Calibri" w:hAnsi="Arial" w:cs="Arial"/>
              <w:b/>
            </w:rPr>
            <w:t xml:space="preserve"> Working Papers</w:t>
          </w:r>
        </w:p>
      </w:sdtContent>
    </w:sdt>
    <w:p w14:paraId="3A25C272" w14:textId="77777777" w:rsidR="00B60528" w:rsidRPr="00BF20CF" w:rsidRDefault="00B60528" w:rsidP="00B60528">
      <w:pPr>
        <w:spacing w:before="240" w:after="240" w:line="276" w:lineRule="auto"/>
        <w:rPr>
          <w:rFonts w:ascii="Arial" w:eastAsia="Arial" w:hAnsi="Arial" w:cs="Arial"/>
          <w:b/>
        </w:rPr>
      </w:pPr>
      <w:r w:rsidRPr="00BF20CF">
        <w:rPr>
          <w:rFonts w:ascii="Arial" w:eastAsia="Arial" w:hAnsi="Arial" w:cs="Arial"/>
          <w:b/>
        </w:rPr>
        <w:t>Preamble:</w:t>
      </w:r>
    </w:p>
    <w:p w14:paraId="55A16D26" w14:textId="77777777" w:rsidR="00B60528" w:rsidRPr="00BF20CF" w:rsidRDefault="00B60528" w:rsidP="00B60528">
      <w:pPr>
        <w:spacing w:line="276" w:lineRule="auto"/>
        <w:rPr>
          <w:rFonts w:ascii="Arial" w:eastAsia="Arial" w:hAnsi="Arial" w:cs="Arial"/>
        </w:rPr>
      </w:pPr>
      <w:r w:rsidRPr="00BF20CF">
        <w:rPr>
          <w:rFonts w:ascii="Arial" w:eastAsia="Arial" w:hAnsi="Arial" w:cs="Arial"/>
        </w:rPr>
        <w:t xml:space="preserve">PEG seeks additional data to facilitate alternative benchmarking approaches.   </w:t>
      </w:r>
    </w:p>
    <w:p w14:paraId="2CE52D90" w14:textId="77777777" w:rsidR="00B60528" w:rsidRPr="00BF20CF" w:rsidRDefault="00B60528" w:rsidP="00B60528">
      <w:pPr>
        <w:spacing w:line="276" w:lineRule="auto"/>
        <w:rPr>
          <w:rFonts w:ascii="Arial" w:eastAsia="Arial" w:hAnsi="Arial" w:cs="Arial"/>
          <w:b/>
        </w:rPr>
      </w:pPr>
    </w:p>
    <w:p w14:paraId="6F11B039" w14:textId="3443BE98" w:rsidR="00B60528" w:rsidRPr="00BF20CF" w:rsidRDefault="00B60528" w:rsidP="00B60528">
      <w:pPr>
        <w:spacing w:line="276" w:lineRule="auto"/>
        <w:rPr>
          <w:rFonts w:ascii="Arial" w:eastAsia="Arial" w:hAnsi="Arial" w:cs="Arial"/>
        </w:rPr>
      </w:pPr>
      <w:r w:rsidRPr="00BF20CF">
        <w:rPr>
          <w:rFonts w:ascii="Arial" w:eastAsia="Arial" w:hAnsi="Arial" w:cs="Arial"/>
        </w:rPr>
        <w:t>Question</w:t>
      </w:r>
      <w:r w:rsidR="007A50D8" w:rsidRPr="00BF20CF">
        <w:rPr>
          <w:rFonts w:ascii="Arial" w:eastAsia="Arial" w:hAnsi="Arial" w:cs="Arial"/>
        </w:rPr>
        <w:t>(s)</w:t>
      </w:r>
      <w:r w:rsidRPr="00BF20CF">
        <w:rPr>
          <w:rFonts w:ascii="Arial" w:eastAsia="Arial" w:hAnsi="Arial" w:cs="Arial"/>
        </w:rPr>
        <w:t>:</w:t>
      </w:r>
    </w:p>
    <w:p w14:paraId="14A25C6B"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Please provide the following data for Hydro Ottawa. </w:t>
      </w:r>
    </w:p>
    <w:p w14:paraId="6D09B950" w14:textId="5D91EAA8" w:rsidR="00B60528" w:rsidRPr="00BF20CF" w:rsidRDefault="00B60528" w:rsidP="00B60528">
      <w:pPr>
        <w:numPr>
          <w:ilvl w:val="0"/>
          <w:numId w:val="239"/>
        </w:numPr>
        <w:spacing w:before="240" w:after="160" w:line="276" w:lineRule="auto"/>
        <w:rPr>
          <w:rFonts w:ascii="Arial" w:eastAsia="Arial" w:hAnsi="Arial" w:cs="Arial"/>
        </w:rPr>
      </w:pPr>
      <w:r w:rsidRPr="00BF20CF">
        <w:rPr>
          <w:rFonts w:ascii="Arial" w:eastAsia="Arial" w:hAnsi="Arial" w:cs="Arial"/>
        </w:rPr>
        <w:t xml:space="preserve">Gross plant value, gross plant additions, and accumulated depreciation for as many years as available. </w:t>
      </w:r>
    </w:p>
    <w:p w14:paraId="291727A0" w14:textId="54196830" w:rsidR="00B60528" w:rsidRPr="00BF20CF" w:rsidRDefault="00B60528" w:rsidP="007A50D8">
      <w:pPr>
        <w:spacing w:before="240" w:line="276" w:lineRule="auto"/>
        <w:outlineLvl w:val="2"/>
        <w:rPr>
          <w:rFonts w:ascii="Arial" w:eastAsia="Calibri" w:hAnsi="Arial" w:cs="Arial"/>
          <w:b/>
        </w:rPr>
      </w:pPr>
      <w:bookmarkStart w:id="23" w:name="_heading=h.289zxb645vj" w:colFirst="0" w:colLast="0"/>
      <w:bookmarkEnd w:id="23"/>
      <w:r w:rsidRPr="00BF20CF">
        <w:rPr>
          <w:rFonts w:ascii="Arial" w:eastAsia="Calibri" w:hAnsi="Arial" w:cs="Arial"/>
          <w:b/>
        </w:rPr>
        <w:t>1-Staff-3</w:t>
      </w:r>
      <w:r w:rsidR="007A50D8" w:rsidRPr="00BF20CF">
        <w:rPr>
          <w:rFonts w:ascii="Arial" w:eastAsia="Calibri" w:hAnsi="Arial" w:cs="Arial"/>
          <w:b/>
        </w:rPr>
        <w:t>2</w:t>
      </w:r>
      <w:r w:rsidRPr="00BF20CF">
        <w:rPr>
          <w:rFonts w:ascii="Arial" w:eastAsia="Calibri" w:hAnsi="Arial" w:cs="Arial"/>
          <w:b/>
        </w:rPr>
        <w:t xml:space="preserve">  </w:t>
      </w:r>
    </w:p>
    <w:bookmarkStart w:id="24" w:name="_heading=h.lh77dx401xyc" w:colFirst="0" w:colLast="0" w:displacedByCustomXml="next"/>
    <w:bookmarkEnd w:id="24" w:displacedByCustomXml="next"/>
    <w:sdt>
      <w:sdtPr>
        <w:rPr>
          <w:rFonts w:ascii="Arial" w:eastAsia="Calibri" w:hAnsi="Arial" w:cs="Arial"/>
          <w:b/>
        </w:rPr>
        <w:tag w:val="goog_rdk_9"/>
        <w:id w:val="-713122797"/>
      </w:sdtPr>
      <w:sdtEndPr>
        <w:rPr>
          <w:rFonts w:ascii="Times New Roman" w:hAnsi="Times New Roman" w:cs="Times New Roman"/>
          <w:b w:val="0"/>
        </w:rPr>
      </w:sdtEndPr>
      <w:sdtContent>
        <w:p w14:paraId="7857FED0" w14:textId="77777777" w:rsidR="00B60528" w:rsidRPr="00BF20CF" w:rsidRDefault="00B60528" w:rsidP="00637CD5">
          <w:pPr>
            <w:rPr>
              <w:rFonts w:eastAsia="Calibri"/>
            </w:rPr>
          </w:pPr>
          <w:r w:rsidRPr="00637CD5">
            <w:rPr>
              <w:rFonts w:ascii="Arial" w:eastAsia="Calibri" w:hAnsi="Arial" w:cs="Arial"/>
              <w:b/>
            </w:rPr>
            <w:t>Ref:</w:t>
          </w:r>
          <w:r w:rsidRPr="00637CD5">
            <w:rPr>
              <w:rFonts w:ascii="Arial" w:eastAsia="Calibri" w:hAnsi="Arial" w:cs="Arial"/>
              <w:b/>
            </w:rPr>
            <w:tab/>
            <w:t>Exhibit 1/Tab 1/Schedule 8</w:t>
          </w:r>
        </w:p>
      </w:sdtContent>
    </w:sdt>
    <w:p w14:paraId="62D75BA9"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Preamble:</w:t>
      </w:r>
    </w:p>
    <w:p w14:paraId="7AE44406" w14:textId="5324347B" w:rsidR="00B60528" w:rsidRPr="00BF20CF" w:rsidRDefault="00B60528" w:rsidP="00B60528">
      <w:pPr>
        <w:spacing w:before="240" w:after="120" w:line="276" w:lineRule="auto"/>
        <w:rPr>
          <w:rFonts w:ascii="Arial" w:eastAsia="Arial" w:hAnsi="Arial" w:cs="Arial"/>
        </w:rPr>
      </w:pPr>
      <w:r w:rsidRPr="00BF20CF">
        <w:rPr>
          <w:rFonts w:ascii="Arial" w:eastAsia="Arial" w:hAnsi="Arial" w:cs="Arial"/>
        </w:rPr>
        <w:t>PEG seeks some additional information regarding Hydro Ottawa’s expected capital costs related to new additions during the proposed plan in order to determine if an incremental capital supplemental stretch factor is appropriate.</w:t>
      </w:r>
    </w:p>
    <w:p w14:paraId="2EFE44BA" w14:textId="77777777" w:rsidR="007A50D8" w:rsidRPr="00BF20CF" w:rsidRDefault="007A50D8" w:rsidP="00B60528">
      <w:pPr>
        <w:spacing w:before="240" w:after="120" w:line="276" w:lineRule="auto"/>
        <w:rPr>
          <w:rFonts w:ascii="Arial" w:eastAsia="Arial" w:hAnsi="Arial" w:cs="Arial"/>
        </w:rPr>
      </w:pPr>
    </w:p>
    <w:p w14:paraId="22128E05" w14:textId="7ED53638" w:rsidR="00B60528" w:rsidRPr="00BF20CF" w:rsidRDefault="00B60528" w:rsidP="00B60528">
      <w:pPr>
        <w:spacing w:before="240" w:after="120" w:line="276" w:lineRule="auto"/>
        <w:rPr>
          <w:rFonts w:ascii="Arial" w:eastAsia="Arial" w:hAnsi="Arial" w:cs="Arial"/>
        </w:rPr>
      </w:pPr>
      <w:r w:rsidRPr="00BF20CF">
        <w:rPr>
          <w:rFonts w:ascii="Arial" w:eastAsia="Arial" w:hAnsi="Arial" w:cs="Arial"/>
        </w:rPr>
        <w:lastRenderedPageBreak/>
        <w:t>Question</w:t>
      </w:r>
      <w:r w:rsidR="007A50D8" w:rsidRPr="00BF20CF">
        <w:rPr>
          <w:rFonts w:ascii="Arial" w:eastAsia="Arial" w:hAnsi="Arial" w:cs="Arial"/>
        </w:rPr>
        <w:t>(</w:t>
      </w:r>
      <w:r w:rsidRPr="00BF20CF">
        <w:rPr>
          <w:rFonts w:ascii="Arial" w:eastAsia="Arial" w:hAnsi="Arial" w:cs="Arial"/>
        </w:rPr>
        <w:t>s</w:t>
      </w:r>
      <w:r w:rsidR="007A50D8" w:rsidRPr="00BF20CF">
        <w:rPr>
          <w:rFonts w:ascii="Arial" w:eastAsia="Arial" w:hAnsi="Arial" w:cs="Arial"/>
        </w:rPr>
        <w:t>)</w:t>
      </w:r>
      <w:r w:rsidRPr="00BF20CF">
        <w:rPr>
          <w:rFonts w:ascii="Arial" w:eastAsia="Arial" w:hAnsi="Arial" w:cs="Arial"/>
        </w:rPr>
        <w:t>:</w:t>
      </w:r>
    </w:p>
    <w:p w14:paraId="3CDF28C3" w14:textId="6A93E21F" w:rsidR="00B60528" w:rsidRPr="00BF20CF" w:rsidRDefault="00B60528" w:rsidP="007A50D8">
      <w:pPr>
        <w:numPr>
          <w:ilvl w:val="0"/>
          <w:numId w:val="248"/>
        </w:numPr>
        <w:spacing w:line="276" w:lineRule="auto"/>
        <w:rPr>
          <w:rFonts w:ascii="Arial" w:eastAsia="Arial" w:hAnsi="Arial" w:cs="Arial"/>
        </w:rPr>
      </w:pPr>
      <w:r w:rsidRPr="00BF20CF">
        <w:rPr>
          <w:rFonts w:ascii="Arial" w:eastAsia="Arial" w:hAnsi="Arial" w:cs="Arial"/>
        </w:rPr>
        <w:t>Please confirm the values for gross plant additions and the total capital-related annual revenue requirement in each year in the table below, which is similar to one we have used to calculate S factors in recent proceedings.</w:t>
      </w:r>
      <w:r w:rsidRPr="00BF20CF">
        <w:rPr>
          <w:rFonts w:ascii="Arial" w:eastAsia="Arial" w:hAnsi="Arial" w:cs="Arial"/>
          <w:vertAlign w:val="superscript"/>
        </w:rPr>
        <w:footnoteReference w:id="17"/>
      </w:r>
      <w:r w:rsidRPr="00BF20CF">
        <w:rPr>
          <w:rFonts w:ascii="Arial" w:eastAsia="Arial" w:hAnsi="Arial" w:cs="Arial"/>
        </w:rPr>
        <w:t xml:space="preserve"> If these data are incorrect, please provide the correct values and references to the sources for the correct values.</w:t>
      </w:r>
    </w:p>
    <w:p w14:paraId="4656C276" w14:textId="77777777" w:rsidR="007A50D8" w:rsidRPr="00BF20CF" w:rsidRDefault="007A50D8" w:rsidP="007A50D8">
      <w:pPr>
        <w:spacing w:line="276" w:lineRule="auto"/>
        <w:ind w:left="720"/>
        <w:rPr>
          <w:rFonts w:ascii="Arial" w:eastAsia="Arial" w:hAnsi="Arial" w:cs="Arial"/>
        </w:rPr>
      </w:pPr>
    </w:p>
    <w:p w14:paraId="582B9D9A" w14:textId="7767DF83" w:rsidR="00B60528" w:rsidRPr="00BF20CF" w:rsidRDefault="00B60528" w:rsidP="007A50D8">
      <w:pPr>
        <w:numPr>
          <w:ilvl w:val="0"/>
          <w:numId w:val="248"/>
        </w:numPr>
        <w:spacing w:line="276" w:lineRule="auto"/>
        <w:rPr>
          <w:rFonts w:ascii="Arial" w:eastAsia="Arial" w:hAnsi="Arial" w:cs="Arial"/>
        </w:rPr>
      </w:pPr>
      <w:r w:rsidRPr="00BF20CF">
        <w:rPr>
          <w:rFonts w:ascii="Arial" w:eastAsia="Arial" w:hAnsi="Arial" w:cs="Arial"/>
        </w:rPr>
        <w:t>Please provide the missing data related to the costs of these new additions in the table below for the years 2022-2025 in Excel format, using the spreadsheet also being filed as an attachment to this interrogatory.</w:t>
      </w:r>
    </w:p>
    <w:p w14:paraId="1C49F1D7" w14:textId="77777777" w:rsidR="00B60528" w:rsidRPr="00BF20CF" w:rsidRDefault="00B60528" w:rsidP="00B60528">
      <w:pPr>
        <w:autoSpaceDE w:val="0"/>
        <w:autoSpaceDN w:val="0"/>
        <w:adjustRightInd w:val="0"/>
        <w:spacing w:before="240" w:after="120" w:line="276" w:lineRule="auto"/>
        <w:ind w:left="720"/>
        <w:contextualSpacing/>
        <w:rPr>
          <w:rFonts w:ascii="Arial" w:eastAsia="Arial" w:hAnsi="Arial" w:cs="Arial"/>
          <w:lang w:val="en-CA"/>
        </w:rPr>
      </w:pPr>
      <w:bookmarkStart w:id="25" w:name="_heading=h.iz4ie44li4lu" w:colFirst="0" w:colLast="0"/>
      <w:bookmarkEnd w:id="25"/>
    </w:p>
    <w:p w14:paraId="45E968E8" w14:textId="6153ECEF" w:rsidR="00B60528" w:rsidRPr="00BF20CF" w:rsidRDefault="00B60528" w:rsidP="00B60528">
      <w:pPr>
        <w:autoSpaceDE w:val="0"/>
        <w:autoSpaceDN w:val="0"/>
        <w:adjustRightInd w:val="0"/>
        <w:spacing w:before="240" w:after="120" w:line="276" w:lineRule="auto"/>
        <w:contextualSpacing/>
        <w:rPr>
          <w:rFonts w:ascii="Arial" w:eastAsia="Arial" w:hAnsi="Arial" w:cs="Arial"/>
          <w:lang w:val="en-CA"/>
        </w:rPr>
      </w:pPr>
      <w:r w:rsidRPr="00BF20CF">
        <w:rPr>
          <w:rFonts w:ascii="Arial" w:eastAsia="Arial" w:hAnsi="Arial"/>
          <w:noProof/>
          <w:sz w:val="22"/>
          <w:szCs w:val="20"/>
        </w:rPr>
        <w:drawing>
          <wp:inline distT="0" distB="0" distL="0" distR="0" wp14:anchorId="1AAF8DD7" wp14:editId="5BE1354A">
            <wp:extent cx="5943600" cy="300028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00284"/>
                    </a:xfrm>
                    <a:prstGeom prst="rect">
                      <a:avLst/>
                    </a:prstGeom>
                    <a:noFill/>
                    <a:ln>
                      <a:noFill/>
                    </a:ln>
                  </pic:spPr>
                </pic:pic>
              </a:graphicData>
            </a:graphic>
          </wp:inline>
        </w:drawing>
      </w:r>
      <w:bookmarkStart w:id="26" w:name="_heading=h.w28hizlf8t7i" w:colFirst="0" w:colLast="0"/>
      <w:bookmarkEnd w:id="26"/>
    </w:p>
    <w:p w14:paraId="6BB58A54" w14:textId="77777777" w:rsidR="007A50D8" w:rsidRPr="00BF20CF" w:rsidRDefault="007A50D8" w:rsidP="007A50D8">
      <w:pPr>
        <w:autoSpaceDE w:val="0"/>
        <w:autoSpaceDN w:val="0"/>
        <w:adjustRightInd w:val="0"/>
        <w:spacing w:before="240" w:after="120" w:line="276" w:lineRule="auto"/>
        <w:contextualSpacing/>
        <w:rPr>
          <w:rFonts w:ascii="Arial" w:eastAsia="Arial" w:hAnsi="Arial" w:cs="Arial"/>
          <w:lang w:val="en-CA"/>
        </w:rPr>
      </w:pPr>
    </w:p>
    <w:p w14:paraId="266A6825" w14:textId="627EAE6E" w:rsidR="00B60528" w:rsidRPr="00BF20CF" w:rsidRDefault="00B60528" w:rsidP="007A50D8">
      <w:pPr>
        <w:spacing w:before="240" w:line="276" w:lineRule="auto"/>
        <w:outlineLvl w:val="2"/>
        <w:rPr>
          <w:rFonts w:ascii="Arial" w:eastAsia="Calibri" w:hAnsi="Arial" w:cs="Arial"/>
          <w:b/>
        </w:rPr>
      </w:pPr>
      <w:r w:rsidRPr="00BF20CF">
        <w:rPr>
          <w:rFonts w:ascii="Arial" w:eastAsia="Calibri" w:hAnsi="Arial" w:cs="Arial"/>
          <w:b/>
        </w:rPr>
        <w:t>1-Staff-</w:t>
      </w:r>
      <w:r w:rsidR="007A50D8" w:rsidRPr="00BF20CF">
        <w:rPr>
          <w:rFonts w:ascii="Arial" w:eastAsia="Calibri" w:hAnsi="Arial" w:cs="Arial"/>
          <w:b/>
        </w:rPr>
        <w:t>33</w:t>
      </w:r>
      <w:r w:rsidRPr="00BF20CF">
        <w:rPr>
          <w:rFonts w:ascii="Arial" w:eastAsia="Calibri" w:hAnsi="Arial" w:cs="Arial"/>
          <w:b/>
        </w:rPr>
        <w:t xml:space="preserve">  </w:t>
      </w:r>
    </w:p>
    <w:bookmarkStart w:id="27" w:name="_heading=h.rekhzdj56tlo" w:colFirst="0" w:colLast="0" w:displacedByCustomXml="next"/>
    <w:bookmarkEnd w:id="27" w:displacedByCustomXml="next"/>
    <w:sdt>
      <w:sdtPr>
        <w:rPr>
          <w:rFonts w:eastAsia="Calibri"/>
        </w:rPr>
        <w:tag w:val="goog_rdk_10"/>
        <w:id w:val="-487022610"/>
      </w:sdtPr>
      <w:sdtEndPr/>
      <w:sdtContent>
        <w:p w14:paraId="5B2A2171" w14:textId="77777777" w:rsidR="00B60528" w:rsidRPr="00BF20CF" w:rsidRDefault="00B60528" w:rsidP="00637CD5">
          <w:pPr>
            <w:rPr>
              <w:rFonts w:eastAsia="Calibri"/>
            </w:rPr>
          </w:pPr>
          <w:r w:rsidRPr="00637CD5">
            <w:rPr>
              <w:rFonts w:ascii="Arial" w:eastAsia="Calibri" w:hAnsi="Arial" w:cs="Arial"/>
              <w:b/>
            </w:rPr>
            <w:t>Ref:</w:t>
          </w:r>
          <w:r w:rsidRPr="00637CD5">
            <w:rPr>
              <w:rFonts w:ascii="Arial" w:eastAsia="Calibri" w:hAnsi="Arial" w:cs="Arial"/>
              <w:b/>
            </w:rPr>
            <w:tab/>
            <w:t>Exhibit 1/Tab 1/Schedule 8</w:t>
          </w:r>
        </w:p>
      </w:sdtContent>
    </w:sdt>
    <w:p w14:paraId="7A51C942"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Preamble:</w:t>
      </w:r>
    </w:p>
    <w:p w14:paraId="2EA2E7AF" w14:textId="64D1002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Hydro Ottawa’s capex has been markedly higher on average since 2012. </w:t>
      </w:r>
    </w:p>
    <w:p w14:paraId="40FFD380" w14:textId="77777777" w:rsidR="007A50D8" w:rsidRPr="00BF20CF" w:rsidRDefault="007A50D8" w:rsidP="00B60528">
      <w:pPr>
        <w:spacing w:before="240" w:after="240" w:line="276" w:lineRule="auto"/>
        <w:rPr>
          <w:rFonts w:ascii="Arial" w:eastAsia="Arial" w:hAnsi="Arial" w:cs="Arial"/>
        </w:rPr>
      </w:pPr>
    </w:p>
    <w:p w14:paraId="3A9EDE0B" w14:textId="29CA850F" w:rsidR="00B60528" w:rsidRPr="00BF20CF" w:rsidRDefault="00B60528" w:rsidP="00B60528">
      <w:pPr>
        <w:spacing w:before="240" w:after="120" w:line="276" w:lineRule="auto"/>
        <w:rPr>
          <w:rFonts w:ascii="Arial" w:eastAsia="Arial" w:hAnsi="Arial" w:cs="Arial"/>
        </w:rPr>
      </w:pPr>
      <w:r w:rsidRPr="00BF20CF">
        <w:rPr>
          <w:rFonts w:ascii="Arial" w:eastAsia="Arial" w:hAnsi="Arial" w:cs="Arial"/>
        </w:rPr>
        <w:lastRenderedPageBreak/>
        <w:t>Question</w:t>
      </w:r>
      <w:r w:rsidR="007A50D8" w:rsidRPr="00BF20CF">
        <w:rPr>
          <w:rFonts w:ascii="Arial" w:eastAsia="Arial" w:hAnsi="Arial" w:cs="Arial"/>
        </w:rPr>
        <w:t>(</w:t>
      </w:r>
      <w:r w:rsidRPr="00BF20CF">
        <w:rPr>
          <w:rFonts w:ascii="Arial" w:eastAsia="Arial" w:hAnsi="Arial" w:cs="Arial"/>
        </w:rPr>
        <w:t>s</w:t>
      </w:r>
      <w:r w:rsidR="007A50D8" w:rsidRPr="00BF20CF">
        <w:rPr>
          <w:rFonts w:ascii="Arial" w:eastAsia="Arial" w:hAnsi="Arial" w:cs="Arial"/>
        </w:rPr>
        <w:t>)</w:t>
      </w:r>
      <w:r w:rsidRPr="00BF20CF">
        <w:rPr>
          <w:rFonts w:ascii="Arial" w:eastAsia="Arial" w:hAnsi="Arial" w:cs="Arial"/>
        </w:rPr>
        <w:t>:</w:t>
      </w:r>
    </w:p>
    <w:p w14:paraId="7BB9320C" w14:textId="51795743" w:rsidR="00B60528" w:rsidRPr="00BF20CF" w:rsidRDefault="00B60528" w:rsidP="00B60528">
      <w:pPr>
        <w:numPr>
          <w:ilvl w:val="0"/>
          <w:numId w:val="247"/>
        </w:numPr>
        <w:autoSpaceDE w:val="0"/>
        <w:autoSpaceDN w:val="0"/>
        <w:adjustRightInd w:val="0"/>
        <w:spacing w:before="240" w:after="240" w:line="276" w:lineRule="auto"/>
        <w:contextualSpacing/>
        <w:rPr>
          <w:rFonts w:ascii="Arial" w:eastAsia="Arial" w:hAnsi="Arial" w:cs="Arial"/>
          <w:lang w:val="en-CA"/>
        </w:rPr>
      </w:pPr>
      <w:r w:rsidRPr="00BF20CF">
        <w:rPr>
          <w:rFonts w:ascii="Arial" w:eastAsia="Arial" w:hAnsi="Arial" w:cs="Arial"/>
          <w:lang w:val="en-CA"/>
        </w:rPr>
        <w:t xml:space="preserve">Please provide data on Hydro Ottawa’s targeted and actual return on equity, total capex, and the number of customers served for as many years as are available. </w:t>
      </w:r>
    </w:p>
    <w:p w14:paraId="37158C98" w14:textId="77777777" w:rsidR="007A50D8" w:rsidRPr="00BF20CF" w:rsidRDefault="007A50D8" w:rsidP="007A50D8">
      <w:pPr>
        <w:autoSpaceDE w:val="0"/>
        <w:autoSpaceDN w:val="0"/>
        <w:adjustRightInd w:val="0"/>
        <w:spacing w:before="240" w:after="240" w:line="276" w:lineRule="auto"/>
        <w:ind w:left="720"/>
        <w:contextualSpacing/>
        <w:rPr>
          <w:rFonts w:ascii="Arial" w:eastAsia="Arial" w:hAnsi="Arial" w:cs="Arial"/>
          <w:lang w:val="en-CA"/>
        </w:rPr>
      </w:pPr>
    </w:p>
    <w:p w14:paraId="0AC1DF56" w14:textId="58D9B574" w:rsidR="00B60528" w:rsidRPr="00BF20CF" w:rsidRDefault="00B60528" w:rsidP="007A50D8">
      <w:pPr>
        <w:numPr>
          <w:ilvl w:val="0"/>
          <w:numId w:val="247"/>
        </w:numPr>
        <w:autoSpaceDE w:val="0"/>
        <w:autoSpaceDN w:val="0"/>
        <w:adjustRightInd w:val="0"/>
        <w:spacing w:line="276" w:lineRule="auto"/>
        <w:contextualSpacing/>
        <w:rPr>
          <w:rFonts w:ascii="Arial" w:eastAsia="Arial" w:hAnsi="Arial" w:cs="Arial"/>
          <w:lang w:val="en-CA"/>
        </w:rPr>
      </w:pPr>
      <w:r w:rsidRPr="00BF20CF">
        <w:rPr>
          <w:rFonts w:ascii="Arial" w:eastAsia="Arial" w:hAnsi="Arial" w:cs="Arial"/>
          <w:lang w:val="en-CA"/>
        </w:rPr>
        <w:t>For the years for which data are available, please decompose the capex into the four categories that are requested in the OEB’s DSP guidelines.</w:t>
      </w:r>
    </w:p>
    <w:p w14:paraId="476CA9EB" w14:textId="77777777" w:rsidR="007A50D8" w:rsidRPr="00BF20CF" w:rsidRDefault="007A50D8" w:rsidP="007A50D8">
      <w:pPr>
        <w:pStyle w:val="ListParagraph"/>
        <w:rPr>
          <w:rFonts w:ascii="Arial" w:eastAsia="Arial" w:hAnsi="Arial" w:cs="Arial"/>
        </w:rPr>
      </w:pPr>
    </w:p>
    <w:p w14:paraId="4AA1AC26" w14:textId="6264F748" w:rsidR="00B60528" w:rsidRPr="00BF20CF" w:rsidRDefault="00B60528" w:rsidP="007A50D8">
      <w:pPr>
        <w:spacing w:before="240" w:line="276" w:lineRule="auto"/>
        <w:outlineLvl w:val="2"/>
        <w:rPr>
          <w:rFonts w:ascii="Arial" w:eastAsia="Calibri" w:hAnsi="Arial" w:cs="Arial"/>
          <w:b/>
        </w:rPr>
      </w:pPr>
      <w:bookmarkStart w:id="28" w:name="_heading=h.b23p9t2gcupi" w:colFirst="0" w:colLast="0"/>
      <w:bookmarkStart w:id="29" w:name="_heading=h.fz4ic6kdbvx1" w:colFirst="0" w:colLast="0"/>
      <w:bookmarkEnd w:id="28"/>
      <w:bookmarkEnd w:id="29"/>
      <w:r w:rsidRPr="00BF20CF">
        <w:rPr>
          <w:rFonts w:ascii="Arial" w:eastAsia="Calibri" w:hAnsi="Arial" w:cs="Arial"/>
          <w:b/>
        </w:rPr>
        <w:t>1-Staff-</w:t>
      </w:r>
      <w:r w:rsidR="007A50D8" w:rsidRPr="00BF20CF">
        <w:rPr>
          <w:rFonts w:ascii="Arial" w:eastAsia="Calibri" w:hAnsi="Arial" w:cs="Arial"/>
          <w:b/>
        </w:rPr>
        <w:t>34</w:t>
      </w:r>
      <w:r w:rsidRPr="00BF20CF">
        <w:rPr>
          <w:rFonts w:ascii="Arial" w:eastAsia="Calibri" w:hAnsi="Arial" w:cs="Arial"/>
          <w:b/>
        </w:rPr>
        <w:t xml:space="preserve">  </w:t>
      </w:r>
    </w:p>
    <w:bookmarkStart w:id="30" w:name="_heading=h.ll8140fyvnwo" w:colFirst="0" w:colLast="0"/>
    <w:bookmarkEnd w:id="30"/>
    <w:p w14:paraId="375619B4" w14:textId="7BF2E588" w:rsidR="00B60528" w:rsidRPr="00637CD5" w:rsidRDefault="00637CD5" w:rsidP="00637CD5">
      <w:pPr>
        <w:rPr>
          <w:rFonts w:ascii="Arial" w:eastAsia="Calibri" w:hAnsi="Arial" w:cs="Arial"/>
          <w:b/>
        </w:rPr>
      </w:pPr>
      <w:sdt>
        <w:sdtPr>
          <w:rPr>
            <w:rFonts w:ascii="Arial" w:eastAsia="Calibri" w:hAnsi="Arial" w:cs="Arial"/>
            <w:b/>
          </w:rPr>
          <w:tag w:val="goog_rdk_11"/>
          <w:id w:val="-508374465"/>
        </w:sdtPr>
        <w:sdtEndPr/>
        <w:sdtContent>
          <w:r w:rsidR="00B60528" w:rsidRPr="00637CD5">
            <w:rPr>
              <w:rFonts w:ascii="Arial" w:eastAsia="Calibri" w:hAnsi="Arial" w:cs="Arial"/>
              <w:b/>
            </w:rPr>
            <w:t>Ref:</w:t>
          </w:r>
          <w:r w:rsidR="00B60528" w:rsidRPr="00637CD5">
            <w:rPr>
              <w:rFonts w:ascii="Arial" w:eastAsia="Calibri" w:hAnsi="Arial" w:cs="Arial"/>
              <w:b/>
            </w:rPr>
            <w:tab/>
            <w:t>Exhibit 1/Tab 1/Schedules 8/page 8</w:t>
          </w:r>
          <w:r w:rsidR="00B60528" w:rsidRPr="00637CD5">
            <w:rPr>
              <w:rFonts w:ascii="Arial" w:eastAsia="Calibri" w:hAnsi="Arial" w:cs="Arial"/>
              <w:b/>
            </w:rPr>
            <w:br/>
          </w:r>
          <w:r>
            <w:rPr>
              <w:rFonts w:ascii="Arial" w:eastAsia="Calibri" w:hAnsi="Arial" w:cs="Arial"/>
              <w:b/>
            </w:rPr>
            <w:t xml:space="preserve">           </w:t>
          </w:r>
          <w:r w:rsidR="00B60528" w:rsidRPr="00637CD5">
            <w:rPr>
              <w:rFonts w:ascii="Arial" w:eastAsia="Calibri" w:hAnsi="Arial" w:cs="Arial"/>
              <w:b/>
            </w:rPr>
            <w:t>Exhibit 1/Tab 1/Schedule 10</w:t>
          </w:r>
        </w:sdtContent>
      </w:sdt>
      <w:r w:rsidR="00B60528" w:rsidRPr="00637CD5">
        <w:rPr>
          <w:rFonts w:ascii="Arial" w:eastAsia="Calibri" w:hAnsi="Arial" w:cs="Arial"/>
          <w:b/>
        </w:rPr>
        <w:t>/page 20</w:t>
      </w:r>
    </w:p>
    <w:p w14:paraId="7D24D771"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Preamble:</w:t>
      </w:r>
    </w:p>
    <w:p w14:paraId="096A0E14" w14:textId="467E0395"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On page 8 of the first reference, Hydro Ottawa states that: </w:t>
      </w:r>
    </w:p>
    <w:p w14:paraId="44AACAD7" w14:textId="77777777" w:rsidR="00B60528" w:rsidRPr="00BF20CF" w:rsidRDefault="00B60528" w:rsidP="00B60528">
      <w:pPr>
        <w:spacing w:before="240" w:after="240" w:line="276" w:lineRule="auto"/>
        <w:ind w:left="720"/>
        <w:rPr>
          <w:rFonts w:ascii="Arial" w:eastAsia="Arial" w:hAnsi="Arial" w:cs="Arial"/>
        </w:rPr>
      </w:pPr>
      <w:r w:rsidRPr="00BF20CF">
        <w:rPr>
          <w:rFonts w:ascii="Arial" w:eastAsia="Arial" w:hAnsi="Arial" w:cs="Arial"/>
        </w:rPr>
        <w:t xml:space="preserve">[t]he company requested </w:t>
      </w:r>
      <w:proofErr w:type="spellStart"/>
      <w:r w:rsidRPr="00BF20CF">
        <w:rPr>
          <w:rFonts w:ascii="Arial" w:eastAsia="Arial" w:hAnsi="Arial" w:cs="Arial"/>
        </w:rPr>
        <w:t>Clearspring</w:t>
      </w:r>
      <w:proofErr w:type="spellEnd"/>
      <w:r w:rsidRPr="00BF20CF">
        <w:rPr>
          <w:rFonts w:ascii="Arial" w:eastAsia="Arial" w:hAnsi="Arial" w:cs="Arial"/>
        </w:rPr>
        <w:t xml:space="preserve"> Energy examine how the total cost benchmarking results would change if the “once in a generation” Facilities Renewal Program [FRP] and the South Nepean Municipal Transformer Station projects had not been pursued. In that hypothetical, the average 2021-2025 score would be -12.5%. This would have changed our stretch factor recommendation from 0.3% to 0.15%.</w:t>
      </w:r>
    </w:p>
    <w:p w14:paraId="67346F12"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Hydro Ottawa also states on p. 20 of the second reference, that:</w:t>
      </w:r>
    </w:p>
    <w:p w14:paraId="619604FE" w14:textId="7210E03B" w:rsidR="00B60528" w:rsidRPr="00BF20CF" w:rsidRDefault="00B60528" w:rsidP="00B60528">
      <w:pPr>
        <w:spacing w:before="240" w:after="240" w:line="276" w:lineRule="auto"/>
        <w:ind w:left="720"/>
        <w:rPr>
          <w:rFonts w:ascii="Arial" w:eastAsia="Arial" w:hAnsi="Arial" w:cs="Arial"/>
          <w:shd w:val="clear" w:color="auto" w:fill="FAF9F8"/>
        </w:rPr>
      </w:pPr>
      <w:r w:rsidRPr="00BF20CF">
        <w:rPr>
          <w:rFonts w:ascii="Arial" w:eastAsia="Arial" w:hAnsi="Arial" w:cs="Arial"/>
          <w:shd w:val="clear" w:color="auto" w:fill="FAF9F8"/>
        </w:rPr>
        <w:t>[s]</w:t>
      </w:r>
      <w:proofErr w:type="spellStart"/>
      <w:r w:rsidRPr="00BF20CF">
        <w:rPr>
          <w:rFonts w:ascii="Arial" w:eastAsia="Arial" w:hAnsi="Arial" w:cs="Arial"/>
          <w:shd w:val="clear" w:color="auto" w:fill="FAF9F8"/>
        </w:rPr>
        <w:t>eeing</w:t>
      </w:r>
      <w:proofErr w:type="spellEnd"/>
      <w:r w:rsidRPr="00BF20CF">
        <w:rPr>
          <w:rFonts w:ascii="Arial" w:eastAsia="Arial" w:hAnsi="Arial" w:cs="Arial"/>
          <w:shd w:val="clear" w:color="auto" w:fill="FAF9F8"/>
        </w:rPr>
        <w:t xml:space="preserve"> as the FRP is not of a recurring nature, and a new MTS requiring a major transmission upgrade is a rare investment, it is Hydro Ottawa’s position that these projects should be excluded for purposes of determining the utility’s stretch factor. </w:t>
      </w:r>
    </w:p>
    <w:p w14:paraId="534A5CFD" w14:textId="5BD2536E"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Question</w:t>
      </w:r>
      <w:r w:rsidR="007A50D8" w:rsidRPr="00BF20CF">
        <w:rPr>
          <w:rFonts w:ascii="Arial" w:eastAsia="Arial" w:hAnsi="Arial" w:cs="Arial"/>
        </w:rPr>
        <w:t>(</w:t>
      </w:r>
      <w:r w:rsidRPr="00BF20CF">
        <w:rPr>
          <w:rFonts w:ascii="Arial" w:eastAsia="Arial" w:hAnsi="Arial" w:cs="Arial"/>
        </w:rPr>
        <w:t>s</w:t>
      </w:r>
      <w:r w:rsidR="007A50D8" w:rsidRPr="00BF20CF">
        <w:rPr>
          <w:rFonts w:ascii="Arial" w:eastAsia="Arial" w:hAnsi="Arial" w:cs="Arial"/>
        </w:rPr>
        <w:t>)</w:t>
      </w:r>
      <w:r w:rsidRPr="00BF20CF">
        <w:rPr>
          <w:rFonts w:ascii="Arial" w:eastAsia="Arial" w:hAnsi="Arial" w:cs="Arial"/>
        </w:rPr>
        <w:t>:</w:t>
      </w:r>
    </w:p>
    <w:p w14:paraId="66DE3225" w14:textId="3EDEB62C" w:rsidR="00B60528" w:rsidRPr="00BF20CF" w:rsidRDefault="00B60528" w:rsidP="00B60528">
      <w:pPr>
        <w:numPr>
          <w:ilvl w:val="1"/>
          <w:numId w:val="240"/>
        </w:numPr>
        <w:autoSpaceDE w:val="0"/>
        <w:autoSpaceDN w:val="0"/>
        <w:adjustRightInd w:val="0"/>
        <w:spacing w:before="240" w:after="240" w:line="276" w:lineRule="auto"/>
        <w:contextualSpacing/>
        <w:rPr>
          <w:rFonts w:ascii="Arial" w:eastAsia="Arial" w:hAnsi="Arial" w:cs="Arial"/>
          <w:bCs/>
          <w:lang w:val="en-CA"/>
        </w:rPr>
      </w:pPr>
      <w:r w:rsidRPr="00BF20CF">
        <w:rPr>
          <w:rFonts w:ascii="Arial" w:eastAsia="Arial" w:hAnsi="Arial" w:cs="Arial"/>
          <w:bCs/>
          <w:lang w:val="en-CA"/>
        </w:rPr>
        <w:t>Hydro One’s net plant value has grown much slower than its gross plant value, due in part to rapid growth in its accumulated depreciation.  As the years of apparent high capex continue, please confirm that large amounts of accumulated depreciation and the enlarged rate base will place a material drag on continued rapid capital cost growth.</w:t>
      </w:r>
    </w:p>
    <w:p w14:paraId="00FF83D7" w14:textId="77777777" w:rsidR="007A50D8" w:rsidRPr="00BF20CF" w:rsidRDefault="007A50D8" w:rsidP="007A50D8">
      <w:pPr>
        <w:autoSpaceDE w:val="0"/>
        <w:autoSpaceDN w:val="0"/>
        <w:adjustRightInd w:val="0"/>
        <w:spacing w:before="240" w:after="240" w:line="276" w:lineRule="auto"/>
        <w:ind w:left="1440"/>
        <w:contextualSpacing/>
        <w:rPr>
          <w:rFonts w:ascii="Arial" w:eastAsia="Arial" w:hAnsi="Arial" w:cs="Arial"/>
          <w:bCs/>
          <w:lang w:val="en-CA"/>
        </w:rPr>
      </w:pPr>
    </w:p>
    <w:p w14:paraId="7536A648" w14:textId="383545E4" w:rsidR="00B60528" w:rsidRPr="00BF20CF" w:rsidRDefault="00B60528" w:rsidP="007A50D8">
      <w:pPr>
        <w:numPr>
          <w:ilvl w:val="1"/>
          <w:numId w:val="240"/>
        </w:numPr>
        <w:autoSpaceDE w:val="0"/>
        <w:autoSpaceDN w:val="0"/>
        <w:adjustRightInd w:val="0"/>
        <w:spacing w:line="276" w:lineRule="auto"/>
        <w:contextualSpacing/>
        <w:rPr>
          <w:rFonts w:ascii="Arial" w:eastAsia="Arial" w:hAnsi="Arial" w:cs="Arial"/>
          <w:lang w:val="en-CA"/>
        </w:rPr>
      </w:pPr>
      <w:r w:rsidRPr="00BF20CF">
        <w:rPr>
          <w:rFonts w:ascii="Arial" w:eastAsia="Arial" w:hAnsi="Arial" w:cs="Arial"/>
          <w:lang w:val="en-CA"/>
        </w:rPr>
        <w:t xml:space="preserve">If customers must fully compensate Hydro Ottawa for rising capital cost when productivity growth is unusually slow due to a capex </w:t>
      </w:r>
      <w:r w:rsidRPr="00BF20CF">
        <w:rPr>
          <w:rFonts w:ascii="Arial" w:eastAsia="Arial" w:hAnsi="Arial" w:cs="Arial"/>
          <w:lang w:val="en-CA"/>
        </w:rPr>
        <w:lastRenderedPageBreak/>
        <w:t>surge, why should they not by some means enjoy slower revenue growth when it is completed?</w:t>
      </w:r>
    </w:p>
    <w:p w14:paraId="6B7CCE4A" w14:textId="77777777" w:rsidR="007A50D8" w:rsidRPr="00BF20CF" w:rsidRDefault="007A50D8" w:rsidP="007A50D8">
      <w:pPr>
        <w:pStyle w:val="ListParagraph"/>
        <w:rPr>
          <w:rFonts w:ascii="Arial" w:eastAsia="Arial" w:hAnsi="Arial" w:cs="Arial"/>
        </w:rPr>
      </w:pPr>
    </w:p>
    <w:p w14:paraId="4C960720" w14:textId="4B02B852" w:rsidR="00B60528" w:rsidRPr="00BF20CF" w:rsidRDefault="00B60528" w:rsidP="007A50D8">
      <w:pPr>
        <w:spacing w:before="240" w:line="276" w:lineRule="auto"/>
        <w:outlineLvl w:val="2"/>
        <w:rPr>
          <w:rFonts w:ascii="Arial" w:eastAsia="Calibri" w:hAnsi="Arial" w:cs="Arial"/>
          <w:b/>
        </w:rPr>
      </w:pPr>
      <w:r w:rsidRPr="00BF20CF">
        <w:rPr>
          <w:rFonts w:ascii="Arial" w:eastAsia="Calibri" w:hAnsi="Arial" w:cs="Arial"/>
          <w:b/>
        </w:rPr>
        <w:t>1-Staff-</w:t>
      </w:r>
      <w:r w:rsidR="007A50D8" w:rsidRPr="00BF20CF">
        <w:rPr>
          <w:rFonts w:ascii="Arial" w:eastAsia="Calibri" w:hAnsi="Arial" w:cs="Arial"/>
          <w:b/>
        </w:rPr>
        <w:t>35</w:t>
      </w:r>
      <w:r w:rsidRPr="00BF20CF">
        <w:rPr>
          <w:rFonts w:ascii="Arial" w:eastAsia="Calibri" w:hAnsi="Arial" w:cs="Arial"/>
          <w:b/>
        </w:rPr>
        <w:t xml:space="preserve">  </w:t>
      </w:r>
    </w:p>
    <w:sdt>
      <w:sdtPr>
        <w:rPr>
          <w:rFonts w:ascii="Arial" w:eastAsia="Calibri" w:hAnsi="Arial" w:cs="Arial"/>
          <w:b/>
        </w:rPr>
        <w:tag w:val="goog_rdk_11"/>
        <w:id w:val="1861005493"/>
      </w:sdtPr>
      <w:sdtEndPr>
        <w:rPr>
          <w:rFonts w:ascii="Times New Roman" w:hAnsi="Times New Roman" w:cs="Times New Roman"/>
          <w:b w:val="0"/>
        </w:rPr>
      </w:sdtEndPr>
      <w:sdtContent>
        <w:p w14:paraId="329C30EA" w14:textId="77777777" w:rsidR="00B60528" w:rsidRPr="00BF20CF" w:rsidRDefault="00B60528" w:rsidP="00637CD5">
          <w:pPr>
            <w:rPr>
              <w:rFonts w:eastAsia="Calibri"/>
            </w:rPr>
          </w:pPr>
          <w:r w:rsidRPr="00637CD5">
            <w:rPr>
              <w:rFonts w:ascii="Arial" w:eastAsia="Calibri" w:hAnsi="Arial" w:cs="Arial"/>
              <w:b/>
            </w:rPr>
            <w:t>Ref:</w:t>
          </w:r>
          <w:r w:rsidRPr="00637CD5">
            <w:rPr>
              <w:rFonts w:ascii="Arial" w:eastAsia="Calibri" w:hAnsi="Arial" w:cs="Arial"/>
              <w:b/>
            </w:rPr>
            <w:tab/>
            <w:t>Exhibit 2/Tab 4/Schedule 3</w:t>
          </w:r>
        </w:p>
      </w:sdtContent>
    </w:sdt>
    <w:p w14:paraId="2D0D5621"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Preamble:</w:t>
      </w:r>
    </w:p>
    <w:p w14:paraId="73ADF0A6"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Hydro Ottawa provides an extensive discussion of its system age in its distribution system plan, stating on p. 136 that “19% of all assets have reached their expected service life and now pose a higher risk of failure.”  In work for various clients, PEG is developing the capability to consider asset age in its cost models.</w:t>
      </w:r>
    </w:p>
    <w:p w14:paraId="72F60723" w14:textId="5E12CDA8"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Question</w:t>
      </w:r>
      <w:r w:rsidR="00AF4270" w:rsidRPr="00BF20CF">
        <w:rPr>
          <w:rFonts w:ascii="Arial" w:eastAsia="Arial" w:hAnsi="Arial" w:cs="Arial"/>
        </w:rPr>
        <w:t>(</w:t>
      </w:r>
      <w:r w:rsidRPr="00BF20CF">
        <w:rPr>
          <w:rFonts w:ascii="Arial" w:eastAsia="Arial" w:hAnsi="Arial" w:cs="Arial"/>
        </w:rPr>
        <w:t>s</w:t>
      </w:r>
      <w:r w:rsidR="00AF4270" w:rsidRPr="00BF20CF">
        <w:rPr>
          <w:rFonts w:ascii="Arial" w:eastAsia="Arial" w:hAnsi="Arial" w:cs="Arial"/>
        </w:rPr>
        <w:t>)</w:t>
      </w:r>
      <w:r w:rsidRPr="00BF20CF">
        <w:rPr>
          <w:rFonts w:ascii="Arial" w:eastAsia="Arial" w:hAnsi="Arial" w:cs="Arial"/>
        </w:rPr>
        <w:t>:</w:t>
      </w:r>
    </w:p>
    <w:p w14:paraId="637CCD36" w14:textId="0FF3425F" w:rsidR="00B60528" w:rsidRPr="00BF20CF" w:rsidRDefault="00B60528" w:rsidP="00B60528">
      <w:pPr>
        <w:numPr>
          <w:ilvl w:val="0"/>
          <w:numId w:val="241"/>
        </w:numPr>
        <w:autoSpaceDE w:val="0"/>
        <w:autoSpaceDN w:val="0"/>
        <w:adjustRightInd w:val="0"/>
        <w:spacing w:before="240" w:after="240" w:line="276" w:lineRule="auto"/>
        <w:contextualSpacing/>
        <w:rPr>
          <w:rFonts w:ascii="Arial" w:eastAsia="Arial" w:hAnsi="Arial" w:cs="Arial"/>
          <w:bCs/>
          <w:lang w:val="en-CA"/>
        </w:rPr>
      </w:pPr>
      <w:r w:rsidRPr="00BF20CF">
        <w:rPr>
          <w:rFonts w:ascii="Arial" w:eastAsia="Arial" w:hAnsi="Arial" w:cs="Arial"/>
          <w:bCs/>
          <w:lang w:val="en-CA"/>
        </w:rPr>
        <w:t xml:space="preserve">Please provide a detailed explanation of how the summary statistics on the prevalence of older assets and poorly-performing assets are computed.  </w:t>
      </w:r>
    </w:p>
    <w:p w14:paraId="0245E01A" w14:textId="77777777" w:rsidR="00AF4270" w:rsidRPr="00BF20CF" w:rsidRDefault="00AF4270" w:rsidP="00AF4270">
      <w:pPr>
        <w:autoSpaceDE w:val="0"/>
        <w:autoSpaceDN w:val="0"/>
        <w:adjustRightInd w:val="0"/>
        <w:spacing w:before="240" w:after="240" w:line="276" w:lineRule="auto"/>
        <w:ind w:left="720"/>
        <w:contextualSpacing/>
        <w:rPr>
          <w:rFonts w:ascii="Arial" w:eastAsia="Arial" w:hAnsi="Arial" w:cs="Arial"/>
          <w:bCs/>
          <w:lang w:val="en-CA"/>
        </w:rPr>
      </w:pPr>
    </w:p>
    <w:p w14:paraId="45D9886D" w14:textId="77777777" w:rsidR="00B60528" w:rsidRPr="00BF20CF" w:rsidRDefault="00B60528" w:rsidP="00B60528">
      <w:pPr>
        <w:numPr>
          <w:ilvl w:val="0"/>
          <w:numId w:val="241"/>
        </w:numPr>
        <w:autoSpaceDE w:val="0"/>
        <w:autoSpaceDN w:val="0"/>
        <w:adjustRightInd w:val="0"/>
        <w:spacing w:before="240" w:after="240" w:line="276" w:lineRule="auto"/>
        <w:contextualSpacing/>
        <w:rPr>
          <w:rFonts w:ascii="Arial" w:eastAsia="Arial" w:hAnsi="Arial" w:cs="Arial"/>
          <w:bCs/>
          <w:lang w:val="en-CA"/>
        </w:rPr>
      </w:pPr>
      <w:r w:rsidRPr="00BF20CF">
        <w:rPr>
          <w:rFonts w:ascii="Arial" w:eastAsia="Arial" w:hAnsi="Arial" w:cs="Arial"/>
          <w:bCs/>
          <w:lang w:val="en-CA"/>
        </w:rPr>
        <w:t>Figures like 6.4 in the DSP suggest that Hydro Ottawa has a detailed knowledge of the age of its system components.  We would like to estimate the size of the Company’s plant additions in each year between 1950 and 1983, including those that have already been replaced, for the following major asset categories if available: station transformers (including high voltage), wood poles, overhead distribution cables, underground cables, underground transformers, and services.”</w:t>
      </w:r>
    </w:p>
    <w:p w14:paraId="4553A872" w14:textId="77777777" w:rsidR="00B60528" w:rsidRPr="00BF20CF" w:rsidRDefault="00B60528" w:rsidP="00B60528">
      <w:pPr>
        <w:numPr>
          <w:ilvl w:val="1"/>
          <w:numId w:val="242"/>
        </w:numPr>
        <w:autoSpaceDE w:val="0"/>
        <w:autoSpaceDN w:val="0"/>
        <w:adjustRightInd w:val="0"/>
        <w:spacing w:before="240" w:after="240" w:line="276" w:lineRule="auto"/>
        <w:contextualSpacing/>
        <w:rPr>
          <w:rFonts w:ascii="Arial" w:eastAsia="Arial" w:hAnsi="Arial" w:cs="Arial"/>
          <w:bCs/>
          <w:lang w:val="en-CA"/>
        </w:rPr>
      </w:pPr>
      <w:r w:rsidRPr="00BF20CF">
        <w:rPr>
          <w:rFonts w:ascii="Arial" w:eastAsia="Arial" w:hAnsi="Arial" w:cs="Arial"/>
          <w:bCs/>
          <w:lang w:val="en-CA"/>
        </w:rPr>
        <w:t>Please provide these data if available.</w:t>
      </w:r>
    </w:p>
    <w:p w14:paraId="3571F801" w14:textId="182720C4" w:rsidR="00B60528" w:rsidRPr="00BF20CF" w:rsidRDefault="00B60528" w:rsidP="00B60528">
      <w:pPr>
        <w:numPr>
          <w:ilvl w:val="1"/>
          <w:numId w:val="242"/>
        </w:numPr>
        <w:autoSpaceDE w:val="0"/>
        <w:autoSpaceDN w:val="0"/>
        <w:adjustRightInd w:val="0"/>
        <w:spacing w:before="240" w:after="240" w:line="276" w:lineRule="auto"/>
        <w:contextualSpacing/>
        <w:rPr>
          <w:rFonts w:ascii="Arial" w:eastAsia="Arial" w:hAnsi="Arial" w:cs="Arial"/>
          <w:bCs/>
          <w:lang w:val="en-CA"/>
        </w:rPr>
      </w:pPr>
      <w:r w:rsidRPr="00BF20CF">
        <w:rPr>
          <w:rFonts w:ascii="Arial" w:eastAsia="Arial" w:hAnsi="Arial" w:cs="Arial"/>
          <w:bCs/>
          <w:lang w:val="en-CA"/>
        </w:rPr>
        <w:t xml:space="preserve">In the alternative, please provide the available data for the earliest year for which a figure like Figure 6.4 can be constructed (e.g. 2015).  </w:t>
      </w:r>
    </w:p>
    <w:p w14:paraId="3020BC7F" w14:textId="4569C6AB" w:rsidR="00AF4270" w:rsidRPr="00BF20CF" w:rsidRDefault="00AF4270" w:rsidP="00AF4270">
      <w:pPr>
        <w:autoSpaceDE w:val="0"/>
        <w:autoSpaceDN w:val="0"/>
        <w:adjustRightInd w:val="0"/>
        <w:spacing w:before="240" w:after="240" w:line="276" w:lineRule="auto"/>
        <w:ind w:left="1440"/>
        <w:contextualSpacing/>
        <w:rPr>
          <w:rFonts w:ascii="Arial" w:eastAsia="Arial" w:hAnsi="Arial" w:cs="Arial"/>
          <w:bCs/>
          <w:lang w:val="en-CA"/>
        </w:rPr>
      </w:pPr>
      <w:r w:rsidRPr="00BF20CF">
        <w:rPr>
          <w:rFonts w:ascii="Arial" w:eastAsia="Arial" w:hAnsi="Arial" w:cs="Arial"/>
          <w:bCs/>
          <w:lang w:val="en-CA"/>
        </w:rPr>
        <w:br w:type="page"/>
      </w:r>
    </w:p>
    <w:p w14:paraId="704408FD" w14:textId="679649D2" w:rsidR="00B60528" w:rsidRPr="00BF20CF" w:rsidRDefault="00B60528" w:rsidP="00AF4270">
      <w:pPr>
        <w:spacing w:line="276" w:lineRule="auto"/>
        <w:outlineLvl w:val="2"/>
        <w:rPr>
          <w:rFonts w:ascii="Arial" w:eastAsia="Calibri" w:hAnsi="Arial" w:cs="Arial"/>
          <w:b/>
        </w:rPr>
      </w:pPr>
      <w:r w:rsidRPr="00BF20CF">
        <w:rPr>
          <w:rFonts w:ascii="Arial" w:eastAsia="Calibri" w:hAnsi="Arial" w:cs="Arial"/>
          <w:b/>
        </w:rPr>
        <w:lastRenderedPageBreak/>
        <w:t>1-Staff-</w:t>
      </w:r>
      <w:r w:rsidR="00AF4270" w:rsidRPr="00BF20CF">
        <w:rPr>
          <w:rFonts w:ascii="Arial" w:eastAsia="Calibri" w:hAnsi="Arial" w:cs="Arial"/>
          <w:b/>
        </w:rPr>
        <w:t>36</w:t>
      </w:r>
      <w:r w:rsidRPr="00BF20CF">
        <w:rPr>
          <w:rFonts w:ascii="Arial" w:eastAsia="Calibri" w:hAnsi="Arial" w:cs="Arial"/>
          <w:b/>
        </w:rPr>
        <w:t xml:space="preserve">  </w:t>
      </w:r>
    </w:p>
    <w:sdt>
      <w:sdtPr>
        <w:rPr>
          <w:rFonts w:ascii="Arial" w:eastAsia="Calibri" w:hAnsi="Arial" w:cs="Arial"/>
          <w:b/>
        </w:rPr>
        <w:tag w:val="goog_rdk_11"/>
        <w:id w:val="-780343404"/>
      </w:sdtPr>
      <w:sdtEndPr>
        <w:rPr>
          <w:rFonts w:ascii="Times New Roman" w:hAnsi="Times New Roman" w:cs="Times New Roman"/>
          <w:b w:val="0"/>
        </w:rPr>
      </w:sdtEndPr>
      <w:sdtContent>
        <w:p w14:paraId="7D19CED0" w14:textId="77777777" w:rsidR="00B60528" w:rsidRPr="00BF20CF" w:rsidRDefault="00B60528" w:rsidP="00637CD5">
          <w:pPr>
            <w:rPr>
              <w:rFonts w:eastAsia="Calibri"/>
            </w:rPr>
          </w:pPr>
          <w:r w:rsidRPr="00637CD5">
            <w:rPr>
              <w:rFonts w:ascii="Arial" w:eastAsia="Calibri" w:hAnsi="Arial" w:cs="Arial"/>
              <w:b/>
            </w:rPr>
            <w:t>Ref:</w:t>
          </w:r>
          <w:r w:rsidRPr="00637CD5">
            <w:rPr>
              <w:rFonts w:ascii="Arial" w:eastAsia="Calibri" w:hAnsi="Arial" w:cs="Arial"/>
              <w:b/>
            </w:rPr>
            <w:tab/>
            <w:t>Exhibit 1/Tab 1/Schedule 8</w:t>
          </w:r>
        </w:p>
      </w:sdtContent>
    </w:sdt>
    <w:p w14:paraId="621FF9F8"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Preamble:</w:t>
      </w:r>
    </w:p>
    <w:p w14:paraId="7FC59B65"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Hydro Ottawa lists an “expanding customer base” and “continued growth across the City of Ottawa” as rationales for a Custom IR plan and “significant levels of capital investment”.  </w:t>
      </w:r>
    </w:p>
    <w:p w14:paraId="5AE77F01" w14:textId="52921334"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Question</w:t>
      </w:r>
      <w:r w:rsidR="00AF4270" w:rsidRPr="00BF20CF">
        <w:rPr>
          <w:rFonts w:ascii="Arial" w:eastAsia="Arial" w:hAnsi="Arial" w:cs="Arial"/>
        </w:rPr>
        <w:t>(</w:t>
      </w:r>
      <w:r w:rsidRPr="00BF20CF">
        <w:rPr>
          <w:rFonts w:ascii="Arial" w:eastAsia="Arial" w:hAnsi="Arial" w:cs="Arial"/>
        </w:rPr>
        <w:t>s</w:t>
      </w:r>
      <w:r w:rsidR="00AF4270" w:rsidRPr="00BF20CF">
        <w:rPr>
          <w:rFonts w:ascii="Arial" w:eastAsia="Arial" w:hAnsi="Arial" w:cs="Arial"/>
        </w:rPr>
        <w:t>)</w:t>
      </w:r>
      <w:r w:rsidRPr="00BF20CF">
        <w:rPr>
          <w:rFonts w:ascii="Arial" w:eastAsia="Arial" w:hAnsi="Arial" w:cs="Arial"/>
        </w:rPr>
        <w:t>:</w:t>
      </w:r>
    </w:p>
    <w:p w14:paraId="7E003961" w14:textId="67E1BAB2" w:rsidR="00B60528" w:rsidRPr="00BF20CF" w:rsidRDefault="00B60528" w:rsidP="00B60528">
      <w:pPr>
        <w:numPr>
          <w:ilvl w:val="0"/>
          <w:numId w:val="243"/>
        </w:numPr>
        <w:autoSpaceDE w:val="0"/>
        <w:autoSpaceDN w:val="0"/>
        <w:adjustRightInd w:val="0"/>
        <w:spacing w:before="240" w:after="240" w:line="276" w:lineRule="auto"/>
        <w:contextualSpacing/>
        <w:rPr>
          <w:rFonts w:ascii="Arial" w:eastAsia="Arial" w:hAnsi="Arial" w:cs="Arial"/>
          <w:bCs/>
          <w:lang w:val="en-CA"/>
        </w:rPr>
      </w:pPr>
      <w:r w:rsidRPr="00BF20CF">
        <w:rPr>
          <w:rFonts w:ascii="Arial" w:eastAsia="Arial" w:hAnsi="Arial" w:cs="Arial"/>
          <w:bCs/>
          <w:lang w:val="en-CA"/>
        </w:rPr>
        <w:t>The number of customers served by Hydro Ottawa averaged 1.4% annual growth from 2012 to 2020 but was forecasted to average 0.88% growth during the plan even before the onset of the Coronavirus recession.  PEG found in a recent study of U.S. power distributor productivity that customer growth averaged 0.93% in the 1997-2017 period.</w:t>
      </w:r>
      <w:r w:rsidRPr="00BF20CF">
        <w:rPr>
          <w:rFonts w:ascii="Arial" w:eastAsia="Arial" w:hAnsi="Arial" w:cs="Arial"/>
          <w:bCs/>
          <w:vertAlign w:val="superscript"/>
          <w:lang w:val="en-CA"/>
        </w:rPr>
        <w:footnoteReference w:id="18"/>
      </w:r>
      <w:r w:rsidRPr="00BF20CF">
        <w:rPr>
          <w:rFonts w:ascii="Arial" w:eastAsia="Arial" w:hAnsi="Arial" w:cs="Arial"/>
          <w:bCs/>
          <w:lang w:val="en-CA"/>
        </w:rPr>
        <w:t xml:space="preserve">  How </w:t>
      </w:r>
      <w:proofErr w:type="gramStart"/>
      <w:r w:rsidRPr="00BF20CF">
        <w:rPr>
          <w:rFonts w:ascii="Arial" w:eastAsia="Arial" w:hAnsi="Arial" w:cs="Arial"/>
          <w:bCs/>
          <w:lang w:val="en-CA"/>
        </w:rPr>
        <w:t>does Hydro Ottawa’s</w:t>
      </w:r>
      <w:proofErr w:type="gramEnd"/>
      <w:r w:rsidRPr="00BF20CF">
        <w:rPr>
          <w:rFonts w:ascii="Arial" w:eastAsia="Arial" w:hAnsi="Arial" w:cs="Arial"/>
          <w:bCs/>
          <w:lang w:val="en-CA"/>
        </w:rPr>
        <w:t xml:space="preserve"> expected customer growth warrant special ratemaking treatment of growth-related capex?</w:t>
      </w:r>
    </w:p>
    <w:p w14:paraId="59C42C95" w14:textId="77777777" w:rsidR="00AF4270" w:rsidRPr="00BF20CF" w:rsidRDefault="00AF4270" w:rsidP="00AF4270">
      <w:pPr>
        <w:autoSpaceDE w:val="0"/>
        <w:autoSpaceDN w:val="0"/>
        <w:adjustRightInd w:val="0"/>
        <w:spacing w:before="240" w:after="240" w:line="276" w:lineRule="auto"/>
        <w:ind w:left="720"/>
        <w:contextualSpacing/>
        <w:rPr>
          <w:rFonts w:ascii="Arial" w:eastAsia="Arial" w:hAnsi="Arial" w:cs="Arial"/>
          <w:bCs/>
          <w:lang w:val="en-CA"/>
        </w:rPr>
      </w:pPr>
    </w:p>
    <w:p w14:paraId="69A62D48" w14:textId="3602FE9B" w:rsidR="00B60528" w:rsidRPr="00BF20CF" w:rsidRDefault="00B60528" w:rsidP="00AF4270">
      <w:pPr>
        <w:numPr>
          <w:ilvl w:val="0"/>
          <w:numId w:val="243"/>
        </w:numPr>
        <w:autoSpaceDE w:val="0"/>
        <w:autoSpaceDN w:val="0"/>
        <w:adjustRightInd w:val="0"/>
        <w:spacing w:line="276" w:lineRule="auto"/>
        <w:contextualSpacing/>
        <w:rPr>
          <w:rFonts w:ascii="Arial" w:eastAsia="Arial" w:hAnsi="Arial" w:cs="Arial"/>
          <w:bCs/>
          <w:lang w:val="en-CA"/>
        </w:rPr>
      </w:pPr>
      <w:r w:rsidRPr="00BF20CF">
        <w:rPr>
          <w:rFonts w:ascii="Arial" w:eastAsia="Arial" w:hAnsi="Arial" w:cs="Arial"/>
          <w:bCs/>
          <w:lang w:val="en-CA"/>
        </w:rPr>
        <w:t>Would the Hydro Ottawa spend the same amount on growth-related capex in the next five years if the budget for such capex was not effectively preapproved and accorded variance account treatment?</w:t>
      </w:r>
    </w:p>
    <w:p w14:paraId="57735BE8" w14:textId="77777777" w:rsidR="00AF4270" w:rsidRPr="00BF20CF" w:rsidRDefault="00AF4270" w:rsidP="00AF4270">
      <w:pPr>
        <w:pStyle w:val="ListParagraph"/>
        <w:rPr>
          <w:rFonts w:ascii="Arial" w:eastAsia="Arial" w:hAnsi="Arial" w:cs="Arial"/>
          <w:bCs/>
        </w:rPr>
      </w:pPr>
    </w:p>
    <w:p w14:paraId="2724047D" w14:textId="431DCF48" w:rsidR="00B60528" w:rsidRPr="00BF20CF" w:rsidRDefault="00B60528" w:rsidP="00AF4270">
      <w:pPr>
        <w:numPr>
          <w:ilvl w:val="0"/>
          <w:numId w:val="243"/>
        </w:numPr>
        <w:autoSpaceDE w:val="0"/>
        <w:autoSpaceDN w:val="0"/>
        <w:adjustRightInd w:val="0"/>
        <w:spacing w:line="276" w:lineRule="auto"/>
        <w:contextualSpacing/>
        <w:rPr>
          <w:rFonts w:ascii="Arial" w:eastAsia="Arial" w:hAnsi="Arial" w:cs="Arial"/>
          <w:bCs/>
          <w:lang w:val="en-CA"/>
        </w:rPr>
      </w:pPr>
      <w:r w:rsidRPr="00BF20CF">
        <w:rPr>
          <w:rFonts w:ascii="Arial" w:eastAsia="Arial" w:hAnsi="Arial" w:cs="Arial"/>
          <w:bCs/>
          <w:lang w:val="en-CA"/>
        </w:rPr>
        <w:t>Do utilities serving rapidly growing metro areas tend to have faster or slower productivity growth?</w:t>
      </w:r>
    </w:p>
    <w:p w14:paraId="633096FE" w14:textId="77777777" w:rsidR="00AF4270" w:rsidRPr="00BF20CF" w:rsidRDefault="00AF4270" w:rsidP="00AF4270">
      <w:pPr>
        <w:pStyle w:val="ListParagraph"/>
        <w:rPr>
          <w:rFonts w:ascii="Arial" w:eastAsia="Arial" w:hAnsi="Arial" w:cs="Arial"/>
          <w:bCs/>
        </w:rPr>
      </w:pPr>
    </w:p>
    <w:p w14:paraId="2BCD0761" w14:textId="77777777" w:rsidR="00B60528" w:rsidRPr="00BF20CF" w:rsidRDefault="00B60528" w:rsidP="00AF4270">
      <w:pPr>
        <w:numPr>
          <w:ilvl w:val="0"/>
          <w:numId w:val="243"/>
        </w:numPr>
        <w:autoSpaceDE w:val="0"/>
        <w:autoSpaceDN w:val="0"/>
        <w:adjustRightInd w:val="0"/>
        <w:spacing w:line="276" w:lineRule="auto"/>
        <w:contextualSpacing/>
        <w:rPr>
          <w:rFonts w:ascii="Arial" w:eastAsia="Arial" w:hAnsi="Arial" w:cs="Arial"/>
          <w:bCs/>
          <w:lang w:val="en-CA"/>
        </w:rPr>
      </w:pPr>
      <w:r w:rsidRPr="00BF20CF">
        <w:rPr>
          <w:rFonts w:ascii="Arial" w:eastAsia="Arial" w:hAnsi="Arial" w:cs="Arial"/>
          <w:bCs/>
          <w:lang w:val="en-CA"/>
        </w:rPr>
        <w:t>Couldn’t some of Hydro Ottawa’s growth-related capex (e.g., those associated with new streetcar lines or highway construction) be addressed through the ICM or the Z-factor mechanism?</w:t>
      </w:r>
    </w:p>
    <w:p w14:paraId="137BB2E8" w14:textId="77777777" w:rsidR="00B60528" w:rsidRPr="00BF20CF" w:rsidRDefault="00B60528" w:rsidP="00AF4270">
      <w:pPr>
        <w:spacing w:line="276" w:lineRule="auto"/>
        <w:outlineLvl w:val="2"/>
        <w:rPr>
          <w:rFonts w:ascii="Arial" w:eastAsia="Calibri" w:hAnsi="Arial" w:cs="Arial"/>
          <w:b/>
        </w:rPr>
      </w:pPr>
    </w:p>
    <w:p w14:paraId="73A0D127" w14:textId="6E288619" w:rsidR="00B60528" w:rsidRPr="00BF20CF" w:rsidRDefault="00B60528" w:rsidP="00AF4270">
      <w:pPr>
        <w:spacing w:line="276" w:lineRule="auto"/>
        <w:outlineLvl w:val="2"/>
        <w:rPr>
          <w:rFonts w:ascii="Arial" w:eastAsia="Calibri" w:hAnsi="Arial" w:cs="Arial"/>
          <w:b/>
        </w:rPr>
      </w:pPr>
      <w:bookmarkStart w:id="31" w:name="_GoBack"/>
      <w:bookmarkEnd w:id="31"/>
      <w:r w:rsidRPr="00BF20CF">
        <w:rPr>
          <w:rFonts w:ascii="Arial" w:eastAsia="Calibri" w:hAnsi="Arial" w:cs="Arial"/>
          <w:b/>
        </w:rPr>
        <w:t>1-Staff-</w:t>
      </w:r>
      <w:r w:rsidR="00AF4270" w:rsidRPr="00BF20CF">
        <w:rPr>
          <w:rFonts w:ascii="Arial" w:eastAsia="Calibri" w:hAnsi="Arial" w:cs="Arial"/>
          <w:b/>
        </w:rPr>
        <w:t>37</w:t>
      </w:r>
      <w:r w:rsidRPr="00BF20CF">
        <w:rPr>
          <w:rFonts w:ascii="Arial" w:eastAsia="Calibri" w:hAnsi="Arial" w:cs="Arial"/>
          <w:b/>
        </w:rPr>
        <w:t xml:space="preserve"> </w:t>
      </w:r>
    </w:p>
    <w:sdt>
      <w:sdtPr>
        <w:rPr>
          <w:rFonts w:ascii="Arial" w:eastAsia="Calibri" w:hAnsi="Arial" w:cs="Arial"/>
          <w:b/>
        </w:rPr>
        <w:tag w:val="goog_rdk_11"/>
        <w:id w:val="-2140028518"/>
      </w:sdtPr>
      <w:sdtEndPr/>
      <w:sdtContent>
        <w:p w14:paraId="7B84B8DB" w14:textId="2D1BD9A0" w:rsidR="00B60528" w:rsidRPr="00637CD5" w:rsidRDefault="00B60528" w:rsidP="00637CD5">
          <w:pPr>
            <w:rPr>
              <w:rFonts w:ascii="Arial" w:eastAsia="Calibri" w:hAnsi="Arial" w:cs="Arial"/>
              <w:b/>
            </w:rPr>
          </w:pPr>
          <w:r w:rsidRPr="00637CD5">
            <w:rPr>
              <w:rFonts w:ascii="Arial" w:eastAsia="Calibri" w:hAnsi="Arial" w:cs="Arial"/>
              <w:b/>
            </w:rPr>
            <w:t>Ref:</w:t>
          </w:r>
          <w:r w:rsidRPr="00637CD5">
            <w:rPr>
              <w:rFonts w:ascii="Arial" w:eastAsia="Calibri" w:hAnsi="Arial" w:cs="Arial"/>
              <w:b/>
            </w:rPr>
            <w:tab/>
            <w:t>Exhibit 1/Tab 1/Schedule 8 p. 1</w:t>
          </w:r>
          <w:r w:rsidRPr="00637CD5">
            <w:rPr>
              <w:rFonts w:ascii="Arial" w:eastAsia="Calibri" w:hAnsi="Arial" w:cs="Arial"/>
              <w:b/>
            </w:rPr>
            <w:br/>
          </w:r>
          <w:r w:rsidR="00637CD5">
            <w:rPr>
              <w:rFonts w:ascii="Arial" w:eastAsia="Calibri" w:hAnsi="Arial" w:cs="Arial"/>
              <w:b/>
            </w:rPr>
            <w:t xml:space="preserve">           </w:t>
          </w:r>
          <w:r w:rsidRPr="00637CD5">
            <w:rPr>
              <w:rFonts w:ascii="Arial" w:eastAsia="Calibri" w:hAnsi="Arial" w:cs="Arial"/>
              <w:b/>
            </w:rPr>
            <w:t>Exhibit 1/Tab 1/Schedule 10/pp. 7-9</w:t>
          </w:r>
        </w:p>
      </w:sdtContent>
    </w:sdt>
    <w:p w14:paraId="2DB494C8"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Preamble:</w:t>
      </w:r>
    </w:p>
    <w:p w14:paraId="03BC93CD" w14:textId="77777777"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 xml:space="preserve">Hydro Ottawa has requested a Custom IR plan for the second time in a row.  </w:t>
      </w:r>
    </w:p>
    <w:p w14:paraId="747EDC76" w14:textId="58021521" w:rsidR="00B60528" w:rsidRPr="00BF20CF" w:rsidRDefault="00B60528" w:rsidP="00B60528">
      <w:pPr>
        <w:spacing w:before="240" w:after="240" w:line="276" w:lineRule="auto"/>
        <w:rPr>
          <w:rFonts w:ascii="Arial" w:eastAsia="Arial" w:hAnsi="Arial" w:cs="Arial"/>
        </w:rPr>
      </w:pPr>
      <w:r w:rsidRPr="00BF20CF">
        <w:rPr>
          <w:rFonts w:ascii="Arial" w:eastAsia="Arial" w:hAnsi="Arial" w:cs="Arial"/>
        </w:rPr>
        <w:t>Question</w:t>
      </w:r>
      <w:r w:rsidR="00AF4270" w:rsidRPr="00BF20CF">
        <w:rPr>
          <w:rFonts w:ascii="Arial" w:eastAsia="Arial" w:hAnsi="Arial" w:cs="Arial"/>
        </w:rPr>
        <w:t>(</w:t>
      </w:r>
      <w:r w:rsidRPr="00BF20CF">
        <w:rPr>
          <w:rFonts w:ascii="Arial" w:eastAsia="Arial" w:hAnsi="Arial" w:cs="Arial"/>
        </w:rPr>
        <w:t>s</w:t>
      </w:r>
      <w:r w:rsidR="00AF4270" w:rsidRPr="00BF20CF">
        <w:rPr>
          <w:rFonts w:ascii="Arial" w:eastAsia="Arial" w:hAnsi="Arial" w:cs="Arial"/>
        </w:rPr>
        <w:t>)</w:t>
      </w:r>
      <w:r w:rsidRPr="00BF20CF">
        <w:rPr>
          <w:rFonts w:ascii="Arial" w:eastAsia="Arial" w:hAnsi="Arial" w:cs="Arial"/>
        </w:rPr>
        <w:t>:</w:t>
      </w:r>
    </w:p>
    <w:p w14:paraId="41DC9586" w14:textId="2CB75934" w:rsidR="00B60528" w:rsidRPr="00BF20CF" w:rsidRDefault="00B60528" w:rsidP="00B60528">
      <w:pPr>
        <w:numPr>
          <w:ilvl w:val="1"/>
          <w:numId w:val="244"/>
        </w:numPr>
        <w:autoSpaceDE w:val="0"/>
        <w:autoSpaceDN w:val="0"/>
        <w:adjustRightInd w:val="0"/>
        <w:spacing w:before="240" w:after="240" w:line="276" w:lineRule="auto"/>
        <w:contextualSpacing/>
        <w:rPr>
          <w:rFonts w:ascii="Arial" w:eastAsia="Arial" w:hAnsi="Arial" w:cs="Arial"/>
          <w:bCs/>
          <w:lang w:val="en-CA"/>
        </w:rPr>
      </w:pPr>
      <w:r w:rsidRPr="00BF20CF">
        <w:rPr>
          <w:rFonts w:ascii="Arial" w:eastAsia="Arial" w:hAnsi="Arial" w:cs="Arial"/>
          <w:bCs/>
          <w:lang w:val="en-CA"/>
        </w:rPr>
        <w:lastRenderedPageBreak/>
        <w:t>When does Hydro Ottawa expect its capex to fall to normal levels on a real per customer basis?</w:t>
      </w:r>
    </w:p>
    <w:p w14:paraId="10E5EBA5" w14:textId="77777777" w:rsidR="00AF4270" w:rsidRPr="00BF20CF" w:rsidRDefault="00AF4270" w:rsidP="00AF4270">
      <w:pPr>
        <w:autoSpaceDE w:val="0"/>
        <w:autoSpaceDN w:val="0"/>
        <w:adjustRightInd w:val="0"/>
        <w:spacing w:before="240" w:after="240" w:line="276" w:lineRule="auto"/>
        <w:ind w:left="1440"/>
        <w:contextualSpacing/>
        <w:rPr>
          <w:rFonts w:ascii="Arial" w:eastAsia="Arial" w:hAnsi="Arial" w:cs="Arial"/>
          <w:bCs/>
          <w:lang w:val="en-CA"/>
        </w:rPr>
      </w:pPr>
    </w:p>
    <w:p w14:paraId="46611CDB" w14:textId="19DA170A" w:rsidR="00B60528" w:rsidRPr="00BF20CF" w:rsidRDefault="00B60528" w:rsidP="00AF4270">
      <w:pPr>
        <w:numPr>
          <w:ilvl w:val="1"/>
          <w:numId w:val="244"/>
        </w:numPr>
        <w:autoSpaceDE w:val="0"/>
        <w:autoSpaceDN w:val="0"/>
        <w:adjustRightInd w:val="0"/>
        <w:spacing w:line="276" w:lineRule="auto"/>
        <w:contextualSpacing/>
        <w:rPr>
          <w:rFonts w:ascii="Arial" w:eastAsia="Arial" w:hAnsi="Arial" w:cs="Arial"/>
          <w:bCs/>
          <w:lang w:val="en-CA"/>
        </w:rPr>
      </w:pPr>
      <w:r w:rsidRPr="00BF20CF">
        <w:rPr>
          <w:rFonts w:ascii="Arial" w:eastAsia="Arial" w:hAnsi="Arial" w:cs="Arial"/>
          <w:bCs/>
          <w:lang w:val="en-CA"/>
        </w:rPr>
        <w:t xml:space="preserve">When does Hydro Ottawa expect that it will no longer need the Custom IR form of regulation?  </w:t>
      </w:r>
    </w:p>
    <w:p w14:paraId="3F8B4AD9" w14:textId="77777777" w:rsidR="00AF4270" w:rsidRPr="00BF20CF" w:rsidRDefault="00AF4270" w:rsidP="00AF4270">
      <w:pPr>
        <w:pStyle w:val="ListParagraph"/>
        <w:ind w:left="1440"/>
        <w:rPr>
          <w:rFonts w:ascii="Arial" w:eastAsia="Arial" w:hAnsi="Arial" w:cs="Arial"/>
          <w:bCs/>
        </w:rPr>
      </w:pPr>
    </w:p>
    <w:p w14:paraId="0B1C559A" w14:textId="12A715F1" w:rsidR="00B60528" w:rsidRPr="00BF20CF" w:rsidRDefault="00B60528" w:rsidP="00AF4270">
      <w:pPr>
        <w:numPr>
          <w:ilvl w:val="1"/>
          <w:numId w:val="244"/>
        </w:numPr>
        <w:autoSpaceDE w:val="0"/>
        <w:autoSpaceDN w:val="0"/>
        <w:adjustRightInd w:val="0"/>
        <w:spacing w:line="276" w:lineRule="auto"/>
        <w:contextualSpacing/>
        <w:rPr>
          <w:rFonts w:ascii="Arial" w:eastAsia="Arial" w:hAnsi="Arial" w:cs="Arial"/>
          <w:bCs/>
          <w:lang w:val="en-CA"/>
        </w:rPr>
      </w:pPr>
      <w:r w:rsidRPr="00BF20CF">
        <w:rPr>
          <w:rFonts w:ascii="Arial" w:eastAsia="Arial" w:hAnsi="Arial" w:cs="Arial"/>
          <w:bCs/>
          <w:lang w:val="en-CA"/>
        </w:rPr>
        <w:t>Is it a goal of Hydro Ottawa to eventually operate without Custom IR?  If not, why not?</w:t>
      </w:r>
    </w:p>
    <w:p w14:paraId="2F016FA1" w14:textId="77777777" w:rsidR="00B60528" w:rsidRPr="00BF20CF" w:rsidRDefault="00B60528" w:rsidP="00B60528">
      <w:pPr>
        <w:autoSpaceDE w:val="0"/>
        <w:autoSpaceDN w:val="0"/>
        <w:adjustRightInd w:val="0"/>
        <w:spacing w:before="240" w:after="240" w:line="276" w:lineRule="auto"/>
        <w:contextualSpacing/>
        <w:rPr>
          <w:rFonts w:ascii="Arial" w:eastAsia="Arial" w:hAnsi="Arial" w:cs="Arial"/>
          <w:bCs/>
          <w:lang w:val="en-CA"/>
        </w:rPr>
      </w:pPr>
    </w:p>
    <w:p w14:paraId="37486DC0" w14:textId="3ABEDFC5" w:rsidR="00B60528" w:rsidRPr="00BF20CF" w:rsidRDefault="00B60528" w:rsidP="00B60528">
      <w:pPr>
        <w:spacing w:line="276" w:lineRule="auto"/>
        <w:rPr>
          <w:rFonts w:ascii="Arial" w:eastAsia="Calibri" w:hAnsi="Arial" w:cs="Arial"/>
          <w:b/>
        </w:rPr>
      </w:pPr>
      <w:r w:rsidRPr="00BF20CF">
        <w:rPr>
          <w:rFonts w:ascii="Arial" w:eastAsia="Calibri" w:hAnsi="Arial" w:cs="Arial"/>
          <w:b/>
        </w:rPr>
        <w:t>1-Staff-</w:t>
      </w:r>
      <w:r w:rsidR="00AF4270" w:rsidRPr="00BF20CF">
        <w:rPr>
          <w:rFonts w:ascii="Arial" w:eastAsia="Calibri" w:hAnsi="Arial" w:cs="Arial"/>
          <w:b/>
        </w:rPr>
        <w:t>38</w:t>
      </w:r>
    </w:p>
    <w:p w14:paraId="70A73763" w14:textId="77777777" w:rsidR="00B60528" w:rsidRPr="00BF20CF" w:rsidRDefault="00B60528" w:rsidP="00B60528">
      <w:pPr>
        <w:autoSpaceDE w:val="0"/>
        <w:autoSpaceDN w:val="0"/>
        <w:adjustRightInd w:val="0"/>
        <w:spacing w:line="276" w:lineRule="auto"/>
        <w:rPr>
          <w:rFonts w:ascii="Arial" w:hAnsi="Arial" w:cs="Arial"/>
          <w:b/>
        </w:rPr>
      </w:pPr>
      <w:r w:rsidRPr="00BF20CF">
        <w:rPr>
          <w:rFonts w:ascii="Arial" w:hAnsi="Arial" w:cs="Arial"/>
          <w:b/>
        </w:rPr>
        <w:t>Updated Revenue Requirement Work Form (RRWF) and Models</w:t>
      </w:r>
    </w:p>
    <w:p w14:paraId="5A04CC98" w14:textId="77777777" w:rsidR="00B60528" w:rsidRPr="00BF20CF" w:rsidRDefault="00B60528" w:rsidP="00B60528">
      <w:pPr>
        <w:spacing w:line="276" w:lineRule="auto"/>
        <w:rPr>
          <w:rFonts w:ascii="Arial" w:hAnsi="Arial" w:cs="Arial"/>
        </w:rPr>
      </w:pPr>
    </w:p>
    <w:p w14:paraId="0529D856" w14:textId="77777777" w:rsidR="00B60528" w:rsidRPr="00BF20CF" w:rsidRDefault="00B60528" w:rsidP="00B60528">
      <w:pPr>
        <w:spacing w:line="276" w:lineRule="auto"/>
        <w:rPr>
          <w:rFonts w:ascii="Arial" w:hAnsi="Arial" w:cs="Arial"/>
        </w:rPr>
      </w:pPr>
      <w:r w:rsidRPr="00BF20CF">
        <w:rPr>
          <w:rFonts w:ascii="Arial" w:hAnsi="Arial" w:cs="Arial"/>
        </w:rPr>
        <w:t xml:space="preserve">Upon completing all interrogatories from Ontario Energy Board (OEB) staff and </w:t>
      </w:r>
      <w:proofErr w:type="spellStart"/>
      <w:r w:rsidRPr="00BF20CF">
        <w:rPr>
          <w:rFonts w:ascii="Arial" w:hAnsi="Arial" w:cs="Arial"/>
        </w:rPr>
        <w:t>intervenors</w:t>
      </w:r>
      <w:proofErr w:type="spellEnd"/>
      <w:r w:rsidRPr="00BF20CF">
        <w:rPr>
          <w:rFonts w:ascii="Arial" w:hAnsi="Arial" w:cs="Arial"/>
        </w:rPr>
        <w:t xml:space="preserve">, please provide an updated RRWF in working Microsoft Excel format with any corrections or adjustments that the Applicant wishes to make to the amounts in the populated version of the RRWF filed in the initial applications. Entries for changes and adjustments should be included in the middle column on sheet 3 </w:t>
      </w:r>
      <w:proofErr w:type="spellStart"/>
      <w:r w:rsidRPr="00BF20CF">
        <w:rPr>
          <w:rFonts w:ascii="Arial" w:hAnsi="Arial" w:cs="Arial"/>
        </w:rPr>
        <w:t>Data_Input_Sheet</w:t>
      </w:r>
      <w:proofErr w:type="spellEnd"/>
      <w:r w:rsidRPr="00BF20CF">
        <w:rPr>
          <w:rFonts w:ascii="Arial" w:hAnsi="Arial" w:cs="Arial"/>
        </w:rPr>
        <w:t>. Sheets 10 (Load Forecast), 11 (Cost Allocation), 12 (Residential Rate Design) and 13 (Rate Design) should be updated, as necessary. Please include documentation of the corrections and adjustments, such as a reference to an interrogatory response or an explanatory note.  Such notes should be documented on Sheet 14 Tracking Sheet, and may also be included on other sheets in the RRWF to assist understanding of changes.</w:t>
      </w:r>
    </w:p>
    <w:p w14:paraId="315D0B0C" w14:textId="77777777" w:rsidR="00B60528" w:rsidRPr="00BF20CF" w:rsidRDefault="00B60528" w:rsidP="00B60528">
      <w:pPr>
        <w:spacing w:line="276" w:lineRule="auto"/>
        <w:rPr>
          <w:rFonts w:ascii="Arial" w:hAnsi="Arial" w:cs="Arial"/>
        </w:rPr>
      </w:pPr>
    </w:p>
    <w:p w14:paraId="597DA0DA" w14:textId="77777777" w:rsidR="00B60528" w:rsidRPr="00BF20CF" w:rsidRDefault="00B60528" w:rsidP="00B60528">
      <w:pPr>
        <w:autoSpaceDE w:val="0"/>
        <w:autoSpaceDN w:val="0"/>
        <w:adjustRightInd w:val="0"/>
        <w:rPr>
          <w:rFonts w:ascii="Arial" w:hAnsi="Arial" w:cs="Arial"/>
        </w:rPr>
      </w:pPr>
      <w:r w:rsidRPr="00BF20CF">
        <w:rPr>
          <w:rFonts w:ascii="Arial" w:hAnsi="Arial" w:cs="Arial"/>
        </w:rPr>
        <w:t>In addition, please file an updated set of models that reflects the interrogatory responses.</w:t>
      </w:r>
    </w:p>
    <w:p w14:paraId="788CCDE2" w14:textId="77777777" w:rsidR="00B60528" w:rsidRPr="00BF20CF" w:rsidRDefault="00B60528" w:rsidP="003041BF">
      <w:pPr>
        <w:spacing w:after="160" w:line="259" w:lineRule="auto"/>
        <w:rPr>
          <w:rFonts w:ascii="Arial" w:eastAsia="Calibri" w:hAnsi="Arial" w:cs="Arial"/>
          <w:b/>
        </w:rPr>
      </w:pPr>
    </w:p>
    <w:p w14:paraId="4A9AC35E" w14:textId="7EC29D60" w:rsidR="007509C7" w:rsidRPr="00BF20CF" w:rsidRDefault="007509C7" w:rsidP="003041BF">
      <w:pPr>
        <w:spacing w:after="160" w:line="259" w:lineRule="auto"/>
        <w:rPr>
          <w:rFonts w:ascii="Arial" w:eastAsia="Calibri" w:hAnsi="Arial" w:cs="Arial"/>
          <w:b/>
        </w:rPr>
      </w:pPr>
      <w:r w:rsidRPr="00BF20CF">
        <w:rPr>
          <w:rFonts w:ascii="Arial" w:eastAsia="Calibri" w:hAnsi="Arial" w:cs="Arial"/>
          <w:b/>
        </w:rPr>
        <w:t>UMS Unit Cost Benchmarking Study</w:t>
      </w:r>
    </w:p>
    <w:p w14:paraId="2E45BB4D" w14:textId="6B60B427" w:rsidR="007509C7" w:rsidRPr="00BF20CF" w:rsidRDefault="007509C7" w:rsidP="0039317E">
      <w:pPr>
        <w:spacing w:line="276" w:lineRule="auto"/>
        <w:rPr>
          <w:rFonts w:ascii="Arial" w:eastAsia="Calibri" w:hAnsi="Arial" w:cs="Arial"/>
          <w:b/>
        </w:rPr>
      </w:pPr>
      <w:r w:rsidRPr="00BF20CF">
        <w:rPr>
          <w:rFonts w:ascii="Arial" w:eastAsia="Calibri" w:hAnsi="Arial" w:cs="Arial"/>
          <w:b/>
        </w:rPr>
        <w:t>1-Staff-</w:t>
      </w:r>
      <w:r w:rsidR="00AF4270" w:rsidRPr="00BF20CF">
        <w:rPr>
          <w:rFonts w:ascii="Arial" w:eastAsia="Calibri" w:hAnsi="Arial" w:cs="Arial"/>
          <w:b/>
        </w:rPr>
        <w:t>3</w:t>
      </w:r>
      <w:r w:rsidRPr="00BF20CF">
        <w:rPr>
          <w:rFonts w:ascii="Arial" w:eastAsia="Calibri" w:hAnsi="Arial" w:cs="Arial"/>
          <w:b/>
        </w:rPr>
        <w:t>9</w:t>
      </w:r>
    </w:p>
    <w:p w14:paraId="442F3DC2" w14:textId="77777777" w:rsidR="007509C7" w:rsidRPr="00BF20CF" w:rsidRDefault="007509C7" w:rsidP="0039317E">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Exhibit 1/Tab 1/Schedule 12/Attachment B/page 3</w:t>
      </w:r>
    </w:p>
    <w:p w14:paraId="63610B93"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1D05E6EA"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On page 3 of its study, UMS states that: “[</w:t>
      </w:r>
      <w:proofErr w:type="spellStart"/>
      <w:r w:rsidRPr="00BF20CF">
        <w:rPr>
          <w:rFonts w:ascii="Arial" w:eastAsia="Calibri" w:hAnsi="Arial" w:cs="Arial"/>
        </w:rPr>
        <w:t>i</w:t>
      </w:r>
      <w:proofErr w:type="spellEnd"/>
      <w:r w:rsidRPr="00BF20CF">
        <w:rPr>
          <w:rFonts w:ascii="Arial" w:eastAsia="Calibri" w:hAnsi="Arial" w:cs="Arial"/>
        </w:rPr>
        <w:t>]n addition, with respect to our assessment of the Company’s [i.e., Hydro Ottawa’s] unit costing practices, we adopted an industry-wide perspective (i.e.; not constrained by those of the Peer Group Panel).</w:t>
      </w:r>
    </w:p>
    <w:p w14:paraId="067850B0" w14:textId="3184FD1F"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Question</w:t>
      </w:r>
      <w:r w:rsidR="0039317E" w:rsidRPr="00BF20CF">
        <w:rPr>
          <w:rFonts w:ascii="Arial" w:eastAsia="Calibri" w:hAnsi="Arial" w:cs="Arial"/>
        </w:rPr>
        <w:t>(s)</w:t>
      </w:r>
      <w:r w:rsidRPr="00BF20CF">
        <w:rPr>
          <w:rFonts w:ascii="Arial" w:eastAsia="Calibri" w:hAnsi="Arial" w:cs="Arial"/>
        </w:rPr>
        <w:t>:</w:t>
      </w:r>
    </w:p>
    <w:p w14:paraId="50BC33D2" w14:textId="1B532AAA" w:rsidR="007509C7" w:rsidRPr="00BF20CF" w:rsidRDefault="007509C7" w:rsidP="00876E97">
      <w:pPr>
        <w:numPr>
          <w:ilvl w:val="0"/>
          <w:numId w:val="44"/>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lastRenderedPageBreak/>
        <w:t>Please explain what UMS means by this statement, how this was done, and how it shows up in the results of UMS’ unit cost benchmarking analyses.</w:t>
      </w:r>
    </w:p>
    <w:p w14:paraId="60988DE1" w14:textId="77777777" w:rsidR="0039317E" w:rsidRPr="00BF20CF" w:rsidRDefault="0039317E" w:rsidP="0039317E">
      <w:pPr>
        <w:autoSpaceDE w:val="0"/>
        <w:autoSpaceDN w:val="0"/>
        <w:adjustRightInd w:val="0"/>
        <w:spacing w:before="240" w:after="120" w:line="276" w:lineRule="auto"/>
        <w:ind w:left="720"/>
        <w:contextualSpacing/>
        <w:rPr>
          <w:rFonts w:ascii="Arial" w:hAnsi="Arial" w:cs="Arial"/>
          <w:lang w:val="en-CA"/>
        </w:rPr>
      </w:pPr>
    </w:p>
    <w:p w14:paraId="5F1CEEDB" w14:textId="70449738" w:rsidR="007509C7" w:rsidRPr="00BF20CF" w:rsidRDefault="007509C7" w:rsidP="00AF4270">
      <w:pPr>
        <w:spacing w:before="240" w:line="276" w:lineRule="auto"/>
        <w:rPr>
          <w:rFonts w:ascii="Arial" w:eastAsia="Calibri" w:hAnsi="Arial" w:cs="Arial"/>
          <w:b/>
        </w:rPr>
      </w:pPr>
      <w:r w:rsidRPr="00BF20CF">
        <w:rPr>
          <w:rFonts w:ascii="Arial" w:eastAsia="Calibri" w:hAnsi="Arial" w:cs="Arial"/>
          <w:b/>
        </w:rPr>
        <w:t>1-Staff-</w:t>
      </w:r>
      <w:r w:rsidR="00AF4270" w:rsidRPr="00BF20CF">
        <w:rPr>
          <w:rFonts w:ascii="Arial" w:eastAsia="Calibri" w:hAnsi="Arial" w:cs="Arial"/>
          <w:b/>
        </w:rPr>
        <w:t>4</w:t>
      </w:r>
      <w:r w:rsidRPr="00BF20CF">
        <w:rPr>
          <w:rFonts w:ascii="Arial" w:eastAsia="Calibri" w:hAnsi="Arial" w:cs="Arial"/>
          <w:b/>
        </w:rPr>
        <w:t>0</w:t>
      </w:r>
    </w:p>
    <w:p w14:paraId="74043327" w14:textId="77777777" w:rsidR="007509C7" w:rsidRPr="00BF20CF" w:rsidRDefault="007509C7" w:rsidP="0039317E">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Exhibit 1/Tab 1/Schedule 12/Attachment B/pp. 12-13/Figures B-1 and B-2</w:t>
      </w:r>
    </w:p>
    <w:p w14:paraId="602B5913"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7A051C1E"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 xml:space="preserve">In UMS’ Unit Cost Benchmarking Study, Figure B-1 is labelled as US Vegetation Density. Figure B-2 is labelled as Canadian Vegetation Density. </w:t>
      </w:r>
    </w:p>
    <w:p w14:paraId="3114B285" w14:textId="3C5C633B"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Question</w:t>
      </w:r>
      <w:r w:rsidR="0039317E" w:rsidRPr="00BF20CF">
        <w:rPr>
          <w:rFonts w:ascii="Arial" w:eastAsia="Calibri" w:hAnsi="Arial" w:cs="Arial"/>
        </w:rPr>
        <w:t>(</w:t>
      </w:r>
      <w:r w:rsidRPr="00BF20CF">
        <w:rPr>
          <w:rFonts w:ascii="Arial" w:eastAsia="Calibri" w:hAnsi="Arial" w:cs="Arial"/>
        </w:rPr>
        <w:t>s</w:t>
      </w:r>
      <w:r w:rsidR="0039317E" w:rsidRPr="00BF20CF">
        <w:rPr>
          <w:rFonts w:ascii="Arial" w:eastAsia="Calibri" w:hAnsi="Arial" w:cs="Arial"/>
        </w:rPr>
        <w:t>)</w:t>
      </w:r>
      <w:r w:rsidRPr="00BF20CF">
        <w:rPr>
          <w:rFonts w:ascii="Arial" w:eastAsia="Calibri" w:hAnsi="Arial" w:cs="Arial"/>
        </w:rPr>
        <w:t>:</w:t>
      </w:r>
    </w:p>
    <w:p w14:paraId="02116978" w14:textId="77777777" w:rsidR="007509C7" w:rsidRPr="00BF20CF" w:rsidRDefault="007509C7" w:rsidP="00876E97">
      <w:pPr>
        <w:numPr>
          <w:ilvl w:val="0"/>
          <w:numId w:val="43"/>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What is the scale shown for Figure B-1 in the bottom left-hand corner, with ranges of 0-100m, 100-200m, </w:t>
      </w:r>
      <w:proofErr w:type="gramStart"/>
      <w:r w:rsidRPr="00BF20CF">
        <w:rPr>
          <w:rFonts w:ascii="Arial" w:hAnsi="Arial" w:cs="Arial"/>
          <w:lang w:val="en-CA"/>
        </w:rPr>
        <w:t>etc.</w:t>
      </w:r>
      <w:proofErr w:type="gramEnd"/>
      <w:r w:rsidRPr="00BF20CF">
        <w:rPr>
          <w:rFonts w:ascii="Arial" w:hAnsi="Arial" w:cs="Arial"/>
          <w:lang w:val="en-CA"/>
        </w:rPr>
        <w:t xml:space="preserve"> How does the right column of the scale differ from the left-hand column of the scale? What is the unit of measurement?</w:t>
      </w:r>
    </w:p>
    <w:p w14:paraId="7107C934" w14:textId="65CFA306" w:rsidR="007509C7" w:rsidRPr="00BF20CF" w:rsidRDefault="007509C7" w:rsidP="00876E97">
      <w:pPr>
        <w:numPr>
          <w:ilvl w:val="0"/>
          <w:numId w:val="43"/>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The scale for</w:t>
      </w:r>
      <w:r w:rsidRPr="00BF20CF">
        <w:rPr>
          <w:rFonts w:ascii="Arial" w:hAnsi="Arial" w:cs="Arial"/>
          <w:lang w:val="en-CA"/>
        </w:rPr>
        <w:tab/>
        <w:t>Figure B-2 is labelled from low to high. What are the units of measurement for this scale?</w:t>
      </w:r>
    </w:p>
    <w:p w14:paraId="69AE19DC" w14:textId="77777777" w:rsidR="00123CD1" w:rsidRPr="00BF20CF" w:rsidRDefault="00123CD1" w:rsidP="00123CD1">
      <w:pPr>
        <w:autoSpaceDE w:val="0"/>
        <w:autoSpaceDN w:val="0"/>
        <w:adjustRightInd w:val="0"/>
        <w:spacing w:before="240" w:after="120" w:line="276" w:lineRule="auto"/>
        <w:ind w:left="720"/>
        <w:contextualSpacing/>
        <w:rPr>
          <w:rFonts w:ascii="Arial" w:hAnsi="Arial" w:cs="Arial"/>
          <w:lang w:val="en-CA"/>
        </w:rPr>
      </w:pPr>
    </w:p>
    <w:p w14:paraId="52BEBAF7" w14:textId="7D145DF5" w:rsidR="007509C7" w:rsidRPr="00BF20CF" w:rsidRDefault="007509C7" w:rsidP="00876E97">
      <w:pPr>
        <w:numPr>
          <w:ilvl w:val="0"/>
          <w:numId w:val="43"/>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How has UMS used these figures to categorize its sample utilities into cohorts according to vegetation?</w:t>
      </w:r>
    </w:p>
    <w:p w14:paraId="11658B86" w14:textId="3DA06471" w:rsidR="00123CD1" w:rsidRPr="00BF20CF" w:rsidRDefault="00123CD1" w:rsidP="00123CD1">
      <w:pPr>
        <w:autoSpaceDE w:val="0"/>
        <w:autoSpaceDN w:val="0"/>
        <w:adjustRightInd w:val="0"/>
        <w:spacing w:before="240" w:after="120" w:line="276" w:lineRule="auto"/>
        <w:ind w:left="720"/>
        <w:contextualSpacing/>
        <w:rPr>
          <w:rFonts w:ascii="Arial" w:hAnsi="Arial" w:cs="Arial"/>
          <w:lang w:val="en-CA"/>
        </w:rPr>
      </w:pPr>
    </w:p>
    <w:p w14:paraId="7A1775DC" w14:textId="77777777" w:rsidR="007509C7" w:rsidRPr="00BF20CF" w:rsidRDefault="007509C7" w:rsidP="00876E97">
      <w:pPr>
        <w:numPr>
          <w:ilvl w:val="0"/>
          <w:numId w:val="43"/>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If the US and Canadian maps use different scales, how did UMS ensure consistency of categorization for US and Canadian utilities in its sample?</w:t>
      </w:r>
    </w:p>
    <w:p w14:paraId="59ED0BA2" w14:textId="77777777" w:rsidR="0039317E" w:rsidRPr="00BF20CF" w:rsidRDefault="0039317E" w:rsidP="0039317E">
      <w:pPr>
        <w:spacing w:line="276" w:lineRule="auto"/>
        <w:rPr>
          <w:rFonts w:ascii="Arial" w:eastAsia="Calibri" w:hAnsi="Arial" w:cs="Arial"/>
          <w:b/>
        </w:rPr>
      </w:pPr>
    </w:p>
    <w:p w14:paraId="71117AD8" w14:textId="7938ECE4" w:rsidR="007509C7" w:rsidRPr="00BF20CF" w:rsidRDefault="00C667E6" w:rsidP="0039317E">
      <w:pPr>
        <w:spacing w:line="276" w:lineRule="auto"/>
        <w:rPr>
          <w:rFonts w:ascii="Arial" w:eastAsia="Calibri" w:hAnsi="Arial" w:cs="Arial"/>
          <w:b/>
        </w:rPr>
      </w:pPr>
      <w:r w:rsidRPr="00BF20CF">
        <w:rPr>
          <w:rFonts w:ascii="Arial" w:eastAsia="Calibri" w:hAnsi="Arial" w:cs="Arial"/>
          <w:b/>
        </w:rPr>
        <w:t>1-Staff-4</w:t>
      </w:r>
      <w:r w:rsidR="001C211A" w:rsidRPr="00BF20CF">
        <w:rPr>
          <w:rFonts w:ascii="Arial" w:eastAsia="Calibri" w:hAnsi="Arial" w:cs="Arial"/>
          <w:b/>
        </w:rPr>
        <w:t>1</w:t>
      </w:r>
    </w:p>
    <w:p w14:paraId="46A2AF79" w14:textId="77777777" w:rsidR="007509C7" w:rsidRPr="00BF20CF" w:rsidRDefault="007509C7" w:rsidP="0039317E">
      <w:pPr>
        <w:spacing w:line="276" w:lineRule="auto"/>
        <w:rPr>
          <w:rFonts w:ascii="Arial" w:eastAsia="Calibri" w:hAnsi="Arial" w:cs="Arial"/>
          <w:b/>
        </w:rPr>
      </w:pPr>
      <w:r w:rsidRPr="00BF20CF">
        <w:rPr>
          <w:rFonts w:ascii="Arial" w:eastAsia="Calibri" w:hAnsi="Arial" w:cs="Arial"/>
          <w:b/>
        </w:rPr>
        <w:t>Ref:</w:t>
      </w:r>
      <w:r w:rsidRPr="00BF20CF">
        <w:rPr>
          <w:rFonts w:ascii="Arial" w:eastAsia="Calibri" w:hAnsi="Arial" w:cs="Arial"/>
          <w:b/>
        </w:rPr>
        <w:tab/>
        <w:t>Exhibit 1/Tab 1/Schedule 12/Attachment B/pp. 18-19</w:t>
      </w:r>
    </w:p>
    <w:p w14:paraId="6A328A4C"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Preamble:</w:t>
      </w:r>
    </w:p>
    <w:p w14:paraId="2FF0818B" w14:textId="77777777" w:rsidR="007509C7" w:rsidRPr="00BF20CF" w:rsidRDefault="007509C7" w:rsidP="003041BF">
      <w:pPr>
        <w:spacing w:before="240" w:after="120" w:line="276" w:lineRule="auto"/>
        <w:rPr>
          <w:rFonts w:ascii="Arial" w:eastAsia="Calibri" w:hAnsi="Arial" w:cs="Arial"/>
        </w:rPr>
      </w:pPr>
      <w:r w:rsidRPr="00BF20CF">
        <w:rPr>
          <w:rFonts w:ascii="Arial" w:eastAsia="Calibri" w:hAnsi="Arial" w:cs="Arial"/>
        </w:rPr>
        <w:t>On pages 18-19 of its study, UMS provides the following discussion under the “Implications of the Study”.</w:t>
      </w:r>
    </w:p>
    <w:p w14:paraId="38A6759B" w14:textId="77777777" w:rsidR="007509C7" w:rsidRPr="00BF20CF" w:rsidRDefault="007509C7" w:rsidP="003041BF">
      <w:pPr>
        <w:kinsoku w:val="0"/>
        <w:overflowPunct w:val="0"/>
        <w:autoSpaceDE w:val="0"/>
        <w:autoSpaceDN w:val="0"/>
        <w:adjustRightInd w:val="0"/>
        <w:spacing w:before="240" w:after="120" w:line="276" w:lineRule="auto"/>
        <w:ind w:left="479" w:right="720"/>
        <w:jc w:val="both"/>
        <w:rPr>
          <w:rFonts w:ascii="Arial" w:eastAsia="Calibri" w:hAnsi="Arial" w:cs="Arial"/>
        </w:rPr>
      </w:pPr>
      <w:r w:rsidRPr="00BF20CF">
        <w:rPr>
          <w:rFonts w:ascii="Arial" w:eastAsia="Calibri" w:hAnsi="Arial" w:cs="Arial"/>
        </w:rPr>
        <w:t>In reviewing our assessment of the Company’s Unit Cost methodology, the subsequent benchmarking across six asset categories and seven OM&amp;A programs / practices, and taking stock of industry practices, the following assertions apply:</w:t>
      </w:r>
    </w:p>
    <w:p w14:paraId="64FA996B" w14:textId="77777777" w:rsidR="007509C7" w:rsidRPr="00BF20CF" w:rsidRDefault="007509C7" w:rsidP="00876E97">
      <w:pPr>
        <w:numPr>
          <w:ilvl w:val="0"/>
          <w:numId w:val="45"/>
        </w:numPr>
        <w:tabs>
          <w:tab w:val="left" w:pos="841"/>
        </w:tabs>
        <w:kinsoku w:val="0"/>
        <w:overflowPunct w:val="0"/>
        <w:autoSpaceDE w:val="0"/>
        <w:autoSpaceDN w:val="0"/>
        <w:adjustRightInd w:val="0"/>
        <w:spacing w:before="240" w:after="120" w:line="276" w:lineRule="auto"/>
        <w:ind w:left="1200" w:right="720"/>
        <w:jc w:val="both"/>
        <w:rPr>
          <w:rFonts w:ascii="Arial" w:eastAsia="Calibri" w:hAnsi="Arial" w:cs="Arial"/>
        </w:rPr>
      </w:pPr>
      <w:r w:rsidRPr="00BF20CF">
        <w:rPr>
          <w:rFonts w:ascii="Arial" w:eastAsia="Calibri" w:hAnsi="Arial" w:cs="Arial"/>
        </w:rPr>
        <w:lastRenderedPageBreak/>
        <w:t>The</w:t>
      </w:r>
      <w:r w:rsidRPr="00BF20CF">
        <w:rPr>
          <w:rFonts w:ascii="Arial" w:eastAsia="Calibri" w:hAnsi="Arial" w:cs="Arial"/>
          <w:spacing w:val="16"/>
        </w:rPr>
        <w:t xml:space="preserve"> </w:t>
      </w:r>
      <w:r w:rsidRPr="00BF20CF">
        <w:rPr>
          <w:rFonts w:ascii="Arial" w:eastAsia="Calibri" w:hAnsi="Arial" w:cs="Arial"/>
        </w:rPr>
        <w:t>asset</w:t>
      </w:r>
      <w:r w:rsidRPr="00BF20CF">
        <w:rPr>
          <w:rFonts w:ascii="Arial" w:eastAsia="Calibri" w:hAnsi="Arial" w:cs="Arial"/>
          <w:spacing w:val="17"/>
        </w:rPr>
        <w:t xml:space="preserve"> </w:t>
      </w:r>
      <w:r w:rsidRPr="00BF20CF">
        <w:rPr>
          <w:rFonts w:ascii="Arial" w:eastAsia="Calibri" w:hAnsi="Arial" w:cs="Arial"/>
        </w:rPr>
        <w:t>categories</w:t>
      </w:r>
      <w:r w:rsidRPr="00BF20CF">
        <w:rPr>
          <w:rFonts w:ascii="Arial" w:eastAsia="Calibri" w:hAnsi="Arial" w:cs="Arial"/>
          <w:spacing w:val="16"/>
        </w:rPr>
        <w:t xml:space="preserve"> </w:t>
      </w:r>
      <w:r w:rsidRPr="00BF20CF">
        <w:rPr>
          <w:rFonts w:ascii="Arial" w:eastAsia="Calibri" w:hAnsi="Arial" w:cs="Arial"/>
        </w:rPr>
        <w:t>and</w:t>
      </w:r>
      <w:r w:rsidRPr="00BF20CF">
        <w:rPr>
          <w:rFonts w:ascii="Arial" w:eastAsia="Calibri" w:hAnsi="Arial" w:cs="Arial"/>
          <w:spacing w:val="16"/>
        </w:rPr>
        <w:t xml:space="preserve"> </w:t>
      </w:r>
      <w:r w:rsidRPr="00BF20CF">
        <w:rPr>
          <w:rFonts w:ascii="Arial" w:eastAsia="Calibri" w:hAnsi="Arial" w:cs="Arial"/>
        </w:rPr>
        <w:t>OM&amp;A</w:t>
      </w:r>
      <w:r w:rsidRPr="00BF20CF">
        <w:rPr>
          <w:rFonts w:ascii="Arial" w:eastAsia="Calibri" w:hAnsi="Arial" w:cs="Arial"/>
          <w:spacing w:val="19"/>
        </w:rPr>
        <w:t xml:space="preserve"> </w:t>
      </w:r>
      <w:r w:rsidRPr="00BF20CF">
        <w:rPr>
          <w:rFonts w:ascii="Arial" w:eastAsia="Calibri" w:hAnsi="Arial" w:cs="Arial"/>
        </w:rPr>
        <w:t>programs</w:t>
      </w:r>
      <w:r w:rsidRPr="00BF20CF">
        <w:rPr>
          <w:rFonts w:ascii="Arial" w:eastAsia="Calibri" w:hAnsi="Arial" w:cs="Arial"/>
          <w:spacing w:val="17"/>
        </w:rPr>
        <w:t xml:space="preserve"> </w:t>
      </w:r>
      <w:r w:rsidRPr="00BF20CF">
        <w:rPr>
          <w:rFonts w:ascii="Arial" w:eastAsia="Calibri" w:hAnsi="Arial" w:cs="Arial"/>
        </w:rPr>
        <w:t>/</w:t>
      </w:r>
      <w:r w:rsidRPr="00BF20CF">
        <w:rPr>
          <w:rFonts w:ascii="Arial" w:eastAsia="Calibri" w:hAnsi="Arial" w:cs="Arial"/>
          <w:spacing w:val="18"/>
        </w:rPr>
        <w:t xml:space="preserve"> </w:t>
      </w:r>
      <w:r w:rsidRPr="00BF20CF">
        <w:rPr>
          <w:rFonts w:ascii="Arial" w:eastAsia="Calibri" w:hAnsi="Arial" w:cs="Arial"/>
        </w:rPr>
        <w:t>practices</w:t>
      </w:r>
      <w:r w:rsidRPr="00BF20CF">
        <w:rPr>
          <w:rFonts w:ascii="Arial" w:eastAsia="Calibri" w:hAnsi="Arial" w:cs="Arial"/>
          <w:spacing w:val="16"/>
        </w:rPr>
        <w:t xml:space="preserve"> </w:t>
      </w:r>
      <w:r w:rsidRPr="00BF20CF">
        <w:rPr>
          <w:rFonts w:ascii="Arial" w:eastAsia="Calibri" w:hAnsi="Arial" w:cs="Arial"/>
        </w:rPr>
        <w:t>selected</w:t>
      </w:r>
      <w:r w:rsidRPr="00BF20CF">
        <w:rPr>
          <w:rFonts w:ascii="Arial" w:eastAsia="Calibri" w:hAnsi="Arial" w:cs="Arial"/>
          <w:spacing w:val="16"/>
        </w:rPr>
        <w:t xml:space="preserve"> </w:t>
      </w:r>
      <w:r w:rsidRPr="00BF20CF">
        <w:rPr>
          <w:rFonts w:ascii="Arial" w:eastAsia="Calibri" w:hAnsi="Arial" w:cs="Arial"/>
        </w:rPr>
        <w:t>by</w:t>
      </w:r>
      <w:r w:rsidRPr="00BF20CF">
        <w:rPr>
          <w:rFonts w:ascii="Arial" w:eastAsia="Calibri" w:hAnsi="Arial" w:cs="Arial"/>
          <w:spacing w:val="16"/>
        </w:rPr>
        <w:t xml:space="preserve"> </w:t>
      </w:r>
      <w:r w:rsidRPr="00BF20CF">
        <w:rPr>
          <w:rFonts w:ascii="Arial" w:eastAsia="Calibri" w:hAnsi="Arial" w:cs="Arial"/>
        </w:rPr>
        <w:t>the</w:t>
      </w:r>
      <w:r w:rsidRPr="00BF20CF">
        <w:rPr>
          <w:rFonts w:ascii="Arial" w:eastAsia="Calibri" w:hAnsi="Arial" w:cs="Arial"/>
          <w:spacing w:val="16"/>
        </w:rPr>
        <w:t xml:space="preserve"> </w:t>
      </w:r>
      <w:r w:rsidRPr="00BF20CF">
        <w:rPr>
          <w:rFonts w:ascii="Arial" w:eastAsia="Calibri" w:hAnsi="Arial" w:cs="Arial"/>
        </w:rPr>
        <w:t>Company represent</w:t>
      </w:r>
      <w:r w:rsidRPr="00BF20CF">
        <w:rPr>
          <w:rFonts w:ascii="Arial" w:eastAsia="Calibri" w:hAnsi="Arial" w:cs="Arial"/>
          <w:spacing w:val="2"/>
        </w:rPr>
        <w:t xml:space="preserve"> </w:t>
      </w:r>
      <w:r w:rsidRPr="00BF20CF">
        <w:rPr>
          <w:rFonts w:ascii="Arial" w:eastAsia="Calibri" w:hAnsi="Arial" w:cs="Arial"/>
        </w:rPr>
        <w:t>a</w:t>
      </w:r>
      <w:r w:rsidRPr="00BF20CF">
        <w:rPr>
          <w:rFonts w:ascii="Arial" w:eastAsia="Calibri" w:hAnsi="Arial" w:cs="Arial"/>
          <w:spacing w:val="-2"/>
        </w:rPr>
        <w:t xml:space="preserve"> </w:t>
      </w:r>
      <w:r w:rsidRPr="00BF20CF">
        <w:rPr>
          <w:rFonts w:ascii="Arial" w:eastAsia="Calibri" w:hAnsi="Arial" w:cs="Arial"/>
        </w:rPr>
        <w:t>valid proxy</w:t>
      </w:r>
      <w:r w:rsidRPr="00BF20CF">
        <w:rPr>
          <w:rFonts w:ascii="Arial" w:eastAsia="Calibri" w:hAnsi="Arial" w:cs="Arial"/>
          <w:spacing w:val="-2"/>
        </w:rPr>
        <w:t xml:space="preserve"> </w:t>
      </w:r>
      <w:r w:rsidRPr="00BF20CF">
        <w:rPr>
          <w:rFonts w:ascii="Arial" w:eastAsia="Calibri" w:hAnsi="Arial" w:cs="Arial"/>
        </w:rPr>
        <w:t>for trending</w:t>
      </w:r>
      <w:r w:rsidRPr="00BF20CF">
        <w:rPr>
          <w:rFonts w:ascii="Arial" w:eastAsia="Calibri" w:hAnsi="Arial" w:cs="Arial"/>
          <w:spacing w:val="3"/>
        </w:rPr>
        <w:t xml:space="preserve"> </w:t>
      </w:r>
      <w:r w:rsidRPr="00BF20CF">
        <w:rPr>
          <w:rFonts w:ascii="Arial" w:eastAsia="Calibri" w:hAnsi="Arial" w:cs="Arial"/>
        </w:rPr>
        <w:t>its</w:t>
      </w:r>
      <w:r w:rsidRPr="00BF20CF">
        <w:rPr>
          <w:rFonts w:ascii="Arial" w:eastAsia="Calibri" w:hAnsi="Arial" w:cs="Arial"/>
          <w:spacing w:val="1"/>
        </w:rPr>
        <w:t xml:space="preserve"> </w:t>
      </w:r>
      <w:r w:rsidRPr="00BF20CF">
        <w:rPr>
          <w:rFonts w:ascii="Arial" w:eastAsia="Calibri" w:hAnsi="Arial" w:cs="Arial"/>
        </w:rPr>
        <w:t>performance.</w:t>
      </w:r>
    </w:p>
    <w:p w14:paraId="7CDC7D1A" w14:textId="77777777" w:rsidR="007509C7" w:rsidRPr="00BF20CF" w:rsidRDefault="007509C7" w:rsidP="00876E97">
      <w:pPr>
        <w:numPr>
          <w:ilvl w:val="0"/>
          <w:numId w:val="45"/>
        </w:numPr>
        <w:tabs>
          <w:tab w:val="left" w:pos="841"/>
        </w:tabs>
        <w:kinsoku w:val="0"/>
        <w:overflowPunct w:val="0"/>
        <w:autoSpaceDE w:val="0"/>
        <w:autoSpaceDN w:val="0"/>
        <w:adjustRightInd w:val="0"/>
        <w:spacing w:before="240" w:after="120" w:line="276" w:lineRule="auto"/>
        <w:ind w:left="1200" w:right="720"/>
        <w:jc w:val="both"/>
        <w:rPr>
          <w:rFonts w:ascii="Arial" w:eastAsia="Calibri" w:hAnsi="Arial" w:cs="Arial"/>
        </w:rPr>
      </w:pPr>
      <w:r w:rsidRPr="00BF20CF">
        <w:rPr>
          <w:rFonts w:ascii="Arial" w:eastAsia="Calibri" w:hAnsi="Arial" w:cs="Arial"/>
        </w:rPr>
        <w:t>Within these asset categories and OM&amp;A programs / practices, continued refinement is called for in the reporting, collecting and synthesizing of cost and installation data, particularly as the industry drives to adopt unit costing as a means for trending</w:t>
      </w:r>
      <w:r w:rsidRPr="00BF20CF">
        <w:rPr>
          <w:rFonts w:ascii="Arial" w:eastAsia="Calibri" w:hAnsi="Arial" w:cs="Arial"/>
          <w:spacing w:val="3"/>
        </w:rPr>
        <w:t xml:space="preserve"> </w:t>
      </w:r>
      <w:r w:rsidRPr="00BF20CF">
        <w:rPr>
          <w:rFonts w:ascii="Arial" w:eastAsia="Calibri" w:hAnsi="Arial" w:cs="Arial"/>
        </w:rPr>
        <w:t>and comparing performance.</w:t>
      </w:r>
    </w:p>
    <w:p w14:paraId="31B8497B" w14:textId="77777777" w:rsidR="007509C7" w:rsidRPr="00BF20CF" w:rsidRDefault="007509C7" w:rsidP="00876E97">
      <w:pPr>
        <w:numPr>
          <w:ilvl w:val="0"/>
          <w:numId w:val="45"/>
        </w:numPr>
        <w:tabs>
          <w:tab w:val="left" w:pos="841"/>
        </w:tabs>
        <w:kinsoku w:val="0"/>
        <w:overflowPunct w:val="0"/>
        <w:autoSpaceDE w:val="0"/>
        <w:autoSpaceDN w:val="0"/>
        <w:adjustRightInd w:val="0"/>
        <w:spacing w:before="240" w:after="120" w:line="276" w:lineRule="auto"/>
        <w:ind w:left="1200" w:right="720"/>
        <w:jc w:val="both"/>
        <w:rPr>
          <w:rFonts w:ascii="Arial" w:eastAsia="Calibri" w:hAnsi="Arial" w:cs="Arial"/>
        </w:rPr>
      </w:pPr>
      <w:r w:rsidRPr="00BF20CF">
        <w:rPr>
          <w:rFonts w:ascii="Arial" w:eastAsia="Calibri" w:hAnsi="Arial" w:cs="Arial"/>
        </w:rPr>
        <w:t>The</w:t>
      </w:r>
      <w:r w:rsidRPr="00BF20CF">
        <w:rPr>
          <w:rFonts w:ascii="Arial" w:eastAsia="Calibri" w:hAnsi="Arial" w:cs="Arial"/>
          <w:spacing w:val="10"/>
        </w:rPr>
        <w:t xml:space="preserve"> </w:t>
      </w:r>
      <w:r w:rsidRPr="00BF20CF">
        <w:rPr>
          <w:rFonts w:ascii="Arial" w:eastAsia="Calibri" w:hAnsi="Arial" w:cs="Arial"/>
        </w:rPr>
        <w:t>industry</w:t>
      </w:r>
      <w:r w:rsidRPr="00BF20CF">
        <w:rPr>
          <w:rFonts w:ascii="Arial" w:eastAsia="Calibri" w:hAnsi="Arial" w:cs="Arial"/>
          <w:spacing w:val="7"/>
        </w:rPr>
        <w:t xml:space="preserve"> </w:t>
      </w:r>
      <w:r w:rsidRPr="00BF20CF">
        <w:rPr>
          <w:rFonts w:ascii="Arial" w:eastAsia="Calibri" w:hAnsi="Arial" w:cs="Arial"/>
        </w:rPr>
        <w:t>(particularly</w:t>
      </w:r>
      <w:r w:rsidRPr="00BF20CF">
        <w:rPr>
          <w:rFonts w:ascii="Arial" w:eastAsia="Calibri" w:hAnsi="Arial" w:cs="Arial"/>
          <w:spacing w:val="13"/>
        </w:rPr>
        <w:t xml:space="preserve"> </w:t>
      </w:r>
      <w:r w:rsidRPr="00BF20CF">
        <w:rPr>
          <w:rFonts w:ascii="Arial" w:eastAsia="Calibri" w:hAnsi="Arial" w:cs="Arial"/>
        </w:rPr>
        <w:t>in</w:t>
      </w:r>
      <w:r w:rsidRPr="00BF20CF">
        <w:rPr>
          <w:rFonts w:ascii="Arial" w:eastAsia="Calibri" w:hAnsi="Arial" w:cs="Arial"/>
          <w:spacing w:val="12"/>
        </w:rPr>
        <w:t xml:space="preserve"> </w:t>
      </w:r>
      <w:r w:rsidRPr="00BF20CF">
        <w:rPr>
          <w:rFonts w:ascii="Arial" w:eastAsia="Calibri" w:hAnsi="Arial" w:cs="Arial"/>
        </w:rPr>
        <w:t>North</w:t>
      </w:r>
      <w:r w:rsidRPr="00BF20CF">
        <w:rPr>
          <w:rFonts w:ascii="Arial" w:eastAsia="Calibri" w:hAnsi="Arial" w:cs="Arial"/>
          <w:spacing w:val="12"/>
        </w:rPr>
        <w:t xml:space="preserve"> </w:t>
      </w:r>
      <w:r w:rsidRPr="00BF20CF">
        <w:rPr>
          <w:rFonts w:ascii="Arial" w:eastAsia="Calibri" w:hAnsi="Arial" w:cs="Arial"/>
        </w:rPr>
        <w:t>America</w:t>
      </w:r>
      <w:r w:rsidRPr="00BF20CF">
        <w:rPr>
          <w:rFonts w:ascii="Arial" w:eastAsia="Calibri" w:hAnsi="Arial" w:cs="Arial"/>
          <w:spacing w:val="10"/>
        </w:rPr>
        <w:t xml:space="preserve"> </w:t>
      </w:r>
      <w:r w:rsidRPr="00BF20CF">
        <w:rPr>
          <w:rFonts w:ascii="Arial" w:eastAsia="Calibri" w:hAnsi="Arial" w:cs="Arial"/>
        </w:rPr>
        <w:t>and</w:t>
      </w:r>
      <w:r w:rsidRPr="00BF20CF">
        <w:rPr>
          <w:rFonts w:ascii="Arial" w:eastAsia="Calibri" w:hAnsi="Arial" w:cs="Arial"/>
          <w:spacing w:val="12"/>
        </w:rPr>
        <w:t xml:space="preserve"> </w:t>
      </w:r>
      <w:r w:rsidRPr="00BF20CF">
        <w:rPr>
          <w:rFonts w:ascii="Arial" w:eastAsia="Calibri" w:hAnsi="Arial" w:cs="Arial"/>
        </w:rPr>
        <w:t>certainly</w:t>
      </w:r>
      <w:r w:rsidRPr="00BF20CF">
        <w:rPr>
          <w:rFonts w:ascii="Arial" w:eastAsia="Calibri" w:hAnsi="Arial" w:cs="Arial"/>
          <w:spacing w:val="10"/>
        </w:rPr>
        <w:t xml:space="preserve"> </w:t>
      </w:r>
      <w:r w:rsidRPr="00BF20CF">
        <w:rPr>
          <w:rFonts w:ascii="Arial" w:eastAsia="Calibri" w:hAnsi="Arial" w:cs="Arial"/>
        </w:rPr>
        <w:t>in</w:t>
      </w:r>
      <w:r w:rsidRPr="00BF20CF">
        <w:rPr>
          <w:rFonts w:ascii="Arial" w:eastAsia="Calibri" w:hAnsi="Arial" w:cs="Arial"/>
          <w:spacing w:val="12"/>
        </w:rPr>
        <w:t xml:space="preserve"> </w:t>
      </w:r>
      <w:r w:rsidRPr="00BF20CF">
        <w:rPr>
          <w:rFonts w:ascii="Arial" w:eastAsia="Calibri" w:hAnsi="Arial" w:cs="Arial"/>
        </w:rPr>
        <w:t>the</w:t>
      </w:r>
      <w:r w:rsidRPr="00BF20CF">
        <w:rPr>
          <w:rFonts w:ascii="Arial" w:eastAsia="Calibri" w:hAnsi="Arial" w:cs="Arial"/>
          <w:spacing w:val="12"/>
        </w:rPr>
        <w:t xml:space="preserve"> </w:t>
      </w:r>
      <w:r w:rsidRPr="00BF20CF">
        <w:rPr>
          <w:rFonts w:ascii="Arial" w:eastAsia="Calibri" w:hAnsi="Arial" w:cs="Arial"/>
        </w:rPr>
        <w:t>U.S.)</w:t>
      </w:r>
      <w:r w:rsidRPr="00BF20CF">
        <w:rPr>
          <w:rFonts w:ascii="Arial" w:eastAsia="Calibri" w:hAnsi="Arial" w:cs="Arial"/>
          <w:spacing w:val="14"/>
        </w:rPr>
        <w:t xml:space="preserve"> </w:t>
      </w:r>
      <w:r w:rsidRPr="00BF20CF">
        <w:rPr>
          <w:rFonts w:ascii="Arial" w:eastAsia="Calibri" w:hAnsi="Arial" w:cs="Arial"/>
        </w:rPr>
        <w:t>has</w:t>
      </w:r>
      <w:r w:rsidRPr="00BF20CF">
        <w:rPr>
          <w:rFonts w:ascii="Arial" w:eastAsia="Calibri" w:hAnsi="Arial" w:cs="Arial"/>
          <w:spacing w:val="8"/>
        </w:rPr>
        <w:t xml:space="preserve"> </w:t>
      </w:r>
      <w:r w:rsidRPr="00BF20CF">
        <w:rPr>
          <w:rFonts w:ascii="Arial" w:eastAsia="Calibri" w:hAnsi="Arial" w:cs="Arial"/>
        </w:rPr>
        <w:t>not</w:t>
      </w:r>
      <w:r w:rsidRPr="00BF20CF">
        <w:rPr>
          <w:rFonts w:ascii="Arial" w:eastAsia="Calibri" w:hAnsi="Arial" w:cs="Arial"/>
          <w:spacing w:val="11"/>
        </w:rPr>
        <w:t xml:space="preserve"> </w:t>
      </w:r>
      <w:r w:rsidRPr="00BF20CF">
        <w:rPr>
          <w:rFonts w:ascii="Arial" w:eastAsia="Calibri" w:hAnsi="Arial" w:cs="Arial"/>
        </w:rPr>
        <w:t>matured</w:t>
      </w:r>
      <w:r w:rsidRPr="00BF20CF">
        <w:rPr>
          <w:rFonts w:ascii="Arial" w:eastAsia="Calibri" w:hAnsi="Arial" w:cs="Arial"/>
          <w:spacing w:val="10"/>
        </w:rPr>
        <w:t xml:space="preserve"> </w:t>
      </w:r>
      <w:r w:rsidRPr="00BF20CF">
        <w:rPr>
          <w:rFonts w:ascii="Arial" w:eastAsia="Calibri" w:hAnsi="Arial" w:cs="Arial"/>
        </w:rPr>
        <w:t>to</w:t>
      </w:r>
      <w:r w:rsidRPr="00BF20CF">
        <w:rPr>
          <w:rFonts w:ascii="Arial" w:eastAsia="Calibri" w:hAnsi="Arial" w:cs="Arial"/>
          <w:spacing w:val="1"/>
        </w:rPr>
        <w:t xml:space="preserve"> </w:t>
      </w:r>
      <w:r w:rsidRPr="00BF20CF">
        <w:rPr>
          <w:rFonts w:ascii="Arial" w:eastAsia="Calibri" w:hAnsi="Arial" w:cs="Arial"/>
        </w:rPr>
        <w:t>the</w:t>
      </w:r>
      <w:r w:rsidRPr="00BF20CF">
        <w:rPr>
          <w:rFonts w:ascii="Arial" w:eastAsia="Calibri" w:hAnsi="Arial" w:cs="Arial"/>
          <w:spacing w:val="40"/>
        </w:rPr>
        <w:t xml:space="preserve"> </w:t>
      </w:r>
      <w:r w:rsidRPr="00BF20CF">
        <w:rPr>
          <w:rFonts w:ascii="Arial" w:eastAsia="Calibri" w:hAnsi="Arial" w:cs="Arial"/>
        </w:rPr>
        <w:t>point</w:t>
      </w:r>
      <w:r w:rsidRPr="00BF20CF">
        <w:rPr>
          <w:rFonts w:ascii="Arial" w:eastAsia="Calibri" w:hAnsi="Arial" w:cs="Arial"/>
          <w:spacing w:val="41"/>
        </w:rPr>
        <w:t xml:space="preserve"> </w:t>
      </w:r>
      <w:r w:rsidRPr="00BF20CF">
        <w:rPr>
          <w:rFonts w:ascii="Arial" w:eastAsia="Calibri" w:hAnsi="Arial" w:cs="Arial"/>
        </w:rPr>
        <w:t>where</w:t>
      </w:r>
      <w:r w:rsidRPr="00BF20CF">
        <w:rPr>
          <w:rFonts w:ascii="Arial" w:eastAsia="Calibri" w:hAnsi="Arial" w:cs="Arial"/>
          <w:spacing w:val="40"/>
        </w:rPr>
        <w:t xml:space="preserve"> </w:t>
      </w:r>
      <w:r w:rsidRPr="00BF20CF">
        <w:rPr>
          <w:rFonts w:ascii="Arial" w:eastAsia="Calibri" w:hAnsi="Arial" w:cs="Arial"/>
        </w:rPr>
        <w:t>(1)</w:t>
      </w:r>
      <w:r w:rsidRPr="00BF20CF">
        <w:rPr>
          <w:rFonts w:ascii="Arial" w:eastAsia="Calibri" w:hAnsi="Arial" w:cs="Arial"/>
          <w:spacing w:val="41"/>
        </w:rPr>
        <w:t xml:space="preserve"> </w:t>
      </w:r>
      <w:r w:rsidRPr="00BF20CF">
        <w:rPr>
          <w:rFonts w:ascii="Arial" w:eastAsia="Calibri" w:hAnsi="Arial" w:cs="Arial"/>
        </w:rPr>
        <w:t>common</w:t>
      </w:r>
      <w:r w:rsidRPr="00BF20CF">
        <w:rPr>
          <w:rFonts w:ascii="Arial" w:eastAsia="Calibri" w:hAnsi="Arial" w:cs="Arial"/>
          <w:spacing w:val="38"/>
        </w:rPr>
        <w:t xml:space="preserve"> </w:t>
      </w:r>
      <w:r w:rsidRPr="00BF20CF">
        <w:rPr>
          <w:rFonts w:ascii="Arial" w:eastAsia="Calibri" w:hAnsi="Arial" w:cs="Arial"/>
        </w:rPr>
        <w:t>methodologies</w:t>
      </w:r>
      <w:r w:rsidRPr="00BF20CF">
        <w:rPr>
          <w:rFonts w:ascii="Arial" w:eastAsia="Calibri" w:hAnsi="Arial" w:cs="Arial"/>
          <w:spacing w:val="38"/>
        </w:rPr>
        <w:t xml:space="preserve"> </w:t>
      </w:r>
      <w:r w:rsidRPr="00BF20CF">
        <w:rPr>
          <w:rFonts w:ascii="Arial" w:eastAsia="Calibri" w:hAnsi="Arial" w:cs="Arial"/>
        </w:rPr>
        <w:t>exist</w:t>
      </w:r>
      <w:r w:rsidRPr="00BF20CF">
        <w:rPr>
          <w:rFonts w:ascii="Arial" w:eastAsia="Calibri" w:hAnsi="Arial" w:cs="Arial"/>
          <w:spacing w:val="41"/>
        </w:rPr>
        <w:t xml:space="preserve"> </w:t>
      </w:r>
      <w:r w:rsidRPr="00BF20CF">
        <w:rPr>
          <w:rFonts w:ascii="Arial" w:eastAsia="Calibri" w:hAnsi="Arial" w:cs="Arial"/>
        </w:rPr>
        <w:t>in</w:t>
      </w:r>
      <w:r w:rsidRPr="00BF20CF">
        <w:rPr>
          <w:rFonts w:ascii="Arial" w:eastAsia="Calibri" w:hAnsi="Arial" w:cs="Arial"/>
          <w:spacing w:val="41"/>
        </w:rPr>
        <w:t xml:space="preserve"> </w:t>
      </w:r>
      <w:r w:rsidRPr="00BF20CF">
        <w:rPr>
          <w:rFonts w:ascii="Arial" w:eastAsia="Calibri" w:hAnsi="Arial" w:cs="Arial"/>
        </w:rPr>
        <w:t>deriving</w:t>
      </w:r>
      <w:r w:rsidRPr="00BF20CF">
        <w:rPr>
          <w:rFonts w:ascii="Arial" w:eastAsia="Calibri" w:hAnsi="Arial" w:cs="Arial"/>
          <w:spacing w:val="42"/>
        </w:rPr>
        <w:t xml:space="preserve"> </w:t>
      </w:r>
      <w:r w:rsidRPr="00BF20CF">
        <w:rPr>
          <w:rFonts w:ascii="Arial" w:eastAsia="Calibri" w:hAnsi="Arial" w:cs="Arial"/>
        </w:rPr>
        <w:t>unit</w:t>
      </w:r>
      <w:r w:rsidRPr="00BF20CF">
        <w:rPr>
          <w:rFonts w:ascii="Arial" w:eastAsia="Calibri" w:hAnsi="Arial" w:cs="Arial"/>
          <w:spacing w:val="41"/>
        </w:rPr>
        <w:t xml:space="preserve"> </w:t>
      </w:r>
      <w:r w:rsidRPr="00BF20CF">
        <w:rPr>
          <w:rFonts w:ascii="Arial" w:eastAsia="Calibri" w:hAnsi="Arial" w:cs="Arial"/>
        </w:rPr>
        <w:t>rates,</w:t>
      </w:r>
      <w:r w:rsidRPr="00BF20CF">
        <w:rPr>
          <w:rFonts w:ascii="Arial" w:eastAsia="Calibri" w:hAnsi="Arial" w:cs="Arial"/>
          <w:spacing w:val="41"/>
        </w:rPr>
        <w:t xml:space="preserve"> </w:t>
      </w:r>
      <w:r w:rsidRPr="00BF20CF">
        <w:rPr>
          <w:rFonts w:ascii="Arial" w:eastAsia="Calibri" w:hAnsi="Arial" w:cs="Arial"/>
        </w:rPr>
        <w:t>or</w:t>
      </w:r>
      <w:r w:rsidRPr="00BF20CF">
        <w:rPr>
          <w:rFonts w:ascii="Arial" w:eastAsia="Calibri" w:hAnsi="Arial" w:cs="Arial"/>
          <w:spacing w:val="41"/>
        </w:rPr>
        <w:t xml:space="preserve"> </w:t>
      </w:r>
      <w:r w:rsidRPr="00BF20CF">
        <w:rPr>
          <w:rFonts w:ascii="Arial" w:eastAsia="Calibri" w:hAnsi="Arial" w:cs="Arial"/>
        </w:rPr>
        <w:t>(2) management</w:t>
      </w:r>
      <w:r w:rsidRPr="00BF20CF">
        <w:rPr>
          <w:rFonts w:ascii="Arial" w:eastAsia="Calibri" w:hAnsi="Arial" w:cs="Arial"/>
          <w:spacing w:val="27"/>
        </w:rPr>
        <w:t xml:space="preserve"> </w:t>
      </w:r>
      <w:r w:rsidRPr="00BF20CF">
        <w:rPr>
          <w:rFonts w:ascii="Arial" w:eastAsia="Calibri" w:hAnsi="Arial" w:cs="Arial"/>
        </w:rPr>
        <w:t>of</w:t>
      </w:r>
      <w:r w:rsidRPr="00BF20CF">
        <w:rPr>
          <w:rFonts w:ascii="Arial" w:eastAsia="Calibri" w:hAnsi="Arial" w:cs="Arial"/>
          <w:spacing w:val="30"/>
        </w:rPr>
        <w:t xml:space="preserve"> </w:t>
      </w:r>
      <w:r w:rsidRPr="00BF20CF">
        <w:rPr>
          <w:rFonts w:ascii="Arial" w:eastAsia="Calibri" w:hAnsi="Arial" w:cs="Arial"/>
        </w:rPr>
        <w:t>unit</w:t>
      </w:r>
      <w:r w:rsidRPr="00BF20CF">
        <w:rPr>
          <w:rFonts w:ascii="Arial" w:eastAsia="Calibri" w:hAnsi="Arial" w:cs="Arial"/>
          <w:spacing w:val="27"/>
        </w:rPr>
        <w:t xml:space="preserve"> </w:t>
      </w:r>
      <w:r w:rsidRPr="00BF20CF">
        <w:rPr>
          <w:rFonts w:ascii="Arial" w:eastAsia="Calibri" w:hAnsi="Arial" w:cs="Arial"/>
        </w:rPr>
        <w:t>rates</w:t>
      </w:r>
      <w:r w:rsidRPr="00BF20CF">
        <w:rPr>
          <w:rFonts w:ascii="Arial" w:eastAsia="Calibri" w:hAnsi="Arial" w:cs="Arial"/>
          <w:spacing w:val="28"/>
        </w:rPr>
        <w:t xml:space="preserve"> </w:t>
      </w:r>
      <w:r w:rsidRPr="00BF20CF">
        <w:rPr>
          <w:rFonts w:ascii="Arial" w:eastAsia="Calibri" w:hAnsi="Arial" w:cs="Arial"/>
        </w:rPr>
        <w:t>is</w:t>
      </w:r>
      <w:r w:rsidRPr="00BF20CF">
        <w:rPr>
          <w:rFonts w:ascii="Arial" w:eastAsia="Calibri" w:hAnsi="Arial" w:cs="Arial"/>
          <w:spacing w:val="26"/>
        </w:rPr>
        <w:t xml:space="preserve"> </w:t>
      </w:r>
      <w:r w:rsidRPr="00BF20CF">
        <w:rPr>
          <w:rFonts w:ascii="Arial" w:eastAsia="Calibri" w:hAnsi="Arial" w:cs="Arial"/>
        </w:rPr>
        <w:t>a</w:t>
      </w:r>
      <w:r w:rsidRPr="00BF20CF">
        <w:rPr>
          <w:rFonts w:ascii="Arial" w:eastAsia="Calibri" w:hAnsi="Arial" w:cs="Arial"/>
          <w:spacing w:val="26"/>
        </w:rPr>
        <w:t xml:space="preserve"> </w:t>
      </w:r>
      <w:r w:rsidRPr="00BF20CF">
        <w:rPr>
          <w:rFonts w:ascii="Arial" w:eastAsia="Calibri" w:hAnsi="Arial" w:cs="Arial"/>
        </w:rPr>
        <w:t>conscious</w:t>
      </w:r>
      <w:r w:rsidRPr="00BF20CF">
        <w:rPr>
          <w:rFonts w:ascii="Arial" w:eastAsia="Calibri" w:hAnsi="Arial" w:cs="Arial"/>
          <w:spacing w:val="26"/>
        </w:rPr>
        <w:t xml:space="preserve"> </w:t>
      </w:r>
      <w:r w:rsidRPr="00BF20CF">
        <w:rPr>
          <w:rFonts w:ascii="Arial" w:eastAsia="Calibri" w:hAnsi="Arial" w:cs="Arial"/>
        </w:rPr>
        <w:t>part</w:t>
      </w:r>
      <w:r w:rsidRPr="00BF20CF">
        <w:rPr>
          <w:rFonts w:ascii="Arial" w:eastAsia="Calibri" w:hAnsi="Arial" w:cs="Arial"/>
          <w:spacing w:val="27"/>
        </w:rPr>
        <w:t xml:space="preserve"> </w:t>
      </w:r>
      <w:r w:rsidRPr="00BF20CF">
        <w:rPr>
          <w:rFonts w:ascii="Arial" w:eastAsia="Calibri" w:hAnsi="Arial" w:cs="Arial"/>
        </w:rPr>
        <w:t>of</w:t>
      </w:r>
      <w:r w:rsidRPr="00BF20CF">
        <w:rPr>
          <w:rFonts w:ascii="Arial" w:eastAsia="Calibri" w:hAnsi="Arial" w:cs="Arial"/>
          <w:spacing w:val="30"/>
        </w:rPr>
        <w:t xml:space="preserve"> </w:t>
      </w:r>
      <w:r w:rsidRPr="00BF20CF">
        <w:rPr>
          <w:rFonts w:ascii="Arial" w:eastAsia="Calibri" w:hAnsi="Arial" w:cs="Arial"/>
        </w:rPr>
        <w:t>any</w:t>
      </w:r>
      <w:r w:rsidRPr="00BF20CF">
        <w:rPr>
          <w:rFonts w:ascii="Arial" w:eastAsia="Calibri" w:hAnsi="Arial" w:cs="Arial"/>
          <w:spacing w:val="26"/>
        </w:rPr>
        <w:t xml:space="preserve"> </w:t>
      </w:r>
      <w:r w:rsidRPr="00BF20CF">
        <w:rPr>
          <w:rFonts w:ascii="Arial" w:eastAsia="Calibri" w:hAnsi="Arial" w:cs="Arial"/>
        </w:rPr>
        <w:t>performance</w:t>
      </w:r>
      <w:r w:rsidRPr="00BF20CF">
        <w:rPr>
          <w:rFonts w:ascii="Arial" w:eastAsia="Calibri" w:hAnsi="Arial" w:cs="Arial"/>
          <w:spacing w:val="28"/>
        </w:rPr>
        <w:t xml:space="preserve"> </w:t>
      </w:r>
      <w:r w:rsidRPr="00BF20CF">
        <w:rPr>
          <w:rFonts w:ascii="Arial" w:eastAsia="Calibri" w:hAnsi="Arial" w:cs="Arial"/>
        </w:rPr>
        <w:t>improvement programs.</w:t>
      </w:r>
    </w:p>
    <w:p w14:paraId="05E7B10E" w14:textId="77777777" w:rsidR="007509C7" w:rsidRPr="00BF20CF" w:rsidRDefault="007509C7" w:rsidP="00876E97">
      <w:pPr>
        <w:numPr>
          <w:ilvl w:val="0"/>
          <w:numId w:val="45"/>
        </w:numPr>
        <w:tabs>
          <w:tab w:val="left" w:pos="841"/>
        </w:tabs>
        <w:kinsoku w:val="0"/>
        <w:overflowPunct w:val="0"/>
        <w:autoSpaceDE w:val="0"/>
        <w:autoSpaceDN w:val="0"/>
        <w:adjustRightInd w:val="0"/>
        <w:spacing w:before="240" w:after="120" w:line="276" w:lineRule="auto"/>
        <w:ind w:left="1200" w:right="720"/>
        <w:jc w:val="both"/>
        <w:rPr>
          <w:rFonts w:ascii="Arial" w:eastAsia="Calibri" w:hAnsi="Arial" w:cs="Arial"/>
        </w:rPr>
      </w:pPr>
      <w:r w:rsidRPr="00BF20CF">
        <w:rPr>
          <w:rFonts w:ascii="Arial" w:eastAsia="Calibri" w:hAnsi="Arial" w:cs="Arial"/>
        </w:rPr>
        <w:t>Benchmarking is directionally accurate in identifying opportunities for improvement and/or validating current cost and service levels. In applying this methodology to unit costs, absent detailed specifications regarding their calculation (which were developed for this study but not practical when conducting less rigorous comparisons of publicly available data), there are a wide array of variables to consider, rendering such an effort difficult.</w:t>
      </w:r>
    </w:p>
    <w:p w14:paraId="2480107F" w14:textId="11EF70BC" w:rsidR="007509C7" w:rsidRPr="00BF20CF" w:rsidRDefault="007509C7" w:rsidP="003041BF">
      <w:pPr>
        <w:tabs>
          <w:tab w:val="left" w:pos="841"/>
        </w:tabs>
        <w:kinsoku w:val="0"/>
        <w:overflowPunct w:val="0"/>
        <w:autoSpaceDE w:val="0"/>
        <w:autoSpaceDN w:val="0"/>
        <w:adjustRightInd w:val="0"/>
        <w:spacing w:before="240" w:after="120" w:line="276" w:lineRule="auto"/>
        <w:ind w:right="115"/>
        <w:jc w:val="both"/>
        <w:rPr>
          <w:rFonts w:ascii="Arial" w:eastAsia="Calibri" w:hAnsi="Arial" w:cs="Arial"/>
        </w:rPr>
      </w:pPr>
      <w:r w:rsidRPr="00BF20CF">
        <w:rPr>
          <w:rFonts w:ascii="Arial" w:eastAsia="Calibri" w:hAnsi="Arial" w:cs="Arial"/>
        </w:rPr>
        <w:t>Question</w:t>
      </w:r>
      <w:r w:rsidR="0039317E" w:rsidRPr="00BF20CF">
        <w:rPr>
          <w:rFonts w:ascii="Arial" w:eastAsia="Calibri" w:hAnsi="Arial" w:cs="Arial"/>
        </w:rPr>
        <w:t>(</w:t>
      </w:r>
      <w:r w:rsidRPr="00BF20CF">
        <w:rPr>
          <w:rFonts w:ascii="Arial" w:eastAsia="Calibri" w:hAnsi="Arial" w:cs="Arial"/>
        </w:rPr>
        <w:t>s</w:t>
      </w:r>
      <w:r w:rsidR="0039317E" w:rsidRPr="00BF20CF">
        <w:rPr>
          <w:rFonts w:ascii="Arial" w:eastAsia="Calibri" w:hAnsi="Arial" w:cs="Arial"/>
        </w:rPr>
        <w:t>)</w:t>
      </w:r>
      <w:r w:rsidRPr="00BF20CF">
        <w:rPr>
          <w:rFonts w:ascii="Arial" w:eastAsia="Calibri" w:hAnsi="Arial" w:cs="Arial"/>
        </w:rPr>
        <w:t>:</w:t>
      </w:r>
    </w:p>
    <w:p w14:paraId="6005AAA2" w14:textId="6C6506EE" w:rsidR="007509C7" w:rsidRPr="00BF20CF" w:rsidRDefault="007509C7" w:rsidP="00876E97">
      <w:pPr>
        <w:numPr>
          <w:ilvl w:val="0"/>
          <w:numId w:val="46"/>
        </w:num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r w:rsidRPr="00BF20CF">
        <w:rPr>
          <w:rFonts w:ascii="Arial" w:hAnsi="Arial" w:cs="Arial"/>
          <w:lang w:val="en-CA"/>
        </w:rPr>
        <w:t>Why has UMS labelled these as “assertions”? Who is making these assertions?</w:t>
      </w:r>
    </w:p>
    <w:p w14:paraId="7AC7D5D0" w14:textId="77777777" w:rsidR="00123CD1" w:rsidRPr="00BF20CF" w:rsidRDefault="00123CD1" w:rsidP="00123CD1">
      <w:pPr>
        <w:tabs>
          <w:tab w:val="left" w:pos="841"/>
        </w:tabs>
        <w:kinsoku w:val="0"/>
        <w:overflowPunct w:val="0"/>
        <w:autoSpaceDE w:val="0"/>
        <w:autoSpaceDN w:val="0"/>
        <w:adjustRightInd w:val="0"/>
        <w:spacing w:before="240" w:after="120" w:line="276" w:lineRule="auto"/>
        <w:ind w:left="720" w:right="115"/>
        <w:contextualSpacing/>
        <w:rPr>
          <w:rFonts w:ascii="Arial" w:hAnsi="Arial" w:cs="Arial"/>
          <w:lang w:val="en-CA"/>
        </w:rPr>
      </w:pPr>
    </w:p>
    <w:p w14:paraId="546FE22A" w14:textId="047E46F5" w:rsidR="007509C7" w:rsidRPr="00BF20CF" w:rsidRDefault="007509C7" w:rsidP="00876E97">
      <w:pPr>
        <w:numPr>
          <w:ilvl w:val="0"/>
          <w:numId w:val="46"/>
        </w:num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r w:rsidRPr="00BF20CF">
        <w:rPr>
          <w:rFonts w:ascii="Arial" w:hAnsi="Arial" w:cs="Arial"/>
          <w:lang w:val="en-CA"/>
        </w:rPr>
        <w:t>Please clarify UMS’ intention in providing this discussion</w:t>
      </w:r>
      <w:r w:rsidR="005B3B9A" w:rsidRPr="00BF20CF">
        <w:rPr>
          <w:rFonts w:ascii="Arial" w:hAnsi="Arial" w:cs="Arial"/>
          <w:lang w:val="en-CA"/>
        </w:rPr>
        <w:t>.</w:t>
      </w:r>
    </w:p>
    <w:p w14:paraId="38E52E13" w14:textId="1B60E997" w:rsidR="0039317E" w:rsidRPr="00BF20CF" w:rsidRDefault="0039317E" w:rsidP="0039317E">
      <w:p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p>
    <w:p w14:paraId="24D6B920" w14:textId="215DE02B" w:rsidR="0039317E" w:rsidRPr="00BF20CF" w:rsidRDefault="00C667E6" w:rsidP="0039317E">
      <w:pPr>
        <w:autoSpaceDE w:val="0"/>
        <w:autoSpaceDN w:val="0"/>
        <w:adjustRightInd w:val="0"/>
        <w:spacing w:before="240" w:line="276" w:lineRule="auto"/>
        <w:rPr>
          <w:rFonts w:ascii="Arial" w:hAnsi="Arial" w:cs="Arial"/>
          <w:b/>
        </w:rPr>
      </w:pPr>
      <w:r w:rsidRPr="00BF20CF">
        <w:rPr>
          <w:rFonts w:ascii="Arial" w:hAnsi="Arial" w:cs="Arial"/>
          <w:b/>
        </w:rPr>
        <w:t>1-Staff-4</w:t>
      </w:r>
      <w:r w:rsidR="001C211A" w:rsidRPr="00BF20CF">
        <w:rPr>
          <w:rFonts w:ascii="Arial" w:hAnsi="Arial" w:cs="Arial"/>
          <w:b/>
        </w:rPr>
        <w:t>2</w:t>
      </w:r>
    </w:p>
    <w:p w14:paraId="5C88BFDD" w14:textId="77777777" w:rsidR="0039317E" w:rsidRPr="00BF20CF" w:rsidRDefault="0039317E" w:rsidP="0039317E">
      <w:pPr>
        <w:rPr>
          <w:rFonts w:ascii="Arial" w:hAnsi="Arial" w:cs="Arial"/>
          <w:b/>
        </w:rPr>
      </w:pPr>
      <w:r w:rsidRPr="00BF20CF">
        <w:rPr>
          <w:rFonts w:ascii="Arial" w:hAnsi="Arial" w:cs="Arial"/>
          <w:b/>
        </w:rPr>
        <w:t>Ref:</w:t>
      </w:r>
      <w:r w:rsidRPr="00BF20CF">
        <w:rPr>
          <w:rFonts w:ascii="Arial" w:hAnsi="Arial" w:cs="Arial"/>
          <w:b/>
        </w:rPr>
        <w:tab/>
        <w:t>Exhibit 1/Tab 1/Schedule 12/Attachment B/page 21 and page 8</w:t>
      </w:r>
    </w:p>
    <w:p w14:paraId="053566D1" w14:textId="5644250C" w:rsidR="0039317E" w:rsidRPr="00BF20CF" w:rsidRDefault="0039317E" w:rsidP="0039317E">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6CB6181F" w14:textId="1461A953" w:rsidR="0039317E" w:rsidRPr="00BF20CF" w:rsidRDefault="0039317E" w:rsidP="00876E97">
      <w:pPr>
        <w:pStyle w:val="ListParagraph"/>
        <w:numPr>
          <w:ilvl w:val="0"/>
          <w:numId w:val="3"/>
        </w:numPr>
        <w:autoSpaceDE w:val="0"/>
        <w:autoSpaceDN w:val="0"/>
        <w:adjustRightInd w:val="0"/>
        <w:spacing w:before="240" w:after="120" w:line="276" w:lineRule="auto"/>
        <w:rPr>
          <w:rFonts w:ascii="Arial" w:hAnsi="Arial" w:cs="Arial"/>
          <w:bCs/>
        </w:rPr>
      </w:pPr>
      <w:r w:rsidRPr="00BF20CF">
        <w:rPr>
          <w:rFonts w:ascii="Arial" w:hAnsi="Arial" w:cs="Arial"/>
          <w:bCs/>
        </w:rPr>
        <w:t xml:space="preserve">OEB staff notes that Toronto Hydro was selected as one of the 15 peer utilities in the study, which indicates that UMS identifies Toronto Hydro as a compatible utility to Hydro Ottawa. However, a comparison of the Peer </w:t>
      </w:r>
      <w:r w:rsidRPr="00BF20CF">
        <w:rPr>
          <w:rFonts w:ascii="Arial" w:hAnsi="Arial" w:cs="Arial"/>
          <w:bCs/>
        </w:rPr>
        <w:lastRenderedPageBreak/>
        <w:t xml:space="preserve">Group between </w:t>
      </w:r>
      <w:r w:rsidR="0010102D" w:rsidRPr="00BF20CF">
        <w:rPr>
          <w:rFonts w:ascii="Arial" w:hAnsi="Arial" w:cs="Arial"/>
          <w:bCs/>
        </w:rPr>
        <w:t xml:space="preserve">UMS’ </w:t>
      </w:r>
      <w:r w:rsidRPr="00BF20CF">
        <w:rPr>
          <w:rFonts w:ascii="Arial" w:hAnsi="Arial" w:cs="Arial"/>
          <w:bCs/>
        </w:rPr>
        <w:t>studies filed in Toronto Hydro’s proceeding</w:t>
      </w:r>
      <w:r w:rsidRPr="00BF20CF">
        <w:rPr>
          <w:rStyle w:val="FootnoteReference"/>
          <w:rFonts w:ascii="Arial" w:hAnsi="Arial" w:cs="Arial"/>
          <w:bCs/>
        </w:rPr>
        <w:footnoteReference w:id="19"/>
      </w:r>
      <w:r w:rsidRPr="00BF20CF">
        <w:rPr>
          <w:rFonts w:ascii="Arial" w:hAnsi="Arial" w:cs="Arial"/>
          <w:bCs/>
        </w:rPr>
        <w:t xml:space="preserve"> and this proceeding shows that only eight common utilities were contacted/selected in both groups. Please explain how the Peer Group Panel was selected and why approximately half of the utilities were different from the utilities contacted/selected for Toronto Hydro.</w:t>
      </w:r>
    </w:p>
    <w:p w14:paraId="01A994B2" w14:textId="77777777" w:rsidR="00123CD1" w:rsidRPr="00BF20CF" w:rsidRDefault="00123CD1" w:rsidP="00123CD1">
      <w:pPr>
        <w:pStyle w:val="ListParagraph"/>
        <w:autoSpaceDE w:val="0"/>
        <w:autoSpaceDN w:val="0"/>
        <w:adjustRightInd w:val="0"/>
        <w:spacing w:before="240" w:after="120" w:line="276" w:lineRule="auto"/>
        <w:rPr>
          <w:rFonts w:ascii="Arial" w:hAnsi="Arial" w:cs="Arial"/>
          <w:bCs/>
        </w:rPr>
      </w:pPr>
    </w:p>
    <w:p w14:paraId="20C83FF2" w14:textId="0C4D3532" w:rsidR="0039317E" w:rsidRPr="00BF20CF" w:rsidRDefault="0039317E" w:rsidP="00123CD1">
      <w:pPr>
        <w:pStyle w:val="ListParagraph"/>
        <w:numPr>
          <w:ilvl w:val="0"/>
          <w:numId w:val="3"/>
        </w:numPr>
        <w:autoSpaceDE w:val="0"/>
        <w:autoSpaceDN w:val="0"/>
        <w:adjustRightInd w:val="0"/>
        <w:spacing w:line="276" w:lineRule="auto"/>
        <w:rPr>
          <w:rFonts w:ascii="Arial" w:hAnsi="Arial" w:cs="Arial"/>
          <w:bCs/>
        </w:rPr>
      </w:pPr>
      <w:r w:rsidRPr="00BF20CF">
        <w:rPr>
          <w:rFonts w:ascii="Arial" w:hAnsi="Arial" w:cs="Arial"/>
          <w:bCs/>
        </w:rPr>
        <w:t>Please compare the six asset categories and seven OM&amp;A programs selected in the study with those categories filed in Toronto Hydro’s proceeding. Please provide explanations where certain categories were dropped, or added in the study for Hydro Ottawa.</w:t>
      </w:r>
    </w:p>
    <w:p w14:paraId="08FE65FB" w14:textId="768CA950" w:rsidR="00123CD1" w:rsidRPr="00BF20CF" w:rsidRDefault="00123CD1" w:rsidP="00123CD1">
      <w:pPr>
        <w:autoSpaceDE w:val="0"/>
        <w:autoSpaceDN w:val="0"/>
        <w:adjustRightInd w:val="0"/>
        <w:spacing w:line="276" w:lineRule="auto"/>
        <w:ind w:left="720"/>
        <w:rPr>
          <w:rFonts w:ascii="Arial" w:hAnsi="Arial" w:cs="Arial"/>
          <w:bCs/>
        </w:rPr>
      </w:pPr>
    </w:p>
    <w:p w14:paraId="3D49E2EF" w14:textId="1BF36604" w:rsidR="0039317E" w:rsidRPr="00BF20CF" w:rsidRDefault="0039317E" w:rsidP="00123CD1">
      <w:pPr>
        <w:pStyle w:val="ListParagraph"/>
        <w:numPr>
          <w:ilvl w:val="0"/>
          <w:numId w:val="3"/>
        </w:numPr>
        <w:autoSpaceDE w:val="0"/>
        <w:autoSpaceDN w:val="0"/>
        <w:adjustRightInd w:val="0"/>
        <w:spacing w:line="276" w:lineRule="auto"/>
        <w:rPr>
          <w:rFonts w:ascii="Arial" w:hAnsi="Arial" w:cs="Arial"/>
          <w:bCs/>
        </w:rPr>
      </w:pPr>
      <w:r w:rsidRPr="00BF20CF">
        <w:rPr>
          <w:rFonts w:ascii="Arial" w:hAnsi="Arial" w:cs="Arial"/>
          <w:bCs/>
        </w:rPr>
        <w:t>OEB staff notes that the peer group unit cost median results vary significantly between the UMS study prepared for Toronto Hydro</w:t>
      </w:r>
      <w:r w:rsidRPr="00BF20CF">
        <w:rPr>
          <w:rStyle w:val="FootnoteReference"/>
          <w:rFonts w:ascii="Arial" w:hAnsi="Arial" w:cs="Arial"/>
          <w:bCs/>
        </w:rPr>
        <w:footnoteReference w:id="20"/>
      </w:r>
      <w:r w:rsidRPr="00BF20CF">
        <w:rPr>
          <w:rFonts w:ascii="Arial" w:hAnsi="Arial" w:cs="Arial"/>
          <w:bCs/>
        </w:rPr>
        <w:t xml:space="preserve"> and this study. For example, the peer group unit cost median for wood poles replacement is $7,372 in Toronto Hydro’s study compared to $8,766 in this study; the peer group unit cost median for beakers replacement is $85,228 in Toronto Hydro’s study compared to $106,580 in this study. Please discuss how the OEB can rely on the results of the study when the selected peer group has a significant impact on the benchmarking results.</w:t>
      </w:r>
    </w:p>
    <w:p w14:paraId="78BB765D" w14:textId="77777777" w:rsidR="00123CD1" w:rsidRPr="00BF20CF" w:rsidRDefault="00123CD1" w:rsidP="00123CD1">
      <w:pPr>
        <w:pStyle w:val="ListParagraph"/>
        <w:rPr>
          <w:rFonts w:ascii="Arial" w:hAnsi="Arial" w:cs="Arial"/>
          <w:bCs/>
        </w:rPr>
      </w:pPr>
    </w:p>
    <w:p w14:paraId="5693B141" w14:textId="349951A4" w:rsidR="0039317E" w:rsidRPr="00BF20CF" w:rsidRDefault="00C667E6" w:rsidP="0039317E">
      <w:pPr>
        <w:autoSpaceDE w:val="0"/>
        <w:autoSpaceDN w:val="0"/>
        <w:adjustRightInd w:val="0"/>
        <w:spacing w:before="240" w:line="276" w:lineRule="auto"/>
        <w:rPr>
          <w:rFonts w:ascii="Arial" w:hAnsi="Arial" w:cs="Arial"/>
          <w:b/>
        </w:rPr>
      </w:pPr>
      <w:r w:rsidRPr="00BF20CF">
        <w:rPr>
          <w:rFonts w:ascii="Arial" w:hAnsi="Arial" w:cs="Arial"/>
          <w:b/>
        </w:rPr>
        <w:t>1-Staff-4</w:t>
      </w:r>
      <w:r w:rsidR="001C211A" w:rsidRPr="00BF20CF">
        <w:rPr>
          <w:rFonts w:ascii="Arial" w:hAnsi="Arial" w:cs="Arial"/>
          <w:b/>
        </w:rPr>
        <w:t>3</w:t>
      </w:r>
    </w:p>
    <w:p w14:paraId="7B0400EC" w14:textId="77777777" w:rsidR="0039317E" w:rsidRPr="00BF20CF" w:rsidRDefault="0039317E" w:rsidP="0039317E">
      <w:pPr>
        <w:rPr>
          <w:rFonts w:ascii="Arial" w:hAnsi="Arial" w:cs="Arial"/>
          <w:b/>
        </w:rPr>
      </w:pPr>
      <w:r w:rsidRPr="00BF20CF">
        <w:rPr>
          <w:rFonts w:ascii="Arial" w:hAnsi="Arial" w:cs="Arial"/>
          <w:b/>
        </w:rPr>
        <w:t>Ref:</w:t>
      </w:r>
      <w:r w:rsidRPr="00BF20CF">
        <w:rPr>
          <w:rFonts w:ascii="Arial" w:hAnsi="Arial" w:cs="Arial"/>
          <w:b/>
        </w:rPr>
        <w:tab/>
        <w:t>Exhibit 1/Tab 1/Schedule 12/Attachment B/pp. 16-17</w:t>
      </w:r>
    </w:p>
    <w:p w14:paraId="63A456AB" w14:textId="77777777" w:rsidR="0039317E" w:rsidRPr="00BF20CF" w:rsidRDefault="0039317E" w:rsidP="0039317E">
      <w:pPr>
        <w:rPr>
          <w:rFonts w:ascii="Arial" w:hAnsi="Arial" w:cs="Arial"/>
          <w:b/>
        </w:rPr>
      </w:pPr>
    </w:p>
    <w:p w14:paraId="329DBE8E" w14:textId="77777777" w:rsidR="0039317E" w:rsidRPr="00BF20CF" w:rsidRDefault="0039317E" w:rsidP="0039317E">
      <w:pPr>
        <w:rPr>
          <w:rFonts w:ascii="Arial" w:hAnsi="Arial" w:cs="Arial"/>
        </w:rPr>
      </w:pPr>
      <w:r w:rsidRPr="00BF20CF">
        <w:rPr>
          <w:rFonts w:ascii="Arial" w:hAnsi="Arial" w:cs="Arial"/>
        </w:rPr>
        <w:t>Preamble:</w:t>
      </w:r>
    </w:p>
    <w:p w14:paraId="68A41EA8" w14:textId="77777777" w:rsidR="0039317E" w:rsidRPr="00BF20CF" w:rsidRDefault="0039317E" w:rsidP="0039317E">
      <w:pPr>
        <w:rPr>
          <w:rFonts w:ascii="Arial" w:hAnsi="Arial" w:cs="Arial"/>
        </w:rPr>
      </w:pPr>
    </w:p>
    <w:p w14:paraId="7B390166" w14:textId="77777777" w:rsidR="0039317E" w:rsidRPr="00BF20CF" w:rsidRDefault="0039317E" w:rsidP="009B4AE3">
      <w:pPr>
        <w:spacing w:line="276" w:lineRule="auto"/>
        <w:rPr>
          <w:rFonts w:ascii="Arial" w:hAnsi="Arial" w:cs="Arial"/>
        </w:rPr>
      </w:pPr>
      <w:r w:rsidRPr="00BF20CF">
        <w:rPr>
          <w:rFonts w:ascii="Arial" w:hAnsi="Arial" w:cs="Arial"/>
        </w:rPr>
        <w:t>When assessing Hydro Ottawa’s Unit Cost Methodology, UMS notes that it was impressed by the existence of well-documented querying rules that outlined the work breakdown structure used to collect costs and report quantities.</w:t>
      </w:r>
    </w:p>
    <w:p w14:paraId="54F7953F" w14:textId="1DE9773E" w:rsidR="0039317E" w:rsidRPr="00BF20CF" w:rsidRDefault="0039317E" w:rsidP="0039317E">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9258102" w14:textId="6E7CB217" w:rsidR="0039317E" w:rsidRPr="00BF20CF" w:rsidRDefault="0039317E" w:rsidP="00876E97">
      <w:pPr>
        <w:pStyle w:val="ListParagraph"/>
        <w:numPr>
          <w:ilvl w:val="0"/>
          <w:numId w:val="5"/>
        </w:numPr>
        <w:autoSpaceDE w:val="0"/>
        <w:autoSpaceDN w:val="0"/>
        <w:adjustRightInd w:val="0"/>
        <w:spacing w:before="240" w:after="120" w:line="276" w:lineRule="auto"/>
        <w:rPr>
          <w:rFonts w:ascii="Arial" w:hAnsi="Arial" w:cs="Arial"/>
          <w:bCs/>
        </w:rPr>
      </w:pPr>
      <w:r w:rsidRPr="00BF20CF">
        <w:rPr>
          <w:rFonts w:ascii="Arial" w:hAnsi="Arial" w:cs="Arial"/>
          <w:bCs/>
        </w:rPr>
        <w:t>Please explain whether Hydro Ottawa has an existing framework, for unit cost analysis purpose, that tracks costs and quantities for asset categories and OM&amp;A programs.</w:t>
      </w:r>
    </w:p>
    <w:p w14:paraId="40C91B0F" w14:textId="77777777" w:rsidR="00123CD1" w:rsidRPr="00BF20CF" w:rsidRDefault="00123CD1" w:rsidP="00123CD1">
      <w:pPr>
        <w:pStyle w:val="ListParagraph"/>
        <w:autoSpaceDE w:val="0"/>
        <w:autoSpaceDN w:val="0"/>
        <w:adjustRightInd w:val="0"/>
        <w:spacing w:before="240" w:after="120" w:line="276" w:lineRule="auto"/>
        <w:rPr>
          <w:rFonts w:ascii="Arial" w:hAnsi="Arial" w:cs="Arial"/>
          <w:bCs/>
        </w:rPr>
      </w:pPr>
    </w:p>
    <w:p w14:paraId="6ED2EB83" w14:textId="71DE4B73" w:rsidR="0039317E" w:rsidRPr="00BF20CF" w:rsidRDefault="0039317E" w:rsidP="00123CD1">
      <w:pPr>
        <w:pStyle w:val="ListParagraph"/>
        <w:numPr>
          <w:ilvl w:val="0"/>
          <w:numId w:val="5"/>
        </w:numPr>
        <w:autoSpaceDE w:val="0"/>
        <w:autoSpaceDN w:val="0"/>
        <w:adjustRightInd w:val="0"/>
        <w:spacing w:line="276" w:lineRule="auto"/>
        <w:rPr>
          <w:rFonts w:ascii="Arial" w:hAnsi="Arial" w:cs="Arial"/>
          <w:bCs/>
        </w:rPr>
      </w:pPr>
      <w:r w:rsidRPr="00BF20CF">
        <w:rPr>
          <w:rFonts w:ascii="Arial" w:hAnsi="Arial" w:cs="Arial"/>
          <w:bCs/>
        </w:rPr>
        <w:lastRenderedPageBreak/>
        <w:t>If yes to part a), please specify how many years of data are available.</w:t>
      </w:r>
    </w:p>
    <w:p w14:paraId="7801683F" w14:textId="41B1A7FB" w:rsidR="00123CD1" w:rsidRPr="00BF20CF" w:rsidRDefault="00123CD1" w:rsidP="00123CD1">
      <w:pPr>
        <w:autoSpaceDE w:val="0"/>
        <w:autoSpaceDN w:val="0"/>
        <w:adjustRightInd w:val="0"/>
        <w:spacing w:line="276" w:lineRule="auto"/>
        <w:ind w:left="720"/>
        <w:rPr>
          <w:rFonts w:ascii="Arial" w:hAnsi="Arial" w:cs="Arial"/>
          <w:bCs/>
        </w:rPr>
      </w:pPr>
    </w:p>
    <w:p w14:paraId="2CA1ECDD" w14:textId="257CEF76" w:rsidR="0039317E" w:rsidRPr="00BF20CF" w:rsidRDefault="0039317E" w:rsidP="00123CD1">
      <w:pPr>
        <w:pStyle w:val="ListParagraph"/>
        <w:numPr>
          <w:ilvl w:val="0"/>
          <w:numId w:val="5"/>
        </w:numPr>
        <w:autoSpaceDE w:val="0"/>
        <w:autoSpaceDN w:val="0"/>
        <w:adjustRightInd w:val="0"/>
        <w:spacing w:line="276" w:lineRule="auto"/>
        <w:rPr>
          <w:rFonts w:ascii="Arial" w:hAnsi="Arial" w:cs="Arial"/>
          <w:bCs/>
        </w:rPr>
      </w:pPr>
      <w:r w:rsidRPr="00BF20CF">
        <w:rPr>
          <w:rFonts w:ascii="Arial" w:hAnsi="Arial" w:cs="Arial"/>
          <w:bCs/>
        </w:rPr>
        <w:t>Please explain what initiatives Hydro Ottawa has done, or plans to do, to incorporate unit cost information into its performance measurement framework.</w:t>
      </w:r>
    </w:p>
    <w:p w14:paraId="44FB3B90" w14:textId="4ECC9901" w:rsidR="00123CD1" w:rsidRPr="00BF20CF" w:rsidRDefault="00123CD1" w:rsidP="00123CD1">
      <w:pPr>
        <w:autoSpaceDE w:val="0"/>
        <w:autoSpaceDN w:val="0"/>
        <w:adjustRightInd w:val="0"/>
        <w:spacing w:line="276" w:lineRule="auto"/>
        <w:ind w:left="720"/>
        <w:rPr>
          <w:rFonts w:ascii="Arial" w:hAnsi="Arial" w:cs="Arial"/>
          <w:bCs/>
        </w:rPr>
      </w:pPr>
    </w:p>
    <w:p w14:paraId="5B089FE4" w14:textId="00847831" w:rsidR="0039317E" w:rsidRPr="00BF20CF" w:rsidRDefault="0039317E" w:rsidP="00123CD1">
      <w:pPr>
        <w:pStyle w:val="ListParagraph"/>
        <w:numPr>
          <w:ilvl w:val="0"/>
          <w:numId w:val="5"/>
        </w:numPr>
        <w:autoSpaceDE w:val="0"/>
        <w:autoSpaceDN w:val="0"/>
        <w:adjustRightInd w:val="0"/>
        <w:spacing w:line="276" w:lineRule="auto"/>
        <w:rPr>
          <w:rFonts w:ascii="Arial" w:hAnsi="Arial" w:cs="Arial"/>
          <w:bCs/>
        </w:rPr>
      </w:pPr>
      <w:r w:rsidRPr="00BF20CF">
        <w:rPr>
          <w:rFonts w:ascii="Arial" w:hAnsi="Arial" w:cs="Arial"/>
          <w:bCs/>
        </w:rPr>
        <w:t xml:space="preserve">Other than the six asset categories and seven OM&amp;A programs studied in the UMS study, please clarify whether Hydro Ottawa is tracking costs and quantities information for any other asset categories and OM&amp;A programs. </w:t>
      </w:r>
    </w:p>
    <w:p w14:paraId="08AC573C" w14:textId="77777777" w:rsidR="00AE6FBB" w:rsidRPr="00BF20CF" w:rsidRDefault="00AE6FBB" w:rsidP="00AE6FBB">
      <w:pPr>
        <w:pStyle w:val="ListParagraph"/>
        <w:rPr>
          <w:rFonts w:ascii="Arial" w:hAnsi="Arial" w:cs="Arial"/>
          <w:bCs/>
        </w:rPr>
      </w:pPr>
    </w:p>
    <w:p w14:paraId="74EAE436" w14:textId="7DABC02B" w:rsidR="0039317E" w:rsidRPr="00BF20CF" w:rsidRDefault="0039317E" w:rsidP="0039317E">
      <w:pPr>
        <w:autoSpaceDE w:val="0"/>
        <w:autoSpaceDN w:val="0"/>
        <w:adjustRightInd w:val="0"/>
        <w:spacing w:before="240" w:line="276" w:lineRule="auto"/>
        <w:rPr>
          <w:rFonts w:ascii="Arial" w:hAnsi="Arial" w:cs="Arial"/>
          <w:b/>
        </w:rPr>
      </w:pPr>
      <w:r w:rsidRPr="00BF20CF">
        <w:rPr>
          <w:rFonts w:ascii="Arial" w:hAnsi="Arial" w:cs="Arial"/>
          <w:b/>
        </w:rPr>
        <w:t>1-Staff-</w:t>
      </w:r>
      <w:r w:rsidR="00C667E6" w:rsidRPr="00BF20CF">
        <w:rPr>
          <w:rFonts w:ascii="Arial" w:hAnsi="Arial" w:cs="Arial"/>
          <w:b/>
        </w:rPr>
        <w:t>4</w:t>
      </w:r>
      <w:r w:rsidR="001C211A" w:rsidRPr="00BF20CF">
        <w:rPr>
          <w:rFonts w:ascii="Arial" w:hAnsi="Arial" w:cs="Arial"/>
          <w:b/>
        </w:rPr>
        <w:t>4</w:t>
      </w:r>
    </w:p>
    <w:p w14:paraId="7241EB84" w14:textId="77777777" w:rsidR="0039317E" w:rsidRPr="00BF20CF" w:rsidRDefault="0039317E" w:rsidP="0039317E">
      <w:pPr>
        <w:rPr>
          <w:rFonts w:ascii="Arial" w:hAnsi="Arial" w:cs="Arial"/>
          <w:b/>
        </w:rPr>
      </w:pPr>
      <w:r w:rsidRPr="00BF20CF">
        <w:rPr>
          <w:rFonts w:ascii="Arial" w:hAnsi="Arial" w:cs="Arial"/>
          <w:b/>
        </w:rPr>
        <w:t>Ref:</w:t>
      </w:r>
      <w:r w:rsidRPr="00BF20CF">
        <w:rPr>
          <w:rFonts w:ascii="Arial" w:hAnsi="Arial" w:cs="Arial"/>
          <w:b/>
        </w:rPr>
        <w:tab/>
        <w:t>Exhibit 1/Tab 1/Schedule 12/Attachment B/Appendix F</w:t>
      </w:r>
    </w:p>
    <w:p w14:paraId="65F5298D" w14:textId="77777777" w:rsidR="0039317E" w:rsidRPr="00BF20CF" w:rsidRDefault="0039317E" w:rsidP="0039317E">
      <w:pPr>
        <w:ind w:left="720"/>
        <w:rPr>
          <w:rFonts w:ascii="Arial" w:hAnsi="Arial" w:cs="Arial"/>
          <w:b/>
        </w:rPr>
      </w:pPr>
      <w:r w:rsidRPr="00BF20CF">
        <w:rPr>
          <w:rFonts w:ascii="Arial" w:hAnsi="Arial" w:cs="Arial"/>
          <w:b/>
        </w:rPr>
        <w:t>Exhibit 1/Tab 1/Schedule 12/Attachment B/pp. 30-31 of 48</w:t>
      </w:r>
    </w:p>
    <w:p w14:paraId="0947F725" w14:textId="77777777" w:rsidR="0039317E" w:rsidRPr="00BF20CF" w:rsidRDefault="0039317E" w:rsidP="0039317E">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28E0EFA7" w14:textId="0E677307" w:rsidR="0039317E" w:rsidRPr="00BF20CF" w:rsidRDefault="0039317E" w:rsidP="00876E97">
      <w:pPr>
        <w:pStyle w:val="ListParagraph"/>
        <w:numPr>
          <w:ilvl w:val="0"/>
          <w:numId w:val="2"/>
        </w:numPr>
        <w:autoSpaceDE w:val="0"/>
        <w:autoSpaceDN w:val="0"/>
        <w:adjustRightInd w:val="0"/>
        <w:spacing w:before="240" w:after="120" w:line="276" w:lineRule="auto"/>
        <w:rPr>
          <w:rFonts w:ascii="Arial" w:hAnsi="Arial" w:cs="Arial"/>
          <w:bCs/>
        </w:rPr>
      </w:pPr>
      <w:r w:rsidRPr="00BF20CF">
        <w:rPr>
          <w:rFonts w:ascii="Arial" w:hAnsi="Arial" w:cs="Arial"/>
          <w:bCs/>
        </w:rPr>
        <w:t>Please provide Hydro Ottawa’s responses to the Peer Group Panel Survey illustrated in Appendix F.</w:t>
      </w:r>
    </w:p>
    <w:p w14:paraId="31B491CF" w14:textId="77777777" w:rsidR="00123CD1" w:rsidRPr="00BF20CF" w:rsidRDefault="00123CD1" w:rsidP="00123CD1">
      <w:pPr>
        <w:pStyle w:val="ListParagraph"/>
        <w:autoSpaceDE w:val="0"/>
        <w:autoSpaceDN w:val="0"/>
        <w:adjustRightInd w:val="0"/>
        <w:spacing w:before="240" w:after="120" w:line="276" w:lineRule="auto"/>
        <w:rPr>
          <w:rFonts w:ascii="Arial" w:hAnsi="Arial" w:cs="Arial"/>
          <w:bCs/>
        </w:rPr>
      </w:pPr>
    </w:p>
    <w:p w14:paraId="5856AFC2" w14:textId="7B1B3F24" w:rsidR="0039317E" w:rsidRPr="00BF20CF" w:rsidRDefault="0039317E" w:rsidP="00123CD1">
      <w:pPr>
        <w:pStyle w:val="ListParagraph"/>
        <w:numPr>
          <w:ilvl w:val="0"/>
          <w:numId w:val="2"/>
        </w:numPr>
        <w:autoSpaceDE w:val="0"/>
        <w:autoSpaceDN w:val="0"/>
        <w:adjustRightInd w:val="0"/>
        <w:spacing w:line="276" w:lineRule="auto"/>
        <w:rPr>
          <w:rFonts w:ascii="Arial" w:hAnsi="Arial" w:cs="Arial"/>
          <w:bCs/>
        </w:rPr>
      </w:pPr>
      <w:r w:rsidRPr="00BF20CF">
        <w:rPr>
          <w:rFonts w:ascii="Arial" w:hAnsi="Arial" w:cs="Arial"/>
          <w:bCs/>
        </w:rPr>
        <w:t>Please provide Hydro Ottawa’s actual data for 2019 and forecast information for each year over 2020-2025, in the same format as the Unit Costs Tab in Appendix F in Excel.</w:t>
      </w:r>
    </w:p>
    <w:p w14:paraId="5F524F9F" w14:textId="232F9159" w:rsidR="00123CD1" w:rsidRPr="00BF20CF" w:rsidRDefault="00123CD1" w:rsidP="00123CD1">
      <w:pPr>
        <w:autoSpaceDE w:val="0"/>
        <w:autoSpaceDN w:val="0"/>
        <w:adjustRightInd w:val="0"/>
        <w:spacing w:line="276" w:lineRule="auto"/>
        <w:ind w:left="720"/>
        <w:rPr>
          <w:rFonts w:ascii="Arial" w:hAnsi="Arial" w:cs="Arial"/>
          <w:bCs/>
        </w:rPr>
      </w:pPr>
    </w:p>
    <w:p w14:paraId="10A19A5E" w14:textId="18D32430" w:rsidR="0039317E" w:rsidRPr="00BF20CF" w:rsidRDefault="0039317E" w:rsidP="00123CD1">
      <w:pPr>
        <w:pStyle w:val="ListParagraph"/>
        <w:numPr>
          <w:ilvl w:val="0"/>
          <w:numId w:val="2"/>
        </w:numPr>
        <w:autoSpaceDE w:val="0"/>
        <w:autoSpaceDN w:val="0"/>
        <w:adjustRightInd w:val="0"/>
        <w:spacing w:line="276" w:lineRule="auto"/>
        <w:rPr>
          <w:rFonts w:ascii="Arial" w:hAnsi="Arial" w:cs="Arial"/>
          <w:bCs/>
        </w:rPr>
      </w:pPr>
      <w:r w:rsidRPr="00BF20CF">
        <w:rPr>
          <w:rFonts w:ascii="Arial" w:hAnsi="Arial" w:cs="Arial"/>
          <w:bCs/>
        </w:rPr>
        <w:t>Please provide Table C-6: Full-Scale Normalization Factors and Table C-7: Full Scale Normalization in Excel. Please also include two additional tables summarizing outputs for Phase 1 and Phase 2 comparison results, across the six asset categories and seven OM&amp;A programs, in the same format as Table C-7.</w:t>
      </w:r>
    </w:p>
    <w:p w14:paraId="6687771F" w14:textId="77777777" w:rsidR="00AE6FBB" w:rsidRPr="00BF20CF" w:rsidRDefault="00AE6FBB" w:rsidP="00AE6FBB">
      <w:pPr>
        <w:pStyle w:val="ListParagraph"/>
        <w:rPr>
          <w:rFonts w:ascii="Arial" w:hAnsi="Arial" w:cs="Arial"/>
          <w:bCs/>
        </w:rPr>
      </w:pPr>
    </w:p>
    <w:p w14:paraId="22ABC96A" w14:textId="122B5252" w:rsidR="0039317E" w:rsidRPr="00BF20CF" w:rsidRDefault="0039317E" w:rsidP="0039317E">
      <w:pPr>
        <w:autoSpaceDE w:val="0"/>
        <w:autoSpaceDN w:val="0"/>
        <w:adjustRightInd w:val="0"/>
        <w:spacing w:before="240" w:line="276" w:lineRule="auto"/>
        <w:rPr>
          <w:rFonts w:ascii="Arial" w:hAnsi="Arial" w:cs="Arial"/>
          <w:b/>
        </w:rPr>
      </w:pPr>
      <w:r w:rsidRPr="00BF20CF">
        <w:rPr>
          <w:rFonts w:ascii="Arial" w:hAnsi="Arial" w:cs="Arial"/>
          <w:b/>
        </w:rPr>
        <w:t>1-Staff-</w:t>
      </w:r>
      <w:r w:rsidR="00C667E6" w:rsidRPr="00BF20CF">
        <w:rPr>
          <w:rFonts w:ascii="Arial" w:hAnsi="Arial" w:cs="Arial"/>
          <w:b/>
        </w:rPr>
        <w:t>4</w:t>
      </w:r>
      <w:r w:rsidR="001C211A" w:rsidRPr="00BF20CF">
        <w:rPr>
          <w:rFonts w:ascii="Arial" w:hAnsi="Arial" w:cs="Arial"/>
          <w:b/>
        </w:rPr>
        <w:t>5</w:t>
      </w:r>
    </w:p>
    <w:p w14:paraId="335AA301" w14:textId="77777777" w:rsidR="0039317E" w:rsidRPr="00BF20CF" w:rsidRDefault="0039317E" w:rsidP="0039317E">
      <w:pPr>
        <w:rPr>
          <w:rFonts w:ascii="Arial" w:hAnsi="Arial" w:cs="Arial"/>
          <w:b/>
        </w:rPr>
      </w:pPr>
      <w:r w:rsidRPr="00BF20CF">
        <w:rPr>
          <w:rFonts w:ascii="Arial" w:hAnsi="Arial" w:cs="Arial"/>
          <w:b/>
        </w:rPr>
        <w:t>Ref:</w:t>
      </w:r>
      <w:r w:rsidRPr="00BF20CF">
        <w:rPr>
          <w:rFonts w:ascii="Arial" w:hAnsi="Arial" w:cs="Arial"/>
          <w:b/>
        </w:rPr>
        <w:tab/>
        <w:t>Exhibit 1/Tab 1/Schedule 12/Attachment B/page 9</w:t>
      </w:r>
    </w:p>
    <w:p w14:paraId="7CD8D326" w14:textId="0D2A4F26" w:rsidR="0010102D" w:rsidRPr="00BF20CF" w:rsidRDefault="0010102D" w:rsidP="0039317E">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372C1962" w14:textId="573294A4" w:rsidR="0039317E" w:rsidRPr="00BF20CF" w:rsidRDefault="0039317E" w:rsidP="0039317E">
      <w:pPr>
        <w:autoSpaceDE w:val="0"/>
        <w:autoSpaceDN w:val="0"/>
        <w:adjustRightInd w:val="0"/>
        <w:spacing w:before="240" w:after="120" w:line="276" w:lineRule="auto"/>
        <w:rPr>
          <w:rFonts w:ascii="Arial" w:hAnsi="Arial" w:cs="Arial"/>
          <w:bCs/>
        </w:rPr>
      </w:pPr>
      <w:r w:rsidRPr="00BF20CF">
        <w:rPr>
          <w:rFonts w:ascii="Arial" w:hAnsi="Arial" w:cs="Arial"/>
          <w:bCs/>
        </w:rPr>
        <w:t>UMS notes that the six asset categories represent almost 72% of the system renewal capital budget over 2016-2018, and the seven OM&amp;A programs/practices represent approximately 48% of all preventative and predictive maintenance costs.</w:t>
      </w:r>
    </w:p>
    <w:p w14:paraId="4A7D4CC4" w14:textId="77777777" w:rsidR="00AE6FBB" w:rsidRPr="00BF20CF" w:rsidRDefault="00AE6FBB" w:rsidP="0039317E">
      <w:pPr>
        <w:autoSpaceDE w:val="0"/>
        <w:autoSpaceDN w:val="0"/>
        <w:adjustRightInd w:val="0"/>
        <w:spacing w:before="240" w:after="120" w:line="276" w:lineRule="auto"/>
        <w:rPr>
          <w:rFonts w:ascii="Arial" w:hAnsi="Arial" w:cs="Arial"/>
          <w:bCs/>
        </w:rPr>
      </w:pPr>
    </w:p>
    <w:p w14:paraId="31D68B09" w14:textId="77777777" w:rsidR="0039317E" w:rsidRPr="00BF20CF" w:rsidRDefault="0039317E" w:rsidP="0039317E">
      <w:pPr>
        <w:autoSpaceDE w:val="0"/>
        <w:autoSpaceDN w:val="0"/>
        <w:adjustRightInd w:val="0"/>
        <w:spacing w:before="240" w:after="120" w:line="276" w:lineRule="auto"/>
        <w:rPr>
          <w:rFonts w:ascii="Arial" w:hAnsi="Arial" w:cs="Arial"/>
          <w:bCs/>
        </w:rPr>
      </w:pPr>
      <w:r w:rsidRPr="00BF20CF">
        <w:rPr>
          <w:rFonts w:ascii="Arial" w:hAnsi="Arial" w:cs="Arial"/>
          <w:bCs/>
        </w:rPr>
        <w:lastRenderedPageBreak/>
        <w:t>Question(s):</w:t>
      </w:r>
    </w:p>
    <w:p w14:paraId="0EA0A839" w14:textId="77777777" w:rsidR="0039317E" w:rsidRPr="00BF20CF" w:rsidRDefault="0039317E" w:rsidP="00876E97">
      <w:pPr>
        <w:pStyle w:val="ListParagraph"/>
        <w:numPr>
          <w:ilvl w:val="0"/>
          <w:numId w:val="4"/>
        </w:numPr>
        <w:autoSpaceDE w:val="0"/>
        <w:autoSpaceDN w:val="0"/>
        <w:adjustRightInd w:val="0"/>
        <w:spacing w:before="240" w:after="120" w:line="276" w:lineRule="auto"/>
        <w:rPr>
          <w:rFonts w:ascii="Arial" w:hAnsi="Arial" w:cs="Arial"/>
          <w:bCs/>
        </w:rPr>
      </w:pPr>
      <w:r w:rsidRPr="00BF20CF">
        <w:rPr>
          <w:rFonts w:ascii="Arial" w:hAnsi="Arial" w:cs="Arial"/>
          <w:bCs/>
        </w:rPr>
        <w:t>Please provide the percentage that the six asset categories constitute relative to the total capital expenditures for 2016-2018.</w:t>
      </w:r>
    </w:p>
    <w:p w14:paraId="6FEDF8E1" w14:textId="5D680651" w:rsidR="0039317E" w:rsidRPr="00BF20CF" w:rsidRDefault="0039317E" w:rsidP="00876E97">
      <w:pPr>
        <w:pStyle w:val="ListParagraph"/>
        <w:numPr>
          <w:ilvl w:val="0"/>
          <w:numId w:val="4"/>
        </w:numPr>
        <w:autoSpaceDE w:val="0"/>
        <w:autoSpaceDN w:val="0"/>
        <w:adjustRightInd w:val="0"/>
        <w:spacing w:before="240" w:after="120" w:line="276" w:lineRule="auto"/>
        <w:rPr>
          <w:rFonts w:ascii="Arial" w:hAnsi="Arial" w:cs="Arial"/>
          <w:bCs/>
        </w:rPr>
      </w:pPr>
      <w:r w:rsidRPr="00BF20CF">
        <w:rPr>
          <w:rFonts w:ascii="Arial" w:hAnsi="Arial" w:cs="Arial"/>
          <w:bCs/>
        </w:rPr>
        <w:t>Please provide the percentage that the seven OM&amp;A programs/practices constitute relative to the total OM&amp;A expenditures for 2016-2018.</w:t>
      </w:r>
    </w:p>
    <w:p w14:paraId="634452E0" w14:textId="77777777" w:rsidR="007509C7" w:rsidRPr="00BF20CF" w:rsidRDefault="007509C7" w:rsidP="003041BF">
      <w:pPr>
        <w:tabs>
          <w:tab w:val="left" w:pos="841"/>
        </w:tabs>
        <w:kinsoku w:val="0"/>
        <w:overflowPunct w:val="0"/>
        <w:spacing w:before="240" w:after="120" w:line="276" w:lineRule="auto"/>
        <w:ind w:right="115"/>
        <w:jc w:val="both"/>
        <w:rPr>
          <w:rFonts w:ascii="Arial" w:eastAsia="Calibri" w:hAnsi="Arial" w:cs="Arial"/>
          <w:b/>
        </w:rPr>
      </w:pPr>
      <w:r w:rsidRPr="00BF20CF">
        <w:rPr>
          <w:rFonts w:ascii="Arial" w:eastAsia="Calibri" w:hAnsi="Arial" w:cs="Arial"/>
          <w:b/>
        </w:rPr>
        <w:t>Hydro Ottawa Benchmarking</w:t>
      </w:r>
    </w:p>
    <w:p w14:paraId="4F2C519C" w14:textId="179116BD" w:rsidR="007509C7" w:rsidRPr="00BF20CF" w:rsidRDefault="00C667E6" w:rsidP="0039317E">
      <w:pPr>
        <w:tabs>
          <w:tab w:val="left" w:pos="841"/>
        </w:tabs>
        <w:kinsoku w:val="0"/>
        <w:overflowPunct w:val="0"/>
        <w:spacing w:line="276" w:lineRule="auto"/>
        <w:ind w:right="115"/>
        <w:jc w:val="both"/>
        <w:rPr>
          <w:rFonts w:ascii="Arial" w:eastAsia="Calibri" w:hAnsi="Arial" w:cs="Arial"/>
          <w:b/>
        </w:rPr>
      </w:pPr>
      <w:r w:rsidRPr="00BF20CF">
        <w:rPr>
          <w:rFonts w:ascii="Arial" w:eastAsia="Calibri" w:hAnsi="Arial" w:cs="Arial"/>
          <w:b/>
        </w:rPr>
        <w:t>1-Staff-4</w:t>
      </w:r>
      <w:r w:rsidR="001C211A" w:rsidRPr="00BF20CF">
        <w:rPr>
          <w:rFonts w:ascii="Arial" w:eastAsia="Calibri" w:hAnsi="Arial" w:cs="Arial"/>
          <w:b/>
        </w:rPr>
        <w:t>6</w:t>
      </w:r>
    </w:p>
    <w:p w14:paraId="7243BFA3" w14:textId="77777777" w:rsidR="007509C7" w:rsidRPr="00BF20CF" w:rsidRDefault="007509C7" w:rsidP="0039317E">
      <w:pPr>
        <w:tabs>
          <w:tab w:val="left" w:pos="841"/>
        </w:tabs>
        <w:kinsoku w:val="0"/>
        <w:overflowPunct w:val="0"/>
        <w:spacing w:line="276" w:lineRule="auto"/>
        <w:ind w:right="115"/>
        <w:jc w:val="both"/>
        <w:rPr>
          <w:rFonts w:ascii="Arial" w:eastAsia="Calibri" w:hAnsi="Arial" w:cs="Arial"/>
          <w:b/>
        </w:rPr>
      </w:pPr>
      <w:r w:rsidRPr="00BF20CF">
        <w:rPr>
          <w:rFonts w:ascii="Arial" w:eastAsia="Calibri" w:hAnsi="Arial" w:cs="Arial"/>
          <w:b/>
        </w:rPr>
        <w:t>Ref:</w:t>
      </w:r>
      <w:r w:rsidRPr="00BF20CF">
        <w:rPr>
          <w:rFonts w:ascii="Arial" w:eastAsia="Calibri" w:hAnsi="Arial" w:cs="Arial"/>
          <w:b/>
        </w:rPr>
        <w:tab/>
        <w:t>Exhibit 1/Tab 1/Schedule 12/Attachment E</w:t>
      </w:r>
    </w:p>
    <w:p w14:paraId="2C1BB49F" w14:textId="77777777" w:rsidR="007509C7" w:rsidRPr="00BF20CF" w:rsidRDefault="007509C7" w:rsidP="003041BF">
      <w:pPr>
        <w:tabs>
          <w:tab w:val="left" w:pos="841"/>
        </w:tabs>
        <w:kinsoku w:val="0"/>
        <w:overflowPunct w:val="0"/>
        <w:spacing w:before="240" w:after="120" w:line="276" w:lineRule="auto"/>
        <w:ind w:right="115"/>
        <w:rPr>
          <w:rFonts w:ascii="Arial" w:eastAsia="Calibri" w:hAnsi="Arial" w:cs="Arial"/>
        </w:rPr>
      </w:pPr>
      <w:r w:rsidRPr="00BF20CF">
        <w:rPr>
          <w:rFonts w:ascii="Arial" w:eastAsia="Calibri" w:hAnsi="Arial" w:cs="Arial"/>
        </w:rPr>
        <w:t>Preamble:</w:t>
      </w:r>
    </w:p>
    <w:p w14:paraId="3DECFA86" w14:textId="77777777" w:rsidR="007509C7" w:rsidRPr="00BF20CF" w:rsidRDefault="007509C7" w:rsidP="003041BF">
      <w:pPr>
        <w:tabs>
          <w:tab w:val="left" w:pos="841"/>
        </w:tabs>
        <w:kinsoku w:val="0"/>
        <w:overflowPunct w:val="0"/>
        <w:spacing w:before="240" w:after="120" w:line="276" w:lineRule="auto"/>
        <w:ind w:right="115"/>
        <w:rPr>
          <w:rFonts w:ascii="Arial" w:eastAsia="Calibri" w:hAnsi="Arial" w:cs="Arial"/>
        </w:rPr>
      </w:pPr>
      <w:r w:rsidRPr="00BF20CF">
        <w:rPr>
          <w:rFonts w:ascii="Arial" w:eastAsia="Calibri" w:hAnsi="Arial" w:cs="Arial"/>
        </w:rPr>
        <w:t>Hydro Ottawa provides the results of the PEG Benchmarking model on pages 1-2 of this attachment. Beginning at the bottom of page 2 and going on to page 4, Hydro Ottawa provides comments on the PEG model forecasts, stating:</w:t>
      </w:r>
    </w:p>
    <w:p w14:paraId="4753BA73" w14:textId="77777777" w:rsidR="007509C7" w:rsidRPr="00BF20CF" w:rsidRDefault="007509C7" w:rsidP="003041BF">
      <w:pPr>
        <w:tabs>
          <w:tab w:val="left" w:pos="841"/>
        </w:tabs>
        <w:kinsoku w:val="0"/>
        <w:overflowPunct w:val="0"/>
        <w:spacing w:before="240" w:after="120" w:line="276" w:lineRule="auto"/>
        <w:ind w:right="115"/>
        <w:rPr>
          <w:rFonts w:ascii="Arial" w:eastAsia="Calibri" w:hAnsi="Arial" w:cs="Arial"/>
        </w:rPr>
      </w:pPr>
      <w:r w:rsidRPr="00BF20CF">
        <w:rPr>
          <w:rFonts w:ascii="Arial" w:eastAsia="Calibri" w:hAnsi="Arial" w:cs="Arial"/>
        </w:rPr>
        <w:t>Hydro Ottawa respectfully submits that there are certain limitations in the PEG model that prevent the model from taking into account unique features of the utility and its operating environment. In turn, this precludes the model from yielding a fully accurate and comprehensive assessment of the utility’s efficiency and cost performance.</w:t>
      </w:r>
    </w:p>
    <w:p w14:paraId="7224AA76" w14:textId="77777777" w:rsidR="007509C7" w:rsidRPr="00BF20CF" w:rsidRDefault="007509C7" w:rsidP="003041BF">
      <w:pPr>
        <w:tabs>
          <w:tab w:val="left" w:pos="841"/>
        </w:tabs>
        <w:kinsoku w:val="0"/>
        <w:overflowPunct w:val="0"/>
        <w:spacing w:before="240" w:after="120" w:line="276" w:lineRule="auto"/>
        <w:ind w:right="115"/>
        <w:rPr>
          <w:rFonts w:ascii="Arial" w:eastAsia="Calibri" w:hAnsi="Arial" w:cs="Arial"/>
        </w:rPr>
      </w:pPr>
      <w:r w:rsidRPr="00BF20CF">
        <w:rPr>
          <w:rFonts w:ascii="Arial" w:eastAsia="Calibri" w:hAnsi="Arial" w:cs="Arial"/>
        </w:rPr>
        <w:t>Hydro Ottawa goes on to detail its points on the following pages, which OEB staff understands as the following:</w:t>
      </w:r>
    </w:p>
    <w:p w14:paraId="03AC6529" w14:textId="77777777" w:rsidR="007509C7" w:rsidRPr="00BF20CF" w:rsidRDefault="007509C7" w:rsidP="00876E97">
      <w:pPr>
        <w:numPr>
          <w:ilvl w:val="0"/>
          <w:numId w:val="48"/>
        </w:num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r w:rsidRPr="00BF20CF">
        <w:rPr>
          <w:rFonts w:ascii="Arial" w:hAnsi="Arial" w:cs="Arial"/>
          <w:lang w:val="en-CA"/>
        </w:rPr>
        <w:t>The PEG benchmarking analysis relies solely on Ontario distributors, which has the practical impact of overlooking characteristics of Hydro Ottawa’s operational circumstances. In particular, Hydro Ottawa is the only Ontario distributor half the size of the next largest Ontario utility and twice the size of the next smallest distributor.</w:t>
      </w:r>
    </w:p>
    <w:p w14:paraId="07B185C7" w14:textId="77777777" w:rsidR="007509C7" w:rsidRPr="00BF20CF" w:rsidRDefault="007509C7" w:rsidP="00876E97">
      <w:pPr>
        <w:numPr>
          <w:ilvl w:val="0"/>
          <w:numId w:val="48"/>
        </w:num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r w:rsidRPr="00BF20CF">
        <w:rPr>
          <w:rFonts w:ascii="Arial" w:hAnsi="Arial" w:cs="Arial"/>
          <w:lang w:val="en-CA"/>
        </w:rPr>
        <w:t>While not disagreeing with the five business condition variables (number of customers, peak kW demand, kWh, average km. of line, and percentage of customers added within the last ten years) as drivers of costs, these driver do not account for distinct operating environmental characteristics of the service territories of distributors located around Ontario. Further, “[t]he fact that such constraints and considerations are overlooked in the PEG model is a source of concern for Hydro Ottawa, insofar as it impedes the ability of the model to paint an exact picture of a utility’s efficiency based on a diverse, robust, and pertinent set of variables.”</w:t>
      </w:r>
    </w:p>
    <w:p w14:paraId="4065D964" w14:textId="2357CAE6" w:rsidR="007509C7" w:rsidRPr="00BF20CF" w:rsidRDefault="007509C7" w:rsidP="00876E97">
      <w:pPr>
        <w:numPr>
          <w:ilvl w:val="0"/>
          <w:numId w:val="48"/>
        </w:num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r w:rsidRPr="00BF20CF">
        <w:rPr>
          <w:rFonts w:ascii="Arial" w:hAnsi="Arial" w:cs="Arial"/>
          <w:lang w:val="en-CA"/>
        </w:rPr>
        <w:lastRenderedPageBreak/>
        <w:t>The PEG</w:t>
      </w:r>
      <w:r w:rsidR="004F5757" w:rsidRPr="00BF20CF">
        <w:rPr>
          <w:rFonts w:ascii="Arial" w:hAnsi="Arial" w:cs="Arial"/>
          <w:lang w:val="en-CA"/>
        </w:rPr>
        <w:t xml:space="preserve"> model</w:t>
      </w:r>
      <w:r w:rsidRPr="00BF20CF">
        <w:rPr>
          <w:rFonts w:ascii="Arial" w:hAnsi="Arial" w:cs="Arial"/>
          <w:lang w:val="en-CA"/>
        </w:rPr>
        <w:t xml:space="preserve"> has not been updated, and is essentially unchanged from when the OEB adopted the currently distribution rate regulatory framework (4</w:t>
      </w:r>
      <w:r w:rsidRPr="00BF20CF">
        <w:rPr>
          <w:rFonts w:ascii="Arial" w:hAnsi="Arial" w:cs="Arial"/>
          <w:vertAlign w:val="superscript"/>
          <w:lang w:val="en-CA"/>
        </w:rPr>
        <w:t>th</w:t>
      </w:r>
      <w:r w:rsidRPr="00BF20CF">
        <w:rPr>
          <w:rFonts w:ascii="Arial" w:hAnsi="Arial" w:cs="Arial"/>
          <w:lang w:val="en-CA"/>
        </w:rPr>
        <w:t xml:space="preserve"> Generation IRM) in 2013.</w:t>
      </w:r>
      <w:r w:rsidRPr="00BF20CF">
        <w:rPr>
          <w:rFonts w:ascii="Arial" w:hAnsi="Arial" w:cs="Arial"/>
          <w:vertAlign w:val="superscript"/>
          <w:lang w:val="en-CA"/>
        </w:rPr>
        <w:footnoteReference w:id="21"/>
      </w:r>
      <w:r w:rsidRPr="00BF20CF">
        <w:rPr>
          <w:rFonts w:ascii="Arial" w:hAnsi="Arial" w:cs="Arial"/>
          <w:lang w:val="en-CA"/>
        </w:rPr>
        <w:t xml:space="preserve"> </w:t>
      </w:r>
    </w:p>
    <w:p w14:paraId="1E51B0B7" w14:textId="77777777" w:rsidR="007509C7" w:rsidRPr="00BF20CF" w:rsidRDefault="007509C7" w:rsidP="003041BF">
      <w:pPr>
        <w:tabs>
          <w:tab w:val="left" w:pos="841"/>
        </w:tabs>
        <w:kinsoku w:val="0"/>
        <w:overflowPunct w:val="0"/>
        <w:spacing w:before="240" w:after="120" w:line="276" w:lineRule="auto"/>
        <w:ind w:right="115"/>
        <w:rPr>
          <w:rFonts w:ascii="Arial" w:eastAsia="Calibri" w:hAnsi="Arial" w:cs="Arial"/>
        </w:rPr>
      </w:pPr>
      <w:r w:rsidRPr="00BF20CF">
        <w:rPr>
          <w:rFonts w:ascii="Arial" w:eastAsia="Calibri" w:hAnsi="Arial" w:cs="Arial"/>
        </w:rPr>
        <w:t>Hydro Ottawa concludes by stating that:</w:t>
      </w:r>
    </w:p>
    <w:p w14:paraId="3EF518B9" w14:textId="77777777" w:rsidR="007509C7" w:rsidRPr="00BF20CF" w:rsidRDefault="007509C7" w:rsidP="003041BF">
      <w:pPr>
        <w:tabs>
          <w:tab w:val="left" w:pos="841"/>
        </w:tabs>
        <w:kinsoku w:val="0"/>
        <w:overflowPunct w:val="0"/>
        <w:spacing w:before="240" w:after="120" w:line="276" w:lineRule="auto"/>
        <w:ind w:left="720" w:right="720"/>
        <w:rPr>
          <w:rFonts w:ascii="Arial" w:eastAsia="Calibri" w:hAnsi="Arial" w:cs="Arial"/>
        </w:rPr>
      </w:pPr>
      <w:r w:rsidRPr="00BF20CF">
        <w:rPr>
          <w:rFonts w:ascii="Arial" w:eastAsia="Calibri" w:hAnsi="Arial" w:cs="Arial"/>
        </w:rPr>
        <w:t>Hydro Ottawa respectfully submits that, in the absence of any meaningful modifications or refinements to the PEG model in the ensuing years, the examination of alternative benchmarking models and methodologies, which may have the benefit of updated parameters and/or principles, is warranted.</w:t>
      </w:r>
    </w:p>
    <w:p w14:paraId="5BC24C8B" w14:textId="660E96A5" w:rsidR="007509C7" w:rsidRPr="00BF20CF" w:rsidRDefault="007509C7" w:rsidP="003041BF">
      <w:pPr>
        <w:tabs>
          <w:tab w:val="left" w:pos="841"/>
        </w:tabs>
        <w:kinsoku w:val="0"/>
        <w:overflowPunct w:val="0"/>
        <w:spacing w:before="240" w:after="120" w:line="276" w:lineRule="auto"/>
        <w:ind w:right="720"/>
        <w:rPr>
          <w:rFonts w:ascii="Arial" w:eastAsia="Calibri" w:hAnsi="Arial" w:cs="Arial"/>
        </w:rPr>
      </w:pPr>
      <w:r w:rsidRPr="00BF20CF">
        <w:rPr>
          <w:rFonts w:ascii="Arial" w:eastAsia="Calibri" w:hAnsi="Arial" w:cs="Arial"/>
        </w:rPr>
        <w:t>Question</w:t>
      </w:r>
      <w:r w:rsidR="0039317E" w:rsidRPr="00BF20CF">
        <w:rPr>
          <w:rFonts w:ascii="Arial" w:eastAsia="Calibri" w:hAnsi="Arial" w:cs="Arial"/>
        </w:rPr>
        <w:t>(</w:t>
      </w:r>
      <w:r w:rsidRPr="00BF20CF">
        <w:rPr>
          <w:rFonts w:ascii="Arial" w:eastAsia="Calibri" w:hAnsi="Arial" w:cs="Arial"/>
        </w:rPr>
        <w:t>s</w:t>
      </w:r>
      <w:r w:rsidR="0039317E" w:rsidRPr="00BF20CF">
        <w:rPr>
          <w:rFonts w:ascii="Arial" w:eastAsia="Calibri" w:hAnsi="Arial" w:cs="Arial"/>
        </w:rPr>
        <w:t>)</w:t>
      </w:r>
      <w:r w:rsidRPr="00BF20CF">
        <w:rPr>
          <w:rFonts w:ascii="Arial" w:eastAsia="Calibri" w:hAnsi="Arial" w:cs="Arial"/>
        </w:rPr>
        <w:t>:</w:t>
      </w:r>
    </w:p>
    <w:p w14:paraId="47FF5A72" w14:textId="6742F057" w:rsidR="007509C7" w:rsidRPr="00BF20CF" w:rsidRDefault="007509C7" w:rsidP="00876E97">
      <w:pPr>
        <w:numPr>
          <w:ilvl w:val="0"/>
          <w:numId w:val="49"/>
        </w:num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r w:rsidRPr="00BF20CF">
        <w:rPr>
          <w:rFonts w:ascii="Arial" w:hAnsi="Arial" w:cs="Arial"/>
          <w:lang w:val="en-CA"/>
        </w:rPr>
        <w:t xml:space="preserve">Please confirm </w:t>
      </w:r>
      <w:r w:rsidR="00AA02F4" w:rsidRPr="00BF20CF">
        <w:rPr>
          <w:rFonts w:ascii="Arial" w:hAnsi="Arial" w:cs="Arial"/>
          <w:lang w:val="en-CA"/>
        </w:rPr>
        <w:t xml:space="preserve">that </w:t>
      </w:r>
      <w:r w:rsidRPr="00BF20CF">
        <w:rPr>
          <w:rFonts w:ascii="Arial" w:hAnsi="Arial" w:cs="Arial"/>
          <w:lang w:val="en-CA"/>
        </w:rPr>
        <w:t>OEB staff’s summarization of Hydro Ottawa’s arguments in this section of the evidence</w:t>
      </w:r>
      <w:r w:rsidR="004F5757" w:rsidRPr="00BF20CF">
        <w:rPr>
          <w:rFonts w:ascii="Arial" w:hAnsi="Arial" w:cs="Arial"/>
          <w:lang w:val="en-CA"/>
        </w:rPr>
        <w:t xml:space="preserve"> is </w:t>
      </w:r>
      <w:r w:rsidR="00AA02F4" w:rsidRPr="00BF20CF">
        <w:rPr>
          <w:rFonts w:ascii="Arial" w:hAnsi="Arial" w:cs="Arial"/>
          <w:lang w:val="en-CA"/>
        </w:rPr>
        <w:t>accurate</w:t>
      </w:r>
      <w:r w:rsidRPr="00BF20CF">
        <w:rPr>
          <w:rFonts w:ascii="Arial" w:hAnsi="Arial" w:cs="Arial"/>
          <w:lang w:val="en-CA"/>
        </w:rPr>
        <w:t>.</w:t>
      </w:r>
    </w:p>
    <w:p w14:paraId="0E0B1E16" w14:textId="77777777" w:rsidR="00123CD1" w:rsidRPr="00BF20CF" w:rsidRDefault="00123CD1" w:rsidP="00123CD1">
      <w:pPr>
        <w:tabs>
          <w:tab w:val="left" w:pos="841"/>
        </w:tabs>
        <w:kinsoku w:val="0"/>
        <w:overflowPunct w:val="0"/>
        <w:autoSpaceDE w:val="0"/>
        <w:autoSpaceDN w:val="0"/>
        <w:adjustRightInd w:val="0"/>
        <w:spacing w:before="240" w:after="120" w:line="276" w:lineRule="auto"/>
        <w:ind w:left="720" w:right="115"/>
        <w:contextualSpacing/>
        <w:rPr>
          <w:rFonts w:ascii="Arial" w:hAnsi="Arial" w:cs="Arial"/>
          <w:lang w:val="en-CA"/>
        </w:rPr>
      </w:pPr>
    </w:p>
    <w:p w14:paraId="2A3D9B1C" w14:textId="77777777" w:rsidR="007509C7" w:rsidRPr="00BF20CF" w:rsidRDefault="007509C7" w:rsidP="00876E97">
      <w:pPr>
        <w:numPr>
          <w:ilvl w:val="0"/>
          <w:numId w:val="49"/>
        </w:numPr>
        <w:tabs>
          <w:tab w:val="left" w:pos="841"/>
        </w:tabs>
        <w:kinsoku w:val="0"/>
        <w:overflowPunct w:val="0"/>
        <w:autoSpaceDE w:val="0"/>
        <w:autoSpaceDN w:val="0"/>
        <w:adjustRightInd w:val="0"/>
        <w:spacing w:before="240" w:after="120" w:line="276" w:lineRule="auto"/>
        <w:ind w:right="115"/>
        <w:contextualSpacing/>
        <w:rPr>
          <w:rFonts w:ascii="Arial" w:hAnsi="Arial" w:cs="Arial"/>
          <w:lang w:val="en-CA"/>
        </w:rPr>
      </w:pPr>
      <w:r w:rsidRPr="00BF20CF">
        <w:rPr>
          <w:rFonts w:ascii="Arial" w:hAnsi="Arial" w:cs="Arial"/>
          <w:lang w:val="en-CA"/>
        </w:rPr>
        <w:t>In Exhibit 1/Tab 1/Schedule 12/Attachment C, Hydro Ottawa provides a benchmarking analysis of key performance statistics of operation, financial, service reliability and customer satisfaction. Hydro Ottawa has selected a peer group of eleven larger Ontario electricity distributors:</w:t>
      </w:r>
      <w:r w:rsidRPr="00BF20CF">
        <w:rPr>
          <w:rFonts w:ascii="Arial" w:hAnsi="Arial" w:cs="Arial"/>
          <w:lang w:val="en-CA"/>
        </w:rPr>
        <w:br/>
      </w:r>
    </w:p>
    <w:p w14:paraId="187456E5"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jc w:val="both"/>
        <w:rPr>
          <w:rFonts w:ascii="Arial" w:hAnsi="Arial" w:cs="Arial"/>
          <w:lang w:val="en-CA"/>
        </w:rPr>
      </w:pPr>
      <w:proofErr w:type="spellStart"/>
      <w:r w:rsidRPr="00BF20CF">
        <w:rPr>
          <w:rFonts w:ascii="Arial" w:hAnsi="Arial" w:cs="Arial"/>
          <w:lang w:val="en-CA"/>
        </w:rPr>
        <w:t>Alectra</w:t>
      </w:r>
      <w:proofErr w:type="spellEnd"/>
      <w:r w:rsidRPr="00BF20CF">
        <w:rPr>
          <w:rFonts w:ascii="Arial" w:hAnsi="Arial" w:cs="Arial"/>
          <w:lang w:val="en-CA"/>
        </w:rPr>
        <w:t xml:space="preserve"> Utilities Corporation</w:t>
      </w:r>
    </w:p>
    <w:p w14:paraId="42363AE0"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jc w:val="both"/>
        <w:rPr>
          <w:rFonts w:ascii="Arial" w:hAnsi="Arial" w:cs="Arial"/>
          <w:lang w:val="en-CA"/>
        </w:rPr>
      </w:pPr>
      <w:r w:rsidRPr="00BF20CF">
        <w:rPr>
          <w:rFonts w:ascii="Arial" w:hAnsi="Arial" w:cs="Arial"/>
          <w:lang w:val="en-CA"/>
        </w:rPr>
        <w:t>Burlington Hydro Inc.</w:t>
      </w:r>
    </w:p>
    <w:p w14:paraId="357D793E"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jc w:val="both"/>
        <w:rPr>
          <w:rFonts w:ascii="Arial" w:hAnsi="Arial" w:cs="Arial"/>
          <w:lang w:val="en-CA"/>
        </w:rPr>
      </w:pPr>
      <w:proofErr w:type="spellStart"/>
      <w:r w:rsidRPr="00BF20CF">
        <w:rPr>
          <w:rFonts w:ascii="Arial" w:hAnsi="Arial" w:cs="Arial"/>
          <w:lang w:val="en-CA"/>
        </w:rPr>
        <w:t>EnWin</w:t>
      </w:r>
      <w:proofErr w:type="spellEnd"/>
      <w:r w:rsidRPr="00BF20CF">
        <w:rPr>
          <w:rFonts w:ascii="Arial" w:hAnsi="Arial" w:cs="Arial"/>
          <w:lang w:val="en-CA"/>
        </w:rPr>
        <w:t xml:space="preserve"> Utilities Ltd.</w:t>
      </w:r>
    </w:p>
    <w:p w14:paraId="29A11F82"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jc w:val="both"/>
        <w:rPr>
          <w:rFonts w:ascii="Arial" w:hAnsi="Arial" w:cs="Arial"/>
          <w:lang w:val="en-CA"/>
        </w:rPr>
      </w:pPr>
      <w:r w:rsidRPr="00BF20CF">
        <w:rPr>
          <w:rFonts w:ascii="Arial" w:hAnsi="Arial" w:cs="Arial"/>
          <w:lang w:val="en-CA"/>
        </w:rPr>
        <w:t>Hydro One Networks Inc.</w:t>
      </w:r>
    </w:p>
    <w:p w14:paraId="25428BDB"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jc w:val="both"/>
        <w:rPr>
          <w:rFonts w:ascii="Arial" w:hAnsi="Arial" w:cs="Arial"/>
          <w:lang w:val="en-CA"/>
        </w:rPr>
      </w:pPr>
      <w:r w:rsidRPr="00BF20CF">
        <w:rPr>
          <w:rFonts w:ascii="Arial" w:hAnsi="Arial" w:cs="Arial"/>
          <w:lang w:val="en-CA"/>
        </w:rPr>
        <w:t>Kitchener-Wilmot Hydro Inc.</w:t>
      </w:r>
    </w:p>
    <w:p w14:paraId="04FC0AEF"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jc w:val="both"/>
        <w:rPr>
          <w:rFonts w:ascii="Arial" w:hAnsi="Arial" w:cs="Arial"/>
          <w:lang w:val="en-CA"/>
        </w:rPr>
      </w:pPr>
      <w:r w:rsidRPr="00BF20CF">
        <w:rPr>
          <w:rFonts w:ascii="Arial" w:hAnsi="Arial" w:cs="Arial"/>
          <w:lang w:val="en-CA"/>
        </w:rPr>
        <w:t>London Hydro Inc.</w:t>
      </w:r>
    </w:p>
    <w:p w14:paraId="543C130B"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jc w:val="both"/>
        <w:rPr>
          <w:rFonts w:ascii="Arial" w:hAnsi="Arial" w:cs="Arial"/>
          <w:lang w:val="en-CA"/>
        </w:rPr>
      </w:pPr>
      <w:r w:rsidRPr="00BF20CF">
        <w:rPr>
          <w:rFonts w:ascii="Arial" w:hAnsi="Arial" w:cs="Arial"/>
          <w:lang w:val="en-CA"/>
        </w:rPr>
        <w:t>Oakville Hydro Electricity Distribution Inc.</w:t>
      </w:r>
    </w:p>
    <w:p w14:paraId="1FB36AE2"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jc w:val="both"/>
        <w:rPr>
          <w:rFonts w:ascii="Arial" w:hAnsi="Arial" w:cs="Arial"/>
          <w:lang w:val="en-CA"/>
        </w:rPr>
      </w:pPr>
      <w:r w:rsidRPr="00BF20CF">
        <w:rPr>
          <w:rFonts w:ascii="Arial" w:hAnsi="Arial" w:cs="Arial"/>
          <w:lang w:val="en-CA"/>
        </w:rPr>
        <w:t>Thunder Bay Hydro Electricity Distribution Inc.</w:t>
      </w:r>
    </w:p>
    <w:p w14:paraId="41182A6E"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jc w:val="both"/>
        <w:rPr>
          <w:rFonts w:ascii="Arial" w:hAnsi="Arial" w:cs="Arial"/>
          <w:lang w:val="en-CA"/>
        </w:rPr>
      </w:pPr>
      <w:r w:rsidRPr="00BF20CF">
        <w:rPr>
          <w:rFonts w:ascii="Arial" w:hAnsi="Arial" w:cs="Arial"/>
          <w:lang w:val="en-CA"/>
        </w:rPr>
        <w:t>Toronto Hydro-Electric System Limited</w:t>
      </w:r>
    </w:p>
    <w:p w14:paraId="57209EFE"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jc w:val="both"/>
        <w:rPr>
          <w:rFonts w:ascii="Arial" w:hAnsi="Arial" w:cs="Arial"/>
          <w:lang w:val="en-CA"/>
        </w:rPr>
      </w:pPr>
      <w:proofErr w:type="spellStart"/>
      <w:r w:rsidRPr="00BF20CF">
        <w:rPr>
          <w:rFonts w:ascii="Arial" w:hAnsi="Arial" w:cs="Arial"/>
          <w:lang w:val="en-CA"/>
        </w:rPr>
        <w:t>Veridian</w:t>
      </w:r>
      <w:proofErr w:type="spellEnd"/>
      <w:r w:rsidRPr="00BF20CF">
        <w:rPr>
          <w:rFonts w:ascii="Arial" w:hAnsi="Arial" w:cs="Arial"/>
          <w:lang w:val="en-CA"/>
        </w:rPr>
        <w:t xml:space="preserve"> Connections</w:t>
      </w:r>
    </w:p>
    <w:p w14:paraId="198058BB" w14:textId="77777777" w:rsidR="007509C7" w:rsidRPr="00BF20CF" w:rsidRDefault="007509C7" w:rsidP="00876E97">
      <w:pPr>
        <w:numPr>
          <w:ilvl w:val="0"/>
          <w:numId w:val="50"/>
        </w:numPr>
        <w:tabs>
          <w:tab w:val="left" w:pos="841"/>
        </w:tabs>
        <w:kinsoku w:val="0"/>
        <w:overflowPunct w:val="0"/>
        <w:autoSpaceDE w:val="0"/>
        <w:autoSpaceDN w:val="0"/>
        <w:adjustRightInd w:val="0"/>
        <w:spacing w:before="240" w:after="120" w:line="276" w:lineRule="auto"/>
        <w:ind w:right="115"/>
        <w:contextualSpacing/>
        <w:jc w:val="both"/>
        <w:rPr>
          <w:rFonts w:ascii="Arial" w:hAnsi="Arial" w:cs="Arial"/>
          <w:lang w:val="en-CA"/>
        </w:rPr>
      </w:pPr>
      <w:r w:rsidRPr="00BF20CF">
        <w:rPr>
          <w:rFonts w:ascii="Arial" w:hAnsi="Arial" w:cs="Arial"/>
          <w:lang w:val="en-CA"/>
        </w:rPr>
        <w:t xml:space="preserve">Waterloo North Hydro Inc. </w:t>
      </w:r>
    </w:p>
    <w:p w14:paraId="6BD8CB55" w14:textId="77777777" w:rsidR="007509C7" w:rsidRPr="00BF20CF" w:rsidRDefault="007509C7" w:rsidP="003041BF">
      <w:pPr>
        <w:tabs>
          <w:tab w:val="left" w:pos="841"/>
        </w:tabs>
        <w:kinsoku w:val="0"/>
        <w:overflowPunct w:val="0"/>
        <w:spacing w:before="240" w:after="120" w:line="276" w:lineRule="auto"/>
        <w:ind w:left="720" w:right="115"/>
        <w:rPr>
          <w:rFonts w:ascii="Arial" w:eastAsia="Calibri" w:hAnsi="Arial" w:cs="Arial"/>
        </w:rPr>
      </w:pPr>
      <w:r w:rsidRPr="00BF20CF">
        <w:rPr>
          <w:rFonts w:ascii="Arial" w:eastAsia="Calibri" w:hAnsi="Arial" w:cs="Arial"/>
        </w:rPr>
        <w:t xml:space="preserve">Since this peer group, selected by Hydro Ottawa itself, is solely composed of Ontario distributors, does Hydro Ottawa consider that this benchmarking analysis would also face the limitation that “[t]he practical effect of this peer group composition is that several distinguishing </w:t>
      </w:r>
      <w:r w:rsidRPr="00BF20CF">
        <w:rPr>
          <w:rFonts w:ascii="Arial" w:eastAsia="Calibri" w:hAnsi="Arial" w:cs="Arial"/>
        </w:rPr>
        <w:lastRenderedPageBreak/>
        <w:t>characteristics of Hydro Ottawa in the Ontario context are overlooked …”? If not, why not?</w:t>
      </w:r>
    </w:p>
    <w:p w14:paraId="342A6E60" w14:textId="13311C04" w:rsidR="007509C7" w:rsidRPr="00BF20CF" w:rsidRDefault="007509C7" w:rsidP="00153541">
      <w:pPr>
        <w:pStyle w:val="ListParagraph"/>
        <w:numPr>
          <w:ilvl w:val="0"/>
          <w:numId w:val="49"/>
        </w:numPr>
        <w:autoSpaceDE w:val="0"/>
        <w:autoSpaceDN w:val="0"/>
        <w:adjustRightInd w:val="0"/>
        <w:spacing w:before="240" w:line="276" w:lineRule="auto"/>
        <w:rPr>
          <w:rFonts w:ascii="Arial" w:hAnsi="Arial" w:cs="Arial"/>
        </w:rPr>
      </w:pPr>
      <w:r w:rsidRPr="00BF20CF">
        <w:rPr>
          <w:rFonts w:ascii="Arial" w:hAnsi="Arial" w:cs="Arial"/>
        </w:rPr>
        <w:t>Hydro Ottawa has proposed to adopt the base productivity factor of 0%</w:t>
      </w:r>
      <w:r w:rsidR="004F5757" w:rsidRPr="00BF20CF">
        <w:rPr>
          <w:rFonts w:ascii="Arial" w:hAnsi="Arial" w:cs="Arial"/>
        </w:rPr>
        <w:t>,</w:t>
      </w:r>
      <w:r w:rsidRPr="00BF20CF">
        <w:rPr>
          <w:rFonts w:ascii="Arial" w:hAnsi="Arial" w:cs="Arial"/>
        </w:rPr>
        <w:t xml:space="preserve"> which was also adopted by the OEB in 2013 for 4</w:t>
      </w:r>
      <w:r w:rsidRPr="00BF20CF">
        <w:rPr>
          <w:rFonts w:ascii="Arial" w:hAnsi="Arial" w:cs="Arial"/>
          <w:vertAlign w:val="superscript"/>
        </w:rPr>
        <w:t>th</w:t>
      </w:r>
      <w:r w:rsidRPr="00BF20CF">
        <w:rPr>
          <w:rFonts w:ascii="Arial" w:hAnsi="Arial" w:cs="Arial"/>
        </w:rPr>
        <w:t xml:space="preserve"> Generation IRM for electricity distributors</w:t>
      </w:r>
      <w:r w:rsidR="004F5757" w:rsidRPr="00BF20CF">
        <w:rPr>
          <w:rFonts w:ascii="Arial" w:hAnsi="Arial" w:cs="Arial"/>
        </w:rPr>
        <w:t>,</w:t>
      </w:r>
      <w:r w:rsidRPr="00BF20CF">
        <w:rPr>
          <w:rFonts w:ascii="Arial" w:hAnsi="Arial" w:cs="Arial"/>
        </w:rPr>
        <w:t xml:space="preserve"> as part of its OM&amp;A adjustment formula. Please explain why Hydro Ottawa does not consider that there </w:t>
      </w:r>
      <w:r w:rsidR="004F5757" w:rsidRPr="00BF20CF">
        <w:rPr>
          <w:rFonts w:ascii="Arial" w:hAnsi="Arial" w:cs="Arial"/>
        </w:rPr>
        <w:t>is</w:t>
      </w:r>
      <w:r w:rsidR="0083099C" w:rsidRPr="00BF20CF">
        <w:rPr>
          <w:rFonts w:ascii="Arial" w:hAnsi="Arial" w:cs="Arial"/>
        </w:rPr>
        <w:t xml:space="preserve"> a</w:t>
      </w:r>
      <w:r w:rsidRPr="00BF20CF">
        <w:rPr>
          <w:rFonts w:ascii="Arial" w:hAnsi="Arial" w:cs="Arial"/>
        </w:rPr>
        <w:t xml:space="preserve"> limitation in the base productivity factor of 0% since it is of a similar vintage to the PEG model?</w:t>
      </w:r>
    </w:p>
    <w:p w14:paraId="397805B5" w14:textId="77777777" w:rsidR="00B164CD" w:rsidRPr="00BF20CF" w:rsidRDefault="00B164CD" w:rsidP="003041BF">
      <w:pPr>
        <w:autoSpaceDE w:val="0"/>
        <w:autoSpaceDN w:val="0"/>
        <w:adjustRightInd w:val="0"/>
        <w:spacing w:before="240" w:line="276" w:lineRule="auto"/>
        <w:rPr>
          <w:rFonts w:ascii="Arial" w:hAnsi="Arial" w:cs="Arial"/>
          <w:b/>
        </w:rPr>
      </w:pPr>
      <w:r w:rsidRPr="00BF20CF">
        <w:rPr>
          <w:rFonts w:ascii="Arial" w:hAnsi="Arial" w:cs="Arial"/>
          <w:b/>
        </w:rPr>
        <w:t>Productivity</w:t>
      </w:r>
      <w:r w:rsidR="008C5DE1" w:rsidRPr="00BF20CF">
        <w:rPr>
          <w:rFonts w:ascii="Arial" w:hAnsi="Arial" w:cs="Arial"/>
          <w:b/>
        </w:rPr>
        <w:t xml:space="preserve"> and Continuous Improvement Initiatives</w:t>
      </w:r>
    </w:p>
    <w:p w14:paraId="4C7FBB28" w14:textId="717E407F" w:rsidR="008C5DE1" w:rsidRPr="00BF20CF" w:rsidRDefault="00790295" w:rsidP="003041BF">
      <w:pPr>
        <w:autoSpaceDE w:val="0"/>
        <w:autoSpaceDN w:val="0"/>
        <w:adjustRightInd w:val="0"/>
        <w:spacing w:before="240" w:line="276" w:lineRule="auto"/>
        <w:rPr>
          <w:rFonts w:ascii="Arial" w:hAnsi="Arial" w:cs="Arial"/>
          <w:b/>
        </w:rPr>
      </w:pPr>
      <w:r w:rsidRPr="00BF20CF">
        <w:rPr>
          <w:rFonts w:ascii="Arial" w:hAnsi="Arial" w:cs="Arial"/>
          <w:b/>
        </w:rPr>
        <w:t>1-Staff-</w:t>
      </w:r>
      <w:r w:rsidR="00C667E6" w:rsidRPr="00BF20CF">
        <w:rPr>
          <w:rFonts w:ascii="Arial" w:hAnsi="Arial" w:cs="Arial"/>
          <w:b/>
        </w:rPr>
        <w:t>4</w:t>
      </w:r>
      <w:r w:rsidR="001C211A" w:rsidRPr="00BF20CF">
        <w:rPr>
          <w:rFonts w:ascii="Arial" w:hAnsi="Arial" w:cs="Arial"/>
          <w:b/>
        </w:rPr>
        <w:t>7</w:t>
      </w:r>
    </w:p>
    <w:p w14:paraId="5B3BD588" w14:textId="62518EB7" w:rsidR="008C5DE1" w:rsidRPr="00BF20CF" w:rsidRDefault="008C5DE1" w:rsidP="003041BF">
      <w:pPr>
        <w:rPr>
          <w:rFonts w:ascii="Arial" w:hAnsi="Arial" w:cs="Arial"/>
          <w:b/>
        </w:rPr>
      </w:pPr>
      <w:r w:rsidRPr="00BF20CF">
        <w:rPr>
          <w:rFonts w:ascii="Arial" w:hAnsi="Arial" w:cs="Arial"/>
          <w:b/>
        </w:rPr>
        <w:t>Ref:</w:t>
      </w:r>
      <w:r w:rsidRPr="00BF20CF">
        <w:rPr>
          <w:rFonts w:ascii="Arial" w:hAnsi="Arial" w:cs="Arial"/>
          <w:b/>
        </w:rPr>
        <w:tab/>
        <w:t>Exhibit 1/Tab 1/Schedule 13</w:t>
      </w:r>
    </w:p>
    <w:p w14:paraId="6DDCFCB0" w14:textId="5F804DE8" w:rsidR="004007B9" w:rsidRPr="00BF20CF" w:rsidRDefault="004007B9"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17BA0BE" w14:textId="3A0D97A7" w:rsidR="008C5DE1" w:rsidRPr="00BF20CF" w:rsidRDefault="000A7415" w:rsidP="003041BF">
      <w:pPr>
        <w:autoSpaceDE w:val="0"/>
        <w:autoSpaceDN w:val="0"/>
        <w:adjustRightInd w:val="0"/>
        <w:spacing w:before="240" w:after="120" w:line="276" w:lineRule="auto"/>
        <w:rPr>
          <w:rFonts w:ascii="Arial" w:hAnsi="Arial" w:cs="Arial"/>
          <w:bCs/>
        </w:rPr>
      </w:pPr>
      <w:r w:rsidRPr="00BF20CF">
        <w:rPr>
          <w:rFonts w:ascii="Arial" w:hAnsi="Arial" w:cs="Arial"/>
          <w:bCs/>
        </w:rPr>
        <w:t>Hydro Ottawa identified productivity accomplishments from the 2016-2020 rate period, and identified initiatives planned for 2021-2025.</w:t>
      </w:r>
      <w:r w:rsidR="001A0473" w:rsidRPr="00BF20CF">
        <w:rPr>
          <w:rFonts w:ascii="Arial" w:hAnsi="Arial" w:cs="Arial"/>
          <w:bCs/>
        </w:rPr>
        <w:t xml:space="preserve"> OEB staff would like to understand how these initiatives are reflected in the proposed base revenue requirements for 2021-2025.</w:t>
      </w:r>
    </w:p>
    <w:p w14:paraId="367FAC5F" w14:textId="259BF4CA" w:rsidR="004007B9" w:rsidRPr="00BF20CF" w:rsidRDefault="004007B9"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ED266CD" w14:textId="57487DCB" w:rsidR="000A7415" w:rsidRPr="00BF20CF" w:rsidRDefault="000A7415" w:rsidP="00876E97">
      <w:pPr>
        <w:pStyle w:val="ListParagraph"/>
        <w:numPr>
          <w:ilvl w:val="0"/>
          <w:numId w:val="1"/>
        </w:numPr>
        <w:autoSpaceDE w:val="0"/>
        <w:autoSpaceDN w:val="0"/>
        <w:adjustRightInd w:val="0"/>
        <w:spacing w:before="240" w:after="120" w:line="276" w:lineRule="auto"/>
        <w:rPr>
          <w:rFonts w:ascii="Arial" w:hAnsi="Arial" w:cs="Arial"/>
          <w:bCs/>
        </w:rPr>
      </w:pPr>
      <w:r w:rsidRPr="00BF20CF">
        <w:rPr>
          <w:rFonts w:ascii="Arial" w:hAnsi="Arial" w:cs="Arial"/>
          <w:lang w:eastAsia="en-CA"/>
        </w:rPr>
        <w:t xml:space="preserve">Please </w:t>
      </w:r>
      <w:r w:rsidR="00896395" w:rsidRPr="00BF20CF">
        <w:rPr>
          <w:rFonts w:ascii="Arial" w:hAnsi="Arial" w:cs="Arial"/>
          <w:lang w:eastAsia="en-CA"/>
        </w:rPr>
        <w:t>provide a table</w:t>
      </w:r>
      <w:r w:rsidR="00B9330E" w:rsidRPr="00BF20CF">
        <w:rPr>
          <w:rFonts w:ascii="Arial" w:hAnsi="Arial" w:cs="Arial"/>
          <w:lang w:eastAsia="en-CA"/>
        </w:rPr>
        <w:t xml:space="preserve"> </w:t>
      </w:r>
      <w:r w:rsidR="00896395" w:rsidRPr="00BF20CF">
        <w:rPr>
          <w:rFonts w:ascii="Arial" w:hAnsi="Arial" w:cs="Arial"/>
          <w:lang w:eastAsia="en-CA"/>
        </w:rPr>
        <w:t>that summarizes (in millions)</w:t>
      </w:r>
      <w:r w:rsidR="001A0473" w:rsidRPr="00BF20CF">
        <w:rPr>
          <w:rFonts w:ascii="Arial" w:hAnsi="Arial" w:cs="Arial"/>
          <w:lang w:eastAsia="en-CA"/>
        </w:rPr>
        <w:t xml:space="preserve"> all actual </w:t>
      </w:r>
      <w:r w:rsidR="00896395" w:rsidRPr="00BF20CF">
        <w:rPr>
          <w:rFonts w:ascii="Arial" w:hAnsi="Arial" w:cs="Arial"/>
          <w:lang w:eastAsia="en-CA"/>
        </w:rPr>
        <w:t xml:space="preserve">productivity savings </w:t>
      </w:r>
      <w:r w:rsidR="001A0473" w:rsidRPr="00BF20CF">
        <w:rPr>
          <w:rFonts w:ascii="Arial" w:hAnsi="Arial" w:cs="Arial"/>
          <w:lang w:eastAsia="en-CA"/>
        </w:rPr>
        <w:t xml:space="preserve">for the 2016-2020 rate period </w:t>
      </w:r>
      <w:r w:rsidR="000A1303" w:rsidRPr="00BF20CF">
        <w:rPr>
          <w:rFonts w:ascii="Arial" w:hAnsi="Arial" w:cs="Arial"/>
          <w:lang w:eastAsia="en-CA"/>
        </w:rPr>
        <w:t xml:space="preserve">(2019 actual </w:t>
      </w:r>
      <w:r w:rsidR="006E2CA8" w:rsidRPr="00BF20CF">
        <w:rPr>
          <w:rFonts w:ascii="Arial" w:hAnsi="Arial" w:cs="Arial"/>
          <w:lang w:eastAsia="en-CA"/>
        </w:rPr>
        <w:t xml:space="preserve">and 2020 forecast) </w:t>
      </w:r>
      <w:r w:rsidR="001A0473" w:rsidRPr="00BF20CF">
        <w:rPr>
          <w:rFonts w:ascii="Arial" w:hAnsi="Arial" w:cs="Arial"/>
          <w:lang w:eastAsia="en-CA"/>
        </w:rPr>
        <w:t xml:space="preserve">and forecast productivity savings for the 2021-2025 rate period. </w:t>
      </w:r>
      <w:r w:rsidR="00896395" w:rsidRPr="00BF20CF">
        <w:rPr>
          <w:rFonts w:ascii="Arial" w:hAnsi="Arial" w:cs="Arial"/>
          <w:lang w:eastAsia="en-CA"/>
        </w:rPr>
        <w:t xml:space="preserve">Please </w:t>
      </w:r>
      <w:r w:rsidR="006F1957" w:rsidRPr="00BF20CF">
        <w:rPr>
          <w:rFonts w:ascii="Arial" w:hAnsi="Arial" w:cs="Arial"/>
          <w:lang w:eastAsia="en-CA"/>
        </w:rPr>
        <w:t>provide a brief description for</w:t>
      </w:r>
      <w:r w:rsidR="00896395" w:rsidRPr="00BF20CF">
        <w:rPr>
          <w:rFonts w:ascii="Arial" w:hAnsi="Arial" w:cs="Arial"/>
          <w:lang w:eastAsia="en-CA"/>
        </w:rPr>
        <w:t xml:space="preserve"> each initiative and provide actual and forecast savings by year. Plea</w:t>
      </w:r>
      <w:r w:rsidR="006F1957" w:rsidRPr="00BF20CF">
        <w:rPr>
          <w:rFonts w:ascii="Arial" w:hAnsi="Arial" w:cs="Arial"/>
          <w:lang w:eastAsia="en-CA"/>
        </w:rPr>
        <w:t xml:space="preserve">se also classify </w:t>
      </w:r>
      <w:r w:rsidR="00896395" w:rsidRPr="00BF20CF">
        <w:rPr>
          <w:rFonts w:ascii="Arial" w:hAnsi="Arial" w:cs="Arial"/>
          <w:lang w:eastAsia="en-CA"/>
        </w:rPr>
        <w:t>initiatives</w:t>
      </w:r>
      <w:r w:rsidR="006F1957" w:rsidRPr="00BF20CF">
        <w:rPr>
          <w:rFonts w:ascii="Arial" w:hAnsi="Arial" w:cs="Arial"/>
          <w:lang w:eastAsia="en-CA"/>
        </w:rPr>
        <w:t xml:space="preserve"> </w:t>
      </w:r>
      <w:r w:rsidR="000A1303" w:rsidRPr="00BF20CF">
        <w:rPr>
          <w:rFonts w:ascii="Arial" w:hAnsi="Arial" w:cs="Arial"/>
          <w:lang w:eastAsia="en-CA"/>
        </w:rPr>
        <w:t>by OM&amp;A and capital</w:t>
      </w:r>
      <w:r w:rsidR="006F1957" w:rsidRPr="00BF20CF">
        <w:rPr>
          <w:rFonts w:ascii="Arial" w:hAnsi="Arial" w:cs="Arial"/>
          <w:lang w:eastAsia="en-CA"/>
        </w:rPr>
        <w:t>.</w:t>
      </w:r>
    </w:p>
    <w:p w14:paraId="130EC045"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08BE8EC8" w14:textId="4597395B" w:rsidR="00B164CD" w:rsidRPr="00BF20CF" w:rsidRDefault="006F1957" w:rsidP="00876E97">
      <w:pPr>
        <w:pStyle w:val="ListParagraph"/>
        <w:numPr>
          <w:ilvl w:val="0"/>
          <w:numId w:val="1"/>
        </w:numPr>
        <w:autoSpaceDE w:val="0"/>
        <w:autoSpaceDN w:val="0"/>
        <w:adjustRightInd w:val="0"/>
        <w:spacing w:before="240" w:after="120" w:line="276" w:lineRule="auto"/>
        <w:rPr>
          <w:rFonts w:ascii="Arial" w:hAnsi="Arial" w:cs="Arial"/>
          <w:bCs/>
        </w:rPr>
      </w:pPr>
      <w:r w:rsidRPr="00BF20CF">
        <w:rPr>
          <w:rFonts w:ascii="Arial" w:hAnsi="Arial" w:cs="Arial"/>
          <w:bCs/>
        </w:rPr>
        <w:t>For productivity initiat</w:t>
      </w:r>
      <w:r w:rsidR="006E2CA8" w:rsidRPr="00BF20CF">
        <w:rPr>
          <w:rFonts w:ascii="Arial" w:hAnsi="Arial" w:cs="Arial"/>
          <w:bCs/>
        </w:rPr>
        <w:t>ives identified for the 2021-202</w:t>
      </w:r>
      <w:r w:rsidRPr="00BF20CF">
        <w:rPr>
          <w:rFonts w:ascii="Arial" w:hAnsi="Arial" w:cs="Arial"/>
          <w:bCs/>
        </w:rPr>
        <w:t>5 rate period, please explain how Hydro Ottawa forecast</w:t>
      </w:r>
      <w:r w:rsidR="000A1303" w:rsidRPr="00BF20CF">
        <w:rPr>
          <w:rFonts w:ascii="Arial" w:hAnsi="Arial" w:cs="Arial"/>
          <w:bCs/>
        </w:rPr>
        <w:t>ed</w:t>
      </w:r>
      <w:r w:rsidRPr="00BF20CF">
        <w:rPr>
          <w:rFonts w:ascii="Arial" w:hAnsi="Arial" w:cs="Arial"/>
          <w:bCs/>
        </w:rPr>
        <w:t xml:space="preserve"> savings for each initiative.</w:t>
      </w:r>
    </w:p>
    <w:p w14:paraId="0439A075" w14:textId="62280F7D" w:rsidR="000650E4" w:rsidRPr="00BF20CF" w:rsidRDefault="000650E4" w:rsidP="003041BF">
      <w:pPr>
        <w:autoSpaceDE w:val="0"/>
        <w:autoSpaceDN w:val="0"/>
        <w:adjustRightInd w:val="0"/>
        <w:spacing w:before="240" w:line="276" w:lineRule="auto"/>
        <w:rPr>
          <w:rFonts w:ascii="Arial" w:hAnsi="Arial" w:cs="Arial"/>
          <w:b/>
        </w:rPr>
      </w:pPr>
      <w:r w:rsidRPr="00BF20CF">
        <w:rPr>
          <w:rFonts w:ascii="Arial" w:hAnsi="Arial" w:cs="Arial"/>
          <w:b/>
        </w:rPr>
        <w:t>Gartner IT Budget Benchmarking Study</w:t>
      </w:r>
    </w:p>
    <w:p w14:paraId="31CD547E" w14:textId="6695B0CF" w:rsidR="000650E4" w:rsidRPr="00BF20CF" w:rsidRDefault="000650E4" w:rsidP="003041BF">
      <w:pPr>
        <w:autoSpaceDE w:val="0"/>
        <w:autoSpaceDN w:val="0"/>
        <w:adjustRightInd w:val="0"/>
        <w:spacing w:before="240" w:line="276" w:lineRule="auto"/>
        <w:rPr>
          <w:rFonts w:ascii="Arial" w:hAnsi="Arial" w:cs="Arial"/>
          <w:b/>
        </w:rPr>
      </w:pPr>
      <w:r w:rsidRPr="00BF20CF">
        <w:rPr>
          <w:rFonts w:ascii="Arial" w:hAnsi="Arial" w:cs="Arial"/>
          <w:b/>
        </w:rPr>
        <w:t>1</w:t>
      </w:r>
      <w:r w:rsidR="00790295" w:rsidRPr="00BF20CF">
        <w:rPr>
          <w:rFonts w:ascii="Arial" w:hAnsi="Arial" w:cs="Arial"/>
          <w:b/>
        </w:rPr>
        <w:t>-Staff-</w:t>
      </w:r>
      <w:r w:rsidR="00C667E6" w:rsidRPr="00BF20CF">
        <w:rPr>
          <w:rFonts w:ascii="Arial" w:hAnsi="Arial" w:cs="Arial"/>
          <w:b/>
        </w:rPr>
        <w:t>4</w:t>
      </w:r>
      <w:r w:rsidR="001C211A" w:rsidRPr="00BF20CF">
        <w:rPr>
          <w:rFonts w:ascii="Arial" w:hAnsi="Arial" w:cs="Arial"/>
          <w:b/>
        </w:rPr>
        <w:t>8</w:t>
      </w:r>
    </w:p>
    <w:p w14:paraId="2D2F21C8" w14:textId="265B3AF0" w:rsidR="000650E4" w:rsidRPr="00BF20CF" w:rsidRDefault="000650E4" w:rsidP="003041BF">
      <w:pPr>
        <w:rPr>
          <w:rFonts w:ascii="Arial" w:hAnsi="Arial" w:cs="Arial"/>
          <w:b/>
        </w:rPr>
      </w:pPr>
      <w:r w:rsidRPr="00BF20CF">
        <w:rPr>
          <w:rFonts w:ascii="Arial" w:hAnsi="Arial" w:cs="Arial"/>
          <w:b/>
        </w:rPr>
        <w:t>Ref:</w:t>
      </w:r>
      <w:r w:rsidRPr="00BF20CF">
        <w:rPr>
          <w:rFonts w:ascii="Arial" w:hAnsi="Arial" w:cs="Arial"/>
          <w:b/>
        </w:rPr>
        <w:tab/>
        <w:t>Exhibit 1/Tab 1/Schedule 12/pp. 13-17 of 21</w:t>
      </w:r>
    </w:p>
    <w:p w14:paraId="042FD335" w14:textId="4C604E2A" w:rsidR="000650E4" w:rsidRPr="00BF20CF" w:rsidRDefault="000650E4" w:rsidP="003041BF">
      <w:pPr>
        <w:ind w:left="720"/>
        <w:rPr>
          <w:rFonts w:ascii="Arial" w:hAnsi="Arial" w:cs="Arial"/>
          <w:b/>
        </w:rPr>
      </w:pPr>
      <w:r w:rsidRPr="00BF20CF">
        <w:rPr>
          <w:rFonts w:ascii="Arial" w:hAnsi="Arial" w:cs="Arial"/>
          <w:b/>
        </w:rPr>
        <w:t>Exhibit 1/Tab 1/Schedule 12/Attachment F</w:t>
      </w:r>
    </w:p>
    <w:p w14:paraId="39C65668" w14:textId="77777777" w:rsidR="000650E4" w:rsidRPr="00BF20CF" w:rsidRDefault="000650E4"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2838672D" w14:textId="3C37D868" w:rsidR="000650E4" w:rsidRPr="00BF20CF" w:rsidRDefault="00962593" w:rsidP="00876E97">
      <w:pPr>
        <w:pStyle w:val="ListParagraph"/>
        <w:numPr>
          <w:ilvl w:val="0"/>
          <w:numId w:val="7"/>
        </w:numPr>
        <w:autoSpaceDE w:val="0"/>
        <w:autoSpaceDN w:val="0"/>
        <w:adjustRightInd w:val="0"/>
        <w:spacing w:before="240" w:after="120" w:line="276" w:lineRule="auto"/>
        <w:rPr>
          <w:rFonts w:ascii="Arial" w:hAnsi="Arial" w:cs="Arial"/>
          <w:bCs/>
        </w:rPr>
      </w:pPr>
      <w:r w:rsidRPr="00BF20CF">
        <w:rPr>
          <w:rFonts w:ascii="Arial" w:hAnsi="Arial" w:cs="Arial"/>
          <w:bCs/>
        </w:rPr>
        <w:t>Please specify the nine electricity utilities selected within the peer group.</w:t>
      </w:r>
    </w:p>
    <w:p w14:paraId="4575E705"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1BDA7274" w14:textId="4091CC2C" w:rsidR="00962593" w:rsidRPr="00BF20CF" w:rsidRDefault="00962593" w:rsidP="00876E97">
      <w:pPr>
        <w:pStyle w:val="ListParagraph"/>
        <w:numPr>
          <w:ilvl w:val="0"/>
          <w:numId w:val="7"/>
        </w:numPr>
        <w:autoSpaceDE w:val="0"/>
        <w:autoSpaceDN w:val="0"/>
        <w:adjustRightInd w:val="0"/>
        <w:spacing w:before="240" w:after="120" w:line="276" w:lineRule="auto"/>
        <w:rPr>
          <w:rFonts w:ascii="Arial" w:hAnsi="Arial" w:cs="Arial"/>
          <w:bCs/>
        </w:rPr>
      </w:pPr>
      <w:r w:rsidRPr="00BF20CF">
        <w:rPr>
          <w:rFonts w:ascii="Arial" w:hAnsi="Arial" w:cs="Arial"/>
          <w:bCs/>
        </w:rPr>
        <w:lastRenderedPageBreak/>
        <w:t>Please clarify whether the selected nine utilities are all electricity distributors.</w:t>
      </w:r>
    </w:p>
    <w:p w14:paraId="34528E20"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1CF05EE3" w14:textId="590144E6" w:rsidR="00962593" w:rsidRPr="00BF20CF" w:rsidRDefault="00F0718D" w:rsidP="00876E97">
      <w:pPr>
        <w:pStyle w:val="ListParagraph"/>
        <w:numPr>
          <w:ilvl w:val="0"/>
          <w:numId w:val="7"/>
        </w:numPr>
        <w:autoSpaceDE w:val="0"/>
        <w:autoSpaceDN w:val="0"/>
        <w:adjustRightInd w:val="0"/>
        <w:spacing w:before="240" w:after="120" w:line="276" w:lineRule="auto"/>
        <w:rPr>
          <w:rFonts w:ascii="Arial" w:hAnsi="Arial" w:cs="Arial"/>
          <w:bCs/>
        </w:rPr>
      </w:pPr>
      <w:r w:rsidRPr="00BF20CF">
        <w:rPr>
          <w:rFonts w:ascii="Arial" w:hAnsi="Arial" w:cs="Arial"/>
          <w:bCs/>
        </w:rPr>
        <w:t>Please confirm revenue and operating expenses include cost of power.</w:t>
      </w:r>
    </w:p>
    <w:p w14:paraId="20BD1462"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58827772" w14:textId="0E8B9190" w:rsidR="0018356B" w:rsidRPr="00BF20CF" w:rsidRDefault="0018356B" w:rsidP="00876E97">
      <w:pPr>
        <w:pStyle w:val="ListParagraph"/>
        <w:numPr>
          <w:ilvl w:val="0"/>
          <w:numId w:val="7"/>
        </w:numPr>
        <w:autoSpaceDE w:val="0"/>
        <w:autoSpaceDN w:val="0"/>
        <w:adjustRightInd w:val="0"/>
        <w:spacing w:before="240" w:after="120" w:line="276" w:lineRule="auto"/>
        <w:rPr>
          <w:rFonts w:ascii="Arial" w:hAnsi="Arial" w:cs="Arial"/>
          <w:bCs/>
        </w:rPr>
      </w:pPr>
      <w:r w:rsidRPr="00BF20CF">
        <w:rPr>
          <w:rFonts w:ascii="Arial" w:hAnsi="Arial" w:cs="Arial"/>
          <w:bCs/>
        </w:rPr>
        <w:t>Please provide Hydro Ottawa’s IT budget included in the 2021-2025 plan:</w:t>
      </w:r>
    </w:p>
    <w:p w14:paraId="2C17CF79" w14:textId="5A3627BF" w:rsidR="0018356B" w:rsidRPr="00BF20CF" w:rsidRDefault="0018356B" w:rsidP="00876E97">
      <w:pPr>
        <w:pStyle w:val="ListParagraph"/>
        <w:numPr>
          <w:ilvl w:val="0"/>
          <w:numId w:val="35"/>
        </w:numPr>
        <w:autoSpaceDE w:val="0"/>
        <w:autoSpaceDN w:val="0"/>
        <w:adjustRightInd w:val="0"/>
        <w:spacing w:before="240" w:after="120" w:line="276" w:lineRule="auto"/>
        <w:rPr>
          <w:rFonts w:ascii="Arial" w:hAnsi="Arial" w:cs="Arial"/>
          <w:bCs/>
        </w:rPr>
      </w:pPr>
      <w:r w:rsidRPr="00BF20CF">
        <w:rPr>
          <w:rFonts w:ascii="Arial" w:hAnsi="Arial" w:cs="Arial"/>
          <w:bCs/>
        </w:rPr>
        <w:t>2021 OM&amp;A</w:t>
      </w:r>
    </w:p>
    <w:p w14:paraId="6A9FB3F5" w14:textId="22053277" w:rsidR="0018356B" w:rsidRPr="00BF20CF" w:rsidRDefault="0018356B" w:rsidP="00876E97">
      <w:pPr>
        <w:pStyle w:val="ListParagraph"/>
        <w:numPr>
          <w:ilvl w:val="0"/>
          <w:numId w:val="35"/>
        </w:numPr>
        <w:autoSpaceDE w:val="0"/>
        <w:autoSpaceDN w:val="0"/>
        <w:adjustRightInd w:val="0"/>
        <w:spacing w:before="240" w:after="120" w:line="276" w:lineRule="auto"/>
        <w:rPr>
          <w:rFonts w:ascii="Arial" w:hAnsi="Arial" w:cs="Arial"/>
          <w:bCs/>
        </w:rPr>
      </w:pPr>
      <w:r w:rsidRPr="00BF20CF">
        <w:rPr>
          <w:rFonts w:ascii="Arial" w:hAnsi="Arial" w:cs="Arial"/>
          <w:bCs/>
        </w:rPr>
        <w:t>2021-2025 Capital Expenditures</w:t>
      </w:r>
    </w:p>
    <w:p w14:paraId="3C6DCA62"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0A2932EF" w14:textId="044A922D" w:rsidR="0018356B" w:rsidRPr="00BF20CF" w:rsidRDefault="0018356B" w:rsidP="00876E97">
      <w:pPr>
        <w:pStyle w:val="ListParagraph"/>
        <w:numPr>
          <w:ilvl w:val="0"/>
          <w:numId w:val="7"/>
        </w:numPr>
        <w:autoSpaceDE w:val="0"/>
        <w:autoSpaceDN w:val="0"/>
        <w:adjustRightInd w:val="0"/>
        <w:spacing w:before="240" w:after="120" w:line="276" w:lineRule="auto"/>
        <w:rPr>
          <w:rFonts w:ascii="Arial" w:hAnsi="Arial" w:cs="Arial"/>
          <w:bCs/>
        </w:rPr>
      </w:pPr>
      <w:r w:rsidRPr="00BF20CF">
        <w:rPr>
          <w:rFonts w:ascii="Arial" w:hAnsi="Arial" w:cs="Arial"/>
          <w:bCs/>
        </w:rPr>
        <w:t>Please provide the allocation of the IT budget (2021 OM&amp;A and 2021-2025 Capital Expenditures) by run, grow, and transform categories as defined in the Gartner study.</w:t>
      </w:r>
    </w:p>
    <w:p w14:paraId="3BD68304"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3284F5DE" w14:textId="37AF0988" w:rsidR="0018356B" w:rsidRPr="00BF20CF" w:rsidRDefault="0018356B" w:rsidP="00876E97">
      <w:pPr>
        <w:pStyle w:val="ListParagraph"/>
        <w:numPr>
          <w:ilvl w:val="0"/>
          <w:numId w:val="7"/>
        </w:numPr>
        <w:autoSpaceDE w:val="0"/>
        <w:autoSpaceDN w:val="0"/>
        <w:adjustRightInd w:val="0"/>
        <w:spacing w:before="240" w:after="120" w:line="276" w:lineRule="auto"/>
        <w:rPr>
          <w:rFonts w:ascii="Arial" w:hAnsi="Arial" w:cs="Arial"/>
          <w:bCs/>
        </w:rPr>
      </w:pPr>
      <w:r w:rsidRPr="00BF20CF">
        <w:rPr>
          <w:rFonts w:ascii="Arial" w:hAnsi="Arial" w:cs="Arial"/>
          <w:bCs/>
        </w:rPr>
        <w:t>Please identify key OM&amp;A and capital programs/pro</w:t>
      </w:r>
      <w:r w:rsidR="00C353F4" w:rsidRPr="00BF20CF">
        <w:rPr>
          <w:rFonts w:ascii="Arial" w:hAnsi="Arial" w:cs="Arial"/>
          <w:bCs/>
        </w:rPr>
        <w:t>jects under each of the categories (run, grow, and transform)</w:t>
      </w:r>
      <w:r w:rsidRPr="00BF20CF">
        <w:rPr>
          <w:rFonts w:ascii="Arial" w:hAnsi="Arial" w:cs="Arial"/>
          <w:bCs/>
        </w:rPr>
        <w:t>.</w:t>
      </w:r>
    </w:p>
    <w:p w14:paraId="510D86B1"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1FDE7021" w14:textId="547DD7B6" w:rsidR="00BA6BF1" w:rsidRPr="00BF20CF" w:rsidRDefault="0018356B" w:rsidP="00876E97">
      <w:pPr>
        <w:pStyle w:val="ListParagraph"/>
        <w:numPr>
          <w:ilvl w:val="0"/>
          <w:numId w:val="7"/>
        </w:numPr>
        <w:autoSpaceDE w:val="0"/>
        <w:autoSpaceDN w:val="0"/>
        <w:adjustRightInd w:val="0"/>
        <w:spacing w:before="240" w:after="120" w:line="276" w:lineRule="auto"/>
        <w:rPr>
          <w:rFonts w:ascii="Arial" w:hAnsi="Arial" w:cs="Arial"/>
          <w:bCs/>
        </w:rPr>
      </w:pPr>
      <w:r w:rsidRPr="00BF20CF">
        <w:rPr>
          <w:rFonts w:ascii="Arial" w:hAnsi="Arial" w:cs="Arial"/>
          <w:bCs/>
        </w:rPr>
        <w:t>Please provide Hydro Ottawa’s historical IT FTEs for the 2016-2020 rate period and forecast IT FTEs for the 2021-2025 period.</w:t>
      </w:r>
    </w:p>
    <w:p w14:paraId="7AC94179"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5663314C" w14:textId="54AF415A" w:rsidR="004D17C0" w:rsidRPr="00BF20CF" w:rsidRDefault="004D17C0" w:rsidP="00876E97">
      <w:pPr>
        <w:pStyle w:val="ListParagraph"/>
        <w:numPr>
          <w:ilvl w:val="0"/>
          <w:numId w:val="7"/>
        </w:numPr>
        <w:autoSpaceDE w:val="0"/>
        <w:autoSpaceDN w:val="0"/>
        <w:adjustRightInd w:val="0"/>
        <w:spacing w:before="240" w:after="120" w:line="276" w:lineRule="auto"/>
        <w:rPr>
          <w:rFonts w:ascii="Arial" w:hAnsi="Arial" w:cs="Arial"/>
          <w:bCs/>
        </w:rPr>
      </w:pPr>
      <w:r w:rsidRPr="00BF20CF">
        <w:rPr>
          <w:rFonts w:ascii="Arial" w:hAnsi="Arial" w:cs="Arial"/>
          <w:bCs/>
        </w:rPr>
        <w:t xml:space="preserve">Is that possible to compare Hydro Ottawa’s 2018 IT budget per customer with the peer group? If so, please provide the </w:t>
      </w:r>
      <w:r w:rsidR="00BC0A50" w:rsidRPr="00BF20CF">
        <w:rPr>
          <w:rFonts w:ascii="Arial" w:hAnsi="Arial" w:cs="Arial"/>
          <w:bCs/>
        </w:rPr>
        <w:t xml:space="preserve">comparison </w:t>
      </w:r>
      <w:r w:rsidRPr="00BF20CF">
        <w:rPr>
          <w:rFonts w:ascii="Arial" w:hAnsi="Arial" w:cs="Arial"/>
          <w:bCs/>
        </w:rPr>
        <w:t>results.</w:t>
      </w:r>
    </w:p>
    <w:p w14:paraId="6549FC2D" w14:textId="584E9916" w:rsidR="00106929" w:rsidRPr="00BF20CF" w:rsidRDefault="00106929" w:rsidP="003041BF">
      <w:pPr>
        <w:autoSpaceDE w:val="0"/>
        <w:autoSpaceDN w:val="0"/>
        <w:adjustRightInd w:val="0"/>
        <w:spacing w:before="240" w:line="276" w:lineRule="auto"/>
        <w:rPr>
          <w:rFonts w:ascii="Arial" w:hAnsi="Arial" w:cs="Arial"/>
          <w:b/>
        </w:rPr>
      </w:pPr>
      <w:r w:rsidRPr="00BF20CF">
        <w:rPr>
          <w:rFonts w:ascii="Arial" w:hAnsi="Arial" w:cs="Arial"/>
          <w:b/>
        </w:rPr>
        <w:t>Mercer Compensation Benchmarking Study</w:t>
      </w:r>
    </w:p>
    <w:p w14:paraId="7C0A08FB" w14:textId="21F5B815" w:rsidR="00106929" w:rsidRPr="00BF20CF" w:rsidRDefault="00106929" w:rsidP="003041BF">
      <w:pPr>
        <w:autoSpaceDE w:val="0"/>
        <w:autoSpaceDN w:val="0"/>
        <w:adjustRightInd w:val="0"/>
        <w:spacing w:before="240" w:line="276" w:lineRule="auto"/>
        <w:rPr>
          <w:rFonts w:ascii="Arial" w:hAnsi="Arial" w:cs="Arial"/>
          <w:b/>
        </w:rPr>
      </w:pPr>
      <w:r w:rsidRPr="00BF20CF">
        <w:rPr>
          <w:rFonts w:ascii="Arial" w:hAnsi="Arial" w:cs="Arial"/>
          <w:b/>
        </w:rPr>
        <w:t>1</w:t>
      </w:r>
      <w:r w:rsidR="00790295" w:rsidRPr="00BF20CF">
        <w:rPr>
          <w:rFonts w:ascii="Arial" w:hAnsi="Arial" w:cs="Arial"/>
          <w:b/>
        </w:rPr>
        <w:t>-Staff-</w:t>
      </w:r>
      <w:r w:rsidR="00C667E6" w:rsidRPr="00BF20CF">
        <w:rPr>
          <w:rFonts w:ascii="Arial" w:hAnsi="Arial" w:cs="Arial"/>
          <w:b/>
        </w:rPr>
        <w:t>4</w:t>
      </w:r>
      <w:r w:rsidR="001C211A" w:rsidRPr="00BF20CF">
        <w:rPr>
          <w:rFonts w:ascii="Arial" w:hAnsi="Arial" w:cs="Arial"/>
          <w:b/>
        </w:rPr>
        <w:t>9</w:t>
      </w:r>
    </w:p>
    <w:p w14:paraId="28078517" w14:textId="5A8271CB" w:rsidR="00106929" w:rsidRPr="00BF20CF" w:rsidRDefault="00106929" w:rsidP="003041BF">
      <w:pPr>
        <w:rPr>
          <w:rFonts w:ascii="Arial" w:hAnsi="Arial" w:cs="Arial"/>
          <w:b/>
        </w:rPr>
      </w:pPr>
      <w:r w:rsidRPr="00BF20CF">
        <w:rPr>
          <w:rFonts w:ascii="Arial" w:hAnsi="Arial" w:cs="Arial"/>
          <w:b/>
        </w:rPr>
        <w:t>Ref:</w:t>
      </w:r>
      <w:r w:rsidRPr="00BF20CF">
        <w:rPr>
          <w:rFonts w:ascii="Arial" w:hAnsi="Arial" w:cs="Arial"/>
          <w:b/>
        </w:rPr>
        <w:tab/>
        <w:t>Exhibit 1/Tab 1/Schedule 12/pp. 17-19 of 21</w:t>
      </w:r>
    </w:p>
    <w:p w14:paraId="59545F19" w14:textId="18D041CD" w:rsidR="00106929" w:rsidRPr="00BF20CF" w:rsidRDefault="00106929" w:rsidP="003041BF">
      <w:pPr>
        <w:ind w:left="720"/>
        <w:rPr>
          <w:rFonts w:ascii="Arial" w:hAnsi="Arial" w:cs="Arial"/>
          <w:b/>
        </w:rPr>
      </w:pPr>
      <w:r w:rsidRPr="00BF20CF">
        <w:rPr>
          <w:rFonts w:ascii="Arial" w:hAnsi="Arial" w:cs="Arial"/>
          <w:b/>
        </w:rPr>
        <w:t>Exhibit 1/Tab 1/Schedule 12/Attachment G</w:t>
      </w:r>
    </w:p>
    <w:p w14:paraId="0490D7EA" w14:textId="77777777" w:rsidR="00106929" w:rsidRPr="00BF20CF" w:rsidRDefault="00106929"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B529BFA" w14:textId="24E43A4F" w:rsidR="00106929" w:rsidRPr="00BF20CF" w:rsidRDefault="00106929" w:rsidP="00876E97">
      <w:pPr>
        <w:pStyle w:val="ListParagraph"/>
        <w:numPr>
          <w:ilvl w:val="0"/>
          <w:numId w:val="36"/>
        </w:numPr>
        <w:autoSpaceDE w:val="0"/>
        <w:autoSpaceDN w:val="0"/>
        <w:adjustRightInd w:val="0"/>
        <w:spacing w:before="240" w:after="120" w:line="276" w:lineRule="auto"/>
        <w:rPr>
          <w:rFonts w:ascii="Arial" w:hAnsi="Arial" w:cs="Arial"/>
          <w:bCs/>
        </w:rPr>
      </w:pPr>
      <w:r w:rsidRPr="00BF20CF">
        <w:rPr>
          <w:rFonts w:ascii="Arial" w:hAnsi="Arial" w:cs="Arial"/>
          <w:bCs/>
        </w:rPr>
        <w:t>Please explain the criteria of selecting the 15 positions (five management jobs and ten non-management jobs) as the sample in the Mercer benchmarking study.</w:t>
      </w:r>
    </w:p>
    <w:p w14:paraId="629DA3AA"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680F85FF" w14:textId="7417769E" w:rsidR="00106929" w:rsidRPr="00BF20CF" w:rsidRDefault="00106929" w:rsidP="00876E97">
      <w:pPr>
        <w:pStyle w:val="ListParagraph"/>
        <w:numPr>
          <w:ilvl w:val="0"/>
          <w:numId w:val="36"/>
        </w:numPr>
        <w:autoSpaceDE w:val="0"/>
        <w:autoSpaceDN w:val="0"/>
        <w:adjustRightInd w:val="0"/>
        <w:spacing w:before="240" w:after="120" w:line="276" w:lineRule="auto"/>
        <w:rPr>
          <w:rFonts w:ascii="Arial" w:hAnsi="Arial" w:cs="Arial"/>
          <w:bCs/>
        </w:rPr>
      </w:pPr>
      <w:r w:rsidRPr="00BF20CF">
        <w:rPr>
          <w:rFonts w:ascii="Arial" w:hAnsi="Arial" w:cs="Arial"/>
          <w:bCs/>
        </w:rPr>
        <w:t>Please clarify whether the ten non-management positions are all unionized.</w:t>
      </w:r>
    </w:p>
    <w:p w14:paraId="432E7738"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2CAB92F2" w14:textId="7B8782DA" w:rsidR="00106929" w:rsidRPr="00BF20CF" w:rsidRDefault="00106929" w:rsidP="00876E97">
      <w:pPr>
        <w:pStyle w:val="ListParagraph"/>
        <w:numPr>
          <w:ilvl w:val="0"/>
          <w:numId w:val="36"/>
        </w:numPr>
        <w:autoSpaceDE w:val="0"/>
        <w:autoSpaceDN w:val="0"/>
        <w:adjustRightInd w:val="0"/>
        <w:spacing w:before="240" w:after="120" w:line="276" w:lineRule="auto"/>
        <w:rPr>
          <w:rFonts w:ascii="Arial" w:hAnsi="Arial" w:cs="Arial"/>
          <w:bCs/>
        </w:rPr>
      </w:pPr>
      <w:r w:rsidRPr="00BF20CF">
        <w:rPr>
          <w:rFonts w:ascii="Arial" w:hAnsi="Arial" w:cs="Arial"/>
          <w:bCs/>
        </w:rPr>
        <w:t>Please explain why compensation and benefits for executive positions were not reviewed in the study.</w:t>
      </w:r>
    </w:p>
    <w:p w14:paraId="18B3E34D"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42CE2D7F" w14:textId="2306DAB5" w:rsidR="00106929" w:rsidRPr="00BF20CF" w:rsidRDefault="00106929" w:rsidP="00876E97">
      <w:pPr>
        <w:pStyle w:val="ListParagraph"/>
        <w:numPr>
          <w:ilvl w:val="0"/>
          <w:numId w:val="36"/>
        </w:numPr>
        <w:autoSpaceDE w:val="0"/>
        <w:autoSpaceDN w:val="0"/>
        <w:adjustRightInd w:val="0"/>
        <w:spacing w:before="240" w:after="120" w:line="276" w:lineRule="auto"/>
        <w:rPr>
          <w:rFonts w:ascii="Arial" w:hAnsi="Arial" w:cs="Arial"/>
          <w:bCs/>
        </w:rPr>
      </w:pPr>
      <w:r w:rsidRPr="00BF20CF">
        <w:rPr>
          <w:rFonts w:ascii="Arial" w:hAnsi="Arial" w:cs="Arial"/>
          <w:bCs/>
        </w:rPr>
        <w:lastRenderedPageBreak/>
        <w:t xml:space="preserve">Has Hydro Ottawa done any benchmarking analysis for its executive positions? If so, please provide the </w:t>
      </w:r>
      <w:r w:rsidR="00AF03C9" w:rsidRPr="00BF20CF">
        <w:rPr>
          <w:rFonts w:ascii="Arial" w:hAnsi="Arial" w:cs="Arial"/>
          <w:bCs/>
        </w:rPr>
        <w:t>analysis/</w:t>
      </w:r>
      <w:r w:rsidRPr="00BF20CF">
        <w:rPr>
          <w:rFonts w:ascii="Arial" w:hAnsi="Arial" w:cs="Arial"/>
          <w:bCs/>
        </w:rPr>
        <w:t>study.</w:t>
      </w:r>
    </w:p>
    <w:p w14:paraId="5901059A"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7967579A" w14:textId="46EDAE8D" w:rsidR="00106929" w:rsidRPr="00BF20CF" w:rsidRDefault="00106929" w:rsidP="00876E97">
      <w:pPr>
        <w:pStyle w:val="ListParagraph"/>
        <w:numPr>
          <w:ilvl w:val="0"/>
          <w:numId w:val="36"/>
        </w:numPr>
        <w:autoSpaceDE w:val="0"/>
        <w:autoSpaceDN w:val="0"/>
        <w:adjustRightInd w:val="0"/>
        <w:spacing w:before="240" w:after="120" w:line="276" w:lineRule="auto"/>
        <w:rPr>
          <w:rFonts w:ascii="Arial" w:hAnsi="Arial" w:cs="Arial"/>
          <w:bCs/>
        </w:rPr>
      </w:pPr>
      <w:r w:rsidRPr="00BF20CF">
        <w:rPr>
          <w:rFonts w:ascii="Arial" w:hAnsi="Arial" w:cs="Arial"/>
          <w:bCs/>
        </w:rPr>
        <w:t>Please clarify which year</w:t>
      </w:r>
      <w:r w:rsidR="0031335D" w:rsidRPr="00BF20CF">
        <w:rPr>
          <w:rFonts w:ascii="Arial" w:hAnsi="Arial" w:cs="Arial"/>
          <w:bCs/>
        </w:rPr>
        <w:t xml:space="preserve"> of data was</w:t>
      </w:r>
      <w:r w:rsidRPr="00BF20CF">
        <w:rPr>
          <w:rFonts w:ascii="Arial" w:hAnsi="Arial" w:cs="Arial"/>
          <w:bCs/>
        </w:rPr>
        <w:t xml:space="preserve"> used for Hydro Ottawa’s management and non-management positions.</w:t>
      </w:r>
    </w:p>
    <w:p w14:paraId="274E3689" w14:textId="3390DDA6" w:rsidR="00D92A43" w:rsidRPr="00BF20CF" w:rsidRDefault="00D92A43" w:rsidP="00876E97">
      <w:pPr>
        <w:pStyle w:val="ListParagraph"/>
        <w:numPr>
          <w:ilvl w:val="0"/>
          <w:numId w:val="87"/>
        </w:numPr>
        <w:autoSpaceDE w:val="0"/>
        <w:autoSpaceDN w:val="0"/>
        <w:adjustRightInd w:val="0"/>
        <w:spacing w:before="240" w:after="120" w:line="276" w:lineRule="auto"/>
        <w:rPr>
          <w:rFonts w:ascii="Arial" w:hAnsi="Arial" w:cs="Arial"/>
          <w:bCs/>
        </w:rPr>
      </w:pPr>
      <w:r w:rsidRPr="00BF20CF">
        <w:rPr>
          <w:rFonts w:ascii="Arial" w:hAnsi="Arial" w:cs="Arial"/>
          <w:bCs/>
        </w:rPr>
        <w:t>If Hydro Ottawa’s data are not 2019, please explain what inflation factors were applied to Hydro Ottawa’s data to make it comparable to the 2019 Mercer benchmark database.</w:t>
      </w:r>
    </w:p>
    <w:p w14:paraId="5794068D"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35F66812" w14:textId="5062A502" w:rsidR="00D92A43" w:rsidRPr="00BF20CF" w:rsidRDefault="00F85250" w:rsidP="00876E97">
      <w:pPr>
        <w:pStyle w:val="ListParagraph"/>
        <w:numPr>
          <w:ilvl w:val="0"/>
          <w:numId w:val="36"/>
        </w:numPr>
        <w:autoSpaceDE w:val="0"/>
        <w:autoSpaceDN w:val="0"/>
        <w:adjustRightInd w:val="0"/>
        <w:spacing w:before="240" w:after="120" w:line="276" w:lineRule="auto"/>
        <w:rPr>
          <w:rFonts w:ascii="Arial" w:hAnsi="Arial" w:cs="Arial"/>
          <w:bCs/>
        </w:rPr>
      </w:pPr>
      <w:r w:rsidRPr="00BF20CF">
        <w:rPr>
          <w:rFonts w:ascii="Arial" w:hAnsi="Arial" w:cs="Arial"/>
          <w:bCs/>
        </w:rPr>
        <w:t xml:space="preserve">Please clarify whether overtime pay is included in the compensation </w:t>
      </w:r>
      <w:r w:rsidR="009D5E4A" w:rsidRPr="00BF20CF">
        <w:rPr>
          <w:rFonts w:ascii="Arial" w:hAnsi="Arial" w:cs="Arial"/>
          <w:bCs/>
        </w:rPr>
        <w:t xml:space="preserve">benchmarking </w:t>
      </w:r>
      <w:r w:rsidRPr="00BF20CF">
        <w:rPr>
          <w:rFonts w:ascii="Arial" w:hAnsi="Arial" w:cs="Arial"/>
          <w:bCs/>
        </w:rPr>
        <w:t>review.</w:t>
      </w:r>
    </w:p>
    <w:p w14:paraId="73611A1C"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62D8F077" w14:textId="5E0C7363" w:rsidR="00106929" w:rsidRPr="00BF20CF" w:rsidRDefault="00106929" w:rsidP="00876E97">
      <w:pPr>
        <w:pStyle w:val="ListParagraph"/>
        <w:numPr>
          <w:ilvl w:val="0"/>
          <w:numId w:val="36"/>
        </w:numPr>
        <w:autoSpaceDE w:val="0"/>
        <w:autoSpaceDN w:val="0"/>
        <w:adjustRightInd w:val="0"/>
        <w:spacing w:before="240" w:after="120" w:line="276" w:lineRule="auto"/>
        <w:rPr>
          <w:rFonts w:ascii="Arial" w:hAnsi="Arial" w:cs="Arial"/>
          <w:bCs/>
        </w:rPr>
      </w:pPr>
      <w:r w:rsidRPr="00BF20CF">
        <w:rPr>
          <w:rFonts w:ascii="Arial" w:hAnsi="Arial" w:cs="Arial"/>
          <w:bCs/>
        </w:rPr>
        <w:t xml:space="preserve">Mercer’s study defines the “competitiveness” of salaries and total cash compensation as falling within +/-10% of the median job rate for each market and industry comparator. Please discuss how Hydro Ottawa interpret the results of the study given that </w:t>
      </w:r>
      <w:r w:rsidR="004F5757" w:rsidRPr="00BF20CF">
        <w:rPr>
          <w:rFonts w:ascii="Arial" w:hAnsi="Arial" w:cs="Arial"/>
          <w:bCs/>
        </w:rPr>
        <w:t>six</w:t>
      </w:r>
      <w:r w:rsidRPr="00BF20CF">
        <w:rPr>
          <w:rFonts w:ascii="Arial" w:hAnsi="Arial" w:cs="Arial"/>
          <w:bCs/>
        </w:rPr>
        <w:t xml:space="preserve"> of the total 15 positions are more than 10% above the P50 of the market’s target total cash compensation.</w:t>
      </w:r>
    </w:p>
    <w:p w14:paraId="173C9F1D" w14:textId="152DA2AF" w:rsidR="00AF7D20" w:rsidRPr="00BF20CF" w:rsidRDefault="00AF7D20" w:rsidP="003041BF">
      <w:pPr>
        <w:autoSpaceDE w:val="0"/>
        <w:autoSpaceDN w:val="0"/>
        <w:adjustRightInd w:val="0"/>
        <w:spacing w:before="240" w:after="120" w:line="276" w:lineRule="auto"/>
        <w:rPr>
          <w:rFonts w:ascii="Arial" w:hAnsi="Arial" w:cs="Arial"/>
          <w:b/>
          <w:bCs/>
        </w:rPr>
      </w:pPr>
      <w:r w:rsidRPr="00BF20CF">
        <w:rPr>
          <w:rFonts w:ascii="Arial" w:hAnsi="Arial" w:cs="Arial"/>
          <w:b/>
          <w:bCs/>
        </w:rPr>
        <w:t>Electric Vehicle Initiatives</w:t>
      </w:r>
    </w:p>
    <w:p w14:paraId="3BAD6619" w14:textId="07F08D45" w:rsidR="00FF4F63" w:rsidRPr="00BF20CF" w:rsidRDefault="00FF4F63" w:rsidP="003041BF">
      <w:pPr>
        <w:autoSpaceDE w:val="0"/>
        <w:autoSpaceDN w:val="0"/>
        <w:adjustRightInd w:val="0"/>
        <w:spacing w:before="240" w:line="276" w:lineRule="auto"/>
        <w:rPr>
          <w:rFonts w:ascii="Arial" w:hAnsi="Arial" w:cs="Arial"/>
          <w:b/>
        </w:rPr>
      </w:pPr>
      <w:r w:rsidRPr="00BF20CF">
        <w:rPr>
          <w:rFonts w:ascii="Arial" w:hAnsi="Arial" w:cs="Arial"/>
          <w:b/>
        </w:rPr>
        <w:t>1</w:t>
      </w:r>
      <w:r w:rsidR="00790295" w:rsidRPr="00BF20CF">
        <w:rPr>
          <w:rFonts w:ascii="Arial" w:hAnsi="Arial" w:cs="Arial"/>
          <w:b/>
        </w:rPr>
        <w:t>-Staff-</w:t>
      </w:r>
      <w:r w:rsidR="008338F5" w:rsidRPr="00BF20CF">
        <w:rPr>
          <w:rFonts w:ascii="Arial" w:hAnsi="Arial" w:cs="Arial"/>
          <w:b/>
        </w:rPr>
        <w:t>5</w:t>
      </w:r>
      <w:r w:rsidR="001C211A" w:rsidRPr="00BF20CF">
        <w:rPr>
          <w:rFonts w:ascii="Arial" w:hAnsi="Arial" w:cs="Arial"/>
          <w:b/>
        </w:rPr>
        <w:t>0</w:t>
      </w:r>
    </w:p>
    <w:p w14:paraId="063291CC" w14:textId="77777777" w:rsidR="00FF4F63" w:rsidRPr="00BF20CF" w:rsidRDefault="00FF4F63" w:rsidP="003041BF">
      <w:pPr>
        <w:rPr>
          <w:rFonts w:ascii="Arial" w:hAnsi="Arial" w:cs="Arial"/>
          <w:b/>
        </w:rPr>
      </w:pPr>
      <w:r w:rsidRPr="00BF20CF">
        <w:rPr>
          <w:rFonts w:ascii="Arial" w:hAnsi="Arial" w:cs="Arial"/>
          <w:b/>
        </w:rPr>
        <w:t>Ref:</w:t>
      </w:r>
      <w:r w:rsidRPr="00BF20CF">
        <w:rPr>
          <w:rFonts w:ascii="Arial" w:hAnsi="Arial" w:cs="Arial"/>
          <w:b/>
        </w:rPr>
        <w:tab/>
        <w:t>Exhibit 1/Tab 1/Schedule 13/pp. 49-50 of 64</w:t>
      </w:r>
    </w:p>
    <w:p w14:paraId="5D0FE1E0" w14:textId="77777777" w:rsidR="00FF4F63" w:rsidRPr="00BF20CF" w:rsidRDefault="00FF4F63"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5593301" w14:textId="77777777" w:rsidR="00FF4F63" w:rsidRPr="00BF20CF" w:rsidRDefault="00FF4F63" w:rsidP="003041BF">
      <w:pPr>
        <w:autoSpaceDE w:val="0"/>
        <w:autoSpaceDN w:val="0"/>
        <w:adjustRightInd w:val="0"/>
        <w:spacing w:before="240" w:after="120" w:line="276" w:lineRule="auto"/>
        <w:rPr>
          <w:rFonts w:ascii="Arial" w:hAnsi="Arial" w:cs="Arial"/>
          <w:bCs/>
        </w:rPr>
      </w:pPr>
      <w:r w:rsidRPr="00BF20CF">
        <w:rPr>
          <w:rFonts w:ascii="Arial" w:hAnsi="Arial" w:cs="Arial"/>
          <w:bCs/>
        </w:rPr>
        <w:t>Hydro Ottawa has undertaken several projects in recent years to promote the use of electric vehicles (EVs) and to enhance the utility’s understanding of the impacts of EVs on the grid.</w:t>
      </w:r>
    </w:p>
    <w:p w14:paraId="0A068508" w14:textId="77777777" w:rsidR="00FF4F63" w:rsidRPr="00BF20CF" w:rsidRDefault="00FF4F63"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72A4B50" w14:textId="77777777" w:rsidR="00FF4F63" w:rsidRPr="00BF20CF" w:rsidRDefault="00FF4F63" w:rsidP="00876E97">
      <w:pPr>
        <w:pStyle w:val="ListParagraph"/>
        <w:numPr>
          <w:ilvl w:val="0"/>
          <w:numId w:val="6"/>
        </w:numPr>
        <w:autoSpaceDE w:val="0"/>
        <w:autoSpaceDN w:val="0"/>
        <w:adjustRightInd w:val="0"/>
        <w:spacing w:before="240" w:after="120" w:line="276" w:lineRule="auto"/>
        <w:rPr>
          <w:rFonts w:ascii="Arial" w:hAnsi="Arial" w:cs="Arial"/>
          <w:bCs/>
        </w:rPr>
      </w:pPr>
      <w:r w:rsidRPr="00BF20CF">
        <w:rPr>
          <w:rFonts w:ascii="Arial" w:hAnsi="Arial" w:cs="Arial"/>
          <w:bCs/>
        </w:rPr>
        <w:t>With respect to the residential EV charging pilot project launched in 2018, please explain:</w:t>
      </w:r>
    </w:p>
    <w:p w14:paraId="6C9819DF" w14:textId="77777777" w:rsidR="00FF4F63" w:rsidRPr="00BF20CF" w:rsidRDefault="00FF4F63" w:rsidP="00876E97">
      <w:pPr>
        <w:pStyle w:val="ListParagraph"/>
        <w:numPr>
          <w:ilvl w:val="0"/>
          <w:numId w:val="23"/>
        </w:numPr>
        <w:autoSpaceDE w:val="0"/>
        <w:autoSpaceDN w:val="0"/>
        <w:adjustRightInd w:val="0"/>
        <w:spacing w:before="240" w:after="120" w:line="276" w:lineRule="auto"/>
        <w:rPr>
          <w:rFonts w:ascii="Arial" w:hAnsi="Arial" w:cs="Arial"/>
          <w:bCs/>
        </w:rPr>
      </w:pPr>
      <w:r w:rsidRPr="00BF20CF">
        <w:rPr>
          <w:rFonts w:ascii="Arial" w:hAnsi="Arial" w:cs="Arial"/>
          <w:bCs/>
        </w:rPr>
        <w:t>Hydro Ottawa’s role/responsibilities in this pilot project</w:t>
      </w:r>
    </w:p>
    <w:p w14:paraId="222569BD" w14:textId="4266F2B0" w:rsidR="00FF4F63" w:rsidRPr="00BF20CF" w:rsidRDefault="00FF4F63" w:rsidP="00876E97">
      <w:pPr>
        <w:pStyle w:val="ListParagraph"/>
        <w:numPr>
          <w:ilvl w:val="0"/>
          <w:numId w:val="23"/>
        </w:numPr>
        <w:autoSpaceDE w:val="0"/>
        <w:autoSpaceDN w:val="0"/>
        <w:adjustRightInd w:val="0"/>
        <w:spacing w:before="240" w:after="120" w:line="276" w:lineRule="auto"/>
        <w:rPr>
          <w:rFonts w:ascii="Arial" w:hAnsi="Arial" w:cs="Arial"/>
          <w:bCs/>
        </w:rPr>
      </w:pPr>
      <w:r w:rsidRPr="00BF20CF">
        <w:rPr>
          <w:rFonts w:ascii="Arial" w:hAnsi="Arial" w:cs="Arial"/>
          <w:bCs/>
        </w:rPr>
        <w:t>Who own the charging stations</w:t>
      </w:r>
    </w:p>
    <w:p w14:paraId="0279237B"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10563687" w14:textId="77777777" w:rsidR="00FF4F63" w:rsidRPr="00BF20CF" w:rsidRDefault="00FF4F63" w:rsidP="00876E97">
      <w:pPr>
        <w:pStyle w:val="ListParagraph"/>
        <w:numPr>
          <w:ilvl w:val="0"/>
          <w:numId w:val="6"/>
        </w:numPr>
        <w:autoSpaceDE w:val="0"/>
        <w:autoSpaceDN w:val="0"/>
        <w:adjustRightInd w:val="0"/>
        <w:spacing w:before="240" w:after="120" w:line="276" w:lineRule="auto"/>
        <w:rPr>
          <w:rFonts w:ascii="Arial" w:hAnsi="Arial" w:cs="Arial"/>
          <w:bCs/>
        </w:rPr>
      </w:pPr>
      <w:r w:rsidRPr="00BF20CF">
        <w:rPr>
          <w:rFonts w:ascii="Arial" w:hAnsi="Arial" w:cs="Arial"/>
          <w:bCs/>
        </w:rPr>
        <w:t>Please specify the impacts of Hydro Ottawa’s EV initiatives on the 2021-2025 Custom IR application, regarding:</w:t>
      </w:r>
    </w:p>
    <w:p w14:paraId="56769BBA" w14:textId="77777777" w:rsidR="00FF4F63" w:rsidRPr="00BF20CF" w:rsidRDefault="00FF4F63" w:rsidP="00876E97">
      <w:pPr>
        <w:pStyle w:val="ListParagraph"/>
        <w:numPr>
          <w:ilvl w:val="0"/>
          <w:numId w:val="24"/>
        </w:numPr>
        <w:autoSpaceDE w:val="0"/>
        <w:autoSpaceDN w:val="0"/>
        <w:adjustRightInd w:val="0"/>
        <w:spacing w:before="240" w:after="120" w:line="276" w:lineRule="auto"/>
        <w:rPr>
          <w:rFonts w:ascii="Arial" w:hAnsi="Arial" w:cs="Arial"/>
          <w:bCs/>
        </w:rPr>
      </w:pPr>
      <w:r w:rsidRPr="00BF20CF">
        <w:rPr>
          <w:rFonts w:ascii="Arial" w:hAnsi="Arial" w:cs="Arial"/>
          <w:bCs/>
        </w:rPr>
        <w:t>2021-2025 load forecast</w:t>
      </w:r>
    </w:p>
    <w:p w14:paraId="37819864" w14:textId="23501B91" w:rsidR="0027348F" w:rsidRPr="00BF20CF" w:rsidRDefault="00FF4F63" w:rsidP="00876E97">
      <w:pPr>
        <w:pStyle w:val="ListParagraph"/>
        <w:numPr>
          <w:ilvl w:val="0"/>
          <w:numId w:val="24"/>
        </w:numPr>
        <w:autoSpaceDE w:val="0"/>
        <w:autoSpaceDN w:val="0"/>
        <w:adjustRightInd w:val="0"/>
        <w:spacing w:before="240" w:after="120" w:line="276" w:lineRule="auto"/>
        <w:rPr>
          <w:rFonts w:ascii="Arial" w:hAnsi="Arial" w:cs="Arial"/>
          <w:bCs/>
        </w:rPr>
      </w:pPr>
      <w:r w:rsidRPr="00BF20CF">
        <w:rPr>
          <w:rFonts w:ascii="Arial" w:hAnsi="Arial" w:cs="Arial"/>
          <w:bCs/>
        </w:rPr>
        <w:t>2021-2025 capital expenditures</w:t>
      </w:r>
    </w:p>
    <w:p w14:paraId="0EB5CCD5" w14:textId="47CE2E84" w:rsidR="009D0A33" w:rsidRPr="00BF20CF" w:rsidRDefault="009D0A33" w:rsidP="003041BF">
      <w:pPr>
        <w:autoSpaceDE w:val="0"/>
        <w:autoSpaceDN w:val="0"/>
        <w:adjustRightInd w:val="0"/>
        <w:spacing w:before="240" w:after="120" w:line="276" w:lineRule="auto"/>
        <w:rPr>
          <w:rFonts w:ascii="Arial" w:hAnsi="Arial" w:cs="Arial"/>
          <w:b/>
          <w:bCs/>
        </w:rPr>
      </w:pPr>
      <w:r w:rsidRPr="00BF20CF">
        <w:rPr>
          <w:rFonts w:ascii="Arial" w:hAnsi="Arial" w:cs="Arial"/>
          <w:b/>
          <w:bCs/>
        </w:rPr>
        <w:lastRenderedPageBreak/>
        <w:t>Custom Performance Scorecard</w:t>
      </w:r>
    </w:p>
    <w:p w14:paraId="6F7FAF77" w14:textId="7EE4D59B" w:rsidR="009D0A33" w:rsidRPr="00BF20CF" w:rsidRDefault="009D0A33" w:rsidP="003041BF">
      <w:pPr>
        <w:autoSpaceDE w:val="0"/>
        <w:autoSpaceDN w:val="0"/>
        <w:adjustRightInd w:val="0"/>
        <w:spacing w:before="240" w:line="276" w:lineRule="auto"/>
        <w:rPr>
          <w:rFonts w:ascii="Arial" w:hAnsi="Arial" w:cs="Arial"/>
          <w:b/>
        </w:rPr>
      </w:pPr>
      <w:r w:rsidRPr="00BF20CF">
        <w:rPr>
          <w:rFonts w:ascii="Arial" w:hAnsi="Arial" w:cs="Arial"/>
          <w:b/>
        </w:rPr>
        <w:t>1</w:t>
      </w:r>
      <w:r w:rsidR="00790295" w:rsidRPr="00BF20CF">
        <w:rPr>
          <w:rFonts w:ascii="Arial" w:hAnsi="Arial" w:cs="Arial"/>
          <w:b/>
        </w:rPr>
        <w:t>-Staff-</w:t>
      </w:r>
      <w:r w:rsidR="008338F5" w:rsidRPr="00BF20CF">
        <w:rPr>
          <w:rFonts w:ascii="Arial" w:hAnsi="Arial" w:cs="Arial"/>
          <w:b/>
        </w:rPr>
        <w:t>5</w:t>
      </w:r>
      <w:r w:rsidR="001C211A" w:rsidRPr="00BF20CF">
        <w:rPr>
          <w:rFonts w:ascii="Arial" w:hAnsi="Arial" w:cs="Arial"/>
          <w:b/>
        </w:rPr>
        <w:t>1</w:t>
      </w:r>
    </w:p>
    <w:p w14:paraId="107B48E4" w14:textId="69CF834B" w:rsidR="009D0A33" w:rsidRPr="00BF20CF" w:rsidRDefault="009D0A33" w:rsidP="003041BF">
      <w:pPr>
        <w:rPr>
          <w:rFonts w:ascii="Arial" w:hAnsi="Arial" w:cs="Arial"/>
          <w:b/>
        </w:rPr>
      </w:pPr>
      <w:r w:rsidRPr="00BF20CF">
        <w:rPr>
          <w:rFonts w:ascii="Arial" w:hAnsi="Arial" w:cs="Arial"/>
          <w:b/>
        </w:rPr>
        <w:t>Ref:</w:t>
      </w:r>
      <w:r w:rsidRPr="00BF20CF">
        <w:rPr>
          <w:rFonts w:ascii="Arial" w:hAnsi="Arial" w:cs="Arial"/>
          <w:b/>
        </w:rPr>
        <w:tab/>
        <w:t>Exhibit 1/Tab 1/Schedule 11/page 5 of 13</w:t>
      </w:r>
    </w:p>
    <w:p w14:paraId="63405337" w14:textId="41689BB2" w:rsidR="009D0A33" w:rsidRPr="00BF20CF" w:rsidRDefault="009D0A33"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6529C0D2" w14:textId="1471E615" w:rsidR="009D0A33" w:rsidRPr="00BF20CF" w:rsidRDefault="009D0A33" w:rsidP="00876E97">
      <w:pPr>
        <w:pStyle w:val="ListParagraph"/>
        <w:numPr>
          <w:ilvl w:val="0"/>
          <w:numId w:val="28"/>
        </w:numPr>
        <w:autoSpaceDE w:val="0"/>
        <w:autoSpaceDN w:val="0"/>
        <w:adjustRightInd w:val="0"/>
        <w:spacing w:before="240" w:after="120" w:line="276" w:lineRule="auto"/>
        <w:rPr>
          <w:rFonts w:ascii="Arial" w:hAnsi="Arial" w:cs="Arial"/>
          <w:bCs/>
        </w:rPr>
      </w:pPr>
      <w:r w:rsidRPr="00BF20CF">
        <w:rPr>
          <w:rFonts w:ascii="Arial" w:hAnsi="Arial" w:cs="Arial"/>
          <w:bCs/>
        </w:rPr>
        <w:t>Please provide the historical data for each of the custom performance measures</w:t>
      </w:r>
      <w:r w:rsidR="00690925" w:rsidRPr="00BF20CF">
        <w:rPr>
          <w:rFonts w:ascii="Arial" w:hAnsi="Arial" w:cs="Arial"/>
          <w:bCs/>
        </w:rPr>
        <w:t xml:space="preserve"> for the 2016-2020 rate period and specify the quantified target for the 2021-2025 rate period.</w:t>
      </w:r>
    </w:p>
    <w:p w14:paraId="70947BB5"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19DEE9D1" w14:textId="70CDB28D" w:rsidR="00690925" w:rsidRPr="00BF20CF" w:rsidRDefault="00690925" w:rsidP="00876E97">
      <w:pPr>
        <w:pStyle w:val="ListParagraph"/>
        <w:numPr>
          <w:ilvl w:val="0"/>
          <w:numId w:val="28"/>
        </w:numPr>
        <w:autoSpaceDE w:val="0"/>
        <w:autoSpaceDN w:val="0"/>
        <w:adjustRightInd w:val="0"/>
        <w:spacing w:before="240" w:after="120" w:line="276" w:lineRule="auto"/>
        <w:rPr>
          <w:rFonts w:ascii="Arial" w:hAnsi="Arial" w:cs="Arial"/>
          <w:bCs/>
        </w:rPr>
      </w:pPr>
      <w:r w:rsidRPr="00BF20CF">
        <w:rPr>
          <w:rFonts w:ascii="Arial" w:hAnsi="Arial" w:cs="Arial"/>
          <w:bCs/>
        </w:rPr>
        <w:t>For all the measures with a target of “Monitor”, please explain how Hydro Ottawa plans to evaluate its performance on these measures.</w:t>
      </w:r>
    </w:p>
    <w:p w14:paraId="1E47ACDB"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1C2DEA45" w14:textId="3E78E96E" w:rsidR="00690925" w:rsidRPr="00BF20CF" w:rsidRDefault="00690925" w:rsidP="00876E97">
      <w:pPr>
        <w:pStyle w:val="ListParagraph"/>
        <w:numPr>
          <w:ilvl w:val="0"/>
          <w:numId w:val="28"/>
        </w:numPr>
        <w:autoSpaceDE w:val="0"/>
        <w:autoSpaceDN w:val="0"/>
        <w:adjustRightInd w:val="0"/>
        <w:spacing w:before="240" w:after="120" w:line="276" w:lineRule="auto"/>
        <w:rPr>
          <w:rFonts w:ascii="Arial" w:hAnsi="Arial" w:cs="Arial"/>
          <w:bCs/>
        </w:rPr>
      </w:pPr>
      <w:r w:rsidRPr="00BF20CF">
        <w:rPr>
          <w:rFonts w:ascii="Arial" w:hAnsi="Arial" w:cs="Arial"/>
          <w:bCs/>
        </w:rPr>
        <w:t>Ple</w:t>
      </w:r>
      <w:r w:rsidR="007C6D66" w:rsidRPr="00BF20CF">
        <w:rPr>
          <w:rFonts w:ascii="Arial" w:hAnsi="Arial" w:cs="Arial"/>
          <w:bCs/>
        </w:rPr>
        <w:t xml:space="preserve">ase identify </w:t>
      </w:r>
      <w:r w:rsidRPr="00BF20CF">
        <w:rPr>
          <w:rFonts w:ascii="Arial" w:hAnsi="Arial" w:cs="Arial"/>
          <w:bCs/>
        </w:rPr>
        <w:t xml:space="preserve">cost effectiveness measures </w:t>
      </w:r>
      <w:r w:rsidR="007C6D66" w:rsidRPr="00BF20CF">
        <w:rPr>
          <w:rFonts w:ascii="Arial" w:hAnsi="Arial" w:cs="Arial"/>
          <w:bCs/>
        </w:rPr>
        <w:t xml:space="preserve">on OM&amp;A </w:t>
      </w:r>
      <w:r w:rsidRPr="00BF20CF">
        <w:rPr>
          <w:rFonts w:ascii="Arial" w:hAnsi="Arial" w:cs="Arial"/>
          <w:bCs/>
        </w:rPr>
        <w:t xml:space="preserve">included in the Custom Performance Scorecard. Please also provide </w:t>
      </w:r>
      <w:r w:rsidR="0091125F" w:rsidRPr="00BF20CF">
        <w:rPr>
          <w:rFonts w:ascii="Arial" w:hAnsi="Arial" w:cs="Arial"/>
          <w:bCs/>
        </w:rPr>
        <w:t>the percentage that these OM&amp;A activities constitute relative to the total OM&amp;A budget for 2021-2025.</w:t>
      </w:r>
    </w:p>
    <w:p w14:paraId="4B42E2B2" w14:textId="5AB6720C" w:rsidR="0091125F" w:rsidRPr="00BF20CF" w:rsidRDefault="0091125F" w:rsidP="00876E97">
      <w:pPr>
        <w:pStyle w:val="ListParagraph"/>
        <w:numPr>
          <w:ilvl w:val="0"/>
          <w:numId w:val="28"/>
        </w:numPr>
        <w:autoSpaceDE w:val="0"/>
        <w:autoSpaceDN w:val="0"/>
        <w:adjustRightInd w:val="0"/>
        <w:spacing w:before="240" w:after="120" w:line="276" w:lineRule="auto"/>
        <w:rPr>
          <w:rFonts w:ascii="Arial" w:hAnsi="Arial" w:cs="Arial"/>
          <w:bCs/>
        </w:rPr>
      </w:pPr>
      <w:r w:rsidRPr="00BF20CF">
        <w:rPr>
          <w:rFonts w:ascii="Arial" w:hAnsi="Arial" w:cs="Arial"/>
          <w:bCs/>
        </w:rPr>
        <w:t xml:space="preserve">Please identify cost effectiveness measures </w:t>
      </w:r>
      <w:r w:rsidR="007C6D66" w:rsidRPr="00BF20CF">
        <w:rPr>
          <w:rFonts w:ascii="Arial" w:hAnsi="Arial" w:cs="Arial"/>
          <w:bCs/>
        </w:rPr>
        <w:t xml:space="preserve">on capital expenditures </w:t>
      </w:r>
      <w:r w:rsidRPr="00BF20CF">
        <w:rPr>
          <w:rFonts w:ascii="Arial" w:hAnsi="Arial" w:cs="Arial"/>
          <w:bCs/>
        </w:rPr>
        <w:t>included in the Custom Performance Scorecard. Please also provide the percentage that these capital activities constitute relative to the total capital expenditures budget for 2021-2025.</w:t>
      </w:r>
    </w:p>
    <w:p w14:paraId="24421A77"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40671806" w14:textId="52987D79" w:rsidR="0091125F" w:rsidRPr="00BF20CF" w:rsidRDefault="0091125F" w:rsidP="00876E97">
      <w:pPr>
        <w:pStyle w:val="ListParagraph"/>
        <w:numPr>
          <w:ilvl w:val="0"/>
          <w:numId w:val="28"/>
        </w:numPr>
        <w:autoSpaceDE w:val="0"/>
        <w:autoSpaceDN w:val="0"/>
        <w:adjustRightInd w:val="0"/>
        <w:spacing w:before="240" w:after="120" w:line="276" w:lineRule="auto"/>
        <w:rPr>
          <w:rFonts w:ascii="Arial" w:hAnsi="Arial" w:cs="Arial"/>
          <w:bCs/>
        </w:rPr>
      </w:pPr>
      <w:r w:rsidRPr="00BF20CF">
        <w:rPr>
          <w:rFonts w:ascii="Arial" w:hAnsi="Arial" w:cs="Arial"/>
          <w:bCs/>
        </w:rPr>
        <w:t>Please clarify whether the “Average Cost per Pole – Pole Test and Inspection” measure included in the Custom Performance Scorecard is defined in the same way as the</w:t>
      </w:r>
      <w:r w:rsidR="00F779CC" w:rsidRPr="00BF20CF">
        <w:rPr>
          <w:rFonts w:ascii="Arial" w:hAnsi="Arial" w:cs="Arial"/>
          <w:bCs/>
        </w:rPr>
        <w:t xml:space="preserve"> “Pole Test and Inspection” measure included in the UMS unit cost benchmarking study.</w:t>
      </w:r>
    </w:p>
    <w:p w14:paraId="2552CAD6" w14:textId="34B18CAF" w:rsidR="002D35EC" w:rsidRPr="00BF20CF" w:rsidRDefault="002D35EC" w:rsidP="003041BF">
      <w:pPr>
        <w:autoSpaceDE w:val="0"/>
        <w:autoSpaceDN w:val="0"/>
        <w:adjustRightInd w:val="0"/>
        <w:spacing w:before="240" w:after="120" w:line="276" w:lineRule="auto"/>
        <w:rPr>
          <w:rFonts w:ascii="Arial" w:hAnsi="Arial" w:cs="Arial"/>
          <w:b/>
          <w:bCs/>
        </w:rPr>
      </w:pPr>
      <w:r w:rsidRPr="00BF20CF">
        <w:rPr>
          <w:rFonts w:ascii="Arial" w:hAnsi="Arial" w:cs="Arial"/>
          <w:b/>
          <w:bCs/>
        </w:rPr>
        <w:t>Corporate Productivity Scorecard</w:t>
      </w:r>
    </w:p>
    <w:p w14:paraId="7E9F8BF4" w14:textId="5A60FACF" w:rsidR="002D35EC" w:rsidRPr="00BF20CF" w:rsidRDefault="002D35EC" w:rsidP="003041BF">
      <w:pPr>
        <w:autoSpaceDE w:val="0"/>
        <w:autoSpaceDN w:val="0"/>
        <w:adjustRightInd w:val="0"/>
        <w:spacing w:before="240" w:line="276" w:lineRule="auto"/>
        <w:rPr>
          <w:rFonts w:ascii="Arial" w:hAnsi="Arial" w:cs="Arial"/>
          <w:b/>
        </w:rPr>
      </w:pPr>
      <w:r w:rsidRPr="00BF20CF">
        <w:rPr>
          <w:rFonts w:ascii="Arial" w:hAnsi="Arial" w:cs="Arial"/>
          <w:b/>
        </w:rPr>
        <w:t>1</w:t>
      </w:r>
      <w:r w:rsidR="008338F5" w:rsidRPr="00BF20CF">
        <w:rPr>
          <w:rFonts w:ascii="Arial" w:hAnsi="Arial" w:cs="Arial"/>
          <w:b/>
        </w:rPr>
        <w:t>-Staff-5</w:t>
      </w:r>
      <w:r w:rsidR="001C211A" w:rsidRPr="00BF20CF">
        <w:rPr>
          <w:rFonts w:ascii="Arial" w:hAnsi="Arial" w:cs="Arial"/>
          <w:b/>
        </w:rPr>
        <w:t>2</w:t>
      </w:r>
    </w:p>
    <w:p w14:paraId="49C90128" w14:textId="7953C05B" w:rsidR="002D35EC" w:rsidRPr="00BF20CF" w:rsidRDefault="002D35EC" w:rsidP="003041BF">
      <w:pPr>
        <w:rPr>
          <w:rFonts w:ascii="Arial" w:hAnsi="Arial" w:cs="Arial"/>
          <w:b/>
        </w:rPr>
      </w:pPr>
      <w:r w:rsidRPr="00BF20CF">
        <w:rPr>
          <w:rFonts w:ascii="Arial" w:hAnsi="Arial" w:cs="Arial"/>
          <w:b/>
        </w:rPr>
        <w:t>Ref:</w:t>
      </w:r>
      <w:r w:rsidRPr="00BF20CF">
        <w:rPr>
          <w:rFonts w:ascii="Arial" w:hAnsi="Arial" w:cs="Arial"/>
          <w:b/>
        </w:rPr>
        <w:tab/>
        <w:t>Exhibit 1/Tab 1/Schedule 13/Attachment A</w:t>
      </w:r>
    </w:p>
    <w:p w14:paraId="1D076DE7" w14:textId="50EEB116" w:rsidR="002D35EC" w:rsidRPr="00BF20CF" w:rsidRDefault="002D35EC" w:rsidP="003041BF">
      <w:pPr>
        <w:ind w:left="720"/>
        <w:rPr>
          <w:rFonts w:ascii="Arial" w:hAnsi="Arial" w:cs="Arial"/>
          <w:b/>
        </w:rPr>
      </w:pPr>
      <w:r w:rsidRPr="00BF20CF">
        <w:rPr>
          <w:rFonts w:ascii="Arial" w:hAnsi="Arial" w:cs="Arial"/>
          <w:b/>
        </w:rPr>
        <w:t>EB-2015-0004/Exhibit D/Tab 1/Schedule 4/Attachment D-1(c)</w:t>
      </w:r>
    </w:p>
    <w:p w14:paraId="72432FC0" w14:textId="77777777" w:rsidR="004B06FD" w:rsidRPr="00BF20CF" w:rsidRDefault="004B06FD"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59A2CB3B" w14:textId="7FE49B52" w:rsidR="002D35EC" w:rsidRPr="00BF20CF" w:rsidRDefault="003E297C" w:rsidP="003041BF">
      <w:pPr>
        <w:autoSpaceDE w:val="0"/>
        <w:autoSpaceDN w:val="0"/>
        <w:adjustRightInd w:val="0"/>
        <w:spacing w:before="240" w:after="120" w:line="276" w:lineRule="auto"/>
        <w:rPr>
          <w:rFonts w:ascii="Arial" w:hAnsi="Arial" w:cs="Arial"/>
          <w:bCs/>
        </w:rPr>
      </w:pPr>
      <w:r w:rsidRPr="00BF20CF">
        <w:rPr>
          <w:rFonts w:ascii="Arial" w:hAnsi="Arial" w:cs="Arial"/>
          <w:bCs/>
        </w:rPr>
        <w:t xml:space="preserve">By comparing the Corporate Productivity Scorecard filed in the 2016-2020 Custom IR application and this Application, OEB staff notes that </w:t>
      </w:r>
      <w:r w:rsidR="009276B5" w:rsidRPr="00BF20CF">
        <w:rPr>
          <w:rFonts w:ascii="Arial" w:hAnsi="Arial" w:cs="Arial"/>
          <w:bCs/>
        </w:rPr>
        <w:t>the following measures are</w:t>
      </w:r>
      <w:r w:rsidR="004B06FD" w:rsidRPr="00BF20CF">
        <w:rPr>
          <w:rFonts w:ascii="Arial" w:hAnsi="Arial" w:cs="Arial"/>
          <w:bCs/>
        </w:rPr>
        <w:t xml:space="preserve"> excluded in this Application:</w:t>
      </w:r>
    </w:p>
    <w:p w14:paraId="5609F060" w14:textId="6117ABC9" w:rsidR="004B06FD" w:rsidRPr="00BF20CF" w:rsidRDefault="004B06FD" w:rsidP="00876E97">
      <w:pPr>
        <w:pStyle w:val="ListParagraph"/>
        <w:numPr>
          <w:ilvl w:val="0"/>
          <w:numId w:val="30"/>
        </w:numPr>
        <w:autoSpaceDE w:val="0"/>
        <w:autoSpaceDN w:val="0"/>
        <w:adjustRightInd w:val="0"/>
        <w:spacing w:before="240" w:after="120" w:line="276" w:lineRule="auto"/>
        <w:rPr>
          <w:rFonts w:ascii="Arial" w:hAnsi="Arial" w:cs="Arial"/>
          <w:bCs/>
        </w:rPr>
      </w:pPr>
      <w:r w:rsidRPr="00BF20CF">
        <w:rPr>
          <w:rFonts w:ascii="Arial" w:hAnsi="Arial" w:cs="Arial"/>
          <w:bCs/>
        </w:rPr>
        <w:t>OM&amp;A Measures</w:t>
      </w:r>
    </w:p>
    <w:p w14:paraId="64261C81" w14:textId="0B42AFB3" w:rsidR="004B06FD" w:rsidRPr="00BF20CF" w:rsidRDefault="004B06FD" w:rsidP="00876E97">
      <w:pPr>
        <w:pStyle w:val="ListParagraph"/>
        <w:numPr>
          <w:ilvl w:val="0"/>
          <w:numId w:val="31"/>
        </w:numPr>
        <w:autoSpaceDE w:val="0"/>
        <w:autoSpaceDN w:val="0"/>
        <w:adjustRightInd w:val="0"/>
        <w:spacing w:before="240" w:after="120" w:line="276" w:lineRule="auto"/>
        <w:rPr>
          <w:rFonts w:ascii="Arial" w:hAnsi="Arial" w:cs="Arial"/>
          <w:bCs/>
        </w:rPr>
      </w:pPr>
      <w:r w:rsidRPr="00BF20CF">
        <w:rPr>
          <w:rFonts w:ascii="Arial" w:hAnsi="Arial" w:cs="Arial"/>
          <w:bCs/>
        </w:rPr>
        <w:t>Cost per Underground Locate</w:t>
      </w:r>
    </w:p>
    <w:p w14:paraId="2B59A927" w14:textId="289ECBB9" w:rsidR="004B06FD" w:rsidRPr="00BF20CF" w:rsidRDefault="004B06FD" w:rsidP="00876E97">
      <w:pPr>
        <w:pStyle w:val="ListParagraph"/>
        <w:numPr>
          <w:ilvl w:val="0"/>
          <w:numId w:val="31"/>
        </w:numPr>
        <w:autoSpaceDE w:val="0"/>
        <w:autoSpaceDN w:val="0"/>
        <w:adjustRightInd w:val="0"/>
        <w:spacing w:before="240" w:after="120" w:line="276" w:lineRule="auto"/>
        <w:rPr>
          <w:rFonts w:ascii="Arial" w:hAnsi="Arial" w:cs="Arial"/>
          <w:bCs/>
        </w:rPr>
      </w:pPr>
      <w:r w:rsidRPr="00BF20CF">
        <w:rPr>
          <w:rFonts w:ascii="Arial" w:hAnsi="Arial" w:cs="Arial"/>
          <w:bCs/>
        </w:rPr>
        <w:lastRenderedPageBreak/>
        <w:t>Vegetation Management</w:t>
      </w:r>
      <w:r w:rsidR="00700B3B" w:rsidRPr="00BF20CF">
        <w:rPr>
          <w:rFonts w:ascii="Arial" w:hAnsi="Arial" w:cs="Arial"/>
          <w:bCs/>
        </w:rPr>
        <w:t xml:space="preserve"> Cost Value Metric</w:t>
      </w:r>
    </w:p>
    <w:p w14:paraId="6EFA36EB" w14:textId="1EEA5706" w:rsidR="00700B3B" w:rsidRPr="00BF20CF" w:rsidRDefault="00700B3B" w:rsidP="00876E97">
      <w:pPr>
        <w:pStyle w:val="ListParagraph"/>
        <w:numPr>
          <w:ilvl w:val="0"/>
          <w:numId w:val="31"/>
        </w:numPr>
        <w:autoSpaceDE w:val="0"/>
        <w:autoSpaceDN w:val="0"/>
        <w:adjustRightInd w:val="0"/>
        <w:spacing w:before="240" w:after="120" w:line="276" w:lineRule="auto"/>
        <w:rPr>
          <w:rFonts w:ascii="Arial" w:hAnsi="Arial" w:cs="Arial"/>
          <w:bCs/>
        </w:rPr>
      </w:pPr>
      <w:r w:rsidRPr="00BF20CF">
        <w:rPr>
          <w:rFonts w:ascii="Arial" w:hAnsi="Arial" w:cs="Arial"/>
          <w:bCs/>
        </w:rPr>
        <w:t>Customer Service Cost Value Metric</w:t>
      </w:r>
    </w:p>
    <w:p w14:paraId="1F1955C7" w14:textId="3C8BD35E" w:rsidR="00700B3B" w:rsidRPr="00BF20CF" w:rsidRDefault="00700B3B" w:rsidP="00876E97">
      <w:pPr>
        <w:pStyle w:val="ListParagraph"/>
        <w:numPr>
          <w:ilvl w:val="0"/>
          <w:numId w:val="30"/>
        </w:numPr>
        <w:autoSpaceDE w:val="0"/>
        <w:autoSpaceDN w:val="0"/>
        <w:adjustRightInd w:val="0"/>
        <w:spacing w:before="240" w:after="120" w:line="276" w:lineRule="auto"/>
        <w:rPr>
          <w:rFonts w:ascii="Arial" w:hAnsi="Arial" w:cs="Arial"/>
          <w:bCs/>
        </w:rPr>
      </w:pPr>
      <w:r w:rsidRPr="00BF20CF">
        <w:rPr>
          <w:rFonts w:ascii="Arial" w:hAnsi="Arial" w:cs="Arial"/>
          <w:bCs/>
        </w:rPr>
        <w:t>Asset Efficiency Measures</w:t>
      </w:r>
    </w:p>
    <w:p w14:paraId="5B38A23A" w14:textId="784C69FA" w:rsidR="00700B3B" w:rsidRPr="00BF20CF" w:rsidRDefault="00700B3B" w:rsidP="00876E97">
      <w:pPr>
        <w:pStyle w:val="ListParagraph"/>
        <w:numPr>
          <w:ilvl w:val="0"/>
          <w:numId w:val="32"/>
        </w:numPr>
        <w:autoSpaceDE w:val="0"/>
        <w:autoSpaceDN w:val="0"/>
        <w:adjustRightInd w:val="0"/>
        <w:spacing w:before="240" w:after="120" w:line="276" w:lineRule="auto"/>
        <w:rPr>
          <w:rFonts w:ascii="Arial" w:hAnsi="Arial" w:cs="Arial"/>
          <w:bCs/>
        </w:rPr>
      </w:pPr>
      <w:r w:rsidRPr="00BF20CF">
        <w:rPr>
          <w:rFonts w:ascii="Arial" w:hAnsi="Arial" w:cs="Arial"/>
          <w:bCs/>
        </w:rPr>
        <w:t>Sustainment Asset Reliability Cost Value Metric</w:t>
      </w:r>
    </w:p>
    <w:p w14:paraId="268A8B51" w14:textId="32DC4C6F" w:rsidR="00700B3B" w:rsidRPr="00BF20CF" w:rsidRDefault="009276B5" w:rsidP="00876E97">
      <w:pPr>
        <w:pStyle w:val="ListParagraph"/>
        <w:numPr>
          <w:ilvl w:val="0"/>
          <w:numId w:val="32"/>
        </w:numPr>
        <w:autoSpaceDE w:val="0"/>
        <w:autoSpaceDN w:val="0"/>
        <w:adjustRightInd w:val="0"/>
        <w:spacing w:before="240" w:after="120" w:line="276" w:lineRule="auto"/>
        <w:rPr>
          <w:rFonts w:ascii="Arial" w:hAnsi="Arial" w:cs="Arial"/>
          <w:bCs/>
        </w:rPr>
      </w:pPr>
      <w:r w:rsidRPr="00BF20CF">
        <w:rPr>
          <w:rFonts w:ascii="Arial" w:hAnsi="Arial" w:cs="Arial"/>
          <w:bCs/>
        </w:rPr>
        <w:t>Cost per metre Conductors extended</w:t>
      </w:r>
    </w:p>
    <w:p w14:paraId="486CFA7E" w14:textId="2CCD868B" w:rsidR="009276B5" w:rsidRPr="00BF20CF" w:rsidRDefault="009276B5" w:rsidP="00876E97">
      <w:pPr>
        <w:pStyle w:val="ListParagraph"/>
        <w:numPr>
          <w:ilvl w:val="0"/>
          <w:numId w:val="32"/>
        </w:numPr>
        <w:autoSpaceDE w:val="0"/>
        <w:autoSpaceDN w:val="0"/>
        <w:adjustRightInd w:val="0"/>
        <w:spacing w:before="240" w:after="120" w:line="276" w:lineRule="auto"/>
        <w:rPr>
          <w:rFonts w:ascii="Arial" w:hAnsi="Arial" w:cs="Arial"/>
          <w:bCs/>
        </w:rPr>
      </w:pPr>
      <w:r w:rsidRPr="00BF20CF">
        <w:rPr>
          <w:rFonts w:ascii="Arial" w:hAnsi="Arial" w:cs="Arial"/>
          <w:bCs/>
        </w:rPr>
        <w:t>Normalized Derecognized Assets net of Proceeds</w:t>
      </w:r>
    </w:p>
    <w:p w14:paraId="63AF4255" w14:textId="7722A442" w:rsidR="009276B5" w:rsidRPr="00BF20CF" w:rsidRDefault="009276B5" w:rsidP="00876E97">
      <w:pPr>
        <w:pStyle w:val="ListParagraph"/>
        <w:numPr>
          <w:ilvl w:val="0"/>
          <w:numId w:val="32"/>
        </w:numPr>
        <w:autoSpaceDE w:val="0"/>
        <w:autoSpaceDN w:val="0"/>
        <w:adjustRightInd w:val="0"/>
        <w:spacing w:before="240" w:after="120" w:line="276" w:lineRule="auto"/>
        <w:rPr>
          <w:rFonts w:ascii="Arial" w:hAnsi="Arial" w:cs="Arial"/>
          <w:bCs/>
        </w:rPr>
      </w:pPr>
      <w:r w:rsidRPr="00BF20CF">
        <w:rPr>
          <w:rFonts w:ascii="Arial" w:hAnsi="Arial" w:cs="Arial"/>
          <w:bCs/>
        </w:rPr>
        <w:t>Generation Plant Availability</w:t>
      </w:r>
    </w:p>
    <w:p w14:paraId="07046467" w14:textId="40E8C89E" w:rsidR="009276B5" w:rsidRPr="00BF20CF" w:rsidRDefault="009276B5" w:rsidP="00876E97">
      <w:pPr>
        <w:pStyle w:val="ListParagraph"/>
        <w:numPr>
          <w:ilvl w:val="0"/>
          <w:numId w:val="30"/>
        </w:numPr>
        <w:autoSpaceDE w:val="0"/>
        <w:autoSpaceDN w:val="0"/>
        <w:adjustRightInd w:val="0"/>
        <w:spacing w:before="240" w:after="120" w:line="276" w:lineRule="auto"/>
        <w:rPr>
          <w:rFonts w:ascii="Arial" w:hAnsi="Arial" w:cs="Arial"/>
          <w:bCs/>
        </w:rPr>
      </w:pPr>
      <w:r w:rsidRPr="00BF20CF">
        <w:rPr>
          <w:rFonts w:ascii="Arial" w:hAnsi="Arial" w:cs="Arial"/>
          <w:bCs/>
        </w:rPr>
        <w:t>Profitability Metrics</w:t>
      </w:r>
    </w:p>
    <w:p w14:paraId="3D6532A6" w14:textId="7A3F44BA" w:rsidR="009276B5" w:rsidRPr="00BF20CF" w:rsidRDefault="009276B5" w:rsidP="00876E97">
      <w:pPr>
        <w:pStyle w:val="ListParagraph"/>
        <w:numPr>
          <w:ilvl w:val="0"/>
          <w:numId w:val="32"/>
        </w:numPr>
        <w:autoSpaceDE w:val="0"/>
        <w:autoSpaceDN w:val="0"/>
        <w:adjustRightInd w:val="0"/>
        <w:spacing w:before="240" w:after="120" w:line="276" w:lineRule="auto"/>
        <w:rPr>
          <w:rFonts w:ascii="Arial" w:hAnsi="Arial" w:cs="Arial"/>
          <w:bCs/>
        </w:rPr>
      </w:pPr>
      <w:r w:rsidRPr="00BF20CF">
        <w:rPr>
          <w:rFonts w:ascii="Arial" w:hAnsi="Arial" w:cs="Arial"/>
          <w:bCs/>
        </w:rPr>
        <w:t>Cost per kWh Generated</w:t>
      </w:r>
    </w:p>
    <w:p w14:paraId="683C878F" w14:textId="44E5E5FD" w:rsidR="00B261BA" w:rsidRPr="00BF20CF" w:rsidRDefault="00B261BA" w:rsidP="00B261BA">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F13DFFF" w14:textId="64D534ED" w:rsidR="009276B5" w:rsidRPr="00BF20CF" w:rsidRDefault="009276B5" w:rsidP="00876E97">
      <w:pPr>
        <w:pStyle w:val="ListParagraph"/>
        <w:numPr>
          <w:ilvl w:val="0"/>
          <w:numId w:val="33"/>
        </w:numPr>
        <w:autoSpaceDE w:val="0"/>
        <w:autoSpaceDN w:val="0"/>
        <w:adjustRightInd w:val="0"/>
        <w:spacing w:before="240" w:after="120" w:line="276" w:lineRule="auto"/>
        <w:rPr>
          <w:rFonts w:ascii="Arial" w:hAnsi="Arial" w:cs="Arial"/>
          <w:bCs/>
        </w:rPr>
      </w:pPr>
      <w:r w:rsidRPr="00BF20CF">
        <w:rPr>
          <w:rFonts w:ascii="Arial" w:hAnsi="Arial" w:cs="Arial"/>
          <w:bCs/>
        </w:rPr>
        <w:t>Please explain why these identified measures are excluded in the Corporate Productivity Scorecard in this Application.</w:t>
      </w:r>
    </w:p>
    <w:p w14:paraId="625C51BF"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595CF824" w14:textId="4487E414" w:rsidR="009276B5" w:rsidRPr="00BF20CF" w:rsidRDefault="009276B5" w:rsidP="00876E97">
      <w:pPr>
        <w:pStyle w:val="ListParagraph"/>
        <w:numPr>
          <w:ilvl w:val="0"/>
          <w:numId w:val="33"/>
        </w:numPr>
        <w:autoSpaceDE w:val="0"/>
        <w:autoSpaceDN w:val="0"/>
        <w:adjustRightInd w:val="0"/>
        <w:spacing w:before="240" w:after="120" w:line="276" w:lineRule="auto"/>
        <w:rPr>
          <w:rFonts w:ascii="Arial" w:hAnsi="Arial" w:cs="Arial"/>
          <w:bCs/>
        </w:rPr>
      </w:pPr>
      <w:r w:rsidRPr="00BF20CF">
        <w:rPr>
          <w:rFonts w:ascii="Arial" w:hAnsi="Arial" w:cs="Arial"/>
          <w:bCs/>
        </w:rPr>
        <w:t>Please provide historical data for these identified measures by year for 2014-2019.</w:t>
      </w:r>
    </w:p>
    <w:p w14:paraId="2C45AC5B" w14:textId="375C8868" w:rsidR="009D0A33" w:rsidRPr="00BF20CF" w:rsidRDefault="009D0A33" w:rsidP="00876E97">
      <w:pPr>
        <w:pStyle w:val="ListParagraph"/>
        <w:numPr>
          <w:ilvl w:val="0"/>
          <w:numId w:val="33"/>
        </w:numPr>
        <w:autoSpaceDE w:val="0"/>
        <w:autoSpaceDN w:val="0"/>
        <w:adjustRightInd w:val="0"/>
        <w:spacing w:before="240" w:after="120" w:line="276" w:lineRule="auto"/>
        <w:rPr>
          <w:rFonts w:ascii="Arial" w:hAnsi="Arial" w:cs="Arial"/>
          <w:bCs/>
        </w:rPr>
      </w:pPr>
      <w:r w:rsidRPr="00BF20CF">
        <w:rPr>
          <w:rFonts w:ascii="Arial" w:hAnsi="Arial" w:cs="Arial"/>
          <w:bCs/>
        </w:rPr>
        <w:t>Please provide Hydro Ottawa’s quantified target for each of the productivity measures for the 2021-2025 rate period.</w:t>
      </w:r>
    </w:p>
    <w:p w14:paraId="73E9D572"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2CEC743E" w14:textId="2AD3E85A" w:rsidR="00962593" w:rsidRPr="00BF20CF" w:rsidRDefault="00962593" w:rsidP="00876E97">
      <w:pPr>
        <w:pStyle w:val="ListParagraph"/>
        <w:numPr>
          <w:ilvl w:val="0"/>
          <w:numId w:val="33"/>
        </w:numPr>
        <w:autoSpaceDE w:val="0"/>
        <w:autoSpaceDN w:val="0"/>
        <w:adjustRightInd w:val="0"/>
        <w:spacing w:before="240" w:after="120" w:line="276" w:lineRule="auto"/>
        <w:rPr>
          <w:rFonts w:ascii="Arial" w:hAnsi="Arial" w:cs="Arial"/>
          <w:bCs/>
        </w:rPr>
      </w:pPr>
      <w:r w:rsidRPr="00BF20CF">
        <w:rPr>
          <w:rFonts w:ascii="Arial" w:hAnsi="Arial" w:cs="Arial"/>
          <w:bCs/>
        </w:rPr>
        <w:t>Please confirm that Hydro Ottawa does not propose to report the Corporate Productivity Scorecard as part of the annual reporting.</w:t>
      </w:r>
    </w:p>
    <w:p w14:paraId="2C93DAFD" w14:textId="5940C858" w:rsidR="00FC6B12" w:rsidRPr="00BF20CF" w:rsidRDefault="00FC6B12" w:rsidP="003041BF">
      <w:pPr>
        <w:autoSpaceDE w:val="0"/>
        <w:autoSpaceDN w:val="0"/>
        <w:adjustRightInd w:val="0"/>
        <w:spacing w:before="240" w:after="120" w:line="276" w:lineRule="auto"/>
        <w:rPr>
          <w:rFonts w:ascii="Arial" w:hAnsi="Arial" w:cs="Arial"/>
          <w:b/>
          <w:bCs/>
        </w:rPr>
      </w:pPr>
      <w:r w:rsidRPr="00BF20CF">
        <w:rPr>
          <w:rFonts w:ascii="Arial" w:hAnsi="Arial" w:cs="Arial"/>
          <w:b/>
          <w:bCs/>
        </w:rPr>
        <w:t>Customer Engagement</w:t>
      </w:r>
    </w:p>
    <w:p w14:paraId="6C9ED87E" w14:textId="72DA669D" w:rsidR="00FF4F63" w:rsidRPr="00BF20CF" w:rsidRDefault="00FF4F63" w:rsidP="003041BF">
      <w:pPr>
        <w:autoSpaceDE w:val="0"/>
        <w:autoSpaceDN w:val="0"/>
        <w:adjustRightInd w:val="0"/>
        <w:spacing w:before="240" w:line="276" w:lineRule="auto"/>
        <w:rPr>
          <w:rFonts w:ascii="Arial" w:hAnsi="Arial" w:cs="Arial"/>
          <w:b/>
        </w:rPr>
      </w:pPr>
      <w:r w:rsidRPr="00BF20CF">
        <w:rPr>
          <w:rFonts w:ascii="Arial" w:hAnsi="Arial" w:cs="Arial"/>
          <w:b/>
        </w:rPr>
        <w:t>1</w:t>
      </w:r>
      <w:r w:rsidR="00790295" w:rsidRPr="00BF20CF">
        <w:rPr>
          <w:rFonts w:ascii="Arial" w:hAnsi="Arial" w:cs="Arial"/>
          <w:b/>
        </w:rPr>
        <w:t>-Staff-</w:t>
      </w:r>
      <w:r w:rsidR="008338F5" w:rsidRPr="00BF20CF">
        <w:rPr>
          <w:rFonts w:ascii="Arial" w:hAnsi="Arial" w:cs="Arial"/>
          <w:b/>
        </w:rPr>
        <w:t>5</w:t>
      </w:r>
      <w:r w:rsidR="001C211A" w:rsidRPr="00BF20CF">
        <w:rPr>
          <w:rFonts w:ascii="Arial" w:hAnsi="Arial" w:cs="Arial"/>
          <w:b/>
        </w:rPr>
        <w:t>3</w:t>
      </w:r>
    </w:p>
    <w:p w14:paraId="24E44A2B" w14:textId="41048958" w:rsidR="00FF4F63" w:rsidRPr="00BF20CF" w:rsidRDefault="00FF4F63" w:rsidP="003041BF">
      <w:pPr>
        <w:rPr>
          <w:rFonts w:ascii="Arial" w:hAnsi="Arial" w:cs="Arial"/>
          <w:b/>
        </w:rPr>
      </w:pPr>
      <w:r w:rsidRPr="00BF20CF">
        <w:rPr>
          <w:rFonts w:ascii="Arial" w:hAnsi="Arial" w:cs="Arial"/>
          <w:b/>
        </w:rPr>
        <w:t>Ref:</w:t>
      </w:r>
      <w:r w:rsidRPr="00BF20CF">
        <w:rPr>
          <w:rFonts w:ascii="Arial" w:hAnsi="Arial" w:cs="Arial"/>
          <w:b/>
        </w:rPr>
        <w:tab/>
        <w:t>Exhibit 1/Tab 2/Schedule 2/Attachment A/</w:t>
      </w:r>
      <w:r w:rsidR="008A0254" w:rsidRPr="00BF20CF">
        <w:rPr>
          <w:rFonts w:ascii="Arial" w:hAnsi="Arial" w:cs="Arial"/>
          <w:b/>
        </w:rPr>
        <w:t>pp. 364-</w:t>
      </w:r>
      <w:r w:rsidR="00FC6B12" w:rsidRPr="00BF20CF">
        <w:rPr>
          <w:rFonts w:ascii="Arial" w:hAnsi="Arial" w:cs="Arial"/>
          <w:b/>
        </w:rPr>
        <w:t>384</w:t>
      </w:r>
      <w:r w:rsidR="000B266B" w:rsidRPr="00BF20CF">
        <w:rPr>
          <w:rFonts w:ascii="Arial" w:hAnsi="Arial" w:cs="Arial"/>
          <w:b/>
        </w:rPr>
        <w:t xml:space="preserve"> of 392</w:t>
      </w:r>
    </w:p>
    <w:p w14:paraId="64FE18C7" w14:textId="628E5370" w:rsidR="00FF4F63" w:rsidRPr="00BF20CF" w:rsidRDefault="00FF4F63"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32B070B" w14:textId="6DA6911A" w:rsidR="000B266B" w:rsidRPr="00BF20CF" w:rsidRDefault="003B1C74" w:rsidP="003041BF">
      <w:pPr>
        <w:autoSpaceDE w:val="0"/>
        <w:autoSpaceDN w:val="0"/>
        <w:adjustRightInd w:val="0"/>
        <w:spacing w:before="240" w:after="120" w:line="276" w:lineRule="auto"/>
        <w:rPr>
          <w:rFonts w:ascii="Arial" w:hAnsi="Arial" w:cs="Arial"/>
          <w:bCs/>
        </w:rPr>
      </w:pPr>
      <w:r w:rsidRPr="00BF20CF">
        <w:rPr>
          <w:rFonts w:ascii="Arial" w:hAnsi="Arial" w:cs="Arial"/>
        </w:rPr>
        <w:t>Hydro Ottawa retained Innovative Research Group Inc. (Innovative) to assist its customer engagement process for this 2021-2025 Custom IR application. The draft plan presented to customers include an estimated five-year operating expenses of $529 million</w:t>
      </w:r>
      <w:r w:rsidR="00863094" w:rsidRPr="00BF20CF">
        <w:rPr>
          <w:rFonts w:ascii="Arial" w:hAnsi="Arial" w:cs="Arial"/>
          <w:bCs/>
        </w:rPr>
        <w:t xml:space="preserve">, which was $35 million higher than the proposed OM&amp;A of $494 million. </w:t>
      </w:r>
      <w:r w:rsidR="000B266B" w:rsidRPr="00BF20CF">
        <w:rPr>
          <w:rFonts w:ascii="Arial" w:hAnsi="Arial" w:cs="Arial"/>
          <w:bCs/>
        </w:rPr>
        <w:t>The draft capital plan presented to customers in the Innovative survey was $517 million</w:t>
      </w:r>
      <w:r w:rsidRPr="00BF20CF">
        <w:rPr>
          <w:rFonts w:ascii="Arial" w:hAnsi="Arial" w:cs="Arial"/>
          <w:bCs/>
        </w:rPr>
        <w:t xml:space="preserve">, which was $13 million higher than the proposed </w:t>
      </w:r>
      <w:r w:rsidR="000B266B" w:rsidRPr="00BF20CF">
        <w:rPr>
          <w:rFonts w:ascii="Arial" w:hAnsi="Arial" w:cs="Arial"/>
          <w:bCs/>
        </w:rPr>
        <w:t>capital expenditures of $504</w:t>
      </w:r>
      <w:r w:rsidRPr="00BF20CF">
        <w:rPr>
          <w:rFonts w:ascii="Arial" w:hAnsi="Arial" w:cs="Arial"/>
          <w:bCs/>
        </w:rPr>
        <w:t xml:space="preserve"> million. </w:t>
      </w:r>
      <w:r w:rsidR="000B266B" w:rsidRPr="00BF20CF">
        <w:rPr>
          <w:rFonts w:ascii="Arial" w:hAnsi="Arial" w:cs="Arial"/>
          <w:bCs/>
        </w:rPr>
        <w:t xml:space="preserve">OEB staff notes the following changes by investment categories </w:t>
      </w:r>
      <w:r w:rsidRPr="00BF20CF">
        <w:rPr>
          <w:rFonts w:ascii="Arial" w:hAnsi="Arial" w:cs="Arial"/>
          <w:bCs/>
        </w:rPr>
        <w:t xml:space="preserve">from the draft </w:t>
      </w:r>
      <w:r w:rsidR="00863094" w:rsidRPr="00BF20CF">
        <w:rPr>
          <w:rFonts w:ascii="Arial" w:hAnsi="Arial" w:cs="Arial"/>
          <w:bCs/>
        </w:rPr>
        <w:t xml:space="preserve">capital </w:t>
      </w:r>
      <w:r w:rsidRPr="00BF20CF">
        <w:rPr>
          <w:rFonts w:ascii="Arial" w:hAnsi="Arial" w:cs="Arial"/>
          <w:bCs/>
        </w:rPr>
        <w:t xml:space="preserve">plan to the proposed plan </w:t>
      </w:r>
      <w:r w:rsidR="000B266B" w:rsidRPr="00BF20CF">
        <w:rPr>
          <w:rFonts w:ascii="Arial" w:hAnsi="Arial" w:cs="Arial"/>
          <w:bCs/>
        </w:rPr>
        <w:t>(no change in System Renewal):</w:t>
      </w:r>
    </w:p>
    <w:p w14:paraId="74B9FEFE" w14:textId="77777777" w:rsidR="000B266B" w:rsidRPr="00BF20CF" w:rsidRDefault="000B266B" w:rsidP="00876E97">
      <w:pPr>
        <w:numPr>
          <w:ilvl w:val="0"/>
          <w:numId w:val="27"/>
        </w:numPr>
        <w:autoSpaceDE w:val="0"/>
        <w:autoSpaceDN w:val="0"/>
        <w:adjustRightInd w:val="0"/>
        <w:spacing w:line="276" w:lineRule="auto"/>
        <w:rPr>
          <w:rFonts w:ascii="Arial" w:hAnsi="Arial" w:cs="Arial"/>
          <w:bCs/>
        </w:rPr>
      </w:pPr>
      <w:r w:rsidRPr="00BF20CF">
        <w:rPr>
          <w:rFonts w:ascii="Arial" w:hAnsi="Arial" w:cs="Arial"/>
          <w:bCs/>
        </w:rPr>
        <w:t>$28 million increase in General Plant from the draft plan to the proposed plan</w:t>
      </w:r>
    </w:p>
    <w:p w14:paraId="1E7859DA" w14:textId="77777777" w:rsidR="000B266B" w:rsidRPr="00BF20CF" w:rsidRDefault="000B266B" w:rsidP="00876E97">
      <w:pPr>
        <w:numPr>
          <w:ilvl w:val="0"/>
          <w:numId w:val="27"/>
        </w:numPr>
        <w:autoSpaceDE w:val="0"/>
        <w:autoSpaceDN w:val="0"/>
        <w:adjustRightInd w:val="0"/>
        <w:spacing w:line="276" w:lineRule="auto"/>
        <w:rPr>
          <w:rFonts w:ascii="Arial" w:hAnsi="Arial" w:cs="Arial"/>
          <w:bCs/>
        </w:rPr>
      </w:pPr>
      <w:r w:rsidRPr="00BF20CF">
        <w:rPr>
          <w:rFonts w:ascii="Arial" w:hAnsi="Arial" w:cs="Arial"/>
          <w:bCs/>
        </w:rPr>
        <w:lastRenderedPageBreak/>
        <w:t>$5 million decrease in System Access from the draft plan to the proposed plan</w:t>
      </w:r>
    </w:p>
    <w:p w14:paraId="0923CDF3" w14:textId="2A55B5F9" w:rsidR="00FF4F63" w:rsidRPr="00BF20CF" w:rsidRDefault="000B266B" w:rsidP="00876E97">
      <w:pPr>
        <w:numPr>
          <w:ilvl w:val="0"/>
          <w:numId w:val="27"/>
        </w:numPr>
        <w:autoSpaceDE w:val="0"/>
        <w:autoSpaceDN w:val="0"/>
        <w:adjustRightInd w:val="0"/>
        <w:spacing w:line="276" w:lineRule="auto"/>
        <w:rPr>
          <w:rFonts w:ascii="Arial" w:hAnsi="Arial" w:cs="Arial"/>
          <w:bCs/>
        </w:rPr>
      </w:pPr>
      <w:r w:rsidRPr="00BF20CF">
        <w:rPr>
          <w:rFonts w:ascii="Arial" w:hAnsi="Arial" w:cs="Arial"/>
          <w:bCs/>
        </w:rPr>
        <w:t>$36 million decrease in System Service from the draft plan to the proposed plan</w:t>
      </w:r>
    </w:p>
    <w:p w14:paraId="4902D4DC" w14:textId="77777777" w:rsidR="00FF4F63" w:rsidRPr="00BF20CF" w:rsidRDefault="00FF4F63"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FE50C70" w14:textId="164A3DCB" w:rsidR="00FF4F63" w:rsidRPr="00BF20CF" w:rsidRDefault="003B1C74" w:rsidP="00876E97">
      <w:pPr>
        <w:pStyle w:val="ListParagraph"/>
        <w:numPr>
          <w:ilvl w:val="0"/>
          <w:numId w:val="34"/>
        </w:numPr>
        <w:autoSpaceDE w:val="0"/>
        <w:autoSpaceDN w:val="0"/>
        <w:adjustRightInd w:val="0"/>
        <w:spacing w:before="240" w:after="120" w:line="276" w:lineRule="auto"/>
        <w:rPr>
          <w:rFonts w:ascii="Arial" w:hAnsi="Arial" w:cs="Arial"/>
          <w:bCs/>
        </w:rPr>
      </w:pPr>
      <w:r w:rsidRPr="00BF20CF">
        <w:rPr>
          <w:rFonts w:ascii="Arial" w:hAnsi="Arial" w:cs="Arial"/>
          <w:bCs/>
        </w:rPr>
        <w:t xml:space="preserve">Please explain how the proposed </w:t>
      </w:r>
      <w:r w:rsidR="009B21D1" w:rsidRPr="00BF20CF">
        <w:rPr>
          <w:rFonts w:ascii="Arial" w:hAnsi="Arial" w:cs="Arial"/>
          <w:bCs/>
        </w:rPr>
        <w:t>plan</w:t>
      </w:r>
      <w:r w:rsidR="00EC468C" w:rsidRPr="00BF20CF">
        <w:rPr>
          <w:rFonts w:ascii="Arial" w:hAnsi="Arial" w:cs="Arial"/>
          <w:bCs/>
        </w:rPr>
        <w:t>s</w:t>
      </w:r>
      <w:r w:rsidR="009B21D1" w:rsidRPr="00BF20CF">
        <w:rPr>
          <w:rFonts w:ascii="Arial" w:hAnsi="Arial" w:cs="Arial"/>
          <w:bCs/>
        </w:rPr>
        <w:t xml:space="preserve"> on capital and OM&amp;A reflect</w:t>
      </w:r>
      <w:r w:rsidRPr="00BF20CF">
        <w:rPr>
          <w:rFonts w:ascii="Arial" w:hAnsi="Arial" w:cs="Arial"/>
          <w:bCs/>
        </w:rPr>
        <w:t xml:space="preserve"> customers’ feedback of the draft plan</w:t>
      </w:r>
      <w:r w:rsidR="00EC468C" w:rsidRPr="00BF20CF">
        <w:rPr>
          <w:rFonts w:ascii="Arial" w:hAnsi="Arial" w:cs="Arial"/>
          <w:bCs/>
        </w:rPr>
        <w:t>s</w:t>
      </w:r>
      <w:r w:rsidRPr="00BF20CF">
        <w:rPr>
          <w:rFonts w:ascii="Arial" w:hAnsi="Arial" w:cs="Arial"/>
          <w:bCs/>
        </w:rPr>
        <w:t xml:space="preserve"> in the survey.</w:t>
      </w:r>
    </w:p>
    <w:p w14:paraId="39315376"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3240B440" w14:textId="64AE86EA" w:rsidR="004F3C7F" w:rsidRPr="00BF20CF" w:rsidRDefault="004F3C7F" w:rsidP="00876E97">
      <w:pPr>
        <w:pStyle w:val="ListParagraph"/>
        <w:numPr>
          <w:ilvl w:val="0"/>
          <w:numId w:val="34"/>
        </w:numPr>
        <w:autoSpaceDE w:val="0"/>
        <w:autoSpaceDN w:val="0"/>
        <w:adjustRightInd w:val="0"/>
        <w:spacing w:before="240" w:after="120" w:line="276" w:lineRule="auto"/>
        <w:rPr>
          <w:rFonts w:ascii="Arial" w:hAnsi="Arial" w:cs="Arial"/>
          <w:bCs/>
        </w:rPr>
      </w:pPr>
      <w:r w:rsidRPr="00BF20CF">
        <w:rPr>
          <w:rFonts w:ascii="Arial" w:hAnsi="Arial" w:cs="Arial"/>
          <w:bCs/>
        </w:rPr>
        <w:t>Please explain on what basis Hydro Ottawa/In</w:t>
      </w:r>
      <w:r w:rsidR="00203BC2" w:rsidRPr="00BF20CF">
        <w:rPr>
          <w:rFonts w:ascii="Arial" w:hAnsi="Arial" w:cs="Arial"/>
          <w:bCs/>
        </w:rPr>
        <w:t>novative determined</w:t>
      </w:r>
      <w:r w:rsidRPr="00BF20CF">
        <w:rPr>
          <w:rFonts w:ascii="Arial" w:hAnsi="Arial" w:cs="Arial"/>
          <w:bCs/>
        </w:rPr>
        <w:t xml:space="preserve"> that the draft plan is a baseline approach that </w:t>
      </w:r>
      <w:r w:rsidR="000717D7" w:rsidRPr="00BF20CF">
        <w:rPr>
          <w:rFonts w:ascii="Arial" w:hAnsi="Arial" w:cs="Arial"/>
          <w:bCs/>
        </w:rPr>
        <w:t>lies between the accelerated approach and the reduced approach.</w:t>
      </w:r>
    </w:p>
    <w:p w14:paraId="167ABAF1"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0E00AE01" w14:textId="1310C015" w:rsidR="00203BC2" w:rsidRPr="00BF20CF" w:rsidRDefault="00203BC2" w:rsidP="00876E97">
      <w:pPr>
        <w:pStyle w:val="ListParagraph"/>
        <w:numPr>
          <w:ilvl w:val="0"/>
          <w:numId w:val="34"/>
        </w:numPr>
        <w:autoSpaceDE w:val="0"/>
        <w:autoSpaceDN w:val="0"/>
        <w:adjustRightInd w:val="0"/>
        <w:spacing w:before="240" w:after="120" w:line="276" w:lineRule="auto"/>
        <w:rPr>
          <w:rFonts w:ascii="Arial" w:hAnsi="Arial" w:cs="Arial"/>
          <w:bCs/>
        </w:rPr>
      </w:pPr>
      <w:r w:rsidRPr="00BF20CF">
        <w:rPr>
          <w:rFonts w:ascii="Arial" w:hAnsi="Arial" w:cs="Arial"/>
          <w:bCs/>
        </w:rPr>
        <w:t>Please explain why three options (</w:t>
      </w:r>
      <w:r w:rsidR="00770298" w:rsidRPr="00BF20CF">
        <w:rPr>
          <w:rFonts w:ascii="Arial" w:hAnsi="Arial" w:cs="Arial"/>
          <w:bCs/>
        </w:rPr>
        <w:t>accelerated approach, included in draft plan, and reduced approach) were designed for investments in the overhead distribution system while four options were designed for investments in the underground distribution system (accelerated approach, enhanced approach, included in draft plan, and reduced approach) and reliability investments (accelerated approach, included in draft plan, limited approach, and reduced approach).</w:t>
      </w:r>
    </w:p>
    <w:p w14:paraId="04A590A4"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76DC35DC" w14:textId="3698AC64" w:rsidR="00FC6B12" w:rsidRPr="00BF20CF" w:rsidRDefault="00FC6B12" w:rsidP="00876E97">
      <w:pPr>
        <w:pStyle w:val="ListParagraph"/>
        <w:numPr>
          <w:ilvl w:val="0"/>
          <w:numId w:val="34"/>
        </w:numPr>
        <w:autoSpaceDE w:val="0"/>
        <w:autoSpaceDN w:val="0"/>
        <w:adjustRightInd w:val="0"/>
        <w:spacing w:before="240" w:after="120" w:line="276" w:lineRule="auto"/>
        <w:rPr>
          <w:rFonts w:ascii="Arial" w:hAnsi="Arial" w:cs="Arial"/>
          <w:bCs/>
        </w:rPr>
      </w:pPr>
      <w:r w:rsidRPr="00BF20CF">
        <w:rPr>
          <w:rFonts w:ascii="Arial" w:hAnsi="Arial" w:cs="Arial"/>
          <w:bCs/>
        </w:rPr>
        <w:t>Please clarify whether Hydro Ottawa/Innovative provided customers with the budgeted capital expenditures for 2021-2025 for the following investment drivers identified under System Service:</w:t>
      </w:r>
    </w:p>
    <w:p w14:paraId="1A1A49A1" w14:textId="0BD82131" w:rsidR="00FC6B12" w:rsidRPr="00BF20CF" w:rsidRDefault="00FC6B12" w:rsidP="00876E97">
      <w:pPr>
        <w:pStyle w:val="ListParagraph"/>
        <w:numPr>
          <w:ilvl w:val="0"/>
          <w:numId w:val="29"/>
        </w:numPr>
        <w:autoSpaceDE w:val="0"/>
        <w:autoSpaceDN w:val="0"/>
        <w:adjustRightInd w:val="0"/>
        <w:spacing w:before="240" w:after="120" w:line="276" w:lineRule="auto"/>
        <w:rPr>
          <w:rFonts w:ascii="Arial" w:hAnsi="Arial" w:cs="Arial"/>
          <w:bCs/>
        </w:rPr>
      </w:pPr>
      <w:r w:rsidRPr="00BF20CF">
        <w:rPr>
          <w:rFonts w:ascii="Arial" w:hAnsi="Arial" w:cs="Arial"/>
          <w:bCs/>
        </w:rPr>
        <w:t>Potential increases in severe weather</w:t>
      </w:r>
    </w:p>
    <w:p w14:paraId="7D7E0FB1" w14:textId="1D1DECAF" w:rsidR="00FC6B12" w:rsidRPr="00BF20CF" w:rsidRDefault="00FC6B12" w:rsidP="00876E97">
      <w:pPr>
        <w:pStyle w:val="ListParagraph"/>
        <w:numPr>
          <w:ilvl w:val="0"/>
          <w:numId w:val="29"/>
        </w:numPr>
        <w:autoSpaceDE w:val="0"/>
        <w:autoSpaceDN w:val="0"/>
        <w:adjustRightInd w:val="0"/>
        <w:spacing w:before="240" w:after="120" w:line="276" w:lineRule="auto"/>
        <w:rPr>
          <w:rFonts w:ascii="Arial" w:hAnsi="Arial" w:cs="Arial"/>
          <w:bCs/>
        </w:rPr>
      </w:pPr>
      <w:r w:rsidRPr="00BF20CF">
        <w:rPr>
          <w:rFonts w:ascii="Arial" w:hAnsi="Arial" w:cs="Arial"/>
          <w:bCs/>
        </w:rPr>
        <w:t>Serving a growing city</w:t>
      </w:r>
    </w:p>
    <w:p w14:paraId="200DBB8F" w14:textId="68F838CD" w:rsidR="00FC6B12" w:rsidRPr="00BF20CF" w:rsidRDefault="00FC6B12" w:rsidP="00876E97">
      <w:pPr>
        <w:pStyle w:val="ListParagraph"/>
        <w:numPr>
          <w:ilvl w:val="0"/>
          <w:numId w:val="29"/>
        </w:numPr>
        <w:autoSpaceDE w:val="0"/>
        <w:autoSpaceDN w:val="0"/>
        <w:adjustRightInd w:val="0"/>
        <w:spacing w:before="240" w:after="120" w:line="276" w:lineRule="auto"/>
        <w:rPr>
          <w:rFonts w:ascii="Arial" w:hAnsi="Arial" w:cs="Arial"/>
          <w:bCs/>
        </w:rPr>
      </w:pPr>
      <w:r w:rsidRPr="00BF20CF">
        <w:rPr>
          <w:rFonts w:ascii="Arial" w:hAnsi="Arial" w:cs="Arial"/>
          <w:bCs/>
        </w:rPr>
        <w:t>Innovation: investing for the future</w:t>
      </w:r>
    </w:p>
    <w:p w14:paraId="15A80FA1" w14:textId="77777777" w:rsidR="00B261BA" w:rsidRPr="00BF20CF" w:rsidRDefault="00B261BA" w:rsidP="00B261BA">
      <w:pPr>
        <w:pStyle w:val="ListParagraph"/>
        <w:autoSpaceDE w:val="0"/>
        <w:autoSpaceDN w:val="0"/>
        <w:adjustRightInd w:val="0"/>
        <w:spacing w:before="240" w:after="120" w:line="276" w:lineRule="auto"/>
        <w:rPr>
          <w:rFonts w:ascii="Arial" w:hAnsi="Arial" w:cs="Arial"/>
          <w:bCs/>
        </w:rPr>
      </w:pPr>
    </w:p>
    <w:p w14:paraId="0CA310B9" w14:textId="20CF5FA7" w:rsidR="00051EFF" w:rsidRPr="00BF20CF" w:rsidRDefault="008A0254" w:rsidP="00876E97">
      <w:pPr>
        <w:pStyle w:val="ListParagraph"/>
        <w:numPr>
          <w:ilvl w:val="0"/>
          <w:numId w:val="34"/>
        </w:numPr>
        <w:autoSpaceDE w:val="0"/>
        <w:autoSpaceDN w:val="0"/>
        <w:adjustRightInd w:val="0"/>
        <w:spacing w:before="240" w:after="120" w:line="276" w:lineRule="auto"/>
        <w:rPr>
          <w:rFonts w:ascii="Arial" w:hAnsi="Arial" w:cs="Arial"/>
          <w:bCs/>
        </w:rPr>
      </w:pPr>
      <w:r w:rsidRPr="00BF20CF">
        <w:rPr>
          <w:rFonts w:ascii="Arial" w:hAnsi="Arial" w:cs="Arial"/>
          <w:bCs/>
        </w:rPr>
        <w:t xml:space="preserve">In the Innovative survey, it was estimated that the distribution portion of the bill will increase an average of 2.5%/3.5% per year for the 2021-2025 period, for the typical residential/small business customer respectively. </w:t>
      </w:r>
      <w:r w:rsidR="008C6157" w:rsidRPr="00BF20CF">
        <w:rPr>
          <w:rFonts w:ascii="Arial" w:hAnsi="Arial" w:cs="Arial"/>
          <w:bCs/>
        </w:rPr>
        <w:t>In Hydro Ottawa’s application (Exhibit 8/Tab 12/Schedule 1/page 2 of 3),</w:t>
      </w:r>
      <w:r w:rsidR="00D669BC" w:rsidRPr="00BF20CF">
        <w:rPr>
          <w:rFonts w:ascii="Arial" w:hAnsi="Arial" w:cs="Arial"/>
          <w:bCs/>
        </w:rPr>
        <w:t xml:space="preserve"> the </w:t>
      </w:r>
      <w:r w:rsidRPr="00BF20CF">
        <w:rPr>
          <w:rFonts w:ascii="Arial" w:hAnsi="Arial" w:cs="Arial"/>
          <w:bCs/>
        </w:rPr>
        <w:t xml:space="preserve">proposed distribution </w:t>
      </w:r>
      <w:r w:rsidR="00D669BC" w:rsidRPr="00BF20CF">
        <w:rPr>
          <w:rFonts w:ascii="Arial" w:hAnsi="Arial" w:cs="Arial"/>
          <w:bCs/>
        </w:rPr>
        <w:t xml:space="preserve">portion of the </w:t>
      </w:r>
      <w:r w:rsidRPr="00BF20CF">
        <w:rPr>
          <w:rFonts w:ascii="Arial" w:hAnsi="Arial" w:cs="Arial"/>
          <w:bCs/>
        </w:rPr>
        <w:t xml:space="preserve">bill </w:t>
      </w:r>
      <w:r w:rsidR="00D669BC" w:rsidRPr="00BF20CF">
        <w:rPr>
          <w:rFonts w:ascii="Arial" w:hAnsi="Arial" w:cs="Arial"/>
          <w:bCs/>
        </w:rPr>
        <w:t>will</w:t>
      </w:r>
      <w:r w:rsidRPr="00BF20CF">
        <w:rPr>
          <w:rFonts w:ascii="Arial" w:hAnsi="Arial" w:cs="Arial"/>
          <w:bCs/>
        </w:rPr>
        <w:t xml:space="preserve"> </w:t>
      </w:r>
      <w:r w:rsidR="00863094" w:rsidRPr="00BF20CF">
        <w:rPr>
          <w:rFonts w:ascii="Arial" w:hAnsi="Arial" w:cs="Arial"/>
          <w:bCs/>
        </w:rPr>
        <w:t xml:space="preserve">increase </w:t>
      </w:r>
      <w:r w:rsidR="00D669BC" w:rsidRPr="00BF20CF">
        <w:rPr>
          <w:rFonts w:ascii="Arial" w:hAnsi="Arial" w:cs="Arial"/>
          <w:bCs/>
        </w:rPr>
        <w:t xml:space="preserve">by an average of </w:t>
      </w:r>
      <w:r w:rsidR="00530FF8" w:rsidRPr="00BF20CF">
        <w:rPr>
          <w:rFonts w:ascii="Arial" w:hAnsi="Arial" w:cs="Arial"/>
          <w:bCs/>
        </w:rPr>
        <w:t>4.44%</w:t>
      </w:r>
      <w:r w:rsidR="00863094" w:rsidRPr="00BF20CF">
        <w:rPr>
          <w:rFonts w:ascii="Arial" w:hAnsi="Arial" w:cs="Arial"/>
          <w:bCs/>
        </w:rPr>
        <w:t>/4.45%</w:t>
      </w:r>
      <w:r w:rsidR="00530FF8" w:rsidRPr="00BF20CF">
        <w:rPr>
          <w:rFonts w:ascii="Arial" w:hAnsi="Arial" w:cs="Arial"/>
          <w:bCs/>
        </w:rPr>
        <w:t xml:space="preserve"> for the typical residential</w:t>
      </w:r>
      <w:r w:rsidR="00E158FF" w:rsidRPr="00BF20CF">
        <w:rPr>
          <w:rFonts w:ascii="Arial" w:hAnsi="Arial" w:cs="Arial"/>
          <w:bCs/>
        </w:rPr>
        <w:t>/</w:t>
      </w:r>
      <w:r w:rsidR="00530FF8" w:rsidRPr="00BF20CF">
        <w:rPr>
          <w:rFonts w:ascii="Arial" w:hAnsi="Arial" w:cs="Arial"/>
          <w:bCs/>
        </w:rPr>
        <w:t xml:space="preserve">general service &lt;50 </w:t>
      </w:r>
      <w:r w:rsidR="00863094" w:rsidRPr="00BF20CF">
        <w:rPr>
          <w:rFonts w:ascii="Arial" w:hAnsi="Arial" w:cs="Arial"/>
          <w:bCs/>
        </w:rPr>
        <w:t>kW customer respectively</w:t>
      </w:r>
      <w:r w:rsidR="00512431" w:rsidRPr="00BF20CF">
        <w:rPr>
          <w:rFonts w:ascii="Arial" w:hAnsi="Arial" w:cs="Arial"/>
          <w:bCs/>
        </w:rPr>
        <w:t xml:space="preserve"> for 2021-2025</w:t>
      </w:r>
      <w:r w:rsidR="00530FF8" w:rsidRPr="00BF20CF">
        <w:rPr>
          <w:rFonts w:ascii="Arial" w:hAnsi="Arial" w:cs="Arial"/>
          <w:bCs/>
        </w:rPr>
        <w:t>. Please explain why the distribution bill impacts based on the proposed plan are higher than the impacts based on the draft plan given that the proposed plan consists of lower budget</w:t>
      </w:r>
      <w:r w:rsidR="004F5757" w:rsidRPr="00BF20CF">
        <w:rPr>
          <w:rFonts w:ascii="Arial" w:hAnsi="Arial" w:cs="Arial"/>
          <w:bCs/>
        </w:rPr>
        <w:t>s for</w:t>
      </w:r>
      <w:r w:rsidR="00530FF8" w:rsidRPr="00BF20CF">
        <w:rPr>
          <w:rFonts w:ascii="Arial" w:hAnsi="Arial" w:cs="Arial"/>
          <w:bCs/>
        </w:rPr>
        <w:t xml:space="preserve"> both OM&amp;A and capital.</w:t>
      </w:r>
    </w:p>
    <w:p w14:paraId="7691D79F" w14:textId="77777777" w:rsidR="00790295" w:rsidRPr="00BF20CF" w:rsidRDefault="00790295" w:rsidP="00790295">
      <w:pPr>
        <w:autoSpaceDE w:val="0"/>
        <w:autoSpaceDN w:val="0"/>
        <w:adjustRightInd w:val="0"/>
        <w:spacing w:line="276" w:lineRule="auto"/>
        <w:rPr>
          <w:rFonts w:ascii="Arial" w:hAnsi="Arial" w:cs="Arial"/>
          <w:b/>
        </w:rPr>
      </w:pPr>
    </w:p>
    <w:p w14:paraId="3C6DFCA0" w14:textId="3111341A" w:rsidR="00790295" w:rsidRPr="00BF20CF" w:rsidRDefault="00790295" w:rsidP="00790295">
      <w:pPr>
        <w:autoSpaceDE w:val="0"/>
        <w:autoSpaceDN w:val="0"/>
        <w:adjustRightInd w:val="0"/>
        <w:spacing w:line="276" w:lineRule="auto"/>
        <w:rPr>
          <w:rFonts w:ascii="Arial" w:hAnsi="Arial" w:cs="Arial"/>
          <w:b/>
        </w:rPr>
      </w:pPr>
      <w:r w:rsidRPr="00BF20CF">
        <w:rPr>
          <w:rFonts w:ascii="Arial" w:hAnsi="Arial" w:cs="Arial"/>
          <w:b/>
        </w:rPr>
        <w:lastRenderedPageBreak/>
        <w:t>1</w:t>
      </w:r>
      <w:r w:rsidR="008338F5" w:rsidRPr="00BF20CF">
        <w:rPr>
          <w:rFonts w:ascii="Arial" w:hAnsi="Arial" w:cs="Arial"/>
          <w:b/>
        </w:rPr>
        <w:t>-Staff-5</w:t>
      </w:r>
      <w:r w:rsidR="001C211A" w:rsidRPr="00BF20CF">
        <w:rPr>
          <w:rFonts w:ascii="Arial" w:hAnsi="Arial" w:cs="Arial"/>
          <w:b/>
        </w:rPr>
        <w:t>4</w:t>
      </w:r>
    </w:p>
    <w:p w14:paraId="62816BCD" w14:textId="77777777" w:rsidR="00790295" w:rsidRPr="00BF20CF" w:rsidRDefault="00790295" w:rsidP="00790295">
      <w:pPr>
        <w:autoSpaceDE w:val="0"/>
        <w:autoSpaceDN w:val="0"/>
        <w:adjustRightInd w:val="0"/>
        <w:spacing w:line="276" w:lineRule="auto"/>
        <w:rPr>
          <w:rFonts w:ascii="Arial" w:hAnsi="Arial" w:cs="Arial"/>
          <w:b/>
        </w:rPr>
      </w:pPr>
      <w:r w:rsidRPr="00BF20CF">
        <w:rPr>
          <w:rFonts w:ascii="Arial" w:hAnsi="Arial" w:cs="Arial"/>
          <w:b/>
        </w:rPr>
        <w:t>Ref:</w:t>
      </w:r>
      <w:r w:rsidRPr="00BF20CF">
        <w:rPr>
          <w:rFonts w:ascii="Arial" w:hAnsi="Arial" w:cs="Arial"/>
          <w:b/>
        </w:rPr>
        <w:tab/>
        <w:t>Exhibit 1/Tab 1/Schedule 4/page 8</w:t>
      </w:r>
    </w:p>
    <w:p w14:paraId="5A1FC84F" w14:textId="77777777" w:rsidR="00D56845" w:rsidRPr="00BF20CF" w:rsidRDefault="00D56845" w:rsidP="00D56845">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0546E58" w14:textId="77777777" w:rsidR="00D56845" w:rsidRPr="00BF20CF" w:rsidRDefault="00D56845" w:rsidP="00D56845">
      <w:pPr>
        <w:spacing w:before="240" w:after="120" w:line="276" w:lineRule="auto"/>
        <w:rPr>
          <w:rFonts w:ascii="Arial" w:hAnsi="Arial" w:cs="Arial"/>
        </w:rPr>
      </w:pPr>
      <w:r w:rsidRPr="00BF20CF">
        <w:rPr>
          <w:rFonts w:ascii="Arial" w:hAnsi="Arial" w:cs="Arial"/>
        </w:rPr>
        <w:t>In Hydro Ottawa’s 2019 Decision and Rate Order</w:t>
      </w:r>
      <w:r w:rsidRPr="00BF20CF">
        <w:rPr>
          <w:rStyle w:val="FootnoteReference"/>
          <w:rFonts w:ascii="Arial" w:hAnsi="Arial" w:cs="Arial"/>
        </w:rPr>
        <w:footnoteReference w:id="22"/>
      </w:r>
      <w:r w:rsidRPr="00BF20CF">
        <w:rPr>
          <w:rFonts w:ascii="Arial" w:hAnsi="Arial" w:cs="Arial"/>
        </w:rPr>
        <w:t xml:space="preserve">, OEB instructed Hydro Ottawa to provide an update on the resolution to an industrial conservation initiative (ICI) enrollment matter and report on any necessary adjustments. </w:t>
      </w:r>
    </w:p>
    <w:p w14:paraId="1219F22D" w14:textId="77777777" w:rsidR="00D56845" w:rsidRPr="00BF20CF" w:rsidRDefault="00D56845" w:rsidP="00D56845">
      <w:pPr>
        <w:spacing w:before="240" w:after="120" w:line="276" w:lineRule="auto"/>
        <w:rPr>
          <w:rFonts w:ascii="Arial" w:hAnsi="Arial" w:cs="Arial"/>
        </w:rPr>
      </w:pPr>
      <w:r w:rsidRPr="00BF20CF">
        <w:rPr>
          <w:rFonts w:ascii="Arial" w:hAnsi="Arial" w:cs="Arial"/>
        </w:rPr>
        <w:t>In Hydro Ottawa’s 2020 Decision and Rate Order</w:t>
      </w:r>
      <w:r w:rsidRPr="00BF20CF">
        <w:rPr>
          <w:rStyle w:val="FootnoteReference"/>
          <w:rFonts w:ascii="Arial" w:hAnsi="Arial" w:cs="Arial"/>
        </w:rPr>
        <w:t xml:space="preserve"> </w:t>
      </w:r>
      <w:r w:rsidRPr="00BF20CF">
        <w:rPr>
          <w:rStyle w:val="FootnoteReference"/>
          <w:rFonts w:ascii="Arial" w:hAnsi="Arial" w:cs="Arial"/>
        </w:rPr>
        <w:footnoteReference w:id="23"/>
      </w:r>
      <w:r w:rsidRPr="00BF20CF">
        <w:rPr>
          <w:rFonts w:ascii="Arial" w:hAnsi="Arial" w:cs="Arial"/>
        </w:rPr>
        <w:t xml:space="preserve">, OEB approved the disposition of Group 1 accounts as of December 31 2018 on a final basis. OEB stated its expectation that Hydro Ottawa will submit details of any resolution to the ICI enrollment matter and propose an appropriate adjustment, if necessary, for the one-time adjustments for its 2017 Class A/B transition customers, the balance and rate rider associated with its Class B GA Variance Account, and any other matters that may need to be addressed. </w:t>
      </w:r>
    </w:p>
    <w:p w14:paraId="086C5169" w14:textId="77777777" w:rsidR="00D56845" w:rsidRPr="00BF20CF" w:rsidRDefault="00D56845" w:rsidP="00D56845">
      <w:pPr>
        <w:spacing w:before="240" w:after="120" w:line="276" w:lineRule="auto"/>
        <w:rPr>
          <w:rFonts w:ascii="Arial" w:hAnsi="Arial" w:cs="Arial"/>
        </w:rPr>
      </w:pPr>
      <w:r w:rsidRPr="00BF20CF">
        <w:rPr>
          <w:rFonts w:ascii="Arial" w:hAnsi="Arial" w:cs="Arial"/>
        </w:rPr>
        <w:t xml:space="preserve">In the current application, Hydro Ottawa stated that it is not requesting any adjustments at this time. </w:t>
      </w:r>
    </w:p>
    <w:p w14:paraId="3E7BF14D" w14:textId="6B5B4C53" w:rsidR="00D56845" w:rsidRPr="00BF20CF" w:rsidRDefault="00D56845" w:rsidP="00D56845">
      <w:pPr>
        <w:spacing w:before="240" w:after="120" w:line="276" w:lineRule="auto"/>
        <w:rPr>
          <w:rFonts w:ascii="Arial" w:hAnsi="Arial" w:cs="Arial"/>
          <w:b/>
        </w:rPr>
      </w:pPr>
      <w:r w:rsidRPr="00BF20CF">
        <w:rPr>
          <w:rFonts w:ascii="Arial" w:hAnsi="Arial" w:cs="Arial"/>
        </w:rPr>
        <w:t xml:space="preserve">Question(s): </w:t>
      </w:r>
    </w:p>
    <w:p w14:paraId="33E4EDBE" w14:textId="3D7EBED5" w:rsidR="00D56845" w:rsidRPr="00BF20CF" w:rsidRDefault="00D56845" w:rsidP="00DA686D">
      <w:pPr>
        <w:pStyle w:val="ListParagraph"/>
        <w:numPr>
          <w:ilvl w:val="0"/>
          <w:numId w:val="222"/>
        </w:numPr>
        <w:spacing w:before="240" w:after="120" w:line="276" w:lineRule="auto"/>
        <w:rPr>
          <w:rFonts w:ascii="Arial" w:hAnsi="Arial" w:cs="Arial"/>
        </w:rPr>
      </w:pPr>
      <w:r w:rsidRPr="00BF20CF">
        <w:rPr>
          <w:rFonts w:ascii="Arial" w:hAnsi="Arial" w:cs="Arial"/>
        </w:rPr>
        <w:t>What is the current status on the resolution of this issue?</w:t>
      </w:r>
    </w:p>
    <w:p w14:paraId="426BBC3C" w14:textId="77777777" w:rsidR="00B261BA" w:rsidRPr="00BF20CF" w:rsidRDefault="00B261BA" w:rsidP="00B261BA">
      <w:pPr>
        <w:pStyle w:val="ListParagraph"/>
        <w:spacing w:before="240" w:after="120" w:line="276" w:lineRule="auto"/>
        <w:rPr>
          <w:rFonts w:ascii="Arial" w:hAnsi="Arial" w:cs="Arial"/>
        </w:rPr>
      </w:pPr>
    </w:p>
    <w:p w14:paraId="70815289" w14:textId="77777777" w:rsidR="00D56845" w:rsidRPr="00BF20CF" w:rsidRDefault="00D56845" w:rsidP="00DA686D">
      <w:pPr>
        <w:pStyle w:val="ListParagraph"/>
        <w:numPr>
          <w:ilvl w:val="0"/>
          <w:numId w:val="222"/>
        </w:numPr>
        <w:spacing w:before="240" w:after="120" w:line="276" w:lineRule="auto"/>
        <w:rPr>
          <w:rFonts w:ascii="Arial" w:hAnsi="Arial" w:cs="Arial"/>
        </w:rPr>
      </w:pPr>
      <w:r w:rsidRPr="00BF20CF">
        <w:rPr>
          <w:rFonts w:ascii="Arial" w:hAnsi="Arial" w:cs="Arial"/>
        </w:rPr>
        <w:t xml:space="preserve">What Hydro Ottawa plans to do to address the ICI enrollment matter? </w:t>
      </w:r>
    </w:p>
    <w:p w14:paraId="59955AD2" w14:textId="77777777" w:rsidR="00790295" w:rsidRPr="00BF20CF" w:rsidRDefault="00790295" w:rsidP="00F25870">
      <w:pPr>
        <w:spacing w:before="240" w:after="160" w:line="259" w:lineRule="auto"/>
        <w:ind w:left="720"/>
        <w:contextualSpacing/>
        <w:rPr>
          <w:rFonts w:ascii="Arial" w:eastAsia="Calibri" w:hAnsi="Arial" w:cs="Arial"/>
        </w:rPr>
      </w:pPr>
    </w:p>
    <w:p w14:paraId="51CA0B65" w14:textId="34DCF5A0" w:rsidR="00790295" w:rsidRPr="00BF20CF" w:rsidRDefault="00790295" w:rsidP="00790295">
      <w:pPr>
        <w:autoSpaceDE w:val="0"/>
        <w:autoSpaceDN w:val="0"/>
        <w:adjustRightInd w:val="0"/>
        <w:spacing w:line="276" w:lineRule="auto"/>
        <w:rPr>
          <w:rFonts w:ascii="Arial" w:hAnsi="Arial" w:cs="Arial"/>
          <w:b/>
        </w:rPr>
      </w:pPr>
      <w:r w:rsidRPr="00BF20CF">
        <w:rPr>
          <w:rFonts w:ascii="Arial" w:hAnsi="Arial" w:cs="Arial"/>
          <w:b/>
        </w:rPr>
        <w:t>1</w:t>
      </w:r>
      <w:r w:rsidR="008338F5" w:rsidRPr="00BF20CF">
        <w:rPr>
          <w:rFonts w:ascii="Arial" w:hAnsi="Arial" w:cs="Arial"/>
          <w:b/>
        </w:rPr>
        <w:t>-Staff-5</w:t>
      </w:r>
      <w:r w:rsidR="001C211A" w:rsidRPr="00BF20CF">
        <w:rPr>
          <w:rFonts w:ascii="Arial" w:hAnsi="Arial" w:cs="Arial"/>
          <w:b/>
        </w:rPr>
        <w:t>5</w:t>
      </w:r>
    </w:p>
    <w:p w14:paraId="4F240B1D" w14:textId="77777777" w:rsidR="00790295" w:rsidRPr="00BF20CF" w:rsidRDefault="00790295" w:rsidP="00790295">
      <w:pPr>
        <w:autoSpaceDE w:val="0"/>
        <w:autoSpaceDN w:val="0"/>
        <w:adjustRightInd w:val="0"/>
        <w:spacing w:line="276" w:lineRule="auto"/>
        <w:rPr>
          <w:rFonts w:ascii="Arial" w:hAnsi="Arial" w:cs="Arial"/>
          <w:b/>
        </w:rPr>
      </w:pPr>
      <w:r w:rsidRPr="00BF20CF">
        <w:rPr>
          <w:rFonts w:ascii="Arial" w:hAnsi="Arial" w:cs="Arial"/>
          <w:b/>
        </w:rPr>
        <w:t>Ref:  Exhibit 1/Tab 3/Schedule 10/page 2</w:t>
      </w:r>
    </w:p>
    <w:p w14:paraId="6A80E022" w14:textId="77777777" w:rsidR="00D56845" w:rsidRPr="00BF20CF" w:rsidRDefault="00D56845" w:rsidP="00D56845">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D237149" w14:textId="6CCE88B0" w:rsidR="00D56845" w:rsidRPr="00BF20CF" w:rsidRDefault="00D56845" w:rsidP="00D56845">
      <w:pPr>
        <w:spacing w:before="240"/>
        <w:rPr>
          <w:rFonts w:ascii="Arial" w:hAnsi="Arial" w:cs="Arial"/>
        </w:rPr>
      </w:pPr>
      <w:r w:rsidRPr="00BF20CF">
        <w:rPr>
          <w:rFonts w:ascii="Arial" w:hAnsi="Arial" w:cs="Arial"/>
        </w:rPr>
        <w:t xml:space="preserve">Hydro Ottawa adopted IFRS 16 Leases on January 1, 2019. The adoption of IFRS 16 did not result in any right-of-use assets being recognized as at January 1, 2019. However, Hydro Ottawa proposes to include the cost of any future right-of-use assets related to leases as part of rate base. </w:t>
      </w:r>
    </w:p>
    <w:p w14:paraId="6FABC09B" w14:textId="77777777" w:rsidR="00AE6FBB" w:rsidRPr="00BF20CF" w:rsidRDefault="00AE6FBB" w:rsidP="00D56845">
      <w:pPr>
        <w:spacing w:before="240"/>
        <w:rPr>
          <w:rFonts w:ascii="Arial" w:hAnsi="Arial" w:cs="Arial"/>
        </w:rPr>
      </w:pPr>
      <w:r w:rsidRPr="00BF20CF">
        <w:rPr>
          <w:rFonts w:ascii="Arial" w:hAnsi="Arial" w:cs="Arial"/>
        </w:rPr>
        <w:br w:type="page"/>
      </w:r>
    </w:p>
    <w:p w14:paraId="03BDDDCE" w14:textId="54A8ED7D" w:rsidR="00D56845" w:rsidRPr="00BF20CF" w:rsidRDefault="00D56845" w:rsidP="00D56845">
      <w:pPr>
        <w:spacing w:before="240"/>
        <w:rPr>
          <w:rFonts w:ascii="Arial" w:hAnsi="Arial" w:cs="Arial"/>
          <w:b/>
        </w:rPr>
      </w:pPr>
      <w:r w:rsidRPr="00BF20CF">
        <w:rPr>
          <w:rFonts w:ascii="Arial" w:hAnsi="Arial" w:cs="Arial"/>
        </w:rPr>
        <w:lastRenderedPageBreak/>
        <w:t xml:space="preserve">Question(s): </w:t>
      </w:r>
    </w:p>
    <w:p w14:paraId="7099D24B" w14:textId="0F58E035" w:rsidR="00790295" w:rsidRPr="00BF20CF" w:rsidRDefault="00D56845" w:rsidP="00D56845">
      <w:pPr>
        <w:pStyle w:val="ListParagraph"/>
        <w:numPr>
          <w:ilvl w:val="0"/>
          <w:numId w:val="82"/>
        </w:numPr>
        <w:spacing w:before="240" w:after="160" w:line="259" w:lineRule="auto"/>
        <w:rPr>
          <w:rFonts w:ascii="Arial" w:hAnsi="Arial" w:cs="Arial"/>
        </w:rPr>
      </w:pPr>
      <w:r w:rsidRPr="00BF20CF">
        <w:rPr>
          <w:rFonts w:ascii="Arial" w:hAnsi="Arial" w:cs="Arial"/>
        </w:rPr>
        <w:t>Please explain what new lease agreements Hydro Ottawa expects to enter during the period of 2021 to 2025 and identify the right-of-use assets and the balances that have been included in the rate base.</w:t>
      </w:r>
    </w:p>
    <w:p w14:paraId="3413EFD7" w14:textId="77777777" w:rsidR="00790295" w:rsidRPr="00BF20CF" w:rsidRDefault="00790295" w:rsidP="00790295">
      <w:pPr>
        <w:spacing w:before="240" w:after="160" w:line="259" w:lineRule="auto"/>
        <w:ind w:left="720"/>
        <w:contextualSpacing/>
        <w:rPr>
          <w:rFonts w:ascii="Arial" w:eastAsia="Calibri" w:hAnsi="Arial" w:cs="Arial"/>
        </w:rPr>
      </w:pPr>
    </w:p>
    <w:p w14:paraId="709992D7" w14:textId="4F55279E" w:rsidR="00F25870" w:rsidRPr="00BF20CF" w:rsidRDefault="00F25870" w:rsidP="003041BF">
      <w:pPr>
        <w:autoSpaceDE w:val="0"/>
        <w:autoSpaceDN w:val="0"/>
        <w:adjustRightInd w:val="0"/>
        <w:spacing w:before="240" w:line="276" w:lineRule="auto"/>
        <w:rPr>
          <w:rFonts w:ascii="Arial" w:hAnsi="Arial" w:cs="Arial"/>
          <w:b/>
        </w:rPr>
      </w:pPr>
      <w:r w:rsidRPr="00BF20CF">
        <w:rPr>
          <w:rFonts w:ascii="Arial" w:hAnsi="Arial" w:cs="Arial"/>
          <w:b/>
        </w:rPr>
        <w:t>Exhibit 2 – Rate Base</w:t>
      </w:r>
    </w:p>
    <w:p w14:paraId="18E5FA95" w14:textId="2BF8531F" w:rsidR="00AF03C9" w:rsidRPr="00BF20CF" w:rsidRDefault="00AF03C9" w:rsidP="003041BF">
      <w:pPr>
        <w:autoSpaceDE w:val="0"/>
        <w:autoSpaceDN w:val="0"/>
        <w:adjustRightInd w:val="0"/>
        <w:spacing w:before="240" w:line="276" w:lineRule="auto"/>
        <w:rPr>
          <w:rFonts w:ascii="Arial" w:hAnsi="Arial" w:cs="Arial"/>
          <w:b/>
        </w:rPr>
      </w:pPr>
      <w:r w:rsidRPr="00BF20CF">
        <w:rPr>
          <w:rFonts w:ascii="Arial" w:hAnsi="Arial" w:cs="Arial"/>
          <w:b/>
        </w:rPr>
        <w:t>Historical Capital Expenditures</w:t>
      </w:r>
    </w:p>
    <w:p w14:paraId="49CAE3DF" w14:textId="78C3D681" w:rsidR="00AF03C9" w:rsidRPr="00BF20CF" w:rsidRDefault="00AF03C9" w:rsidP="003041BF">
      <w:pPr>
        <w:autoSpaceDE w:val="0"/>
        <w:autoSpaceDN w:val="0"/>
        <w:adjustRightInd w:val="0"/>
        <w:spacing w:before="240" w:line="276" w:lineRule="auto"/>
        <w:rPr>
          <w:rFonts w:ascii="Arial" w:hAnsi="Arial" w:cs="Arial"/>
          <w:b/>
        </w:rPr>
      </w:pPr>
      <w:r w:rsidRPr="00BF20CF">
        <w:rPr>
          <w:rFonts w:ascii="Arial" w:hAnsi="Arial" w:cs="Arial"/>
          <w:b/>
        </w:rPr>
        <w:t>2-Staff-</w:t>
      </w:r>
      <w:r w:rsidR="00AE6FBB" w:rsidRPr="00BF20CF">
        <w:rPr>
          <w:rFonts w:ascii="Arial" w:hAnsi="Arial" w:cs="Arial"/>
          <w:b/>
        </w:rPr>
        <w:t>1</w:t>
      </w:r>
    </w:p>
    <w:p w14:paraId="0794AF44" w14:textId="77777777" w:rsidR="00AF03C9" w:rsidRPr="00BF20CF" w:rsidRDefault="00AF03C9" w:rsidP="003041BF">
      <w:pPr>
        <w:rPr>
          <w:rFonts w:ascii="Arial" w:hAnsi="Arial" w:cs="Arial"/>
          <w:b/>
        </w:rPr>
      </w:pPr>
      <w:r w:rsidRPr="00BF20CF">
        <w:rPr>
          <w:rFonts w:ascii="Arial" w:hAnsi="Arial" w:cs="Arial"/>
          <w:b/>
        </w:rPr>
        <w:t>Ref:</w:t>
      </w:r>
      <w:r w:rsidRPr="00BF20CF">
        <w:rPr>
          <w:rFonts w:ascii="Arial" w:hAnsi="Arial" w:cs="Arial"/>
          <w:b/>
        </w:rPr>
        <w:tab/>
        <w:t>Exhibit 2/Tab 4/Schedule 1/pp. 8-13 of 13</w:t>
      </w:r>
    </w:p>
    <w:p w14:paraId="6E148197" w14:textId="16FA41AA" w:rsidR="00AF03C9" w:rsidRPr="00BF20CF" w:rsidRDefault="00AF03C9" w:rsidP="003041BF">
      <w:pPr>
        <w:ind w:left="720"/>
        <w:rPr>
          <w:rFonts w:ascii="Arial" w:hAnsi="Arial" w:cs="Arial"/>
          <w:b/>
        </w:rPr>
      </w:pPr>
      <w:r w:rsidRPr="00BF20CF">
        <w:rPr>
          <w:rFonts w:ascii="Arial" w:hAnsi="Arial" w:cs="Arial"/>
          <w:b/>
        </w:rPr>
        <w:t>Exhibit 2/Tab 4/Schedule 3/</w:t>
      </w:r>
      <w:r w:rsidR="00B93656" w:rsidRPr="00BF20CF">
        <w:rPr>
          <w:rFonts w:ascii="Arial" w:hAnsi="Arial" w:cs="Arial"/>
          <w:b/>
        </w:rPr>
        <w:t>pp. 308</w:t>
      </w:r>
      <w:r w:rsidRPr="00BF20CF">
        <w:rPr>
          <w:rFonts w:ascii="Arial" w:hAnsi="Arial" w:cs="Arial"/>
          <w:b/>
        </w:rPr>
        <w:t>-312 of 374</w:t>
      </w:r>
    </w:p>
    <w:p w14:paraId="23BC7F69" w14:textId="77777777" w:rsidR="00AF03C9" w:rsidRPr="00BF20CF" w:rsidRDefault="00AF03C9" w:rsidP="003041BF">
      <w:pPr>
        <w:ind w:left="720"/>
        <w:rPr>
          <w:rFonts w:ascii="Arial" w:hAnsi="Arial" w:cs="Arial"/>
          <w:b/>
        </w:rPr>
      </w:pPr>
      <w:r w:rsidRPr="00BF20CF">
        <w:rPr>
          <w:rFonts w:ascii="Arial" w:hAnsi="Arial" w:cs="Arial"/>
          <w:b/>
        </w:rPr>
        <w:t>Exhibit 2/Tab 4/Schedule 3/pp. 329-331 of 374</w:t>
      </w:r>
    </w:p>
    <w:p w14:paraId="117094DF" w14:textId="77777777" w:rsidR="00AF03C9" w:rsidRPr="00BF20CF" w:rsidRDefault="00AF03C9"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70BEB8E" w14:textId="79FF1287" w:rsidR="00AF03C9" w:rsidRPr="00BF20CF" w:rsidRDefault="00AF03C9" w:rsidP="003041BF">
      <w:pPr>
        <w:rPr>
          <w:rFonts w:ascii="Arial" w:hAnsi="Arial" w:cs="Arial"/>
        </w:rPr>
      </w:pPr>
      <w:r w:rsidRPr="00BF20CF">
        <w:rPr>
          <w:rFonts w:ascii="Arial" w:hAnsi="Arial" w:cs="Arial"/>
        </w:rPr>
        <w:t>For the 2016-2020 period, Hydro Ottawa is projecting capital additions to exceed the OEB-approved overall envelope by $</w:t>
      </w:r>
      <w:r w:rsidR="00381134" w:rsidRPr="00BF20CF">
        <w:rPr>
          <w:rFonts w:ascii="Arial" w:hAnsi="Arial" w:cs="Arial"/>
        </w:rPr>
        <w:t>70.4</w:t>
      </w:r>
      <w:r w:rsidRPr="00BF20CF">
        <w:rPr>
          <w:rFonts w:ascii="Arial" w:hAnsi="Arial" w:cs="Arial"/>
        </w:rPr>
        <w:t xml:space="preserve"> million. Capital expenditures are set to exceed the OEB-approved budget by $</w:t>
      </w:r>
      <w:r w:rsidR="00B31C9D" w:rsidRPr="00BF20CF">
        <w:rPr>
          <w:rFonts w:ascii="Arial" w:hAnsi="Arial" w:cs="Arial"/>
        </w:rPr>
        <w:t>89.6</w:t>
      </w:r>
      <w:r w:rsidRPr="00BF20CF">
        <w:rPr>
          <w:rFonts w:ascii="Arial" w:hAnsi="Arial" w:cs="Arial"/>
        </w:rPr>
        <w:t xml:space="preserve"> million.</w:t>
      </w:r>
    </w:p>
    <w:p w14:paraId="0F587770" w14:textId="77777777" w:rsidR="00AF03C9" w:rsidRPr="00BF20CF" w:rsidRDefault="00AF03C9"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FEAB6CA" w14:textId="21D6532C" w:rsidR="00AF03C9" w:rsidRPr="00BF20CF" w:rsidRDefault="00AF03C9" w:rsidP="00876E97">
      <w:pPr>
        <w:pStyle w:val="ListParagraph"/>
        <w:numPr>
          <w:ilvl w:val="0"/>
          <w:numId w:val="13"/>
        </w:numPr>
        <w:autoSpaceDE w:val="0"/>
        <w:autoSpaceDN w:val="0"/>
        <w:adjustRightInd w:val="0"/>
        <w:spacing w:before="240" w:after="120" w:line="276" w:lineRule="auto"/>
        <w:rPr>
          <w:rFonts w:ascii="Arial" w:hAnsi="Arial" w:cs="Arial"/>
          <w:bCs/>
        </w:rPr>
      </w:pPr>
      <w:r w:rsidRPr="00BF20CF">
        <w:rPr>
          <w:rFonts w:ascii="Arial" w:hAnsi="Arial" w:cs="Arial"/>
          <w:bCs/>
        </w:rPr>
        <w:t xml:space="preserve">There is a consistent overspending in the Corrective Renewal Program during 2016-2020. </w:t>
      </w:r>
      <w:r w:rsidR="00B93656" w:rsidRPr="00BF20CF">
        <w:rPr>
          <w:rFonts w:ascii="Arial" w:hAnsi="Arial" w:cs="Arial"/>
          <w:bCs/>
        </w:rPr>
        <w:t>Please explain what actions Hydro Ottawa has taken to ensure the actual spending is as close to the forecasted costs as possible.</w:t>
      </w:r>
      <w:r w:rsidRPr="00BF20CF">
        <w:rPr>
          <w:rFonts w:ascii="Arial" w:hAnsi="Arial" w:cs="Arial"/>
          <w:bCs/>
        </w:rPr>
        <w:t xml:space="preserve"> </w:t>
      </w:r>
    </w:p>
    <w:p w14:paraId="364182DF" w14:textId="77777777" w:rsidR="00D619ED" w:rsidRPr="00BF20CF" w:rsidRDefault="00D619ED" w:rsidP="00D619ED">
      <w:pPr>
        <w:pStyle w:val="ListParagraph"/>
        <w:autoSpaceDE w:val="0"/>
        <w:autoSpaceDN w:val="0"/>
        <w:adjustRightInd w:val="0"/>
        <w:spacing w:before="240" w:after="120" w:line="276" w:lineRule="auto"/>
        <w:rPr>
          <w:rFonts w:ascii="Arial" w:hAnsi="Arial" w:cs="Arial"/>
          <w:bCs/>
        </w:rPr>
      </w:pPr>
    </w:p>
    <w:p w14:paraId="7A733893" w14:textId="7419B000" w:rsidR="00AF03C9" w:rsidRPr="00BF20CF" w:rsidRDefault="00AF03C9" w:rsidP="00876E97">
      <w:pPr>
        <w:pStyle w:val="ListParagraph"/>
        <w:numPr>
          <w:ilvl w:val="0"/>
          <w:numId w:val="13"/>
        </w:numPr>
        <w:autoSpaceDE w:val="0"/>
        <w:autoSpaceDN w:val="0"/>
        <w:adjustRightInd w:val="0"/>
        <w:spacing w:before="240" w:after="120" w:line="276" w:lineRule="auto"/>
        <w:rPr>
          <w:rFonts w:ascii="Arial" w:hAnsi="Arial" w:cs="Arial"/>
          <w:bCs/>
        </w:rPr>
      </w:pPr>
      <w:r w:rsidRPr="00BF20CF">
        <w:rPr>
          <w:rFonts w:ascii="Arial" w:hAnsi="Arial" w:cs="Arial"/>
          <w:bCs/>
        </w:rPr>
        <w:t>There is a consistent overspending in the System Exp</w:t>
      </w:r>
      <w:r w:rsidR="00A1624E" w:rsidRPr="00BF20CF">
        <w:rPr>
          <w:rFonts w:ascii="Arial" w:hAnsi="Arial" w:cs="Arial"/>
          <w:bCs/>
        </w:rPr>
        <w:t>ansion program during 2016-2020.</w:t>
      </w:r>
      <w:r w:rsidRPr="00BF20CF">
        <w:rPr>
          <w:rFonts w:ascii="Arial" w:hAnsi="Arial" w:cs="Arial"/>
          <w:bCs/>
        </w:rPr>
        <w:t xml:space="preserve"> </w:t>
      </w:r>
      <w:r w:rsidR="00A1624E" w:rsidRPr="00BF20CF">
        <w:rPr>
          <w:rFonts w:ascii="Arial" w:hAnsi="Arial" w:cs="Arial"/>
          <w:bCs/>
        </w:rPr>
        <w:t>Please explain what actions Hydro Ottawa has taken to ensure the actual spending is as close to the forecasted costs as possible.</w:t>
      </w:r>
    </w:p>
    <w:p w14:paraId="1881F42D" w14:textId="77777777" w:rsidR="00D619ED" w:rsidRPr="00BF20CF" w:rsidRDefault="00D619ED" w:rsidP="00D619ED">
      <w:pPr>
        <w:pStyle w:val="ListParagraph"/>
        <w:autoSpaceDE w:val="0"/>
        <w:autoSpaceDN w:val="0"/>
        <w:adjustRightInd w:val="0"/>
        <w:spacing w:before="240" w:after="120" w:line="276" w:lineRule="auto"/>
        <w:rPr>
          <w:rFonts w:ascii="Arial" w:hAnsi="Arial" w:cs="Arial"/>
          <w:bCs/>
        </w:rPr>
      </w:pPr>
    </w:p>
    <w:p w14:paraId="314E4D66" w14:textId="3E745EB9" w:rsidR="00AF03C9" w:rsidRPr="00BF20CF" w:rsidRDefault="00AF03C9" w:rsidP="00876E97">
      <w:pPr>
        <w:pStyle w:val="ListParagraph"/>
        <w:numPr>
          <w:ilvl w:val="0"/>
          <w:numId w:val="13"/>
        </w:numPr>
        <w:autoSpaceDE w:val="0"/>
        <w:autoSpaceDN w:val="0"/>
        <w:adjustRightInd w:val="0"/>
        <w:spacing w:before="240" w:after="120" w:line="276" w:lineRule="auto"/>
        <w:rPr>
          <w:rFonts w:ascii="Arial" w:hAnsi="Arial" w:cs="Arial"/>
          <w:bCs/>
        </w:rPr>
      </w:pPr>
      <w:r w:rsidRPr="00BF20CF">
        <w:rPr>
          <w:rFonts w:ascii="Arial" w:hAnsi="Arial" w:cs="Arial"/>
          <w:bCs/>
        </w:rPr>
        <w:t>In 2018, spending in the Corrective Renewal Program was 386% above the approved budget. Hydro Ottawa noted that there were three major weather events that affected the spending in emergency replacement of overhead assets. Please provide the actual capital expenditures spent in 2018 that were caused by the three major weather events.</w:t>
      </w:r>
    </w:p>
    <w:p w14:paraId="1162C4AA" w14:textId="77777777" w:rsidR="00D619ED" w:rsidRPr="00BF20CF" w:rsidRDefault="00D619ED" w:rsidP="00D619ED">
      <w:pPr>
        <w:pStyle w:val="ListParagraph"/>
        <w:autoSpaceDE w:val="0"/>
        <w:autoSpaceDN w:val="0"/>
        <w:adjustRightInd w:val="0"/>
        <w:spacing w:before="240" w:after="120" w:line="276" w:lineRule="auto"/>
        <w:rPr>
          <w:rFonts w:ascii="Arial" w:hAnsi="Arial" w:cs="Arial"/>
          <w:bCs/>
        </w:rPr>
      </w:pPr>
    </w:p>
    <w:p w14:paraId="23FC0E69" w14:textId="4509EC15" w:rsidR="00AF03C9" w:rsidRPr="00BF20CF" w:rsidRDefault="00AF03C9" w:rsidP="00876E97">
      <w:pPr>
        <w:pStyle w:val="ListParagraph"/>
        <w:numPr>
          <w:ilvl w:val="0"/>
          <w:numId w:val="13"/>
        </w:numPr>
        <w:autoSpaceDE w:val="0"/>
        <w:autoSpaceDN w:val="0"/>
        <w:adjustRightInd w:val="0"/>
        <w:spacing w:before="240" w:after="120" w:line="276" w:lineRule="auto"/>
        <w:rPr>
          <w:rFonts w:ascii="Arial" w:hAnsi="Arial" w:cs="Arial"/>
          <w:bCs/>
        </w:rPr>
      </w:pPr>
      <w:r w:rsidRPr="00BF20CF">
        <w:rPr>
          <w:rFonts w:ascii="Arial" w:hAnsi="Arial" w:cs="Arial"/>
          <w:bCs/>
        </w:rPr>
        <w:t xml:space="preserve">Actual spending on Buildings-Facilities is 620% higher than the OEB approved amount in 2018, and 156% higher than the actual 2017 spending on this program. Hydro Ottawa noted that the variance was due to a renovation project at the Bank Street location. The renovations </w:t>
      </w:r>
      <w:r w:rsidRPr="00BF20CF">
        <w:rPr>
          <w:rFonts w:ascii="Arial" w:hAnsi="Arial" w:cs="Arial"/>
          <w:bCs/>
        </w:rPr>
        <w:lastRenderedPageBreak/>
        <w:t>completed in 2019. Please specify the renovation cost spent on the Bank Street facility in 2018 and 2019.</w:t>
      </w:r>
    </w:p>
    <w:p w14:paraId="28B2CB0E" w14:textId="77777777" w:rsidR="00D619ED" w:rsidRPr="00BF20CF" w:rsidRDefault="00D619ED" w:rsidP="00D619ED">
      <w:pPr>
        <w:pStyle w:val="ListParagraph"/>
        <w:autoSpaceDE w:val="0"/>
        <w:autoSpaceDN w:val="0"/>
        <w:adjustRightInd w:val="0"/>
        <w:spacing w:before="240" w:after="120" w:line="276" w:lineRule="auto"/>
        <w:rPr>
          <w:rFonts w:ascii="Arial" w:hAnsi="Arial" w:cs="Arial"/>
          <w:bCs/>
        </w:rPr>
      </w:pPr>
    </w:p>
    <w:p w14:paraId="17C18925" w14:textId="1CEB175E" w:rsidR="00AF03C9" w:rsidRPr="00BF20CF" w:rsidRDefault="00A1624E" w:rsidP="00876E97">
      <w:pPr>
        <w:pStyle w:val="ListParagraph"/>
        <w:numPr>
          <w:ilvl w:val="0"/>
          <w:numId w:val="13"/>
        </w:numPr>
        <w:autoSpaceDE w:val="0"/>
        <w:autoSpaceDN w:val="0"/>
        <w:adjustRightInd w:val="0"/>
        <w:spacing w:before="240" w:after="120" w:line="276" w:lineRule="auto"/>
        <w:rPr>
          <w:rFonts w:ascii="Arial" w:hAnsi="Arial" w:cs="Arial"/>
          <w:bCs/>
        </w:rPr>
      </w:pPr>
      <w:r w:rsidRPr="00BF20CF">
        <w:rPr>
          <w:rFonts w:ascii="Arial" w:hAnsi="Arial" w:cs="Arial"/>
          <w:bCs/>
        </w:rPr>
        <w:t>Please explain what practices are in place, or Hydro Ottawa plans to do, for the 2021-2025 rate period, to ensure the</w:t>
      </w:r>
      <w:r w:rsidR="00D8452D" w:rsidRPr="00BF20CF">
        <w:rPr>
          <w:rFonts w:ascii="Arial" w:hAnsi="Arial" w:cs="Arial"/>
          <w:bCs/>
        </w:rPr>
        <w:t xml:space="preserve"> </w:t>
      </w:r>
      <w:r w:rsidRPr="00BF20CF">
        <w:rPr>
          <w:rFonts w:ascii="Arial" w:hAnsi="Arial" w:cs="Arial"/>
          <w:bCs/>
        </w:rPr>
        <w:t xml:space="preserve">actual capital expenditures are in line with the forecasted costs. </w:t>
      </w:r>
    </w:p>
    <w:p w14:paraId="6D7B5940" w14:textId="3491342E" w:rsidR="009F3815" w:rsidRPr="00BF20CF" w:rsidRDefault="009F3815" w:rsidP="003041BF">
      <w:pPr>
        <w:autoSpaceDE w:val="0"/>
        <w:autoSpaceDN w:val="0"/>
        <w:adjustRightInd w:val="0"/>
        <w:spacing w:before="240" w:line="276" w:lineRule="auto"/>
        <w:rPr>
          <w:rFonts w:ascii="Arial" w:hAnsi="Arial" w:cs="Arial"/>
          <w:b/>
        </w:rPr>
      </w:pPr>
      <w:r w:rsidRPr="00BF20CF">
        <w:rPr>
          <w:rFonts w:ascii="Arial" w:hAnsi="Arial" w:cs="Arial"/>
          <w:b/>
        </w:rPr>
        <w:t>Distribution System Plan</w:t>
      </w:r>
    </w:p>
    <w:p w14:paraId="44EE5727" w14:textId="1D6BACFF" w:rsidR="00805474" w:rsidRPr="00BF20CF" w:rsidRDefault="00805474" w:rsidP="003041BF">
      <w:pPr>
        <w:autoSpaceDE w:val="0"/>
        <w:autoSpaceDN w:val="0"/>
        <w:adjustRightInd w:val="0"/>
        <w:spacing w:before="240" w:line="276" w:lineRule="auto"/>
        <w:rPr>
          <w:rFonts w:ascii="Arial" w:hAnsi="Arial" w:cs="Arial"/>
          <w:b/>
        </w:rPr>
      </w:pPr>
      <w:r w:rsidRPr="00BF20CF">
        <w:rPr>
          <w:rFonts w:ascii="Arial" w:hAnsi="Arial" w:cs="Arial"/>
          <w:b/>
        </w:rPr>
        <w:t>2-Staff-</w:t>
      </w:r>
      <w:r w:rsidR="00AE6FBB" w:rsidRPr="00BF20CF">
        <w:rPr>
          <w:rFonts w:ascii="Arial" w:hAnsi="Arial" w:cs="Arial"/>
          <w:b/>
        </w:rPr>
        <w:t>2</w:t>
      </w:r>
    </w:p>
    <w:p w14:paraId="0692570D" w14:textId="216A79B4" w:rsidR="00805474" w:rsidRPr="00BF20CF" w:rsidRDefault="00805474" w:rsidP="003041BF">
      <w:pPr>
        <w:rPr>
          <w:rFonts w:ascii="Arial" w:hAnsi="Arial" w:cs="Arial"/>
          <w:b/>
        </w:rPr>
      </w:pPr>
      <w:r w:rsidRPr="00BF20CF">
        <w:rPr>
          <w:rFonts w:ascii="Arial" w:hAnsi="Arial" w:cs="Arial"/>
          <w:b/>
        </w:rPr>
        <w:t>Ref:</w:t>
      </w:r>
      <w:r w:rsidRPr="00BF20CF">
        <w:rPr>
          <w:rFonts w:ascii="Arial" w:hAnsi="Arial" w:cs="Arial"/>
          <w:b/>
        </w:rPr>
        <w:tab/>
        <w:t>Exhibit 2/Tab 4/Schedule 3/Attachment G</w:t>
      </w:r>
    </w:p>
    <w:p w14:paraId="37224612" w14:textId="50FFF3FC" w:rsidR="00805474" w:rsidRPr="00BF20CF" w:rsidRDefault="00805474"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63FEAAF" w14:textId="7C257466" w:rsidR="00D461FA" w:rsidRPr="00BF20CF" w:rsidRDefault="00D461FA" w:rsidP="003041BF">
      <w:pPr>
        <w:autoSpaceDE w:val="0"/>
        <w:autoSpaceDN w:val="0"/>
        <w:adjustRightInd w:val="0"/>
        <w:spacing w:before="240" w:after="120" w:line="276" w:lineRule="auto"/>
        <w:rPr>
          <w:rFonts w:ascii="Arial" w:hAnsi="Arial" w:cs="Arial"/>
          <w:bCs/>
        </w:rPr>
      </w:pPr>
      <w:r w:rsidRPr="00BF20CF">
        <w:rPr>
          <w:rFonts w:ascii="Arial" w:hAnsi="Arial" w:cs="Arial"/>
          <w:bCs/>
        </w:rPr>
        <w:t>Hydro Ottawa provided its Strategic Asset Management Plan</w:t>
      </w:r>
      <w:r w:rsidR="007049FA" w:rsidRPr="00BF20CF">
        <w:rPr>
          <w:rFonts w:ascii="Arial" w:hAnsi="Arial" w:cs="Arial"/>
          <w:bCs/>
        </w:rPr>
        <w:t xml:space="preserve"> (SAMP)</w:t>
      </w:r>
      <w:r w:rsidRPr="00BF20CF">
        <w:rPr>
          <w:rFonts w:ascii="Arial" w:hAnsi="Arial" w:cs="Arial"/>
          <w:bCs/>
        </w:rPr>
        <w:t>.</w:t>
      </w:r>
    </w:p>
    <w:p w14:paraId="0DCA47D0" w14:textId="77777777" w:rsidR="00805474" w:rsidRPr="00BF20CF" w:rsidRDefault="00805474"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76237FF" w14:textId="32921510" w:rsidR="00805474" w:rsidRPr="00BF20CF" w:rsidRDefault="009C7877" w:rsidP="00876E97">
      <w:pPr>
        <w:pStyle w:val="ListParagraph"/>
        <w:numPr>
          <w:ilvl w:val="0"/>
          <w:numId w:val="20"/>
        </w:numPr>
        <w:autoSpaceDE w:val="0"/>
        <w:autoSpaceDN w:val="0"/>
        <w:adjustRightInd w:val="0"/>
        <w:spacing w:before="240" w:after="120" w:line="276" w:lineRule="auto"/>
        <w:rPr>
          <w:rFonts w:ascii="Arial" w:hAnsi="Arial" w:cs="Arial"/>
          <w:bCs/>
        </w:rPr>
      </w:pPr>
      <w:r w:rsidRPr="00BF20CF">
        <w:rPr>
          <w:rFonts w:ascii="Arial" w:hAnsi="Arial" w:cs="Arial"/>
          <w:bCs/>
        </w:rPr>
        <w:t>With respect to the Asset Condition Assessments and the health index scores, please explain the basis of using a 2% probability of failure to determine the expected operating life of overhead and underground distribution assets and a 1.5% probability of failure for station assets.</w:t>
      </w:r>
    </w:p>
    <w:p w14:paraId="293ED557" w14:textId="77777777" w:rsidR="00AE6FBB" w:rsidRPr="00BF20CF" w:rsidRDefault="00AE6FBB" w:rsidP="00AE6FBB">
      <w:pPr>
        <w:pStyle w:val="ListParagraph"/>
        <w:autoSpaceDE w:val="0"/>
        <w:autoSpaceDN w:val="0"/>
        <w:adjustRightInd w:val="0"/>
        <w:spacing w:before="240" w:after="120" w:line="276" w:lineRule="auto"/>
        <w:rPr>
          <w:rFonts w:ascii="Arial" w:hAnsi="Arial" w:cs="Arial"/>
          <w:bCs/>
        </w:rPr>
      </w:pPr>
    </w:p>
    <w:p w14:paraId="65951BEC" w14:textId="77777777" w:rsidR="00AA744F" w:rsidRPr="00BF20CF" w:rsidRDefault="00EF12BB" w:rsidP="00876E97">
      <w:pPr>
        <w:pStyle w:val="ListParagraph"/>
        <w:numPr>
          <w:ilvl w:val="0"/>
          <w:numId w:val="20"/>
        </w:numPr>
        <w:autoSpaceDE w:val="0"/>
        <w:autoSpaceDN w:val="0"/>
        <w:adjustRightInd w:val="0"/>
        <w:spacing w:before="240" w:after="120" w:line="276" w:lineRule="auto"/>
        <w:rPr>
          <w:rFonts w:ascii="Arial" w:hAnsi="Arial" w:cs="Arial"/>
          <w:bCs/>
        </w:rPr>
      </w:pPr>
      <w:r w:rsidRPr="00BF20CF">
        <w:rPr>
          <w:rFonts w:ascii="Arial" w:hAnsi="Arial" w:cs="Arial"/>
          <w:bCs/>
        </w:rPr>
        <w:t>It was noted that three documents were work in progress</w:t>
      </w:r>
      <w:r w:rsidR="007049FA" w:rsidRPr="00BF20CF">
        <w:rPr>
          <w:rFonts w:ascii="Arial" w:hAnsi="Arial" w:cs="Arial"/>
          <w:bCs/>
        </w:rPr>
        <w:t xml:space="preserve"> when the SAMP was prepared</w:t>
      </w:r>
      <w:r w:rsidRPr="00BF20CF">
        <w:rPr>
          <w:rFonts w:ascii="Arial" w:hAnsi="Arial" w:cs="Arial"/>
          <w:bCs/>
        </w:rPr>
        <w:t>: Feeder Performance Analysis, Project Evaluation Procedure, and Project Prioritization Procedure. For each of these three documents</w:t>
      </w:r>
      <w:r w:rsidR="00AA744F" w:rsidRPr="00BF20CF">
        <w:rPr>
          <w:rFonts w:ascii="Arial" w:hAnsi="Arial" w:cs="Arial"/>
          <w:bCs/>
        </w:rPr>
        <w:t>:</w:t>
      </w:r>
    </w:p>
    <w:p w14:paraId="1D6DF40A" w14:textId="73991753" w:rsidR="00EF12BB" w:rsidRPr="00BF20CF" w:rsidRDefault="00AA744F" w:rsidP="00876E97">
      <w:pPr>
        <w:pStyle w:val="ListParagraph"/>
        <w:numPr>
          <w:ilvl w:val="0"/>
          <w:numId w:val="21"/>
        </w:numPr>
        <w:autoSpaceDE w:val="0"/>
        <w:autoSpaceDN w:val="0"/>
        <w:adjustRightInd w:val="0"/>
        <w:spacing w:before="240" w:after="120" w:line="276" w:lineRule="auto"/>
        <w:rPr>
          <w:rFonts w:ascii="Arial" w:hAnsi="Arial" w:cs="Arial"/>
          <w:bCs/>
        </w:rPr>
      </w:pPr>
      <w:r w:rsidRPr="00BF20CF">
        <w:rPr>
          <w:rFonts w:ascii="Arial" w:hAnsi="Arial" w:cs="Arial"/>
          <w:bCs/>
        </w:rPr>
        <w:t>P</w:t>
      </w:r>
      <w:r w:rsidR="00EF12BB" w:rsidRPr="00BF20CF">
        <w:rPr>
          <w:rFonts w:ascii="Arial" w:hAnsi="Arial" w:cs="Arial"/>
          <w:bCs/>
        </w:rPr>
        <w:t xml:space="preserve">lease explain the </w:t>
      </w:r>
      <w:r w:rsidRPr="00BF20CF">
        <w:rPr>
          <w:rFonts w:ascii="Arial" w:hAnsi="Arial" w:cs="Arial"/>
          <w:bCs/>
        </w:rPr>
        <w:t>scope/purpose of each</w:t>
      </w:r>
      <w:r w:rsidR="00EF12BB" w:rsidRPr="00BF20CF">
        <w:rPr>
          <w:rFonts w:ascii="Arial" w:hAnsi="Arial" w:cs="Arial"/>
          <w:bCs/>
        </w:rPr>
        <w:t xml:space="preserve"> document.</w:t>
      </w:r>
    </w:p>
    <w:p w14:paraId="0FEE77C8" w14:textId="10FA3E45" w:rsidR="00AA744F" w:rsidRPr="00BF20CF" w:rsidRDefault="00AA744F" w:rsidP="00876E97">
      <w:pPr>
        <w:pStyle w:val="ListParagraph"/>
        <w:numPr>
          <w:ilvl w:val="0"/>
          <w:numId w:val="21"/>
        </w:numPr>
        <w:autoSpaceDE w:val="0"/>
        <w:autoSpaceDN w:val="0"/>
        <w:adjustRightInd w:val="0"/>
        <w:spacing w:before="240" w:after="120" w:line="276" w:lineRule="auto"/>
        <w:rPr>
          <w:rFonts w:ascii="Arial" w:hAnsi="Arial" w:cs="Arial"/>
          <w:bCs/>
        </w:rPr>
      </w:pPr>
      <w:r w:rsidRPr="00BF20CF">
        <w:rPr>
          <w:rFonts w:ascii="Arial" w:hAnsi="Arial" w:cs="Arial"/>
          <w:bCs/>
        </w:rPr>
        <w:t>Please provide the timeline of developing each document.</w:t>
      </w:r>
    </w:p>
    <w:p w14:paraId="09C582E4" w14:textId="2EFFB79B" w:rsidR="009F3815" w:rsidRPr="00BF20CF" w:rsidRDefault="009F3815" w:rsidP="003041BF">
      <w:pPr>
        <w:autoSpaceDE w:val="0"/>
        <w:autoSpaceDN w:val="0"/>
        <w:adjustRightInd w:val="0"/>
        <w:spacing w:before="240" w:line="276" w:lineRule="auto"/>
        <w:rPr>
          <w:rFonts w:ascii="Arial" w:hAnsi="Arial" w:cs="Arial"/>
          <w:b/>
        </w:rPr>
      </w:pPr>
      <w:r w:rsidRPr="00BF20CF">
        <w:rPr>
          <w:rFonts w:ascii="Arial" w:hAnsi="Arial" w:cs="Arial"/>
          <w:b/>
        </w:rPr>
        <w:t>2-Staff-</w:t>
      </w:r>
      <w:r w:rsidR="00AE6FBB" w:rsidRPr="00BF20CF">
        <w:rPr>
          <w:rFonts w:ascii="Arial" w:hAnsi="Arial" w:cs="Arial"/>
          <w:b/>
        </w:rPr>
        <w:t>3</w:t>
      </w:r>
    </w:p>
    <w:p w14:paraId="793B17ED" w14:textId="77777777" w:rsidR="009F3815" w:rsidRPr="00BF20CF" w:rsidRDefault="009F3815" w:rsidP="003041BF">
      <w:pPr>
        <w:rPr>
          <w:rFonts w:ascii="Arial" w:hAnsi="Arial" w:cs="Arial"/>
          <w:b/>
        </w:rPr>
      </w:pPr>
      <w:r w:rsidRPr="00BF20CF">
        <w:rPr>
          <w:rFonts w:ascii="Arial" w:hAnsi="Arial" w:cs="Arial"/>
          <w:b/>
        </w:rPr>
        <w:t>Ref:</w:t>
      </w:r>
      <w:r w:rsidRPr="00BF20CF">
        <w:rPr>
          <w:rFonts w:ascii="Arial" w:hAnsi="Arial" w:cs="Arial"/>
          <w:b/>
        </w:rPr>
        <w:tab/>
        <w:t>Exhibit 2/Tab 4/Schedule 3/Attachment J</w:t>
      </w:r>
    </w:p>
    <w:p w14:paraId="6B11DAA7" w14:textId="77777777" w:rsidR="009F3815" w:rsidRPr="00BF20CF" w:rsidRDefault="009F3815"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6FE26BD" w14:textId="5D904066" w:rsidR="009F3815" w:rsidRPr="00BF20CF" w:rsidRDefault="009F3815" w:rsidP="003041BF">
      <w:pPr>
        <w:rPr>
          <w:rFonts w:ascii="Arial" w:hAnsi="Arial" w:cs="Arial"/>
        </w:rPr>
      </w:pPr>
      <w:r w:rsidRPr="00BF20CF">
        <w:rPr>
          <w:rFonts w:ascii="Arial" w:hAnsi="Arial" w:cs="Arial"/>
        </w:rPr>
        <w:t xml:space="preserve">EA Technology provided Hydro Ottawa with a gap analysis assessment for its Asset Management System </w:t>
      </w:r>
      <w:r w:rsidR="00AB640B" w:rsidRPr="00BF20CF">
        <w:rPr>
          <w:rFonts w:ascii="Arial" w:hAnsi="Arial" w:cs="Arial"/>
        </w:rPr>
        <w:t xml:space="preserve">(AMS) </w:t>
      </w:r>
      <w:r w:rsidR="00D83C5C" w:rsidRPr="00BF20CF">
        <w:rPr>
          <w:rFonts w:ascii="Arial" w:hAnsi="Arial" w:cs="Arial"/>
        </w:rPr>
        <w:t>against</w:t>
      </w:r>
      <w:r w:rsidRPr="00BF20CF">
        <w:rPr>
          <w:rFonts w:ascii="Arial" w:hAnsi="Arial" w:cs="Arial"/>
        </w:rPr>
        <w:t xml:space="preserve"> the requirements of ISO </w:t>
      </w:r>
      <w:r w:rsidR="00D83C5C" w:rsidRPr="00BF20CF">
        <w:rPr>
          <w:rFonts w:ascii="Arial" w:hAnsi="Arial" w:cs="Arial"/>
        </w:rPr>
        <w:t>55000</w:t>
      </w:r>
      <w:r w:rsidRPr="00BF20CF">
        <w:rPr>
          <w:rFonts w:ascii="Arial" w:hAnsi="Arial" w:cs="Arial"/>
        </w:rPr>
        <w:t>.</w:t>
      </w:r>
    </w:p>
    <w:p w14:paraId="7F20F40D" w14:textId="77777777" w:rsidR="009F3815" w:rsidRPr="00BF20CF" w:rsidRDefault="009F3815"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2E3F9D4C" w14:textId="2DC162E6" w:rsidR="009F3815" w:rsidRPr="00BF20CF" w:rsidRDefault="009F3815" w:rsidP="00876E97">
      <w:pPr>
        <w:pStyle w:val="ListParagraph"/>
        <w:numPr>
          <w:ilvl w:val="0"/>
          <w:numId w:val="17"/>
        </w:numPr>
        <w:autoSpaceDE w:val="0"/>
        <w:autoSpaceDN w:val="0"/>
        <w:adjustRightInd w:val="0"/>
        <w:spacing w:before="240" w:after="120" w:line="276" w:lineRule="auto"/>
        <w:rPr>
          <w:rFonts w:ascii="Arial" w:hAnsi="Arial" w:cs="Arial"/>
          <w:bCs/>
        </w:rPr>
      </w:pPr>
      <w:r w:rsidRPr="00BF20CF">
        <w:rPr>
          <w:rFonts w:ascii="Arial" w:hAnsi="Arial" w:cs="Arial"/>
          <w:bCs/>
        </w:rPr>
        <w:t>Please confirm Hydro Ottawa intends to obtain ISO 55000 certification.</w:t>
      </w:r>
    </w:p>
    <w:p w14:paraId="6EFBDBBB" w14:textId="77777777" w:rsidR="00DC1410" w:rsidRPr="00BF20CF" w:rsidRDefault="00DC1410" w:rsidP="00DC1410">
      <w:pPr>
        <w:pStyle w:val="ListParagraph"/>
        <w:autoSpaceDE w:val="0"/>
        <w:autoSpaceDN w:val="0"/>
        <w:adjustRightInd w:val="0"/>
        <w:spacing w:before="240" w:after="120" w:line="276" w:lineRule="auto"/>
        <w:rPr>
          <w:rFonts w:ascii="Arial" w:hAnsi="Arial" w:cs="Arial"/>
          <w:bCs/>
        </w:rPr>
      </w:pPr>
    </w:p>
    <w:p w14:paraId="639EEDB3" w14:textId="5CED275F" w:rsidR="009F3815" w:rsidRPr="00BF20CF" w:rsidRDefault="009F3815" w:rsidP="00876E97">
      <w:pPr>
        <w:pStyle w:val="ListParagraph"/>
        <w:numPr>
          <w:ilvl w:val="0"/>
          <w:numId w:val="17"/>
        </w:numPr>
        <w:autoSpaceDE w:val="0"/>
        <w:autoSpaceDN w:val="0"/>
        <w:adjustRightInd w:val="0"/>
        <w:spacing w:before="240" w:after="120" w:line="276" w:lineRule="auto"/>
        <w:rPr>
          <w:rFonts w:ascii="Arial" w:hAnsi="Arial" w:cs="Arial"/>
          <w:bCs/>
        </w:rPr>
      </w:pPr>
      <w:r w:rsidRPr="00BF20CF">
        <w:rPr>
          <w:rFonts w:ascii="Arial" w:hAnsi="Arial" w:cs="Arial"/>
          <w:bCs/>
        </w:rPr>
        <w:lastRenderedPageBreak/>
        <w:t xml:space="preserve">Please explain the minimum requirements (i.e. what </w:t>
      </w:r>
      <w:r w:rsidR="0024442C" w:rsidRPr="00BF20CF">
        <w:rPr>
          <w:rFonts w:ascii="Arial" w:hAnsi="Arial" w:cs="Arial"/>
          <w:bCs/>
        </w:rPr>
        <w:t xml:space="preserve">is the minimum maturity score </w:t>
      </w:r>
      <w:r w:rsidRPr="00BF20CF">
        <w:rPr>
          <w:rFonts w:ascii="Arial" w:hAnsi="Arial" w:cs="Arial"/>
          <w:bCs/>
        </w:rPr>
        <w:t>required for each clause?) of obtaining ISO 55000 certification.</w:t>
      </w:r>
    </w:p>
    <w:p w14:paraId="110C44F3" w14:textId="77777777" w:rsidR="00DC1410" w:rsidRPr="00BF20CF" w:rsidRDefault="00DC1410" w:rsidP="00DC1410">
      <w:pPr>
        <w:pStyle w:val="ListParagraph"/>
        <w:autoSpaceDE w:val="0"/>
        <w:autoSpaceDN w:val="0"/>
        <w:adjustRightInd w:val="0"/>
        <w:spacing w:before="240" w:after="120" w:line="276" w:lineRule="auto"/>
        <w:rPr>
          <w:rFonts w:ascii="Arial" w:hAnsi="Arial" w:cs="Arial"/>
          <w:bCs/>
        </w:rPr>
      </w:pPr>
    </w:p>
    <w:p w14:paraId="01E2FEE3" w14:textId="08067403" w:rsidR="00D83C5C" w:rsidRPr="00BF20CF" w:rsidRDefault="00D83C5C" w:rsidP="00876E97">
      <w:pPr>
        <w:pStyle w:val="ListParagraph"/>
        <w:numPr>
          <w:ilvl w:val="0"/>
          <w:numId w:val="17"/>
        </w:numPr>
        <w:autoSpaceDE w:val="0"/>
        <w:autoSpaceDN w:val="0"/>
        <w:adjustRightInd w:val="0"/>
        <w:spacing w:before="240" w:after="120" w:line="276" w:lineRule="auto"/>
        <w:rPr>
          <w:rFonts w:ascii="Arial" w:hAnsi="Arial" w:cs="Arial"/>
          <w:bCs/>
        </w:rPr>
      </w:pPr>
      <w:r w:rsidRPr="00BF20CF">
        <w:rPr>
          <w:rFonts w:ascii="Arial" w:hAnsi="Arial" w:cs="Arial"/>
          <w:bCs/>
        </w:rPr>
        <w:t>Please specify when the first gap analysis assessment was done and who conducted the first assessment.</w:t>
      </w:r>
    </w:p>
    <w:p w14:paraId="7A9D5F3E" w14:textId="77777777" w:rsidR="00DC1410" w:rsidRPr="00BF20CF" w:rsidRDefault="00DC1410" w:rsidP="00DC1410">
      <w:pPr>
        <w:pStyle w:val="ListParagraph"/>
        <w:autoSpaceDE w:val="0"/>
        <w:autoSpaceDN w:val="0"/>
        <w:adjustRightInd w:val="0"/>
        <w:spacing w:before="240" w:after="120" w:line="276" w:lineRule="auto"/>
        <w:rPr>
          <w:rFonts w:ascii="Arial" w:hAnsi="Arial" w:cs="Arial"/>
          <w:bCs/>
        </w:rPr>
      </w:pPr>
    </w:p>
    <w:p w14:paraId="43D1A5D9" w14:textId="07E2C0A9" w:rsidR="00D83C5C" w:rsidRPr="00BF20CF" w:rsidRDefault="00D83C5C" w:rsidP="00876E97">
      <w:pPr>
        <w:pStyle w:val="ListParagraph"/>
        <w:numPr>
          <w:ilvl w:val="0"/>
          <w:numId w:val="17"/>
        </w:numPr>
        <w:autoSpaceDE w:val="0"/>
        <w:autoSpaceDN w:val="0"/>
        <w:adjustRightInd w:val="0"/>
        <w:spacing w:before="240" w:after="120" w:line="276" w:lineRule="auto"/>
        <w:rPr>
          <w:rFonts w:ascii="Arial" w:hAnsi="Arial" w:cs="Arial"/>
          <w:bCs/>
        </w:rPr>
      </w:pPr>
      <w:r w:rsidRPr="00BF20CF">
        <w:rPr>
          <w:rFonts w:ascii="Arial" w:hAnsi="Arial" w:cs="Arial"/>
          <w:bCs/>
        </w:rPr>
        <w:t xml:space="preserve">Please provide the maturity scores for the 27 </w:t>
      </w:r>
      <w:r w:rsidR="00DD77F8" w:rsidRPr="00BF20CF">
        <w:rPr>
          <w:rFonts w:ascii="Arial" w:hAnsi="Arial" w:cs="Arial"/>
          <w:bCs/>
        </w:rPr>
        <w:t>clauses concluded in the first assessment.</w:t>
      </w:r>
    </w:p>
    <w:p w14:paraId="2105CF31" w14:textId="77777777" w:rsidR="00DC1410" w:rsidRPr="00BF20CF" w:rsidRDefault="00DC1410" w:rsidP="00DC1410">
      <w:pPr>
        <w:pStyle w:val="ListParagraph"/>
        <w:autoSpaceDE w:val="0"/>
        <w:autoSpaceDN w:val="0"/>
        <w:adjustRightInd w:val="0"/>
        <w:spacing w:before="240" w:after="120" w:line="276" w:lineRule="auto"/>
        <w:rPr>
          <w:rFonts w:ascii="Arial" w:hAnsi="Arial" w:cs="Arial"/>
          <w:bCs/>
        </w:rPr>
      </w:pPr>
    </w:p>
    <w:p w14:paraId="7B0CFB9D" w14:textId="7B3B7D61" w:rsidR="00AB640B" w:rsidRPr="00BF20CF" w:rsidRDefault="00AB640B" w:rsidP="00876E97">
      <w:pPr>
        <w:pStyle w:val="ListParagraph"/>
        <w:numPr>
          <w:ilvl w:val="0"/>
          <w:numId w:val="17"/>
        </w:numPr>
        <w:autoSpaceDE w:val="0"/>
        <w:autoSpaceDN w:val="0"/>
        <w:adjustRightInd w:val="0"/>
        <w:spacing w:before="240" w:after="120" w:line="276" w:lineRule="auto"/>
        <w:rPr>
          <w:rFonts w:ascii="Arial" w:hAnsi="Arial" w:cs="Arial"/>
          <w:bCs/>
        </w:rPr>
      </w:pPr>
      <w:r w:rsidRPr="00BF20CF">
        <w:rPr>
          <w:rFonts w:ascii="Arial" w:hAnsi="Arial" w:cs="Arial"/>
          <w:bCs/>
        </w:rPr>
        <w:t>Please confirm Hydro Ottawa has an internal audit group to conduct audits of its AMS.</w:t>
      </w:r>
    </w:p>
    <w:p w14:paraId="3445FE6E" w14:textId="77777777" w:rsidR="00DC1410" w:rsidRPr="00BF20CF" w:rsidRDefault="00DC1410" w:rsidP="00DC1410">
      <w:pPr>
        <w:pStyle w:val="ListParagraph"/>
        <w:autoSpaceDE w:val="0"/>
        <w:autoSpaceDN w:val="0"/>
        <w:adjustRightInd w:val="0"/>
        <w:spacing w:before="240" w:after="120" w:line="276" w:lineRule="auto"/>
        <w:rPr>
          <w:rFonts w:ascii="Arial" w:hAnsi="Arial" w:cs="Arial"/>
          <w:bCs/>
        </w:rPr>
      </w:pPr>
    </w:p>
    <w:p w14:paraId="0B46F92B" w14:textId="7E51C868" w:rsidR="004F6CF0" w:rsidRPr="00BF20CF" w:rsidRDefault="004F6CF0" w:rsidP="00876E97">
      <w:pPr>
        <w:pStyle w:val="ListParagraph"/>
        <w:numPr>
          <w:ilvl w:val="0"/>
          <w:numId w:val="17"/>
        </w:numPr>
        <w:autoSpaceDE w:val="0"/>
        <w:autoSpaceDN w:val="0"/>
        <w:adjustRightInd w:val="0"/>
        <w:spacing w:before="240" w:after="120" w:line="276" w:lineRule="auto"/>
        <w:rPr>
          <w:rFonts w:ascii="Arial" w:hAnsi="Arial" w:cs="Arial"/>
          <w:bCs/>
        </w:rPr>
      </w:pPr>
      <w:r w:rsidRPr="00BF20CF">
        <w:rPr>
          <w:rFonts w:ascii="Arial" w:hAnsi="Arial" w:cs="Arial"/>
          <w:bCs/>
        </w:rPr>
        <w:t>If yes to part e), please clarify whether Hydro Ottawa has conducted internal audit(s) of its AMS.</w:t>
      </w:r>
    </w:p>
    <w:p w14:paraId="7C731DE4" w14:textId="231F3AAD" w:rsidR="00AB640B" w:rsidRPr="00BF20CF" w:rsidRDefault="00AB640B" w:rsidP="00876E97">
      <w:pPr>
        <w:pStyle w:val="ListParagraph"/>
        <w:numPr>
          <w:ilvl w:val="0"/>
          <w:numId w:val="18"/>
        </w:numPr>
        <w:autoSpaceDE w:val="0"/>
        <w:autoSpaceDN w:val="0"/>
        <w:adjustRightInd w:val="0"/>
        <w:spacing w:before="240" w:after="120" w:line="276" w:lineRule="auto"/>
        <w:rPr>
          <w:rFonts w:ascii="Arial" w:hAnsi="Arial" w:cs="Arial"/>
          <w:bCs/>
        </w:rPr>
      </w:pPr>
      <w:r w:rsidRPr="00BF20CF">
        <w:rPr>
          <w:rFonts w:ascii="Arial" w:hAnsi="Arial" w:cs="Arial"/>
          <w:bCs/>
        </w:rPr>
        <w:t>If yes, please provide the audit report(s).</w:t>
      </w:r>
    </w:p>
    <w:p w14:paraId="001AC895" w14:textId="0B544A76" w:rsidR="004F6CF0" w:rsidRPr="00BF20CF" w:rsidRDefault="004F6CF0" w:rsidP="00876E97">
      <w:pPr>
        <w:pStyle w:val="ListParagraph"/>
        <w:numPr>
          <w:ilvl w:val="0"/>
          <w:numId w:val="18"/>
        </w:numPr>
        <w:autoSpaceDE w:val="0"/>
        <w:autoSpaceDN w:val="0"/>
        <w:adjustRightInd w:val="0"/>
        <w:spacing w:before="240" w:after="120" w:line="276" w:lineRule="auto"/>
        <w:rPr>
          <w:rFonts w:ascii="Arial" w:hAnsi="Arial" w:cs="Arial"/>
          <w:bCs/>
        </w:rPr>
      </w:pPr>
      <w:r w:rsidRPr="00BF20CF">
        <w:rPr>
          <w:rFonts w:ascii="Arial" w:hAnsi="Arial" w:cs="Arial"/>
          <w:bCs/>
        </w:rPr>
        <w:t>If no, please explain when Hydro Ottawa plans to conduct its first internal audit and how often it plans to do that.</w:t>
      </w:r>
    </w:p>
    <w:p w14:paraId="3BB945B1" w14:textId="77777777" w:rsidR="00DC1410" w:rsidRPr="00BF20CF" w:rsidRDefault="00DC1410" w:rsidP="00DC1410">
      <w:pPr>
        <w:pStyle w:val="ListParagraph"/>
        <w:autoSpaceDE w:val="0"/>
        <w:autoSpaceDN w:val="0"/>
        <w:adjustRightInd w:val="0"/>
        <w:spacing w:before="240" w:after="120" w:line="276" w:lineRule="auto"/>
        <w:rPr>
          <w:rFonts w:ascii="Arial" w:hAnsi="Arial" w:cs="Arial"/>
          <w:bCs/>
        </w:rPr>
      </w:pPr>
    </w:p>
    <w:p w14:paraId="05D26378" w14:textId="4E21D72D" w:rsidR="004F6CF0" w:rsidRPr="00BF20CF" w:rsidRDefault="004F6CF0" w:rsidP="00876E97">
      <w:pPr>
        <w:pStyle w:val="ListParagraph"/>
        <w:numPr>
          <w:ilvl w:val="0"/>
          <w:numId w:val="17"/>
        </w:numPr>
        <w:autoSpaceDE w:val="0"/>
        <w:autoSpaceDN w:val="0"/>
        <w:adjustRightInd w:val="0"/>
        <w:spacing w:before="240" w:after="120" w:line="276" w:lineRule="auto"/>
        <w:rPr>
          <w:rFonts w:ascii="Arial" w:hAnsi="Arial" w:cs="Arial"/>
          <w:bCs/>
        </w:rPr>
      </w:pPr>
      <w:r w:rsidRPr="00BF20CF">
        <w:rPr>
          <w:rFonts w:ascii="Arial" w:hAnsi="Arial" w:cs="Arial"/>
          <w:bCs/>
        </w:rPr>
        <w:t>For each of the recommendations identified in section 6 of the report, please specify:</w:t>
      </w:r>
    </w:p>
    <w:p w14:paraId="0348B045" w14:textId="4DBE7213" w:rsidR="004F6CF0" w:rsidRPr="00BF20CF" w:rsidRDefault="007706A7" w:rsidP="00876E97">
      <w:pPr>
        <w:pStyle w:val="ListParagraph"/>
        <w:numPr>
          <w:ilvl w:val="0"/>
          <w:numId w:val="19"/>
        </w:numPr>
        <w:autoSpaceDE w:val="0"/>
        <w:autoSpaceDN w:val="0"/>
        <w:adjustRightInd w:val="0"/>
        <w:spacing w:before="240" w:after="120" w:line="276" w:lineRule="auto"/>
        <w:rPr>
          <w:rFonts w:ascii="Arial" w:hAnsi="Arial" w:cs="Arial"/>
          <w:bCs/>
        </w:rPr>
      </w:pPr>
      <w:r w:rsidRPr="00BF20CF">
        <w:rPr>
          <w:rFonts w:ascii="Arial" w:hAnsi="Arial" w:cs="Arial"/>
          <w:bCs/>
        </w:rPr>
        <w:t>Whether Hydro Ottawa plans to implement the recommendation.</w:t>
      </w:r>
    </w:p>
    <w:p w14:paraId="1E2B20B7" w14:textId="305F9E6B" w:rsidR="007706A7" w:rsidRPr="00BF20CF" w:rsidRDefault="007706A7" w:rsidP="00876E97">
      <w:pPr>
        <w:pStyle w:val="ListParagraph"/>
        <w:numPr>
          <w:ilvl w:val="0"/>
          <w:numId w:val="19"/>
        </w:numPr>
        <w:autoSpaceDE w:val="0"/>
        <w:autoSpaceDN w:val="0"/>
        <w:adjustRightInd w:val="0"/>
        <w:spacing w:before="240" w:after="120" w:line="276" w:lineRule="auto"/>
        <w:rPr>
          <w:rFonts w:ascii="Arial" w:hAnsi="Arial" w:cs="Arial"/>
          <w:bCs/>
        </w:rPr>
      </w:pPr>
      <w:r w:rsidRPr="00BF20CF">
        <w:rPr>
          <w:rFonts w:ascii="Arial" w:hAnsi="Arial" w:cs="Arial"/>
          <w:bCs/>
        </w:rPr>
        <w:t xml:space="preserve">If yes to part </w:t>
      </w:r>
      <w:proofErr w:type="spellStart"/>
      <w:r w:rsidRPr="00BF20CF">
        <w:rPr>
          <w:rFonts w:ascii="Arial" w:hAnsi="Arial" w:cs="Arial"/>
          <w:bCs/>
        </w:rPr>
        <w:t>i</w:t>
      </w:r>
      <w:proofErr w:type="spellEnd"/>
      <w:r w:rsidRPr="00BF20CF">
        <w:rPr>
          <w:rFonts w:ascii="Arial" w:hAnsi="Arial" w:cs="Arial"/>
          <w:bCs/>
        </w:rPr>
        <w:t>), please specify the action plan of implementing each recommendation.</w:t>
      </w:r>
    </w:p>
    <w:p w14:paraId="4C4D3BB3" w14:textId="51153C5E" w:rsidR="007706A7" w:rsidRPr="00BF20CF" w:rsidRDefault="007706A7" w:rsidP="00876E97">
      <w:pPr>
        <w:pStyle w:val="ListParagraph"/>
        <w:numPr>
          <w:ilvl w:val="0"/>
          <w:numId w:val="19"/>
        </w:numPr>
        <w:autoSpaceDE w:val="0"/>
        <w:autoSpaceDN w:val="0"/>
        <w:adjustRightInd w:val="0"/>
        <w:spacing w:before="240" w:after="120" w:line="276" w:lineRule="auto"/>
        <w:rPr>
          <w:rFonts w:ascii="Arial" w:hAnsi="Arial" w:cs="Arial"/>
          <w:bCs/>
        </w:rPr>
      </w:pPr>
      <w:r w:rsidRPr="00BF20CF">
        <w:rPr>
          <w:rFonts w:ascii="Arial" w:hAnsi="Arial" w:cs="Arial"/>
          <w:bCs/>
        </w:rPr>
        <w:t xml:space="preserve">If yes to part </w:t>
      </w:r>
      <w:proofErr w:type="spellStart"/>
      <w:r w:rsidRPr="00BF20CF">
        <w:rPr>
          <w:rFonts w:ascii="Arial" w:hAnsi="Arial" w:cs="Arial"/>
          <w:bCs/>
        </w:rPr>
        <w:t>i</w:t>
      </w:r>
      <w:proofErr w:type="spellEnd"/>
      <w:r w:rsidRPr="00BF20CF">
        <w:rPr>
          <w:rFonts w:ascii="Arial" w:hAnsi="Arial" w:cs="Arial"/>
          <w:bCs/>
        </w:rPr>
        <w:t>), please specify when Hydro Ottawa plans to start and complete the implementation of each recommendation.</w:t>
      </w:r>
    </w:p>
    <w:p w14:paraId="413E7DF9" w14:textId="75C051A5" w:rsidR="00FB4674" w:rsidRPr="00BF20CF" w:rsidRDefault="00FB4674" w:rsidP="003041BF">
      <w:pPr>
        <w:autoSpaceDE w:val="0"/>
        <w:autoSpaceDN w:val="0"/>
        <w:adjustRightInd w:val="0"/>
        <w:spacing w:before="240" w:line="276" w:lineRule="auto"/>
        <w:rPr>
          <w:rFonts w:ascii="Arial" w:hAnsi="Arial" w:cs="Arial"/>
          <w:b/>
        </w:rPr>
      </w:pPr>
      <w:r w:rsidRPr="00BF20CF">
        <w:rPr>
          <w:rFonts w:ascii="Arial" w:hAnsi="Arial" w:cs="Arial"/>
          <w:b/>
        </w:rPr>
        <w:t>2-Staff-</w:t>
      </w:r>
      <w:r w:rsidR="00AE6FBB" w:rsidRPr="00BF20CF">
        <w:rPr>
          <w:rFonts w:ascii="Arial" w:hAnsi="Arial" w:cs="Arial"/>
          <w:b/>
        </w:rPr>
        <w:t>4</w:t>
      </w:r>
    </w:p>
    <w:p w14:paraId="15738B22" w14:textId="61224003" w:rsidR="00FB4674" w:rsidRPr="00BF20CF" w:rsidRDefault="00FB4674" w:rsidP="003041BF">
      <w:pPr>
        <w:rPr>
          <w:rFonts w:ascii="Arial" w:hAnsi="Arial" w:cs="Arial"/>
          <w:b/>
        </w:rPr>
      </w:pPr>
      <w:r w:rsidRPr="00BF20CF">
        <w:rPr>
          <w:rFonts w:ascii="Arial" w:hAnsi="Arial" w:cs="Arial"/>
          <w:b/>
        </w:rPr>
        <w:t>Ref:</w:t>
      </w:r>
      <w:r w:rsidRPr="00BF20CF">
        <w:rPr>
          <w:rFonts w:ascii="Arial" w:hAnsi="Arial" w:cs="Arial"/>
          <w:b/>
        </w:rPr>
        <w:tab/>
        <w:t>Exhibit 2/Tab 4/Schedule 3/Attachment K</w:t>
      </w:r>
    </w:p>
    <w:p w14:paraId="79FE8DD3" w14:textId="2CF4B91B" w:rsidR="0052087F" w:rsidRPr="00BF20CF" w:rsidRDefault="0052087F" w:rsidP="003041BF">
      <w:pPr>
        <w:ind w:left="720"/>
        <w:rPr>
          <w:rFonts w:ascii="Arial" w:hAnsi="Arial" w:cs="Arial"/>
          <w:b/>
        </w:rPr>
      </w:pPr>
      <w:r w:rsidRPr="00BF20CF">
        <w:rPr>
          <w:rFonts w:ascii="Arial" w:hAnsi="Arial" w:cs="Arial"/>
          <w:b/>
        </w:rPr>
        <w:t>Exhibit 2/Tab 4/Schedule 3/page 8</w:t>
      </w:r>
    </w:p>
    <w:p w14:paraId="3B465177" w14:textId="3F416FF1" w:rsidR="00FB4674" w:rsidRPr="00BF20CF" w:rsidRDefault="00FB4674" w:rsidP="003041BF">
      <w:pPr>
        <w:ind w:left="720"/>
        <w:rPr>
          <w:rFonts w:ascii="Arial" w:hAnsi="Arial" w:cs="Arial"/>
          <w:b/>
        </w:rPr>
      </w:pPr>
      <w:r w:rsidRPr="00BF20CF">
        <w:rPr>
          <w:rFonts w:ascii="Arial" w:hAnsi="Arial" w:cs="Arial"/>
          <w:b/>
        </w:rPr>
        <w:t>Exhibit 2/Tab 4/Schedule 3/pp. 273-274</w:t>
      </w:r>
    </w:p>
    <w:p w14:paraId="0CAD4A62" w14:textId="77777777" w:rsidR="00FB4674" w:rsidRPr="00BF20CF" w:rsidRDefault="00FB4674"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F0B3976" w14:textId="60A59132" w:rsidR="00FB4674" w:rsidRPr="00BF20CF" w:rsidRDefault="00FB4674" w:rsidP="003041BF">
      <w:pPr>
        <w:rPr>
          <w:rFonts w:ascii="Arial" w:hAnsi="Arial" w:cs="Arial"/>
        </w:rPr>
      </w:pPr>
      <w:r w:rsidRPr="00BF20CF">
        <w:rPr>
          <w:rFonts w:ascii="Arial" w:hAnsi="Arial" w:cs="Arial"/>
        </w:rPr>
        <w:t xml:space="preserve">Hydro Ottawa provided a Local Achievable Potential </w:t>
      </w:r>
      <w:r w:rsidR="0009518F" w:rsidRPr="00BF20CF">
        <w:rPr>
          <w:rFonts w:ascii="Arial" w:hAnsi="Arial" w:cs="Arial"/>
        </w:rPr>
        <w:t xml:space="preserve">(LAP) </w:t>
      </w:r>
      <w:r w:rsidRPr="00BF20CF">
        <w:rPr>
          <w:rFonts w:ascii="Arial" w:hAnsi="Arial" w:cs="Arial"/>
        </w:rPr>
        <w:t>study for the Kanata North Area.</w:t>
      </w:r>
    </w:p>
    <w:p w14:paraId="1CA855FC" w14:textId="77777777" w:rsidR="00FB4674" w:rsidRPr="00BF20CF" w:rsidRDefault="00FB4674"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DFB766D" w14:textId="4BEBB42B" w:rsidR="0052087F" w:rsidRPr="00BF20CF" w:rsidRDefault="0052087F" w:rsidP="00876E97">
      <w:pPr>
        <w:pStyle w:val="ListParagraph"/>
        <w:numPr>
          <w:ilvl w:val="0"/>
          <w:numId w:val="8"/>
        </w:numPr>
        <w:autoSpaceDE w:val="0"/>
        <w:autoSpaceDN w:val="0"/>
        <w:adjustRightInd w:val="0"/>
        <w:spacing w:before="240" w:after="120" w:line="276" w:lineRule="auto"/>
        <w:rPr>
          <w:rFonts w:ascii="Arial" w:hAnsi="Arial" w:cs="Arial"/>
          <w:bCs/>
        </w:rPr>
      </w:pPr>
      <w:r w:rsidRPr="00BF20CF">
        <w:rPr>
          <w:rFonts w:ascii="Arial" w:hAnsi="Arial" w:cs="Arial"/>
          <w:bCs/>
        </w:rPr>
        <w:t xml:space="preserve">Hydro Ottawa notes that through 2021-2025 period, it will be deploying a portfolio of measures in the Kanata North area to enable deferral of an additional transmission-connected station. Please specify the portfolio of </w:t>
      </w:r>
      <w:r w:rsidRPr="00BF20CF">
        <w:rPr>
          <w:rFonts w:ascii="Arial" w:hAnsi="Arial" w:cs="Arial"/>
          <w:bCs/>
        </w:rPr>
        <w:lastRenderedPageBreak/>
        <w:t>measures will be deployed through 2021-2025. Please also identify if any non-wire alternatives included in the portfolio.</w:t>
      </w:r>
    </w:p>
    <w:p w14:paraId="2C6BC45E" w14:textId="77777777" w:rsidR="00080146" w:rsidRPr="00BF20CF" w:rsidRDefault="00080146" w:rsidP="00080146">
      <w:pPr>
        <w:pStyle w:val="ListParagraph"/>
        <w:autoSpaceDE w:val="0"/>
        <w:autoSpaceDN w:val="0"/>
        <w:adjustRightInd w:val="0"/>
        <w:spacing w:before="240" w:after="120" w:line="276" w:lineRule="auto"/>
        <w:rPr>
          <w:rFonts w:ascii="Arial" w:hAnsi="Arial" w:cs="Arial"/>
          <w:bCs/>
        </w:rPr>
      </w:pPr>
    </w:p>
    <w:p w14:paraId="37851A38" w14:textId="0355FA36" w:rsidR="0009518F" w:rsidRPr="00BF20CF" w:rsidRDefault="0009518F" w:rsidP="00876E97">
      <w:pPr>
        <w:pStyle w:val="ListParagraph"/>
        <w:numPr>
          <w:ilvl w:val="0"/>
          <w:numId w:val="8"/>
        </w:numPr>
        <w:autoSpaceDE w:val="0"/>
        <w:autoSpaceDN w:val="0"/>
        <w:adjustRightInd w:val="0"/>
        <w:spacing w:before="240" w:after="120" w:line="276" w:lineRule="auto"/>
        <w:rPr>
          <w:rFonts w:ascii="Arial" w:hAnsi="Arial" w:cs="Arial"/>
          <w:bCs/>
        </w:rPr>
      </w:pPr>
      <w:r w:rsidRPr="00BF20CF">
        <w:rPr>
          <w:rFonts w:ascii="Arial" w:hAnsi="Arial" w:cs="Arial"/>
          <w:bCs/>
        </w:rPr>
        <w:t>Please explain Hydro Ottawa’s long-term plan of addressing the load growth in the Kanata North area (i.e. Will Hydro Ottawa implement the utility-scale energy storage as recommended in the LAP study?).</w:t>
      </w:r>
    </w:p>
    <w:p w14:paraId="7D875D3A" w14:textId="24AC0333" w:rsidR="00AF03C9" w:rsidRPr="00BF20CF" w:rsidRDefault="00AF03C9" w:rsidP="003041BF">
      <w:pPr>
        <w:autoSpaceDE w:val="0"/>
        <w:autoSpaceDN w:val="0"/>
        <w:adjustRightInd w:val="0"/>
        <w:spacing w:before="240" w:line="276" w:lineRule="auto"/>
        <w:rPr>
          <w:rFonts w:ascii="Arial" w:hAnsi="Arial" w:cs="Arial"/>
          <w:b/>
        </w:rPr>
      </w:pPr>
      <w:r w:rsidRPr="00BF20CF">
        <w:rPr>
          <w:rFonts w:ascii="Arial" w:hAnsi="Arial" w:cs="Arial"/>
          <w:b/>
        </w:rPr>
        <w:t>2-Staff-</w:t>
      </w:r>
      <w:r w:rsidR="00AE6FBB" w:rsidRPr="00BF20CF">
        <w:rPr>
          <w:rFonts w:ascii="Arial" w:hAnsi="Arial" w:cs="Arial"/>
          <w:b/>
        </w:rPr>
        <w:t>5</w:t>
      </w:r>
    </w:p>
    <w:p w14:paraId="4D106691" w14:textId="77777777" w:rsidR="00AF03C9" w:rsidRPr="00BF20CF" w:rsidRDefault="00AF03C9" w:rsidP="003041BF">
      <w:pPr>
        <w:rPr>
          <w:rFonts w:ascii="Arial" w:hAnsi="Arial" w:cs="Arial"/>
          <w:b/>
        </w:rPr>
      </w:pPr>
      <w:r w:rsidRPr="00BF20CF">
        <w:rPr>
          <w:rFonts w:ascii="Arial" w:hAnsi="Arial" w:cs="Arial"/>
          <w:b/>
        </w:rPr>
        <w:t>Ref:</w:t>
      </w:r>
      <w:r w:rsidRPr="00BF20CF">
        <w:rPr>
          <w:rFonts w:ascii="Arial" w:hAnsi="Arial" w:cs="Arial"/>
          <w:b/>
        </w:rPr>
        <w:tab/>
        <w:t>Exhibit 2/Tab 4/Schedule 3/page 313 of 374</w:t>
      </w:r>
    </w:p>
    <w:p w14:paraId="093BA31E" w14:textId="77777777" w:rsidR="00AF03C9" w:rsidRPr="00BF20CF" w:rsidRDefault="00AF03C9"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FED7297" w14:textId="77777777" w:rsidR="00AF03C9" w:rsidRPr="00BF20CF" w:rsidRDefault="00AF03C9" w:rsidP="003041BF">
      <w:pPr>
        <w:rPr>
          <w:rFonts w:ascii="Arial" w:hAnsi="Arial" w:cs="Arial"/>
        </w:rPr>
      </w:pPr>
      <w:r w:rsidRPr="00BF20CF">
        <w:rPr>
          <w:rFonts w:ascii="Arial" w:hAnsi="Arial" w:cs="Arial"/>
        </w:rPr>
        <w:t>Metering Renewal is a new program introduced under System Renewal over the 2021-2025 rate period.</w:t>
      </w:r>
    </w:p>
    <w:p w14:paraId="6351E9A3" w14:textId="77777777" w:rsidR="00AF03C9" w:rsidRPr="00BF20CF" w:rsidRDefault="00AF03C9"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87D09CD" w14:textId="0A9A06C6" w:rsidR="00AF03C9" w:rsidRPr="00BF20CF" w:rsidRDefault="00AF03C9" w:rsidP="00876E97">
      <w:pPr>
        <w:pStyle w:val="ListParagraph"/>
        <w:numPr>
          <w:ilvl w:val="0"/>
          <w:numId w:val="26"/>
        </w:numPr>
        <w:autoSpaceDE w:val="0"/>
        <w:autoSpaceDN w:val="0"/>
        <w:adjustRightInd w:val="0"/>
        <w:spacing w:before="240" w:after="120" w:line="276" w:lineRule="auto"/>
        <w:rPr>
          <w:rFonts w:ascii="Arial" w:hAnsi="Arial" w:cs="Arial"/>
          <w:bCs/>
        </w:rPr>
      </w:pPr>
      <w:r w:rsidRPr="00BF20CF">
        <w:rPr>
          <w:rFonts w:ascii="Arial" w:hAnsi="Arial" w:cs="Arial"/>
          <w:bCs/>
        </w:rPr>
        <w:t>Please provide examples of services Hydro Ottawa will provide under this program.</w:t>
      </w:r>
    </w:p>
    <w:p w14:paraId="52028490" w14:textId="77777777" w:rsidR="00DC1410" w:rsidRPr="00BF20CF" w:rsidRDefault="00DC1410" w:rsidP="00DC1410">
      <w:pPr>
        <w:pStyle w:val="ListParagraph"/>
        <w:autoSpaceDE w:val="0"/>
        <w:autoSpaceDN w:val="0"/>
        <w:adjustRightInd w:val="0"/>
        <w:spacing w:before="240" w:after="120" w:line="276" w:lineRule="auto"/>
        <w:rPr>
          <w:rFonts w:ascii="Arial" w:hAnsi="Arial" w:cs="Arial"/>
          <w:bCs/>
        </w:rPr>
      </w:pPr>
    </w:p>
    <w:p w14:paraId="28767F74" w14:textId="1A4246CF" w:rsidR="00AF03C9" w:rsidRPr="00BF20CF" w:rsidRDefault="00AF03C9" w:rsidP="00876E97">
      <w:pPr>
        <w:pStyle w:val="ListParagraph"/>
        <w:numPr>
          <w:ilvl w:val="0"/>
          <w:numId w:val="26"/>
        </w:numPr>
        <w:autoSpaceDE w:val="0"/>
        <w:autoSpaceDN w:val="0"/>
        <w:adjustRightInd w:val="0"/>
        <w:spacing w:before="240" w:after="120" w:line="276" w:lineRule="auto"/>
        <w:rPr>
          <w:rFonts w:ascii="Arial" w:hAnsi="Arial" w:cs="Arial"/>
          <w:bCs/>
        </w:rPr>
      </w:pPr>
      <w:r w:rsidRPr="00BF20CF">
        <w:rPr>
          <w:rFonts w:ascii="Arial" w:hAnsi="Arial" w:cs="Arial"/>
          <w:bCs/>
        </w:rPr>
        <w:t>Please clarify whether services under this new program are available during the 2016-2020 rate period.</w:t>
      </w:r>
    </w:p>
    <w:p w14:paraId="66F080A9" w14:textId="34DDD488" w:rsidR="009D5E4A" w:rsidRPr="00BF20CF" w:rsidRDefault="00AE6FBB" w:rsidP="00AE6FBB">
      <w:pPr>
        <w:pStyle w:val="StaffHeader"/>
        <w:numPr>
          <w:ilvl w:val="0"/>
          <w:numId w:val="0"/>
        </w:numPr>
        <w:spacing w:before="240"/>
        <w:rPr>
          <w:u w:val="none"/>
        </w:rPr>
      </w:pPr>
      <w:r w:rsidRPr="00BF20CF">
        <w:rPr>
          <w:u w:val="none"/>
        </w:rPr>
        <w:t>2-Staff-6</w:t>
      </w:r>
    </w:p>
    <w:p w14:paraId="04C87F08" w14:textId="77777777" w:rsidR="009D5E4A" w:rsidRPr="00BF20CF" w:rsidRDefault="009D5E4A" w:rsidP="00AE6FBB">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1 / page 10 of 13</w:t>
      </w:r>
    </w:p>
    <w:p w14:paraId="1ABE0F0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8525C94"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historical System Expansion and Infill spending, Hydro Ottawa stated:</w:t>
      </w:r>
    </w:p>
    <w:p w14:paraId="5AB64A9E"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System Expansion and Infill, which in general have lower contributions, exceeded the budget expectation. This explains the capital contributions which were lower than budgeted. All of these projects were third-party driven and were therefore ones which Hydro Ottawa had an obligation to complete.</w:t>
      </w:r>
    </w:p>
    <w:p w14:paraId="1E5979B9"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699F7E61" w14:textId="4E2DE45B" w:rsidR="009D5E4A" w:rsidRPr="00BF20CF" w:rsidRDefault="009D5E4A" w:rsidP="00F23BC7">
      <w:pPr>
        <w:pStyle w:val="ListParagraph"/>
        <w:numPr>
          <w:ilvl w:val="0"/>
          <w:numId w:val="89"/>
        </w:numPr>
        <w:autoSpaceDE w:val="0"/>
        <w:autoSpaceDN w:val="0"/>
        <w:adjustRightInd w:val="0"/>
        <w:spacing w:before="240" w:after="120" w:line="276" w:lineRule="auto"/>
        <w:rPr>
          <w:rFonts w:ascii="Arial" w:hAnsi="Arial" w:cs="Arial"/>
        </w:rPr>
      </w:pPr>
      <w:r w:rsidRPr="00BF20CF">
        <w:rPr>
          <w:rFonts w:ascii="Arial" w:hAnsi="Arial" w:cs="Arial"/>
        </w:rPr>
        <w:t>Please quantitatively differentiate the historical spending above OEB approved levels caused by one-time non-repeating drivers, cyclical/repeating drivers and normal ongoing expenditure requirements.</w:t>
      </w:r>
    </w:p>
    <w:p w14:paraId="519E4E59"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26C036B7" w14:textId="035661BE" w:rsidR="009D5E4A" w:rsidRPr="00BF20CF" w:rsidRDefault="009D5E4A" w:rsidP="00F23BC7">
      <w:pPr>
        <w:pStyle w:val="ListParagraph"/>
        <w:numPr>
          <w:ilvl w:val="0"/>
          <w:numId w:val="89"/>
        </w:numPr>
        <w:autoSpaceDE w:val="0"/>
        <w:autoSpaceDN w:val="0"/>
        <w:adjustRightInd w:val="0"/>
        <w:spacing w:before="240" w:after="120" w:line="276" w:lineRule="auto"/>
        <w:rPr>
          <w:rFonts w:ascii="Arial" w:hAnsi="Arial" w:cs="Arial"/>
        </w:rPr>
      </w:pPr>
      <w:r w:rsidRPr="00BF20CF">
        <w:rPr>
          <w:rFonts w:ascii="Arial" w:hAnsi="Arial" w:cs="Arial"/>
        </w:rPr>
        <w:lastRenderedPageBreak/>
        <w:t>Has the historical spending caused by any of the non-repeating drivers been tr</w:t>
      </w:r>
      <w:r w:rsidR="00802A10" w:rsidRPr="00BF20CF">
        <w:rPr>
          <w:rFonts w:ascii="Arial" w:hAnsi="Arial" w:cs="Arial"/>
        </w:rPr>
        <w:t xml:space="preserve">ended or factored into the 2021-2025 </w:t>
      </w:r>
      <w:r w:rsidRPr="00BF20CF">
        <w:rPr>
          <w:rFonts w:ascii="Arial" w:hAnsi="Arial" w:cs="Arial"/>
        </w:rPr>
        <w:t>expenditure forecast? If yes, what proportion of the 2021</w:t>
      </w:r>
      <w:r w:rsidR="00802A10" w:rsidRPr="00BF20CF">
        <w:rPr>
          <w:rFonts w:ascii="Arial" w:hAnsi="Arial" w:cs="Arial"/>
        </w:rPr>
        <w:t>-2025</w:t>
      </w:r>
      <w:r w:rsidRPr="00BF20CF">
        <w:rPr>
          <w:rFonts w:ascii="Arial" w:hAnsi="Arial" w:cs="Arial"/>
        </w:rPr>
        <w:t xml:space="preserve"> expenditures does this extra trend comprise?</w:t>
      </w:r>
    </w:p>
    <w:p w14:paraId="7AC4B4E8" w14:textId="77777777" w:rsidR="00836ACE" w:rsidRPr="00BF20CF" w:rsidRDefault="00836ACE" w:rsidP="00836ACE">
      <w:pPr>
        <w:pStyle w:val="ListParagraph"/>
        <w:rPr>
          <w:rFonts w:ascii="Arial" w:hAnsi="Arial" w:cs="Arial"/>
        </w:rPr>
      </w:pPr>
    </w:p>
    <w:p w14:paraId="36FFDE67" w14:textId="24DDA46A" w:rsidR="009D5E4A" w:rsidRPr="00BF20CF" w:rsidRDefault="00302AE5" w:rsidP="00302AE5">
      <w:pPr>
        <w:pStyle w:val="StaffHeader"/>
        <w:numPr>
          <w:ilvl w:val="0"/>
          <w:numId w:val="0"/>
        </w:numPr>
        <w:spacing w:before="240"/>
        <w:rPr>
          <w:rFonts w:cs="Arial"/>
          <w:szCs w:val="24"/>
          <w:u w:val="none"/>
        </w:rPr>
      </w:pPr>
      <w:r w:rsidRPr="00BF20CF">
        <w:rPr>
          <w:rFonts w:cs="Arial"/>
          <w:szCs w:val="24"/>
          <w:u w:val="none"/>
        </w:rPr>
        <w:t>2-Staff-7</w:t>
      </w:r>
    </w:p>
    <w:p w14:paraId="5BC2ADE5"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1 / page 10 of 13</w:t>
      </w:r>
    </w:p>
    <w:p w14:paraId="5696012F"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53B83D7E"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critical renewal spending, Hydro Ottawa states:</w:t>
      </w:r>
    </w:p>
    <w:p w14:paraId="5E1BE74F"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With respect to critical renewals, over the past few years Hydro Ottawa has increased asset inspections as part of its reliability improvement program. Increased inspections have led to more assets being identified as being in a “critical state.” “Critical state” means that the assets have been identified as having “functionally” failed, but have not yet caused an outage (e.g. poles that have been deemed to have deteriorated to a point where they no longer meet their designed strength requirements).</w:t>
      </w:r>
    </w:p>
    <w:p w14:paraId="6F85A80C" w14:textId="2366AEF0"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758CD934" w14:textId="77777777" w:rsidR="009D5E4A" w:rsidRPr="00BF20CF" w:rsidRDefault="009D5E4A" w:rsidP="00F23BC7">
      <w:pPr>
        <w:pStyle w:val="ListParagraph"/>
        <w:numPr>
          <w:ilvl w:val="0"/>
          <w:numId w:val="90"/>
        </w:numPr>
        <w:autoSpaceDE w:val="0"/>
        <w:autoSpaceDN w:val="0"/>
        <w:adjustRightInd w:val="0"/>
        <w:spacing w:before="240" w:after="120" w:line="276" w:lineRule="auto"/>
        <w:rPr>
          <w:rFonts w:ascii="Arial" w:hAnsi="Arial" w:cs="Arial"/>
        </w:rPr>
      </w:pPr>
      <w:r w:rsidRPr="00BF20CF">
        <w:rPr>
          <w:rFonts w:ascii="Arial" w:hAnsi="Arial" w:cs="Arial"/>
        </w:rPr>
        <w:t>Does this indicate that the condition parameters used to determine a Critical State assessment for certain assets may need to be better calibrated?</w:t>
      </w:r>
    </w:p>
    <w:p w14:paraId="3775A20B" w14:textId="4CE343FD" w:rsidR="009D5E4A" w:rsidRPr="00BF20CF" w:rsidRDefault="009D5E4A" w:rsidP="00302AE5">
      <w:pPr>
        <w:pStyle w:val="ListParagraph"/>
        <w:numPr>
          <w:ilvl w:val="1"/>
          <w:numId w:val="90"/>
        </w:numPr>
        <w:autoSpaceDE w:val="0"/>
        <w:autoSpaceDN w:val="0"/>
        <w:adjustRightInd w:val="0"/>
        <w:spacing w:line="276" w:lineRule="auto"/>
        <w:rPr>
          <w:rFonts w:ascii="Arial" w:hAnsi="Arial" w:cs="Arial"/>
        </w:rPr>
      </w:pPr>
      <w:r w:rsidRPr="00BF20CF">
        <w:rPr>
          <w:rFonts w:ascii="Arial" w:hAnsi="Arial" w:cs="Arial"/>
        </w:rPr>
        <w:t>If not, has Hydro Ottawa identified a step change deterioration in asset performance that parallels the step change in assessed asset condition?</w:t>
      </w:r>
    </w:p>
    <w:p w14:paraId="45B40D7D" w14:textId="77777777" w:rsidR="00DC1410" w:rsidRPr="00BF20CF" w:rsidRDefault="00DC1410" w:rsidP="00302AE5">
      <w:pPr>
        <w:pStyle w:val="ListParagraph"/>
        <w:autoSpaceDE w:val="0"/>
        <w:autoSpaceDN w:val="0"/>
        <w:adjustRightInd w:val="0"/>
        <w:spacing w:line="276" w:lineRule="auto"/>
        <w:rPr>
          <w:rFonts w:ascii="Arial" w:hAnsi="Arial" w:cs="Arial"/>
        </w:rPr>
      </w:pPr>
    </w:p>
    <w:p w14:paraId="36D6471B" w14:textId="09CA7C97" w:rsidR="009D5E4A" w:rsidRPr="00BF20CF" w:rsidRDefault="009D5E4A" w:rsidP="00F23BC7">
      <w:pPr>
        <w:pStyle w:val="ListParagraph"/>
        <w:numPr>
          <w:ilvl w:val="0"/>
          <w:numId w:val="90"/>
        </w:numPr>
        <w:autoSpaceDE w:val="0"/>
        <w:autoSpaceDN w:val="0"/>
        <w:adjustRightInd w:val="0"/>
        <w:spacing w:before="240" w:after="120" w:line="276" w:lineRule="auto"/>
        <w:rPr>
          <w:rFonts w:ascii="Arial" w:hAnsi="Arial" w:cs="Arial"/>
        </w:rPr>
      </w:pPr>
      <w:r w:rsidRPr="00BF20CF">
        <w:rPr>
          <w:rFonts w:ascii="Arial" w:hAnsi="Arial" w:cs="Arial"/>
        </w:rPr>
        <w:t xml:space="preserve">Please confirm that the change in the assessed condition of the assets was not influenced by the increased level of inspections. </w:t>
      </w:r>
    </w:p>
    <w:p w14:paraId="381A656D"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557298BF" w14:textId="53DAD6A7" w:rsidR="009D5E4A" w:rsidRPr="00BF20CF" w:rsidRDefault="009D5E4A" w:rsidP="00F23BC7">
      <w:pPr>
        <w:pStyle w:val="ListParagraph"/>
        <w:numPr>
          <w:ilvl w:val="0"/>
          <w:numId w:val="90"/>
        </w:numPr>
        <w:autoSpaceDE w:val="0"/>
        <w:autoSpaceDN w:val="0"/>
        <w:adjustRightInd w:val="0"/>
        <w:spacing w:before="240" w:after="120" w:line="276" w:lineRule="auto"/>
        <w:rPr>
          <w:rFonts w:ascii="Arial" w:hAnsi="Arial" w:cs="Arial"/>
        </w:rPr>
      </w:pPr>
      <w:r w:rsidRPr="00BF20CF">
        <w:rPr>
          <w:rFonts w:ascii="Arial" w:hAnsi="Arial" w:cs="Arial"/>
        </w:rPr>
        <w:t xml:space="preserve">Please confirm if historical performance trends based upon the period prior to the “increased asset inspections” is different than the historical performance trends after the “increased asset inspections”.  </w:t>
      </w:r>
    </w:p>
    <w:p w14:paraId="0D69AC4C"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285AAB3C" w14:textId="77777777" w:rsidR="009D5E4A" w:rsidRPr="00BF20CF" w:rsidRDefault="009D5E4A" w:rsidP="00F23BC7">
      <w:pPr>
        <w:pStyle w:val="ListParagraph"/>
        <w:numPr>
          <w:ilvl w:val="0"/>
          <w:numId w:val="90"/>
        </w:numPr>
        <w:autoSpaceDE w:val="0"/>
        <w:autoSpaceDN w:val="0"/>
        <w:adjustRightInd w:val="0"/>
        <w:spacing w:before="240" w:after="120" w:line="276" w:lineRule="auto"/>
        <w:rPr>
          <w:rFonts w:ascii="Arial" w:hAnsi="Arial" w:cs="Arial"/>
        </w:rPr>
      </w:pPr>
      <w:r w:rsidRPr="00BF20CF">
        <w:rPr>
          <w:rFonts w:ascii="Arial" w:hAnsi="Arial" w:cs="Arial"/>
        </w:rPr>
        <w:t>When assets fail, does Hydro Ottawa record if those assets had been previously identified as being in Critical State?</w:t>
      </w:r>
    </w:p>
    <w:p w14:paraId="3967DA17" w14:textId="77777777" w:rsidR="009D5E4A" w:rsidRPr="00BF20CF" w:rsidRDefault="009D5E4A" w:rsidP="00F23BC7">
      <w:pPr>
        <w:pStyle w:val="ListParagraph"/>
        <w:numPr>
          <w:ilvl w:val="1"/>
          <w:numId w:val="90"/>
        </w:numPr>
        <w:autoSpaceDE w:val="0"/>
        <w:autoSpaceDN w:val="0"/>
        <w:adjustRightInd w:val="0"/>
        <w:spacing w:before="240" w:after="120" w:line="276" w:lineRule="auto"/>
        <w:rPr>
          <w:rFonts w:ascii="Arial" w:hAnsi="Arial" w:cs="Arial"/>
        </w:rPr>
      </w:pPr>
      <w:r w:rsidRPr="00BF20CF">
        <w:rPr>
          <w:rFonts w:ascii="Arial" w:hAnsi="Arial" w:cs="Arial"/>
        </w:rPr>
        <w:t>If yes, please identify what percentage of the assets identified as being in Critical State fail each year.</w:t>
      </w:r>
    </w:p>
    <w:p w14:paraId="60266E28" w14:textId="08CFC73A" w:rsidR="009D5E4A" w:rsidRPr="00BF20CF" w:rsidRDefault="009D5E4A" w:rsidP="00F23BC7">
      <w:pPr>
        <w:pStyle w:val="ListParagraph"/>
        <w:numPr>
          <w:ilvl w:val="1"/>
          <w:numId w:val="90"/>
        </w:numPr>
        <w:autoSpaceDE w:val="0"/>
        <w:autoSpaceDN w:val="0"/>
        <w:adjustRightInd w:val="0"/>
        <w:spacing w:before="240" w:after="120" w:line="276" w:lineRule="auto"/>
        <w:rPr>
          <w:rFonts w:ascii="Arial" w:hAnsi="Arial" w:cs="Arial"/>
        </w:rPr>
      </w:pPr>
      <w:r w:rsidRPr="00BF20CF">
        <w:rPr>
          <w:rFonts w:ascii="Arial" w:hAnsi="Arial" w:cs="Arial"/>
        </w:rPr>
        <w:lastRenderedPageBreak/>
        <w:t xml:space="preserve">What is the equivalent Health Index rating of an asset that has been identified as being in Critical State?  </w:t>
      </w:r>
    </w:p>
    <w:p w14:paraId="261AA582" w14:textId="77777777" w:rsidR="00836ACE" w:rsidRPr="00BF20CF" w:rsidRDefault="00836ACE" w:rsidP="00836ACE">
      <w:pPr>
        <w:pStyle w:val="ListParagraph"/>
        <w:autoSpaceDE w:val="0"/>
        <w:autoSpaceDN w:val="0"/>
        <w:adjustRightInd w:val="0"/>
        <w:spacing w:before="240" w:after="120" w:line="276" w:lineRule="auto"/>
        <w:ind w:left="1440"/>
        <w:rPr>
          <w:rFonts w:ascii="Arial" w:hAnsi="Arial" w:cs="Arial"/>
        </w:rPr>
      </w:pPr>
    </w:p>
    <w:p w14:paraId="3D5CF183" w14:textId="5E4DB5A0" w:rsidR="009D5E4A" w:rsidRPr="00BF20CF" w:rsidRDefault="00302AE5" w:rsidP="00302AE5">
      <w:pPr>
        <w:pStyle w:val="StaffHeader"/>
        <w:numPr>
          <w:ilvl w:val="0"/>
          <w:numId w:val="0"/>
        </w:numPr>
        <w:spacing w:before="0"/>
        <w:rPr>
          <w:rFonts w:cs="Arial"/>
          <w:szCs w:val="24"/>
          <w:u w:val="none"/>
        </w:rPr>
      </w:pPr>
      <w:r w:rsidRPr="00BF20CF">
        <w:rPr>
          <w:rFonts w:cs="Arial"/>
          <w:szCs w:val="24"/>
          <w:u w:val="none"/>
        </w:rPr>
        <w:t>2-Staff-8</w:t>
      </w:r>
    </w:p>
    <w:p w14:paraId="62EFB72F"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pp. 1-2 of 374</w:t>
      </w:r>
    </w:p>
    <w:p w14:paraId="21536A8E"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82B935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forecast spending relative to historical levels, Hydro Ottawa stated:</w:t>
      </w:r>
    </w:p>
    <w:p w14:paraId="5ABF5A13"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This plan is a continuation of Hydro Ottawa’s 2016-2020 plan, which focused on the enhancement of system capacity to keep pace with growth and shifts in loads within the service territory and renewal of the aged and aging infrastructure at risk of failure. … These and other initiatives have translated into improved system reliability and performance, with the utility having consistently met or exceeded its reliability targets over the 2016-2018 timeframe. …</w:t>
      </w:r>
    </w:p>
    <w:p w14:paraId="79EF67F6"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 xml:space="preserve">Notwithstanding this progress, however, renewing Hydro Ottawa’s aged and aging infrastructure in deteriorating condition (i.e. stations, and underground and overhead systems) at an appropriate pace remains a priority for both near-term performance and long-term sustainability of the distribution system. </w:t>
      </w:r>
    </w:p>
    <w:p w14:paraId="70743922"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5C0B56E" w14:textId="77777777" w:rsidR="009D5E4A" w:rsidRPr="00BF20CF" w:rsidRDefault="009D5E4A" w:rsidP="00F23BC7">
      <w:pPr>
        <w:pStyle w:val="ListParagraph"/>
        <w:numPr>
          <w:ilvl w:val="0"/>
          <w:numId w:val="91"/>
        </w:numPr>
        <w:autoSpaceDE w:val="0"/>
        <w:autoSpaceDN w:val="0"/>
        <w:adjustRightInd w:val="0"/>
        <w:spacing w:before="240" w:after="120" w:line="276" w:lineRule="auto"/>
        <w:rPr>
          <w:rFonts w:ascii="Arial" w:hAnsi="Arial" w:cs="Arial"/>
        </w:rPr>
      </w:pPr>
      <w:r w:rsidRPr="00BF20CF">
        <w:rPr>
          <w:rFonts w:ascii="Arial" w:hAnsi="Arial" w:cs="Arial"/>
        </w:rPr>
        <w:t>Is Hydro Ottawa's renewal spending primarily driven by reliability performance, or by factors that predict performance, or some other reason?</w:t>
      </w:r>
    </w:p>
    <w:p w14:paraId="3CFCFBFA" w14:textId="2887167C" w:rsidR="009D5E4A" w:rsidRPr="00BF20CF" w:rsidRDefault="009D5E4A" w:rsidP="00AF4A0E">
      <w:pPr>
        <w:pStyle w:val="ListParagraph"/>
        <w:numPr>
          <w:ilvl w:val="1"/>
          <w:numId w:val="91"/>
        </w:numPr>
        <w:autoSpaceDE w:val="0"/>
        <w:autoSpaceDN w:val="0"/>
        <w:adjustRightInd w:val="0"/>
        <w:spacing w:before="240" w:after="120" w:line="276" w:lineRule="auto"/>
        <w:rPr>
          <w:rFonts w:ascii="Arial" w:hAnsi="Arial" w:cs="Arial"/>
        </w:rPr>
      </w:pPr>
      <w:r w:rsidRPr="00BF20CF">
        <w:rPr>
          <w:rFonts w:ascii="Arial" w:hAnsi="Arial" w:cs="Arial"/>
        </w:rPr>
        <w:t>If driven by some other reason, please elaborate.</w:t>
      </w:r>
    </w:p>
    <w:p w14:paraId="61764EFD"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505B7671" w14:textId="053F9018" w:rsidR="009D5E4A" w:rsidRPr="00BF20CF" w:rsidRDefault="009D5E4A" w:rsidP="00996121">
      <w:pPr>
        <w:pStyle w:val="ListParagraph"/>
        <w:numPr>
          <w:ilvl w:val="0"/>
          <w:numId w:val="91"/>
        </w:numPr>
        <w:autoSpaceDE w:val="0"/>
        <w:autoSpaceDN w:val="0"/>
        <w:adjustRightInd w:val="0"/>
        <w:spacing w:before="240" w:after="120" w:line="276" w:lineRule="auto"/>
        <w:rPr>
          <w:rFonts w:ascii="Arial" w:hAnsi="Arial" w:cs="Arial"/>
        </w:rPr>
      </w:pPr>
      <w:r w:rsidRPr="00BF20CF">
        <w:rPr>
          <w:rFonts w:ascii="Arial" w:hAnsi="Arial" w:cs="Arial"/>
        </w:rPr>
        <w:t>How does Hydro Ottawa define an “appropriate pace” of renewing its aged and aging infrastructure?  Will that pace of spending improve performance, hold performance steady or allow performance to slightly deteriorate?</w:t>
      </w:r>
    </w:p>
    <w:p w14:paraId="72879F30"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5FDBB7F9" w14:textId="042A9B51" w:rsidR="009D5E4A" w:rsidRPr="00BF20CF" w:rsidRDefault="009D5E4A">
      <w:pPr>
        <w:pStyle w:val="ListParagraph"/>
        <w:numPr>
          <w:ilvl w:val="0"/>
          <w:numId w:val="91"/>
        </w:numPr>
        <w:autoSpaceDE w:val="0"/>
        <w:autoSpaceDN w:val="0"/>
        <w:adjustRightInd w:val="0"/>
        <w:spacing w:before="240" w:after="120" w:line="276" w:lineRule="auto"/>
        <w:rPr>
          <w:rFonts w:ascii="Arial" w:hAnsi="Arial" w:cs="Arial"/>
        </w:rPr>
      </w:pPr>
      <w:r w:rsidRPr="00BF20CF">
        <w:rPr>
          <w:rFonts w:ascii="Arial" w:hAnsi="Arial" w:cs="Arial"/>
        </w:rPr>
        <w:t>Which specific asset classes require increasing levels of renewal spending to enable Hydro Ottawa to maintain its historical positive reliability performance trends?</w:t>
      </w:r>
    </w:p>
    <w:p w14:paraId="71952DD7"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0B2DAD04" w14:textId="77777777" w:rsidR="009D5E4A" w:rsidRPr="00BF20CF" w:rsidRDefault="009D5E4A">
      <w:pPr>
        <w:pStyle w:val="ListParagraph"/>
        <w:numPr>
          <w:ilvl w:val="0"/>
          <w:numId w:val="91"/>
        </w:numPr>
        <w:autoSpaceDE w:val="0"/>
        <w:autoSpaceDN w:val="0"/>
        <w:adjustRightInd w:val="0"/>
        <w:spacing w:before="240" w:after="120" w:line="276" w:lineRule="auto"/>
        <w:rPr>
          <w:rFonts w:ascii="Arial" w:hAnsi="Arial" w:cs="Arial"/>
        </w:rPr>
      </w:pPr>
      <w:r w:rsidRPr="00BF20CF">
        <w:rPr>
          <w:rFonts w:ascii="Arial" w:hAnsi="Arial" w:cs="Arial"/>
        </w:rPr>
        <w:lastRenderedPageBreak/>
        <w:t xml:space="preserve">Has Hydro Ottawa calculated the expected change in its system reliability performance attributable to asset failures in the identified asset classes with and without the proposed incremental level of investment? </w:t>
      </w:r>
    </w:p>
    <w:p w14:paraId="725338F5" w14:textId="77777777" w:rsidR="009D5E4A" w:rsidRPr="00BF20CF" w:rsidRDefault="009D5E4A">
      <w:pPr>
        <w:pStyle w:val="ListParagraph"/>
        <w:numPr>
          <w:ilvl w:val="1"/>
          <w:numId w:val="91"/>
        </w:numPr>
        <w:autoSpaceDE w:val="0"/>
        <w:autoSpaceDN w:val="0"/>
        <w:adjustRightInd w:val="0"/>
        <w:spacing w:before="240" w:after="120" w:line="276" w:lineRule="auto"/>
        <w:rPr>
          <w:rFonts w:ascii="Arial" w:hAnsi="Arial" w:cs="Arial"/>
        </w:rPr>
      </w:pPr>
      <w:r w:rsidRPr="00BF20CF">
        <w:rPr>
          <w:rFonts w:ascii="Arial" w:hAnsi="Arial" w:cs="Arial"/>
        </w:rPr>
        <w:t>If yes, please provide documentation showing the results of this analysis.</w:t>
      </w:r>
    </w:p>
    <w:p w14:paraId="7DBD0C48" w14:textId="34837E93" w:rsidR="009D5E4A" w:rsidRPr="00BF20CF" w:rsidRDefault="009D5E4A">
      <w:pPr>
        <w:pStyle w:val="ListParagraph"/>
        <w:numPr>
          <w:ilvl w:val="1"/>
          <w:numId w:val="91"/>
        </w:numPr>
        <w:autoSpaceDE w:val="0"/>
        <w:autoSpaceDN w:val="0"/>
        <w:adjustRightInd w:val="0"/>
        <w:spacing w:before="240" w:after="120" w:line="276" w:lineRule="auto"/>
        <w:rPr>
          <w:rFonts w:ascii="Arial" w:hAnsi="Arial" w:cs="Arial"/>
        </w:rPr>
      </w:pPr>
      <w:r w:rsidRPr="00BF20CF">
        <w:rPr>
          <w:rFonts w:ascii="Arial" w:hAnsi="Arial" w:cs="Arial"/>
        </w:rPr>
        <w:t>If no, is Hydro Ottawa able to demonstrate quantitatively how the proposed increased renewal spending on those asset classes will impact its reliability performance?</w:t>
      </w:r>
    </w:p>
    <w:p w14:paraId="339B9064"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588D1AF8" w14:textId="0E2D4164" w:rsidR="009D5E4A" w:rsidRPr="00BF20CF" w:rsidRDefault="009D5E4A">
      <w:pPr>
        <w:pStyle w:val="ListParagraph"/>
        <w:numPr>
          <w:ilvl w:val="0"/>
          <w:numId w:val="91"/>
        </w:numPr>
        <w:autoSpaceDE w:val="0"/>
        <w:autoSpaceDN w:val="0"/>
        <w:adjustRightInd w:val="0"/>
        <w:spacing w:before="240" w:after="120" w:line="276" w:lineRule="auto"/>
        <w:rPr>
          <w:rFonts w:ascii="Arial" w:hAnsi="Arial" w:cs="Arial"/>
        </w:rPr>
      </w:pPr>
      <w:r w:rsidRPr="00BF20CF">
        <w:rPr>
          <w:rFonts w:ascii="Arial" w:hAnsi="Arial" w:cs="Arial"/>
        </w:rPr>
        <w:t>Has Hydro Ottawa assigned a cash value to outages or decreases in reliability?</w:t>
      </w:r>
    </w:p>
    <w:p w14:paraId="7932509F"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38507CD4" w14:textId="3CACDD26" w:rsidR="009D5E4A" w:rsidRPr="00BF20CF" w:rsidRDefault="009D5E4A" w:rsidP="00F23BC7">
      <w:pPr>
        <w:pStyle w:val="ListParagraph"/>
        <w:numPr>
          <w:ilvl w:val="0"/>
          <w:numId w:val="91"/>
        </w:numPr>
        <w:autoSpaceDE w:val="0"/>
        <w:autoSpaceDN w:val="0"/>
        <w:adjustRightInd w:val="0"/>
        <w:spacing w:before="240" w:after="120" w:line="276" w:lineRule="auto"/>
        <w:rPr>
          <w:rFonts w:ascii="Arial" w:hAnsi="Arial" w:cs="Arial"/>
        </w:rPr>
      </w:pPr>
      <w:r w:rsidRPr="00BF20CF">
        <w:rPr>
          <w:rFonts w:ascii="Arial" w:hAnsi="Arial" w:cs="Arial"/>
        </w:rPr>
        <w:t xml:space="preserve">If Hydro Ottawa holds the line on the level of renewal spending for all asset classes, what level of overall reliability performance should be expected, and would that performance be considered acceptable by customers? </w:t>
      </w:r>
    </w:p>
    <w:p w14:paraId="18C6415E" w14:textId="77777777" w:rsidR="00DC1410" w:rsidRPr="00BF20CF" w:rsidRDefault="00DC1410" w:rsidP="00DC1410">
      <w:pPr>
        <w:pStyle w:val="ListParagraph"/>
        <w:rPr>
          <w:rFonts w:ascii="Arial" w:hAnsi="Arial" w:cs="Arial"/>
        </w:rPr>
      </w:pPr>
    </w:p>
    <w:p w14:paraId="02D1979A" w14:textId="4A570A14" w:rsidR="009D5E4A" w:rsidRPr="00BF20CF" w:rsidRDefault="00302AE5" w:rsidP="00302AE5">
      <w:pPr>
        <w:pStyle w:val="StaffHeader"/>
        <w:numPr>
          <w:ilvl w:val="0"/>
          <w:numId w:val="0"/>
        </w:numPr>
        <w:spacing w:before="240"/>
        <w:rPr>
          <w:rFonts w:cs="Arial"/>
          <w:szCs w:val="24"/>
          <w:u w:val="none"/>
        </w:rPr>
      </w:pPr>
      <w:r w:rsidRPr="00BF20CF">
        <w:rPr>
          <w:rFonts w:cs="Arial"/>
          <w:szCs w:val="24"/>
          <w:u w:val="none"/>
        </w:rPr>
        <w:t>2-Staff-9</w:t>
      </w:r>
    </w:p>
    <w:p w14:paraId="634C13EC"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7 of 374</w:t>
      </w:r>
    </w:p>
    <w:p w14:paraId="78A53CC4"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76192AF4"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customers’ preferences, Hydro Ottawa stated:</w:t>
      </w:r>
    </w:p>
    <w:p w14:paraId="3E91C74E"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Based on results from a variety of customer engagement activities, Hydro Ottawa customers indicate that reliability should be maintained or improved, at minimal or no increased cost.</w:t>
      </w:r>
    </w:p>
    <w:p w14:paraId="7997CE2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FCBBD2D" w14:textId="77777777" w:rsidR="009D5E4A" w:rsidRPr="00BF20CF" w:rsidRDefault="009D5E4A" w:rsidP="00F23BC7">
      <w:pPr>
        <w:pStyle w:val="ListParagraph"/>
        <w:numPr>
          <w:ilvl w:val="0"/>
          <w:numId w:val="136"/>
        </w:numPr>
        <w:autoSpaceDE w:val="0"/>
        <w:autoSpaceDN w:val="0"/>
        <w:adjustRightInd w:val="0"/>
        <w:spacing w:before="240" w:after="120" w:line="276" w:lineRule="auto"/>
        <w:rPr>
          <w:rFonts w:ascii="Arial" w:hAnsi="Arial" w:cs="Arial"/>
        </w:rPr>
      </w:pPr>
      <w:r w:rsidRPr="00BF20CF">
        <w:rPr>
          <w:rFonts w:ascii="Arial" w:hAnsi="Arial" w:cs="Arial"/>
        </w:rPr>
        <w:t>Did Hydro Ottawa’s customer engagement activities provide data sufficient for Hydro Ottawa to differentiate between customers that indicated that “reliability should be maintained”, customers that indicated that “reliability should be improved”, and customers that indicated “reliability could be reduced” (or the equivalent statement)?</w:t>
      </w:r>
    </w:p>
    <w:p w14:paraId="5625447C" w14:textId="77777777" w:rsidR="009D5E4A" w:rsidRPr="00BF20CF" w:rsidRDefault="009D5E4A" w:rsidP="00F23BC7">
      <w:pPr>
        <w:pStyle w:val="ListParagraph"/>
        <w:numPr>
          <w:ilvl w:val="1"/>
          <w:numId w:val="136"/>
        </w:numPr>
        <w:autoSpaceDE w:val="0"/>
        <w:autoSpaceDN w:val="0"/>
        <w:adjustRightInd w:val="0"/>
        <w:spacing w:before="240" w:after="120" w:line="276" w:lineRule="auto"/>
        <w:rPr>
          <w:rFonts w:ascii="Arial" w:hAnsi="Arial" w:cs="Arial"/>
        </w:rPr>
      </w:pPr>
      <w:r w:rsidRPr="00BF20CF">
        <w:rPr>
          <w:rFonts w:ascii="Arial" w:hAnsi="Arial" w:cs="Arial"/>
        </w:rPr>
        <w:t>If yes, please provide data quantifying the different customer responses.</w:t>
      </w:r>
    </w:p>
    <w:p w14:paraId="6EC11A6B" w14:textId="0EB531D2" w:rsidR="009D5E4A" w:rsidRPr="00BF20CF" w:rsidRDefault="009D5E4A" w:rsidP="00F23BC7">
      <w:pPr>
        <w:pStyle w:val="ListParagraph"/>
        <w:numPr>
          <w:ilvl w:val="1"/>
          <w:numId w:val="136"/>
        </w:numPr>
        <w:autoSpaceDE w:val="0"/>
        <w:autoSpaceDN w:val="0"/>
        <w:adjustRightInd w:val="0"/>
        <w:spacing w:before="240" w:after="120" w:line="276" w:lineRule="auto"/>
        <w:rPr>
          <w:rFonts w:ascii="Arial" w:hAnsi="Arial" w:cs="Arial"/>
        </w:rPr>
      </w:pPr>
      <w:r w:rsidRPr="00BF20CF">
        <w:rPr>
          <w:rFonts w:ascii="Arial" w:hAnsi="Arial" w:cs="Arial"/>
        </w:rPr>
        <w:t>If not, why not?</w:t>
      </w:r>
    </w:p>
    <w:p w14:paraId="584501E8"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011F5EC1" w14:textId="77777777" w:rsidR="009D5E4A" w:rsidRPr="00BF20CF" w:rsidRDefault="009D5E4A" w:rsidP="00F23BC7">
      <w:pPr>
        <w:pStyle w:val="ListParagraph"/>
        <w:numPr>
          <w:ilvl w:val="0"/>
          <w:numId w:val="136"/>
        </w:numPr>
        <w:autoSpaceDE w:val="0"/>
        <w:autoSpaceDN w:val="0"/>
        <w:adjustRightInd w:val="0"/>
        <w:spacing w:before="240" w:after="120" w:line="276" w:lineRule="auto"/>
        <w:rPr>
          <w:rFonts w:ascii="Arial" w:hAnsi="Arial" w:cs="Arial"/>
        </w:rPr>
      </w:pPr>
      <w:r w:rsidRPr="00BF20CF">
        <w:rPr>
          <w:rFonts w:ascii="Arial" w:hAnsi="Arial" w:cs="Arial"/>
        </w:rPr>
        <w:lastRenderedPageBreak/>
        <w:t>Did Hydro Ottawa’s customer engagement activities provide data sufficient for Hydro Ottawa to differentiate between customers that indicated that “reliability should be maintained or improved, at minimal increased cost” and customers that indicated that “reliability should be maintained or improved, at no increased cost”, and customers that indicated that “reliability could be reduced if no increased cost” (or equivalent), and customers that indicated “reliability should be maintained at reduced cost” (or equivalent statement)?</w:t>
      </w:r>
    </w:p>
    <w:p w14:paraId="2B82CA89" w14:textId="77777777" w:rsidR="009D5E4A" w:rsidRPr="00BF20CF" w:rsidRDefault="009D5E4A" w:rsidP="00F23BC7">
      <w:pPr>
        <w:pStyle w:val="ListParagraph"/>
        <w:numPr>
          <w:ilvl w:val="1"/>
          <w:numId w:val="136"/>
        </w:numPr>
        <w:autoSpaceDE w:val="0"/>
        <w:autoSpaceDN w:val="0"/>
        <w:adjustRightInd w:val="0"/>
        <w:spacing w:before="240" w:after="120" w:line="276" w:lineRule="auto"/>
        <w:rPr>
          <w:rFonts w:ascii="Arial" w:hAnsi="Arial" w:cs="Arial"/>
        </w:rPr>
      </w:pPr>
      <w:r w:rsidRPr="00BF20CF">
        <w:rPr>
          <w:rFonts w:ascii="Arial" w:hAnsi="Arial" w:cs="Arial"/>
        </w:rPr>
        <w:t>If yes, please provide data quantifying the different customer responses.</w:t>
      </w:r>
    </w:p>
    <w:p w14:paraId="53A0BAFE" w14:textId="17D32DF4" w:rsidR="009D5E4A" w:rsidRPr="00BF20CF" w:rsidRDefault="009D5E4A" w:rsidP="00F23BC7">
      <w:pPr>
        <w:pStyle w:val="ListParagraph"/>
        <w:numPr>
          <w:ilvl w:val="1"/>
          <w:numId w:val="136"/>
        </w:numPr>
        <w:autoSpaceDE w:val="0"/>
        <w:autoSpaceDN w:val="0"/>
        <w:adjustRightInd w:val="0"/>
        <w:spacing w:before="240" w:after="120" w:line="276" w:lineRule="auto"/>
        <w:rPr>
          <w:rFonts w:ascii="Arial" w:hAnsi="Arial" w:cs="Arial"/>
        </w:rPr>
      </w:pPr>
      <w:r w:rsidRPr="00BF20CF">
        <w:rPr>
          <w:rFonts w:ascii="Arial" w:hAnsi="Arial" w:cs="Arial"/>
        </w:rPr>
        <w:t>If not, why not?</w:t>
      </w:r>
    </w:p>
    <w:p w14:paraId="583283B7" w14:textId="5D7B3996" w:rsidR="009D5E4A" w:rsidRPr="00BF20CF" w:rsidRDefault="00302AE5" w:rsidP="00302AE5">
      <w:pPr>
        <w:pStyle w:val="StaffHeader"/>
        <w:numPr>
          <w:ilvl w:val="0"/>
          <w:numId w:val="0"/>
        </w:numPr>
        <w:spacing w:before="0"/>
        <w:rPr>
          <w:rFonts w:cs="Arial"/>
          <w:szCs w:val="24"/>
          <w:u w:val="none"/>
        </w:rPr>
      </w:pPr>
      <w:r w:rsidRPr="00BF20CF">
        <w:rPr>
          <w:rFonts w:cs="Arial"/>
          <w:szCs w:val="24"/>
          <w:u w:val="none"/>
        </w:rPr>
        <w:t>2-Staff-10</w:t>
      </w:r>
    </w:p>
    <w:p w14:paraId="3EA8D47B"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pp. 8-9 of 374</w:t>
      </w:r>
    </w:p>
    <w:p w14:paraId="6DEC51B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E06D96E"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enhanced work coordination, Hydro Ottawa stated:</w:t>
      </w:r>
    </w:p>
    <w:p w14:paraId="07D01A9F" w14:textId="77777777" w:rsidR="009D5E4A" w:rsidRPr="00BF20CF" w:rsidRDefault="009D5E4A" w:rsidP="00302AE5">
      <w:pPr>
        <w:autoSpaceDE w:val="0"/>
        <w:autoSpaceDN w:val="0"/>
        <w:adjustRightInd w:val="0"/>
        <w:spacing w:before="120" w:after="120" w:line="276" w:lineRule="auto"/>
        <w:ind w:left="547"/>
        <w:rPr>
          <w:rFonts w:ascii="Arial" w:hAnsi="Arial" w:cs="Arial"/>
          <w:bCs/>
        </w:rPr>
      </w:pPr>
      <w:r w:rsidRPr="00BF20CF">
        <w:rPr>
          <w:rFonts w:ascii="Arial" w:hAnsi="Arial" w:cs="Arial"/>
          <w:bCs/>
        </w:rPr>
        <w:t xml:space="preserve">Over the course of 2015-2016, Hydro Ottawa introduced Mobile Workforce Management (“MWM”). This tool has been deployed across multiple groups in Operations (Collections, Metering, Forestry, Service trucks, Civil Inspection, etc.). The main strengths of the MWM system reside in its core capabilities to schedule and dispatch field work, including re-shuffling assignments to manage changes introduced during the day (e.g. cancellations and new high-priority work), and to enable communications through a mobile application to exchange information about work assignments, basic routing, work progress, and crew location. These strengths have resulted in improved work processes and productivity. </w:t>
      </w:r>
    </w:p>
    <w:p w14:paraId="5599E814" w14:textId="77777777" w:rsidR="009D5E4A" w:rsidRPr="00BF20CF" w:rsidRDefault="009D5E4A" w:rsidP="00302AE5">
      <w:pPr>
        <w:autoSpaceDE w:val="0"/>
        <w:autoSpaceDN w:val="0"/>
        <w:adjustRightInd w:val="0"/>
        <w:spacing w:before="120" w:after="120" w:line="276" w:lineRule="auto"/>
        <w:ind w:left="547"/>
        <w:rPr>
          <w:rFonts w:ascii="Arial" w:hAnsi="Arial" w:cs="Arial"/>
          <w:bCs/>
        </w:rPr>
      </w:pPr>
      <w:r w:rsidRPr="00BF20CF">
        <w:rPr>
          <w:rFonts w:ascii="Arial" w:hAnsi="Arial" w:cs="Arial"/>
          <w:bCs/>
        </w:rPr>
        <w:t xml:space="preserve">As the current tool has reached end-of-life and is no longer supported by the vendor, Hydro Ottawa will be replacing it with the new system in service by 2021. … Hydro Ottawa will be aiming to drive productivity by sourcing a tool with … the ability to forecast more realistic completion times… </w:t>
      </w:r>
    </w:p>
    <w:p w14:paraId="0C692873"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9418DCF" w14:textId="77777777" w:rsidR="009D5E4A" w:rsidRPr="00BF20CF" w:rsidRDefault="009D5E4A" w:rsidP="00F23BC7">
      <w:pPr>
        <w:pStyle w:val="ListParagraph"/>
        <w:numPr>
          <w:ilvl w:val="0"/>
          <w:numId w:val="92"/>
        </w:numPr>
        <w:autoSpaceDE w:val="0"/>
        <w:autoSpaceDN w:val="0"/>
        <w:adjustRightInd w:val="0"/>
        <w:spacing w:before="240" w:after="120" w:line="276" w:lineRule="auto"/>
        <w:rPr>
          <w:rFonts w:ascii="Arial" w:hAnsi="Arial" w:cs="Arial"/>
        </w:rPr>
      </w:pPr>
      <w:r w:rsidRPr="00BF20CF">
        <w:rPr>
          <w:rFonts w:ascii="Arial" w:hAnsi="Arial" w:cs="Arial"/>
        </w:rPr>
        <w:t>Has Hydro Ottawa quantified the improvements in work process and productivity since the implementation of MWM?</w:t>
      </w:r>
    </w:p>
    <w:p w14:paraId="22EA035C" w14:textId="0913D394" w:rsidR="009D5E4A" w:rsidRPr="00BF20CF" w:rsidRDefault="009D5E4A" w:rsidP="00F23BC7">
      <w:pPr>
        <w:pStyle w:val="ListParagraph"/>
        <w:numPr>
          <w:ilvl w:val="1"/>
          <w:numId w:val="92"/>
        </w:numPr>
        <w:autoSpaceDE w:val="0"/>
        <w:autoSpaceDN w:val="0"/>
        <w:adjustRightInd w:val="0"/>
        <w:spacing w:before="240" w:after="120" w:line="276" w:lineRule="auto"/>
        <w:rPr>
          <w:rFonts w:ascii="Arial" w:hAnsi="Arial" w:cs="Arial"/>
        </w:rPr>
      </w:pPr>
      <w:r w:rsidRPr="00BF20CF">
        <w:rPr>
          <w:rFonts w:ascii="Arial" w:hAnsi="Arial" w:cs="Arial"/>
        </w:rPr>
        <w:t>If yes, please provide examples.</w:t>
      </w:r>
    </w:p>
    <w:p w14:paraId="58A891C2"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068FAD01" w14:textId="77777777" w:rsidR="009D5E4A" w:rsidRPr="00BF20CF" w:rsidRDefault="009D5E4A" w:rsidP="00F23BC7">
      <w:pPr>
        <w:pStyle w:val="ListParagraph"/>
        <w:numPr>
          <w:ilvl w:val="0"/>
          <w:numId w:val="92"/>
        </w:numPr>
        <w:autoSpaceDE w:val="0"/>
        <w:autoSpaceDN w:val="0"/>
        <w:adjustRightInd w:val="0"/>
        <w:spacing w:before="240" w:after="120" w:line="276" w:lineRule="auto"/>
        <w:rPr>
          <w:rFonts w:ascii="Arial" w:hAnsi="Arial" w:cs="Arial"/>
        </w:rPr>
      </w:pPr>
      <w:r w:rsidRPr="00BF20CF">
        <w:rPr>
          <w:rFonts w:ascii="Arial" w:hAnsi="Arial" w:cs="Arial"/>
        </w:rPr>
        <w:t>Does the current tool not forecast realistic completion times?</w:t>
      </w:r>
    </w:p>
    <w:p w14:paraId="50ECA4E7" w14:textId="2450CBB3" w:rsidR="009D5E4A" w:rsidRPr="00BF20CF" w:rsidRDefault="009D5E4A" w:rsidP="00F23BC7">
      <w:pPr>
        <w:pStyle w:val="ListParagraph"/>
        <w:numPr>
          <w:ilvl w:val="1"/>
          <w:numId w:val="92"/>
        </w:numPr>
        <w:autoSpaceDE w:val="0"/>
        <w:autoSpaceDN w:val="0"/>
        <w:adjustRightInd w:val="0"/>
        <w:spacing w:before="240" w:after="120" w:line="276" w:lineRule="auto"/>
        <w:rPr>
          <w:rFonts w:ascii="Arial" w:hAnsi="Arial" w:cs="Arial"/>
        </w:rPr>
      </w:pPr>
      <w:r w:rsidRPr="00BF20CF">
        <w:rPr>
          <w:rFonts w:ascii="Arial" w:hAnsi="Arial" w:cs="Arial"/>
        </w:rPr>
        <w:t>If not, why not?</w:t>
      </w:r>
    </w:p>
    <w:p w14:paraId="217F0BD6" w14:textId="10248C11" w:rsidR="009D5E4A" w:rsidRPr="00BF20CF" w:rsidRDefault="00302AE5" w:rsidP="00302AE5">
      <w:pPr>
        <w:pStyle w:val="StaffHeader"/>
        <w:numPr>
          <w:ilvl w:val="0"/>
          <w:numId w:val="0"/>
        </w:numPr>
        <w:spacing w:before="0"/>
        <w:rPr>
          <w:rFonts w:cs="Arial"/>
          <w:szCs w:val="24"/>
          <w:u w:val="none"/>
        </w:rPr>
      </w:pPr>
      <w:r w:rsidRPr="00BF20CF">
        <w:rPr>
          <w:rFonts w:cs="Arial"/>
          <w:szCs w:val="24"/>
          <w:u w:val="none"/>
        </w:rPr>
        <w:lastRenderedPageBreak/>
        <w:t>2-Staff-11</w:t>
      </w:r>
    </w:p>
    <w:p w14:paraId="6C476C15"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pp. 12-13 of 374</w:t>
      </w:r>
    </w:p>
    <w:p w14:paraId="0B0A5698"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6A8CD87"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Hydro Ottawa stated that one of the goals and benefits of implementing its new GIS system is “increasing availability of asset condition data for risk based asset condition modelling”.</w:t>
      </w:r>
    </w:p>
    <w:p w14:paraId="34E17262" w14:textId="77777777" w:rsidR="009D5E4A" w:rsidRPr="00BF20CF" w:rsidRDefault="009D5E4A" w:rsidP="00F23BC7">
      <w:pPr>
        <w:keepNext/>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7EDF83C" w14:textId="77777777" w:rsidR="009D5E4A" w:rsidRPr="00BF20CF" w:rsidRDefault="009D5E4A" w:rsidP="00F23BC7">
      <w:pPr>
        <w:pStyle w:val="ListParagraph"/>
        <w:numPr>
          <w:ilvl w:val="0"/>
          <w:numId w:val="93"/>
        </w:numPr>
        <w:autoSpaceDE w:val="0"/>
        <w:autoSpaceDN w:val="0"/>
        <w:adjustRightInd w:val="0"/>
        <w:spacing w:before="240" w:after="120" w:line="276" w:lineRule="auto"/>
        <w:rPr>
          <w:rFonts w:ascii="Arial" w:hAnsi="Arial" w:cs="Arial"/>
        </w:rPr>
      </w:pPr>
      <w:r w:rsidRPr="00BF20CF">
        <w:rPr>
          <w:rFonts w:ascii="Arial" w:hAnsi="Arial" w:cs="Arial"/>
        </w:rPr>
        <w:t>Have the new risk analysis outputs been validated or calibrated against actual results? In other words, has using more asset condition data in the risk-based asset condition analysis created risk forecasts that align better with measured historical trends in performance or other risk measures?</w:t>
      </w:r>
    </w:p>
    <w:p w14:paraId="0F58FF73" w14:textId="562EBC15" w:rsidR="009D5E4A" w:rsidRPr="00BF20CF" w:rsidRDefault="009D5E4A" w:rsidP="00F23BC7">
      <w:pPr>
        <w:pStyle w:val="ListParagraph"/>
        <w:numPr>
          <w:ilvl w:val="1"/>
          <w:numId w:val="93"/>
        </w:numPr>
        <w:autoSpaceDE w:val="0"/>
        <w:autoSpaceDN w:val="0"/>
        <w:adjustRightInd w:val="0"/>
        <w:spacing w:before="240" w:after="120" w:line="276" w:lineRule="auto"/>
        <w:rPr>
          <w:rFonts w:ascii="Arial" w:hAnsi="Arial" w:cs="Arial"/>
        </w:rPr>
      </w:pPr>
      <w:r w:rsidRPr="00BF20CF">
        <w:rPr>
          <w:rFonts w:ascii="Arial" w:hAnsi="Arial" w:cs="Arial"/>
        </w:rPr>
        <w:t>If yes, please provide examples.</w:t>
      </w:r>
    </w:p>
    <w:p w14:paraId="59F24CE4" w14:textId="77777777" w:rsidR="00302AE5" w:rsidRPr="00BF20CF" w:rsidRDefault="00302AE5" w:rsidP="00302AE5">
      <w:pPr>
        <w:pStyle w:val="ListParagraph"/>
        <w:autoSpaceDE w:val="0"/>
        <w:autoSpaceDN w:val="0"/>
        <w:adjustRightInd w:val="0"/>
        <w:spacing w:before="240" w:after="120" w:line="276" w:lineRule="auto"/>
        <w:ind w:left="1440"/>
        <w:rPr>
          <w:rFonts w:ascii="Arial" w:hAnsi="Arial" w:cs="Arial"/>
        </w:rPr>
      </w:pPr>
    </w:p>
    <w:p w14:paraId="644C9699" w14:textId="5D7AA898" w:rsidR="009D5E4A" w:rsidRPr="00BF20CF" w:rsidRDefault="00302AE5" w:rsidP="00302AE5">
      <w:pPr>
        <w:pStyle w:val="StaffHeader"/>
        <w:numPr>
          <w:ilvl w:val="0"/>
          <w:numId w:val="0"/>
        </w:numPr>
        <w:spacing w:before="0"/>
        <w:rPr>
          <w:rFonts w:cs="Arial"/>
          <w:szCs w:val="24"/>
          <w:u w:val="none"/>
        </w:rPr>
      </w:pPr>
      <w:r w:rsidRPr="00BF20CF">
        <w:rPr>
          <w:rFonts w:cs="Arial"/>
          <w:szCs w:val="24"/>
          <w:u w:val="none"/>
        </w:rPr>
        <w:t>2-Staff-12</w:t>
      </w:r>
    </w:p>
    <w:p w14:paraId="7D605C90"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13 of 374</w:t>
      </w:r>
    </w:p>
    <w:p w14:paraId="74CC0AA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52C0A851" w14:textId="47BD8733" w:rsidR="009D5E4A" w:rsidRPr="00BF20CF" w:rsidRDefault="00DB0BEB" w:rsidP="00F23BC7">
      <w:pPr>
        <w:autoSpaceDE w:val="0"/>
        <w:autoSpaceDN w:val="0"/>
        <w:adjustRightInd w:val="0"/>
        <w:spacing w:before="240" w:after="120" w:line="276" w:lineRule="auto"/>
        <w:rPr>
          <w:rFonts w:ascii="Arial" w:hAnsi="Arial" w:cs="Arial"/>
          <w:bCs/>
        </w:rPr>
      </w:pPr>
      <w:r w:rsidRPr="00BF20CF">
        <w:rPr>
          <w:rFonts w:ascii="Arial" w:hAnsi="Arial" w:cs="Arial"/>
          <w:bCs/>
        </w:rPr>
        <w:t>Hydro Ottawa proposed to restructure some of</w:t>
      </w:r>
      <w:r w:rsidR="009D5E4A" w:rsidRPr="00BF20CF">
        <w:rPr>
          <w:rFonts w:ascii="Arial" w:hAnsi="Arial" w:cs="Arial"/>
          <w:bCs/>
        </w:rPr>
        <w:t xml:space="preserve"> its capital program </w:t>
      </w:r>
      <w:r w:rsidRPr="00BF20CF">
        <w:rPr>
          <w:rFonts w:ascii="Arial" w:hAnsi="Arial" w:cs="Arial"/>
          <w:bCs/>
        </w:rPr>
        <w:t xml:space="preserve">in this application. For example, </w:t>
      </w:r>
      <w:r w:rsidR="009D5E4A" w:rsidRPr="00BF20CF">
        <w:rPr>
          <w:rFonts w:ascii="Arial" w:hAnsi="Arial" w:cs="Arial"/>
          <w:bCs/>
        </w:rPr>
        <w:t>Hydro Ottawa stated that “the Metering Program was moved to System Service, since the main driver of gaining the ability to remotely disconnect and reconnect the meter better aligns with the System Efficiency driver under System Service Investment category.”</w:t>
      </w:r>
    </w:p>
    <w:p w14:paraId="4405FF92"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52A5D34" w14:textId="1FB36D4B" w:rsidR="009D5E4A" w:rsidRPr="00BF20CF" w:rsidRDefault="009D5E4A" w:rsidP="00F23BC7">
      <w:pPr>
        <w:pStyle w:val="ListParagraph"/>
        <w:numPr>
          <w:ilvl w:val="0"/>
          <w:numId w:val="94"/>
        </w:numPr>
        <w:autoSpaceDE w:val="0"/>
        <w:autoSpaceDN w:val="0"/>
        <w:adjustRightInd w:val="0"/>
        <w:spacing w:before="240" w:after="120" w:line="276" w:lineRule="auto"/>
        <w:rPr>
          <w:rFonts w:ascii="Arial" w:hAnsi="Arial" w:cs="Arial"/>
        </w:rPr>
      </w:pPr>
      <w:r w:rsidRPr="00BF20CF">
        <w:rPr>
          <w:rFonts w:ascii="Arial" w:hAnsi="Arial" w:cs="Arial"/>
        </w:rPr>
        <w:t xml:space="preserve">Please map Hydro Ottawa’s </w:t>
      </w:r>
      <w:proofErr w:type="spellStart"/>
      <w:r w:rsidRPr="00BF20CF">
        <w:rPr>
          <w:rFonts w:ascii="Arial" w:hAnsi="Arial" w:cs="Arial"/>
        </w:rPr>
        <w:t>recategorized</w:t>
      </w:r>
      <w:proofErr w:type="spellEnd"/>
      <w:r w:rsidRPr="00BF20CF">
        <w:rPr>
          <w:rFonts w:ascii="Arial" w:hAnsi="Arial" w:cs="Arial"/>
        </w:rPr>
        <w:t xml:space="preserve"> spending to enable continuity evaluation between historical and forecast spending by </w:t>
      </w:r>
      <w:r w:rsidR="00512FF1" w:rsidRPr="00BF20CF">
        <w:rPr>
          <w:rFonts w:ascii="Arial" w:hAnsi="Arial" w:cs="Arial"/>
        </w:rPr>
        <w:t>capital program</w:t>
      </w:r>
      <w:r w:rsidRPr="00BF20CF">
        <w:rPr>
          <w:rFonts w:ascii="Arial" w:hAnsi="Arial" w:cs="Arial"/>
        </w:rPr>
        <w:t xml:space="preserve"> (i.e. as set out in Exhibit 2 / Tab 4 / Schedule 3 / page 349 of 374, Appendix C)?</w:t>
      </w:r>
    </w:p>
    <w:p w14:paraId="41749ACE"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35467393" w14:textId="0CC960D4" w:rsidR="009D5E4A" w:rsidRPr="00BF20CF" w:rsidRDefault="009D5E4A" w:rsidP="00F23BC7">
      <w:pPr>
        <w:pStyle w:val="ListParagraph"/>
        <w:numPr>
          <w:ilvl w:val="0"/>
          <w:numId w:val="94"/>
        </w:numPr>
        <w:autoSpaceDE w:val="0"/>
        <w:autoSpaceDN w:val="0"/>
        <w:adjustRightInd w:val="0"/>
        <w:spacing w:before="240" w:after="120" w:line="276" w:lineRule="auto"/>
        <w:rPr>
          <w:rFonts w:ascii="Arial" w:hAnsi="Arial" w:cs="Arial"/>
        </w:rPr>
      </w:pPr>
      <w:r w:rsidRPr="00BF20CF">
        <w:rPr>
          <w:rFonts w:ascii="Arial" w:hAnsi="Arial" w:cs="Arial"/>
        </w:rPr>
        <w:t>Is Hydro Ottawa able to demonstrate that there are no unexplained step changes in capital spending on specific asset categories through this category transition?</w:t>
      </w:r>
    </w:p>
    <w:p w14:paraId="24946887"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6ACCA684" w14:textId="42EE7FBF" w:rsidR="009D5E4A" w:rsidRPr="00BF20CF" w:rsidRDefault="009D5E4A" w:rsidP="00F23BC7">
      <w:pPr>
        <w:pStyle w:val="ListParagraph"/>
        <w:numPr>
          <w:ilvl w:val="0"/>
          <w:numId w:val="94"/>
        </w:numPr>
        <w:autoSpaceDE w:val="0"/>
        <w:autoSpaceDN w:val="0"/>
        <w:adjustRightInd w:val="0"/>
        <w:spacing w:before="240" w:after="120" w:line="276" w:lineRule="auto"/>
        <w:rPr>
          <w:rFonts w:ascii="Arial" w:hAnsi="Arial" w:cs="Arial"/>
        </w:rPr>
      </w:pPr>
      <w:r w:rsidRPr="00BF20CF">
        <w:rPr>
          <w:rFonts w:ascii="Arial" w:hAnsi="Arial" w:cs="Arial"/>
        </w:rPr>
        <w:t xml:space="preserve">Which </w:t>
      </w:r>
      <w:r w:rsidR="000E5A4E" w:rsidRPr="00BF20CF">
        <w:rPr>
          <w:rFonts w:ascii="Arial" w:hAnsi="Arial" w:cs="Arial"/>
        </w:rPr>
        <w:t>capital program</w:t>
      </w:r>
      <w:r w:rsidRPr="00BF20CF">
        <w:rPr>
          <w:rFonts w:ascii="Arial" w:hAnsi="Arial" w:cs="Arial"/>
        </w:rPr>
        <w:t xml:space="preserve"> category was the Metering Program under </w:t>
      </w:r>
      <w:r w:rsidR="000E5A4E" w:rsidRPr="00BF20CF">
        <w:rPr>
          <w:rFonts w:ascii="Arial" w:hAnsi="Arial" w:cs="Arial"/>
        </w:rPr>
        <w:t xml:space="preserve">for 2016-2020 </w:t>
      </w:r>
      <w:r w:rsidRPr="00BF20CF">
        <w:rPr>
          <w:rFonts w:ascii="Arial" w:hAnsi="Arial" w:cs="Arial"/>
        </w:rPr>
        <w:t>in App 2-AA</w:t>
      </w:r>
      <w:r w:rsidR="00512431" w:rsidRPr="00BF20CF">
        <w:rPr>
          <w:rFonts w:ascii="Arial" w:hAnsi="Arial" w:cs="Arial"/>
        </w:rPr>
        <w:t xml:space="preserve">: </w:t>
      </w:r>
      <w:r w:rsidR="00D61488" w:rsidRPr="00BF20CF">
        <w:rPr>
          <w:rFonts w:ascii="Arial" w:hAnsi="Arial" w:cs="Arial"/>
        </w:rPr>
        <w:t>Capital Programs Table</w:t>
      </w:r>
      <w:r w:rsidRPr="00BF20CF">
        <w:rPr>
          <w:rFonts w:ascii="Arial" w:hAnsi="Arial" w:cs="Arial"/>
        </w:rPr>
        <w:t>?</w:t>
      </w:r>
    </w:p>
    <w:p w14:paraId="52A79D20" w14:textId="77777777" w:rsidR="00DC1410" w:rsidRPr="00BF20CF" w:rsidRDefault="00DC1410" w:rsidP="00DC1410">
      <w:pPr>
        <w:pStyle w:val="ListParagraph"/>
        <w:autoSpaceDE w:val="0"/>
        <w:autoSpaceDN w:val="0"/>
        <w:adjustRightInd w:val="0"/>
        <w:spacing w:before="240" w:after="120" w:line="276" w:lineRule="auto"/>
        <w:rPr>
          <w:rFonts w:ascii="Arial" w:hAnsi="Arial" w:cs="Arial"/>
        </w:rPr>
      </w:pPr>
    </w:p>
    <w:p w14:paraId="481D072B" w14:textId="41E84093" w:rsidR="009D5E4A" w:rsidRPr="00BF20CF" w:rsidRDefault="009D5E4A" w:rsidP="00F23BC7">
      <w:pPr>
        <w:pStyle w:val="ListParagraph"/>
        <w:numPr>
          <w:ilvl w:val="0"/>
          <w:numId w:val="94"/>
        </w:numPr>
        <w:autoSpaceDE w:val="0"/>
        <w:autoSpaceDN w:val="0"/>
        <w:adjustRightInd w:val="0"/>
        <w:spacing w:before="240" w:after="120" w:line="276" w:lineRule="auto"/>
        <w:rPr>
          <w:rFonts w:ascii="Arial" w:hAnsi="Arial" w:cs="Arial"/>
        </w:rPr>
      </w:pPr>
      <w:r w:rsidRPr="00BF20CF">
        <w:rPr>
          <w:rFonts w:ascii="Arial" w:hAnsi="Arial" w:cs="Arial"/>
        </w:rPr>
        <w:t xml:space="preserve">Is Hydro Ottawa aware if other LDCs are similarly </w:t>
      </w:r>
      <w:proofErr w:type="spellStart"/>
      <w:r w:rsidRPr="00BF20CF">
        <w:rPr>
          <w:rFonts w:ascii="Arial" w:hAnsi="Arial" w:cs="Arial"/>
        </w:rPr>
        <w:t>recategorizing</w:t>
      </w:r>
      <w:proofErr w:type="spellEnd"/>
      <w:r w:rsidRPr="00BF20CF">
        <w:rPr>
          <w:rFonts w:ascii="Arial" w:hAnsi="Arial" w:cs="Arial"/>
        </w:rPr>
        <w:t xml:space="preserve"> these investments or is this </w:t>
      </w:r>
      <w:proofErr w:type="spellStart"/>
      <w:r w:rsidRPr="00BF20CF">
        <w:rPr>
          <w:rFonts w:ascii="Arial" w:hAnsi="Arial" w:cs="Arial"/>
        </w:rPr>
        <w:t>recategorization</w:t>
      </w:r>
      <w:proofErr w:type="spellEnd"/>
      <w:r w:rsidRPr="00BF20CF">
        <w:rPr>
          <w:rFonts w:ascii="Arial" w:hAnsi="Arial" w:cs="Arial"/>
        </w:rPr>
        <w:t xml:space="preserve"> unique to Hydro Ottawa?</w:t>
      </w:r>
    </w:p>
    <w:p w14:paraId="28C0F28F" w14:textId="77777777" w:rsidR="00836ACE" w:rsidRPr="00BF20CF" w:rsidRDefault="00836ACE" w:rsidP="00836ACE">
      <w:pPr>
        <w:pStyle w:val="ListParagraph"/>
        <w:rPr>
          <w:rFonts w:ascii="Arial" w:hAnsi="Arial" w:cs="Arial"/>
        </w:rPr>
      </w:pPr>
    </w:p>
    <w:p w14:paraId="1CA8E825" w14:textId="657734DC" w:rsidR="009D5E4A" w:rsidRPr="00BF20CF" w:rsidRDefault="00302AE5" w:rsidP="00302AE5">
      <w:pPr>
        <w:pStyle w:val="StaffHeader"/>
        <w:numPr>
          <w:ilvl w:val="0"/>
          <w:numId w:val="0"/>
        </w:numPr>
        <w:spacing w:before="240"/>
        <w:rPr>
          <w:rFonts w:cs="Arial"/>
          <w:szCs w:val="24"/>
          <w:u w:val="none"/>
        </w:rPr>
      </w:pPr>
      <w:r w:rsidRPr="00BF20CF">
        <w:rPr>
          <w:rFonts w:cs="Arial"/>
          <w:szCs w:val="24"/>
          <w:u w:val="none"/>
        </w:rPr>
        <w:t>2-Staff-13</w:t>
      </w:r>
    </w:p>
    <w:p w14:paraId="12348D4F" w14:textId="77777777" w:rsidR="00F24742"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pp. 21-22 of 374</w:t>
      </w:r>
    </w:p>
    <w:p w14:paraId="22A18BC3" w14:textId="764A0F29" w:rsidR="009D5E4A" w:rsidRPr="00BF20CF" w:rsidRDefault="009D5E4A" w:rsidP="00836ACE">
      <w:pPr>
        <w:spacing w:line="276" w:lineRule="auto"/>
        <w:ind w:left="720"/>
        <w:rPr>
          <w:rFonts w:ascii="Arial" w:hAnsi="Arial" w:cs="Arial"/>
          <w:b/>
        </w:rPr>
      </w:pPr>
      <w:r w:rsidRPr="00BF20CF">
        <w:rPr>
          <w:rFonts w:ascii="Arial" w:hAnsi="Arial" w:cs="Arial"/>
          <w:b/>
        </w:rPr>
        <w:t>Exhibit 2 / Tab 4 / Schedule 3 / page 24 of 374</w:t>
      </w:r>
    </w:p>
    <w:p w14:paraId="2A7B6A1E"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5BA2D62A"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the City of Ottawa’s Energy Evolution program, Hydro Ottawa stated:</w:t>
      </w:r>
    </w:p>
    <w:p w14:paraId="10FEFE39"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Hydro Ottawa has been actively engaged in the Energy Evolution initiative since its inception and has taken the strategy’s goals into consideration in the development of the DSP. Where appropriate, the DSP highlights planned actions and expenditures that are complementary to Energy Evolution’s objectives. For example, the expansion of station capacity can support increased accommodation of renewable energy projects through such measures as the installation of transformers which are designed to enable reverse-flow capabilities.</w:t>
      </w:r>
    </w:p>
    <w:p w14:paraId="216B98F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Ottawa Light Rail Transit, Hydro Ottawa stated:</w:t>
      </w:r>
    </w:p>
    <w:p w14:paraId="37D70CEC"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The impacts and planning considerations of LRT construction have been incorporated into the development of the DSP, where appropriate. For example, the station capacity required to support the constructed and forecasted LRT loads have been included in the utility’s system capacity planning.</w:t>
      </w:r>
    </w:p>
    <w:p w14:paraId="50179C7D" w14:textId="77777777" w:rsidR="009D5E4A" w:rsidRPr="00BF20CF" w:rsidRDefault="009D5E4A" w:rsidP="00F23BC7">
      <w:pPr>
        <w:keepNext/>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4DB50AF" w14:textId="77777777" w:rsidR="009D5E4A" w:rsidRPr="00BF20CF" w:rsidRDefault="009D5E4A" w:rsidP="00F23BC7">
      <w:pPr>
        <w:pStyle w:val="ListParagraph"/>
        <w:numPr>
          <w:ilvl w:val="0"/>
          <w:numId w:val="95"/>
        </w:numPr>
        <w:autoSpaceDE w:val="0"/>
        <w:autoSpaceDN w:val="0"/>
        <w:adjustRightInd w:val="0"/>
        <w:spacing w:before="240" w:after="120" w:line="276" w:lineRule="auto"/>
        <w:rPr>
          <w:rFonts w:ascii="Arial" w:hAnsi="Arial" w:cs="Arial"/>
        </w:rPr>
      </w:pPr>
      <w:r w:rsidRPr="00BF20CF">
        <w:rPr>
          <w:rFonts w:ascii="Arial" w:hAnsi="Arial" w:cs="Arial"/>
        </w:rPr>
        <w:t>Are any of the forecast capital investments solely or primarily driven by Energy Evolution objectives?</w:t>
      </w:r>
    </w:p>
    <w:p w14:paraId="5CB32B47" w14:textId="3A321E4E" w:rsidR="009D5E4A" w:rsidRPr="00BF20CF" w:rsidRDefault="009D5E4A" w:rsidP="00F23BC7">
      <w:pPr>
        <w:pStyle w:val="ListParagraph"/>
        <w:numPr>
          <w:ilvl w:val="1"/>
          <w:numId w:val="95"/>
        </w:numPr>
        <w:autoSpaceDE w:val="0"/>
        <w:autoSpaceDN w:val="0"/>
        <w:adjustRightInd w:val="0"/>
        <w:spacing w:before="240" w:after="120" w:line="276" w:lineRule="auto"/>
        <w:rPr>
          <w:rFonts w:ascii="Arial" w:hAnsi="Arial" w:cs="Arial"/>
        </w:rPr>
      </w:pPr>
      <w:r w:rsidRPr="00BF20CF">
        <w:rPr>
          <w:rFonts w:ascii="Arial" w:hAnsi="Arial" w:cs="Arial"/>
        </w:rPr>
        <w:t>If yes, please identify those investments and quantify the investment amounts.</w:t>
      </w:r>
    </w:p>
    <w:p w14:paraId="2FC15953" w14:textId="77777777" w:rsidR="00120AA2" w:rsidRPr="00BF20CF" w:rsidRDefault="00120AA2" w:rsidP="00120AA2">
      <w:pPr>
        <w:pStyle w:val="ListParagraph"/>
        <w:autoSpaceDE w:val="0"/>
        <w:autoSpaceDN w:val="0"/>
        <w:adjustRightInd w:val="0"/>
        <w:spacing w:before="240" w:after="120" w:line="276" w:lineRule="auto"/>
        <w:rPr>
          <w:rFonts w:ascii="Arial" w:hAnsi="Arial" w:cs="Arial"/>
        </w:rPr>
      </w:pPr>
    </w:p>
    <w:p w14:paraId="60903D99" w14:textId="60EC13FE" w:rsidR="009D5E4A" w:rsidRPr="00BF20CF" w:rsidRDefault="009D5E4A" w:rsidP="00F23BC7">
      <w:pPr>
        <w:pStyle w:val="ListParagraph"/>
        <w:numPr>
          <w:ilvl w:val="0"/>
          <w:numId w:val="95"/>
        </w:numPr>
        <w:autoSpaceDE w:val="0"/>
        <w:autoSpaceDN w:val="0"/>
        <w:adjustRightInd w:val="0"/>
        <w:spacing w:before="240" w:after="120" w:line="276" w:lineRule="auto"/>
        <w:rPr>
          <w:rFonts w:ascii="Arial" w:hAnsi="Arial" w:cs="Arial"/>
        </w:rPr>
      </w:pPr>
      <w:r w:rsidRPr="00BF20CF">
        <w:rPr>
          <w:rFonts w:ascii="Arial" w:hAnsi="Arial" w:cs="Arial"/>
        </w:rPr>
        <w:t>What are the gross and net (of customer contributions) levels of electric system spending related to transit facil</w:t>
      </w:r>
      <w:r w:rsidR="00D61488" w:rsidRPr="00BF20CF">
        <w:rPr>
          <w:rFonts w:ascii="Arial" w:hAnsi="Arial" w:cs="Arial"/>
        </w:rPr>
        <w:t>ity developments during the 2016</w:t>
      </w:r>
      <w:r w:rsidRPr="00BF20CF">
        <w:rPr>
          <w:rFonts w:ascii="Arial" w:hAnsi="Arial" w:cs="Arial"/>
        </w:rPr>
        <w:t>-2020 period?</w:t>
      </w:r>
    </w:p>
    <w:p w14:paraId="5BC7ECE9" w14:textId="77777777" w:rsidR="00120AA2" w:rsidRPr="00BF20CF" w:rsidRDefault="00120AA2" w:rsidP="00120AA2">
      <w:pPr>
        <w:pStyle w:val="ListParagraph"/>
        <w:autoSpaceDE w:val="0"/>
        <w:autoSpaceDN w:val="0"/>
        <w:adjustRightInd w:val="0"/>
        <w:spacing w:before="240" w:after="120" w:line="276" w:lineRule="auto"/>
        <w:rPr>
          <w:rFonts w:ascii="Arial" w:hAnsi="Arial" w:cs="Arial"/>
        </w:rPr>
      </w:pPr>
    </w:p>
    <w:p w14:paraId="18980B9F" w14:textId="0793825A" w:rsidR="009D5E4A" w:rsidRPr="00BF20CF" w:rsidRDefault="009D5E4A" w:rsidP="00F23BC7">
      <w:pPr>
        <w:pStyle w:val="ListParagraph"/>
        <w:numPr>
          <w:ilvl w:val="0"/>
          <w:numId w:val="95"/>
        </w:numPr>
        <w:autoSpaceDE w:val="0"/>
        <w:autoSpaceDN w:val="0"/>
        <w:adjustRightInd w:val="0"/>
        <w:spacing w:before="240" w:after="120" w:line="276" w:lineRule="auto"/>
        <w:rPr>
          <w:rFonts w:ascii="Arial" w:hAnsi="Arial" w:cs="Arial"/>
        </w:rPr>
      </w:pPr>
      <w:r w:rsidRPr="00BF20CF">
        <w:rPr>
          <w:rFonts w:ascii="Arial" w:hAnsi="Arial" w:cs="Arial"/>
        </w:rPr>
        <w:lastRenderedPageBreak/>
        <w:t>During the test period, is the level of transit facilities-related electric system spending forecast to increase, hold or decline from the historical levels?</w:t>
      </w:r>
    </w:p>
    <w:p w14:paraId="40FC5AA9" w14:textId="77777777" w:rsidR="00120AA2" w:rsidRPr="00BF20CF" w:rsidRDefault="00120AA2" w:rsidP="00120AA2">
      <w:pPr>
        <w:pStyle w:val="ListParagraph"/>
        <w:autoSpaceDE w:val="0"/>
        <w:autoSpaceDN w:val="0"/>
        <w:adjustRightInd w:val="0"/>
        <w:spacing w:before="240" w:after="120" w:line="276" w:lineRule="auto"/>
        <w:rPr>
          <w:rFonts w:ascii="Arial" w:hAnsi="Arial" w:cs="Arial"/>
        </w:rPr>
      </w:pPr>
    </w:p>
    <w:p w14:paraId="1C02A1F7" w14:textId="1D59C88F" w:rsidR="009D5E4A" w:rsidRPr="00BF20CF" w:rsidRDefault="009D5E4A" w:rsidP="00F23BC7">
      <w:pPr>
        <w:pStyle w:val="ListParagraph"/>
        <w:numPr>
          <w:ilvl w:val="0"/>
          <w:numId w:val="95"/>
        </w:numPr>
        <w:autoSpaceDE w:val="0"/>
        <w:autoSpaceDN w:val="0"/>
        <w:adjustRightInd w:val="0"/>
        <w:spacing w:before="240" w:after="120" w:line="276" w:lineRule="auto"/>
        <w:rPr>
          <w:rFonts w:ascii="Arial" w:hAnsi="Arial" w:cs="Arial"/>
        </w:rPr>
      </w:pPr>
      <w:r w:rsidRPr="00BF20CF">
        <w:rPr>
          <w:rFonts w:ascii="Arial" w:hAnsi="Arial" w:cs="Arial"/>
        </w:rPr>
        <w:t>Please identify and quantify any LRT-driven expenditures expected to be required through the test period.</w:t>
      </w:r>
    </w:p>
    <w:p w14:paraId="5A866189" w14:textId="77777777" w:rsidR="00836ACE" w:rsidRPr="00BF20CF" w:rsidRDefault="00836ACE" w:rsidP="00836ACE">
      <w:pPr>
        <w:pStyle w:val="ListParagraph"/>
        <w:rPr>
          <w:rFonts w:ascii="Arial" w:hAnsi="Arial" w:cs="Arial"/>
        </w:rPr>
      </w:pPr>
    </w:p>
    <w:p w14:paraId="2C0C33FC" w14:textId="3B536F2E" w:rsidR="009D5E4A" w:rsidRPr="00BF20CF" w:rsidRDefault="00302AE5" w:rsidP="00302AE5">
      <w:pPr>
        <w:pStyle w:val="StaffHeader"/>
        <w:numPr>
          <w:ilvl w:val="0"/>
          <w:numId w:val="0"/>
        </w:numPr>
        <w:spacing w:before="240"/>
        <w:rPr>
          <w:rFonts w:cs="Arial"/>
          <w:szCs w:val="24"/>
          <w:u w:val="none"/>
        </w:rPr>
      </w:pPr>
      <w:r w:rsidRPr="00BF20CF">
        <w:rPr>
          <w:rFonts w:cs="Arial"/>
          <w:szCs w:val="24"/>
          <w:u w:val="none"/>
        </w:rPr>
        <w:t>2-Staff-14</w:t>
      </w:r>
    </w:p>
    <w:p w14:paraId="1FAC6DD1"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pp. 28-29 of 374</w:t>
      </w:r>
    </w:p>
    <w:p w14:paraId="34FDB82E"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48F7A9B"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distribution service area, Hydro Ottawa stated:</w:t>
      </w:r>
    </w:p>
    <w:p w14:paraId="0F5F4123" w14:textId="77777777" w:rsidR="009D5E4A" w:rsidRPr="00BF20CF" w:rsidRDefault="009D5E4A" w:rsidP="00302AE5">
      <w:pPr>
        <w:autoSpaceDE w:val="0"/>
        <w:autoSpaceDN w:val="0"/>
        <w:adjustRightInd w:val="0"/>
        <w:spacing w:line="276" w:lineRule="auto"/>
        <w:ind w:left="547"/>
        <w:rPr>
          <w:rFonts w:ascii="Arial" w:hAnsi="Arial" w:cs="Arial"/>
          <w:bCs/>
        </w:rPr>
      </w:pPr>
      <w:r w:rsidRPr="00BF20CF">
        <w:rPr>
          <w:rFonts w:ascii="Arial" w:hAnsi="Arial" w:cs="Arial"/>
          <w:bCs/>
        </w:rPr>
        <w:t>The Hydro Ottawa system peaks in the summer at a level that has remained relatively constant (maximum of 1,518 MW in 2010 and minimum of 1,308 MW in 2014) over the past decade. … Figure 2.2 depicts the net system summer peak (i.e. including embedded generation) over the last 10-year period.</w:t>
      </w:r>
    </w:p>
    <w:p w14:paraId="5452915D" w14:textId="77777777" w:rsidR="009D5E4A" w:rsidRPr="00BF20CF" w:rsidRDefault="009D5E4A" w:rsidP="00302AE5">
      <w:pPr>
        <w:autoSpaceDE w:val="0"/>
        <w:autoSpaceDN w:val="0"/>
        <w:adjustRightInd w:val="0"/>
        <w:spacing w:line="276" w:lineRule="auto"/>
        <w:ind w:left="547"/>
        <w:rPr>
          <w:rFonts w:ascii="Arial" w:hAnsi="Arial" w:cs="Arial"/>
          <w:bCs/>
        </w:rPr>
      </w:pPr>
    </w:p>
    <w:p w14:paraId="7E9F78B8" w14:textId="77777777" w:rsidR="009D5E4A" w:rsidRPr="00BF20CF" w:rsidRDefault="009D5E4A" w:rsidP="00F23BC7">
      <w:pPr>
        <w:spacing w:before="240" w:after="120" w:line="276" w:lineRule="auto"/>
        <w:jc w:val="center"/>
        <w:rPr>
          <w:rFonts w:ascii="Arial" w:hAnsi="Arial" w:cs="Arial"/>
          <w:bCs/>
        </w:rPr>
      </w:pPr>
      <w:r w:rsidRPr="00BF20CF">
        <w:rPr>
          <w:rFonts w:ascii="Arial" w:hAnsi="Arial" w:cs="Arial"/>
          <w:noProof/>
        </w:rPr>
        <w:drawing>
          <wp:inline distT="0" distB="0" distL="0" distR="0" wp14:anchorId="40A3C5CC" wp14:editId="65E7F740">
            <wp:extent cx="4510585" cy="2645632"/>
            <wp:effectExtent l="0" t="0" r="444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4802" cy="2653971"/>
                    </a:xfrm>
                    <a:prstGeom prst="rect">
                      <a:avLst/>
                    </a:prstGeom>
                  </pic:spPr>
                </pic:pic>
              </a:graphicData>
            </a:graphic>
          </wp:inline>
        </w:drawing>
      </w:r>
    </w:p>
    <w:p w14:paraId="2CB06597"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06361226" w14:textId="7FC1B2E1" w:rsidR="009D5E4A" w:rsidRPr="00BF20CF" w:rsidRDefault="009D5E4A" w:rsidP="00F23BC7">
      <w:pPr>
        <w:pStyle w:val="ListParagraph"/>
        <w:numPr>
          <w:ilvl w:val="0"/>
          <w:numId w:val="96"/>
        </w:numPr>
        <w:autoSpaceDE w:val="0"/>
        <w:autoSpaceDN w:val="0"/>
        <w:adjustRightInd w:val="0"/>
        <w:spacing w:before="240" w:after="120" w:line="276" w:lineRule="auto"/>
        <w:rPr>
          <w:rFonts w:ascii="Arial" w:hAnsi="Arial" w:cs="Arial"/>
        </w:rPr>
      </w:pPr>
      <w:r w:rsidRPr="00BF20CF">
        <w:rPr>
          <w:rFonts w:ascii="Arial" w:hAnsi="Arial" w:cs="Arial"/>
        </w:rPr>
        <w:t>Given the relatively flat or downward-trending net system summer peak load profile over the past decade, are the proposed capacity investments attributable solely to localized constraints driven by localized/suburb load additions?</w:t>
      </w:r>
    </w:p>
    <w:p w14:paraId="44F86217" w14:textId="77777777" w:rsidR="00120AA2" w:rsidRPr="00BF20CF" w:rsidRDefault="00120AA2" w:rsidP="00120AA2">
      <w:pPr>
        <w:pStyle w:val="ListParagraph"/>
        <w:autoSpaceDE w:val="0"/>
        <w:autoSpaceDN w:val="0"/>
        <w:adjustRightInd w:val="0"/>
        <w:spacing w:before="240" w:after="120" w:line="276" w:lineRule="auto"/>
        <w:rPr>
          <w:rFonts w:ascii="Arial" w:hAnsi="Arial" w:cs="Arial"/>
        </w:rPr>
      </w:pPr>
    </w:p>
    <w:p w14:paraId="6362E96F" w14:textId="006BE670" w:rsidR="009D5E4A" w:rsidRPr="00BF20CF" w:rsidRDefault="009D5E4A" w:rsidP="00F23BC7">
      <w:pPr>
        <w:pStyle w:val="ListParagraph"/>
        <w:numPr>
          <w:ilvl w:val="0"/>
          <w:numId w:val="96"/>
        </w:numPr>
        <w:autoSpaceDE w:val="0"/>
        <w:autoSpaceDN w:val="0"/>
        <w:adjustRightInd w:val="0"/>
        <w:spacing w:before="240" w:after="120" w:line="276" w:lineRule="auto"/>
        <w:rPr>
          <w:rFonts w:ascii="Arial" w:hAnsi="Arial" w:cs="Arial"/>
        </w:rPr>
      </w:pPr>
      <w:r w:rsidRPr="00BF20CF">
        <w:rPr>
          <w:rFonts w:ascii="Arial" w:hAnsi="Arial" w:cs="Arial"/>
        </w:rPr>
        <w:t>Are operating margins increasing elsewhere in the system where loads are not growing or are shrinking?</w:t>
      </w:r>
    </w:p>
    <w:p w14:paraId="4CD075F7" w14:textId="77777777" w:rsidR="00302AE5" w:rsidRPr="00BF20CF" w:rsidRDefault="00302AE5" w:rsidP="00302AE5">
      <w:pPr>
        <w:pStyle w:val="ListParagraph"/>
        <w:rPr>
          <w:rFonts w:ascii="Arial" w:hAnsi="Arial" w:cs="Arial"/>
        </w:rPr>
      </w:pPr>
    </w:p>
    <w:p w14:paraId="64A238EA" w14:textId="5B427F8B" w:rsidR="009D5E4A" w:rsidRPr="00BF20CF" w:rsidRDefault="009D5E4A" w:rsidP="00F23BC7">
      <w:pPr>
        <w:pStyle w:val="ListParagraph"/>
        <w:numPr>
          <w:ilvl w:val="0"/>
          <w:numId w:val="96"/>
        </w:numPr>
        <w:autoSpaceDE w:val="0"/>
        <w:autoSpaceDN w:val="0"/>
        <w:adjustRightInd w:val="0"/>
        <w:spacing w:before="240" w:after="120" w:line="276" w:lineRule="auto"/>
        <w:rPr>
          <w:rFonts w:ascii="Arial" w:hAnsi="Arial" w:cs="Arial"/>
        </w:rPr>
      </w:pPr>
      <w:r w:rsidRPr="00BF20CF">
        <w:rPr>
          <w:rFonts w:ascii="Arial" w:hAnsi="Arial" w:cs="Arial"/>
        </w:rPr>
        <w:t>What happened in 2014 to cause the abnormally low summer peak?</w:t>
      </w:r>
    </w:p>
    <w:p w14:paraId="2123EEB6" w14:textId="77777777" w:rsidR="00120AA2" w:rsidRPr="00BF20CF" w:rsidRDefault="00120AA2" w:rsidP="00120AA2">
      <w:pPr>
        <w:pStyle w:val="ListParagraph"/>
        <w:autoSpaceDE w:val="0"/>
        <w:autoSpaceDN w:val="0"/>
        <w:adjustRightInd w:val="0"/>
        <w:spacing w:before="240" w:after="120" w:line="276" w:lineRule="auto"/>
        <w:rPr>
          <w:rFonts w:ascii="Arial" w:hAnsi="Arial" w:cs="Arial"/>
        </w:rPr>
      </w:pPr>
    </w:p>
    <w:p w14:paraId="3E6E50EF" w14:textId="0CDD9A0F" w:rsidR="009D5E4A" w:rsidRPr="00BF20CF" w:rsidRDefault="009D5E4A" w:rsidP="00F23BC7">
      <w:pPr>
        <w:pStyle w:val="ListParagraph"/>
        <w:numPr>
          <w:ilvl w:val="0"/>
          <w:numId w:val="96"/>
        </w:numPr>
        <w:autoSpaceDE w:val="0"/>
        <w:autoSpaceDN w:val="0"/>
        <w:adjustRightInd w:val="0"/>
        <w:spacing w:before="240" w:after="120" w:line="276" w:lineRule="auto"/>
        <w:rPr>
          <w:rFonts w:ascii="Arial" w:hAnsi="Arial" w:cs="Arial"/>
        </w:rPr>
      </w:pPr>
      <w:r w:rsidRPr="00BF20CF">
        <w:rPr>
          <w:rFonts w:ascii="Arial" w:hAnsi="Arial" w:cs="Arial"/>
        </w:rPr>
        <w:t>What was the 2019 summer peak?</w:t>
      </w:r>
    </w:p>
    <w:p w14:paraId="0C75189C" w14:textId="77777777" w:rsidR="00836ACE" w:rsidRPr="00BF20CF" w:rsidRDefault="00836ACE" w:rsidP="00836ACE">
      <w:pPr>
        <w:pStyle w:val="ListParagraph"/>
        <w:rPr>
          <w:rFonts w:ascii="Arial" w:hAnsi="Arial" w:cs="Arial"/>
        </w:rPr>
      </w:pPr>
    </w:p>
    <w:p w14:paraId="2923B831" w14:textId="4D64A1DC" w:rsidR="009D5E4A" w:rsidRPr="00BF20CF" w:rsidRDefault="00302AE5" w:rsidP="00302AE5">
      <w:pPr>
        <w:pStyle w:val="StaffHeader"/>
        <w:numPr>
          <w:ilvl w:val="0"/>
          <w:numId w:val="0"/>
        </w:numPr>
        <w:spacing w:before="240"/>
        <w:rPr>
          <w:rFonts w:cs="Arial"/>
          <w:szCs w:val="24"/>
          <w:u w:val="none"/>
        </w:rPr>
      </w:pPr>
      <w:r w:rsidRPr="00BF20CF">
        <w:rPr>
          <w:rFonts w:cs="Arial"/>
          <w:szCs w:val="24"/>
          <w:u w:val="none"/>
        </w:rPr>
        <w:t>2-Staff-15</w:t>
      </w:r>
    </w:p>
    <w:p w14:paraId="6373F7F5"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30 of 374</w:t>
      </w:r>
    </w:p>
    <w:p w14:paraId="72FC5A3A"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561E564F"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the age of its system, Hydro Ottawa stated (emphasis added):</w:t>
      </w:r>
    </w:p>
    <w:p w14:paraId="64E1FC9F"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 xml:space="preserve">Large segments of the system were constructed in the 1960s, 1970s, and 1980s, with a typical expected service life for these assets on the order of 50 years. Consequently, a considerable proportion of the system has exceeded or is approaching its anticipated end of life. </w:t>
      </w:r>
      <w:r w:rsidRPr="00BF20CF">
        <w:rPr>
          <w:rFonts w:ascii="Arial" w:hAnsi="Arial" w:cs="Arial"/>
          <w:b/>
        </w:rPr>
        <w:t>These aging assets pose an increasing failure potential, and without corrective actions, will impact the utility’s ability to maintain system reliability and minimize unplanned renewal cost in the future.</w:t>
      </w:r>
    </w:p>
    <w:p w14:paraId="4CA55D7E"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7F007CAB" w14:textId="77777777" w:rsidR="009D5E4A" w:rsidRPr="00BF20CF" w:rsidRDefault="009D5E4A" w:rsidP="00F23BC7">
      <w:pPr>
        <w:pStyle w:val="ListParagraph"/>
        <w:numPr>
          <w:ilvl w:val="0"/>
          <w:numId w:val="97"/>
        </w:numPr>
        <w:autoSpaceDE w:val="0"/>
        <w:autoSpaceDN w:val="0"/>
        <w:adjustRightInd w:val="0"/>
        <w:spacing w:before="240" w:after="120" w:line="276" w:lineRule="auto"/>
        <w:rPr>
          <w:rFonts w:ascii="Arial" w:hAnsi="Arial" w:cs="Arial"/>
        </w:rPr>
      </w:pPr>
      <w:r w:rsidRPr="00BF20CF">
        <w:rPr>
          <w:rFonts w:ascii="Arial" w:hAnsi="Arial" w:cs="Arial"/>
        </w:rPr>
        <w:t xml:space="preserve">Does Hydro Ottawa historic data show evidence that assets assessed to be in Very Good, Good or </w:t>
      </w:r>
      <w:proofErr w:type="gramStart"/>
      <w:r w:rsidRPr="00BF20CF">
        <w:rPr>
          <w:rFonts w:ascii="Arial" w:hAnsi="Arial" w:cs="Arial"/>
        </w:rPr>
        <w:t>Fair</w:t>
      </w:r>
      <w:proofErr w:type="gramEnd"/>
      <w:r w:rsidRPr="00BF20CF">
        <w:rPr>
          <w:rFonts w:ascii="Arial" w:hAnsi="Arial" w:cs="Arial"/>
        </w:rPr>
        <w:t xml:space="preserve"> condition regularly fail unexpectedly or deteriorate precipitously?</w:t>
      </w:r>
    </w:p>
    <w:p w14:paraId="50BB9A6A" w14:textId="77777777" w:rsidR="009D5E4A" w:rsidRPr="00BF20CF" w:rsidRDefault="009D5E4A" w:rsidP="00F23BC7">
      <w:pPr>
        <w:pStyle w:val="ListParagraph"/>
        <w:numPr>
          <w:ilvl w:val="1"/>
          <w:numId w:val="135"/>
        </w:numPr>
        <w:autoSpaceDE w:val="0"/>
        <w:autoSpaceDN w:val="0"/>
        <w:adjustRightInd w:val="0"/>
        <w:spacing w:before="240" w:after="120" w:line="276" w:lineRule="auto"/>
        <w:rPr>
          <w:rFonts w:ascii="Arial" w:hAnsi="Arial" w:cs="Arial"/>
        </w:rPr>
      </w:pPr>
      <w:r w:rsidRPr="00BF20CF">
        <w:rPr>
          <w:rFonts w:ascii="Arial" w:hAnsi="Arial" w:cs="Arial"/>
        </w:rPr>
        <w:t>If yes, what percentage for each category fails unexpectedly?</w:t>
      </w:r>
    </w:p>
    <w:p w14:paraId="481FBCBC" w14:textId="454EC33C" w:rsidR="009D5E4A" w:rsidRPr="00BF20CF" w:rsidRDefault="009D5E4A" w:rsidP="00F23BC7">
      <w:pPr>
        <w:pStyle w:val="ListParagraph"/>
        <w:numPr>
          <w:ilvl w:val="1"/>
          <w:numId w:val="135"/>
        </w:numPr>
        <w:autoSpaceDE w:val="0"/>
        <w:autoSpaceDN w:val="0"/>
        <w:adjustRightInd w:val="0"/>
        <w:spacing w:before="240" w:after="120" w:line="276" w:lineRule="auto"/>
        <w:rPr>
          <w:rFonts w:ascii="Arial" w:hAnsi="Arial" w:cs="Arial"/>
        </w:rPr>
      </w:pPr>
      <w:r w:rsidRPr="00BF20CF">
        <w:rPr>
          <w:rFonts w:ascii="Arial" w:hAnsi="Arial" w:cs="Arial"/>
        </w:rPr>
        <w:t>If no, given the Good and Very Good asset condition assessment results for the bulk of assets in most asset classes (with the possible exception of poles), is the emphasized statement above actually valid?</w:t>
      </w:r>
    </w:p>
    <w:p w14:paraId="79A4C1AA" w14:textId="77777777" w:rsidR="00836ACE" w:rsidRPr="00BF20CF" w:rsidRDefault="00836ACE" w:rsidP="00836ACE">
      <w:pPr>
        <w:pStyle w:val="ListParagraph"/>
        <w:autoSpaceDE w:val="0"/>
        <w:autoSpaceDN w:val="0"/>
        <w:adjustRightInd w:val="0"/>
        <w:spacing w:before="240" w:after="120" w:line="276" w:lineRule="auto"/>
        <w:ind w:left="1440"/>
        <w:rPr>
          <w:rFonts w:ascii="Arial" w:hAnsi="Arial" w:cs="Arial"/>
        </w:rPr>
      </w:pPr>
    </w:p>
    <w:p w14:paraId="0498452D" w14:textId="6179827D" w:rsidR="009D5E4A" w:rsidRPr="00BF20CF" w:rsidRDefault="00302AE5" w:rsidP="00302AE5">
      <w:pPr>
        <w:pStyle w:val="StaffHeader"/>
        <w:numPr>
          <w:ilvl w:val="0"/>
          <w:numId w:val="0"/>
        </w:numPr>
        <w:spacing w:before="0"/>
        <w:rPr>
          <w:rFonts w:cs="Arial"/>
          <w:szCs w:val="24"/>
          <w:u w:val="none"/>
        </w:rPr>
      </w:pPr>
      <w:r w:rsidRPr="00BF20CF">
        <w:rPr>
          <w:rFonts w:cs="Arial"/>
          <w:szCs w:val="24"/>
          <w:u w:val="none"/>
        </w:rPr>
        <w:t>2-Staff-16</w:t>
      </w:r>
    </w:p>
    <w:p w14:paraId="57985245"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37 of 374</w:t>
      </w:r>
    </w:p>
    <w:p w14:paraId="0998FB35"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CE9E76F"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ice accumulation and snow loading, Hydro Ottawa stated:</w:t>
      </w:r>
    </w:p>
    <w:p w14:paraId="44607C98"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lastRenderedPageBreak/>
        <w:t>Another impact of the harsh winters is an increased use of road salt which can lead to premature rusting of equipment located along the road right of way. The salt spray from roadways increases the need to repaint and repair rusted underground and overhead equipment. Salt contamination on porcelain insulators can lead to pole fires and flashovers. Insulator washing is necessary to mitigate the risk of these failure modes.</w:t>
      </w:r>
    </w:p>
    <w:p w14:paraId="4498A2F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2EAFDB95" w14:textId="2254820C" w:rsidR="009D5E4A" w:rsidRPr="00BF20CF" w:rsidRDefault="009D5E4A" w:rsidP="00F23BC7">
      <w:pPr>
        <w:pStyle w:val="ListParagraph"/>
        <w:numPr>
          <w:ilvl w:val="0"/>
          <w:numId w:val="99"/>
        </w:numPr>
        <w:autoSpaceDE w:val="0"/>
        <w:autoSpaceDN w:val="0"/>
        <w:adjustRightInd w:val="0"/>
        <w:spacing w:before="240" w:after="120" w:line="276" w:lineRule="auto"/>
        <w:rPr>
          <w:rFonts w:ascii="Arial" w:hAnsi="Arial" w:cs="Arial"/>
        </w:rPr>
      </w:pPr>
      <w:r w:rsidRPr="00BF20CF">
        <w:rPr>
          <w:rFonts w:ascii="Arial" w:hAnsi="Arial" w:cs="Arial"/>
        </w:rPr>
        <w:t>Does Hydro Ottawa use or has Hydro Ottawa evaluated the use of silicone insulators near busy roadways to minimize the need for insulator washing?</w:t>
      </w:r>
    </w:p>
    <w:p w14:paraId="1F0DCA9F" w14:textId="77777777" w:rsidR="00120AA2" w:rsidRPr="00BF20CF" w:rsidRDefault="00120AA2" w:rsidP="00120AA2">
      <w:pPr>
        <w:pStyle w:val="ListParagraph"/>
        <w:autoSpaceDE w:val="0"/>
        <w:autoSpaceDN w:val="0"/>
        <w:adjustRightInd w:val="0"/>
        <w:spacing w:before="240" w:after="120" w:line="276" w:lineRule="auto"/>
        <w:rPr>
          <w:rFonts w:ascii="Arial" w:hAnsi="Arial" w:cs="Arial"/>
        </w:rPr>
      </w:pPr>
    </w:p>
    <w:p w14:paraId="2B87A96A" w14:textId="77777777" w:rsidR="009D5E4A" w:rsidRPr="00BF20CF" w:rsidRDefault="009D5E4A" w:rsidP="00F23BC7">
      <w:pPr>
        <w:pStyle w:val="ListParagraph"/>
        <w:numPr>
          <w:ilvl w:val="0"/>
          <w:numId w:val="99"/>
        </w:numPr>
        <w:autoSpaceDE w:val="0"/>
        <w:autoSpaceDN w:val="0"/>
        <w:adjustRightInd w:val="0"/>
        <w:spacing w:before="240" w:after="120" w:line="276" w:lineRule="auto"/>
        <w:rPr>
          <w:rFonts w:ascii="Arial" w:hAnsi="Arial" w:cs="Arial"/>
        </w:rPr>
      </w:pPr>
      <w:r w:rsidRPr="00BF20CF">
        <w:rPr>
          <w:rFonts w:ascii="Arial" w:hAnsi="Arial" w:cs="Arial"/>
        </w:rPr>
        <w:t xml:space="preserve">Does Hydro Ottawa still use porcelain insulators next to busy roads?  </w:t>
      </w:r>
    </w:p>
    <w:p w14:paraId="0E7B0986" w14:textId="0D20194C" w:rsidR="009D5E4A" w:rsidRPr="00BF20CF" w:rsidRDefault="009D5E4A" w:rsidP="00F23BC7">
      <w:pPr>
        <w:pStyle w:val="ListParagraph"/>
        <w:numPr>
          <w:ilvl w:val="1"/>
          <w:numId w:val="99"/>
        </w:numPr>
        <w:autoSpaceDE w:val="0"/>
        <w:autoSpaceDN w:val="0"/>
        <w:adjustRightInd w:val="0"/>
        <w:spacing w:before="240" w:after="120" w:line="276" w:lineRule="auto"/>
        <w:rPr>
          <w:rFonts w:ascii="Arial" w:hAnsi="Arial" w:cs="Arial"/>
        </w:rPr>
      </w:pPr>
      <w:r w:rsidRPr="00BF20CF">
        <w:rPr>
          <w:rFonts w:ascii="Arial" w:hAnsi="Arial" w:cs="Arial"/>
        </w:rPr>
        <w:t>If not, in which year did Hydro Ottawa change its past practice?</w:t>
      </w:r>
    </w:p>
    <w:p w14:paraId="237736CD" w14:textId="77777777" w:rsidR="00836ACE" w:rsidRPr="00BF20CF" w:rsidRDefault="00836ACE" w:rsidP="00836ACE">
      <w:pPr>
        <w:pStyle w:val="ListParagraph"/>
        <w:autoSpaceDE w:val="0"/>
        <w:autoSpaceDN w:val="0"/>
        <w:adjustRightInd w:val="0"/>
        <w:spacing w:before="240" w:after="120" w:line="276" w:lineRule="auto"/>
        <w:ind w:left="1440"/>
        <w:rPr>
          <w:rFonts w:ascii="Arial" w:hAnsi="Arial" w:cs="Arial"/>
        </w:rPr>
      </w:pPr>
    </w:p>
    <w:p w14:paraId="21290E22" w14:textId="5376DC0F" w:rsidR="009D5E4A" w:rsidRPr="00BF20CF" w:rsidRDefault="00302AE5" w:rsidP="00302AE5">
      <w:pPr>
        <w:pStyle w:val="StaffHeader"/>
        <w:numPr>
          <w:ilvl w:val="0"/>
          <w:numId w:val="0"/>
        </w:numPr>
        <w:spacing w:before="0"/>
        <w:rPr>
          <w:rFonts w:cs="Arial"/>
          <w:szCs w:val="24"/>
          <w:u w:val="none"/>
        </w:rPr>
      </w:pPr>
      <w:r w:rsidRPr="00BF20CF">
        <w:rPr>
          <w:rFonts w:cs="Arial"/>
          <w:szCs w:val="24"/>
          <w:u w:val="none"/>
        </w:rPr>
        <w:t>2-Staff-17</w:t>
      </w:r>
    </w:p>
    <w:p w14:paraId="6031C9DB"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pp. 38-39 of 374</w:t>
      </w:r>
    </w:p>
    <w:p w14:paraId="7119D004"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64E1428"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the effect of climate change on freeze-thaw cycles, Hydro Ottawa stated:</w:t>
      </w:r>
    </w:p>
    <w:p w14:paraId="7C67E8D1"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The annual number of freeze-thaw cycles is projected to decrease under climate change, from a baseline (1981-2010) mean of ~76 cycles per year to 59-60 cycles per year by the 2050’s. While the number of freeze-thaw cycles is projected to decrease in many months under climate change, increases are projected for the months of December, January, and February, during which freeze-thaw cycles can be particularly damaging.</w:t>
      </w:r>
    </w:p>
    <w:p w14:paraId="395B9329"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092961D7" w14:textId="4BE394E7" w:rsidR="009D5E4A" w:rsidRPr="00BF20CF" w:rsidRDefault="009D5E4A" w:rsidP="00F23BC7">
      <w:pPr>
        <w:pStyle w:val="ListParagraph"/>
        <w:numPr>
          <w:ilvl w:val="0"/>
          <w:numId w:val="100"/>
        </w:numPr>
        <w:autoSpaceDE w:val="0"/>
        <w:autoSpaceDN w:val="0"/>
        <w:adjustRightInd w:val="0"/>
        <w:spacing w:before="240" w:after="120" w:line="276" w:lineRule="auto"/>
        <w:rPr>
          <w:rFonts w:ascii="Arial" w:hAnsi="Arial" w:cs="Arial"/>
        </w:rPr>
      </w:pPr>
      <w:r w:rsidRPr="00BF20CF">
        <w:rPr>
          <w:rFonts w:ascii="Arial" w:hAnsi="Arial" w:cs="Arial"/>
        </w:rPr>
        <w:t>Why is a freeze-thaw cycle particularly damaging in December-January-February as compared to a freeze-thaw cycle in October, November, March, or April?</w:t>
      </w:r>
    </w:p>
    <w:p w14:paraId="74D42C8B" w14:textId="43375536" w:rsidR="00302AE5" w:rsidRPr="00BF20CF" w:rsidRDefault="00302AE5" w:rsidP="00302AE5">
      <w:pPr>
        <w:pStyle w:val="ListParagraph"/>
        <w:autoSpaceDE w:val="0"/>
        <w:autoSpaceDN w:val="0"/>
        <w:adjustRightInd w:val="0"/>
        <w:spacing w:before="240" w:after="120" w:line="276" w:lineRule="auto"/>
        <w:rPr>
          <w:rFonts w:ascii="Arial" w:hAnsi="Arial" w:cs="Arial"/>
        </w:rPr>
      </w:pPr>
      <w:r w:rsidRPr="00BF20CF">
        <w:rPr>
          <w:rFonts w:ascii="Arial" w:hAnsi="Arial" w:cs="Arial"/>
        </w:rPr>
        <w:br w:type="page"/>
      </w:r>
    </w:p>
    <w:p w14:paraId="139B35B2" w14:textId="3D0F2511" w:rsidR="009D5E4A" w:rsidRPr="00BF20CF" w:rsidRDefault="00302AE5" w:rsidP="00302AE5">
      <w:pPr>
        <w:pStyle w:val="StaffHeader"/>
        <w:numPr>
          <w:ilvl w:val="0"/>
          <w:numId w:val="0"/>
        </w:numPr>
        <w:spacing w:before="0"/>
        <w:rPr>
          <w:rFonts w:cs="Arial"/>
          <w:szCs w:val="24"/>
          <w:u w:val="none"/>
        </w:rPr>
      </w:pPr>
      <w:r w:rsidRPr="00BF20CF">
        <w:rPr>
          <w:rFonts w:cs="Arial"/>
          <w:szCs w:val="24"/>
          <w:u w:val="none"/>
        </w:rPr>
        <w:lastRenderedPageBreak/>
        <w:t>2-Staff-18</w:t>
      </w:r>
    </w:p>
    <w:p w14:paraId="59EACDBA"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52 of 374</w:t>
      </w:r>
    </w:p>
    <w:p w14:paraId="1FE341FF"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C679CEA"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Touch Logic customer survey, Hydro Ottawa provided the following table:</w:t>
      </w:r>
    </w:p>
    <w:p w14:paraId="5DFBAF92" w14:textId="77777777" w:rsidR="009D5E4A" w:rsidRPr="00BF20CF" w:rsidRDefault="009D5E4A" w:rsidP="00F23BC7">
      <w:pPr>
        <w:spacing w:before="240" w:after="120" w:line="276" w:lineRule="auto"/>
        <w:jc w:val="center"/>
        <w:rPr>
          <w:rFonts w:ascii="Arial" w:hAnsi="Arial" w:cs="Arial"/>
        </w:rPr>
      </w:pPr>
      <w:r w:rsidRPr="00BF20CF">
        <w:rPr>
          <w:rFonts w:ascii="Arial" w:hAnsi="Arial" w:cs="Arial"/>
          <w:noProof/>
        </w:rPr>
        <w:drawing>
          <wp:inline distT="0" distB="0" distL="0" distR="0" wp14:anchorId="0F0551C8" wp14:editId="5A1F1EFA">
            <wp:extent cx="4260850" cy="150905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3417" cy="1520585"/>
                    </a:xfrm>
                    <a:prstGeom prst="rect">
                      <a:avLst/>
                    </a:prstGeom>
                  </pic:spPr>
                </pic:pic>
              </a:graphicData>
            </a:graphic>
          </wp:inline>
        </w:drawing>
      </w:r>
    </w:p>
    <w:p w14:paraId="1B8B69E7"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E6A920B" w14:textId="39568359" w:rsidR="009D5E4A" w:rsidRPr="00BF20CF" w:rsidRDefault="009D5E4A" w:rsidP="00F23BC7">
      <w:pPr>
        <w:pStyle w:val="ListParagraph"/>
        <w:numPr>
          <w:ilvl w:val="0"/>
          <w:numId w:val="101"/>
        </w:numPr>
        <w:autoSpaceDE w:val="0"/>
        <w:autoSpaceDN w:val="0"/>
        <w:adjustRightInd w:val="0"/>
        <w:spacing w:before="240" w:after="120" w:line="276" w:lineRule="auto"/>
        <w:rPr>
          <w:rFonts w:ascii="Arial" w:hAnsi="Arial" w:cs="Arial"/>
        </w:rPr>
      </w:pPr>
      <w:r w:rsidRPr="00BF20CF">
        <w:rPr>
          <w:rFonts w:ascii="Arial" w:hAnsi="Arial" w:cs="Arial"/>
        </w:rPr>
        <w:t>What caused the drop in customer satisfaction in 2018?</w:t>
      </w:r>
    </w:p>
    <w:p w14:paraId="46F9C992" w14:textId="77777777" w:rsidR="00302AE5" w:rsidRPr="00BF20CF" w:rsidRDefault="00302AE5" w:rsidP="00302AE5">
      <w:pPr>
        <w:pStyle w:val="ListParagraph"/>
        <w:autoSpaceDE w:val="0"/>
        <w:autoSpaceDN w:val="0"/>
        <w:adjustRightInd w:val="0"/>
        <w:spacing w:before="240" w:after="120" w:line="276" w:lineRule="auto"/>
        <w:rPr>
          <w:rFonts w:ascii="Arial" w:hAnsi="Arial" w:cs="Arial"/>
        </w:rPr>
      </w:pPr>
    </w:p>
    <w:p w14:paraId="697182A4" w14:textId="060C379E" w:rsidR="009D5E4A" w:rsidRPr="00BF20CF" w:rsidRDefault="009D5E4A" w:rsidP="00F23BC7">
      <w:pPr>
        <w:pStyle w:val="ListParagraph"/>
        <w:numPr>
          <w:ilvl w:val="0"/>
          <w:numId w:val="101"/>
        </w:numPr>
        <w:autoSpaceDE w:val="0"/>
        <w:autoSpaceDN w:val="0"/>
        <w:adjustRightInd w:val="0"/>
        <w:spacing w:before="240" w:after="120" w:line="276" w:lineRule="auto"/>
        <w:rPr>
          <w:rFonts w:ascii="Arial" w:hAnsi="Arial" w:cs="Arial"/>
        </w:rPr>
      </w:pPr>
      <w:r w:rsidRPr="00BF20CF">
        <w:rPr>
          <w:rFonts w:ascii="Arial" w:hAnsi="Arial" w:cs="Arial"/>
        </w:rPr>
        <w:t>What are the 2019 results?</w:t>
      </w:r>
    </w:p>
    <w:p w14:paraId="1DBE677E" w14:textId="77777777" w:rsidR="00836ACE" w:rsidRPr="00BF20CF" w:rsidRDefault="00836ACE" w:rsidP="00836ACE">
      <w:pPr>
        <w:pStyle w:val="ListParagraph"/>
        <w:autoSpaceDE w:val="0"/>
        <w:autoSpaceDN w:val="0"/>
        <w:adjustRightInd w:val="0"/>
        <w:spacing w:before="240" w:after="120" w:line="276" w:lineRule="auto"/>
        <w:rPr>
          <w:rFonts w:ascii="Arial" w:hAnsi="Arial" w:cs="Arial"/>
        </w:rPr>
      </w:pPr>
    </w:p>
    <w:p w14:paraId="42ADB4D4" w14:textId="44D5385A" w:rsidR="009D5E4A" w:rsidRPr="00BF20CF" w:rsidRDefault="00302AE5" w:rsidP="00302AE5">
      <w:pPr>
        <w:pStyle w:val="StaffHeader"/>
        <w:numPr>
          <w:ilvl w:val="0"/>
          <w:numId w:val="0"/>
        </w:numPr>
        <w:spacing w:before="0"/>
        <w:rPr>
          <w:rFonts w:cs="Arial"/>
          <w:szCs w:val="24"/>
          <w:u w:val="none"/>
        </w:rPr>
      </w:pPr>
      <w:r w:rsidRPr="00BF20CF">
        <w:rPr>
          <w:rFonts w:cs="Arial"/>
          <w:szCs w:val="24"/>
          <w:u w:val="none"/>
        </w:rPr>
        <w:t>2-Staff-19</w:t>
      </w:r>
    </w:p>
    <w:p w14:paraId="7FD80950"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53 of 374</w:t>
      </w:r>
    </w:p>
    <w:p w14:paraId="1DEA2CF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3BCCA12E"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SIMUL customer survey, Hydro Ottawa provided the following table:</w:t>
      </w:r>
    </w:p>
    <w:p w14:paraId="34502F30" w14:textId="77777777" w:rsidR="009D5E4A" w:rsidRPr="00BF20CF" w:rsidRDefault="009D5E4A" w:rsidP="00F23BC7">
      <w:pPr>
        <w:spacing w:before="240" w:after="120" w:line="276" w:lineRule="auto"/>
        <w:jc w:val="center"/>
        <w:rPr>
          <w:rFonts w:ascii="Arial" w:hAnsi="Arial" w:cs="Arial"/>
        </w:rPr>
      </w:pPr>
      <w:r w:rsidRPr="00BF20CF">
        <w:rPr>
          <w:rFonts w:ascii="Arial" w:hAnsi="Arial" w:cs="Arial"/>
          <w:noProof/>
        </w:rPr>
        <w:drawing>
          <wp:inline distT="0" distB="0" distL="0" distR="0" wp14:anchorId="76F434EF" wp14:editId="74C7251C">
            <wp:extent cx="4721860" cy="215480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6614" cy="2184353"/>
                    </a:xfrm>
                    <a:prstGeom prst="rect">
                      <a:avLst/>
                    </a:prstGeom>
                  </pic:spPr>
                </pic:pic>
              </a:graphicData>
            </a:graphic>
          </wp:inline>
        </w:drawing>
      </w:r>
    </w:p>
    <w:p w14:paraId="032F173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lastRenderedPageBreak/>
        <w:t>Question(s):</w:t>
      </w:r>
    </w:p>
    <w:p w14:paraId="409B279F" w14:textId="77777777" w:rsidR="009D5E4A" w:rsidRPr="00BF20CF" w:rsidRDefault="009D5E4A" w:rsidP="00F23BC7">
      <w:pPr>
        <w:pStyle w:val="ListParagraph"/>
        <w:numPr>
          <w:ilvl w:val="0"/>
          <w:numId w:val="102"/>
        </w:numPr>
        <w:autoSpaceDE w:val="0"/>
        <w:autoSpaceDN w:val="0"/>
        <w:adjustRightInd w:val="0"/>
        <w:spacing w:before="240" w:after="120" w:line="276" w:lineRule="auto"/>
        <w:rPr>
          <w:rFonts w:ascii="Arial" w:hAnsi="Arial" w:cs="Arial"/>
        </w:rPr>
      </w:pPr>
      <w:r w:rsidRPr="00BF20CF">
        <w:rPr>
          <w:rFonts w:ascii="Arial" w:hAnsi="Arial" w:cs="Arial"/>
        </w:rPr>
        <w:t>Please provide descriptions for each KPI, including:</w:t>
      </w:r>
    </w:p>
    <w:p w14:paraId="1B4BDBE7" w14:textId="77777777" w:rsidR="009D5E4A" w:rsidRPr="00BF20CF" w:rsidRDefault="009D5E4A" w:rsidP="00F23BC7">
      <w:pPr>
        <w:pStyle w:val="ListParagraph"/>
        <w:numPr>
          <w:ilvl w:val="1"/>
          <w:numId w:val="102"/>
        </w:numPr>
        <w:autoSpaceDE w:val="0"/>
        <w:autoSpaceDN w:val="0"/>
        <w:adjustRightInd w:val="0"/>
        <w:spacing w:before="240" w:after="120" w:line="276" w:lineRule="auto"/>
        <w:rPr>
          <w:rFonts w:ascii="Arial" w:hAnsi="Arial" w:cs="Arial"/>
        </w:rPr>
      </w:pPr>
      <w:r w:rsidRPr="00BF20CF">
        <w:rPr>
          <w:rFonts w:ascii="Arial" w:hAnsi="Arial" w:cs="Arial"/>
        </w:rPr>
        <w:t>Definition of the KPI</w:t>
      </w:r>
    </w:p>
    <w:p w14:paraId="483FEEEE" w14:textId="77777777" w:rsidR="009D5E4A" w:rsidRPr="00BF20CF" w:rsidRDefault="009D5E4A" w:rsidP="00F23BC7">
      <w:pPr>
        <w:pStyle w:val="ListParagraph"/>
        <w:numPr>
          <w:ilvl w:val="1"/>
          <w:numId w:val="102"/>
        </w:numPr>
        <w:autoSpaceDE w:val="0"/>
        <w:autoSpaceDN w:val="0"/>
        <w:adjustRightInd w:val="0"/>
        <w:spacing w:before="240" w:after="120" w:line="276" w:lineRule="auto"/>
        <w:rPr>
          <w:rFonts w:ascii="Arial" w:hAnsi="Arial" w:cs="Arial"/>
        </w:rPr>
      </w:pPr>
      <w:r w:rsidRPr="00BF20CF">
        <w:rPr>
          <w:rFonts w:ascii="Arial" w:hAnsi="Arial" w:cs="Arial"/>
        </w:rPr>
        <w:t>How each KPI is measured</w:t>
      </w:r>
    </w:p>
    <w:p w14:paraId="57BDFB46" w14:textId="77777777" w:rsidR="009D5E4A" w:rsidRPr="00BF20CF" w:rsidRDefault="009D5E4A" w:rsidP="00F23BC7">
      <w:pPr>
        <w:pStyle w:val="ListParagraph"/>
        <w:numPr>
          <w:ilvl w:val="1"/>
          <w:numId w:val="102"/>
        </w:numPr>
        <w:autoSpaceDE w:val="0"/>
        <w:autoSpaceDN w:val="0"/>
        <w:adjustRightInd w:val="0"/>
        <w:spacing w:before="240" w:after="120" w:line="276" w:lineRule="auto"/>
        <w:rPr>
          <w:rFonts w:ascii="Arial" w:hAnsi="Arial" w:cs="Arial"/>
        </w:rPr>
      </w:pPr>
      <w:r w:rsidRPr="00BF20CF">
        <w:rPr>
          <w:rFonts w:ascii="Arial" w:hAnsi="Arial" w:cs="Arial"/>
        </w:rPr>
        <w:t>Source of Ontario data</w:t>
      </w:r>
    </w:p>
    <w:p w14:paraId="2E5D8BF7" w14:textId="2FEA0BC3" w:rsidR="009D5E4A" w:rsidRPr="00BF20CF" w:rsidRDefault="009D5E4A" w:rsidP="00F23BC7">
      <w:pPr>
        <w:pStyle w:val="ListParagraph"/>
        <w:numPr>
          <w:ilvl w:val="1"/>
          <w:numId w:val="102"/>
        </w:numPr>
        <w:autoSpaceDE w:val="0"/>
        <w:autoSpaceDN w:val="0"/>
        <w:adjustRightInd w:val="0"/>
        <w:spacing w:before="240" w:after="120" w:line="276" w:lineRule="auto"/>
        <w:rPr>
          <w:rFonts w:ascii="Arial" w:hAnsi="Arial" w:cs="Arial"/>
        </w:rPr>
      </w:pPr>
      <w:r w:rsidRPr="00BF20CF">
        <w:rPr>
          <w:rFonts w:ascii="Arial" w:hAnsi="Arial" w:cs="Arial"/>
        </w:rPr>
        <w:t>Source of target level</w:t>
      </w:r>
    </w:p>
    <w:p w14:paraId="40D20FBB" w14:textId="77777777" w:rsidR="00120AA2" w:rsidRPr="00BF20CF" w:rsidRDefault="00120AA2" w:rsidP="00120AA2">
      <w:pPr>
        <w:pStyle w:val="ListParagraph"/>
        <w:autoSpaceDE w:val="0"/>
        <w:autoSpaceDN w:val="0"/>
        <w:adjustRightInd w:val="0"/>
        <w:spacing w:before="240" w:after="120" w:line="276" w:lineRule="auto"/>
        <w:rPr>
          <w:rFonts w:ascii="Arial" w:hAnsi="Arial" w:cs="Arial"/>
        </w:rPr>
      </w:pPr>
    </w:p>
    <w:p w14:paraId="55CF4CE9" w14:textId="77777777" w:rsidR="009D5E4A" w:rsidRPr="00BF20CF" w:rsidRDefault="009D5E4A" w:rsidP="00F23BC7">
      <w:pPr>
        <w:pStyle w:val="ListParagraph"/>
        <w:numPr>
          <w:ilvl w:val="0"/>
          <w:numId w:val="102"/>
        </w:numPr>
        <w:autoSpaceDE w:val="0"/>
        <w:autoSpaceDN w:val="0"/>
        <w:adjustRightInd w:val="0"/>
        <w:spacing w:before="240" w:after="120" w:line="276" w:lineRule="auto"/>
        <w:rPr>
          <w:rFonts w:ascii="Arial" w:hAnsi="Arial" w:cs="Arial"/>
        </w:rPr>
      </w:pPr>
      <w:r w:rsidRPr="00BF20CF">
        <w:rPr>
          <w:rFonts w:ascii="Arial" w:hAnsi="Arial" w:cs="Arial"/>
        </w:rPr>
        <w:t>Please explain why the following measures consistently fail to achieve the target:</w:t>
      </w:r>
    </w:p>
    <w:p w14:paraId="0CC659BE" w14:textId="77777777" w:rsidR="009D5E4A" w:rsidRPr="00BF20CF" w:rsidRDefault="009D5E4A" w:rsidP="00F23BC7">
      <w:pPr>
        <w:pStyle w:val="ListParagraph"/>
        <w:numPr>
          <w:ilvl w:val="1"/>
          <w:numId w:val="102"/>
        </w:numPr>
        <w:autoSpaceDE w:val="0"/>
        <w:autoSpaceDN w:val="0"/>
        <w:adjustRightInd w:val="0"/>
        <w:spacing w:before="240" w:after="120" w:line="276" w:lineRule="auto"/>
        <w:rPr>
          <w:rFonts w:ascii="Arial" w:hAnsi="Arial" w:cs="Arial"/>
        </w:rPr>
      </w:pPr>
      <w:r w:rsidRPr="00BF20CF">
        <w:rPr>
          <w:rFonts w:ascii="Arial" w:hAnsi="Arial" w:cs="Arial"/>
        </w:rPr>
        <w:t>Staff Helpfulness</w:t>
      </w:r>
    </w:p>
    <w:p w14:paraId="306D925C" w14:textId="09862DBE" w:rsidR="009D5E4A" w:rsidRPr="00BF20CF" w:rsidRDefault="009D5E4A" w:rsidP="00F23BC7">
      <w:pPr>
        <w:pStyle w:val="ListParagraph"/>
        <w:numPr>
          <w:ilvl w:val="1"/>
          <w:numId w:val="102"/>
        </w:numPr>
        <w:autoSpaceDE w:val="0"/>
        <w:autoSpaceDN w:val="0"/>
        <w:adjustRightInd w:val="0"/>
        <w:spacing w:before="240" w:after="120" w:line="276" w:lineRule="auto"/>
        <w:rPr>
          <w:rFonts w:ascii="Arial" w:hAnsi="Arial" w:cs="Arial"/>
        </w:rPr>
      </w:pPr>
      <w:r w:rsidRPr="00BF20CF">
        <w:rPr>
          <w:rFonts w:ascii="Arial" w:hAnsi="Arial" w:cs="Arial"/>
        </w:rPr>
        <w:t>Customer Loyalty</w:t>
      </w:r>
    </w:p>
    <w:p w14:paraId="7B958652" w14:textId="1BC15F72" w:rsidR="00120AA2" w:rsidRPr="00BF20CF" w:rsidRDefault="00120AA2" w:rsidP="00120AA2">
      <w:pPr>
        <w:pStyle w:val="ListParagraph"/>
        <w:autoSpaceDE w:val="0"/>
        <w:autoSpaceDN w:val="0"/>
        <w:adjustRightInd w:val="0"/>
        <w:spacing w:before="240" w:after="120" w:line="276" w:lineRule="auto"/>
        <w:rPr>
          <w:rFonts w:ascii="Arial" w:hAnsi="Arial" w:cs="Arial"/>
        </w:rPr>
      </w:pPr>
    </w:p>
    <w:p w14:paraId="7694A012" w14:textId="3FE6D77B" w:rsidR="009D5E4A" w:rsidRPr="00BF20CF" w:rsidRDefault="007A68A5" w:rsidP="007A68A5">
      <w:pPr>
        <w:pStyle w:val="StaffHeader"/>
        <w:numPr>
          <w:ilvl w:val="0"/>
          <w:numId w:val="0"/>
        </w:numPr>
        <w:spacing w:before="0"/>
        <w:rPr>
          <w:rFonts w:cs="Arial"/>
          <w:szCs w:val="24"/>
        </w:rPr>
      </w:pPr>
      <w:r w:rsidRPr="00BF20CF">
        <w:rPr>
          <w:rFonts w:cs="Arial"/>
          <w:szCs w:val="24"/>
          <w:u w:val="none"/>
        </w:rPr>
        <w:t>2-Staff-20</w:t>
      </w:r>
    </w:p>
    <w:p w14:paraId="780F40DF"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55 of 374</w:t>
      </w:r>
    </w:p>
    <w:p w14:paraId="7C3891F6"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1447A63"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system average interruption frequency, Hydro Ottawa provided the following graph:</w:t>
      </w:r>
    </w:p>
    <w:p w14:paraId="5B17F0B8" w14:textId="77777777" w:rsidR="009D5E4A" w:rsidRPr="00BF20CF" w:rsidRDefault="009D5E4A" w:rsidP="00F23BC7">
      <w:pPr>
        <w:spacing w:before="240" w:after="120" w:line="276" w:lineRule="auto"/>
        <w:jc w:val="center"/>
        <w:rPr>
          <w:rFonts w:ascii="Arial" w:hAnsi="Arial" w:cs="Arial"/>
        </w:rPr>
      </w:pPr>
      <w:r w:rsidRPr="00BF20CF">
        <w:rPr>
          <w:rFonts w:ascii="Arial" w:hAnsi="Arial" w:cs="Arial"/>
          <w:noProof/>
        </w:rPr>
        <w:drawing>
          <wp:inline distT="0" distB="0" distL="0" distR="0" wp14:anchorId="34B1B928" wp14:editId="7A426A8C">
            <wp:extent cx="4260850" cy="3674853"/>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3132" cy="3711320"/>
                    </a:xfrm>
                    <a:prstGeom prst="rect">
                      <a:avLst/>
                    </a:prstGeom>
                  </pic:spPr>
                </pic:pic>
              </a:graphicData>
            </a:graphic>
          </wp:inline>
        </w:drawing>
      </w:r>
    </w:p>
    <w:p w14:paraId="407AAAFF"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lastRenderedPageBreak/>
        <w:t>Question(s):</w:t>
      </w:r>
    </w:p>
    <w:p w14:paraId="3CFEBE8C" w14:textId="77777777" w:rsidR="009D5E4A" w:rsidRPr="00BF20CF" w:rsidRDefault="009D5E4A" w:rsidP="00F23BC7">
      <w:pPr>
        <w:pStyle w:val="ListParagraph"/>
        <w:numPr>
          <w:ilvl w:val="0"/>
          <w:numId w:val="103"/>
        </w:numPr>
        <w:autoSpaceDE w:val="0"/>
        <w:autoSpaceDN w:val="0"/>
        <w:adjustRightInd w:val="0"/>
        <w:spacing w:before="240" w:after="120" w:line="276" w:lineRule="auto"/>
        <w:rPr>
          <w:rFonts w:ascii="Arial" w:hAnsi="Arial" w:cs="Arial"/>
        </w:rPr>
      </w:pPr>
      <w:r w:rsidRPr="00BF20CF">
        <w:rPr>
          <w:rFonts w:ascii="Arial" w:hAnsi="Arial" w:cs="Arial"/>
        </w:rPr>
        <w:t>Are 2019 results available?</w:t>
      </w:r>
    </w:p>
    <w:p w14:paraId="13E0C665" w14:textId="77880613" w:rsidR="009D5E4A" w:rsidRPr="00BF20CF" w:rsidRDefault="009D5E4A" w:rsidP="00F23BC7">
      <w:pPr>
        <w:pStyle w:val="ListParagraph"/>
        <w:numPr>
          <w:ilvl w:val="1"/>
          <w:numId w:val="103"/>
        </w:numPr>
        <w:autoSpaceDE w:val="0"/>
        <w:autoSpaceDN w:val="0"/>
        <w:adjustRightInd w:val="0"/>
        <w:spacing w:before="240" w:after="120" w:line="276" w:lineRule="auto"/>
        <w:rPr>
          <w:rFonts w:ascii="Arial" w:hAnsi="Arial" w:cs="Arial"/>
        </w:rPr>
      </w:pPr>
      <w:r w:rsidRPr="00BF20CF">
        <w:rPr>
          <w:rFonts w:ascii="Arial" w:hAnsi="Arial" w:cs="Arial"/>
        </w:rPr>
        <w:t>If yes, please provide an updated figure that includes the 2019 results.</w:t>
      </w:r>
    </w:p>
    <w:p w14:paraId="3127D9BF" w14:textId="0B121D88" w:rsidR="009D5E4A" w:rsidRPr="00BF20CF" w:rsidRDefault="006717E9" w:rsidP="006717E9">
      <w:pPr>
        <w:pStyle w:val="StaffHeader"/>
        <w:numPr>
          <w:ilvl w:val="0"/>
          <w:numId w:val="0"/>
        </w:numPr>
        <w:spacing w:before="240"/>
        <w:rPr>
          <w:rFonts w:cs="Arial"/>
          <w:szCs w:val="24"/>
          <w:u w:val="none"/>
        </w:rPr>
      </w:pPr>
      <w:r w:rsidRPr="00BF20CF">
        <w:rPr>
          <w:rFonts w:cs="Arial"/>
          <w:szCs w:val="24"/>
          <w:u w:val="none"/>
        </w:rPr>
        <w:t>2-Staff-21</w:t>
      </w:r>
    </w:p>
    <w:p w14:paraId="0C2D7226"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pp. 62-63 of 374</w:t>
      </w:r>
    </w:p>
    <w:p w14:paraId="4680E2D6"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598B0D13"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System Average Root Mean Square (RMS) Variation Frequency Index results, Hydro Ottawa stated:</w:t>
      </w:r>
    </w:p>
    <w:p w14:paraId="468169DE"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 xml:space="preserve">As indicated in Figure 4.7, there were 5,637 [variation] events recorded in 2018. Of these, 44 fell within the prohibited region. Of the 44 prohibited events, five were due to events on Hydro Ottawa’s system. There were no known customer impacts from these short duration RMS events. Hydro Ottawa continues to track and monitor SARFI events. </w:t>
      </w:r>
    </w:p>
    <w:p w14:paraId="6DC74CED"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5725FE13" wp14:editId="1F568FFC">
            <wp:extent cx="4237209" cy="31303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5370" cy="3165959"/>
                    </a:xfrm>
                    <a:prstGeom prst="rect">
                      <a:avLst/>
                    </a:prstGeom>
                  </pic:spPr>
                </pic:pic>
              </a:graphicData>
            </a:graphic>
          </wp:inline>
        </w:drawing>
      </w:r>
    </w:p>
    <w:p w14:paraId="11DF13CA"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606F13E" w14:textId="0BA2D244" w:rsidR="009D5E4A" w:rsidRPr="00BF20CF" w:rsidRDefault="009D5E4A" w:rsidP="00F23BC7">
      <w:pPr>
        <w:pStyle w:val="ListParagraph"/>
        <w:numPr>
          <w:ilvl w:val="0"/>
          <w:numId w:val="104"/>
        </w:numPr>
        <w:autoSpaceDE w:val="0"/>
        <w:autoSpaceDN w:val="0"/>
        <w:adjustRightInd w:val="0"/>
        <w:spacing w:before="240" w:after="120" w:line="276" w:lineRule="auto"/>
        <w:rPr>
          <w:rFonts w:ascii="Arial" w:hAnsi="Arial" w:cs="Arial"/>
        </w:rPr>
      </w:pPr>
      <w:r w:rsidRPr="00BF20CF">
        <w:rPr>
          <w:rFonts w:ascii="Arial" w:hAnsi="Arial" w:cs="Arial"/>
        </w:rPr>
        <w:t>Is Hydro Ottawa planning to take any steps to address the causes of the 5 prohibited events recorded in 2018 caused by factors in its system?</w:t>
      </w:r>
    </w:p>
    <w:p w14:paraId="00694470" w14:textId="77777777" w:rsidR="00120AA2" w:rsidRPr="00BF20CF" w:rsidRDefault="00120AA2" w:rsidP="00120AA2">
      <w:pPr>
        <w:pStyle w:val="ListParagraph"/>
        <w:autoSpaceDE w:val="0"/>
        <w:autoSpaceDN w:val="0"/>
        <w:adjustRightInd w:val="0"/>
        <w:spacing w:before="240" w:after="120" w:line="276" w:lineRule="auto"/>
        <w:rPr>
          <w:rFonts w:ascii="Arial" w:hAnsi="Arial" w:cs="Arial"/>
        </w:rPr>
      </w:pPr>
    </w:p>
    <w:p w14:paraId="4361AE97" w14:textId="43E82BA4" w:rsidR="009D5E4A" w:rsidRPr="00BF20CF" w:rsidRDefault="009D5E4A" w:rsidP="00F23BC7">
      <w:pPr>
        <w:pStyle w:val="ListParagraph"/>
        <w:numPr>
          <w:ilvl w:val="0"/>
          <w:numId w:val="104"/>
        </w:numPr>
        <w:autoSpaceDE w:val="0"/>
        <w:autoSpaceDN w:val="0"/>
        <w:adjustRightInd w:val="0"/>
        <w:spacing w:before="240" w:after="120" w:line="276" w:lineRule="auto"/>
        <w:rPr>
          <w:rFonts w:ascii="Arial" w:hAnsi="Arial" w:cs="Arial"/>
        </w:rPr>
      </w:pPr>
      <w:r w:rsidRPr="00BF20CF">
        <w:rPr>
          <w:rFonts w:ascii="Arial" w:hAnsi="Arial" w:cs="Arial"/>
        </w:rPr>
        <w:lastRenderedPageBreak/>
        <w:t>Are there any steps Hydro Ottawa can take to mitigate events similar to those caused by factors outside of Hydro Ottawa’s system?</w:t>
      </w:r>
    </w:p>
    <w:p w14:paraId="3CDEF963" w14:textId="77777777" w:rsidR="00120AA2" w:rsidRPr="00BF20CF" w:rsidRDefault="00120AA2" w:rsidP="00120AA2">
      <w:pPr>
        <w:pStyle w:val="ListParagraph"/>
        <w:autoSpaceDE w:val="0"/>
        <w:autoSpaceDN w:val="0"/>
        <w:adjustRightInd w:val="0"/>
        <w:spacing w:before="240" w:after="120" w:line="276" w:lineRule="auto"/>
        <w:rPr>
          <w:rFonts w:ascii="Arial" w:hAnsi="Arial" w:cs="Arial"/>
        </w:rPr>
      </w:pPr>
    </w:p>
    <w:p w14:paraId="1573B33F" w14:textId="77777777" w:rsidR="009D5E4A" w:rsidRPr="00BF20CF" w:rsidRDefault="009D5E4A" w:rsidP="00F23BC7">
      <w:pPr>
        <w:pStyle w:val="ListParagraph"/>
        <w:numPr>
          <w:ilvl w:val="0"/>
          <w:numId w:val="104"/>
        </w:numPr>
        <w:autoSpaceDE w:val="0"/>
        <w:autoSpaceDN w:val="0"/>
        <w:adjustRightInd w:val="0"/>
        <w:spacing w:before="240" w:after="120" w:line="276" w:lineRule="auto"/>
        <w:rPr>
          <w:rFonts w:ascii="Arial" w:hAnsi="Arial" w:cs="Arial"/>
        </w:rPr>
      </w:pPr>
      <w:r w:rsidRPr="00BF20CF">
        <w:rPr>
          <w:rFonts w:ascii="Arial" w:hAnsi="Arial" w:cs="Arial"/>
        </w:rPr>
        <w:t>Has Hydro Ottawa assigned an economic value to the power quality issues?</w:t>
      </w:r>
    </w:p>
    <w:p w14:paraId="12B029F1" w14:textId="2BD2F0D3" w:rsidR="009D5E4A" w:rsidRPr="00BF20CF" w:rsidRDefault="009D5E4A" w:rsidP="00F23BC7">
      <w:pPr>
        <w:pStyle w:val="ListParagraph"/>
        <w:numPr>
          <w:ilvl w:val="1"/>
          <w:numId w:val="104"/>
        </w:numPr>
        <w:autoSpaceDE w:val="0"/>
        <w:autoSpaceDN w:val="0"/>
        <w:adjustRightInd w:val="0"/>
        <w:spacing w:before="240" w:after="120" w:line="276" w:lineRule="auto"/>
        <w:rPr>
          <w:rFonts w:ascii="Arial" w:hAnsi="Arial" w:cs="Arial"/>
        </w:rPr>
      </w:pPr>
      <w:r w:rsidRPr="00BF20CF">
        <w:rPr>
          <w:rFonts w:ascii="Arial" w:hAnsi="Arial" w:cs="Arial"/>
        </w:rPr>
        <w:t>If yes, please provide details.</w:t>
      </w:r>
    </w:p>
    <w:p w14:paraId="566D9A1B" w14:textId="77777777" w:rsidR="00120AA2" w:rsidRPr="00BF20CF" w:rsidRDefault="00120AA2" w:rsidP="00120AA2">
      <w:pPr>
        <w:pStyle w:val="ListParagraph"/>
        <w:autoSpaceDE w:val="0"/>
        <w:autoSpaceDN w:val="0"/>
        <w:adjustRightInd w:val="0"/>
        <w:spacing w:before="240" w:after="120" w:line="276" w:lineRule="auto"/>
        <w:rPr>
          <w:rFonts w:ascii="Arial" w:hAnsi="Arial" w:cs="Arial"/>
        </w:rPr>
      </w:pPr>
    </w:p>
    <w:p w14:paraId="0B45C2EB" w14:textId="10F9D9B6" w:rsidR="009D5E4A" w:rsidRPr="00BF20CF" w:rsidRDefault="009D5E4A" w:rsidP="00F23BC7">
      <w:pPr>
        <w:pStyle w:val="ListParagraph"/>
        <w:numPr>
          <w:ilvl w:val="0"/>
          <w:numId w:val="104"/>
        </w:numPr>
        <w:autoSpaceDE w:val="0"/>
        <w:autoSpaceDN w:val="0"/>
        <w:adjustRightInd w:val="0"/>
        <w:spacing w:before="240" w:after="120" w:line="276" w:lineRule="auto"/>
        <w:rPr>
          <w:rFonts w:ascii="Arial" w:hAnsi="Arial" w:cs="Arial"/>
        </w:rPr>
      </w:pPr>
      <w:r w:rsidRPr="00BF20CF">
        <w:rPr>
          <w:rFonts w:ascii="Arial" w:hAnsi="Arial" w:cs="Arial"/>
        </w:rPr>
        <w:t>In Figure 4.7, how many sites are measured and how were the selected sites chosen?</w:t>
      </w:r>
    </w:p>
    <w:p w14:paraId="5C21D51C" w14:textId="74CC1342" w:rsidR="00120AA2" w:rsidRPr="00BF20CF" w:rsidRDefault="00120AA2" w:rsidP="00120AA2">
      <w:pPr>
        <w:pStyle w:val="ListParagraph"/>
        <w:autoSpaceDE w:val="0"/>
        <w:autoSpaceDN w:val="0"/>
        <w:adjustRightInd w:val="0"/>
        <w:spacing w:before="240" w:after="120" w:line="276" w:lineRule="auto"/>
        <w:rPr>
          <w:rFonts w:ascii="Arial" w:hAnsi="Arial" w:cs="Arial"/>
        </w:rPr>
      </w:pPr>
    </w:p>
    <w:p w14:paraId="0E5365F9" w14:textId="16294D33" w:rsidR="009D5E4A" w:rsidRPr="00BF20CF" w:rsidRDefault="006717E9" w:rsidP="006717E9">
      <w:pPr>
        <w:pStyle w:val="StaffHeader"/>
        <w:numPr>
          <w:ilvl w:val="0"/>
          <w:numId w:val="0"/>
        </w:numPr>
        <w:spacing w:before="0"/>
        <w:rPr>
          <w:rFonts w:cs="Arial"/>
          <w:szCs w:val="24"/>
          <w:u w:val="none"/>
        </w:rPr>
      </w:pPr>
      <w:r w:rsidRPr="00BF20CF">
        <w:rPr>
          <w:rFonts w:cs="Arial"/>
          <w:szCs w:val="24"/>
          <w:u w:val="none"/>
        </w:rPr>
        <w:t>2-Staff-22</w:t>
      </w:r>
    </w:p>
    <w:p w14:paraId="17CA249E"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64 of 374</w:t>
      </w:r>
    </w:p>
    <w:p w14:paraId="40EB6EE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3099165"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cost efficiency indicator, Hydro Ottawa stated:</w:t>
      </w:r>
    </w:p>
    <w:p w14:paraId="411B997F"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 xml:space="preserve">The target of the cost efficiency indicator is to achieve 100% completion of the annual planned work within the approved budget. </w:t>
      </w:r>
    </w:p>
    <w:p w14:paraId="5ADC73C1"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The yearly Cost Efficiency is shown in Table 4.8.</w:t>
      </w:r>
    </w:p>
    <w:p w14:paraId="56518C0D"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3FA64291" wp14:editId="685489F1">
            <wp:extent cx="4743450" cy="8007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7261" cy="806418"/>
                    </a:xfrm>
                    <a:prstGeom prst="rect">
                      <a:avLst/>
                    </a:prstGeom>
                  </pic:spPr>
                </pic:pic>
              </a:graphicData>
            </a:graphic>
          </wp:inline>
        </w:drawing>
      </w:r>
    </w:p>
    <w:p w14:paraId="1176BFDE"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3AB65C4" w14:textId="7FB619A6" w:rsidR="009D5E4A" w:rsidRPr="00BF20CF" w:rsidRDefault="009D5E4A" w:rsidP="00F23BC7">
      <w:pPr>
        <w:pStyle w:val="ListParagraph"/>
        <w:numPr>
          <w:ilvl w:val="0"/>
          <w:numId w:val="105"/>
        </w:numPr>
        <w:autoSpaceDE w:val="0"/>
        <w:autoSpaceDN w:val="0"/>
        <w:adjustRightInd w:val="0"/>
        <w:spacing w:before="240" w:after="120" w:line="276" w:lineRule="auto"/>
        <w:rPr>
          <w:rFonts w:ascii="Arial" w:hAnsi="Arial" w:cs="Arial"/>
        </w:rPr>
      </w:pPr>
      <w:r w:rsidRPr="00BF20CF">
        <w:rPr>
          <w:rFonts w:ascii="Arial" w:hAnsi="Arial" w:cs="Arial"/>
        </w:rPr>
        <w:t>Please explain when and how the "approved budget" input used in this calculation is established.</w:t>
      </w:r>
    </w:p>
    <w:p w14:paraId="0802E16E" w14:textId="77777777" w:rsidR="00F243B1" w:rsidRPr="00BF20CF" w:rsidRDefault="00F243B1" w:rsidP="00F243B1">
      <w:pPr>
        <w:pStyle w:val="ListParagraph"/>
        <w:autoSpaceDE w:val="0"/>
        <w:autoSpaceDN w:val="0"/>
        <w:adjustRightInd w:val="0"/>
        <w:spacing w:before="240" w:after="120" w:line="276" w:lineRule="auto"/>
        <w:rPr>
          <w:rFonts w:ascii="Arial" w:hAnsi="Arial" w:cs="Arial"/>
        </w:rPr>
      </w:pPr>
    </w:p>
    <w:p w14:paraId="316BD9EF" w14:textId="4AE26693" w:rsidR="009D5E4A" w:rsidRPr="00BF20CF" w:rsidRDefault="009D5E4A" w:rsidP="00F23BC7">
      <w:pPr>
        <w:pStyle w:val="ListParagraph"/>
        <w:numPr>
          <w:ilvl w:val="0"/>
          <w:numId w:val="105"/>
        </w:numPr>
        <w:autoSpaceDE w:val="0"/>
        <w:autoSpaceDN w:val="0"/>
        <w:adjustRightInd w:val="0"/>
        <w:spacing w:before="240" w:after="120" w:line="276" w:lineRule="auto"/>
        <w:rPr>
          <w:rFonts w:ascii="Arial" w:hAnsi="Arial" w:cs="Arial"/>
        </w:rPr>
      </w:pPr>
      <w:r w:rsidRPr="00BF20CF">
        <w:rPr>
          <w:rFonts w:ascii="Arial" w:hAnsi="Arial" w:cs="Arial"/>
        </w:rPr>
        <w:t>Are there circumstances in which the approved budget is later changed?  If yes, please explain.</w:t>
      </w:r>
    </w:p>
    <w:p w14:paraId="6A85E4D3" w14:textId="77777777" w:rsidR="00F243B1" w:rsidRPr="00BF20CF" w:rsidRDefault="00F243B1" w:rsidP="00F243B1">
      <w:pPr>
        <w:pStyle w:val="ListParagraph"/>
        <w:autoSpaceDE w:val="0"/>
        <w:autoSpaceDN w:val="0"/>
        <w:adjustRightInd w:val="0"/>
        <w:spacing w:before="240" w:after="120" w:line="276" w:lineRule="auto"/>
        <w:rPr>
          <w:rFonts w:ascii="Arial" w:hAnsi="Arial" w:cs="Arial"/>
        </w:rPr>
      </w:pPr>
    </w:p>
    <w:p w14:paraId="1194757A" w14:textId="77777777" w:rsidR="009D5E4A" w:rsidRPr="00BF20CF" w:rsidRDefault="009D5E4A" w:rsidP="00F23BC7">
      <w:pPr>
        <w:pStyle w:val="ListParagraph"/>
        <w:numPr>
          <w:ilvl w:val="0"/>
          <w:numId w:val="105"/>
        </w:numPr>
        <w:autoSpaceDE w:val="0"/>
        <w:autoSpaceDN w:val="0"/>
        <w:adjustRightInd w:val="0"/>
        <w:spacing w:before="240" w:after="120" w:line="276" w:lineRule="auto"/>
        <w:rPr>
          <w:rFonts w:ascii="Arial" w:hAnsi="Arial" w:cs="Arial"/>
        </w:rPr>
      </w:pPr>
      <w:r w:rsidRPr="00BF20CF">
        <w:rPr>
          <w:rFonts w:ascii="Arial" w:hAnsi="Arial" w:cs="Arial"/>
        </w:rPr>
        <w:t>For the cost efficiency metric, please confirm if a figure below 100% indicates that total costs are less than all costs associated with completion of all projects identified in the “approved budget”.</w:t>
      </w:r>
    </w:p>
    <w:p w14:paraId="076B8006" w14:textId="037AA6D8" w:rsidR="009D5E4A" w:rsidRPr="00BF20CF" w:rsidRDefault="009D5E4A" w:rsidP="00F23BC7">
      <w:pPr>
        <w:pStyle w:val="ListParagraph"/>
        <w:numPr>
          <w:ilvl w:val="1"/>
          <w:numId w:val="105"/>
        </w:numPr>
        <w:autoSpaceDE w:val="0"/>
        <w:autoSpaceDN w:val="0"/>
        <w:adjustRightInd w:val="0"/>
        <w:spacing w:before="240" w:after="120" w:line="276" w:lineRule="auto"/>
        <w:rPr>
          <w:rFonts w:ascii="Arial" w:hAnsi="Arial" w:cs="Arial"/>
        </w:rPr>
      </w:pPr>
      <w:r w:rsidRPr="00BF20CF">
        <w:rPr>
          <w:rFonts w:ascii="Arial" w:hAnsi="Arial" w:cs="Arial"/>
        </w:rPr>
        <w:t>If no, please describe how the Cost Efficiency metric is calculated.</w:t>
      </w:r>
    </w:p>
    <w:p w14:paraId="135F4C64" w14:textId="77777777" w:rsidR="00F243B1" w:rsidRPr="00BF20CF" w:rsidRDefault="00F243B1" w:rsidP="00F243B1">
      <w:pPr>
        <w:pStyle w:val="ListParagraph"/>
        <w:autoSpaceDE w:val="0"/>
        <w:autoSpaceDN w:val="0"/>
        <w:adjustRightInd w:val="0"/>
        <w:spacing w:before="240" w:after="120" w:line="276" w:lineRule="auto"/>
        <w:rPr>
          <w:rFonts w:ascii="Arial" w:hAnsi="Arial" w:cs="Arial"/>
        </w:rPr>
      </w:pPr>
    </w:p>
    <w:p w14:paraId="421B0A38" w14:textId="11AD5626" w:rsidR="009D5E4A" w:rsidRPr="00BF20CF" w:rsidRDefault="009D5E4A" w:rsidP="00F23BC7">
      <w:pPr>
        <w:pStyle w:val="ListParagraph"/>
        <w:numPr>
          <w:ilvl w:val="0"/>
          <w:numId w:val="105"/>
        </w:numPr>
        <w:autoSpaceDE w:val="0"/>
        <w:autoSpaceDN w:val="0"/>
        <w:adjustRightInd w:val="0"/>
        <w:spacing w:before="240" w:after="120" w:line="276" w:lineRule="auto"/>
        <w:rPr>
          <w:rFonts w:ascii="Arial" w:hAnsi="Arial" w:cs="Arial"/>
        </w:rPr>
      </w:pPr>
      <w:r w:rsidRPr="00BF20CF">
        <w:rPr>
          <w:rFonts w:ascii="Arial" w:hAnsi="Arial" w:cs="Arial"/>
        </w:rPr>
        <w:lastRenderedPageBreak/>
        <w:t>Please discuss whether Hydro Ottawa would consider including this Cost Efficiency metric in its proposed Custom Performance Scorecard.</w:t>
      </w:r>
    </w:p>
    <w:p w14:paraId="41CEA4A1" w14:textId="77777777" w:rsidR="006717E9" w:rsidRPr="00BF20CF" w:rsidRDefault="006717E9" w:rsidP="006717E9">
      <w:pPr>
        <w:pStyle w:val="ListParagraph"/>
        <w:autoSpaceDE w:val="0"/>
        <w:autoSpaceDN w:val="0"/>
        <w:adjustRightInd w:val="0"/>
        <w:spacing w:before="240" w:after="120" w:line="276" w:lineRule="auto"/>
        <w:rPr>
          <w:rFonts w:ascii="Arial" w:hAnsi="Arial" w:cs="Arial"/>
        </w:rPr>
      </w:pPr>
    </w:p>
    <w:p w14:paraId="2263EE59" w14:textId="7FABF6D7" w:rsidR="009D5E4A" w:rsidRPr="00BF20CF" w:rsidRDefault="006717E9" w:rsidP="006717E9">
      <w:pPr>
        <w:pStyle w:val="StaffHeader"/>
        <w:numPr>
          <w:ilvl w:val="0"/>
          <w:numId w:val="0"/>
        </w:numPr>
        <w:spacing w:before="240"/>
        <w:rPr>
          <w:rFonts w:cs="Arial"/>
          <w:szCs w:val="24"/>
          <w:u w:val="none"/>
        </w:rPr>
      </w:pPr>
      <w:r w:rsidRPr="00BF20CF">
        <w:rPr>
          <w:rFonts w:cs="Arial"/>
          <w:szCs w:val="24"/>
          <w:u w:val="none"/>
        </w:rPr>
        <w:t>2-Staff-23</w:t>
      </w:r>
    </w:p>
    <w:p w14:paraId="2ACF721D"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66 of 374</w:t>
      </w:r>
    </w:p>
    <w:p w14:paraId="73598AF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D35FE8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 xml:space="preserve">Regarding its </w:t>
      </w:r>
      <w:proofErr w:type="spellStart"/>
      <w:r w:rsidRPr="00BF20CF">
        <w:rPr>
          <w:rFonts w:ascii="Arial" w:hAnsi="Arial" w:cs="Arial"/>
          <w:bCs/>
        </w:rPr>
        <w:t>labour</w:t>
      </w:r>
      <w:proofErr w:type="spellEnd"/>
      <w:r w:rsidRPr="00BF20CF">
        <w:rPr>
          <w:rFonts w:ascii="Arial" w:hAnsi="Arial" w:cs="Arial"/>
          <w:bCs/>
        </w:rPr>
        <w:t xml:space="preserve"> allocation, Hydro Ottawa provided the following table and comment:</w:t>
      </w:r>
    </w:p>
    <w:p w14:paraId="2B733DC4"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0E3CD784" wp14:editId="4F24AB2F">
            <wp:extent cx="4076700" cy="691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3216" cy="697840"/>
                    </a:xfrm>
                    <a:prstGeom prst="rect">
                      <a:avLst/>
                    </a:prstGeom>
                  </pic:spPr>
                </pic:pic>
              </a:graphicData>
            </a:graphic>
          </wp:inline>
        </w:drawing>
      </w:r>
    </w:p>
    <w:p w14:paraId="7F155A2C"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The reduction observed in 2018, over 2017, results primarily from an increase in mutual aid responses undertaken in that year.</w:t>
      </w:r>
    </w:p>
    <w:p w14:paraId="71313F3F"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09543812" w14:textId="75491C77" w:rsidR="009D5E4A" w:rsidRPr="00BF20CF" w:rsidRDefault="009D5E4A" w:rsidP="00F23BC7">
      <w:pPr>
        <w:pStyle w:val="ListParagraph"/>
        <w:numPr>
          <w:ilvl w:val="0"/>
          <w:numId w:val="106"/>
        </w:numPr>
        <w:autoSpaceDE w:val="0"/>
        <w:autoSpaceDN w:val="0"/>
        <w:adjustRightInd w:val="0"/>
        <w:spacing w:before="240" w:after="120" w:line="276" w:lineRule="auto"/>
        <w:rPr>
          <w:rFonts w:ascii="Arial" w:hAnsi="Arial" w:cs="Arial"/>
        </w:rPr>
      </w:pPr>
      <w:r w:rsidRPr="00BF20CF">
        <w:rPr>
          <w:rFonts w:ascii="Arial" w:hAnsi="Arial" w:cs="Arial"/>
        </w:rPr>
        <w:t>When was the target rate (of 61%) set?</w:t>
      </w:r>
    </w:p>
    <w:p w14:paraId="10D5F719" w14:textId="77777777" w:rsidR="00F243B1" w:rsidRPr="00BF20CF" w:rsidRDefault="00F243B1" w:rsidP="00F243B1">
      <w:pPr>
        <w:pStyle w:val="ListParagraph"/>
        <w:autoSpaceDE w:val="0"/>
        <w:autoSpaceDN w:val="0"/>
        <w:adjustRightInd w:val="0"/>
        <w:spacing w:before="240" w:after="120" w:line="276" w:lineRule="auto"/>
        <w:rPr>
          <w:rFonts w:ascii="Arial" w:hAnsi="Arial" w:cs="Arial"/>
        </w:rPr>
      </w:pPr>
    </w:p>
    <w:p w14:paraId="7EF7B877" w14:textId="626CED99" w:rsidR="009D5E4A" w:rsidRPr="00BF20CF" w:rsidRDefault="009D5E4A" w:rsidP="00F23BC7">
      <w:pPr>
        <w:pStyle w:val="ListParagraph"/>
        <w:numPr>
          <w:ilvl w:val="0"/>
          <w:numId w:val="106"/>
        </w:numPr>
        <w:autoSpaceDE w:val="0"/>
        <w:autoSpaceDN w:val="0"/>
        <w:adjustRightInd w:val="0"/>
        <w:spacing w:before="240" w:after="120" w:line="276" w:lineRule="auto"/>
        <w:rPr>
          <w:rFonts w:ascii="Arial" w:hAnsi="Arial" w:cs="Arial"/>
        </w:rPr>
      </w:pPr>
      <w:r w:rsidRPr="00BF20CF">
        <w:rPr>
          <w:rFonts w:ascii="Arial" w:hAnsi="Arial" w:cs="Arial"/>
        </w:rPr>
        <w:t xml:space="preserve">Why </w:t>
      </w:r>
      <w:proofErr w:type="gramStart"/>
      <w:r w:rsidRPr="00BF20CF">
        <w:rPr>
          <w:rFonts w:ascii="Arial" w:hAnsi="Arial" w:cs="Arial"/>
        </w:rPr>
        <w:t>is 61%</w:t>
      </w:r>
      <w:proofErr w:type="gramEnd"/>
      <w:r w:rsidRPr="00BF20CF">
        <w:rPr>
          <w:rFonts w:ascii="Arial" w:hAnsi="Arial" w:cs="Arial"/>
        </w:rPr>
        <w:t xml:space="preserve"> considered the optimal allocation of labour costs?</w:t>
      </w:r>
    </w:p>
    <w:p w14:paraId="07E3FA5A" w14:textId="77777777" w:rsidR="00F243B1" w:rsidRPr="00BF20CF" w:rsidRDefault="00F243B1" w:rsidP="00F243B1">
      <w:pPr>
        <w:pStyle w:val="ListParagraph"/>
        <w:autoSpaceDE w:val="0"/>
        <w:autoSpaceDN w:val="0"/>
        <w:adjustRightInd w:val="0"/>
        <w:spacing w:before="240" w:after="120" w:line="276" w:lineRule="auto"/>
        <w:rPr>
          <w:rFonts w:ascii="Arial" w:hAnsi="Arial" w:cs="Arial"/>
        </w:rPr>
      </w:pPr>
    </w:p>
    <w:p w14:paraId="006CBAB3" w14:textId="77777777" w:rsidR="009D5E4A" w:rsidRPr="00BF20CF" w:rsidRDefault="009D5E4A" w:rsidP="00F23BC7">
      <w:pPr>
        <w:pStyle w:val="ListParagraph"/>
        <w:numPr>
          <w:ilvl w:val="0"/>
          <w:numId w:val="106"/>
        </w:numPr>
        <w:autoSpaceDE w:val="0"/>
        <w:autoSpaceDN w:val="0"/>
        <w:adjustRightInd w:val="0"/>
        <w:spacing w:before="240" w:after="120" w:line="276" w:lineRule="auto"/>
        <w:rPr>
          <w:rFonts w:ascii="Arial" w:hAnsi="Arial" w:cs="Arial"/>
        </w:rPr>
      </w:pPr>
      <w:r w:rsidRPr="00BF20CF">
        <w:rPr>
          <w:rFonts w:ascii="Arial" w:hAnsi="Arial" w:cs="Arial"/>
        </w:rPr>
        <w:t>Does Hydro Ottawa revisit the target rate periodically? Please explain.</w:t>
      </w:r>
    </w:p>
    <w:p w14:paraId="36B3E2AD" w14:textId="03F30E9E" w:rsidR="009D5E4A" w:rsidRPr="00BF20CF" w:rsidRDefault="009D5E4A" w:rsidP="00512431">
      <w:pPr>
        <w:pStyle w:val="ListParagraph"/>
        <w:autoSpaceDE w:val="0"/>
        <w:autoSpaceDN w:val="0"/>
        <w:adjustRightInd w:val="0"/>
        <w:spacing w:before="240" w:after="120" w:line="276" w:lineRule="auto"/>
        <w:rPr>
          <w:rFonts w:cs="Arial"/>
        </w:rPr>
      </w:pPr>
    </w:p>
    <w:p w14:paraId="6E1AA5FE" w14:textId="1A4C8A46" w:rsidR="002620BE" w:rsidRPr="00BF20CF" w:rsidRDefault="002620BE" w:rsidP="002620BE">
      <w:pPr>
        <w:pStyle w:val="StaffHeader"/>
        <w:numPr>
          <w:ilvl w:val="0"/>
          <w:numId w:val="0"/>
        </w:numPr>
        <w:spacing w:before="240"/>
        <w:rPr>
          <w:rFonts w:cs="Arial"/>
          <w:szCs w:val="24"/>
          <w:u w:val="none"/>
        </w:rPr>
      </w:pPr>
      <w:r w:rsidRPr="00BF20CF">
        <w:rPr>
          <w:rFonts w:cs="Arial"/>
          <w:szCs w:val="24"/>
          <w:u w:val="none"/>
        </w:rPr>
        <w:t>2-Staff-24</w:t>
      </w:r>
    </w:p>
    <w:p w14:paraId="172243D9" w14:textId="77777777" w:rsidR="009D5E4A" w:rsidRPr="00BF20CF" w:rsidRDefault="009D5E4A" w:rsidP="002620B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67 of 374</w:t>
      </w:r>
    </w:p>
    <w:p w14:paraId="1891947B"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3F9F273"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asset performance, Hydro Ottawa provided the following table:</w:t>
      </w:r>
    </w:p>
    <w:p w14:paraId="46D6EF5B"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lastRenderedPageBreak/>
        <w:drawing>
          <wp:inline distT="0" distB="0" distL="0" distR="0" wp14:anchorId="4CC807CF" wp14:editId="14225FEF">
            <wp:extent cx="4962239" cy="16390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9937" cy="1671288"/>
                    </a:xfrm>
                    <a:prstGeom prst="rect">
                      <a:avLst/>
                    </a:prstGeom>
                  </pic:spPr>
                </pic:pic>
              </a:graphicData>
            </a:graphic>
          </wp:inline>
        </w:drawing>
      </w:r>
    </w:p>
    <w:p w14:paraId="3EA95E22"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028D23A9" w14:textId="0E45ED44" w:rsidR="009D5E4A" w:rsidRPr="00BF20CF" w:rsidRDefault="009D5E4A" w:rsidP="00F23BC7">
      <w:pPr>
        <w:pStyle w:val="ListParagraph"/>
        <w:numPr>
          <w:ilvl w:val="0"/>
          <w:numId w:val="107"/>
        </w:numPr>
        <w:autoSpaceDE w:val="0"/>
        <w:autoSpaceDN w:val="0"/>
        <w:adjustRightInd w:val="0"/>
        <w:spacing w:before="240" w:after="120" w:line="276" w:lineRule="auto"/>
        <w:rPr>
          <w:rFonts w:ascii="Arial" w:hAnsi="Arial" w:cs="Arial"/>
        </w:rPr>
      </w:pPr>
      <w:r w:rsidRPr="00BF20CF">
        <w:rPr>
          <w:rFonts w:ascii="Arial" w:hAnsi="Arial" w:cs="Arial"/>
        </w:rPr>
        <w:t>What are the primary drivers of the inter-annual variability in these results, given that these outages are notionally caused by defective equipment?</w:t>
      </w:r>
    </w:p>
    <w:p w14:paraId="2BAC0785" w14:textId="77777777" w:rsidR="00F243B1" w:rsidRPr="00BF20CF" w:rsidRDefault="00F243B1" w:rsidP="00F243B1">
      <w:pPr>
        <w:pStyle w:val="ListParagraph"/>
        <w:autoSpaceDE w:val="0"/>
        <w:autoSpaceDN w:val="0"/>
        <w:adjustRightInd w:val="0"/>
        <w:spacing w:before="240" w:after="120" w:line="276" w:lineRule="auto"/>
        <w:rPr>
          <w:rFonts w:ascii="Arial" w:hAnsi="Arial" w:cs="Arial"/>
        </w:rPr>
      </w:pPr>
    </w:p>
    <w:p w14:paraId="7B9DADAF" w14:textId="77777777" w:rsidR="009D5E4A" w:rsidRPr="00BF20CF" w:rsidRDefault="009D5E4A" w:rsidP="00F23BC7">
      <w:pPr>
        <w:pStyle w:val="ListParagraph"/>
        <w:numPr>
          <w:ilvl w:val="0"/>
          <w:numId w:val="107"/>
        </w:numPr>
        <w:autoSpaceDE w:val="0"/>
        <w:autoSpaceDN w:val="0"/>
        <w:adjustRightInd w:val="0"/>
        <w:spacing w:before="240" w:after="120" w:line="276" w:lineRule="auto"/>
        <w:rPr>
          <w:rFonts w:ascii="Arial" w:hAnsi="Arial" w:cs="Arial"/>
        </w:rPr>
      </w:pPr>
      <w:r w:rsidRPr="00BF20CF">
        <w:rPr>
          <w:rFonts w:ascii="Arial" w:hAnsi="Arial" w:cs="Arial"/>
        </w:rPr>
        <w:t>Do weather events or any other external factors contribute to increased impact of defective equipment in certain years?</w:t>
      </w:r>
    </w:p>
    <w:p w14:paraId="6B1D019E" w14:textId="0523CA20" w:rsidR="009D5E4A" w:rsidRPr="00BF20CF" w:rsidRDefault="009D5E4A" w:rsidP="00F23BC7">
      <w:pPr>
        <w:pStyle w:val="ListParagraph"/>
        <w:numPr>
          <w:ilvl w:val="1"/>
          <w:numId w:val="107"/>
        </w:numPr>
        <w:autoSpaceDE w:val="0"/>
        <w:autoSpaceDN w:val="0"/>
        <w:adjustRightInd w:val="0"/>
        <w:spacing w:before="240" w:after="120" w:line="276" w:lineRule="auto"/>
        <w:rPr>
          <w:rFonts w:ascii="Arial" w:hAnsi="Arial" w:cs="Arial"/>
        </w:rPr>
      </w:pPr>
      <w:r w:rsidRPr="00BF20CF">
        <w:rPr>
          <w:rFonts w:ascii="Arial" w:hAnsi="Arial" w:cs="Arial"/>
        </w:rPr>
        <w:t>If yes, please explain why these are classified as defective equipment events rather than storm/weather events.</w:t>
      </w:r>
    </w:p>
    <w:p w14:paraId="490DDCD5" w14:textId="77777777" w:rsidR="00F243B1" w:rsidRPr="00BF20CF" w:rsidRDefault="00F243B1" w:rsidP="00F243B1">
      <w:pPr>
        <w:pStyle w:val="ListParagraph"/>
        <w:autoSpaceDE w:val="0"/>
        <w:autoSpaceDN w:val="0"/>
        <w:adjustRightInd w:val="0"/>
        <w:spacing w:before="240" w:after="120" w:line="276" w:lineRule="auto"/>
        <w:rPr>
          <w:rFonts w:ascii="Arial" w:hAnsi="Arial" w:cs="Arial"/>
        </w:rPr>
      </w:pPr>
    </w:p>
    <w:p w14:paraId="52D402A8" w14:textId="77777777" w:rsidR="009D5E4A" w:rsidRPr="00BF20CF" w:rsidRDefault="009D5E4A" w:rsidP="00F23BC7">
      <w:pPr>
        <w:pStyle w:val="ListParagraph"/>
        <w:numPr>
          <w:ilvl w:val="0"/>
          <w:numId w:val="107"/>
        </w:numPr>
        <w:autoSpaceDE w:val="0"/>
        <w:autoSpaceDN w:val="0"/>
        <w:adjustRightInd w:val="0"/>
        <w:spacing w:before="240" w:after="120" w:line="276" w:lineRule="auto"/>
        <w:rPr>
          <w:rFonts w:ascii="Arial" w:hAnsi="Arial" w:cs="Arial"/>
        </w:rPr>
      </w:pPr>
      <w:r w:rsidRPr="00BF20CF">
        <w:rPr>
          <w:rFonts w:ascii="Arial" w:hAnsi="Arial" w:cs="Arial"/>
        </w:rPr>
        <w:t>Do the SAIFI results incorporate interruption events driven by factors outside the control of Hydro Ottawa?</w:t>
      </w:r>
    </w:p>
    <w:p w14:paraId="2A76D567" w14:textId="67E4ADEE" w:rsidR="009D5E4A" w:rsidRPr="00BF20CF" w:rsidRDefault="009D5E4A" w:rsidP="00F23BC7">
      <w:pPr>
        <w:pStyle w:val="ListParagraph"/>
        <w:numPr>
          <w:ilvl w:val="1"/>
          <w:numId w:val="107"/>
        </w:numPr>
        <w:autoSpaceDE w:val="0"/>
        <w:autoSpaceDN w:val="0"/>
        <w:adjustRightInd w:val="0"/>
        <w:spacing w:before="240" w:after="120" w:line="276" w:lineRule="auto"/>
        <w:rPr>
          <w:rFonts w:ascii="Arial" w:hAnsi="Arial" w:cs="Arial"/>
        </w:rPr>
      </w:pPr>
      <w:r w:rsidRPr="00BF20CF">
        <w:rPr>
          <w:rFonts w:ascii="Arial" w:hAnsi="Arial" w:cs="Arial"/>
        </w:rPr>
        <w:t>If yes, why does Hydro Ottawa measure itself using a metric that includes events that are outside of Hydro Ottawa's control?</w:t>
      </w:r>
    </w:p>
    <w:p w14:paraId="4AF17401" w14:textId="77777777" w:rsidR="006717E9" w:rsidRPr="00BF20CF" w:rsidRDefault="006717E9" w:rsidP="006717E9">
      <w:pPr>
        <w:pStyle w:val="ListParagraph"/>
        <w:autoSpaceDE w:val="0"/>
        <w:autoSpaceDN w:val="0"/>
        <w:adjustRightInd w:val="0"/>
        <w:spacing w:before="240" w:after="120" w:line="276" w:lineRule="auto"/>
        <w:ind w:left="1440"/>
        <w:rPr>
          <w:rFonts w:ascii="Arial" w:hAnsi="Arial" w:cs="Arial"/>
        </w:rPr>
      </w:pPr>
    </w:p>
    <w:p w14:paraId="2BE59940" w14:textId="3CA877CA" w:rsidR="009D5E4A" w:rsidRPr="00BF20CF" w:rsidRDefault="002620BE" w:rsidP="006717E9">
      <w:pPr>
        <w:pStyle w:val="StaffHeader"/>
        <w:numPr>
          <w:ilvl w:val="0"/>
          <w:numId w:val="0"/>
        </w:numPr>
        <w:spacing w:before="0"/>
        <w:rPr>
          <w:rFonts w:cs="Arial"/>
          <w:szCs w:val="24"/>
          <w:u w:val="none"/>
        </w:rPr>
      </w:pPr>
      <w:r w:rsidRPr="00BF20CF">
        <w:rPr>
          <w:rFonts w:cs="Arial"/>
          <w:szCs w:val="24"/>
          <w:u w:val="none"/>
        </w:rPr>
        <w:t>2-Staff-25</w:t>
      </w:r>
    </w:p>
    <w:p w14:paraId="64A80F83"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68 of 374</w:t>
      </w:r>
    </w:p>
    <w:p w14:paraId="1E6800D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6F5E3D2"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public safety concerns, Hydro Ottawa provided the following table:</w:t>
      </w:r>
    </w:p>
    <w:p w14:paraId="7231B857"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2DA6E3EB" wp14:editId="3A85671D">
            <wp:extent cx="4384598" cy="983411"/>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8439" cy="1006701"/>
                    </a:xfrm>
                    <a:prstGeom prst="rect">
                      <a:avLst/>
                    </a:prstGeom>
                  </pic:spPr>
                </pic:pic>
              </a:graphicData>
            </a:graphic>
          </wp:inline>
        </w:drawing>
      </w:r>
    </w:p>
    <w:p w14:paraId="7879E5A0"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776B2D6C" w14:textId="7F6BE45F" w:rsidR="009D5E4A" w:rsidRPr="00BF20CF" w:rsidRDefault="009D5E4A" w:rsidP="00F23BC7">
      <w:pPr>
        <w:pStyle w:val="ListParagraph"/>
        <w:numPr>
          <w:ilvl w:val="0"/>
          <w:numId w:val="108"/>
        </w:numPr>
        <w:autoSpaceDE w:val="0"/>
        <w:autoSpaceDN w:val="0"/>
        <w:adjustRightInd w:val="0"/>
        <w:spacing w:before="240" w:after="120" w:line="276" w:lineRule="auto"/>
        <w:rPr>
          <w:rFonts w:ascii="Arial" w:hAnsi="Arial" w:cs="Arial"/>
        </w:rPr>
      </w:pPr>
      <w:r w:rsidRPr="00BF20CF">
        <w:rPr>
          <w:rFonts w:ascii="Arial" w:hAnsi="Arial" w:cs="Arial"/>
        </w:rPr>
        <w:t>What constitutes a "Public Safety Concern"?</w:t>
      </w:r>
    </w:p>
    <w:p w14:paraId="6924FA3C"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65BA83A4" w14:textId="6DD101E7" w:rsidR="009D5E4A" w:rsidRPr="00BF20CF" w:rsidRDefault="009D5E4A" w:rsidP="00F23BC7">
      <w:pPr>
        <w:pStyle w:val="ListParagraph"/>
        <w:numPr>
          <w:ilvl w:val="0"/>
          <w:numId w:val="108"/>
        </w:numPr>
        <w:autoSpaceDE w:val="0"/>
        <w:autoSpaceDN w:val="0"/>
        <w:adjustRightInd w:val="0"/>
        <w:spacing w:before="240" w:after="120" w:line="276" w:lineRule="auto"/>
        <w:rPr>
          <w:rFonts w:ascii="Arial" w:hAnsi="Arial" w:cs="Arial"/>
        </w:rPr>
      </w:pPr>
      <w:r w:rsidRPr="00BF20CF">
        <w:rPr>
          <w:rFonts w:ascii="Arial" w:hAnsi="Arial" w:cs="Arial"/>
        </w:rPr>
        <w:lastRenderedPageBreak/>
        <w:t>How are they reported and by whom?</w:t>
      </w:r>
    </w:p>
    <w:p w14:paraId="0642E997"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3F590AB6" w14:textId="4FE0B1AD" w:rsidR="009D5E4A" w:rsidRPr="00BF20CF" w:rsidRDefault="009D5E4A" w:rsidP="00F23BC7">
      <w:pPr>
        <w:pStyle w:val="ListParagraph"/>
        <w:numPr>
          <w:ilvl w:val="0"/>
          <w:numId w:val="108"/>
        </w:numPr>
        <w:autoSpaceDE w:val="0"/>
        <w:autoSpaceDN w:val="0"/>
        <w:adjustRightInd w:val="0"/>
        <w:spacing w:before="240" w:after="120" w:line="276" w:lineRule="auto"/>
        <w:rPr>
          <w:rFonts w:ascii="Arial" w:hAnsi="Arial" w:cs="Arial"/>
        </w:rPr>
      </w:pPr>
      <w:r w:rsidRPr="00BF20CF">
        <w:rPr>
          <w:rFonts w:ascii="Arial" w:hAnsi="Arial" w:cs="Arial"/>
        </w:rPr>
        <w:t>How are they assessed and validated by Hydro Ottawa?</w:t>
      </w:r>
    </w:p>
    <w:p w14:paraId="6CF32696" w14:textId="310CD50B" w:rsidR="006717E9" w:rsidRPr="00BF20CF" w:rsidRDefault="006717E9" w:rsidP="006717E9">
      <w:pPr>
        <w:pStyle w:val="ListParagraph"/>
        <w:rPr>
          <w:rFonts w:ascii="Arial" w:hAnsi="Arial" w:cs="Arial"/>
        </w:rPr>
      </w:pPr>
    </w:p>
    <w:p w14:paraId="55FCC3AE" w14:textId="67C52477" w:rsidR="009D5E4A" w:rsidRPr="00BF20CF" w:rsidRDefault="002620BE" w:rsidP="006717E9">
      <w:pPr>
        <w:pStyle w:val="StaffHeader"/>
        <w:numPr>
          <w:ilvl w:val="0"/>
          <w:numId w:val="0"/>
        </w:numPr>
        <w:spacing w:before="240"/>
        <w:rPr>
          <w:rFonts w:cs="Arial"/>
          <w:szCs w:val="24"/>
          <w:u w:val="none"/>
        </w:rPr>
      </w:pPr>
      <w:r w:rsidRPr="00BF20CF">
        <w:rPr>
          <w:rFonts w:cs="Arial"/>
          <w:szCs w:val="24"/>
          <w:u w:val="none"/>
        </w:rPr>
        <w:t>2-Staff-26</w:t>
      </w:r>
    </w:p>
    <w:p w14:paraId="5B993AB9"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69 of 374</w:t>
      </w:r>
    </w:p>
    <w:p w14:paraId="206EA20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F4B9434"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oil spills, Hydro Ottawa provided the following table:</w:t>
      </w:r>
    </w:p>
    <w:p w14:paraId="218173AC"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041E65EE" wp14:editId="1D3903DA">
            <wp:extent cx="4578350" cy="104333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97413" cy="1047680"/>
                    </a:xfrm>
                    <a:prstGeom prst="rect">
                      <a:avLst/>
                    </a:prstGeom>
                  </pic:spPr>
                </pic:pic>
              </a:graphicData>
            </a:graphic>
          </wp:inline>
        </w:drawing>
      </w:r>
    </w:p>
    <w:p w14:paraId="7E3F4CB8"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D6F3ABC" w14:textId="67F6BA76" w:rsidR="009D5E4A" w:rsidRPr="00BF20CF" w:rsidRDefault="009D5E4A" w:rsidP="00F23BC7">
      <w:pPr>
        <w:pStyle w:val="ListParagraph"/>
        <w:numPr>
          <w:ilvl w:val="0"/>
          <w:numId w:val="109"/>
        </w:numPr>
        <w:autoSpaceDE w:val="0"/>
        <w:autoSpaceDN w:val="0"/>
        <w:adjustRightInd w:val="0"/>
        <w:spacing w:before="240" w:after="120" w:line="276" w:lineRule="auto"/>
        <w:rPr>
          <w:rFonts w:ascii="Arial" w:hAnsi="Arial" w:cs="Arial"/>
        </w:rPr>
      </w:pPr>
      <w:r w:rsidRPr="00BF20CF">
        <w:rPr>
          <w:rFonts w:ascii="Arial" w:hAnsi="Arial" w:cs="Arial"/>
        </w:rPr>
        <w:t>What are the primary causes of Hydro Ottawa's oil spills?</w:t>
      </w:r>
    </w:p>
    <w:p w14:paraId="7F5C1C47"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0F2D1CEF" w14:textId="11306622" w:rsidR="009D5E4A" w:rsidRPr="00BF20CF" w:rsidRDefault="009D5E4A" w:rsidP="00F23BC7">
      <w:pPr>
        <w:pStyle w:val="ListParagraph"/>
        <w:numPr>
          <w:ilvl w:val="0"/>
          <w:numId w:val="109"/>
        </w:numPr>
        <w:autoSpaceDE w:val="0"/>
        <w:autoSpaceDN w:val="0"/>
        <w:adjustRightInd w:val="0"/>
        <w:spacing w:before="240" w:after="120" w:line="276" w:lineRule="auto"/>
        <w:rPr>
          <w:rFonts w:ascii="Arial" w:hAnsi="Arial" w:cs="Arial"/>
        </w:rPr>
      </w:pPr>
      <w:r w:rsidRPr="00BF20CF">
        <w:rPr>
          <w:rFonts w:ascii="Arial" w:hAnsi="Arial" w:cs="Arial"/>
        </w:rPr>
        <w:t>Are oil spills from transformers only counted if the spill escapes the oil containment structure?</w:t>
      </w:r>
    </w:p>
    <w:p w14:paraId="08CACF44"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50BBC01C" w14:textId="666B1C36" w:rsidR="009D5E4A" w:rsidRPr="00BF20CF" w:rsidRDefault="009D5E4A" w:rsidP="00F23BC7">
      <w:pPr>
        <w:pStyle w:val="ListParagraph"/>
        <w:numPr>
          <w:ilvl w:val="0"/>
          <w:numId w:val="109"/>
        </w:numPr>
        <w:autoSpaceDE w:val="0"/>
        <w:autoSpaceDN w:val="0"/>
        <w:adjustRightInd w:val="0"/>
        <w:spacing w:before="240" w:after="120" w:line="276" w:lineRule="auto"/>
        <w:rPr>
          <w:rFonts w:ascii="Arial" w:hAnsi="Arial" w:cs="Arial"/>
        </w:rPr>
      </w:pPr>
      <w:r w:rsidRPr="00BF20CF">
        <w:rPr>
          <w:rFonts w:ascii="Arial" w:hAnsi="Arial" w:cs="Arial"/>
        </w:rPr>
        <w:t>Do all Hydro Ottawa transformers have oil containment structures?</w:t>
      </w:r>
    </w:p>
    <w:p w14:paraId="3626411F"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4DC5D05B" w14:textId="51BCE3A9" w:rsidR="009D5E4A" w:rsidRPr="00BF20CF" w:rsidRDefault="009D5E4A" w:rsidP="00F23BC7">
      <w:pPr>
        <w:pStyle w:val="ListParagraph"/>
        <w:numPr>
          <w:ilvl w:val="0"/>
          <w:numId w:val="109"/>
        </w:numPr>
        <w:autoSpaceDE w:val="0"/>
        <w:autoSpaceDN w:val="0"/>
        <w:adjustRightInd w:val="0"/>
        <w:spacing w:before="240" w:after="120" w:line="276" w:lineRule="auto"/>
        <w:rPr>
          <w:rFonts w:ascii="Arial" w:hAnsi="Arial" w:cs="Arial"/>
        </w:rPr>
      </w:pPr>
      <w:r w:rsidRPr="00BF20CF">
        <w:rPr>
          <w:rFonts w:ascii="Arial" w:hAnsi="Arial" w:cs="Arial"/>
        </w:rPr>
        <w:t>How many events of oil spills occurred in each year between 2014 and 2018?</w:t>
      </w:r>
    </w:p>
    <w:p w14:paraId="5676BE28"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38D71943" w14:textId="0D2B6D54" w:rsidR="009D5E4A" w:rsidRPr="00BF20CF" w:rsidRDefault="009D5E4A" w:rsidP="00F23BC7">
      <w:pPr>
        <w:pStyle w:val="ListParagraph"/>
        <w:numPr>
          <w:ilvl w:val="0"/>
          <w:numId w:val="109"/>
        </w:numPr>
        <w:autoSpaceDE w:val="0"/>
        <w:autoSpaceDN w:val="0"/>
        <w:adjustRightInd w:val="0"/>
        <w:spacing w:before="240" w:after="120" w:line="276" w:lineRule="auto"/>
        <w:rPr>
          <w:rFonts w:ascii="Arial" w:hAnsi="Arial" w:cs="Arial"/>
        </w:rPr>
      </w:pPr>
      <w:r w:rsidRPr="00BF20CF">
        <w:rPr>
          <w:rFonts w:ascii="Arial" w:hAnsi="Arial" w:cs="Arial"/>
        </w:rPr>
        <w:t>Does Hydro Ottawa have data available to compare its annual oil spills, in terms of litres spilled and number of oil spill events, with its LDC peers?</w:t>
      </w:r>
    </w:p>
    <w:p w14:paraId="5DB273CE" w14:textId="77777777" w:rsidR="00836ACE" w:rsidRPr="00BF20CF" w:rsidRDefault="00836ACE" w:rsidP="00836ACE">
      <w:pPr>
        <w:pStyle w:val="ListParagraph"/>
        <w:rPr>
          <w:rFonts w:ascii="Arial" w:hAnsi="Arial" w:cs="Arial"/>
        </w:rPr>
      </w:pPr>
    </w:p>
    <w:p w14:paraId="2EF0EFE4" w14:textId="302F39F3" w:rsidR="009D5E4A" w:rsidRPr="00BF20CF" w:rsidRDefault="002620BE" w:rsidP="006717E9">
      <w:pPr>
        <w:pStyle w:val="StaffHeader"/>
        <w:numPr>
          <w:ilvl w:val="0"/>
          <w:numId w:val="0"/>
        </w:numPr>
        <w:spacing w:before="240"/>
        <w:rPr>
          <w:rFonts w:cs="Arial"/>
          <w:szCs w:val="24"/>
          <w:u w:val="none"/>
        </w:rPr>
      </w:pPr>
      <w:r w:rsidRPr="00BF20CF">
        <w:rPr>
          <w:rFonts w:cs="Arial"/>
          <w:szCs w:val="24"/>
          <w:u w:val="none"/>
        </w:rPr>
        <w:t>2-Staff-27</w:t>
      </w:r>
    </w:p>
    <w:p w14:paraId="027A7263" w14:textId="77777777" w:rsidR="00F24742"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70 of 374</w:t>
      </w:r>
    </w:p>
    <w:p w14:paraId="7381306D" w14:textId="0F2E68E2" w:rsidR="009D5E4A" w:rsidRPr="00BF20CF" w:rsidRDefault="009D5E4A" w:rsidP="00836ACE">
      <w:pPr>
        <w:spacing w:line="276" w:lineRule="auto"/>
        <w:ind w:left="720"/>
        <w:rPr>
          <w:rFonts w:ascii="Arial" w:hAnsi="Arial" w:cs="Arial"/>
          <w:b/>
        </w:rPr>
      </w:pPr>
      <w:r w:rsidRPr="00BF20CF">
        <w:rPr>
          <w:rFonts w:ascii="Arial" w:hAnsi="Arial" w:cs="Arial"/>
          <w:b/>
        </w:rPr>
        <w:t>Exhibit 2 / Tab 4 / Schedule 3 / page 72 of 374</w:t>
      </w:r>
    </w:p>
    <w:p w14:paraId="3E2BCD7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31754E08"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stations capacity, Hydro Ottawa stated:</w:t>
      </w:r>
    </w:p>
    <w:p w14:paraId="7C3F448C"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lastRenderedPageBreak/>
        <w:t>To improve System Accessibility, Stations Capacity KPIs are tracked to provide insight for larger medium- and long-term capacity needs, as well as smaller capacity deficits that may be solved through load transfers.</w:t>
      </w:r>
    </w:p>
    <w:p w14:paraId="22359F2E" w14:textId="77777777" w:rsidR="009D5E4A" w:rsidRPr="00BF20CF" w:rsidRDefault="009D5E4A" w:rsidP="00F23BC7">
      <w:pPr>
        <w:spacing w:before="240" w:after="120" w:line="276" w:lineRule="auto"/>
        <w:rPr>
          <w:rFonts w:ascii="Arial" w:hAnsi="Arial" w:cs="Arial"/>
        </w:rPr>
      </w:pPr>
      <w:r w:rsidRPr="00BF20CF">
        <w:rPr>
          <w:rFonts w:ascii="Arial" w:hAnsi="Arial" w:cs="Arial"/>
        </w:rPr>
        <w:t>Regarding its stations exceeding their planned capacity, Hydro Ottawa provided the following table:</w:t>
      </w:r>
    </w:p>
    <w:p w14:paraId="7E2865F9"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2F557200" wp14:editId="7C033F7D">
            <wp:extent cx="4396436" cy="905121"/>
            <wp:effectExtent l="0" t="0" r="444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44808" cy="915080"/>
                    </a:xfrm>
                    <a:prstGeom prst="rect">
                      <a:avLst/>
                    </a:prstGeom>
                  </pic:spPr>
                </pic:pic>
              </a:graphicData>
            </a:graphic>
          </wp:inline>
        </w:drawing>
      </w:r>
    </w:p>
    <w:p w14:paraId="6EDCFF7C"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2F4225F8" w14:textId="344FAEA9" w:rsidR="009D5E4A" w:rsidRPr="00BF20CF" w:rsidRDefault="009D5E4A" w:rsidP="00F23BC7">
      <w:pPr>
        <w:pStyle w:val="ListParagraph"/>
        <w:numPr>
          <w:ilvl w:val="0"/>
          <w:numId w:val="110"/>
        </w:numPr>
        <w:autoSpaceDE w:val="0"/>
        <w:autoSpaceDN w:val="0"/>
        <w:adjustRightInd w:val="0"/>
        <w:spacing w:before="240" w:after="120" w:line="276" w:lineRule="auto"/>
        <w:rPr>
          <w:rFonts w:ascii="Arial" w:hAnsi="Arial" w:cs="Arial"/>
        </w:rPr>
      </w:pPr>
      <w:r w:rsidRPr="00BF20CF">
        <w:rPr>
          <w:rFonts w:ascii="Arial" w:hAnsi="Arial" w:cs="Arial"/>
        </w:rPr>
        <w:t>Does Hydro Ottawa have a target station capacity factor (average load / rated capacity)?</w:t>
      </w:r>
    </w:p>
    <w:p w14:paraId="6FEC68DA"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17B7608E" w14:textId="5403F2A8" w:rsidR="009D5E4A" w:rsidRPr="00BF20CF" w:rsidRDefault="009D5E4A" w:rsidP="00F23BC7">
      <w:pPr>
        <w:pStyle w:val="ListParagraph"/>
        <w:numPr>
          <w:ilvl w:val="0"/>
          <w:numId w:val="110"/>
        </w:numPr>
        <w:autoSpaceDE w:val="0"/>
        <w:autoSpaceDN w:val="0"/>
        <w:adjustRightInd w:val="0"/>
        <w:spacing w:before="240" w:after="120" w:line="276" w:lineRule="auto"/>
        <w:rPr>
          <w:rFonts w:ascii="Arial" w:hAnsi="Arial" w:cs="Arial"/>
        </w:rPr>
      </w:pPr>
      <w:r w:rsidRPr="00BF20CF">
        <w:rPr>
          <w:rFonts w:ascii="Arial" w:hAnsi="Arial" w:cs="Arial"/>
        </w:rPr>
        <w:t>Does a low capacity factor indicate that assets are underutilized?</w:t>
      </w:r>
    </w:p>
    <w:p w14:paraId="3680FAE9"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70FFE9AC" w14:textId="2433FFD6" w:rsidR="009D5E4A" w:rsidRPr="00BF20CF" w:rsidRDefault="009D5E4A" w:rsidP="00F23BC7">
      <w:pPr>
        <w:pStyle w:val="ListParagraph"/>
        <w:numPr>
          <w:ilvl w:val="0"/>
          <w:numId w:val="110"/>
        </w:numPr>
        <w:autoSpaceDE w:val="0"/>
        <w:autoSpaceDN w:val="0"/>
        <w:adjustRightInd w:val="0"/>
        <w:spacing w:before="240" w:after="120" w:line="276" w:lineRule="auto"/>
        <w:rPr>
          <w:rFonts w:ascii="Arial" w:hAnsi="Arial" w:cs="Arial"/>
        </w:rPr>
      </w:pPr>
      <w:r w:rsidRPr="00BF20CF">
        <w:rPr>
          <w:rFonts w:ascii="Arial" w:hAnsi="Arial" w:cs="Arial"/>
        </w:rPr>
        <w:t>In Table 4.14, what caused the spike in 2018?</w:t>
      </w:r>
    </w:p>
    <w:p w14:paraId="34695E64" w14:textId="77777777" w:rsidR="00D2731C" w:rsidRPr="00BF20CF" w:rsidRDefault="00D2731C" w:rsidP="00D2731C">
      <w:pPr>
        <w:pStyle w:val="ListParagraph"/>
        <w:rPr>
          <w:rFonts w:ascii="Arial" w:hAnsi="Arial" w:cs="Arial"/>
        </w:rPr>
      </w:pPr>
    </w:p>
    <w:p w14:paraId="24B44D45" w14:textId="2DDAE94D" w:rsidR="009D5E4A" w:rsidRPr="00BF20CF" w:rsidRDefault="009D5E4A" w:rsidP="00F23BC7">
      <w:pPr>
        <w:pStyle w:val="ListParagraph"/>
        <w:numPr>
          <w:ilvl w:val="0"/>
          <w:numId w:val="110"/>
        </w:numPr>
        <w:autoSpaceDE w:val="0"/>
        <w:autoSpaceDN w:val="0"/>
        <w:adjustRightInd w:val="0"/>
        <w:spacing w:before="240" w:after="120" w:line="276" w:lineRule="auto"/>
        <w:rPr>
          <w:rFonts w:ascii="Arial" w:hAnsi="Arial" w:cs="Arial"/>
        </w:rPr>
      </w:pPr>
      <w:r w:rsidRPr="00BF20CF">
        <w:rPr>
          <w:rFonts w:ascii="Arial" w:hAnsi="Arial" w:cs="Arial"/>
        </w:rPr>
        <w:t>Is the 2019 SEPC% available for Table 4.14?</w:t>
      </w:r>
    </w:p>
    <w:p w14:paraId="423711A2" w14:textId="77777777" w:rsidR="00836ACE" w:rsidRPr="00BF20CF" w:rsidRDefault="00836ACE" w:rsidP="00836ACE">
      <w:pPr>
        <w:pStyle w:val="ListParagraph"/>
        <w:rPr>
          <w:rFonts w:ascii="Arial" w:hAnsi="Arial" w:cs="Arial"/>
        </w:rPr>
      </w:pPr>
    </w:p>
    <w:p w14:paraId="34050531" w14:textId="5E3FDB46" w:rsidR="009D5E4A" w:rsidRPr="00BF20CF" w:rsidRDefault="002620BE" w:rsidP="006717E9">
      <w:pPr>
        <w:pStyle w:val="StaffHeader"/>
        <w:numPr>
          <w:ilvl w:val="0"/>
          <w:numId w:val="0"/>
        </w:numPr>
        <w:spacing w:before="240"/>
        <w:rPr>
          <w:rFonts w:cs="Arial"/>
          <w:szCs w:val="24"/>
          <w:u w:val="none"/>
        </w:rPr>
      </w:pPr>
      <w:r w:rsidRPr="00BF20CF">
        <w:rPr>
          <w:rFonts w:cs="Arial"/>
          <w:szCs w:val="24"/>
          <w:u w:val="none"/>
        </w:rPr>
        <w:t>2-Staff-28</w:t>
      </w:r>
    </w:p>
    <w:p w14:paraId="37240D9B" w14:textId="77777777" w:rsidR="009D5E4A" w:rsidRPr="00BF20CF" w:rsidRDefault="009D5E4A" w:rsidP="00836ACE">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pp. 75-76 of 374</w:t>
      </w:r>
    </w:p>
    <w:p w14:paraId="7D2AC9C6"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D8BA24B"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feeder capacities, Hydro Ottawa provided the following Table:</w:t>
      </w:r>
    </w:p>
    <w:p w14:paraId="20DE10B5"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lastRenderedPageBreak/>
        <w:drawing>
          <wp:inline distT="0" distB="0" distL="0" distR="0" wp14:anchorId="23A7A848" wp14:editId="61153968">
            <wp:extent cx="5027930" cy="2870421"/>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5728" cy="2892000"/>
                    </a:xfrm>
                    <a:prstGeom prst="rect">
                      <a:avLst/>
                    </a:prstGeom>
                  </pic:spPr>
                </pic:pic>
              </a:graphicData>
            </a:graphic>
          </wp:inline>
        </w:drawing>
      </w:r>
    </w:p>
    <w:p w14:paraId="149382E1" w14:textId="77777777" w:rsidR="009D5E4A" w:rsidRPr="00BF20CF" w:rsidRDefault="009D5E4A" w:rsidP="00D2731C">
      <w:pPr>
        <w:autoSpaceDE w:val="0"/>
        <w:autoSpaceDN w:val="0"/>
        <w:adjustRightInd w:val="0"/>
        <w:spacing w:before="120" w:after="120" w:line="276" w:lineRule="auto"/>
        <w:ind w:left="540"/>
        <w:rPr>
          <w:rFonts w:ascii="Arial" w:hAnsi="Arial" w:cs="Arial"/>
          <w:bCs/>
        </w:rPr>
      </w:pPr>
      <w:r w:rsidRPr="00BF20CF">
        <w:rPr>
          <w:rFonts w:ascii="Arial" w:hAnsi="Arial" w:cs="Arial"/>
          <w:bCs/>
        </w:rPr>
        <w:t>The rated capacity is defined as the egress cable 8-hour loading limit. If the circuits are loaded above this limit for longer than eight hours it will cause overheating and accelerated loss of life.</w:t>
      </w:r>
    </w:p>
    <w:p w14:paraId="7A10C07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6FB56894" w14:textId="2347F517" w:rsidR="009D5E4A" w:rsidRPr="00BF20CF" w:rsidRDefault="009D5E4A" w:rsidP="00F23BC7">
      <w:pPr>
        <w:pStyle w:val="ListParagraph"/>
        <w:numPr>
          <w:ilvl w:val="0"/>
          <w:numId w:val="111"/>
        </w:numPr>
        <w:autoSpaceDE w:val="0"/>
        <w:autoSpaceDN w:val="0"/>
        <w:adjustRightInd w:val="0"/>
        <w:spacing w:before="240" w:after="120" w:line="276" w:lineRule="auto"/>
        <w:rPr>
          <w:rFonts w:ascii="Arial" w:hAnsi="Arial" w:cs="Arial"/>
        </w:rPr>
      </w:pPr>
      <w:r w:rsidRPr="00BF20CF">
        <w:rPr>
          <w:rFonts w:ascii="Arial" w:hAnsi="Arial" w:cs="Arial"/>
        </w:rPr>
        <w:t>Why is the planning limit set by the ability to provide adequate back-up capability for neighbouring circuits for 13.2 kV and 27.6 kV feeders and not feeders operating at other voltages?</w:t>
      </w:r>
    </w:p>
    <w:p w14:paraId="1A9237B1"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1D79E8A2" w14:textId="15EF67DA" w:rsidR="009D5E4A" w:rsidRPr="00BF20CF" w:rsidRDefault="009D5E4A" w:rsidP="00F23BC7">
      <w:pPr>
        <w:pStyle w:val="ListParagraph"/>
        <w:numPr>
          <w:ilvl w:val="0"/>
          <w:numId w:val="111"/>
        </w:numPr>
        <w:autoSpaceDE w:val="0"/>
        <w:autoSpaceDN w:val="0"/>
        <w:adjustRightInd w:val="0"/>
        <w:spacing w:before="240" w:after="120" w:line="276" w:lineRule="auto"/>
        <w:rPr>
          <w:rFonts w:ascii="Arial" w:hAnsi="Arial" w:cs="Arial"/>
        </w:rPr>
      </w:pPr>
      <w:r w:rsidRPr="00BF20CF">
        <w:rPr>
          <w:rFonts w:ascii="Arial" w:hAnsi="Arial" w:cs="Arial"/>
        </w:rPr>
        <w:t>If egress cables are often the limiting factor for this KPI, does this indicate that Hydro Ottawa’s standard egress cable sizes are too small to adequately support the connected feeders?</w:t>
      </w:r>
    </w:p>
    <w:p w14:paraId="1C6FD6A3"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68DE53DC" w14:textId="16F7C037" w:rsidR="009D5E4A" w:rsidRPr="00BF20CF" w:rsidRDefault="009D5E4A" w:rsidP="00F23BC7">
      <w:pPr>
        <w:pStyle w:val="ListParagraph"/>
        <w:numPr>
          <w:ilvl w:val="0"/>
          <w:numId w:val="111"/>
        </w:numPr>
        <w:autoSpaceDE w:val="0"/>
        <w:autoSpaceDN w:val="0"/>
        <w:adjustRightInd w:val="0"/>
        <w:spacing w:before="240" w:after="120" w:line="276" w:lineRule="auto"/>
        <w:rPr>
          <w:rFonts w:ascii="Arial" w:hAnsi="Arial" w:cs="Arial"/>
        </w:rPr>
      </w:pPr>
      <w:r w:rsidRPr="00BF20CF">
        <w:rPr>
          <w:rFonts w:ascii="Arial" w:hAnsi="Arial" w:cs="Arial"/>
        </w:rPr>
        <w:t>How is egress cable size selected?</w:t>
      </w:r>
    </w:p>
    <w:p w14:paraId="7AB12F61" w14:textId="77777777" w:rsidR="00836ACE" w:rsidRPr="00BF20CF" w:rsidRDefault="00836ACE" w:rsidP="00836ACE">
      <w:pPr>
        <w:pStyle w:val="ListParagraph"/>
        <w:rPr>
          <w:rFonts w:ascii="Arial" w:hAnsi="Arial" w:cs="Arial"/>
        </w:rPr>
      </w:pPr>
    </w:p>
    <w:p w14:paraId="344403ED" w14:textId="5A81379A" w:rsidR="009D5E4A" w:rsidRPr="00BF20CF" w:rsidRDefault="002620BE" w:rsidP="006717E9">
      <w:pPr>
        <w:pStyle w:val="StaffHeader"/>
        <w:numPr>
          <w:ilvl w:val="0"/>
          <w:numId w:val="0"/>
        </w:numPr>
        <w:spacing w:before="240"/>
        <w:rPr>
          <w:rFonts w:cs="Arial"/>
          <w:szCs w:val="24"/>
          <w:u w:val="none"/>
        </w:rPr>
      </w:pPr>
      <w:r w:rsidRPr="00BF20CF">
        <w:rPr>
          <w:rFonts w:cs="Arial"/>
          <w:szCs w:val="24"/>
          <w:u w:val="none"/>
        </w:rPr>
        <w:t>2-Staff-29</w:t>
      </w:r>
    </w:p>
    <w:p w14:paraId="255376B1"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77 of 374</w:t>
      </w:r>
    </w:p>
    <w:p w14:paraId="0DFD1DA0"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26634E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unit cost metrics, Hydro Ottawa provided the following table:</w:t>
      </w:r>
    </w:p>
    <w:p w14:paraId="66076697"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lastRenderedPageBreak/>
        <w:drawing>
          <wp:inline distT="0" distB="0" distL="0" distR="0" wp14:anchorId="0E285B0B" wp14:editId="3D3966F9">
            <wp:extent cx="4375331" cy="28384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5414" cy="2844992"/>
                    </a:xfrm>
                    <a:prstGeom prst="rect">
                      <a:avLst/>
                    </a:prstGeom>
                  </pic:spPr>
                </pic:pic>
              </a:graphicData>
            </a:graphic>
          </wp:inline>
        </w:drawing>
      </w:r>
    </w:p>
    <w:p w14:paraId="44F79A4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69E767F1" w14:textId="49B68533" w:rsidR="009D5E4A" w:rsidRPr="00BF20CF" w:rsidRDefault="009D5E4A" w:rsidP="00F23BC7">
      <w:pPr>
        <w:pStyle w:val="ListParagraph"/>
        <w:numPr>
          <w:ilvl w:val="0"/>
          <w:numId w:val="112"/>
        </w:numPr>
        <w:autoSpaceDE w:val="0"/>
        <w:autoSpaceDN w:val="0"/>
        <w:adjustRightInd w:val="0"/>
        <w:spacing w:before="240" w:after="120" w:line="276" w:lineRule="auto"/>
        <w:rPr>
          <w:rFonts w:ascii="Arial" w:hAnsi="Arial" w:cs="Arial"/>
        </w:rPr>
      </w:pPr>
      <w:r w:rsidRPr="00BF20CF">
        <w:rPr>
          <w:rFonts w:ascii="Arial" w:hAnsi="Arial" w:cs="Arial"/>
        </w:rPr>
        <w:t>What is causing the unfavourable unit cost trends?</w:t>
      </w:r>
    </w:p>
    <w:p w14:paraId="7A20DC53"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6D8B7EEF" w14:textId="760735D0" w:rsidR="009D5E4A" w:rsidRPr="00BF20CF" w:rsidRDefault="009D5E4A" w:rsidP="00F23BC7">
      <w:pPr>
        <w:pStyle w:val="ListParagraph"/>
        <w:numPr>
          <w:ilvl w:val="0"/>
          <w:numId w:val="112"/>
        </w:numPr>
        <w:autoSpaceDE w:val="0"/>
        <w:autoSpaceDN w:val="0"/>
        <w:adjustRightInd w:val="0"/>
        <w:spacing w:before="240" w:after="120" w:line="276" w:lineRule="auto"/>
        <w:rPr>
          <w:rFonts w:ascii="Arial" w:hAnsi="Arial" w:cs="Arial"/>
        </w:rPr>
      </w:pPr>
      <w:r w:rsidRPr="00BF20CF">
        <w:rPr>
          <w:rFonts w:ascii="Arial" w:hAnsi="Arial" w:cs="Arial"/>
        </w:rPr>
        <w:t>Does Hydro Ottawa anticipate these unfavourable trends to continue over the forecast period?</w:t>
      </w:r>
    </w:p>
    <w:p w14:paraId="60EC95F7" w14:textId="77777777" w:rsidR="00836ACE" w:rsidRPr="00BF20CF" w:rsidRDefault="00836ACE" w:rsidP="00836ACE">
      <w:pPr>
        <w:pStyle w:val="ListParagraph"/>
        <w:rPr>
          <w:rFonts w:ascii="Arial" w:hAnsi="Arial" w:cs="Arial"/>
        </w:rPr>
      </w:pPr>
    </w:p>
    <w:p w14:paraId="1B9196BB" w14:textId="0E073AAB" w:rsidR="009D5E4A" w:rsidRPr="00BF20CF" w:rsidRDefault="002620BE" w:rsidP="006717E9">
      <w:pPr>
        <w:pStyle w:val="StaffHeader"/>
        <w:numPr>
          <w:ilvl w:val="0"/>
          <w:numId w:val="0"/>
        </w:numPr>
        <w:spacing w:before="240"/>
        <w:rPr>
          <w:rFonts w:cs="Arial"/>
          <w:szCs w:val="24"/>
          <w:u w:val="none"/>
        </w:rPr>
      </w:pPr>
      <w:r w:rsidRPr="00BF20CF">
        <w:rPr>
          <w:rFonts w:cs="Arial"/>
          <w:szCs w:val="24"/>
          <w:u w:val="none"/>
        </w:rPr>
        <w:t>2-Staff-30</w:t>
      </w:r>
    </w:p>
    <w:p w14:paraId="0FC684AE"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81 of 374</w:t>
      </w:r>
    </w:p>
    <w:p w14:paraId="4DDCCFD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B1D5F24"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historical reliability, Hydro Ottawa provided the following graph:</w:t>
      </w:r>
    </w:p>
    <w:p w14:paraId="20D7B63B"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noProof/>
        </w:rPr>
        <w:lastRenderedPageBreak/>
        <w:drawing>
          <wp:inline distT="0" distB="0" distL="0" distR="0" wp14:anchorId="5E303E37" wp14:editId="7BCFA310">
            <wp:extent cx="5943600" cy="24485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48560"/>
                    </a:xfrm>
                    <a:prstGeom prst="rect">
                      <a:avLst/>
                    </a:prstGeom>
                  </pic:spPr>
                </pic:pic>
              </a:graphicData>
            </a:graphic>
          </wp:inline>
        </w:drawing>
      </w:r>
    </w:p>
    <w:p w14:paraId="0E76BA39" w14:textId="77777777" w:rsidR="009D5E4A" w:rsidRPr="00BF20CF" w:rsidRDefault="009D5E4A" w:rsidP="00F23BC7">
      <w:pPr>
        <w:autoSpaceDE w:val="0"/>
        <w:autoSpaceDN w:val="0"/>
        <w:adjustRightInd w:val="0"/>
        <w:spacing w:before="240" w:after="120" w:line="276" w:lineRule="auto"/>
        <w:rPr>
          <w:rFonts w:ascii="Arial" w:hAnsi="Arial" w:cs="Arial"/>
          <w:bCs/>
          <w:u w:val="single"/>
        </w:rPr>
      </w:pPr>
      <w:r w:rsidRPr="00BF20CF">
        <w:rPr>
          <w:rFonts w:ascii="Arial" w:hAnsi="Arial" w:cs="Arial"/>
          <w:bCs/>
          <w:u w:val="single"/>
        </w:rPr>
        <w:t>Question(s):</w:t>
      </w:r>
    </w:p>
    <w:p w14:paraId="7BD2C670" w14:textId="77A5D90F" w:rsidR="009D5E4A" w:rsidRPr="00BF20CF" w:rsidRDefault="009D5E4A" w:rsidP="00F23BC7">
      <w:pPr>
        <w:pStyle w:val="ListParagraph"/>
        <w:numPr>
          <w:ilvl w:val="0"/>
          <w:numId w:val="113"/>
        </w:numPr>
        <w:autoSpaceDE w:val="0"/>
        <w:autoSpaceDN w:val="0"/>
        <w:adjustRightInd w:val="0"/>
        <w:spacing w:before="240" w:after="120" w:line="276" w:lineRule="auto"/>
        <w:rPr>
          <w:rFonts w:ascii="Arial" w:hAnsi="Arial" w:cs="Arial"/>
        </w:rPr>
      </w:pPr>
      <w:r w:rsidRPr="00BF20CF">
        <w:rPr>
          <w:rFonts w:ascii="Arial" w:hAnsi="Arial" w:cs="Arial"/>
        </w:rPr>
        <w:t>Please provide updated graph which also includes 2019 results.</w:t>
      </w:r>
    </w:p>
    <w:p w14:paraId="30850B23"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6013BD8F" w14:textId="2F868CC7" w:rsidR="009D5E4A" w:rsidRPr="00BF20CF" w:rsidRDefault="009D5E4A" w:rsidP="00F23BC7">
      <w:pPr>
        <w:pStyle w:val="ListParagraph"/>
        <w:numPr>
          <w:ilvl w:val="0"/>
          <w:numId w:val="113"/>
        </w:numPr>
        <w:autoSpaceDE w:val="0"/>
        <w:autoSpaceDN w:val="0"/>
        <w:adjustRightInd w:val="0"/>
        <w:spacing w:before="240" w:after="120" w:line="276" w:lineRule="auto"/>
        <w:rPr>
          <w:rFonts w:ascii="Arial" w:hAnsi="Arial" w:cs="Arial"/>
        </w:rPr>
      </w:pPr>
      <w:r w:rsidRPr="00BF20CF">
        <w:rPr>
          <w:rFonts w:ascii="Arial" w:hAnsi="Arial" w:cs="Arial"/>
        </w:rPr>
        <w:t>Does a one-year outlier (i.e. 2018) create a statistically meaningful trend?</w:t>
      </w:r>
    </w:p>
    <w:p w14:paraId="57D368F6"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705BEEFD" w14:textId="2D8878F7" w:rsidR="009D5E4A" w:rsidRPr="00BF20CF" w:rsidRDefault="009D5E4A" w:rsidP="00F23BC7">
      <w:pPr>
        <w:pStyle w:val="ListParagraph"/>
        <w:numPr>
          <w:ilvl w:val="0"/>
          <w:numId w:val="113"/>
        </w:numPr>
        <w:autoSpaceDE w:val="0"/>
        <w:autoSpaceDN w:val="0"/>
        <w:adjustRightInd w:val="0"/>
        <w:spacing w:before="240" w:after="120" w:line="276" w:lineRule="auto"/>
        <w:rPr>
          <w:rFonts w:ascii="Arial" w:hAnsi="Arial" w:cs="Arial"/>
        </w:rPr>
      </w:pPr>
      <w:r w:rsidRPr="00BF20CF">
        <w:rPr>
          <w:rFonts w:ascii="Arial" w:hAnsi="Arial" w:cs="Arial"/>
        </w:rPr>
        <w:t>Please confirm that the 2014 – 2017 trend is decreasing?</w:t>
      </w:r>
    </w:p>
    <w:p w14:paraId="67955E1D"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11EC4A29" w14:textId="77777777" w:rsidR="009D5E4A" w:rsidRPr="00BF20CF" w:rsidRDefault="009D5E4A" w:rsidP="00F23BC7">
      <w:pPr>
        <w:pStyle w:val="ListParagraph"/>
        <w:numPr>
          <w:ilvl w:val="0"/>
          <w:numId w:val="113"/>
        </w:numPr>
        <w:autoSpaceDE w:val="0"/>
        <w:autoSpaceDN w:val="0"/>
        <w:adjustRightInd w:val="0"/>
        <w:spacing w:before="240" w:after="120" w:line="276" w:lineRule="auto"/>
        <w:rPr>
          <w:rFonts w:ascii="Arial" w:hAnsi="Arial" w:cs="Arial"/>
        </w:rPr>
      </w:pPr>
      <w:r w:rsidRPr="00BF20CF">
        <w:rPr>
          <w:rFonts w:ascii="Arial" w:hAnsi="Arial" w:cs="Arial"/>
        </w:rPr>
        <w:t>Are any of the capital expenditures forecast in the present filing intended to improve Hydro Ottawa system performance in the face of increasing levels of extreme weather?</w:t>
      </w:r>
    </w:p>
    <w:p w14:paraId="30E5D040" w14:textId="77777777" w:rsidR="009D5E4A" w:rsidRPr="00BF20CF" w:rsidRDefault="009D5E4A" w:rsidP="00F23BC7">
      <w:pPr>
        <w:pStyle w:val="ListParagraph"/>
        <w:numPr>
          <w:ilvl w:val="1"/>
          <w:numId w:val="113"/>
        </w:numPr>
        <w:autoSpaceDE w:val="0"/>
        <w:autoSpaceDN w:val="0"/>
        <w:adjustRightInd w:val="0"/>
        <w:spacing w:before="240" w:after="120" w:line="276" w:lineRule="auto"/>
        <w:rPr>
          <w:rFonts w:ascii="Arial" w:hAnsi="Arial" w:cs="Arial"/>
        </w:rPr>
      </w:pPr>
      <w:r w:rsidRPr="00BF20CF">
        <w:rPr>
          <w:rFonts w:ascii="Arial" w:hAnsi="Arial" w:cs="Arial"/>
        </w:rPr>
        <w:t>If yes, please identify, quantify the expenditures.</w:t>
      </w:r>
    </w:p>
    <w:p w14:paraId="7B72FA6B" w14:textId="033E2A34" w:rsidR="009D5E4A" w:rsidRPr="00BF20CF" w:rsidRDefault="009D5E4A" w:rsidP="00F23BC7">
      <w:pPr>
        <w:pStyle w:val="ListParagraph"/>
        <w:numPr>
          <w:ilvl w:val="1"/>
          <w:numId w:val="113"/>
        </w:numPr>
        <w:autoSpaceDE w:val="0"/>
        <w:autoSpaceDN w:val="0"/>
        <w:adjustRightInd w:val="0"/>
        <w:spacing w:before="240" w:after="120" w:line="276" w:lineRule="auto"/>
        <w:rPr>
          <w:rFonts w:ascii="Arial" w:hAnsi="Arial" w:cs="Arial"/>
        </w:rPr>
      </w:pPr>
      <w:r w:rsidRPr="00BF20CF">
        <w:rPr>
          <w:rFonts w:ascii="Arial" w:hAnsi="Arial" w:cs="Arial"/>
        </w:rPr>
        <w:t>If yes, how will Hydro Ottawa measure if the expenditures are having the anticipated impact upon performance?</w:t>
      </w:r>
    </w:p>
    <w:p w14:paraId="02E5CCCF" w14:textId="77777777" w:rsidR="00836ACE" w:rsidRPr="00BF20CF" w:rsidRDefault="00836ACE" w:rsidP="00836ACE">
      <w:pPr>
        <w:pStyle w:val="ListParagraph"/>
        <w:autoSpaceDE w:val="0"/>
        <w:autoSpaceDN w:val="0"/>
        <w:adjustRightInd w:val="0"/>
        <w:spacing w:before="240" w:after="120" w:line="276" w:lineRule="auto"/>
        <w:ind w:left="1440"/>
        <w:rPr>
          <w:rFonts w:ascii="Arial" w:hAnsi="Arial" w:cs="Arial"/>
        </w:rPr>
      </w:pPr>
    </w:p>
    <w:p w14:paraId="04FDCC8B" w14:textId="100D5243" w:rsidR="009D5E4A" w:rsidRPr="00BF20CF" w:rsidRDefault="002620BE" w:rsidP="006717E9">
      <w:pPr>
        <w:pStyle w:val="StaffHeader"/>
        <w:numPr>
          <w:ilvl w:val="0"/>
          <w:numId w:val="0"/>
        </w:numPr>
        <w:spacing w:before="0"/>
        <w:rPr>
          <w:rFonts w:cs="Arial"/>
          <w:szCs w:val="24"/>
          <w:u w:val="none"/>
        </w:rPr>
      </w:pPr>
      <w:r w:rsidRPr="00BF20CF">
        <w:rPr>
          <w:rFonts w:cs="Arial"/>
          <w:szCs w:val="24"/>
          <w:u w:val="none"/>
        </w:rPr>
        <w:t>2-Staff-31</w:t>
      </w:r>
    </w:p>
    <w:p w14:paraId="39B4754B" w14:textId="77777777" w:rsidR="00F24742"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66 of 374</w:t>
      </w:r>
    </w:p>
    <w:p w14:paraId="2563FD87" w14:textId="3988370B" w:rsidR="009D5E4A" w:rsidRPr="00BF20CF" w:rsidRDefault="009D5E4A" w:rsidP="005C61A6">
      <w:pPr>
        <w:spacing w:line="276" w:lineRule="auto"/>
        <w:ind w:left="720"/>
        <w:rPr>
          <w:rFonts w:ascii="Arial" w:hAnsi="Arial" w:cs="Arial"/>
          <w:b/>
        </w:rPr>
      </w:pPr>
      <w:r w:rsidRPr="00BF20CF">
        <w:rPr>
          <w:rFonts w:ascii="Arial" w:hAnsi="Arial" w:cs="Arial"/>
          <w:b/>
        </w:rPr>
        <w:t>Exhibit 2 / Tab 4 / Schedule 3 / page 91 of 374</w:t>
      </w:r>
    </w:p>
    <w:p w14:paraId="0801E8E8" w14:textId="77777777" w:rsidR="009D5E4A" w:rsidRPr="00BF20CF" w:rsidRDefault="009D5E4A" w:rsidP="00F23BC7">
      <w:pPr>
        <w:autoSpaceDE w:val="0"/>
        <w:autoSpaceDN w:val="0"/>
        <w:adjustRightInd w:val="0"/>
        <w:spacing w:before="240" w:after="120" w:line="276" w:lineRule="auto"/>
        <w:rPr>
          <w:rFonts w:ascii="Arial" w:hAnsi="Arial" w:cs="Arial"/>
          <w:bCs/>
          <w:u w:val="single"/>
        </w:rPr>
      </w:pPr>
      <w:r w:rsidRPr="00BF20CF">
        <w:rPr>
          <w:rFonts w:ascii="Arial" w:hAnsi="Arial" w:cs="Arial"/>
          <w:bCs/>
          <w:u w:val="single"/>
        </w:rPr>
        <w:t>Preamble:</w:t>
      </w:r>
    </w:p>
    <w:p w14:paraId="4C50BCFC"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defective equipment contributing to SAIFI, Hydro Ottawa stated:</w:t>
      </w:r>
    </w:p>
    <w:p w14:paraId="506EEBEF" w14:textId="77777777" w:rsidR="009D5E4A" w:rsidRPr="00BF20CF" w:rsidRDefault="009D5E4A" w:rsidP="00F23BC7">
      <w:pPr>
        <w:autoSpaceDE w:val="0"/>
        <w:autoSpaceDN w:val="0"/>
        <w:adjustRightInd w:val="0"/>
        <w:spacing w:before="240" w:after="120" w:line="276" w:lineRule="auto"/>
        <w:ind w:left="720"/>
        <w:jc w:val="center"/>
        <w:rPr>
          <w:rFonts w:ascii="Arial" w:hAnsi="Arial" w:cs="Arial"/>
          <w:bCs/>
        </w:rPr>
      </w:pPr>
      <w:r w:rsidRPr="00BF20CF">
        <w:rPr>
          <w:rFonts w:ascii="Arial" w:hAnsi="Arial" w:cs="Arial"/>
          <w:noProof/>
        </w:rPr>
        <w:lastRenderedPageBreak/>
        <w:drawing>
          <wp:inline distT="0" distB="0" distL="0" distR="0" wp14:anchorId="67AF89E8" wp14:editId="56214AD9">
            <wp:extent cx="4390390" cy="1079157"/>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02243" cy="1106650"/>
                    </a:xfrm>
                    <a:prstGeom prst="rect">
                      <a:avLst/>
                    </a:prstGeom>
                  </pic:spPr>
                </pic:pic>
              </a:graphicData>
            </a:graphic>
          </wp:inline>
        </w:drawing>
      </w:r>
    </w:p>
    <w:p w14:paraId="4A5E083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the impact of historical performance on the DSP, Hydro Ottawa stated:</w:t>
      </w:r>
    </w:p>
    <w:p w14:paraId="7F68C96D" w14:textId="6DD9655B" w:rsidR="009D5E4A" w:rsidRPr="00BF20CF" w:rsidRDefault="009D5E4A" w:rsidP="00F41054">
      <w:pPr>
        <w:autoSpaceDE w:val="0"/>
        <w:autoSpaceDN w:val="0"/>
        <w:adjustRightInd w:val="0"/>
        <w:spacing w:before="240" w:after="120" w:line="276" w:lineRule="auto"/>
        <w:ind w:left="540"/>
        <w:rPr>
          <w:rFonts w:ascii="Arial" w:hAnsi="Arial" w:cs="Arial"/>
          <w:bCs/>
        </w:rPr>
      </w:pPr>
      <w:r w:rsidRPr="00BF20CF">
        <w:rPr>
          <w:rFonts w:ascii="Arial" w:hAnsi="Arial" w:cs="Arial"/>
          <w:bCs/>
        </w:rPr>
        <w:t xml:space="preserve">Based on historical performance of Asset Performance, Hydro Ottawa has made the following changes: </w:t>
      </w:r>
    </w:p>
    <w:p w14:paraId="72044811" w14:textId="77777777" w:rsidR="009D5E4A" w:rsidRPr="00BF20CF" w:rsidRDefault="009D5E4A" w:rsidP="00F23BC7">
      <w:pPr>
        <w:pStyle w:val="ListParagraph"/>
        <w:numPr>
          <w:ilvl w:val="0"/>
          <w:numId w:val="98"/>
        </w:numPr>
        <w:autoSpaceDE w:val="0"/>
        <w:autoSpaceDN w:val="0"/>
        <w:adjustRightInd w:val="0"/>
        <w:spacing w:before="240" w:after="120" w:line="276" w:lineRule="auto"/>
        <w:rPr>
          <w:rFonts w:ascii="Arial" w:hAnsi="Arial" w:cs="Arial"/>
          <w:bCs/>
        </w:rPr>
      </w:pPr>
      <w:r w:rsidRPr="00BF20CF">
        <w:rPr>
          <w:rFonts w:ascii="Arial" w:hAnsi="Arial" w:cs="Arial"/>
          <w:bCs/>
        </w:rPr>
        <w:t>Increased frequency of customer interruption due to cable failure is driving increased investment in the cable renewal program.</w:t>
      </w:r>
    </w:p>
    <w:p w14:paraId="294D9C8D" w14:textId="77777777" w:rsidR="009D5E4A" w:rsidRPr="00BF20CF" w:rsidRDefault="009D5E4A" w:rsidP="00F23BC7">
      <w:pPr>
        <w:pStyle w:val="ListParagraph"/>
        <w:numPr>
          <w:ilvl w:val="0"/>
          <w:numId w:val="98"/>
        </w:numPr>
        <w:autoSpaceDE w:val="0"/>
        <w:autoSpaceDN w:val="0"/>
        <w:adjustRightInd w:val="0"/>
        <w:spacing w:before="240" w:after="120" w:line="276" w:lineRule="auto"/>
        <w:rPr>
          <w:rFonts w:ascii="Arial" w:hAnsi="Arial" w:cs="Arial"/>
          <w:bCs/>
        </w:rPr>
      </w:pPr>
      <w:r w:rsidRPr="00BF20CF">
        <w:rPr>
          <w:rFonts w:ascii="Arial" w:hAnsi="Arial" w:cs="Arial"/>
          <w:bCs/>
        </w:rPr>
        <w:t>Recent Oil Spilled trends are showing more leaking residential underground transformers, which have increased the cost of remediation. This emphasizes the importance of active inspection and replacement of underground transformers to mitigate this environmental impact.</w:t>
      </w:r>
    </w:p>
    <w:p w14:paraId="217BA81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FED20AD" w14:textId="7EBD9DCB" w:rsidR="009D5E4A" w:rsidRPr="00BF20CF" w:rsidRDefault="009D5E4A" w:rsidP="00F23BC7">
      <w:pPr>
        <w:pStyle w:val="ListParagraph"/>
        <w:numPr>
          <w:ilvl w:val="0"/>
          <w:numId w:val="114"/>
        </w:numPr>
        <w:autoSpaceDE w:val="0"/>
        <w:autoSpaceDN w:val="0"/>
        <w:adjustRightInd w:val="0"/>
        <w:spacing w:before="240" w:after="120" w:line="276" w:lineRule="auto"/>
        <w:rPr>
          <w:rFonts w:ascii="Arial" w:hAnsi="Arial" w:cs="Arial"/>
        </w:rPr>
      </w:pPr>
      <w:r w:rsidRPr="00BF20CF">
        <w:rPr>
          <w:rFonts w:ascii="Arial" w:hAnsi="Arial" w:cs="Arial"/>
        </w:rPr>
        <w:t>Please reconcile this statement with the historically decreasing trend in the defective underground equipment contribution to SAIFI shown in Table 4.11.</w:t>
      </w:r>
    </w:p>
    <w:p w14:paraId="4B5B813C"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670B52E7" w14:textId="77777777" w:rsidR="009D5E4A" w:rsidRPr="00BF20CF" w:rsidRDefault="009D5E4A" w:rsidP="00F23BC7">
      <w:pPr>
        <w:pStyle w:val="ListParagraph"/>
        <w:numPr>
          <w:ilvl w:val="0"/>
          <w:numId w:val="114"/>
        </w:numPr>
        <w:autoSpaceDE w:val="0"/>
        <w:autoSpaceDN w:val="0"/>
        <w:adjustRightInd w:val="0"/>
        <w:spacing w:before="240" w:after="120" w:line="276" w:lineRule="auto"/>
        <w:rPr>
          <w:rFonts w:ascii="Arial" w:hAnsi="Arial" w:cs="Arial"/>
        </w:rPr>
      </w:pPr>
      <w:r w:rsidRPr="00BF20CF">
        <w:rPr>
          <w:rFonts w:ascii="Arial" w:hAnsi="Arial" w:cs="Arial"/>
        </w:rPr>
        <w:t xml:space="preserve">Regarding oil spilled from underground transformers, is this an equipment “type fault”? </w:t>
      </w:r>
    </w:p>
    <w:p w14:paraId="387861C1" w14:textId="32992DC0" w:rsidR="009D5E4A" w:rsidRPr="00BF20CF" w:rsidRDefault="009D5E4A" w:rsidP="00F23BC7">
      <w:pPr>
        <w:pStyle w:val="ListParagraph"/>
        <w:numPr>
          <w:ilvl w:val="1"/>
          <w:numId w:val="114"/>
        </w:numPr>
        <w:autoSpaceDE w:val="0"/>
        <w:autoSpaceDN w:val="0"/>
        <w:adjustRightInd w:val="0"/>
        <w:spacing w:before="240" w:after="120" w:line="276" w:lineRule="auto"/>
        <w:rPr>
          <w:rFonts w:ascii="Arial" w:hAnsi="Arial" w:cs="Arial"/>
        </w:rPr>
      </w:pPr>
      <w:r w:rsidRPr="00BF20CF">
        <w:rPr>
          <w:rFonts w:ascii="Arial" w:hAnsi="Arial" w:cs="Arial"/>
        </w:rPr>
        <w:t>If yes, are there any practical mitigations other than replacement?</w:t>
      </w:r>
    </w:p>
    <w:p w14:paraId="397CDE11" w14:textId="27BAC563" w:rsidR="006717E9" w:rsidRPr="00BF20CF" w:rsidRDefault="006717E9" w:rsidP="006717E9">
      <w:pPr>
        <w:pStyle w:val="ListParagraph"/>
        <w:autoSpaceDE w:val="0"/>
        <w:autoSpaceDN w:val="0"/>
        <w:adjustRightInd w:val="0"/>
        <w:spacing w:before="240" w:after="120" w:line="276" w:lineRule="auto"/>
        <w:ind w:left="1440"/>
        <w:rPr>
          <w:rFonts w:ascii="Arial" w:hAnsi="Arial" w:cs="Arial"/>
        </w:rPr>
      </w:pPr>
      <w:r w:rsidRPr="00BF20CF">
        <w:rPr>
          <w:rFonts w:ascii="Arial" w:hAnsi="Arial" w:cs="Arial"/>
        </w:rPr>
        <w:br w:type="page"/>
      </w:r>
    </w:p>
    <w:p w14:paraId="7D4AE9EC" w14:textId="683B4177" w:rsidR="009D5E4A" w:rsidRPr="00BF20CF" w:rsidRDefault="002620BE" w:rsidP="006717E9">
      <w:pPr>
        <w:pStyle w:val="StaffHeader"/>
        <w:numPr>
          <w:ilvl w:val="0"/>
          <w:numId w:val="0"/>
        </w:numPr>
        <w:spacing w:before="0"/>
        <w:rPr>
          <w:rFonts w:cs="Arial"/>
          <w:szCs w:val="24"/>
          <w:u w:val="none"/>
        </w:rPr>
      </w:pPr>
      <w:r w:rsidRPr="00BF20CF">
        <w:rPr>
          <w:rFonts w:cs="Arial"/>
          <w:szCs w:val="24"/>
          <w:u w:val="none"/>
        </w:rPr>
        <w:lastRenderedPageBreak/>
        <w:t>2-Staff-32</w:t>
      </w:r>
    </w:p>
    <w:p w14:paraId="2F15DAF9"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93 of 374</w:t>
      </w:r>
    </w:p>
    <w:p w14:paraId="747E46A4"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B68E6A8"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smart meters, Hydro Ottawa stated:</w:t>
      </w:r>
    </w:p>
    <w:p w14:paraId="72659637" w14:textId="25F28DFA"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Due to an early adoption of the provincial smart meter initiative, Hydro Ottawa’s smart meters have very limited last gasp functionality. In 2006, the self-reporting technology offered limited</w:t>
      </w:r>
      <w:r w:rsidR="00192A5B" w:rsidRPr="00BF20CF">
        <w:rPr>
          <w:rFonts w:ascii="Arial" w:hAnsi="Arial" w:cs="Arial"/>
          <w:bCs/>
        </w:rPr>
        <w:t xml:space="preserve"> functionality.</w:t>
      </w:r>
    </w:p>
    <w:p w14:paraId="3E40BE5B"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4D384FF" w14:textId="4D2F3871" w:rsidR="009D5E4A" w:rsidRPr="00BF20CF" w:rsidRDefault="009D5E4A" w:rsidP="00F23BC7">
      <w:pPr>
        <w:pStyle w:val="ListParagraph"/>
        <w:numPr>
          <w:ilvl w:val="0"/>
          <w:numId w:val="115"/>
        </w:numPr>
        <w:autoSpaceDE w:val="0"/>
        <w:autoSpaceDN w:val="0"/>
        <w:adjustRightInd w:val="0"/>
        <w:spacing w:before="240" w:after="120" w:line="276" w:lineRule="auto"/>
        <w:rPr>
          <w:rFonts w:ascii="Arial" w:hAnsi="Arial" w:cs="Arial"/>
        </w:rPr>
      </w:pPr>
      <w:r w:rsidRPr="00BF20CF">
        <w:rPr>
          <w:rFonts w:ascii="Arial" w:hAnsi="Arial" w:cs="Arial"/>
        </w:rPr>
        <w:t>What is the remaining service life of the existing smart meter fleet?</w:t>
      </w:r>
    </w:p>
    <w:p w14:paraId="27951C52"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51A1FF9B" w14:textId="77777777" w:rsidR="009D5E4A" w:rsidRPr="00BF20CF" w:rsidRDefault="009D5E4A" w:rsidP="00F23BC7">
      <w:pPr>
        <w:pStyle w:val="ListParagraph"/>
        <w:numPr>
          <w:ilvl w:val="0"/>
          <w:numId w:val="115"/>
        </w:numPr>
        <w:autoSpaceDE w:val="0"/>
        <w:autoSpaceDN w:val="0"/>
        <w:adjustRightInd w:val="0"/>
        <w:spacing w:before="240" w:after="120" w:line="276" w:lineRule="auto"/>
        <w:rPr>
          <w:rFonts w:ascii="Arial" w:hAnsi="Arial" w:cs="Arial"/>
        </w:rPr>
      </w:pPr>
      <w:r w:rsidRPr="00BF20CF">
        <w:rPr>
          <w:rFonts w:ascii="Arial" w:hAnsi="Arial" w:cs="Arial"/>
        </w:rPr>
        <w:t>Will Hydro Ottawa be faced with the need to replace a significant portion of its smart meters in the near future?</w:t>
      </w:r>
    </w:p>
    <w:p w14:paraId="4ED7B666" w14:textId="477586E5" w:rsidR="009D5E4A" w:rsidRPr="00BF20CF" w:rsidRDefault="009D5E4A" w:rsidP="00F23BC7">
      <w:pPr>
        <w:pStyle w:val="ListParagraph"/>
        <w:numPr>
          <w:ilvl w:val="1"/>
          <w:numId w:val="115"/>
        </w:numPr>
        <w:autoSpaceDE w:val="0"/>
        <w:autoSpaceDN w:val="0"/>
        <w:adjustRightInd w:val="0"/>
        <w:spacing w:before="240" w:after="120" w:line="276" w:lineRule="auto"/>
        <w:rPr>
          <w:rFonts w:ascii="Arial" w:hAnsi="Arial" w:cs="Arial"/>
        </w:rPr>
      </w:pPr>
      <w:r w:rsidRPr="00BF20CF">
        <w:rPr>
          <w:rFonts w:ascii="Arial" w:hAnsi="Arial" w:cs="Arial"/>
        </w:rPr>
        <w:t>If yes, in which years will that occur and what is the forecast cost each year?</w:t>
      </w:r>
    </w:p>
    <w:p w14:paraId="02C4E09A" w14:textId="77777777" w:rsidR="00836ACE" w:rsidRPr="00BF20CF" w:rsidRDefault="00836ACE" w:rsidP="00836ACE">
      <w:pPr>
        <w:pStyle w:val="ListParagraph"/>
        <w:autoSpaceDE w:val="0"/>
        <w:autoSpaceDN w:val="0"/>
        <w:adjustRightInd w:val="0"/>
        <w:spacing w:before="240" w:after="120" w:line="276" w:lineRule="auto"/>
        <w:ind w:left="1440"/>
        <w:rPr>
          <w:rFonts w:ascii="Arial" w:hAnsi="Arial" w:cs="Arial"/>
        </w:rPr>
      </w:pPr>
    </w:p>
    <w:p w14:paraId="447D3FC5" w14:textId="75FA233B" w:rsidR="009D5E4A" w:rsidRPr="00BF20CF" w:rsidRDefault="002620BE" w:rsidP="006717E9">
      <w:pPr>
        <w:pStyle w:val="StaffHeader"/>
        <w:numPr>
          <w:ilvl w:val="0"/>
          <w:numId w:val="0"/>
        </w:numPr>
        <w:spacing w:before="0"/>
        <w:rPr>
          <w:rFonts w:cs="Arial"/>
          <w:szCs w:val="24"/>
          <w:u w:val="none"/>
        </w:rPr>
      </w:pPr>
      <w:r w:rsidRPr="00BF20CF">
        <w:rPr>
          <w:rFonts w:cs="Arial"/>
          <w:szCs w:val="24"/>
          <w:u w:val="none"/>
        </w:rPr>
        <w:t>2-Staff-33</w:t>
      </w:r>
    </w:p>
    <w:p w14:paraId="02D05D52"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135 of 374</w:t>
      </w:r>
    </w:p>
    <w:p w14:paraId="0E98B509"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365CE20"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modernization of its distribution system, Hydro Ottawa stated:</w:t>
      </w:r>
    </w:p>
    <w:p w14:paraId="43A1606A"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When station transformers are identified for replacement, the new units will have reverse flow capabilities to eliminate potential restrictions to connecting ERFs.</w:t>
      </w:r>
    </w:p>
    <w:p w14:paraId="20FCA497"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74305C8" w14:textId="1E6E2228" w:rsidR="009D5E4A" w:rsidRPr="00BF20CF" w:rsidRDefault="009D5E4A" w:rsidP="00F23BC7">
      <w:pPr>
        <w:pStyle w:val="ListParagraph"/>
        <w:numPr>
          <w:ilvl w:val="0"/>
          <w:numId w:val="116"/>
        </w:numPr>
        <w:autoSpaceDE w:val="0"/>
        <w:autoSpaceDN w:val="0"/>
        <w:adjustRightInd w:val="0"/>
        <w:spacing w:before="240" w:after="120" w:line="276" w:lineRule="auto"/>
        <w:rPr>
          <w:rFonts w:ascii="Arial" w:hAnsi="Arial" w:cs="Arial"/>
        </w:rPr>
      </w:pPr>
      <w:r w:rsidRPr="00BF20CF">
        <w:rPr>
          <w:rFonts w:ascii="Arial" w:hAnsi="Arial" w:cs="Arial"/>
        </w:rPr>
        <w:t xml:space="preserve">What is the cost differential between reverse flow and </w:t>
      </w:r>
      <w:proofErr w:type="spellStart"/>
      <w:r w:rsidRPr="00BF20CF">
        <w:rPr>
          <w:rFonts w:ascii="Arial" w:hAnsi="Arial" w:cs="Arial"/>
        </w:rPr>
        <w:t>uni</w:t>
      </w:r>
      <w:proofErr w:type="spellEnd"/>
      <w:r w:rsidRPr="00BF20CF">
        <w:rPr>
          <w:rFonts w:ascii="Arial" w:hAnsi="Arial" w:cs="Arial"/>
        </w:rPr>
        <w:t>-direction transformers?</w:t>
      </w:r>
    </w:p>
    <w:p w14:paraId="02212962"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014183BB" w14:textId="77777777" w:rsidR="009D5E4A" w:rsidRPr="00BF20CF" w:rsidRDefault="009D5E4A" w:rsidP="00F23BC7">
      <w:pPr>
        <w:pStyle w:val="ListParagraph"/>
        <w:numPr>
          <w:ilvl w:val="0"/>
          <w:numId w:val="116"/>
        </w:numPr>
        <w:autoSpaceDE w:val="0"/>
        <w:autoSpaceDN w:val="0"/>
        <w:adjustRightInd w:val="0"/>
        <w:spacing w:before="240" w:after="120" w:line="276" w:lineRule="auto"/>
        <w:rPr>
          <w:rFonts w:ascii="Arial" w:hAnsi="Arial" w:cs="Arial"/>
        </w:rPr>
      </w:pPr>
      <w:r w:rsidRPr="00BF20CF">
        <w:rPr>
          <w:rFonts w:ascii="Arial" w:hAnsi="Arial" w:cs="Arial"/>
        </w:rPr>
        <w:t>Is Hydro Ottawa’s current standard practice to use reverse flow transformers for every new station installation?</w:t>
      </w:r>
    </w:p>
    <w:p w14:paraId="496747A4" w14:textId="359D1A56" w:rsidR="009D5E4A" w:rsidRPr="00BF20CF" w:rsidRDefault="009D5E4A" w:rsidP="00C721B8">
      <w:pPr>
        <w:pStyle w:val="ListParagraph"/>
        <w:numPr>
          <w:ilvl w:val="1"/>
          <w:numId w:val="116"/>
        </w:numPr>
        <w:autoSpaceDE w:val="0"/>
        <w:autoSpaceDN w:val="0"/>
        <w:adjustRightInd w:val="0"/>
        <w:spacing w:before="240" w:after="120" w:line="276" w:lineRule="auto"/>
        <w:rPr>
          <w:rFonts w:ascii="Arial" w:hAnsi="Arial" w:cs="Arial"/>
        </w:rPr>
      </w:pPr>
      <w:r w:rsidRPr="00BF20CF">
        <w:rPr>
          <w:rFonts w:ascii="Arial" w:hAnsi="Arial" w:cs="Arial"/>
        </w:rPr>
        <w:t xml:space="preserve">If no, what circumstances result in decision to install reverse flow </w:t>
      </w:r>
      <w:proofErr w:type="gramStart"/>
      <w:r w:rsidRPr="00BF20CF">
        <w:rPr>
          <w:rFonts w:ascii="Arial" w:hAnsi="Arial" w:cs="Arial"/>
        </w:rPr>
        <w:t>transformers.</w:t>
      </w:r>
      <w:proofErr w:type="gramEnd"/>
    </w:p>
    <w:p w14:paraId="670831B4" w14:textId="77777777" w:rsidR="00D2731C" w:rsidRPr="00BF20CF" w:rsidRDefault="00D2731C" w:rsidP="00C721B8">
      <w:pPr>
        <w:pStyle w:val="ListParagraph"/>
        <w:autoSpaceDE w:val="0"/>
        <w:autoSpaceDN w:val="0"/>
        <w:adjustRightInd w:val="0"/>
        <w:spacing w:before="240" w:after="120" w:line="276" w:lineRule="auto"/>
        <w:rPr>
          <w:rFonts w:ascii="Arial" w:hAnsi="Arial" w:cs="Arial"/>
        </w:rPr>
      </w:pPr>
    </w:p>
    <w:p w14:paraId="1A344CF4" w14:textId="77777777" w:rsidR="009D5E4A" w:rsidRPr="00BF20CF" w:rsidRDefault="009D5E4A" w:rsidP="00C721B8">
      <w:pPr>
        <w:pStyle w:val="ListParagraph"/>
        <w:numPr>
          <w:ilvl w:val="0"/>
          <w:numId w:val="116"/>
        </w:numPr>
        <w:autoSpaceDE w:val="0"/>
        <w:autoSpaceDN w:val="0"/>
        <w:adjustRightInd w:val="0"/>
        <w:spacing w:before="240" w:after="120" w:line="276" w:lineRule="auto"/>
        <w:rPr>
          <w:rFonts w:ascii="Arial" w:hAnsi="Arial" w:cs="Arial"/>
        </w:rPr>
      </w:pPr>
      <w:r w:rsidRPr="00BF20CF">
        <w:rPr>
          <w:rFonts w:ascii="Arial" w:hAnsi="Arial" w:cs="Arial"/>
        </w:rPr>
        <w:lastRenderedPageBreak/>
        <w:t xml:space="preserve">Can existing </w:t>
      </w:r>
      <w:proofErr w:type="spellStart"/>
      <w:r w:rsidRPr="00BF20CF">
        <w:rPr>
          <w:rFonts w:ascii="Arial" w:hAnsi="Arial" w:cs="Arial"/>
        </w:rPr>
        <w:t>uni</w:t>
      </w:r>
      <w:proofErr w:type="spellEnd"/>
      <w:r w:rsidRPr="00BF20CF">
        <w:rPr>
          <w:rFonts w:ascii="Arial" w:hAnsi="Arial" w:cs="Arial"/>
        </w:rPr>
        <w:t xml:space="preserve">-directional transformers be modified or retrofitted to </w:t>
      </w:r>
      <w:proofErr w:type="gramStart"/>
      <w:r w:rsidRPr="00BF20CF">
        <w:rPr>
          <w:rFonts w:ascii="Arial" w:hAnsi="Arial" w:cs="Arial"/>
        </w:rPr>
        <w:t>provided</w:t>
      </w:r>
      <w:proofErr w:type="gramEnd"/>
      <w:r w:rsidRPr="00BF20CF">
        <w:rPr>
          <w:rFonts w:ascii="Arial" w:hAnsi="Arial" w:cs="Arial"/>
        </w:rPr>
        <w:t xml:space="preserve"> service in reverse-flow applications?</w:t>
      </w:r>
    </w:p>
    <w:p w14:paraId="6378DA92" w14:textId="1F81628E" w:rsidR="009D5E4A" w:rsidRPr="00BF20CF" w:rsidRDefault="009D5E4A" w:rsidP="00F23BC7">
      <w:pPr>
        <w:pStyle w:val="ListParagraph"/>
        <w:numPr>
          <w:ilvl w:val="1"/>
          <w:numId w:val="116"/>
        </w:numPr>
        <w:autoSpaceDE w:val="0"/>
        <w:autoSpaceDN w:val="0"/>
        <w:adjustRightInd w:val="0"/>
        <w:spacing w:before="240" w:after="120" w:line="276" w:lineRule="auto"/>
        <w:rPr>
          <w:rFonts w:ascii="Arial" w:hAnsi="Arial" w:cs="Arial"/>
        </w:rPr>
      </w:pPr>
      <w:r w:rsidRPr="00BF20CF">
        <w:rPr>
          <w:rFonts w:ascii="Arial" w:hAnsi="Arial" w:cs="Arial"/>
        </w:rPr>
        <w:t>If yes, what is the typical project scope and cost of upgrading a representative transformer size and voltage class?</w:t>
      </w:r>
    </w:p>
    <w:p w14:paraId="41AEB3C8" w14:textId="437814D3" w:rsidR="00C721B8" w:rsidRPr="00BF20CF" w:rsidRDefault="00C721B8" w:rsidP="00836ACE">
      <w:pPr>
        <w:pStyle w:val="ListParagraph"/>
        <w:autoSpaceDE w:val="0"/>
        <w:autoSpaceDN w:val="0"/>
        <w:adjustRightInd w:val="0"/>
        <w:spacing w:line="276" w:lineRule="auto"/>
        <w:ind w:left="1440"/>
        <w:rPr>
          <w:rFonts w:ascii="Arial" w:hAnsi="Arial" w:cs="Arial"/>
        </w:rPr>
      </w:pPr>
    </w:p>
    <w:p w14:paraId="2E65FA24" w14:textId="76F4C6F0" w:rsidR="009D5E4A" w:rsidRPr="00BF20CF" w:rsidRDefault="002620BE" w:rsidP="009112F3">
      <w:pPr>
        <w:pStyle w:val="StaffHeader"/>
        <w:numPr>
          <w:ilvl w:val="0"/>
          <w:numId w:val="0"/>
        </w:numPr>
        <w:spacing w:before="240"/>
        <w:rPr>
          <w:rFonts w:cs="Arial"/>
          <w:szCs w:val="24"/>
          <w:u w:val="none"/>
        </w:rPr>
      </w:pPr>
      <w:r w:rsidRPr="00BF20CF">
        <w:rPr>
          <w:rFonts w:cs="Arial"/>
          <w:szCs w:val="24"/>
          <w:u w:val="none"/>
        </w:rPr>
        <w:t>2-Staff-34</w:t>
      </w:r>
    </w:p>
    <w:p w14:paraId="634BDD2E"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142 of 374</w:t>
      </w:r>
    </w:p>
    <w:p w14:paraId="707117E2"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3DAE21B4"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station transformers, Hydro Ottawa stated:</w:t>
      </w:r>
    </w:p>
    <w:p w14:paraId="5C4FBFBE"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 xml:space="preserve">The health index of a transformer is determined through various criteria such as visual inspections, power factor tests, load history, infrared scanning, oil analysis (dissolved gas analysis and degree of polymerization), as well as additional criteria for on-load tap changers if applicable. The resultant health index is a condition rating from Very Good to Very Poor. </w:t>
      </w:r>
    </w:p>
    <w:p w14:paraId="7A7BD58E"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7BBC9A40" w14:textId="437B2844" w:rsidR="009D5E4A" w:rsidRPr="00BF20CF" w:rsidRDefault="009D5E4A" w:rsidP="00F23BC7">
      <w:pPr>
        <w:pStyle w:val="ListParagraph"/>
        <w:numPr>
          <w:ilvl w:val="0"/>
          <w:numId w:val="117"/>
        </w:numPr>
        <w:autoSpaceDE w:val="0"/>
        <w:autoSpaceDN w:val="0"/>
        <w:adjustRightInd w:val="0"/>
        <w:spacing w:before="240" w:after="120" w:line="276" w:lineRule="auto"/>
        <w:rPr>
          <w:rFonts w:ascii="Arial" w:hAnsi="Arial" w:cs="Arial"/>
        </w:rPr>
      </w:pPr>
      <w:r w:rsidRPr="00BF20CF">
        <w:rPr>
          <w:rFonts w:ascii="Arial" w:hAnsi="Arial" w:cs="Arial"/>
        </w:rPr>
        <w:t>Does Hydro Ottawa’s station transformer health index use age as a calculation input?</w:t>
      </w:r>
    </w:p>
    <w:p w14:paraId="66C49E3B"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0D767839" w14:textId="77777777" w:rsidR="009D5E4A" w:rsidRPr="00BF20CF" w:rsidRDefault="009D5E4A" w:rsidP="00F23BC7">
      <w:pPr>
        <w:pStyle w:val="ListParagraph"/>
        <w:numPr>
          <w:ilvl w:val="0"/>
          <w:numId w:val="117"/>
        </w:numPr>
        <w:autoSpaceDE w:val="0"/>
        <w:autoSpaceDN w:val="0"/>
        <w:adjustRightInd w:val="0"/>
        <w:spacing w:before="240" w:after="120" w:line="276" w:lineRule="auto"/>
        <w:rPr>
          <w:rFonts w:ascii="Arial" w:hAnsi="Arial" w:cs="Arial"/>
        </w:rPr>
      </w:pPr>
      <w:r w:rsidRPr="00BF20CF">
        <w:rPr>
          <w:rFonts w:ascii="Arial" w:hAnsi="Arial" w:cs="Arial"/>
        </w:rPr>
        <w:t>Does Hydro Ottawa determine station transformer replacement needs based upon the health index, asset age, or both?</w:t>
      </w:r>
    </w:p>
    <w:p w14:paraId="14EED6A3" w14:textId="760213FE" w:rsidR="009D5E4A" w:rsidRPr="00BF20CF" w:rsidRDefault="009D5E4A" w:rsidP="00D2731C">
      <w:pPr>
        <w:pStyle w:val="ListParagraph"/>
        <w:numPr>
          <w:ilvl w:val="1"/>
          <w:numId w:val="117"/>
        </w:numPr>
        <w:autoSpaceDE w:val="0"/>
        <w:autoSpaceDN w:val="0"/>
        <w:adjustRightInd w:val="0"/>
        <w:spacing w:line="276" w:lineRule="auto"/>
        <w:rPr>
          <w:rFonts w:ascii="Arial" w:hAnsi="Arial" w:cs="Arial"/>
        </w:rPr>
      </w:pPr>
      <w:r w:rsidRPr="00BF20CF">
        <w:rPr>
          <w:rFonts w:ascii="Arial" w:hAnsi="Arial" w:cs="Arial"/>
        </w:rPr>
        <w:t>If age is used in the decision, please provide an example of when age factors override health index factors in the determination to replace an asset?</w:t>
      </w:r>
    </w:p>
    <w:p w14:paraId="48C5F35B" w14:textId="77777777" w:rsidR="00D2731C" w:rsidRPr="00BF20CF" w:rsidRDefault="00D2731C" w:rsidP="00D2731C">
      <w:pPr>
        <w:pStyle w:val="ListParagraph"/>
        <w:autoSpaceDE w:val="0"/>
        <w:autoSpaceDN w:val="0"/>
        <w:adjustRightInd w:val="0"/>
        <w:spacing w:line="276" w:lineRule="auto"/>
        <w:rPr>
          <w:rFonts w:ascii="Arial" w:hAnsi="Arial" w:cs="Arial"/>
        </w:rPr>
      </w:pPr>
    </w:p>
    <w:p w14:paraId="29ACD9F9" w14:textId="56CCF8D1" w:rsidR="009D5E4A" w:rsidRPr="00BF20CF" w:rsidRDefault="009D5E4A" w:rsidP="00D2731C">
      <w:pPr>
        <w:pStyle w:val="ListParagraph"/>
        <w:numPr>
          <w:ilvl w:val="0"/>
          <w:numId w:val="117"/>
        </w:numPr>
        <w:autoSpaceDE w:val="0"/>
        <w:autoSpaceDN w:val="0"/>
        <w:adjustRightInd w:val="0"/>
        <w:spacing w:line="276" w:lineRule="auto"/>
        <w:rPr>
          <w:rFonts w:ascii="Arial" w:hAnsi="Arial" w:cs="Arial"/>
        </w:rPr>
      </w:pPr>
      <w:r w:rsidRPr="00BF20CF">
        <w:rPr>
          <w:rFonts w:ascii="Arial" w:hAnsi="Arial" w:cs="Arial"/>
        </w:rPr>
        <w:t>Has Hydro Ottawa assessed a probability of failure based upon asset health index?</w:t>
      </w:r>
    </w:p>
    <w:p w14:paraId="107259A6" w14:textId="77777777" w:rsidR="003B44FD" w:rsidRPr="00BF20CF" w:rsidRDefault="003B44FD" w:rsidP="003B44FD">
      <w:pPr>
        <w:pStyle w:val="ListParagraph"/>
        <w:autoSpaceDE w:val="0"/>
        <w:autoSpaceDN w:val="0"/>
        <w:adjustRightInd w:val="0"/>
        <w:spacing w:line="276" w:lineRule="auto"/>
        <w:rPr>
          <w:rFonts w:ascii="Arial" w:hAnsi="Arial" w:cs="Arial"/>
        </w:rPr>
      </w:pPr>
    </w:p>
    <w:p w14:paraId="6732E61E" w14:textId="51195EB4" w:rsidR="009D5E4A" w:rsidRPr="00BF20CF" w:rsidRDefault="002620BE" w:rsidP="003B44FD">
      <w:pPr>
        <w:pStyle w:val="StaffHeader"/>
        <w:numPr>
          <w:ilvl w:val="0"/>
          <w:numId w:val="0"/>
        </w:numPr>
        <w:spacing w:before="240"/>
        <w:rPr>
          <w:rFonts w:cs="Arial"/>
          <w:szCs w:val="24"/>
          <w:u w:val="none"/>
        </w:rPr>
      </w:pPr>
      <w:r w:rsidRPr="00BF20CF">
        <w:rPr>
          <w:rFonts w:cs="Arial"/>
          <w:szCs w:val="24"/>
          <w:u w:val="none"/>
        </w:rPr>
        <w:t>2-Staff-35</w:t>
      </w:r>
    </w:p>
    <w:p w14:paraId="3CA32049"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146 of 374</w:t>
      </w:r>
    </w:p>
    <w:p w14:paraId="591A53F4"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213A3C3" w14:textId="1FDCA3DB"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station switchgear</w:t>
      </w:r>
      <w:r w:rsidR="004119FC" w:rsidRPr="00BF20CF">
        <w:rPr>
          <w:rFonts w:ascii="Arial" w:hAnsi="Arial" w:cs="Arial"/>
          <w:bCs/>
        </w:rPr>
        <w:t xml:space="preserve"> and breaker</w:t>
      </w:r>
      <w:r w:rsidRPr="00BF20CF">
        <w:rPr>
          <w:rFonts w:ascii="Arial" w:hAnsi="Arial" w:cs="Arial"/>
          <w:bCs/>
        </w:rPr>
        <w:t>, Hydro Ottawa stated:</w:t>
      </w:r>
    </w:p>
    <w:p w14:paraId="267E4DCD"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lastRenderedPageBreak/>
        <w:t>The expected service life of oil breakers is 55 years, and the average age is 54. The expected service life of gas (SF6) breakers is 51 years, and the average age is 24. The expected service life of vacuum breakers is 46 years, and the average age is seven. There are 532 breakers that have reached their expected service life, and 49 that are within 10 years of their expected service life.</w:t>
      </w:r>
    </w:p>
    <w:p w14:paraId="567B82C5"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B549C7A" w14:textId="77777777" w:rsidR="009D5E4A" w:rsidRPr="00BF20CF" w:rsidRDefault="009D5E4A" w:rsidP="00F23BC7">
      <w:pPr>
        <w:pStyle w:val="ListParagraph"/>
        <w:numPr>
          <w:ilvl w:val="0"/>
          <w:numId w:val="118"/>
        </w:numPr>
        <w:autoSpaceDE w:val="0"/>
        <w:autoSpaceDN w:val="0"/>
        <w:adjustRightInd w:val="0"/>
        <w:spacing w:before="240" w:after="120" w:line="276" w:lineRule="auto"/>
        <w:rPr>
          <w:rFonts w:ascii="Arial" w:hAnsi="Arial" w:cs="Arial"/>
        </w:rPr>
      </w:pPr>
      <w:r w:rsidRPr="00BF20CF">
        <w:rPr>
          <w:rFonts w:ascii="Arial" w:hAnsi="Arial" w:cs="Arial"/>
        </w:rPr>
        <w:t>Is the expected service life figure for this asset class derived using equipment supplier estimates?</w:t>
      </w:r>
    </w:p>
    <w:p w14:paraId="5803D726" w14:textId="54C78BE4" w:rsidR="009D5E4A" w:rsidRPr="00BF20CF" w:rsidRDefault="009D5E4A" w:rsidP="00F23BC7">
      <w:pPr>
        <w:pStyle w:val="ListParagraph"/>
        <w:numPr>
          <w:ilvl w:val="1"/>
          <w:numId w:val="118"/>
        </w:numPr>
        <w:autoSpaceDE w:val="0"/>
        <w:autoSpaceDN w:val="0"/>
        <w:adjustRightInd w:val="0"/>
        <w:spacing w:before="240" w:after="120" w:line="276" w:lineRule="auto"/>
        <w:rPr>
          <w:rFonts w:ascii="Arial" w:hAnsi="Arial" w:cs="Arial"/>
        </w:rPr>
      </w:pPr>
      <w:r w:rsidRPr="00BF20CF">
        <w:rPr>
          <w:rFonts w:ascii="Arial" w:hAnsi="Arial" w:cs="Arial"/>
        </w:rPr>
        <w:t>If not, how is it determined?</w:t>
      </w:r>
    </w:p>
    <w:p w14:paraId="064E9E58"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2661BD0D" w14:textId="1760C32D" w:rsidR="009D5E4A" w:rsidRPr="00BF20CF" w:rsidRDefault="009D5E4A" w:rsidP="00F23BC7">
      <w:pPr>
        <w:pStyle w:val="ListParagraph"/>
        <w:numPr>
          <w:ilvl w:val="0"/>
          <w:numId w:val="118"/>
        </w:numPr>
        <w:autoSpaceDE w:val="0"/>
        <w:autoSpaceDN w:val="0"/>
        <w:adjustRightInd w:val="0"/>
        <w:spacing w:before="240" w:after="120" w:line="276" w:lineRule="auto"/>
        <w:rPr>
          <w:rFonts w:ascii="Arial" w:hAnsi="Arial" w:cs="Arial"/>
        </w:rPr>
      </w:pPr>
      <w:r w:rsidRPr="00BF20CF">
        <w:rPr>
          <w:rFonts w:ascii="Arial" w:hAnsi="Arial" w:cs="Arial"/>
        </w:rPr>
        <w:t>Is Hydro Ottawa’s own fleet empirical data incorporated to determine service life?</w:t>
      </w:r>
    </w:p>
    <w:p w14:paraId="762C40BA"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0E9E52F3" w14:textId="48D55AE6" w:rsidR="009D5E4A" w:rsidRPr="00BF20CF" w:rsidRDefault="009D5E4A" w:rsidP="00F23BC7">
      <w:pPr>
        <w:pStyle w:val="ListParagraph"/>
        <w:numPr>
          <w:ilvl w:val="0"/>
          <w:numId w:val="118"/>
        </w:numPr>
        <w:autoSpaceDE w:val="0"/>
        <w:autoSpaceDN w:val="0"/>
        <w:adjustRightInd w:val="0"/>
        <w:spacing w:before="240" w:after="120" w:line="276" w:lineRule="auto"/>
        <w:rPr>
          <w:rFonts w:ascii="Arial" w:hAnsi="Arial" w:cs="Arial"/>
        </w:rPr>
      </w:pPr>
      <w:r w:rsidRPr="00BF20CF">
        <w:rPr>
          <w:rFonts w:ascii="Arial" w:hAnsi="Arial" w:cs="Arial"/>
        </w:rPr>
        <w:t>Please confirm that the average age is based upon Hydro Ottawa's fleet numbers.</w:t>
      </w:r>
    </w:p>
    <w:p w14:paraId="3C0CF6CE"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78BFE574" w14:textId="008B3992" w:rsidR="004119FC" w:rsidRPr="00BF20CF" w:rsidRDefault="004119FC" w:rsidP="00F23BC7">
      <w:pPr>
        <w:pStyle w:val="ListParagraph"/>
        <w:numPr>
          <w:ilvl w:val="0"/>
          <w:numId w:val="118"/>
        </w:numPr>
        <w:autoSpaceDE w:val="0"/>
        <w:autoSpaceDN w:val="0"/>
        <w:adjustRightInd w:val="0"/>
        <w:spacing w:before="240" w:after="120" w:line="276" w:lineRule="auto"/>
        <w:rPr>
          <w:rFonts w:ascii="Arial" w:hAnsi="Arial" w:cs="Arial"/>
        </w:rPr>
      </w:pPr>
      <w:r w:rsidRPr="00BF20CF">
        <w:rPr>
          <w:rFonts w:ascii="Arial" w:hAnsi="Arial" w:cs="Arial"/>
        </w:rPr>
        <w:t xml:space="preserve">Please explain why there is a significant difference between the expected service life (46 years) and the average age for vacuum breakers </w:t>
      </w:r>
      <w:proofErr w:type="gramStart"/>
      <w:r w:rsidRPr="00BF20CF">
        <w:rPr>
          <w:rFonts w:ascii="Arial" w:hAnsi="Arial" w:cs="Arial"/>
        </w:rPr>
        <w:t xml:space="preserve">( </w:t>
      </w:r>
      <w:r w:rsidR="00C721B8" w:rsidRPr="00BF20CF">
        <w:rPr>
          <w:rFonts w:ascii="Arial" w:hAnsi="Arial" w:cs="Arial"/>
        </w:rPr>
        <w:t>7</w:t>
      </w:r>
      <w:proofErr w:type="gramEnd"/>
      <w:r w:rsidR="00C721B8" w:rsidRPr="00BF20CF">
        <w:rPr>
          <w:rFonts w:ascii="Arial" w:hAnsi="Arial" w:cs="Arial"/>
        </w:rPr>
        <w:t xml:space="preserve"> </w:t>
      </w:r>
      <w:r w:rsidRPr="00BF20CF">
        <w:rPr>
          <w:rFonts w:ascii="Arial" w:hAnsi="Arial" w:cs="Arial"/>
        </w:rPr>
        <w:t>years).</w:t>
      </w:r>
    </w:p>
    <w:p w14:paraId="6AE0E2BB" w14:textId="0FFDF117" w:rsidR="009D5E4A" w:rsidRPr="00BF20CF" w:rsidRDefault="002620BE" w:rsidP="003B44FD">
      <w:pPr>
        <w:pStyle w:val="StaffHeader"/>
        <w:numPr>
          <w:ilvl w:val="0"/>
          <w:numId w:val="0"/>
        </w:numPr>
        <w:spacing w:before="240"/>
        <w:rPr>
          <w:rFonts w:cs="Arial"/>
          <w:szCs w:val="24"/>
          <w:u w:val="none"/>
        </w:rPr>
      </w:pPr>
      <w:r w:rsidRPr="00BF20CF">
        <w:rPr>
          <w:rFonts w:cs="Arial"/>
          <w:szCs w:val="24"/>
          <w:u w:val="none"/>
        </w:rPr>
        <w:t>2-Staff-36</w:t>
      </w:r>
    </w:p>
    <w:p w14:paraId="1D1549D0" w14:textId="77777777" w:rsidR="009D5E4A" w:rsidRPr="00BF20CF" w:rsidRDefault="009D5E4A" w:rsidP="00834D58">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151 of 374</w:t>
      </w:r>
    </w:p>
    <w:p w14:paraId="54BD6CA7"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1FE3670"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station batteries, Hydro Ottawa stated:</w:t>
      </w:r>
    </w:p>
    <w:p w14:paraId="107B0C28"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There are no batteries that are past their expected service life and six batteries that are within 10 years of their expected service life.</w:t>
      </w:r>
    </w:p>
    <w:p w14:paraId="5B8E071D" w14:textId="77777777" w:rsidR="009D5E4A" w:rsidRPr="00BF20CF" w:rsidRDefault="009D5E4A" w:rsidP="00F23BC7">
      <w:pPr>
        <w:keepNext/>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72B3D74C" w14:textId="562F9D13" w:rsidR="009D5E4A" w:rsidRPr="00BF20CF" w:rsidRDefault="004119FC" w:rsidP="00F23BC7">
      <w:pPr>
        <w:pStyle w:val="ListParagraph"/>
        <w:numPr>
          <w:ilvl w:val="0"/>
          <w:numId w:val="119"/>
        </w:numPr>
        <w:autoSpaceDE w:val="0"/>
        <w:autoSpaceDN w:val="0"/>
        <w:adjustRightInd w:val="0"/>
        <w:spacing w:before="240" w:after="120" w:line="276" w:lineRule="auto"/>
        <w:rPr>
          <w:rFonts w:ascii="Arial" w:hAnsi="Arial" w:cs="Arial"/>
        </w:rPr>
      </w:pPr>
      <w:r w:rsidRPr="00BF20CF">
        <w:rPr>
          <w:rFonts w:ascii="Arial" w:hAnsi="Arial" w:cs="Arial"/>
        </w:rPr>
        <w:t>Are there</w:t>
      </w:r>
      <w:r w:rsidR="009D5E4A" w:rsidRPr="00BF20CF">
        <w:rPr>
          <w:rFonts w:ascii="Arial" w:hAnsi="Arial" w:cs="Arial"/>
        </w:rPr>
        <w:t xml:space="preserve"> </w:t>
      </w:r>
      <w:r w:rsidRPr="00BF20CF">
        <w:rPr>
          <w:rFonts w:ascii="Arial" w:hAnsi="Arial" w:cs="Arial"/>
        </w:rPr>
        <w:t>any</w:t>
      </w:r>
      <w:r w:rsidR="009D5E4A" w:rsidRPr="00BF20CF">
        <w:rPr>
          <w:rFonts w:ascii="Arial" w:hAnsi="Arial" w:cs="Arial"/>
        </w:rPr>
        <w:t xml:space="preserve"> condition assessments being done for the batteries, </w:t>
      </w:r>
      <w:r w:rsidRPr="00BF20CF">
        <w:rPr>
          <w:rFonts w:ascii="Arial" w:hAnsi="Arial" w:cs="Arial"/>
        </w:rPr>
        <w:t>or</w:t>
      </w:r>
      <w:r w:rsidR="009D5E4A" w:rsidRPr="00BF20CF">
        <w:rPr>
          <w:rFonts w:ascii="Arial" w:hAnsi="Arial" w:cs="Arial"/>
        </w:rPr>
        <w:t xml:space="preserve">   are </w:t>
      </w:r>
      <w:r w:rsidR="00612CE8" w:rsidRPr="00BF20CF">
        <w:rPr>
          <w:rFonts w:ascii="Arial" w:hAnsi="Arial" w:cs="Arial"/>
        </w:rPr>
        <w:t xml:space="preserve">they </w:t>
      </w:r>
      <w:r w:rsidR="009D5E4A" w:rsidRPr="00BF20CF">
        <w:rPr>
          <w:rFonts w:ascii="Arial" w:hAnsi="Arial" w:cs="Arial"/>
        </w:rPr>
        <w:t>simply being replaced whenever they reach the end of their expected service lives?</w:t>
      </w:r>
    </w:p>
    <w:p w14:paraId="6D1BC914" w14:textId="030710FB"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41230DB4" w14:textId="095FCF31" w:rsidR="00D2731C" w:rsidRPr="00BF20CF" w:rsidRDefault="00D2731C" w:rsidP="00D2731C">
      <w:pPr>
        <w:pStyle w:val="ListParagraph"/>
        <w:autoSpaceDE w:val="0"/>
        <w:autoSpaceDN w:val="0"/>
        <w:adjustRightInd w:val="0"/>
        <w:spacing w:before="240" w:after="120" w:line="276" w:lineRule="auto"/>
        <w:rPr>
          <w:rFonts w:ascii="Arial" w:hAnsi="Arial" w:cs="Arial"/>
        </w:rPr>
      </w:pPr>
      <w:r w:rsidRPr="00BF20CF">
        <w:rPr>
          <w:rFonts w:ascii="Arial" w:hAnsi="Arial" w:cs="Arial"/>
        </w:rPr>
        <w:br w:type="page"/>
      </w:r>
    </w:p>
    <w:p w14:paraId="785770CC" w14:textId="7A09EC4E" w:rsidR="009D5E4A" w:rsidRPr="00BF20CF" w:rsidRDefault="002620BE" w:rsidP="003B44FD">
      <w:pPr>
        <w:pStyle w:val="StaffHeader"/>
        <w:numPr>
          <w:ilvl w:val="0"/>
          <w:numId w:val="0"/>
        </w:numPr>
        <w:spacing w:before="0"/>
        <w:rPr>
          <w:rFonts w:cs="Arial"/>
          <w:szCs w:val="24"/>
          <w:u w:val="none"/>
        </w:rPr>
      </w:pPr>
      <w:r w:rsidRPr="00BF20CF">
        <w:rPr>
          <w:rFonts w:cs="Arial"/>
          <w:szCs w:val="24"/>
          <w:u w:val="none"/>
        </w:rPr>
        <w:lastRenderedPageBreak/>
        <w:t>2-Staff-37</w:t>
      </w:r>
    </w:p>
    <w:p w14:paraId="0AE754B6"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154 of 374</w:t>
      </w:r>
    </w:p>
    <w:p w14:paraId="67A97F9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C919E65"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protection and control equipment, Hydro Ottawa provided the following figure:</w:t>
      </w:r>
    </w:p>
    <w:p w14:paraId="29768C44"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477B4EE5" wp14:editId="6B2A34BE">
            <wp:extent cx="5020310" cy="326078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7734" cy="3272102"/>
                    </a:xfrm>
                    <a:prstGeom prst="rect">
                      <a:avLst/>
                    </a:prstGeom>
                  </pic:spPr>
                </pic:pic>
              </a:graphicData>
            </a:graphic>
          </wp:inline>
        </w:drawing>
      </w:r>
    </w:p>
    <w:p w14:paraId="43EFE50B"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6532B6C1" w14:textId="3092DC8D" w:rsidR="009D5E4A" w:rsidRPr="00BF20CF" w:rsidRDefault="009D5E4A" w:rsidP="00F23BC7">
      <w:pPr>
        <w:pStyle w:val="ListParagraph"/>
        <w:numPr>
          <w:ilvl w:val="0"/>
          <w:numId w:val="120"/>
        </w:numPr>
        <w:autoSpaceDE w:val="0"/>
        <w:autoSpaceDN w:val="0"/>
        <w:adjustRightInd w:val="0"/>
        <w:spacing w:before="240" w:after="120" w:line="276" w:lineRule="auto"/>
        <w:rPr>
          <w:rFonts w:ascii="Arial" w:hAnsi="Arial" w:cs="Arial"/>
        </w:rPr>
      </w:pPr>
      <w:r w:rsidRPr="00BF20CF">
        <w:rPr>
          <w:rFonts w:ascii="Arial" w:hAnsi="Arial" w:cs="Arial"/>
        </w:rPr>
        <w:t>Are health index measurements performed for electromechanical relays?</w:t>
      </w:r>
    </w:p>
    <w:p w14:paraId="0D23D036" w14:textId="77777777" w:rsidR="00D2731C" w:rsidRPr="00BF20CF" w:rsidRDefault="00D2731C" w:rsidP="00D2731C">
      <w:pPr>
        <w:pStyle w:val="ListParagraph"/>
        <w:autoSpaceDE w:val="0"/>
        <w:autoSpaceDN w:val="0"/>
        <w:adjustRightInd w:val="0"/>
        <w:spacing w:before="240" w:after="120" w:line="276" w:lineRule="auto"/>
        <w:rPr>
          <w:rFonts w:ascii="Arial" w:hAnsi="Arial" w:cs="Arial"/>
        </w:rPr>
      </w:pPr>
    </w:p>
    <w:p w14:paraId="6599E932" w14:textId="1E9EF896" w:rsidR="009D5E4A" w:rsidRPr="00BF20CF" w:rsidRDefault="009D5E4A" w:rsidP="00F23BC7">
      <w:pPr>
        <w:pStyle w:val="ListParagraph"/>
        <w:numPr>
          <w:ilvl w:val="0"/>
          <w:numId w:val="120"/>
        </w:numPr>
        <w:autoSpaceDE w:val="0"/>
        <w:autoSpaceDN w:val="0"/>
        <w:adjustRightInd w:val="0"/>
        <w:spacing w:before="240" w:after="120" w:line="276" w:lineRule="auto"/>
        <w:rPr>
          <w:rFonts w:ascii="Arial" w:hAnsi="Arial" w:cs="Arial"/>
        </w:rPr>
      </w:pPr>
      <w:r w:rsidRPr="00BF20CF">
        <w:rPr>
          <w:rFonts w:ascii="Arial" w:hAnsi="Arial" w:cs="Arial"/>
        </w:rPr>
        <w:t>Please explain why the majority of station electromechanical relays have remained in service well beyond their expected lives.</w:t>
      </w:r>
    </w:p>
    <w:p w14:paraId="1AAF5E72" w14:textId="77777777" w:rsidR="00612CE8" w:rsidRPr="00BF20CF" w:rsidRDefault="00612CE8" w:rsidP="00612CE8">
      <w:pPr>
        <w:pStyle w:val="ListParagraph"/>
        <w:rPr>
          <w:rFonts w:ascii="Arial" w:hAnsi="Arial" w:cs="Arial"/>
        </w:rPr>
      </w:pPr>
    </w:p>
    <w:p w14:paraId="5C941042" w14:textId="788F8605" w:rsidR="009D5E4A" w:rsidRPr="00BF20CF" w:rsidRDefault="002620BE" w:rsidP="003B44FD">
      <w:pPr>
        <w:pStyle w:val="StaffHeader"/>
        <w:numPr>
          <w:ilvl w:val="0"/>
          <w:numId w:val="0"/>
        </w:numPr>
        <w:spacing w:before="240"/>
        <w:rPr>
          <w:rFonts w:cs="Arial"/>
          <w:szCs w:val="24"/>
          <w:u w:val="none"/>
        </w:rPr>
      </w:pPr>
      <w:r w:rsidRPr="00BF20CF">
        <w:rPr>
          <w:rFonts w:cs="Arial"/>
          <w:szCs w:val="24"/>
          <w:u w:val="none"/>
        </w:rPr>
        <w:t>2-Staff-38</w:t>
      </w:r>
    </w:p>
    <w:p w14:paraId="453F3D8F"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pp. 165-166 of 374</w:t>
      </w:r>
    </w:p>
    <w:p w14:paraId="262978BC"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0097959"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the condition of its overhead transformers, Hydro Ottawa provided the following figures:</w:t>
      </w:r>
    </w:p>
    <w:p w14:paraId="268115E3"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lastRenderedPageBreak/>
        <w:drawing>
          <wp:inline distT="0" distB="0" distL="0" distR="0" wp14:anchorId="572993DE" wp14:editId="024AF46B">
            <wp:extent cx="3983179" cy="24666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43469" cy="2503999"/>
                    </a:xfrm>
                    <a:prstGeom prst="rect">
                      <a:avLst/>
                    </a:prstGeom>
                  </pic:spPr>
                </pic:pic>
              </a:graphicData>
            </a:graphic>
          </wp:inline>
        </w:drawing>
      </w:r>
    </w:p>
    <w:p w14:paraId="4131750A"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24F53640" wp14:editId="433948A5">
            <wp:extent cx="3855138" cy="2495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78972" cy="2510979"/>
                    </a:xfrm>
                    <a:prstGeom prst="rect">
                      <a:avLst/>
                    </a:prstGeom>
                  </pic:spPr>
                </pic:pic>
              </a:graphicData>
            </a:graphic>
          </wp:inline>
        </w:drawing>
      </w:r>
    </w:p>
    <w:p w14:paraId="2163D6BA"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0E316C19" w14:textId="0299F9BE" w:rsidR="009D5E4A" w:rsidRPr="00BF20CF" w:rsidRDefault="009D5E4A" w:rsidP="00F23BC7">
      <w:pPr>
        <w:pStyle w:val="ListParagraph"/>
        <w:numPr>
          <w:ilvl w:val="0"/>
          <w:numId w:val="121"/>
        </w:numPr>
        <w:autoSpaceDE w:val="0"/>
        <w:autoSpaceDN w:val="0"/>
        <w:adjustRightInd w:val="0"/>
        <w:spacing w:before="240" w:after="120" w:line="276" w:lineRule="auto"/>
        <w:rPr>
          <w:rFonts w:ascii="Arial" w:hAnsi="Arial" w:cs="Arial"/>
        </w:rPr>
      </w:pPr>
      <w:r w:rsidRPr="00BF20CF">
        <w:rPr>
          <w:rFonts w:ascii="Arial" w:hAnsi="Arial" w:cs="Arial"/>
        </w:rPr>
        <w:t>Please explain why condition assessment for the overhead transformer fleet (Figure 6.28) is materially better than what appears to be implied by the age demographic chart (Figure 6.27)?</w:t>
      </w:r>
    </w:p>
    <w:p w14:paraId="680E8E2A" w14:textId="77777777" w:rsidR="00080146" w:rsidRPr="00BF20CF" w:rsidRDefault="00080146" w:rsidP="00080146">
      <w:pPr>
        <w:pStyle w:val="ListParagraph"/>
        <w:autoSpaceDE w:val="0"/>
        <w:autoSpaceDN w:val="0"/>
        <w:adjustRightInd w:val="0"/>
        <w:spacing w:before="240" w:after="120" w:line="276" w:lineRule="auto"/>
        <w:rPr>
          <w:rFonts w:ascii="Arial" w:hAnsi="Arial" w:cs="Arial"/>
        </w:rPr>
      </w:pPr>
    </w:p>
    <w:p w14:paraId="190CBC59" w14:textId="66F57DC6" w:rsidR="009D5E4A" w:rsidRPr="00BF20CF" w:rsidRDefault="009D5E4A" w:rsidP="00F23BC7">
      <w:pPr>
        <w:pStyle w:val="ListParagraph"/>
        <w:numPr>
          <w:ilvl w:val="0"/>
          <w:numId w:val="121"/>
        </w:numPr>
        <w:autoSpaceDE w:val="0"/>
        <w:autoSpaceDN w:val="0"/>
        <w:adjustRightInd w:val="0"/>
        <w:spacing w:before="240" w:after="120" w:line="276" w:lineRule="auto"/>
        <w:rPr>
          <w:rFonts w:ascii="Arial" w:hAnsi="Arial" w:cs="Arial"/>
        </w:rPr>
      </w:pPr>
      <w:r w:rsidRPr="00BF20CF">
        <w:rPr>
          <w:rFonts w:ascii="Arial" w:hAnsi="Arial" w:cs="Arial"/>
        </w:rPr>
        <w:t>What percentage of oil spills (referenced Table 4.13) relate to equipment represented in Figure 6.28?</w:t>
      </w:r>
    </w:p>
    <w:p w14:paraId="5E3376E3" w14:textId="31C7496D" w:rsidR="003B44FD" w:rsidRPr="00BF20CF" w:rsidRDefault="003B44FD" w:rsidP="00080146">
      <w:pPr>
        <w:pStyle w:val="ListParagraph"/>
        <w:rPr>
          <w:rFonts w:ascii="Arial" w:hAnsi="Arial" w:cs="Arial"/>
        </w:rPr>
      </w:pPr>
      <w:r w:rsidRPr="00BF20CF">
        <w:rPr>
          <w:rFonts w:ascii="Arial" w:hAnsi="Arial" w:cs="Arial"/>
        </w:rPr>
        <w:br w:type="page"/>
      </w:r>
    </w:p>
    <w:p w14:paraId="18A25DD4" w14:textId="6938DD4F" w:rsidR="009D5E4A" w:rsidRPr="00BF20CF" w:rsidRDefault="002620BE" w:rsidP="003B44FD">
      <w:pPr>
        <w:pStyle w:val="StaffHeader"/>
        <w:numPr>
          <w:ilvl w:val="0"/>
          <w:numId w:val="0"/>
        </w:numPr>
        <w:spacing w:before="120"/>
        <w:rPr>
          <w:rFonts w:cs="Arial"/>
          <w:szCs w:val="24"/>
          <w:u w:val="none"/>
        </w:rPr>
      </w:pPr>
      <w:r w:rsidRPr="00BF20CF">
        <w:rPr>
          <w:rFonts w:cs="Arial"/>
          <w:szCs w:val="24"/>
          <w:u w:val="none"/>
        </w:rPr>
        <w:lastRenderedPageBreak/>
        <w:t>2-Staff-39</w:t>
      </w:r>
    </w:p>
    <w:p w14:paraId="2E8301B4"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169-170 of 374</w:t>
      </w:r>
    </w:p>
    <w:p w14:paraId="72E52656"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5BFCAA2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the condition of its overhead switches, Hydro Ottawa provided the following figures:</w:t>
      </w:r>
    </w:p>
    <w:p w14:paraId="071960C9"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1DD8BD3D" wp14:editId="41955D97">
            <wp:extent cx="3989085" cy="213094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66986" cy="2172563"/>
                    </a:xfrm>
                    <a:prstGeom prst="rect">
                      <a:avLst/>
                    </a:prstGeom>
                  </pic:spPr>
                </pic:pic>
              </a:graphicData>
            </a:graphic>
          </wp:inline>
        </w:drawing>
      </w:r>
    </w:p>
    <w:p w14:paraId="73A2A9BA" w14:textId="14BF4D1F"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268E350F" wp14:editId="4232A4B1">
            <wp:extent cx="3888740" cy="24012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32096" cy="2428066"/>
                    </a:xfrm>
                    <a:prstGeom prst="rect">
                      <a:avLst/>
                    </a:prstGeom>
                  </pic:spPr>
                </pic:pic>
              </a:graphicData>
            </a:graphic>
          </wp:inline>
        </w:drawing>
      </w:r>
    </w:p>
    <w:p w14:paraId="09FE661F" w14:textId="77777777" w:rsidR="005C61A6" w:rsidRPr="00BF20CF" w:rsidRDefault="005C61A6" w:rsidP="00F23BC7">
      <w:pPr>
        <w:autoSpaceDE w:val="0"/>
        <w:autoSpaceDN w:val="0"/>
        <w:adjustRightInd w:val="0"/>
        <w:spacing w:before="240" w:after="120" w:line="276" w:lineRule="auto"/>
        <w:ind w:left="540"/>
        <w:jc w:val="center"/>
        <w:rPr>
          <w:rFonts w:ascii="Arial" w:hAnsi="Arial" w:cs="Arial"/>
          <w:bCs/>
        </w:rPr>
      </w:pPr>
    </w:p>
    <w:p w14:paraId="425632F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7FED1074" w14:textId="7B8A2CA5" w:rsidR="009D5E4A" w:rsidRPr="00BF20CF" w:rsidRDefault="009D5E4A" w:rsidP="00F23BC7">
      <w:pPr>
        <w:pStyle w:val="ListParagraph"/>
        <w:numPr>
          <w:ilvl w:val="0"/>
          <w:numId w:val="122"/>
        </w:numPr>
        <w:autoSpaceDE w:val="0"/>
        <w:autoSpaceDN w:val="0"/>
        <w:adjustRightInd w:val="0"/>
        <w:spacing w:before="240" w:after="120" w:line="276" w:lineRule="auto"/>
        <w:rPr>
          <w:rFonts w:ascii="Arial" w:hAnsi="Arial" w:cs="Arial"/>
        </w:rPr>
      </w:pPr>
      <w:r w:rsidRPr="00BF20CF">
        <w:rPr>
          <w:rFonts w:ascii="Arial" w:hAnsi="Arial" w:cs="Arial"/>
        </w:rPr>
        <w:t>Why are such a significant proportion of overhead switches in Good or Fair condition (rather than Very Good) despite the relatively young age demographic grouping of the assets? Is there a type fault or a maintenance issue preventing most of them from being classified as Very Good?</w:t>
      </w:r>
    </w:p>
    <w:p w14:paraId="449D283A" w14:textId="78F9364C" w:rsidR="009D5E4A" w:rsidRPr="00BF20CF" w:rsidRDefault="002620BE" w:rsidP="003B44FD">
      <w:pPr>
        <w:pStyle w:val="StaffHeader"/>
        <w:numPr>
          <w:ilvl w:val="0"/>
          <w:numId w:val="0"/>
        </w:numPr>
        <w:spacing w:before="0"/>
        <w:rPr>
          <w:rFonts w:cs="Arial"/>
          <w:szCs w:val="24"/>
          <w:u w:val="none"/>
        </w:rPr>
      </w:pPr>
      <w:r w:rsidRPr="00BF20CF">
        <w:rPr>
          <w:rFonts w:cs="Arial"/>
          <w:szCs w:val="24"/>
          <w:u w:val="none"/>
        </w:rPr>
        <w:lastRenderedPageBreak/>
        <w:t>2-Staff-40</w:t>
      </w:r>
    </w:p>
    <w:p w14:paraId="63F234BA"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pp. 173-174 of 374</w:t>
      </w:r>
    </w:p>
    <w:p w14:paraId="5DDDABF2"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C1A3DBB"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the condition of its PILC cables, Hydro Ottawa provided the following figures:</w:t>
      </w:r>
    </w:p>
    <w:p w14:paraId="35BEE81B"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7A0FE631" wp14:editId="0F7740CF">
            <wp:extent cx="4216755" cy="26390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3574" cy="2668362"/>
                    </a:xfrm>
                    <a:prstGeom prst="rect">
                      <a:avLst/>
                    </a:prstGeom>
                  </pic:spPr>
                </pic:pic>
              </a:graphicData>
            </a:graphic>
          </wp:inline>
        </w:drawing>
      </w:r>
    </w:p>
    <w:p w14:paraId="77DB1DFC" w14:textId="01825769" w:rsidR="009D5E4A" w:rsidRPr="00BF20CF" w:rsidRDefault="009D5E4A" w:rsidP="00081856">
      <w:pPr>
        <w:tabs>
          <w:tab w:val="left" w:pos="7920"/>
        </w:tabs>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21D09CE0" wp14:editId="64DD3C44">
            <wp:extent cx="4209690" cy="270827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6516" cy="2744833"/>
                    </a:xfrm>
                    <a:prstGeom prst="rect">
                      <a:avLst/>
                    </a:prstGeom>
                  </pic:spPr>
                </pic:pic>
              </a:graphicData>
            </a:graphic>
          </wp:inline>
        </w:drawing>
      </w:r>
    </w:p>
    <w:p w14:paraId="2C1A4602"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06FC7F24" w14:textId="273B08CF" w:rsidR="009D5E4A" w:rsidRPr="00BF20CF" w:rsidRDefault="009D5E4A" w:rsidP="00F23BC7">
      <w:pPr>
        <w:pStyle w:val="ListParagraph"/>
        <w:numPr>
          <w:ilvl w:val="0"/>
          <w:numId w:val="123"/>
        </w:numPr>
        <w:autoSpaceDE w:val="0"/>
        <w:autoSpaceDN w:val="0"/>
        <w:adjustRightInd w:val="0"/>
        <w:spacing w:before="240" w:after="120" w:line="276" w:lineRule="auto"/>
        <w:rPr>
          <w:rFonts w:ascii="Arial" w:hAnsi="Arial" w:cs="Arial"/>
        </w:rPr>
      </w:pPr>
      <w:r w:rsidRPr="00BF20CF">
        <w:rPr>
          <w:rFonts w:ascii="Arial" w:hAnsi="Arial" w:cs="Arial"/>
        </w:rPr>
        <w:t>If health index is based partly or largely upon age, why are no cables rated as poor or very poor?</w:t>
      </w:r>
    </w:p>
    <w:p w14:paraId="1FA63556" w14:textId="59C4F576" w:rsidR="009D5E4A" w:rsidRPr="00BF20CF" w:rsidRDefault="002620BE" w:rsidP="003B44FD">
      <w:pPr>
        <w:pStyle w:val="StaffHeader"/>
        <w:numPr>
          <w:ilvl w:val="0"/>
          <w:numId w:val="0"/>
        </w:numPr>
        <w:spacing w:before="0"/>
        <w:rPr>
          <w:rFonts w:cs="Arial"/>
          <w:szCs w:val="24"/>
          <w:u w:val="none"/>
        </w:rPr>
      </w:pPr>
      <w:r w:rsidRPr="00BF20CF">
        <w:rPr>
          <w:rFonts w:cs="Arial"/>
          <w:szCs w:val="24"/>
          <w:u w:val="none"/>
        </w:rPr>
        <w:lastRenderedPageBreak/>
        <w:t>2-Staff-41</w:t>
      </w:r>
    </w:p>
    <w:p w14:paraId="5D6ED071"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177 of 374</w:t>
      </w:r>
    </w:p>
    <w:p w14:paraId="7F3F548A"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3B9B3C00"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polymer distribution cables, Hydro Ottawa provided the following figure:</w:t>
      </w:r>
    </w:p>
    <w:p w14:paraId="4D59AE3B" w14:textId="55792606" w:rsidR="009D5E4A" w:rsidRPr="00BF20CF" w:rsidRDefault="009D5E4A" w:rsidP="00081856">
      <w:pPr>
        <w:tabs>
          <w:tab w:val="left" w:pos="7920"/>
        </w:tabs>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4D7AC7D3" wp14:editId="5B62D7BE">
            <wp:extent cx="4278702" cy="2621578"/>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8070" cy="2645699"/>
                    </a:xfrm>
                    <a:prstGeom prst="rect">
                      <a:avLst/>
                    </a:prstGeom>
                  </pic:spPr>
                </pic:pic>
              </a:graphicData>
            </a:graphic>
          </wp:inline>
        </w:drawing>
      </w:r>
    </w:p>
    <w:p w14:paraId="047DEC4C"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6DDED16F" w14:textId="33247124" w:rsidR="009D5E4A" w:rsidRPr="00BF20CF" w:rsidRDefault="009D5E4A" w:rsidP="00F23BC7">
      <w:pPr>
        <w:pStyle w:val="ListParagraph"/>
        <w:numPr>
          <w:ilvl w:val="0"/>
          <w:numId w:val="124"/>
        </w:numPr>
        <w:autoSpaceDE w:val="0"/>
        <w:autoSpaceDN w:val="0"/>
        <w:adjustRightInd w:val="0"/>
        <w:spacing w:before="240" w:after="120" w:line="276" w:lineRule="auto"/>
        <w:rPr>
          <w:rFonts w:ascii="Arial" w:hAnsi="Arial" w:cs="Arial"/>
        </w:rPr>
      </w:pPr>
      <w:r w:rsidRPr="00BF20CF">
        <w:rPr>
          <w:rFonts w:ascii="Arial" w:hAnsi="Arial" w:cs="Arial"/>
        </w:rPr>
        <w:t>Why does the polymer cable fleet demonstrate significantly worse health index demographics than the PILC cables shown in Figure 6.34?</w:t>
      </w:r>
    </w:p>
    <w:p w14:paraId="181539DD" w14:textId="33CF67F1" w:rsidR="00080146" w:rsidRPr="00BF20CF" w:rsidRDefault="00080146" w:rsidP="00080146">
      <w:pPr>
        <w:pStyle w:val="ListParagraph"/>
        <w:autoSpaceDE w:val="0"/>
        <w:autoSpaceDN w:val="0"/>
        <w:adjustRightInd w:val="0"/>
        <w:spacing w:before="240" w:after="120" w:line="276" w:lineRule="auto"/>
        <w:rPr>
          <w:rFonts w:ascii="Arial" w:hAnsi="Arial" w:cs="Arial"/>
        </w:rPr>
      </w:pPr>
    </w:p>
    <w:p w14:paraId="18158783" w14:textId="6595A256" w:rsidR="009D5E4A" w:rsidRPr="00BF20CF" w:rsidRDefault="002620BE" w:rsidP="003B44FD">
      <w:pPr>
        <w:pStyle w:val="StaffHeader"/>
        <w:numPr>
          <w:ilvl w:val="0"/>
          <w:numId w:val="0"/>
        </w:numPr>
        <w:spacing w:before="240"/>
        <w:rPr>
          <w:rFonts w:cs="Arial"/>
          <w:szCs w:val="24"/>
          <w:u w:val="none"/>
        </w:rPr>
      </w:pPr>
      <w:r w:rsidRPr="00BF20CF">
        <w:rPr>
          <w:rFonts w:cs="Arial"/>
          <w:szCs w:val="24"/>
          <w:u w:val="none"/>
        </w:rPr>
        <w:t>2-Staff-42</w:t>
      </w:r>
    </w:p>
    <w:p w14:paraId="4B03A692"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194 of 374</w:t>
      </w:r>
    </w:p>
    <w:p w14:paraId="6619FB8A"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DD3C86F"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asset replacement and refurbishment policies, Hydro Ottawa stated:</w:t>
      </w:r>
    </w:p>
    <w:p w14:paraId="10BD0200"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Refurbishment is expected to renew the asset and extend the expected service life.</w:t>
      </w:r>
    </w:p>
    <w:p w14:paraId="6BDFF141" w14:textId="77777777" w:rsidR="003B44FD" w:rsidRPr="00BF20CF" w:rsidRDefault="003B44FD" w:rsidP="00F23BC7">
      <w:pPr>
        <w:autoSpaceDE w:val="0"/>
        <w:autoSpaceDN w:val="0"/>
        <w:adjustRightInd w:val="0"/>
        <w:spacing w:before="240" w:after="120" w:line="276" w:lineRule="auto"/>
        <w:rPr>
          <w:rFonts w:ascii="Arial" w:hAnsi="Arial" w:cs="Arial"/>
          <w:bCs/>
        </w:rPr>
      </w:pPr>
      <w:r w:rsidRPr="00BF20CF">
        <w:rPr>
          <w:rFonts w:ascii="Arial" w:hAnsi="Arial" w:cs="Arial"/>
          <w:bCs/>
        </w:rPr>
        <w:br w:type="page"/>
      </w:r>
    </w:p>
    <w:p w14:paraId="3E026BE7" w14:textId="0A048E9E"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lastRenderedPageBreak/>
        <w:t>Question(s):</w:t>
      </w:r>
    </w:p>
    <w:p w14:paraId="7DF255B4" w14:textId="77777777" w:rsidR="009D5E4A" w:rsidRPr="00BF20CF" w:rsidRDefault="009D5E4A" w:rsidP="00F23BC7">
      <w:pPr>
        <w:pStyle w:val="ListParagraph"/>
        <w:numPr>
          <w:ilvl w:val="0"/>
          <w:numId w:val="125"/>
        </w:numPr>
        <w:autoSpaceDE w:val="0"/>
        <w:autoSpaceDN w:val="0"/>
        <w:adjustRightInd w:val="0"/>
        <w:spacing w:before="240" w:after="120" w:line="276" w:lineRule="auto"/>
        <w:rPr>
          <w:rFonts w:ascii="Arial" w:hAnsi="Arial" w:cs="Arial"/>
        </w:rPr>
      </w:pPr>
      <w:r w:rsidRPr="00BF20CF">
        <w:rPr>
          <w:rFonts w:ascii="Arial" w:hAnsi="Arial" w:cs="Arial"/>
        </w:rPr>
        <w:t>Does Hydro Ottawa adjust the expected service lives of assets that are refurbished (i.e. as reflected in improved health index scores), to account for the anticipated extended period of useful service?</w:t>
      </w:r>
    </w:p>
    <w:p w14:paraId="54CEE3F5" w14:textId="18D9F49C" w:rsidR="009D5E4A" w:rsidRPr="00BF20CF" w:rsidRDefault="002620BE" w:rsidP="003B44FD">
      <w:pPr>
        <w:pStyle w:val="StaffHeader"/>
        <w:numPr>
          <w:ilvl w:val="0"/>
          <w:numId w:val="0"/>
        </w:numPr>
        <w:spacing w:before="240"/>
        <w:rPr>
          <w:rFonts w:cs="Arial"/>
          <w:szCs w:val="24"/>
          <w:u w:val="none"/>
        </w:rPr>
      </w:pPr>
      <w:r w:rsidRPr="00BF20CF">
        <w:rPr>
          <w:rFonts w:cs="Arial"/>
          <w:szCs w:val="24"/>
          <w:u w:val="none"/>
        </w:rPr>
        <w:t>2-Staff-43</w:t>
      </w:r>
    </w:p>
    <w:p w14:paraId="0B6A1A8E"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196 of 374</w:t>
      </w:r>
    </w:p>
    <w:p w14:paraId="008969EB"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32B115EB"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station transformers, Hydro Ottawa stated:</w:t>
      </w:r>
    </w:p>
    <w:p w14:paraId="4EA29F07"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 xml:space="preserve">Various monitoring technologies have been added to station transformers due the consequences associated with a failure. These include online dissolved gas analysis (“ODGA”), winding and oil temperature, tap changer status, cooling fan status, and loading information. Warnings and alarms from these monitoring units allow Hydro Ottawa to identify the need for corrective actions with real-time data. </w:t>
      </w:r>
    </w:p>
    <w:p w14:paraId="4FBBBFE6"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70BDAF5F" w14:textId="3F6FBB78" w:rsidR="009D5E4A" w:rsidRPr="00BF20CF" w:rsidRDefault="009D5E4A" w:rsidP="00F23BC7">
      <w:pPr>
        <w:pStyle w:val="ListParagraph"/>
        <w:numPr>
          <w:ilvl w:val="0"/>
          <w:numId w:val="126"/>
        </w:numPr>
        <w:autoSpaceDE w:val="0"/>
        <w:autoSpaceDN w:val="0"/>
        <w:adjustRightInd w:val="0"/>
        <w:spacing w:before="240" w:after="120" w:line="276" w:lineRule="auto"/>
        <w:rPr>
          <w:rFonts w:ascii="Arial" w:hAnsi="Arial" w:cs="Arial"/>
        </w:rPr>
      </w:pPr>
      <w:r w:rsidRPr="00BF20CF">
        <w:rPr>
          <w:rFonts w:ascii="Arial" w:hAnsi="Arial" w:cs="Arial"/>
        </w:rPr>
        <w:t>Please explain the calibration methodology for alarm settings.</w:t>
      </w:r>
    </w:p>
    <w:p w14:paraId="3C77D2BF" w14:textId="77777777" w:rsidR="009C2B5F" w:rsidRPr="00BF20CF" w:rsidRDefault="009C2B5F" w:rsidP="009C2B5F">
      <w:pPr>
        <w:pStyle w:val="ListParagraph"/>
        <w:autoSpaceDE w:val="0"/>
        <w:autoSpaceDN w:val="0"/>
        <w:adjustRightInd w:val="0"/>
        <w:spacing w:before="240" w:after="120" w:line="276" w:lineRule="auto"/>
        <w:rPr>
          <w:rFonts w:ascii="Arial" w:hAnsi="Arial" w:cs="Arial"/>
        </w:rPr>
      </w:pPr>
    </w:p>
    <w:p w14:paraId="37FDC107" w14:textId="3474FE44" w:rsidR="009D5E4A" w:rsidRPr="00BF20CF" w:rsidRDefault="009D5E4A" w:rsidP="00F23BC7">
      <w:pPr>
        <w:pStyle w:val="ListParagraph"/>
        <w:numPr>
          <w:ilvl w:val="0"/>
          <w:numId w:val="126"/>
        </w:numPr>
        <w:autoSpaceDE w:val="0"/>
        <w:autoSpaceDN w:val="0"/>
        <w:adjustRightInd w:val="0"/>
        <w:spacing w:before="240" w:after="120" w:line="276" w:lineRule="auto"/>
        <w:rPr>
          <w:rFonts w:ascii="Arial" w:hAnsi="Arial" w:cs="Arial"/>
        </w:rPr>
      </w:pPr>
      <w:r w:rsidRPr="00BF20CF">
        <w:rPr>
          <w:rFonts w:ascii="Arial" w:hAnsi="Arial" w:cs="Arial"/>
        </w:rPr>
        <w:t>How frequently does Hydro Ottawa confirm the calibration settings?</w:t>
      </w:r>
    </w:p>
    <w:p w14:paraId="074B4588" w14:textId="77777777" w:rsidR="009C2B5F" w:rsidRPr="00BF20CF" w:rsidRDefault="009C2B5F" w:rsidP="009C2B5F">
      <w:pPr>
        <w:pStyle w:val="ListParagraph"/>
        <w:autoSpaceDE w:val="0"/>
        <w:autoSpaceDN w:val="0"/>
        <w:adjustRightInd w:val="0"/>
        <w:spacing w:before="240" w:after="120" w:line="276" w:lineRule="auto"/>
        <w:rPr>
          <w:rFonts w:ascii="Arial" w:hAnsi="Arial" w:cs="Arial"/>
        </w:rPr>
      </w:pPr>
    </w:p>
    <w:p w14:paraId="1CE30A94" w14:textId="09D25AEC" w:rsidR="009D5E4A" w:rsidRPr="00BF20CF" w:rsidRDefault="009D5E4A" w:rsidP="00F23BC7">
      <w:pPr>
        <w:pStyle w:val="ListParagraph"/>
        <w:numPr>
          <w:ilvl w:val="0"/>
          <w:numId w:val="126"/>
        </w:numPr>
        <w:autoSpaceDE w:val="0"/>
        <w:autoSpaceDN w:val="0"/>
        <w:adjustRightInd w:val="0"/>
        <w:spacing w:before="240" w:after="120" w:line="276" w:lineRule="auto"/>
        <w:rPr>
          <w:rFonts w:ascii="Arial" w:hAnsi="Arial" w:cs="Arial"/>
        </w:rPr>
      </w:pPr>
      <w:r w:rsidRPr="00BF20CF">
        <w:rPr>
          <w:rFonts w:ascii="Arial" w:hAnsi="Arial" w:cs="Arial"/>
        </w:rPr>
        <w:t>Has Hydro Ottawa noticed (or does Hydro Ottawa anticipate) operational efficiencies based on the new monitoring technologies? Please explain why or why not.</w:t>
      </w:r>
    </w:p>
    <w:p w14:paraId="66CD836D" w14:textId="77777777" w:rsidR="00834D58" w:rsidRPr="00BF20CF" w:rsidRDefault="00834D58" w:rsidP="00834D58">
      <w:pPr>
        <w:pStyle w:val="ListParagraph"/>
        <w:rPr>
          <w:rFonts w:ascii="Arial" w:hAnsi="Arial" w:cs="Arial"/>
        </w:rPr>
      </w:pPr>
    </w:p>
    <w:p w14:paraId="4D198BDC" w14:textId="6DFCC152" w:rsidR="009D5E4A" w:rsidRPr="00BF20CF" w:rsidRDefault="002620BE" w:rsidP="003B44FD">
      <w:pPr>
        <w:pStyle w:val="StaffHeader"/>
        <w:numPr>
          <w:ilvl w:val="0"/>
          <w:numId w:val="0"/>
        </w:numPr>
        <w:spacing w:before="240"/>
        <w:rPr>
          <w:rFonts w:cs="Arial"/>
          <w:szCs w:val="24"/>
          <w:u w:val="none"/>
        </w:rPr>
      </w:pPr>
      <w:r w:rsidRPr="00BF20CF">
        <w:rPr>
          <w:rFonts w:cs="Arial"/>
          <w:szCs w:val="24"/>
          <w:u w:val="none"/>
        </w:rPr>
        <w:t>2-Staff-44</w:t>
      </w:r>
    </w:p>
    <w:p w14:paraId="5FA4EFFA"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197 of 374</w:t>
      </w:r>
    </w:p>
    <w:p w14:paraId="5597432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6F725C0"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station switchgear and breakers, Hydro Ottawa stated:</w:t>
      </w:r>
    </w:p>
    <w:p w14:paraId="72700BA4"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 xml:space="preserve">Every 10 years, detailed preventative maintenance is performed on the entire switchgear assembly. Switchgear maintenance includes detailed internal visual inspections, insulation resistance tests, and ensuring that there are no structural deficiencies, such as cracks, leaks or warped metal in the switchgear. </w:t>
      </w:r>
    </w:p>
    <w:p w14:paraId="4F7B8B10"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lastRenderedPageBreak/>
        <w:t>Question(s):</w:t>
      </w:r>
    </w:p>
    <w:p w14:paraId="5192C1A6" w14:textId="5920DCD4" w:rsidR="009D5E4A" w:rsidRPr="00BF20CF" w:rsidRDefault="009D5E4A" w:rsidP="00F23BC7">
      <w:pPr>
        <w:pStyle w:val="ListParagraph"/>
        <w:numPr>
          <w:ilvl w:val="0"/>
          <w:numId w:val="127"/>
        </w:numPr>
        <w:autoSpaceDE w:val="0"/>
        <w:autoSpaceDN w:val="0"/>
        <w:adjustRightInd w:val="0"/>
        <w:spacing w:before="240" w:after="120" w:line="276" w:lineRule="auto"/>
        <w:rPr>
          <w:rFonts w:ascii="Arial" w:hAnsi="Arial" w:cs="Arial"/>
        </w:rPr>
      </w:pPr>
      <w:r w:rsidRPr="00BF20CF">
        <w:rPr>
          <w:rFonts w:ascii="Arial" w:hAnsi="Arial" w:cs="Arial"/>
        </w:rPr>
        <w:t>Have switchgear and breaker maintenance schedules been changed or refined as a result of Hydro Ottawa’s evolving asset management program? Please explain.</w:t>
      </w:r>
    </w:p>
    <w:p w14:paraId="5CC49C9C" w14:textId="77777777" w:rsidR="00834D58" w:rsidRPr="00BF20CF" w:rsidRDefault="00834D58" w:rsidP="00834D58">
      <w:pPr>
        <w:pStyle w:val="ListParagraph"/>
        <w:autoSpaceDE w:val="0"/>
        <w:autoSpaceDN w:val="0"/>
        <w:adjustRightInd w:val="0"/>
        <w:spacing w:line="276" w:lineRule="auto"/>
        <w:rPr>
          <w:rFonts w:ascii="Arial" w:hAnsi="Arial" w:cs="Arial"/>
        </w:rPr>
      </w:pPr>
    </w:p>
    <w:p w14:paraId="061BD92C" w14:textId="3A3CB95B" w:rsidR="009D5E4A" w:rsidRPr="00BF20CF" w:rsidRDefault="002620BE" w:rsidP="003B44FD">
      <w:pPr>
        <w:pStyle w:val="StaffHeader"/>
        <w:numPr>
          <w:ilvl w:val="0"/>
          <w:numId w:val="0"/>
        </w:numPr>
        <w:spacing w:before="240"/>
        <w:rPr>
          <w:rFonts w:cs="Arial"/>
          <w:szCs w:val="24"/>
          <w:u w:val="none"/>
        </w:rPr>
      </w:pPr>
      <w:r w:rsidRPr="00BF20CF">
        <w:rPr>
          <w:rFonts w:cs="Arial"/>
          <w:szCs w:val="24"/>
          <w:u w:val="none"/>
        </w:rPr>
        <w:t>2-Staff-45</w:t>
      </w:r>
    </w:p>
    <w:p w14:paraId="0E8EF4FA"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pp. 203-204 of 374</w:t>
      </w:r>
    </w:p>
    <w:p w14:paraId="1D58CCC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72B58DDD" w14:textId="77777777" w:rsidR="009D5E4A" w:rsidRPr="00BF20CF" w:rsidRDefault="009D5E4A" w:rsidP="00834D58">
      <w:pPr>
        <w:autoSpaceDE w:val="0"/>
        <w:autoSpaceDN w:val="0"/>
        <w:adjustRightInd w:val="0"/>
        <w:spacing w:line="276" w:lineRule="auto"/>
        <w:rPr>
          <w:rFonts w:ascii="Arial" w:hAnsi="Arial" w:cs="Arial"/>
          <w:bCs/>
        </w:rPr>
      </w:pPr>
      <w:r w:rsidRPr="00BF20CF">
        <w:rPr>
          <w:rFonts w:ascii="Arial" w:hAnsi="Arial" w:cs="Arial"/>
          <w:bCs/>
        </w:rPr>
        <w:t>Regarding the capacity of its existing stations, Hydro Ottawa provided the following table and commentary:</w:t>
      </w:r>
    </w:p>
    <w:p w14:paraId="20C25F1B" w14:textId="49B69114" w:rsidR="009D5E4A" w:rsidRPr="00BF20CF" w:rsidRDefault="009D5E4A" w:rsidP="009C2B5F">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064077C5" wp14:editId="2FA55AA3">
            <wp:extent cx="4492625" cy="2965836"/>
            <wp:effectExtent l="0" t="0" r="317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4824" cy="3020100"/>
                    </a:xfrm>
                    <a:prstGeom prst="rect">
                      <a:avLst/>
                    </a:prstGeom>
                  </pic:spPr>
                </pic:pic>
              </a:graphicData>
            </a:graphic>
          </wp:inline>
        </w:drawing>
      </w:r>
    </w:p>
    <w:p w14:paraId="5BC75B3C" w14:textId="77777777" w:rsidR="009D5E4A" w:rsidRPr="00BF20CF" w:rsidRDefault="009D5E4A" w:rsidP="009C2B5F">
      <w:pPr>
        <w:autoSpaceDE w:val="0"/>
        <w:autoSpaceDN w:val="0"/>
        <w:adjustRightInd w:val="0"/>
        <w:spacing w:line="276" w:lineRule="auto"/>
        <w:ind w:left="540"/>
        <w:rPr>
          <w:rFonts w:ascii="Arial" w:hAnsi="Arial" w:cs="Arial"/>
          <w:bCs/>
        </w:rPr>
      </w:pPr>
      <w:r w:rsidRPr="00BF20CF">
        <w:rPr>
          <w:rFonts w:ascii="Arial" w:hAnsi="Arial" w:cs="Arial"/>
          <w:bCs/>
        </w:rPr>
        <w:t xml:space="preserve">Merivale and Rideau Heights Stations in the Nepean Core 8kV area continue to be above their planning capacity limits. A project to increase capacity at Merivale station is currently in progress and expected to be energized by the end of 2019, enabling a decrease of load at </w:t>
      </w:r>
      <w:proofErr w:type="gramStart"/>
      <w:r w:rsidRPr="00BF20CF">
        <w:rPr>
          <w:rFonts w:ascii="Arial" w:hAnsi="Arial" w:cs="Arial"/>
          <w:bCs/>
        </w:rPr>
        <w:t>Rideau Heights</w:t>
      </w:r>
      <w:proofErr w:type="gramEnd"/>
      <w:r w:rsidRPr="00BF20CF">
        <w:rPr>
          <w:rFonts w:ascii="Arial" w:hAnsi="Arial" w:cs="Arial"/>
          <w:bCs/>
        </w:rPr>
        <w:t xml:space="preserve"> station.</w:t>
      </w:r>
    </w:p>
    <w:p w14:paraId="0A03F121" w14:textId="68A787D9" w:rsidR="009D5E4A" w:rsidRPr="00BF20CF" w:rsidRDefault="009D5E4A" w:rsidP="00B755E8">
      <w:pPr>
        <w:autoSpaceDE w:val="0"/>
        <w:autoSpaceDN w:val="0"/>
        <w:adjustRightInd w:val="0"/>
        <w:spacing w:line="276" w:lineRule="auto"/>
        <w:ind w:left="539"/>
        <w:rPr>
          <w:rFonts w:ascii="Arial" w:hAnsi="Arial" w:cs="Arial"/>
          <w:bCs/>
        </w:rPr>
      </w:pPr>
    </w:p>
    <w:p w14:paraId="54463AC8" w14:textId="77777777" w:rsidR="009D5E4A" w:rsidRPr="00BF20CF" w:rsidRDefault="009D5E4A" w:rsidP="00B755E8">
      <w:pPr>
        <w:autoSpaceDE w:val="0"/>
        <w:autoSpaceDN w:val="0"/>
        <w:adjustRightInd w:val="0"/>
        <w:spacing w:line="276" w:lineRule="auto"/>
        <w:ind w:left="540"/>
        <w:rPr>
          <w:rFonts w:ascii="Arial" w:hAnsi="Arial" w:cs="Arial"/>
          <w:bCs/>
        </w:rPr>
      </w:pPr>
      <w:r w:rsidRPr="00BF20CF">
        <w:rPr>
          <w:rFonts w:ascii="Arial" w:hAnsi="Arial" w:cs="Arial"/>
          <w:bCs/>
        </w:rPr>
        <w:t>Hawthorne Station was a new addition to the list in 2018. Hydro One Networks Inc. (“HONI”) is currently replacing the transformers and increasing capacity at this station. The project was set to be completed by Q4 2019.</w:t>
      </w:r>
    </w:p>
    <w:p w14:paraId="2549E28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lastRenderedPageBreak/>
        <w:t>Question(s):</w:t>
      </w:r>
    </w:p>
    <w:p w14:paraId="1E84F12C" w14:textId="2C408312" w:rsidR="009D5E4A" w:rsidRPr="00BF20CF" w:rsidRDefault="009D5E4A" w:rsidP="00F23BC7">
      <w:pPr>
        <w:pStyle w:val="ListParagraph"/>
        <w:numPr>
          <w:ilvl w:val="0"/>
          <w:numId w:val="128"/>
        </w:numPr>
        <w:autoSpaceDE w:val="0"/>
        <w:autoSpaceDN w:val="0"/>
        <w:adjustRightInd w:val="0"/>
        <w:spacing w:before="240" w:after="120" w:line="276" w:lineRule="auto"/>
        <w:rPr>
          <w:rFonts w:ascii="Arial" w:hAnsi="Arial" w:cs="Arial"/>
          <w:strike/>
        </w:rPr>
      </w:pPr>
      <w:r w:rsidRPr="00BF20CF">
        <w:rPr>
          <w:rFonts w:ascii="Arial" w:hAnsi="Arial" w:cs="Arial"/>
        </w:rPr>
        <w:t>Please provide any differences between the information shown in this table and the same information as it existed at the time of Hydro Ottawa’s last rebasing application.</w:t>
      </w:r>
    </w:p>
    <w:p w14:paraId="41F10DA6" w14:textId="77777777" w:rsidR="009C2B5F" w:rsidRPr="00BF20CF" w:rsidRDefault="009C2B5F" w:rsidP="009C2B5F">
      <w:pPr>
        <w:pStyle w:val="ListParagraph"/>
        <w:autoSpaceDE w:val="0"/>
        <w:autoSpaceDN w:val="0"/>
        <w:adjustRightInd w:val="0"/>
        <w:spacing w:before="240" w:after="120" w:line="276" w:lineRule="auto"/>
        <w:rPr>
          <w:rFonts w:ascii="Arial" w:hAnsi="Arial" w:cs="Arial"/>
          <w:strike/>
        </w:rPr>
      </w:pPr>
    </w:p>
    <w:p w14:paraId="6D24F66E" w14:textId="77777777" w:rsidR="009D5E4A" w:rsidRPr="00BF20CF" w:rsidRDefault="009D5E4A" w:rsidP="00F23BC7">
      <w:pPr>
        <w:pStyle w:val="ListParagraph"/>
        <w:numPr>
          <w:ilvl w:val="0"/>
          <w:numId w:val="128"/>
        </w:numPr>
        <w:autoSpaceDE w:val="0"/>
        <w:autoSpaceDN w:val="0"/>
        <w:adjustRightInd w:val="0"/>
        <w:spacing w:before="240" w:after="120" w:line="276" w:lineRule="auto"/>
        <w:rPr>
          <w:rFonts w:ascii="Arial" w:hAnsi="Arial" w:cs="Arial"/>
        </w:rPr>
      </w:pPr>
      <w:r w:rsidRPr="00BF20CF">
        <w:rPr>
          <w:rFonts w:ascii="Arial" w:hAnsi="Arial" w:cs="Arial"/>
        </w:rPr>
        <w:t>Is the number of stations operating above planning capacity unusually high compared with Hydro Ottawa’s historical experience?</w:t>
      </w:r>
    </w:p>
    <w:p w14:paraId="3E0EC4CF" w14:textId="669EE4E3" w:rsidR="009D5E4A" w:rsidRPr="00BF20CF" w:rsidRDefault="009D5E4A" w:rsidP="00F23BC7">
      <w:pPr>
        <w:pStyle w:val="ListParagraph"/>
        <w:numPr>
          <w:ilvl w:val="1"/>
          <w:numId w:val="128"/>
        </w:numPr>
        <w:autoSpaceDE w:val="0"/>
        <w:autoSpaceDN w:val="0"/>
        <w:adjustRightInd w:val="0"/>
        <w:spacing w:before="240" w:after="120" w:line="276" w:lineRule="auto"/>
        <w:rPr>
          <w:rFonts w:ascii="Arial" w:hAnsi="Arial" w:cs="Arial"/>
        </w:rPr>
      </w:pPr>
      <w:r w:rsidRPr="00BF20CF">
        <w:rPr>
          <w:rFonts w:ascii="Arial" w:hAnsi="Arial" w:cs="Arial"/>
        </w:rPr>
        <w:t>If yes, how long has Hydro Ottawa had a similar number of stations operating above planning capacity?</w:t>
      </w:r>
    </w:p>
    <w:p w14:paraId="78BFCC73" w14:textId="77777777" w:rsidR="009C2B5F" w:rsidRPr="00BF20CF" w:rsidRDefault="009C2B5F" w:rsidP="009C2B5F">
      <w:pPr>
        <w:pStyle w:val="ListParagraph"/>
        <w:autoSpaceDE w:val="0"/>
        <w:autoSpaceDN w:val="0"/>
        <w:adjustRightInd w:val="0"/>
        <w:spacing w:before="240" w:after="120" w:line="276" w:lineRule="auto"/>
        <w:rPr>
          <w:rFonts w:ascii="Arial" w:hAnsi="Arial" w:cs="Arial"/>
        </w:rPr>
      </w:pPr>
    </w:p>
    <w:p w14:paraId="57A113F0" w14:textId="73F9BE65" w:rsidR="009D5E4A" w:rsidRPr="00BF20CF" w:rsidRDefault="009D5E4A" w:rsidP="00F23BC7">
      <w:pPr>
        <w:pStyle w:val="ListParagraph"/>
        <w:numPr>
          <w:ilvl w:val="0"/>
          <w:numId w:val="128"/>
        </w:numPr>
        <w:autoSpaceDE w:val="0"/>
        <w:autoSpaceDN w:val="0"/>
        <w:adjustRightInd w:val="0"/>
        <w:spacing w:before="240" w:after="120" w:line="276" w:lineRule="auto"/>
        <w:rPr>
          <w:rFonts w:ascii="Arial" w:hAnsi="Arial" w:cs="Arial"/>
        </w:rPr>
      </w:pPr>
      <w:r w:rsidRPr="00BF20CF">
        <w:rPr>
          <w:rFonts w:ascii="Arial" w:hAnsi="Arial" w:cs="Arial"/>
        </w:rPr>
        <w:t>What are the nameplate capacities for the stations shown in Table 7.1?</w:t>
      </w:r>
    </w:p>
    <w:p w14:paraId="4F0A1C3B" w14:textId="77777777" w:rsidR="009C2B5F" w:rsidRPr="00BF20CF" w:rsidRDefault="009C2B5F" w:rsidP="009C2B5F">
      <w:pPr>
        <w:pStyle w:val="ListParagraph"/>
        <w:autoSpaceDE w:val="0"/>
        <w:autoSpaceDN w:val="0"/>
        <w:adjustRightInd w:val="0"/>
        <w:spacing w:before="240" w:after="120" w:line="276" w:lineRule="auto"/>
        <w:rPr>
          <w:rFonts w:ascii="Arial" w:hAnsi="Arial" w:cs="Arial"/>
        </w:rPr>
      </w:pPr>
    </w:p>
    <w:p w14:paraId="5986B6C0" w14:textId="77777777" w:rsidR="009D5E4A" w:rsidRPr="00BF20CF" w:rsidRDefault="009D5E4A" w:rsidP="00F23BC7">
      <w:pPr>
        <w:pStyle w:val="ListParagraph"/>
        <w:numPr>
          <w:ilvl w:val="0"/>
          <w:numId w:val="128"/>
        </w:numPr>
        <w:autoSpaceDE w:val="0"/>
        <w:autoSpaceDN w:val="0"/>
        <w:adjustRightInd w:val="0"/>
        <w:spacing w:before="240" w:after="120" w:line="276" w:lineRule="auto"/>
        <w:rPr>
          <w:rFonts w:ascii="Arial" w:hAnsi="Arial" w:cs="Arial"/>
        </w:rPr>
      </w:pPr>
      <w:r w:rsidRPr="00BF20CF">
        <w:rPr>
          <w:rFonts w:ascii="Arial" w:hAnsi="Arial" w:cs="Arial"/>
        </w:rPr>
        <w:t>Were the Merivale and Hawthorne projects completed?</w:t>
      </w:r>
    </w:p>
    <w:p w14:paraId="201DD86A" w14:textId="60F38567" w:rsidR="009D5E4A" w:rsidRPr="00BF20CF" w:rsidRDefault="009D5E4A" w:rsidP="00F23BC7">
      <w:pPr>
        <w:pStyle w:val="ListParagraph"/>
        <w:numPr>
          <w:ilvl w:val="1"/>
          <w:numId w:val="128"/>
        </w:numPr>
        <w:autoSpaceDE w:val="0"/>
        <w:autoSpaceDN w:val="0"/>
        <w:adjustRightInd w:val="0"/>
        <w:spacing w:before="240" w:after="120" w:line="276" w:lineRule="auto"/>
        <w:rPr>
          <w:rFonts w:ascii="Arial" w:hAnsi="Arial" w:cs="Arial"/>
        </w:rPr>
      </w:pPr>
      <w:r w:rsidRPr="00BF20CF">
        <w:rPr>
          <w:rFonts w:ascii="Arial" w:hAnsi="Arial" w:cs="Arial"/>
        </w:rPr>
        <w:t>If yes, please update the table correspondingly.</w:t>
      </w:r>
    </w:p>
    <w:p w14:paraId="34042D3B" w14:textId="5807D178" w:rsidR="009D5E4A" w:rsidRPr="00BF20CF" w:rsidRDefault="003B44FD" w:rsidP="003B44FD">
      <w:pPr>
        <w:pStyle w:val="StaffHeader"/>
        <w:numPr>
          <w:ilvl w:val="0"/>
          <w:numId w:val="0"/>
        </w:numPr>
        <w:spacing w:before="0"/>
        <w:rPr>
          <w:rFonts w:cs="Arial"/>
          <w:szCs w:val="24"/>
          <w:u w:val="none"/>
        </w:rPr>
      </w:pPr>
      <w:r w:rsidRPr="00BF20CF">
        <w:rPr>
          <w:rFonts w:cs="Arial"/>
          <w:szCs w:val="24"/>
          <w:u w:val="none"/>
        </w:rPr>
        <w:t>2-S</w:t>
      </w:r>
      <w:r w:rsidR="002620BE" w:rsidRPr="00BF20CF">
        <w:rPr>
          <w:rFonts w:cs="Arial"/>
          <w:szCs w:val="24"/>
          <w:u w:val="none"/>
        </w:rPr>
        <w:t>taff-46</w:t>
      </w:r>
    </w:p>
    <w:p w14:paraId="270D1024"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205 of 374</w:t>
      </w:r>
    </w:p>
    <w:p w14:paraId="3B310614"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2C2EE4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existing feeder capacity, Hydro Ottawa provided the following table:</w:t>
      </w:r>
    </w:p>
    <w:p w14:paraId="6B3CF349"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07A4180D" wp14:editId="707FDE0F">
            <wp:extent cx="4548146" cy="375285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85342" cy="3783542"/>
                    </a:xfrm>
                    <a:prstGeom prst="rect">
                      <a:avLst/>
                    </a:prstGeom>
                  </pic:spPr>
                </pic:pic>
              </a:graphicData>
            </a:graphic>
          </wp:inline>
        </w:drawing>
      </w:r>
    </w:p>
    <w:p w14:paraId="1C4E2644" w14:textId="77777777" w:rsidR="009D5E4A" w:rsidRPr="00BF20CF" w:rsidRDefault="009D5E4A" w:rsidP="009C2B5F">
      <w:pPr>
        <w:autoSpaceDE w:val="0"/>
        <w:autoSpaceDN w:val="0"/>
        <w:adjustRightInd w:val="0"/>
        <w:spacing w:after="120" w:line="276" w:lineRule="auto"/>
        <w:rPr>
          <w:rFonts w:ascii="Arial" w:hAnsi="Arial" w:cs="Arial"/>
          <w:bCs/>
        </w:rPr>
      </w:pPr>
      <w:r w:rsidRPr="00BF20CF">
        <w:rPr>
          <w:rFonts w:ascii="Arial" w:hAnsi="Arial" w:cs="Arial"/>
          <w:bCs/>
        </w:rPr>
        <w:lastRenderedPageBreak/>
        <w:t>Question(s):</w:t>
      </w:r>
    </w:p>
    <w:p w14:paraId="7D1EC429" w14:textId="21AAC142" w:rsidR="009D5E4A" w:rsidRPr="00BF20CF" w:rsidRDefault="009D5E4A" w:rsidP="00F23BC7">
      <w:pPr>
        <w:pStyle w:val="ListParagraph"/>
        <w:numPr>
          <w:ilvl w:val="0"/>
          <w:numId w:val="134"/>
        </w:numPr>
        <w:autoSpaceDE w:val="0"/>
        <w:autoSpaceDN w:val="0"/>
        <w:adjustRightInd w:val="0"/>
        <w:spacing w:before="240" w:after="120" w:line="276" w:lineRule="auto"/>
        <w:rPr>
          <w:rFonts w:ascii="Arial" w:hAnsi="Arial" w:cs="Arial"/>
        </w:rPr>
      </w:pPr>
      <w:r w:rsidRPr="00BF20CF">
        <w:rPr>
          <w:rFonts w:ascii="Arial" w:hAnsi="Arial" w:cs="Arial"/>
        </w:rPr>
        <w:t>Please provide any differences between the information shown in this table and the same information as it existed at the time of Hydro Ottawa’s last rebasing application.</w:t>
      </w:r>
    </w:p>
    <w:p w14:paraId="2EC4B25B" w14:textId="77777777" w:rsidR="009C2B5F" w:rsidRPr="00BF20CF" w:rsidRDefault="009C2B5F" w:rsidP="009C2B5F">
      <w:pPr>
        <w:pStyle w:val="ListParagraph"/>
        <w:autoSpaceDE w:val="0"/>
        <w:autoSpaceDN w:val="0"/>
        <w:adjustRightInd w:val="0"/>
        <w:spacing w:before="240" w:after="120" w:line="276" w:lineRule="auto"/>
        <w:rPr>
          <w:rFonts w:ascii="Arial" w:hAnsi="Arial" w:cs="Arial"/>
        </w:rPr>
      </w:pPr>
    </w:p>
    <w:p w14:paraId="20584159" w14:textId="77777777" w:rsidR="009D5E4A" w:rsidRPr="00BF20CF" w:rsidRDefault="009D5E4A" w:rsidP="00F23BC7">
      <w:pPr>
        <w:pStyle w:val="ListParagraph"/>
        <w:numPr>
          <w:ilvl w:val="0"/>
          <w:numId w:val="134"/>
        </w:numPr>
        <w:autoSpaceDE w:val="0"/>
        <w:autoSpaceDN w:val="0"/>
        <w:adjustRightInd w:val="0"/>
        <w:spacing w:before="240" w:after="120" w:line="276" w:lineRule="auto"/>
        <w:rPr>
          <w:rFonts w:ascii="Arial" w:hAnsi="Arial" w:cs="Arial"/>
        </w:rPr>
      </w:pPr>
      <w:r w:rsidRPr="00BF20CF">
        <w:rPr>
          <w:rFonts w:ascii="Arial" w:hAnsi="Arial" w:cs="Arial"/>
        </w:rPr>
        <w:t>Does Hydro Ottawa consider this to be a high number of feeders operating above capacity?</w:t>
      </w:r>
    </w:p>
    <w:p w14:paraId="74CFAEE6" w14:textId="21BFD109" w:rsidR="009D5E4A" w:rsidRPr="00BF20CF" w:rsidRDefault="009D5E4A" w:rsidP="00F23BC7">
      <w:pPr>
        <w:pStyle w:val="ListParagraph"/>
        <w:numPr>
          <w:ilvl w:val="1"/>
          <w:numId w:val="134"/>
        </w:numPr>
        <w:autoSpaceDE w:val="0"/>
        <w:autoSpaceDN w:val="0"/>
        <w:adjustRightInd w:val="0"/>
        <w:spacing w:before="240" w:after="120" w:line="276" w:lineRule="auto"/>
        <w:rPr>
          <w:rFonts w:ascii="Arial" w:hAnsi="Arial" w:cs="Arial"/>
        </w:rPr>
      </w:pPr>
      <w:r w:rsidRPr="00BF20CF">
        <w:rPr>
          <w:rFonts w:ascii="Arial" w:hAnsi="Arial" w:cs="Arial"/>
        </w:rPr>
        <w:t>If yes, how long has Hydro Ottawa had a similar number of feeders operating above capacity?</w:t>
      </w:r>
    </w:p>
    <w:p w14:paraId="56C2F9BF" w14:textId="77777777" w:rsidR="009C2B5F" w:rsidRPr="00BF20CF" w:rsidRDefault="009C2B5F" w:rsidP="009C2B5F">
      <w:pPr>
        <w:pStyle w:val="ListParagraph"/>
        <w:autoSpaceDE w:val="0"/>
        <w:autoSpaceDN w:val="0"/>
        <w:adjustRightInd w:val="0"/>
        <w:spacing w:before="240" w:after="120" w:line="276" w:lineRule="auto"/>
        <w:rPr>
          <w:rFonts w:ascii="Arial" w:hAnsi="Arial" w:cs="Arial"/>
        </w:rPr>
      </w:pPr>
    </w:p>
    <w:p w14:paraId="5E7596E7" w14:textId="77777777" w:rsidR="009D5E4A" w:rsidRPr="00BF20CF" w:rsidRDefault="009D5E4A" w:rsidP="00F23BC7">
      <w:pPr>
        <w:pStyle w:val="ListParagraph"/>
        <w:numPr>
          <w:ilvl w:val="0"/>
          <w:numId w:val="134"/>
        </w:numPr>
        <w:autoSpaceDE w:val="0"/>
        <w:autoSpaceDN w:val="0"/>
        <w:adjustRightInd w:val="0"/>
        <w:spacing w:before="240" w:after="120" w:line="276" w:lineRule="auto"/>
        <w:rPr>
          <w:rFonts w:ascii="Arial" w:hAnsi="Arial" w:cs="Arial"/>
        </w:rPr>
      </w:pPr>
      <w:r w:rsidRPr="00BF20CF">
        <w:rPr>
          <w:rFonts w:ascii="Arial" w:hAnsi="Arial" w:cs="Arial"/>
        </w:rPr>
        <w:t>What is the operational rated capacity of the feeders shown in Figure 7.2?</w:t>
      </w:r>
    </w:p>
    <w:p w14:paraId="602B04BE" w14:textId="2D3D40E4" w:rsidR="009D5E4A" w:rsidRPr="00BF20CF" w:rsidRDefault="003B44FD" w:rsidP="003B44FD">
      <w:pPr>
        <w:pStyle w:val="StaffHeader"/>
        <w:numPr>
          <w:ilvl w:val="0"/>
          <w:numId w:val="0"/>
        </w:numPr>
        <w:spacing w:before="240"/>
        <w:rPr>
          <w:rFonts w:cs="Arial"/>
          <w:szCs w:val="24"/>
        </w:rPr>
      </w:pPr>
      <w:r w:rsidRPr="00BF20CF">
        <w:rPr>
          <w:rFonts w:cs="Arial"/>
          <w:szCs w:val="24"/>
          <w:u w:val="none"/>
        </w:rPr>
        <w:t>2-Staff-4</w:t>
      </w:r>
      <w:r w:rsidR="002620BE" w:rsidRPr="00BF20CF">
        <w:rPr>
          <w:rFonts w:cs="Arial"/>
          <w:szCs w:val="24"/>
          <w:u w:val="none"/>
        </w:rPr>
        <w:t>7</w:t>
      </w:r>
    </w:p>
    <w:p w14:paraId="5BC07653"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215 of 374</w:t>
      </w:r>
    </w:p>
    <w:p w14:paraId="01884106"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33321C0"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system load forecast, Hydro Ottawa provided the following figure:</w:t>
      </w:r>
    </w:p>
    <w:p w14:paraId="3BA2A0C9"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29829D3C" wp14:editId="7ABD4136">
            <wp:extent cx="4617720" cy="30294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77148" cy="3068434"/>
                    </a:xfrm>
                    <a:prstGeom prst="rect">
                      <a:avLst/>
                    </a:prstGeom>
                  </pic:spPr>
                </pic:pic>
              </a:graphicData>
            </a:graphic>
          </wp:inline>
        </w:drawing>
      </w:r>
    </w:p>
    <w:p w14:paraId="68FF22BF"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EE4F086" w14:textId="77777777" w:rsidR="009D5E4A" w:rsidRPr="00BF20CF" w:rsidRDefault="009D5E4A" w:rsidP="00F23BC7">
      <w:pPr>
        <w:pStyle w:val="ListParagraph"/>
        <w:numPr>
          <w:ilvl w:val="0"/>
          <w:numId w:val="129"/>
        </w:numPr>
        <w:autoSpaceDE w:val="0"/>
        <w:autoSpaceDN w:val="0"/>
        <w:adjustRightInd w:val="0"/>
        <w:spacing w:before="240" w:after="120" w:line="276" w:lineRule="auto"/>
        <w:rPr>
          <w:rFonts w:ascii="Arial" w:hAnsi="Arial" w:cs="Arial"/>
        </w:rPr>
      </w:pPr>
      <w:r w:rsidRPr="00BF20CF">
        <w:rPr>
          <w:rFonts w:ascii="Arial" w:hAnsi="Arial" w:cs="Arial"/>
        </w:rPr>
        <w:t xml:space="preserve">Is the 2% average growth forecast primarily driven by the number of new customers or the expected usage per customer? </w:t>
      </w:r>
    </w:p>
    <w:p w14:paraId="4FEC172D" w14:textId="77777777" w:rsidR="009D5E4A" w:rsidRPr="00BF20CF" w:rsidRDefault="009D5E4A" w:rsidP="00F23BC7">
      <w:pPr>
        <w:pStyle w:val="ListParagraph"/>
        <w:numPr>
          <w:ilvl w:val="1"/>
          <w:numId w:val="129"/>
        </w:numPr>
        <w:autoSpaceDE w:val="0"/>
        <w:autoSpaceDN w:val="0"/>
        <w:adjustRightInd w:val="0"/>
        <w:spacing w:before="240" w:after="120" w:line="276" w:lineRule="auto"/>
        <w:rPr>
          <w:rFonts w:ascii="Arial" w:hAnsi="Arial" w:cs="Arial"/>
        </w:rPr>
      </w:pPr>
      <w:r w:rsidRPr="00BF20CF">
        <w:rPr>
          <w:rFonts w:ascii="Arial" w:hAnsi="Arial" w:cs="Arial"/>
        </w:rPr>
        <w:lastRenderedPageBreak/>
        <w:t xml:space="preserve">If primarily driven by the number of new customers, how does the forecast number of new customers over the test period compare to the number of actual new customers that were connected during the historic period (e.g. 2014 – 2018)?  </w:t>
      </w:r>
    </w:p>
    <w:p w14:paraId="2F41F2AA" w14:textId="77777777" w:rsidR="009D5E4A" w:rsidRPr="00BF20CF" w:rsidRDefault="009D5E4A" w:rsidP="00F23BC7">
      <w:pPr>
        <w:pStyle w:val="ListParagraph"/>
        <w:numPr>
          <w:ilvl w:val="1"/>
          <w:numId w:val="129"/>
        </w:numPr>
        <w:autoSpaceDE w:val="0"/>
        <w:autoSpaceDN w:val="0"/>
        <w:adjustRightInd w:val="0"/>
        <w:spacing w:before="240" w:after="120" w:line="276" w:lineRule="auto"/>
        <w:rPr>
          <w:rFonts w:ascii="Arial" w:hAnsi="Arial" w:cs="Arial"/>
        </w:rPr>
      </w:pPr>
      <w:r w:rsidRPr="00BF20CF">
        <w:rPr>
          <w:rFonts w:ascii="Arial" w:hAnsi="Arial" w:cs="Arial"/>
        </w:rPr>
        <w:t>What was the 2014 – 2018 new customer forecast at the time of Hydro Ottawa’s last rebasing application?</w:t>
      </w:r>
    </w:p>
    <w:p w14:paraId="10072B05" w14:textId="77777777" w:rsidR="009D5E4A" w:rsidRPr="00BF20CF" w:rsidRDefault="009D5E4A" w:rsidP="00F23BC7">
      <w:pPr>
        <w:pStyle w:val="ListParagraph"/>
        <w:numPr>
          <w:ilvl w:val="1"/>
          <w:numId w:val="129"/>
        </w:numPr>
        <w:autoSpaceDE w:val="0"/>
        <w:autoSpaceDN w:val="0"/>
        <w:adjustRightInd w:val="0"/>
        <w:spacing w:before="240" w:after="120" w:line="276" w:lineRule="auto"/>
        <w:rPr>
          <w:rFonts w:ascii="Arial" w:hAnsi="Arial" w:cs="Arial"/>
        </w:rPr>
      </w:pPr>
      <w:r w:rsidRPr="00BF20CF">
        <w:rPr>
          <w:rFonts w:ascii="Arial" w:hAnsi="Arial" w:cs="Arial"/>
        </w:rPr>
        <w:t xml:space="preserve">If primarily driven by the forecast usage per customer, how does the usage per customer forecast over the test period compare to the actual per customer usage over the historic period (e.g. 2014 – 2018)?  </w:t>
      </w:r>
    </w:p>
    <w:p w14:paraId="7E0A0853" w14:textId="479834D7" w:rsidR="009D5E4A" w:rsidRPr="00BF20CF" w:rsidRDefault="009D5E4A" w:rsidP="00F23BC7">
      <w:pPr>
        <w:pStyle w:val="ListParagraph"/>
        <w:numPr>
          <w:ilvl w:val="1"/>
          <w:numId w:val="129"/>
        </w:numPr>
        <w:autoSpaceDE w:val="0"/>
        <w:autoSpaceDN w:val="0"/>
        <w:adjustRightInd w:val="0"/>
        <w:spacing w:before="240" w:after="120" w:line="276" w:lineRule="auto"/>
        <w:rPr>
          <w:rFonts w:ascii="Arial" w:hAnsi="Arial" w:cs="Arial"/>
        </w:rPr>
      </w:pPr>
      <w:r w:rsidRPr="00BF20CF">
        <w:rPr>
          <w:rFonts w:ascii="Arial" w:hAnsi="Arial" w:cs="Arial"/>
        </w:rPr>
        <w:t>What was the forecast change in usage per customer over the 2014 – 2018 period at the time of Hydro Ottawa’s last rebasing application?</w:t>
      </w:r>
    </w:p>
    <w:p w14:paraId="353005C1" w14:textId="77777777" w:rsidR="009C2B5F" w:rsidRPr="00BF20CF" w:rsidRDefault="009C2B5F" w:rsidP="009C2B5F">
      <w:pPr>
        <w:pStyle w:val="ListParagraph"/>
        <w:autoSpaceDE w:val="0"/>
        <w:autoSpaceDN w:val="0"/>
        <w:adjustRightInd w:val="0"/>
        <w:spacing w:before="240" w:after="120" w:line="276" w:lineRule="auto"/>
        <w:ind w:left="810"/>
        <w:rPr>
          <w:rFonts w:ascii="Arial" w:hAnsi="Arial" w:cs="Arial"/>
        </w:rPr>
      </w:pPr>
    </w:p>
    <w:p w14:paraId="61EE4A1E" w14:textId="3A9E50B8" w:rsidR="009D5E4A" w:rsidRPr="00BF20CF" w:rsidRDefault="009D5E4A" w:rsidP="00F23BC7">
      <w:pPr>
        <w:pStyle w:val="ListParagraph"/>
        <w:numPr>
          <w:ilvl w:val="0"/>
          <w:numId w:val="129"/>
        </w:numPr>
        <w:autoSpaceDE w:val="0"/>
        <w:autoSpaceDN w:val="0"/>
        <w:adjustRightInd w:val="0"/>
        <w:spacing w:before="240" w:after="120" w:line="276" w:lineRule="auto"/>
        <w:rPr>
          <w:rFonts w:ascii="Arial" w:hAnsi="Arial" w:cs="Arial"/>
        </w:rPr>
      </w:pPr>
      <w:r w:rsidRPr="00BF20CF">
        <w:rPr>
          <w:rFonts w:ascii="Arial" w:hAnsi="Arial" w:cs="Arial"/>
        </w:rPr>
        <w:t xml:space="preserve">How does the actual 2002 – 2018 load shown in Figure 7.5 support an expected 2% load growth trend? Please explain what has changed. </w:t>
      </w:r>
    </w:p>
    <w:p w14:paraId="668B6CA5" w14:textId="77777777" w:rsidR="009C2B5F" w:rsidRPr="00BF20CF" w:rsidRDefault="009C2B5F" w:rsidP="009C2B5F">
      <w:pPr>
        <w:pStyle w:val="ListParagraph"/>
        <w:autoSpaceDE w:val="0"/>
        <w:autoSpaceDN w:val="0"/>
        <w:adjustRightInd w:val="0"/>
        <w:spacing w:before="240" w:after="120" w:line="276" w:lineRule="auto"/>
        <w:rPr>
          <w:rFonts w:ascii="Arial" w:hAnsi="Arial" w:cs="Arial"/>
        </w:rPr>
      </w:pPr>
    </w:p>
    <w:p w14:paraId="0D9E4561" w14:textId="23E2CE1A" w:rsidR="009D5E4A" w:rsidRPr="00BF20CF" w:rsidRDefault="009D5E4A" w:rsidP="00F23BC7">
      <w:pPr>
        <w:pStyle w:val="ListParagraph"/>
        <w:numPr>
          <w:ilvl w:val="0"/>
          <w:numId w:val="129"/>
        </w:numPr>
        <w:autoSpaceDE w:val="0"/>
        <w:autoSpaceDN w:val="0"/>
        <w:adjustRightInd w:val="0"/>
        <w:spacing w:before="240" w:after="120" w:line="276" w:lineRule="auto"/>
        <w:rPr>
          <w:rFonts w:ascii="Arial" w:hAnsi="Arial" w:cs="Arial"/>
        </w:rPr>
      </w:pPr>
      <w:r w:rsidRPr="00BF20CF">
        <w:rPr>
          <w:rFonts w:ascii="Arial" w:hAnsi="Arial" w:cs="Arial"/>
        </w:rPr>
        <w:t xml:space="preserve">Please explain the downward inflection of the growth projection (around 2025).  What is expected to change at that time to cause the downward inflection? </w:t>
      </w:r>
    </w:p>
    <w:p w14:paraId="01052371" w14:textId="77777777" w:rsidR="00FF2821" w:rsidRPr="00BF20CF" w:rsidRDefault="00FF2821" w:rsidP="00FF2821">
      <w:pPr>
        <w:pStyle w:val="ListParagraph"/>
        <w:rPr>
          <w:rFonts w:ascii="Arial" w:hAnsi="Arial" w:cs="Arial"/>
        </w:rPr>
      </w:pPr>
    </w:p>
    <w:p w14:paraId="0BD863F9" w14:textId="6C4111D1" w:rsidR="009D5E4A" w:rsidRPr="00BF20CF" w:rsidRDefault="002620BE" w:rsidP="006A3C99">
      <w:pPr>
        <w:pStyle w:val="StaffHeader"/>
        <w:numPr>
          <w:ilvl w:val="0"/>
          <w:numId w:val="0"/>
        </w:numPr>
        <w:spacing w:before="240"/>
        <w:rPr>
          <w:rFonts w:cs="Arial"/>
          <w:szCs w:val="24"/>
          <w:u w:val="none"/>
        </w:rPr>
      </w:pPr>
      <w:r w:rsidRPr="00BF20CF">
        <w:rPr>
          <w:rFonts w:cs="Arial"/>
          <w:szCs w:val="24"/>
          <w:u w:val="none"/>
        </w:rPr>
        <w:t>2-Staff-48</w:t>
      </w:r>
    </w:p>
    <w:p w14:paraId="52438615"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pp. 255-257 of 374</w:t>
      </w:r>
    </w:p>
    <w:p w14:paraId="037BC466"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3E2A3EB1"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energy resource facilities, Hydro Ottawa stated and provided the following:</w:t>
      </w:r>
    </w:p>
    <w:p w14:paraId="75B3EAA2"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Interest in generation projects within Hydro Ottawa’s service area has fluctuated over the historical years driven by external factors. Removing connections larger than 1 MW results in a historical increasing trend in connected capacity for 2016-2019, as shown in Figure 7.39 below. This increasing trend is expected to continue. Thus, an ERF annual growth rate of 11% has been applied to the forecast for the next five years.</w:t>
      </w:r>
    </w:p>
    <w:p w14:paraId="123D3CFE" w14:textId="6888838B" w:rsidR="009D5E4A" w:rsidRPr="00BF20CF" w:rsidRDefault="009D5E4A" w:rsidP="009C2B5F">
      <w:pPr>
        <w:autoSpaceDE w:val="0"/>
        <w:autoSpaceDN w:val="0"/>
        <w:adjustRightInd w:val="0"/>
        <w:spacing w:before="120" w:after="120" w:line="276" w:lineRule="auto"/>
        <w:rPr>
          <w:rFonts w:ascii="Arial" w:hAnsi="Arial" w:cs="Arial"/>
          <w:bCs/>
        </w:rPr>
      </w:pPr>
    </w:p>
    <w:p w14:paraId="5259A4BA"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lastRenderedPageBreak/>
        <w:drawing>
          <wp:inline distT="0" distB="0" distL="0" distR="0" wp14:anchorId="579468F9" wp14:editId="3224D265">
            <wp:extent cx="4123055" cy="4023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79426" cy="4078368"/>
                    </a:xfrm>
                    <a:prstGeom prst="rect">
                      <a:avLst/>
                    </a:prstGeom>
                  </pic:spPr>
                </pic:pic>
              </a:graphicData>
            </a:graphic>
          </wp:inline>
        </w:drawing>
      </w:r>
    </w:p>
    <w:p w14:paraId="54116636"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A8AFC03" w14:textId="49F87E5A" w:rsidR="009D5E4A" w:rsidRPr="00BF20CF" w:rsidRDefault="009D5E4A" w:rsidP="00F23BC7">
      <w:pPr>
        <w:pStyle w:val="ListParagraph"/>
        <w:numPr>
          <w:ilvl w:val="0"/>
          <w:numId w:val="130"/>
        </w:numPr>
        <w:autoSpaceDE w:val="0"/>
        <w:autoSpaceDN w:val="0"/>
        <w:adjustRightInd w:val="0"/>
        <w:spacing w:before="240" w:after="120" w:line="276" w:lineRule="auto"/>
        <w:rPr>
          <w:rFonts w:ascii="Arial" w:hAnsi="Arial" w:cs="Arial"/>
        </w:rPr>
      </w:pPr>
      <w:r w:rsidRPr="00BF20CF">
        <w:rPr>
          <w:rFonts w:ascii="Arial" w:hAnsi="Arial" w:cs="Arial"/>
        </w:rPr>
        <w:t>Please identify all capital investments that are primarily or largely intended to accommodate the 11% Energy Resource Facility (ERF) growth forecast?</w:t>
      </w:r>
    </w:p>
    <w:p w14:paraId="5D141843" w14:textId="77777777" w:rsidR="009C2B5F" w:rsidRPr="00BF20CF" w:rsidRDefault="009C2B5F" w:rsidP="009C2B5F">
      <w:pPr>
        <w:pStyle w:val="ListParagraph"/>
        <w:autoSpaceDE w:val="0"/>
        <w:autoSpaceDN w:val="0"/>
        <w:adjustRightInd w:val="0"/>
        <w:spacing w:before="240" w:after="120" w:line="276" w:lineRule="auto"/>
        <w:rPr>
          <w:rFonts w:ascii="Arial" w:hAnsi="Arial" w:cs="Arial"/>
        </w:rPr>
      </w:pPr>
    </w:p>
    <w:p w14:paraId="00F2C321" w14:textId="3038BDB5" w:rsidR="009D5E4A" w:rsidRPr="00BF20CF" w:rsidRDefault="009D5E4A" w:rsidP="00F23BC7">
      <w:pPr>
        <w:pStyle w:val="ListParagraph"/>
        <w:numPr>
          <w:ilvl w:val="0"/>
          <w:numId w:val="130"/>
        </w:numPr>
        <w:autoSpaceDE w:val="0"/>
        <w:autoSpaceDN w:val="0"/>
        <w:adjustRightInd w:val="0"/>
        <w:spacing w:before="240" w:after="120" w:line="276" w:lineRule="auto"/>
        <w:rPr>
          <w:rFonts w:ascii="Arial" w:hAnsi="Arial" w:cs="Arial"/>
        </w:rPr>
      </w:pPr>
      <w:r w:rsidRPr="00BF20CF">
        <w:rPr>
          <w:rFonts w:ascii="Arial" w:hAnsi="Arial" w:cs="Arial"/>
        </w:rPr>
        <w:t>What capital reduction would be possible if ERF growth is half that shown in Figure 7.40?</w:t>
      </w:r>
    </w:p>
    <w:p w14:paraId="0BD2A7FE" w14:textId="77777777" w:rsidR="009C2B5F" w:rsidRPr="00BF20CF" w:rsidRDefault="009C2B5F" w:rsidP="009C2B5F">
      <w:pPr>
        <w:pStyle w:val="ListParagraph"/>
        <w:autoSpaceDE w:val="0"/>
        <w:autoSpaceDN w:val="0"/>
        <w:adjustRightInd w:val="0"/>
        <w:spacing w:before="240" w:after="120" w:line="276" w:lineRule="auto"/>
        <w:rPr>
          <w:rFonts w:ascii="Arial" w:hAnsi="Arial" w:cs="Arial"/>
        </w:rPr>
      </w:pPr>
    </w:p>
    <w:p w14:paraId="7C3479C3" w14:textId="7C05BA86" w:rsidR="009D5E4A" w:rsidRPr="00BF20CF" w:rsidRDefault="009D5E4A" w:rsidP="00F23BC7">
      <w:pPr>
        <w:pStyle w:val="ListParagraph"/>
        <w:numPr>
          <w:ilvl w:val="0"/>
          <w:numId w:val="130"/>
        </w:numPr>
        <w:autoSpaceDE w:val="0"/>
        <w:autoSpaceDN w:val="0"/>
        <w:adjustRightInd w:val="0"/>
        <w:spacing w:before="240" w:after="120" w:line="276" w:lineRule="auto"/>
        <w:rPr>
          <w:rFonts w:ascii="Arial" w:hAnsi="Arial" w:cs="Arial"/>
        </w:rPr>
      </w:pPr>
      <w:r w:rsidRPr="00BF20CF">
        <w:rPr>
          <w:rFonts w:ascii="Arial" w:hAnsi="Arial" w:cs="Arial"/>
        </w:rPr>
        <w:t>To which years does Table 7.9 correspond?</w:t>
      </w:r>
    </w:p>
    <w:p w14:paraId="02D1AAB5" w14:textId="77777777" w:rsidR="009C2B5F" w:rsidRPr="00BF20CF" w:rsidRDefault="009C2B5F" w:rsidP="009C2B5F">
      <w:pPr>
        <w:pStyle w:val="ListParagraph"/>
        <w:autoSpaceDE w:val="0"/>
        <w:autoSpaceDN w:val="0"/>
        <w:adjustRightInd w:val="0"/>
        <w:spacing w:before="240" w:after="120" w:line="276" w:lineRule="auto"/>
        <w:rPr>
          <w:rFonts w:ascii="Arial" w:hAnsi="Arial" w:cs="Arial"/>
        </w:rPr>
      </w:pPr>
    </w:p>
    <w:p w14:paraId="04303790" w14:textId="09798885" w:rsidR="009D5E4A" w:rsidRPr="00BF20CF" w:rsidRDefault="009D5E4A" w:rsidP="00F23BC7">
      <w:pPr>
        <w:pStyle w:val="ListParagraph"/>
        <w:numPr>
          <w:ilvl w:val="0"/>
          <w:numId w:val="130"/>
        </w:numPr>
        <w:autoSpaceDE w:val="0"/>
        <w:autoSpaceDN w:val="0"/>
        <w:adjustRightInd w:val="0"/>
        <w:spacing w:before="240" w:after="120" w:line="276" w:lineRule="auto"/>
        <w:rPr>
          <w:rFonts w:ascii="Arial" w:hAnsi="Arial" w:cs="Arial"/>
        </w:rPr>
      </w:pPr>
      <w:r w:rsidRPr="00BF20CF">
        <w:rPr>
          <w:rFonts w:ascii="Arial" w:hAnsi="Arial" w:cs="Arial"/>
        </w:rPr>
        <w:t>What is prompting the growth from 2020 to 2025 in Figure 7.40 of approximately 25 MW?</w:t>
      </w:r>
    </w:p>
    <w:p w14:paraId="4EC875DF" w14:textId="77777777" w:rsidR="009C2B5F" w:rsidRPr="00BF20CF" w:rsidRDefault="009C2B5F" w:rsidP="009C2B5F">
      <w:pPr>
        <w:pStyle w:val="ListParagraph"/>
        <w:rPr>
          <w:rFonts w:ascii="Arial" w:hAnsi="Arial" w:cs="Arial"/>
        </w:rPr>
      </w:pPr>
    </w:p>
    <w:p w14:paraId="48D048C8" w14:textId="0E0A51FF" w:rsidR="009D5E4A" w:rsidRPr="00BF20CF" w:rsidRDefault="009D5E4A" w:rsidP="00F23BC7">
      <w:pPr>
        <w:pStyle w:val="ListParagraph"/>
        <w:numPr>
          <w:ilvl w:val="0"/>
          <w:numId w:val="130"/>
        </w:numPr>
        <w:autoSpaceDE w:val="0"/>
        <w:autoSpaceDN w:val="0"/>
        <w:adjustRightInd w:val="0"/>
        <w:spacing w:before="240" w:after="120" w:line="276" w:lineRule="auto"/>
        <w:rPr>
          <w:rFonts w:ascii="Arial" w:hAnsi="Arial" w:cs="Arial"/>
        </w:rPr>
      </w:pPr>
      <w:r w:rsidRPr="00BF20CF">
        <w:rPr>
          <w:rFonts w:ascii="Arial" w:hAnsi="Arial" w:cs="Arial"/>
        </w:rPr>
        <w:t xml:space="preserve">Does the ERF growth forecast during the test period assume any government financial support or government off-taker arrangements? </w:t>
      </w:r>
    </w:p>
    <w:p w14:paraId="5D6B772C" w14:textId="77777777" w:rsidR="009C2B5F" w:rsidRPr="00BF20CF" w:rsidRDefault="009C2B5F" w:rsidP="009C2B5F">
      <w:pPr>
        <w:pStyle w:val="ListParagraph"/>
        <w:rPr>
          <w:rFonts w:ascii="Arial" w:hAnsi="Arial" w:cs="Arial"/>
        </w:rPr>
      </w:pPr>
    </w:p>
    <w:p w14:paraId="798506B5" w14:textId="1BDCE526" w:rsidR="009D5E4A" w:rsidRPr="00BF20CF" w:rsidRDefault="009D5E4A" w:rsidP="00F23BC7">
      <w:pPr>
        <w:pStyle w:val="ListParagraph"/>
        <w:numPr>
          <w:ilvl w:val="0"/>
          <w:numId w:val="130"/>
        </w:numPr>
        <w:autoSpaceDE w:val="0"/>
        <w:autoSpaceDN w:val="0"/>
        <w:adjustRightInd w:val="0"/>
        <w:spacing w:before="240" w:after="120" w:line="276" w:lineRule="auto"/>
        <w:rPr>
          <w:rFonts w:ascii="Arial" w:hAnsi="Arial" w:cs="Arial"/>
        </w:rPr>
      </w:pPr>
      <w:r w:rsidRPr="00BF20CF">
        <w:rPr>
          <w:rFonts w:ascii="Arial" w:hAnsi="Arial" w:cs="Arial"/>
        </w:rPr>
        <w:t>Do Table 7.9 and Figure 7.40 account for the impact of the recent cancellation of the Ontario FIT program? If not, please update.</w:t>
      </w:r>
    </w:p>
    <w:p w14:paraId="7F5F36BA" w14:textId="6CDABEAA" w:rsidR="009D5E4A" w:rsidRPr="00BF20CF" w:rsidRDefault="002620BE" w:rsidP="006A3C99">
      <w:pPr>
        <w:pStyle w:val="StaffHeader"/>
        <w:numPr>
          <w:ilvl w:val="0"/>
          <w:numId w:val="0"/>
        </w:numPr>
        <w:spacing w:before="120"/>
        <w:rPr>
          <w:rFonts w:cs="Arial"/>
          <w:szCs w:val="24"/>
          <w:u w:val="none"/>
        </w:rPr>
      </w:pPr>
      <w:r w:rsidRPr="00BF20CF">
        <w:rPr>
          <w:rFonts w:cs="Arial"/>
          <w:szCs w:val="24"/>
          <w:u w:val="none"/>
        </w:rPr>
        <w:lastRenderedPageBreak/>
        <w:t>2-Staff-49</w:t>
      </w:r>
    </w:p>
    <w:p w14:paraId="1DC04914"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272 of 374</w:t>
      </w:r>
    </w:p>
    <w:p w14:paraId="74C0544A"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16E8B6E"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its expenditure drivers, Hydro Ottawa provided the following table:</w:t>
      </w:r>
    </w:p>
    <w:p w14:paraId="58E7A7D7" w14:textId="77777777" w:rsidR="009D5E4A" w:rsidRPr="00BF20CF" w:rsidRDefault="009D5E4A" w:rsidP="00F23BC7">
      <w:pPr>
        <w:autoSpaceDE w:val="0"/>
        <w:autoSpaceDN w:val="0"/>
        <w:adjustRightInd w:val="0"/>
        <w:spacing w:before="240" w:after="120" w:line="276" w:lineRule="auto"/>
        <w:ind w:left="540"/>
        <w:jc w:val="center"/>
        <w:rPr>
          <w:rFonts w:ascii="Arial" w:hAnsi="Arial" w:cs="Arial"/>
          <w:bCs/>
        </w:rPr>
      </w:pPr>
      <w:r w:rsidRPr="00BF20CF">
        <w:rPr>
          <w:rFonts w:ascii="Arial" w:hAnsi="Arial" w:cs="Arial"/>
          <w:noProof/>
        </w:rPr>
        <w:drawing>
          <wp:inline distT="0" distB="0" distL="0" distR="0" wp14:anchorId="5CF786F7" wp14:editId="3DDCF62A">
            <wp:extent cx="5080959" cy="2586990"/>
            <wp:effectExtent l="0" t="0" r="571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87644" cy="2641309"/>
                    </a:xfrm>
                    <a:prstGeom prst="rect">
                      <a:avLst/>
                    </a:prstGeom>
                  </pic:spPr>
                </pic:pic>
              </a:graphicData>
            </a:graphic>
          </wp:inline>
        </w:drawing>
      </w:r>
    </w:p>
    <w:p w14:paraId="4A1EDBB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CE0CC6F" w14:textId="1B9CCF5E" w:rsidR="009D5E4A" w:rsidRPr="00BF20CF" w:rsidRDefault="009D5E4A" w:rsidP="00F23BC7">
      <w:pPr>
        <w:pStyle w:val="ListParagraph"/>
        <w:numPr>
          <w:ilvl w:val="0"/>
          <w:numId w:val="131"/>
        </w:numPr>
        <w:autoSpaceDE w:val="0"/>
        <w:autoSpaceDN w:val="0"/>
        <w:adjustRightInd w:val="0"/>
        <w:spacing w:before="240" w:after="120" w:line="276" w:lineRule="auto"/>
        <w:rPr>
          <w:rFonts w:ascii="Arial" w:hAnsi="Arial" w:cs="Arial"/>
        </w:rPr>
      </w:pPr>
      <w:r w:rsidRPr="00BF20CF">
        <w:rPr>
          <w:rFonts w:ascii="Arial" w:hAnsi="Arial" w:cs="Arial"/>
        </w:rPr>
        <w:t>What are the primary drivers of the significant increase in functional obsolescence spending in 2021-2025, and which assets are most impacted?</w:t>
      </w:r>
    </w:p>
    <w:p w14:paraId="69CC120D" w14:textId="77777777" w:rsidR="009C2B5F" w:rsidRPr="00BF20CF" w:rsidRDefault="009C2B5F" w:rsidP="009C2B5F">
      <w:pPr>
        <w:pStyle w:val="ListParagraph"/>
        <w:autoSpaceDE w:val="0"/>
        <w:autoSpaceDN w:val="0"/>
        <w:adjustRightInd w:val="0"/>
        <w:spacing w:before="240" w:after="120" w:line="276" w:lineRule="auto"/>
        <w:rPr>
          <w:rFonts w:ascii="Arial" w:hAnsi="Arial" w:cs="Arial"/>
        </w:rPr>
      </w:pPr>
    </w:p>
    <w:p w14:paraId="770F91F1" w14:textId="6CA929DA" w:rsidR="009D5E4A" w:rsidRPr="00BF20CF" w:rsidRDefault="009D5E4A" w:rsidP="00F23BC7">
      <w:pPr>
        <w:pStyle w:val="ListParagraph"/>
        <w:numPr>
          <w:ilvl w:val="0"/>
          <w:numId w:val="131"/>
        </w:numPr>
        <w:autoSpaceDE w:val="0"/>
        <w:autoSpaceDN w:val="0"/>
        <w:adjustRightInd w:val="0"/>
        <w:spacing w:before="240" w:after="120" w:line="276" w:lineRule="auto"/>
        <w:rPr>
          <w:rFonts w:ascii="Arial" w:hAnsi="Arial" w:cs="Arial"/>
        </w:rPr>
      </w:pPr>
      <w:r w:rsidRPr="00BF20CF">
        <w:rPr>
          <w:rFonts w:ascii="Arial" w:hAnsi="Arial" w:cs="Arial"/>
        </w:rPr>
        <w:t>Why is the System Renewal failure average lower in the forecast period than the historical period?</w:t>
      </w:r>
    </w:p>
    <w:p w14:paraId="0810BF8E" w14:textId="77777777" w:rsidR="009C2B5F" w:rsidRPr="00BF20CF" w:rsidRDefault="009C2B5F" w:rsidP="009C2B5F">
      <w:pPr>
        <w:pStyle w:val="ListParagraph"/>
        <w:rPr>
          <w:rFonts w:ascii="Arial" w:hAnsi="Arial" w:cs="Arial"/>
        </w:rPr>
      </w:pPr>
    </w:p>
    <w:p w14:paraId="2B5EBFAA" w14:textId="1CAC0755" w:rsidR="009D5E4A" w:rsidRPr="00BF20CF" w:rsidRDefault="002620BE" w:rsidP="006A3C99">
      <w:pPr>
        <w:pStyle w:val="StaffHeader"/>
        <w:numPr>
          <w:ilvl w:val="0"/>
          <w:numId w:val="0"/>
        </w:numPr>
        <w:spacing w:before="120"/>
        <w:rPr>
          <w:rFonts w:cs="Arial"/>
          <w:szCs w:val="24"/>
          <w:u w:val="none"/>
        </w:rPr>
      </w:pPr>
      <w:r w:rsidRPr="00BF20CF">
        <w:rPr>
          <w:rFonts w:cs="Arial"/>
          <w:szCs w:val="24"/>
          <w:u w:val="none"/>
        </w:rPr>
        <w:t>2-Staff-50</w:t>
      </w:r>
    </w:p>
    <w:p w14:paraId="293EE377"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page 281 of 374</w:t>
      </w:r>
    </w:p>
    <w:p w14:paraId="6CA90566"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B410A99"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climate adaptation, Hydro Ottawa stated:</w:t>
      </w:r>
    </w:p>
    <w:p w14:paraId="794062D3"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 xml:space="preserve">Renewal of aged, and decayed overhead infrastructure to withstand climatic forces from storm events is key to resilience over the long term for the system. Most notably, Pole Renewal programs support the development of this resilience. Hydro Ottawa will augment the impact of these renewal </w:t>
      </w:r>
      <w:r w:rsidRPr="00BF20CF">
        <w:rPr>
          <w:rFonts w:ascii="Arial" w:hAnsi="Arial" w:cs="Arial"/>
          <w:bCs/>
        </w:rPr>
        <w:lastRenderedPageBreak/>
        <w:t>investments over the 2021-2025 period through the development of new anti-cascade standards and risk based application guides to further mitigate damage in high risk installations when damage does occur.</w:t>
      </w:r>
    </w:p>
    <w:p w14:paraId="361C314A"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729BA870" w14:textId="5DEA9A96" w:rsidR="009D5E4A" w:rsidRPr="00BF20CF" w:rsidRDefault="009D5E4A" w:rsidP="00F23BC7">
      <w:pPr>
        <w:pStyle w:val="ListParagraph"/>
        <w:numPr>
          <w:ilvl w:val="0"/>
          <w:numId w:val="132"/>
        </w:numPr>
        <w:autoSpaceDE w:val="0"/>
        <w:autoSpaceDN w:val="0"/>
        <w:adjustRightInd w:val="0"/>
        <w:spacing w:before="240" w:after="120" w:line="276" w:lineRule="auto"/>
        <w:rPr>
          <w:rFonts w:ascii="Arial" w:hAnsi="Arial" w:cs="Arial"/>
        </w:rPr>
      </w:pPr>
      <w:r w:rsidRPr="00BF20CF">
        <w:rPr>
          <w:rFonts w:ascii="Arial" w:hAnsi="Arial" w:cs="Arial"/>
        </w:rPr>
        <w:t>Please describe the proposed new anti-cascade standards and the associated changes in line design practices.</w:t>
      </w:r>
    </w:p>
    <w:p w14:paraId="0C394AE8" w14:textId="77777777" w:rsidR="009C2B5F" w:rsidRPr="00BF20CF" w:rsidRDefault="009C2B5F" w:rsidP="009C2B5F">
      <w:pPr>
        <w:pStyle w:val="ListParagraph"/>
        <w:autoSpaceDE w:val="0"/>
        <w:autoSpaceDN w:val="0"/>
        <w:adjustRightInd w:val="0"/>
        <w:spacing w:before="240" w:after="120" w:line="276" w:lineRule="auto"/>
        <w:rPr>
          <w:rFonts w:ascii="Arial" w:hAnsi="Arial" w:cs="Arial"/>
        </w:rPr>
      </w:pPr>
    </w:p>
    <w:p w14:paraId="5899D89B" w14:textId="72C777A8" w:rsidR="009D5E4A" w:rsidRPr="00BF20CF" w:rsidRDefault="009D5E4A" w:rsidP="00F23BC7">
      <w:pPr>
        <w:pStyle w:val="ListParagraph"/>
        <w:numPr>
          <w:ilvl w:val="0"/>
          <w:numId w:val="132"/>
        </w:numPr>
        <w:autoSpaceDE w:val="0"/>
        <w:autoSpaceDN w:val="0"/>
        <w:adjustRightInd w:val="0"/>
        <w:spacing w:before="240" w:after="120" w:line="276" w:lineRule="auto"/>
        <w:rPr>
          <w:rFonts w:ascii="Arial" w:hAnsi="Arial" w:cs="Arial"/>
        </w:rPr>
      </w:pPr>
      <w:r w:rsidRPr="00BF20CF">
        <w:rPr>
          <w:rFonts w:ascii="Arial" w:hAnsi="Arial" w:cs="Arial"/>
        </w:rPr>
        <w:t xml:space="preserve">Do the proposed practices deviate from relevant industry standards typically utilized by Ontario </w:t>
      </w:r>
      <w:r w:rsidR="00700B45" w:rsidRPr="00BF20CF">
        <w:rPr>
          <w:rFonts w:ascii="Arial" w:hAnsi="Arial" w:cs="Arial"/>
        </w:rPr>
        <w:t>distributors</w:t>
      </w:r>
      <w:r w:rsidRPr="00BF20CF">
        <w:rPr>
          <w:rFonts w:ascii="Arial" w:hAnsi="Arial" w:cs="Arial"/>
        </w:rPr>
        <w:t>?</w:t>
      </w:r>
    </w:p>
    <w:p w14:paraId="21179F55" w14:textId="7F18BBE2" w:rsidR="009D5E4A" w:rsidRPr="00BF20CF" w:rsidRDefault="009D5E4A" w:rsidP="00F23BC7">
      <w:pPr>
        <w:pStyle w:val="ListParagraph"/>
        <w:numPr>
          <w:ilvl w:val="1"/>
          <w:numId w:val="132"/>
        </w:numPr>
        <w:autoSpaceDE w:val="0"/>
        <w:autoSpaceDN w:val="0"/>
        <w:adjustRightInd w:val="0"/>
        <w:spacing w:before="240" w:after="120" w:line="276" w:lineRule="auto"/>
        <w:rPr>
          <w:rFonts w:ascii="Arial" w:hAnsi="Arial" w:cs="Arial"/>
        </w:rPr>
      </w:pPr>
      <w:r w:rsidRPr="00BF20CF">
        <w:rPr>
          <w:rFonts w:ascii="Arial" w:hAnsi="Arial" w:cs="Arial"/>
        </w:rPr>
        <w:t>If yes, please describe the differences.</w:t>
      </w:r>
    </w:p>
    <w:p w14:paraId="72ECD0E6" w14:textId="77777777" w:rsidR="009C2B5F" w:rsidRPr="00BF20CF" w:rsidRDefault="009C2B5F" w:rsidP="009C2B5F">
      <w:pPr>
        <w:pStyle w:val="ListParagraph"/>
        <w:autoSpaceDE w:val="0"/>
        <w:autoSpaceDN w:val="0"/>
        <w:adjustRightInd w:val="0"/>
        <w:spacing w:before="240" w:after="120" w:line="276" w:lineRule="auto"/>
        <w:ind w:left="1440"/>
        <w:rPr>
          <w:rFonts w:ascii="Arial" w:hAnsi="Arial" w:cs="Arial"/>
        </w:rPr>
      </w:pPr>
    </w:p>
    <w:p w14:paraId="58BDC05F" w14:textId="24A17F68" w:rsidR="00A426E7" w:rsidRPr="00BF20CF" w:rsidRDefault="00A426E7" w:rsidP="00F23BC7">
      <w:pPr>
        <w:pStyle w:val="ListParagraph"/>
        <w:numPr>
          <w:ilvl w:val="0"/>
          <w:numId w:val="132"/>
        </w:numPr>
        <w:autoSpaceDE w:val="0"/>
        <w:autoSpaceDN w:val="0"/>
        <w:adjustRightInd w:val="0"/>
        <w:spacing w:before="240" w:after="120" w:line="276" w:lineRule="auto"/>
        <w:rPr>
          <w:rFonts w:ascii="Arial" w:hAnsi="Arial" w:cs="Arial"/>
        </w:rPr>
      </w:pPr>
      <w:r w:rsidRPr="00BF20CF">
        <w:rPr>
          <w:rFonts w:ascii="Arial" w:hAnsi="Arial" w:cs="Arial"/>
        </w:rPr>
        <w:t xml:space="preserve">Has Hydro Ottawa budgeted costs related to the implementation of new anti-cascade standards for 2021-2025? </w:t>
      </w:r>
    </w:p>
    <w:p w14:paraId="34EC66A2" w14:textId="77777777" w:rsidR="00A426E7" w:rsidRPr="00BF20CF" w:rsidRDefault="00A426E7" w:rsidP="00DA686D">
      <w:pPr>
        <w:pStyle w:val="ListParagraph"/>
        <w:numPr>
          <w:ilvl w:val="0"/>
          <w:numId w:val="221"/>
        </w:numPr>
        <w:autoSpaceDE w:val="0"/>
        <w:autoSpaceDN w:val="0"/>
        <w:adjustRightInd w:val="0"/>
        <w:spacing w:before="240" w:after="120" w:line="276" w:lineRule="auto"/>
        <w:rPr>
          <w:rFonts w:ascii="Arial" w:hAnsi="Arial" w:cs="Arial"/>
        </w:rPr>
      </w:pPr>
      <w:r w:rsidRPr="00BF20CF">
        <w:rPr>
          <w:rFonts w:ascii="Arial" w:hAnsi="Arial" w:cs="Arial"/>
        </w:rPr>
        <w:t xml:space="preserve">If so, please specify the budget. </w:t>
      </w:r>
    </w:p>
    <w:p w14:paraId="22483E5F" w14:textId="20B472C2" w:rsidR="009D5E4A" w:rsidRPr="00BF20CF" w:rsidRDefault="00A426E7" w:rsidP="00DA686D">
      <w:pPr>
        <w:pStyle w:val="ListParagraph"/>
        <w:numPr>
          <w:ilvl w:val="0"/>
          <w:numId w:val="221"/>
        </w:numPr>
        <w:autoSpaceDE w:val="0"/>
        <w:autoSpaceDN w:val="0"/>
        <w:adjustRightInd w:val="0"/>
        <w:spacing w:before="240" w:after="120" w:line="276" w:lineRule="auto"/>
        <w:rPr>
          <w:rFonts w:ascii="Arial" w:hAnsi="Arial" w:cs="Arial"/>
        </w:rPr>
      </w:pPr>
      <w:r w:rsidRPr="00BF20CF">
        <w:rPr>
          <w:rFonts w:ascii="Arial" w:hAnsi="Arial" w:cs="Arial"/>
        </w:rPr>
        <w:t>If so, w</w:t>
      </w:r>
      <w:r w:rsidR="009D5E4A" w:rsidRPr="00BF20CF">
        <w:rPr>
          <w:rFonts w:ascii="Arial" w:hAnsi="Arial" w:cs="Arial"/>
        </w:rPr>
        <w:t xml:space="preserve">hat’s the </w:t>
      </w:r>
      <w:r w:rsidRPr="00BF20CF">
        <w:rPr>
          <w:rFonts w:ascii="Arial" w:hAnsi="Arial" w:cs="Arial"/>
        </w:rPr>
        <w:t>incremental per-unit cost (i.e.</w:t>
      </w:r>
      <w:r w:rsidR="009D5E4A" w:rsidRPr="00BF20CF">
        <w:rPr>
          <w:rFonts w:ascii="Arial" w:hAnsi="Arial" w:cs="Arial"/>
        </w:rPr>
        <w:t xml:space="preserve"> cost per km of new line construction) associated with implementing the additional anti-cascade functionality as a ratio of the historical per-unit costs?</w:t>
      </w:r>
    </w:p>
    <w:p w14:paraId="45A35065" w14:textId="77777777" w:rsidR="005C61A6" w:rsidRPr="00BF20CF" w:rsidRDefault="005C61A6" w:rsidP="005C61A6">
      <w:pPr>
        <w:pStyle w:val="ListParagraph"/>
        <w:autoSpaceDE w:val="0"/>
        <w:autoSpaceDN w:val="0"/>
        <w:adjustRightInd w:val="0"/>
        <w:spacing w:before="240" w:after="120" w:line="276" w:lineRule="auto"/>
        <w:ind w:left="1440"/>
        <w:rPr>
          <w:rFonts w:ascii="Arial" w:hAnsi="Arial" w:cs="Arial"/>
        </w:rPr>
      </w:pPr>
    </w:p>
    <w:p w14:paraId="488D88B8" w14:textId="4E7AC4C6" w:rsidR="009D5E4A" w:rsidRPr="00BF20CF" w:rsidRDefault="002620BE" w:rsidP="006A3C99">
      <w:pPr>
        <w:pStyle w:val="StaffHeader"/>
        <w:numPr>
          <w:ilvl w:val="0"/>
          <w:numId w:val="0"/>
        </w:numPr>
        <w:spacing w:before="0"/>
        <w:rPr>
          <w:rFonts w:cs="Arial"/>
          <w:szCs w:val="24"/>
          <w:u w:val="none"/>
        </w:rPr>
      </w:pPr>
      <w:r w:rsidRPr="00BF20CF">
        <w:rPr>
          <w:rFonts w:cs="Arial"/>
          <w:szCs w:val="24"/>
          <w:u w:val="none"/>
        </w:rPr>
        <w:t>2-Staff-51</w:t>
      </w:r>
    </w:p>
    <w:p w14:paraId="6688622F"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pp. 288-289 of 374</w:t>
      </w:r>
    </w:p>
    <w:p w14:paraId="192B8450"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357F9F5F"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Regarding technology based opportunities, Hydro Ottawa stated:</w:t>
      </w:r>
    </w:p>
    <w:p w14:paraId="7C11BCBA"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t>Over the next five years, Hydro Ottawa will continue implementing grid technologies to improve the reliability and efficiency of the distribution system. Annual automation installations will continue to improve system reliability and operational performance. Continued investment in the communication infrastructure will be essential to support current automation plans while maintaining the flexibility to integrate the technologies of tomorrow.</w:t>
      </w:r>
    </w:p>
    <w:p w14:paraId="4F8214C5" w14:textId="77777777" w:rsidR="009D5E4A" w:rsidRPr="00BF20CF" w:rsidRDefault="009D5E4A" w:rsidP="00CA7CB7">
      <w:pPr>
        <w:autoSpaceDE w:val="0"/>
        <w:autoSpaceDN w:val="0"/>
        <w:adjustRightInd w:val="0"/>
        <w:spacing w:line="276" w:lineRule="auto"/>
        <w:ind w:left="547"/>
        <w:rPr>
          <w:rFonts w:ascii="Arial" w:hAnsi="Arial" w:cs="Arial"/>
          <w:bCs/>
        </w:rPr>
      </w:pPr>
      <w:r w:rsidRPr="00BF20CF">
        <w:rPr>
          <w:rFonts w:ascii="Arial" w:hAnsi="Arial" w:cs="Arial"/>
          <w:bCs/>
        </w:rPr>
        <w:t>…</w:t>
      </w:r>
    </w:p>
    <w:p w14:paraId="4C63A44E" w14:textId="77777777" w:rsidR="009D5E4A" w:rsidRPr="00BF20CF" w:rsidRDefault="009D5E4A" w:rsidP="00CA7CB7">
      <w:pPr>
        <w:autoSpaceDE w:val="0"/>
        <w:autoSpaceDN w:val="0"/>
        <w:adjustRightInd w:val="0"/>
        <w:spacing w:line="276" w:lineRule="auto"/>
        <w:ind w:left="547"/>
        <w:rPr>
          <w:rFonts w:ascii="Arial" w:hAnsi="Arial" w:cs="Arial"/>
          <w:bCs/>
        </w:rPr>
      </w:pPr>
      <w:r w:rsidRPr="00BF20CF">
        <w:rPr>
          <w:rFonts w:ascii="Arial" w:hAnsi="Arial" w:cs="Arial"/>
          <w:bCs/>
        </w:rPr>
        <w:t xml:space="preserve">Another follow up to the SCADA project is the integration of the existing Outage Management System (“OMS”) </w:t>
      </w:r>
    </w:p>
    <w:p w14:paraId="25A31CE7" w14:textId="77777777" w:rsidR="009D5E4A" w:rsidRPr="00BF20CF" w:rsidRDefault="009D5E4A" w:rsidP="00CA7CB7">
      <w:pPr>
        <w:autoSpaceDE w:val="0"/>
        <w:autoSpaceDN w:val="0"/>
        <w:adjustRightInd w:val="0"/>
        <w:spacing w:line="276" w:lineRule="auto"/>
        <w:ind w:left="547"/>
        <w:rPr>
          <w:rFonts w:ascii="Arial" w:hAnsi="Arial" w:cs="Arial"/>
          <w:bCs/>
        </w:rPr>
      </w:pPr>
      <w:r w:rsidRPr="00BF20CF">
        <w:rPr>
          <w:rFonts w:ascii="Arial" w:hAnsi="Arial" w:cs="Arial"/>
          <w:bCs/>
        </w:rPr>
        <w:t>…</w:t>
      </w:r>
    </w:p>
    <w:p w14:paraId="7D989837" w14:textId="77777777" w:rsidR="009D5E4A" w:rsidRPr="00BF20CF" w:rsidRDefault="009D5E4A" w:rsidP="00F23BC7">
      <w:pPr>
        <w:autoSpaceDE w:val="0"/>
        <w:autoSpaceDN w:val="0"/>
        <w:adjustRightInd w:val="0"/>
        <w:spacing w:before="240" w:after="120" w:line="276" w:lineRule="auto"/>
        <w:ind w:left="540"/>
        <w:rPr>
          <w:rFonts w:ascii="Arial" w:hAnsi="Arial" w:cs="Arial"/>
          <w:bCs/>
        </w:rPr>
      </w:pPr>
      <w:r w:rsidRPr="00BF20CF">
        <w:rPr>
          <w:rFonts w:ascii="Arial" w:hAnsi="Arial" w:cs="Arial"/>
          <w:bCs/>
        </w:rPr>
        <w:lastRenderedPageBreak/>
        <w:t xml:space="preserve">In 2020, Hydro Ottawa will upgrade Copperleaf C55, an industry-leading and established Asset Investment Planning tool. </w:t>
      </w:r>
    </w:p>
    <w:p w14:paraId="62146F10"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4F5A708" w14:textId="77777777" w:rsidR="009D5E4A" w:rsidRPr="00BF20CF" w:rsidRDefault="009D5E4A" w:rsidP="00F23BC7">
      <w:pPr>
        <w:pStyle w:val="ListParagraph"/>
        <w:numPr>
          <w:ilvl w:val="0"/>
          <w:numId w:val="133"/>
        </w:numPr>
        <w:autoSpaceDE w:val="0"/>
        <w:autoSpaceDN w:val="0"/>
        <w:adjustRightInd w:val="0"/>
        <w:spacing w:before="240" w:after="120" w:line="276" w:lineRule="auto"/>
        <w:rPr>
          <w:rFonts w:ascii="Arial" w:hAnsi="Arial" w:cs="Arial"/>
        </w:rPr>
      </w:pPr>
      <w:r w:rsidRPr="00BF20CF">
        <w:rPr>
          <w:rFonts w:ascii="Arial" w:hAnsi="Arial" w:cs="Arial"/>
        </w:rPr>
        <w:t>How will benefits be assessed and quantified for:</w:t>
      </w:r>
    </w:p>
    <w:p w14:paraId="1F15BF2A" w14:textId="77777777" w:rsidR="009D5E4A" w:rsidRPr="00BF20CF" w:rsidRDefault="009D5E4A" w:rsidP="00F23BC7">
      <w:pPr>
        <w:pStyle w:val="ListParagraph"/>
        <w:numPr>
          <w:ilvl w:val="1"/>
          <w:numId w:val="133"/>
        </w:numPr>
        <w:autoSpaceDE w:val="0"/>
        <w:autoSpaceDN w:val="0"/>
        <w:adjustRightInd w:val="0"/>
        <w:spacing w:before="240" w:after="120" w:line="276" w:lineRule="auto"/>
        <w:rPr>
          <w:rFonts w:ascii="Arial" w:hAnsi="Arial" w:cs="Arial"/>
        </w:rPr>
      </w:pPr>
      <w:r w:rsidRPr="00BF20CF">
        <w:rPr>
          <w:rFonts w:ascii="Arial" w:hAnsi="Arial" w:cs="Arial"/>
        </w:rPr>
        <w:t>Annual automation installations?</w:t>
      </w:r>
    </w:p>
    <w:p w14:paraId="20537F42" w14:textId="77777777" w:rsidR="009D5E4A" w:rsidRPr="00BF20CF" w:rsidRDefault="009D5E4A" w:rsidP="00F23BC7">
      <w:pPr>
        <w:pStyle w:val="ListParagraph"/>
        <w:numPr>
          <w:ilvl w:val="1"/>
          <w:numId w:val="133"/>
        </w:numPr>
        <w:autoSpaceDE w:val="0"/>
        <w:autoSpaceDN w:val="0"/>
        <w:adjustRightInd w:val="0"/>
        <w:spacing w:before="240" w:after="120" w:line="276" w:lineRule="auto"/>
        <w:rPr>
          <w:rFonts w:ascii="Arial" w:hAnsi="Arial" w:cs="Arial"/>
        </w:rPr>
      </w:pPr>
      <w:r w:rsidRPr="00BF20CF">
        <w:rPr>
          <w:rFonts w:ascii="Arial" w:hAnsi="Arial" w:cs="Arial"/>
        </w:rPr>
        <w:t>Communication infrastructure?</w:t>
      </w:r>
    </w:p>
    <w:p w14:paraId="3E45C804" w14:textId="77777777" w:rsidR="009D5E4A" w:rsidRPr="00BF20CF" w:rsidRDefault="009D5E4A" w:rsidP="00F23BC7">
      <w:pPr>
        <w:pStyle w:val="ListParagraph"/>
        <w:numPr>
          <w:ilvl w:val="1"/>
          <w:numId w:val="133"/>
        </w:numPr>
        <w:autoSpaceDE w:val="0"/>
        <w:autoSpaceDN w:val="0"/>
        <w:adjustRightInd w:val="0"/>
        <w:spacing w:before="240" w:after="120" w:line="276" w:lineRule="auto"/>
        <w:rPr>
          <w:rFonts w:ascii="Arial" w:hAnsi="Arial" w:cs="Arial"/>
        </w:rPr>
      </w:pPr>
      <w:r w:rsidRPr="00BF20CF">
        <w:rPr>
          <w:rFonts w:ascii="Arial" w:hAnsi="Arial" w:cs="Arial"/>
        </w:rPr>
        <w:t>OMS?</w:t>
      </w:r>
    </w:p>
    <w:p w14:paraId="16170E68" w14:textId="15FD50D7" w:rsidR="009D5E4A" w:rsidRPr="00BF20CF" w:rsidRDefault="009D5E4A" w:rsidP="00F23BC7">
      <w:pPr>
        <w:pStyle w:val="ListParagraph"/>
        <w:numPr>
          <w:ilvl w:val="1"/>
          <w:numId w:val="133"/>
        </w:numPr>
        <w:autoSpaceDE w:val="0"/>
        <w:autoSpaceDN w:val="0"/>
        <w:adjustRightInd w:val="0"/>
        <w:spacing w:before="240" w:after="120" w:line="276" w:lineRule="auto"/>
        <w:rPr>
          <w:rFonts w:ascii="Arial" w:hAnsi="Arial" w:cs="Arial"/>
        </w:rPr>
      </w:pPr>
      <w:r w:rsidRPr="00BF20CF">
        <w:rPr>
          <w:rFonts w:ascii="Arial" w:hAnsi="Arial" w:cs="Arial"/>
        </w:rPr>
        <w:t>Copperleaf C55?</w:t>
      </w:r>
    </w:p>
    <w:p w14:paraId="32131894" w14:textId="6339DA0F" w:rsidR="00CA7CB7" w:rsidRPr="00BF20CF" w:rsidRDefault="00CA7CB7" w:rsidP="00CA7CB7">
      <w:pPr>
        <w:pStyle w:val="ListParagraph"/>
        <w:autoSpaceDE w:val="0"/>
        <w:autoSpaceDN w:val="0"/>
        <w:adjustRightInd w:val="0"/>
        <w:spacing w:before="240" w:after="120" w:line="276" w:lineRule="auto"/>
        <w:ind w:left="1440"/>
        <w:rPr>
          <w:rFonts w:ascii="Arial" w:hAnsi="Arial" w:cs="Arial"/>
        </w:rPr>
      </w:pPr>
    </w:p>
    <w:p w14:paraId="0D90742A" w14:textId="2D17F065" w:rsidR="009D5E4A" w:rsidRPr="00BF20CF" w:rsidRDefault="002620BE" w:rsidP="006A3C99">
      <w:pPr>
        <w:pStyle w:val="StaffHeader"/>
        <w:numPr>
          <w:ilvl w:val="0"/>
          <w:numId w:val="0"/>
        </w:numPr>
        <w:spacing w:before="240"/>
        <w:rPr>
          <w:rFonts w:cs="Arial"/>
          <w:szCs w:val="24"/>
          <w:u w:val="none"/>
        </w:rPr>
      </w:pPr>
      <w:r w:rsidRPr="00BF20CF">
        <w:rPr>
          <w:rFonts w:cs="Arial"/>
          <w:szCs w:val="24"/>
          <w:u w:val="none"/>
        </w:rPr>
        <w:t>2-Staff-52</w:t>
      </w:r>
    </w:p>
    <w:p w14:paraId="1D7E7931" w14:textId="77777777" w:rsidR="009D5E4A" w:rsidRPr="00BF20CF" w:rsidRDefault="009D5E4A" w:rsidP="005807CC">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Attachment E / pg. 27 of 534</w:t>
      </w:r>
    </w:p>
    <w:p w14:paraId="3C105988"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5A478800"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Station Breaker Failure Rate</w:t>
      </w:r>
    </w:p>
    <w:p w14:paraId="053960CA" w14:textId="77777777" w:rsidR="009D5E4A" w:rsidRPr="00BF20CF" w:rsidRDefault="009D5E4A" w:rsidP="00F23BC7">
      <w:pPr>
        <w:autoSpaceDE w:val="0"/>
        <w:autoSpaceDN w:val="0"/>
        <w:adjustRightInd w:val="0"/>
        <w:spacing w:before="240" w:after="120" w:line="276" w:lineRule="auto"/>
        <w:ind w:left="720"/>
        <w:jc w:val="center"/>
        <w:rPr>
          <w:rFonts w:ascii="Arial" w:hAnsi="Arial" w:cs="Arial"/>
          <w:bCs/>
        </w:rPr>
      </w:pPr>
      <w:r w:rsidRPr="00BF20CF">
        <w:rPr>
          <w:rFonts w:ascii="Arial" w:hAnsi="Arial" w:cs="Arial"/>
          <w:bCs/>
          <w:noProof/>
        </w:rPr>
        <w:drawing>
          <wp:inline distT="0" distB="0" distL="0" distR="0" wp14:anchorId="1DE8FCF3" wp14:editId="51676046">
            <wp:extent cx="5026067" cy="3139440"/>
            <wp:effectExtent l="0" t="0" r="3175" b="3810"/>
            <wp:docPr id="39" name="Picture 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4-23 at 5.38.17 P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14328" cy="3194570"/>
                    </a:xfrm>
                    <a:prstGeom prst="rect">
                      <a:avLst/>
                    </a:prstGeom>
                  </pic:spPr>
                </pic:pic>
              </a:graphicData>
            </a:graphic>
          </wp:inline>
        </w:drawing>
      </w:r>
    </w:p>
    <w:p w14:paraId="6F66CE86"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60DE08A" w14:textId="430E9252" w:rsidR="009D5E4A" w:rsidRPr="00BF20CF" w:rsidRDefault="009D5E4A" w:rsidP="00F23BC7">
      <w:pPr>
        <w:pStyle w:val="ListParagraph"/>
        <w:numPr>
          <w:ilvl w:val="0"/>
          <w:numId w:val="137"/>
        </w:numPr>
        <w:autoSpaceDE w:val="0"/>
        <w:autoSpaceDN w:val="0"/>
        <w:adjustRightInd w:val="0"/>
        <w:spacing w:before="240" w:after="120" w:line="276" w:lineRule="auto"/>
        <w:rPr>
          <w:rFonts w:ascii="Arial" w:hAnsi="Arial" w:cs="Arial"/>
        </w:rPr>
      </w:pPr>
      <w:r w:rsidRPr="00BF20CF">
        <w:rPr>
          <w:rFonts w:ascii="Arial" w:hAnsi="Arial" w:cs="Arial"/>
        </w:rPr>
        <w:t>Please provide the calculations and assumptions used to develop failure rate curves shown in Figure 1.13 and explain the relationship between the shown failure rate results, the Health Index values shown in Figure 1.10 and the SAIFI results shown in Fig 1.11.</w:t>
      </w:r>
    </w:p>
    <w:p w14:paraId="6D6C03B1" w14:textId="6CE7EC40" w:rsidR="009D5E4A" w:rsidRPr="00BF20CF" w:rsidRDefault="002620BE" w:rsidP="006A3C99">
      <w:pPr>
        <w:pStyle w:val="StaffHeader"/>
        <w:numPr>
          <w:ilvl w:val="0"/>
          <w:numId w:val="0"/>
        </w:numPr>
        <w:spacing w:before="0"/>
        <w:rPr>
          <w:rFonts w:cs="Arial"/>
          <w:szCs w:val="24"/>
          <w:u w:val="none"/>
        </w:rPr>
      </w:pPr>
      <w:r w:rsidRPr="00BF20CF">
        <w:rPr>
          <w:rFonts w:cs="Arial"/>
          <w:szCs w:val="24"/>
          <w:u w:val="none"/>
        </w:rPr>
        <w:lastRenderedPageBreak/>
        <w:t>2-Staff-53</w:t>
      </w:r>
    </w:p>
    <w:p w14:paraId="3B5C8FEC" w14:textId="77777777" w:rsidR="009D5E4A" w:rsidRPr="00BF20CF" w:rsidRDefault="009D5E4A" w:rsidP="005807CC">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Attachment E / pg. 75 of 534</w:t>
      </w:r>
    </w:p>
    <w:p w14:paraId="47D92683"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70A745E8" w14:textId="77777777" w:rsidR="009D5E4A" w:rsidRPr="00BF20CF" w:rsidRDefault="009D5E4A" w:rsidP="00F23BC7">
      <w:pPr>
        <w:autoSpaceDE w:val="0"/>
        <w:autoSpaceDN w:val="0"/>
        <w:adjustRightInd w:val="0"/>
        <w:spacing w:before="240" w:after="120" w:line="276" w:lineRule="auto"/>
        <w:jc w:val="center"/>
        <w:rPr>
          <w:rFonts w:ascii="Arial" w:hAnsi="Arial" w:cs="Arial"/>
          <w:bCs/>
        </w:rPr>
      </w:pPr>
      <w:r w:rsidRPr="00BF20CF">
        <w:rPr>
          <w:rFonts w:ascii="Arial" w:hAnsi="Arial" w:cs="Arial"/>
          <w:bCs/>
          <w:noProof/>
        </w:rPr>
        <w:drawing>
          <wp:inline distT="0" distB="0" distL="0" distR="0" wp14:anchorId="4934D82E" wp14:editId="6FFCB9E8">
            <wp:extent cx="5080959" cy="4346555"/>
            <wp:effectExtent l="0" t="0" r="5715"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4-23 at 7.04.48 PM.png"/>
                    <pic:cNvPicPr/>
                  </pic:nvPicPr>
                  <pic:blipFill>
                    <a:blip r:embed="rId43">
                      <a:extLst>
                        <a:ext uri="{28A0092B-C50C-407E-A947-70E740481C1C}">
                          <a14:useLocalDpi xmlns:a14="http://schemas.microsoft.com/office/drawing/2010/main" val="0"/>
                        </a:ext>
                      </a:extLst>
                    </a:blip>
                    <a:stretch>
                      <a:fillRect/>
                    </a:stretch>
                  </pic:blipFill>
                  <pic:spPr>
                    <a:xfrm>
                      <a:off x="0" y="0"/>
                      <a:ext cx="5097123" cy="4360383"/>
                    </a:xfrm>
                    <a:prstGeom prst="rect">
                      <a:avLst/>
                    </a:prstGeom>
                  </pic:spPr>
                </pic:pic>
              </a:graphicData>
            </a:graphic>
          </wp:inline>
        </w:drawing>
      </w:r>
    </w:p>
    <w:p w14:paraId="5C31B8B6" w14:textId="10828504"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 xml:space="preserve">Discussing Failure / Reliability of Poles, Hydro Ottawa </w:t>
      </w:r>
      <w:r w:rsidR="002B0E3C" w:rsidRPr="00BF20CF">
        <w:rPr>
          <w:rFonts w:ascii="Arial" w:hAnsi="Arial" w:cs="Arial"/>
          <w:bCs/>
        </w:rPr>
        <w:t>s</w:t>
      </w:r>
      <w:r w:rsidRPr="00BF20CF">
        <w:rPr>
          <w:rFonts w:ascii="Arial" w:hAnsi="Arial" w:cs="Arial"/>
          <w:bCs/>
        </w:rPr>
        <w:t>tates:</w:t>
      </w:r>
    </w:p>
    <w:p w14:paraId="7A87F974" w14:textId="417E5970" w:rsidR="009D5E4A" w:rsidRPr="00BF20CF" w:rsidRDefault="009D5E4A" w:rsidP="00F23BC7">
      <w:pPr>
        <w:autoSpaceDE w:val="0"/>
        <w:autoSpaceDN w:val="0"/>
        <w:adjustRightInd w:val="0"/>
        <w:spacing w:before="240" w:after="120" w:line="276" w:lineRule="auto"/>
        <w:ind w:left="720"/>
        <w:rPr>
          <w:rFonts w:ascii="Arial" w:hAnsi="Arial" w:cs="Arial"/>
          <w:bCs/>
        </w:rPr>
      </w:pPr>
      <w:r w:rsidRPr="00BF20CF">
        <w:rPr>
          <w:rFonts w:ascii="Arial" w:hAnsi="Arial" w:cs="Arial"/>
          <w:bCs/>
        </w:rPr>
        <w:t>The goal of the pole renewal program is to minimize the impact failed poles have on reliability, and by extension SAIFI and SAIDI (by replacing the pole before it fails), and to mitigate safety impacts associated with failed poles while undertaking renewal in a cost efficient planned manner. Further, given that many of Hydro Ottawa’s poles mechanically support assets containing oil, including overhead transformers, the proactive replacement of poles will also reduce the risk of oil released to the environment due to unforeseen pole failures.</w:t>
      </w:r>
    </w:p>
    <w:p w14:paraId="2739F701" w14:textId="77777777" w:rsidR="00CA7CB7" w:rsidRPr="00BF20CF" w:rsidRDefault="00CA7CB7" w:rsidP="00F23BC7">
      <w:pPr>
        <w:autoSpaceDE w:val="0"/>
        <w:autoSpaceDN w:val="0"/>
        <w:adjustRightInd w:val="0"/>
        <w:spacing w:before="240" w:after="120" w:line="276" w:lineRule="auto"/>
        <w:ind w:left="720"/>
        <w:rPr>
          <w:rFonts w:ascii="Arial" w:hAnsi="Arial" w:cs="Arial"/>
          <w:bCs/>
        </w:rPr>
      </w:pPr>
    </w:p>
    <w:p w14:paraId="4D79C117"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lastRenderedPageBreak/>
        <w:t>Question(s):</w:t>
      </w:r>
    </w:p>
    <w:p w14:paraId="52F16333" w14:textId="17A17686" w:rsidR="009D5E4A" w:rsidRPr="00BF20CF" w:rsidRDefault="009D5E4A" w:rsidP="00F23BC7">
      <w:pPr>
        <w:pStyle w:val="ListParagraph"/>
        <w:numPr>
          <w:ilvl w:val="0"/>
          <w:numId w:val="138"/>
        </w:numPr>
        <w:autoSpaceDE w:val="0"/>
        <w:autoSpaceDN w:val="0"/>
        <w:adjustRightInd w:val="0"/>
        <w:spacing w:before="240" w:after="120" w:line="276" w:lineRule="auto"/>
        <w:rPr>
          <w:rFonts w:ascii="Arial" w:hAnsi="Arial" w:cs="Arial"/>
        </w:rPr>
      </w:pPr>
      <w:r w:rsidRPr="00BF20CF">
        <w:rPr>
          <w:rFonts w:ascii="Arial" w:hAnsi="Arial" w:cs="Arial"/>
        </w:rPr>
        <w:t>What are the reasons for the significant inter-annual variability of the SAIFI impacts of pole failures?</w:t>
      </w:r>
    </w:p>
    <w:p w14:paraId="284C9E97" w14:textId="77777777" w:rsidR="00CA7CB7" w:rsidRPr="00BF20CF" w:rsidRDefault="00CA7CB7" w:rsidP="00CA7CB7">
      <w:pPr>
        <w:pStyle w:val="ListParagraph"/>
        <w:autoSpaceDE w:val="0"/>
        <w:autoSpaceDN w:val="0"/>
        <w:adjustRightInd w:val="0"/>
        <w:spacing w:before="240" w:after="120" w:line="276" w:lineRule="auto"/>
        <w:rPr>
          <w:rFonts w:ascii="Arial" w:hAnsi="Arial" w:cs="Arial"/>
        </w:rPr>
      </w:pPr>
    </w:p>
    <w:p w14:paraId="11777F2F" w14:textId="1974DD09" w:rsidR="009D5E4A" w:rsidRPr="00BF20CF" w:rsidRDefault="009D5E4A" w:rsidP="00F23BC7">
      <w:pPr>
        <w:pStyle w:val="ListParagraph"/>
        <w:numPr>
          <w:ilvl w:val="0"/>
          <w:numId w:val="138"/>
        </w:numPr>
        <w:autoSpaceDE w:val="0"/>
        <w:autoSpaceDN w:val="0"/>
        <w:adjustRightInd w:val="0"/>
        <w:spacing w:before="240" w:after="120" w:line="276" w:lineRule="auto"/>
        <w:rPr>
          <w:rFonts w:ascii="Arial" w:hAnsi="Arial" w:cs="Arial"/>
        </w:rPr>
      </w:pPr>
      <w:r w:rsidRPr="00BF20CF">
        <w:rPr>
          <w:rFonts w:ascii="Arial" w:hAnsi="Arial" w:cs="Arial"/>
        </w:rPr>
        <w:t xml:space="preserve">Is the 2015 SAIFI value </w:t>
      </w:r>
      <w:r w:rsidR="005542E0" w:rsidRPr="00BF20CF">
        <w:rPr>
          <w:rFonts w:ascii="Arial" w:hAnsi="Arial" w:cs="Arial"/>
        </w:rPr>
        <w:t xml:space="preserve">(0.05) </w:t>
      </w:r>
      <w:r w:rsidRPr="00BF20CF">
        <w:rPr>
          <w:rFonts w:ascii="Arial" w:hAnsi="Arial" w:cs="Arial"/>
        </w:rPr>
        <w:t>shown in Table 1.32 correct?</w:t>
      </w:r>
    </w:p>
    <w:p w14:paraId="33505659" w14:textId="77777777" w:rsidR="00CA7CB7" w:rsidRPr="00BF20CF" w:rsidRDefault="00CA7CB7" w:rsidP="00CA7CB7">
      <w:pPr>
        <w:pStyle w:val="ListParagraph"/>
        <w:autoSpaceDE w:val="0"/>
        <w:autoSpaceDN w:val="0"/>
        <w:adjustRightInd w:val="0"/>
        <w:spacing w:before="240" w:after="120" w:line="276" w:lineRule="auto"/>
        <w:rPr>
          <w:rFonts w:ascii="Arial" w:hAnsi="Arial" w:cs="Arial"/>
        </w:rPr>
      </w:pPr>
    </w:p>
    <w:p w14:paraId="3056F7E1" w14:textId="5C415ACB" w:rsidR="009D5E4A" w:rsidRPr="00BF20CF" w:rsidRDefault="009D5E4A" w:rsidP="00F23BC7">
      <w:pPr>
        <w:pStyle w:val="ListParagraph"/>
        <w:numPr>
          <w:ilvl w:val="0"/>
          <w:numId w:val="138"/>
        </w:numPr>
        <w:autoSpaceDE w:val="0"/>
        <w:autoSpaceDN w:val="0"/>
        <w:adjustRightInd w:val="0"/>
        <w:spacing w:before="240" w:after="120" w:line="276" w:lineRule="auto"/>
        <w:rPr>
          <w:rFonts w:ascii="Arial" w:hAnsi="Arial" w:cs="Arial"/>
        </w:rPr>
      </w:pPr>
      <w:r w:rsidRPr="00BF20CF">
        <w:rPr>
          <w:rFonts w:ascii="Arial" w:hAnsi="Arial" w:cs="Arial"/>
        </w:rPr>
        <w:t xml:space="preserve">What is the typical trigger causing failure of poles assessed as being in poor and very poor condition?  Do they typically fail in severe weather, due to some other external trigger (such as </w:t>
      </w:r>
      <w:proofErr w:type="spellStart"/>
      <w:r w:rsidRPr="00BF20CF">
        <w:rPr>
          <w:rFonts w:ascii="Arial" w:hAnsi="Arial" w:cs="Arial"/>
        </w:rPr>
        <w:t>treefalls</w:t>
      </w:r>
      <w:proofErr w:type="spellEnd"/>
      <w:r w:rsidRPr="00BF20CF">
        <w:rPr>
          <w:rFonts w:ascii="Arial" w:hAnsi="Arial" w:cs="Arial"/>
        </w:rPr>
        <w:t>), or are spontaneous pole failures common?  Please provide supporting data.</w:t>
      </w:r>
    </w:p>
    <w:p w14:paraId="5245079E" w14:textId="77777777" w:rsidR="00CA7CB7" w:rsidRPr="00BF20CF" w:rsidRDefault="00CA7CB7" w:rsidP="00CA7CB7">
      <w:pPr>
        <w:pStyle w:val="ListParagraph"/>
        <w:autoSpaceDE w:val="0"/>
        <w:autoSpaceDN w:val="0"/>
        <w:adjustRightInd w:val="0"/>
        <w:spacing w:before="240" w:after="120" w:line="276" w:lineRule="auto"/>
        <w:rPr>
          <w:rFonts w:ascii="Arial" w:hAnsi="Arial" w:cs="Arial"/>
        </w:rPr>
      </w:pPr>
    </w:p>
    <w:p w14:paraId="1370495C" w14:textId="77777777" w:rsidR="009D5E4A" w:rsidRPr="00BF20CF" w:rsidRDefault="009D5E4A" w:rsidP="00F23BC7">
      <w:pPr>
        <w:pStyle w:val="ListParagraph"/>
        <w:numPr>
          <w:ilvl w:val="0"/>
          <w:numId w:val="138"/>
        </w:numPr>
        <w:autoSpaceDE w:val="0"/>
        <w:autoSpaceDN w:val="0"/>
        <w:adjustRightInd w:val="0"/>
        <w:spacing w:before="240" w:after="120" w:line="276" w:lineRule="auto"/>
        <w:rPr>
          <w:rFonts w:ascii="Arial" w:hAnsi="Arial" w:cs="Arial"/>
        </w:rPr>
      </w:pPr>
      <w:r w:rsidRPr="00BF20CF">
        <w:rPr>
          <w:rFonts w:ascii="Arial" w:hAnsi="Arial" w:cs="Arial"/>
        </w:rPr>
        <w:t>Has Hydro Ottawa tracked the condition of poles that have failed in severe weather events to confirm that poles in poor and very poor condition poles have a higher failure probability than good and very good condition poles in such conditions?</w:t>
      </w:r>
    </w:p>
    <w:p w14:paraId="55BB00FF" w14:textId="77777777" w:rsidR="009D5E4A" w:rsidRPr="00BF20CF" w:rsidRDefault="009D5E4A" w:rsidP="00F23BC7">
      <w:pPr>
        <w:pStyle w:val="ListParagraph"/>
        <w:numPr>
          <w:ilvl w:val="1"/>
          <w:numId w:val="138"/>
        </w:numPr>
        <w:autoSpaceDE w:val="0"/>
        <w:autoSpaceDN w:val="0"/>
        <w:adjustRightInd w:val="0"/>
        <w:spacing w:before="240" w:after="120" w:line="276" w:lineRule="auto"/>
        <w:rPr>
          <w:rFonts w:ascii="Arial" w:hAnsi="Arial" w:cs="Arial"/>
        </w:rPr>
      </w:pPr>
      <w:r w:rsidRPr="00BF20CF">
        <w:rPr>
          <w:rFonts w:ascii="Arial" w:hAnsi="Arial" w:cs="Arial"/>
        </w:rPr>
        <w:t xml:space="preserve">If yes, please provide supporting data.  </w:t>
      </w:r>
    </w:p>
    <w:p w14:paraId="022227C8" w14:textId="0707AE54" w:rsidR="009D5E4A" w:rsidRPr="00BF20CF" w:rsidRDefault="009D5E4A" w:rsidP="00F23BC7">
      <w:pPr>
        <w:pStyle w:val="ListParagraph"/>
        <w:numPr>
          <w:ilvl w:val="1"/>
          <w:numId w:val="138"/>
        </w:numPr>
        <w:autoSpaceDE w:val="0"/>
        <w:autoSpaceDN w:val="0"/>
        <w:adjustRightInd w:val="0"/>
        <w:spacing w:before="240" w:after="120" w:line="276" w:lineRule="auto"/>
        <w:rPr>
          <w:rFonts w:ascii="Arial" w:hAnsi="Arial" w:cs="Arial"/>
        </w:rPr>
      </w:pPr>
      <w:r w:rsidRPr="00BF20CF">
        <w:rPr>
          <w:rFonts w:ascii="Arial" w:hAnsi="Arial" w:cs="Arial"/>
        </w:rPr>
        <w:t>If no, why not?</w:t>
      </w:r>
    </w:p>
    <w:p w14:paraId="4CB78A08" w14:textId="77777777" w:rsidR="00CA7CB7" w:rsidRPr="00BF20CF" w:rsidRDefault="00CA7CB7" w:rsidP="00CA7CB7">
      <w:pPr>
        <w:pStyle w:val="ListParagraph"/>
        <w:autoSpaceDE w:val="0"/>
        <w:autoSpaceDN w:val="0"/>
        <w:adjustRightInd w:val="0"/>
        <w:spacing w:before="240" w:after="120" w:line="276" w:lineRule="auto"/>
        <w:rPr>
          <w:rFonts w:ascii="Arial" w:hAnsi="Arial" w:cs="Arial"/>
        </w:rPr>
      </w:pPr>
    </w:p>
    <w:p w14:paraId="735CE1C5" w14:textId="77777777" w:rsidR="009D5E4A" w:rsidRPr="00BF20CF" w:rsidRDefault="009D5E4A" w:rsidP="00F23BC7">
      <w:pPr>
        <w:pStyle w:val="ListParagraph"/>
        <w:numPr>
          <w:ilvl w:val="0"/>
          <w:numId w:val="138"/>
        </w:numPr>
        <w:autoSpaceDE w:val="0"/>
        <w:autoSpaceDN w:val="0"/>
        <w:adjustRightInd w:val="0"/>
        <w:spacing w:before="240" w:after="120" w:line="276" w:lineRule="auto"/>
        <w:rPr>
          <w:rFonts w:ascii="Arial" w:hAnsi="Arial" w:cs="Arial"/>
        </w:rPr>
      </w:pPr>
      <w:r w:rsidRPr="00BF20CF">
        <w:rPr>
          <w:rFonts w:ascii="Arial" w:hAnsi="Arial" w:cs="Arial"/>
        </w:rPr>
        <w:t xml:space="preserve">Hydro Ottawa indicates that poles supporting oil-filled devices have higher failure consequence than poles that do not support such devices.  Has Hydro Ottawa prioritized its pole replacements to first replace all poles supporting oil-filled devices that are in very poor and poor condition?  </w:t>
      </w:r>
    </w:p>
    <w:p w14:paraId="4D4E32A9" w14:textId="735445A7" w:rsidR="009D5E4A" w:rsidRPr="00BF20CF" w:rsidRDefault="009D5E4A" w:rsidP="00F23BC7">
      <w:pPr>
        <w:pStyle w:val="ListParagraph"/>
        <w:numPr>
          <w:ilvl w:val="1"/>
          <w:numId w:val="138"/>
        </w:numPr>
        <w:autoSpaceDE w:val="0"/>
        <w:autoSpaceDN w:val="0"/>
        <w:adjustRightInd w:val="0"/>
        <w:spacing w:before="240" w:after="120" w:line="276" w:lineRule="auto"/>
        <w:rPr>
          <w:rFonts w:ascii="Arial" w:hAnsi="Arial" w:cs="Arial"/>
        </w:rPr>
      </w:pPr>
      <w:r w:rsidRPr="00BF20CF">
        <w:rPr>
          <w:rFonts w:ascii="Arial" w:hAnsi="Arial" w:cs="Arial"/>
        </w:rPr>
        <w:t>If not, why not.</w:t>
      </w:r>
    </w:p>
    <w:p w14:paraId="03010332" w14:textId="77777777" w:rsidR="00CA7CB7" w:rsidRPr="00BF20CF" w:rsidRDefault="00CA7CB7" w:rsidP="00CA7CB7">
      <w:pPr>
        <w:pStyle w:val="ListParagraph"/>
        <w:autoSpaceDE w:val="0"/>
        <w:autoSpaceDN w:val="0"/>
        <w:adjustRightInd w:val="0"/>
        <w:spacing w:before="240" w:after="120" w:line="276" w:lineRule="auto"/>
        <w:rPr>
          <w:rFonts w:ascii="Arial" w:hAnsi="Arial" w:cs="Arial"/>
        </w:rPr>
      </w:pPr>
    </w:p>
    <w:p w14:paraId="4BFA641F" w14:textId="77777777" w:rsidR="009D5E4A" w:rsidRPr="00BF20CF" w:rsidRDefault="009D5E4A" w:rsidP="00F23BC7">
      <w:pPr>
        <w:pStyle w:val="ListParagraph"/>
        <w:numPr>
          <w:ilvl w:val="0"/>
          <w:numId w:val="138"/>
        </w:numPr>
        <w:autoSpaceDE w:val="0"/>
        <w:autoSpaceDN w:val="0"/>
        <w:adjustRightInd w:val="0"/>
        <w:spacing w:before="240" w:after="120" w:line="276" w:lineRule="auto"/>
        <w:rPr>
          <w:rFonts w:ascii="Arial" w:hAnsi="Arial" w:cs="Arial"/>
        </w:rPr>
      </w:pPr>
      <w:r w:rsidRPr="00BF20CF">
        <w:rPr>
          <w:rFonts w:ascii="Arial" w:hAnsi="Arial" w:cs="Arial"/>
        </w:rPr>
        <w:t xml:space="preserve">If poles that don't support oil-filled devices have a lower failure consequence, is Hydro Ottawa able to defer replacement of such poles that are in very poor condition until all the very poor and poor condition poles supporting oil-filled devices have been replaced?  </w:t>
      </w:r>
    </w:p>
    <w:p w14:paraId="5FDFD439" w14:textId="65356CA5" w:rsidR="009D5E4A" w:rsidRPr="00BF20CF" w:rsidRDefault="009D5E4A" w:rsidP="00F23BC7">
      <w:pPr>
        <w:pStyle w:val="ListParagraph"/>
        <w:numPr>
          <w:ilvl w:val="1"/>
          <w:numId w:val="138"/>
        </w:numPr>
        <w:autoSpaceDE w:val="0"/>
        <w:autoSpaceDN w:val="0"/>
        <w:adjustRightInd w:val="0"/>
        <w:spacing w:before="240" w:after="120" w:line="276" w:lineRule="auto"/>
        <w:rPr>
          <w:rFonts w:ascii="Arial" w:hAnsi="Arial" w:cs="Arial"/>
        </w:rPr>
      </w:pPr>
      <w:r w:rsidRPr="00BF20CF">
        <w:rPr>
          <w:rFonts w:ascii="Arial" w:hAnsi="Arial" w:cs="Arial"/>
        </w:rPr>
        <w:t>If not, why not?</w:t>
      </w:r>
    </w:p>
    <w:p w14:paraId="4D95F4B9" w14:textId="589FA118" w:rsidR="006A3C99" w:rsidRPr="00BF20CF" w:rsidRDefault="006A3C99" w:rsidP="00BF20CF">
      <w:pPr>
        <w:autoSpaceDE w:val="0"/>
        <w:autoSpaceDN w:val="0"/>
        <w:adjustRightInd w:val="0"/>
        <w:spacing w:before="240" w:after="120" w:line="276" w:lineRule="auto"/>
        <w:rPr>
          <w:rFonts w:ascii="Arial" w:hAnsi="Arial" w:cs="Arial"/>
        </w:rPr>
      </w:pPr>
    </w:p>
    <w:p w14:paraId="28DD7C2E" w14:textId="7CACAD4A" w:rsidR="009D5E4A" w:rsidRPr="00BF20CF" w:rsidRDefault="006A3C99" w:rsidP="006A3C99">
      <w:pPr>
        <w:pStyle w:val="StaffHeader"/>
        <w:numPr>
          <w:ilvl w:val="0"/>
          <w:numId w:val="0"/>
        </w:numPr>
        <w:spacing w:before="0"/>
        <w:rPr>
          <w:rFonts w:cs="Arial"/>
          <w:szCs w:val="24"/>
          <w:u w:val="none"/>
        </w:rPr>
      </w:pPr>
      <w:r w:rsidRPr="00BF20CF">
        <w:rPr>
          <w:rFonts w:cs="Arial"/>
          <w:szCs w:val="24"/>
          <w:u w:val="none"/>
        </w:rPr>
        <w:t>2</w:t>
      </w:r>
      <w:r w:rsidR="00BF20CF" w:rsidRPr="00BF20CF">
        <w:rPr>
          <w:rFonts w:cs="Arial"/>
          <w:szCs w:val="24"/>
          <w:u w:val="none"/>
        </w:rPr>
        <w:t>-Staff-54</w:t>
      </w:r>
    </w:p>
    <w:p w14:paraId="7A5F5E25" w14:textId="77777777" w:rsidR="009D5E4A" w:rsidRPr="00BF20CF" w:rsidRDefault="009D5E4A" w:rsidP="005807CC">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Attachment E / pg. 94 of 534</w:t>
      </w:r>
    </w:p>
    <w:p w14:paraId="524367D2"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7EF2C7D7" w14:textId="77777777" w:rsidR="009D5E4A" w:rsidRPr="00BF20CF" w:rsidRDefault="009D5E4A" w:rsidP="00F23BC7">
      <w:pPr>
        <w:autoSpaceDE w:val="0"/>
        <w:autoSpaceDN w:val="0"/>
        <w:adjustRightInd w:val="0"/>
        <w:spacing w:before="240" w:after="120" w:line="276" w:lineRule="auto"/>
        <w:jc w:val="center"/>
        <w:rPr>
          <w:rFonts w:ascii="Arial" w:hAnsi="Arial" w:cs="Arial"/>
          <w:bCs/>
          <w:strike/>
        </w:rPr>
      </w:pPr>
      <w:r w:rsidRPr="00BF20CF">
        <w:rPr>
          <w:rFonts w:ascii="Arial" w:hAnsi="Arial" w:cs="Arial"/>
          <w:bCs/>
          <w:noProof/>
        </w:rPr>
        <w:lastRenderedPageBreak/>
        <w:drawing>
          <wp:inline distT="0" distB="0" distL="0" distR="0" wp14:anchorId="06800500" wp14:editId="0598D4CD">
            <wp:extent cx="5325262" cy="1653872"/>
            <wp:effectExtent l="0" t="0" r="0" b="381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0-04-23 at 7.17.42 PM.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21655" cy="1683809"/>
                    </a:xfrm>
                    <a:prstGeom prst="rect">
                      <a:avLst/>
                    </a:prstGeom>
                  </pic:spPr>
                </pic:pic>
              </a:graphicData>
            </a:graphic>
          </wp:inline>
        </w:drawing>
      </w:r>
    </w:p>
    <w:p w14:paraId="42E97A2B"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2008F3A" w14:textId="09A9DA8A" w:rsidR="009D5E4A" w:rsidRPr="00BF20CF" w:rsidRDefault="009D5E4A" w:rsidP="00F23BC7">
      <w:pPr>
        <w:pStyle w:val="ListParagraph"/>
        <w:numPr>
          <w:ilvl w:val="0"/>
          <w:numId w:val="139"/>
        </w:numPr>
        <w:autoSpaceDE w:val="0"/>
        <w:autoSpaceDN w:val="0"/>
        <w:adjustRightInd w:val="0"/>
        <w:spacing w:before="240" w:after="120" w:line="276" w:lineRule="auto"/>
        <w:rPr>
          <w:rFonts w:ascii="Arial" w:hAnsi="Arial" w:cs="Arial"/>
        </w:rPr>
      </w:pPr>
      <w:r w:rsidRPr="00BF20CF">
        <w:rPr>
          <w:rFonts w:ascii="Arial" w:hAnsi="Arial" w:cs="Arial"/>
        </w:rPr>
        <w:t>Is the proposed significant increased spending on overhead switch replacements in 2022, 2023 and 2024 solely attributable to the porcelain-insulated switch replacement initiative?</w:t>
      </w:r>
    </w:p>
    <w:p w14:paraId="54319089" w14:textId="77777777" w:rsidR="00CA7CB7" w:rsidRPr="00BF20CF" w:rsidRDefault="00CA7CB7" w:rsidP="00CA7CB7">
      <w:pPr>
        <w:pStyle w:val="ListParagraph"/>
        <w:autoSpaceDE w:val="0"/>
        <w:autoSpaceDN w:val="0"/>
        <w:adjustRightInd w:val="0"/>
        <w:spacing w:before="240" w:after="120" w:line="276" w:lineRule="auto"/>
        <w:rPr>
          <w:rFonts w:ascii="Arial" w:hAnsi="Arial" w:cs="Arial"/>
        </w:rPr>
      </w:pPr>
    </w:p>
    <w:p w14:paraId="3A83621D" w14:textId="436FC61A" w:rsidR="009D5E4A" w:rsidRPr="00BF20CF" w:rsidRDefault="009D5E4A" w:rsidP="00F23BC7">
      <w:pPr>
        <w:pStyle w:val="ListParagraph"/>
        <w:numPr>
          <w:ilvl w:val="0"/>
          <w:numId w:val="139"/>
        </w:numPr>
        <w:autoSpaceDE w:val="0"/>
        <w:autoSpaceDN w:val="0"/>
        <w:adjustRightInd w:val="0"/>
        <w:spacing w:before="240" w:after="120" w:line="276" w:lineRule="auto"/>
        <w:rPr>
          <w:rFonts w:ascii="Arial" w:hAnsi="Arial" w:cs="Arial"/>
        </w:rPr>
      </w:pPr>
      <w:r w:rsidRPr="00BF20CF">
        <w:rPr>
          <w:rFonts w:ascii="Arial" w:hAnsi="Arial" w:cs="Arial"/>
        </w:rPr>
        <w:t>Please provide the expected change in system reliability performance that is expected to be achieved by implementing this replacement program, and provide the assumptions and calculations used to derive the change.</w:t>
      </w:r>
    </w:p>
    <w:p w14:paraId="5FAA0493" w14:textId="77777777" w:rsidR="00CA7CB7" w:rsidRPr="00BF20CF" w:rsidRDefault="00CA7CB7" w:rsidP="00CA7CB7">
      <w:pPr>
        <w:pStyle w:val="ListParagraph"/>
        <w:rPr>
          <w:rFonts w:ascii="Arial" w:hAnsi="Arial" w:cs="Arial"/>
        </w:rPr>
      </w:pPr>
    </w:p>
    <w:p w14:paraId="5D57B54B" w14:textId="61F232EE" w:rsidR="009D5E4A" w:rsidRPr="00BF20CF" w:rsidRDefault="00BF20CF" w:rsidP="006A3C99">
      <w:pPr>
        <w:pStyle w:val="StaffHeader"/>
        <w:numPr>
          <w:ilvl w:val="0"/>
          <w:numId w:val="0"/>
        </w:numPr>
        <w:spacing w:before="240"/>
        <w:rPr>
          <w:rFonts w:cs="Arial"/>
          <w:szCs w:val="24"/>
          <w:u w:val="none"/>
        </w:rPr>
      </w:pPr>
      <w:r w:rsidRPr="00BF20CF">
        <w:rPr>
          <w:rFonts w:cs="Arial"/>
          <w:szCs w:val="24"/>
          <w:u w:val="none"/>
        </w:rPr>
        <w:t>2-Staff-55</w:t>
      </w:r>
    </w:p>
    <w:p w14:paraId="208F7DED"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Exhibit 2 / Tab 4 / Schedule 3 / Attachment E / pp. 133 &amp; 134 of 534</w:t>
      </w:r>
    </w:p>
    <w:p w14:paraId="6AB9AB6B"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FF22AB1" w14:textId="77777777" w:rsidR="009D5E4A" w:rsidRPr="00BF20CF" w:rsidRDefault="009D5E4A" w:rsidP="00F23BC7">
      <w:pPr>
        <w:autoSpaceDE w:val="0"/>
        <w:autoSpaceDN w:val="0"/>
        <w:adjustRightInd w:val="0"/>
        <w:spacing w:before="240" w:after="120" w:line="276" w:lineRule="auto"/>
        <w:jc w:val="center"/>
        <w:rPr>
          <w:rFonts w:ascii="Arial" w:hAnsi="Arial" w:cs="Arial"/>
          <w:bCs/>
        </w:rPr>
      </w:pPr>
      <w:r w:rsidRPr="00BF20CF">
        <w:rPr>
          <w:rFonts w:ascii="Arial" w:hAnsi="Arial" w:cs="Arial"/>
          <w:bCs/>
          <w:noProof/>
        </w:rPr>
        <w:drawing>
          <wp:inline distT="0" distB="0" distL="0" distR="0" wp14:anchorId="2B1E4703" wp14:editId="6950EEA6">
            <wp:extent cx="5022814" cy="2226365"/>
            <wp:effectExtent l="0" t="0" r="6985" b="2540"/>
            <wp:docPr id="51" name="Picture 5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04-23 at 7.45.06 P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39273" cy="2277985"/>
                    </a:xfrm>
                    <a:prstGeom prst="rect">
                      <a:avLst/>
                    </a:prstGeom>
                  </pic:spPr>
                </pic:pic>
              </a:graphicData>
            </a:graphic>
          </wp:inline>
        </w:drawing>
      </w:r>
    </w:p>
    <w:p w14:paraId="385CCE0C" w14:textId="5E5A3C4A" w:rsidR="009D5E4A" w:rsidRPr="00BF20CF" w:rsidRDefault="009D5E4A" w:rsidP="00F23BC7">
      <w:pPr>
        <w:autoSpaceDE w:val="0"/>
        <w:autoSpaceDN w:val="0"/>
        <w:adjustRightInd w:val="0"/>
        <w:spacing w:before="240" w:after="120" w:line="276" w:lineRule="auto"/>
        <w:jc w:val="center"/>
        <w:rPr>
          <w:rFonts w:ascii="Arial" w:hAnsi="Arial" w:cs="Arial"/>
          <w:bCs/>
        </w:rPr>
      </w:pPr>
      <w:r w:rsidRPr="00BF20CF">
        <w:rPr>
          <w:rFonts w:ascii="Arial" w:hAnsi="Arial" w:cs="Arial"/>
          <w:bCs/>
          <w:noProof/>
        </w:rPr>
        <w:lastRenderedPageBreak/>
        <w:drawing>
          <wp:inline distT="0" distB="0" distL="0" distR="0" wp14:anchorId="11D20CEF" wp14:editId="3726FFEC">
            <wp:extent cx="5485540" cy="2878372"/>
            <wp:effectExtent l="0" t="0" r="1270" b="0"/>
            <wp:docPr id="52"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0-04-23 at 8.14.00 PM.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66725" cy="2920971"/>
                    </a:xfrm>
                    <a:prstGeom prst="rect">
                      <a:avLst/>
                    </a:prstGeom>
                  </pic:spPr>
                </pic:pic>
              </a:graphicData>
            </a:graphic>
          </wp:inline>
        </w:drawing>
      </w:r>
    </w:p>
    <w:p w14:paraId="5B59850A"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451B2F1" w14:textId="29B6CDB3" w:rsidR="009D5E4A" w:rsidRPr="00BF20CF" w:rsidRDefault="009D5E4A" w:rsidP="00F23BC7">
      <w:pPr>
        <w:pStyle w:val="ListParagraph"/>
        <w:numPr>
          <w:ilvl w:val="0"/>
          <w:numId w:val="140"/>
        </w:numPr>
        <w:autoSpaceDE w:val="0"/>
        <w:autoSpaceDN w:val="0"/>
        <w:adjustRightInd w:val="0"/>
        <w:spacing w:before="240" w:after="120" w:line="276" w:lineRule="auto"/>
        <w:rPr>
          <w:rFonts w:ascii="Arial" w:hAnsi="Arial" w:cs="Arial"/>
        </w:rPr>
      </w:pPr>
      <w:r w:rsidRPr="00BF20CF">
        <w:rPr>
          <w:rFonts w:ascii="Arial" w:eastAsiaTheme="minorHAnsi" w:hAnsi="Arial" w:cs="Arial"/>
          <w:color w:val="000000"/>
        </w:rPr>
        <w:t>Please provide the assumptions and calculations used to derive the curves shown in Figures 1.50 &amp; 1.51.</w:t>
      </w:r>
    </w:p>
    <w:p w14:paraId="64FE20EB" w14:textId="77777777" w:rsidR="00CA7CB7" w:rsidRPr="00BF20CF" w:rsidRDefault="00CA7CB7" w:rsidP="00CA7CB7">
      <w:pPr>
        <w:pStyle w:val="ListParagraph"/>
        <w:autoSpaceDE w:val="0"/>
        <w:autoSpaceDN w:val="0"/>
        <w:adjustRightInd w:val="0"/>
        <w:spacing w:before="240" w:after="120" w:line="276" w:lineRule="auto"/>
        <w:rPr>
          <w:rFonts w:ascii="Arial" w:hAnsi="Arial" w:cs="Arial"/>
        </w:rPr>
      </w:pPr>
    </w:p>
    <w:p w14:paraId="1D4A8704" w14:textId="7B330BEB" w:rsidR="009D5E4A" w:rsidRPr="00BF20CF" w:rsidRDefault="009D5E4A" w:rsidP="00F23BC7">
      <w:pPr>
        <w:pStyle w:val="ListParagraph"/>
        <w:numPr>
          <w:ilvl w:val="0"/>
          <w:numId w:val="140"/>
        </w:numPr>
        <w:autoSpaceDE w:val="0"/>
        <w:autoSpaceDN w:val="0"/>
        <w:adjustRightInd w:val="0"/>
        <w:spacing w:before="240" w:after="120" w:line="276" w:lineRule="auto"/>
        <w:rPr>
          <w:rFonts w:ascii="Arial" w:hAnsi="Arial" w:cs="Arial"/>
        </w:rPr>
      </w:pPr>
      <w:r w:rsidRPr="00BF20CF">
        <w:rPr>
          <w:rFonts w:ascii="Arial" w:eastAsiaTheme="minorHAnsi" w:hAnsi="Arial" w:cs="Arial"/>
          <w:color w:val="000000"/>
        </w:rPr>
        <w:t>What is the reason for extending the failure forecast for 50 years?</w:t>
      </w:r>
    </w:p>
    <w:p w14:paraId="705D2749" w14:textId="77777777" w:rsidR="00CA7CB7" w:rsidRPr="00BF20CF" w:rsidRDefault="00CA7CB7" w:rsidP="00CA7CB7">
      <w:pPr>
        <w:pStyle w:val="ListParagraph"/>
        <w:autoSpaceDE w:val="0"/>
        <w:autoSpaceDN w:val="0"/>
        <w:adjustRightInd w:val="0"/>
        <w:spacing w:before="240" w:after="120" w:line="276" w:lineRule="auto"/>
        <w:rPr>
          <w:rFonts w:ascii="Arial" w:hAnsi="Arial" w:cs="Arial"/>
        </w:rPr>
      </w:pPr>
    </w:p>
    <w:p w14:paraId="4F2A7886" w14:textId="381C3133" w:rsidR="009D5E4A" w:rsidRPr="00BF20CF" w:rsidRDefault="009D5E4A" w:rsidP="005C61A6">
      <w:pPr>
        <w:pStyle w:val="ListParagraph"/>
        <w:numPr>
          <w:ilvl w:val="0"/>
          <w:numId w:val="140"/>
        </w:numPr>
        <w:autoSpaceDE w:val="0"/>
        <w:autoSpaceDN w:val="0"/>
        <w:adjustRightInd w:val="0"/>
        <w:spacing w:before="240" w:after="120" w:line="276" w:lineRule="auto"/>
        <w:rPr>
          <w:rFonts w:ascii="Arial" w:hAnsi="Arial" w:cs="Arial"/>
        </w:rPr>
      </w:pPr>
      <w:r w:rsidRPr="00BF20CF">
        <w:rPr>
          <w:rFonts w:ascii="Arial" w:eastAsiaTheme="minorHAnsi" w:hAnsi="Arial" w:cs="Arial"/>
          <w:color w:val="000000"/>
        </w:rPr>
        <w:t>Please quantify the expected reliability impact for deferring the planned PILC replacements beyond the test period.</w:t>
      </w:r>
    </w:p>
    <w:p w14:paraId="54DC0D69" w14:textId="77777777" w:rsidR="00FF2821" w:rsidRPr="00BF20CF" w:rsidRDefault="00FF2821" w:rsidP="00FF2821">
      <w:pPr>
        <w:pStyle w:val="ListParagraph"/>
        <w:rPr>
          <w:rFonts w:ascii="Arial" w:hAnsi="Arial" w:cs="Arial"/>
        </w:rPr>
      </w:pPr>
    </w:p>
    <w:p w14:paraId="2B5E7EE1" w14:textId="3A50EFE2" w:rsidR="009D5E4A" w:rsidRPr="00BF20CF" w:rsidRDefault="00BF20CF" w:rsidP="006A3C99">
      <w:pPr>
        <w:pStyle w:val="StaffHeader"/>
        <w:numPr>
          <w:ilvl w:val="0"/>
          <w:numId w:val="0"/>
        </w:numPr>
        <w:spacing w:before="240"/>
        <w:rPr>
          <w:rFonts w:cs="Arial"/>
          <w:szCs w:val="24"/>
          <w:u w:val="none"/>
        </w:rPr>
      </w:pPr>
      <w:r w:rsidRPr="00BF20CF">
        <w:rPr>
          <w:rFonts w:cs="Arial"/>
          <w:szCs w:val="24"/>
          <w:u w:val="none"/>
        </w:rPr>
        <w:t>2-Staff-56</w:t>
      </w:r>
    </w:p>
    <w:p w14:paraId="32892B74" w14:textId="77777777" w:rsidR="009D5E4A" w:rsidRPr="00BF20CF" w:rsidRDefault="009D5E4A" w:rsidP="005C61A6">
      <w:pPr>
        <w:spacing w:line="276" w:lineRule="auto"/>
        <w:rPr>
          <w:rFonts w:ascii="Arial" w:hAnsi="Arial" w:cs="Arial"/>
          <w:b/>
        </w:rPr>
      </w:pPr>
      <w:r w:rsidRPr="00BF20CF">
        <w:rPr>
          <w:rFonts w:ascii="Arial" w:hAnsi="Arial" w:cs="Arial"/>
          <w:b/>
        </w:rPr>
        <w:t>Ref:</w:t>
      </w:r>
      <w:r w:rsidRPr="00BF20CF">
        <w:rPr>
          <w:rFonts w:ascii="Arial" w:hAnsi="Arial" w:cs="Arial"/>
          <w:b/>
        </w:rPr>
        <w:tab/>
        <w:t xml:space="preserve">Exhibit 2 / Tab 4 / Schedule 3 / Attachment I / </w:t>
      </w:r>
      <w:proofErr w:type="spellStart"/>
      <w:r w:rsidRPr="00BF20CF">
        <w:rPr>
          <w:rFonts w:ascii="Arial" w:hAnsi="Arial" w:cs="Arial"/>
          <w:b/>
        </w:rPr>
        <w:t>Stantec</w:t>
      </w:r>
      <w:proofErr w:type="spellEnd"/>
      <w:r w:rsidRPr="00BF20CF">
        <w:rPr>
          <w:rFonts w:ascii="Arial" w:hAnsi="Arial" w:cs="Arial"/>
          <w:b/>
        </w:rPr>
        <w:t xml:space="preserve"> Hydro Ottawa Climate Adaptation Plan pg. 33 of 70</w:t>
      </w:r>
    </w:p>
    <w:p w14:paraId="77A9D4A4"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94F81AD"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Table 12 on pg. 33 lists recommended climate change adaptation recommendations.</w:t>
      </w:r>
    </w:p>
    <w:p w14:paraId="0A2EAB7C"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B755B29" w14:textId="12243347" w:rsidR="009D5E4A" w:rsidRPr="00BF20CF" w:rsidRDefault="009D5E4A" w:rsidP="00F23BC7">
      <w:pPr>
        <w:pStyle w:val="ListParagraph"/>
        <w:numPr>
          <w:ilvl w:val="0"/>
          <w:numId w:val="141"/>
        </w:numPr>
        <w:autoSpaceDE w:val="0"/>
        <w:autoSpaceDN w:val="0"/>
        <w:adjustRightInd w:val="0"/>
        <w:spacing w:before="240" w:after="120" w:line="276" w:lineRule="auto"/>
        <w:rPr>
          <w:rFonts w:ascii="Arial" w:hAnsi="Arial" w:cs="Arial"/>
        </w:rPr>
      </w:pPr>
      <w:r w:rsidRPr="00BF20CF">
        <w:rPr>
          <w:rFonts w:ascii="Arial" w:hAnsi="Arial" w:cs="Arial"/>
        </w:rPr>
        <w:t xml:space="preserve">Please identify which of the </w:t>
      </w:r>
      <w:proofErr w:type="spellStart"/>
      <w:r w:rsidRPr="00BF20CF">
        <w:rPr>
          <w:rFonts w:ascii="Arial" w:hAnsi="Arial" w:cs="Arial"/>
        </w:rPr>
        <w:t>Stantec</w:t>
      </w:r>
      <w:proofErr w:type="spellEnd"/>
      <w:r w:rsidRPr="00BF20CF">
        <w:rPr>
          <w:rFonts w:ascii="Arial" w:hAnsi="Arial" w:cs="Arial"/>
        </w:rPr>
        <w:t xml:space="preserve"> recommendations Hydro Ottawa intends to implement, which it will not be implementing</w:t>
      </w:r>
      <w:r w:rsidR="00CA7CB7" w:rsidRPr="00BF20CF">
        <w:rPr>
          <w:rFonts w:ascii="Arial" w:hAnsi="Arial" w:cs="Arial"/>
        </w:rPr>
        <w:t xml:space="preserve"> and explain why in each case. </w:t>
      </w:r>
    </w:p>
    <w:p w14:paraId="11CFD967" w14:textId="77777777" w:rsidR="00CA7CB7" w:rsidRPr="00BF20CF" w:rsidRDefault="00CA7CB7" w:rsidP="00CA7CB7">
      <w:pPr>
        <w:pStyle w:val="ListParagraph"/>
        <w:autoSpaceDE w:val="0"/>
        <w:autoSpaceDN w:val="0"/>
        <w:adjustRightInd w:val="0"/>
        <w:spacing w:before="240" w:after="120" w:line="276" w:lineRule="auto"/>
        <w:rPr>
          <w:rFonts w:ascii="Arial" w:hAnsi="Arial" w:cs="Arial"/>
        </w:rPr>
      </w:pPr>
    </w:p>
    <w:p w14:paraId="203706B1" w14:textId="044D9E4A" w:rsidR="009D5E4A" w:rsidRPr="00BF20CF" w:rsidRDefault="009D5E4A" w:rsidP="00F23BC7">
      <w:pPr>
        <w:pStyle w:val="ListParagraph"/>
        <w:numPr>
          <w:ilvl w:val="0"/>
          <w:numId w:val="141"/>
        </w:numPr>
        <w:autoSpaceDE w:val="0"/>
        <w:autoSpaceDN w:val="0"/>
        <w:adjustRightInd w:val="0"/>
        <w:spacing w:before="240" w:after="120" w:line="276" w:lineRule="auto"/>
        <w:rPr>
          <w:rFonts w:ascii="Arial" w:hAnsi="Arial" w:cs="Arial"/>
        </w:rPr>
      </w:pPr>
      <w:r w:rsidRPr="00BF20CF">
        <w:rPr>
          <w:rFonts w:ascii="Arial" w:hAnsi="Arial" w:cs="Arial"/>
        </w:rPr>
        <w:lastRenderedPageBreak/>
        <w:t>Please identify any capital expenditures or incremental operating costs associated with the recommendations that will be implemented.</w:t>
      </w:r>
    </w:p>
    <w:p w14:paraId="30BE22A6" w14:textId="0CE1478F" w:rsidR="00CA7CB7" w:rsidRPr="00BF20CF" w:rsidRDefault="00CA7CB7" w:rsidP="00CA7CB7">
      <w:pPr>
        <w:pStyle w:val="ListParagraph"/>
        <w:autoSpaceDE w:val="0"/>
        <w:autoSpaceDN w:val="0"/>
        <w:adjustRightInd w:val="0"/>
        <w:spacing w:before="240" w:after="120" w:line="276" w:lineRule="auto"/>
        <w:rPr>
          <w:rFonts w:ascii="Arial" w:hAnsi="Arial" w:cs="Arial"/>
        </w:rPr>
      </w:pPr>
    </w:p>
    <w:p w14:paraId="7A08831F" w14:textId="6B0C1707" w:rsidR="009D5E4A" w:rsidRPr="00BF20CF" w:rsidRDefault="00BF20CF" w:rsidP="006A3C99">
      <w:pPr>
        <w:pStyle w:val="StaffHeader"/>
        <w:numPr>
          <w:ilvl w:val="0"/>
          <w:numId w:val="0"/>
        </w:numPr>
        <w:spacing w:before="240"/>
        <w:rPr>
          <w:rFonts w:cs="Arial"/>
          <w:szCs w:val="24"/>
          <w:u w:val="none"/>
        </w:rPr>
      </w:pPr>
      <w:r w:rsidRPr="00BF20CF">
        <w:rPr>
          <w:rFonts w:cs="Arial"/>
          <w:szCs w:val="24"/>
          <w:u w:val="none"/>
        </w:rPr>
        <w:t>2-Staff-57</w:t>
      </w:r>
    </w:p>
    <w:p w14:paraId="65E9ED49" w14:textId="77777777" w:rsidR="009D5E4A" w:rsidRPr="00BF20CF" w:rsidRDefault="009D5E4A" w:rsidP="005807CC">
      <w:pPr>
        <w:spacing w:line="276" w:lineRule="auto"/>
        <w:rPr>
          <w:rFonts w:ascii="Arial" w:hAnsi="Arial" w:cs="Arial"/>
          <w:b/>
        </w:rPr>
      </w:pPr>
      <w:r w:rsidRPr="00BF20CF">
        <w:rPr>
          <w:rFonts w:ascii="Arial" w:hAnsi="Arial" w:cs="Arial"/>
          <w:b/>
        </w:rPr>
        <w:t>Ref:</w:t>
      </w:r>
      <w:r w:rsidRPr="00BF20CF">
        <w:rPr>
          <w:rFonts w:ascii="Arial" w:hAnsi="Arial" w:cs="Arial"/>
          <w:b/>
        </w:rPr>
        <w:tab/>
        <w:t xml:space="preserve">Exhibit 2 / Tab 4 / Schedule 3 / Attachment M / </w:t>
      </w:r>
      <w:proofErr w:type="spellStart"/>
      <w:r w:rsidRPr="00BF20CF">
        <w:rPr>
          <w:rFonts w:ascii="Arial" w:hAnsi="Arial" w:cs="Arial"/>
          <w:b/>
        </w:rPr>
        <w:t>Metsco</w:t>
      </w:r>
      <w:proofErr w:type="spellEnd"/>
      <w:r w:rsidRPr="00BF20CF">
        <w:rPr>
          <w:rFonts w:ascii="Arial" w:hAnsi="Arial" w:cs="Arial"/>
          <w:b/>
        </w:rPr>
        <w:t xml:space="preserve"> Review of Hydro Ottawa’s Asset Condition Assessment Framework pg. 6 of 13</w:t>
      </w:r>
    </w:p>
    <w:p w14:paraId="08EB94BE"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50B5E14A" w14:textId="77777777" w:rsidR="009D5E4A" w:rsidRPr="00BF20CF" w:rsidRDefault="009D5E4A" w:rsidP="00F23BC7">
      <w:pPr>
        <w:autoSpaceDE w:val="0"/>
        <w:autoSpaceDN w:val="0"/>
        <w:adjustRightInd w:val="0"/>
        <w:spacing w:before="240" w:after="120" w:line="276" w:lineRule="auto"/>
        <w:jc w:val="center"/>
        <w:rPr>
          <w:rFonts w:ascii="Arial" w:hAnsi="Arial" w:cs="Arial"/>
          <w:bCs/>
        </w:rPr>
      </w:pPr>
      <w:r w:rsidRPr="00BF20CF">
        <w:rPr>
          <w:rFonts w:ascii="Arial" w:hAnsi="Arial" w:cs="Arial"/>
          <w:bCs/>
          <w:noProof/>
        </w:rPr>
        <w:drawing>
          <wp:inline distT="0" distB="0" distL="0" distR="0" wp14:anchorId="37FA4EE6" wp14:editId="386F6D49">
            <wp:extent cx="5382260" cy="3434964"/>
            <wp:effectExtent l="0" t="0" r="8890" b="0"/>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20-04-23 at 9.12.49 PM.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33937" cy="3467944"/>
                    </a:xfrm>
                    <a:prstGeom prst="rect">
                      <a:avLst/>
                    </a:prstGeom>
                  </pic:spPr>
                </pic:pic>
              </a:graphicData>
            </a:graphic>
          </wp:inline>
        </w:drawing>
      </w:r>
    </w:p>
    <w:p w14:paraId="6C90AA6C"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Table 6 shows that the MEDs on Sept 27, 2018, January 4 2017 and July 1, 2016 all featured Tree Contact as either the Primary Cause of Interruption or in the Description of the event, although high winds and freezing rain and heavy snow are given in the description in both 2017 events.</w:t>
      </w:r>
    </w:p>
    <w:p w14:paraId="04E6E993" w14:textId="77777777" w:rsidR="009D5E4A" w:rsidRPr="00BF20CF" w:rsidRDefault="009D5E4A" w:rsidP="00F23BC7">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299B5517" w14:textId="77777777" w:rsidR="009D5E4A" w:rsidRPr="00BF20CF" w:rsidRDefault="009D5E4A" w:rsidP="00F23BC7">
      <w:pPr>
        <w:pStyle w:val="ListParagraph"/>
        <w:numPr>
          <w:ilvl w:val="0"/>
          <w:numId w:val="142"/>
        </w:numPr>
        <w:autoSpaceDE w:val="0"/>
        <w:autoSpaceDN w:val="0"/>
        <w:adjustRightInd w:val="0"/>
        <w:spacing w:before="240" w:after="120" w:line="276" w:lineRule="auto"/>
        <w:rPr>
          <w:rFonts w:ascii="Arial" w:hAnsi="Arial" w:cs="Arial"/>
        </w:rPr>
      </w:pPr>
      <w:r w:rsidRPr="00BF20CF">
        <w:rPr>
          <w:rFonts w:ascii="Arial" w:hAnsi="Arial" w:cs="Arial"/>
        </w:rPr>
        <w:t xml:space="preserve">Do these results indicate that Hydro Ottawa could improve its resilience to some major weather events by improving its brushing and tree management processes? </w:t>
      </w:r>
    </w:p>
    <w:p w14:paraId="471C1F08" w14:textId="5EDF6CFC" w:rsidR="009D5E4A" w:rsidRPr="00BF20CF" w:rsidRDefault="009D5E4A" w:rsidP="00F23BC7">
      <w:pPr>
        <w:pStyle w:val="ListParagraph"/>
        <w:numPr>
          <w:ilvl w:val="1"/>
          <w:numId w:val="142"/>
        </w:numPr>
        <w:autoSpaceDE w:val="0"/>
        <w:autoSpaceDN w:val="0"/>
        <w:adjustRightInd w:val="0"/>
        <w:spacing w:before="240" w:after="120" w:line="276" w:lineRule="auto"/>
        <w:rPr>
          <w:rFonts w:ascii="Arial" w:hAnsi="Arial" w:cs="Arial"/>
        </w:rPr>
      </w:pPr>
      <w:r w:rsidRPr="00BF20CF">
        <w:rPr>
          <w:rFonts w:ascii="Arial" w:hAnsi="Arial" w:cs="Arial"/>
        </w:rPr>
        <w:t>If no, please explain why not.</w:t>
      </w:r>
    </w:p>
    <w:p w14:paraId="3C64EC58" w14:textId="15E91812" w:rsidR="00CA7CB7" w:rsidRPr="00BF20CF" w:rsidRDefault="00CA7CB7" w:rsidP="00CA7CB7">
      <w:pPr>
        <w:pStyle w:val="ListParagraph"/>
        <w:autoSpaceDE w:val="0"/>
        <w:autoSpaceDN w:val="0"/>
        <w:adjustRightInd w:val="0"/>
        <w:spacing w:before="240" w:after="120" w:line="276" w:lineRule="auto"/>
        <w:ind w:left="1440"/>
        <w:rPr>
          <w:rFonts w:ascii="Arial" w:hAnsi="Arial" w:cs="Arial"/>
        </w:rPr>
      </w:pPr>
    </w:p>
    <w:p w14:paraId="67044C82" w14:textId="7DCA8362" w:rsidR="000A1303" w:rsidRPr="00BF20CF" w:rsidRDefault="000A1303" w:rsidP="003041BF">
      <w:pPr>
        <w:autoSpaceDE w:val="0"/>
        <w:autoSpaceDN w:val="0"/>
        <w:adjustRightInd w:val="0"/>
        <w:spacing w:before="240" w:after="120" w:line="276" w:lineRule="auto"/>
        <w:rPr>
          <w:rFonts w:ascii="Arial" w:hAnsi="Arial" w:cs="Arial"/>
          <w:b/>
          <w:bCs/>
        </w:rPr>
      </w:pPr>
      <w:r w:rsidRPr="00BF20CF">
        <w:rPr>
          <w:rFonts w:ascii="Arial" w:hAnsi="Arial" w:cs="Arial"/>
          <w:b/>
          <w:bCs/>
        </w:rPr>
        <w:lastRenderedPageBreak/>
        <w:t xml:space="preserve">Capital Expenditure Plan </w:t>
      </w:r>
    </w:p>
    <w:p w14:paraId="7340CFF2" w14:textId="033DE2E0"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2-Staff-58</w:t>
      </w:r>
    </w:p>
    <w:p w14:paraId="00662E1B" w14:textId="099BDC12" w:rsidR="009142D9" w:rsidRPr="00BF20CF" w:rsidRDefault="009142D9" w:rsidP="003041BF">
      <w:pPr>
        <w:rPr>
          <w:rFonts w:ascii="Arial" w:hAnsi="Arial" w:cs="Arial"/>
          <w:b/>
        </w:rPr>
      </w:pPr>
      <w:r w:rsidRPr="00BF20CF">
        <w:rPr>
          <w:rFonts w:ascii="Arial" w:hAnsi="Arial" w:cs="Arial"/>
          <w:b/>
        </w:rPr>
        <w:t>Ref:</w:t>
      </w:r>
      <w:r w:rsidRPr="00BF20CF">
        <w:rPr>
          <w:rFonts w:ascii="Arial" w:hAnsi="Arial" w:cs="Arial"/>
          <w:b/>
        </w:rPr>
        <w:tab/>
        <w:t>Exhibit 1/Tab 1/Schedule 9/Attachment A/</w:t>
      </w:r>
      <w:r w:rsidR="008E553F" w:rsidRPr="00BF20CF">
        <w:rPr>
          <w:rFonts w:ascii="Arial" w:hAnsi="Arial" w:cs="Arial"/>
          <w:b/>
        </w:rPr>
        <w:t>pp.1-</w:t>
      </w:r>
      <w:r w:rsidRPr="00BF20CF">
        <w:rPr>
          <w:rFonts w:ascii="Arial" w:hAnsi="Arial" w:cs="Arial"/>
          <w:b/>
        </w:rPr>
        <w:t>4 of 21</w:t>
      </w:r>
    </w:p>
    <w:p w14:paraId="6B037236" w14:textId="61D08AD4" w:rsidR="009142D9" w:rsidRPr="00BF20CF" w:rsidRDefault="009142D9" w:rsidP="003041BF">
      <w:pPr>
        <w:ind w:left="720"/>
        <w:rPr>
          <w:rFonts w:ascii="Arial" w:hAnsi="Arial" w:cs="Arial"/>
          <w:b/>
        </w:rPr>
      </w:pPr>
      <w:r w:rsidRPr="00BF20CF">
        <w:rPr>
          <w:rFonts w:ascii="Arial" w:hAnsi="Arial" w:cs="Arial"/>
          <w:b/>
        </w:rPr>
        <w:t>Exhibit 2/Tab 4/Schedule 3/page 269 of 374</w:t>
      </w:r>
    </w:p>
    <w:p w14:paraId="26C4BB79" w14:textId="77777777" w:rsidR="009142D9" w:rsidRPr="00BF20CF" w:rsidRDefault="009142D9" w:rsidP="003041BF">
      <w:pPr>
        <w:rPr>
          <w:rFonts w:ascii="Arial" w:hAnsi="Arial" w:cs="Arial"/>
          <w:bCs/>
        </w:rPr>
      </w:pPr>
    </w:p>
    <w:p w14:paraId="30C7E9E0" w14:textId="02C5968A" w:rsidR="009142D9" w:rsidRPr="00BF20CF" w:rsidRDefault="009142D9" w:rsidP="003041BF">
      <w:pPr>
        <w:rPr>
          <w:rFonts w:ascii="Arial" w:hAnsi="Arial" w:cs="Arial"/>
          <w:bCs/>
        </w:rPr>
      </w:pPr>
      <w:r w:rsidRPr="00BF20CF">
        <w:rPr>
          <w:rFonts w:ascii="Arial" w:hAnsi="Arial" w:cs="Arial"/>
          <w:bCs/>
        </w:rPr>
        <w:t>Preamble:</w:t>
      </w:r>
    </w:p>
    <w:p w14:paraId="712CCED3" w14:textId="77777777" w:rsidR="00445C56" w:rsidRPr="00BF20CF" w:rsidRDefault="00445C56" w:rsidP="003041BF">
      <w:pPr>
        <w:rPr>
          <w:rFonts w:ascii="Arial" w:hAnsi="Arial" w:cs="Arial"/>
          <w:bCs/>
        </w:rPr>
      </w:pPr>
    </w:p>
    <w:p w14:paraId="3B4BCDC9" w14:textId="4976CE50" w:rsidR="009142D9" w:rsidRPr="00BF20CF" w:rsidRDefault="009142D9" w:rsidP="009B4AE3">
      <w:pPr>
        <w:spacing w:line="276" w:lineRule="auto"/>
        <w:rPr>
          <w:rFonts w:ascii="Arial" w:hAnsi="Arial" w:cs="Arial"/>
          <w:bCs/>
        </w:rPr>
      </w:pPr>
      <w:r w:rsidRPr="00BF20CF">
        <w:rPr>
          <w:rFonts w:ascii="Arial" w:hAnsi="Arial" w:cs="Arial"/>
          <w:bCs/>
        </w:rPr>
        <w:t xml:space="preserve">An average forecast of capital expenditures of $95 million per year </w:t>
      </w:r>
      <w:r w:rsidR="00445C56" w:rsidRPr="00BF20CF">
        <w:rPr>
          <w:rFonts w:ascii="Arial" w:hAnsi="Arial" w:cs="Arial"/>
          <w:bCs/>
        </w:rPr>
        <w:t>was developed in the initial budgeting process. The proposed capital expenditures average at $100.</w:t>
      </w:r>
      <w:r w:rsidR="00035FB3" w:rsidRPr="00BF20CF">
        <w:rPr>
          <w:rFonts w:ascii="Arial" w:hAnsi="Arial" w:cs="Arial"/>
          <w:bCs/>
        </w:rPr>
        <w:t xml:space="preserve">8 </w:t>
      </w:r>
      <w:r w:rsidR="00445C56" w:rsidRPr="00BF20CF">
        <w:rPr>
          <w:rFonts w:ascii="Arial" w:hAnsi="Arial" w:cs="Arial"/>
          <w:bCs/>
        </w:rPr>
        <w:t>million per year for 2021-2025.</w:t>
      </w:r>
    </w:p>
    <w:p w14:paraId="71392F8D" w14:textId="77777777" w:rsidR="00445C56" w:rsidRPr="00BF20CF" w:rsidRDefault="00445C56"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EED8CCF" w14:textId="6CD69AA9" w:rsidR="00445C56" w:rsidRPr="00BF20CF" w:rsidRDefault="009C128E" w:rsidP="00876E97">
      <w:pPr>
        <w:pStyle w:val="ListParagraph"/>
        <w:numPr>
          <w:ilvl w:val="0"/>
          <w:numId w:val="37"/>
        </w:numPr>
        <w:autoSpaceDE w:val="0"/>
        <w:autoSpaceDN w:val="0"/>
        <w:adjustRightInd w:val="0"/>
        <w:spacing w:before="240" w:after="120" w:line="276" w:lineRule="auto"/>
        <w:rPr>
          <w:rFonts w:ascii="Arial" w:hAnsi="Arial" w:cs="Arial"/>
          <w:bCs/>
        </w:rPr>
      </w:pPr>
      <w:r w:rsidRPr="00BF20CF">
        <w:rPr>
          <w:rFonts w:ascii="Arial" w:hAnsi="Arial" w:cs="Arial"/>
          <w:bCs/>
        </w:rPr>
        <w:t>Please explain how the initial average capital expenditures of $95 million was developed.</w:t>
      </w:r>
    </w:p>
    <w:p w14:paraId="7FF82A05" w14:textId="77777777" w:rsidR="00CA7CB7" w:rsidRPr="00BF20CF" w:rsidRDefault="00CA7CB7" w:rsidP="00CA7CB7">
      <w:pPr>
        <w:pStyle w:val="ListParagraph"/>
        <w:autoSpaceDE w:val="0"/>
        <w:autoSpaceDN w:val="0"/>
        <w:adjustRightInd w:val="0"/>
        <w:spacing w:before="240" w:after="120" w:line="276" w:lineRule="auto"/>
        <w:rPr>
          <w:rFonts w:ascii="Arial" w:hAnsi="Arial" w:cs="Arial"/>
          <w:bCs/>
        </w:rPr>
      </w:pPr>
    </w:p>
    <w:p w14:paraId="64582062" w14:textId="6DD5A3E8" w:rsidR="009C128E" w:rsidRPr="00BF20CF" w:rsidRDefault="009C128E" w:rsidP="00876E97">
      <w:pPr>
        <w:pStyle w:val="ListParagraph"/>
        <w:numPr>
          <w:ilvl w:val="0"/>
          <w:numId w:val="37"/>
        </w:numPr>
        <w:autoSpaceDE w:val="0"/>
        <w:autoSpaceDN w:val="0"/>
        <w:adjustRightInd w:val="0"/>
        <w:spacing w:before="240" w:after="120" w:line="276" w:lineRule="auto"/>
        <w:rPr>
          <w:rFonts w:ascii="Arial" w:hAnsi="Arial" w:cs="Arial"/>
          <w:bCs/>
        </w:rPr>
      </w:pPr>
      <w:r w:rsidRPr="00BF20CF">
        <w:rPr>
          <w:rFonts w:ascii="Arial" w:hAnsi="Arial" w:cs="Arial"/>
          <w:bCs/>
        </w:rPr>
        <w:t>Please explain key drivers for the change from the original average budget of $95 million to the proposed budget of $100.</w:t>
      </w:r>
      <w:r w:rsidR="00035FB3" w:rsidRPr="00BF20CF">
        <w:rPr>
          <w:rFonts w:ascii="Arial" w:hAnsi="Arial" w:cs="Arial"/>
          <w:bCs/>
        </w:rPr>
        <w:t xml:space="preserve">8 </w:t>
      </w:r>
      <w:r w:rsidRPr="00BF20CF">
        <w:rPr>
          <w:rFonts w:ascii="Arial" w:hAnsi="Arial" w:cs="Arial"/>
          <w:bCs/>
        </w:rPr>
        <w:t>million per year.</w:t>
      </w:r>
    </w:p>
    <w:p w14:paraId="58B53E15" w14:textId="77777777" w:rsidR="00CA7CB7" w:rsidRPr="00BF20CF" w:rsidRDefault="00CA7CB7" w:rsidP="00CA7CB7">
      <w:pPr>
        <w:pStyle w:val="ListParagraph"/>
        <w:autoSpaceDE w:val="0"/>
        <w:autoSpaceDN w:val="0"/>
        <w:adjustRightInd w:val="0"/>
        <w:spacing w:before="240" w:after="120" w:line="276" w:lineRule="auto"/>
        <w:rPr>
          <w:rFonts w:ascii="Arial" w:hAnsi="Arial" w:cs="Arial"/>
          <w:bCs/>
        </w:rPr>
      </w:pPr>
    </w:p>
    <w:p w14:paraId="2FBBC52D" w14:textId="4775E74F" w:rsidR="00C13ED5" w:rsidRPr="00BF20CF" w:rsidRDefault="00C13ED5" w:rsidP="00876E97">
      <w:pPr>
        <w:pStyle w:val="ListParagraph"/>
        <w:numPr>
          <w:ilvl w:val="0"/>
          <w:numId w:val="37"/>
        </w:numPr>
        <w:autoSpaceDE w:val="0"/>
        <w:autoSpaceDN w:val="0"/>
        <w:adjustRightInd w:val="0"/>
        <w:spacing w:before="240" w:after="120" w:line="276" w:lineRule="auto"/>
        <w:rPr>
          <w:rFonts w:ascii="Arial" w:hAnsi="Arial" w:cs="Arial"/>
          <w:bCs/>
        </w:rPr>
      </w:pPr>
      <w:r w:rsidRPr="00BF20CF">
        <w:rPr>
          <w:rFonts w:ascii="Arial" w:hAnsi="Arial" w:cs="Arial"/>
          <w:bCs/>
        </w:rPr>
        <w:t>Please specify the inflation rates that were used for each year over the 2020-2025 period during the initial budgeting process.</w:t>
      </w:r>
    </w:p>
    <w:p w14:paraId="105A7C7E" w14:textId="77777777" w:rsidR="00FF2821" w:rsidRPr="00BF20CF" w:rsidRDefault="00FF2821" w:rsidP="00FF2821">
      <w:pPr>
        <w:pStyle w:val="ListParagraph"/>
        <w:rPr>
          <w:rFonts w:ascii="Arial" w:hAnsi="Arial" w:cs="Arial"/>
          <w:bCs/>
        </w:rPr>
      </w:pPr>
    </w:p>
    <w:p w14:paraId="48A48AED" w14:textId="77777777" w:rsidR="00AF03C9" w:rsidRPr="00BF20CF" w:rsidRDefault="00AF03C9" w:rsidP="003041BF">
      <w:pPr>
        <w:autoSpaceDE w:val="0"/>
        <w:autoSpaceDN w:val="0"/>
        <w:adjustRightInd w:val="0"/>
        <w:spacing w:before="240" w:line="276" w:lineRule="auto"/>
        <w:rPr>
          <w:rFonts w:ascii="Arial" w:hAnsi="Arial" w:cs="Arial"/>
          <w:b/>
        </w:rPr>
      </w:pPr>
      <w:r w:rsidRPr="00BF20CF">
        <w:rPr>
          <w:rFonts w:ascii="Arial" w:hAnsi="Arial" w:cs="Arial"/>
          <w:b/>
        </w:rPr>
        <w:t>Smart Grid Costs</w:t>
      </w:r>
    </w:p>
    <w:p w14:paraId="17B70C69" w14:textId="38290B5E"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2-Staff-59</w:t>
      </w:r>
    </w:p>
    <w:p w14:paraId="223E5063" w14:textId="77777777" w:rsidR="00AF03C9" w:rsidRPr="00BF20CF" w:rsidRDefault="00AF03C9" w:rsidP="003041BF">
      <w:pPr>
        <w:rPr>
          <w:rFonts w:ascii="Arial" w:hAnsi="Arial" w:cs="Arial"/>
          <w:b/>
        </w:rPr>
      </w:pPr>
      <w:r w:rsidRPr="00BF20CF">
        <w:rPr>
          <w:rFonts w:ascii="Arial" w:hAnsi="Arial" w:cs="Arial"/>
          <w:b/>
        </w:rPr>
        <w:t>Ref:</w:t>
      </w:r>
      <w:r w:rsidRPr="00BF20CF">
        <w:rPr>
          <w:rFonts w:ascii="Arial" w:hAnsi="Arial" w:cs="Arial"/>
          <w:b/>
        </w:rPr>
        <w:tab/>
        <w:t>Exhibit 2/Tab 4/Schedule 3/Attachment E/pp. 344-373 of 534</w:t>
      </w:r>
    </w:p>
    <w:p w14:paraId="4B9EB636" w14:textId="77777777" w:rsidR="00AF03C9" w:rsidRPr="00BF20CF" w:rsidRDefault="00AF03C9" w:rsidP="003041BF">
      <w:pPr>
        <w:ind w:left="720"/>
        <w:rPr>
          <w:rFonts w:ascii="Arial" w:hAnsi="Arial" w:cs="Arial"/>
          <w:b/>
        </w:rPr>
      </w:pPr>
      <w:r w:rsidRPr="00BF20CF">
        <w:rPr>
          <w:rFonts w:ascii="Arial" w:hAnsi="Arial" w:cs="Arial"/>
          <w:b/>
        </w:rPr>
        <w:t>Exhibit 1/Tab 1/Schedule 5/page 8 of 19</w:t>
      </w:r>
    </w:p>
    <w:p w14:paraId="22C12410" w14:textId="77777777" w:rsidR="00AF03C9" w:rsidRPr="00BF20CF" w:rsidRDefault="00AF03C9"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6691499C" w14:textId="3523DFAE" w:rsidR="00AF03C9" w:rsidRPr="00BF20CF" w:rsidRDefault="00AF03C9" w:rsidP="00876E97">
      <w:pPr>
        <w:pStyle w:val="ListParagraph"/>
        <w:numPr>
          <w:ilvl w:val="0"/>
          <w:numId w:val="14"/>
        </w:numPr>
        <w:autoSpaceDE w:val="0"/>
        <w:autoSpaceDN w:val="0"/>
        <w:adjustRightInd w:val="0"/>
        <w:spacing w:before="240" w:after="120" w:line="276" w:lineRule="auto"/>
        <w:rPr>
          <w:rFonts w:ascii="Arial" w:hAnsi="Arial" w:cs="Arial"/>
          <w:bCs/>
        </w:rPr>
      </w:pPr>
      <w:r w:rsidRPr="00BF20CF">
        <w:rPr>
          <w:rFonts w:ascii="Arial" w:hAnsi="Arial" w:cs="Arial"/>
          <w:bCs/>
        </w:rPr>
        <w:t>Please provide a copy of the Smart Energy Roadmap document that was prepared by the Smart Energy Steering Committee.</w:t>
      </w:r>
    </w:p>
    <w:p w14:paraId="3C48F0F3" w14:textId="77777777" w:rsidR="00CA7CB7" w:rsidRPr="00BF20CF" w:rsidRDefault="00CA7CB7" w:rsidP="00CA7CB7">
      <w:pPr>
        <w:pStyle w:val="ListParagraph"/>
        <w:autoSpaceDE w:val="0"/>
        <w:autoSpaceDN w:val="0"/>
        <w:adjustRightInd w:val="0"/>
        <w:spacing w:before="240" w:after="120" w:line="276" w:lineRule="auto"/>
        <w:rPr>
          <w:rFonts w:ascii="Arial" w:hAnsi="Arial" w:cs="Arial"/>
          <w:bCs/>
        </w:rPr>
      </w:pPr>
    </w:p>
    <w:p w14:paraId="6EC1D0AB" w14:textId="25973684" w:rsidR="00AF03C9" w:rsidRPr="00BF20CF" w:rsidRDefault="00AF03C9" w:rsidP="00876E97">
      <w:pPr>
        <w:pStyle w:val="ListParagraph"/>
        <w:numPr>
          <w:ilvl w:val="0"/>
          <w:numId w:val="14"/>
        </w:numPr>
        <w:autoSpaceDE w:val="0"/>
        <w:autoSpaceDN w:val="0"/>
        <w:adjustRightInd w:val="0"/>
        <w:spacing w:before="240" w:after="120" w:line="276" w:lineRule="auto"/>
        <w:rPr>
          <w:rFonts w:ascii="Arial" w:hAnsi="Arial" w:cs="Arial"/>
          <w:bCs/>
        </w:rPr>
      </w:pPr>
      <w:r w:rsidRPr="00BF20CF">
        <w:rPr>
          <w:rFonts w:ascii="Arial" w:hAnsi="Arial" w:cs="Arial"/>
          <w:bCs/>
        </w:rPr>
        <w:t xml:space="preserve">Please clarify whether Table 5 </w:t>
      </w:r>
      <w:r w:rsidRPr="00BF20CF">
        <w:rPr>
          <w:rFonts w:ascii="Arial" w:hAnsi="Arial" w:cs="Arial"/>
        </w:rPr>
        <w:t>(</w:t>
      </w:r>
      <w:r w:rsidR="00090D85" w:rsidRPr="00BF20CF">
        <w:rPr>
          <w:rFonts w:ascii="Arial" w:hAnsi="Arial" w:cs="Arial"/>
        </w:rPr>
        <w:t xml:space="preserve">Updated </w:t>
      </w:r>
      <w:r w:rsidRPr="00BF20CF">
        <w:rPr>
          <w:rFonts w:ascii="Arial" w:hAnsi="Arial" w:cs="Arial"/>
        </w:rPr>
        <w:t xml:space="preserve">Exhibit 1/Tab 1/Schedule 5/page </w:t>
      </w:r>
      <w:r w:rsidR="00090D85" w:rsidRPr="00BF20CF">
        <w:rPr>
          <w:rFonts w:ascii="Arial" w:hAnsi="Arial" w:cs="Arial"/>
        </w:rPr>
        <w:t xml:space="preserve">12 </w:t>
      </w:r>
      <w:r w:rsidRPr="00BF20CF">
        <w:rPr>
          <w:rFonts w:ascii="Arial" w:hAnsi="Arial" w:cs="Arial"/>
        </w:rPr>
        <w:t xml:space="preserve">of </w:t>
      </w:r>
      <w:r w:rsidR="00090D85" w:rsidRPr="00BF20CF">
        <w:rPr>
          <w:rFonts w:ascii="Arial" w:hAnsi="Arial" w:cs="Arial"/>
        </w:rPr>
        <w:t>27</w:t>
      </w:r>
      <w:r w:rsidRPr="00BF20CF">
        <w:rPr>
          <w:rFonts w:ascii="Arial" w:hAnsi="Arial" w:cs="Arial"/>
        </w:rPr>
        <w:t xml:space="preserve">) </w:t>
      </w:r>
      <w:r w:rsidRPr="00BF20CF">
        <w:rPr>
          <w:rFonts w:ascii="Arial" w:hAnsi="Arial" w:cs="Arial"/>
          <w:bCs/>
        </w:rPr>
        <w:t xml:space="preserve">provides </w:t>
      </w:r>
      <w:r w:rsidRPr="00BF20CF">
        <w:rPr>
          <w:rFonts w:ascii="Arial" w:hAnsi="Arial" w:cs="Arial"/>
        </w:rPr>
        <w:t>the complete list of projects/programs within the Smart Energy Roadmap for the 2021-2025 rate period. If no, please provide the complete list.</w:t>
      </w:r>
    </w:p>
    <w:p w14:paraId="741DCCCC" w14:textId="77777777" w:rsidR="00CA7CB7" w:rsidRPr="00BF20CF" w:rsidRDefault="00CA7CB7" w:rsidP="00CA7CB7">
      <w:pPr>
        <w:pStyle w:val="ListParagraph"/>
        <w:autoSpaceDE w:val="0"/>
        <w:autoSpaceDN w:val="0"/>
        <w:adjustRightInd w:val="0"/>
        <w:spacing w:before="240" w:after="120" w:line="276" w:lineRule="auto"/>
        <w:rPr>
          <w:rFonts w:ascii="Arial" w:hAnsi="Arial" w:cs="Arial"/>
          <w:bCs/>
        </w:rPr>
      </w:pPr>
    </w:p>
    <w:p w14:paraId="0F1A66E4" w14:textId="45B73702" w:rsidR="00AF03C9" w:rsidRPr="00BF20CF" w:rsidRDefault="00AF03C9" w:rsidP="00876E97">
      <w:pPr>
        <w:pStyle w:val="ListParagraph"/>
        <w:numPr>
          <w:ilvl w:val="0"/>
          <w:numId w:val="14"/>
        </w:numPr>
        <w:autoSpaceDE w:val="0"/>
        <w:autoSpaceDN w:val="0"/>
        <w:adjustRightInd w:val="0"/>
        <w:spacing w:before="240" w:after="120" w:line="276" w:lineRule="auto"/>
        <w:rPr>
          <w:rFonts w:ascii="Arial" w:hAnsi="Arial" w:cs="Arial"/>
          <w:bCs/>
        </w:rPr>
      </w:pPr>
      <w:r w:rsidRPr="00BF20CF">
        <w:rPr>
          <w:rFonts w:ascii="Arial" w:hAnsi="Arial" w:cs="Arial"/>
        </w:rPr>
        <w:lastRenderedPageBreak/>
        <w:t>Please provide the historical rate funded expenditures on each project/program listed in Table 5 (</w:t>
      </w:r>
      <w:r w:rsidR="00090D85" w:rsidRPr="00BF20CF">
        <w:rPr>
          <w:rFonts w:ascii="Arial" w:hAnsi="Arial" w:cs="Arial"/>
        </w:rPr>
        <w:t xml:space="preserve">Updated </w:t>
      </w:r>
      <w:r w:rsidRPr="00BF20CF">
        <w:rPr>
          <w:rFonts w:ascii="Arial" w:hAnsi="Arial" w:cs="Arial"/>
        </w:rPr>
        <w:t xml:space="preserve">Exhibit 1/Tab 1/Schedule 5/page </w:t>
      </w:r>
      <w:r w:rsidR="00090D85" w:rsidRPr="00BF20CF">
        <w:rPr>
          <w:rFonts w:ascii="Arial" w:hAnsi="Arial" w:cs="Arial"/>
        </w:rPr>
        <w:t xml:space="preserve">12 </w:t>
      </w:r>
      <w:r w:rsidRPr="00BF20CF">
        <w:rPr>
          <w:rFonts w:ascii="Arial" w:hAnsi="Arial" w:cs="Arial"/>
        </w:rPr>
        <w:t xml:space="preserve">of </w:t>
      </w:r>
      <w:r w:rsidR="00090D85" w:rsidRPr="00BF20CF">
        <w:rPr>
          <w:rFonts w:ascii="Arial" w:hAnsi="Arial" w:cs="Arial"/>
        </w:rPr>
        <w:t>27</w:t>
      </w:r>
      <w:r w:rsidRPr="00BF20CF">
        <w:rPr>
          <w:rFonts w:ascii="Arial" w:hAnsi="Arial" w:cs="Arial"/>
        </w:rPr>
        <w:t>) by year for the 2016-2020 period.</w:t>
      </w:r>
    </w:p>
    <w:p w14:paraId="71B33811" w14:textId="77777777" w:rsidR="00FF2821" w:rsidRPr="00BF20CF" w:rsidRDefault="00FF2821" w:rsidP="00FF2821">
      <w:pPr>
        <w:pStyle w:val="ListParagraph"/>
        <w:autoSpaceDE w:val="0"/>
        <w:autoSpaceDN w:val="0"/>
        <w:adjustRightInd w:val="0"/>
        <w:spacing w:before="240" w:after="120" w:line="276" w:lineRule="auto"/>
        <w:rPr>
          <w:rFonts w:ascii="Arial" w:hAnsi="Arial" w:cs="Arial"/>
          <w:bCs/>
        </w:rPr>
      </w:pPr>
    </w:p>
    <w:p w14:paraId="32A01526" w14:textId="343FCFFA" w:rsidR="00E33A3C" w:rsidRPr="00BF20CF" w:rsidRDefault="00E33A3C" w:rsidP="003041BF">
      <w:pPr>
        <w:autoSpaceDE w:val="0"/>
        <w:autoSpaceDN w:val="0"/>
        <w:adjustRightInd w:val="0"/>
        <w:spacing w:before="240" w:after="120" w:line="276" w:lineRule="auto"/>
        <w:rPr>
          <w:rFonts w:ascii="Arial" w:hAnsi="Arial" w:cs="Arial"/>
          <w:b/>
          <w:bCs/>
        </w:rPr>
      </w:pPr>
      <w:r w:rsidRPr="00BF20CF">
        <w:rPr>
          <w:rFonts w:ascii="Arial" w:hAnsi="Arial" w:cs="Arial"/>
          <w:b/>
          <w:bCs/>
        </w:rPr>
        <w:t>New Facilities</w:t>
      </w:r>
    </w:p>
    <w:p w14:paraId="09C40F2C" w14:textId="76E9635B"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2-Staff-60</w:t>
      </w:r>
    </w:p>
    <w:p w14:paraId="46F9C456" w14:textId="77777777" w:rsidR="006040A8" w:rsidRPr="00BF20CF" w:rsidRDefault="006B3D6B" w:rsidP="003041BF">
      <w:pPr>
        <w:rPr>
          <w:rFonts w:ascii="Arial" w:hAnsi="Arial" w:cs="Arial"/>
          <w:b/>
        </w:rPr>
      </w:pPr>
      <w:r w:rsidRPr="00BF20CF">
        <w:rPr>
          <w:rFonts w:ascii="Arial" w:hAnsi="Arial" w:cs="Arial"/>
          <w:b/>
        </w:rPr>
        <w:t>Ref:</w:t>
      </w:r>
      <w:r w:rsidRPr="00BF20CF">
        <w:rPr>
          <w:rFonts w:ascii="Arial" w:hAnsi="Arial" w:cs="Arial"/>
          <w:b/>
        </w:rPr>
        <w:tab/>
      </w:r>
      <w:r w:rsidR="006040A8" w:rsidRPr="00BF20CF">
        <w:rPr>
          <w:rFonts w:ascii="Arial" w:hAnsi="Arial" w:cs="Arial"/>
          <w:b/>
        </w:rPr>
        <w:t>EB-2015-0004/Decision on Settlement and PO NO. 11/pp. 2-5</w:t>
      </w:r>
    </w:p>
    <w:p w14:paraId="76EE0263" w14:textId="77777777" w:rsidR="006040A8" w:rsidRPr="00BF20CF" w:rsidRDefault="006040A8" w:rsidP="003041BF">
      <w:pPr>
        <w:ind w:left="720"/>
        <w:rPr>
          <w:rFonts w:ascii="Arial" w:hAnsi="Arial" w:cs="Arial"/>
          <w:b/>
        </w:rPr>
      </w:pPr>
      <w:r w:rsidRPr="00BF20CF">
        <w:rPr>
          <w:rFonts w:ascii="Arial" w:hAnsi="Arial" w:cs="Arial"/>
          <w:b/>
        </w:rPr>
        <w:t>EB-2015-0004/Settlement Proposal (Refiled)/pp.18-19</w:t>
      </w:r>
    </w:p>
    <w:p w14:paraId="23DE866E" w14:textId="77777777" w:rsidR="006040A8" w:rsidRPr="00BF20CF" w:rsidRDefault="006040A8" w:rsidP="003041BF">
      <w:pPr>
        <w:ind w:left="720"/>
        <w:rPr>
          <w:rFonts w:ascii="Arial" w:hAnsi="Arial" w:cs="Arial"/>
          <w:b/>
        </w:rPr>
      </w:pPr>
      <w:r w:rsidRPr="00BF20CF">
        <w:rPr>
          <w:rFonts w:ascii="Arial" w:hAnsi="Arial" w:cs="Arial"/>
          <w:b/>
        </w:rPr>
        <w:t>Exhibit 2/Tab 1/Schedule 1/Attachment A</w:t>
      </w:r>
    </w:p>
    <w:p w14:paraId="4959B405" w14:textId="77777777" w:rsidR="006040A8" w:rsidRPr="00BF20CF" w:rsidRDefault="006040A8" w:rsidP="003041BF">
      <w:pPr>
        <w:rPr>
          <w:rFonts w:ascii="Arial" w:hAnsi="Arial" w:cs="Arial"/>
          <w:bCs/>
        </w:rPr>
      </w:pPr>
    </w:p>
    <w:p w14:paraId="356BE879" w14:textId="3F2D566F" w:rsidR="000E3B74" w:rsidRPr="00BF20CF" w:rsidRDefault="000E3B74" w:rsidP="003041BF">
      <w:pPr>
        <w:rPr>
          <w:rFonts w:ascii="Arial" w:hAnsi="Arial" w:cs="Arial"/>
          <w:bCs/>
        </w:rPr>
      </w:pPr>
      <w:r w:rsidRPr="00BF20CF">
        <w:rPr>
          <w:rFonts w:ascii="Arial" w:hAnsi="Arial" w:cs="Arial"/>
          <w:bCs/>
        </w:rPr>
        <w:t>Preamble:</w:t>
      </w:r>
    </w:p>
    <w:p w14:paraId="2FD873F2" w14:textId="692F68CE" w:rsidR="00ED57CE" w:rsidRPr="00BF20CF" w:rsidRDefault="00ED57CE" w:rsidP="003041BF">
      <w:pPr>
        <w:autoSpaceDE w:val="0"/>
        <w:autoSpaceDN w:val="0"/>
        <w:adjustRightInd w:val="0"/>
        <w:spacing w:before="240" w:after="120" w:line="276" w:lineRule="auto"/>
        <w:rPr>
          <w:rFonts w:ascii="Arial" w:hAnsi="Arial" w:cs="Arial"/>
          <w:bCs/>
        </w:rPr>
      </w:pPr>
      <w:r w:rsidRPr="00BF20CF">
        <w:rPr>
          <w:rFonts w:ascii="Arial" w:hAnsi="Arial" w:cs="Arial"/>
          <w:bCs/>
        </w:rPr>
        <w:t xml:space="preserve">In the decision on Hydro Ottawa’s 2016-2020 Custom IR application, the OEB found that Hydro Ottawa has demonstrated the need for the new facilities. However, the OEB did not find sufficient evidence to determine the prudence of the $73 million cost estimate for the new buildings and </w:t>
      </w:r>
      <w:r w:rsidR="00DC4FB5" w:rsidRPr="00BF20CF">
        <w:rPr>
          <w:rFonts w:ascii="Arial" w:hAnsi="Arial" w:cs="Arial"/>
          <w:bCs/>
        </w:rPr>
        <w:t>the prudence of the $19 million cost for the 41 acres of land</w:t>
      </w:r>
      <w:r w:rsidRPr="00BF20CF">
        <w:rPr>
          <w:rFonts w:ascii="Arial" w:hAnsi="Arial" w:cs="Arial"/>
          <w:bCs/>
        </w:rPr>
        <w:t>. Therefore, the OEB accepted a Y-factor treatment of up to $66 million for the new facilities and land. The $66 million was determined as the sum of the operations building budget of $22 million, 70% of the administration building budget of $41 million ($29 million) and land cost of $15 million.</w:t>
      </w:r>
      <w:r w:rsidR="00DC4FB5" w:rsidRPr="00BF20CF">
        <w:rPr>
          <w:rFonts w:ascii="Arial" w:hAnsi="Arial" w:cs="Arial"/>
          <w:bCs/>
        </w:rPr>
        <w:t xml:space="preserve"> </w:t>
      </w:r>
      <w:r w:rsidR="000C1A1A" w:rsidRPr="00BF20CF">
        <w:rPr>
          <w:rFonts w:ascii="Arial" w:hAnsi="Arial" w:cs="Arial"/>
          <w:bCs/>
        </w:rPr>
        <w:t>Any amounts above $66 million, $15 million for land and $51 million for facilities, are subject to a prudence review.</w:t>
      </w:r>
      <w:r w:rsidR="00FC1864" w:rsidRPr="00BF20CF">
        <w:rPr>
          <w:rFonts w:ascii="Arial" w:hAnsi="Arial" w:cs="Arial"/>
          <w:bCs/>
        </w:rPr>
        <w:t xml:space="preserve"> The total project cost for the new facilities is $99,543,840.</w:t>
      </w:r>
    </w:p>
    <w:p w14:paraId="5AD4A324" w14:textId="676E44DB" w:rsidR="000E3B74" w:rsidRPr="00BF20CF" w:rsidRDefault="000E3B74"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671AF00" w14:textId="2269BD12" w:rsidR="003D476F" w:rsidRPr="00BF20CF" w:rsidRDefault="003D476F" w:rsidP="00876E97">
      <w:pPr>
        <w:pStyle w:val="ListParagraph"/>
        <w:numPr>
          <w:ilvl w:val="0"/>
          <w:numId w:val="22"/>
        </w:numPr>
        <w:autoSpaceDE w:val="0"/>
        <w:autoSpaceDN w:val="0"/>
        <w:adjustRightInd w:val="0"/>
        <w:spacing w:before="240" w:after="120" w:line="276" w:lineRule="auto"/>
        <w:rPr>
          <w:rFonts w:ascii="Arial" w:hAnsi="Arial" w:cs="Arial"/>
          <w:bCs/>
        </w:rPr>
      </w:pPr>
      <w:r w:rsidRPr="00BF20CF">
        <w:rPr>
          <w:rFonts w:ascii="Arial" w:hAnsi="Arial" w:cs="Arial"/>
          <w:bCs/>
        </w:rPr>
        <w:t xml:space="preserve">Please provide a breakdown (in the table below) </w:t>
      </w:r>
      <w:r w:rsidR="002126B8" w:rsidRPr="00BF20CF">
        <w:rPr>
          <w:rFonts w:ascii="Arial" w:hAnsi="Arial" w:cs="Arial"/>
          <w:bCs/>
        </w:rPr>
        <w:t>of the construction and land cost for each facility compared to the cost projections proposed in the 2016-2020 Custom IR proceeding</w:t>
      </w:r>
      <w:r w:rsidRPr="00BF20CF">
        <w:rPr>
          <w:rFonts w:ascii="Arial" w:hAnsi="Arial" w:cs="Arial"/>
          <w:bCs/>
        </w:rPr>
        <w:t>.</w:t>
      </w:r>
    </w:p>
    <w:p w14:paraId="4D872BA3" w14:textId="0B0A6556" w:rsidR="00FC1864" w:rsidRPr="00BF20CF" w:rsidRDefault="00FC1864" w:rsidP="003041BF">
      <w:pPr>
        <w:pStyle w:val="ListParagraph"/>
        <w:autoSpaceDE w:val="0"/>
        <w:autoSpaceDN w:val="0"/>
        <w:adjustRightInd w:val="0"/>
        <w:spacing w:before="240" w:after="120" w:line="276" w:lineRule="auto"/>
        <w:rPr>
          <w:rFonts w:ascii="Arial" w:hAnsi="Arial" w:cs="Arial"/>
          <w:bCs/>
        </w:rPr>
      </w:pPr>
    </w:p>
    <w:p w14:paraId="0DCA0ED2" w14:textId="42327EB1" w:rsidR="003D476F" w:rsidRPr="00BF20CF" w:rsidRDefault="003D476F" w:rsidP="003041BF">
      <w:pPr>
        <w:pStyle w:val="ListParagraph"/>
        <w:autoSpaceDE w:val="0"/>
        <w:autoSpaceDN w:val="0"/>
        <w:adjustRightInd w:val="0"/>
        <w:spacing w:before="240" w:after="120" w:line="276" w:lineRule="auto"/>
        <w:jc w:val="center"/>
        <w:rPr>
          <w:rFonts w:ascii="Arial" w:hAnsi="Arial" w:cs="Arial"/>
          <w:b/>
          <w:bCs/>
        </w:rPr>
      </w:pPr>
      <w:r w:rsidRPr="00BF20CF">
        <w:rPr>
          <w:rFonts w:ascii="Arial" w:hAnsi="Arial" w:cs="Arial"/>
          <w:b/>
          <w:bCs/>
        </w:rPr>
        <w:t xml:space="preserve">Table </w:t>
      </w:r>
      <w:r w:rsidR="000E3B74" w:rsidRPr="00BF20CF">
        <w:rPr>
          <w:rFonts w:ascii="Arial" w:hAnsi="Arial" w:cs="Arial"/>
          <w:b/>
          <w:bCs/>
        </w:rPr>
        <w:t>2-</w:t>
      </w:r>
      <w:r w:rsidRPr="00BF20CF">
        <w:rPr>
          <w:rFonts w:ascii="Arial" w:hAnsi="Arial" w:cs="Arial"/>
          <w:b/>
          <w:bCs/>
        </w:rPr>
        <w:t>Staff-</w:t>
      </w:r>
      <w:r w:rsidR="00BF20CF" w:rsidRPr="00BF20CF">
        <w:rPr>
          <w:rFonts w:ascii="Arial" w:hAnsi="Arial" w:cs="Arial"/>
          <w:b/>
          <w:bCs/>
        </w:rPr>
        <w:t>60</w:t>
      </w:r>
      <w:r w:rsidRPr="00BF20CF">
        <w:rPr>
          <w:rFonts w:ascii="Arial" w:hAnsi="Arial" w:cs="Arial"/>
          <w:b/>
          <w:bCs/>
        </w:rPr>
        <w:t xml:space="preserve">-1: Comparison of Actual Cost to Costs filed in the 2016-2020 Custom IR </w:t>
      </w:r>
      <w:r w:rsidR="008245DC" w:rsidRPr="00BF20CF">
        <w:rPr>
          <w:rFonts w:ascii="Arial" w:hAnsi="Arial" w:cs="Arial"/>
          <w:b/>
          <w:bCs/>
        </w:rPr>
        <w:t>($’000s)</w:t>
      </w:r>
    </w:p>
    <w:p w14:paraId="47BCCF22" w14:textId="326A5D5F" w:rsidR="003D476F" w:rsidRPr="00BF20CF" w:rsidRDefault="003D476F" w:rsidP="003041BF">
      <w:pPr>
        <w:pStyle w:val="ListParagraph"/>
        <w:autoSpaceDE w:val="0"/>
        <w:autoSpaceDN w:val="0"/>
        <w:adjustRightInd w:val="0"/>
        <w:spacing w:before="240" w:after="120" w:line="276" w:lineRule="auto"/>
        <w:rPr>
          <w:rFonts w:ascii="Arial" w:hAnsi="Arial" w:cs="Arial"/>
          <w:b/>
          <w:bCs/>
        </w:rPr>
      </w:pPr>
    </w:p>
    <w:tbl>
      <w:tblPr>
        <w:tblStyle w:val="TableGrid"/>
        <w:tblW w:w="0" w:type="auto"/>
        <w:tblInd w:w="720" w:type="dxa"/>
        <w:tblLook w:val="04A0" w:firstRow="1" w:lastRow="0" w:firstColumn="1" w:lastColumn="0" w:noHBand="0" w:noVBand="1"/>
      </w:tblPr>
      <w:tblGrid>
        <w:gridCol w:w="1724"/>
        <w:gridCol w:w="1017"/>
        <w:gridCol w:w="914"/>
        <w:gridCol w:w="1217"/>
        <w:gridCol w:w="959"/>
        <w:gridCol w:w="862"/>
        <w:gridCol w:w="1217"/>
      </w:tblGrid>
      <w:tr w:rsidR="003D476F" w:rsidRPr="00BF20CF" w14:paraId="6A16E037" w14:textId="77777777" w:rsidTr="008245DC">
        <w:trPr>
          <w:tblHeader/>
        </w:trPr>
        <w:tc>
          <w:tcPr>
            <w:tcW w:w="1724" w:type="dxa"/>
            <w:shd w:val="clear" w:color="auto" w:fill="FFFFFF" w:themeFill="background1"/>
          </w:tcPr>
          <w:p w14:paraId="2A11D318"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3148" w:type="dxa"/>
            <w:gridSpan w:val="3"/>
            <w:shd w:val="clear" w:color="auto" w:fill="FFFFFF" w:themeFill="background1"/>
          </w:tcPr>
          <w:p w14:paraId="5BFC8503" w14:textId="6F8392E0" w:rsidR="003D476F" w:rsidRPr="00BF20CF" w:rsidRDefault="003D476F" w:rsidP="003041BF">
            <w:pPr>
              <w:pStyle w:val="ListParagraph"/>
              <w:autoSpaceDE w:val="0"/>
              <w:autoSpaceDN w:val="0"/>
              <w:adjustRightInd w:val="0"/>
              <w:spacing w:before="240" w:after="120" w:line="276" w:lineRule="auto"/>
              <w:ind w:left="0"/>
              <w:jc w:val="center"/>
              <w:rPr>
                <w:rFonts w:ascii="Arial" w:hAnsi="Arial" w:cs="Arial"/>
                <w:b/>
                <w:bCs/>
              </w:rPr>
            </w:pPr>
            <w:r w:rsidRPr="00BF20CF">
              <w:rPr>
                <w:rFonts w:ascii="Arial" w:hAnsi="Arial" w:cs="Arial"/>
                <w:b/>
                <w:bCs/>
              </w:rPr>
              <w:t>Construction</w:t>
            </w:r>
            <w:r w:rsidR="008245DC" w:rsidRPr="00BF20CF">
              <w:rPr>
                <w:rStyle w:val="FootnoteReference"/>
                <w:rFonts w:ascii="Arial" w:hAnsi="Arial" w:cs="Arial"/>
                <w:b/>
                <w:bCs/>
              </w:rPr>
              <w:footnoteReference w:id="24"/>
            </w:r>
          </w:p>
        </w:tc>
        <w:tc>
          <w:tcPr>
            <w:tcW w:w="3038" w:type="dxa"/>
            <w:gridSpan w:val="3"/>
            <w:shd w:val="clear" w:color="auto" w:fill="FFFFFF" w:themeFill="background1"/>
          </w:tcPr>
          <w:p w14:paraId="0D5752F9" w14:textId="46FDEA54" w:rsidR="003D476F" w:rsidRPr="00BF20CF" w:rsidRDefault="003D476F" w:rsidP="003041BF">
            <w:pPr>
              <w:pStyle w:val="ListParagraph"/>
              <w:autoSpaceDE w:val="0"/>
              <w:autoSpaceDN w:val="0"/>
              <w:adjustRightInd w:val="0"/>
              <w:spacing w:before="240" w:after="120" w:line="276" w:lineRule="auto"/>
              <w:ind w:left="0"/>
              <w:jc w:val="center"/>
              <w:rPr>
                <w:rFonts w:ascii="Arial" w:hAnsi="Arial" w:cs="Arial"/>
                <w:b/>
                <w:bCs/>
              </w:rPr>
            </w:pPr>
            <w:r w:rsidRPr="00BF20CF">
              <w:rPr>
                <w:rFonts w:ascii="Arial" w:hAnsi="Arial" w:cs="Arial"/>
                <w:b/>
                <w:bCs/>
              </w:rPr>
              <w:t>Land</w:t>
            </w:r>
          </w:p>
        </w:tc>
      </w:tr>
      <w:tr w:rsidR="003D476F" w:rsidRPr="00BF20CF" w14:paraId="25C8D647" w14:textId="77777777" w:rsidTr="008245DC">
        <w:trPr>
          <w:tblHeader/>
        </w:trPr>
        <w:tc>
          <w:tcPr>
            <w:tcW w:w="1165" w:type="dxa"/>
            <w:shd w:val="clear" w:color="auto" w:fill="FFFFFF" w:themeFill="background1"/>
          </w:tcPr>
          <w:p w14:paraId="0AA47BF2"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212" w:type="dxa"/>
            <w:shd w:val="clear" w:color="auto" w:fill="FFFFFF" w:themeFill="background1"/>
          </w:tcPr>
          <w:p w14:paraId="63339DD9" w14:textId="61E6A73B" w:rsidR="003D476F" w:rsidRPr="00BF20CF" w:rsidRDefault="003D476F" w:rsidP="003041BF">
            <w:pPr>
              <w:pStyle w:val="ListParagraph"/>
              <w:autoSpaceDE w:val="0"/>
              <w:autoSpaceDN w:val="0"/>
              <w:adjustRightInd w:val="0"/>
              <w:spacing w:before="240" w:after="120" w:line="276" w:lineRule="auto"/>
              <w:ind w:left="0"/>
              <w:jc w:val="center"/>
              <w:rPr>
                <w:rFonts w:ascii="Arial" w:hAnsi="Arial" w:cs="Arial"/>
                <w:b/>
                <w:bCs/>
              </w:rPr>
            </w:pPr>
            <w:r w:rsidRPr="00BF20CF">
              <w:rPr>
                <w:rFonts w:ascii="Arial" w:hAnsi="Arial" w:cs="Arial"/>
                <w:b/>
                <w:bCs/>
              </w:rPr>
              <w:t>Actual</w:t>
            </w:r>
          </w:p>
        </w:tc>
        <w:tc>
          <w:tcPr>
            <w:tcW w:w="1157" w:type="dxa"/>
            <w:shd w:val="clear" w:color="auto" w:fill="FFFFFF" w:themeFill="background1"/>
          </w:tcPr>
          <w:p w14:paraId="4E3B6ABE" w14:textId="649E9545" w:rsidR="003D476F" w:rsidRPr="00BF20CF" w:rsidRDefault="003D476F" w:rsidP="003041BF">
            <w:pPr>
              <w:pStyle w:val="ListParagraph"/>
              <w:autoSpaceDE w:val="0"/>
              <w:autoSpaceDN w:val="0"/>
              <w:adjustRightInd w:val="0"/>
              <w:spacing w:before="240" w:after="120" w:line="276" w:lineRule="auto"/>
              <w:ind w:left="0"/>
              <w:jc w:val="center"/>
              <w:rPr>
                <w:rFonts w:ascii="Arial" w:hAnsi="Arial" w:cs="Arial"/>
                <w:b/>
                <w:bCs/>
              </w:rPr>
            </w:pPr>
            <w:r w:rsidRPr="00BF20CF">
              <w:rPr>
                <w:rFonts w:ascii="Arial" w:hAnsi="Arial" w:cs="Arial"/>
                <w:b/>
                <w:bCs/>
              </w:rPr>
              <w:t>Per EB-2015-0004</w:t>
            </w:r>
          </w:p>
        </w:tc>
        <w:tc>
          <w:tcPr>
            <w:tcW w:w="1217" w:type="dxa"/>
            <w:shd w:val="clear" w:color="auto" w:fill="FFFFFF" w:themeFill="background1"/>
          </w:tcPr>
          <w:p w14:paraId="587ADDDA" w14:textId="3597784C" w:rsidR="003D476F" w:rsidRPr="00BF20CF" w:rsidRDefault="003D476F" w:rsidP="003041BF">
            <w:pPr>
              <w:pStyle w:val="ListParagraph"/>
              <w:autoSpaceDE w:val="0"/>
              <w:autoSpaceDN w:val="0"/>
              <w:adjustRightInd w:val="0"/>
              <w:spacing w:before="240" w:after="120" w:line="276" w:lineRule="auto"/>
              <w:ind w:left="0"/>
              <w:jc w:val="center"/>
              <w:rPr>
                <w:rFonts w:ascii="Arial" w:hAnsi="Arial" w:cs="Arial"/>
                <w:b/>
                <w:bCs/>
              </w:rPr>
            </w:pPr>
            <w:r w:rsidRPr="00BF20CF">
              <w:rPr>
                <w:rFonts w:ascii="Arial" w:hAnsi="Arial" w:cs="Arial"/>
                <w:b/>
                <w:bCs/>
              </w:rPr>
              <w:t>Variance ($)</w:t>
            </w:r>
          </w:p>
        </w:tc>
        <w:tc>
          <w:tcPr>
            <w:tcW w:w="985" w:type="dxa"/>
            <w:shd w:val="clear" w:color="auto" w:fill="FFFFFF" w:themeFill="background1"/>
          </w:tcPr>
          <w:p w14:paraId="7C9DE46F" w14:textId="089C1917" w:rsidR="003D476F" w:rsidRPr="00BF20CF" w:rsidRDefault="003D476F" w:rsidP="003041BF">
            <w:pPr>
              <w:pStyle w:val="ListParagraph"/>
              <w:autoSpaceDE w:val="0"/>
              <w:autoSpaceDN w:val="0"/>
              <w:adjustRightInd w:val="0"/>
              <w:spacing w:before="240" w:after="120" w:line="276" w:lineRule="auto"/>
              <w:ind w:left="0"/>
              <w:jc w:val="center"/>
              <w:rPr>
                <w:rFonts w:ascii="Arial" w:hAnsi="Arial" w:cs="Arial"/>
                <w:b/>
                <w:bCs/>
              </w:rPr>
            </w:pPr>
            <w:r w:rsidRPr="00BF20CF">
              <w:rPr>
                <w:rFonts w:ascii="Arial" w:hAnsi="Arial" w:cs="Arial"/>
                <w:b/>
                <w:bCs/>
              </w:rPr>
              <w:t>Actual</w:t>
            </w:r>
          </w:p>
        </w:tc>
        <w:tc>
          <w:tcPr>
            <w:tcW w:w="957" w:type="dxa"/>
            <w:shd w:val="clear" w:color="auto" w:fill="FFFFFF" w:themeFill="background1"/>
          </w:tcPr>
          <w:p w14:paraId="50517A46" w14:textId="677B4266" w:rsidR="003D476F" w:rsidRPr="00BF20CF" w:rsidRDefault="003D476F" w:rsidP="003041BF">
            <w:pPr>
              <w:pStyle w:val="ListParagraph"/>
              <w:autoSpaceDE w:val="0"/>
              <w:autoSpaceDN w:val="0"/>
              <w:adjustRightInd w:val="0"/>
              <w:spacing w:before="240" w:after="120" w:line="276" w:lineRule="auto"/>
              <w:ind w:left="0"/>
              <w:jc w:val="center"/>
              <w:rPr>
                <w:rFonts w:ascii="Arial" w:hAnsi="Arial" w:cs="Arial"/>
                <w:b/>
                <w:bCs/>
              </w:rPr>
            </w:pPr>
            <w:r w:rsidRPr="00BF20CF">
              <w:rPr>
                <w:rFonts w:ascii="Arial" w:hAnsi="Arial" w:cs="Arial"/>
                <w:b/>
                <w:bCs/>
              </w:rPr>
              <w:t>Per EB-2015-0004</w:t>
            </w:r>
          </w:p>
        </w:tc>
        <w:tc>
          <w:tcPr>
            <w:tcW w:w="1217" w:type="dxa"/>
            <w:shd w:val="clear" w:color="auto" w:fill="FFFFFF" w:themeFill="background1"/>
          </w:tcPr>
          <w:p w14:paraId="60CCA452" w14:textId="7EAF21FC" w:rsidR="003D476F" w:rsidRPr="00BF20CF" w:rsidRDefault="003D476F" w:rsidP="003041BF">
            <w:pPr>
              <w:pStyle w:val="ListParagraph"/>
              <w:autoSpaceDE w:val="0"/>
              <w:autoSpaceDN w:val="0"/>
              <w:adjustRightInd w:val="0"/>
              <w:spacing w:before="240" w:after="120" w:line="276" w:lineRule="auto"/>
              <w:ind w:left="0"/>
              <w:jc w:val="center"/>
              <w:rPr>
                <w:rFonts w:ascii="Arial" w:hAnsi="Arial" w:cs="Arial"/>
                <w:b/>
                <w:bCs/>
              </w:rPr>
            </w:pPr>
            <w:r w:rsidRPr="00BF20CF">
              <w:rPr>
                <w:rFonts w:ascii="Arial" w:hAnsi="Arial" w:cs="Arial"/>
                <w:b/>
                <w:bCs/>
              </w:rPr>
              <w:t>Variance ($)</w:t>
            </w:r>
          </w:p>
        </w:tc>
      </w:tr>
      <w:tr w:rsidR="003D476F" w:rsidRPr="00BF20CF" w14:paraId="4E9A3BFD" w14:textId="77777777" w:rsidTr="003D476F">
        <w:trPr>
          <w:trHeight w:val="377"/>
        </w:trPr>
        <w:tc>
          <w:tcPr>
            <w:tcW w:w="7910" w:type="dxa"/>
            <w:gridSpan w:val="7"/>
          </w:tcPr>
          <w:p w14:paraId="699D3229" w14:textId="015CCF56"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r w:rsidRPr="00BF20CF">
              <w:rPr>
                <w:rFonts w:ascii="Arial" w:hAnsi="Arial" w:cs="Arial"/>
                <w:b/>
                <w:bCs/>
              </w:rPr>
              <w:t>Ease Campus</w:t>
            </w:r>
          </w:p>
        </w:tc>
      </w:tr>
      <w:tr w:rsidR="003D476F" w:rsidRPr="00BF20CF" w14:paraId="7135A2DA" w14:textId="77777777" w:rsidTr="003D476F">
        <w:tc>
          <w:tcPr>
            <w:tcW w:w="1165" w:type="dxa"/>
          </w:tcPr>
          <w:p w14:paraId="0DFC44BC" w14:textId="156CE98D" w:rsidR="003D476F" w:rsidRPr="00BF20CF" w:rsidRDefault="008245DC" w:rsidP="003041BF">
            <w:pPr>
              <w:pStyle w:val="ListParagraph"/>
              <w:autoSpaceDE w:val="0"/>
              <w:autoSpaceDN w:val="0"/>
              <w:adjustRightInd w:val="0"/>
              <w:spacing w:before="240" w:after="120" w:line="276" w:lineRule="auto"/>
              <w:ind w:left="0"/>
              <w:rPr>
                <w:rFonts w:ascii="Arial" w:hAnsi="Arial" w:cs="Arial"/>
                <w:bCs/>
              </w:rPr>
            </w:pPr>
            <w:r w:rsidRPr="00BF20CF">
              <w:rPr>
                <w:rFonts w:ascii="Arial" w:hAnsi="Arial" w:cs="Arial"/>
                <w:bCs/>
              </w:rPr>
              <w:t>EC-1 Administrative Office</w:t>
            </w:r>
          </w:p>
        </w:tc>
        <w:tc>
          <w:tcPr>
            <w:tcW w:w="1212" w:type="dxa"/>
          </w:tcPr>
          <w:p w14:paraId="21E5A263"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157" w:type="dxa"/>
          </w:tcPr>
          <w:p w14:paraId="01936B63"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217" w:type="dxa"/>
          </w:tcPr>
          <w:p w14:paraId="0F8B6A04"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985" w:type="dxa"/>
          </w:tcPr>
          <w:p w14:paraId="726EE601"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957" w:type="dxa"/>
          </w:tcPr>
          <w:p w14:paraId="237AB5CE"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217" w:type="dxa"/>
          </w:tcPr>
          <w:p w14:paraId="359D5E41"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r>
      <w:tr w:rsidR="003D476F" w:rsidRPr="00BF20CF" w14:paraId="1449C02D" w14:textId="77777777" w:rsidTr="003D476F">
        <w:tc>
          <w:tcPr>
            <w:tcW w:w="1165" w:type="dxa"/>
          </w:tcPr>
          <w:p w14:paraId="31B56AB9" w14:textId="71C10694" w:rsidR="003D476F" w:rsidRPr="00BF20CF" w:rsidRDefault="008245DC" w:rsidP="003041BF">
            <w:pPr>
              <w:pStyle w:val="ListParagraph"/>
              <w:autoSpaceDE w:val="0"/>
              <w:autoSpaceDN w:val="0"/>
              <w:adjustRightInd w:val="0"/>
              <w:spacing w:before="240" w:after="120" w:line="276" w:lineRule="auto"/>
              <w:ind w:left="0"/>
              <w:rPr>
                <w:rFonts w:ascii="Arial" w:hAnsi="Arial" w:cs="Arial"/>
                <w:bCs/>
              </w:rPr>
            </w:pPr>
            <w:r w:rsidRPr="00BF20CF">
              <w:rPr>
                <w:rFonts w:ascii="Arial" w:hAnsi="Arial" w:cs="Arial"/>
                <w:bCs/>
              </w:rPr>
              <w:t>EC-2 East Operations Centre</w:t>
            </w:r>
          </w:p>
        </w:tc>
        <w:tc>
          <w:tcPr>
            <w:tcW w:w="1212" w:type="dxa"/>
          </w:tcPr>
          <w:p w14:paraId="17CC19D8"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157" w:type="dxa"/>
          </w:tcPr>
          <w:p w14:paraId="0C0836C2"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217" w:type="dxa"/>
          </w:tcPr>
          <w:p w14:paraId="3229684D"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985" w:type="dxa"/>
          </w:tcPr>
          <w:p w14:paraId="799311CF"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957" w:type="dxa"/>
          </w:tcPr>
          <w:p w14:paraId="1A1F291D"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217" w:type="dxa"/>
          </w:tcPr>
          <w:p w14:paraId="3878FB34"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r>
      <w:tr w:rsidR="003D476F" w:rsidRPr="00BF20CF" w14:paraId="489BF6D1" w14:textId="77777777" w:rsidTr="003D476F">
        <w:tc>
          <w:tcPr>
            <w:tcW w:w="1165" w:type="dxa"/>
          </w:tcPr>
          <w:p w14:paraId="6C5E405B" w14:textId="35529D87" w:rsidR="003D476F" w:rsidRPr="00BF20CF" w:rsidRDefault="008245DC" w:rsidP="003041BF">
            <w:pPr>
              <w:pStyle w:val="ListParagraph"/>
              <w:autoSpaceDE w:val="0"/>
              <w:autoSpaceDN w:val="0"/>
              <w:adjustRightInd w:val="0"/>
              <w:spacing w:before="240" w:after="120" w:line="276" w:lineRule="auto"/>
              <w:ind w:left="0"/>
              <w:rPr>
                <w:rFonts w:ascii="Arial" w:hAnsi="Arial" w:cs="Arial"/>
                <w:bCs/>
              </w:rPr>
            </w:pPr>
            <w:r w:rsidRPr="00BF20CF">
              <w:rPr>
                <w:rFonts w:ascii="Arial" w:hAnsi="Arial" w:cs="Arial"/>
                <w:bCs/>
              </w:rPr>
              <w:t>EC-3 PILC Storage</w:t>
            </w:r>
          </w:p>
        </w:tc>
        <w:tc>
          <w:tcPr>
            <w:tcW w:w="1212" w:type="dxa"/>
          </w:tcPr>
          <w:p w14:paraId="76D7E43B"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157" w:type="dxa"/>
          </w:tcPr>
          <w:p w14:paraId="535BB154"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217" w:type="dxa"/>
          </w:tcPr>
          <w:p w14:paraId="7FAED421"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985" w:type="dxa"/>
          </w:tcPr>
          <w:p w14:paraId="710CF66A"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957" w:type="dxa"/>
          </w:tcPr>
          <w:p w14:paraId="1956273D"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217" w:type="dxa"/>
          </w:tcPr>
          <w:p w14:paraId="192C03D6"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r>
      <w:tr w:rsidR="003D476F" w:rsidRPr="00BF20CF" w14:paraId="3A2A2DDF" w14:textId="77777777" w:rsidTr="003D476F">
        <w:tc>
          <w:tcPr>
            <w:tcW w:w="1165" w:type="dxa"/>
          </w:tcPr>
          <w:p w14:paraId="2258941B" w14:textId="5F9E9DE2" w:rsidR="003D476F" w:rsidRPr="00BF20CF" w:rsidRDefault="008245DC" w:rsidP="003041BF">
            <w:pPr>
              <w:pStyle w:val="ListParagraph"/>
              <w:autoSpaceDE w:val="0"/>
              <w:autoSpaceDN w:val="0"/>
              <w:adjustRightInd w:val="0"/>
              <w:spacing w:before="240" w:after="120" w:line="276" w:lineRule="auto"/>
              <w:ind w:left="0"/>
              <w:rPr>
                <w:rFonts w:ascii="Arial" w:hAnsi="Arial" w:cs="Arial"/>
                <w:b/>
                <w:bCs/>
              </w:rPr>
            </w:pPr>
            <w:r w:rsidRPr="00BF20CF">
              <w:rPr>
                <w:rFonts w:ascii="Arial" w:hAnsi="Arial" w:cs="Arial"/>
                <w:b/>
                <w:bCs/>
              </w:rPr>
              <w:t>Sub-total</w:t>
            </w:r>
          </w:p>
        </w:tc>
        <w:tc>
          <w:tcPr>
            <w:tcW w:w="1212" w:type="dxa"/>
          </w:tcPr>
          <w:p w14:paraId="3B36A407"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157" w:type="dxa"/>
          </w:tcPr>
          <w:p w14:paraId="3A3F80AD"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217" w:type="dxa"/>
          </w:tcPr>
          <w:p w14:paraId="31384869"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985" w:type="dxa"/>
          </w:tcPr>
          <w:p w14:paraId="573EBCA2"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957" w:type="dxa"/>
          </w:tcPr>
          <w:p w14:paraId="1CD7808D"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c>
          <w:tcPr>
            <w:tcW w:w="1217" w:type="dxa"/>
          </w:tcPr>
          <w:p w14:paraId="126B51B4" w14:textId="77777777" w:rsidR="003D476F" w:rsidRPr="00BF20CF" w:rsidRDefault="003D476F" w:rsidP="003041BF">
            <w:pPr>
              <w:pStyle w:val="ListParagraph"/>
              <w:autoSpaceDE w:val="0"/>
              <w:autoSpaceDN w:val="0"/>
              <w:adjustRightInd w:val="0"/>
              <w:spacing w:before="240" w:after="120" w:line="276" w:lineRule="auto"/>
              <w:ind w:left="0"/>
              <w:rPr>
                <w:rFonts w:ascii="Arial" w:hAnsi="Arial" w:cs="Arial"/>
                <w:b/>
                <w:bCs/>
              </w:rPr>
            </w:pPr>
          </w:p>
        </w:tc>
      </w:tr>
      <w:tr w:rsidR="008245DC" w:rsidRPr="00BF20CF" w14:paraId="3FB06EF4" w14:textId="77777777" w:rsidTr="0061245F">
        <w:tc>
          <w:tcPr>
            <w:tcW w:w="7910" w:type="dxa"/>
            <w:gridSpan w:val="7"/>
          </w:tcPr>
          <w:p w14:paraId="63BC08F4" w14:textId="4F546C43"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r w:rsidRPr="00BF20CF">
              <w:rPr>
                <w:rFonts w:ascii="Arial" w:hAnsi="Arial" w:cs="Arial"/>
                <w:b/>
                <w:bCs/>
              </w:rPr>
              <w:t>South Campus</w:t>
            </w:r>
          </w:p>
        </w:tc>
      </w:tr>
      <w:tr w:rsidR="008245DC" w:rsidRPr="00BF20CF" w14:paraId="2ACC4D38" w14:textId="77777777" w:rsidTr="008245DC">
        <w:tc>
          <w:tcPr>
            <w:tcW w:w="1724" w:type="dxa"/>
          </w:tcPr>
          <w:p w14:paraId="25686EEE" w14:textId="378CF7E1" w:rsidR="008245DC" w:rsidRPr="00BF20CF" w:rsidRDefault="008245DC" w:rsidP="003041BF">
            <w:pPr>
              <w:pStyle w:val="ListParagraph"/>
              <w:autoSpaceDE w:val="0"/>
              <w:autoSpaceDN w:val="0"/>
              <w:adjustRightInd w:val="0"/>
              <w:spacing w:before="240" w:after="120" w:line="276" w:lineRule="auto"/>
              <w:ind w:left="0"/>
              <w:rPr>
                <w:rFonts w:ascii="Arial" w:hAnsi="Arial" w:cs="Arial"/>
                <w:bCs/>
              </w:rPr>
            </w:pPr>
            <w:r w:rsidRPr="00BF20CF">
              <w:rPr>
                <w:rFonts w:ascii="Arial" w:hAnsi="Arial" w:cs="Arial"/>
                <w:bCs/>
              </w:rPr>
              <w:t>SC-1 South Operations Centre and Warehouse</w:t>
            </w:r>
          </w:p>
        </w:tc>
        <w:tc>
          <w:tcPr>
            <w:tcW w:w="1017" w:type="dxa"/>
          </w:tcPr>
          <w:p w14:paraId="32745CEE" w14:textId="77777777"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p>
        </w:tc>
        <w:tc>
          <w:tcPr>
            <w:tcW w:w="914" w:type="dxa"/>
          </w:tcPr>
          <w:p w14:paraId="351DE057" w14:textId="77777777"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p>
        </w:tc>
        <w:tc>
          <w:tcPr>
            <w:tcW w:w="1217" w:type="dxa"/>
          </w:tcPr>
          <w:p w14:paraId="56344731" w14:textId="77777777"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p>
        </w:tc>
        <w:tc>
          <w:tcPr>
            <w:tcW w:w="959" w:type="dxa"/>
          </w:tcPr>
          <w:p w14:paraId="2E9BF79F" w14:textId="77777777"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p>
        </w:tc>
        <w:tc>
          <w:tcPr>
            <w:tcW w:w="862" w:type="dxa"/>
          </w:tcPr>
          <w:p w14:paraId="307759EB" w14:textId="77777777"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p>
        </w:tc>
        <w:tc>
          <w:tcPr>
            <w:tcW w:w="1217" w:type="dxa"/>
          </w:tcPr>
          <w:p w14:paraId="6DC146F6" w14:textId="77777777"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p>
        </w:tc>
      </w:tr>
      <w:tr w:rsidR="008245DC" w:rsidRPr="00BF20CF" w14:paraId="73C94EF4" w14:textId="77777777" w:rsidTr="008245DC">
        <w:tc>
          <w:tcPr>
            <w:tcW w:w="1724" w:type="dxa"/>
          </w:tcPr>
          <w:p w14:paraId="56448517" w14:textId="47A25EA0"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r w:rsidRPr="00BF20CF">
              <w:rPr>
                <w:rFonts w:ascii="Arial" w:hAnsi="Arial" w:cs="Arial"/>
                <w:b/>
                <w:bCs/>
              </w:rPr>
              <w:t>Total</w:t>
            </w:r>
          </w:p>
        </w:tc>
        <w:tc>
          <w:tcPr>
            <w:tcW w:w="1017" w:type="dxa"/>
          </w:tcPr>
          <w:p w14:paraId="1DB299C0" w14:textId="77777777"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p>
        </w:tc>
        <w:tc>
          <w:tcPr>
            <w:tcW w:w="914" w:type="dxa"/>
          </w:tcPr>
          <w:p w14:paraId="67C11EC8" w14:textId="77777777"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p>
        </w:tc>
        <w:tc>
          <w:tcPr>
            <w:tcW w:w="1217" w:type="dxa"/>
          </w:tcPr>
          <w:p w14:paraId="76C6DC28" w14:textId="77777777"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p>
        </w:tc>
        <w:tc>
          <w:tcPr>
            <w:tcW w:w="959" w:type="dxa"/>
          </w:tcPr>
          <w:p w14:paraId="45F8F440" w14:textId="77777777"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p>
        </w:tc>
        <w:tc>
          <w:tcPr>
            <w:tcW w:w="862" w:type="dxa"/>
          </w:tcPr>
          <w:p w14:paraId="7ABF0FB1" w14:textId="77777777"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p>
        </w:tc>
        <w:tc>
          <w:tcPr>
            <w:tcW w:w="1217" w:type="dxa"/>
          </w:tcPr>
          <w:p w14:paraId="0EC9EE58" w14:textId="77777777" w:rsidR="008245DC" w:rsidRPr="00BF20CF" w:rsidRDefault="008245DC" w:rsidP="003041BF">
            <w:pPr>
              <w:pStyle w:val="ListParagraph"/>
              <w:autoSpaceDE w:val="0"/>
              <w:autoSpaceDN w:val="0"/>
              <w:adjustRightInd w:val="0"/>
              <w:spacing w:before="240" w:after="120" w:line="276" w:lineRule="auto"/>
              <w:ind w:left="0"/>
              <w:rPr>
                <w:rFonts w:ascii="Arial" w:hAnsi="Arial" w:cs="Arial"/>
                <w:b/>
                <w:bCs/>
              </w:rPr>
            </w:pPr>
          </w:p>
        </w:tc>
      </w:tr>
    </w:tbl>
    <w:p w14:paraId="37CB48AC" w14:textId="6720CADA" w:rsidR="00FC1864" w:rsidRPr="00BF20CF" w:rsidRDefault="00FC1864" w:rsidP="00876E97">
      <w:pPr>
        <w:pStyle w:val="ListParagraph"/>
        <w:numPr>
          <w:ilvl w:val="0"/>
          <w:numId w:val="22"/>
        </w:numPr>
        <w:autoSpaceDE w:val="0"/>
        <w:autoSpaceDN w:val="0"/>
        <w:adjustRightInd w:val="0"/>
        <w:spacing w:before="240" w:after="120" w:line="276" w:lineRule="auto"/>
        <w:rPr>
          <w:rFonts w:ascii="Arial" w:hAnsi="Arial" w:cs="Arial"/>
          <w:bCs/>
        </w:rPr>
      </w:pPr>
      <w:r w:rsidRPr="00BF20CF">
        <w:rPr>
          <w:rFonts w:ascii="Arial" w:hAnsi="Arial" w:cs="Arial"/>
          <w:bCs/>
        </w:rPr>
        <w:t>Please provide a breakdown of the total project cost of $99.5 million by year.</w:t>
      </w:r>
    </w:p>
    <w:p w14:paraId="70130275" w14:textId="77777777" w:rsidR="00CA7CB7" w:rsidRPr="00BF20CF" w:rsidRDefault="00CA7CB7" w:rsidP="00CA7CB7">
      <w:pPr>
        <w:pStyle w:val="ListParagraph"/>
        <w:autoSpaceDE w:val="0"/>
        <w:autoSpaceDN w:val="0"/>
        <w:adjustRightInd w:val="0"/>
        <w:spacing w:before="240" w:after="120" w:line="276" w:lineRule="auto"/>
        <w:rPr>
          <w:rFonts w:ascii="Arial" w:hAnsi="Arial" w:cs="Arial"/>
          <w:bCs/>
        </w:rPr>
      </w:pPr>
    </w:p>
    <w:p w14:paraId="6ED9B275" w14:textId="224B3559" w:rsidR="006B3D6B" w:rsidRPr="00BF20CF" w:rsidRDefault="000C1A1A" w:rsidP="00876E97">
      <w:pPr>
        <w:pStyle w:val="ListParagraph"/>
        <w:numPr>
          <w:ilvl w:val="0"/>
          <w:numId w:val="22"/>
        </w:numPr>
        <w:autoSpaceDE w:val="0"/>
        <w:autoSpaceDN w:val="0"/>
        <w:adjustRightInd w:val="0"/>
        <w:spacing w:before="240" w:after="120" w:line="276" w:lineRule="auto"/>
        <w:rPr>
          <w:rFonts w:ascii="Arial" w:hAnsi="Arial" w:cs="Arial"/>
          <w:bCs/>
        </w:rPr>
      </w:pPr>
      <w:r w:rsidRPr="00BF20CF">
        <w:rPr>
          <w:rFonts w:ascii="Arial" w:hAnsi="Arial" w:cs="Arial"/>
          <w:bCs/>
        </w:rPr>
        <w:t>Regarding</w:t>
      </w:r>
      <w:r w:rsidR="006B3D6B" w:rsidRPr="00BF20CF">
        <w:rPr>
          <w:rFonts w:ascii="Arial" w:hAnsi="Arial" w:cs="Arial"/>
          <w:bCs/>
        </w:rPr>
        <w:t xml:space="preserve"> land area requirement, the OEB found in the 2015 decision </w:t>
      </w:r>
      <w:r w:rsidR="007C14EE" w:rsidRPr="00BF20CF">
        <w:rPr>
          <w:rFonts w:ascii="Arial" w:hAnsi="Arial" w:cs="Arial"/>
          <w:bCs/>
        </w:rPr>
        <w:t>that “The total cost of $19 million includes 9 acres of excess land value at $4 million. The benefit to customers associated with the $4 million cost of excess land has also not been explained”.</w:t>
      </w:r>
      <w:r w:rsidR="00A67477" w:rsidRPr="00BF20CF">
        <w:rPr>
          <w:rStyle w:val="FootnoteReference"/>
          <w:rFonts w:ascii="Arial" w:hAnsi="Arial" w:cs="Arial"/>
          <w:bCs/>
        </w:rPr>
        <w:footnoteReference w:id="25"/>
      </w:r>
      <w:r w:rsidR="007C14EE" w:rsidRPr="00BF20CF">
        <w:rPr>
          <w:rFonts w:ascii="Arial" w:hAnsi="Arial" w:cs="Arial"/>
          <w:bCs/>
        </w:rPr>
        <w:t xml:space="preserve"> Please explain the benefit to </w:t>
      </w:r>
      <w:r w:rsidR="007C14EE" w:rsidRPr="00BF20CF">
        <w:rPr>
          <w:rFonts w:ascii="Arial" w:hAnsi="Arial" w:cs="Arial"/>
          <w:bCs/>
        </w:rPr>
        <w:lastRenderedPageBreak/>
        <w:t>customers associated with the $4 million cost of excess land compared to the original land estimate of 32 acres for $15 million.</w:t>
      </w:r>
    </w:p>
    <w:p w14:paraId="3A4A5B11" w14:textId="77777777" w:rsidR="00CA7CB7" w:rsidRPr="00BF20CF" w:rsidRDefault="00CA7CB7" w:rsidP="00CA7CB7">
      <w:pPr>
        <w:pStyle w:val="ListParagraph"/>
        <w:autoSpaceDE w:val="0"/>
        <w:autoSpaceDN w:val="0"/>
        <w:adjustRightInd w:val="0"/>
        <w:spacing w:before="240" w:after="120" w:line="276" w:lineRule="auto"/>
        <w:rPr>
          <w:rFonts w:ascii="Arial" w:hAnsi="Arial" w:cs="Arial"/>
          <w:bCs/>
        </w:rPr>
      </w:pPr>
    </w:p>
    <w:p w14:paraId="47A43D5C" w14:textId="53B6E8AE" w:rsidR="007C14EE" w:rsidRPr="00BF20CF" w:rsidRDefault="007C14EE" w:rsidP="00876E97">
      <w:pPr>
        <w:pStyle w:val="ListParagraph"/>
        <w:numPr>
          <w:ilvl w:val="0"/>
          <w:numId w:val="22"/>
        </w:numPr>
        <w:autoSpaceDE w:val="0"/>
        <w:autoSpaceDN w:val="0"/>
        <w:adjustRightInd w:val="0"/>
        <w:spacing w:before="240" w:after="120" w:line="276" w:lineRule="auto"/>
        <w:rPr>
          <w:rFonts w:ascii="Arial" w:hAnsi="Arial" w:cs="Arial"/>
          <w:bCs/>
        </w:rPr>
      </w:pPr>
      <w:r w:rsidRPr="00BF20CF">
        <w:rPr>
          <w:rFonts w:ascii="Arial" w:hAnsi="Arial" w:cs="Arial"/>
          <w:bCs/>
        </w:rPr>
        <w:t>Please explain why the 9 acres of excess land is necessary compared to the original land estimate of 32 acres.</w:t>
      </w:r>
    </w:p>
    <w:p w14:paraId="2B094F94" w14:textId="77777777" w:rsidR="00CA7CB7" w:rsidRPr="00BF20CF" w:rsidRDefault="00CA7CB7" w:rsidP="00CA7CB7">
      <w:pPr>
        <w:pStyle w:val="ListParagraph"/>
        <w:autoSpaceDE w:val="0"/>
        <w:autoSpaceDN w:val="0"/>
        <w:adjustRightInd w:val="0"/>
        <w:spacing w:before="240" w:after="120" w:line="276" w:lineRule="auto"/>
        <w:rPr>
          <w:rFonts w:ascii="Arial" w:hAnsi="Arial" w:cs="Arial"/>
          <w:bCs/>
        </w:rPr>
      </w:pPr>
    </w:p>
    <w:p w14:paraId="0C52B934" w14:textId="32E0303D" w:rsidR="00290B07" w:rsidRPr="00BF20CF" w:rsidRDefault="003E39AC" w:rsidP="00876E97">
      <w:pPr>
        <w:pStyle w:val="ListParagraph"/>
        <w:numPr>
          <w:ilvl w:val="0"/>
          <w:numId w:val="22"/>
        </w:numPr>
        <w:autoSpaceDE w:val="0"/>
        <w:autoSpaceDN w:val="0"/>
        <w:adjustRightInd w:val="0"/>
        <w:spacing w:before="240" w:after="120" w:line="276" w:lineRule="auto"/>
        <w:rPr>
          <w:rFonts w:ascii="Arial" w:hAnsi="Arial" w:cs="Arial"/>
          <w:bCs/>
        </w:rPr>
      </w:pPr>
      <w:r w:rsidRPr="00BF20CF">
        <w:rPr>
          <w:rFonts w:ascii="Arial" w:hAnsi="Arial" w:cs="Arial"/>
          <w:bCs/>
        </w:rPr>
        <w:t>Please explain whether the size of the EC-1 Administrative Office (127,132 square feet) provides any additional office space that can accommodate future staff growth. If so, plea</w:t>
      </w:r>
      <w:r w:rsidR="009679F7" w:rsidRPr="00BF20CF">
        <w:rPr>
          <w:rFonts w:ascii="Arial" w:hAnsi="Arial" w:cs="Arial"/>
          <w:bCs/>
        </w:rPr>
        <w:t>se provide an estimate of the additional space available in the building. If not, why not.</w:t>
      </w:r>
    </w:p>
    <w:p w14:paraId="5DA75C51" w14:textId="77777777" w:rsidR="00CA7CB7" w:rsidRPr="00BF20CF" w:rsidRDefault="00CA7CB7" w:rsidP="00CA7CB7">
      <w:pPr>
        <w:pStyle w:val="ListParagraph"/>
        <w:autoSpaceDE w:val="0"/>
        <w:autoSpaceDN w:val="0"/>
        <w:adjustRightInd w:val="0"/>
        <w:spacing w:before="240" w:after="120" w:line="276" w:lineRule="auto"/>
        <w:rPr>
          <w:rFonts w:ascii="Arial" w:hAnsi="Arial" w:cs="Arial"/>
          <w:bCs/>
        </w:rPr>
      </w:pPr>
    </w:p>
    <w:p w14:paraId="443B0D47" w14:textId="529ADBF2" w:rsidR="00DF402D" w:rsidRPr="00BF20CF" w:rsidRDefault="00A407EF" w:rsidP="00876E97">
      <w:pPr>
        <w:pStyle w:val="ListParagraph"/>
        <w:numPr>
          <w:ilvl w:val="0"/>
          <w:numId w:val="22"/>
        </w:numPr>
        <w:autoSpaceDE w:val="0"/>
        <w:autoSpaceDN w:val="0"/>
        <w:adjustRightInd w:val="0"/>
        <w:spacing w:before="240" w:after="120" w:line="276" w:lineRule="auto"/>
        <w:rPr>
          <w:rFonts w:ascii="Arial" w:hAnsi="Arial" w:cs="Arial"/>
          <w:bCs/>
        </w:rPr>
      </w:pPr>
      <w:r w:rsidRPr="00BF20CF">
        <w:rPr>
          <w:rFonts w:ascii="Arial" w:hAnsi="Arial" w:cs="Arial"/>
          <w:bCs/>
        </w:rPr>
        <w:t xml:space="preserve">OEB staff notes that on a cost/sq. ft. basis, the actual cost </w:t>
      </w:r>
      <w:r w:rsidR="0090196F" w:rsidRPr="00BF20CF">
        <w:rPr>
          <w:rFonts w:ascii="Arial" w:hAnsi="Arial" w:cs="Arial"/>
          <w:bCs/>
        </w:rPr>
        <w:t xml:space="preserve">for EC-1 Administrative Office </w:t>
      </w:r>
      <w:r w:rsidRPr="00BF20CF">
        <w:rPr>
          <w:rFonts w:ascii="Arial" w:hAnsi="Arial" w:cs="Arial"/>
          <w:bCs/>
        </w:rPr>
        <w:t>increased from the projected $265/sq. ft.</w:t>
      </w:r>
      <w:r w:rsidRPr="00BF20CF">
        <w:rPr>
          <w:rStyle w:val="FootnoteReference"/>
          <w:rFonts w:ascii="Arial" w:hAnsi="Arial" w:cs="Arial"/>
          <w:bCs/>
        </w:rPr>
        <w:footnoteReference w:id="26"/>
      </w:r>
      <w:r w:rsidRPr="00BF20CF">
        <w:rPr>
          <w:rFonts w:ascii="Arial" w:hAnsi="Arial" w:cs="Arial"/>
          <w:bCs/>
        </w:rPr>
        <w:t xml:space="preserve"> to $372/sq. ft. (40% increase), please discuss why the OEB </w:t>
      </w:r>
      <w:r w:rsidR="00914013" w:rsidRPr="00BF20CF">
        <w:rPr>
          <w:rFonts w:ascii="Arial" w:hAnsi="Arial" w:cs="Arial"/>
          <w:bCs/>
        </w:rPr>
        <w:t xml:space="preserve">should accept </w:t>
      </w:r>
      <w:r w:rsidR="0090196F" w:rsidRPr="00BF20CF">
        <w:rPr>
          <w:rFonts w:ascii="Arial" w:hAnsi="Arial" w:cs="Arial"/>
          <w:bCs/>
        </w:rPr>
        <w:t xml:space="preserve">the actual spending on EC-1 as prudent considering the actual cost is 40% higher than </w:t>
      </w:r>
      <w:r w:rsidR="00290B07" w:rsidRPr="00BF20CF">
        <w:rPr>
          <w:rFonts w:ascii="Arial" w:hAnsi="Arial" w:cs="Arial"/>
          <w:bCs/>
        </w:rPr>
        <w:t>the projected cost.</w:t>
      </w:r>
    </w:p>
    <w:p w14:paraId="408D78E1" w14:textId="268AA8B5"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2-Staff-61</w:t>
      </w:r>
    </w:p>
    <w:p w14:paraId="11717F76" w14:textId="64D83844" w:rsidR="00DF402D" w:rsidRPr="00BF20CF" w:rsidRDefault="00DF402D" w:rsidP="003041BF">
      <w:pPr>
        <w:rPr>
          <w:rFonts w:ascii="Arial" w:hAnsi="Arial" w:cs="Arial"/>
          <w:b/>
        </w:rPr>
      </w:pPr>
      <w:r w:rsidRPr="00BF20CF">
        <w:rPr>
          <w:rFonts w:ascii="Arial" w:hAnsi="Arial" w:cs="Arial"/>
          <w:b/>
        </w:rPr>
        <w:t>Ref:</w:t>
      </w:r>
      <w:r w:rsidRPr="00BF20CF">
        <w:rPr>
          <w:rFonts w:ascii="Arial" w:hAnsi="Arial" w:cs="Arial"/>
          <w:b/>
        </w:rPr>
        <w:tab/>
        <w:t>Exhibit 2/Tab 1/Schedule 1/Attachment A/pp. 43-44 of 73</w:t>
      </w:r>
    </w:p>
    <w:p w14:paraId="55F36D55" w14:textId="61EEC06D" w:rsidR="00F37F79" w:rsidRPr="00BF20CF" w:rsidRDefault="00F37F79" w:rsidP="003041BF">
      <w:pPr>
        <w:ind w:left="720"/>
        <w:rPr>
          <w:rFonts w:ascii="Arial" w:hAnsi="Arial" w:cs="Arial"/>
          <w:b/>
        </w:rPr>
      </w:pPr>
      <w:r w:rsidRPr="00BF20CF">
        <w:rPr>
          <w:rFonts w:ascii="Arial" w:hAnsi="Arial" w:cs="Arial"/>
          <w:b/>
        </w:rPr>
        <w:t>EB-2015-0004/Settlement Proposal/Refiled December 7, 2015/page 15 of 60</w:t>
      </w:r>
    </w:p>
    <w:p w14:paraId="354C9052" w14:textId="1C719F48" w:rsidR="00DF402D" w:rsidRPr="00BF20CF" w:rsidRDefault="004007B9"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A2DC389" w14:textId="39DB5F95" w:rsidR="00F37F79" w:rsidRPr="00BF20CF" w:rsidRDefault="00F37F79" w:rsidP="009B4AE3">
      <w:pPr>
        <w:spacing w:line="276" w:lineRule="auto"/>
        <w:rPr>
          <w:rFonts w:ascii="Arial" w:hAnsi="Arial" w:cs="Arial"/>
        </w:rPr>
      </w:pPr>
      <w:r w:rsidRPr="00BF20CF">
        <w:rPr>
          <w:rFonts w:ascii="Arial" w:hAnsi="Arial" w:cs="Arial"/>
        </w:rPr>
        <w:t xml:space="preserve">The settlement agreement from the 2016-2020 Custom IR stated </w:t>
      </w:r>
      <w:r w:rsidR="00C92D64" w:rsidRPr="00BF20CF">
        <w:rPr>
          <w:rFonts w:ascii="Arial" w:hAnsi="Arial" w:cs="Arial"/>
        </w:rPr>
        <w:t>that value of the old facilities replaced by new facilities will be removed from rate base within the same calendar year of the new Administrative building going into service, or upon the sale of the old facilities, if that is earlier.</w:t>
      </w:r>
    </w:p>
    <w:p w14:paraId="6ADD6D40" w14:textId="77777777" w:rsidR="00F37F79" w:rsidRPr="00BF20CF" w:rsidRDefault="00F37F79" w:rsidP="009B4AE3">
      <w:pPr>
        <w:spacing w:line="276" w:lineRule="auto"/>
        <w:rPr>
          <w:rFonts w:ascii="Arial" w:hAnsi="Arial" w:cs="Arial"/>
        </w:rPr>
      </w:pPr>
    </w:p>
    <w:p w14:paraId="2FC771DE" w14:textId="76B1FD4E" w:rsidR="00DF402D" w:rsidRPr="00BF20CF" w:rsidRDefault="00DF402D" w:rsidP="009B4AE3">
      <w:pPr>
        <w:spacing w:line="276" w:lineRule="auto"/>
        <w:rPr>
          <w:rFonts w:ascii="Arial" w:hAnsi="Arial" w:cs="Arial"/>
        </w:rPr>
      </w:pPr>
      <w:r w:rsidRPr="00BF20CF">
        <w:rPr>
          <w:rFonts w:ascii="Arial" w:hAnsi="Arial" w:cs="Arial"/>
        </w:rPr>
        <w:t xml:space="preserve">Hydro Ottawa noted that </w:t>
      </w:r>
      <w:r w:rsidR="00C92D64" w:rsidRPr="00BF20CF">
        <w:rPr>
          <w:rFonts w:ascii="Arial" w:hAnsi="Arial" w:cs="Arial"/>
        </w:rPr>
        <w:t xml:space="preserve">the Merivale Road, Albion Road Property A and Property C have been removed from rate base effective September 30, 2019. However, </w:t>
      </w:r>
      <w:r w:rsidRPr="00BF20CF">
        <w:rPr>
          <w:rFonts w:ascii="Arial" w:hAnsi="Arial" w:cs="Arial"/>
        </w:rPr>
        <w:t xml:space="preserve">in order to help control project costs, it was decided by the Executive Management Team to retain </w:t>
      </w:r>
      <w:r w:rsidR="00F37F79" w:rsidRPr="00BF20CF">
        <w:rPr>
          <w:rFonts w:ascii="Arial" w:hAnsi="Arial" w:cs="Arial"/>
        </w:rPr>
        <w:t xml:space="preserve">the Bank Street facility for training </w:t>
      </w:r>
      <w:proofErr w:type="spellStart"/>
      <w:r w:rsidR="00F37F79" w:rsidRPr="00BF20CF">
        <w:rPr>
          <w:rFonts w:ascii="Arial" w:hAnsi="Arial" w:cs="Arial"/>
        </w:rPr>
        <w:t>centre</w:t>
      </w:r>
      <w:proofErr w:type="spellEnd"/>
      <w:r w:rsidR="00F37F79" w:rsidRPr="00BF20CF">
        <w:rPr>
          <w:rFonts w:ascii="Arial" w:hAnsi="Arial" w:cs="Arial"/>
        </w:rPr>
        <w:t xml:space="preserve"> and fleet management purposes instead of building new facilities for these functions.</w:t>
      </w:r>
      <w:r w:rsidR="00C92D64" w:rsidRPr="00BF20CF">
        <w:rPr>
          <w:rFonts w:ascii="Arial" w:hAnsi="Arial" w:cs="Arial"/>
        </w:rPr>
        <w:t xml:space="preserve"> Albion Road B property is also being retained as there is a transformer station on that site.</w:t>
      </w:r>
    </w:p>
    <w:p w14:paraId="2720AF28" w14:textId="77777777" w:rsidR="00BA2815" w:rsidRPr="00BF20CF" w:rsidRDefault="00BA2815" w:rsidP="003041BF">
      <w:pPr>
        <w:autoSpaceDE w:val="0"/>
        <w:autoSpaceDN w:val="0"/>
        <w:adjustRightInd w:val="0"/>
        <w:spacing w:before="240" w:after="120" w:line="276" w:lineRule="auto"/>
        <w:rPr>
          <w:rFonts w:ascii="Arial" w:hAnsi="Arial" w:cs="Arial"/>
          <w:bCs/>
        </w:rPr>
      </w:pPr>
      <w:r w:rsidRPr="00BF20CF">
        <w:rPr>
          <w:rFonts w:ascii="Arial" w:hAnsi="Arial" w:cs="Arial"/>
          <w:bCs/>
        </w:rPr>
        <w:br w:type="page"/>
      </w:r>
    </w:p>
    <w:p w14:paraId="254F883B" w14:textId="137914D3" w:rsidR="004007B9" w:rsidRPr="00BF20CF" w:rsidRDefault="004007B9" w:rsidP="003041BF">
      <w:pPr>
        <w:autoSpaceDE w:val="0"/>
        <w:autoSpaceDN w:val="0"/>
        <w:adjustRightInd w:val="0"/>
        <w:spacing w:before="240" w:after="120" w:line="276" w:lineRule="auto"/>
        <w:rPr>
          <w:rFonts w:ascii="Arial" w:hAnsi="Arial" w:cs="Arial"/>
          <w:bCs/>
        </w:rPr>
      </w:pPr>
      <w:r w:rsidRPr="00BF20CF">
        <w:rPr>
          <w:rFonts w:ascii="Arial" w:hAnsi="Arial" w:cs="Arial"/>
          <w:bCs/>
        </w:rPr>
        <w:lastRenderedPageBreak/>
        <w:t>Question(s):</w:t>
      </w:r>
    </w:p>
    <w:p w14:paraId="195D1318" w14:textId="5C1777BB" w:rsidR="00F37F79" w:rsidRPr="00BF20CF" w:rsidRDefault="00F37F79" w:rsidP="00876E97">
      <w:pPr>
        <w:pStyle w:val="ListParagraph"/>
        <w:numPr>
          <w:ilvl w:val="0"/>
          <w:numId w:val="11"/>
        </w:numPr>
        <w:spacing w:line="276" w:lineRule="auto"/>
        <w:rPr>
          <w:rFonts w:ascii="Arial" w:hAnsi="Arial" w:cs="Arial"/>
        </w:rPr>
      </w:pPr>
      <w:r w:rsidRPr="00BF20CF">
        <w:rPr>
          <w:rFonts w:ascii="Arial" w:hAnsi="Arial" w:cs="Arial"/>
        </w:rPr>
        <w:t>Please provide the net book value of the Bank Street facility as of December 31, 2019.</w:t>
      </w:r>
    </w:p>
    <w:p w14:paraId="3BD89F0E" w14:textId="29272376" w:rsidR="00CA7CB7" w:rsidRPr="00BF20CF" w:rsidRDefault="00CA7CB7" w:rsidP="001A01BD">
      <w:pPr>
        <w:spacing w:line="276" w:lineRule="auto"/>
        <w:rPr>
          <w:rFonts w:ascii="Arial" w:hAnsi="Arial" w:cs="Arial"/>
        </w:rPr>
      </w:pPr>
    </w:p>
    <w:p w14:paraId="0A082647" w14:textId="30C86BB0" w:rsidR="00C92D64" w:rsidRPr="00BF20CF" w:rsidRDefault="00C92D64" w:rsidP="00876E97">
      <w:pPr>
        <w:pStyle w:val="ListParagraph"/>
        <w:numPr>
          <w:ilvl w:val="0"/>
          <w:numId w:val="11"/>
        </w:numPr>
        <w:spacing w:line="276" w:lineRule="auto"/>
        <w:rPr>
          <w:rFonts w:ascii="Arial" w:hAnsi="Arial" w:cs="Arial"/>
        </w:rPr>
      </w:pPr>
      <w:r w:rsidRPr="00BF20CF">
        <w:rPr>
          <w:rFonts w:ascii="Arial" w:hAnsi="Arial" w:cs="Arial"/>
        </w:rPr>
        <w:t>Please provide the remaining servi</w:t>
      </w:r>
      <w:r w:rsidR="008E0CF2" w:rsidRPr="00BF20CF">
        <w:rPr>
          <w:rFonts w:ascii="Arial" w:hAnsi="Arial" w:cs="Arial"/>
        </w:rPr>
        <w:t xml:space="preserve">ce life </w:t>
      </w:r>
      <w:r w:rsidR="003C2D91" w:rsidRPr="00BF20CF">
        <w:rPr>
          <w:rFonts w:ascii="Arial" w:hAnsi="Arial" w:cs="Arial"/>
        </w:rPr>
        <w:t>of</w:t>
      </w:r>
      <w:r w:rsidRPr="00BF20CF">
        <w:rPr>
          <w:rFonts w:ascii="Arial" w:hAnsi="Arial" w:cs="Arial"/>
        </w:rPr>
        <w:t xml:space="preserve"> the Bank Street facility.</w:t>
      </w:r>
    </w:p>
    <w:p w14:paraId="2530C72E" w14:textId="0FFFB5A6" w:rsidR="00CA7CB7" w:rsidRPr="00BF20CF" w:rsidRDefault="00CA7CB7" w:rsidP="001A01BD">
      <w:pPr>
        <w:spacing w:line="276" w:lineRule="auto"/>
        <w:rPr>
          <w:rFonts w:ascii="Arial" w:hAnsi="Arial" w:cs="Arial"/>
        </w:rPr>
      </w:pPr>
    </w:p>
    <w:p w14:paraId="1D4B97F1" w14:textId="2CC4C415" w:rsidR="00C43395" w:rsidRPr="00BF20CF" w:rsidRDefault="008E0CF2" w:rsidP="00876E97">
      <w:pPr>
        <w:pStyle w:val="ListParagraph"/>
        <w:numPr>
          <w:ilvl w:val="0"/>
          <w:numId w:val="11"/>
        </w:numPr>
        <w:spacing w:line="276" w:lineRule="auto"/>
        <w:rPr>
          <w:rFonts w:ascii="Arial" w:hAnsi="Arial" w:cs="Arial"/>
        </w:rPr>
      </w:pPr>
      <w:r w:rsidRPr="00BF20CF">
        <w:rPr>
          <w:rFonts w:ascii="Arial" w:hAnsi="Arial" w:cs="Arial"/>
        </w:rPr>
        <w:t>Please explain how the decision of retaining the Bank Street facility provide</w:t>
      </w:r>
      <w:r w:rsidR="00495507" w:rsidRPr="00BF20CF">
        <w:rPr>
          <w:rFonts w:ascii="Arial" w:hAnsi="Arial" w:cs="Arial"/>
        </w:rPr>
        <w:t>s</w:t>
      </w:r>
      <w:r w:rsidRPr="00BF20CF">
        <w:rPr>
          <w:rFonts w:ascii="Arial" w:hAnsi="Arial" w:cs="Arial"/>
        </w:rPr>
        <w:t xml:space="preserve"> benefits to ratepayers.</w:t>
      </w:r>
    </w:p>
    <w:p w14:paraId="087E0AD8" w14:textId="4F9DF4BE"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2-Staff-62</w:t>
      </w:r>
    </w:p>
    <w:p w14:paraId="73884094" w14:textId="11662660" w:rsidR="00E55920" w:rsidRPr="00BF20CF" w:rsidRDefault="00E55920" w:rsidP="003041BF">
      <w:pPr>
        <w:rPr>
          <w:rFonts w:ascii="Arial" w:hAnsi="Arial" w:cs="Arial"/>
          <w:b/>
        </w:rPr>
      </w:pPr>
      <w:r w:rsidRPr="00BF20CF">
        <w:rPr>
          <w:rFonts w:ascii="Arial" w:hAnsi="Arial" w:cs="Arial"/>
          <w:b/>
        </w:rPr>
        <w:t>Ref:</w:t>
      </w:r>
      <w:r w:rsidRPr="00BF20CF">
        <w:rPr>
          <w:rFonts w:ascii="Arial" w:hAnsi="Arial" w:cs="Arial"/>
          <w:b/>
        </w:rPr>
        <w:tab/>
        <w:t>Exhibit 2/Tab 1/Schedule 1/Attachment A/pp. 17-18 of 73</w:t>
      </w:r>
    </w:p>
    <w:p w14:paraId="16DAEFD1" w14:textId="7840B836" w:rsidR="00E55920" w:rsidRPr="00BF20CF" w:rsidRDefault="00E55920" w:rsidP="003041BF">
      <w:pPr>
        <w:rPr>
          <w:rFonts w:ascii="Arial" w:hAnsi="Arial" w:cs="Arial"/>
          <w:b/>
        </w:rPr>
      </w:pPr>
    </w:p>
    <w:p w14:paraId="630F24E5" w14:textId="7A2EC36B" w:rsidR="00E21935" w:rsidRPr="00BF20CF" w:rsidRDefault="00144F88" w:rsidP="009B4AE3">
      <w:pPr>
        <w:spacing w:line="276" w:lineRule="auto"/>
        <w:rPr>
          <w:rFonts w:ascii="Arial" w:hAnsi="Arial" w:cs="Arial"/>
        </w:rPr>
      </w:pPr>
      <w:r w:rsidRPr="00BF20CF">
        <w:rPr>
          <w:rFonts w:ascii="Arial" w:hAnsi="Arial" w:cs="Arial"/>
        </w:rPr>
        <w:t>Hydro Ottawa noted that the $92.3 million filed in the 2016-2020 Custom IR application was based on a Class D cost estimate (April 29, 2015). A more thorough Class C estimate of $124.7 million was developed on January 20, 2016.</w:t>
      </w:r>
      <w:r w:rsidR="00E21935" w:rsidRPr="00BF20CF">
        <w:rPr>
          <w:rFonts w:ascii="Arial" w:hAnsi="Arial" w:cs="Arial"/>
        </w:rPr>
        <w:t xml:space="preserve"> On May 18, 2016, the value engineering and revised design validation was completed and a detailed Class B estimate was prepared.</w:t>
      </w:r>
    </w:p>
    <w:p w14:paraId="6F0BE384" w14:textId="024E5A42" w:rsidR="00CA7CB7" w:rsidRPr="00BF20CF" w:rsidRDefault="00CA7CB7" w:rsidP="009B4AE3">
      <w:pPr>
        <w:spacing w:line="276" w:lineRule="auto"/>
        <w:rPr>
          <w:rFonts w:ascii="Arial" w:hAnsi="Arial" w:cs="Arial"/>
        </w:rPr>
      </w:pPr>
    </w:p>
    <w:p w14:paraId="12E9475B" w14:textId="0BAB4AAC" w:rsidR="00CA7CB7" w:rsidRPr="00BF20CF" w:rsidRDefault="00CA7CB7" w:rsidP="009B4AE3">
      <w:pPr>
        <w:spacing w:line="276" w:lineRule="auto"/>
        <w:rPr>
          <w:rFonts w:ascii="Arial" w:hAnsi="Arial" w:cs="Arial"/>
        </w:rPr>
      </w:pPr>
      <w:r w:rsidRPr="00BF20CF">
        <w:rPr>
          <w:rFonts w:ascii="Arial" w:hAnsi="Arial" w:cs="Arial"/>
        </w:rPr>
        <w:t>Question(s):</w:t>
      </w:r>
    </w:p>
    <w:p w14:paraId="5BB4B862" w14:textId="7CA79C44" w:rsidR="00E21935" w:rsidRPr="00BF20CF" w:rsidRDefault="00E21935" w:rsidP="00876E97">
      <w:pPr>
        <w:pStyle w:val="ListParagraph"/>
        <w:numPr>
          <w:ilvl w:val="0"/>
          <w:numId w:val="9"/>
        </w:numPr>
        <w:autoSpaceDE w:val="0"/>
        <w:autoSpaceDN w:val="0"/>
        <w:adjustRightInd w:val="0"/>
        <w:spacing w:before="240" w:after="120" w:line="276" w:lineRule="auto"/>
        <w:rPr>
          <w:rFonts w:ascii="Arial" w:hAnsi="Arial" w:cs="Arial"/>
          <w:bCs/>
        </w:rPr>
      </w:pPr>
      <w:r w:rsidRPr="00BF20CF">
        <w:rPr>
          <w:rFonts w:ascii="Arial" w:hAnsi="Arial" w:cs="Arial"/>
          <w:bCs/>
        </w:rPr>
        <w:t>Please provide a copy for the detailed Class D, Class C, and Class B cost estimates.</w:t>
      </w:r>
    </w:p>
    <w:p w14:paraId="4522DF01" w14:textId="77777777" w:rsidR="00CA7CB7" w:rsidRPr="00BF20CF" w:rsidRDefault="00CA7CB7" w:rsidP="00CA7CB7">
      <w:pPr>
        <w:pStyle w:val="ListParagraph"/>
        <w:autoSpaceDE w:val="0"/>
        <w:autoSpaceDN w:val="0"/>
        <w:adjustRightInd w:val="0"/>
        <w:spacing w:before="240" w:after="120" w:line="276" w:lineRule="auto"/>
        <w:rPr>
          <w:rFonts w:ascii="Arial" w:hAnsi="Arial" w:cs="Arial"/>
          <w:bCs/>
        </w:rPr>
      </w:pPr>
    </w:p>
    <w:p w14:paraId="3276DA9F" w14:textId="7CE93E5D" w:rsidR="00E21935" w:rsidRPr="00BF20CF" w:rsidRDefault="00E21935" w:rsidP="00876E97">
      <w:pPr>
        <w:pStyle w:val="ListParagraph"/>
        <w:numPr>
          <w:ilvl w:val="0"/>
          <w:numId w:val="9"/>
        </w:numPr>
        <w:autoSpaceDE w:val="0"/>
        <w:autoSpaceDN w:val="0"/>
        <w:adjustRightInd w:val="0"/>
        <w:spacing w:before="240" w:after="120" w:line="276" w:lineRule="auto"/>
        <w:rPr>
          <w:rFonts w:ascii="Arial" w:hAnsi="Arial" w:cs="Arial"/>
          <w:bCs/>
        </w:rPr>
      </w:pPr>
      <w:r w:rsidRPr="00BF20CF">
        <w:rPr>
          <w:rFonts w:ascii="Arial" w:hAnsi="Arial" w:cs="Arial"/>
          <w:bCs/>
        </w:rPr>
        <w:t>Please clarify whether there was a Class A cost estimate prepared. If so, please provide a copy. If not, why not.</w:t>
      </w:r>
    </w:p>
    <w:p w14:paraId="1B0A826E" w14:textId="77777777" w:rsidR="00CA7CB7" w:rsidRPr="00BF20CF" w:rsidRDefault="00CA7CB7" w:rsidP="00CA7CB7">
      <w:pPr>
        <w:pStyle w:val="ListParagraph"/>
        <w:autoSpaceDE w:val="0"/>
        <w:autoSpaceDN w:val="0"/>
        <w:adjustRightInd w:val="0"/>
        <w:spacing w:before="240" w:after="120" w:line="276" w:lineRule="auto"/>
        <w:rPr>
          <w:rFonts w:ascii="Arial" w:hAnsi="Arial" w:cs="Arial"/>
          <w:bCs/>
        </w:rPr>
      </w:pPr>
    </w:p>
    <w:p w14:paraId="39B7358A" w14:textId="7D983AF0" w:rsidR="000A1B7C" w:rsidRPr="00BF20CF" w:rsidRDefault="000A1B7C" w:rsidP="00876E97">
      <w:pPr>
        <w:pStyle w:val="ListParagraph"/>
        <w:numPr>
          <w:ilvl w:val="0"/>
          <w:numId w:val="9"/>
        </w:numPr>
        <w:autoSpaceDE w:val="0"/>
        <w:autoSpaceDN w:val="0"/>
        <w:adjustRightInd w:val="0"/>
        <w:spacing w:before="240" w:after="120" w:line="276" w:lineRule="auto"/>
        <w:rPr>
          <w:rFonts w:ascii="Arial" w:hAnsi="Arial" w:cs="Arial"/>
          <w:bCs/>
        </w:rPr>
      </w:pPr>
      <w:r w:rsidRPr="00BF20CF">
        <w:rPr>
          <w:rFonts w:ascii="Arial" w:hAnsi="Arial" w:cs="Arial"/>
          <w:bCs/>
        </w:rPr>
        <w:t>Please provide the detailed building sizes breakdown that each cost estimate was based on in the table below.</w:t>
      </w:r>
    </w:p>
    <w:p w14:paraId="118B77E0" w14:textId="03EB58F0" w:rsidR="000A1B7C" w:rsidRPr="00BF20CF" w:rsidRDefault="000A1B7C" w:rsidP="003041BF">
      <w:pPr>
        <w:pStyle w:val="ListParagraph"/>
        <w:autoSpaceDE w:val="0"/>
        <w:autoSpaceDN w:val="0"/>
        <w:adjustRightInd w:val="0"/>
        <w:spacing w:before="240" w:after="120" w:line="276" w:lineRule="auto"/>
        <w:rPr>
          <w:rFonts w:ascii="Arial" w:hAnsi="Arial" w:cs="Arial"/>
          <w:bCs/>
        </w:rPr>
      </w:pPr>
    </w:p>
    <w:p w14:paraId="76BFB47E" w14:textId="27E16801" w:rsidR="00CA7CB7" w:rsidRPr="00BF20CF" w:rsidRDefault="00CA7CB7" w:rsidP="003041BF">
      <w:pPr>
        <w:pStyle w:val="ListParagraph"/>
        <w:autoSpaceDE w:val="0"/>
        <w:autoSpaceDN w:val="0"/>
        <w:adjustRightInd w:val="0"/>
        <w:spacing w:before="240" w:after="120" w:line="276" w:lineRule="auto"/>
        <w:rPr>
          <w:rFonts w:ascii="Arial" w:hAnsi="Arial" w:cs="Arial"/>
          <w:bCs/>
        </w:rPr>
      </w:pPr>
      <w:r w:rsidRPr="00BF20CF">
        <w:rPr>
          <w:rFonts w:ascii="Arial" w:hAnsi="Arial" w:cs="Arial"/>
          <w:bCs/>
        </w:rPr>
        <w:br w:type="page"/>
      </w:r>
    </w:p>
    <w:p w14:paraId="45799633" w14:textId="2D03740A" w:rsidR="000A1B7C" w:rsidRPr="00BF20CF" w:rsidRDefault="00BF20CF" w:rsidP="003041BF">
      <w:pPr>
        <w:pStyle w:val="ListParagraph"/>
        <w:autoSpaceDE w:val="0"/>
        <w:autoSpaceDN w:val="0"/>
        <w:adjustRightInd w:val="0"/>
        <w:spacing w:before="240" w:after="120" w:line="276" w:lineRule="auto"/>
        <w:jc w:val="center"/>
        <w:rPr>
          <w:rFonts w:ascii="Arial" w:hAnsi="Arial" w:cs="Arial"/>
          <w:b/>
          <w:bCs/>
        </w:rPr>
      </w:pPr>
      <w:r w:rsidRPr="00BF20CF">
        <w:rPr>
          <w:rFonts w:ascii="Arial" w:hAnsi="Arial" w:cs="Arial"/>
          <w:b/>
          <w:bCs/>
        </w:rPr>
        <w:lastRenderedPageBreak/>
        <w:t>Table 2-</w:t>
      </w:r>
      <w:r w:rsidR="000A1B7C" w:rsidRPr="00BF20CF">
        <w:rPr>
          <w:rFonts w:ascii="Arial" w:hAnsi="Arial" w:cs="Arial"/>
          <w:b/>
          <w:bCs/>
        </w:rPr>
        <w:t>Staff</w:t>
      </w:r>
      <w:r w:rsidRPr="00BF20CF">
        <w:rPr>
          <w:rFonts w:ascii="Arial" w:hAnsi="Arial" w:cs="Arial"/>
          <w:b/>
          <w:bCs/>
        </w:rPr>
        <w:t>-62</w:t>
      </w:r>
      <w:r w:rsidR="000A1B7C" w:rsidRPr="00BF20CF">
        <w:rPr>
          <w:rFonts w:ascii="Arial" w:hAnsi="Arial" w:cs="Arial"/>
          <w:b/>
          <w:bCs/>
        </w:rPr>
        <w:t>-1: Building Sizes at Each Stage of the Cost Estimate (Square Feet)</w:t>
      </w:r>
    </w:p>
    <w:p w14:paraId="1ADF5AF8" w14:textId="77777777" w:rsidR="000A1B7C" w:rsidRPr="00BF20CF" w:rsidRDefault="000A1B7C" w:rsidP="003041BF">
      <w:pPr>
        <w:pStyle w:val="ListParagraph"/>
        <w:autoSpaceDE w:val="0"/>
        <w:autoSpaceDN w:val="0"/>
        <w:adjustRightInd w:val="0"/>
        <w:spacing w:before="240" w:after="120" w:line="276" w:lineRule="auto"/>
        <w:rPr>
          <w:rFonts w:ascii="Arial" w:hAnsi="Arial" w:cs="Arial"/>
          <w:bCs/>
        </w:rPr>
      </w:pPr>
    </w:p>
    <w:tbl>
      <w:tblPr>
        <w:tblStyle w:val="TableGrid"/>
        <w:tblW w:w="8187" w:type="dxa"/>
        <w:tblInd w:w="720" w:type="dxa"/>
        <w:tblLook w:val="04A0" w:firstRow="1" w:lastRow="0" w:firstColumn="1" w:lastColumn="0" w:noHBand="0" w:noVBand="1"/>
      </w:tblPr>
      <w:tblGrid>
        <w:gridCol w:w="2331"/>
        <w:gridCol w:w="1639"/>
        <w:gridCol w:w="1356"/>
        <w:gridCol w:w="1579"/>
        <w:gridCol w:w="1282"/>
      </w:tblGrid>
      <w:tr w:rsidR="00017589" w:rsidRPr="00BF20CF" w14:paraId="4C7F8DF2" w14:textId="77777777" w:rsidTr="004C003F">
        <w:trPr>
          <w:trHeight w:val="948"/>
          <w:tblHeader/>
        </w:trPr>
        <w:tc>
          <w:tcPr>
            <w:tcW w:w="2331" w:type="dxa"/>
            <w:shd w:val="clear" w:color="auto" w:fill="FFFFFF" w:themeFill="background1"/>
          </w:tcPr>
          <w:p w14:paraId="23D3929F"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639" w:type="dxa"/>
            <w:shd w:val="clear" w:color="auto" w:fill="FFFFFF" w:themeFill="background1"/>
          </w:tcPr>
          <w:p w14:paraId="06ACB38F" w14:textId="32265333" w:rsidR="00017589" w:rsidRPr="00BF20CF" w:rsidRDefault="00017589" w:rsidP="003041BF">
            <w:pPr>
              <w:pStyle w:val="ListParagraph"/>
              <w:autoSpaceDE w:val="0"/>
              <w:autoSpaceDN w:val="0"/>
              <w:adjustRightInd w:val="0"/>
              <w:spacing w:before="240" w:after="120" w:line="276" w:lineRule="auto"/>
              <w:ind w:left="0"/>
              <w:jc w:val="center"/>
              <w:rPr>
                <w:rFonts w:ascii="Arial" w:hAnsi="Arial" w:cs="Arial"/>
                <w:b/>
                <w:bCs/>
              </w:rPr>
            </w:pPr>
            <w:r w:rsidRPr="00BF20CF">
              <w:rPr>
                <w:rFonts w:ascii="Arial" w:hAnsi="Arial" w:cs="Arial"/>
                <w:b/>
                <w:bCs/>
              </w:rPr>
              <w:t>Class A (if</w:t>
            </w:r>
            <w:r w:rsidR="00BF6790" w:rsidRPr="00BF20CF">
              <w:rPr>
                <w:rFonts w:ascii="Arial" w:hAnsi="Arial" w:cs="Arial"/>
                <w:b/>
                <w:bCs/>
              </w:rPr>
              <w:t xml:space="preserve"> applicable</w:t>
            </w:r>
            <w:r w:rsidRPr="00BF20CF">
              <w:rPr>
                <w:rFonts w:ascii="Arial" w:hAnsi="Arial" w:cs="Arial"/>
                <w:b/>
                <w:bCs/>
              </w:rPr>
              <w:t>)</w:t>
            </w:r>
          </w:p>
        </w:tc>
        <w:tc>
          <w:tcPr>
            <w:tcW w:w="1356" w:type="dxa"/>
            <w:shd w:val="clear" w:color="auto" w:fill="FFFFFF" w:themeFill="background1"/>
          </w:tcPr>
          <w:p w14:paraId="2A71279A" w14:textId="3C6A0A54" w:rsidR="00017589" w:rsidRPr="00BF20CF" w:rsidRDefault="00017589" w:rsidP="003041BF">
            <w:pPr>
              <w:pStyle w:val="ListParagraph"/>
              <w:autoSpaceDE w:val="0"/>
              <w:autoSpaceDN w:val="0"/>
              <w:adjustRightInd w:val="0"/>
              <w:spacing w:before="240" w:after="120" w:line="276" w:lineRule="auto"/>
              <w:ind w:left="0"/>
              <w:jc w:val="center"/>
              <w:rPr>
                <w:rFonts w:ascii="Arial" w:hAnsi="Arial" w:cs="Arial"/>
                <w:b/>
                <w:bCs/>
              </w:rPr>
            </w:pPr>
            <w:r w:rsidRPr="00BF20CF">
              <w:rPr>
                <w:rFonts w:ascii="Arial" w:hAnsi="Arial" w:cs="Arial"/>
                <w:b/>
                <w:bCs/>
              </w:rPr>
              <w:t>Class B</w:t>
            </w:r>
          </w:p>
        </w:tc>
        <w:tc>
          <w:tcPr>
            <w:tcW w:w="1579" w:type="dxa"/>
            <w:shd w:val="clear" w:color="auto" w:fill="FFFFFF" w:themeFill="background1"/>
          </w:tcPr>
          <w:p w14:paraId="520910B1" w14:textId="4BA0A062" w:rsidR="00017589" w:rsidRPr="00BF20CF" w:rsidRDefault="00017589" w:rsidP="003041BF">
            <w:pPr>
              <w:pStyle w:val="ListParagraph"/>
              <w:autoSpaceDE w:val="0"/>
              <w:autoSpaceDN w:val="0"/>
              <w:adjustRightInd w:val="0"/>
              <w:spacing w:before="240" w:after="120" w:line="276" w:lineRule="auto"/>
              <w:ind w:left="0"/>
              <w:jc w:val="center"/>
              <w:rPr>
                <w:rFonts w:ascii="Arial" w:hAnsi="Arial" w:cs="Arial"/>
                <w:b/>
                <w:bCs/>
              </w:rPr>
            </w:pPr>
            <w:r w:rsidRPr="00BF20CF">
              <w:rPr>
                <w:rFonts w:ascii="Arial" w:hAnsi="Arial" w:cs="Arial"/>
                <w:b/>
                <w:bCs/>
              </w:rPr>
              <w:t>Class C</w:t>
            </w:r>
          </w:p>
        </w:tc>
        <w:tc>
          <w:tcPr>
            <w:tcW w:w="1282" w:type="dxa"/>
            <w:shd w:val="clear" w:color="auto" w:fill="FFFFFF" w:themeFill="background1"/>
          </w:tcPr>
          <w:p w14:paraId="40D236A9" w14:textId="166005C7" w:rsidR="00017589" w:rsidRPr="00BF20CF" w:rsidRDefault="00017589" w:rsidP="003041BF">
            <w:pPr>
              <w:pStyle w:val="ListParagraph"/>
              <w:autoSpaceDE w:val="0"/>
              <w:autoSpaceDN w:val="0"/>
              <w:adjustRightInd w:val="0"/>
              <w:spacing w:before="240" w:after="120" w:line="276" w:lineRule="auto"/>
              <w:ind w:left="0"/>
              <w:jc w:val="center"/>
              <w:rPr>
                <w:rFonts w:ascii="Arial" w:hAnsi="Arial" w:cs="Arial"/>
                <w:b/>
                <w:bCs/>
              </w:rPr>
            </w:pPr>
            <w:r w:rsidRPr="00BF20CF">
              <w:rPr>
                <w:rFonts w:ascii="Arial" w:hAnsi="Arial" w:cs="Arial"/>
                <w:b/>
                <w:bCs/>
              </w:rPr>
              <w:t>Class D</w:t>
            </w:r>
          </w:p>
        </w:tc>
      </w:tr>
      <w:tr w:rsidR="00E6353C" w:rsidRPr="00BF20CF" w14:paraId="7174A7E7" w14:textId="77777777" w:rsidTr="00E6353C">
        <w:trPr>
          <w:trHeight w:val="677"/>
        </w:trPr>
        <w:tc>
          <w:tcPr>
            <w:tcW w:w="8187" w:type="dxa"/>
            <w:gridSpan w:val="5"/>
          </w:tcPr>
          <w:p w14:paraId="48AB5F52" w14:textId="7011466E" w:rsidR="00E6353C" w:rsidRPr="00BF20CF" w:rsidRDefault="00E6353C" w:rsidP="003041BF">
            <w:pPr>
              <w:pStyle w:val="ListParagraph"/>
              <w:autoSpaceDE w:val="0"/>
              <w:autoSpaceDN w:val="0"/>
              <w:adjustRightInd w:val="0"/>
              <w:spacing w:before="240" w:after="120" w:line="276" w:lineRule="auto"/>
              <w:ind w:left="0"/>
              <w:rPr>
                <w:rFonts w:ascii="Arial" w:hAnsi="Arial" w:cs="Arial"/>
                <w:b/>
                <w:bCs/>
              </w:rPr>
            </w:pPr>
            <w:r w:rsidRPr="00BF20CF">
              <w:rPr>
                <w:rFonts w:ascii="Arial" w:hAnsi="Arial" w:cs="Arial"/>
                <w:b/>
                <w:bCs/>
              </w:rPr>
              <w:t>Ease Campus</w:t>
            </w:r>
          </w:p>
        </w:tc>
      </w:tr>
      <w:tr w:rsidR="00017589" w:rsidRPr="00BF20CF" w14:paraId="7E5B77D2" w14:textId="77777777" w:rsidTr="004C003F">
        <w:trPr>
          <w:trHeight w:val="1186"/>
        </w:trPr>
        <w:tc>
          <w:tcPr>
            <w:tcW w:w="2331" w:type="dxa"/>
          </w:tcPr>
          <w:p w14:paraId="4FF01569"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Cs/>
              </w:rPr>
            </w:pPr>
            <w:r w:rsidRPr="00BF20CF">
              <w:rPr>
                <w:rFonts w:ascii="Arial" w:hAnsi="Arial" w:cs="Arial"/>
                <w:bCs/>
              </w:rPr>
              <w:t>EC-1 Administrative Office</w:t>
            </w:r>
          </w:p>
        </w:tc>
        <w:tc>
          <w:tcPr>
            <w:tcW w:w="1639" w:type="dxa"/>
          </w:tcPr>
          <w:p w14:paraId="487249F1"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356" w:type="dxa"/>
          </w:tcPr>
          <w:p w14:paraId="638B727F"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579" w:type="dxa"/>
          </w:tcPr>
          <w:p w14:paraId="77B46B11"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282" w:type="dxa"/>
          </w:tcPr>
          <w:p w14:paraId="5F7C71D2"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r>
      <w:tr w:rsidR="00017589" w:rsidRPr="00BF20CF" w14:paraId="60F625F8" w14:textId="77777777" w:rsidTr="004C003F">
        <w:trPr>
          <w:trHeight w:val="1186"/>
        </w:trPr>
        <w:tc>
          <w:tcPr>
            <w:tcW w:w="2331" w:type="dxa"/>
          </w:tcPr>
          <w:p w14:paraId="1610A9D4"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Cs/>
              </w:rPr>
            </w:pPr>
            <w:r w:rsidRPr="00BF20CF">
              <w:rPr>
                <w:rFonts w:ascii="Arial" w:hAnsi="Arial" w:cs="Arial"/>
                <w:bCs/>
              </w:rPr>
              <w:t>EC-2 East Operations Centre</w:t>
            </w:r>
          </w:p>
        </w:tc>
        <w:tc>
          <w:tcPr>
            <w:tcW w:w="1639" w:type="dxa"/>
          </w:tcPr>
          <w:p w14:paraId="184FEB48"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356" w:type="dxa"/>
          </w:tcPr>
          <w:p w14:paraId="4D01E4A6"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579" w:type="dxa"/>
          </w:tcPr>
          <w:p w14:paraId="5CAD96AF"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282" w:type="dxa"/>
          </w:tcPr>
          <w:p w14:paraId="0A7AA460"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r>
      <w:tr w:rsidR="00017589" w:rsidRPr="00BF20CF" w14:paraId="14DF0338" w14:textId="77777777" w:rsidTr="004C003F">
        <w:trPr>
          <w:trHeight w:val="874"/>
        </w:trPr>
        <w:tc>
          <w:tcPr>
            <w:tcW w:w="2331" w:type="dxa"/>
          </w:tcPr>
          <w:p w14:paraId="5E1B8497"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Cs/>
              </w:rPr>
            </w:pPr>
            <w:r w:rsidRPr="00BF20CF">
              <w:rPr>
                <w:rFonts w:ascii="Arial" w:hAnsi="Arial" w:cs="Arial"/>
                <w:bCs/>
              </w:rPr>
              <w:t>EC-3 PILC Storage</w:t>
            </w:r>
          </w:p>
        </w:tc>
        <w:tc>
          <w:tcPr>
            <w:tcW w:w="1639" w:type="dxa"/>
          </w:tcPr>
          <w:p w14:paraId="60BA8B77"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356" w:type="dxa"/>
          </w:tcPr>
          <w:p w14:paraId="6F8542AC"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579" w:type="dxa"/>
          </w:tcPr>
          <w:p w14:paraId="665BB6A5"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282" w:type="dxa"/>
          </w:tcPr>
          <w:p w14:paraId="677AC303"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r>
      <w:tr w:rsidR="00017589" w:rsidRPr="00BF20CF" w14:paraId="38C95207" w14:textId="77777777" w:rsidTr="004C003F">
        <w:trPr>
          <w:trHeight w:val="556"/>
        </w:trPr>
        <w:tc>
          <w:tcPr>
            <w:tcW w:w="2331" w:type="dxa"/>
          </w:tcPr>
          <w:p w14:paraId="4A8B49B8"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r w:rsidRPr="00BF20CF">
              <w:rPr>
                <w:rFonts w:ascii="Arial" w:hAnsi="Arial" w:cs="Arial"/>
                <w:b/>
                <w:bCs/>
              </w:rPr>
              <w:t>Sub-total</w:t>
            </w:r>
          </w:p>
        </w:tc>
        <w:tc>
          <w:tcPr>
            <w:tcW w:w="1639" w:type="dxa"/>
          </w:tcPr>
          <w:p w14:paraId="5C97F188"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356" w:type="dxa"/>
          </w:tcPr>
          <w:p w14:paraId="4C19D881"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579" w:type="dxa"/>
          </w:tcPr>
          <w:p w14:paraId="1693AE7F"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282" w:type="dxa"/>
          </w:tcPr>
          <w:p w14:paraId="3A9A0B9D"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r>
      <w:tr w:rsidR="00E6353C" w:rsidRPr="00BF20CF" w14:paraId="52CECD0E" w14:textId="77777777" w:rsidTr="007F209B">
        <w:trPr>
          <w:trHeight w:val="602"/>
        </w:trPr>
        <w:tc>
          <w:tcPr>
            <w:tcW w:w="8187" w:type="dxa"/>
            <w:gridSpan w:val="5"/>
          </w:tcPr>
          <w:p w14:paraId="23035B35" w14:textId="27CE78FE" w:rsidR="00E6353C" w:rsidRPr="00BF20CF" w:rsidRDefault="00E6353C" w:rsidP="003041BF">
            <w:pPr>
              <w:pStyle w:val="ListParagraph"/>
              <w:autoSpaceDE w:val="0"/>
              <w:autoSpaceDN w:val="0"/>
              <w:adjustRightInd w:val="0"/>
              <w:spacing w:before="240" w:after="120" w:line="276" w:lineRule="auto"/>
              <w:ind w:left="0"/>
              <w:rPr>
                <w:rFonts w:ascii="Arial" w:hAnsi="Arial" w:cs="Arial"/>
                <w:b/>
                <w:bCs/>
              </w:rPr>
            </w:pPr>
            <w:r w:rsidRPr="00BF20CF">
              <w:rPr>
                <w:rFonts w:ascii="Arial" w:hAnsi="Arial" w:cs="Arial"/>
                <w:b/>
                <w:bCs/>
              </w:rPr>
              <w:t>South Campus</w:t>
            </w:r>
          </w:p>
        </w:tc>
      </w:tr>
      <w:tr w:rsidR="00017589" w:rsidRPr="00BF20CF" w14:paraId="2E31A5B7" w14:textId="77777777" w:rsidTr="004C003F">
        <w:trPr>
          <w:trHeight w:val="1497"/>
        </w:trPr>
        <w:tc>
          <w:tcPr>
            <w:tcW w:w="2331" w:type="dxa"/>
          </w:tcPr>
          <w:p w14:paraId="70DCA62C"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Cs/>
              </w:rPr>
            </w:pPr>
            <w:r w:rsidRPr="00BF20CF">
              <w:rPr>
                <w:rFonts w:ascii="Arial" w:hAnsi="Arial" w:cs="Arial"/>
                <w:bCs/>
              </w:rPr>
              <w:t>SC-1 South Operations Centre and Warehouse</w:t>
            </w:r>
          </w:p>
        </w:tc>
        <w:tc>
          <w:tcPr>
            <w:tcW w:w="1639" w:type="dxa"/>
          </w:tcPr>
          <w:p w14:paraId="5BDFD69A"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356" w:type="dxa"/>
          </w:tcPr>
          <w:p w14:paraId="3538AC16"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579" w:type="dxa"/>
          </w:tcPr>
          <w:p w14:paraId="5A2E8F2C"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282" w:type="dxa"/>
          </w:tcPr>
          <w:p w14:paraId="47377A41"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r>
      <w:tr w:rsidR="00017589" w:rsidRPr="00BF20CF" w14:paraId="638A0EF4" w14:textId="77777777" w:rsidTr="004C003F">
        <w:trPr>
          <w:trHeight w:val="562"/>
        </w:trPr>
        <w:tc>
          <w:tcPr>
            <w:tcW w:w="2331" w:type="dxa"/>
          </w:tcPr>
          <w:p w14:paraId="41AF1F7E"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r w:rsidRPr="00BF20CF">
              <w:rPr>
                <w:rFonts w:ascii="Arial" w:hAnsi="Arial" w:cs="Arial"/>
                <w:b/>
                <w:bCs/>
              </w:rPr>
              <w:t>Total</w:t>
            </w:r>
          </w:p>
        </w:tc>
        <w:tc>
          <w:tcPr>
            <w:tcW w:w="1639" w:type="dxa"/>
          </w:tcPr>
          <w:p w14:paraId="7657FF95"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356" w:type="dxa"/>
          </w:tcPr>
          <w:p w14:paraId="28F4FD07"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579" w:type="dxa"/>
          </w:tcPr>
          <w:p w14:paraId="599BBFCC"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c>
          <w:tcPr>
            <w:tcW w:w="1282" w:type="dxa"/>
          </w:tcPr>
          <w:p w14:paraId="4719CF2C" w14:textId="77777777" w:rsidR="00017589" w:rsidRPr="00BF20CF" w:rsidRDefault="00017589" w:rsidP="003041BF">
            <w:pPr>
              <w:pStyle w:val="ListParagraph"/>
              <w:autoSpaceDE w:val="0"/>
              <w:autoSpaceDN w:val="0"/>
              <w:adjustRightInd w:val="0"/>
              <w:spacing w:before="240" w:after="120" w:line="276" w:lineRule="auto"/>
              <w:ind w:left="0"/>
              <w:rPr>
                <w:rFonts w:ascii="Arial" w:hAnsi="Arial" w:cs="Arial"/>
                <w:b/>
                <w:bCs/>
              </w:rPr>
            </w:pPr>
          </w:p>
        </w:tc>
      </w:tr>
    </w:tbl>
    <w:p w14:paraId="144109F1" w14:textId="77777777" w:rsidR="007F209B" w:rsidRPr="00BF20CF" w:rsidRDefault="007F209B" w:rsidP="003041BF">
      <w:pPr>
        <w:autoSpaceDE w:val="0"/>
        <w:autoSpaceDN w:val="0"/>
        <w:adjustRightInd w:val="0"/>
        <w:spacing w:before="240" w:line="276" w:lineRule="auto"/>
        <w:rPr>
          <w:rFonts w:ascii="Arial" w:hAnsi="Arial" w:cs="Arial"/>
          <w:b/>
        </w:rPr>
      </w:pPr>
    </w:p>
    <w:p w14:paraId="430BF666" w14:textId="2B168292"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2-Staff-63</w:t>
      </w:r>
    </w:p>
    <w:p w14:paraId="0DF12C82" w14:textId="6074414F" w:rsidR="004C003F" w:rsidRPr="00BF20CF" w:rsidRDefault="004C003F" w:rsidP="003041BF">
      <w:pPr>
        <w:rPr>
          <w:rFonts w:ascii="Arial" w:hAnsi="Arial" w:cs="Arial"/>
          <w:b/>
        </w:rPr>
      </w:pPr>
      <w:r w:rsidRPr="00BF20CF">
        <w:rPr>
          <w:rFonts w:ascii="Arial" w:hAnsi="Arial" w:cs="Arial"/>
          <w:b/>
        </w:rPr>
        <w:t>Ref:</w:t>
      </w:r>
      <w:r w:rsidRPr="00BF20CF">
        <w:rPr>
          <w:rFonts w:ascii="Arial" w:hAnsi="Arial" w:cs="Arial"/>
          <w:b/>
        </w:rPr>
        <w:tab/>
        <w:t>Exhibit 2/Tab 1/Schedule 1/Attachment A/page 40 of 73</w:t>
      </w:r>
    </w:p>
    <w:p w14:paraId="66FA4D76" w14:textId="672BAFF8" w:rsidR="004007B9" w:rsidRPr="00BF20CF" w:rsidRDefault="004007B9"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D6AF415" w14:textId="4D596CFA" w:rsidR="004C003F" w:rsidRPr="00BF20CF" w:rsidRDefault="00825BFB" w:rsidP="00876E97">
      <w:pPr>
        <w:pStyle w:val="ListParagraph"/>
        <w:numPr>
          <w:ilvl w:val="0"/>
          <w:numId w:val="10"/>
        </w:numPr>
        <w:autoSpaceDE w:val="0"/>
        <w:autoSpaceDN w:val="0"/>
        <w:adjustRightInd w:val="0"/>
        <w:spacing w:before="240" w:after="120" w:line="276" w:lineRule="auto"/>
        <w:rPr>
          <w:rFonts w:ascii="Arial" w:hAnsi="Arial" w:cs="Arial"/>
          <w:bCs/>
        </w:rPr>
      </w:pPr>
      <w:r w:rsidRPr="00BF20CF">
        <w:rPr>
          <w:rFonts w:ascii="Arial" w:hAnsi="Arial" w:cs="Arial"/>
          <w:bCs/>
        </w:rPr>
        <w:t xml:space="preserve">Please provide a copy of the Quantity Survey Report </w:t>
      </w:r>
      <w:r w:rsidR="004C003F" w:rsidRPr="00BF20CF">
        <w:rPr>
          <w:rFonts w:ascii="Arial" w:hAnsi="Arial" w:cs="Arial"/>
          <w:bCs/>
        </w:rPr>
        <w:t>dated May 18, 2016.</w:t>
      </w:r>
    </w:p>
    <w:p w14:paraId="7AB68876" w14:textId="19F80DA4" w:rsidR="007F209B" w:rsidRPr="00BF20CF" w:rsidRDefault="007F209B" w:rsidP="007F209B">
      <w:pPr>
        <w:pStyle w:val="ListParagraph"/>
        <w:autoSpaceDE w:val="0"/>
        <w:autoSpaceDN w:val="0"/>
        <w:adjustRightInd w:val="0"/>
        <w:spacing w:before="240" w:after="120" w:line="276" w:lineRule="auto"/>
        <w:rPr>
          <w:rFonts w:ascii="Arial" w:hAnsi="Arial" w:cs="Arial"/>
          <w:bCs/>
        </w:rPr>
      </w:pPr>
      <w:r w:rsidRPr="00BF20CF">
        <w:rPr>
          <w:rFonts w:ascii="Arial" w:hAnsi="Arial" w:cs="Arial"/>
          <w:bCs/>
        </w:rPr>
        <w:br w:type="page"/>
      </w:r>
    </w:p>
    <w:p w14:paraId="3CC6D4A3" w14:textId="35F33AC8" w:rsidR="00E33A3C" w:rsidRPr="00BF20CF" w:rsidRDefault="00E33A3C" w:rsidP="003041BF">
      <w:pPr>
        <w:autoSpaceDE w:val="0"/>
        <w:autoSpaceDN w:val="0"/>
        <w:adjustRightInd w:val="0"/>
        <w:spacing w:before="240" w:after="120" w:line="276" w:lineRule="auto"/>
        <w:rPr>
          <w:rFonts w:ascii="Arial" w:hAnsi="Arial" w:cs="Arial"/>
          <w:b/>
          <w:bCs/>
        </w:rPr>
      </w:pPr>
      <w:r w:rsidRPr="00BF20CF">
        <w:rPr>
          <w:rFonts w:ascii="Arial" w:hAnsi="Arial" w:cs="Arial"/>
          <w:b/>
          <w:bCs/>
        </w:rPr>
        <w:lastRenderedPageBreak/>
        <w:t>Cambrian Municipal Transformer Station</w:t>
      </w:r>
    </w:p>
    <w:p w14:paraId="5AA2F448" w14:textId="48A49FEB"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2-Staff-64</w:t>
      </w:r>
    </w:p>
    <w:p w14:paraId="6410B783" w14:textId="47BCA433" w:rsidR="000A1303" w:rsidRPr="00BF20CF" w:rsidRDefault="000A1303" w:rsidP="003041BF">
      <w:pPr>
        <w:rPr>
          <w:rFonts w:ascii="Arial" w:hAnsi="Arial" w:cs="Arial"/>
          <w:b/>
        </w:rPr>
      </w:pPr>
      <w:r w:rsidRPr="00BF20CF">
        <w:rPr>
          <w:rFonts w:ascii="Arial" w:hAnsi="Arial" w:cs="Arial"/>
          <w:b/>
        </w:rPr>
        <w:t>Ref:</w:t>
      </w:r>
      <w:r w:rsidRPr="00BF20CF">
        <w:rPr>
          <w:rFonts w:ascii="Arial" w:hAnsi="Arial" w:cs="Arial"/>
          <w:b/>
        </w:rPr>
        <w:tab/>
        <w:t>EB-2019-0077/Exhibit B/Tab 9/Schedule 1/page 2 of 18</w:t>
      </w:r>
    </w:p>
    <w:p w14:paraId="705D1539" w14:textId="5A5F7601" w:rsidR="000A1303" w:rsidRPr="00BF20CF" w:rsidRDefault="000A1303" w:rsidP="003041BF">
      <w:pPr>
        <w:ind w:left="720"/>
        <w:rPr>
          <w:rFonts w:ascii="Arial" w:hAnsi="Arial" w:cs="Arial"/>
          <w:b/>
        </w:rPr>
      </w:pPr>
      <w:r w:rsidRPr="00BF20CF">
        <w:rPr>
          <w:rFonts w:ascii="Arial" w:hAnsi="Arial" w:cs="Arial"/>
          <w:b/>
        </w:rPr>
        <w:t>EB-2019-0077/Decision and Order/page 9</w:t>
      </w:r>
    </w:p>
    <w:p w14:paraId="6DC09901" w14:textId="4A4E7816" w:rsidR="000A1303" w:rsidRPr="00BF20CF" w:rsidRDefault="000A1303" w:rsidP="003041BF">
      <w:pPr>
        <w:ind w:left="720"/>
        <w:rPr>
          <w:rFonts w:ascii="Arial" w:hAnsi="Arial" w:cs="Arial"/>
          <w:b/>
        </w:rPr>
      </w:pPr>
      <w:r w:rsidRPr="00BF20CF">
        <w:rPr>
          <w:rFonts w:ascii="Arial" w:hAnsi="Arial" w:cs="Arial"/>
          <w:b/>
        </w:rPr>
        <w:t>Exhibit 2/Tab 4/Schedule 3/Attachment E/page 234 of 534</w:t>
      </w:r>
    </w:p>
    <w:p w14:paraId="094D9C1A" w14:textId="7756016F" w:rsidR="00E102F1" w:rsidRPr="00BF20CF" w:rsidRDefault="00E102F1" w:rsidP="003041BF">
      <w:pPr>
        <w:ind w:left="720"/>
        <w:rPr>
          <w:rFonts w:ascii="Arial" w:hAnsi="Arial" w:cs="Arial"/>
          <w:b/>
        </w:rPr>
      </w:pPr>
      <w:r w:rsidRPr="00BF20CF">
        <w:rPr>
          <w:rFonts w:ascii="Arial" w:hAnsi="Arial" w:cs="Arial"/>
          <w:b/>
        </w:rPr>
        <w:t>Exhibit 2/Tab 1/Schedule 1/page 11 of 13</w:t>
      </w:r>
    </w:p>
    <w:p w14:paraId="65A1EA40" w14:textId="157DAA2F" w:rsidR="00327494" w:rsidRPr="00BF20CF" w:rsidRDefault="00327494" w:rsidP="003041BF">
      <w:pPr>
        <w:ind w:left="720"/>
        <w:rPr>
          <w:rFonts w:ascii="Arial" w:hAnsi="Arial" w:cs="Arial"/>
          <w:b/>
        </w:rPr>
      </w:pPr>
      <w:r w:rsidRPr="00BF20CF">
        <w:rPr>
          <w:rFonts w:ascii="Arial" w:hAnsi="Arial" w:cs="Arial"/>
          <w:b/>
        </w:rPr>
        <w:t>Exhibit 2/Tab 4/Schedule 1/page 8 of 13</w:t>
      </w:r>
    </w:p>
    <w:p w14:paraId="7E2944B6" w14:textId="288F8BA0" w:rsidR="00251530" w:rsidRPr="00BF20CF" w:rsidRDefault="00251530"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8DDACA2" w14:textId="713E4D52" w:rsidR="000A1303" w:rsidRPr="00BF20CF" w:rsidRDefault="000A1303" w:rsidP="003041BF">
      <w:pPr>
        <w:autoSpaceDE w:val="0"/>
        <w:autoSpaceDN w:val="0"/>
        <w:adjustRightInd w:val="0"/>
        <w:spacing w:before="240" w:after="120" w:line="276" w:lineRule="auto"/>
        <w:rPr>
          <w:rFonts w:ascii="Arial" w:hAnsi="Arial" w:cs="Arial"/>
          <w:bCs/>
        </w:rPr>
      </w:pPr>
      <w:r w:rsidRPr="00BF20CF">
        <w:rPr>
          <w:rFonts w:ascii="Arial" w:hAnsi="Arial" w:cs="Arial"/>
          <w:bCs/>
        </w:rPr>
        <w:t xml:space="preserve">With respect to the Cambrian municipal transformer station </w:t>
      </w:r>
      <w:r w:rsidR="00CB38F0" w:rsidRPr="00BF20CF">
        <w:rPr>
          <w:rFonts w:ascii="Arial" w:hAnsi="Arial" w:cs="Arial"/>
          <w:bCs/>
        </w:rPr>
        <w:t xml:space="preserve">(MTS) </w:t>
      </w:r>
      <w:r w:rsidRPr="00BF20CF">
        <w:rPr>
          <w:rFonts w:ascii="Arial" w:hAnsi="Arial" w:cs="Arial"/>
          <w:bCs/>
        </w:rPr>
        <w:t xml:space="preserve">project, it was noted in the leave to construct application that the cost of the transmission line will be borne by both Hydro Ottawa and Hydro One. Hydro One will be responsible for the avoided cost of the sustainment work. Hydro Ottawa will be responsible for the remainder of the line project cost which will be paid through load revenue and capital contribution. </w:t>
      </w:r>
    </w:p>
    <w:p w14:paraId="25810C7D" w14:textId="352F8001" w:rsidR="00CB38F0" w:rsidRPr="00BF20CF" w:rsidRDefault="00CB38F0" w:rsidP="003041BF">
      <w:pPr>
        <w:autoSpaceDE w:val="0"/>
        <w:autoSpaceDN w:val="0"/>
        <w:adjustRightInd w:val="0"/>
        <w:spacing w:before="240" w:after="120" w:line="276" w:lineRule="auto"/>
        <w:rPr>
          <w:rFonts w:ascii="Arial" w:hAnsi="Arial" w:cs="Arial"/>
          <w:bCs/>
        </w:rPr>
      </w:pPr>
      <w:r w:rsidRPr="00BF20CF">
        <w:rPr>
          <w:rFonts w:ascii="Arial" w:hAnsi="Arial" w:cs="Arial"/>
          <w:bCs/>
        </w:rPr>
        <w:t>In the decision and order on the leave to construct application, it was noted that “The incremental cost to Hydro Ottawa for the line work is $50.1 million. This cost will be met through a capital contribution of $48.2 million and load revenue. The station facilities’ costs of $27.0 million will be included in Hydro Ottawa’s rate base once in service.”</w:t>
      </w:r>
    </w:p>
    <w:p w14:paraId="7A4E8272" w14:textId="49D4F7D8" w:rsidR="00251530" w:rsidRPr="00BF20CF" w:rsidRDefault="00251530"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6D2D9E4" w14:textId="07567AFA" w:rsidR="00CB38F0" w:rsidRPr="00BF20CF" w:rsidRDefault="00CB38F0" w:rsidP="00876E97">
      <w:pPr>
        <w:pStyle w:val="ListParagraph"/>
        <w:numPr>
          <w:ilvl w:val="0"/>
          <w:numId w:val="12"/>
        </w:numPr>
        <w:autoSpaceDE w:val="0"/>
        <w:autoSpaceDN w:val="0"/>
        <w:adjustRightInd w:val="0"/>
        <w:spacing w:before="240" w:after="120" w:line="276" w:lineRule="auto"/>
        <w:rPr>
          <w:rFonts w:ascii="Arial" w:hAnsi="Arial" w:cs="Arial"/>
          <w:bCs/>
        </w:rPr>
      </w:pPr>
      <w:r w:rsidRPr="00BF20CF">
        <w:rPr>
          <w:rFonts w:ascii="Arial" w:hAnsi="Arial" w:cs="Arial"/>
          <w:bCs/>
        </w:rPr>
        <w:t xml:space="preserve">Please explain the discrepancy between the $48.2 million </w:t>
      </w:r>
      <w:r w:rsidR="00DD6228" w:rsidRPr="00BF20CF">
        <w:rPr>
          <w:rFonts w:ascii="Arial" w:hAnsi="Arial" w:cs="Arial"/>
          <w:bCs/>
        </w:rPr>
        <w:t xml:space="preserve">cost estimate </w:t>
      </w:r>
      <w:r w:rsidRPr="00BF20CF">
        <w:rPr>
          <w:rFonts w:ascii="Arial" w:hAnsi="Arial" w:cs="Arial"/>
          <w:bCs/>
        </w:rPr>
        <w:t>approved in the leave to construct ap</w:t>
      </w:r>
      <w:r w:rsidR="00DD6228" w:rsidRPr="00BF20CF">
        <w:rPr>
          <w:rFonts w:ascii="Arial" w:hAnsi="Arial" w:cs="Arial"/>
          <w:bCs/>
        </w:rPr>
        <w:t xml:space="preserve">plication and the proposed Connection and Cost Recovery Agreements </w:t>
      </w:r>
      <w:r w:rsidR="00E102F1" w:rsidRPr="00BF20CF">
        <w:rPr>
          <w:rFonts w:ascii="Arial" w:hAnsi="Arial" w:cs="Arial"/>
          <w:bCs/>
        </w:rPr>
        <w:t xml:space="preserve">(CCRAs) </w:t>
      </w:r>
      <w:r w:rsidR="00DD6228" w:rsidRPr="00BF20CF">
        <w:rPr>
          <w:rFonts w:ascii="Arial" w:hAnsi="Arial" w:cs="Arial"/>
          <w:bCs/>
        </w:rPr>
        <w:t>payments of $50.2</w:t>
      </w:r>
      <w:r w:rsidRPr="00BF20CF">
        <w:rPr>
          <w:rFonts w:ascii="Arial" w:hAnsi="Arial" w:cs="Arial"/>
          <w:bCs/>
        </w:rPr>
        <w:t xml:space="preserve"> million </w:t>
      </w:r>
      <w:r w:rsidR="00DD6228" w:rsidRPr="00BF20CF">
        <w:rPr>
          <w:rFonts w:ascii="Arial" w:hAnsi="Arial" w:cs="Arial"/>
          <w:bCs/>
        </w:rPr>
        <w:t xml:space="preserve">to Hydro One </w:t>
      </w:r>
      <w:r w:rsidRPr="00BF20CF">
        <w:rPr>
          <w:rFonts w:ascii="Arial" w:hAnsi="Arial" w:cs="Arial"/>
          <w:bCs/>
        </w:rPr>
        <w:t>in this current application for the transmission line portion of the Cambrian MTS project.</w:t>
      </w:r>
    </w:p>
    <w:p w14:paraId="1BB88657" w14:textId="77777777" w:rsidR="007F209B" w:rsidRPr="00BF20CF" w:rsidRDefault="007F209B" w:rsidP="007F209B">
      <w:pPr>
        <w:pStyle w:val="ListParagraph"/>
        <w:autoSpaceDE w:val="0"/>
        <w:autoSpaceDN w:val="0"/>
        <w:adjustRightInd w:val="0"/>
        <w:spacing w:before="240" w:after="120" w:line="276" w:lineRule="auto"/>
        <w:rPr>
          <w:rFonts w:ascii="Arial" w:hAnsi="Arial" w:cs="Arial"/>
          <w:bCs/>
        </w:rPr>
      </w:pPr>
    </w:p>
    <w:p w14:paraId="2A26DA5F" w14:textId="0258727C" w:rsidR="00CB38F0" w:rsidRPr="00BF20CF" w:rsidRDefault="00CB38F0" w:rsidP="00876E97">
      <w:pPr>
        <w:pStyle w:val="ListParagraph"/>
        <w:numPr>
          <w:ilvl w:val="0"/>
          <w:numId w:val="12"/>
        </w:numPr>
        <w:autoSpaceDE w:val="0"/>
        <w:autoSpaceDN w:val="0"/>
        <w:adjustRightInd w:val="0"/>
        <w:spacing w:before="240" w:after="120" w:line="276" w:lineRule="auto"/>
        <w:rPr>
          <w:rFonts w:ascii="Arial" w:hAnsi="Arial" w:cs="Arial"/>
          <w:bCs/>
        </w:rPr>
      </w:pPr>
      <w:r w:rsidRPr="00BF20CF">
        <w:rPr>
          <w:rFonts w:ascii="Arial" w:hAnsi="Arial" w:cs="Arial"/>
          <w:bCs/>
        </w:rPr>
        <w:t xml:space="preserve">Please update Table 2.9, Expenditure for Cambrian MTS project (Ex 2-4-3, Attachment E, page </w:t>
      </w:r>
      <w:r w:rsidR="00DD6228" w:rsidRPr="00BF20CF">
        <w:rPr>
          <w:rFonts w:ascii="Arial" w:hAnsi="Arial" w:cs="Arial"/>
          <w:bCs/>
        </w:rPr>
        <w:t xml:space="preserve">234), </w:t>
      </w:r>
      <w:r w:rsidRPr="00BF20CF">
        <w:rPr>
          <w:rFonts w:ascii="Arial" w:hAnsi="Arial" w:cs="Arial"/>
          <w:bCs/>
        </w:rPr>
        <w:t>for 2019 actual and the latest forecast for 2020.</w:t>
      </w:r>
    </w:p>
    <w:p w14:paraId="162C9EBF" w14:textId="77777777" w:rsidR="007F209B" w:rsidRPr="00BF20CF" w:rsidRDefault="007F209B" w:rsidP="007F209B">
      <w:pPr>
        <w:pStyle w:val="ListParagraph"/>
        <w:autoSpaceDE w:val="0"/>
        <w:autoSpaceDN w:val="0"/>
        <w:adjustRightInd w:val="0"/>
        <w:spacing w:before="240" w:after="120" w:line="276" w:lineRule="auto"/>
        <w:rPr>
          <w:rFonts w:ascii="Arial" w:hAnsi="Arial" w:cs="Arial"/>
          <w:bCs/>
        </w:rPr>
      </w:pPr>
    </w:p>
    <w:p w14:paraId="54226714" w14:textId="0A941D95" w:rsidR="00ED4877" w:rsidRPr="00BF20CF" w:rsidRDefault="00467586" w:rsidP="00876E97">
      <w:pPr>
        <w:pStyle w:val="ListParagraph"/>
        <w:numPr>
          <w:ilvl w:val="0"/>
          <w:numId w:val="12"/>
        </w:numPr>
        <w:autoSpaceDE w:val="0"/>
        <w:autoSpaceDN w:val="0"/>
        <w:adjustRightInd w:val="0"/>
        <w:spacing w:before="240" w:after="120" w:line="276" w:lineRule="auto"/>
        <w:rPr>
          <w:rFonts w:ascii="Arial" w:hAnsi="Arial" w:cs="Arial"/>
          <w:bCs/>
        </w:rPr>
      </w:pPr>
      <w:r w:rsidRPr="00BF20CF">
        <w:rPr>
          <w:rFonts w:ascii="Arial" w:hAnsi="Arial" w:cs="Arial"/>
          <w:bCs/>
        </w:rPr>
        <w:t xml:space="preserve">Hydro Ottawa noted that the construction of Cambrian MTS started the week of November 25, </w:t>
      </w:r>
      <w:r w:rsidR="00EB6DE9" w:rsidRPr="00BF20CF">
        <w:rPr>
          <w:rFonts w:ascii="Arial" w:hAnsi="Arial" w:cs="Arial"/>
          <w:bCs/>
        </w:rPr>
        <w:t>2019. Please clarify whether the current COVID-19 crisis has any impact on the expected in-service date of Q2 2022.</w:t>
      </w:r>
    </w:p>
    <w:p w14:paraId="6F3F98B2" w14:textId="77777777" w:rsidR="007F209B" w:rsidRPr="00BF20CF" w:rsidRDefault="007F209B" w:rsidP="007F209B">
      <w:pPr>
        <w:pStyle w:val="ListParagraph"/>
        <w:autoSpaceDE w:val="0"/>
        <w:autoSpaceDN w:val="0"/>
        <w:adjustRightInd w:val="0"/>
        <w:spacing w:before="240" w:after="120" w:line="276" w:lineRule="auto"/>
        <w:rPr>
          <w:rFonts w:ascii="Arial" w:hAnsi="Arial" w:cs="Arial"/>
          <w:bCs/>
        </w:rPr>
      </w:pPr>
    </w:p>
    <w:p w14:paraId="60B920B1" w14:textId="60664949" w:rsidR="00E102F1" w:rsidRPr="00BF20CF" w:rsidRDefault="00E102F1" w:rsidP="00876E97">
      <w:pPr>
        <w:pStyle w:val="ListParagraph"/>
        <w:numPr>
          <w:ilvl w:val="0"/>
          <w:numId w:val="12"/>
        </w:numPr>
        <w:spacing w:line="276" w:lineRule="auto"/>
        <w:rPr>
          <w:rFonts w:ascii="Arial" w:hAnsi="Arial" w:cs="Arial"/>
        </w:rPr>
      </w:pPr>
      <w:r w:rsidRPr="00BF20CF">
        <w:rPr>
          <w:rFonts w:ascii="Arial" w:hAnsi="Arial" w:cs="Arial"/>
        </w:rPr>
        <w:lastRenderedPageBreak/>
        <w:t xml:space="preserve">Please confirm </w:t>
      </w:r>
      <w:r w:rsidR="003C5596" w:rsidRPr="00BF20CF">
        <w:rPr>
          <w:rFonts w:ascii="Arial" w:hAnsi="Arial" w:cs="Arial"/>
        </w:rPr>
        <w:t xml:space="preserve">that the 2021 budgeted capital additions include $50 million </w:t>
      </w:r>
      <w:r w:rsidRPr="00BF20CF">
        <w:rPr>
          <w:rFonts w:ascii="Arial" w:hAnsi="Arial" w:cs="Arial"/>
        </w:rPr>
        <w:t>CCRAs payments to Hydro One associated with the transmission line portion of the Cambrian MTS project.</w:t>
      </w:r>
    </w:p>
    <w:p w14:paraId="29FD20DF" w14:textId="4ED4A9D1" w:rsidR="00E102F1" w:rsidRPr="00BF20CF" w:rsidRDefault="00E102F1" w:rsidP="00876E97">
      <w:pPr>
        <w:pStyle w:val="ListParagraph"/>
        <w:numPr>
          <w:ilvl w:val="0"/>
          <w:numId w:val="15"/>
        </w:numPr>
        <w:spacing w:line="276" w:lineRule="auto"/>
        <w:rPr>
          <w:rFonts w:ascii="Arial" w:hAnsi="Arial" w:cs="Arial"/>
        </w:rPr>
      </w:pPr>
      <w:r w:rsidRPr="00BF20CF">
        <w:rPr>
          <w:rFonts w:ascii="Arial" w:hAnsi="Arial" w:cs="Arial"/>
        </w:rPr>
        <w:t>If yes, please explain why Hydro Ottawa proposes to include $50 mil</w:t>
      </w:r>
      <w:r w:rsidR="003C5596" w:rsidRPr="00BF20CF">
        <w:rPr>
          <w:rFonts w:ascii="Arial" w:hAnsi="Arial" w:cs="Arial"/>
        </w:rPr>
        <w:t>lion additions in 2021 given that the</w:t>
      </w:r>
      <w:r w:rsidRPr="00BF20CF">
        <w:rPr>
          <w:rFonts w:ascii="Arial" w:hAnsi="Arial" w:cs="Arial"/>
        </w:rPr>
        <w:t xml:space="preserve"> expected in-service date has changed to Q2 2022.</w:t>
      </w:r>
    </w:p>
    <w:p w14:paraId="57734B71" w14:textId="75845165" w:rsidR="002938BC" w:rsidRPr="00BF20CF" w:rsidRDefault="002938BC" w:rsidP="003041BF">
      <w:pPr>
        <w:autoSpaceDE w:val="0"/>
        <w:autoSpaceDN w:val="0"/>
        <w:adjustRightInd w:val="0"/>
        <w:spacing w:before="240" w:line="276" w:lineRule="auto"/>
        <w:rPr>
          <w:rFonts w:ascii="Arial" w:hAnsi="Arial" w:cs="Arial"/>
          <w:b/>
        </w:rPr>
      </w:pPr>
      <w:r w:rsidRPr="00BF20CF">
        <w:rPr>
          <w:rFonts w:ascii="Arial" w:hAnsi="Arial" w:cs="Arial"/>
          <w:b/>
        </w:rPr>
        <w:t>New East Station</w:t>
      </w:r>
    </w:p>
    <w:p w14:paraId="7BACE286" w14:textId="68D03F55"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2-Staff-65</w:t>
      </w:r>
    </w:p>
    <w:p w14:paraId="766F6269" w14:textId="6706123F" w:rsidR="00CF0928" w:rsidRPr="00BF20CF" w:rsidRDefault="00CF0928" w:rsidP="003041BF">
      <w:pPr>
        <w:rPr>
          <w:rFonts w:ascii="Arial" w:hAnsi="Arial" w:cs="Arial"/>
          <w:b/>
        </w:rPr>
      </w:pPr>
      <w:r w:rsidRPr="00BF20CF">
        <w:rPr>
          <w:rFonts w:ascii="Arial" w:hAnsi="Arial" w:cs="Arial"/>
          <w:b/>
        </w:rPr>
        <w:t>Ref:</w:t>
      </w:r>
      <w:r w:rsidRPr="00BF20CF">
        <w:rPr>
          <w:rFonts w:ascii="Arial" w:hAnsi="Arial" w:cs="Arial"/>
          <w:b/>
        </w:rPr>
        <w:tab/>
        <w:t>Exhibit 2/Tab 4/Schedule 3/Attachment E/pp. 254-267 of 13</w:t>
      </w:r>
    </w:p>
    <w:p w14:paraId="771686CC" w14:textId="5DDA2FE1" w:rsidR="00CF0928" w:rsidRPr="00BF20CF" w:rsidRDefault="00CF0928"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66BBD4E" w14:textId="6F5CFDD7" w:rsidR="00CF0928" w:rsidRPr="00BF20CF" w:rsidRDefault="00534307" w:rsidP="003041BF">
      <w:pPr>
        <w:autoSpaceDE w:val="0"/>
        <w:autoSpaceDN w:val="0"/>
        <w:adjustRightInd w:val="0"/>
        <w:spacing w:before="240" w:after="120" w:line="276" w:lineRule="auto"/>
        <w:rPr>
          <w:rFonts w:ascii="Arial" w:hAnsi="Arial" w:cs="Arial"/>
          <w:bCs/>
        </w:rPr>
      </w:pPr>
      <w:r w:rsidRPr="00BF20CF">
        <w:rPr>
          <w:rFonts w:ascii="Arial" w:hAnsi="Arial" w:cs="Arial"/>
          <w:bCs/>
        </w:rPr>
        <w:t xml:space="preserve">Hydro Ottawa forecasted $30.69 million (including CCRAs payments) over 2021 to 2025 for the New </w:t>
      </w:r>
      <w:r w:rsidR="00413FD2" w:rsidRPr="00BF20CF">
        <w:rPr>
          <w:rFonts w:ascii="Arial" w:hAnsi="Arial" w:cs="Arial"/>
          <w:bCs/>
        </w:rPr>
        <w:t xml:space="preserve">East </w:t>
      </w:r>
      <w:r w:rsidRPr="00BF20CF">
        <w:rPr>
          <w:rFonts w:ascii="Arial" w:hAnsi="Arial" w:cs="Arial"/>
          <w:bCs/>
        </w:rPr>
        <w:t>Station project.</w:t>
      </w:r>
    </w:p>
    <w:p w14:paraId="6BC40325" w14:textId="1E5D2AD3" w:rsidR="00CF0928" w:rsidRPr="00BF20CF" w:rsidRDefault="00CF0928"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77409A6B" w14:textId="4F3CA2D8" w:rsidR="00DF41CC" w:rsidRPr="00BF20CF" w:rsidRDefault="00DF41CC" w:rsidP="00876E97">
      <w:pPr>
        <w:pStyle w:val="ListParagraph"/>
        <w:numPr>
          <w:ilvl w:val="0"/>
          <w:numId w:val="16"/>
        </w:numPr>
        <w:autoSpaceDE w:val="0"/>
        <w:autoSpaceDN w:val="0"/>
        <w:adjustRightInd w:val="0"/>
        <w:spacing w:before="240" w:after="120" w:line="276" w:lineRule="auto"/>
        <w:rPr>
          <w:rFonts w:ascii="Arial" w:hAnsi="Arial" w:cs="Arial"/>
          <w:bCs/>
        </w:rPr>
      </w:pPr>
      <w:r w:rsidRPr="00BF20CF">
        <w:rPr>
          <w:rFonts w:ascii="Arial" w:hAnsi="Arial" w:cs="Arial"/>
          <w:bCs/>
        </w:rPr>
        <w:t xml:space="preserve">Please </w:t>
      </w:r>
      <w:r w:rsidR="00341D08" w:rsidRPr="00BF20CF">
        <w:rPr>
          <w:rFonts w:ascii="Arial" w:hAnsi="Arial" w:cs="Arial"/>
          <w:bCs/>
        </w:rPr>
        <w:t xml:space="preserve">confirm that the IESO </w:t>
      </w:r>
      <w:r w:rsidR="00534307" w:rsidRPr="00BF20CF">
        <w:rPr>
          <w:rFonts w:ascii="Arial" w:hAnsi="Arial" w:cs="Arial"/>
          <w:bCs/>
        </w:rPr>
        <w:t xml:space="preserve">confirmed the need and </w:t>
      </w:r>
      <w:r w:rsidR="00341D08" w:rsidRPr="00BF20CF">
        <w:rPr>
          <w:rFonts w:ascii="Arial" w:hAnsi="Arial" w:cs="Arial"/>
          <w:bCs/>
        </w:rPr>
        <w:t xml:space="preserve">recommended Hydro Ottawa proceed with </w:t>
      </w:r>
      <w:r w:rsidR="00465CAF" w:rsidRPr="00BF20CF">
        <w:rPr>
          <w:rFonts w:ascii="Arial" w:hAnsi="Arial" w:cs="Arial"/>
          <w:bCs/>
        </w:rPr>
        <w:t>the</w:t>
      </w:r>
      <w:r w:rsidR="00341D08" w:rsidRPr="00BF20CF">
        <w:rPr>
          <w:rFonts w:ascii="Arial" w:hAnsi="Arial" w:cs="Arial"/>
          <w:bCs/>
        </w:rPr>
        <w:t xml:space="preserve"> plan to build</w:t>
      </w:r>
      <w:r w:rsidRPr="00BF20CF">
        <w:rPr>
          <w:rFonts w:ascii="Arial" w:hAnsi="Arial" w:cs="Arial"/>
          <w:bCs/>
        </w:rPr>
        <w:t xml:space="preserve"> </w:t>
      </w:r>
      <w:r w:rsidR="005C3CA5" w:rsidRPr="00BF20CF">
        <w:rPr>
          <w:rFonts w:ascii="Arial" w:hAnsi="Arial" w:cs="Arial"/>
          <w:bCs/>
        </w:rPr>
        <w:t>the New East Station in the final</w:t>
      </w:r>
      <w:r w:rsidRPr="00BF20CF">
        <w:rPr>
          <w:rFonts w:ascii="Arial" w:hAnsi="Arial" w:cs="Arial"/>
          <w:bCs/>
        </w:rPr>
        <w:t xml:space="preserve"> 2019 Integrated Regional Resource Planning</w:t>
      </w:r>
      <w:r w:rsidR="00341D08" w:rsidRPr="00BF20CF">
        <w:rPr>
          <w:rFonts w:ascii="Arial" w:hAnsi="Arial" w:cs="Arial"/>
          <w:bCs/>
        </w:rPr>
        <w:t xml:space="preserve"> </w:t>
      </w:r>
      <w:r w:rsidR="00C27B93" w:rsidRPr="00BF20CF">
        <w:rPr>
          <w:rFonts w:ascii="Arial" w:hAnsi="Arial" w:cs="Arial"/>
          <w:bCs/>
        </w:rPr>
        <w:t xml:space="preserve">(IRRP) </w:t>
      </w:r>
      <w:r w:rsidR="00341D08" w:rsidRPr="00BF20CF">
        <w:rPr>
          <w:rFonts w:ascii="Arial" w:hAnsi="Arial" w:cs="Arial"/>
          <w:bCs/>
        </w:rPr>
        <w:t xml:space="preserve">for the Greater </w:t>
      </w:r>
      <w:r w:rsidR="007414A0" w:rsidRPr="00BF20CF">
        <w:rPr>
          <w:rFonts w:ascii="Arial" w:hAnsi="Arial" w:cs="Arial"/>
          <w:bCs/>
        </w:rPr>
        <w:t>Ottawa r</w:t>
      </w:r>
      <w:r w:rsidR="00341D08" w:rsidRPr="00BF20CF">
        <w:rPr>
          <w:rFonts w:ascii="Arial" w:hAnsi="Arial" w:cs="Arial"/>
          <w:bCs/>
        </w:rPr>
        <w:t>egion</w:t>
      </w:r>
      <w:r w:rsidRPr="00BF20CF">
        <w:rPr>
          <w:rFonts w:ascii="Arial" w:hAnsi="Arial" w:cs="Arial"/>
          <w:bCs/>
        </w:rPr>
        <w:t xml:space="preserve">. </w:t>
      </w:r>
    </w:p>
    <w:p w14:paraId="6440172D" w14:textId="77777777" w:rsidR="007F209B" w:rsidRPr="00BF20CF" w:rsidRDefault="007F209B" w:rsidP="007F209B">
      <w:pPr>
        <w:pStyle w:val="ListParagraph"/>
        <w:autoSpaceDE w:val="0"/>
        <w:autoSpaceDN w:val="0"/>
        <w:adjustRightInd w:val="0"/>
        <w:spacing w:before="240" w:after="120" w:line="276" w:lineRule="auto"/>
        <w:rPr>
          <w:rFonts w:ascii="Arial" w:hAnsi="Arial" w:cs="Arial"/>
          <w:bCs/>
        </w:rPr>
      </w:pPr>
    </w:p>
    <w:p w14:paraId="6E6D9FBC" w14:textId="5D766C79" w:rsidR="00341D08" w:rsidRPr="00BF20CF" w:rsidRDefault="007414A0" w:rsidP="00876E97">
      <w:pPr>
        <w:pStyle w:val="ListParagraph"/>
        <w:numPr>
          <w:ilvl w:val="0"/>
          <w:numId w:val="16"/>
        </w:numPr>
        <w:autoSpaceDE w:val="0"/>
        <w:autoSpaceDN w:val="0"/>
        <w:adjustRightInd w:val="0"/>
        <w:spacing w:before="240" w:after="120" w:line="276" w:lineRule="auto"/>
        <w:rPr>
          <w:rFonts w:ascii="Arial" w:hAnsi="Arial" w:cs="Arial"/>
          <w:bCs/>
        </w:rPr>
      </w:pPr>
      <w:r w:rsidRPr="00BF20CF">
        <w:rPr>
          <w:rFonts w:ascii="Arial" w:hAnsi="Arial" w:cs="Arial"/>
          <w:bCs/>
        </w:rPr>
        <w:t xml:space="preserve">Please </w:t>
      </w:r>
      <w:r w:rsidR="00C27B93" w:rsidRPr="00BF20CF">
        <w:rPr>
          <w:rFonts w:ascii="Arial" w:hAnsi="Arial" w:cs="Arial"/>
          <w:bCs/>
        </w:rPr>
        <w:t>clarify whether there will be a</w:t>
      </w:r>
      <w:r w:rsidRPr="00BF20CF">
        <w:rPr>
          <w:rFonts w:ascii="Arial" w:hAnsi="Arial" w:cs="Arial"/>
          <w:bCs/>
        </w:rPr>
        <w:t xml:space="preserve"> Regional Infrastructure Planning </w:t>
      </w:r>
      <w:r w:rsidR="00C27B93" w:rsidRPr="00BF20CF">
        <w:rPr>
          <w:rFonts w:ascii="Arial" w:hAnsi="Arial" w:cs="Arial"/>
          <w:bCs/>
        </w:rPr>
        <w:t xml:space="preserve">(RIP) </w:t>
      </w:r>
      <w:r w:rsidRPr="00BF20CF">
        <w:rPr>
          <w:rFonts w:ascii="Arial" w:hAnsi="Arial" w:cs="Arial"/>
          <w:bCs/>
        </w:rPr>
        <w:t xml:space="preserve">process </w:t>
      </w:r>
      <w:r w:rsidR="00C27B93" w:rsidRPr="00BF20CF">
        <w:rPr>
          <w:rFonts w:ascii="Arial" w:hAnsi="Arial" w:cs="Arial"/>
          <w:bCs/>
        </w:rPr>
        <w:t>following the IRRP</w:t>
      </w:r>
      <w:r w:rsidRPr="00BF20CF">
        <w:rPr>
          <w:rFonts w:ascii="Arial" w:hAnsi="Arial" w:cs="Arial"/>
          <w:bCs/>
        </w:rPr>
        <w:t>.</w:t>
      </w:r>
    </w:p>
    <w:p w14:paraId="1DB2F1A6" w14:textId="589BEC86" w:rsidR="00C27B93" w:rsidRPr="00BF20CF" w:rsidRDefault="00C27B93" w:rsidP="00876E97">
      <w:pPr>
        <w:pStyle w:val="ListParagraph"/>
        <w:numPr>
          <w:ilvl w:val="0"/>
          <w:numId w:val="25"/>
        </w:numPr>
        <w:autoSpaceDE w:val="0"/>
        <w:autoSpaceDN w:val="0"/>
        <w:adjustRightInd w:val="0"/>
        <w:spacing w:before="240" w:after="120" w:line="276" w:lineRule="auto"/>
        <w:rPr>
          <w:rFonts w:ascii="Arial" w:hAnsi="Arial" w:cs="Arial"/>
          <w:bCs/>
        </w:rPr>
      </w:pPr>
      <w:r w:rsidRPr="00BF20CF">
        <w:rPr>
          <w:rFonts w:ascii="Arial" w:hAnsi="Arial" w:cs="Arial"/>
          <w:bCs/>
        </w:rPr>
        <w:t xml:space="preserve">If yes, please explain when the RIP will be completed. Please also identify </w:t>
      </w:r>
      <w:r w:rsidR="00427FE6" w:rsidRPr="00BF20CF">
        <w:rPr>
          <w:rFonts w:ascii="Arial" w:hAnsi="Arial" w:cs="Arial"/>
          <w:bCs/>
        </w:rPr>
        <w:t>any risks associated with the ongoing RIP process on the scope, schedule and cost estimate for the New East S</w:t>
      </w:r>
      <w:r w:rsidR="00413FD2" w:rsidRPr="00BF20CF">
        <w:rPr>
          <w:rFonts w:ascii="Arial" w:hAnsi="Arial" w:cs="Arial"/>
          <w:bCs/>
        </w:rPr>
        <w:t>t</w:t>
      </w:r>
      <w:r w:rsidR="00427FE6" w:rsidRPr="00BF20CF">
        <w:rPr>
          <w:rFonts w:ascii="Arial" w:hAnsi="Arial" w:cs="Arial"/>
          <w:bCs/>
        </w:rPr>
        <w:t>ation.</w:t>
      </w:r>
    </w:p>
    <w:p w14:paraId="70CDC557" w14:textId="77777777" w:rsidR="007F209B" w:rsidRPr="00BF20CF" w:rsidRDefault="007F209B" w:rsidP="007F209B">
      <w:pPr>
        <w:pStyle w:val="ListParagraph"/>
        <w:autoSpaceDE w:val="0"/>
        <w:autoSpaceDN w:val="0"/>
        <w:adjustRightInd w:val="0"/>
        <w:spacing w:before="240" w:after="120" w:line="276" w:lineRule="auto"/>
        <w:rPr>
          <w:rFonts w:ascii="Arial" w:hAnsi="Arial" w:cs="Arial"/>
          <w:bCs/>
        </w:rPr>
      </w:pPr>
    </w:p>
    <w:p w14:paraId="6C63E82D" w14:textId="3155B6EF" w:rsidR="00396A24" w:rsidRPr="00BF20CF" w:rsidRDefault="00396A24" w:rsidP="00876E97">
      <w:pPr>
        <w:pStyle w:val="ListParagraph"/>
        <w:numPr>
          <w:ilvl w:val="0"/>
          <w:numId w:val="16"/>
        </w:numPr>
        <w:autoSpaceDE w:val="0"/>
        <w:autoSpaceDN w:val="0"/>
        <w:adjustRightInd w:val="0"/>
        <w:spacing w:before="240" w:after="120" w:line="276" w:lineRule="auto"/>
        <w:rPr>
          <w:rFonts w:ascii="Arial" w:hAnsi="Arial" w:cs="Arial"/>
          <w:bCs/>
        </w:rPr>
      </w:pPr>
      <w:r w:rsidRPr="00BF20CF">
        <w:rPr>
          <w:rFonts w:ascii="Arial" w:hAnsi="Arial" w:cs="Arial"/>
          <w:bCs/>
        </w:rPr>
        <w:t xml:space="preserve">Please confirm </w:t>
      </w:r>
      <w:r w:rsidR="00B80F5C" w:rsidRPr="00BF20CF">
        <w:rPr>
          <w:rFonts w:ascii="Arial" w:hAnsi="Arial" w:cs="Arial"/>
          <w:bCs/>
        </w:rPr>
        <w:t xml:space="preserve">that </w:t>
      </w:r>
      <w:r w:rsidRPr="00BF20CF">
        <w:rPr>
          <w:rFonts w:ascii="Arial" w:hAnsi="Arial" w:cs="Arial"/>
          <w:bCs/>
        </w:rPr>
        <w:t xml:space="preserve">a leave to construct application is not required </w:t>
      </w:r>
      <w:r w:rsidR="00FE7F01" w:rsidRPr="00BF20CF">
        <w:rPr>
          <w:rFonts w:ascii="Arial" w:hAnsi="Arial" w:cs="Arial"/>
          <w:bCs/>
        </w:rPr>
        <w:t>for</w:t>
      </w:r>
      <w:r w:rsidRPr="00BF20CF">
        <w:rPr>
          <w:rFonts w:ascii="Arial" w:hAnsi="Arial" w:cs="Arial"/>
          <w:bCs/>
        </w:rPr>
        <w:t xml:space="preserve"> the New East Station project.</w:t>
      </w:r>
    </w:p>
    <w:p w14:paraId="4057CC69" w14:textId="77777777" w:rsidR="007F209B" w:rsidRPr="00BF20CF" w:rsidRDefault="007F209B" w:rsidP="007F209B">
      <w:pPr>
        <w:pStyle w:val="ListParagraph"/>
        <w:autoSpaceDE w:val="0"/>
        <w:autoSpaceDN w:val="0"/>
        <w:adjustRightInd w:val="0"/>
        <w:spacing w:before="240" w:after="120" w:line="276" w:lineRule="auto"/>
        <w:rPr>
          <w:rFonts w:ascii="Arial" w:hAnsi="Arial" w:cs="Arial"/>
          <w:bCs/>
        </w:rPr>
      </w:pPr>
    </w:p>
    <w:p w14:paraId="0011AED4" w14:textId="18EC4768" w:rsidR="00192073" w:rsidRPr="00BF20CF" w:rsidRDefault="00117622" w:rsidP="00876E97">
      <w:pPr>
        <w:pStyle w:val="ListParagraph"/>
        <w:numPr>
          <w:ilvl w:val="0"/>
          <w:numId w:val="16"/>
        </w:numPr>
        <w:autoSpaceDE w:val="0"/>
        <w:autoSpaceDN w:val="0"/>
        <w:adjustRightInd w:val="0"/>
        <w:spacing w:before="240" w:after="120" w:line="276" w:lineRule="auto"/>
        <w:rPr>
          <w:rFonts w:ascii="Arial" w:hAnsi="Arial" w:cs="Arial"/>
          <w:bCs/>
        </w:rPr>
      </w:pPr>
      <w:r w:rsidRPr="00BF20CF">
        <w:rPr>
          <w:rFonts w:ascii="Arial" w:hAnsi="Arial" w:cs="Arial"/>
          <w:bCs/>
        </w:rPr>
        <w:t xml:space="preserve">Hydro Ottawa noted that the primary driver for the New East Station is load growth, which depends on </w:t>
      </w:r>
      <w:r w:rsidR="00FE7F01" w:rsidRPr="00BF20CF">
        <w:rPr>
          <w:rFonts w:ascii="Arial" w:hAnsi="Arial" w:cs="Arial"/>
          <w:bCs/>
        </w:rPr>
        <w:t xml:space="preserve">the </w:t>
      </w:r>
      <w:r w:rsidRPr="00BF20CF">
        <w:rPr>
          <w:rFonts w:ascii="Arial" w:hAnsi="Arial" w:cs="Arial"/>
          <w:bCs/>
        </w:rPr>
        <w:t xml:space="preserve">residential </w:t>
      </w:r>
      <w:r w:rsidR="00643930" w:rsidRPr="00BF20CF">
        <w:rPr>
          <w:rFonts w:ascii="Arial" w:hAnsi="Arial" w:cs="Arial"/>
          <w:bCs/>
        </w:rPr>
        <w:t>housing market</w:t>
      </w:r>
      <w:r w:rsidRPr="00BF20CF">
        <w:rPr>
          <w:rFonts w:ascii="Arial" w:hAnsi="Arial" w:cs="Arial"/>
          <w:bCs/>
        </w:rPr>
        <w:t xml:space="preserve"> and the implementation of City of Ottawa’s Light Rail Transit (LRT) project. </w:t>
      </w:r>
      <w:r w:rsidR="00192073" w:rsidRPr="00BF20CF">
        <w:rPr>
          <w:rFonts w:ascii="Arial" w:hAnsi="Arial" w:cs="Arial"/>
          <w:bCs/>
        </w:rPr>
        <w:t xml:space="preserve">Please provide the </w:t>
      </w:r>
      <w:r w:rsidRPr="00BF20CF">
        <w:rPr>
          <w:rFonts w:ascii="Arial" w:hAnsi="Arial" w:cs="Arial"/>
          <w:bCs/>
        </w:rPr>
        <w:t>City’s planned</w:t>
      </w:r>
      <w:r w:rsidR="00192073" w:rsidRPr="00BF20CF">
        <w:rPr>
          <w:rFonts w:ascii="Arial" w:hAnsi="Arial" w:cs="Arial"/>
          <w:bCs/>
        </w:rPr>
        <w:t xml:space="preserve"> implementation schedule for the </w:t>
      </w:r>
      <w:r w:rsidRPr="00BF20CF">
        <w:rPr>
          <w:rFonts w:ascii="Arial" w:hAnsi="Arial" w:cs="Arial"/>
          <w:bCs/>
        </w:rPr>
        <w:t>LRT</w:t>
      </w:r>
      <w:r w:rsidR="00192073" w:rsidRPr="00BF20CF">
        <w:rPr>
          <w:rFonts w:ascii="Arial" w:hAnsi="Arial" w:cs="Arial"/>
          <w:bCs/>
        </w:rPr>
        <w:t xml:space="preserve"> project. </w:t>
      </w:r>
    </w:p>
    <w:p w14:paraId="04391BC3" w14:textId="77777777" w:rsidR="007F209B" w:rsidRPr="00BF20CF" w:rsidRDefault="007F209B" w:rsidP="007F209B">
      <w:pPr>
        <w:pStyle w:val="ListParagraph"/>
        <w:rPr>
          <w:rFonts w:ascii="Arial" w:hAnsi="Arial" w:cs="Arial"/>
          <w:bCs/>
        </w:rPr>
      </w:pPr>
    </w:p>
    <w:p w14:paraId="3B7C2471" w14:textId="42710937" w:rsidR="007F209B" w:rsidRPr="00BF20CF" w:rsidRDefault="007F209B" w:rsidP="007F209B">
      <w:pPr>
        <w:pStyle w:val="ListParagraph"/>
        <w:autoSpaceDE w:val="0"/>
        <w:autoSpaceDN w:val="0"/>
        <w:adjustRightInd w:val="0"/>
        <w:spacing w:before="240" w:after="120" w:line="276" w:lineRule="auto"/>
        <w:rPr>
          <w:rFonts w:ascii="Arial" w:hAnsi="Arial" w:cs="Arial"/>
          <w:bCs/>
        </w:rPr>
      </w:pPr>
      <w:r w:rsidRPr="00BF20CF">
        <w:rPr>
          <w:rFonts w:ascii="Arial" w:hAnsi="Arial" w:cs="Arial"/>
          <w:bCs/>
        </w:rPr>
        <w:br w:type="page"/>
      </w:r>
    </w:p>
    <w:p w14:paraId="34A2AE22" w14:textId="3CA14A73" w:rsidR="00EE6468" w:rsidRPr="00BF20CF" w:rsidRDefault="00EE6468" w:rsidP="003041BF">
      <w:pPr>
        <w:autoSpaceDE w:val="0"/>
        <w:autoSpaceDN w:val="0"/>
        <w:adjustRightInd w:val="0"/>
        <w:spacing w:before="240" w:after="120" w:line="276" w:lineRule="auto"/>
        <w:rPr>
          <w:rFonts w:ascii="Arial" w:hAnsi="Arial" w:cs="Arial"/>
          <w:b/>
          <w:bCs/>
        </w:rPr>
      </w:pPr>
      <w:r w:rsidRPr="00BF20CF">
        <w:rPr>
          <w:rFonts w:ascii="Arial" w:hAnsi="Arial" w:cs="Arial"/>
          <w:b/>
          <w:bCs/>
        </w:rPr>
        <w:lastRenderedPageBreak/>
        <w:t>Pole Renewal</w:t>
      </w:r>
    </w:p>
    <w:p w14:paraId="2EA6627B" w14:textId="080F473E"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2-Staff-66</w:t>
      </w:r>
    </w:p>
    <w:p w14:paraId="09F776FC" w14:textId="77777777" w:rsidR="00EE6468" w:rsidRPr="00BF20CF" w:rsidRDefault="00EE6468" w:rsidP="003041BF">
      <w:pPr>
        <w:rPr>
          <w:rFonts w:ascii="Arial" w:hAnsi="Arial" w:cs="Arial"/>
          <w:b/>
        </w:rPr>
      </w:pPr>
      <w:r w:rsidRPr="00BF20CF">
        <w:rPr>
          <w:rFonts w:ascii="Arial" w:hAnsi="Arial" w:cs="Arial"/>
          <w:b/>
        </w:rPr>
        <w:t>Ref:</w:t>
      </w:r>
      <w:r w:rsidRPr="00BF20CF">
        <w:rPr>
          <w:rFonts w:ascii="Arial" w:hAnsi="Arial" w:cs="Arial"/>
          <w:b/>
        </w:rPr>
        <w:tab/>
        <w:t>Exhibit 2/Tab 4/Schedule 3/Attachment E/pp. 80-84</w:t>
      </w:r>
    </w:p>
    <w:p w14:paraId="08FC41B2" w14:textId="77777777" w:rsidR="00EE6468" w:rsidRPr="00BF20CF" w:rsidRDefault="00EE6468"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97C5899" w14:textId="170A3B7B" w:rsidR="00EE6468" w:rsidRPr="00BF20CF" w:rsidRDefault="00EE6468" w:rsidP="003041BF">
      <w:pPr>
        <w:autoSpaceDE w:val="0"/>
        <w:autoSpaceDN w:val="0"/>
        <w:adjustRightInd w:val="0"/>
        <w:spacing w:before="240" w:after="120" w:line="276" w:lineRule="auto"/>
        <w:rPr>
          <w:rFonts w:ascii="Arial" w:hAnsi="Arial" w:cs="Arial"/>
          <w:bCs/>
        </w:rPr>
      </w:pPr>
      <w:r w:rsidRPr="00BF20CF">
        <w:rPr>
          <w:rFonts w:ascii="Arial" w:hAnsi="Arial" w:cs="Arial"/>
          <w:bCs/>
        </w:rPr>
        <w:t xml:space="preserve">On page 84, it has been stated that </w:t>
      </w:r>
      <w:r w:rsidR="00FE7F01" w:rsidRPr="00BF20CF">
        <w:rPr>
          <w:rFonts w:ascii="Arial" w:hAnsi="Arial" w:cs="Arial"/>
          <w:bCs/>
        </w:rPr>
        <w:t xml:space="preserve">the </w:t>
      </w:r>
      <w:r w:rsidRPr="00BF20CF">
        <w:rPr>
          <w:rFonts w:ascii="Arial" w:hAnsi="Arial" w:cs="Arial"/>
          <w:bCs/>
        </w:rPr>
        <w:t>pole renewal project “may also require replacement of adjacent assets in poor condition including overhead switches, insulators, and overhead transformers.” Also the program details on page 84 mention the specific areas in which the pole renewal projects are planned to be conducted. Table 1.35 on page 80 shows the number of poles to be replaced (i.e. 400 per year for years 2021 to 2025).</w:t>
      </w:r>
    </w:p>
    <w:p w14:paraId="025F905F" w14:textId="18B682EA" w:rsidR="00EE6468" w:rsidRPr="00BF20CF" w:rsidRDefault="00EE6468"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27323520" w14:textId="6D26E938" w:rsidR="00EE6468" w:rsidRPr="00BF20CF" w:rsidRDefault="00EE6468" w:rsidP="00876E97">
      <w:pPr>
        <w:pStyle w:val="ListParagraph"/>
        <w:numPr>
          <w:ilvl w:val="0"/>
          <w:numId w:val="39"/>
        </w:numPr>
        <w:autoSpaceDE w:val="0"/>
        <w:autoSpaceDN w:val="0"/>
        <w:adjustRightInd w:val="0"/>
        <w:spacing w:before="240" w:after="120" w:line="276" w:lineRule="auto"/>
        <w:rPr>
          <w:rFonts w:ascii="Arial" w:hAnsi="Arial" w:cs="Arial"/>
          <w:bCs/>
        </w:rPr>
      </w:pPr>
      <w:r w:rsidRPr="00BF20CF">
        <w:rPr>
          <w:rFonts w:ascii="Arial" w:hAnsi="Arial" w:cs="Arial"/>
          <w:bCs/>
        </w:rPr>
        <w:t xml:space="preserve">Does Hydro Ottawa have a separate dedicated overhead transformer renewal program or are the overhead transformers always replaced as a part of </w:t>
      </w:r>
      <w:r w:rsidR="00FE7F01" w:rsidRPr="00BF20CF">
        <w:rPr>
          <w:rFonts w:ascii="Arial" w:hAnsi="Arial" w:cs="Arial"/>
          <w:bCs/>
        </w:rPr>
        <w:t xml:space="preserve">the </w:t>
      </w:r>
      <w:r w:rsidRPr="00BF20CF">
        <w:rPr>
          <w:rFonts w:ascii="Arial" w:hAnsi="Arial" w:cs="Arial"/>
          <w:bCs/>
        </w:rPr>
        <w:t>pole renewal and corrective renewal programs?</w:t>
      </w:r>
    </w:p>
    <w:p w14:paraId="08CDFAF0" w14:textId="77777777" w:rsidR="007F209B" w:rsidRPr="00BF20CF" w:rsidRDefault="007F209B" w:rsidP="007F209B">
      <w:pPr>
        <w:pStyle w:val="ListParagraph"/>
        <w:autoSpaceDE w:val="0"/>
        <w:autoSpaceDN w:val="0"/>
        <w:adjustRightInd w:val="0"/>
        <w:spacing w:before="240" w:after="120" w:line="276" w:lineRule="auto"/>
        <w:rPr>
          <w:rFonts w:ascii="Arial" w:hAnsi="Arial" w:cs="Arial"/>
          <w:bCs/>
        </w:rPr>
      </w:pPr>
    </w:p>
    <w:p w14:paraId="1E229EA9" w14:textId="4F8AE88E" w:rsidR="00F25870" w:rsidRPr="00BF20CF" w:rsidRDefault="00F25870" w:rsidP="00876E97">
      <w:pPr>
        <w:pStyle w:val="ListParagraph"/>
        <w:numPr>
          <w:ilvl w:val="0"/>
          <w:numId w:val="39"/>
        </w:numPr>
        <w:autoSpaceDE w:val="0"/>
        <w:autoSpaceDN w:val="0"/>
        <w:adjustRightInd w:val="0"/>
        <w:spacing w:before="240" w:after="120" w:line="276" w:lineRule="auto"/>
        <w:rPr>
          <w:rFonts w:ascii="Arial" w:hAnsi="Arial" w:cs="Arial"/>
          <w:bCs/>
        </w:rPr>
      </w:pPr>
      <w:r w:rsidRPr="00BF20CF">
        <w:rPr>
          <w:rFonts w:ascii="Arial" w:hAnsi="Arial" w:cs="Arial"/>
          <w:bCs/>
        </w:rPr>
        <w:t>For each year (2021 to 2025), please provide the total number of overhead transformers that are currently installed on the proposed 400 poles to be replaced. Out of those currently installed transformers, how many are proposed to be concurrently replaced along with the poles as a part of the pole renewal program?</w:t>
      </w:r>
    </w:p>
    <w:p w14:paraId="1F087BA3" w14:textId="77777777" w:rsidR="007F209B" w:rsidRPr="00BF20CF" w:rsidRDefault="007F209B" w:rsidP="007F209B">
      <w:pPr>
        <w:pStyle w:val="ListParagraph"/>
        <w:autoSpaceDE w:val="0"/>
        <w:autoSpaceDN w:val="0"/>
        <w:adjustRightInd w:val="0"/>
        <w:spacing w:before="240" w:after="120" w:line="276" w:lineRule="auto"/>
        <w:rPr>
          <w:rFonts w:ascii="Arial" w:hAnsi="Arial" w:cs="Arial"/>
          <w:bCs/>
        </w:rPr>
      </w:pPr>
    </w:p>
    <w:p w14:paraId="38CE14BD" w14:textId="34052442" w:rsidR="00F25870" w:rsidRPr="00BF20CF" w:rsidRDefault="00F25870" w:rsidP="00876E97">
      <w:pPr>
        <w:pStyle w:val="ListParagraph"/>
        <w:numPr>
          <w:ilvl w:val="0"/>
          <w:numId w:val="39"/>
        </w:numPr>
        <w:autoSpaceDE w:val="0"/>
        <w:autoSpaceDN w:val="0"/>
        <w:adjustRightInd w:val="0"/>
        <w:spacing w:before="240" w:after="120" w:line="276" w:lineRule="auto"/>
        <w:rPr>
          <w:rFonts w:ascii="Arial" w:hAnsi="Arial" w:cs="Arial"/>
          <w:bCs/>
        </w:rPr>
      </w:pPr>
      <w:r w:rsidRPr="00BF20CF">
        <w:rPr>
          <w:rFonts w:ascii="Arial" w:hAnsi="Arial" w:cs="Arial"/>
          <w:bCs/>
        </w:rPr>
        <w:t>For each year (2021 to 2025), please provide the total number of overhead switches that are currently installed on the proposed 400 poles to be replaced. Out of those currently installed switches, how many are proposed to be concurrently replaced along with the poles as a part of the pole renewal program?</w:t>
      </w:r>
    </w:p>
    <w:p w14:paraId="1E7E06C0" w14:textId="11E4C351" w:rsidR="00EE6468" w:rsidRPr="00BF20CF" w:rsidRDefault="00EE6468" w:rsidP="003041BF">
      <w:pPr>
        <w:autoSpaceDE w:val="0"/>
        <w:autoSpaceDN w:val="0"/>
        <w:adjustRightInd w:val="0"/>
        <w:spacing w:before="240" w:after="120" w:line="276" w:lineRule="auto"/>
        <w:rPr>
          <w:rFonts w:ascii="Arial" w:hAnsi="Arial" w:cs="Arial"/>
          <w:b/>
          <w:bCs/>
        </w:rPr>
      </w:pPr>
      <w:r w:rsidRPr="00BF20CF">
        <w:rPr>
          <w:rFonts w:ascii="Arial" w:hAnsi="Arial" w:cs="Arial"/>
          <w:b/>
          <w:bCs/>
        </w:rPr>
        <w:t>Underground Cable Replacement</w:t>
      </w:r>
    </w:p>
    <w:p w14:paraId="242847B9" w14:textId="387077A1"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2-Staff-67</w:t>
      </w:r>
    </w:p>
    <w:p w14:paraId="3B7306C9" w14:textId="77777777" w:rsidR="00EE6468" w:rsidRPr="00BF20CF" w:rsidRDefault="00EE6468" w:rsidP="003041BF">
      <w:pPr>
        <w:rPr>
          <w:rFonts w:ascii="Arial" w:hAnsi="Arial" w:cs="Arial"/>
          <w:b/>
        </w:rPr>
      </w:pPr>
      <w:r w:rsidRPr="00BF20CF">
        <w:rPr>
          <w:rFonts w:ascii="Arial" w:hAnsi="Arial" w:cs="Arial"/>
          <w:b/>
        </w:rPr>
        <w:t>Ref:</w:t>
      </w:r>
      <w:r w:rsidRPr="00BF20CF">
        <w:rPr>
          <w:rFonts w:ascii="Arial" w:hAnsi="Arial" w:cs="Arial"/>
          <w:b/>
        </w:rPr>
        <w:tab/>
        <w:t>Exhibit 2/Tab 4/Schedule 3/Attachment E/pp. 138-143</w:t>
      </w:r>
    </w:p>
    <w:p w14:paraId="0F0E205E" w14:textId="77777777" w:rsidR="00EE6468" w:rsidRPr="00BF20CF" w:rsidRDefault="00EE6468"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BA86AFE" w14:textId="444CBA96" w:rsidR="00EE6468" w:rsidRPr="00BF20CF" w:rsidRDefault="00EE6468" w:rsidP="003041BF">
      <w:pPr>
        <w:autoSpaceDE w:val="0"/>
        <w:autoSpaceDN w:val="0"/>
        <w:adjustRightInd w:val="0"/>
        <w:spacing w:before="240" w:after="120" w:line="276" w:lineRule="auto"/>
        <w:rPr>
          <w:rFonts w:ascii="Arial" w:hAnsi="Arial" w:cs="Arial"/>
          <w:bCs/>
        </w:rPr>
      </w:pPr>
      <w:r w:rsidRPr="00BF20CF">
        <w:rPr>
          <w:rFonts w:ascii="Arial" w:hAnsi="Arial" w:cs="Arial"/>
          <w:bCs/>
        </w:rPr>
        <w:t xml:space="preserve">On page 143, it is stated that </w:t>
      </w:r>
      <w:r w:rsidR="00A20D1D" w:rsidRPr="00BF20CF">
        <w:rPr>
          <w:rFonts w:ascii="Arial" w:hAnsi="Arial" w:cs="Arial"/>
          <w:bCs/>
        </w:rPr>
        <w:t xml:space="preserve">the </w:t>
      </w:r>
      <w:r w:rsidRPr="00BF20CF">
        <w:rPr>
          <w:rFonts w:ascii="Arial" w:hAnsi="Arial" w:cs="Arial"/>
          <w:bCs/>
        </w:rPr>
        <w:t xml:space="preserve">underground cable renewal project “also includes the replacement of adjacent end of life assets including pad-mounted transformers and pad-mounted switchgear”. The program details on page 143 </w:t>
      </w:r>
      <w:r w:rsidRPr="00BF20CF">
        <w:rPr>
          <w:rFonts w:ascii="Arial" w:hAnsi="Arial" w:cs="Arial"/>
          <w:bCs/>
        </w:rPr>
        <w:lastRenderedPageBreak/>
        <w:t xml:space="preserve">mentions the specific areas in which the underground cable renewal projects are planned to be conducted. Moreover, </w:t>
      </w:r>
      <w:r w:rsidR="00A20D1D" w:rsidRPr="00BF20CF">
        <w:rPr>
          <w:rFonts w:ascii="Arial" w:hAnsi="Arial" w:cs="Arial"/>
          <w:bCs/>
        </w:rPr>
        <w:t>T</w:t>
      </w:r>
      <w:r w:rsidRPr="00BF20CF">
        <w:rPr>
          <w:rFonts w:ascii="Arial" w:hAnsi="Arial" w:cs="Arial"/>
          <w:bCs/>
        </w:rPr>
        <w:t>able 1.65 on page 138 shows the length of the underground cable to be replaced (i.e. 26 km per year for years 2021 to 2025).</w:t>
      </w:r>
    </w:p>
    <w:p w14:paraId="371D7002" w14:textId="6475B3A0" w:rsidR="00EE6468" w:rsidRPr="00BF20CF" w:rsidRDefault="00EE6468"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DC7C9E7" w14:textId="5F14DC95" w:rsidR="009C37AE" w:rsidRPr="00BF20CF" w:rsidRDefault="009C37AE" w:rsidP="00876E97">
      <w:pPr>
        <w:pStyle w:val="ListParagraph"/>
        <w:numPr>
          <w:ilvl w:val="0"/>
          <w:numId w:val="40"/>
        </w:numPr>
        <w:autoSpaceDE w:val="0"/>
        <w:autoSpaceDN w:val="0"/>
        <w:adjustRightInd w:val="0"/>
        <w:spacing w:before="240" w:after="120" w:line="276" w:lineRule="auto"/>
        <w:rPr>
          <w:rFonts w:ascii="Arial" w:hAnsi="Arial" w:cs="Arial"/>
          <w:bCs/>
        </w:rPr>
      </w:pPr>
      <w:r w:rsidRPr="00BF20CF">
        <w:rPr>
          <w:rFonts w:ascii="Arial" w:hAnsi="Arial" w:cs="Arial"/>
          <w:bCs/>
        </w:rPr>
        <w:t>For each year (2021 to 2025</w:t>
      </w:r>
      <w:r w:rsidR="007F209B" w:rsidRPr="00BF20CF">
        <w:rPr>
          <w:rFonts w:ascii="Arial" w:hAnsi="Arial" w:cs="Arial"/>
          <w:bCs/>
        </w:rPr>
        <w:t>), please provide the tot</w:t>
      </w:r>
      <w:r w:rsidRPr="00BF20CF">
        <w:rPr>
          <w:rFonts w:ascii="Arial" w:hAnsi="Arial" w:cs="Arial"/>
          <w:bCs/>
        </w:rPr>
        <w:t>al number of pad-mounted transformers that are currently installed along the 26 km of underground cable to be replaced. Out of those currently installed transformers, how many are proposed to be concurrently replaced along with the cable as part of the underground cable renewal program?</w:t>
      </w:r>
    </w:p>
    <w:p w14:paraId="3E5F2C67" w14:textId="77777777" w:rsidR="007F209B" w:rsidRPr="00BF20CF" w:rsidRDefault="007F209B" w:rsidP="007F209B">
      <w:pPr>
        <w:pStyle w:val="ListParagraph"/>
        <w:autoSpaceDE w:val="0"/>
        <w:autoSpaceDN w:val="0"/>
        <w:adjustRightInd w:val="0"/>
        <w:spacing w:before="240" w:after="120" w:line="276" w:lineRule="auto"/>
        <w:rPr>
          <w:rFonts w:ascii="Arial" w:hAnsi="Arial" w:cs="Arial"/>
          <w:bCs/>
        </w:rPr>
      </w:pPr>
    </w:p>
    <w:p w14:paraId="1278F80A" w14:textId="6C168B61" w:rsidR="009C37AE" w:rsidRPr="00BF20CF" w:rsidRDefault="009C37AE" w:rsidP="00876E97">
      <w:pPr>
        <w:pStyle w:val="ListParagraph"/>
        <w:numPr>
          <w:ilvl w:val="0"/>
          <w:numId w:val="40"/>
        </w:numPr>
        <w:autoSpaceDE w:val="0"/>
        <w:autoSpaceDN w:val="0"/>
        <w:adjustRightInd w:val="0"/>
        <w:spacing w:before="240" w:after="120" w:line="276" w:lineRule="auto"/>
        <w:rPr>
          <w:rFonts w:ascii="Arial" w:hAnsi="Arial" w:cs="Arial"/>
          <w:bCs/>
        </w:rPr>
      </w:pPr>
      <w:r w:rsidRPr="00BF20CF">
        <w:rPr>
          <w:rFonts w:ascii="Arial" w:hAnsi="Arial" w:cs="Arial"/>
          <w:bCs/>
        </w:rPr>
        <w:t>For each year (2021 to 2025), please provide the total number of pad-mounted switchgear</w:t>
      </w:r>
      <w:r w:rsidR="00A7672D" w:rsidRPr="00BF20CF">
        <w:rPr>
          <w:rFonts w:ascii="Arial" w:hAnsi="Arial" w:cs="Arial"/>
          <w:bCs/>
        </w:rPr>
        <w:t xml:space="preserve"> that are currently installed </w:t>
      </w:r>
      <w:r w:rsidRPr="00BF20CF">
        <w:rPr>
          <w:rFonts w:ascii="Arial" w:hAnsi="Arial" w:cs="Arial"/>
          <w:bCs/>
        </w:rPr>
        <w:t>along the 26 km of underground cable to be replaced. Out of those currently installed switches, how many are proposed to be concurrently replaced along with the cable as part of the underground cable renewal program?</w:t>
      </w:r>
    </w:p>
    <w:p w14:paraId="77E4B4BF" w14:textId="4D9ECB90" w:rsidR="00EE6468" w:rsidRPr="00BF20CF" w:rsidRDefault="00FF72B5" w:rsidP="003041BF">
      <w:pPr>
        <w:autoSpaceDE w:val="0"/>
        <w:autoSpaceDN w:val="0"/>
        <w:adjustRightInd w:val="0"/>
        <w:spacing w:before="240" w:after="120" w:line="276" w:lineRule="auto"/>
        <w:rPr>
          <w:rFonts w:ascii="Arial" w:hAnsi="Arial" w:cs="Arial"/>
          <w:bCs/>
        </w:rPr>
      </w:pPr>
      <w:r w:rsidRPr="00BF20CF">
        <w:rPr>
          <w:rFonts w:ascii="Arial" w:hAnsi="Arial" w:cs="Arial"/>
          <w:b/>
          <w:bCs/>
        </w:rPr>
        <w:t>Underground Switchgear Renewal</w:t>
      </w:r>
    </w:p>
    <w:p w14:paraId="51662BC5" w14:textId="414887E7"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2-Staff-68</w:t>
      </w:r>
    </w:p>
    <w:p w14:paraId="6FAA7A15" w14:textId="77777777" w:rsidR="00EE6468" w:rsidRPr="00BF20CF" w:rsidRDefault="00EE6468" w:rsidP="003041BF">
      <w:pPr>
        <w:rPr>
          <w:rFonts w:ascii="Arial" w:hAnsi="Arial" w:cs="Arial"/>
          <w:b/>
        </w:rPr>
      </w:pPr>
      <w:r w:rsidRPr="00BF20CF">
        <w:rPr>
          <w:rFonts w:ascii="Arial" w:hAnsi="Arial" w:cs="Arial"/>
          <w:b/>
        </w:rPr>
        <w:t>Ref:</w:t>
      </w:r>
      <w:r w:rsidRPr="00BF20CF">
        <w:rPr>
          <w:rFonts w:ascii="Arial" w:hAnsi="Arial" w:cs="Arial"/>
          <w:b/>
        </w:rPr>
        <w:tab/>
        <w:t>Exhibit 2/Tab 4/Schedule 3/Attachment E/pp. 153-157</w:t>
      </w:r>
    </w:p>
    <w:p w14:paraId="1A279940" w14:textId="77777777" w:rsidR="00EE6468" w:rsidRPr="00BF20CF" w:rsidRDefault="00EE6468" w:rsidP="003041B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04F47EC" w14:textId="1D400EEF" w:rsidR="00EE6468" w:rsidRPr="00BF20CF" w:rsidRDefault="00EE6468" w:rsidP="003041BF">
      <w:pPr>
        <w:autoSpaceDE w:val="0"/>
        <w:autoSpaceDN w:val="0"/>
        <w:adjustRightInd w:val="0"/>
        <w:spacing w:before="240" w:after="120" w:line="276" w:lineRule="auto"/>
        <w:rPr>
          <w:rFonts w:ascii="Arial" w:hAnsi="Arial" w:cs="Arial"/>
          <w:bCs/>
        </w:rPr>
      </w:pPr>
      <w:r w:rsidRPr="00BF20CF">
        <w:rPr>
          <w:rFonts w:ascii="Arial" w:hAnsi="Arial" w:cs="Arial"/>
          <w:bCs/>
        </w:rPr>
        <w:t xml:space="preserve">On page 157, it has been stated that underground </w:t>
      </w:r>
      <w:r w:rsidR="009C37AE" w:rsidRPr="00BF20CF">
        <w:rPr>
          <w:rFonts w:ascii="Arial" w:hAnsi="Arial" w:cs="Arial"/>
          <w:bCs/>
        </w:rPr>
        <w:t xml:space="preserve">switchgear </w:t>
      </w:r>
      <w:r w:rsidRPr="00BF20CF">
        <w:rPr>
          <w:rFonts w:ascii="Arial" w:hAnsi="Arial" w:cs="Arial"/>
          <w:bCs/>
        </w:rPr>
        <w:t>renewal project “may also require the replacement of adjacent assets in poor condition, including underground cable.” Moreover, Table 1.72 on page 153 shows the number of switchgear to be replaced (i.e. 4 per year for years 2021 to 2025).</w:t>
      </w:r>
    </w:p>
    <w:p w14:paraId="5C870246" w14:textId="3165EB34" w:rsidR="00EE6468" w:rsidRPr="00BF20CF" w:rsidRDefault="00EE6468" w:rsidP="003041B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A3AD9C1" w14:textId="4404B28B" w:rsidR="00EE6468" w:rsidRPr="00BF20CF" w:rsidRDefault="00EE6468" w:rsidP="00876E97">
      <w:pPr>
        <w:numPr>
          <w:ilvl w:val="0"/>
          <w:numId w:val="38"/>
        </w:numPr>
        <w:autoSpaceDE w:val="0"/>
        <w:autoSpaceDN w:val="0"/>
        <w:adjustRightInd w:val="0"/>
        <w:spacing w:before="240" w:after="120" w:line="276" w:lineRule="auto"/>
        <w:rPr>
          <w:rFonts w:ascii="Arial" w:hAnsi="Arial" w:cs="Arial"/>
          <w:bCs/>
          <w:lang w:val="en-CA"/>
        </w:rPr>
      </w:pPr>
      <w:r w:rsidRPr="00BF20CF">
        <w:rPr>
          <w:rFonts w:ascii="Arial" w:hAnsi="Arial" w:cs="Arial"/>
          <w:bCs/>
          <w:lang w:val="en-CA"/>
        </w:rPr>
        <w:t>For each year</w:t>
      </w:r>
      <w:r w:rsidR="009C37AE" w:rsidRPr="00BF20CF">
        <w:rPr>
          <w:rFonts w:ascii="Arial" w:hAnsi="Arial" w:cs="Arial"/>
          <w:bCs/>
          <w:lang w:val="en-CA"/>
        </w:rPr>
        <w:t xml:space="preserve"> (2021-2025)</w:t>
      </w:r>
      <w:r w:rsidRPr="00BF20CF">
        <w:rPr>
          <w:rFonts w:ascii="Arial" w:hAnsi="Arial" w:cs="Arial"/>
          <w:bCs/>
          <w:lang w:val="en-CA"/>
        </w:rPr>
        <w:t xml:space="preserve">, please provide the </w:t>
      </w:r>
      <w:r w:rsidR="005807CC" w:rsidRPr="00BF20CF">
        <w:rPr>
          <w:rFonts w:ascii="Arial" w:hAnsi="Arial" w:cs="Arial"/>
          <w:bCs/>
          <w:lang w:val="en-CA"/>
        </w:rPr>
        <w:t>total</w:t>
      </w:r>
      <w:r w:rsidRPr="00BF20CF">
        <w:rPr>
          <w:rFonts w:ascii="Arial" w:hAnsi="Arial" w:cs="Arial"/>
          <w:bCs/>
          <w:lang w:val="en-CA"/>
        </w:rPr>
        <w:t xml:space="preserve"> length of underground cable to be replaced as a part of the underground switchgear renewal program?</w:t>
      </w:r>
    </w:p>
    <w:p w14:paraId="140909B8" w14:textId="1A27126D" w:rsidR="009743F0" w:rsidRPr="00BF20CF" w:rsidRDefault="009743F0" w:rsidP="009743F0">
      <w:pPr>
        <w:autoSpaceDE w:val="0"/>
        <w:autoSpaceDN w:val="0"/>
        <w:adjustRightInd w:val="0"/>
        <w:spacing w:line="276" w:lineRule="auto"/>
        <w:rPr>
          <w:rFonts w:ascii="Arial" w:hAnsi="Arial" w:cs="Arial"/>
          <w:b/>
        </w:rPr>
      </w:pPr>
    </w:p>
    <w:p w14:paraId="67FAA9ED" w14:textId="11C7D7CF" w:rsidR="007F209B" w:rsidRPr="00BF20CF" w:rsidRDefault="007F209B" w:rsidP="009743F0">
      <w:pPr>
        <w:autoSpaceDE w:val="0"/>
        <w:autoSpaceDN w:val="0"/>
        <w:adjustRightInd w:val="0"/>
        <w:spacing w:line="276" w:lineRule="auto"/>
        <w:rPr>
          <w:rFonts w:ascii="Arial" w:hAnsi="Arial" w:cs="Arial"/>
          <w:b/>
        </w:rPr>
      </w:pPr>
      <w:r w:rsidRPr="00BF20CF">
        <w:rPr>
          <w:rFonts w:ascii="Arial" w:hAnsi="Arial" w:cs="Arial"/>
          <w:b/>
        </w:rPr>
        <w:br w:type="page"/>
      </w:r>
    </w:p>
    <w:p w14:paraId="2E554D77" w14:textId="7A0E5CBF" w:rsidR="009743F0" w:rsidRPr="00BF20CF" w:rsidRDefault="009743F0" w:rsidP="009743F0">
      <w:pPr>
        <w:autoSpaceDE w:val="0"/>
        <w:autoSpaceDN w:val="0"/>
        <w:adjustRightInd w:val="0"/>
        <w:spacing w:line="276" w:lineRule="auto"/>
        <w:rPr>
          <w:rFonts w:ascii="Arial" w:hAnsi="Arial" w:cs="Arial"/>
          <w:b/>
        </w:rPr>
      </w:pPr>
      <w:r w:rsidRPr="00BF20CF">
        <w:rPr>
          <w:rFonts w:ascii="Arial" w:hAnsi="Arial" w:cs="Arial"/>
          <w:b/>
        </w:rPr>
        <w:lastRenderedPageBreak/>
        <w:t>Fixed Asset Continuity Schedule</w:t>
      </w:r>
    </w:p>
    <w:p w14:paraId="46123AD8" w14:textId="701AF21E"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2-Staff-69</w:t>
      </w:r>
    </w:p>
    <w:p w14:paraId="7BE7730C" w14:textId="77777777" w:rsidR="00D56845" w:rsidRPr="00BF20CF" w:rsidRDefault="00D56845" w:rsidP="00D56845">
      <w:pPr>
        <w:autoSpaceDE w:val="0"/>
        <w:autoSpaceDN w:val="0"/>
        <w:adjustRightInd w:val="0"/>
        <w:spacing w:line="276" w:lineRule="auto"/>
        <w:ind w:left="720" w:hanging="720"/>
        <w:rPr>
          <w:rFonts w:ascii="Arial" w:hAnsi="Arial" w:cs="Arial"/>
          <w:b/>
        </w:rPr>
      </w:pPr>
      <w:r w:rsidRPr="00BF20CF">
        <w:rPr>
          <w:rFonts w:ascii="Arial" w:hAnsi="Arial" w:cs="Arial"/>
          <w:b/>
        </w:rPr>
        <w:t>Ref:</w:t>
      </w:r>
      <w:r w:rsidRPr="00BF20CF">
        <w:rPr>
          <w:rFonts w:ascii="Arial" w:hAnsi="Arial" w:cs="Arial"/>
          <w:b/>
        </w:rPr>
        <w:tab/>
        <w:t>Exhibit 2/Tab 2/Schedule 1/Attachment C: Appendix 2-BA 2018 Fixed Asset Continuity Schedule</w:t>
      </w:r>
    </w:p>
    <w:p w14:paraId="79358865" w14:textId="77777777" w:rsidR="00D56845" w:rsidRPr="00BF20CF" w:rsidRDefault="00D56845" w:rsidP="00D56845">
      <w:pPr>
        <w:autoSpaceDE w:val="0"/>
        <w:autoSpaceDN w:val="0"/>
        <w:adjustRightInd w:val="0"/>
        <w:spacing w:line="276" w:lineRule="auto"/>
        <w:ind w:firstLine="720"/>
        <w:rPr>
          <w:rFonts w:ascii="Arial" w:hAnsi="Arial" w:cs="Arial"/>
          <w:b/>
        </w:rPr>
      </w:pPr>
      <w:r w:rsidRPr="00BF20CF">
        <w:rPr>
          <w:rFonts w:ascii="Arial" w:hAnsi="Arial" w:cs="Arial"/>
          <w:b/>
        </w:rPr>
        <w:t>Exhibit 1/Tab 3/Schedule 2/Table 6 on page 7</w:t>
      </w:r>
    </w:p>
    <w:p w14:paraId="15BE8068" w14:textId="77777777" w:rsidR="00D56845" w:rsidRPr="00BF20CF" w:rsidRDefault="00D56845" w:rsidP="00D56845">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850D70B" w14:textId="77777777" w:rsidR="00D56845" w:rsidRPr="00BF20CF" w:rsidRDefault="00D56845" w:rsidP="00D56845">
      <w:pPr>
        <w:autoSpaceDE w:val="0"/>
        <w:autoSpaceDN w:val="0"/>
        <w:adjustRightInd w:val="0"/>
        <w:spacing w:before="240" w:after="120" w:line="276" w:lineRule="auto"/>
        <w:rPr>
          <w:rFonts w:ascii="Arial" w:hAnsi="Arial" w:cs="Arial"/>
          <w:bCs/>
        </w:rPr>
      </w:pPr>
      <w:r w:rsidRPr="00BF20CF">
        <w:rPr>
          <w:rFonts w:ascii="Arial" w:hAnsi="Arial" w:cs="Arial"/>
          <w:bCs/>
        </w:rPr>
        <w:t xml:space="preserve">Hydro Ottawa provided a reconciliation of capital assets from 2018 AFS to the regulated capital assets for 2018 in an amount of $1,062,410,000.   </w:t>
      </w:r>
    </w:p>
    <w:p w14:paraId="6056A2DA" w14:textId="77777777" w:rsidR="00D56845" w:rsidRPr="00BF20CF" w:rsidRDefault="00D56845" w:rsidP="00D56845">
      <w:pPr>
        <w:spacing w:before="240"/>
        <w:rPr>
          <w:rFonts w:ascii="Arial" w:hAnsi="Arial" w:cs="Arial"/>
        </w:rPr>
      </w:pPr>
      <w:r w:rsidRPr="00BF20CF">
        <w:rPr>
          <w:rFonts w:ascii="Arial" w:hAnsi="Arial" w:cs="Arial"/>
          <w:bCs/>
        </w:rPr>
        <w:t xml:space="preserve">Hydro Ottawa presented the </w:t>
      </w:r>
      <w:r w:rsidRPr="00BF20CF">
        <w:rPr>
          <w:rFonts w:ascii="Arial" w:hAnsi="Arial" w:cs="Arial"/>
        </w:rPr>
        <w:t xml:space="preserve">Fixed Asset Continuity Schedule for 2018 in Appendix 2-BA with the ending Net Book Value (NBV) of $918,374,276. </w:t>
      </w:r>
    </w:p>
    <w:p w14:paraId="76B26793" w14:textId="5A5A07F7" w:rsidR="00D56845" w:rsidRPr="00BF20CF" w:rsidRDefault="00D56845" w:rsidP="00D56845">
      <w:pPr>
        <w:spacing w:before="240"/>
        <w:rPr>
          <w:rFonts w:ascii="Arial" w:hAnsi="Arial" w:cs="Arial"/>
          <w:b/>
        </w:rPr>
      </w:pPr>
      <w:r w:rsidRPr="00BF20CF">
        <w:rPr>
          <w:rFonts w:ascii="Arial" w:hAnsi="Arial" w:cs="Arial"/>
        </w:rPr>
        <w:t xml:space="preserve">Question(s): </w:t>
      </w:r>
    </w:p>
    <w:p w14:paraId="353C5F33" w14:textId="68DD1265" w:rsidR="00D56845" w:rsidRPr="00BF20CF" w:rsidRDefault="00D56845" w:rsidP="00D56845">
      <w:pPr>
        <w:pStyle w:val="ListParagraph"/>
        <w:numPr>
          <w:ilvl w:val="0"/>
          <w:numId w:val="83"/>
        </w:numPr>
        <w:spacing w:before="240" w:after="160" w:line="259" w:lineRule="auto"/>
        <w:rPr>
          <w:rFonts w:ascii="Arial" w:hAnsi="Arial" w:cs="Arial"/>
        </w:rPr>
      </w:pPr>
      <w:r w:rsidRPr="00BF20CF">
        <w:rPr>
          <w:rFonts w:ascii="Arial" w:hAnsi="Arial" w:cs="Arial"/>
        </w:rPr>
        <w:t>Please reconcile the 2018 regulated capital assets balance of $1,062,410,000 to the NBV balance of $918,374,276 from 2018 Fixed Asset Continuity Schedule.</w:t>
      </w:r>
    </w:p>
    <w:p w14:paraId="0FBDEA6E" w14:textId="54BACA82"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2-Staff-70</w:t>
      </w:r>
    </w:p>
    <w:p w14:paraId="733B5C60" w14:textId="77777777" w:rsidR="00EE3DCE" w:rsidRPr="00BF20CF" w:rsidRDefault="00EE3DCE" w:rsidP="004A2AAA">
      <w:pPr>
        <w:autoSpaceDE w:val="0"/>
        <w:autoSpaceDN w:val="0"/>
        <w:adjustRightInd w:val="0"/>
        <w:spacing w:line="276" w:lineRule="auto"/>
        <w:ind w:left="720" w:hanging="720"/>
        <w:rPr>
          <w:rFonts w:ascii="Arial" w:hAnsi="Arial" w:cs="Arial"/>
          <w:b/>
        </w:rPr>
      </w:pPr>
      <w:r w:rsidRPr="00BF20CF">
        <w:rPr>
          <w:rFonts w:ascii="Arial" w:hAnsi="Arial" w:cs="Arial"/>
          <w:b/>
        </w:rPr>
        <w:t>Ref:</w:t>
      </w:r>
      <w:r w:rsidRPr="00BF20CF">
        <w:rPr>
          <w:rFonts w:ascii="Arial" w:hAnsi="Arial" w:cs="Arial"/>
          <w:b/>
        </w:rPr>
        <w:tab/>
        <w:t>Updated Exhibit 2/Tab 2/Schedule 1/Attachment D: Appendix 2-BA 2019 Fixed Asset Continuity Schedule</w:t>
      </w:r>
    </w:p>
    <w:p w14:paraId="4753D166" w14:textId="77777777" w:rsidR="00EE3DCE" w:rsidRPr="00BF20CF" w:rsidRDefault="00EE3DCE" w:rsidP="004A2AAA">
      <w:pPr>
        <w:autoSpaceDE w:val="0"/>
        <w:autoSpaceDN w:val="0"/>
        <w:adjustRightInd w:val="0"/>
        <w:spacing w:line="276" w:lineRule="auto"/>
        <w:ind w:firstLine="720"/>
        <w:rPr>
          <w:rFonts w:ascii="Arial" w:hAnsi="Arial" w:cs="Arial"/>
          <w:b/>
        </w:rPr>
      </w:pPr>
      <w:r w:rsidRPr="00BF20CF">
        <w:rPr>
          <w:rFonts w:ascii="Arial" w:hAnsi="Arial" w:cs="Arial"/>
          <w:b/>
        </w:rPr>
        <w:t xml:space="preserve">Updated Exhibit 1/Tab 3/Schedule 1/Attachment C 2019 AFS </w:t>
      </w:r>
    </w:p>
    <w:p w14:paraId="75952013" w14:textId="77777777" w:rsidR="00EE3DCE" w:rsidRPr="00BF20CF" w:rsidRDefault="00EE3DCE" w:rsidP="004A2AAA">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74FC79ED" w14:textId="77777777" w:rsidR="00EE3DCE" w:rsidRPr="00BF20CF" w:rsidRDefault="00EE3DCE" w:rsidP="004A2AAA">
      <w:pPr>
        <w:spacing w:before="240"/>
        <w:rPr>
          <w:rFonts w:ascii="Arial" w:hAnsi="Arial" w:cs="Arial"/>
        </w:rPr>
      </w:pPr>
      <w:r w:rsidRPr="00BF20CF">
        <w:rPr>
          <w:rFonts w:ascii="Arial" w:hAnsi="Arial" w:cs="Arial"/>
          <w:bCs/>
        </w:rPr>
        <w:t xml:space="preserve">Hydro Ottawa provided the updated </w:t>
      </w:r>
      <w:r w:rsidRPr="00BF20CF">
        <w:rPr>
          <w:rFonts w:ascii="Arial" w:hAnsi="Arial" w:cs="Arial"/>
        </w:rPr>
        <w:t xml:space="preserve">Fixed Asset Continuity Schedule for 2019 in Appendix 2-BA with the ending NBV of $1,067,031,846. </w:t>
      </w:r>
    </w:p>
    <w:p w14:paraId="14DE7136" w14:textId="77777777" w:rsidR="00EE3DCE" w:rsidRPr="00BF20CF" w:rsidRDefault="00EE3DCE" w:rsidP="004A2AAA">
      <w:pPr>
        <w:spacing w:before="240"/>
        <w:rPr>
          <w:rFonts w:ascii="Arial" w:hAnsi="Arial" w:cs="Arial"/>
          <w:b/>
        </w:rPr>
      </w:pPr>
      <w:r w:rsidRPr="00BF20CF">
        <w:rPr>
          <w:rFonts w:ascii="Arial" w:hAnsi="Arial" w:cs="Arial"/>
        </w:rPr>
        <w:t xml:space="preserve">Question(s): </w:t>
      </w:r>
    </w:p>
    <w:p w14:paraId="326BDD5B" w14:textId="1FC0DC8B" w:rsidR="009743F0" w:rsidRPr="00BF20CF" w:rsidRDefault="00EE3DCE" w:rsidP="00EE3DCE">
      <w:pPr>
        <w:pStyle w:val="ListParagraph"/>
        <w:numPr>
          <w:ilvl w:val="0"/>
          <w:numId w:val="249"/>
        </w:numPr>
        <w:spacing w:before="240" w:after="160" w:line="259" w:lineRule="auto"/>
        <w:rPr>
          <w:rFonts w:ascii="Arial" w:hAnsi="Arial" w:cs="Arial"/>
        </w:rPr>
      </w:pPr>
      <w:r w:rsidRPr="00BF20CF">
        <w:rPr>
          <w:rFonts w:ascii="Arial" w:hAnsi="Arial" w:cs="Arial"/>
        </w:rPr>
        <w:t xml:space="preserve">Please provide the 2019 capital assets reconciliation between the </w:t>
      </w:r>
      <w:r w:rsidR="002A7206" w:rsidRPr="00BF20CF">
        <w:rPr>
          <w:rFonts w:ascii="Arial" w:hAnsi="Arial" w:cs="Arial"/>
        </w:rPr>
        <w:t xml:space="preserve">amounts from the </w:t>
      </w:r>
      <w:r w:rsidRPr="00BF20CF">
        <w:rPr>
          <w:rFonts w:ascii="Arial" w:hAnsi="Arial" w:cs="Arial"/>
        </w:rPr>
        <w:t>AFS and the regulated capital assets NBV of $1,067,031,846 from the Fixed Asset Continuity Schedule.</w:t>
      </w:r>
    </w:p>
    <w:p w14:paraId="619DCABA" w14:textId="77777777" w:rsidR="00BA2815" w:rsidRPr="00BF20CF" w:rsidRDefault="00BA2815" w:rsidP="009743F0">
      <w:pPr>
        <w:spacing w:before="240"/>
        <w:rPr>
          <w:rFonts w:ascii="Arial" w:hAnsi="Arial" w:cs="Arial"/>
          <w:b/>
        </w:rPr>
      </w:pPr>
      <w:r w:rsidRPr="00BF20CF">
        <w:rPr>
          <w:rFonts w:ascii="Arial" w:hAnsi="Arial" w:cs="Arial"/>
          <w:b/>
        </w:rPr>
        <w:br w:type="page"/>
      </w:r>
    </w:p>
    <w:p w14:paraId="396E61E4" w14:textId="05BDE8EF" w:rsidR="009743F0" w:rsidRPr="00BF20CF" w:rsidRDefault="009743F0" w:rsidP="009743F0">
      <w:pPr>
        <w:spacing w:before="240"/>
        <w:rPr>
          <w:rFonts w:ascii="Arial" w:hAnsi="Arial" w:cs="Arial"/>
          <w:b/>
        </w:rPr>
      </w:pPr>
      <w:r w:rsidRPr="00BF20CF">
        <w:rPr>
          <w:rFonts w:ascii="Arial" w:hAnsi="Arial" w:cs="Arial"/>
          <w:b/>
        </w:rPr>
        <w:lastRenderedPageBreak/>
        <w:t>Shared Services and Corporate Cost Allocation</w:t>
      </w:r>
    </w:p>
    <w:p w14:paraId="6D7DC4DA" w14:textId="571E87E5" w:rsidR="00BA2815" w:rsidRPr="00BF20CF" w:rsidRDefault="00BF20CF" w:rsidP="00BA2815">
      <w:pPr>
        <w:pStyle w:val="StaffHeader"/>
        <w:numPr>
          <w:ilvl w:val="0"/>
          <w:numId w:val="0"/>
        </w:numPr>
        <w:spacing w:before="240"/>
        <w:rPr>
          <w:rFonts w:cs="Arial"/>
          <w:szCs w:val="24"/>
          <w:u w:val="none"/>
        </w:rPr>
      </w:pPr>
      <w:r w:rsidRPr="00BF20CF">
        <w:rPr>
          <w:rFonts w:cs="Arial"/>
          <w:szCs w:val="24"/>
          <w:u w:val="none"/>
        </w:rPr>
        <w:t>2-Staff-71</w:t>
      </w:r>
    </w:p>
    <w:p w14:paraId="4925B1EF" w14:textId="77777777" w:rsidR="00D56845" w:rsidRPr="00BF20CF" w:rsidRDefault="00D56845" w:rsidP="00D56845">
      <w:pPr>
        <w:autoSpaceDE w:val="0"/>
        <w:autoSpaceDN w:val="0"/>
        <w:adjustRightInd w:val="0"/>
        <w:spacing w:line="276" w:lineRule="auto"/>
        <w:rPr>
          <w:rFonts w:ascii="Arial" w:hAnsi="Arial" w:cs="Arial"/>
          <w:b/>
        </w:rPr>
      </w:pPr>
      <w:r w:rsidRPr="00BF20CF">
        <w:rPr>
          <w:rFonts w:ascii="Arial" w:hAnsi="Arial" w:cs="Arial"/>
          <w:b/>
        </w:rPr>
        <w:t>Ref:  Exhibit 4/Tab 2/Schedule 1/pp. 4-5</w:t>
      </w:r>
    </w:p>
    <w:p w14:paraId="4627FBB6" w14:textId="77777777" w:rsidR="00D56845" w:rsidRPr="00BF20CF" w:rsidRDefault="00D56845" w:rsidP="00D56845">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6F03F73" w14:textId="77777777" w:rsidR="00D56845" w:rsidRPr="00BF20CF" w:rsidRDefault="00D56845" w:rsidP="00D56845">
      <w:pPr>
        <w:rPr>
          <w:rFonts w:ascii="Arial" w:hAnsi="Arial" w:cs="Arial"/>
          <w:bCs/>
        </w:rPr>
      </w:pPr>
      <w:r w:rsidRPr="00BF20CF">
        <w:rPr>
          <w:rFonts w:ascii="Arial" w:hAnsi="Arial" w:cs="Arial"/>
          <w:bCs/>
        </w:rPr>
        <w:t xml:space="preserve">Hydro Ottawa is wholly owned by Hydro Ottawa Holding Inc. (Holding Company). Hydro Ottawa has two other affiliated companies: Energy Ottawa Inc. (Energy Ottawa) and </w:t>
      </w:r>
      <w:proofErr w:type="spellStart"/>
      <w:r w:rsidRPr="00BF20CF">
        <w:rPr>
          <w:rFonts w:ascii="Arial" w:hAnsi="Arial" w:cs="Arial"/>
          <w:bCs/>
        </w:rPr>
        <w:t>Envari</w:t>
      </w:r>
      <w:proofErr w:type="spellEnd"/>
      <w:r w:rsidRPr="00BF20CF">
        <w:rPr>
          <w:rFonts w:ascii="Arial" w:hAnsi="Arial" w:cs="Arial"/>
          <w:bCs/>
        </w:rPr>
        <w:t xml:space="preserve"> Holding Inc. (</w:t>
      </w:r>
      <w:proofErr w:type="spellStart"/>
      <w:r w:rsidRPr="00BF20CF">
        <w:rPr>
          <w:rFonts w:ascii="Arial" w:hAnsi="Arial" w:cs="Arial"/>
          <w:bCs/>
        </w:rPr>
        <w:t>Envari</w:t>
      </w:r>
      <w:proofErr w:type="spellEnd"/>
      <w:r w:rsidRPr="00BF20CF">
        <w:rPr>
          <w:rFonts w:ascii="Arial" w:hAnsi="Arial" w:cs="Arial"/>
          <w:bCs/>
        </w:rPr>
        <w:t>). Hydro Ottawa made the following changes to its shared service methodology since its last rebasing in 2016:</w:t>
      </w:r>
    </w:p>
    <w:p w14:paraId="49BED972" w14:textId="77777777" w:rsidR="00D56845" w:rsidRPr="00BF20CF" w:rsidRDefault="00D56845" w:rsidP="00D56845">
      <w:pPr>
        <w:pStyle w:val="ListParagraph"/>
        <w:numPr>
          <w:ilvl w:val="0"/>
          <w:numId w:val="85"/>
        </w:numPr>
        <w:autoSpaceDE w:val="0"/>
        <w:autoSpaceDN w:val="0"/>
        <w:adjustRightInd w:val="0"/>
        <w:spacing w:before="240" w:after="120" w:line="276" w:lineRule="auto"/>
        <w:rPr>
          <w:rFonts w:ascii="Arial" w:eastAsia="Times New Roman" w:hAnsi="Arial" w:cs="Arial"/>
          <w:bCs/>
        </w:rPr>
      </w:pPr>
      <w:r w:rsidRPr="00BF20CF">
        <w:rPr>
          <w:rFonts w:ascii="Arial" w:eastAsia="Times New Roman" w:hAnsi="Arial" w:cs="Arial"/>
          <w:bCs/>
        </w:rPr>
        <w:t xml:space="preserve">The pricing methodology for Finance Services provided by Hydro Ottawa to its affiliates changed in 2018 from being based on the proportionate share of cost, factored by time spent, to being based on the number and/or value of transactions processed. Hydro Ottawa stated that this measure more accurately reflected the time and effort spent on the various finance services provided, such as procurement (now based on number of transactions), warehousing (now based on value of inventory) and accounts payable (now based on number of payments processed). </w:t>
      </w:r>
    </w:p>
    <w:p w14:paraId="39A8CCDF" w14:textId="77777777" w:rsidR="00D56845" w:rsidRPr="00BF20CF" w:rsidRDefault="00D56845" w:rsidP="00D56845">
      <w:pPr>
        <w:pStyle w:val="ListParagraph"/>
        <w:numPr>
          <w:ilvl w:val="0"/>
          <w:numId w:val="85"/>
        </w:numPr>
        <w:autoSpaceDE w:val="0"/>
        <w:autoSpaceDN w:val="0"/>
        <w:adjustRightInd w:val="0"/>
        <w:spacing w:before="240" w:after="120" w:line="276" w:lineRule="auto"/>
        <w:rPr>
          <w:rFonts w:ascii="Arial" w:eastAsia="Times New Roman" w:hAnsi="Arial" w:cs="Arial"/>
          <w:bCs/>
        </w:rPr>
      </w:pPr>
      <w:r w:rsidRPr="00BF20CF">
        <w:rPr>
          <w:rFonts w:ascii="Arial" w:eastAsia="Times New Roman" w:hAnsi="Arial" w:cs="Arial"/>
          <w:bCs/>
        </w:rPr>
        <w:t>The pricing methodology for Treasury Services provided by Hydro Ottawa to the Holding Company, and vice versa, changed in 2018 from being based on the proportionate share of cost, factored by time spent, to being based on the proportionate share of cost, based on the value of debt outstanding. Hydro Ottawa stated that this measure more accurately reflected the time and effort spent on the various treasury functions.</w:t>
      </w:r>
    </w:p>
    <w:p w14:paraId="1BC8546A" w14:textId="77777777" w:rsidR="00D56845" w:rsidRPr="00BF20CF" w:rsidRDefault="00D56845" w:rsidP="00D56845">
      <w:pPr>
        <w:pStyle w:val="ListParagraph"/>
        <w:numPr>
          <w:ilvl w:val="0"/>
          <w:numId w:val="85"/>
        </w:numPr>
        <w:autoSpaceDE w:val="0"/>
        <w:autoSpaceDN w:val="0"/>
        <w:adjustRightInd w:val="0"/>
        <w:spacing w:before="240" w:after="120" w:line="276" w:lineRule="auto"/>
        <w:rPr>
          <w:rFonts w:ascii="Arial" w:eastAsia="Times New Roman" w:hAnsi="Arial" w:cs="Arial"/>
          <w:bCs/>
        </w:rPr>
      </w:pPr>
      <w:r w:rsidRPr="00BF20CF">
        <w:rPr>
          <w:rFonts w:ascii="Arial" w:eastAsia="Times New Roman" w:hAnsi="Arial" w:cs="Arial"/>
          <w:bCs/>
        </w:rPr>
        <w:t xml:space="preserve">Key account services provided by Hydro Ottawa to </w:t>
      </w:r>
      <w:proofErr w:type="spellStart"/>
      <w:r w:rsidRPr="00BF20CF">
        <w:rPr>
          <w:rFonts w:ascii="Arial" w:eastAsia="Times New Roman" w:hAnsi="Arial" w:cs="Arial"/>
          <w:bCs/>
        </w:rPr>
        <w:t>Envari</w:t>
      </w:r>
      <w:proofErr w:type="spellEnd"/>
      <w:r w:rsidRPr="00BF20CF">
        <w:rPr>
          <w:rFonts w:ascii="Arial" w:eastAsia="Times New Roman" w:hAnsi="Arial" w:cs="Arial"/>
          <w:bCs/>
        </w:rPr>
        <w:t xml:space="preserve"> were added to the allocations in 2019 to capture Hydro Ottawa’s time spent towards developing opportunities with its large commercial customers on behalf of </w:t>
      </w:r>
      <w:proofErr w:type="spellStart"/>
      <w:r w:rsidRPr="00BF20CF">
        <w:rPr>
          <w:rFonts w:ascii="Arial" w:eastAsia="Times New Roman" w:hAnsi="Arial" w:cs="Arial"/>
          <w:bCs/>
        </w:rPr>
        <w:t>Enveri</w:t>
      </w:r>
      <w:proofErr w:type="spellEnd"/>
      <w:r w:rsidRPr="00BF20CF">
        <w:rPr>
          <w:rFonts w:ascii="Arial" w:eastAsia="Times New Roman" w:hAnsi="Arial" w:cs="Arial"/>
          <w:bCs/>
        </w:rPr>
        <w:t xml:space="preserve">. </w:t>
      </w:r>
    </w:p>
    <w:p w14:paraId="6F5B3255" w14:textId="68675479" w:rsidR="00D56845" w:rsidRPr="00BF20CF" w:rsidRDefault="00D56845" w:rsidP="00D56845">
      <w:pPr>
        <w:spacing w:before="240"/>
        <w:rPr>
          <w:rFonts w:ascii="Arial" w:hAnsi="Arial" w:cs="Arial"/>
          <w:b/>
        </w:rPr>
      </w:pPr>
      <w:r w:rsidRPr="00BF20CF">
        <w:rPr>
          <w:rFonts w:ascii="Arial" w:hAnsi="Arial" w:cs="Arial"/>
        </w:rPr>
        <w:t xml:space="preserve">Question(s): </w:t>
      </w:r>
    </w:p>
    <w:p w14:paraId="18A6E031" w14:textId="789E8FAA" w:rsidR="00D56845" w:rsidRPr="00BF20CF" w:rsidRDefault="00D56845" w:rsidP="00D56845">
      <w:pPr>
        <w:pStyle w:val="ListParagraph"/>
        <w:numPr>
          <w:ilvl w:val="0"/>
          <w:numId w:val="84"/>
        </w:numPr>
        <w:spacing w:before="240" w:after="160" w:line="259" w:lineRule="auto"/>
        <w:rPr>
          <w:rFonts w:ascii="Arial" w:hAnsi="Arial" w:cs="Arial"/>
        </w:rPr>
      </w:pPr>
      <w:r w:rsidRPr="00BF20CF">
        <w:rPr>
          <w:rFonts w:ascii="Arial" w:hAnsi="Arial" w:cs="Arial"/>
        </w:rPr>
        <w:t xml:space="preserve">Please explain what gave rise to the changes in the </w:t>
      </w:r>
      <w:r w:rsidRPr="00BF20CF">
        <w:rPr>
          <w:rFonts w:ascii="Arial" w:eastAsia="Times New Roman" w:hAnsi="Arial" w:cs="Arial"/>
          <w:bCs/>
        </w:rPr>
        <w:t>shared service methodology</w:t>
      </w:r>
      <w:r w:rsidRPr="00BF20CF">
        <w:rPr>
          <w:rFonts w:ascii="Arial" w:hAnsi="Arial" w:cs="Arial"/>
        </w:rPr>
        <w:t xml:space="preserve"> in 1) and 2).</w:t>
      </w:r>
    </w:p>
    <w:p w14:paraId="75FA7739" w14:textId="77777777" w:rsidR="007F209B" w:rsidRPr="00BF20CF" w:rsidRDefault="007F209B" w:rsidP="007F209B">
      <w:pPr>
        <w:pStyle w:val="ListParagraph"/>
        <w:spacing w:before="240" w:after="160" w:line="259" w:lineRule="auto"/>
        <w:rPr>
          <w:rFonts w:ascii="Arial" w:hAnsi="Arial" w:cs="Arial"/>
        </w:rPr>
      </w:pPr>
    </w:p>
    <w:p w14:paraId="54F36E46" w14:textId="51C9604A" w:rsidR="00D56845" w:rsidRPr="00BF20CF" w:rsidRDefault="00D56845" w:rsidP="00D56845">
      <w:pPr>
        <w:pStyle w:val="ListParagraph"/>
        <w:numPr>
          <w:ilvl w:val="0"/>
          <w:numId w:val="84"/>
        </w:numPr>
        <w:spacing w:before="240" w:after="160" w:line="259" w:lineRule="auto"/>
        <w:rPr>
          <w:rFonts w:ascii="Arial" w:hAnsi="Arial" w:cs="Arial"/>
        </w:rPr>
      </w:pPr>
      <w:r w:rsidRPr="00BF20CF">
        <w:rPr>
          <w:rFonts w:ascii="Arial" w:eastAsia="Times New Roman" w:hAnsi="Arial" w:cs="Arial"/>
          <w:bCs/>
        </w:rPr>
        <w:t xml:space="preserve">Please demonstrate </w:t>
      </w:r>
      <w:r w:rsidRPr="00BF20CF">
        <w:rPr>
          <w:rFonts w:ascii="Arial" w:hAnsi="Arial" w:cs="Arial"/>
        </w:rPr>
        <w:t xml:space="preserve">why the proposed changes captured the value of the shared services provided by </w:t>
      </w:r>
      <w:r w:rsidRPr="00BF20CF">
        <w:rPr>
          <w:rFonts w:ascii="Arial" w:eastAsia="Times New Roman" w:hAnsi="Arial" w:cs="Arial"/>
          <w:bCs/>
        </w:rPr>
        <w:t xml:space="preserve">Hydro Ottawa more accurately. Was there any study done?  </w:t>
      </w:r>
    </w:p>
    <w:p w14:paraId="357FD990" w14:textId="77777777" w:rsidR="007F209B" w:rsidRPr="00BF20CF" w:rsidRDefault="007F209B" w:rsidP="007F209B">
      <w:pPr>
        <w:pStyle w:val="ListParagraph"/>
        <w:spacing w:before="240" w:after="160" w:line="259" w:lineRule="auto"/>
        <w:rPr>
          <w:rFonts w:ascii="Arial" w:hAnsi="Arial" w:cs="Arial"/>
        </w:rPr>
      </w:pPr>
    </w:p>
    <w:p w14:paraId="19DA4F4B" w14:textId="77777777" w:rsidR="00D56845" w:rsidRPr="00BF20CF" w:rsidRDefault="00D56845" w:rsidP="00D56845">
      <w:pPr>
        <w:pStyle w:val="ListParagraph"/>
        <w:numPr>
          <w:ilvl w:val="0"/>
          <w:numId w:val="84"/>
        </w:numPr>
        <w:spacing w:before="240" w:after="160" w:line="259" w:lineRule="auto"/>
        <w:rPr>
          <w:rFonts w:ascii="Arial" w:hAnsi="Arial" w:cs="Arial"/>
        </w:rPr>
      </w:pPr>
      <w:r w:rsidRPr="00BF20CF">
        <w:rPr>
          <w:rFonts w:ascii="Arial" w:hAnsi="Arial" w:cs="Arial"/>
        </w:rPr>
        <w:t xml:space="preserve">Please explain how the revenue earned from Key Account Services provided to </w:t>
      </w:r>
      <w:proofErr w:type="spellStart"/>
      <w:r w:rsidRPr="00BF20CF">
        <w:rPr>
          <w:rFonts w:ascii="Arial" w:hAnsi="Arial" w:cs="Arial"/>
        </w:rPr>
        <w:t>Envari</w:t>
      </w:r>
      <w:proofErr w:type="spellEnd"/>
      <w:r w:rsidRPr="00BF20CF">
        <w:rPr>
          <w:rFonts w:ascii="Arial" w:hAnsi="Arial" w:cs="Arial"/>
        </w:rPr>
        <w:t xml:space="preserve"> as identified in 3) was determined. </w:t>
      </w:r>
    </w:p>
    <w:p w14:paraId="5D09C0F7" w14:textId="77777777" w:rsidR="00482130" w:rsidRPr="00BF20CF" w:rsidRDefault="00482130" w:rsidP="00C84F5B">
      <w:pPr>
        <w:autoSpaceDE w:val="0"/>
        <w:autoSpaceDN w:val="0"/>
        <w:adjustRightInd w:val="0"/>
        <w:spacing w:before="240" w:after="120" w:line="276" w:lineRule="auto"/>
        <w:rPr>
          <w:rFonts w:ascii="Arial" w:hAnsi="Arial" w:cs="Arial"/>
          <w:b/>
          <w:bCs/>
        </w:rPr>
      </w:pPr>
      <w:r w:rsidRPr="00BF20CF">
        <w:rPr>
          <w:rFonts w:ascii="Arial" w:hAnsi="Arial" w:cs="Arial"/>
          <w:b/>
          <w:bCs/>
        </w:rPr>
        <w:lastRenderedPageBreak/>
        <w:t>Exhibit 3 – Operating Revenue</w:t>
      </w:r>
    </w:p>
    <w:p w14:paraId="5A3CA570" w14:textId="77777777" w:rsidR="00482130" w:rsidRPr="00BF20CF" w:rsidRDefault="00482130" w:rsidP="00C84F5B">
      <w:pPr>
        <w:autoSpaceDE w:val="0"/>
        <w:autoSpaceDN w:val="0"/>
        <w:adjustRightInd w:val="0"/>
        <w:spacing w:before="240" w:after="120" w:line="276" w:lineRule="auto"/>
        <w:rPr>
          <w:rFonts w:ascii="Arial" w:hAnsi="Arial" w:cs="Arial"/>
          <w:b/>
          <w:bCs/>
        </w:rPr>
      </w:pPr>
      <w:r w:rsidRPr="00BF20CF">
        <w:rPr>
          <w:rFonts w:ascii="Arial" w:hAnsi="Arial" w:cs="Arial"/>
          <w:b/>
          <w:bCs/>
        </w:rPr>
        <w:t>Load Forecast</w:t>
      </w:r>
    </w:p>
    <w:p w14:paraId="592C5216" w14:textId="35C22084" w:rsidR="00BA2815" w:rsidRPr="00BF20CF" w:rsidRDefault="00BA2815" w:rsidP="00BA2815">
      <w:pPr>
        <w:pStyle w:val="StaffHeader"/>
        <w:numPr>
          <w:ilvl w:val="0"/>
          <w:numId w:val="0"/>
        </w:numPr>
        <w:spacing w:before="240"/>
        <w:rPr>
          <w:rFonts w:cs="Arial"/>
          <w:szCs w:val="24"/>
          <w:u w:val="none"/>
        </w:rPr>
      </w:pPr>
      <w:r w:rsidRPr="00BF20CF">
        <w:rPr>
          <w:rFonts w:cs="Arial"/>
          <w:szCs w:val="24"/>
          <w:u w:val="none"/>
        </w:rPr>
        <w:t>3-Staff-1</w:t>
      </w:r>
    </w:p>
    <w:p w14:paraId="0D76B782" w14:textId="388EEF5A" w:rsidR="00B64EC6" w:rsidRPr="00BF20CF" w:rsidRDefault="00B64EC6" w:rsidP="00C84F5B">
      <w:pPr>
        <w:spacing w:line="276" w:lineRule="auto"/>
        <w:rPr>
          <w:rFonts w:ascii="Arial" w:hAnsi="Arial" w:cs="Arial"/>
          <w:b/>
        </w:rPr>
      </w:pPr>
      <w:r w:rsidRPr="00BF20CF">
        <w:rPr>
          <w:rFonts w:ascii="Arial" w:hAnsi="Arial" w:cs="Arial"/>
          <w:b/>
        </w:rPr>
        <w:t>Ref:</w:t>
      </w:r>
      <w:r w:rsidRPr="00BF20CF">
        <w:rPr>
          <w:rFonts w:ascii="Arial" w:hAnsi="Arial" w:cs="Arial"/>
          <w:b/>
        </w:rPr>
        <w:tab/>
        <w:t>Updated Exhibit 3, Tab 1, Schedule 2, page 2</w:t>
      </w:r>
    </w:p>
    <w:p w14:paraId="1E6AB039" w14:textId="77777777" w:rsidR="00B64EC6" w:rsidRPr="00BF20CF" w:rsidRDefault="00B64EC6" w:rsidP="00C84F5B">
      <w:pPr>
        <w:spacing w:line="276" w:lineRule="auto"/>
        <w:ind w:firstLine="720"/>
        <w:rPr>
          <w:rFonts w:ascii="Arial" w:hAnsi="Arial" w:cs="Arial"/>
          <w:b/>
        </w:rPr>
      </w:pPr>
      <w:r w:rsidRPr="00BF20CF">
        <w:rPr>
          <w:rFonts w:ascii="Arial" w:hAnsi="Arial" w:cs="Arial"/>
          <w:b/>
        </w:rPr>
        <w:t>Updated Chapter 2 Appendix 2-IB</w:t>
      </w:r>
    </w:p>
    <w:p w14:paraId="7DF744CF"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217ABB1" w14:textId="77777777" w:rsidR="00B64EC6" w:rsidRPr="00BF20CF" w:rsidRDefault="00B64EC6" w:rsidP="00C84F5B">
      <w:pPr>
        <w:spacing w:line="276" w:lineRule="auto"/>
        <w:rPr>
          <w:rFonts w:ascii="Arial" w:hAnsi="Arial" w:cs="Arial"/>
        </w:rPr>
      </w:pPr>
      <w:r w:rsidRPr="00BF20CF">
        <w:rPr>
          <w:rFonts w:ascii="Arial" w:hAnsi="Arial" w:cs="Arial"/>
        </w:rPr>
        <w:t>Hydro Ottawa states that:</w:t>
      </w:r>
    </w:p>
    <w:p w14:paraId="31226DC2" w14:textId="77777777" w:rsidR="00B64EC6" w:rsidRPr="00BF20CF" w:rsidRDefault="00B64EC6" w:rsidP="00C84F5B">
      <w:pPr>
        <w:spacing w:line="276" w:lineRule="auto"/>
        <w:ind w:left="360"/>
        <w:rPr>
          <w:rFonts w:ascii="Arial" w:hAnsi="Arial" w:cs="Arial"/>
        </w:rPr>
      </w:pPr>
      <w:r w:rsidRPr="00BF20CF">
        <w:rPr>
          <w:rFonts w:ascii="Arial" w:hAnsi="Arial" w:cs="Arial"/>
        </w:rPr>
        <w:t>Hydro Ottawa has provided Attachment 3-1-1(A): Appendix 2-IB - Load Forecast Analysis, which summarizes the data and develops year-over-year trends in historical and forecast customer counts, consumption, demand, and revenues. The utility completed Appendix 2-IB with the following inputs:</w:t>
      </w:r>
    </w:p>
    <w:p w14:paraId="10D977C2" w14:textId="5E81287C" w:rsidR="00B64EC6" w:rsidRPr="00BF20CF" w:rsidRDefault="00B64EC6" w:rsidP="00B64EC6">
      <w:pPr>
        <w:pStyle w:val="ListParagraph"/>
        <w:numPr>
          <w:ilvl w:val="0"/>
          <w:numId w:val="147"/>
        </w:numPr>
        <w:spacing w:after="160" w:line="276" w:lineRule="auto"/>
        <w:ind w:left="1080"/>
        <w:rPr>
          <w:rFonts w:ascii="Arial" w:hAnsi="Arial" w:cs="Arial"/>
        </w:rPr>
      </w:pPr>
      <w:r w:rsidRPr="00BF20CF">
        <w:rPr>
          <w:rFonts w:ascii="Arial" w:hAnsi="Arial" w:cs="Arial"/>
        </w:rPr>
        <w:t>2016-2019 actual sales, demand, customer count and connections, and distribution revenue;</w:t>
      </w:r>
    </w:p>
    <w:p w14:paraId="01D3FD82" w14:textId="1BFB0041" w:rsidR="00B64EC6" w:rsidRPr="00BF20CF" w:rsidRDefault="00B64EC6" w:rsidP="00B64EC6">
      <w:pPr>
        <w:pStyle w:val="ListParagraph"/>
        <w:numPr>
          <w:ilvl w:val="0"/>
          <w:numId w:val="147"/>
        </w:numPr>
        <w:spacing w:after="160" w:line="276" w:lineRule="auto"/>
        <w:ind w:left="1080"/>
        <w:rPr>
          <w:rFonts w:ascii="Arial" w:hAnsi="Arial" w:cs="Arial"/>
        </w:rPr>
      </w:pPr>
      <w:r w:rsidRPr="00BF20CF">
        <w:rPr>
          <w:rFonts w:ascii="Arial" w:hAnsi="Arial" w:cs="Arial"/>
        </w:rPr>
        <w:t>2016-2019 actual weather-normalized sales and demand;</w:t>
      </w:r>
    </w:p>
    <w:p w14:paraId="3CB12843" w14:textId="074583FA" w:rsidR="00B64EC6" w:rsidRPr="00BF20CF" w:rsidRDefault="00B64EC6" w:rsidP="00B64EC6">
      <w:pPr>
        <w:pStyle w:val="ListParagraph"/>
        <w:numPr>
          <w:ilvl w:val="0"/>
          <w:numId w:val="147"/>
        </w:numPr>
        <w:spacing w:after="160" w:line="276" w:lineRule="auto"/>
        <w:ind w:left="1080"/>
        <w:rPr>
          <w:rFonts w:ascii="Arial" w:hAnsi="Arial" w:cs="Arial"/>
        </w:rPr>
      </w:pPr>
      <w:r w:rsidRPr="00BF20CF">
        <w:rPr>
          <w:rFonts w:ascii="Arial" w:hAnsi="Arial" w:cs="Arial"/>
        </w:rPr>
        <w:t>2020 updated load forecast and approved distribution revenue; and</w:t>
      </w:r>
    </w:p>
    <w:p w14:paraId="7362697B" w14:textId="77777777" w:rsidR="00B64EC6" w:rsidRPr="00BF20CF" w:rsidRDefault="00B64EC6" w:rsidP="00B64EC6">
      <w:pPr>
        <w:pStyle w:val="ListParagraph"/>
        <w:numPr>
          <w:ilvl w:val="0"/>
          <w:numId w:val="147"/>
        </w:numPr>
        <w:spacing w:after="160" w:line="276" w:lineRule="auto"/>
        <w:ind w:left="1080"/>
        <w:rPr>
          <w:rFonts w:ascii="Arial" w:hAnsi="Arial" w:cs="Arial"/>
        </w:rPr>
      </w:pPr>
      <w:r w:rsidRPr="00BF20CF">
        <w:rPr>
          <w:rFonts w:ascii="Arial" w:hAnsi="Arial" w:cs="Arial"/>
        </w:rPr>
        <w:t>2021-2025 proposed load forecast and proposed distribution revenue.</w:t>
      </w:r>
    </w:p>
    <w:p w14:paraId="21758E0B"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5D7074D" w14:textId="77777777" w:rsidR="00B64EC6" w:rsidRPr="00BF20CF" w:rsidRDefault="00B64EC6" w:rsidP="00B64EC6">
      <w:pPr>
        <w:pStyle w:val="ListParagraph"/>
        <w:numPr>
          <w:ilvl w:val="0"/>
          <w:numId w:val="146"/>
        </w:numPr>
        <w:spacing w:after="160" w:line="276" w:lineRule="auto"/>
        <w:rPr>
          <w:rFonts w:ascii="Arial" w:hAnsi="Arial" w:cs="Arial"/>
        </w:rPr>
      </w:pPr>
      <w:r w:rsidRPr="00BF20CF">
        <w:rPr>
          <w:rFonts w:ascii="Arial" w:hAnsi="Arial" w:cs="Arial"/>
        </w:rPr>
        <w:t>Please provide forecasts for 2013 to 2019 energy, demand and customer connections using the proposed forecast models with actual values used for explanatory variables.</w:t>
      </w:r>
    </w:p>
    <w:p w14:paraId="4F6A0C7C" w14:textId="03A02F78" w:rsidR="00BA2815" w:rsidRPr="00BF20CF" w:rsidRDefault="00BA2815" w:rsidP="00BA2815">
      <w:pPr>
        <w:pStyle w:val="StaffHeader"/>
        <w:numPr>
          <w:ilvl w:val="0"/>
          <w:numId w:val="0"/>
        </w:numPr>
        <w:spacing w:before="240"/>
        <w:rPr>
          <w:rFonts w:cs="Arial"/>
          <w:szCs w:val="24"/>
          <w:u w:val="none"/>
        </w:rPr>
      </w:pPr>
      <w:r w:rsidRPr="00BF20CF">
        <w:rPr>
          <w:rFonts w:cs="Arial"/>
          <w:szCs w:val="24"/>
          <w:u w:val="none"/>
        </w:rPr>
        <w:t>3-Staff-2</w:t>
      </w:r>
    </w:p>
    <w:p w14:paraId="73FD1171" w14:textId="77777777" w:rsidR="00B64EC6" w:rsidRPr="00BF20CF" w:rsidRDefault="00B64EC6" w:rsidP="00C84F5B">
      <w:pPr>
        <w:spacing w:line="276" w:lineRule="auto"/>
        <w:rPr>
          <w:rFonts w:ascii="Arial" w:hAnsi="Arial" w:cs="Arial"/>
          <w:b/>
        </w:rPr>
      </w:pPr>
      <w:r w:rsidRPr="00BF20CF">
        <w:rPr>
          <w:rFonts w:ascii="Arial" w:hAnsi="Arial" w:cs="Arial"/>
          <w:b/>
        </w:rPr>
        <w:t>Ref:</w:t>
      </w:r>
      <w:r w:rsidRPr="00BF20CF">
        <w:rPr>
          <w:rFonts w:ascii="Arial" w:hAnsi="Arial" w:cs="Arial"/>
          <w:b/>
        </w:rPr>
        <w:tab/>
        <w:t>Updated Chapter 2 Appendix 2-IB</w:t>
      </w:r>
    </w:p>
    <w:p w14:paraId="4E9306D3" w14:textId="77777777" w:rsidR="00B64EC6" w:rsidRPr="00BF20CF" w:rsidRDefault="00B64EC6" w:rsidP="00C84F5B">
      <w:pPr>
        <w:spacing w:line="276" w:lineRule="auto"/>
        <w:ind w:firstLine="720"/>
        <w:rPr>
          <w:rFonts w:ascii="Arial" w:hAnsi="Arial" w:cs="Arial"/>
          <w:b/>
        </w:rPr>
      </w:pPr>
      <w:r w:rsidRPr="00BF20CF">
        <w:rPr>
          <w:rFonts w:ascii="Arial" w:hAnsi="Arial" w:cs="Arial"/>
          <w:b/>
        </w:rPr>
        <w:t>Part 2 Load Forecast Data</w:t>
      </w:r>
    </w:p>
    <w:p w14:paraId="7979A058"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A094C0D" w14:textId="77777777" w:rsidR="00B64EC6" w:rsidRPr="00BF20CF" w:rsidRDefault="00B64EC6" w:rsidP="00C84F5B">
      <w:pPr>
        <w:spacing w:after="240" w:line="276" w:lineRule="auto"/>
        <w:rPr>
          <w:rFonts w:ascii="Arial" w:hAnsi="Arial" w:cs="Arial"/>
        </w:rPr>
      </w:pPr>
      <w:r w:rsidRPr="00BF20CF">
        <w:rPr>
          <w:rFonts w:ascii="Arial" w:hAnsi="Arial" w:cs="Arial"/>
        </w:rPr>
        <w:t>The energy forecast Data workbook has identified with the prefixes, Res, GS 50, GS 1000, GS 1000NI, GS 5000, L, MU, SL, DCL.</w:t>
      </w:r>
    </w:p>
    <w:p w14:paraId="61B760C4" w14:textId="77777777" w:rsidR="00B64EC6" w:rsidRPr="00BF20CF" w:rsidRDefault="00B64EC6" w:rsidP="00C84F5B">
      <w:pPr>
        <w:spacing w:line="276" w:lineRule="auto"/>
        <w:rPr>
          <w:rFonts w:ascii="Arial" w:hAnsi="Arial" w:cs="Arial"/>
        </w:rPr>
      </w:pPr>
      <w:r w:rsidRPr="00BF20CF">
        <w:rPr>
          <w:rFonts w:ascii="Arial" w:hAnsi="Arial" w:cs="Arial"/>
        </w:rPr>
        <w:t>Hydro Ottawa has the rate classes Residential, General Service &lt; 50 kW, General Service 50 to 1,000 kW Non Interval, General Service 50 to 1,000 kW Interval, General Service 1,000 to 1,499 kW, General Service 1,500 to 4,999 kW, Large Use, Unmetered Scattered Load, Sentinel Lighting, Street Lighting.</w:t>
      </w:r>
    </w:p>
    <w:p w14:paraId="53083B6F"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7DDCF14E" w14:textId="77777777" w:rsidR="00B64EC6" w:rsidRPr="00BF20CF" w:rsidRDefault="00B64EC6" w:rsidP="00B64EC6">
      <w:pPr>
        <w:pStyle w:val="ListParagraph"/>
        <w:numPr>
          <w:ilvl w:val="0"/>
          <w:numId w:val="143"/>
        </w:numPr>
        <w:spacing w:after="160" w:line="276" w:lineRule="auto"/>
        <w:rPr>
          <w:rFonts w:ascii="Arial" w:hAnsi="Arial" w:cs="Arial"/>
        </w:rPr>
      </w:pPr>
      <w:r w:rsidRPr="00BF20CF">
        <w:rPr>
          <w:rFonts w:ascii="Arial" w:hAnsi="Arial" w:cs="Arial"/>
        </w:rPr>
        <w:t>Please provide a mapping from regression models to rate classes.</w:t>
      </w:r>
    </w:p>
    <w:p w14:paraId="20223154" w14:textId="77777777" w:rsidR="00B64EC6" w:rsidRPr="00BF20CF" w:rsidRDefault="00B64EC6" w:rsidP="007F209B">
      <w:pPr>
        <w:pStyle w:val="ListParagraph"/>
        <w:spacing w:after="160" w:line="276" w:lineRule="auto"/>
        <w:rPr>
          <w:rFonts w:ascii="Arial" w:hAnsi="Arial" w:cs="Arial"/>
        </w:rPr>
      </w:pPr>
    </w:p>
    <w:p w14:paraId="5ACB1DE2" w14:textId="77777777" w:rsidR="00B64EC6" w:rsidRPr="00BF20CF" w:rsidRDefault="00B64EC6" w:rsidP="00B64EC6">
      <w:pPr>
        <w:pStyle w:val="ListParagraph"/>
        <w:numPr>
          <w:ilvl w:val="0"/>
          <w:numId w:val="143"/>
        </w:numPr>
        <w:spacing w:after="160" w:line="276" w:lineRule="auto"/>
        <w:rPr>
          <w:rFonts w:ascii="Arial" w:hAnsi="Arial" w:cs="Arial"/>
        </w:rPr>
      </w:pPr>
      <w:r w:rsidRPr="00BF20CF">
        <w:rPr>
          <w:rFonts w:ascii="Arial" w:hAnsi="Arial" w:cs="Arial"/>
        </w:rPr>
        <w:t>Please indicate which variable is the dependent variable in each model. If the dependent variable is not provided, please provide.</w:t>
      </w:r>
    </w:p>
    <w:p w14:paraId="3D46540C" w14:textId="77777777" w:rsidR="00B64EC6" w:rsidRPr="00BF20CF" w:rsidRDefault="00B64EC6" w:rsidP="007F209B">
      <w:pPr>
        <w:pStyle w:val="ListParagraph"/>
        <w:spacing w:after="160" w:line="276" w:lineRule="auto"/>
        <w:rPr>
          <w:rFonts w:ascii="Arial" w:hAnsi="Arial" w:cs="Arial"/>
        </w:rPr>
      </w:pPr>
    </w:p>
    <w:p w14:paraId="4E132E3E" w14:textId="77777777" w:rsidR="00B64EC6" w:rsidRPr="00BF20CF" w:rsidRDefault="00B64EC6" w:rsidP="00B64EC6">
      <w:pPr>
        <w:pStyle w:val="ListParagraph"/>
        <w:numPr>
          <w:ilvl w:val="0"/>
          <w:numId w:val="143"/>
        </w:numPr>
        <w:spacing w:after="160" w:line="276" w:lineRule="auto"/>
        <w:rPr>
          <w:rFonts w:ascii="Arial" w:hAnsi="Arial" w:cs="Arial"/>
        </w:rPr>
      </w:pPr>
      <w:r w:rsidRPr="00BF20CF">
        <w:rPr>
          <w:rFonts w:ascii="Arial" w:hAnsi="Arial" w:cs="Arial"/>
        </w:rPr>
        <w:t>Please reconcile any variances between the dependent variables and the historic energy use as indicated in Appendix 2-IB</w:t>
      </w:r>
    </w:p>
    <w:p w14:paraId="50E1F137" w14:textId="77777777" w:rsidR="00B64EC6" w:rsidRPr="00BF20CF" w:rsidRDefault="00B64EC6" w:rsidP="007F209B">
      <w:pPr>
        <w:pStyle w:val="ListParagraph"/>
        <w:rPr>
          <w:rFonts w:ascii="Arial" w:hAnsi="Arial" w:cs="Arial"/>
        </w:rPr>
      </w:pPr>
    </w:p>
    <w:p w14:paraId="06EFAC04" w14:textId="77777777" w:rsidR="00B64EC6" w:rsidRPr="00BF20CF" w:rsidRDefault="00B64EC6" w:rsidP="00B64EC6">
      <w:pPr>
        <w:pStyle w:val="ListParagraph"/>
        <w:numPr>
          <w:ilvl w:val="0"/>
          <w:numId w:val="143"/>
        </w:numPr>
        <w:spacing w:after="160" w:line="276" w:lineRule="auto"/>
        <w:rPr>
          <w:rFonts w:ascii="Arial" w:hAnsi="Arial" w:cs="Arial"/>
        </w:rPr>
      </w:pPr>
      <w:r w:rsidRPr="00BF20CF">
        <w:rPr>
          <w:rFonts w:ascii="Arial" w:hAnsi="Arial" w:cs="Arial"/>
        </w:rPr>
        <w:t>If a dependent variable is not energy, please explain how it relates to energy, and how the model is used to calculate energy use.</w:t>
      </w:r>
    </w:p>
    <w:p w14:paraId="4CC3B0A1" w14:textId="49D7C111" w:rsidR="00BA2815" w:rsidRPr="00BF20CF" w:rsidRDefault="00BA2815" w:rsidP="00BA2815">
      <w:pPr>
        <w:pStyle w:val="StaffHeader"/>
        <w:numPr>
          <w:ilvl w:val="0"/>
          <w:numId w:val="0"/>
        </w:numPr>
        <w:spacing w:before="240"/>
        <w:rPr>
          <w:rFonts w:cs="Arial"/>
          <w:szCs w:val="24"/>
          <w:u w:val="none"/>
        </w:rPr>
      </w:pPr>
      <w:r w:rsidRPr="00BF20CF">
        <w:rPr>
          <w:rFonts w:cs="Arial"/>
          <w:szCs w:val="24"/>
          <w:u w:val="none"/>
        </w:rPr>
        <w:t>3-Staff-3</w:t>
      </w:r>
    </w:p>
    <w:p w14:paraId="1F53972B" w14:textId="77777777" w:rsidR="00B64EC6" w:rsidRPr="00BF20CF" w:rsidRDefault="00B64EC6" w:rsidP="00C84F5B">
      <w:pPr>
        <w:spacing w:line="276" w:lineRule="auto"/>
        <w:rPr>
          <w:rFonts w:ascii="Arial" w:hAnsi="Arial" w:cs="Arial"/>
          <w:b/>
        </w:rPr>
      </w:pPr>
      <w:r w:rsidRPr="00BF20CF">
        <w:rPr>
          <w:rFonts w:ascii="Arial" w:hAnsi="Arial" w:cs="Arial"/>
          <w:b/>
        </w:rPr>
        <w:t>Ref: Part2Load Forecast Data</w:t>
      </w:r>
    </w:p>
    <w:p w14:paraId="64DB1F91"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556DA70" w14:textId="77777777" w:rsidR="00B64EC6" w:rsidRPr="00BF20CF" w:rsidRDefault="00B64EC6" w:rsidP="00BA2815">
      <w:pPr>
        <w:spacing w:after="120" w:line="276" w:lineRule="auto"/>
        <w:rPr>
          <w:rFonts w:ascii="Arial" w:hAnsi="Arial" w:cs="Arial"/>
        </w:rPr>
      </w:pPr>
      <w:r w:rsidRPr="00BF20CF">
        <w:rPr>
          <w:rFonts w:ascii="Arial" w:hAnsi="Arial" w:cs="Arial"/>
        </w:rPr>
        <w:t>The energy forecast models include several binary variables. These are summarized in the table below:</w:t>
      </w:r>
    </w:p>
    <w:tbl>
      <w:tblPr>
        <w:tblStyle w:val="TableGrid"/>
        <w:tblW w:w="0" w:type="auto"/>
        <w:tblLook w:val="04A0" w:firstRow="1" w:lastRow="0" w:firstColumn="1" w:lastColumn="0" w:noHBand="0" w:noVBand="1"/>
      </w:tblPr>
      <w:tblGrid>
        <w:gridCol w:w="2640"/>
        <w:gridCol w:w="844"/>
        <w:gridCol w:w="822"/>
        <w:gridCol w:w="877"/>
        <w:gridCol w:w="990"/>
        <w:gridCol w:w="877"/>
        <w:gridCol w:w="772"/>
        <w:gridCol w:w="808"/>
      </w:tblGrid>
      <w:tr w:rsidR="00B64EC6" w:rsidRPr="00BF20CF" w14:paraId="59A416AB" w14:textId="77777777" w:rsidTr="00C84F5B">
        <w:trPr>
          <w:tblHeader/>
        </w:trPr>
        <w:tc>
          <w:tcPr>
            <w:tcW w:w="3002" w:type="dxa"/>
          </w:tcPr>
          <w:p w14:paraId="3006CF95" w14:textId="77777777" w:rsidR="00B64EC6" w:rsidRPr="00BF20CF" w:rsidRDefault="00B64EC6" w:rsidP="00C84F5B">
            <w:pPr>
              <w:spacing w:line="276" w:lineRule="auto"/>
              <w:rPr>
                <w:rFonts w:ascii="Arial" w:hAnsi="Arial" w:cs="Arial"/>
              </w:rPr>
            </w:pPr>
          </w:p>
        </w:tc>
        <w:tc>
          <w:tcPr>
            <w:tcW w:w="902" w:type="dxa"/>
          </w:tcPr>
          <w:p w14:paraId="10565941" w14:textId="77777777" w:rsidR="00B64EC6" w:rsidRPr="00BF20CF" w:rsidRDefault="00B64EC6" w:rsidP="00C84F5B">
            <w:pPr>
              <w:spacing w:line="276" w:lineRule="auto"/>
              <w:jc w:val="center"/>
              <w:rPr>
                <w:rFonts w:ascii="Arial" w:hAnsi="Arial" w:cs="Arial"/>
              </w:rPr>
            </w:pPr>
            <w:r w:rsidRPr="00BF20CF">
              <w:rPr>
                <w:rFonts w:ascii="Arial" w:hAnsi="Arial" w:cs="Arial"/>
              </w:rPr>
              <w:t>Res</w:t>
            </w:r>
          </w:p>
        </w:tc>
        <w:tc>
          <w:tcPr>
            <w:tcW w:w="897" w:type="dxa"/>
          </w:tcPr>
          <w:p w14:paraId="5BAAC916" w14:textId="77777777" w:rsidR="00B64EC6" w:rsidRPr="00BF20CF" w:rsidRDefault="00B64EC6" w:rsidP="00C84F5B">
            <w:pPr>
              <w:spacing w:line="276" w:lineRule="auto"/>
              <w:jc w:val="center"/>
              <w:rPr>
                <w:rFonts w:ascii="Arial" w:hAnsi="Arial" w:cs="Arial"/>
              </w:rPr>
            </w:pPr>
            <w:r w:rsidRPr="00BF20CF">
              <w:rPr>
                <w:rFonts w:ascii="Arial" w:hAnsi="Arial" w:cs="Arial"/>
              </w:rPr>
              <w:t>GS 50</w:t>
            </w:r>
          </w:p>
        </w:tc>
        <w:tc>
          <w:tcPr>
            <w:tcW w:w="914" w:type="dxa"/>
          </w:tcPr>
          <w:p w14:paraId="41F12CDB" w14:textId="77777777" w:rsidR="00B64EC6" w:rsidRPr="00BF20CF" w:rsidRDefault="00B64EC6" w:rsidP="00C84F5B">
            <w:pPr>
              <w:spacing w:line="276" w:lineRule="auto"/>
              <w:jc w:val="center"/>
              <w:rPr>
                <w:rFonts w:ascii="Arial" w:hAnsi="Arial" w:cs="Arial"/>
              </w:rPr>
            </w:pPr>
            <w:r w:rsidRPr="00BF20CF">
              <w:rPr>
                <w:rFonts w:ascii="Arial" w:hAnsi="Arial" w:cs="Arial"/>
              </w:rPr>
              <w:t>GS 1000</w:t>
            </w:r>
          </w:p>
        </w:tc>
        <w:tc>
          <w:tcPr>
            <w:tcW w:w="929" w:type="dxa"/>
          </w:tcPr>
          <w:p w14:paraId="5C529B8F" w14:textId="77777777" w:rsidR="00B64EC6" w:rsidRPr="00BF20CF" w:rsidRDefault="00B64EC6" w:rsidP="00C84F5B">
            <w:pPr>
              <w:spacing w:line="276" w:lineRule="auto"/>
              <w:jc w:val="center"/>
              <w:rPr>
                <w:rFonts w:ascii="Arial" w:hAnsi="Arial" w:cs="Arial"/>
              </w:rPr>
            </w:pPr>
            <w:r w:rsidRPr="00BF20CF">
              <w:rPr>
                <w:rFonts w:ascii="Arial" w:hAnsi="Arial" w:cs="Arial"/>
              </w:rPr>
              <w:t>GS 1000NI</w:t>
            </w:r>
          </w:p>
        </w:tc>
        <w:tc>
          <w:tcPr>
            <w:tcW w:w="914" w:type="dxa"/>
          </w:tcPr>
          <w:p w14:paraId="68269A28" w14:textId="77777777" w:rsidR="00B64EC6" w:rsidRPr="00BF20CF" w:rsidRDefault="00B64EC6" w:rsidP="00C84F5B">
            <w:pPr>
              <w:spacing w:line="276" w:lineRule="auto"/>
              <w:jc w:val="center"/>
              <w:rPr>
                <w:rFonts w:ascii="Arial" w:hAnsi="Arial" w:cs="Arial"/>
              </w:rPr>
            </w:pPr>
            <w:r w:rsidRPr="00BF20CF">
              <w:rPr>
                <w:rFonts w:ascii="Arial" w:hAnsi="Arial" w:cs="Arial"/>
              </w:rPr>
              <w:t>GS 5000</w:t>
            </w:r>
          </w:p>
        </w:tc>
        <w:tc>
          <w:tcPr>
            <w:tcW w:w="887" w:type="dxa"/>
          </w:tcPr>
          <w:p w14:paraId="2BF4EF3D" w14:textId="77777777" w:rsidR="00B64EC6" w:rsidRPr="00BF20CF" w:rsidRDefault="00B64EC6" w:rsidP="00C84F5B">
            <w:pPr>
              <w:spacing w:line="276" w:lineRule="auto"/>
              <w:jc w:val="center"/>
              <w:rPr>
                <w:rFonts w:ascii="Arial" w:hAnsi="Arial" w:cs="Arial"/>
              </w:rPr>
            </w:pPr>
            <w:r w:rsidRPr="00BF20CF">
              <w:rPr>
                <w:rFonts w:ascii="Arial" w:hAnsi="Arial" w:cs="Arial"/>
              </w:rPr>
              <w:t>L</w:t>
            </w:r>
          </w:p>
        </w:tc>
        <w:tc>
          <w:tcPr>
            <w:tcW w:w="894" w:type="dxa"/>
          </w:tcPr>
          <w:p w14:paraId="6E8AB08D" w14:textId="77777777" w:rsidR="00B64EC6" w:rsidRPr="00BF20CF" w:rsidRDefault="00B64EC6" w:rsidP="00C84F5B">
            <w:pPr>
              <w:spacing w:line="276" w:lineRule="auto"/>
              <w:jc w:val="center"/>
              <w:rPr>
                <w:rFonts w:ascii="Arial" w:hAnsi="Arial" w:cs="Arial"/>
              </w:rPr>
            </w:pPr>
            <w:r w:rsidRPr="00BF20CF">
              <w:rPr>
                <w:rFonts w:ascii="Arial" w:hAnsi="Arial" w:cs="Arial"/>
              </w:rPr>
              <w:t>SL</w:t>
            </w:r>
          </w:p>
        </w:tc>
      </w:tr>
      <w:tr w:rsidR="00B64EC6" w:rsidRPr="00BF20CF" w14:paraId="5A795DFA" w14:textId="77777777" w:rsidTr="00C84F5B">
        <w:tc>
          <w:tcPr>
            <w:tcW w:w="3002" w:type="dxa"/>
          </w:tcPr>
          <w:p w14:paraId="07068B4C" w14:textId="77777777" w:rsidR="00B64EC6" w:rsidRPr="00BF20CF" w:rsidRDefault="00B64EC6" w:rsidP="00C84F5B">
            <w:pPr>
              <w:spacing w:line="276" w:lineRule="auto"/>
              <w:rPr>
                <w:rFonts w:ascii="Arial" w:hAnsi="Arial" w:cs="Arial"/>
              </w:rPr>
            </w:pPr>
            <w:r w:rsidRPr="00BF20CF">
              <w:rPr>
                <w:rFonts w:ascii="Arial" w:hAnsi="Arial" w:cs="Arial"/>
              </w:rPr>
              <w:t>January</w:t>
            </w:r>
          </w:p>
        </w:tc>
        <w:tc>
          <w:tcPr>
            <w:tcW w:w="902" w:type="dxa"/>
          </w:tcPr>
          <w:p w14:paraId="211A88AD" w14:textId="77777777" w:rsidR="00B64EC6" w:rsidRPr="00BF20CF" w:rsidRDefault="00B64EC6" w:rsidP="00C84F5B">
            <w:pPr>
              <w:spacing w:line="276" w:lineRule="auto"/>
              <w:jc w:val="center"/>
              <w:rPr>
                <w:rFonts w:ascii="Arial" w:hAnsi="Arial" w:cs="Arial"/>
              </w:rPr>
            </w:pPr>
          </w:p>
        </w:tc>
        <w:tc>
          <w:tcPr>
            <w:tcW w:w="897" w:type="dxa"/>
          </w:tcPr>
          <w:p w14:paraId="11FA12D1" w14:textId="77777777" w:rsidR="00B64EC6" w:rsidRPr="00BF20CF" w:rsidRDefault="00B64EC6" w:rsidP="00C84F5B">
            <w:pPr>
              <w:spacing w:line="276" w:lineRule="auto"/>
              <w:jc w:val="center"/>
              <w:rPr>
                <w:rFonts w:ascii="Arial" w:hAnsi="Arial" w:cs="Arial"/>
              </w:rPr>
            </w:pPr>
          </w:p>
        </w:tc>
        <w:tc>
          <w:tcPr>
            <w:tcW w:w="914" w:type="dxa"/>
          </w:tcPr>
          <w:p w14:paraId="41B097B8" w14:textId="77777777" w:rsidR="00B64EC6" w:rsidRPr="00BF20CF" w:rsidRDefault="00B64EC6" w:rsidP="00C84F5B">
            <w:pPr>
              <w:spacing w:line="276" w:lineRule="auto"/>
              <w:jc w:val="center"/>
              <w:rPr>
                <w:rFonts w:ascii="Arial" w:hAnsi="Arial" w:cs="Arial"/>
              </w:rPr>
            </w:pPr>
          </w:p>
        </w:tc>
        <w:tc>
          <w:tcPr>
            <w:tcW w:w="929" w:type="dxa"/>
          </w:tcPr>
          <w:p w14:paraId="2EB945BC"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14B5199D" w14:textId="77777777" w:rsidR="00B64EC6" w:rsidRPr="00BF20CF" w:rsidRDefault="00B64EC6" w:rsidP="00C84F5B">
            <w:pPr>
              <w:spacing w:line="276" w:lineRule="auto"/>
              <w:jc w:val="center"/>
              <w:rPr>
                <w:rFonts w:ascii="Arial" w:hAnsi="Arial" w:cs="Arial"/>
              </w:rPr>
            </w:pPr>
          </w:p>
        </w:tc>
        <w:tc>
          <w:tcPr>
            <w:tcW w:w="887" w:type="dxa"/>
          </w:tcPr>
          <w:p w14:paraId="02A4471F" w14:textId="77777777" w:rsidR="00B64EC6" w:rsidRPr="00BF20CF" w:rsidRDefault="00B64EC6" w:rsidP="00C84F5B">
            <w:pPr>
              <w:spacing w:line="276" w:lineRule="auto"/>
              <w:jc w:val="center"/>
              <w:rPr>
                <w:rFonts w:ascii="Arial" w:hAnsi="Arial" w:cs="Arial"/>
              </w:rPr>
            </w:pPr>
          </w:p>
        </w:tc>
        <w:tc>
          <w:tcPr>
            <w:tcW w:w="894" w:type="dxa"/>
          </w:tcPr>
          <w:p w14:paraId="734934BE"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0C8D07CB" w14:textId="77777777" w:rsidTr="00C84F5B">
        <w:tc>
          <w:tcPr>
            <w:tcW w:w="3002" w:type="dxa"/>
          </w:tcPr>
          <w:p w14:paraId="7D172173" w14:textId="77777777" w:rsidR="00B64EC6" w:rsidRPr="00BF20CF" w:rsidRDefault="00B64EC6" w:rsidP="00C84F5B">
            <w:pPr>
              <w:spacing w:line="276" w:lineRule="auto"/>
              <w:rPr>
                <w:rFonts w:ascii="Arial" w:hAnsi="Arial" w:cs="Arial"/>
              </w:rPr>
            </w:pPr>
            <w:r w:rsidRPr="00BF20CF">
              <w:rPr>
                <w:rFonts w:ascii="Arial" w:hAnsi="Arial" w:cs="Arial"/>
              </w:rPr>
              <w:t>February</w:t>
            </w:r>
          </w:p>
        </w:tc>
        <w:tc>
          <w:tcPr>
            <w:tcW w:w="902" w:type="dxa"/>
          </w:tcPr>
          <w:p w14:paraId="7B6B2C9D" w14:textId="77777777" w:rsidR="00B64EC6" w:rsidRPr="00BF20CF" w:rsidRDefault="00B64EC6" w:rsidP="00C84F5B">
            <w:pPr>
              <w:spacing w:line="276" w:lineRule="auto"/>
              <w:jc w:val="center"/>
              <w:rPr>
                <w:rFonts w:ascii="Arial" w:hAnsi="Arial" w:cs="Arial"/>
              </w:rPr>
            </w:pPr>
          </w:p>
        </w:tc>
        <w:tc>
          <w:tcPr>
            <w:tcW w:w="897" w:type="dxa"/>
          </w:tcPr>
          <w:p w14:paraId="599B7C58" w14:textId="77777777" w:rsidR="00B64EC6" w:rsidRPr="00BF20CF" w:rsidRDefault="00B64EC6" w:rsidP="00C84F5B">
            <w:pPr>
              <w:spacing w:line="276" w:lineRule="auto"/>
              <w:jc w:val="center"/>
              <w:rPr>
                <w:rFonts w:ascii="Arial" w:hAnsi="Arial" w:cs="Arial"/>
              </w:rPr>
            </w:pPr>
          </w:p>
        </w:tc>
        <w:tc>
          <w:tcPr>
            <w:tcW w:w="914" w:type="dxa"/>
          </w:tcPr>
          <w:p w14:paraId="3CFE18CE" w14:textId="77777777" w:rsidR="00B64EC6" w:rsidRPr="00BF20CF" w:rsidRDefault="00B64EC6" w:rsidP="00C84F5B">
            <w:pPr>
              <w:spacing w:line="276" w:lineRule="auto"/>
              <w:jc w:val="center"/>
              <w:rPr>
                <w:rFonts w:ascii="Arial" w:hAnsi="Arial" w:cs="Arial"/>
              </w:rPr>
            </w:pPr>
          </w:p>
        </w:tc>
        <w:tc>
          <w:tcPr>
            <w:tcW w:w="929" w:type="dxa"/>
          </w:tcPr>
          <w:p w14:paraId="7B0A72B2"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5ADF0B07" w14:textId="77777777" w:rsidR="00B64EC6" w:rsidRPr="00BF20CF" w:rsidRDefault="00B64EC6" w:rsidP="00C84F5B">
            <w:pPr>
              <w:spacing w:line="276" w:lineRule="auto"/>
              <w:jc w:val="center"/>
              <w:rPr>
                <w:rFonts w:ascii="Arial" w:hAnsi="Arial" w:cs="Arial"/>
              </w:rPr>
            </w:pPr>
          </w:p>
        </w:tc>
        <w:tc>
          <w:tcPr>
            <w:tcW w:w="887" w:type="dxa"/>
          </w:tcPr>
          <w:p w14:paraId="39B6E8D4" w14:textId="77777777" w:rsidR="00B64EC6" w:rsidRPr="00BF20CF" w:rsidRDefault="00B64EC6" w:rsidP="00C84F5B">
            <w:pPr>
              <w:spacing w:line="276" w:lineRule="auto"/>
              <w:jc w:val="center"/>
              <w:rPr>
                <w:rFonts w:ascii="Arial" w:hAnsi="Arial" w:cs="Arial"/>
              </w:rPr>
            </w:pPr>
          </w:p>
        </w:tc>
        <w:tc>
          <w:tcPr>
            <w:tcW w:w="894" w:type="dxa"/>
          </w:tcPr>
          <w:p w14:paraId="390EEC53"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358E3D1C" w14:textId="77777777" w:rsidTr="00C84F5B">
        <w:tc>
          <w:tcPr>
            <w:tcW w:w="3002" w:type="dxa"/>
          </w:tcPr>
          <w:p w14:paraId="1970AFD8" w14:textId="77777777" w:rsidR="00B64EC6" w:rsidRPr="00BF20CF" w:rsidRDefault="00B64EC6" w:rsidP="00C84F5B">
            <w:pPr>
              <w:spacing w:line="276" w:lineRule="auto"/>
              <w:rPr>
                <w:rFonts w:ascii="Arial" w:hAnsi="Arial" w:cs="Arial"/>
              </w:rPr>
            </w:pPr>
            <w:r w:rsidRPr="00BF20CF">
              <w:rPr>
                <w:rFonts w:ascii="Arial" w:hAnsi="Arial" w:cs="Arial"/>
              </w:rPr>
              <w:t>March</w:t>
            </w:r>
          </w:p>
        </w:tc>
        <w:tc>
          <w:tcPr>
            <w:tcW w:w="902" w:type="dxa"/>
          </w:tcPr>
          <w:p w14:paraId="1316B4AF"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97" w:type="dxa"/>
          </w:tcPr>
          <w:p w14:paraId="691E4E6D" w14:textId="77777777" w:rsidR="00B64EC6" w:rsidRPr="00BF20CF" w:rsidRDefault="00B64EC6" w:rsidP="00C84F5B">
            <w:pPr>
              <w:spacing w:line="276" w:lineRule="auto"/>
              <w:jc w:val="center"/>
              <w:rPr>
                <w:rFonts w:ascii="Arial" w:hAnsi="Arial" w:cs="Arial"/>
              </w:rPr>
            </w:pPr>
          </w:p>
        </w:tc>
        <w:tc>
          <w:tcPr>
            <w:tcW w:w="914" w:type="dxa"/>
          </w:tcPr>
          <w:p w14:paraId="4AB395EC" w14:textId="77777777" w:rsidR="00B64EC6" w:rsidRPr="00BF20CF" w:rsidRDefault="00B64EC6" w:rsidP="00C84F5B">
            <w:pPr>
              <w:spacing w:line="276" w:lineRule="auto"/>
              <w:jc w:val="center"/>
              <w:rPr>
                <w:rFonts w:ascii="Arial" w:hAnsi="Arial" w:cs="Arial"/>
              </w:rPr>
            </w:pPr>
          </w:p>
        </w:tc>
        <w:tc>
          <w:tcPr>
            <w:tcW w:w="929" w:type="dxa"/>
          </w:tcPr>
          <w:p w14:paraId="668B4EE8"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095F01C3" w14:textId="77777777" w:rsidR="00B64EC6" w:rsidRPr="00BF20CF" w:rsidRDefault="00B64EC6" w:rsidP="00C84F5B">
            <w:pPr>
              <w:spacing w:line="276" w:lineRule="auto"/>
              <w:jc w:val="center"/>
              <w:rPr>
                <w:rFonts w:ascii="Arial" w:hAnsi="Arial" w:cs="Arial"/>
              </w:rPr>
            </w:pPr>
          </w:p>
        </w:tc>
        <w:tc>
          <w:tcPr>
            <w:tcW w:w="887" w:type="dxa"/>
          </w:tcPr>
          <w:p w14:paraId="1CD34366" w14:textId="77777777" w:rsidR="00B64EC6" w:rsidRPr="00BF20CF" w:rsidRDefault="00B64EC6" w:rsidP="00C84F5B">
            <w:pPr>
              <w:spacing w:line="276" w:lineRule="auto"/>
              <w:jc w:val="center"/>
              <w:rPr>
                <w:rFonts w:ascii="Arial" w:hAnsi="Arial" w:cs="Arial"/>
              </w:rPr>
            </w:pPr>
          </w:p>
        </w:tc>
        <w:tc>
          <w:tcPr>
            <w:tcW w:w="894" w:type="dxa"/>
          </w:tcPr>
          <w:p w14:paraId="6FCD6450"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4919265F" w14:textId="77777777" w:rsidTr="00C84F5B">
        <w:tc>
          <w:tcPr>
            <w:tcW w:w="3002" w:type="dxa"/>
          </w:tcPr>
          <w:p w14:paraId="2CCB3251" w14:textId="77777777" w:rsidR="00B64EC6" w:rsidRPr="00BF20CF" w:rsidRDefault="00B64EC6" w:rsidP="00C84F5B">
            <w:pPr>
              <w:spacing w:line="276" w:lineRule="auto"/>
              <w:rPr>
                <w:rFonts w:ascii="Arial" w:hAnsi="Arial" w:cs="Arial"/>
              </w:rPr>
            </w:pPr>
            <w:r w:rsidRPr="00BF20CF">
              <w:rPr>
                <w:rFonts w:ascii="Arial" w:hAnsi="Arial" w:cs="Arial"/>
              </w:rPr>
              <w:t>April</w:t>
            </w:r>
          </w:p>
        </w:tc>
        <w:tc>
          <w:tcPr>
            <w:tcW w:w="902" w:type="dxa"/>
          </w:tcPr>
          <w:p w14:paraId="0A560A6C"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97" w:type="dxa"/>
          </w:tcPr>
          <w:p w14:paraId="21DA7F2B" w14:textId="77777777" w:rsidR="00B64EC6" w:rsidRPr="00BF20CF" w:rsidRDefault="00B64EC6" w:rsidP="00C84F5B">
            <w:pPr>
              <w:spacing w:line="276" w:lineRule="auto"/>
              <w:jc w:val="center"/>
              <w:rPr>
                <w:rFonts w:ascii="Arial" w:hAnsi="Arial" w:cs="Arial"/>
              </w:rPr>
            </w:pPr>
          </w:p>
        </w:tc>
        <w:tc>
          <w:tcPr>
            <w:tcW w:w="914" w:type="dxa"/>
          </w:tcPr>
          <w:p w14:paraId="564D555C" w14:textId="77777777" w:rsidR="00B64EC6" w:rsidRPr="00BF20CF" w:rsidRDefault="00B64EC6" w:rsidP="00C84F5B">
            <w:pPr>
              <w:spacing w:line="276" w:lineRule="auto"/>
              <w:jc w:val="center"/>
              <w:rPr>
                <w:rFonts w:ascii="Arial" w:hAnsi="Arial" w:cs="Arial"/>
              </w:rPr>
            </w:pPr>
          </w:p>
        </w:tc>
        <w:tc>
          <w:tcPr>
            <w:tcW w:w="929" w:type="dxa"/>
          </w:tcPr>
          <w:p w14:paraId="6FD081DC"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2D12D427" w14:textId="77777777" w:rsidR="00B64EC6" w:rsidRPr="00BF20CF" w:rsidRDefault="00B64EC6" w:rsidP="00C84F5B">
            <w:pPr>
              <w:spacing w:line="276" w:lineRule="auto"/>
              <w:jc w:val="center"/>
              <w:rPr>
                <w:rFonts w:ascii="Arial" w:hAnsi="Arial" w:cs="Arial"/>
              </w:rPr>
            </w:pPr>
          </w:p>
        </w:tc>
        <w:tc>
          <w:tcPr>
            <w:tcW w:w="887" w:type="dxa"/>
          </w:tcPr>
          <w:p w14:paraId="4661A021" w14:textId="77777777" w:rsidR="00B64EC6" w:rsidRPr="00BF20CF" w:rsidRDefault="00B64EC6" w:rsidP="00C84F5B">
            <w:pPr>
              <w:spacing w:line="276" w:lineRule="auto"/>
              <w:jc w:val="center"/>
              <w:rPr>
                <w:rFonts w:ascii="Arial" w:hAnsi="Arial" w:cs="Arial"/>
              </w:rPr>
            </w:pPr>
          </w:p>
        </w:tc>
        <w:tc>
          <w:tcPr>
            <w:tcW w:w="894" w:type="dxa"/>
          </w:tcPr>
          <w:p w14:paraId="2A48E22A"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2BACD10A" w14:textId="77777777" w:rsidTr="00C84F5B">
        <w:tc>
          <w:tcPr>
            <w:tcW w:w="3002" w:type="dxa"/>
          </w:tcPr>
          <w:p w14:paraId="64E1DE6E" w14:textId="77777777" w:rsidR="00B64EC6" w:rsidRPr="00BF20CF" w:rsidRDefault="00B64EC6" w:rsidP="00C84F5B">
            <w:pPr>
              <w:spacing w:line="276" w:lineRule="auto"/>
              <w:rPr>
                <w:rFonts w:ascii="Arial" w:hAnsi="Arial" w:cs="Arial"/>
              </w:rPr>
            </w:pPr>
            <w:r w:rsidRPr="00BF20CF">
              <w:rPr>
                <w:rFonts w:ascii="Arial" w:hAnsi="Arial" w:cs="Arial"/>
              </w:rPr>
              <w:t>May</w:t>
            </w:r>
          </w:p>
        </w:tc>
        <w:tc>
          <w:tcPr>
            <w:tcW w:w="902" w:type="dxa"/>
          </w:tcPr>
          <w:p w14:paraId="481F0C95"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97" w:type="dxa"/>
          </w:tcPr>
          <w:p w14:paraId="6A329C2C" w14:textId="77777777" w:rsidR="00B64EC6" w:rsidRPr="00BF20CF" w:rsidRDefault="00B64EC6" w:rsidP="00C84F5B">
            <w:pPr>
              <w:spacing w:line="276" w:lineRule="auto"/>
              <w:jc w:val="center"/>
              <w:rPr>
                <w:rFonts w:ascii="Arial" w:hAnsi="Arial" w:cs="Arial"/>
              </w:rPr>
            </w:pPr>
          </w:p>
        </w:tc>
        <w:tc>
          <w:tcPr>
            <w:tcW w:w="914" w:type="dxa"/>
          </w:tcPr>
          <w:p w14:paraId="329E4157" w14:textId="77777777" w:rsidR="00B64EC6" w:rsidRPr="00BF20CF" w:rsidRDefault="00B64EC6" w:rsidP="00C84F5B">
            <w:pPr>
              <w:spacing w:line="276" w:lineRule="auto"/>
              <w:jc w:val="center"/>
              <w:rPr>
                <w:rFonts w:ascii="Arial" w:hAnsi="Arial" w:cs="Arial"/>
              </w:rPr>
            </w:pPr>
          </w:p>
        </w:tc>
        <w:tc>
          <w:tcPr>
            <w:tcW w:w="929" w:type="dxa"/>
          </w:tcPr>
          <w:p w14:paraId="7C3D7C05"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5DCBCEB7" w14:textId="77777777" w:rsidR="00B64EC6" w:rsidRPr="00BF20CF" w:rsidRDefault="00B64EC6" w:rsidP="00C84F5B">
            <w:pPr>
              <w:spacing w:line="276" w:lineRule="auto"/>
              <w:jc w:val="center"/>
              <w:rPr>
                <w:rFonts w:ascii="Arial" w:hAnsi="Arial" w:cs="Arial"/>
              </w:rPr>
            </w:pPr>
          </w:p>
        </w:tc>
        <w:tc>
          <w:tcPr>
            <w:tcW w:w="887" w:type="dxa"/>
          </w:tcPr>
          <w:p w14:paraId="6EC628E8" w14:textId="77777777" w:rsidR="00B64EC6" w:rsidRPr="00BF20CF" w:rsidRDefault="00B64EC6" w:rsidP="00C84F5B">
            <w:pPr>
              <w:spacing w:line="276" w:lineRule="auto"/>
              <w:jc w:val="center"/>
              <w:rPr>
                <w:rFonts w:ascii="Arial" w:hAnsi="Arial" w:cs="Arial"/>
              </w:rPr>
            </w:pPr>
          </w:p>
        </w:tc>
        <w:tc>
          <w:tcPr>
            <w:tcW w:w="894" w:type="dxa"/>
          </w:tcPr>
          <w:p w14:paraId="431C31BC"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5F1BE593" w14:textId="77777777" w:rsidTr="00C84F5B">
        <w:tc>
          <w:tcPr>
            <w:tcW w:w="3002" w:type="dxa"/>
          </w:tcPr>
          <w:p w14:paraId="1FDC3B03" w14:textId="77777777" w:rsidR="00B64EC6" w:rsidRPr="00BF20CF" w:rsidRDefault="00B64EC6" w:rsidP="00C84F5B">
            <w:pPr>
              <w:spacing w:line="276" w:lineRule="auto"/>
              <w:rPr>
                <w:rFonts w:ascii="Arial" w:hAnsi="Arial" w:cs="Arial"/>
              </w:rPr>
            </w:pPr>
            <w:r w:rsidRPr="00BF20CF">
              <w:rPr>
                <w:rFonts w:ascii="Arial" w:hAnsi="Arial" w:cs="Arial"/>
              </w:rPr>
              <w:t>June</w:t>
            </w:r>
          </w:p>
        </w:tc>
        <w:tc>
          <w:tcPr>
            <w:tcW w:w="902" w:type="dxa"/>
          </w:tcPr>
          <w:p w14:paraId="5ED0956A" w14:textId="77777777" w:rsidR="00B64EC6" w:rsidRPr="00BF20CF" w:rsidRDefault="00B64EC6" w:rsidP="00C84F5B">
            <w:pPr>
              <w:spacing w:line="276" w:lineRule="auto"/>
              <w:jc w:val="center"/>
              <w:rPr>
                <w:rFonts w:ascii="Arial" w:hAnsi="Arial" w:cs="Arial"/>
              </w:rPr>
            </w:pPr>
          </w:p>
        </w:tc>
        <w:tc>
          <w:tcPr>
            <w:tcW w:w="897" w:type="dxa"/>
          </w:tcPr>
          <w:p w14:paraId="0300ED9C" w14:textId="77777777" w:rsidR="00B64EC6" w:rsidRPr="00BF20CF" w:rsidRDefault="00B64EC6" w:rsidP="00C84F5B">
            <w:pPr>
              <w:spacing w:line="276" w:lineRule="auto"/>
              <w:jc w:val="center"/>
              <w:rPr>
                <w:rFonts w:ascii="Arial" w:hAnsi="Arial" w:cs="Arial"/>
              </w:rPr>
            </w:pPr>
          </w:p>
        </w:tc>
        <w:tc>
          <w:tcPr>
            <w:tcW w:w="914" w:type="dxa"/>
          </w:tcPr>
          <w:p w14:paraId="55A834F0" w14:textId="77777777" w:rsidR="00B64EC6" w:rsidRPr="00BF20CF" w:rsidRDefault="00B64EC6" w:rsidP="00C84F5B">
            <w:pPr>
              <w:spacing w:line="276" w:lineRule="auto"/>
              <w:jc w:val="center"/>
              <w:rPr>
                <w:rFonts w:ascii="Arial" w:hAnsi="Arial" w:cs="Arial"/>
              </w:rPr>
            </w:pPr>
          </w:p>
        </w:tc>
        <w:tc>
          <w:tcPr>
            <w:tcW w:w="929" w:type="dxa"/>
          </w:tcPr>
          <w:p w14:paraId="3103CF08"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7A2A2957" w14:textId="77777777" w:rsidR="00B64EC6" w:rsidRPr="00BF20CF" w:rsidRDefault="00B64EC6" w:rsidP="00C84F5B">
            <w:pPr>
              <w:spacing w:line="276" w:lineRule="auto"/>
              <w:jc w:val="center"/>
              <w:rPr>
                <w:rFonts w:ascii="Arial" w:hAnsi="Arial" w:cs="Arial"/>
              </w:rPr>
            </w:pPr>
          </w:p>
        </w:tc>
        <w:tc>
          <w:tcPr>
            <w:tcW w:w="887" w:type="dxa"/>
          </w:tcPr>
          <w:p w14:paraId="3E80DABA" w14:textId="77777777" w:rsidR="00B64EC6" w:rsidRPr="00BF20CF" w:rsidRDefault="00B64EC6" w:rsidP="00C84F5B">
            <w:pPr>
              <w:spacing w:line="276" w:lineRule="auto"/>
              <w:jc w:val="center"/>
              <w:rPr>
                <w:rFonts w:ascii="Arial" w:hAnsi="Arial" w:cs="Arial"/>
              </w:rPr>
            </w:pPr>
          </w:p>
        </w:tc>
        <w:tc>
          <w:tcPr>
            <w:tcW w:w="894" w:type="dxa"/>
          </w:tcPr>
          <w:p w14:paraId="7053EF9A"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6F41C446" w14:textId="77777777" w:rsidTr="00C84F5B">
        <w:tc>
          <w:tcPr>
            <w:tcW w:w="3002" w:type="dxa"/>
          </w:tcPr>
          <w:p w14:paraId="4C431158" w14:textId="77777777" w:rsidR="00B64EC6" w:rsidRPr="00BF20CF" w:rsidRDefault="00B64EC6" w:rsidP="00C84F5B">
            <w:pPr>
              <w:spacing w:line="276" w:lineRule="auto"/>
              <w:rPr>
                <w:rFonts w:ascii="Arial" w:hAnsi="Arial" w:cs="Arial"/>
              </w:rPr>
            </w:pPr>
            <w:r w:rsidRPr="00BF20CF">
              <w:rPr>
                <w:rFonts w:ascii="Arial" w:hAnsi="Arial" w:cs="Arial"/>
              </w:rPr>
              <w:t>July</w:t>
            </w:r>
          </w:p>
        </w:tc>
        <w:tc>
          <w:tcPr>
            <w:tcW w:w="902" w:type="dxa"/>
          </w:tcPr>
          <w:p w14:paraId="43FD27BF" w14:textId="77777777" w:rsidR="00B64EC6" w:rsidRPr="00BF20CF" w:rsidRDefault="00B64EC6" w:rsidP="00C84F5B">
            <w:pPr>
              <w:spacing w:line="276" w:lineRule="auto"/>
              <w:jc w:val="center"/>
              <w:rPr>
                <w:rFonts w:ascii="Arial" w:hAnsi="Arial" w:cs="Arial"/>
              </w:rPr>
            </w:pPr>
          </w:p>
        </w:tc>
        <w:tc>
          <w:tcPr>
            <w:tcW w:w="897" w:type="dxa"/>
          </w:tcPr>
          <w:p w14:paraId="61EAAEDD" w14:textId="77777777" w:rsidR="00B64EC6" w:rsidRPr="00BF20CF" w:rsidRDefault="00B64EC6" w:rsidP="00C84F5B">
            <w:pPr>
              <w:spacing w:line="276" w:lineRule="auto"/>
              <w:jc w:val="center"/>
              <w:rPr>
                <w:rFonts w:ascii="Arial" w:hAnsi="Arial" w:cs="Arial"/>
              </w:rPr>
            </w:pPr>
          </w:p>
        </w:tc>
        <w:tc>
          <w:tcPr>
            <w:tcW w:w="914" w:type="dxa"/>
          </w:tcPr>
          <w:p w14:paraId="03434462" w14:textId="77777777" w:rsidR="00B64EC6" w:rsidRPr="00BF20CF" w:rsidRDefault="00B64EC6" w:rsidP="00C84F5B">
            <w:pPr>
              <w:spacing w:line="276" w:lineRule="auto"/>
              <w:jc w:val="center"/>
              <w:rPr>
                <w:rFonts w:ascii="Arial" w:hAnsi="Arial" w:cs="Arial"/>
              </w:rPr>
            </w:pPr>
          </w:p>
        </w:tc>
        <w:tc>
          <w:tcPr>
            <w:tcW w:w="929" w:type="dxa"/>
          </w:tcPr>
          <w:p w14:paraId="46A30CE3"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78323D86" w14:textId="77777777" w:rsidR="00B64EC6" w:rsidRPr="00BF20CF" w:rsidRDefault="00B64EC6" w:rsidP="00C84F5B">
            <w:pPr>
              <w:spacing w:line="276" w:lineRule="auto"/>
              <w:jc w:val="center"/>
              <w:rPr>
                <w:rFonts w:ascii="Arial" w:hAnsi="Arial" w:cs="Arial"/>
              </w:rPr>
            </w:pPr>
          </w:p>
        </w:tc>
        <w:tc>
          <w:tcPr>
            <w:tcW w:w="887" w:type="dxa"/>
          </w:tcPr>
          <w:p w14:paraId="3A6F4573" w14:textId="77777777" w:rsidR="00B64EC6" w:rsidRPr="00BF20CF" w:rsidRDefault="00B64EC6" w:rsidP="00C84F5B">
            <w:pPr>
              <w:spacing w:line="276" w:lineRule="auto"/>
              <w:jc w:val="center"/>
              <w:rPr>
                <w:rFonts w:ascii="Arial" w:hAnsi="Arial" w:cs="Arial"/>
              </w:rPr>
            </w:pPr>
          </w:p>
        </w:tc>
        <w:tc>
          <w:tcPr>
            <w:tcW w:w="894" w:type="dxa"/>
          </w:tcPr>
          <w:p w14:paraId="59C82BB6"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477F0D63" w14:textId="77777777" w:rsidTr="00C84F5B">
        <w:tc>
          <w:tcPr>
            <w:tcW w:w="3002" w:type="dxa"/>
          </w:tcPr>
          <w:p w14:paraId="4913A57E" w14:textId="77777777" w:rsidR="00B64EC6" w:rsidRPr="00BF20CF" w:rsidRDefault="00B64EC6" w:rsidP="00C84F5B">
            <w:pPr>
              <w:spacing w:line="276" w:lineRule="auto"/>
              <w:rPr>
                <w:rFonts w:ascii="Arial" w:hAnsi="Arial" w:cs="Arial"/>
              </w:rPr>
            </w:pPr>
            <w:r w:rsidRPr="00BF20CF">
              <w:rPr>
                <w:rFonts w:ascii="Arial" w:hAnsi="Arial" w:cs="Arial"/>
              </w:rPr>
              <w:t>August</w:t>
            </w:r>
          </w:p>
        </w:tc>
        <w:tc>
          <w:tcPr>
            <w:tcW w:w="902" w:type="dxa"/>
          </w:tcPr>
          <w:p w14:paraId="11C0BA8D" w14:textId="77777777" w:rsidR="00B64EC6" w:rsidRPr="00BF20CF" w:rsidRDefault="00B64EC6" w:rsidP="00C84F5B">
            <w:pPr>
              <w:spacing w:line="276" w:lineRule="auto"/>
              <w:jc w:val="center"/>
              <w:rPr>
                <w:rFonts w:ascii="Arial" w:hAnsi="Arial" w:cs="Arial"/>
              </w:rPr>
            </w:pPr>
          </w:p>
        </w:tc>
        <w:tc>
          <w:tcPr>
            <w:tcW w:w="897" w:type="dxa"/>
          </w:tcPr>
          <w:p w14:paraId="29C17CA7" w14:textId="77777777" w:rsidR="00B64EC6" w:rsidRPr="00BF20CF" w:rsidRDefault="00B64EC6" w:rsidP="00C84F5B">
            <w:pPr>
              <w:spacing w:line="276" w:lineRule="auto"/>
              <w:jc w:val="center"/>
              <w:rPr>
                <w:rFonts w:ascii="Arial" w:hAnsi="Arial" w:cs="Arial"/>
              </w:rPr>
            </w:pPr>
          </w:p>
        </w:tc>
        <w:tc>
          <w:tcPr>
            <w:tcW w:w="914" w:type="dxa"/>
          </w:tcPr>
          <w:p w14:paraId="7ED7ECCE" w14:textId="77777777" w:rsidR="00B64EC6" w:rsidRPr="00BF20CF" w:rsidRDefault="00B64EC6" w:rsidP="00C84F5B">
            <w:pPr>
              <w:spacing w:line="276" w:lineRule="auto"/>
              <w:jc w:val="center"/>
              <w:rPr>
                <w:rFonts w:ascii="Arial" w:hAnsi="Arial" w:cs="Arial"/>
              </w:rPr>
            </w:pPr>
          </w:p>
        </w:tc>
        <w:tc>
          <w:tcPr>
            <w:tcW w:w="929" w:type="dxa"/>
          </w:tcPr>
          <w:p w14:paraId="3CA48862"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0F10E0A9" w14:textId="77777777" w:rsidR="00B64EC6" w:rsidRPr="00BF20CF" w:rsidRDefault="00B64EC6" w:rsidP="00C84F5B">
            <w:pPr>
              <w:spacing w:line="276" w:lineRule="auto"/>
              <w:jc w:val="center"/>
              <w:rPr>
                <w:rFonts w:ascii="Arial" w:hAnsi="Arial" w:cs="Arial"/>
              </w:rPr>
            </w:pPr>
          </w:p>
        </w:tc>
        <w:tc>
          <w:tcPr>
            <w:tcW w:w="887" w:type="dxa"/>
          </w:tcPr>
          <w:p w14:paraId="15876AB2" w14:textId="77777777" w:rsidR="00B64EC6" w:rsidRPr="00BF20CF" w:rsidRDefault="00B64EC6" w:rsidP="00C84F5B">
            <w:pPr>
              <w:spacing w:line="276" w:lineRule="auto"/>
              <w:jc w:val="center"/>
              <w:rPr>
                <w:rFonts w:ascii="Arial" w:hAnsi="Arial" w:cs="Arial"/>
              </w:rPr>
            </w:pPr>
          </w:p>
        </w:tc>
        <w:tc>
          <w:tcPr>
            <w:tcW w:w="894" w:type="dxa"/>
          </w:tcPr>
          <w:p w14:paraId="0714E417"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0CE91248" w14:textId="77777777" w:rsidTr="00C84F5B">
        <w:tc>
          <w:tcPr>
            <w:tcW w:w="3002" w:type="dxa"/>
          </w:tcPr>
          <w:p w14:paraId="7031704B" w14:textId="77777777" w:rsidR="00B64EC6" w:rsidRPr="00BF20CF" w:rsidRDefault="00B64EC6" w:rsidP="00C84F5B">
            <w:pPr>
              <w:spacing w:line="276" w:lineRule="auto"/>
              <w:rPr>
                <w:rFonts w:ascii="Arial" w:hAnsi="Arial" w:cs="Arial"/>
              </w:rPr>
            </w:pPr>
            <w:r w:rsidRPr="00BF20CF">
              <w:rPr>
                <w:rFonts w:ascii="Arial" w:hAnsi="Arial" w:cs="Arial"/>
              </w:rPr>
              <w:t>September</w:t>
            </w:r>
          </w:p>
        </w:tc>
        <w:tc>
          <w:tcPr>
            <w:tcW w:w="902" w:type="dxa"/>
          </w:tcPr>
          <w:p w14:paraId="33ADEB94" w14:textId="77777777" w:rsidR="00B64EC6" w:rsidRPr="00BF20CF" w:rsidRDefault="00B64EC6" w:rsidP="00C84F5B">
            <w:pPr>
              <w:spacing w:line="276" w:lineRule="auto"/>
              <w:jc w:val="center"/>
              <w:rPr>
                <w:rFonts w:ascii="Arial" w:hAnsi="Arial" w:cs="Arial"/>
              </w:rPr>
            </w:pPr>
          </w:p>
        </w:tc>
        <w:tc>
          <w:tcPr>
            <w:tcW w:w="897" w:type="dxa"/>
          </w:tcPr>
          <w:p w14:paraId="323349D5" w14:textId="77777777" w:rsidR="00B64EC6" w:rsidRPr="00BF20CF" w:rsidRDefault="00B64EC6" w:rsidP="00C84F5B">
            <w:pPr>
              <w:spacing w:line="276" w:lineRule="auto"/>
              <w:jc w:val="center"/>
              <w:rPr>
                <w:rFonts w:ascii="Arial" w:hAnsi="Arial" w:cs="Arial"/>
              </w:rPr>
            </w:pPr>
          </w:p>
        </w:tc>
        <w:tc>
          <w:tcPr>
            <w:tcW w:w="914" w:type="dxa"/>
          </w:tcPr>
          <w:p w14:paraId="74A44BA4" w14:textId="77777777" w:rsidR="00B64EC6" w:rsidRPr="00BF20CF" w:rsidRDefault="00B64EC6" w:rsidP="00C84F5B">
            <w:pPr>
              <w:spacing w:line="276" w:lineRule="auto"/>
              <w:jc w:val="center"/>
              <w:rPr>
                <w:rFonts w:ascii="Arial" w:hAnsi="Arial" w:cs="Arial"/>
              </w:rPr>
            </w:pPr>
          </w:p>
        </w:tc>
        <w:tc>
          <w:tcPr>
            <w:tcW w:w="929" w:type="dxa"/>
          </w:tcPr>
          <w:p w14:paraId="5DF6B58F"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5CA006D7" w14:textId="77777777" w:rsidR="00B64EC6" w:rsidRPr="00BF20CF" w:rsidRDefault="00B64EC6" w:rsidP="00C84F5B">
            <w:pPr>
              <w:spacing w:line="276" w:lineRule="auto"/>
              <w:jc w:val="center"/>
              <w:rPr>
                <w:rFonts w:ascii="Arial" w:hAnsi="Arial" w:cs="Arial"/>
              </w:rPr>
            </w:pPr>
          </w:p>
        </w:tc>
        <w:tc>
          <w:tcPr>
            <w:tcW w:w="887" w:type="dxa"/>
          </w:tcPr>
          <w:p w14:paraId="0233426C" w14:textId="77777777" w:rsidR="00B64EC6" w:rsidRPr="00BF20CF" w:rsidRDefault="00B64EC6" w:rsidP="00C84F5B">
            <w:pPr>
              <w:spacing w:line="276" w:lineRule="auto"/>
              <w:jc w:val="center"/>
              <w:rPr>
                <w:rFonts w:ascii="Arial" w:hAnsi="Arial" w:cs="Arial"/>
              </w:rPr>
            </w:pPr>
          </w:p>
        </w:tc>
        <w:tc>
          <w:tcPr>
            <w:tcW w:w="894" w:type="dxa"/>
          </w:tcPr>
          <w:p w14:paraId="0387D452"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29353207" w14:textId="77777777" w:rsidTr="00C84F5B">
        <w:tc>
          <w:tcPr>
            <w:tcW w:w="3002" w:type="dxa"/>
          </w:tcPr>
          <w:p w14:paraId="646EF902" w14:textId="77777777" w:rsidR="00B64EC6" w:rsidRPr="00BF20CF" w:rsidRDefault="00B64EC6" w:rsidP="00C84F5B">
            <w:pPr>
              <w:spacing w:line="276" w:lineRule="auto"/>
              <w:rPr>
                <w:rFonts w:ascii="Arial" w:hAnsi="Arial" w:cs="Arial"/>
              </w:rPr>
            </w:pPr>
            <w:r w:rsidRPr="00BF20CF">
              <w:rPr>
                <w:rFonts w:ascii="Arial" w:hAnsi="Arial" w:cs="Arial"/>
              </w:rPr>
              <w:t>October</w:t>
            </w:r>
          </w:p>
        </w:tc>
        <w:tc>
          <w:tcPr>
            <w:tcW w:w="902" w:type="dxa"/>
          </w:tcPr>
          <w:p w14:paraId="1053C0C3" w14:textId="77777777" w:rsidR="00B64EC6" w:rsidRPr="00BF20CF" w:rsidRDefault="00B64EC6" w:rsidP="00C84F5B">
            <w:pPr>
              <w:spacing w:line="276" w:lineRule="auto"/>
              <w:jc w:val="center"/>
              <w:rPr>
                <w:rFonts w:ascii="Arial" w:hAnsi="Arial" w:cs="Arial"/>
              </w:rPr>
            </w:pPr>
          </w:p>
        </w:tc>
        <w:tc>
          <w:tcPr>
            <w:tcW w:w="897" w:type="dxa"/>
          </w:tcPr>
          <w:p w14:paraId="7816AF29" w14:textId="77777777" w:rsidR="00B64EC6" w:rsidRPr="00BF20CF" w:rsidRDefault="00B64EC6" w:rsidP="00C84F5B">
            <w:pPr>
              <w:spacing w:line="276" w:lineRule="auto"/>
              <w:jc w:val="center"/>
              <w:rPr>
                <w:rFonts w:ascii="Arial" w:hAnsi="Arial" w:cs="Arial"/>
              </w:rPr>
            </w:pPr>
          </w:p>
        </w:tc>
        <w:tc>
          <w:tcPr>
            <w:tcW w:w="914" w:type="dxa"/>
          </w:tcPr>
          <w:p w14:paraId="194AAC30" w14:textId="77777777" w:rsidR="00B64EC6" w:rsidRPr="00BF20CF" w:rsidRDefault="00B64EC6" w:rsidP="00C84F5B">
            <w:pPr>
              <w:spacing w:line="276" w:lineRule="auto"/>
              <w:jc w:val="center"/>
              <w:rPr>
                <w:rFonts w:ascii="Arial" w:hAnsi="Arial" w:cs="Arial"/>
              </w:rPr>
            </w:pPr>
          </w:p>
        </w:tc>
        <w:tc>
          <w:tcPr>
            <w:tcW w:w="929" w:type="dxa"/>
          </w:tcPr>
          <w:p w14:paraId="60BC5D51"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3554C8E3" w14:textId="77777777" w:rsidR="00B64EC6" w:rsidRPr="00BF20CF" w:rsidRDefault="00B64EC6" w:rsidP="00C84F5B">
            <w:pPr>
              <w:spacing w:line="276" w:lineRule="auto"/>
              <w:jc w:val="center"/>
              <w:rPr>
                <w:rFonts w:ascii="Arial" w:hAnsi="Arial" w:cs="Arial"/>
              </w:rPr>
            </w:pPr>
          </w:p>
        </w:tc>
        <w:tc>
          <w:tcPr>
            <w:tcW w:w="887" w:type="dxa"/>
          </w:tcPr>
          <w:p w14:paraId="10AB8BDA" w14:textId="77777777" w:rsidR="00B64EC6" w:rsidRPr="00BF20CF" w:rsidRDefault="00B64EC6" w:rsidP="00C84F5B">
            <w:pPr>
              <w:spacing w:line="276" w:lineRule="auto"/>
              <w:jc w:val="center"/>
              <w:rPr>
                <w:rFonts w:ascii="Arial" w:hAnsi="Arial" w:cs="Arial"/>
              </w:rPr>
            </w:pPr>
          </w:p>
        </w:tc>
        <w:tc>
          <w:tcPr>
            <w:tcW w:w="894" w:type="dxa"/>
          </w:tcPr>
          <w:p w14:paraId="2020E671"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10C1BC31" w14:textId="77777777" w:rsidTr="00C84F5B">
        <w:tc>
          <w:tcPr>
            <w:tcW w:w="3002" w:type="dxa"/>
          </w:tcPr>
          <w:p w14:paraId="78CCFA20" w14:textId="77777777" w:rsidR="00B64EC6" w:rsidRPr="00BF20CF" w:rsidRDefault="00B64EC6" w:rsidP="00C84F5B">
            <w:pPr>
              <w:spacing w:line="276" w:lineRule="auto"/>
              <w:rPr>
                <w:rFonts w:ascii="Arial" w:hAnsi="Arial" w:cs="Arial"/>
              </w:rPr>
            </w:pPr>
            <w:r w:rsidRPr="00BF20CF">
              <w:rPr>
                <w:rFonts w:ascii="Arial" w:hAnsi="Arial" w:cs="Arial"/>
              </w:rPr>
              <w:t>November</w:t>
            </w:r>
          </w:p>
        </w:tc>
        <w:tc>
          <w:tcPr>
            <w:tcW w:w="902" w:type="dxa"/>
          </w:tcPr>
          <w:p w14:paraId="6AA497AE"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97" w:type="dxa"/>
          </w:tcPr>
          <w:p w14:paraId="475BEA5E" w14:textId="77777777" w:rsidR="00B64EC6" w:rsidRPr="00BF20CF" w:rsidRDefault="00B64EC6" w:rsidP="00C84F5B">
            <w:pPr>
              <w:spacing w:line="276" w:lineRule="auto"/>
              <w:jc w:val="center"/>
              <w:rPr>
                <w:rFonts w:ascii="Arial" w:hAnsi="Arial" w:cs="Arial"/>
              </w:rPr>
            </w:pPr>
          </w:p>
        </w:tc>
        <w:tc>
          <w:tcPr>
            <w:tcW w:w="914" w:type="dxa"/>
          </w:tcPr>
          <w:p w14:paraId="2C3AF12A" w14:textId="77777777" w:rsidR="00B64EC6" w:rsidRPr="00BF20CF" w:rsidRDefault="00B64EC6" w:rsidP="00C84F5B">
            <w:pPr>
              <w:spacing w:line="276" w:lineRule="auto"/>
              <w:jc w:val="center"/>
              <w:rPr>
                <w:rFonts w:ascii="Arial" w:hAnsi="Arial" w:cs="Arial"/>
              </w:rPr>
            </w:pPr>
          </w:p>
        </w:tc>
        <w:tc>
          <w:tcPr>
            <w:tcW w:w="929" w:type="dxa"/>
          </w:tcPr>
          <w:p w14:paraId="6C42AA01"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5480C8B8" w14:textId="77777777" w:rsidR="00B64EC6" w:rsidRPr="00BF20CF" w:rsidRDefault="00B64EC6" w:rsidP="00C84F5B">
            <w:pPr>
              <w:spacing w:line="276" w:lineRule="auto"/>
              <w:jc w:val="center"/>
              <w:rPr>
                <w:rFonts w:ascii="Arial" w:hAnsi="Arial" w:cs="Arial"/>
              </w:rPr>
            </w:pPr>
          </w:p>
        </w:tc>
        <w:tc>
          <w:tcPr>
            <w:tcW w:w="887" w:type="dxa"/>
          </w:tcPr>
          <w:p w14:paraId="6BA12B75" w14:textId="77777777" w:rsidR="00B64EC6" w:rsidRPr="00BF20CF" w:rsidRDefault="00B64EC6" w:rsidP="00C84F5B">
            <w:pPr>
              <w:spacing w:line="276" w:lineRule="auto"/>
              <w:jc w:val="center"/>
              <w:rPr>
                <w:rFonts w:ascii="Arial" w:hAnsi="Arial" w:cs="Arial"/>
              </w:rPr>
            </w:pPr>
          </w:p>
        </w:tc>
        <w:tc>
          <w:tcPr>
            <w:tcW w:w="894" w:type="dxa"/>
          </w:tcPr>
          <w:p w14:paraId="210D27EF"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19E4177B" w14:textId="77777777" w:rsidTr="00C84F5B">
        <w:tc>
          <w:tcPr>
            <w:tcW w:w="3002" w:type="dxa"/>
          </w:tcPr>
          <w:p w14:paraId="735D5866" w14:textId="77777777" w:rsidR="00B64EC6" w:rsidRPr="00BF20CF" w:rsidRDefault="00B64EC6" w:rsidP="00C84F5B">
            <w:pPr>
              <w:spacing w:line="276" w:lineRule="auto"/>
              <w:rPr>
                <w:rFonts w:ascii="Arial" w:hAnsi="Arial" w:cs="Arial"/>
              </w:rPr>
            </w:pPr>
            <w:r w:rsidRPr="00BF20CF">
              <w:rPr>
                <w:rFonts w:ascii="Arial" w:hAnsi="Arial" w:cs="Arial"/>
              </w:rPr>
              <w:t>December</w:t>
            </w:r>
          </w:p>
        </w:tc>
        <w:tc>
          <w:tcPr>
            <w:tcW w:w="902" w:type="dxa"/>
          </w:tcPr>
          <w:p w14:paraId="5F152E86" w14:textId="77777777" w:rsidR="00B64EC6" w:rsidRPr="00BF20CF" w:rsidRDefault="00B64EC6" w:rsidP="00C84F5B">
            <w:pPr>
              <w:spacing w:line="276" w:lineRule="auto"/>
              <w:jc w:val="center"/>
              <w:rPr>
                <w:rFonts w:ascii="Arial" w:hAnsi="Arial" w:cs="Arial"/>
              </w:rPr>
            </w:pPr>
          </w:p>
        </w:tc>
        <w:tc>
          <w:tcPr>
            <w:tcW w:w="897" w:type="dxa"/>
          </w:tcPr>
          <w:p w14:paraId="4AA6B30E" w14:textId="77777777" w:rsidR="00B64EC6" w:rsidRPr="00BF20CF" w:rsidRDefault="00B64EC6" w:rsidP="00C84F5B">
            <w:pPr>
              <w:spacing w:line="276" w:lineRule="auto"/>
              <w:jc w:val="center"/>
              <w:rPr>
                <w:rFonts w:ascii="Arial" w:hAnsi="Arial" w:cs="Arial"/>
              </w:rPr>
            </w:pPr>
          </w:p>
        </w:tc>
        <w:tc>
          <w:tcPr>
            <w:tcW w:w="914" w:type="dxa"/>
          </w:tcPr>
          <w:p w14:paraId="782FFAE5" w14:textId="77777777" w:rsidR="00B64EC6" w:rsidRPr="00BF20CF" w:rsidRDefault="00B64EC6" w:rsidP="00C84F5B">
            <w:pPr>
              <w:spacing w:line="276" w:lineRule="auto"/>
              <w:jc w:val="center"/>
              <w:rPr>
                <w:rFonts w:ascii="Arial" w:hAnsi="Arial" w:cs="Arial"/>
              </w:rPr>
            </w:pPr>
          </w:p>
        </w:tc>
        <w:tc>
          <w:tcPr>
            <w:tcW w:w="929" w:type="dxa"/>
          </w:tcPr>
          <w:p w14:paraId="63B92916"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516A219C" w14:textId="77777777" w:rsidR="00B64EC6" w:rsidRPr="00BF20CF" w:rsidRDefault="00B64EC6" w:rsidP="00C84F5B">
            <w:pPr>
              <w:spacing w:line="276" w:lineRule="auto"/>
              <w:jc w:val="center"/>
              <w:rPr>
                <w:rFonts w:ascii="Arial" w:hAnsi="Arial" w:cs="Arial"/>
              </w:rPr>
            </w:pPr>
          </w:p>
        </w:tc>
        <w:tc>
          <w:tcPr>
            <w:tcW w:w="887" w:type="dxa"/>
          </w:tcPr>
          <w:p w14:paraId="6F9837BC" w14:textId="77777777" w:rsidR="00B64EC6" w:rsidRPr="00BF20CF" w:rsidRDefault="00B64EC6" w:rsidP="00C84F5B">
            <w:pPr>
              <w:spacing w:line="276" w:lineRule="auto"/>
              <w:jc w:val="center"/>
              <w:rPr>
                <w:rFonts w:ascii="Arial" w:hAnsi="Arial" w:cs="Arial"/>
              </w:rPr>
            </w:pPr>
          </w:p>
        </w:tc>
        <w:tc>
          <w:tcPr>
            <w:tcW w:w="894" w:type="dxa"/>
          </w:tcPr>
          <w:p w14:paraId="3D9F0DE0"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06110902" w14:textId="77777777" w:rsidTr="00C84F5B">
        <w:tc>
          <w:tcPr>
            <w:tcW w:w="3002" w:type="dxa"/>
          </w:tcPr>
          <w:p w14:paraId="5E6579A3" w14:textId="77777777" w:rsidR="00B64EC6" w:rsidRPr="00BF20CF" w:rsidRDefault="00B64EC6" w:rsidP="00C84F5B">
            <w:pPr>
              <w:spacing w:line="276" w:lineRule="auto"/>
              <w:rPr>
                <w:rFonts w:ascii="Arial" w:hAnsi="Arial" w:cs="Arial"/>
              </w:rPr>
            </w:pPr>
            <w:r w:rsidRPr="00BF20CF">
              <w:rPr>
                <w:rFonts w:ascii="Arial" w:hAnsi="Arial" w:cs="Arial"/>
              </w:rPr>
              <w:t>2015</w:t>
            </w:r>
          </w:p>
        </w:tc>
        <w:tc>
          <w:tcPr>
            <w:tcW w:w="902" w:type="dxa"/>
          </w:tcPr>
          <w:p w14:paraId="75F845A4"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97" w:type="dxa"/>
          </w:tcPr>
          <w:p w14:paraId="5094A634" w14:textId="77777777" w:rsidR="00B64EC6" w:rsidRPr="00BF20CF" w:rsidRDefault="00B64EC6" w:rsidP="00C84F5B">
            <w:pPr>
              <w:spacing w:line="276" w:lineRule="auto"/>
              <w:jc w:val="center"/>
              <w:rPr>
                <w:rFonts w:ascii="Arial" w:hAnsi="Arial" w:cs="Arial"/>
              </w:rPr>
            </w:pPr>
          </w:p>
        </w:tc>
        <w:tc>
          <w:tcPr>
            <w:tcW w:w="914" w:type="dxa"/>
          </w:tcPr>
          <w:p w14:paraId="71B8FC05" w14:textId="77777777" w:rsidR="00B64EC6" w:rsidRPr="00BF20CF" w:rsidRDefault="00B64EC6" w:rsidP="00C84F5B">
            <w:pPr>
              <w:spacing w:line="276" w:lineRule="auto"/>
              <w:jc w:val="center"/>
              <w:rPr>
                <w:rFonts w:ascii="Arial" w:hAnsi="Arial" w:cs="Arial"/>
              </w:rPr>
            </w:pPr>
          </w:p>
        </w:tc>
        <w:tc>
          <w:tcPr>
            <w:tcW w:w="929" w:type="dxa"/>
          </w:tcPr>
          <w:p w14:paraId="60A93191" w14:textId="77777777" w:rsidR="00B64EC6" w:rsidRPr="00BF20CF" w:rsidRDefault="00B64EC6" w:rsidP="00C84F5B">
            <w:pPr>
              <w:spacing w:line="276" w:lineRule="auto"/>
              <w:jc w:val="center"/>
              <w:rPr>
                <w:rFonts w:ascii="Arial" w:hAnsi="Arial" w:cs="Arial"/>
              </w:rPr>
            </w:pPr>
          </w:p>
        </w:tc>
        <w:tc>
          <w:tcPr>
            <w:tcW w:w="914" w:type="dxa"/>
          </w:tcPr>
          <w:p w14:paraId="55DF7B4A" w14:textId="77777777" w:rsidR="00B64EC6" w:rsidRPr="00BF20CF" w:rsidRDefault="00B64EC6" w:rsidP="00C84F5B">
            <w:pPr>
              <w:spacing w:line="276" w:lineRule="auto"/>
              <w:jc w:val="center"/>
              <w:rPr>
                <w:rFonts w:ascii="Arial" w:hAnsi="Arial" w:cs="Arial"/>
              </w:rPr>
            </w:pPr>
          </w:p>
        </w:tc>
        <w:tc>
          <w:tcPr>
            <w:tcW w:w="887" w:type="dxa"/>
          </w:tcPr>
          <w:p w14:paraId="7989AA22" w14:textId="77777777" w:rsidR="00B64EC6" w:rsidRPr="00BF20CF" w:rsidRDefault="00B64EC6" w:rsidP="00C84F5B">
            <w:pPr>
              <w:spacing w:line="276" w:lineRule="auto"/>
              <w:jc w:val="center"/>
              <w:rPr>
                <w:rFonts w:ascii="Arial" w:hAnsi="Arial" w:cs="Arial"/>
              </w:rPr>
            </w:pPr>
          </w:p>
        </w:tc>
        <w:tc>
          <w:tcPr>
            <w:tcW w:w="894" w:type="dxa"/>
          </w:tcPr>
          <w:p w14:paraId="3150DBE7" w14:textId="77777777" w:rsidR="00B64EC6" w:rsidRPr="00BF20CF" w:rsidRDefault="00B64EC6" w:rsidP="00C84F5B">
            <w:pPr>
              <w:spacing w:line="276" w:lineRule="auto"/>
              <w:jc w:val="center"/>
              <w:rPr>
                <w:rFonts w:ascii="Arial" w:hAnsi="Arial" w:cs="Arial"/>
              </w:rPr>
            </w:pPr>
          </w:p>
        </w:tc>
      </w:tr>
      <w:tr w:rsidR="00B64EC6" w:rsidRPr="00BF20CF" w14:paraId="12D64D7B" w14:textId="77777777" w:rsidTr="00C84F5B">
        <w:tc>
          <w:tcPr>
            <w:tcW w:w="3002" w:type="dxa"/>
          </w:tcPr>
          <w:p w14:paraId="56934E44" w14:textId="77777777" w:rsidR="00B64EC6" w:rsidRPr="00BF20CF" w:rsidRDefault="00B64EC6" w:rsidP="00C84F5B">
            <w:pPr>
              <w:spacing w:line="276" w:lineRule="auto"/>
              <w:rPr>
                <w:rFonts w:ascii="Arial" w:hAnsi="Arial" w:cs="Arial"/>
              </w:rPr>
            </w:pPr>
            <w:r w:rsidRPr="00BF20CF">
              <w:rPr>
                <w:rFonts w:ascii="Arial" w:hAnsi="Arial" w:cs="Arial"/>
              </w:rPr>
              <w:t>2016</w:t>
            </w:r>
          </w:p>
        </w:tc>
        <w:tc>
          <w:tcPr>
            <w:tcW w:w="902" w:type="dxa"/>
          </w:tcPr>
          <w:p w14:paraId="6C2E7DE9"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97" w:type="dxa"/>
          </w:tcPr>
          <w:p w14:paraId="4EA15379" w14:textId="77777777" w:rsidR="00B64EC6" w:rsidRPr="00BF20CF" w:rsidRDefault="00B64EC6" w:rsidP="00C84F5B">
            <w:pPr>
              <w:spacing w:line="276" w:lineRule="auto"/>
              <w:jc w:val="center"/>
              <w:rPr>
                <w:rFonts w:ascii="Arial" w:hAnsi="Arial" w:cs="Arial"/>
              </w:rPr>
            </w:pPr>
          </w:p>
        </w:tc>
        <w:tc>
          <w:tcPr>
            <w:tcW w:w="914" w:type="dxa"/>
          </w:tcPr>
          <w:p w14:paraId="1E0C1E4E" w14:textId="77777777" w:rsidR="00B64EC6" w:rsidRPr="00BF20CF" w:rsidRDefault="00B64EC6" w:rsidP="00C84F5B">
            <w:pPr>
              <w:spacing w:line="276" w:lineRule="auto"/>
              <w:jc w:val="center"/>
              <w:rPr>
                <w:rFonts w:ascii="Arial" w:hAnsi="Arial" w:cs="Arial"/>
              </w:rPr>
            </w:pPr>
          </w:p>
        </w:tc>
        <w:tc>
          <w:tcPr>
            <w:tcW w:w="929" w:type="dxa"/>
          </w:tcPr>
          <w:p w14:paraId="51F3458A" w14:textId="77777777" w:rsidR="00B64EC6" w:rsidRPr="00BF20CF" w:rsidRDefault="00B64EC6" w:rsidP="00C84F5B">
            <w:pPr>
              <w:spacing w:line="276" w:lineRule="auto"/>
              <w:jc w:val="center"/>
              <w:rPr>
                <w:rFonts w:ascii="Arial" w:hAnsi="Arial" w:cs="Arial"/>
              </w:rPr>
            </w:pPr>
          </w:p>
        </w:tc>
        <w:tc>
          <w:tcPr>
            <w:tcW w:w="914" w:type="dxa"/>
          </w:tcPr>
          <w:p w14:paraId="7CBFA99A" w14:textId="77777777" w:rsidR="00B64EC6" w:rsidRPr="00BF20CF" w:rsidRDefault="00B64EC6" w:rsidP="00C84F5B">
            <w:pPr>
              <w:spacing w:line="276" w:lineRule="auto"/>
              <w:jc w:val="center"/>
              <w:rPr>
                <w:rFonts w:ascii="Arial" w:hAnsi="Arial" w:cs="Arial"/>
              </w:rPr>
            </w:pPr>
          </w:p>
        </w:tc>
        <w:tc>
          <w:tcPr>
            <w:tcW w:w="887" w:type="dxa"/>
          </w:tcPr>
          <w:p w14:paraId="5FDA7D6B" w14:textId="77777777" w:rsidR="00B64EC6" w:rsidRPr="00BF20CF" w:rsidRDefault="00B64EC6" w:rsidP="00C84F5B">
            <w:pPr>
              <w:spacing w:line="276" w:lineRule="auto"/>
              <w:jc w:val="center"/>
              <w:rPr>
                <w:rFonts w:ascii="Arial" w:hAnsi="Arial" w:cs="Arial"/>
              </w:rPr>
            </w:pPr>
          </w:p>
        </w:tc>
        <w:tc>
          <w:tcPr>
            <w:tcW w:w="894" w:type="dxa"/>
          </w:tcPr>
          <w:p w14:paraId="5C0A511B" w14:textId="77777777" w:rsidR="00B64EC6" w:rsidRPr="00BF20CF" w:rsidRDefault="00B64EC6" w:rsidP="00C84F5B">
            <w:pPr>
              <w:spacing w:line="276" w:lineRule="auto"/>
              <w:jc w:val="center"/>
              <w:rPr>
                <w:rFonts w:ascii="Arial" w:hAnsi="Arial" w:cs="Arial"/>
              </w:rPr>
            </w:pPr>
          </w:p>
        </w:tc>
      </w:tr>
      <w:tr w:rsidR="00B64EC6" w:rsidRPr="00BF20CF" w14:paraId="7AAD9B39" w14:textId="77777777" w:rsidTr="00C84F5B">
        <w:tc>
          <w:tcPr>
            <w:tcW w:w="3002" w:type="dxa"/>
          </w:tcPr>
          <w:p w14:paraId="426724E6" w14:textId="77777777" w:rsidR="00B64EC6" w:rsidRPr="00BF20CF" w:rsidRDefault="00B64EC6" w:rsidP="00C84F5B">
            <w:pPr>
              <w:spacing w:line="276" w:lineRule="auto"/>
              <w:rPr>
                <w:rFonts w:ascii="Arial" w:hAnsi="Arial" w:cs="Arial"/>
              </w:rPr>
            </w:pPr>
            <w:r w:rsidRPr="00BF20CF">
              <w:rPr>
                <w:rFonts w:ascii="Arial" w:hAnsi="Arial" w:cs="Arial"/>
              </w:rPr>
              <w:t>2018</w:t>
            </w:r>
          </w:p>
        </w:tc>
        <w:tc>
          <w:tcPr>
            <w:tcW w:w="902" w:type="dxa"/>
          </w:tcPr>
          <w:p w14:paraId="09FF74C2" w14:textId="77777777" w:rsidR="00B64EC6" w:rsidRPr="00BF20CF" w:rsidRDefault="00B64EC6" w:rsidP="00C84F5B">
            <w:pPr>
              <w:spacing w:line="276" w:lineRule="auto"/>
              <w:jc w:val="center"/>
              <w:rPr>
                <w:rFonts w:ascii="Arial" w:hAnsi="Arial" w:cs="Arial"/>
              </w:rPr>
            </w:pPr>
          </w:p>
        </w:tc>
        <w:tc>
          <w:tcPr>
            <w:tcW w:w="897" w:type="dxa"/>
          </w:tcPr>
          <w:p w14:paraId="282EEADA" w14:textId="77777777" w:rsidR="00B64EC6" w:rsidRPr="00BF20CF" w:rsidRDefault="00B64EC6" w:rsidP="00C84F5B">
            <w:pPr>
              <w:spacing w:line="276" w:lineRule="auto"/>
              <w:jc w:val="center"/>
              <w:rPr>
                <w:rFonts w:ascii="Arial" w:hAnsi="Arial" w:cs="Arial"/>
              </w:rPr>
            </w:pPr>
          </w:p>
        </w:tc>
        <w:tc>
          <w:tcPr>
            <w:tcW w:w="914" w:type="dxa"/>
          </w:tcPr>
          <w:p w14:paraId="2AF485C3" w14:textId="77777777" w:rsidR="00B64EC6" w:rsidRPr="00BF20CF" w:rsidRDefault="00B64EC6" w:rsidP="00C84F5B">
            <w:pPr>
              <w:spacing w:line="276" w:lineRule="auto"/>
              <w:jc w:val="center"/>
              <w:rPr>
                <w:rFonts w:ascii="Arial" w:hAnsi="Arial" w:cs="Arial"/>
              </w:rPr>
            </w:pPr>
          </w:p>
        </w:tc>
        <w:tc>
          <w:tcPr>
            <w:tcW w:w="929" w:type="dxa"/>
          </w:tcPr>
          <w:p w14:paraId="01BC5825" w14:textId="77777777" w:rsidR="00B64EC6" w:rsidRPr="00BF20CF" w:rsidRDefault="00B64EC6" w:rsidP="00C84F5B">
            <w:pPr>
              <w:spacing w:line="276" w:lineRule="auto"/>
              <w:jc w:val="center"/>
              <w:rPr>
                <w:rFonts w:ascii="Arial" w:hAnsi="Arial" w:cs="Arial"/>
              </w:rPr>
            </w:pPr>
          </w:p>
        </w:tc>
        <w:tc>
          <w:tcPr>
            <w:tcW w:w="914" w:type="dxa"/>
          </w:tcPr>
          <w:p w14:paraId="318E2FCD" w14:textId="77777777" w:rsidR="00B64EC6" w:rsidRPr="00BF20CF" w:rsidRDefault="00B64EC6" w:rsidP="00C84F5B">
            <w:pPr>
              <w:spacing w:line="276" w:lineRule="auto"/>
              <w:jc w:val="center"/>
              <w:rPr>
                <w:rFonts w:ascii="Arial" w:hAnsi="Arial" w:cs="Arial"/>
              </w:rPr>
            </w:pPr>
          </w:p>
        </w:tc>
        <w:tc>
          <w:tcPr>
            <w:tcW w:w="887" w:type="dxa"/>
          </w:tcPr>
          <w:p w14:paraId="36CC9355" w14:textId="77777777" w:rsidR="00B64EC6" w:rsidRPr="00BF20CF" w:rsidRDefault="00B64EC6" w:rsidP="00C84F5B">
            <w:pPr>
              <w:spacing w:line="276" w:lineRule="auto"/>
              <w:jc w:val="center"/>
              <w:rPr>
                <w:rFonts w:ascii="Arial" w:hAnsi="Arial" w:cs="Arial"/>
              </w:rPr>
            </w:pPr>
          </w:p>
        </w:tc>
        <w:tc>
          <w:tcPr>
            <w:tcW w:w="894" w:type="dxa"/>
          </w:tcPr>
          <w:p w14:paraId="613CF5C6"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r w:rsidR="00B64EC6" w:rsidRPr="00BF20CF" w14:paraId="5BA1759A" w14:textId="77777777" w:rsidTr="00C84F5B">
        <w:tc>
          <w:tcPr>
            <w:tcW w:w="3002" w:type="dxa"/>
          </w:tcPr>
          <w:p w14:paraId="7128C1EE" w14:textId="77777777" w:rsidR="00B64EC6" w:rsidRPr="00BF20CF" w:rsidRDefault="00B64EC6" w:rsidP="00C84F5B">
            <w:pPr>
              <w:spacing w:line="276" w:lineRule="auto"/>
              <w:rPr>
                <w:rFonts w:ascii="Arial" w:hAnsi="Arial" w:cs="Arial"/>
              </w:rPr>
            </w:pPr>
            <w:r w:rsidRPr="00BF20CF">
              <w:rPr>
                <w:rFonts w:ascii="Arial" w:hAnsi="Arial" w:cs="Arial"/>
              </w:rPr>
              <w:t>January 2013</w:t>
            </w:r>
          </w:p>
        </w:tc>
        <w:tc>
          <w:tcPr>
            <w:tcW w:w="902" w:type="dxa"/>
          </w:tcPr>
          <w:p w14:paraId="43A4BAC7" w14:textId="77777777" w:rsidR="00B64EC6" w:rsidRPr="00BF20CF" w:rsidRDefault="00B64EC6" w:rsidP="00C84F5B">
            <w:pPr>
              <w:spacing w:line="276" w:lineRule="auto"/>
              <w:jc w:val="center"/>
              <w:rPr>
                <w:rFonts w:ascii="Arial" w:hAnsi="Arial" w:cs="Arial"/>
              </w:rPr>
            </w:pPr>
          </w:p>
        </w:tc>
        <w:tc>
          <w:tcPr>
            <w:tcW w:w="897" w:type="dxa"/>
          </w:tcPr>
          <w:p w14:paraId="219E2CC0" w14:textId="77777777" w:rsidR="00B64EC6" w:rsidRPr="00BF20CF" w:rsidRDefault="00B64EC6" w:rsidP="00C84F5B">
            <w:pPr>
              <w:spacing w:line="276" w:lineRule="auto"/>
              <w:jc w:val="center"/>
              <w:rPr>
                <w:rFonts w:ascii="Arial" w:hAnsi="Arial" w:cs="Arial"/>
              </w:rPr>
            </w:pPr>
          </w:p>
        </w:tc>
        <w:tc>
          <w:tcPr>
            <w:tcW w:w="914" w:type="dxa"/>
          </w:tcPr>
          <w:p w14:paraId="4C278E07"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29" w:type="dxa"/>
          </w:tcPr>
          <w:p w14:paraId="248078F0" w14:textId="77777777" w:rsidR="00B64EC6" w:rsidRPr="00BF20CF" w:rsidRDefault="00B64EC6" w:rsidP="00C84F5B">
            <w:pPr>
              <w:spacing w:line="276" w:lineRule="auto"/>
              <w:jc w:val="center"/>
              <w:rPr>
                <w:rFonts w:ascii="Arial" w:hAnsi="Arial" w:cs="Arial"/>
              </w:rPr>
            </w:pPr>
          </w:p>
        </w:tc>
        <w:tc>
          <w:tcPr>
            <w:tcW w:w="914" w:type="dxa"/>
          </w:tcPr>
          <w:p w14:paraId="6FAC5338" w14:textId="77777777" w:rsidR="00B64EC6" w:rsidRPr="00BF20CF" w:rsidRDefault="00B64EC6" w:rsidP="00C84F5B">
            <w:pPr>
              <w:spacing w:line="276" w:lineRule="auto"/>
              <w:jc w:val="center"/>
              <w:rPr>
                <w:rFonts w:ascii="Arial" w:hAnsi="Arial" w:cs="Arial"/>
              </w:rPr>
            </w:pPr>
          </w:p>
        </w:tc>
        <w:tc>
          <w:tcPr>
            <w:tcW w:w="887" w:type="dxa"/>
          </w:tcPr>
          <w:p w14:paraId="410188D9" w14:textId="77777777" w:rsidR="00B64EC6" w:rsidRPr="00BF20CF" w:rsidRDefault="00B64EC6" w:rsidP="00C84F5B">
            <w:pPr>
              <w:spacing w:line="276" w:lineRule="auto"/>
              <w:jc w:val="center"/>
              <w:rPr>
                <w:rFonts w:ascii="Arial" w:hAnsi="Arial" w:cs="Arial"/>
              </w:rPr>
            </w:pPr>
          </w:p>
        </w:tc>
        <w:tc>
          <w:tcPr>
            <w:tcW w:w="894" w:type="dxa"/>
          </w:tcPr>
          <w:p w14:paraId="72EBD042" w14:textId="77777777" w:rsidR="00B64EC6" w:rsidRPr="00BF20CF" w:rsidRDefault="00B64EC6" w:rsidP="00C84F5B">
            <w:pPr>
              <w:spacing w:line="276" w:lineRule="auto"/>
              <w:jc w:val="center"/>
              <w:rPr>
                <w:rFonts w:ascii="Arial" w:hAnsi="Arial" w:cs="Arial"/>
              </w:rPr>
            </w:pPr>
          </w:p>
        </w:tc>
      </w:tr>
      <w:tr w:rsidR="00B64EC6" w:rsidRPr="00BF20CF" w14:paraId="017357C5" w14:textId="77777777" w:rsidTr="00C84F5B">
        <w:tc>
          <w:tcPr>
            <w:tcW w:w="3002" w:type="dxa"/>
          </w:tcPr>
          <w:p w14:paraId="5C297813" w14:textId="77777777" w:rsidR="00B64EC6" w:rsidRPr="00BF20CF" w:rsidRDefault="00B64EC6" w:rsidP="00C84F5B">
            <w:pPr>
              <w:spacing w:line="276" w:lineRule="auto"/>
              <w:rPr>
                <w:rFonts w:ascii="Arial" w:hAnsi="Arial" w:cs="Arial"/>
              </w:rPr>
            </w:pPr>
            <w:r w:rsidRPr="00BF20CF">
              <w:rPr>
                <w:rFonts w:ascii="Arial" w:hAnsi="Arial" w:cs="Arial"/>
              </w:rPr>
              <w:t>September 2013</w:t>
            </w:r>
          </w:p>
        </w:tc>
        <w:tc>
          <w:tcPr>
            <w:tcW w:w="902" w:type="dxa"/>
          </w:tcPr>
          <w:p w14:paraId="3DF056A8" w14:textId="77777777" w:rsidR="00B64EC6" w:rsidRPr="00BF20CF" w:rsidRDefault="00B64EC6" w:rsidP="00C84F5B">
            <w:pPr>
              <w:spacing w:line="276" w:lineRule="auto"/>
              <w:jc w:val="center"/>
              <w:rPr>
                <w:rFonts w:ascii="Arial" w:hAnsi="Arial" w:cs="Arial"/>
              </w:rPr>
            </w:pPr>
          </w:p>
        </w:tc>
        <w:tc>
          <w:tcPr>
            <w:tcW w:w="897" w:type="dxa"/>
          </w:tcPr>
          <w:p w14:paraId="48393822" w14:textId="77777777" w:rsidR="00B64EC6" w:rsidRPr="00BF20CF" w:rsidRDefault="00B64EC6" w:rsidP="00C84F5B">
            <w:pPr>
              <w:spacing w:line="276" w:lineRule="auto"/>
              <w:jc w:val="center"/>
              <w:rPr>
                <w:rFonts w:ascii="Arial" w:hAnsi="Arial" w:cs="Arial"/>
              </w:rPr>
            </w:pPr>
          </w:p>
        </w:tc>
        <w:tc>
          <w:tcPr>
            <w:tcW w:w="914" w:type="dxa"/>
          </w:tcPr>
          <w:p w14:paraId="562B46AB" w14:textId="77777777" w:rsidR="00B64EC6" w:rsidRPr="00BF20CF" w:rsidRDefault="00B64EC6" w:rsidP="00C84F5B">
            <w:pPr>
              <w:spacing w:line="276" w:lineRule="auto"/>
              <w:jc w:val="center"/>
              <w:rPr>
                <w:rFonts w:ascii="Arial" w:hAnsi="Arial" w:cs="Arial"/>
              </w:rPr>
            </w:pPr>
          </w:p>
        </w:tc>
        <w:tc>
          <w:tcPr>
            <w:tcW w:w="929" w:type="dxa"/>
          </w:tcPr>
          <w:p w14:paraId="5542F18D" w14:textId="77777777" w:rsidR="00B64EC6" w:rsidRPr="00BF20CF" w:rsidRDefault="00B64EC6" w:rsidP="00C84F5B">
            <w:pPr>
              <w:spacing w:line="276" w:lineRule="auto"/>
              <w:jc w:val="center"/>
              <w:rPr>
                <w:rFonts w:ascii="Arial" w:hAnsi="Arial" w:cs="Arial"/>
              </w:rPr>
            </w:pPr>
          </w:p>
        </w:tc>
        <w:tc>
          <w:tcPr>
            <w:tcW w:w="914" w:type="dxa"/>
          </w:tcPr>
          <w:p w14:paraId="0439897D" w14:textId="77777777" w:rsidR="00B64EC6" w:rsidRPr="00BF20CF" w:rsidRDefault="00B64EC6" w:rsidP="00C84F5B">
            <w:pPr>
              <w:spacing w:line="276" w:lineRule="auto"/>
              <w:jc w:val="center"/>
              <w:rPr>
                <w:rFonts w:ascii="Arial" w:hAnsi="Arial" w:cs="Arial"/>
              </w:rPr>
            </w:pPr>
          </w:p>
        </w:tc>
        <w:tc>
          <w:tcPr>
            <w:tcW w:w="887" w:type="dxa"/>
          </w:tcPr>
          <w:p w14:paraId="2E5C3D07"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94" w:type="dxa"/>
          </w:tcPr>
          <w:p w14:paraId="239E0D5C" w14:textId="77777777" w:rsidR="00B64EC6" w:rsidRPr="00BF20CF" w:rsidRDefault="00B64EC6" w:rsidP="00C84F5B">
            <w:pPr>
              <w:spacing w:line="276" w:lineRule="auto"/>
              <w:jc w:val="center"/>
              <w:rPr>
                <w:rFonts w:ascii="Arial" w:hAnsi="Arial" w:cs="Arial"/>
              </w:rPr>
            </w:pPr>
          </w:p>
        </w:tc>
      </w:tr>
      <w:tr w:rsidR="00B64EC6" w:rsidRPr="00BF20CF" w14:paraId="66AA1725" w14:textId="77777777" w:rsidTr="00C84F5B">
        <w:tc>
          <w:tcPr>
            <w:tcW w:w="3002" w:type="dxa"/>
          </w:tcPr>
          <w:p w14:paraId="40FACFC6" w14:textId="77777777" w:rsidR="00B64EC6" w:rsidRPr="00BF20CF" w:rsidRDefault="00B64EC6" w:rsidP="00C84F5B">
            <w:pPr>
              <w:spacing w:line="276" w:lineRule="auto"/>
              <w:rPr>
                <w:rFonts w:ascii="Arial" w:hAnsi="Arial" w:cs="Arial"/>
              </w:rPr>
            </w:pPr>
            <w:r w:rsidRPr="00BF20CF">
              <w:rPr>
                <w:rFonts w:ascii="Arial" w:hAnsi="Arial" w:cs="Arial"/>
              </w:rPr>
              <w:t>December 2013</w:t>
            </w:r>
          </w:p>
        </w:tc>
        <w:tc>
          <w:tcPr>
            <w:tcW w:w="902" w:type="dxa"/>
          </w:tcPr>
          <w:p w14:paraId="7101A30A" w14:textId="77777777" w:rsidR="00B64EC6" w:rsidRPr="00BF20CF" w:rsidRDefault="00B64EC6" w:rsidP="00C84F5B">
            <w:pPr>
              <w:spacing w:line="276" w:lineRule="auto"/>
              <w:jc w:val="center"/>
              <w:rPr>
                <w:rFonts w:ascii="Arial" w:hAnsi="Arial" w:cs="Arial"/>
              </w:rPr>
            </w:pPr>
          </w:p>
        </w:tc>
        <w:tc>
          <w:tcPr>
            <w:tcW w:w="897" w:type="dxa"/>
          </w:tcPr>
          <w:p w14:paraId="66D8A034" w14:textId="77777777" w:rsidR="00B64EC6" w:rsidRPr="00BF20CF" w:rsidRDefault="00B64EC6" w:rsidP="00C84F5B">
            <w:pPr>
              <w:spacing w:line="276" w:lineRule="auto"/>
              <w:jc w:val="center"/>
              <w:rPr>
                <w:rFonts w:ascii="Arial" w:hAnsi="Arial" w:cs="Arial"/>
              </w:rPr>
            </w:pPr>
          </w:p>
        </w:tc>
        <w:tc>
          <w:tcPr>
            <w:tcW w:w="914" w:type="dxa"/>
          </w:tcPr>
          <w:p w14:paraId="1F86E88C" w14:textId="77777777" w:rsidR="00B64EC6" w:rsidRPr="00BF20CF" w:rsidRDefault="00B64EC6" w:rsidP="00C84F5B">
            <w:pPr>
              <w:spacing w:line="276" w:lineRule="auto"/>
              <w:jc w:val="center"/>
              <w:rPr>
                <w:rFonts w:ascii="Arial" w:hAnsi="Arial" w:cs="Arial"/>
              </w:rPr>
            </w:pPr>
          </w:p>
        </w:tc>
        <w:tc>
          <w:tcPr>
            <w:tcW w:w="929" w:type="dxa"/>
          </w:tcPr>
          <w:p w14:paraId="15940DCA" w14:textId="77777777" w:rsidR="00B64EC6" w:rsidRPr="00BF20CF" w:rsidRDefault="00B64EC6" w:rsidP="00C84F5B">
            <w:pPr>
              <w:spacing w:line="276" w:lineRule="auto"/>
              <w:jc w:val="center"/>
              <w:rPr>
                <w:rFonts w:ascii="Arial" w:hAnsi="Arial" w:cs="Arial"/>
              </w:rPr>
            </w:pPr>
          </w:p>
        </w:tc>
        <w:tc>
          <w:tcPr>
            <w:tcW w:w="914" w:type="dxa"/>
          </w:tcPr>
          <w:p w14:paraId="6BE1CA6F" w14:textId="77777777" w:rsidR="00B64EC6" w:rsidRPr="00BF20CF" w:rsidRDefault="00B64EC6" w:rsidP="00C84F5B">
            <w:pPr>
              <w:spacing w:line="276" w:lineRule="auto"/>
              <w:jc w:val="center"/>
              <w:rPr>
                <w:rFonts w:ascii="Arial" w:hAnsi="Arial" w:cs="Arial"/>
              </w:rPr>
            </w:pPr>
          </w:p>
        </w:tc>
        <w:tc>
          <w:tcPr>
            <w:tcW w:w="887" w:type="dxa"/>
          </w:tcPr>
          <w:p w14:paraId="501FEC2D"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94" w:type="dxa"/>
          </w:tcPr>
          <w:p w14:paraId="73B44AE5" w14:textId="77777777" w:rsidR="00B64EC6" w:rsidRPr="00BF20CF" w:rsidRDefault="00B64EC6" w:rsidP="00C84F5B">
            <w:pPr>
              <w:spacing w:line="276" w:lineRule="auto"/>
              <w:jc w:val="center"/>
              <w:rPr>
                <w:rFonts w:ascii="Arial" w:hAnsi="Arial" w:cs="Arial"/>
              </w:rPr>
            </w:pPr>
          </w:p>
        </w:tc>
      </w:tr>
      <w:tr w:rsidR="00B64EC6" w:rsidRPr="00BF20CF" w14:paraId="7DE0F13A" w14:textId="77777777" w:rsidTr="00C84F5B">
        <w:tc>
          <w:tcPr>
            <w:tcW w:w="3002" w:type="dxa"/>
          </w:tcPr>
          <w:p w14:paraId="2646CC45" w14:textId="77777777" w:rsidR="00B64EC6" w:rsidRPr="00BF20CF" w:rsidRDefault="00B64EC6" w:rsidP="00C84F5B">
            <w:pPr>
              <w:spacing w:line="276" w:lineRule="auto"/>
              <w:rPr>
                <w:rFonts w:ascii="Arial" w:hAnsi="Arial" w:cs="Arial"/>
              </w:rPr>
            </w:pPr>
            <w:r w:rsidRPr="00BF20CF">
              <w:rPr>
                <w:rFonts w:ascii="Arial" w:hAnsi="Arial" w:cs="Arial"/>
              </w:rPr>
              <w:t>February 2014</w:t>
            </w:r>
          </w:p>
        </w:tc>
        <w:tc>
          <w:tcPr>
            <w:tcW w:w="902" w:type="dxa"/>
          </w:tcPr>
          <w:p w14:paraId="05174724" w14:textId="77777777" w:rsidR="00B64EC6" w:rsidRPr="00BF20CF" w:rsidRDefault="00B64EC6" w:rsidP="00C84F5B">
            <w:pPr>
              <w:spacing w:line="276" w:lineRule="auto"/>
              <w:jc w:val="center"/>
              <w:rPr>
                <w:rFonts w:ascii="Arial" w:hAnsi="Arial" w:cs="Arial"/>
              </w:rPr>
            </w:pPr>
          </w:p>
        </w:tc>
        <w:tc>
          <w:tcPr>
            <w:tcW w:w="897" w:type="dxa"/>
          </w:tcPr>
          <w:p w14:paraId="6910DBE9" w14:textId="77777777" w:rsidR="00B64EC6" w:rsidRPr="00BF20CF" w:rsidRDefault="00B64EC6" w:rsidP="00C84F5B">
            <w:pPr>
              <w:spacing w:line="276" w:lineRule="auto"/>
              <w:jc w:val="center"/>
              <w:rPr>
                <w:rFonts w:ascii="Arial" w:hAnsi="Arial" w:cs="Arial"/>
              </w:rPr>
            </w:pPr>
          </w:p>
        </w:tc>
        <w:tc>
          <w:tcPr>
            <w:tcW w:w="914" w:type="dxa"/>
          </w:tcPr>
          <w:p w14:paraId="46D15D73" w14:textId="77777777" w:rsidR="00B64EC6" w:rsidRPr="00BF20CF" w:rsidRDefault="00B64EC6" w:rsidP="00C84F5B">
            <w:pPr>
              <w:spacing w:line="276" w:lineRule="auto"/>
              <w:jc w:val="center"/>
              <w:rPr>
                <w:rFonts w:ascii="Arial" w:hAnsi="Arial" w:cs="Arial"/>
              </w:rPr>
            </w:pPr>
          </w:p>
        </w:tc>
        <w:tc>
          <w:tcPr>
            <w:tcW w:w="929" w:type="dxa"/>
          </w:tcPr>
          <w:p w14:paraId="68FADC84"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7AEAA8B0" w14:textId="77777777" w:rsidR="00B64EC6" w:rsidRPr="00BF20CF" w:rsidRDefault="00B64EC6" w:rsidP="00C84F5B">
            <w:pPr>
              <w:spacing w:line="276" w:lineRule="auto"/>
              <w:jc w:val="center"/>
              <w:rPr>
                <w:rFonts w:ascii="Arial" w:hAnsi="Arial" w:cs="Arial"/>
              </w:rPr>
            </w:pPr>
          </w:p>
        </w:tc>
        <w:tc>
          <w:tcPr>
            <w:tcW w:w="887" w:type="dxa"/>
          </w:tcPr>
          <w:p w14:paraId="175667FE" w14:textId="77777777" w:rsidR="00B64EC6" w:rsidRPr="00BF20CF" w:rsidRDefault="00B64EC6" w:rsidP="00C84F5B">
            <w:pPr>
              <w:spacing w:line="276" w:lineRule="auto"/>
              <w:jc w:val="center"/>
              <w:rPr>
                <w:rFonts w:ascii="Arial" w:hAnsi="Arial" w:cs="Arial"/>
              </w:rPr>
            </w:pPr>
          </w:p>
        </w:tc>
        <w:tc>
          <w:tcPr>
            <w:tcW w:w="894" w:type="dxa"/>
          </w:tcPr>
          <w:p w14:paraId="68E03F15" w14:textId="77777777" w:rsidR="00B64EC6" w:rsidRPr="00BF20CF" w:rsidRDefault="00B64EC6" w:rsidP="00C84F5B">
            <w:pPr>
              <w:spacing w:line="276" w:lineRule="auto"/>
              <w:jc w:val="center"/>
              <w:rPr>
                <w:rFonts w:ascii="Arial" w:hAnsi="Arial" w:cs="Arial"/>
              </w:rPr>
            </w:pPr>
          </w:p>
        </w:tc>
      </w:tr>
      <w:tr w:rsidR="00B64EC6" w:rsidRPr="00BF20CF" w14:paraId="5BC02FD9" w14:textId="77777777" w:rsidTr="00C84F5B">
        <w:tc>
          <w:tcPr>
            <w:tcW w:w="3002" w:type="dxa"/>
          </w:tcPr>
          <w:p w14:paraId="39932DCA" w14:textId="77777777" w:rsidR="00B64EC6" w:rsidRPr="00BF20CF" w:rsidRDefault="00B64EC6" w:rsidP="00C84F5B">
            <w:pPr>
              <w:spacing w:line="276" w:lineRule="auto"/>
              <w:rPr>
                <w:rFonts w:ascii="Arial" w:hAnsi="Arial" w:cs="Arial"/>
              </w:rPr>
            </w:pPr>
            <w:r w:rsidRPr="00BF20CF">
              <w:rPr>
                <w:rFonts w:ascii="Arial" w:hAnsi="Arial" w:cs="Arial"/>
              </w:rPr>
              <w:t>March 2014</w:t>
            </w:r>
          </w:p>
        </w:tc>
        <w:tc>
          <w:tcPr>
            <w:tcW w:w="902" w:type="dxa"/>
          </w:tcPr>
          <w:p w14:paraId="5E5071A0" w14:textId="77777777" w:rsidR="00B64EC6" w:rsidRPr="00BF20CF" w:rsidRDefault="00B64EC6" w:rsidP="00C84F5B">
            <w:pPr>
              <w:spacing w:line="276" w:lineRule="auto"/>
              <w:jc w:val="center"/>
              <w:rPr>
                <w:rFonts w:ascii="Arial" w:hAnsi="Arial" w:cs="Arial"/>
              </w:rPr>
            </w:pPr>
          </w:p>
        </w:tc>
        <w:tc>
          <w:tcPr>
            <w:tcW w:w="897" w:type="dxa"/>
          </w:tcPr>
          <w:p w14:paraId="4F23FFC2" w14:textId="77777777" w:rsidR="00B64EC6" w:rsidRPr="00BF20CF" w:rsidRDefault="00B64EC6" w:rsidP="00C84F5B">
            <w:pPr>
              <w:spacing w:line="276" w:lineRule="auto"/>
              <w:jc w:val="center"/>
              <w:rPr>
                <w:rFonts w:ascii="Arial" w:hAnsi="Arial" w:cs="Arial"/>
              </w:rPr>
            </w:pPr>
          </w:p>
        </w:tc>
        <w:tc>
          <w:tcPr>
            <w:tcW w:w="914" w:type="dxa"/>
          </w:tcPr>
          <w:p w14:paraId="3317A040" w14:textId="77777777" w:rsidR="00B64EC6" w:rsidRPr="00BF20CF" w:rsidRDefault="00B64EC6" w:rsidP="00C84F5B">
            <w:pPr>
              <w:spacing w:line="276" w:lineRule="auto"/>
              <w:jc w:val="center"/>
              <w:rPr>
                <w:rFonts w:ascii="Arial" w:hAnsi="Arial" w:cs="Arial"/>
              </w:rPr>
            </w:pPr>
          </w:p>
        </w:tc>
        <w:tc>
          <w:tcPr>
            <w:tcW w:w="929" w:type="dxa"/>
          </w:tcPr>
          <w:p w14:paraId="2C6B8ADF"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34BB5BC3"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87" w:type="dxa"/>
          </w:tcPr>
          <w:p w14:paraId="12BC1E03" w14:textId="77777777" w:rsidR="00B64EC6" w:rsidRPr="00BF20CF" w:rsidRDefault="00B64EC6" w:rsidP="00C84F5B">
            <w:pPr>
              <w:spacing w:line="276" w:lineRule="auto"/>
              <w:jc w:val="center"/>
              <w:rPr>
                <w:rFonts w:ascii="Arial" w:hAnsi="Arial" w:cs="Arial"/>
              </w:rPr>
            </w:pPr>
          </w:p>
        </w:tc>
        <w:tc>
          <w:tcPr>
            <w:tcW w:w="894" w:type="dxa"/>
          </w:tcPr>
          <w:p w14:paraId="55D80838" w14:textId="77777777" w:rsidR="00B64EC6" w:rsidRPr="00BF20CF" w:rsidRDefault="00B64EC6" w:rsidP="00C84F5B">
            <w:pPr>
              <w:spacing w:line="276" w:lineRule="auto"/>
              <w:jc w:val="center"/>
              <w:rPr>
                <w:rFonts w:ascii="Arial" w:hAnsi="Arial" w:cs="Arial"/>
              </w:rPr>
            </w:pPr>
          </w:p>
        </w:tc>
      </w:tr>
      <w:tr w:rsidR="00B64EC6" w:rsidRPr="00BF20CF" w14:paraId="5B19BB77" w14:textId="77777777" w:rsidTr="00C84F5B">
        <w:tc>
          <w:tcPr>
            <w:tcW w:w="3002" w:type="dxa"/>
          </w:tcPr>
          <w:p w14:paraId="76F87A0F" w14:textId="77777777" w:rsidR="00B64EC6" w:rsidRPr="00BF20CF" w:rsidRDefault="00B64EC6" w:rsidP="00C84F5B">
            <w:pPr>
              <w:spacing w:line="276" w:lineRule="auto"/>
              <w:rPr>
                <w:rFonts w:ascii="Arial" w:hAnsi="Arial" w:cs="Arial"/>
              </w:rPr>
            </w:pPr>
            <w:r w:rsidRPr="00BF20CF">
              <w:rPr>
                <w:rFonts w:ascii="Arial" w:hAnsi="Arial" w:cs="Arial"/>
              </w:rPr>
              <w:t>June 2014</w:t>
            </w:r>
          </w:p>
        </w:tc>
        <w:tc>
          <w:tcPr>
            <w:tcW w:w="902" w:type="dxa"/>
          </w:tcPr>
          <w:p w14:paraId="356F96AC" w14:textId="77777777" w:rsidR="00B64EC6" w:rsidRPr="00BF20CF" w:rsidRDefault="00B64EC6" w:rsidP="00C84F5B">
            <w:pPr>
              <w:spacing w:line="276" w:lineRule="auto"/>
              <w:jc w:val="center"/>
              <w:rPr>
                <w:rFonts w:ascii="Arial" w:hAnsi="Arial" w:cs="Arial"/>
              </w:rPr>
            </w:pPr>
          </w:p>
        </w:tc>
        <w:tc>
          <w:tcPr>
            <w:tcW w:w="897" w:type="dxa"/>
          </w:tcPr>
          <w:p w14:paraId="14F41CD4"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14" w:type="dxa"/>
          </w:tcPr>
          <w:p w14:paraId="7402AA68" w14:textId="77777777" w:rsidR="00B64EC6" w:rsidRPr="00BF20CF" w:rsidRDefault="00B64EC6" w:rsidP="00C84F5B">
            <w:pPr>
              <w:spacing w:line="276" w:lineRule="auto"/>
              <w:jc w:val="center"/>
              <w:rPr>
                <w:rFonts w:ascii="Arial" w:hAnsi="Arial" w:cs="Arial"/>
              </w:rPr>
            </w:pPr>
          </w:p>
        </w:tc>
        <w:tc>
          <w:tcPr>
            <w:tcW w:w="929" w:type="dxa"/>
          </w:tcPr>
          <w:p w14:paraId="25505D3B" w14:textId="77777777" w:rsidR="00B64EC6" w:rsidRPr="00BF20CF" w:rsidRDefault="00B64EC6" w:rsidP="00C84F5B">
            <w:pPr>
              <w:spacing w:line="276" w:lineRule="auto"/>
              <w:jc w:val="center"/>
              <w:rPr>
                <w:rFonts w:ascii="Arial" w:hAnsi="Arial" w:cs="Arial"/>
              </w:rPr>
            </w:pPr>
          </w:p>
        </w:tc>
        <w:tc>
          <w:tcPr>
            <w:tcW w:w="914" w:type="dxa"/>
          </w:tcPr>
          <w:p w14:paraId="1715673E" w14:textId="77777777" w:rsidR="00B64EC6" w:rsidRPr="00BF20CF" w:rsidRDefault="00B64EC6" w:rsidP="00C84F5B">
            <w:pPr>
              <w:spacing w:line="276" w:lineRule="auto"/>
              <w:jc w:val="center"/>
              <w:rPr>
                <w:rFonts w:ascii="Arial" w:hAnsi="Arial" w:cs="Arial"/>
              </w:rPr>
            </w:pPr>
          </w:p>
        </w:tc>
        <w:tc>
          <w:tcPr>
            <w:tcW w:w="887" w:type="dxa"/>
          </w:tcPr>
          <w:p w14:paraId="2B2681F4" w14:textId="77777777" w:rsidR="00B64EC6" w:rsidRPr="00BF20CF" w:rsidRDefault="00B64EC6" w:rsidP="00C84F5B">
            <w:pPr>
              <w:spacing w:line="276" w:lineRule="auto"/>
              <w:jc w:val="center"/>
              <w:rPr>
                <w:rFonts w:ascii="Arial" w:hAnsi="Arial" w:cs="Arial"/>
              </w:rPr>
            </w:pPr>
          </w:p>
        </w:tc>
        <w:tc>
          <w:tcPr>
            <w:tcW w:w="894" w:type="dxa"/>
          </w:tcPr>
          <w:p w14:paraId="7F542B9A" w14:textId="77777777" w:rsidR="00B64EC6" w:rsidRPr="00BF20CF" w:rsidRDefault="00B64EC6" w:rsidP="00C84F5B">
            <w:pPr>
              <w:spacing w:line="276" w:lineRule="auto"/>
              <w:jc w:val="center"/>
              <w:rPr>
                <w:rFonts w:ascii="Arial" w:hAnsi="Arial" w:cs="Arial"/>
              </w:rPr>
            </w:pPr>
          </w:p>
        </w:tc>
      </w:tr>
      <w:tr w:rsidR="00B64EC6" w:rsidRPr="00BF20CF" w14:paraId="0ABFA688" w14:textId="77777777" w:rsidTr="00C84F5B">
        <w:tc>
          <w:tcPr>
            <w:tcW w:w="3002" w:type="dxa"/>
          </w:tcPr>
          <w:p w14:paraId="05399C46" w14:textId="77777777" w:rsidR="00B64EC6" w:rsidRPr="00BF20CF" w:rsidRDefault="00B64EC6" w:rsidP="00C84F5B">
            <w:pPr>
              <w:spacing w:line="276" w:lineRule="auto"/>
              <w:rPr>
                <w:rFonts w:ascii="Arial" w:hAnsi="Arial" w:cs="Arial"/>
              </w:rPr>
            </w:pPr>
            <w:r w:rsidRPr="00BF20CF">
              <w:rPr>
                <w:rFonts w:ascii="Arial" w:hAnsi="Arial" w:cs="Arial"/>
              </w:rPr>
              <w:lastRenderedPageBreak/>
              <w:t>May 2015</w:t>
            </w:r>
          </w:p>
        </w:tc>
        <w:tc>
          <w:tcPr>
            <w:tcW w:w="902" w:type="dxa"/>
          </w:tcPr>
          <w:p w14:paraId="0E2CED51" w14:textId="77777777" w:rsidR="00B64EC6" w:rsidRPr="00BF20CF" w:rsidRDefault="00B64EC6" w:rsidP="00C84F5B">
            <w:pPr>
              <w:spacing w:line="276" w:lineRule="auto"/>
              <w:jc w:val="center"/>
              <w:rPr>
                <w:rFonts w:ascii="Arial" w:hAnsi="Arial" w:cs="Arial"/>
              </w:rPr>
            </w:pPr>
          </w:p>
        </w:tc>
        <w:tc>
          <w:tcPr>
            <w:tcW w:w="897" w:type="dxa"/>
          </w:tcPr>
          <w:p w14:paraId="6C9905A1" w14:textId="77777777" w:rsidR="00B64EC6" w:rsidRPr="00BF20CF" w:rsidRDefault="00B64EC6" w:rsidP="00C84F5B">
            <w:pPr>
              <w:spacing w:line="276" w:lineRule="auto"/>
              <w:jc w:val="center"/>
              <w:rPr>
                <w:rFonts w:ascii="Arial" w:hAnsi="Arial" w:cs="Arial"/>
              </w:rPr>
            </w:pPr>
          </w:p>
        </w:tc>
        <w:tc>
          <w:tcPr>
            <w:tcW w:w="914" w:type="dxa"/>
          </w:tcPr>
          <w:p w14:paraId="4579DD16" w14:textId="77777777" w:rsidR="00B64EC6" w:rsidRPr="00BF20CF" w:rsidRDefault="00B64EC6" w:rsidP="00C84F5B">
            <w:pPr>
              <w:spacing w:line="276" w:lineRule="auto"/>
              <w:jc w:val="center"/>
              <w:rPr>
                <w:rFonts w:ascii="Arial" w:hAnsi="Arial" w:cs="Arial"/>
              </w:rPr>
            </w:pPr>
          </w:p>
        </w:tc>
        <w:tc>
          <w:tcPr>
            <w:tcW w:w="929" w:type="dxa"/>
          </w:tcPr>
          <w:p w14:paraId="6F236889" w14:textId="77777777" w:rsidR="00B64EC6" w:rsidRPr="00BF20CF" w:rsidRDefault="00B64EC6" w:rsidP="00C84F5B">
            <w:pPr>
              <w:spacing w:line="276" w:lineRule="auto"/>
              <w:jc w:val="center"/>
              <w:rPr>
                <w:rFonts w:ascii="Arial" w:hAnsi="Arial" w:cs="Arial"/>
              </w:rPr>
            </w:pPr>
          </w:p>
        </w:tc>
        <w:tc>
          <w:tcPr>
            <w:tcW w:w="914" w:type="dxa"/>
          </w:tcPr>
          <w:p w14:paraId="3C6E3DEA"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87" w:type="dxa"/>
          </w:tcPr>
          <w:p w14:paraId="6C4A1472" w14:textId="77777777" w:rsidR="00B64EC6" w:rsidRPr="00BF20CF" w:rsidRDefault="00B64EC6" w:rsidP="00C84F5B">
            <w:pPr>
              <w:spacing w:line="276" w:lineRule="auto"/>
              <w:jc w:val="center"/>
              <w:rPr>
                <w:rFonts w:ascii="Arial" w:hAnsi="Arial" w:cs="Arial"/>
              </w:rPr>
            </w:pPr>
          </w:p>
        </w:tc>
        <w:tc>
          <w:tcPr>
            <w:tcW w:w="894" w:type="dxa"/>
          </w:tcPr>
          <w:p w14:paraId="70FF3C77" w14:textId="77777777" w:rsidR="00B64EC6" w:rsidRPr="00BF20CF" w:rsidRDefault="00B64EC6" w:rsidP="00C84F5B">
            <w:pPr>
              <w:spacing w:line="276" w:lineRule="auto"/>
              <w:jc w:val="center"/>
              <w:rPr>
                <w:rFonts w:ascii="Arial" w:hAnsi="Arial" w:cs="Arial"/>
              </w:rPr>
            </w:pPr>
          </w:p>
        </w:tc>
      </w:tr>
      <w:tr w:rsidR="00B64EC6" w:rsidRPr="00BF20CF" w14:paraId="0477C650" w14:textId="77777777" w:rsidTr="00C84F5B">
        <w:tc>
          <w:tcPr>
            <w:tcW w:w="3002" w:type="dxa"/>
          </w:tcPr>
          <w:p w14:paraId="75646846" w14:textId="77777777" w:rsidR="00B64EC6" w:rsidRPr="00BF20CF" w:rsidRDefault="00B64EC6" w:rsidP="00C84F5B">
            <w:pPr>
              <w:spacing w:line="276" w:lineRule="auto"/>
              <w:rPr>
                <w:rFonts w:ascii="Arial" w:hAnsi="Arial" w:cs="Arial"/>
              </w:rPr>
            </w:pPr>
            <w:r w:rsidRPr="00BF20CF">
              <w:rPr>
                <w:rFonts w:ascii="Arial" w:hAnsi="Arial" w:cs="Arial"/>
              </w:rPr>
              <w:t>June 2015</w:t>
            </w:r>
          </w:p>
        </w:tc>
        <w:tc>
          <w:tcPr>
            <w:tcW w:w="902" w:type="dxa"/>
          </w:tcPr>
          <w:p w14:paraId="28014077" w14:textId="77777777" w:rsidR="00B64EC6" w:rsidRPr="00BF20CF" w:rsidRDefault="00B64EC6" w:rsidP="00C84F5B">
            <w:pPr>
              <w:spacing w:line="276" w:lineRule="auto"/>
              <w:jc w:val="center"/>
              <w:rPr>
                <w:rFonts w:ascii="Arial" w:hAnsi="Arial" w:cs="Arial"/>
              </w:rPr>
            </w:pPr>
          </w:p>
        </w:tc>
        <w:tc>
          <w:tcPr>
            <w:tcW w:w="897" w:type="dxa"/>
          </w:tcPr>
          <w:p w14:paraId="5312D299" w14:textId="77777777" w:rsidR="00B64EC6" w:rsidRPr="00BF20CF" w:rsidRDefault="00B64EC6" w:rsidP="00C84F5B">
            <w:pPr>
              <w:spacing w:line="276" w:lineRule="auto"/>
              <w:jc w:val="center"/>
              <w:rPr>
                <w:rFonts w:ascii="Arial" w:hAnsi="Arial" w:cs="Arial"/>
              </w:rPr>
            </w:pPr>
          </w:p>
        </w:tc>
        <w:tc>
          <w:tcPr>
            <w:tcW w:w="914" w:type="dxa"/>
          </w:tcPr>
          <w:p w14:paraId="1426085C" w14:textId="77777777" w:rsidR="00B64EC6" w:rsidRPr="00BF20CF" w:rsidRDefault="00B64EC6" w:rsidP="00C84F5B">
            <w:pPr>
              <w:spacing w:line="276" w:lineRule="auto"/>
              <w:jc w:val="center"/>
              <w:rPr>
                <w:rFonts w:ascii="Arial" w:hAnsi="Arial" w:cs="Arial"/>
              </w:rPr>
            </w:pPr>
          </w:p>
        </w:tc>
        <w:tc>
          <w:tcPr>
            <w:tcW w:w="929" w:type="dxa"/>
          </w:tcPr>
          <w:p w14:paraId="121B5D8F" w14:textId="77777777" w:rsidR="00B64EC6" w:rsidRPr="00BF20CF" w:rsidRDefault="00B64EC6" w:rsidP="00C84F5B">
            <w:pPr>
              <w:spacing w:line="276" w:lineRule="auto"/>
              <w:jc w:val="center"/>
              <w:rPr>
                <w:rFonts w:ascii="Arial" w:hAnsi="Arial" w:cs="Arial"/>
              </w:rPr>
            </w:pPr>
          </w:p>
        </w:tc>
        <w:tc>
          <w:tcPr>
            <w:tcW w:w="914" w:type="dxa"/>
          </w:tcPr>
          <w:p w14:paraId="3EE0E9E7" w14:textId="77777777" w:rsidR="00B64EC6" w:rsidRPr="00BF20CF" w:rsidRDefault="00B64EC6" w:rsidP="00C84F5B">
            <w:pPr>
              <w:spacing w:line="276" w:lineRule="auto"/>
              <w:jc w:val="center"/>
              <w:rPr>
                <w:rFonts w:ascii="Arial" w:hAnsi="Arial" w:cs="Arial"/>
              </w:rPr>
            </w:pPr>
          </w:p>
        </w:tc>
        <w:tc>
          <w:tcPr>
            <w:tcW w:w="887" w:type="dxa"/>
          </w:tcPr>
          <w:p w14:paraId="557A0A2C"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94" w:type="dxa"/>
          </w:tcPr>
          <w:p w14:paraId="45E53039" w14:textId="77777777" w:rsidR="00B64EC6" w:rsidRPr="00BF20CF" w:rsidRDefault="00B64EC6" w:rsidP="00C84F5B">
            <w:pPr>
              <w:spacing w:line="276" w:lineRule="auto"/>
              <w:jc w:val="center"/>
              <w:rPr>
                <w:rFonts w:ascii="Arial" w:hAnsi="Arial" w:cs="Arial"/>
              </w:rPr>
            </w:pPr>
          </w:p>
        </w:tc>
      </w:tr>
      <w:tr w:rsidR="00B64EC6" w:rsidRPr="00BF20CF" w14:paraId="6F58B6FB" w14:textId="77777777" w:rsidTr="00C84F5B">
        <w:tc>
          <w:tcPr>
            <w:tcW w:w="3002" w:type="dxa"/>
          </w:tcPr>
          <w:p w14:paraId="01FFA91B" w14:textId="77777777" w:rsidR="00B64EC6" w:rsidRPr="00BF20CF" w:rsidRDefault="00B64EC6" w:rsidP="00C84F5B">
            <w:pPr>
              <w:spacing w:line="276" w:lineRule="auto"/>
              <w:rPr>
                <w:rFonts w:ascii="Arial" w:hAnsi="Arial" w:cs="Arial"/>
              </w:rPr>
            </w:pPr>
            <w:r w:rsidRPr="00BF20CF">
              <w:rPr>
                <w:rFonts w:ascii="Arial" w:hAnsi="Arial" w:cs="Arial"/>
              </w:rPr>
              <w:t>July 2016</w:t>
            </w:r>
          </w:p>
        </w:tc>
        <w:tc>
          <w:tcPr>
            <w:tcW w:w="902" w:type="dxa"/>
          </w:tcPr>
          <w:p w14:paraId="48073392" w14:textId="77777777" w:rsidR="00B64EC6" w:rsidRPr="00BF20CF" w:rsidRDefault="00B64EC6" w:rsidP="00C84F5B">
            <w:pPr>
              <w:spacing w:line="276" w:lineRule="auto"/>
              <w:jc w:val="center"/>
              <w:rPr>
                <w:rFonts w:ascii="Arial" w:hAnsi="Arial" w:cs="Arial"/>
              </w:rPr>
            </w:pPr>
          </w:p>
        </w:tc>
        <w:tc>
          <w:tcPr>
            <w:tcW w:w="897" w:type="dxa"/>
          </w:tcPr>
          <w:p w14:paraId="57523BCF" w14:textId="77777777" w:rsidR="00B64EC6" w:rsidRPr="00BF20CF" w:rsidRDefault="00B64EC6" w:rsidP="00C84F5B">
            <w:pPr>
              <w:spacing w:line="276" w:lineRule="auto"/>
              <w:jc w:val="center"/>
              <w:rPr>
                <w:rFonts w:ascii="Arial" w:hAnsi="Arial" w:cs="Arial"/>
              </w:rPr>
            </w:pPr>
          </w:p>
        </w:tc>
        <w:tc>
          <w:tcPr>
            <w:tcW w:w="914" w:type="dxa"/>
          </w:tcPr>
          <w:p w14:paraId="08CD67E4" w14:textId="77777777" w:rsidR="00B64EC6" w:rsidRPr="00BF20CF" w:rsidRDefault="00B64EC6" w:rsidP="00C84F5B">
            <w:pPr>
              <w:spacing w:line="276" w:lineRule="auto"/>
              <w:jc w:val="center"/>
              <w:rPr>
                <w:rFonts w:ascii="Arial" w:hAnsi="Arial" w:cs="Arial"/>
              </w:rPr>
            </w:pPr>
          </w:p>
        </w:tc>
        <w:tc>
          <w:tcPr>
            <w:tcW w:w="929" w:type="dxa"/>
          </w:tcPr>
          <w:p w14:paraId="4B175AB0" w14:textId="77777777" w:rsidR="00B64EC6" w:rsidRPr="00BF20CF" w:rsidRDefault="00B64EC6" w:rsidP="00C84F5B">
            <w:pPr>
              <w:spacing w:line="276" w:lineRule="auto"/>
              <w:jc w:val="center"/>
              <w:rPr>
                <w:rFonts w:ascii="Arial" w:hAnsi="Arial" w:cs="Arial"/>
              </w:rPr>
            </w:pPr>
          </w:p>
        </w:tc>
        <w:tc>
          <w:tcPr>
            <w:tcW w:w="914" w:type="dxa"/>
          </w:tcPr>
          <w:p w14:paraId="59FEE901"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87" w:type="dxa"/>
          </w:tcPr>
          <w:p w14:paraId="233DA7C0" w14:textId="77777777" w:rsidR="00B64EC6" w:rsidRPr="00BF20CF" w:rsidRDefault="00B64EC6" w:rsidP="00C84F5B">
            <w:pPr>
              <w:spacing w:line="276" w:lineRule="auto"/>
              <w:jc w:val="center"/>
              <w:rPr>
                <w:rFonts w:ascii="Arial" w:hAnsi="Arial" w:cs="Arial"/>
              </w:rPr>
            </w:pPr>
          </w:p>
        </w:tc>
        <w:tc>
          <w:tcPr>
            <w:tcW w:w="894" w:type="dxa"/>
          </w:tcPr>
          <w:p w14:paraId="0F59492B" w14:textId="77777777" w:rsidR="00B64EC6" w:rsidRPr="00BF20CF" w:rsidRDefault="00B64EC6" w:rsidP="00C84F5B">
            <w:pPr>
              <w:spacing w:line="276" w:lineRule="auto"/>
              <w:jc w:val="center"/>
              <w:rPr>
                <w:rFonts w:ascii="Arial" w:hAnsi="Arial" w:cs="Arial"/>
              </w:rPr>
            </w:pPr>
          </w:p>
        </w:tc>
      </w:tr>
      <w:tr w:rsidR="00B64EC6" w:rsidRPr="00BF20CF" w14:paraId="5207F680" w14:textId="77777777" w:rsidTr="00C84F5B">
        <w:tc>
          <w:tcPr>
            <w:tcW w:w="3002" w:type="dxa"/>
          </w:tcPr>
          <w:p w14:paraId="3970BC83" w14:textId="77777777" w:rsidR="00B64EC6" w:rsidRPr="00BF20CF" w:rsidRDefault="00B64EC6" w:rsidP="00C84F5B">
            <w:pPr>
              <w:spacing w:line="276" w:lineRule="auto"/>
              <w:rPr>
                <w:rFonts w:ascii="Arial" w:hAnsi="Arial" w:cs="Arial"/>
              </w:rPr>
            </w:pPr>
            <w:r w:rsidRPr="00BF20CF">
              <w:rPr>
                <w:rFonts w:ascii="Arial" w:hAnsi="Arial" w:cs="Arial"/>
              </w:rPr>
              <w:t>October 2017</w:t>
            </w:r>
          </w:p>
        </w:tc>
        <w:tc>
          <w:tcPr>
            <w:tcW w:w="902" w:type="dxa"/>
          </w:tcPr>
          <w:p w14:paraId="34FCB4D9" w14:textId="77777777" w:rsidR="00B64EC6" w:rsidRPr="00BF20CF" w:rsidRDefault="00B64EC6" w:rsidP="00C84F5B">
            <w:pPr>
              <w:spacing w:line="276" w:lineRule="auto"/>
              <w:jc w:val="center"/>
              <w:rPr>
                <w:rFonts w:ascii="Arial" w:hAnsi="Arial" w:cs="Arial"/>
              </w:rPr>
            </w:pPr>
          </w:p>
        </w:tc>
        <w:tc>
          <w:tcPr>
            <w:tcW w:w="897" w:type="dxa"/>
          </w:tcPr>
          <w:p w14:paraId="5DB2B8B4" w14:textId="77777777" w:rsidR="00B64EC6" w:rsidRPr="00BF20CF" w:rsidRDefault="00B64EC6" w:rsidP="00C84F5B">
            <w:pPr>
              <w:spacing w:line="276" w:lineRule="auto"/>
              <w:jc w:val="center"/>
              <w:rPr>
                <w:rFonts w:ascii="Arial" w:hAnsi="Arial" w:cs="Arial"/>
              </w:rPr>
            </w:pPr>
          </w:p>
        </w:tc>
        <w:tc>
          <w:tcPr>
            <w:tcW w:w="914" w:type="dxa"/>
          </w:tcPr>
          <w:p w14:paraId="2C64C35C" w14:textId="77777777" w:rsidR="00B64EC6" w:rsidRPr="00BF20CF" w:rsidRDefault="00B64EC6" w:rsidP="00C84F5B">
            <w:pPr>
              <w:spacing w:line="276" w:lineRule="auto"/>
              <w:jc w:val="center"/>
              <w:rPr>
                <w:rFonts w:ascii="Arial" w:hAnsi="Arial" w:cs="Arial"/>
              </w:rPr>
            </w:pPr>
          </w:p>
        </w:tc>
        <w:tc>
          <w:tcPr>
            <w:tcW w:w="929" w:type="dxa"/>
          </w:tcPr>
          <w:p w14:paraId="30A75E77" w14:textId="77777777" w:rsidR="00B64EC6" w:rsidRPr="00BF20CF" w:rsidRDefault="00B64EC6" w:rsidP="00C84F5B">
            <w:pPr>
              <w:spacing w:line="276" w:lineRule="auto"/>
              <w:jc w:val="center"/>
              <w:rPr>
                <w:rFonts w:ascii="Arial" w:hAnsi="Arial" w:cs="Arial"/>
              </w:rPr>
            </w:pPr>
          </w:p>
        </w:tc>
        <w:tc>
          <w:tcPr>
            <w:tcW w:w="914" w:type="dxa"/>
          </w:tcPr>
          <w:p w14:paraId="1FDFBDFE"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87" w:type="dxa"/>
          </w:tcPr>
          <w:p w14:paraId="65888D0B" w14:textId="77777777" w:rsidR="00B64EC6" w:rsidRPr="00BF20CF" w:rsidRDefault="00B64EC6" w:rsidP="00C84F5B">
            <w:pPr>
              <w:spacing w:line="276" w:lineRule="auto"/>
              <w:jc w:val="center"/>
              <w:rPr>
                <w:rFonts w:ascii="Arial" w:hAnsi="Arial" w:cs="Arial"/>
              </w:rPr>
            </w:pPr>
          </w:p>
        </w:tc>
        <w:tc>
          <w:tcPr>
            <w:tcW w:w="894" w:type="dxa"/>
          </w:tcPr>
          <w:p w14:paraId="4297BBAF" w14:textId="77777777" w:rsidR="00B64EC6" w:rsidRPr="00BF20CF" w:rsidRDefault="00B64EC6" w:rsidP="00C84F5B">
            <w:pPr>
              <w:spacing w:line="276" w:lineRule="auto"/>
              <w:jc w:val="center"/>
              <w:rPr>
                <w:rFonts w:ascii="Arial" w:hAnsi="Arial" w:cs="Arial"/>
              </w:rPr>
            </w:pPr>
          </w:p>
        </w:tc>
      </w:tr>
      <w:tr w:rsidR="00B64EC6" w:rsidRPr="00BF20CF" w14:paraId="3C0352B7" w14:textId="77777777" w:rsidTr="00C84F5B">
        <w:tc>
          <w:tcPr>
            <w:tcW w:w="3002" w:type="dxa"/>
          </w:tcPr>
          <w:p w14:paraId="168862BF" w14:textId="77777777" w:rsidR="00B64EC6" w:rsidRPr="00BF20CF" w:rsidRDefault="00B64EC6" w:rsidP="00C84F5B">
            <w:pPr>
              <w:spacing w:line="276" w:lineRule="auto"/>
              <w:rPr>
                <w:rFonts w:ascii="Arial" w:hAnsi="Arial" w:cs="Arial"/>
              </w:rPr>
            </w:pPr>
            <w:r w:rsidRPr="00BF20CF">
              <w:rPr>
                <w:rFonts w:ascii="Arial" w:hAnsi="Arial" w:cs="Arial"/>
              </w:rPr>
              <w:t>July 2018</w:t>
            </w:r>
          </w:p>
        </w:tc>
        <w:tc>
          <w:tcPr>
            <w:tcW w:w="902" w:type="dxa"/>
          </w:tcPr>
          <w:p w14:paraId="0940EF7D" w14:textId="77777777" w:rsidR="00B64EC6" w:rsidRPr="00BF20CF" w:rsidRDefault="00B64EC6" w:rsidP="00C84F5B">
            <w:pPr>
              <w:spacing w:line="276" w:lineRule="auto"/>
              <w:jc w:val="center"/>
              <w:rPr>
                <w:rFonts w:ascii="Arial" w:hAnsi="Arial" w:cs="Arial"/>
              </w:rPr>
            </w:pPr>
          </w:p>
        </w:tc>
        <w:tc>
          <w:tcPr>
            <w:tcW w:w="897" w:type="dxa"/>
          </w:tcPr>
          <w:p w14:paraId="1B30476F" w14:textId="77777777" w:rsidR="00B64EC6" w:rsidRPr="00BF20CF" w:rsidRDefault="00B64EC6" w:rsidP="00C84F5B">
            <w:pPr>
              <w:spacing w:line="276" w:lineRule="auto"/>
              <w:jc w:val="center"/>
              <w:rPr>
                <w:rFonts w:ascii="Arial" w:hAnsi="Arial" w:cs="Arial"/>
              </w:rPr>
            </w:pPr>
          </w:p>
        </w:tc>
        <w:tc>
          <w:tcPr>
            <w:tcW w:w="914" w:type="dxa"/>
          </w:tcPr>
          <w:p w14:paraId="26312992"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929" w:type="dxa"/>
          </w:tcPr>
          <w:p w14:paraId="47147B03" w14:textId="77777777" w:rsidR="00B64EC6" w:rsidRPr="00BF20CF" w:rsidRDefault="00B64EC6" w:rsidP="00C84F5B">
            <w:pPr>
              <w:spacing w:line="276" w:lineRule="auto"/>
              <w:jc w:val="center"/>
              <w:rPr>
                <w:rFonts w:ascii="Arial" w:hAnsi="Arial" w:cs="Arial"/>
              </w:rPr>
            </w:pPr>
          </w:p>
        </w:tc>
        <w:tc>
          <w:tcPr>
            <w:tcW w:w="914" w:type="dxa"/>
          </w:tcPr>
          <w:p w14:paraId="77C00C09" w14:textId="77777777" w:rsidR="00B64EC6" w:rsidRPr="00BF20CF" w:rsidRDefault="00B64EC6" w:rsidP="00C84F5B">
            <w:pPr>
              <w:spacing w:line="276" w:lineRule="auto"/>
              <w:jc w:val="center"/>
              <w:rPr>
                <w:rFonts w:ascii="Arial" w:hAnsi="Arial" w:cs="Arial"/>
              </w:rPr>
            </w:pPr>
          </w:p>
        </w:tc>
        <w:tc>
          <w:tcPr>
            <w:tcW w:w="887" w:type="dxa"/>
          </w:tcPr>
          <w:p w14:paraId="1D9AAF55" w14:textId="77777777" w:rsidR="00B64EC6" w:rsidRPr="00BF20CF" w:rsidRDefault="00B64EC6" w:rsidP="00C84F5B">
            <w:pPr>
              <w:spacing w:line="276" w:lineRule="auto"/>
              <w:jc w:val="center"/>
              <w:rPr>
                <w:rFonts w:ascii="Arial" w:hAnsi="Arial" w:cs="Arial"/>
              </w:rPr>
            </w:pPr>
          </w:p>
        </w:tc>
        <w:tc>
          <w:tcPr>
            <w:tcW w:w="894" w:type="dxa"/>
          </w:tcPr>
          <w:p w14:paraId="5244FF4F" w14:textId="77777777" w:rsidR="00B64EC6" w:rsidRPr="00BF20CF" w:rsidRDefault="00B64EC6" w:rsidP="00C84F5B">
            <w:pPr>
              <w:spacing w:line="276" w:lineRule="auto"/>
              <w:jc w:val="center"/>
              <w:rPr>
                <w:rFonts w:ascii="Arial" w:hAnsi="Arial" w:cs="Arial"/>
              </w:rPr>
            </w:pPr>
          </w:p>
        </w:tc>
      </w:tr>
      <w:tr w:rsidR="00B64EC6" w:rsidRPr="00BF20CF" w14:paraId="635445D4" w14:textId="77777777" w:rsidTr="00C84F5B">
        <w:tc>
          <w:tcPr>
            <w:tcW w:w="3002" w:type="dxa"/>
          </w:tcPr>
          <w:p w14:paraId="6689083A" w14:textId="77777777" w:rsidR="00B64EC6" w:rsidRPr="00BF20CF" w:rsidRDefault="00B64EC6" w:rsidP="00C84F5B">
            <w:pPr>
              <w:spacing w:line="276" w:lineRule="auto"/>
              <w:rPr>
                <w:rFonts w:ascii="Arial" w:hAnsi="Arial" w:cs="Arial"/>
              </w:rPr>
            </w:pPr>
            <w:r w:rsidRPr="00BF20CF">
              <w:rPr>
                <w:rFonts w:ascii="Arial" w:hAnsi="Arial" w:cs="Arial"/>
              </w:rPr>
              <w:t>April 2015 Plus</w:t>
            </w:r>
          </w:p>
        </w:tc>
        <w:tc>
          <w:tcPr>
            <w:tcW w:w="902" w:type="dxa"/>
          </w:tcPr>
          <w:p w14:paraId="320D796E" w14:textId="77777777" w:rsidR="00B64EC6" w:rsidRPr="00BF20CF" w:rsidRDefault="00B64EC6" w:rsidP="00C84F5B">
            <w:pPr>
              <w:spacing w:line="276" w:lineRule="auto"/>
              <w:jc w:val="center"/>
              <w:rPr>
                <w:rFonts w:ascii="Arial" w:hAnsi="Arial" w:cs="Arial"/>
              </w:rPr>
            </w:pPr>
          </w:p>
        </w:tc>
        <w:tc>
          <w:tcPr>
            <w:tcW w:w="897" w:type="dxa"/>
          </w:tcPr>
          <w:p w14:paraId="49F83B11" w14:textId="77777777" w:rsidR="00B64EC6" w:rsidRPr="00BF20CF" w:rsidRDefault="00B64EC6" w:rsidP="00C84F5B">
            <w:pPr>
              <w:spacing w:line="276" w:lineRule="auto"/>
              <w:jc w:val="center"/>
              <w:rPr>
                <w:rFonts w:ascii="Arial" w:hAnsi="Arial" w:cs="Arial"/>
              </w:rPr>
            </w:pPr>
          </w:p>
        </w:tc>
        <w:tc>
          <w:tcPr>
            <w:tcW w:w="914" w:type="dxa"/>
          </w:tcPr>
          <w:p w14:paraId="52FEC74D" w14:textId="77777777" w:rsidR="00B64EC6" w:rsidRPr="00BF20CF" w:rsidRDefault="00B64EC6" w:rsidP="00C84F5B">
            <w:pPr>
              <w:spacing w:line="276" w:lineRule="auto"/>
              <w:jc w:val="center"/>
              <w:rPr>
                <w:rFonts w:ascii="Arial" w:hAnsi="Arial" w:cs="Arial"/>
              </w:rPr>
            </w:pPr>
          </w:p>
        </w:tc>
        <w:tc>
          <w:tcPr>
            <w:tcW w:w="929" w:type="dxa"/>
          </w:tcPr>
          <w:p w14:paraId="1330C3CB" w14:textId="77777777" w:rsidR="00B64EC6" w:rsidRPr="00BF20CF" w:rsidRDefault="00B64EC6" w:rsidP="00C84F5B">
            <w:pPr>
              <w:spacing w:line="276" w:lineRule="auto"/>
              <w:jc w:val="center"/>
              <w:rPr>
                <w:rFonts w:ascii="Arial" w:hAnsi="Arial" w:cs="Arial"/>
              </w:rPr>
            </w:pPr>
          </w:p>
        </w:tc>
        <w:tc>
          <w:tcPr>
            <w:tcW w:w="914" w:type="dxa"/>
          </w:tcPr>
          <w:p w14:paraId="50D40F06" w14:textId="77777777" w:rsidR="00B64EC6" w:rsidRPr="00BF20CF" w:rsidRDefault="00B64EC6" w:rsidP="00C84F5B">
            <w:pPr>
              <w:spacing w:line="276" w:lineRule="auto"/>
              <w:jc w:val="center"/>
              <w:rPr>
                <w:rFonts w:ascii="Arial" w:hAnsi="Arial" w:cs="Arial"/>
              </w:rPr>
            </w:pPr>
          </w:p>
        </w:tc>
        <w:tc>
          <w:tcPr>
            <w:tcW w:w="887" w:type="dxa"/>
          </w:tcPr>
          <w:p w14:paraId="72512F92"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94" w:type="dxa"/>
          </w:tcPr>
          <w:p w14:paraId="2F9ADE70" w14:textId="77777777" w:rsidR="00B64EC6" w:rsidRPr="00BF20CF" w:rsidRDefault="00B64EC6" w:rsidP="00C84F5B">
            <w:pPr>
              <w:spacing w:line="276" w:lineRule="auto"/>
              <w:jc w:val="center"/>
              <w:rPr>
                <w:rFonts w:ascii="Arial" w:hAnsi="Arial" w:cs="Arial"/>
              </w:rPr>
            </w:pPr>
          </w:p>
        </w:tc>
      </w:tr>
      <w:tr w:rsidR="00B64EC6" w:rsidRPr="00BF20CF" w14:paraId="407A257B" w14:textId="77777777" w:rsidTr="00C84F5B">
        <w:tc>
          <w:tcPr>
            <w:tcW w:w="3002" w:type="dxa"/>
          </w:tcPr>
          <w:p w14:paraId="3307B95F" w14:textId="77777777" w:rsidR="00B64EC6" w:rsidRPr="00BF20CF" w:rsidRDefault="00B64EC6" w:rsidP="00C84F5B">
            <w:pPr>
              <w:spacing w:line="276" w:lineRule="auto"/>
              <w:rPr>
                <w:rFonts w:ascii="Arial" w:hAnsi="Arial" w:cs="Arial"/>
              </w:rPr>
            </w:pPr>
            <w:r w:rsidRPr="00BF20CF">
              <w:rPr>
                <w:rFonts w:ascii="Arial" w:hAnsi="Arial" w:cs="Arial"/>
              </w:rPr>
              <w:t>May 2016 Plus</w:t>
            </w:r>
          </w:p>
        </w:tc>
        <w:tc>
          <w:tcPr>
            <w:tcW w:w="902" w:type="dxa"/>
          </w:tcPr>
          <w:p w14:paraId="4A5F45CE" w14:textId="77777777" w:rsidR="00B64EC6" w:rsidRPr="00BF20CF" w:rsidRDefault="00B64EC6" w:rsidP="00C84F5B">
            <w:pPr>
              <w:spacing w:line="276" w:lineRule="auto"/>
              <w:jc w:val="center"/>
              <w:rPr>
                <w:rFonts w:ascii="Arial" w:hAnsi="Arial" w:cs="Arial"/>
              </w:rPr>
            </w:pPr>
          </w:p>
        </w:tc>
        <w:tc>
          <w:tcPr>
            <w:tcW w:w="897" w:type="dxa"/>
          </w:tcPr>
          <w:p w14:paraId="4405D6F0" w14:textId="77777777" w:rsidR="00B64EC6" w:rsidRPr="00BF20CF" w:rsidRDefault="00B64EC6" w:rsidP="00C84F5B">
            <w:pPr>
              <w:spacing w:line="276" w:lineRule="auto"/>
              <w:jc w:val="center"/>
              <w:rPr>
                <w:rFonts w:ascii="Arial" w:hAnsi="Arial" w:cs="Arial"/>
              </w:rPr>
            </w:pPr>
          </w:p>
        </w:tc>
        <w:tc>
          <w:tcPr>
            <w:tcW w:w="914" w:type="dxa"/>
          </w:tcPr>
          <w:p w14:paraId="2F138CA1" w14:textId="77777777" w:rsidR="00B64EC6" w:rsidRPr="00BF20CF" w:rsidRDefault="00B64EC6" w:rsidP="00C84F5B">
            <w:pPr>
              <w:spacing w:line="276" w:lineRule="auto"/>
              <w:jc w:val="center"/>
              <w:rPr>
                <w:rFonts w:ascii="Arial" w:hAnsi="Arial" w:cs="Arial"/>
              </w:rPr>
            </w:pPr>
          </w:p>
        </w:tc>
        <w:tc>
          <w:tcPr>
            <w:tcW w:w="929" w:type="dxa"/>
          </w:tcPr>
          <w:p w14:paraId="1C06D55B" w14:textId="77777777" w:rsidR="00B64EC6" w:rsidRPr="00BF20CF" w:rsidRDefault="00B64EC6" w:rsidP="00C84F5B">
            <w:pPr>
              <w:spacing w:line="276" w:lineRule="auto"/>
              <w:jc w:val="center"/>
              <w:rPr>
                <w:rFonts w:ascii="Arial" w:hAnsi="Arial" w:cs="Arial"/>
              </w:rPr>
            </w:pPr>
          </w:p>
        </w:tc>
        <w:tc>
          <w:tcPr>
            <w:tcW w:w="914" w:type="dxa"/>
          </w:tcPr>
          <w:p w14:paraId="4D33C7DE" w14:textId="77777777" w:rsidR="00B64EC6" w:rsidRPr="00BF20CF" w:rsidRDefault="00B64EC6" w:rsidP="00C84F5B">
            <w:pPr>
              <w:spacing w:line="276" w:lineRule="auto"/>
              <w:jc w:val="center"/>
              <w:rPr>
                <w:rFonts w:ascii="Arial" w:hAnsi="Arial" w:cs="Arial"/>
              </w:rPr>
            </w:pPr>
          </w:p>
        </w:tc>
        <w:tc>
          <w:tcPr>
            <w:tcW w:w="887" w:type="dxa"/>
          </w:tcPr>
          <w:p w14:paraId="5687783F"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c>
          <w:tcPr>
            <w:tcW w:w="894" w:type="dxa"/>
          </w:tcPr>
          <w:p w14:paraId="261CF89B" w14:textId="77777777" w:rsidR="00B64EC6" w:rsidRPr="00BF20CF" w:rsidRDefault="00B64EC6" w:rsidP="00C84F5B">
            <w:pPr>
              <w:spacing w:line="276" w:lineRule="auto"/>
              <w:jc w:val="center"/>
              <w:rPr>
                <w:rFonts w:ascii="Arial" w:hAnsi="Arial" w:cs="Arial"/>
              </w:rPr>
            </w:pPr>
          </w:p>
        </w:tc>
      </w:tr>
      <w:tr w:rsidR="00B64EC6" w:rsidRPr="00BF20CF" w14:paraId="0C80C1FB" w14:textId="77777777" w:rsidTr="00C84F5B">
        <w:tc>
          <w:tcPr>
            <w:tcW w:w="3002" w:type="dxa"/>
          </w:tcPr>
          <w:p w14:paraId="28FCAAFD" w14:textId="77777777" w:rsidR="00B64EC6" w:rsidRPr="00BF20CF" w:rsidRDefault="00B64EC6" w:rsidP="00C84F5B">
            <w:pPr>
              <w:spacing w:line="276" w:lineRule="auto"/>
              <w:rPr>
                <w:rFonts w:ascii="Arial" w:hAnsi="Arial" w:cs="Arial"/>
              </w:rPr>
            </w:pPr>
            <w:r w:rsidRPr="00BF20CF">
              <w:rPr>
                <w:rFonts w:ascii="Arial" w:hAnsi="Arial" w:cs="Arial"/>
              </w:rPr>
              <w:t>2019 Plus</w:t>
            </w:r>
          </w:p>
        </w:tc>
        <w:tc>
          <w:tcPr>
            <w:tcW w:w="902" w:type="dxa"/>
          </w:tcPr>
          <w:p w14:paraId="00387472" w14:textId="77777777" w:rsidR="00B64EC6" w:rsidRPr="00BF20CF" w:rsidRDefault="00B64EC6" w:rsidP="00C84F5B">
            <w:pPr>
              <w:spacing w:line="276" w:lineRule="auto"/>
              <w:jc w:val="center"/>
              <w:rPr>
                <w:rFonts w:ascii="Arial" w:hAnsi="Arial" w:cs="Arial"/>
              </w:rPr>
            </w:pPr>
          </w:p>
        </w:tc>
        <w:tc>
          <w:tcPr>
            <w:tcW w:w="897" w:type="dxa"/>
          </w:tcPr>
          <w:p w14:paraId="10D7E64D" w14:textId="77777777" w:rsidR="00B64EC6" w:rsidRPr="00BF20CF" w:rsidRDefault="00B64EC6" w:rsidP="00C84F5B">
            <w:pPr>
              <w:spacing w:line="276" w:lineRule="auto"/>
              <w:jc w:val="center"/>
              <w:rPr>
                <w:rFonts w:ascii="Arial" w:hAnsi="Arial" w:cs="Arial"/>
              </w:rPr>
            </w:pPr>
          </w:p>
        </w:tc>
        <w:tc>
          <w:tcPr>
            <w:tcW w:w="914" w:type="dxa"/>
          </w:tcPr>
          <w:p w14:paraId="45AAC3E2" w14:textId="77777777" w:rsidR="00B64EC6" w:rsidRPr="00BF20CF" w:rsidRDefault="00B64EC6" w:rsidP="00C84F5B">
            <w:pPr>
              <w:spacing w:line="276" w:lineRule="auto"/>
              <w:jc w:val="center"/>
              <w:rPr>
                <w:rFonts w:ascii="Arial" w:hAnsi="Arial" w:cs="Arial"/>
              </w:rPr>
            </w:pPr>
          </w:p>
        </w:tc>
        <w:tc>
          <w:tcPr>
            <w:tcW w:w="929" w:type="dxa"/>
          </w:tcPr>
          <w:p w14:paraId="432987E1" w14:textId="77777777" w:rsidR="00B64EC6" w:rsidRPr="00BF20CF" w:rsidRDefault="00B64EC6" w:rsidP="00C84F5B">
            <w:pPr>
              <w:spacing w:line="276" w:lineRule="auto"/>
              <w:jc w:val="center"/>
              <w:rPr>
                <w:rFonts w:ascii="Arial" w:hAnsi="Arial" w:cs="Arial"/>
              </w:rPr>
            </w:pPr>
          </w:p>
        </w:tc>
        <w:tc>
          <w:tcPr>
            <w:tcW w:w="914" w:type="dxa"/>
          </w:tcPr>
          <w:p w14:paraId="2B4E996F" w14:textId="77777777" w:rsidR="00B64EC6" w:rsidRPr="00BF20CF" w:rsidRDefault="00B64EC6" w:rsidP="00C84F5B">
            <w:pPr>
              <w:spacing w:line="276" w:lineRule="auto"/>
              <w:jc w:val="center"/>
              <w:rPr>
                <w:rFonts w:ascii="Arial" w:hAnsi="Arial" w:cs="Arial"/>
              </w:rPr>
            </w:pPr>
          </w:p>
        </w:tc>
        <w:tc>
          <w:tcPr>
            <w:tcW w:w="887" w:type="dxa"/>
          </w:tcPr>
          <w:p w14:paraId="0160F0E0" w14:textId="77777777" w:rsidR="00B64EC6" w:rsidRPr="00BF20CF" w:rsidRDefault="00B64EC6" w:rsidP="00C84F5B">
            <w:pPr>
              <w:spacing w:line="276" w:lineRule="auto"/>
              <w:jc w:val="center"/>
              <w:rPr>
                <w:rFonts w:ascii="Arial" w:hAnsi="Arial" w:cs="Arial"/>
              </w:rPr>
            </w:pPr>
          </w:p>
        </w:tc>
        <w:tc>
          <w:tcPr>
            <w:tcW w:w="894" w:type="dxa"/>
          </w:tcPr>
          <w:p w14:paraId="7F0561AA" w14:textId="77777777" w:rsidR="00B64EC6" w:rsidRPr="00BF20CF" w:rsidRDefault="00B64EC6" w:rsidP="00C84F5B">
            <w:pPr>
              <w:spacing w:line="276" w:lineRule="auto"/>
              <w:jc w:val="center"/>
              <w:rPr>
                <w:rFonts w:ascii="Arial" w:hAnsi="Arial" w:cs="Arial"/>
              </w:rPr>
            </w:pPr>
            <w:r w:rsidRPr="00BF20CF">
              <w:rPr>
                <w:rFonts w:ascii="Arial" w:hAnsi="Arial" w:cs="Arial"/>
              </w:rPr>
              <w:t>X</w:t>
            </w:r>
          </w:p>
        </w:tc>
      </w:tr>
    </w:tbl>
    <w:p w14:paraId="429E6591" w14:textId="77777777" w:rsidR="00B64EC6" w:rsidRPr="00BF20CF" w:rsidRDefault="00B64EC6" w:rsidP="00C84F5B">
      <w:pPr>
        <w:spacing w:line="276" w:lineRule="auto"/>
        <w:rPr>
          <w:rFonts w:ascii="Arial" w:hAnsi="Arial" w:cs="Arial"/>
        </w:rPr>
      </w:pPr>
    </w:p>
    <w:p w14:paraId="51AB4C08" w14:textId="77777777" w:rsidR="00B64EC6" w:rsidRPr="00BF20CF" w:rsidRDefault="00B64EC6" w:rsidP="00C84F5B">
      <w:pPr>
        <w:spacing w:after="240" w:line="276" w:lineRule="auto"/>
        <w:rPr>
          <w:rFonts w:ascii="Arial" w:hAnsi="Arial" w:cs="Arial"/>
        </w:rPr>
      </w:pPr>
      <w:r w:rsidRPr="00BF20CF">
        <w:rPr>
          <w:rFonts w:ascii="Arial" w:hAnsi="Arial" w:cs="Arial"/>
        </w:rPr>
        <w:t xml:space="preserve">For the GS 1000NI model, dummy variables are used for every month, and no intercept (or constant) coefficient is calculated. The monthly binary variables have coefficients ranging from to 0.532 (June) 0.577 (January) and average 0.552. April is ranked sixth largest out of the 12 months, and is closest to the average with a coefficient of 0.555. </w:t>
      </w:r>
    </w:p>
    <w:p w14:paraId="3390BF60" w14:textId="77777777" w:rsidR="00B64EC6" w:rsidRPr="00BF20CF" w:rsidRDefault="00B64EC6" w:rsidP="00C84F5B">
      <w:pPr>
        <w:spacing w:after="240" w:line="276" w:lineRule="auto"/>
        <w:rPr>
          <w:rFonts w:ascii="Arial" w:hAnsi="Arial" w:cs="Arial"/>
        </w:rPr>
      </w:pPr>
      <w:r w:rsidRPr="00BF20CF">
        <w:rPr>
          <w:rFonts w:ascii="Arial" w:hAnsi="Arial" w:cs="Arial"/>
        </w:rPr>
        <w:t xml:space="preserve">For the SL model, dummy variables are also used for every month, and no intercept (or constant) coefficient is calculated. The monthly binary variables have coefficients ranging from to 2662 (June) 4468 (January) and average 3527. September is ranked seventh largest out of the 12 months, and is closest to the average with a coefficient of 3389. </w:t>
      </w:r>
    </w:p>
    <w:p w14:paraId="530A9200" w14:textId="77777777" w:rsidR="00B64EC6" w:rsidRPr="00BF20CF" w:rsidRDefault="00B64EC6" w:rsidP="00C84F5B">
      <w:pPr>
        <w:spacing w:line="276" w:lineRule="auto"/>
        <w:rPr>
          <w:rFonts w:ascii="Arial" w:hAnsi="Arial" w:cs="Arial"/>
        </w:rPr>
      </w:pPr>
      <w:r w:rsidRPr="00BF20CF">
        <w:rPr>
          <w:rFonts w:ascii="Arial" w:hAnsi="Arial" w:cs="Arial"/>
        </w:rPr>
        <w:t>Single month dummy variables have been used 12 times in 11 distinct months.</w:t>
      </w:r>
    </w:p>
    <w:p w14:paraId="578FF8D1"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9495C91" w14:textId="77777777" w:rsidR="00B64EC6" w:rsidRPr="00BF20CF" w:rsidRDefault="00B64EC6" w:rsidP="00B64EC6">
      <w:pPr>
        <w:pStyle w:val="ListParagraph"/>
        <w:numPr>
          <w:ilvl w:val="0"/>
          <w:numId w:val="144"/>
        </w:numPr>
        <w:spacing w:after="160" w:line="276" w:lineRule="auto"/>
        <w:rPr>
          <w:rFonts w:ascii="Arial" w:hAnsi="Arial" w:cs="Arial"/>
        </w:rPr>
      </w:pPr>
      <w:r w:rsidRPr="00BF20CF">
        <w:rPr>
          <w:rFonts w:ascii="Arial" w:hAnsi="Arial" w:cs="Arial"/>
        </w:rPr>
        <w:t>Please prepare a scenario for GS 1000NI where April is not included as an explanatory variable, and a Constant or Intercept value is included.</w:t>
      </w:r>
    </w:p>
    <w:p w14:paraId="1E70FD12" w14:textId="77777777" w:rsidR="00B64EC6" w:rsidRPr="00BF20CF" w:rsidRDefault="00B64EC6" w:rsidP="007F209B">
      <w:pPr>
        <w:pStyle w:val="ListParagraph"/>
        <w:spacing w:after="160" w:line="276" w:lineRule="auto"/>
        <w:rPr>
          <w:rFonts w:ascii="Arial" w:hAnsi="Arial" w:cs="Arial"/>
        </w:rPr>
      </w:pPr>
    </w:p>
    <w:p w14:paraId="6FA95F92" w14:textId="77777777" w:rsidR="00B64EC6" w:rsidRPr="00BF20CF" w:rsidRDefault="00B64EC6" w:rsidP="00B64EC6">
      <w:pPr>
        <w:pStyle w:val="ListParagraph"/>
        <w:numPr>
          <w:ilvl w:val="0"/>
          <w:numId w:val="144"/>
        </w:numPr>
        <w:spacing w:after="160" w:line="276" w:lineRule="auto"/>
        <w:rPr>
          <w:rFonts w:ascii="Arial" w:hAnsi="Arial" w:cs="Arial"/>
        </w:rPr>
      </w:pPr>
      <w:r w:rsidRPr="00BF20CF">
        <w:rPr>
          <w:rFonts w:ascii="Arial" w:hAnsi="Arial" w:cs="Arial"/>
        </w:rPr>
        <w:t>Please prepare a scenario for SL where September is not included as an explanatory variable, and a Constant or Intercept value is included.</w:t>
      </w:r>
    </w:p>
    <w:p w14:paraId="4FC4618B" w14:textId="77777777" w:rsidR="00B64EC6" w:rsidRPr="00BF20CF" w:rsidRDefault="00B64EC6" w:rsidP="007F209B">
      <w:pPr>
        <w:pStyle w:val="ListParagraph"/>
        <w:spacing w:after="160" w:line="276" w:lineRule="auto"/>
        <w:rPr>
          <w:rFonts w:ascii="Arial" w:hAnsi="Arial" w:cs="Arial"/>
        </w:rPr>
      </w:pPr>
    </w:p>
    <w:p w14:paraId="3BDEF4ED" w14:textId="77777777" w:rsidR="00B64EC6" w:rsidRPr="00BF20CF" w:rsidRDefault="00B64EC6" w:rsidP="00B64EC6">
      <w:pPr>
        <w:pStyle w:val="ListParagraph"/>
        <w:numPr>
          <w:ilvl w:val="0"/>
          <w:numId w:val="144"/>
        </w:numPr>
        <w:spacing w:after="160" w:line="276" w:lineRule="auto"/>
        <w:rPr>
          <w:rFonts w:ascii="Arial" w:hAnsi="Arial" w:cs="Arial"/>
        </w:rPr>
      </w:pPr>
      <w:r w:rsidRPr="00BF20CF">
        <w:rPr>
          <w:rFonts w:ascii="Arial" w:hAnsi="Arial" w:cs="Arial"/>
        </w:rPr>
        <w:t>Has Hydro Ottawa looked into seasonality of energy use underpinning the regression models Res, GS1000NI, and SL that has led to the use of monthly dummy variables? If so, please explain. If not please examine possible causes and how they might be impacting seasonal energy use.</w:t>
      </w:r>
    </w:p>
    <w:p w14:paraId="7367035C" w14:textId="77777777" w:rsidR="00B64EC6" w:rsidRPr="00BF20CF" w:rsidRDefault="00B64EC6" w:rsidP="007F209B">
      <w:pPr>
        <w:pStyle w:val="ListParagraph"/>
        <w:spacing w:after="160" w:line="276" w:lineRule="auto"/>
        <w:rPr>
          <w:rFonts w:ascii="Arial" w:hAnsi="Arial" w:cs="Arial"/>
        </w:rPr>
      </w:pPr>
    </w:p>
    <w:p w14:paraId="51F8C367" w14:textId="77777777" w:rsidR="00B64EC6" w:rsidRPr="00BF20CF" w:rsidRDefault="00B64EC6" w:rsidP="00B64EC6">
      <w:pPr>
        <w:pStyle w:val="ListParagraph"/>
        <w:numPr>
          <w:ilvl w:val="0"/>
          <w:numId w:val="144"/>
        </w:numPr>
        <w:spacing w:after="160" w:line="276" w:lineRule="auto"/>
        <w:rPr>
          <w:rFonts w:ascii="Arial" w:hAnsi="Arial" w:cs="Arial"/>
        </w:rPr>
      </w:pPr>
      <w:r w:rsidRPr="00BF20CF">
        <w:rPr>
          <w:rFonts w:ascii="Arial" w:hAnsi="Arial" w:cs="Arial"/>
        </w:rPr>
        <w:t xml:space="preserve">What steps have Hydro Ottawa and </w:t>
      </w:r>
      <w:proofErr w:type="spellStart"/>
      <w:r w:rsidRPr="00BF20CF">
        <w:rPr>
          <w:rFonts w:ascii="Arial" w:hAnsi="Arial" w:cs="Arial"/>
        </w:rPr>
        <w:t>Itron</w:t>
      </w:r>
      <w:proofErr w:type="spellEnd"/>
      <w:r w:rsidRPr="00BF20CF">
        <w:rPr>
          <w:rFonts w:ascii="Arial" w:hAnsi="Arial" w:cs="Arial"/>
        </w:rPr>
        <w:t xml:space="preserve"> taken to review the data entries for the 12 instances where a single month dummy variable was used?</w:t>
      </w:r>
    </w:p>
    <w:p w14:paraId="4F6D1E4F" w14:textId="77777777" w:rsidR="00B64EC6" w:rsidRPr="00BF20CF" w:rsidRDefault="00B64EC6" w:rsidP="007F209B">
      <w:pPr>
        <w:pStyle w:val="ListParagraph"/>
        <w:spacing w:after="160" w:line="276" w:lineRule="auto"/>
        <w:rPr>
          <w:rFonts w:ascii="Arial" w:hAnsi="Arial" w:cs="Arial"/>
        </w:rPr>
      </w:pPr>
    </w:p>
    <w:p w14:paraId="6B6AD989" w14:textId="5F5A2C2A" w:rsidR="00B64EC6" w:rsidRPr="00BF20CF" w:rsidRDefault="00B64EC6" w:rsidP="00C84F5B">
      <w:pPr>
        <w:pStyle w:val="ListParagraph"/>
        <w:numPr>
          <w:ilvl w:val="0"/>
          <w:numId w:val="144"/>
        </w:numPr>
        <w:spacing w:after="160" w:line="276" w:lineRule="auto"/>
        <w:rPr>
          <w:rFonts w:ascii="Arial" w:hAnsi="Arial" w:cs="Arial"/>
        </w:rPr>
      </w:pPr>
      <w:r w:rsidRPr="00BF20CF">
        <w:rPr>
          <w:rFonts w:ascii="Arial" w:hAnsi="Arial" w:cs="Arial"/>
        </w:rPr>
        <w:lastRenderedPageBreak/>
        <w:t>Dummy variables for 2018 and 2019 plus are used in the SL regression model. Please explain the underlying reasons which necessitated the dummy variables in 2018 and 2019, and why 2019 Plus was used instead of only 2019.</w:t>
      </w:r>
    </w:p>
    <w:p w14:paraId="4CB1D3C1" w14:textId="3FBD47AC" w:rsidR="00BA2815" w:rsidRPr="00BF20CF" w:rsidRDefault="00BA2815" w:rsidP="00BA2815">
      <w:pPr>
        <w:pStyle w:val="StaffHeader"/>
        <w:numPr>
          <w:ilvl w:val="0"/>
          <w:numId w:val="0"/>
        </w:numPr>
        <w:spacing w:before="240"/>
        <w:rPr>
          <w:rFonts w:cs="Arial"/>
          <w:szCs w:val="24"/>
          <w:u w:val="none"/>
        </w:rPr>
      </w:pPr>
      <w:r w:rsidRPr="00BF20CF">
        <w:rPr>
          <w:rFonts w:cs="Arial"/>
          <w:szCs w:val="24"/>
          <w:u w:val="none"/>
        </w:rPr>
        <w:t>3-Staff-4</w:t>
      </w:r>
    </w:p>
    <w:p w14:paraId="0D505324" w14:textId="77777777" w:rsidR="00B64EC6" w:rsidRPr="00BF20CF" w:rsidRDefault="00B64EC6" w:rsidP="00C84F5B">
      <w:pPr>
        <w:spacing w:line="276" w:lineRule="auto"/>
        <w:rPr>
          <w:rFonts w:ascii="Arial" w:hAnsi="Arial" w:cs="Arial"/>
          <w:b/>
        </w:rPr>
      </w:pPr>
      <w:r w:rsidRPr="00BF20CF">
        <w:rPr>
          <w:rFonts w:ascii="Arial" w:hAnsi="Arial" w:cs="Arial"/>
          <w:b/>
        </w:rPr>
        <w:t xml:space="preserve">Ref: </w:t>
      </w:r>
      <w:r w:rsidRPr="00BF20CF">
        <w:rPr>
          <w:rFonts w:ascii="Arial" w:hAnsi="Arial" w:cs="Arial"/>
          <w:b/>
        </w:rPr>
        <w:tab/>
        <w:t>Exhibit 3, Tab 1, Schedule 1, Attachment C, pp. 23-25</w:t>
      </w:r>
    </w:p>
    <w:p w14:paraId="5D923E5B" w14:textId="77777777" w:rsidR="00B64EC6" w:rsidRPr="00BF20CF" w:rsidRDefault="00B64EC6" w:rsidP="00C84F5B">
      <w:pPr>
        <w:spacing w:line="276" w:lineRule="auto"/>
        <w:ind w:firstLine="720"/>
        <w:rPr>
          <w:rFonts w:ascii="Arial" w:hAnsi="Arial" w:cs="Arial"/>
          <w:b/>
        </w:rPr>
      </w:pPr>
      <w:r w:rsidRPr="00BF20CF">
        <w:rPr>
          <w:rFonts w:ascii="Arial" w:hAnsi="Arial" w:cs="Arial"/>
          <w:b/>
        </w:rPr>
        <w:t>Updated Chapter 2 Appendix 2-IB</w:t>
      </w:r>
    </w:p>
    <w:p w14:paraId="4E6EFE54"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31FAB1E" w14:textId="77777777" w:rsidR="00B64EC6" w:rsidRPr="00BF20CF" w:rsidRDefault="00B64EC6" w:rsidP="00C84F5B">
      <w:pPr>
        <w:spacing w:after="240" w:line="276" w:lineRule="auto"/>
        <w:rPr>
          <w:rFonts w:ascii="Arial" w:hAnsi="Arial" w:cs="Arial"/>
        </w:rPr>
      </w:pPr>
      <w:proofErr w:type="spellStart"/>
      <w:r w:rsidRPr="00BF20CF">
        <w:rPr>
          <w:rFonts w:ascii="Arial" w:hAnsi="Arial" w:cs="Arial"/>
        </w:rPr>
        <w:t>Itron</w:t>
      </w:r>
      <w:proofErr w:type="spellEnd"/>
      <w:r w:rsidRPr="00BF20CF">
        <w:rPr>
          <w:rFonts w:ascii="Arial" w:hAnsi="Arial" w:cs="Arial"/>
        </w:rPr>
        <w:t xml:space="preserve"> states that “Large User sales have been relatively constant since 2016. We assume that sales continue at this level over the next five years.” With respect to street lighting, it states that “the forecast is derived by holding current street lighting sales constant and then adjusting for expected savings from further CDM street lighting activity. Finally, it states that “MU and DCL classes are both small rate classes with little sales. Given there is little information to explain sales trends, models are estimated with simple exponential </w:t>
      </w:r>
      <w:proofErr w:type="gramStart"/>
      <w:r w:rsidRPr="00BF20CF">
        <w:rPr>
          <w:rFonts w:ascii="Arial" w:hAnsi="Arial" w:cs="Arial"/>
        </w:rPr>
        <w:t>smoothing.</w:t>
      </w:r>
      <w:proofErr w:type="gramEnd"/>
      <w:r w:rsidRPr="00BF20CF">
        <w:rPr>
          <w:rFonts w:ascii="Arial" w:hAnsi="Arial" w:cs="Arial"/>
        </w:rPr>
        <w:t>”</w:t>
      </w:r>
    </w:p>
    <w:p w14:paraId="40F46621" w14:textId="77777777" w:rsidR="00B64EC6" w:rsidRPr="00BF20CF" w:rsidRDefault="00B64EC6" w:rsidP="00C84F5B">
      <w:pPr>
        <w:spacing w:after="240" w:line="276" w:lineRule="auto"/>
        <w:rPr>
          <w:rFonts w:ascii="Arial" w:hAnsi="Arial" w:cs="Arial"/>
        </w:rPr>
      </w:pPr>
      <w:r w:rsidRPr="00BF20CF">
        <w:rPr>
          <w:rFonts w:ascii="Arial" w:hAnsi="Arial" w:cs="Arial"/>
        </w:rPr>
        <w:t>Forecasted loads, kWh and kW where applicable, exhibit decreasing trend in the Large Use, Street Light, and Unmetered Scattered Load (USL) rate classes over the time period from 2019 to 2025. In USL, the annual load reductions vary from 2.1% to 2.7% over the 2015-2019 period. Over the 2020-2025 period, the forecasted annual reductions vary from 3.5% to 3.8%.</w:t>
      </w:r>
    </w:p>
    <w:p w14:paraId="7AFEDDB8"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E8CE4F7" w14:textId="77777777" w:rsidR="00B64EC6" w:rsidRPr="00BF20CF" w:rsidRDefault="00B64EC6" w:rsidP="00B64EC6">
      <w:pPr>
        <w:pStyle w:val="ListParagraph"/>
        <w:numPr>
          <w:ilvl w:val="0"/>
          <w:numId w:val="160"/>
        </w:numPr>
        <w:spacing w:after="160" w:line="276" w:lineRule="auto"/>
        <w:rPr>
          <w:rFonts w:ascii="Arial" w:hAnsi="Arial" w:cs="Arial"/>
        </w:rPr>
      </w:pPr>
      <w:r w:rsidRPr="00BF20CF">
        <w:rPr>
          <w:rFonts w:ascii="Arial" w:hAnsi="Arial" w:cs="Arial"/>
        </w:rPr>
        <w:t>Please confirm that the MU model is used to forecast the USL rate class.</w:t>
      </w:r>
    </w:p>
    <w:p w14:paraId="1E389ACB" w14:textId="77777777" w:rsidR="00B64EC6" w:rsidRPr="00BF20CF" w:rsidRDefault="00B64EC6" w:rsidP="007F209B">
      <w:pPr>
        <w:pStyle w:val="ListParagraph"/>
        <w:spacing w:after="160" w:line="276" w:lineRule="auto"/>
        <w:rPr>
          <w:rFonts w:ascii="Arial" w:hAnsi="Arial" w:cs="Arial"/>
        </w:rPr>
      </w:pPr>
    </w:p>
    <w:p w14:paraId="7C972706" w14:textId="77777777" w:rsidR="00B64EC6" w:rsidRPr="00BF20CF" w:rsidRDefault="00B64EC6" w:rsidP="00B64EC6">
      <w:pPr>
        <w:pStyle w:val="ListParagraph"/>
        <w:numPr>
          <w:ilvl w:val="0"/>
          <w:numId w:val="160"/>
        </w:numPr>
        <w:spacing w:after="160" w:line="276" w:lineRule="auto"/>
        <w:rPr>
          <w:rFonts w:ascii="Arial" w:hAnsi="Arial" w:cs="Arial"/>
        </w:rPr>
      </w:pPr>
      <w:r w:rsidRPr="00BF20CF">
        <w:rPr>
          <w:rFonts w:ascii="Arial" w:hAnsi="Arial" w:cs="Arial"/>
        </w:rPr>
        <w:t>Please explain whether the forecast reductions in Large Use and Street Light are driven entirely by CDM. If something else is causing the reductions in use, please explain the cause.</w:t>
      </w:r>
    </w:p>
    <w:p w14:paraId="4DC103BF" w14:textId="77777777" w:rsidR="00B64EC6" w:rsidRPr="00BF20CF" w:rsidRDefault="00B64EC6" w:rsidP="007F209B">
      <w:pPr>
        <w:pStyle w:val="ListParagraph"/>
        <w:spacing w:after="160" w:line="276" w:lineRule="auto"/>
        <w:rPr>
          <w:rFonts w:ascii="Arial" w:hAnsi="Arial" w:cs="Arial"/>
        </w:rPr>
      </w:pPr>
    </w:p>
    <w:p w14:paraId="00B985E4" w14:textId="1D80831F" w:rsidR="00B64EC6" w:rsidRPr="00BF20CF" w:rsidRDefault="00B64EC6" w:rsidP="00B64EC6">
      <w:pPr>
        <w:pStyle w:val="ListParagraph"/>
        <w:numPr>
          <w:ilvl w:val="0"/>
          <w:numId w:val="160"/>
        </w:numPr>
        <w:spacing w:after="160" w:line="276" w:lineRule="auto"/>
        <w:rPr>
          <w:rFonts w:ascii="Arial" w:hAnsi="Arial" w:cs="Arial"/>
        </w:rPr>
      </w:pPr>
      <w:r w:rsidRPr="00BF20CF">
        <w:rPr>
          <w:rFonts w:ascii="Arial" w:hAnsi="Arial" w:cs="Arial"/>
        </w:rPr>
        <w:t>Please explain how exponential smoothing has resulted in larger decreases in the forecast period than in the historic period.</w:t>
      </w:r>
    </w:p>
    <w:p w14:paraId="275AA9AF" w14:textId="77777777" w:rsidR="00BA2815" w:rsidRPr="00BF20CF" w:rsidRDefault="00BA2815" w:rsidP="00BA2815">
      <w:pPr>
        <w:pStyle w:val="ListParagraph"/>
        <w:rPr>
          <w:rFonts w:ascii="Arial" w:hAnsi="Arial" w:cs="Arial"/>
        </w:rPr>
      </w:pPr>
    </w:p>
    <w:p w14:paraId="60B126DC" w14:textId="77777777" w:rsidR="00BA2815" w:rsidRPr="00BF20CF" w:rsidRDefault="00BA2815" w:rsidP="00C84F5B">
      <w:pPr>
        <w:spacing w:line="276" w:lineRule="auto"/>
        <w:rPr>
          <w:rFonts w:ascii="Arial" w:hAnsi="Arial" w:cs="Arial"/>
          <w:b/>
        </w:rPr>
      </w:pPr>
      <w:r w:rsidRPr="00BF20CF">
        <w:rPr>
          <w:rFonts w:ascii="Arial" w:hAnsi="Arial" w:cs="Arial"/>
          <w:b/>
        </w:rPr>
        <w:br w:type="page"/>
      </w:r>
    </w:p>
    <w:p w14:paraId="35B863FD" w14:textId="1F449B04" w:rsidR="00BA2815" w:rsidRPr="00BF20CF" w:rsidRDefault="00BA2815" w:rsidP="00BA2815">
      <w:pPr>
        <w:pStyle w:val="StaffHeader"/>
        <w:numPr>
          <w:ilvl w:val="0"/>
          <w:numId w:val="0"/>
        </w:numPr>
        <w:spacing w:before="240"/>
        <w:rPr>
          <w:rFonts w:cs="Arial"/>
          <w:szCs w:val="24"/>
          <w:u w:val="none"/>
        </w:rPr>
      </w:pPr>
      <w:r w:rsidRPr="00BF20CF">
        <w:rPr>
          <w:rFonts w:cs="Arial"/>
          <w:szCs w:val="24"/>
          <w:u w:val="none"/>
        </w:rPr>
        <w:lastRenderedPageBreak/>
        <w:t>3-Staff-5</w:t>
      </w:r>
    </w:p>
    <w:p w14:paraId="32528781" w14:textId="77777777" w:rsidR="00B64EC6" w:rsidRPr="00BF20CF" w:rsidRDefault="00B64EC6" w:rsidP="00C84F5B">
      <w:pPr>
        <w:spacing w:line="276" w:lineRule="auto"/>
        <w:rPr>
          <w:rFonts w:ascii="Arial" w:hAnsi="Arial" w:cs="Arial"/>
          <w:b/>
        </w:rPr>
      </w:pPr>
      <w:r w:rsidRPr="00BF20CF">
        <w:rPr>
          <w:rFonts w:ascii="Arial" w:hAnsi="Arial" w:cs="Arial"/>
          <w:b/>
        </w:rPr>
        <w:t xml:space="preserve">Ref: </w:t>
      </w:r>
      <w:r w:rsidRPr="00BF20CF">
        <w:rPr>
          <w:rFonts w:ascii="Arial" w:hAnsi="Arial" w:cs="Arial"/>
          <w:b/>
        </w:rPr>
        <w:tab/>
        <w:t>Exhibit 3, Tab 1, Schedule 1, Attachment C, page 26</w:t>
      </w:r>
    </w:p>
    <w:p w14:paraId="23252C38" w14:textId="77777777" w:rsidR="00B64EC6" w:rsidRPr="00BF20CF" w:rsidRDefault="00B64EC6" w:rsidP="00C84F5B">
      <w:pPr>
        <w:spacing w:line="276" w:lineRule="auto"/>
        <w:ind w:firstLine="720"/>
        <w:rPr>
          <w:rFonts w:ascii="Arial" w:hAnsi="Arial" w:cs="Arial"/>
          <w:b/>
        </w:rPr>
      </w:pPr>
      <w:r w:rsidRPr="00BF20CF">
        <w:rPr>
          <w:rFonts w:ascii="Arial" w:hAnsi="Arial" w:cs="Arial"/>
          <w:b/>
        </w:rPr>
        <w:t>Part3Load Forecast Data</w:t>
      </w:r>
    </w:p>
    <w:p w14:paraId="641E1757"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71724AE1" w14:textId="77777777" w:rsidR="00B64EC6" w:rsidRPr="00BF20CF" w:rsidRDefault="00B64EC6" w:rsidP="00C84F5B">
      <w:pPr>
        <w:spacing w:line="276" w:lineRule="auto"/>
        <w:rPr>
          <w:rFonts w:ascii="Arial" w:hAnsi="Arial" w:cs="Arial"/>
        </w:rPr>
      </w:pPr>
      <w:proofErr w:type="spellStart"/>
      <w:r w:rsidRPr="00BF20CF">
        <w:rPr>
          <w:rFonts w:ascii="Arial" w:hAnsi="Arial" w:cs="Arial"/>
        </w:rPr>
        <w:t>Itron</w:t>
      </w:r>
      <w:proofErr w:type="spellEnd"/>
      <w:r w:rsidRPr="00BF20CF">
        <w:rPr>
          <w:rFonts w:ascii="Arial" w:hAnsi="Arial" w:cs="Arial"/>
        </w:rPr>
        <w:t xml:space="preserve"> states that “Monthly billing demand regression models are estimated for each rate class.” However, the provided Part3Load Forecast Data only has one regression model. Only one model has been provided in the referenced Excel workbook. The provided model includes variables for GS1000I_kW, GS1000I_MWh, and dummy variables for 12 calendar months of the year, June 2013, and Yr18Plus (identifying all observations beginning in 2018).</w:t>
      </w:r>
    </w:p>
    <w:p w14:paraId="48AF979E"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358683C" w14:textId="77777777" w:rsidR="00B64EC6" w:rsidRPr="00BF20CF" w:rsidRDefault="00B64EC6" w:rsidP="00B64EC6">
      <w:pPr>
        <w:pStyle w:val="ListParagraph"/>
        <w:numPr>
          <w:ilvl w:val="0"/>
          <w:numId w:val="169"/>
        </w:numPr>
        <w:spacing w:after="160" w:line="276" w:lineRule="auto"/>
        <w:rPr>
          <w:rFonts w:ascii="Arial" w:hAnsi="Arial" w:cs="Arial"/>
        </w:rPr>
      </w:pPr>
      <w:r w:rsidRPr="00BF20CF">
        <w:rPr>
          <w:rFonts w:ascii="Arial" w:hAnsi="Arial" w:cs="Arial"/>
        </w:rPr>
        <w:t>Please explain which rate classes are forecasted using this model.</w:t>
      </w:r>
    </w:p>
    <w:p w14:paraId="41A3857C" w14:textId="77777777" w:rsidR="00B64EC6" w:rsidRPr="00BF20CF" w:rsidRDefault="00B64EC6" w:rsidP="007F209B">
      <w:pPr>
        <w:pStyle w:val="ListParagraph"/>
        <w:spacing w:after="160" w:line="276" w:lineRule="auto"/>
        <w:rPr>
          <w:rFonts w:ascii="Arial" w:hAnsi="Arial" w:cs="Arial"/>
        </w:rPr>
      </w:pPr>
    </w:p>
    <w:p w14:paraId="3944CF06" w14:textId="77777777" w:rsidR="00B64EC6" w:rsidRPr="00BF20CF" w:rsidRDefault="00B64EC6" w:rsidP="00B64EC6">
      <w:pPr>
        <w:pStyle w:val="ListParagraph"/>
        <w:numPr>
          <w:ilvl w:val="0"/>
          <w:numId w:val="169"/>
        </w:numPr>
        <w:spacing w:after="160" w:line="276" w:lineRule="auto"/>
        <w:rPr>
          <w:rFonts w:ascii="Arial" w:hAnsi="Arial" w:cs="Arial"/>
        </w:rPr>
      </w:pPr>
      <w:r w:rsidRPr="00BF20CF">
        <w:rPr>
          <w:rFonts w:ascii="Arial" w:hAnsi="Arial" w:cs="Arial"/>
        </w:rPr>
        <w:t>For any rate classes not forecasted by the provided model, please provide models underpinning the forecasts, or, if regression is not used, please describe the methodology used, and provide the supporting calculations.</w:t>
      </w:r>
    </w:p>
    <w:p w14:paraId="1FC6DF04" w14:textId="77777777" w:rsidR="00B64EC6" w:rsidRPr="00BF20CF" w:rsidRDefault="00B64EC6" w:rsidP="007F209B">
      <w:pPr>
        <w:pStyle w:val="ListParagraph"/>
        <w:rPr>
          <w:rFonts w:ascii="Arial" w:hAnsi="Arial" w:cs="Arial"/>
        </w:rPr>
      </w:pPr>
    </w:p>
    <w:p w14:paraId="2B665B05" w14:textId="77777777" w:rsidR="00B64EC6" w:rsidRPr="00BF20CF" w:rsidRDefault="00B64EC6" w:rsidP="00B64EC6">
      <w:pPr>
        <w:pStyle w:val="ListParagraph"/>
        <w:numPr>
          <w:ilvl w:val="0"/>
          <w:numId w:val="169"/>
        </w:numPr>
        <w:spacing w:after="160" w:line="276" w:lineRule="auto"/>
        <w:rPr>
          <w:rFonts w:ascii="Arial" w:hAnsi="Arial" w:cs="Arial"/>
        </w:rPr>
      </w:pPr>
      <w:r w:rsidRPr="00BF20CF">
        <w:rPr>
          <w:rFonts w:ascii="Arial" w:hAnsi="Arial" w:cs="Arial"/>
        </w:rPr>
        <w:t>Does Hydro Ottawa know the underlying reason the billing demand was different in June 2013, and change from January 2018 onwards necessitating the June 2013 and Yr18Plus variables.</w:t>
      </w:r>
    </w:p>
    <w:p w14:paraId="4248BAD3" w14:textId="4008426C"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t>3-Staff-6</w:t>
      </w:r>
    </w:p>
    <w:p w14:paraId="52C0D49D" w14:textId="77777777" w:rsidR="00B64EC6" w:rsidRPr="00BF20CF" w:rsidRDefault="00B64EC6" w:rsidP="00C84F5B">
      <w:pPr>
        <w:spacing w:line="276" w:lineRule="auto"/>
        <w:rPr>
          <w:rFonts w:ascii="Arial" w:hAnsi="Arial" w:cs="Arial"/>
          <w:b/>
        </w:rPr>
      </w:pPr>
      <w:r w:rsidRPr="00BF20CF">
        <w:rPr>
          <w:rFonts w:ascii="Arial" w:hAnsi="Arial" w:cs="Arial"/>
          <w:b/>
        </w:rPr>
        <w:t xml:space="preserve">Ref: </w:t>
      </w:r>
      <w:r w:rsidRPr="00BF20CF">
        <w:rPr>
          <w:rFonts w:ascii="Arial" w:hAnsi="Arial" w:cs="Arial"/>
          <w:b/>
        </w:rPr>
        <w:tab/>
        <w:t>Updated Exhibit 3, Tab 1, Schedule 1, page 3</w:t>
      </w:r>
    </w:p>
    <w:p w14:paraId="4AA96A7E" w14:textId="77777777" w:rsidR="00B64EC6" w:rsidRPr="00BF20CF" w:rsidRDefault="00B64EC6" w:rsidP="00C84F5B">
      <w:pPr>
        <w:spacing w:line="276" w:lineRule="auto"/>
        <w:ind w:firstLine="720"/>
        <w:rPr>
          <w:rFonts w:ascii="Arial" w:hAnsi="Arial" w:cs="Arial"/>
          <w:b/>
        </w:rPr>
      </w:pPr>
      <w:r w:rsidRPr="00BF20CF">
        <w:rPr>
          <w:rFonts w:ascii="Arial" w:hAnsi="Arial" w:cs="Arial"/>
          <w:b/>
        </w:rPr>
        <w:t>Updated Exhibit 3, Tab 1, Schedule 1, Attachment C, pp. 26, 31</w:t>
      </w:r>
    </w:p>
    <w:p w14:paraId="60674D59"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760F268C" w14:textId="77777777" w:rsidR="00B64EC6" w:rsidRPr="00BF20CF" w:rsidRDefault="00B64EC6" w:rsidP="00C84F5B">
      <w:pPr>
        <w:spacing w:line="276" w:lineRule="auto"/>
        <w:rPr>
          <w:rFonts w:ascii="Arial" w:hAnsi="Arial" w:cs="Arial"/>
        </w:rPr>
      </w:pPr>
      <w:r w:rsidRPr="00BF20CF">
        <w:rPr>
          <w:rFonts w:ascii="Arial" w:hAnsi="Arial" w:cs="Arial"/>
        </w:rPr>
        <w:t>The table at the first reference:</w:t>
      </w:r>
    </w:p>
    <w:p w14:paraId="3E46B32F" w14:textId="77777777" w:rsidR="00B64EC6" w:rsidRPr="00BF20CF" w:rsidRDefault="00B64EC6" w:rsidP="00B64EC6">
      <w:pPr>
        <w:spacing w:line="276" w:lineRule="auto"/>
        <w:rPr>
          <w:rFonts w:ascii="Arial" w:hAnsi="Arial" w:cs="Arial"/>
        </w:rPr>
      </w:pPr>
    </w:p>
    <w:p w14:paraId="3954E253" w14:textId="74B734B7" w:rsidR="00B64EC6" w:rsidRPr="00BF20CF" w:rsidRDefault="00B64EC6" w:rsidP="00B64EC6">
      <w:pPr>
        <w:spacing w:line="276" w:lineRule="auto"/>
        <w:rPr>
          <w:rFonts w:ascii="Arial" w:hAnsi="Arial" w:cs="Arial"/>
        </w:rPr>
      </w:pPr>
      <w:r w:rsidRPr="00BF20CF">
        <w:rPr>
          <w:rFonts w:ascii="Arial" w:hAnsi="Arial" w:cs="Arial"/>
          <w:noProof/>
        </w:rPr>
        <w:drawing>
          <wp:inline distT="0" distB="0" distL="0" distR="0" wp14:anchorId="3DCAE113" wp14:editId="770FB288">
            <wp:extent cx="5482709" cy="2003729"/>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4391" cy="2015308"/>
                    </a:xfrm>
                    <a:prstGeom prst="rect">
                      <a:avLst/>
                    </a:prstGeom>
                    <a:noFill/>
                    <a:ln>
                      <a:noFill/>
                    </a:ln>
                  </pic:spPr>
                </pic:pic>
              </a:graphicData>
            </a:graphic>
          </wp:inline>
        </w:drawing>
      </w:r>
    </w:p>
    <w:p w14:paraId="7E0E9798" w14:textId="77777777" w:rsidR="00B64EC6" w:rsidRPr="00BF20CF" w:rsidRDefault="00B64EC6" w:rsidP="00C84F5B">
      <w:pPr>
        <w:spacing w:line="276" w:lineRule="auto"/>
        <w:rPr>
          <w:rFonts w:ascii="Arial" w:hAnsi="Arial" w:cs="Arial"/>
        </w:rPr>
      </w:pPr>
      <w:r w:rsidRPr="00BF20CF">
        <w:rPr>
          <w:rFonts w:ascii="Arial" w:hAnsi="Arial" w:cs="Arial"/>
        </w:rPr>
        <w:lastRenderedPageBreak/>
        <w:t>Is materially different from the table at the second reference:</w:t>
      </w:r>
    </w:p>
    <w:p w14:paraId="10DA8D38" w14:textId="77777777" w:rsidR="00B64EC6" w:rsidRPr="00BF20CF" w:rsidRDefault="00B64EC6" w:rsidP="00C84F5B">
      <w:pPr>
        <w:kinsoku w:val="0"/>
        <w:overflowPunct w:val="0"/>
        <w:autoSpaceDE w:val="0"/>
        <w:autoSpaceDN w:val="0"/>
        <w:adjustRightInd w:val="0"/>
        <w:spacing w:line="276" w:lineRule="auto"/>
        <w:rPr>
          <w:sz w:val="20"/>
          <w:szCs w:val="20"/>
          <w:lang w:val="en-CA"/>
        </w:rPr>
      </w:pPr>
      <w:r w:rsidRPr="00BF20CF">
        <w:rPr>
          <w:noProof/>
          <w:sz w:val="20"/>
          <w:szCs w:val="20"/>
        </w:rPr>
        <mc:AlternateContent>
          <mc:Choice Requires="wpg">
            <w:drawing>
              <wp:inline distT="0" distB="0" distL="0" distR="0" wp14:anchorId="22ACBB9B" wp14:editId="57A5E6F9">
                <wp:extent cx="12700" cy="12700"/>
                <wp:effectExtent l="9525" t="9525"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36" name="Freeform 6"/>
                        <wps:cNvSpPr>
                          <a:spLocks/>
                        </wps:cNvSpPr>
                        <wps:spPr bwMode="auto">
                          <a:xfrm>
                            <a:off x="0" y="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0">
                            <a:solidFill>
                              <a:srgbClr val="D5D5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7"/>
                        <wps:cNvSpPr>
                          <a:spLocks/>
                        </wps:cNvSpPr>
                        <wps:spPr bwMode="auto">
                          <a:xfrm>
                            <a:off x="0" y="0"/>
                            <a:ext cx="20" cy="20"/>
                          </a:xfrm>
                          <a:custGeom>
                            <a:avLst/>
                            <a:gdLst>
                              <a:gd name="T0" fmla="*/ 0 w 20"/>
                              <a:gd name="T1" fmla="*/ 0 h 20"/>
                              <a:gd name="T2" fmla="*/ 0 w 20"/>
                              <a:gd name="T3" fmla="*/ 0 h 20"/>
                              <a:gd name="T4" fmla="*/ 0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0"/>
                                </a:lnTo>
                                <a:lnTo>
                                  <a:pt x="0" y="9"/>
                                </a:lnTo>
                                <a:lnTo>
                                  <a:pt x="0" y="9"/>
                                </a:lnTo>
                                <a:lnTo>
                                  <a:pt x="0"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609FB5" id="Group 35"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">
                <v:shape id="Freeform 6"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" path="m,l,e" filled="f" strokecolor="#d5d5d5" strokeweight="0">
                  <v:path arrowok="t" o:connecttype="custom" o:connectlocs="0,0;0,0" o:connectangles="0,0"/>
                </v:shape>
                <v:shape id="Freeform 7" o:spid="_x0000_s1028"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" path="m,l,,,9r,l,xe" fillcolor="#d5d5d5" stroked="f">
                  <v:path arrowok="t" o:connecttype="custom" o:connectlocs="0,0;0,0;0,9;0,9;0,0" o:connectangles="0,0,0,0,0"/>
                </v:shape>
                <w10:anchorlock/>
              </v:group>
            </w:pict>
          </mc:Fallback>
        </mc:AlternateContent>
      </w:r>
    </w:p>
    <w:p w14:paraId="2B685F82" w14:textId="77777777" w:rsidR="00B64EC6" w:rsidRPr="00BF20CF" w:rsidRDefault="00B64EC6" w:rsidP="00C84F5B">
      <w:pPr>
        <w:kinsoku w:val="0"/>
        <w:overflowPunct w:val="0"/>
        <w:autoSpaceDE w:val="0"/>
        <w:autoSpaceDN w:val="0"/>
        <w:adjustRightInd w:val="0"/>
        <w:spacing w:line="276" w:lineRule="auto"/>
        <w:ind w:left="71"/>
        <w:rPr>
          <w:rFonts w:ascii="Arial" w:hAnsi="Arial" w:cs="Arial"/>
          <w:b/>
          <w:bCs/>
          <w:sz w:val="21"/>
          <w:szCs w:val="21"/>
          <w:lang w:val="en-CA"/>
        </w:rPr>
      </w:pPr>
      <w:bookmarkStart w:id="32" w:name="_bookmark0"/>
      <w:bookmarkEnd w:id="32"/>
      <w:r w:rsidRPr="00BF20CF">
        <w:rPr>
          <w:rFonts w:ascii="Arial" w:hAnsi="Arial" w:cs="Arial"/>
          <w:b/>
          <w:bCs/>
          <w:sz w:val="21"/>
          <w:szCs w:val="21"/>
          <w:lang w:val="en-CA"/>
        </w:rPr>
        <w:t>Table 8: Class Demand Forecast</w:t>
      </w:r>
    </w:p>
    <w:p w14:paraId="5E24C09D" w14:textId="77777777" w:rsidR="00B64EC6" w:rsidRPr="00BF20CF" w:rsidRDefault="00B64EC6" w:rsidP="00C84F5B">
      <w:pPr>
        <w:kinsoku w:val="0"/>
        <w:overflowPunct w:val="0"/>
        <w:autoSpaceDE w:val="0"/>
        <w:autoSpaceDN w:val="0"/>
        <w:adjustRightInd w:val="0"/>
        <w:spacing w:before="3" w:after="1" w:line="276" w:lineRule="auto"/>
        <w:rPr>
          <w:rFonts w:ascii="Arial" w:hAnsi="Arial" w:cs="Arial"/>
          <w:b/>
          <w:bCs/>
          <w:sz w:val="10"/>
          <w:szCs w:val="10"/>
          <w:lang w:val="en-CA"/>
        </w:rPr>
      </w:pPr>
    </w:p>
    <w:p w14:paraId="64F0D1A0" w14:textId="77777777" w:rsidR="00B64EC6" w:rsidRPr="00BF20CF" w:rsidRDefault="00B64EC6" w:rsidP="00B64EC6">
      <w:pPr>
        <w:pStyle w:val="BodyText"/>
        <w:kinsoku w:val="0"/>
        <w:overflowPunct w:val="0"/>
        <w:spacing w:before="11"/>
        <w:ind w:left="0" w:firstLine="0"/>
        <w:rPr>
          <w:sz w:val="10"/>
          <w:szCs w:val="10"/>
        </w:rPr>
      </w:pPr>
      <w:bookmarkStart w:id="33" w:name="_bookmark1"/>
      <w:bookmarkEnd w:id="33"/>
    </w:p>
    <w:tbl>
      <w:tblPr>
        <w:tblW w:w="0" w:type="auto"/>
        <w:tblInd w:w="105" w:type="dxa"/>
        <w:tblLayout w:type="fixed"/>
        <w:tblCellMar>
          <w:left w:w="0" w:type="dxa"/>
          <w:right w:w="0" w:type="dxa"/>
        </w:tblCellMar>
        <w:tblLook w:val="0000" w:firstRow="0" w:lastRow="0" w:firstColumn="0" w:lastColumn="0" w:noHBand="0" w:noVBand="0"/>
      </w:tblPr>
      <w:tblGrid>
        <w:gridCol w:w="608"/>
        <w:gridCol w:w="985"/>
        <w:gridCol w:w="525"/>
        <w:gridCol w:w="929"/>
        <w:gridCol w:w="459"/>
        <w:gridCol w:w="833"/>
        <w:gridCol w:w="474"/>
        <w:gridCol w:w="874"/>
        <w:gridCol w:w="485"/>
        <w:gridCol w:w="753"/>
        <w:gridCol w:w="525"/>
        <w:gridCol w:w="813"/>
        <w:gridCol w:w="525"/>
      </w:tblGrid>
      <w:tr w:rsidR="00B64EC6" w:rsidRPr="00BF20CF" w14:paraId="6E337CA0" w14:textId="77777777">
        <w:trPr>
          <w:trHeight w:val="298"/>
        </w:trPr>
        <w:tc>
          <w:tcPr>
            <w:tcW w:w="8788" w:type="dxa"/>
            <w:gridSpan w:val="13"/>
            <w:tcBorders>
              <w:top w:val="single" w:sz="6" w:space="0" w:color="000000"/>
              <w:left w:val="single" w:sz="6" w:space="0" w:color="000000"/>
              <w:bottom w:val="single" w:sz="6" w:space="0" w:color="000000"/>
              <w:right w:val="single" w:sz="6" w:space="0" w:color="000000"/>
            </w:tcBorders>
            <w:shd w:val="clear" w:color="auto" w:fill="FFFFCC"/>
          </w:tcPr>
          <w:p w14:paraId="05A6E1DD" w14:textId="77777777" w:rsidR="00B64EC6" w:rsidRPr="00BF20CF" w:rsidRDefault="00B64EC6">
            <w:pPr>
              <w:pStyle w:val="TableParagraph"/>
              <w:kinsoku w:val="0"/>
              <w:overflowPunct w:val="0"/>
              <w:spacing w:before="111" w:line="168" w:lineRule="exact"/>
              <w:ind w:left="3472" w:right="3465"/>
              <w:jc w:val="center"/>
              <w:rPr>
                <w:b/>
                <w:bCs/>
                <w:sz w:val="16"/>
                <w:szCs w:val="16"/>
              </w:rPr>
            </w:pPr>
            <w:r w:rsidRPr="00BF20CF">
              <w:rPr>
                <w:b/>
                <w:bCs/>
                <w:sz w:val="16"/>
                <w:szCs w:val="16"/>
              </w:rPr>
              <w:t>Class Billing Demand (MW)</w:t>
            </w:r>
          </w:p>
        </w:tc>
      </w:tr>
      <w:tr w:rsidR="00B64EC6" w:rsidRPr="00BF20CF" w14:paraId="57F98493" w14:textId="77777777">
        <w:trPr>
          <w:trHeight w:val="410"/>
        </w:trPr>
        <w:tc>
          <w:tcPr>
            <w:tcW w:w="608" w:type="dxa"/>
            <w:tcBorders>
              <w:top w:val="single" w:sz="6" w:space="0" w:color="000000"/>
              <w:left w:val="single" w:sz="6" w:space="0" w:color="000000"/>
              <w:bottom w:val="single" w:sz="6" w:space="0" w:color="000000"/>
              <w:right w:val="single" w:sz="6" w:space="0" w:color="000000"/>
            </w:tcBorders>
            <w:shd w:val="clear" w:color="auto" w:fill="FFFFCC"/>
          </w:tcPr>
          <w:p w14:paraId="4840FFCF" w14:textId="77777777" w:rsidR="00B64EC6" w:rsidRPr="00BF20CF" w:rsidRDefault="00B64EC6">
            <w:pPr>
              <w:pStyle w:val="TableParagraph"/>
              <w:kinsoku w:val="0"/>
              <w:overflowPunct w:val="0"/>
              <w:spacing w:before="4" w:line="240" w:lineRule="auto"/>
              <w:jc w:val="left"/>
              <w:rPr>
                <w:rFonts w:ascii="Arial" w:hAnsi="Arial" w:cs="Arial"/>
                <w:b/>
                <w:bCs/>
                <w:sz w:val="19"/>
                <w:szCs w:val="19"/>
              </w:rPr>
            </w:pPr>
          </w:p>
          <w:p w14:paraId="00A28171" w14:textId="77777777" w:rsidR="00B64EC6" w:rsidRPr="00BF20CF" w:rsidRDefault="00B64EC6">
            <w:pPr>
              <w:pStyle w:val="TableParagraph"/>
              <w:kinsoku w:val="0"/>
              <w:overflowPunct w:val="0"/>
              <w:spacing w:line="168" w:lineRule="exact"/>
              <w:ind w:left="23"/>
              <w:jc w:val="left"/>
              <w:rPr>
                <w:b/>
                <w:bCs/>
                <w:sz w:val="16"/>
                <w:szCs w:val="16"/>
              </w:rPr>
            </w:pPr>
            <w:r w:rsidRPr="00BF20CF">
              <w:rPr>
                <w:b/>
                <w:bCs/>
                <w:sz w:val="16"/>
                <w:szCs w:val="16"/>
              </w:rPr>
              <w:t>Year</w:t>
            </w:r>
          </w:p>
        </w:tc>
        <w:tc>
          <w:tcPr>
            <w:tcW w:w="985" w:type="dxa"/>
            <w:tcBorders>
              <w:top w:val="single" w:sz="6" w:space="0" w:color="000000"/>
              <w:left w:val="single" w:sz="6" w:space="0" w:color="000000"/>
              <w:bottom w:val="single" w:sz="6" w:space="0" w:color="000000"/>
              <w:right w:val="none" w:sz="6" w:space="0" w:color="auto"/>
            </w:tcBorders>
            <w:shd w:val="clear" w:color="auto" w:fill="FFFFCC"/>
          </w:tcPr>
          <w:p w14:paraId="754C8C56" w14:textId="77777777" w:rsidR="00B64EC6" w:rsidRPr="00BF20CF" w:rsidRDefault="00B64EC6">
            <w:pPr>
              <w:pStyle w:val="TableParagraph"/>
              <w:kinsoku w:val="0"/>
              <w:overflowPunct w:val="0"/>
              <w:spacing w:before="4" w:line="240" w:lineRule="auto"/>
              <w:jc w:val="left"/>
              <w:rPr>
                <w:rFonts w:ascii="Arial" w:hAnsi="Arial" w:cs="Arial"/>
                <w:b/>
                <w:bCs/>
                <w:sz w:val="19"/>
                <w:szCs w:val="19"/>
              </w:rPr>
            </w:pPr>
          </w:p>
          <w:p w14:paraId="14B0B99B" w14:textId="77777777" w:rsidR="00B64EC6" w:rsidRPr="00BF20CF" w:rsidRDefault="00B64EC6">
            <w:pPr>
              <w:pStyle w:val="TableParagraph"/>
              <w:kinsoku w:val="0"/>
              <w:overflowPunct w:val="0"/>
              <w:spacing w:line="168" w:lineRule="exact"/>
              <w:ind w:right="43"/>
              <w:rPr>
                <w:b/>
                <w:bCs/>
                <w:sz w:val="16"/>
                <w:szCs w:val="16"/>
              </w:rPr>
            </w:pPr>
            <w:r w:rsidRPr="00BF20CF">
              <w:rPr>
                <w:b/>
                <w:bCs/>
                <w:sz w:val="16"/>
                <w:szCs w:val="16"/>
              </w:rPr>
              <w:t>GS 1000 NI</w:t>
            </w:r>
          </w:p>
        </w:tc>
        <w:tc>
          <w:tcPr>
            <w:tcW w:w="525" w:type="dxa"/>
            <w:tcBorders>
              <w:top w:val="single" w:sz="6" w:space="0" w:color="000000"/>
              <w:left w:val="none" w:sz="6" w:space="0" w:color="auto"/>
              <w:bottom w:val="single" w:sz="6" w:space="0" w:color="000000"/>
              <w:right w:val="single" w:sz="6" w:space="0" w:color="000000"/>
            </w:tcBorders>
            <w:shd w:val="clear" w:color="auto" w:fill="FFFFCC"/>
          </w:tcPr>
          <w:p w14:paraId="5ACD1FC9" w14:textId="77777777" w:rsidR="00B64EC6" w:rsidRPr="00BF20CF" w:rsidRDefault="00B64EC6">
            <w:pPr>
              <w:pStyle w:val="TableParagraph"/>
              <w:kinsoku w:val="0"/>
              <w:overflowPunct w:val="0"/>
              <w:spacing w:before="4" w:line="240" w:lineRule="auto"/>
              <w:jc w:val="left"/>
              <w:rPr>
                <w:rFonts w:ascii="Arial" w:hAnsi="Arial" w:cs="Arial"/>
                <w:b/>
                <w:bCs/>
                <w:sz w:val="19"/>
                <w:szCs w:val="19"/>
              </w:rPr>
            </w:pPr>
          </w:p>
          <w:p w14:paraId="0A494FDE" w14:textId="77777777" w:rsidR="00B64EC6" w:rsidRPr="00BF20CF" w:rsidRDefault="00B64EC6">
            <w:pPr>
              <w:pStyle w:val="TableParagraph"/>
              <w:kinsoku w:val="0"/>
              <w:overflowPunct w:val="0"/>
              <w:spacing w:line="168" w:lineRule="exact"/>
              <w:ind w:right="14"/>
              <w:rPr>
                <w:b/>
                <w:bCs/>
                <w:sz w:val="16"/>
                <w:szCs w:val="16"/>
              </w:rPr>
            </w:pPr>
            <w:proofErr w:type="spellStart"/>
            <w:r w:rsidRPr="00BF20CF">
              <w:rPr>
                <w:b/>
                <w:bCs/>
                <w:sz w:val="16"/>
                <w:szCs w:val="16"/>
              </w:rPr>
              <w:t>Chg</w:t>
            </w:r>
            <w:proofErr w:type="spellEnd"/>
          </w:p>
        </w:tc>
        <w:tc>
          <w:tcPr>
            <w:tcW w:w="929" w:type="dxa"/>
            <w:tcBorders>
              <w:top w:val="single" w:sz="6" w:space="0" w:color="000000"/>
              <w:left w:val="single" w:sz="6" w:space="0" w:color="000000"/>
              <w:bottom w:val="single" w:sz="6" w:space="0" w:color="000000"/>
              <w:right w:val="none" w:sz="6" w:space="0" w:color="auto"/>
            </w:tcBorders>
            <w:shd w:val="clear" w:color="auto" w:fill="FFFFCC"/>
          </w:tcPr>
          <w:p w14:paraId="3989B610" w14:textId="77777777" w:rsidR="00B64EC6" w:rsidRPr="00BF20CF" w:rsidRDefault="00B64EC6">
            <w:pPr>
              <w:pStyle w:val="TableParagraph"/>
              <w:kinsoku w:val="0"/>
              <w:overflowPunct w:val="0"/>
              <w:spacing w:before="4" w:line="240" w:lineRule="auto"/>
              <w:jc w:val="left"/>
              <w:rPr>
                <w:rFonts w:ascii="Arial" w:hAnsi="Arial" w:cs="Arial"/>
                <w:b/>
                <w:bCs/>
                <w:sz w:val="19"/>
                <w:szCs w:val="19"/>
              </w:rPr>
            </w:pPr>
          </w:p>
          <w:p w14:paraId="731A696A" w14:textId="77777777" w:rsidR="00B64EC6" w:rsidRPr="00BF20CF" w:rsidRDefault="00B64EC6">
            <w:pPr>
              <w:pStyle w:val="TableParagraph"/>
              <w:kinsoku w:val="0"/>
              <w:overflowPunct w:val="0"/>
              <w:spacing w:line="168" w:lineRule="exact"/>
              <w:ind w:right="62"/>
              <w:rPr>
                <w:b/>
                <w:bCs/>
                <w:sz w:val="16"/>
                <w:szCs w:val="16"/>
              </w:rPr>
            </w:pPr>
            <w:r w:rsidRPr="00BF20CF">
              <w:rPr>
                <w:b/>
                <w:bCs/>
                <w:sz w:val="16"/>
                <w:szCs w:val="16"/>
              </w:rPr>
              <w:t>GS 1000 I</w:t>
            </w:r>
          </w:p>
        </w:tc>
        <w:tc>
          <w:tcPr>
            <w:tcW w:w="459" w:type="dxa"/>
            <w:tcBorders>
              <w:top w:val="single" w:sz="6" w:space="0" w:color="000000"/>
              <w:left w:val="none" w:sz="6" w:space="0" w:color="auto"/>
              <w:bottom w:val="single" w:sz="6" w:space="0" w:color="000000"/>
              <w:right w:val="single" w:sz="6" w:space="0" w:color="000000"/>
            </w:tcBorders>
            <w:shd w:val="clear" w:color="auto" w:fill="FFFFCC"/>
          </w:tcPr>
          <w:p w14:paraId="574AED09" w14:textId="77777777" w:rsidR="00B64EC6" w:rsidRPr="00BF20CF" w:rsidRDefault="00B64EC6">
            <w:pPr>
              <w:pStyle w:val="TableParagraph"/>
              <w:kinsoku w:val="0"/>
              <w:overflowPunct w:val="0"/>
              <w:spacing w:before="4" w:line="240" w:lineRule="auto"/>
              <w:jc w:val="left"/>
              <w:rPr>
                <w:rFonts w:ascii="Arial" w:hAnsi="Arial" w:cs="Arial"/>
                <w:b/>
                <w:bCs/>
                <w:sz w:val="19"/>
                <w:szCs w:val="19"/>
              </w:rPr>
            </w:pPr>
          </w:p>
          <w:p w14:paraId="707450E7" w14:textId="77777777" w:rsidR="00B64EC6" w:rsidRPr="00BF20CF" w:rsidRDefault="00B64EC6">
            <w:pPr>
              <w:pStyle w:val="TableParagraph"/>
              <w:kinsoku w:val="0"/>
              <w:overflowPunct w:val="0"/>
              <w:spacing w:line="168" w:lineRule="exact"/>
              <w:ind w:left="170"/>
              <w:jc w:val="center"/>
              <w:rPr>
                <w:b/>
                <w:bCs/>
                <w:sz w:val="16"/>
                <w:szCs w:val="16"/>
              </w:rPr>
            </w:pPr>
            <w:proofErr w:type="spellStart"/>
            <w:r w:rsidRPr="00BF20CF">
              <w:rPr>
                <w:b/>
                <w:bCs/>
                <w:sz w:val="16"/>
                <w:szCs w:val="16"/>
              </w:rPr>
              <w:t>Chg</w:t>
            </w:r>
            <w:proofErr w:type="spellEnd"/>
          </w:p>
        </w:tc>
        <w:tc>
          <w:tcPr>
            <w:tcW w:w="833" w:type="dxa"/>
            <w:tcBorders>
              <w:top w:val="single" w:sz="6" w:space="0" w:color="000000"/>
              <w:left w:val="single" w:sz="6" w:space="0" w:color="000000"/>
              <w:bottom w:val="single" w:sz="6" w:space="0" w:color="000000"/>
              <w:right w:val="none" w:sz="6" w:space="0" w:color="auto"/>
            </w:tcBorders>
            <w:shd w:val="clear" w:color="auto" w:fill="FFFFCC"/>
          </w:tcPr>
          <w:p w14:paraId="39509791" w14:textId="77777777" w:rsidR="00B64EC6" w:rsidRPr="00BF20CF" w:rsidRDefault="00B64EC6">
            <w:pPr>
              <w:pStyle w:val="TableParagraph"/>
              <w:kinsoku w:val="0"/>
              <w:overflowPunct w:val="0"/>
              <w:spacing w:before="4" w:line="240" w:lineRule="auto"/>
              <w:jc w:val="left"/>
              <w:rPr>
                <w:rFonts w:ascii="Arial" w:hAnsi="Arial" w:cs="Arial"/>
                <w:b/>
                <w:bCs/>
                <w:sz w:val="19"/>
                <w:szCs w:val="19"/>
              </w:rPr>
            </w:pPr>
          </w:p>
          <w:p w14:paraId="63D37402" w14:textId="77777777" w:rsidR="00B64EC6" w:rsidRPr="00BF20CF" w:rsidRDefault="00B64EC6">
            <w:pPr>
              <w:pStyle w:val="TableParagraph"/>
              <w:kinsoku w:val="0"/>
              <w:overflowPunct w:val="0"/>
              <w:spacing w:line="168" w:lineRule="exact"/>
              <w:ind w:right="50"/>
              <w:rPr>
                <w:b/>
                <w:bCs/>
                <w:sz w:val="16"/>
                <w:szCs w:val="16"/>
              </w:rPr>
            </w:pPr>
            <w:r w:rsidRPr="00BF20CF">
              <w:rPr>
                <w:b/>
                <w:bCs/>
                <w:sz w:val="16"/>
                <w:szCs w:val="16"/>
              </w:rPr>
              <w:t>GS 1500</w:t>
            </w:r>
          </w:p>
        </w:tc>
        <w:tc>
          <w:tcPr>
            <w:tcW w:w="474" w:type="dxa"/>
            <w:tcBorders>
              <w:top w:val="single" w:sz="6" w:space="0" w:color="000000"/>
              <w:left w:val="none" w:sz="6" w:space="0" w:color="auto"/>
              <w:bottom w:val="single" w:sz="6" w:space="0" w:color="000000"/>
              <w:right w:val="single" w:sz="6" w:space="0" w:color="000000"/>
            </w:tcBorders>
            <w:shd w:val="clear" w:color="auto" w:fill="FFFFCC"/>
          </w:tcPr>
          <w:p w14:paraId="421664DE" w14:textId="77777777" w:rsidR="00B64EC6" w:rsidRPr="00BF20CF" w:rsidRDefault="00B64EC6">
            <w:pPr>
              <w:pStyle w:val="TableParagraph"/>
              <w:kinsoku w:val="0"/>
              <w:overflowPunct w:val="0"/>
              <w:spacing w:before="4" w:line="240" w:lineRule="auto"/>
              <w:jc w:val="left"/>
              <w:rPr>
                <w:rFonts w:ascii="Arial" w:hAnsi="Arial" w:cs="Arial"/>
                <w:b/>
                <w:bCs/>
                <w:sz w:val="19"/>
                <w:szCs w:val="19"/>
              </w:rPr>
            </w:pPr>
          </w:p>
          <w:p w14:paraId="702860F4" w14:textId="77777777" w:rsidR="00B64EC6" w:rsidRPr="00BF20CF" w:rsidRDefault="00B64EC6">
            <w:pPr>
              <w:pStyle w:val="TableParagraph"/>
              <w:kinsoku w:val="0"/>
              <w:overflowPunct w:val="0"/>
              <w:spacing w:line="168" w:lineRule="exact"/>
              <w:ind w:right="14"/>
              <w:rPr>
                <w:b/>
                <w:bCs/>
                <w:sz w:val="16"/>
                <w:szCs w:val="16"/>
              </w:rPr>
            </w:pPr>
            <w:proofErr w:type="spellStart"/>
            <w:r w:rsidRPr="00BF20CF">
              <w:rPr>
                <w:b/>
                <w:bCs/>
                <w:sz w:val="16"/>
                <w:szCs w:val="16"/>
              </w:rPr>
              <w:t>Chg</w:t>
            </w:r>
            <w:proofErr w:type="spellEnd"/>
          </w:p>
        </w:tc>
        <w:tc>
          <w:tcPr>
            <w:tcW w:w="874" w:type="dxa"/>
            <w:tcBorders>
              <w:top w:val="single" w:sz="6" w:space="0" w:color="000000"/>
              <w:left w:val="single" w:sz="6" w:space="0" w:color="000000"/>
              <w:bottom w:val="single" w:sz="6" w:space="0" w:color="000000"/>
              <w:right w:val="none" w:sz="6" w:space="0" w:color="auto"/>
            </w:tcBorders>
            <w:shd w:val="clear" w:color="auto" w:fill="FFFFCC"/>
          </w:tcPr>
          <w:p w14:paraId="581C5558" w14:textId="77777777" w:rsidR="00B64EC6" w:rsidRPr="00BF20CF" w:rsidRDefault="00B64EC6">
            <w:pPr>
              <w:pStyle w:val="TableParagraph"/>
              <w:kinsoku w:val="0"/>
              <w:overflowPunct w:val="0"/>
              <w:spacing w:before="4" w:line="240" w:lineRule="auto"/>
              <w:jc w:val="left"/>
              <w:rPr>
                <w:rFonts w:ascii="Arial" w:hAnsi="Arial" w:cs="Arial"/>
                <w:b/>
                <w:bCs/>
                <w:sz w:val="19"/>
                <w:szCs w:val="19"/>
              </w:rPr>
            </w:pPr>
          </w:p>
          <w:p w14:paraId="5202EF9A" w14:textId="77777777" w:rsidR="00B64EC6" w:rsidRPr="00BF20CF" w:rsidRDefault="00B64EC6">
            <w:pPr>
              <w:pStyle w:val="TableParagraph"/>
              <w:kinsoku w:val="0"/>
              <w:overflowPunct w:val="0"/>
              <w:spacing w:line="168" w:lineRule="exact"/>
              <w:ind w:right="89"/>
              <w:rPr>
                <w:b/>
                <w:bCs/>
                <w:sz w:val="16"/>
                <w:szCs w:val="16"/>
              </w:rPr>
            </w:pPr>
            <w:r w:rsidRPr="00BF20CF">
              <w:rPr>
                <w:b/>
                <w:bCs/>
                <w:sz w:val="16"/>
                <w:szCs w:val="16"/>
              </w:rPr>
              <w:t>GS 5000</w:t>
            </w:r>
          </w:p>
        </w:tc>
        <w:tc>
          <w:tcPr>
            <w:tcW w:w="485" w:type="dxa"/>
            <w:tcBorders>
              <w:top w:val="single" w:sz="6" w:space="0" w:color="000000"/>
              <w:left w:val="none" w:sz="6" w:space="0" w:color="auto"/>
              <w:bottom w:val="single" w:sz="6" w:space="0" w:color="000000"/>
              <w:right w:val="single" w:sz="6" w:space="0" w:color="000000"/>
            </w:tcBorders>
            <w:shd w:val="clear" w:color="auto" w:fill="FFFFCC"/>
          </w:tcPr>
          <w:p w14:paraId="55AED098" w14:textId="77777777" w:rsidR="00B64EC6" w:rsidRPr="00BF20CF" w:rsidRDefault="00B64EC6">
            <w:pPr>
              <w:pStyle w:val="TableParagraph"/>
              <w:kinsoku w:val="0"/>
              <w:overflowPunct w:val="0"/>
              <w:spacing w:before="4" w:line="240" w:lineRule="auto"/>
              <w:jc w:val="left"/>
              <w:rPr>
                <w:rFonts w:ascii="Arial" w:hAnsi="Arial" w:cs="Arial"/>
                <w:b/>
                <w:bCs/>
                <w:sz w:val="19"/>
                <w:szCs w:val="19"/>
              </w:rPr>
            </w:pPr>
          </w:p>
          <w:p w14:paraId="2E853568" w14:textId="77777777" w:rsidR="00B64EC6" w:rsidRPr="00BF20CF" w:rsidRDefault="00B64EC6">
            <w:pPr>
              <w:pStyle w:val="TableParagraph"/>
              <w:kinsoku w:val="0"/>
              <w:overflowPunct w:val="0"/>
              <w:spacing w:line="168" w:lineRule="exact"/>
              <w:ind w:right="15"/>
              <w:rPr>
                <w:b/>
                <w:bCs/>
                <w:sz w:val="16"/>
                <w:szCs w:val="16"/>
              </w:rPr>
            </w:pPr>
            <w:proofErr w:type="spellStart"/>
            <w:r w:rsidRPr="00BF20CF">
              <w:rPr>
                <w:b/>
                <w:bCs/>
                <w:sz w:val="16"/>
                <w:szCs w:val="16"/>
              </w:rPr>
              <w:t>Chg</w:t>
            </w:r>
            <w:proofErr w:type="spellEnd"/>
          </w:p>
        </w:tc>
        <w:tc>
          <w:tcPr>
            <w:tcW w:w="753" w:type="dxa"/>
            <w:tcBorders>
              <w:top w:val="single" w:sz="6" w:space="0" w:color="000000"/>
              <w:left w:val="single" w:sz="6" w:space="0" w:color="000000"/>
              <w:bottom w:val="single" w:sz="6" w:space="0" w:color="000000"/>
              <w:right w:val="none" w:sz="6" w:space="0" w:color="auto"/>
            </w:tcBorders>
            <w:shd w:val="clear" w:color="auto" w:fill="FFFFCC"/>
          </w:tcPr>
          <w:p w14:paraId="475E969F" w14:textId="77777777" w:rsidR="00B64EC6" w:rsidRPr="00BF20CF" w:rsidRDefault="00B64EC6">
            <w:pPr>
              <w:pStyle w:val="TableParagraph"/>
              <w:kinsoku w:val="0"/>
              <w:overflowPunct w:val="0"/>
              <w:spacing w:before="10" w:line="240" w:lineRule="auto"/>
              <w:ind w:left="316"/>
              <w:jc w:val="left"/>
              <w:rPr>
                <w:b/>
                <w:bCs/>
                <w:spacing w:val="2"/>
                <w:sz w:val="16"/>
                <w:szCs w:val="16"/>
              </w:rPr>
            </w:pPr>
            <w:r w:rsidRPr="00BF20CF">
              <w:rPr>
                <w:b/>
                <w:bCs/>
                <w:spacing w:val="2"/>
                <w:sz w:val="16"/>
                <w:szCs w:val="16"/>
              </w:rPr>
              <w:t>Large</w:t>
            </w:r>
          </w:p>
          <w:p w14:paraId="12C52250" w14:textId="77777777" w:rsidR="00B64EC6" w:rsidRPr="00BF20CF" w:rsidRDefault="00B64EC6">
            <w:pPr>
              <w:pStyle w:val="TableParagraph"/>
              <w:kinsoku w:val="0"/>
              <w:overflowPunct w:val="0"/>
              <w:spacing w:before="17" w:line="168" w:lineRule="exact"/>
              <w:ind w:left="326"/>
              <w:jc w:val="left"/>
              <w:rPr>
                <w:b/>
                <w:bCs/>
                <w:sz w:val="16"/>
                <w:szCs w:val="16"/>
              </w:rPr>
            </w:pPr>
            <w:r w:rsidRPr="00BF20CF">
              <w:rPr>
                <w:b/>
                <w:bCs/>
                <w:sz w:val="16"/>
                <w:szCs w:val="16"/>
              </w:rPr>
              <w:t>Users</w:t>
            </w:r>
          </w:p>
        </w:tc>
        <w:tc>
          <w:tcPr>
            <w:tcW w:w="525" w:type="dxa"/>
            <w:tcBorders>
              <w:top w:val="single" w:sz="6" w:space="0" w:color="000000"/>
              <w:left w:val="none" w:sz="6" w:space="0" w:color="auto"/>
              <w:bottom w:val="single" w:sz="6" w:space="0" w:color="000000"/>
              <w:right w:val="single" w:sz="6" w:space="0" w:color="000000"/>
            </w:tcBorders>
            <w:shd w:val="clear" w:color="auto" w:fill="FFFFCC"/>
          </w:tcPr>
          <w:p w14:paraId="2FC214A8" w14:textId="77777777" w:rsidR="00B64EC6" w:rsidRPr="00BF20CF" w:rsidRDefault="00B64EC6">
            <w:pPr>
              <w:pStyle w:val="TableParagraph"/>
              <w:kinsoku w:val="0"/>
              <w:overflowPunct w:val="0"/>
              <w:spacing w:before="4" w:line="240" w:lineRule="auto"/>
              <w:jc w:val="left"/>
              <w:rPr>
                <w:rFonts w:ascii="Arial" w:hAnsi="Arial" w:cs="Arial"/>
                <w:b/>
                <w:bCs/>
                <w:sz w:val="19"/>
                <w:szCs w:val="19"/>
              </w:rPr>
            </w:pPr>
          </w:p>
          <w:p w14:paraId="439F3059" w14:textId="77777777" w:rsidR="00B64EC6" w:rsidRPr="00BF20CF" w:rsidRDefault="00B64EC6">
            <w:pPr>
              <w:pStyle w:val="TableParagraph"/>
              <w:kinsoku w:val="0"/>
              <w:overflowPunct w:val="0"/>
              <w:spacing w:line="168" w:lineRule="exact"/>
              <w:ind w:right="16"/>
              <w:rPr>
                <w:b/>
                <w:bCs/>
                <w:sz w:val="16"/>
                <w:szCs w:val="16"/>
              </w:rPr>
            </w:pPr>
            <w:proofErr w:type="spellStart"/>
            <w:r w:rsidRPr="00BF20CF">
              <w:rPr>
                <w:b/>
                <w:bCs/>
                <w:sz w:val="16"/>
                <w:szCs w:val="16"/>
              </w:rPr>
              <w:t>Chg</w:t>
            </w:r>
            <w:proofErr w:type="spellEnd"/>
          </w:p>
        </w:tc>
        <w:tc>
          <w:tcPr>
            <w:tcW w:w="813" w:type="dxa"/>
            <w:tcBorders>
              <w:top w:val="single" w:sz="6" w:space="0" w:color="000000"/>
              <w:left w:val="single" w:sz="6" w:space="0" w:color="000000"/>
              <w:bottom w:val="single" w:sz="6" w:space="0" w:color="000000"/>
              <w:right w:val="none" w:sz="6" w:space="0" w:color="auto"/>
            </w:tcBorders>
            <w:shd w:val="clear" w:color="auto" w:fill="FFFFCC"/>
          </w:tcPr>
          <w:p w14:paraId="4D0E8C77" w14:textId="77777777" w:rsidR="00B64EC6" w:rsidRPr="00BF20CF" w:rsidRDefault="00B64EC6">
            <w:pPr>
              <w:pStyle w:val="TableParagraph"/>
              <w:kinsoku w:val="0"/>
              <w:overflowPunct w:val="0"/>
              <w:spacing w:before="4" w:line="240" w:lineRule="auto"/>
              <w:jc w:val="left"/>
              <w:rPr>
                <w:rFonts w:ascii="Arial" w:hAnsi="Arial" w:cs="Arial"/>
                <w:b/>
                <w:bCs/>
                <w:sz w:val="19"/>
                <w:szCs w:val="19"/>
              </w:rPr>
            </w:pPr>
          </w:p>
          <w:p w14:paraId="422F8BAB" w14:textId="77777777" w:rsidR="00B64EC6" w:rsidRPr="00BF20CF" w:rsidRDefault="00B64EC6">
            <w:pPr>
              <w:pStyle w:val="TableParagraph"/>
              <w:kinsoku w:val="0"/>
              <w:overflowPunct w:val="0"/>
              <w:spacing w:line="168" w:lineRule="exact"/>
              <w:ind w:right="57"/>
              <w:rPr>
                <w:b/>
                <w:bCs/>
                <w:sz w:val="16"/>
                <w:szCs w:val="16"/>
              </w:rPr>
            </w:pPr>
            <w:r w:rsidRPr="00BF20CF">
              <w:rPr>
                <w:b/>
                <w:bCs/>
                <w:sz w:val="16"/>
                <w:szCs w:val="16"/>
              </w:rPr>
              <w:t>St Light</w:t>
            </w:r>
          </w:p>
        </w:tc>
        <w:tc>
          <w:tcPr>
            <w:tcW w:w="525" w:type="dxa"/>
            <w:tcBorders>
              <w:top w:val="single" w:sz="6" w:space="0" w:color="000000"/>
              <w:left w:val="none" w:sz="6" w:space="0" w:color="auto"/>
              <w:bottom w:val="single" w:sz="6" w:space="0" w:color="000000"/>
              <w:right w:val="single" w:sz="6" w:space="0" w:color="000000"/>
            </w:tcBorders>
            <w:shd w:val="clear" w:color="auto" w:fill="FFFFCC"/>
          </w:tcPr>
          <w:p w14:paraId="350E022D" w14:textId="77777777" w:rsidR="00B64EC6" w:rsidRPr="00BF20CF" w:rsidRDefault="00B64EC6">
            <w:pPr>
              <w:pStyle w:val="TableParagraph"/>
              <w:kinsoku w:val="0"/>
              <w:overflowPunct w:val="0"/>
              <w:spacing w:before="4" w:line="240" w:lineRule="auto"/>
              <w:jc w:val="left"/>
              <w:rPr>
                <w:rFonts w:ascii="Arial" w:hAnsi="Arial" w:cs="Arial"/>
                <w:b/>
                <w:bCs/>
                <w:sz w:val="19"/>
                <w:szCs w:val="19"/>
              </w:rPr>
            </w:pPr>
          </w:p>
          <w:p w14:paraId="75765721" w14:textId="77777777" w:rsidR="00B64EC6" w:rsidRPr="00BF20CF" w:rsidRDefault="00B64EC6">
            <w:pPr>
              <w:pStyle w:val="TableParagraph"/>
              <w:kinsoku w:val="0"/>
              <w:overflowPunct w:val="0"/>
              <w:spacing w:line="168" w:lineRule="exact"/>
              <w:ind w:left="230"/>
              <w:jc w:val="center"/>
              <w:rPr>
                <w:b/>
                <w:bCs/>
                <w:sz w:val="16"/>
                <w:szCs w:val="16"/>
              </w:rPr>
            </w:pPr>
            <w:proofErr w:type="spellStart"/>
            <w:r w:rsidRPr="00BF20CF">
              <w:rPr>
                <w:b/>
                <w:bCs/>
                <w:sz w:val="16"/>
                <w:szCs w:val="16"/>
              </w:rPr>
              <w:t>Chg</w:t>
            </w:r>
            <w:proofErr w:type="spellEnd"/>
          </w:p>
        </w:tc>
      </w:tr>
      <w:tr w:rsidR="00B64EC6" w:rsidRPr="00BF20CF" w14:paraId="2D278248" w14:textId="77777777">
        <w:trPr>
          <w:trHeight w:val="228"/>
        </w:trPr>
        <w:tc>
          <w:tcPr>
            <w:tcW w:w="608" w:type="dxa"/>
            <w:tcBorders>
              <w:top w:val="single" w:sz="6" w:space="0" w:color="000000"/>
              <w:left w:val="single" w:sz="6" w:space="0" w:color="000000"/>
              <w:bottom w:val="none" w:sz="6" w:space="0" w:color="auto"/>
              <w:right w:val="single" w:sz="6" w:space="0" w:color="000000"/>
            </w:tcBorders>
          </w:tcPr>
          <w:p w14:paraId="1A5FD159" w14:textId="77777777" w:rsidR="00B64EC6" w:rsidRPr="00BF20CF" w:rsidRDefault="00B64EC6">
            <w:pPr>
              <w:pStyle w:val="TableParagraph"/>
              <w:kinsoku w:val="0"/>
              <w:overflowPunct w:val="0"/>
              <w:spacing w:before="10" w:line="240" w:lineRule="auto"/>
              <w:ind w:left="23"/>
              <w:jc w:val="left"/>
              <w:rPr>
                <w:sz w:val="16"/>
                <w:szCs w:val="16"/>
              </w:rPr>
            </w:pPr>
            <w:r w:rsidRPr="00BF20CF">
              <w:rPr>
                <w:sz w:val="16"/>
                <w:szCs w:val="16"/>
              </w:rPr>
              <w:t>2013</w:t>
            </w:r>
          </w:p>
        </w:tc>
        <w:tc>
          <w:tcPr>
            <w:tcW w:w="985" w:type="dxa"/>
            <w:tcBorders>
              <w:top w:val="single" w:sz="6" w:space="0" w:color="000000"/>
              <w:left w:val="single" w:sz="6" w:space="0" w:color="000000"/>
              <w:bottom w:val="none" w:sz="6" w:space="0" w:color="auto"/>
              <w:right w:val="none" w:sz="6" w:space="0" w:color="auto"/>
            </w:tcBorders>
          </w:tcPr>
          <w:p w14:paraId="68EF03EB" w14:textId="77777777" w:rsidR="00B64EC6" w:rsidRPr="00BF20CF" w:rsidRDefault="00B64EC6">
            <w:pPr>
              <w:pStyle w:val="TableParagraph"/>
              <w:kinsoku w:val="0"/>
              <w:overflowPunct w:val="0"/>
              <w:spacing w:before="10" w:line="240" w:lineRule="auto"/>
              <w:ind w:right="50"/>
              <w:rPr>
                <w:sz w:val="16"/>
                <w:szCs w:val="16"/>
              </w:rPr>
            </w:pPr>
            <w:r w:rsidRPr="00BF20CF">
              <w:rPr>
                <w:sz w:val="16"/>
                <w:szCs w:val="16"/>
              </w:rPr>
              <w:t>387,717</w:t>
            </w:r>
          </w:p>
        </w:tc>
        <w:tc>
          <w:tcPr>
            <w:tcW w:w="525" w:type="dxa"/>
            <w:tcBorders>
              <w:top w:val="single" w:sz="6" w:space="0" w:color="000000"/>
              <w:left w:val="none" w:sz="6" w:space="0" w:color="auto"/>
              <w:bottom w:val="none" w:sz="6" w:space="0" w:color="auto"/>
              <w:right w:val="single" w:sz="6" w:space="0" w:color="000000"/>
            </w:tcBorders>
          </w:tcPr>
          <w:p w14:paraId="34763E3D" w14:textId="77777777" w:rsidR="00B64EC6" w:rsidRPr="00BF20CF" w:rsidRDefault="00B64EC6">
            <w:pPr>
              <w:pStyle w:val="TableParagraph"/>
              <w:kinsoku w:val="0"/>
              <w:overflowPunct w:val="0"/>
              <w:spacing w:line="240" w:lineRule="auto"/>
              <w:jc w:val="left"/>
              <w:rPr>
                <w:rFonts w:ascii="Times New Roman" w:hAnsi="Times New Roman" w:cs="Times New Roman"/>
                <w:sz w:val="16"/>
                <w:szCs w:val="16"/>
              </w:rPr>
            </w:pPr>
          </w:p>
        </w:tc>
        <w:tc>
          <w:tcPr>
            <w:tcW w:w="929" w:type="dxa"/>
            <w:tcBorders>
              <w:top w:val="single" w:sz="6" w:space="0" w:color="000000"/>
              <w:left w:val="single" w:sz="6" w:space="0" w:color="000000"/>
              <w:bottom w:val="none" w:sz="6" w:space="0" w:color="auto"/>
              <w:right w:val="none" w:sz="6" w:space="0" w:color="auto"/>
            </w:tcBorders>
          </w:tcPr>
          <w:p w14:paraId="373E8B45" w14:textId="77777777" w:rsidR="00B64EC6" w:rsidRPr="00BF20CF" w:rsidRDefault="00B64EC6">
            <w:pPr>
              <w:pStyle w:val="TableParagraph"/>
              <w:kinsoku w:val="0"/>
              <w:overflowPunct w:val="0"/>
              <w:spacing w:before="10" w:line="240" w:lineRule="auto"/>
              <w:ind w:right="65"/>
              <w:rPr>
                <w:sz w:val="16"/>
                <w:szCs w:val="16"/>
              </w:rPr>
            </w:pPr>
            <w:r w:rsidRPr="00BF20CF">
              <w:rPr>
                <w:sz w:val="16"/>
                <w:szCs w:val="16"/>
              </w:rPr>
              <w:t>254,033</w:t>
            </w:r>
          </w:p>
        </w:tc>
        <w:tc>
          <w:tcPr>
            <w:tcW w:w="459" w:type="dxa"/>
            <w:tcBorders>
              <w:top w:val="single" w:sz="6" w:space="0" w:color="000000"/>
              <w:left w:val="none" w:sz="6" w:space="0" w:color="auto"/>
              <w:bottom w:val="none" w:sz="6" w:space="0" w:color="auto"/>
              <w:right w:val="single" w:sz="6" w:space="0" w:color="000000"/>
            </w:tcBorders>
          </w:tcPr>
          <w:p w14:paraId="75719920" w14:textId="77777777" w:rsidR="00B64EC6" w:rsidRPr="00BF20CF" w:rsidRDefault="00B64EC6">
            <w:pPr>
              <w:pStyle w:val="TableParagraph"/>
              <w:kinsoku w:val="0"/>
              <w:overflowPunct w:val="0"/>
              <w:spacing w:line="240" w:lineRule="auto"/>
              <w:jc w:val="left"/>
              <w:rPr>
                <w:rFonts w:ascii="Times New Roman" w:hAnsi="Times New Roman" w:cs="Times New Roman"/>
                <w:sz w:val="16"/>
                <w:szCs w:val="16"/>
              </w:rPr>
            </w:pPr>
          </w:p>
        </w:tc>
        <w:tc>
          <w:tcPr>
            <w:tcW w:w="833" w:type="dxa"/>
            <w:tcBorders>
              <w:top w:val="single" w:sz="6" w:space="0" w:color="000000"/>
              <w:left w:val="single" w:sz="6" w:space="0" w:color="000000"/>
              <w:bottom w:val="none" w:sz="6" w:space="0" w:color="auto"/>
              <w:right w:val="none" w:sz="6" w:space="0" w:color="auto"/>
            </w:tcBorders>
          </w:tcPr>
          <w:p w14:paraId="220C5045" w14:textId="77777777" w:rsidR="00B64EC6" w:rsidRPr="00BF20CF" w:rsidRDefault="00B64EC6">
            <w:pPr>
              <w:pStyle w:val="TableParagraph"/>
              <w:kinsoku w:val="0"/>
              <w:overflowPunct w:val="0"/>
              <w:spacing w:before="10" w:line="240" w:lineRule="auto"/>
              <w:ind w:right="50"/>
              <w:rPr>
                <w:sz w:val="16"/>
                <w:szCs w:val="16"/>
              </w:rPr>
            </w:pPr>
            <w:r w:rsidRPr="00BF20CF">
              <w:rPr>
                <w:sz w:val="16"/>
                <w:szCs w:val="16"/>
              </w:rPr>
              <w:t>70,296</w:t>
            </w:r>
          </w:p>
        </w:tc>
        <w:tc>
          <w:tcPr>
            <w:tcW w:w="474" w:type="dxa"/>
            <w:tcBorders>
              <w:top w:val="single" w:sz="6" w:space="0" w:color="000000"/>
              <w:left w:val="none" w:sz="6" w:space="0" w:color="auto"/>
              <w:bottom w:val="none" w:sz="6" w:space="0" w:color="auto"/>
              <w:right w:val="single" w:sz="6" w:space="0" w:color="000000"/>
            </w:tcBorders>
          </w:tcPr>
          <w:p w14:paraId="4D70336B" w14:textId="77777777" w:rsidR="00B64EC6" w:rsidRPr="00BF20CF" w:rsidRDefault="00B64EC6">
            <w:pPr>
              <w:pStyle w:val="TableParagraph"/>
              <w:kinsoku w:val="0"/>
              <w:overflowPunct w:val="0"/>
              <w:spacing w:line="240" w:lineRule="auto"/>
              <w:jc w:val="left"/>
              <w:rPr>
                <w:rFonts w:ascii="Times New Roman" w:hAnsi="Times New Roman" w:cs="Times New Roman"/>
                <w:sz w:val="16"/>
                <w:szCs w:val="16"/>
              </w:rPr>
            </w:pPr>
          </w:p>
        </w:tc>
        <w:tc>
          <w:tcPr>
            <w:tcW w:w="874" w:type="dxa"/>
            <w:tcBorders>
              <w:top w:val="single" w:sz="6" w:space="0" w:color="000000"/>
              <w:left w:val="single" w:sz="6" w:space="0" w:color="000000"/>
              <w:bottom w:val="none" w:sz="6" w:space="0" w:color="auto"/>
              <w:right w:val="none" w:sz="6" w:space="0" w:color="auto"/>
            </w:tcBorders>
          </w:tcPr>
          <w:p w14:paraId="64716D3B" w14:textId="77777777" w:rsidR="00B64EC6" w:rsidRPr="00BF20CF" w:rsidRDefault="00B64EC6">
            <w:pPr>
              <w:pStyle w:val="TableParagraph"/>
              <w:kinsoku w:val="0"/>
              <w:overflowPunct w:val="0"/>
              <w:spacing w:before="10" w:line="240" w:lineRule="auto"/>
              <w:ind w:right="88"/>
              <w:rPr>
                <w:sz w:val="16"/>
                <w:szCs w:val="16"/>
              </w:rPr>
            </w:pPr>
            <w:r w:rsidRPr="00BF20CF">
              <w:rPr>
                <w:sz w:val="16"/>
                <w:szCs w:val="16"/>
              </w:rPr>
              <w:t>191,749</w:t>
            </w:r>
          </w:p>
        </w:tc>
        <w:tc>
          <w:tcPr>
            <w:tcW w:w="485" w:type="dxa"/>
            <w:tcBorders>
              <w:top w:val="single" w:sz="6" w:space="0" w:color="000000"/>
              <w:left w:val="none" w:sz="6" w:space="0" w:color="auto"/>
              <w:bottom w:val="none" w:sz="6" w:space="0" w:color="auto"/>
              <w:right w:val="single" w:sz="6" w:space="0" w:color="000000"/>
            </w:tcBorders>
          </w:tcPr>
          <w:p w14:paraId="6E7856B5" w14:textId="77777777" w:rsidR="00B64EC6" w:rsidRPr="00BF20CF" w:rsidRDefault="00B64EC6">
            <w:pPr>
              <w:pStyle w:val="TableParagraph"/>
              <w:kinsoku w:val="0"/>
              <w:overflowPunct w:val="0"/>
              <w:spacing w:line="240" w:lineRule="auto"/>
              <w:jc w:val="left"/>
              <w:rPr>
                <w:rFonts w:ascii="Times New Roman" w:hAnsi="Times New Roman" w:cs="Times New Roman"/>
                <w:sz w:val="16"/>
                <w:szCs w:val="16"/>
              </w:rPr>
            </w:pPr>
          </w:p>
        </w:tc>
        <w:tc>
          <w:tcPr>
            <w:tcW w:w="753" w:type="dxa"/>
            <w:tcBorders>
              <w:top w:val="single" w:sz="6" w:space="0" w:color="000000"/>
              <w:left w:val="single" w:sz="6" w:space="0" w:color="000000"/>
              <w:bottom w:val="none" w:sz="6" w:space="0" w:color="auto"/>
              <w:right w:val="none" w:sz="6" w:space="0" w:color="auto"/>
            </w:tcBorders>
          </w:tcPr>
          <w:p w14:paraId="19A35BA3" w14:textId="77777777" w:rsidR="00B64EC6" w:rsidRPr="00BF20CF" w:rsidRDefault="00B64EC6">
            <w:pPr>
              <w:pStyle w:val="TableParagraph"/>
              <w:kinsoku w:val="0"/>
              <w:overflowPunct w:val="0"/>
              <w:spacing w:before="10" w:line="240" w:lineRule="auto"/>
              <w:ind w:right="51"/>
              <w:rPr>
                <w:sz w:val="16"/>
                <w:szCs w:val="16"/>
              </w:rPr>
            </w:pPr>
            <w:r w:rsidRPr="00BF20CF">
              <w:rPr>
                <w:sz w:val="16"/>
                <w:szCs w:val="16"/>
              </w:rPr>
              <w:t>121,622</w:t>
            </w:r>
          </w:p>
        </w:tc>
        <w:tc>
          <w:tcPr>
            <w:tcW w:w="525" w:type="dxa"/>
            <w:tcBorders>
              <w:top w:val="single" w:sz="6" w:space="0" w:color="000000"/>
              <w:left w:val="none" w:sz="6" w:space="0" w:color="auto"/>
              <w:bottom w:val="none" w:sz="6" w:space="0" w:color="auto"/>
              <w:right w:val="single" w:sz="6" w:space="0" w:color="000000"/>
            </w:tcBorders>
          </w:tcPr>
          <w:p w14:paraId="2AFF35B0" w14:textId="77777777" w:rsidR="00B64EC6" w:rsidRPr="00BF20CF" w:rsidRDefault="00B64EC6">
            <w:pPr>
              <w:pStyle w:val="TableParagraph"/>
              <w:kinsoku w:val="0"/>
              <w:overflowPunct w:val="0"/>
              <w:spacing w:line="240" w:lineRule="auto"/>
              <w:jc w:val="left"/>
              <w:rPr>
                <w:rFonts w:ascii="Times New Roman" w:hAnsi="Times New Roman" w:cs="Times New Roman"/>
                <w:sz w:val="16"/>
                <w:szCs w:val="16"/>
              </w:rPr>
            </w:pPr>
          </w:p>
        </w:tc>
        <w:tc>
          <w:tcPr>
            <w:tcW w:w="813" w:type="dxa"/>
            <w:tcBorders>
              <w:top w:val="single" w:sz="6" w:space="0" w:color="000000"/>
              <w:left w:val="single" w:sz="6" w:space="0" w:color="000000"/>
              <w:bottom w:val="none" w:sz="6" w:space="0" w:color="auto"/>
              <w:right w:val="none" w:sz="6" w:space="0" w:color="auto"/>
            </w:tcBorders>
          </w:tcPr>
          <w:p w14:paraId="1BBB60A1" w14:textId="77777777" w:rsidR="00B64EC6" w:rsidRPr="00BF20CF" w:rsidRDefault="00B64EC6">
            <w:pPr>
              <w:pStyle w:val="TableParagraph"/>
              <w:kinsoku w:val="0"/>
              <w:overflowPunct w:val="0"/>
              <w:spacing w:before="10" w:line="240" w:lineRule="auto"/>
              <w:ind w:right="49"/>
              <w:rPr>
                <w:sz w:val="16"/>
                <w:szCs w:val="16"/>
              </w:rPr>
            </w:pPr>
            <w:r w:rsidRPr="00BF20CF">
              <w:rPr>
                <w:sz w:val="16"/>
                <w:szCs w:val="16"/>
              </w:rPr>
              <w:t>10,344</w:t>
            </w:r>
          </w:p>
        </w:tc>
        <w:tc>
          <w:tcPr>
            <w:tcW w:w="525" w:type="dxa"/>
            <w:tcBorders>
              <w:top w:val="single" w:sz="6" w:space="0" w:color="000000"/>
              <w:left w:val="none" w:sz="6" w:space="0" w:color="auto"/>
              <w:bottom w:val="none" w:sz="6" w:space="0" w:color="auto"/>
              <w:right w:val="single" w:sz="6" w:space="0" w:color="000000"/>
            </w:tcBorders>
          </w:tcPr>
          <w:p w14:paraId="7E76C319" w14:textId="77777777" w:rsidR="00B64EC6" w:rsidRPr="00BF20CF" w:rsidRDefault="00B64EC6">
            <w:pPr>
              <w:pStyle w:val="TableParagraph"/>
              <w:kinsoku w:val="0"/>
              <w:overflowPunct w:val="0"/>
              <w:spacing w:line="240" w:lineRule="auto"/>
              <w:jc w:val="left"/>
              <w:rPr>
                <w:rFonts w:ascii="Times New Roman" w:hAnsi="Times New Roman" w:cs="Times New Roman"/>
                <w:sz w:val="16"/>
                <w:szCs w:val="16"/>
              </w:rPr>
            </w:pPr>
          </w:p>
        </w:tc>
      </w:tr>
      <w:tr w:rsidR="00B64EC6" w:rsidRPr="00BF20CF" w14:paraId="5B5E8A2B" w14:textId="77777777">
        <w:trPr>
          <w:trHeight w:val="212"/>
        </w:trPr>
        <w:tc>
          <w:tcPr>
            <w:tcW w:w="608" w:type="dxa"/>
            <w:tcBorders>
              <w:top w:val="none" w:sz="6" w:space="0" w:color="auto"/>
              <w:left w:val="single" w:sz="6" w:space="0" w:color="000000"/>
              <w:bottom w:val="none" w:sz="6" w:space="0" w:color="auto"/>
              <w:right w:val="single" w:sz="6" w:space="0" w:color="000000"/>
            </w:tcBorders>
          </w:tcPr>
          <w:p w14:paraId="5FBDC2B8" w14:textId="77777777" w:rsidR="00B64EC6" w:rsidRPr="00BF20CF" w:rsidRDefault="00B64EC6">
            <w:pPr>
              <w:pStyle w:val="TableParagraph"/>
              <w:kinsoku w:val="0"/>
              <w:overflowPunct w:val="0"/>
              <w:ind w:left="23"/>
              <w:jc w:val="left"/>
              <w:rPr>
                <w:sz w:val="16"/>
                <w:szCs w:val="16"/>
              </w:rPr>
            </w:pPr>
            <w:r w:rsidRPr="00BF20CF">
              <w:rPr>
                <w:sz w:val="16"/>
                <w:szCs w:val="16"/>
              </w:rPr>
              <w:t>2014</w:t>
            </w:r>
          </w:p>
        </w:tc>
        <w:tc>
          <w:tcPr>
            <w:tcW w:w="985" w:type="dxa"/>
            <w:tcBorders>
              <w:top w:val="none" w:sz="6" w:space="0" w:color="auto"/>
              <w:left w:val="single" w:sz="6" w:space="0" w:color="000000"/>
              <w:bottom w:val="none" w:sz="6" w:space="0" w:color="auto"/>
              <w:right w:val="none" w:sz="6" w:space="0" w:color="auto"/>
            </w:tcBorders>
          </w:tcPr>
          <w:p w14:paraId="0DE40063" w14:textId="77777777" w:rsidR="00B64EC6" w:rsidRPr="00BF20CF" w:rsidRDefault="00B64EC6">
            <w:pPr>
              <w:pStyle w:val="TableParagraph"/>
              <w:kinsoku w:val="0"/>
              <w:overflowPunct w:val="0"/>
              <w:ind w:right="49"/>
              <w:rPr>
                <w:sz w:val="16"/>
                <w:szCs w:val="16"/>
              </w:rPr>
            </w:pPr>
            <w:r w:rsidRPr="00BF20CF">
              <w:rPr>
                <w:sz w:val="16"/>
                <w:szCs w:val="16"/>
              </w:rPr>
              <w:t>357,675</w:t>
            </w:r>
          </w:p>
        </w:tc>
        <w:tc>
          <w:tcPr>
            <w:tcW w:w="525" w:type="dxa"/>
            <w:tcBorders>
              <w:top w:val="none" w:sz="6" w:space="0" w:color="auto"/>
              <w:left w:val="none" w:sz="6" w:space="0" w:color="auto"/>
              <w:bottom w:val="none" w:sz="6" w:space="0" w:color="auto"/>
              <w:right w:val="single" w:sz="6" w:space="0" w:color="000000"/>
            </w:tcBorders>
          </w:tcPr>
          <w:p w14:paraId="7EEF8CE2" w14:textId="77777777" w:rsidR="00B64EC6" w:rsidRPr="00BF20CF" w:rsidRDefault="00B64EC6">
            <w:pPr>
              <w:pStyle w:val="TableParagraph"/>
              <w:kinsoku w:val="0"/>
              <w:overflowPunct w:val="0"/>
              <w:ind w:right="7"/>
              <w:rPr>
                <w:sz w:val="16"/>
                <w:szCs w:val="16"/>
              </w:rPr>
            </w:pPr>
            <w:r w:rsidRPr="00BF20CF">
              <w:rPr>
                <w:sz w:val="16"/>
                <w:szCs w:val="16"/>
              </w:rPr>
              <w:t>‐7.7%</w:t>
            </w:r>
          </w:p>
        </w:tc>
        <w:tc>
          <w:tcPr>
            <w:tcW w:w="929" w:type="dxa"/>
            <w:tcBorders>
              <w:top w:val="none" w:sz="6" w:space="0" w:color="auto"/>
              <w:left w:val="single" w:sz="6" w:space="0" w:color="000000"/>
              <w:bottom w:val="none" w:sz="6" w:space="0" w:color="auto"/>
              <w:right w:val="none" w:sz="6" w:space="0" w:color="auto"/>
            </w:tcBorders>
          </w:tcPr>
          <w:p w14:paraId="46FCBFC6" w14:textId="77777777" w:rsidR="00B64EC6" w:rsidRPr="00BF20CF" w:rsidRDefault="00B64EC6">
            <w:pPr>
              <w:pStyle w:val="TableParagraph"/>
              <w:kinsoku w:val="0"/>
              <w:overflowPunct w:val="0"/>
              <w:ind w:right="65"/>
              <w:rPr>
                <w:sz w:val="16"/>
                <w:szCs w:val="16"/>
              </w:rPr>
            </w:pPr>
            <w:r w:rsidRPr="00BF20CF">
              <w:rPr>
                <w:sz w:val="16"/>
                <w:szCs w:val="16"/>
              </w:rPr>
              <w:t>232,563</w:t>
            </w:r>
          </w:p>
        </w:tc>
        <w:tc>
          <w:tcPr>
            <w:tcW w:w="459" w:type="dxa"/>
            <w:tcBorders>
              <w:top w:val="none" w:sz="6" w:space="0" w:color="auto"/>
              <w:left w:val="none" w:sz="6" w:space="0" w:color="auto"/>
              <w:bottom w:val="none" w:sz="6" w:space="0" w:color="auto"/>
              <w:right w:val="single" w:sz="6" w:space="0" w:color="000000"/>
            </w:tcBorders>
          </w:tcPr>
          <w:p w14:paraId="6955EA91" w14:textId="77777777" w:rsidR="00B64EC6" w:rsidRPr="00BF20CF" w:rsidRDefault="00B64EC6">
            <w:pPr>
              <w:pStyle w:val="TableParagraph"/>
              <w:kinsoku w:val="0"/>
              <w:overflowPunct w:val="0"/>
              <w:ind w:left="66"/>
              <w:jc w:val="center"/>
              <w:rPr>
                <w:sz w:val="16"/>
                <w:szCs w:val="16"/>
              </w:rPr>
            </w:pPr>
            <w:r w:rsidRPr="00BF20CF">
              <w:rPr>
                <w:sz w:val="16"/>
                <w:szCs w:val="16"/>
              </w:rPr>
              <w:t>‐8.5%</w:t>
            </w:r>
          </w:p>
        </w:tc>
        <w:tc>
          <w:tcPr>
            <w:tcW w:w="833" w:type="dxa"/>
            <w:tcBorders>
              <w:top w:val="none" w:sz="6" w:space="0" w:color="auto"/>
              <w:left w:val="single" w:sz="6" w:space="0" w:color="000000"/>
              <w:bottom w:val="none" w:sz="6" w:space="0" w:color="auto"/>
              <w:right w:val="none" w:sz="6" w:space="0" w:color="auto"/>
            </w:tcBorders>
          </w:tcPr>
          <w:p w14:paraId="20149C23" w14:textId="77777777" w:rsidR="00B64EC6" w:rsidRPr="00BF20CF" w:rsidRDefault="00B64EC6">
            <w:pPr>
              <w:pStyle w:val="TableParagraph"/>
              <w:kinsoku w:val="0"/>
              <w:overflowPunct w:val="0"/>
              <w:ind w:right="48"/>
              <w:rPr>
                <w:sz w:val="16"/>
                <w:szCs w:val="16"/>
              </w:rPr>
            </w:pPr>
            <w:r w:rsidRPr="00BF20CF">
              <w:rPr>
                <w:sz w:val="16"/>
                <w:szCs w:val="16"/>
              </w:rPr>
              <w:t>65,093</w:t>
            </w:r>
          </w:p>
        </w:tc>
        <w:tc>
          <w:tcPr>
            <w:tcW w:w="474" w:type="dxa"/>
            <w:tcBorders>
              <w:top w:val="none" w:sz="6" w:space="0" w:color="auto"/>
              <w:left w:val="none" w:sz="6" w:space="0" w:color="auto"/>
              <w:bottom w:val="none" w:sz="6" w:space="0" w:color="auto"/>
              <w:right w:val="single" w:sz="6" w:space="0" w:color="000000"/>
            </w:tcBorders>
          </w:tcPr>
          <w:p w14:paraId="51B6ADED" w14:textId="77777777" w:rsidR="00B64EC6" w:rsidRPr="00BF20CF" w:rsidRDefault="00B64EC6">
            <w:pPr>
              <w:pStyle w:val="TableParagraph"/>
              <w:kinsoku w:val="0"/>
              <w:overflowPunct w:val="0"/>
              <w:ind w:right="6"/>
              <w:rPr>
                <w:sz w:val="16"/>
                <w:szCs w:val="16"/>
              </w:rPr>
            </w:pPr>
            <w:r w:rsidRPr="00BF20CF">
              <w:rPr>
                <w:sz w:val="16"/>
                <w:szCs w:val="16"/>
              </w:rPr>
              <w:t>‐7.4%</w:t>
            </w:r>
          </w:p>
        </w:tc>
        <w:tc>
          <w:tcPr>
            <w:tcW w:w="874" w:type="dxa"/>
            <w:tcBorders>
              <w:top w:val="none" w:sz="6" w:space="0" w:color="auto"/>
              <w:left w:val="single" w:sz="6" w:space="0" w:color="000000"/>
              <w:bottom w:val="none" w:sz="6" w:space="0" w:color="auto"/>
              <w:right w:val="none" w:sz="6" w:space="0" w:color="auto"/>
            </w:tcBorders>
          </w:tcPr>
          <w:p w14:paraId="683B3450" w14:textId="77777777" w:rsidR="00B64EC6" w:rsidRPr="00BF20CF" w:rsidRDefault="00B64EC6">
            <w:pPr>
              <w:pStyle w:val="TableParagraph"/>
              <w:kinsoku w:val="0"/>
              <w:overflowPunct w:val="0"/>
              <w:ind w:right="88"/>
              <w:rPr>
                <w:sz w:val="16"/>
                <w:szCs w:val="16"/>
              </w:rPr>
            </w:pPr>
            <w:r w:rsidRPr="00BF20CF">
              <w:rPr>
                <w:sz w:val="16"/>
                <w:szCs w:val="16"/>
              </w:rPr>
              <w:t>174,815</w:t>
            </w:r>
          </w:p>
        </w:tc>
        <w:tc>
          <w:tcPr>
            <w:tcW w:w="485" w:type="dxa"/>
            <w:tcBorders>
              <w:top w:val="none" w:sz="6" w:space="0" w:color="auto"/>
              <w:left w:val="none" w:sz="6" w:space="0" w:color="auto"/>
              <w:bottom w:val="none" w:sz="6" w:space="0" w:color="auto"/>
              <w:right w:val="single" w:sz="6" w:space="0" w:color="000000"/>
            </w:tcBorders>
          </w:tcPr>
          <w:p w14:paraId="4252CB63" w14:textId="77777777" w:rsidR="00B64EC6" w:rsidRPr="00BF20CF" w:rsidRDefault="00B64EC6">
            <w:pPr>
              <w:pStyle w:val="TableParagraph"/>
              <w:kinsoku w:val="0"/>
              <w:overflowPunct w:val="0"/>
              <w:ind w:right="6"/>
              <w:rPr>
                <w:sz w:val="16"/>
                <w:szCs w:val="16"/>
              </w:rPr>
            </w:pPr>
            <w:r w:rsidRPr="00BF20CF">
              <w:rPr>
                <w:sz w:val="16"/>
                <w:szCs w:val="16"/>
              </w:rPr>
              <w:t>‐8.8%</w:t>
            </w:r>
          </w:p>
        </w:tc>
        <w:tc>
          <w:tcPr>
            <w:tcW w:w="753" w:type="dxa"/>
            <w:tcBorders>
              <w:top w:val="none" w:sz="6" w:space="0" w:color="auto"/>
              <w:left w:val="single" w:sz="6" w:space="0" w:color="000000"/>
              <w:bottom w:val="none" w:sz="6" w:space="0" w:color="auto"/>
              <w:right w:val="none" w:sz="6" w:space="0" w:color="auto"/>
            </w:tcBorders>
          </w:tcPr>
          <w:p w14:paraId="7D516522" w14:textId="77777777" w:rsidR="00B64EC6" w:rsidRPr="00BF20CF" w:rsidRDefault="00B64EC6">
            <w:pPr>
              <w:pStyle w:val="TableParagraph"/>
              <w:kinsoku w:val="0"/>
              <w:overflowPunct w:val="0"/>
              <w:ind w:right="50"/>
              <w:rPr>
                <w:sz w:val="16"/>
                <w:szCs w:val="16"/>
              </w:rPr>
            </w:pPr>
            <w:r w:rsidRPr="00BF20CF">
              <w:rPr>
                <w:sz w:val="16"/>
                <w:szCs w:val="16"/>
              </w:rPr>
              <w:t>102,709</w:t>
            </w:r>
          </w:p>
        </w:tc>
        <w:tc>
          <w:tcPr>
            <w:tcW w:w="525" w:type="dxa"/>
            <w:tcBorders>
              <w:top w:val="none" w:sz="6" w:space="0" w:color="auto"/>
              <w:left w:val="none" w:sz="6" w:space="0" w:color="auto"/>
              <w:bottom w:val="none" w:sz="6" w:space="0" w:color="auto"/>
              <w:right w:val="single" w:sz="6" w:space="0" w:color="000000"/>
            </w:tcBorders>
          </w:tcPr>
          <w:p w14:paraId="36A1D731" w14:textId="77777777" w:rsidR="00B64EC6" w:rsidRPr="00BF20CF" w:rsidRDefault="00B64EC6">
            <w:pPr>
              <w:pStyle w:val="TableParagraph"/>
              <w:kinsoku w:val="0"/>
              <w:overflowPunct w:val="0"/>
              <w:ind w:right="7"/>
              <w:rPr>
                <w:sz w:val="16"/>
                <w:szCs w:val="16"/>
              </w:rPr>
            </w:pPr>
            <w:r w:rsidRPr="00BF20CF">
              <w:rPr>
                <w:sz w:val="16"/>
                <w:szCs w:val="16"/>
              </w:rPr>
              <w:t>‐15.6%</w:t>
            </w:r>
          </w:p>
        </w:tc>
        <w:tc>
          <w:tcPr>
            <w:tcW w:w="813" w:type="dxa"/>
            <w:tcBorders>
              <w:top w:val="none" w:sz="6" w:space="0" w:color="auto"/>
              <w:left w:val="single" w:sz="6" w:space="0" w:color="000000"/>
              <w:bottom w:val="none" w:sz="6" w:space="0" w:color="auto"/>
              <w:right w:val="none" w:sz="6" w:space="0" w:color="auto"/>
            </w:tcBorders>
          </w:tcPr>
          <w:p w14:paraId="79C946CB" w14:textId="77777777" w:rsidR="00B64EC6" w:rsidRPr="00BF20CF" w:rsidRDefault="00B64EC6">
            <w:pPr>
              <w:pStyle w:val="TableParagraph"/>
              <w:kinsoku w:val="0"/>
              <w:overflowPunct w:val="0"/>
              <w:ind w:right="50"/>
              <w:rPr>
                <w:sz w:val="16"/>
                <w:szCs w:val="16"/>
              </w:rPr>
            </w:pPr>
            <w:r w:rsidRPr="00BF20CF">
              <w:rPr>
                <w:sz w:val="16"/>
                <w:szCs w:val="16"/>
              </w:rPr>
              <w:t>10,344</w:t>
            </w:r>
          </w:p>
        </w:tc>
        <w:tc>
          <w:tcPr>
            <w:tcW w:w="525" w:type="dxa"/>
            <w:tcBorders>
              <w:top w:val="none" w:sz="6" w:space="0" w:color="auto"/>
              <w:left w:val="none" w:sz="6" w:space="0" w:color="auto"/>
              <w:bottom w:val="none" w:sz="6" w:space="0" w:color="auto"/>
              <w:right w:val="single" w:sz="6" w:space="0" w:color="000000"/>
            </w:tcBorders>
          </w:tcPr>
          <w:p w14:paraId="39ADCB57" w14:textId="77777777" w:rsidR="00B64EC6" w:rsidRPr="00BF20CF" w:rsidRDefault="00B64EC6">
            <w:pPr>
              <w:pStyle w:val="TableParagraph"/>
              <w:kinsoku w:val="0"/>
              <w:overflowPunct w:val="0"/>
              <w:ind w:left="178"/>
              <w:jc w:val="center"/>
              <w:rPr>
                <w:sz w:val="16"/>
                <w:szCs w:val="16"/>
              </w:rPr>
            </w:pPr>
            <w:r w:rsidRPr="00BF20CF">
              <w:rPr>
                <w:sz w:val="16"/>
                <w:szCs w:val="16"/>
              </w:rPr>
              <w:t>0.0%</w:t>
            </w:r>
          </w:p>
        </w:tc>
      </w:tr>
      <w:tr w:rsidR="00B64EC6" w:rsidRPr="00BF20CF" w14:paraId="0C3D6FF9" w14:textId="77777777">
        <w:trPr>
          <w:trHeight w:val="212"/>
        </w:trPr>
        <w:tc>
          <w:tcPr>
            <w:tcW w:w="608" w:type="dxa"/>
            <w:tcBorders>
              <w:top w:val="none" w:sz="6" w:space="0" w:color="auto"/>
              <w:left w:val="single" w:sz="6" w:space="0" w:color="000000"/>
              <w:bottom w:val="none" w:sz="6" w:space="0" w:color="auto"/>
              <w:right w:val="single" w:sz="6" w:space="0" w:color="000000"/>
            </w:tcBorders>
          </w:tcPr>
          <w:p w14:paraId="54E76AFD" w14:textId="77777777" w:rsidR="00B64EC6" w:rsidRPr="00BF20CF" w:rsidRDefault="00B64EC6">
            <w:pPr>
              <w:pStyle w:val="TableParagraph"/>
              <w:kinsoku w:val="0"/>
              <w:overflowPunct w:val="0"/>
              <w:ind w:left="24"/>
              <w:jc w:val="left"/>
              <w:rPr>
                <w:sz w:val="16"/>
                <w:szCs w:val="16"/>
              </w:rPr>
            </w:pPr>
            <w:r w:rsidRPr="00BF20CF">
              <w:rPr>
                <w:sz w:val="16"/>
                <w:szCs w:val="16"/>
              </w:rPr>
              <w:t>2015</w:t>
            </w:r>
          </w:p>
        </w:tc>
        <w:tc>
          <w:tcPr>
            <w:tcW w:w="985" w:type="dxa"/>
            <w:tcBorders>
              <w:top w:val="none" w:sz="6" w:space="0" w:color="auto"/>
              <w:left w:val="single" w:sz="6" w:space="0" w:color="000000"/>
              <w:bottom w:val="none" w:sz="6" w:space="0" w:color="auto"/>
              <w:right w:val="none" w:sz="6" w:space="0" w:color="auto"/>
            </w:tcBorders>
          </w:tcPr>
          <w:p w14:paraId="4D003DCE" w14:textId="77777777" w:rsidR="00B64EC6" w:rsidRPr="00BF20CF" w:rsidRDefault="00B64EC6">
            <w:pPr>
              <w:pStyle w:val="TableParagraph"/>
              <w:kinsoku w:val="0"/>
              <w:overflowPunct w:val="0"/>
              <w:ind w:right="48"/>
              <w:rPr>
                <w:sz w:val="16"/>
                <w:szCs w:val="16"/>
              </w:rPr>
            </w:pPr>
            <w:r w:rsidRPr="00BF20CF">
              <w:rPr>
                <w:sz w:val="16"/>
                <w:szCs w:val="16"/>
              </w:rPr>
              <w:t>357,091</w:t>
            </w:r>
          </w:p>
        </w:tc>
        <w:tc>
          <w:tcPr>
            <w:tcW w:w="525" w:type="dxa"/>
            <w:tcBorders>
              <w:top w:val="none" w:sz="6" w:space="0" w:color="auto"/>
              <w:left w:val="none" w:sz="6" w:space="0" w:color="auto"/>
              <w:bottom w:val="none" w:sz="6" w:space="0" w:color="auto"/>
              <w:right w:val="single" w:sz="6" w:space="0" w:color="000000"/>
            </w:tcBorders>
          </w:tcPr>
          <w:p w14:paraId="1D4FF622" w14:textId="77777777" w:rsidR="00B64EC6" w:rsidRPr="00BF20CF" w:rsidRDefault="00B64EC6">
            <w:pPr>
              <w:pStyle w:val="TableParagraph"/>
              <w:kinsoku w:val="0"/>
              <w:overflowPunct w:val="0"/>
              <w:ind w:right="7"/>
              <w:rPr>
                <w:sz w:val="16"/>
                <w:szCs w:val="16"/>
              </w:rPr>
            </w:pPr>
            <w:r w:rsidRPr="00BF20CF">
              <w:rPr>
                <w:sz w:val="16"/>
                <w:szCs w:val="16"/>
              </w:rPr>
              <w:t>‐0.2%</w:t>
            </w:r>
          </w:p>
        </w:tc>
        <w:tc>
          <w:tcPr>
            <w:tcW w:w="929" w:type="dxa"/>
            <w:tcBorders>
              <w:top w:val="none" w:sz="6" w:space="0" w:color="auto"/>
              <w:left w:val="single" w:sz="6" w:space="0" w:color="000000"/>
              <w:bottom w:val="none" w:sz="6" w:space="0" w:color="auto"/>
              <w:right w:val="none" w:sz="6" w:space="0" w:color="auto"/>
            </w:tcBorders>
          </w:tcPr>
          <w:p w14:paraId="1FA23837" w14:textId="77777777" w:rsidR="00B64EC6" w:rsidRPr="00BF20CF" w:rsidRDefault="00B64EC6">
            <w:pPr>
              <w:pStyle w:val="TableParagraph"/>
              <w:kinsoku w:val="0"/>
              <w:overflowPunct w:val="0"/>
              <w:ind w:right="64"/>
              <w:rPr>
                <w:sz w:val="16"/>
                <w:szCs w:val="16"/>
              </w:rPr>
            </w:pPr>
            <w:r w:rsidRPr="00BF20CF">
              <w:rPr>
                <w:sz w:val="16"/>
                <w:szCs w:val="16"/>
              </w:rPr>
              <w:t>245,936</w:t>
            </w:r>
          </w:p>
        </w:tc>
        <w:tc>
          <w:tcPr>
            <w:tcW w:w="459" w:type="dxa"/>
            <w:tcBorders>
              <w:top w:val="none" w:sz="6" w:space="0" w:color="auto"/>
              <w:left w:val="none" w:sz="6" w:space="0" w:color="auto"/>
              <w:bottom w:val="none" w:sz="6" w:space="0" w:color="auto"/>
              <w:right w:val="single" w:sz="6" w:space="0" w:color="000000"/>
            </w:tcBorders>
          </w:tcPr>
          <w:p w14:paraId="2D5362DC" w14:textId="77777777" w:rsidR="00B64EC6" w:rsidRPr="00BF20CF" w:rsidRDefault="00B64EC6">
            <w:pPr>
              <w:pStyle w:val="TableParagraph"/>
              <w:kinsoku w:val="0"/>
              <w:overflowPunct w:val="0"/>
              <w:ind w:left="118"/>
              <w:jc w:val="center"/>
              <w:rPr>
                <w:sz w:val="16"/>
                <w:szCs w:val="16"/>
              </w:rPr>
            </w:pPr>
            <w:r w:rsidRPr="00BF20CF">
              <w:rPr>
                <w:sz w:val="16"/>
                <w:szCs w:val="16"/>
              </w:rPr>
              <w:t>5.8%</w:t>
            </w:r>
          </w:p>
        </w:tc>
        <w:tc>
          <w:tcPr>
            <w:tcW w:w="833" w:type="dxa"/>
            <w:tcBorders>
              <w:top w:val="none" w:sz="6" w:space="0" w:color="auto"/>
              <w:left w:val="single" w:sz="6" w:space="0" w:color="000000"/>
              <w:bottom w:val="none" w:sz="6" w:space="0" w:color="auto"/>
              <w:right w:val="none" w:sz="6" w:space="0" w:color="auto"/>
            </w:tcBorders>
          </w:tcPr>
          <w:p w14:paraId="73045355" w14:textId="77777777" w:rsidR="00B64EC6" w:rsidRPr="00BF20CF" w:rsidRDefault="00B64EC6">
            <w:pPr>
              <w:pStyle w:val="TableParagraph"/>
              <w:kinsoku w:val="0"/>
              <w:overflowPunct w:val="0"/>
              <w:ind w:right="50"/>
              <w:rPr>
                <w:sz w:val="16"/>
                <w:szCs w:val="16"/>
              </w:rPr>
            </w:pPr>
            <w:r w:rsidRPr="00BF20CF">
              <w:rPr>
                <w:sz w:val="16"/>
                <w:szCs w:val="16"/>
              </w:rPr>
              <w:t>79,880</w:t>
            </w:r>
          </w:p>
        </w:tc>
        <w:tc>
          <w:tcPr>
            <w:tcW w:w="474" w:type="dxa"/>
            <w:tcBorders>
              <w:top w:val="none" w:sz="6" w:space="0" w:color="auto"/>
              <w:left w:val="none" w:sz="6" w:space="0" w:color="auto"/>
              <w:bottom w:val="none" w:sz="6" w:space="0" w:color="auto"/>
              <w:right w:val="single" w:sz="6" w:space="0" w:color="000000"/>
            </w:tcBorders>
          </w:tcPr>
          <w:p w14:paraId="07FDD3AD" w14:textId="77777777" w:rsidR="00B64EC6" w:rsidRPr="00BF20CF" w:rsidRDefault="00B64EC6">
            <w:pPr>
              <w:pStyle w:val="TableParagraph"/>
              <w:kinsoku w:val="0"/>
              <w:overflowPunct w:val="0"/>
              <w:ind w:right="6"/>
              <w:rPr>
                <w:sz w:val="16"/>
                <w:szCs w:val="16"/>
              </w:rPr>
            </w:pPr>
            <w:r w:rsidRPr="00BF20CF">
              <w:rPr>
                <w:sz w:val="16"/>
                <w:szCs w:val="16"/>
              </w:rPr>
              <w:t>22.7%</w:t>
            </w:r>
          </w:p>
        </w:tc>
        <w:tc>
          <w:tcPr>
            <w:tcW w:w="874" w:type="dxa"/>
            <w:tcBorders>
              <w:top w:val="none" w:sz="6" w:space="0" w:color="auto"/>
              <w:left w:val="single" w:sz="6" w:space="0" w:color="000000"/>
              <w:bottom w:val="none" w:sz="6" w:space="0" w:color="auto"/>
              <w:right w:val="none" w:sz="6" w:space="0" w:color="auto"/>
            </w:tcBorders>
          </w:tcPr>
          <w:p w14:paraId="2FAE47A0" w14:textId="77777777" w:rsidR="00B64EC6" w:rsidRPr="00BF20CF" w:rsidRDefault="00B64EC6">
            <w:pPr>
              <w:pStyle w:val="TableParagraph"/>
              <w:kinsoku w:val="0"/>
              <w:overflowPunct w:val="0"/>
              <w:ind w:right="88"/>
              <w:rPr>
                <w:sz w:val="16"/>
                <w:szCs w:val="16"/>
              </w:rPr>
            </w:pPr>
            <w:r w:rsidRPr="00BF20CF">
              <w:rPr>
                <w:sz w:val="16"/>
                <w:szCs w:val="16"/>
              </w:rPr>
              <w:t>169,512</w:t>
            </w:r>
          </w:p>
        </w:tc>
        <w:tc>
          <w:tcPr>
            <w:tcW w:w="485" w:type="dxa"/>
            <w:tcBorders>
              <w:top w:val="none" w:sz="6" w:space="0" w:color="auto"/>
              <w:left w:val="none" w:sz="6" w:space="0" w:color="auto"/>
              <w:bottom w:val="none" w:sz="6" w:space="0" w:color="auto"/>
              <w:right w:val="single" w:sz="6" w:space="0" w:color="000000"/>
            </w:tcBorders>
          </w:tcPr>
          <w:p w14:paraId="4BFE8C4E" w14:textId="77777777" w:rsidR="00B64EC6" w:rsidRPr="00BF20CF" w:rsidRDefault="00B64EC6">
            <w:pPr>
              <w:pStyle w:val="TableParagraph"/>
              <w:kinsoku w:val="0"/>
              <w:overflowPunct w:val="0"/>
              <w:ind w:right="6"/>
              <w:rPr>
                <w:sz w:val="16"/>
                <w:szCs w:val="16"/>
              </w:rPr>
            </w:pPr>
            <w:r w:rsidRPr="00BF20CF">
              <w:rPr>
                <w:sz w:val="16"/>
                <w:szCs w:val="16"/>
              </w:rPr>
              <w:t>‐3.0%</w:t>
            </w:r>
          </w:p>
        </w:tc>
        <w:tc>
          <w:tcPr>
            <w:tcW w:w="753" w:type="dxa"/>
            <w:tcBorders>
              <w:top w:val="none" w:sz="6" w:space="0" w:color="auto"/>
              <w:left w:val="single" w:sz="6" w:space="0" w:color="000000"/>
              <w:bottom w:val="none" w:sz="6" w:space="0" w:color="auto"/>
              <w:right w:val="none" w:sz="6" w:space="0" w:color="auto"/>
            </w:tcBorders>
          </w:tcPr>
          <w:p w14:paraId="7F597B9A" w14:textId="77777777" w:rsidR="00B64EC6" w:rsidRPr="00BF20CF" w:rsidRDefault="00B64EC6">
            <w:pPr>
              <w:pStyle w:val="TableParagraph"/>
              <w:kinsoku w:val="0"/>
              <w:overflowPunct w:val="0"/>
              <w:ind w:right="50"/>
              <w:rPr>
                <w:sz w:val="16"/>
                <w:szCs w:val="16"/>
              </w:rPr>
            </w:pPr>
            <w:r w:rsidRPr="00BF20CF">
              <w:rPr>
                <w:sz w:val="16"/>
                <w:szCs w:val="16"/>
              </w:rPr>
              <w:t>104,951</w:t>
            </w:r>
          </w:p>
        </w:tc>
        <w:tc>
          <w:tcPr>
            <w:tcW w:w="525" w:type="dxa"/>
            <w:tcBorders>
              <w:top w:val="none" w:sz="6" w:space="0" w:color="auto"/>
              <w:left w:val="none" w:sz="6" w:space="0" w:color="auto"/>
              <w:bottom w:val="none" w:sz="6" w:space="0" w:color="auto"/>
              <w:right w:val="single" w:sz="6" w:space="0" w:color="000000"/>
            </w:tcBorders>
          </w:tcPr>
          <w:p w14:paraId="26E7B909" w14:textId="77777777" w:rsidR="00B64EC6" w:rsidRPr="00BF20CF" w:rsidRDefault="00B64EC6">
            <w:pPr>
              <w:pStyle w:val="TableParagraph"/>
              <w:kinsoku w:val="0"/>
              <w:overflowPunct w:val="0"/>
              <w:ind w:right="6"/>
              <w:rPr>
                <w:sz w:val="16"/>
                <w:szCs w:val="16"/>
              </w:rPr>
            </w:pPr>
            <w:r w:rsidRPr="00BF20CF">
              <w:rPr>
                <w:sz w:val="16"/>
                <w:szCs w:val="16"/>
              </w:rPr>
              <w:t>2.2%</w:t>
            </w:r>
          </w:p>
        </w:tc>
        <w:tc>
          <w:tcPr>
            <w:tcW w:w="813" w:type="dxa"/>
            <w:tcBorders>
              <w:top w:val="none" w:sz="6" w:space="0" w:color="auto"/>
              <w:left w:val="single" w:sz="6" w:space="0" w:color="000000"/>
              <w:bottom w:val="none" w:sz="6" w:space="0" w:color="auto"/>
              <w:right w:val="none" w:sz="6" w:space="0" w:color="auto"/>
            </w:tcBorders>
          </w:tcPr>
          <w:p w14:paraId="22B24BF0" w14:textId="77777777" w:rsidR="00B64EC6" w:rsidRPr="00BF20CF" w:rsidRDefault="00B64EC6">
            <w:pPr>
              <w:pStyle w:val="TableParagraph"/>
              <w:kinsoku w:val="0"/>
              <w:overflowPunct w:val="0"/>
              <w:ind w:right="49"/>
              <w:rPr>
                <w:sz w:val="16"/>
                <w:szCs w:val="16"/>
              </w:rPr>
            </w:pPr>
            <w:r w:rsidRPr="00BF20CF">
              <w:rPr>
                <w:sz w:val="16"/>
                <w:szCs w:val="16"/>
              </w:rPr>
              <w:t>10,810</w:t>
            </w:r>
          </w:p>
        </w:tc>
        <w:tc>
          <w:tcPr>
            <w:tcW w:w="525" w:type="dxa"/>
            <w:tcBorders>
              <w:top w:val="none" w:sz="6" w:space="0" w:color="auto"/>
              <w:left w:val="none" w:sz="6" w:space="0" w:color="auto"/>
              <w:bottom w:val="none" w:sz="6" w:space="0" w:color="auto"/>
              <w:right w:val="single" w:sz="6" w:space="0" w:color="000000"/>
            </w:tcBorders>
          </w:tcPr>
          <w:p w14:paraId="2D17FC79" w14:textId="77777777" w:rsidR="00B64EC6" w:rsidRPr="00BF20CF" w:rsidRDefault="00B64EC6">
            <w:pPr>
              <w:pStyle w:val="TableParagraph"/>
              <w:kinsoku w:val="0"/>
              <w:overflowPunct w:val="0"/>
              <w:ind w:left="180"/>
              <w:jc w:val="center"/>
              <w:rPr>
                <w:sz w:val="16"/>
                <w:szCs w:val="16"/>
              </w:rPr>
            </w:pPr>
            <w:r w:rsidRPr="00BF20CF">
              <w:rPr>
                <w:sz w:val="16"/>
                <w:szCs w:val="16"/>
              </w:rPr>
              <w:t>4.5%</w:t>
            </w:r>
          </w:p>
        </w:tc>
      </w:tr>
      <w:tr w:rsidR="00B64EC6" w:rsidRPr="00BF20CF" w14:paraId="3E1E2D5F" w14:textId="77777777">
        <w:trPr>
          <w:trHeight w:val="212"/>
        </w:trPr>
        <w:tc>
          <w:tcPr>
            <w:tcW w:w="608" w:type="dxa"/>
            <w:tcBorders>
              <w:top w:val="none" w:sz="6" w:space="0" w:color="auto"/>
              <w:left w:val="single" w:sz="6" w:space="0" w:color="000000"/>
              <w:bottom w:val="none" w:sz="6" w:space="0" w:color="auto"/>
              <w:right w:val="single" w:sz="6" w:space="0" w:color="000000"/>
            </w:tcBorders>
          </w:tcPr>
          <w:p w14:paraId="2BFD57E9" w14:textId="77777777" w:rsidR="00B64EC6" w:rsidRPr="00BF20CF" w:rsidRDefault="00B64EC6">
            <w:pPr>
              <w:pStyle w:val="TableParagraph"/>
              <w:kinsoku w:val="0"/>
              <w:overflowPunct w:val="0"/>
              <w:ind w:left="24"/>
              <w:jc w:val="left"/>
              <w:rPr>
                <w:sz w:val="16"/>
                <w:szCs w:val="16"/>
              </w:rPr>
            </w:pPr>
            <w:r w:rsidRPr="00BF20CF">
              <w:rPr>
                <w:sz w:val="16"/>
                <w:szCs w:val="16"/>
              </w:rPr>
              <w:t>2016</w:t>
            </w:r>
          </w:p>
        </w:tc>
        <w:tc>
          <w:tcPr>
            <w:tcW w:w="985" w:type="dxa"/>
            <w:tcBorders>
              <w:top w:val="none" w:sz="6" w:space="0" w:color="auto"/>
              <w:left w:val="single" w:sz="6" w:space="0" w:color="000000"/>
              <w:bottom w:val="none" w:sz="6" w:space="0" w:color="auto"/>
              <w:right w:val="none" w:sz="6" w:space="0" w:color="auto"/>
            </w:tcBorders>
          </w:tcPr>
          <w:p w14:paraId="31223ED1" w14:textId="77777777" w:rsidR="00B64EC6" w:rsidRPr="00BF20CF" w:rsidRDefault="00B64EC6">
            <w:pPr>
              <w:pStyle w:val="TableParagraph"/>
              <w:kinsoku w:val="0"/>
              <w:overflowPunct w:val="0"/>
              <w:ind w:right="48"/>
              <w:rPr>
                <w:sz w:val="16"/>
                <w:szCs w:val="16"/>
              </w:rPr>
            </w:pPr>
            <w:r w:rsidRPr="00BF20CF">
              <w:rPr>
                <w:sz w:val="16"/>
                <w:szCs w:val="16"/>
              </w:rPr>
              <w:t>355,176</w:t>
            </w:r>
          </w:p>
        </w:tc>
        <w:tc>
          <w:tcPr>
            <w:tcW w:w="525" w:type="dxa"/>
            <w:tcBorders>
              <w:top w:val="none" w:sz="6" w:space="0" w:color="auto"/>
              <w:left w:val="none" w:sz="6" w:space="0" w:color="auto"/>
              <w:bottom w:val="none" w:sz="6" w:space="0" w:color="auto"/>
              <w:right w:val="single" w:sz="6" w:space="0" w:color="000000"/>
            </w:tcBorders>
          </w:tcPr>
          <w:p w14:paraId="09D0A21C" w14:textId="77777777" w:rsidR="00B64EC6" w:rsidRPr="00BF20CF" w:rsidRDefault="00B64EC6">
            <w:pPr>
              <w:pStyle w:val="TableParagraph"/>
              <w:kinsoku w:val="0"/>
              <w:overflowPunct w:val="0"/>
              <w:ind w:right="5"/>
              <w:rPr>
                <w:sz w:val="16"/>
                <w:szCs w:val="16"/>
              </w:rPr>
            </w:pPr>
            <w:r w:rsidRPr="00BF20CF">
              <w:rPr>
                <w:sz w:val="16"/>
                <w:szCs w:val="16"/>
              </w:rPr>
              <w:t>‐0.5%</w:t>
            </w:r>
          </w:p>
        </w:tc>
        <w:tc>
          <w:tcPr>
            <w:tcW w:w="929" w:type="dxa"/>
            <w:tcBorders>
              <w:top w:val="none" w:sz="6" w:space="0" w:color="auto"/>
              <w:left w:val="single" w:sz="6" w:space="0" w:color="000000"/>
              <w:bottom w:val="none" w:sz="6" w:space="0" w:color="auto"/>
              <w:right w:val="none" w:sz="6" w:space="0" w:color="auto"/>
            </w:tcBorders>
          </w:tcPr>
          <w:p w14:paraId="23E7B8E8" w14:textId="77777777" w:rsidR="00B64EC6" w:rsidRPr="00BF20CF" w:rsidRDefault="00B64EC6">
            <w:pPr>
              <w:pStyle w:val="TableParagraph"/>
              <w:kinsoku w:val="0"/>
              <w:overflowPunct w:val="0"/>
              <w:ind w:right="63"/>
              <w:rPr>
                <w:sz w:val="16"/>
                <w:szCs w:val="16"/>
              </w:rPr>
            </w:pPr>
            <w:r w:rsidRPr="00BF20CF">
              <w:rPr>
                <w:sz w:val="16"/>
                <w:szCs w:val="16"/>
              </w:rPr>
              <w:t>264,544</w:t>
            </w:r>
          </w:p>
        </w:tc>
        <w:tc>
          <w:tcPr>
            <w:tcW w:w="459" w:type="dxa"/>
            <w:tcBorders>
              <w:top w:val="none" w:sz="6" w:space="0" w:color="auto"/>
              <w:left w:val="none" w:sz="6" w:space="0" w:color="auto"/>
              <w:bottom w:val="none" w:sz="6" w:space="0" w:color="auto"/>
              <w:right w:val="single" w:sz="6" w:space="0" w:color="000000"/>
            </w:tcBorders>
          </w:tcPr>
          <w:p w14:paraId="0BAD609F" w14:textId="77777777" w:rsidR="00B64EC6" w:rsidRPr="00BF20CF" w:rsidRDefault="00B64EC6">
            <w:pPr>
              <w:pStyle w:val="TableParagraph"/>
              <w:kinsoku w:val="0"/>
              <w:overflowPunct w:val="0"/>
              <w:ind w:left="118"/>
              <w:jc w:val="center"/>
              <w:rPr>
                <w:sz w:val="16"/>
                <w:szCs w:val="16"/>
              </w:rPr>
            </w:pPr>
            <w:r w:rsidRPr="00BF20CF">
              <w:rPr>
                <w:sz w:val="16"/>
                <w:szCs w:val="16"/>
              </w:rPr>
              <w:t>7.6%</w:t>
            </w:r>
          </w:p>
        </w:tc>
        <w:tc>
          <w:tcPr>
            <w:tcW w:w="833" w:type="dxa"/>
            <w:tcBorders>
              <w:top w:val="none" w:sz="6" w:space="0" w:color="auto"/>
              <w:left w:val="single" w:sz="6" w:space="0" w:color="000000"/>
              <w:bottom w:val="none" w:sz="6" w:space="0" w:color="auto"/>
              <w:right w:val="none" w:sz="6" w:space="0" w:color="auto"/>
            </w:tcBorders>
          </w:tcPr>
          <w:p w14:paraId="15605A0E" w14:textId="77777777" w:rsidR="00B64EC6" w:rsidRPr="00BF20CF" w:rsidRDefault="00B64EC6">
            <w:pPr>
              <w:pStyle w:val="TableParagraph"/>
              <w:kinsoku w:val="0"/>
              <w:overflowPunct w:val="0"/>
              <w:ind w:right="47"/>
              <w:rPr>
                <w:sz w:val="16"/>
                <w:szCs w:val="16"/>
              </w:rPr>
            </w:pPr>
            <w:r w:rsidRPr="00BF20CF">
              <w:rPr>
                <w:sz w:val="16"/>
                <w:szCs w:val="16"/>
              </w:rPr>
              <w:t>85,387</w:t>
            </w:r>
          </w:p>
        </w:tc>
        <w:tc>
          <w:tcPr>
            <w:tcW w:w="474" w:type="dxa"/>
            <w:tcBorders>
              <w:top w:val="none" w:sz="6" w:space="0" w:color="auto"/>
              <w:left w:val="none" w:sz="6" w:space="0" w:color="auto"/>
              <w:bottom w:val="none" w:sz="6" w:space="0" w:color="auto"/>
              <w:right w:val="single" w:sz="6" w:space="0" w:color="000000"/>
            </w:tcBorders>
          </w:tcPr>
          <w:p w14:paraId="2C6B7798" w14:textId="77777777" w:rsidR="00B64EC6" w:rsidRPr="00BF20CF" w:rsidRDefault="00B64EC6">
            <w:pPr>
              <w:pStyle w:val="TableParagraph"/>
              <w:kinsoku w:val="0"/>
              <w:overflowPunct w:val="0"/>
              <w:ind w:right="4"/>
              <w:rPr>
                <w:sz w:val="16"/>
                <w:szCs w:val="16"/>
              </w:rPr>
            </w:pPr>
            <w:r w:rsidRPr="00BF20CF">
              <w:rPr>
                <w:sz w:val="16"/>
                <w:szCs w:val="16"/>
              </w:rPr>
              <w:t>6.9%</w:t>
            </w:r>
          </w:p>
        </w:tc>
        <w:tc>
          <w:tcPr>
            <w:tcW w:w="874" w:type="dxa"/>
            <w:tcBorders>
              <w:top w:val="none" w:sz="6" w:space="0" w:color="auto"/>
              <w:left w:val="single" w:sz="6" w:space="0" w:color="000000"/>
              <w:bottom w:val="none" w:sz="6" w:space="0" w:color="auto"/>
              <w:right w:val="none" w:sz="6" w:space="0" w:color="auto"/>
            </w:tcBorders>
          </w:tcPr>
          <w:p w14:paraId="31D7D803" w14:textId="77777777" w:rsidR="00B64EC6" w:rsidRPr="00BF20CF" w:rsidRDefault="00B64EC6">
            <w:pPr>
              <w:pStyle w:val="TableParagraph"/>
              <w:kinsoku w:val="0"/>
              <w:overflowPunct w:val="0"/>
              <w:ind w:right="88"/>
              <w:rPr>
                <w:sz w:val="16"/>
                <w:szCs w:val="16"/>
              </w:rPr>
            </w:pPr>
            <w:r w:rsidRPr="00BF20CF">
              <w:rPr>
                <w:sz w:val="16"/>
                <w:szCs w:val="16"/>
              </w:rPr>
              <w:t>165,417</w:t>
            </w:r>
          </w:p>
        </w:tc>
        <w:tc>
          <w:tcPr>
            <w:tcW w:w="485" w:type="dxa"/>
            <w:tcBorders>
              <w:top w:val="none" w:sz="6" w:space="0" w:color="auto"/>
              <w:left w:val="none" w:sz="6" w:space="0" w:color="auto"/>
              <w:bottom w:val="none" w:sz="6" w:space="0" w:color="auto"/>
              <w:right w:val="single" w:sz="6" w:space="0" w:color="000000"/>
            </w:tcBorders>
          </w:tcPr>
          <w:p w14:paraId="4086C41B" w14:textId="77777777" w:rsidR="00B64EC6" w:rsidRPr="00BF20CF" w:rsidRDefault="00B64EC6">
            <w:pPr>
              <w:pStyle w:val="TableParagraph"/>
              <w:kinsoku w:val="0"/>
              <w:overflowPunct w:val="0"/>
              <w:ind w:right="6"/>
              <w:rPr>
                <w:sz w:val="16"/>
                <w:szCs w:val="16"/>
              </w:rPr>
            </w:pPr>
            <w:r w:rsidRPr="00BF20CF">
              <w:rPr>
                <w:sz w:val="16"/>
                <w:szCs w:val="16"/>
              </w:rPr>
              <w:t>‐2.4%</w:t>
            </w:r>
          </w:p>
        </w:tc>
        <w:tc>
          <w:tcPr>
            <w:tcW w:w="753" w:type="dxa"/>
            <w:tcBorders>
              <w:top w:val="none" w:sz="6" w:space="0" w:color="auto"/>
              <w:left w:val="single" w:sz="6" w:space="0" w:color="000000"/>
              <w:bottom w:val="none" w:sz="6" w:space="0" w:color="auto"/>
              <w:right w:val="none" w:sz="6" w:space="0" w:color="auto"/>
            </w:tcBorders>
          </w:tcPr>
          <w:p w14:paraId="0D1E118F" w14:textId="77777777" w:rsidR="00B64EC6" w:rsidRPr="00BF20CF" w:rsidRDefault="00B64EC6">
            <w:pPr>
              <w:pStyle w:val="TableParagraph"/>
              <w:kinsoku w:val="0"/>
              <w:overflowPunct w:val="0"/>
              <w:ind w:right="50"/>
              <w:rPr>
                <w:sz w:val="16"/>
                <w:szCs w:val="16"/>
              </w:rPr>
            </w:pPr>
            <w:r w:rsidRPr="00BF20CF">
              <w:rPr>
                <w:sz w:val="16"/>
                <w:szCs w:val="16"/>
              </w:rPr>
              <w:t>104,754</w:t>
            </w:r>
          </w:p>
        </w:tc>
        <w:tc>
          <w:tcPr>
            <w:tcW w:w="525" w:type="dxa"/>
            <w:tcBorders>
              <w:top w:val="none" w:sz="6" w:space="0" w:color="auto"/>
              <w:left w:val="none" w:sz="6" w:space="0" w:color="auto"/>
              <w:bottom w:val="none" w:sz="6" w:space="0" w:color="auto"/>
              <w:right w:val="single" w:sz="6" w:space="0" w:color="000000"/>
            </w:tcBorders>
          </w:tcPr>
          <w:p w14:paraId="559454F1" w14:textId="77777777" w:rsidR="00B64EC6" w:rsidRPr="00BF20CF" w:rsidRDefault="00B64EC6">
            <w:pPr>
              <w:pStyle w:val="TableParagraph"/>
              <w:kinsoku w:val="0"/>
              <w:overflowPunct w:val="0"/>
              <w:ind w:right="7"/>
              <w:rPr>
                <w:sz w:val="16"/>
                <w:szCs w:val="16"/>
              </w:rPr>
            </w:pPr>
            <w:r w:rsidRPr="00BF20CF">
              <w:rPr>
                <w:sz w:val="16"/>
                <w:szCs w:val="16"/>
              </w:rPr>
              <w:t>‐0.2%</w:t>
            </w:r>
          </w:p>
        </w:tc>
        <w:tc>
          <w:tcPr>
            <w:tcW w:w="813" w:type="dxa"/>
            <w:tcBorders>
              <w:top w:val="none" w:sz="6" w:space="0" w:color="auto"/>
              <w:left w:val="single" w:sz="6" w:space="0" w:color="000000"/>
              <w:bottom w:val="none" w:sz="6" w:space="0" w:color="auto"/>
              <w:right w:val="none" w:sz="6" w:space="0" w:color="auto"/>
            </w:tcBorders>
          </w:tcPr>
          <w:p w14:paraId="368B9205" w14:textId="77777777" w:rsidR="00B64EC6" w:rsidRPr="00BF20CF" w:rsidRDefault="00B64EC6">
            <w:pPr>
              <w:pStyle w:val="TableParagraph"/>
              <w:kinsoku w:val="0"/>
              <w:overflowPunct w:val="0"/>
              <w:ind w:right="50"/>
              <w:rPr>
                <w:sz w:val="16"/>
                <w:szCs w:val="16"/>
              </w:rPr>
            </w:pPr>
            <w:r w:rsidRPr="00BF20CF">
              <w:rPr>
                <w:sz w:val="16"/>
                <w:szCs w:val="16"/>
              </w:rPr>
              <w:t>10,665</w:t>
            </w:r>
          </w:p>
        </w:tc>
        <w:tc>
          <w:tcPr>
            <w:tcW w:w="525" w:type="dxa"/>
            <w:tcBorders>
              <w:top w:val="none" w:sz="6" w:space="0" w:color="auto"/>
              <w:left w:val="none" w:sz="6" w:space="0" w:color="auto"/>
              <w:bottom w:val="none" w:sz="6" w:space="0" w:color="auto"/>
              <w:right w:val="single" w:sz="6" w:space="0" w:color="000000"/>
            </w:tcBorders>
          </w:tcPr>
          <w:p w14:paraId="236D95F2" w14:textId="77777777" w:rsidR="00B64EC6" w:rsidRPr="00BF20CF" w:rsidRDefault="00B64EC6">
            <w:pPr>
              <w:pStyle w:val="TableParagraph"/>
              <w:kinsoku w:val="0"/>
              <w:overflowPunct w:val="0"/>
              <w:ind w:left="128"/>
              <w:jc w:val="center"/>
              <w:rPr>
                <w:sz w:val="16"/>
                <w:szCs w:val="16"/>
              </w:rPr>
            </w:pPr>
            <w:r w:rsidRPr="00BF20CF">
              <w:rPr>
                <w:sz w:val="16"/>
                <w:szCs w:val="16"/>
              </w:rPr>
              <w:t>‐1.3%</w:t>
            </w:r>
          </w:p>
        </w:tc>
      </w:tr>
      <w:tr w:rsidR="00B64EC6" w:rsidRPr="00BF20CF" w14:paraId="634B8F6A" w14:textId="77777777">
        <w:trPr>
          <w:trHeight w:val="212"/>
        </w:trPr>
        <w:tc>
          <w:tcPr>
            <w:tcW w:w="608" w:type="dxa"/>
            <w:tcBorders>
              <w:top w:val="none" w:sz="6" w:space="0" w:color="auto"/>
              <w:left w:val="single" w:sz="6" w:space="0" w:color="000000"/>
              <w:bottom w:val="none" w:sz="6" w:space="0" w:color="auto"/>
              <w:right w:val="single" w:sz="6" w:space="0" w:color="000000"/>
            </w:tcBorders>
          </w:tcPr>
          <w:p w14:paraId="26BF61CA" w14:textId="77777777" w:rsidR="00B64EC6" w:rsidRPr="00BF20CF" w:rsidRDefault="00B64EC6">
            <w:pPr>
              <w:pStyle w:val="TableParagraph"/>
              <w:kinsoku w:val="0"/>
              <w:overflowPunct w:val="0"/>
              <w:ind w:left="24"/>
              <w:jc w:val="left"/>
              <w:rPr>
                <w:sz w:val="16"/>
                <w:szCs w:val="16"/>
              </w:rPr>
            </w:pPr>
            <w:r w:rsidRPr="00BF20CF">
              <w:rPr>
                <w:sz w:val="16"/>
                <w:szCs w:val="16"/>
              </w:rPr>
              <w:t>2017</w:t>
            </w:r>
          </w:p>
        </w:tc>
        <w:tc>
          <w:tcPr>
            <w:tcW w:w="985" w:type="dxa"/>
            <w:tcBorders>
              <w:top w:val="none" w:sz="6" w:space="0" w:color="auto"/>
              <w:left w:val="single" w:sz="6" w:space="0" w:color="000000"/>
              <w:bottom w:val="none" w:sz="6" w:space="0" w:color="auto"/>
              <w:right w:val="none" w:sz="6" w:space="0" w:color="auto"/>
            </w:tcBorders>
          </w:tcPr>
          <w:p w14:paraId="171758C7" w14:textId="77777777" w:rsidR="00B64EC6" w:rsidRPr="00BF20CF" w:rsidRDefault="00B64EC6">
            <w:pPr>
              <w:pStyle w:val="TableParagraph"/>
              <w:kinsoku w:val="0"/>
              <w:overflowPunct w:val="0"/>
              <w:ind w:right="48"/>
              <w:rPr>
                <w:sz w:val="16"/>
                <w:szCs w:val="16"/>
              </w:rPr>
            </w:pPr>
            <w:r w:rsidRPr="00BF20CF">
              <w:rPr>
                <w:sz w:val="16"/>
                <w:szCs w:val="16"/>
              </w:rPr>
              <w:t>324,676</w:t>
            </w:r>
          </w:p>
        </w:tc>
        <w:tc>
          <w:tcPr>
            <w:tcW w:w="525" w:type="dxa"/>
            <w:tcBorders>
              <w:top w:val="none" w:sz="6" w:space="0" w:color="auto"/>
              <w:left w:val="none" w:sz="6" w:space="0" w:color="auto"/>
              <w:bottom w:val="none" w:sz="6" w:space="0" w:color="auto"/>
              <w:right w:val="single" w:sz="6" w:space="0" w:color="000000"/>
            </w:tcBorders>
          </w:tcPr>
          <w:p w14:paraId="75B58E53" w14:textId="77777777" w:rsidR="00B64EC6" w:rsidRPr="00BF20CF" w:rsidRDefault="00B64EC6">
            <w:pPr>
              <w:pStyle w:val="TableParagraph"/>
              <w:kinsoku w:val="0"/>
              <w:overflowPunct w:val="0"/>
              <w:ind w:right="7"/>
              <w:rPr>
                <w:sz w:val="16"/>
                <w:szCs w:val="16"/>
              </w:rPr>
            </w:pPr>
            <w:r w:rsidRPr="00BF20CF">
              <w:rPr>
                <w:sz w:val="16"/>
                <w:szCs w:val="16"/>
              </w:rPr>
              <w:t>‐8.6%</w:t>
            </w:r>
          </w:p>
        </w:tc>
        <w:tc>
          <w:tcPr>
            <w:tcW w:w="929" w:type="dxa"/>
            <w:tcBorders>
              <w:top w:val="none" w:sz="6" w:space="0" w:color="auto"/>
              <w:left w:val="single" w:sz="6" w:space="0" w:color="000000"/>
              <w:bottom w:val="none" w:sz="6" w:space="0" w:color="auto"/>
              <w:right w:val="none" w:sz="6" w:space="0" w:color="auto"/>
            </w:tcBorders>
          </w:tcPr>
          <w:p w14:paraId="512203A8" w14:textId="77777777" w:rsidR="00B64EC6" w:rsidRPr="00BF20CF" w:rsidRDefault="00B64EC6">
            <w:pPr>
              <w:pStyle w:val="TableParagraph"/>
              <w:kinsoku w:val="0"/>
              <w:overflowPunct w:val="0"/>
              <w:ind w:right="65"/>
              <w:rPr>
                <w:sz w:val="16"/>
                <w:szCs w:val="16"/>
              </w:rPr>
            </w:pPr>
            <w:r w:rsidRPr="00BF20CF">
              <w:rPr>
                <w:sz w:val="16"/>
                <w:szCs w:val="16"/>
              </w:rPr>
              <w:t>263,462</w:t>
            </w:r>
          </w:p>
        </w:tc>
        <w:tc>
          <w:tcPr>
            <w:tcW w:w="459" w:type="dxa"/>
            <w:tcBorders>
              <w:top w:val="none" w:sz="6" w:space="0" w:color="auto"/>
              <w:left w:val="none" w:sz="6" w:space="0" w:color="auto"/>
              <w:bottom w:val="none" w:sz="6" w:space="0" w:color="auto"/>
              <w:right w:val="single" w:sz="6" w:space="0" w:color="000000"/>
            </w:tcBorders>
          </w:tcPr>
          <w:p w14:paraId="20F32777" w14:textId="77777777" w:rsidR="00B64EC6" w:rsidRPr="00BF20CF" w:rsidRDefault="00B64EC6">
            <w:pPr>
              <w:pStyle w:val="TableParagraph"/>
              <w:kinsoku w:val="0"/>
              <w:overflowPunct w:val="0"/>
              <w:ind w:left="67"/>
              <w:jc w:val="center"/>
              <w:rPr>
                <w:sz w:val="16"/>
                <w:szCs w:val="16"/>
              </w:rPr>
            </w:pPr>
            <w:r w:rsidRPr="00BF20CF">
              <w:rPr>
                <w:sz w:val="16"/>
                <w:szCs w:val="16"/>
              </w:rPr>
              <w:t>‐0.4%</w:t>
            </w:r>
          </w:p>
        </w:tc>
        <w:tc>
          <w:tcPr>
            <w:tcW w:w="833" w:type="dxa"/>
            <w:tcBorders>
              <w:top w:val="none" w:sz="6" w:space="0" w:color="auto"/>
              <w:left w:val="single" w:sz="6" w:space="0" w:color="000000"/>
              <w:bottom w:val="none" w:sz="6" w:space="0" w:color="auto"/>
              <w:right w:val="none" w:sz="6" w:space="0" w:color="auto"/>
            </w:tcBorders>
          </w:tcPr>
          <w:p w14:paraId="2B3DB522" w14:textId="77777777" w:rsidR="00B64EC6" w:rsidRPr="00BF20CF" w:rsidRDefault="00B64EC6">
            <w:pPr>
              <w:pStyle w:val="TableParagraph"/>
              <w:kinsoku w:val="0"/>
              <w:overflowPunct w:val="0"/>
              <w:ind w:right="50"/>
              <w:rPr>
                <w:sz w:val="16"/>
                <w:szCs w:val="16"/>
              </w:rPr>
            </w:pPr>
            <w:r w:rsidRPr="00BF20CF">
              <w:rPr>
                <w:sz w:val="16"/>
                <w:szCs w:val="16"/>
              </w:rPr>
              <w:t>90,763</w:t>
            </w:r>
          </w:p>
        </w:tc>
        <w:tc>
          <w:tcPr>
            <w:tcW w:w="474" w:type="dxa"/>
            <w:tcBorders>
              <w:top w:val="none" w:sz="6" w:space="0" w:color="auto"/>
              <w:left w:val="none" w:sz="6" w:space="0" w:color="auto"/>
              <w:bottom w:val="none" w:sz="6" w:space="0" w:color="auto"/>
              <w:right w:val="single" w:sz="6" w:space="0" w:color="000000"/>
            </w:tcBorders>
          </w:tcPr>
          <w:p w14:paraId="795A95F7" w14:textId="77777777" w:rsidR="00B64EC6" w:rsidRPr="00BF20CF" w:rsidRDefault="00B64EC6">
            <w:pPr>
              <w:pStyle w:val="TableParagraph"/>
              <w:kinsoku w:val="0"/>
              <w:overflowPunct w:val="0"/>
              <w:ind w:right="6"/>
              <w:rPr>
                <w:sz w:val="16"/>
                <w:szCs w:val="16"/>
              </w:rPr>
            </w:pPr>
            <w:r w:rsidRPr="00BF20CF">
              <w:rPr>
                <w:sz w:val="16"/>
                <w:szCs w:val="16"/>
              </w:rPr>
              <w:t>6.3%</w:t>
            </w:r>
          </w:p>
        </w:tc>
        <w:tc>
          <w:tcPr>
            <w:tcW w:w="874" w:type="dxa"/>
            <w:tcBorders>
              <w:top w:val="none" w:sz="6" w:space="0" w:color="auto"/>
              <w:left w:val="single" w:sz="6" w:space="0" w:color="000000"/>
              <w:bottom w:val="none" w:sz="6" w:space="0" w:color="auto"/>
              <w:right w:val="none" w:sz="6" w:space="0" w:color="auto"/>
            </w:tcBorders>
          </w:tcPr>
          <w:p w14:paraId="233822E9" w14:textId="77777777" w:rsidR="00B64EC6" w:rsidRPr="00BF20CF" w:rsidRDefault="00B64EC6">
            <w:pPr>
              <w:pStyle w:val="TableParagraph"/>
              <w:kinsoku w:val="0"/>
              <w:overflowPunct w:val="0"/>
              <w:ind w:right="88"/>
              <w:rPr>
                <w:sz w:val="16"/>
                <w:szCs w:val="16"/>
              </w:rPr>
            </w:pPr>
            <w:r w:rsidRPr="00BF20CF">
              <w:rPr>
                <w:sz w:val="16"/>
                <w:szCs w:val="16"/>
              </w:rPr>
              <w:t>179,137</w:t>
            </w:r>
          </w:p>
        </w:tc>
        <w:tc>
          <w:tcPr>
            <w:tcW w:w="485" w:type="dxa"/>
            <w:tcBorders>
              <w:top w:val="none" w:sz="6" w:space="0" w:color="auto"/>
              <w:left w:val="none" w:sz="6" w:space="0" w:color="auto"/>
              <w:bottom w:val="none" w:sz="6" w:space="0" w:color="auto"/>
              <w:right w:val="single" w:sz="6" w:space="0" w:color="000000"/>
            </w:tcBorders>
          </w:tcPr>
          <w:p w14:paraId="3BA019FD" w14:textId="77777777" w:rsidR="00B64EC6" w:rsidRPr="00BF20CF" w:rsidRDefault="00B64EC6">
            <w:pPr>
              <w:pStyle w:val="TableParagraph"/>
              <w:kinsoku w:val="0"/>
              <w:overflowPunct w:val="0"/>
              <w:ind w:right="7"/>
              <w:rPr>
                <w:sz w:val="16"/>
                <w:szCs w:val="16"/>
              </w:rPr>
            </w:pPr>
            <w:r w:rsidRPr="00BF20CF">
              <w:rPr>
                <w:sz w:val="16"/>
                <w:szCs w:val="16"/>
              </w:rPr>
              <w:t>8.3%</w:t>
            </w:r>
          </w:p>
        </w:tc>
        <w:tc>
          <w:tcPr>
            <w:tcW w:w="753" w:type="dxa"/>
            <w:tcBorders>
              <w:top w:val="none" w:sz="6" w:space="0" w:color="auto"/>
              <w:left w:val="single" w:sz="6" w:space="0" w:color="000000"/>
              <w:bottom w:val="none" w:sz="6" w:space="0" w:color="auto"/>
              <w:right w:val="none" w:sz="6" w:space="0" w:color="auto"/>
            </w:tcBorders>
          </w:tcPr>
          <w:p w14:paraId="0811D47B" w14:textId="77777777" w:rsidR="00B64EC6" w:rsidRPr="00BF20CF" w:rsidRDefault="00B64EC6">
            <w:pPr>
              <w:pStyle w:val="TableParagraph"/>
              <w:kinsoku w:val="0"/>
              <w:overflowPunct w:val="0"/>
              <w:ind w:right="51"/>
              <w:rPr>
                <w:sz w:val="16"/>
                <w:szCs w:val="16"/>
              </w:rPr>
            </w:pPr>
            <w:r w:rsidRPr="00BF20CF">
              <w:rPr>
                <w:sz w:val="16"/>
                <w:szCs w:val="16"/>
              </w:rPr>
              <w:t>102,642</w:t>
            </w:r>
          </w:p>
        </w:tc>
        <w:tc>
          <w:tcPr>
            <w:tcW w:w="525" w:type="dxa"/>
            <w:tcBorders>
              <w:top w:val="none" w:sz="6" w:space="0" w:color="auto"/>
              <w:left w:val="none" w:sz="6" w:space="0" w:color="auto"/>
              <w:bottom w:val="none" w:sz="6" w:space="0" w:color="auto"/>
              <w:right w:val="single" w:sz="6" w:space="0" w:color="000000"/>
            </w:tcBorders>
          </w:tcPr>
          <w:p w14:paraId="2F1136CB" w14:textId="77777777" w:rsidR="00B64EC6" w:rsidRPr="00BF20CF" w:rsidRDefault="00B64EC6">
            <w:pPr>
              <w:pStyle w:val="TableParagraph"/>
              <w:kinsoku w:val="0"/>
              <w:overflowPunct w:val="0"/>
              <w:ind w:right="7"/>
              <w:rPr>
                <w:sz w:val="16"/>
                <w:szCs w:val="16"/>
              </w:rPr>
            </w:pPr>
            <w:r w:rsidRPr="00BF20CF">
              <w:rPr>
                <w:sz w:val="16"/>
                <w:szCs w:val="16"/>
              </w:rPr>
              <w:t>‐2.0%</w:t>
            </w:r>
          </w:p>
        </w:tc>
        <w:tc>
          <w:tcPr>
            <w:tcW w:w="813" w:type="dxa"/>
            <w:tcBorders>
              <w:top w:val="none" w:sz="6" w:space="0" w:color="auto"/>
              <w:left w:val="single" w:sz="6" w:space="0" w:color="000000"/>
              <w:bottom w:val="none" w:sz="6" w:space="0" w:color="auto"/>
              <w:right w:val="none" w:sz="6" w:space="0" w:color="auto"/>
            </w:tcBorders>
          </w:tcPr>
          <w:p w14:paraId="426FE7DB" w14:textId="77777777" w:rsidR="00B64EC6" w:rsidRPr="00BF20CF" w:rsidRDefault="00B64EC6">
            <w:pPr>
              <w:pStyle w:val="TableParagraph"/>
              <w:kinsoku w:val="0"/>
              <w:overflowPunct w:val="0"/>
              <w:ind w:right="50"/>
              <w:rPr>
                <w:sz w:val="16"/>
                <w:szCs w:val="16"/>
              </w:rPr>
            </w:pPr>
            <w:r w:rsidRPr="00BF20CF">
              <w:rPr>
                <w:sz w:val="16"/>
                <w:szCs w:val="16"/>
              </w:rPr>
              <w:t>9,793</w:t>
            </w:r>
          </w:p>
        </w:tc>
        <w:tc>
          <w:tcPr>
            <w:tcW w:w="525" w:type="dxa"/>
            <w:tcBorders>
              <w:top w:val="none" w:sz="6" w:space="0" w:color="auto"/>
              <w:left w:val="none" w:sz="6" w:space="0" w:color="auto"/>
              <w:bottom w:val="none" w:sz="6" w:space="0" w:color="auto"/>
              <w:right w:val="single" w:sz="6" w:space="0" w:color="000000"/>
            </w:tcBorders>
          </w:tcPr>
          <w:p w14:paraId="5A1E9BCB" w14:textId="77777777" w:rsidR="00B64EC6" w:rsidRPr="00BF20CF" w:rsidRDefault="00B64EC6">
            <w:pPr>
              <w:pStyle w:val="TableParagraph"/>
              <w:kinsoku w:val="0"/>
              <w:overflowPunct w:val="0"/>
              <w:ind w:left="128"/>
              <w:jc w:val="center"/>
              <w:rPr>
                <w:sz w:val="16"/>
                <w:szCs w:val="16"/>
              </w:rPr>
            </w:pPr>
            <w:r w:rsidRPr="00BF20CF">
              <w:rPr>
                <w:sz w:val="16"/>
                <w:szCs w:val="16"/>
              </w:rPr>
              <w:t>‐8.2%</w:t>
            </w:r>
          </w:p>
        </w:tc>
      </w:tr>
      <w:tr w:rsidR="00B64EC6" w:rsidRPr="00BF20CF" w14:paraId="51EEF62E" w14:textId="77777777">
        <w:trPr>
          <w:trHeight w:val="212"/>
        </w:trPr>
        <w:tc>
          <w:tcPr>
            <w:tcW w:w="608" w:type="dxa"/>
            <w:tcBorders>
              <w:top w:val="none" w:sz="6" w:space="0" w:color="auto"/>
              <w:left w:val="single" w:sz="6" w:space="0" w:color="000000"/>
              <w:bottom w:val="none" w:sz="6" w:space="0" w:color="auto"/>
              <w:right w:val="single" w:sz="6" w:space="0" w:color="000000"/>
            </w:tcBorders>
          </w:tcPr>
          <w:p w14:paraId="64C9B916" w14:textId="77777777" w:rsidR="00B64EC6" w:rsidRPr="00BF20CF" w:rsidRDefault="00B64EC6">
            <w:pPr>
              <w:pStyle w:val="TableParagraph"/>
              <w:kinsoku w:val="0"/>
              <w:overflowPunct w:val="0"/>
              <w:ind w:left="24"/>
              <w:jc w:val="left"/>
              <w:rPr>
                <w:sz w:val="16"/>
                <w:szCs w:val="16"/>
              </w:rPr>
            </w:pPr>
            <w:r w:rsidRPr="00BF20CF">
              <w:rPr>
                <w:sz w:val="16"/>
                <w:szCs w:val="16"/>
              </w:rPr>
              <w:t>2018</w:t>
            </w:r>
          </w:p>
        </w:tc>
        <w:tc>
          <w:tcPr>
            <w:tcW w:w="985" w:type="dxa"/>
            <w:tcBorders>
              <w:top w:val="none" w:sz="6" w:space="0" w:color="auto"/>
              <w:left w:val="single" w:sz="6" w:space="0" w:color="000000"/>
              <w:bottom w:val="none" w:sz="6" w:space="0" w:color="auto"/>
              <w:right w:val="none" w:sz="6" w:space="0" w:color="auto"/>
            </w:tcBorders>
          </w:tcPr>
          <w:p w14:paraId="29CE6A31" w14:textId="77777777" w:rsidR="00B64EC6" w:rsidRPr="00BF20CF" w:rsidRDefault="00B64EC6">
            <w:pPr>
              <w:pStyle w:val="TableParagraph"/>
              <w:kinsoku w:val="0"/>
              <w:overflowPunct w:val="0"/>
              <w:ind w:right="49"/>
              <w:rPr>
                <w:sz w:val="16"/>
                <w:szCs w:val="16"/>
              </w:rPr>
            </w:pPr>
            <w:r w:rsidRPr="00BF20CF">
              <w:rPr>
                <w:sz w:val="16"/>
                <w:szCs w:val="16"/>
              </w:rPr>
              <w:t>342,355</w:t>
            </w:r>
          </w:p>
        </w:tc>
        <w:tc>
          <w:tcPr>
            <w:tcW w:w="525" w:type="dxa"/>
            <w:tcBorders>
              <w:top w:val="none" w:sz="6" w:space="0" w:color="auto"/>
              <w:left w:val="none" w:sz="6" w:space="0" w:color="auto"/>
              <w:bottom w:val="none" w:sz="6" w:space="0" w:color="auto"/>
              <w:right w:val="single" w:sz="6" w:space="0" w:color="000000"/>
            </w:tcBorders>
          </w:tcPr>
          <w:p w14:paraId="6ECCB489" w14:textId="77777777" w:rsidR="00B64EC6" w:rsidRPr="00BF20CF" w:rsidRDefault="00B64EC6">
            <w:pPr>
              <w:pStyle w:val="TableParagraph"/>
              <w:kinsoku w:val="0"/>
              <w:overflowPunct w:val="0"/>
              <w:ind w:right="5"/>
              <w:rPr>
                <w:sz w:val="16"/>
                <w:szCs w:val="16"/>
              </w:rPr>
            </w:pPr>
            <w:r w:rsidRPr="00BF20CF">
              <w:rPr>
                <w:sz w:val="16"/>
                <w:szCs w:val="16"/>
              </w:rPr>
              <w:t>5.4%</w:t>
            </w:r>
          </w:p>
        </w:tc>
        <w:tc>
          <w:tcPr>
            <w:tcW w:w="929" w:type="dxa"/>
            <w:tcBorders>
              <w:top w:val="none" w:sz="6" w:space="0" w:color="auto"/>
              <w:left w:val="single" w:sz="6" w:space="0" w:color="000000"/>
              <w:bottom w:val="none" w:sz="6" w:space="0" w:color="auto"/>
              <w:right w:val="none" w:sz="6" w:space="0" w:color="auto"/>
            </w:tcBorders>
          </w:tcPr>
          <w:p w14:paraId="3E36EAB3" w14:textId="77777777" w:rsidR="00B64EC6" w:rsidRPr="00BF20CF" w:rsidRDefault="00B64EC6">
            <w:pPr>
              <w:pStyle w:val="TableParagraph"/>
              <w:kinsoku w:val="0"/>
              <w:overflowPunct w:val="0"/>
              <w:ind w:right="63"/>
              <w:rPr>
                <w:sz w:val="16"/>
                <w:szCs w:val="16"/>
              </w:rPr>
            </w:pPr>
            <w:r w:rsidRPr="00BF20CF">
              <w:rPr>
                <w:sz w:val="16"/>
                <w:szCs w:val="16"/>
              </w:rPr>
              <w:t>278,914</w:t>
            </w:r>
          </w:p>
        </w:tc>
        <w:tc>
          <w:tcPr>
            <w:tcW w:w="459" w:type="dxa"/>
            <w:tcBorders>
              <w:top w:val="none" w:sz="6" w:space="0" w:color="auto"/>
              <w:left w:val="none" w:sz="6" w:space="0" w:color="auto"/>
              <w:bottom w:val="none" w:sz="6" w:space="0" w:color="auto"/>
              <w:right w:val="single" w:sz="6" w:space="0" w:color="000000"/>
            </w:tcBorders>
          </w:tcPr>
          <w:p w14:paraId="5BD6A37A" w14:textId="77777777" w:rsidR="00B64EC6" w:rsidRPr="00BF20CF" w:rsidRDefault="00B64EC6">
            <w:pPr>
              <w:pStyle w:val="TableParagraph"/>
              <w:kinsoku w:val="0"/>
              <w:overflowPunct w:val="0"/>
              <w:ind w:left="119"/>
              <w:jc w:val="center"/>
              <w:rPr>
                <w:sz w:val="16"/>
                <w:szCs w:val="16"/>
              </w:rPr>
            </w:pPr>
            <w:r w:rsidRPr="00BF20CF">
              <w:rPr>
                <w:sz w:val="16"/>
                <w:szCs w:val="16"/>
              </w:rPr>
              <w:t>5.9%</w:t>
            </w:r>
          </w:p>
        </w:tc>
        <w:tc>
          <w:tcPr>
            <w:tcW w:w="833" w:type="dxa"/>
            <w:tcBorders>
              <w:top w:val="none" w:sz="6" w:space="0" w:color="auto"/>
              <w:left w:val="single" w:sz="6" w:space="0" w:color="000000"/>
              <w:bottom w:val="none" w:sz="6" w:space="0" w:color="auto"/>
              <w:right w:val="none" w:sz="6" w:space="0" w:color="auto"/>
            </w:tcBorders>
          </w:tcPr>
          <w:p w14:paraId="544A5FFA" w14:textId="77777777" w:rsidR="00B64EC6" w:rsidRPr="00BF20CF" w:rsidRDefault="00B64EC6">
            <w:pPr>
              <w:pStyle w:val="TableParagraph"/>
              <w:kinsoku w:val="0"/>
              <w:overflowPunct w:val="0"/>
              <w:ind w:right="47"/>
              <w:rPr>
                <w:sz w:val="16"/>
                <w:szCs w:val="16"/>
              </w:rPr>
            </w:pPr>
            <w:r w:rsidRPr="00BF20CF">
              <w:rPr>
                <w:sz w:val="16"/>
                <w:szCs w:val="16"/>
              </w:rPr>
              <w:t>88,992</w:t>
            </w:r>
          </w:p>
        </w:tc>
        <w:tc>
          <w:tcPr>
            <w:tcW w:w="474" w:type="dxa"/>
            <w:tcBorders>
              <w:top w:val="none" w:sz="6" w:space="0" w:color="auto"/>
              <w:left w:val="none" w:sz="6" w:space="0" w:color="auto"/>
              <w:bottom w:val="none" w:sz="6" w:space="0" w:color="auto"/>
              <w:right w:val="single" w:sz="6" w:space="0" w:color="000000"/>
            </w:tcBorders>
          </w:tcPr>
          <w:p w14:paraId="4450DFCC" w14:textId="77777777" w:rsidR="00B64EC6" w:rsidRPr="00BF20CF" w:rsidRDefault="00B64EC6">
            <w:pPr>
              <w:pStyle w:val="TableParagraph"/>
              <w:kinsoku w:val="0"/>
              <w:overflowPunct w:val="0"/>
              <w:ind w:right="6"/>
              <w:rPr>
                <w:sz w:val="16"/>
                <w:szCs w:val="16"/>
              </w:rPr>
            </w:pPr>
            <w:r w:rsidRPr="00BF20CF">
              <w:rPr>
                <w:sz w:val="16"/>
                <w:szCs w:val="16"/>
              </w:rPr>
              <w:t>‐2.0%</w:t>
            </w:r>
          </w:p>
        </w:tc>
        <w:tc>
          <w:tcPr>
            <w:tcW w:w="874" w:type="dxa"/>
            <w:tcBorders>
              <w:top w:val="none" w:sz="6" w:space="0" w:color="auto"/>
              <w:left w:val="single" w:sz="6" w:space="0" w:color="000000"/>
              <w:bottom w:val="none" w:sz="6" w:space="0" w:color="auto"/>
              <w:right w:val="none" w:sz="6" w:space="0" w:color="auto"/>
            </w:tcBorders>
          </w:tcPr>
          <w:p w14:paraId="6DA6771D" w14:textId="77777777" w:rsidR="00B64EC6" w:rsidRPr="00BF20CF" w:rsidRDefault="00B64EC6">
            <w:pPr>
              <w:pStyle w:val="TableParagraph"/>
              <w:kinsoku w:val="0"/>
              <w:overflowPunct w:val="0"/>
              <w:ind w:right="88"/>
              <w:rPr>
                <w:sz w:val="16"/>
                <w:szCs w:val="16"/>
              </w:rPr>
            </w:pPr>
            <w:r w:rsidRPr="00BF20CF">
              <w:rPr>
                <w:sz w:val="16"/>
                <w:szCs w:val="16"/>
              </w:rPr>
              <w:t>173,017</w:t>
            </w:r>
          </w:p>
        </w:tc>
        <w:tc>
          <w:tcPr>
            <w:tcW w:w="485" w:type="dxa"/>
            <w:tcBorders>
              <w:top w:val="none" w:sz="6" w:space="0" w:color="auto"/>
              <w:left w:val="none" w:sz="6" w:space="0" w:color="auto"/>
              <w:bottom w:val="none" w:sz="6" w:space="0" w:color="auto"/>
              <w:right w:val="single" w:sz="6" w:space="0" w:color="000000"/>
            </w:tcBorders>
          </w:tcPr>
          <w:p w14:paraId="263483DB" w14:textId="77777777" w:rsidR="00B64EC6" w:rsidRPr="00BF20CF" w:rsidRDefault="00B64EC6">
            <w:pPr>
              <w:pStyle w:val="TableParagraph"/>
              <w:kinsoku w:val="0"/>
              <w:overflowPunct w:val="0"/>
              <w:ind w:right="6"/>
              <w:rPr>
                <w:sz w:val="16"/>
                <w:szCs w:val="16"/>
              </w:rPr>
            </w:pPr>
            <w:r w:rsidRPr="00BF20CF">
              <w:rPr>
                <w:sz w:val="16"/>
                <w:szCs w:val="16"/>
              </w:rPr>
              <w:t>‐3.4%</w:t>
            </w:r>
          </w:p>
        </w:tc>
        <w:tc>
          <w:tcPr>
            <w:tcW w:w="753" w:type="dxa"/>
            <w:tcBorders>
              <w:top w:val="none" w:sz="6" w:space="0" w:color="auto"/>
              <w:left w:val="single" w:sz="6" w:space="0" w:color="000000"/>
              <w:bottom w:val="none" w:sz="6" w:space="0" w:color="auto"/>
              <w:right w:val="none" w:sz="6" w:space="0" w:color="auto"/>
            </w:tcBorders>
          </w:tcPr>
          <w:p w14:paraId="47B326D3" w14:textId="77777777" w:rsidR="00B64EC6" w:rsidRPr="00BF20CF" w:rsidRDefault="00B64EC6">
            <w:pPr>
              <w:pStyle w:val="TableParagraph"/>
              <w:kinsoku w:val="0"/>
              <w:overflowPunct w:val="0"/>
              <w:ind w:right="50"/>
              <w:rPr>
                <w:sz w:val="16"/>
                <w:szCs w:val="16"/>
              </w:rPr>
            </w:pPr>
            <w:r w:rsidRPr="00BF20CF">
              <w:rPr>
                <w:sz w:val="16"/>
                <w:szCs w:val="16"/>
              </w:rPr>
              <w:t>104,001</w:t>
            </w:r>
          </w:p>
        </w:tc>
        <w:tc>
          <w:tcPr>
            <w:tcW w:w="525" w:type="dxa"/>
            <w:tcBorders>
              <w:top w:val="none" w:sz="6" w:space="0" w:color="auto"/>
              <w:left w:val="none" w:sz="6" w:space="0" w:color="auto"/>
              <w:bottom w:val="none" w:sz="6" w:space="0" w:color="auto"/>
              <w:right w:val="single" w:sz="6" w:space="0" w:color="000000"/>
            </w:tcBorders>
          </w:tcPr>
          <w:p w14:paraId="3EE54452" w14:textId="77777777" w:rsidR="00B64EC6" w:rsidRPr="00BF20CF" w:rsidRDefault="00B64EC6">
            <w:pPr>
              <w:pStyle w:val="TableParagraph"/>
              <w:kinsoku w:val="0"/>
              <w:overflowPunct w:val="0"/>
              <w:ind w:right="7"/>
              <w:rPr>
                <w:sz w:val="16"/>
                <w:szCs w:val="16"/>
              </w:rPr>
            </w:pPr>
            <w:r w:rsidRPr="00BF20CF">
              <w:rPr>
                <w:sz w:val="16"/>
                <w:szCs w:val="16"/>
              </w:rPr>
              <w:t>1.3%</w:t>
            </w:r>
          </w:p>
        </w:tc>
        <w:tc>
          <w:tcPr>
            <w:tcW w:w="813" w:type="dxa"/>
            <w:tcBorders>
              <w:top w:val="none" w:sz="6" w:space="0" w:color="auto"/>
              <w:left w:val="single" w:sz="6" w:space="0" w:color="000000"/>
              <w:bottom w:val="none" w:sz="6" w:space="0" w:color="auto"/>
              <w:right w:val="none" w:sz="6" w:space="0" w:color="auto"/>
            </w:tcBorders>
          </w:tcPr>
          <w:p w14:paraId="7C7AC531" w14:textId="77777777" w:rsidR="00B64EC6" w:rsidRPr="00BF20CF" w:rsidRDefault="00B64EC6">
            <w:pPr>
              <w:pStyle w:val="TableParagraph"/>
              <w:kinsoku w:val="0"/>
              <w:overflowPunct w:val="0"/>
              <w:ind w:right="50"/>
              <w:rPr>
                <w:sz w:val="16"/>
                <w:szCs w:val="16"/>
              </w:rPr>
            </w:pPr>
            <w:r w:rsidRPr="00BF20CF">
              <w:rPr>
                <w:sz w:val="16"/>
                <w:szCs w:val="16"/>
              </w:rPr>
              <w:t>7,818</w:t>
            </w:r>
          </w:p>
        </w:tc>
        <w:tc>
          <w:tcPr>
            <w:tcW w:w="525" w:type="dxa"/>
            <w:tcBorders>
              <w:top w:val="none" w:sz="6" w:space="0" w:color="auto"/>
              <w:left w:val="none" w:sz="6" w:space="0" w:color="auto"/>
              <w:bottom w:val="none" w:sz="6" w:space="0" w:color="auto"/>
              <w:right w:val="single" w:sz="6" w:space="0" w:color="000000"/>
            </w:tcBorders>
          </w:tcPr>
          <w:p w14:paraId="0CEBECFA" w14:textId="77777777" w:rsidR="00B64EC6" w:rsidRPr="00BF20CF" w:rsidRDefault="00B64EC6">
            <w:pPr>
              <w:pStyle w:val="TableParagraph"/>
              <w:kinsoku w:val="0"/>
              <w:overflowPunct w:val="0"/>
              <w:ind w:left="45"/>
              <w:jc w:val="center"/>
              <w:rPr>
                <w:sz w:val="16"/>
                <w:szCs w:val="16"/>
              </w:rPr>
            </w:pPr>
            <w:r w:rsidRPr="00BF20CF">
              <w:rPr>
                <w:sz w:val="16"/>
                <w:szCs w:val="16"/>
              </w:rPr>
              <w:t>‐20.2%</w:t>
            </w:r>
          </w:p>
        </w:tc>
      </w:tr>
      <w:tr w:rsidR="00B64EC6" w:rsidRPr="00BF20CF" w14:paraId="0DF84C54" w14:textId="77777777">
        <w:trPr>
          <w:trHeight w:val="182"/>
        </w:trPr>
        <w:tc>
          <w:tcPr>
            <w:tcW w:w="608" w:type="dxa"/>
            <w:tcBorders>
              <w:top w:val="none" w:sz="6" w:space="0" w:color="auto"/>
              <w:left w:val="single" w:sz="6" w:space="0" w:color="000000"/>
              <w:bottom w:val="single" w:sz="6" w:space="0" w:color="000000"/>
              <w:right w:val="single" w:sz="6" w:space="0" w:color="000000"/>
            </w:tcBorders>
          </w:tcPr>
          <w:p w14:paraId="576727DD" w14:textId="77777777" w:rsidR="00B64EC6" w:rsidRPr="00BF20CF" w:rsidRDefault="00B64EC6">
            <w:pPr>
              <w:pStyle w:val="TableParagraph"/>
              <w:kinsoku w:val="0"/>
              <w:overflowPunct w:val="0"/>
              <w:spacing w:line="162" w:lineRule="exact"/>
              <w:ind w:left="24"/>
              <w:jc w:val="left"/>
              <w:rPr>
                <w:sz w:val="16"/>
                <w:szCs w:val="16"/>
              </w:rPr>
            </w:pPr>
            <w:r w:rsidRPr="00BF20CF">
              <w:rPr>
                <w:sz w:val="16"/>
                <w:szCs w:val="16"/>
              </w:rPr>
              <w:t>2019</w:t>
            </w:r>
          </w:p>
        </w:tc>
        <w:tc>
          <w:tcPr>
            <w:tcW w:w="985" w:type="dxa"/>
            <w:tcBorders>
              <w:top w:val="none" w:sz="6" w:space="0" w:color="auto"/>
              <w:left w:val="single" w:sz="6" w:space="0" w:color="000000"/>
              <w:bottom w:val="single" w:sz="6" w:space="0" w:color="000000"/>
              <w:right w:val="none" w:sz="6" w:space="0" w:color="auto"/>
            </w:tcBorders>
          </w:tcPr>
          <w:p w14:paraId="2B712B5E" w14:textId="77777777" w:rsidR="00B64EC6" w:rsidRPr="00BF20CF" w:rsidRDefault="00B64EC6">
            <w:pPr>
              <w:pStyle w:val="TableParagraph"/>
              <w:kinsoku w:val="0"/>
              <w:overflowPunct w:val="0"/>
              <w:spacing w:line="162" w:lineRule="exact"/>
              <w:ind w:right="48"/>
              <w:rPr>
                <w:sz w:val="16"/>
                <w:szCs w:val="16"/>
              </w:rPr>
            </w:pPr>
            <w:r w:rsidRPr="00BF20CF">
              <w:rPr>
                <w:sz w:val="16"/>
                <w:szCs w:val="16"/>
              </w:rPr>
              <w:t>288,388</w:t>
            </w:r>
          </w:p>
        </w:tc>
        <w:tc>
          <w:tcPr>
            <w:tcW w:w="525" w:type="dxa"/>
            <w:tcBorders>
              <w:top w:val="none" w:sz="6" w:space="0" w:color="auto"/>
              <w:left w:val="none" w:sz="6" w:space="0" w:color="auto"/>
              <w:bottom w:val="single" w:sz="6" w:space="0" w:color="000000"/>
              <w:right w:val="single" w:sz="6" w:space="0" w:color="000000"/>
            </w:tcBorders>
          </w:tcPr>
          <w:p w14:paraId="2F998613" w14:textId="77777777" w:rsidR="00B64EC6" w:rsidRPr="00BF20CF" w:rsidRDefault="00B64EC6">
            <w:pPr>
              <w:pStyle w:val="TableParagraph"/>
              <w:kinsoku w:val="0"/>
              <w:overflowPunct w:val="0"/>
              <w:spacing w:line="162" w:lineRule="exact"/>
              <w:ind w:right="5"/>
              <w:rPr>
                <w:sz w:val="16"/>
                <w:szCs w:val="16"/>
              </w:rPr>
            </w:pPr>
            <w:r w:rsidRPr="00BF20CF">
              <w:rPr>
                <w:sz w:val="16"/>
                <w:szCs w:val="16"/>
              </w:rPr>
              <w:t>‐15.8%</w:t>
            </w:r>
          </w:p>
        </w:tc>
        <w:tc>
          <w:tcPr>
            <w:tcW w:w="929" w:type="dxa"/>
            <w:tcBorders>
              <w:top w:val="none" w:sz="6" w:space="0" w:color="auto"/>
              <w:left w:val="single" w:sz="6" w:space="0" w:color="000000"/>
              <w:bottom w:val="single" w:sz="6" w:space="0" w:color="000000"/>
              <w:right w:val="none" w:sz="6" w:space="0" w:color="auto"/>
            </w:tcBorders>
          </w:tcPr>
          <w:p w14:paraId="2FB940F9" w14:textId="77777777" w:rsidR="00B64EC6" w:rsidRPr="00BF20CF" w:rsidRDefault="00B64EC6">
            <w:pPr>
              <w:pStyle w:val="TableParagraph"/>
              <w:kinsoku w:val="0"/>
              <w:overflowPunct w:val="0"/>
              <w:spacing w:line="162" w:lineRule="exact"/>
              <w:ind w:right="65"/>
              <w:rPr>
                <w:sz w:val="16"/>
                <w:szCs w:val="16"/>
              </w:rPr>
            </w:pPr>
            <w:r w:rsidRPr="00BF20CF">
              <w:rPr>
                <w:sz w:val="16"/>
                <w:szCs w:val="16"/>
              </w:rPr>
              <w:t>289,047</w:t>
            </w:r>
          </w:p>
        </w:tc>
        <w:tc>
          <w:tcPr>
            <w:tcW w:w="459" w:type="dxa"/>
            <w:tcBorders>
              <w:top w:val="none" w:sz="6" w:space="0" w:color="auto"/>
              <w:left w:val="none" w:sz="6" w:space="0" w:color="auto"/>
              <w:bottom w:val="single" w:sz="6" w:space="0" w:color="000000"/>
              <w:right w:val="single" w:sz="6" w:space="0" w:color="000000"/>
            </w:tcBorders>
          </w:tcPr>
          <w:p w14:paraId="70FE6187" w14:textId="77777777" w:rsidR="00B64EC6" w:rsidRPr="00BF20CF" w:rsidRDefault="00B64EC6">
            <w:pPr>
              <w:pStyle w:val="TableParagraph"/>
              <w:kinsoku w:val="0"/>
              <w:overflowPunct w:val="0"/>
              <w:spacing w:line="162" w:lineRule="exact"/>
              <w:ind w:left="118"/>
              <w:jc w:val="center"/>
              <w:rPr>
                <w:sz w:val="16"/>
                <w:szCs w:val="16"/>
              </w:rPr>
            </w:pPr>
            <w:r w:rsidRPr="00BF20CF">
              <w:rPr>
                <w:sz w:val="16"/>
                <w:szCs w:val="16"/>
              </w:rPr>
              <w:t>3.6%</w:t>
            </w:r>
          </w:p>
        </w:tc>
        <w:tc>
          <w:tcPr>
            <w:tcW w:w="833" w:type="dxa"/>
            <w:tcBorders>
              <w:top w:val="none" w:sz="6" w:space="0" w:color="auto"/>
              <w:left w:val="single" w:sz="6" w:space="0" w:color="000000"/>
              <w:bottom w:val="single" w:sz="6" w:space="0" w:color="000000"/>
              <w:right w:val="none" w:sz="6" w:space="0" w:color="auto"/>
            </w:tcBorders>
          </w:tcPr>
          <w:p w14:paraId="69F06669" w14:textId="77777777" w:rsidR="00B64EC6" w:rsidRPr="00BF20CF" w:rsidRDefault="00B64EC6">
            <w:pPr>
              <w:pStyle w:val="TableParagraph"/>
              <w:kinsoku w:val="0"/>
              <w:overflowPunct w:val="0"/>
              <w:spacing w:line="162" w:lineRule="exact"/>
              <w:ind w:right="50"/>
              <w:rPr>
                <w:sz w:val="16"/>
                <w:szCs w:val="16"/>
              </w:rPr>
            </w:pPr>
            <w:r w:rsidRPr="00BF20CF">
              <w:rPr>
                <w:sz w:val="16"/>
                <w:szCs w:val="16"/>
              </w:rPr>
              <w:t>81,320</w:t>
            </w:r>
          </w:p>
        </w:tc>
        <w:tc>
          <w:tcPr>
            <w:tcW w:w="474" w:type="dxa"/>
            <w:tcBorders>
              <w:top w:val="none" w:sz="6" w:space="0" w:color="auto"/>
              <w:left w:val="none" w:sz="6" w:space="0" w:color="auto"/>
              <w:bottom w:val="single" w:sz="6" w:space="0" w:color="000000"/>
              <w:right w:val="single" w:sz="6" w:space="0" w:color="000000"/>
            </w:tcBorders>
          </w:tcPr>
          <w:p w14:paraId="4695B96A" w14:textId="77777777" w:rsidR="00B64EC6" w:rsidRPr="00BF20CF" w:rsidRDefault="00B64EC6">
            <w:pPr>
              <w:pStyle w:val="TableParagraph"/>
              <w:kinsoku w:val="0"/>
              <w:overflowPunct w:val="0"/>
              <w:spacing w:line="162" w:lineRule="exact"/>
              <w:ind w:right="6"/>
              <w:rPr>
                <w:sz w:val="16"/>
                <w:szCs w:val="16"/>
              </w:rPr>
            </w:pPr>
            <w:r w:rsidRPr="00BF20CF">
              <w:rPr>
                <w:sz w:val="16"/>
                <w:szCs w:val="16"/>
              </w:rPr>
              <w:t>‐8.6%</w:t>
            </w:r>
          </w:p>
        </w:tc>
        <w:tc>
          <w:tcPr>
            <w:tcW w:w="874" w:type="dxa"/>
            <w:tcBorders>
              <w:top w:val="none" w:sz="6" w:space="0" w:color="auto"/>
              <w:left w:val="single" w:sz="6" w:space="0" w:color="000000"/>
              <w:bottom w:val="single" w:sz="6" w:space="0" w:color="000000"/>
              <w:right w:val="none" w:sz="6" w:space="0" w:color="auto"/>
            </w:tcBorders>
          </w:tcPr>
          <w:p w14:paraId="78F6E73A" w14:textId="77777777" w:rsidR="00B64EC6" w:rsidRPr="00BF20CF" w:rsidRDefault="00B64EC6">
            <w:pPr>
              <w:pStyle w:val="TableParagraph"/>
              <w:kinsoku w:val="0"/>
              <w:overflowPunct w:val="0"/>
              <w:spacing w:line="162" w:lineRule="exact"/>
              <w:ind w:right="88"/>
              <w:rPr>
                <w:sz w:val="16"/>
                <w:szCs w:val="16"/>
              </w:rPr>
            </w:pPr>
            <w:r w:rsidRPr="00BF20CF">
              <w:rPr>
                <w:sz w:val="16"/>
                <w:szCs w:val="16"/>
              </w:rPr>
              <w:t>155,831</w:t>
            </w:r>
          </w:p>
        </w:tc>
        <w:tc>
          <w:tcPr>
            <w:tcW w:w="485" w:type="dxa"/>
            <w:tcBorders>
              <w:top w:val="none" w:sz="6" w:space="0" w:color="auto"/>
              <w:left w:val="none" w:sz="6" w:space="0" w:color="auto"/>
              <w:bottom w:val="single" w:sz="6" w:space="0" w:color="000000"/>
              <w:right w:val="single" w:sz="6" w:space="0" w:color="000000"/>
            </w:tcBorders>
          </w:tcPr>
          <w:p w14:paraId="3311A677" w14:textId="77777777" w:rsidR="00B64EC6" w:rsidRPr="00BF20CF" w:rsidRDefault="00B64EC6">
            <w:pPr>
              <w:pStyle w:val="TableParagraph"/>
              <w:kinsoku w:val="0"/>
              <w:overflowPunct w:val="0"/>
              <w:spacing w:line="162" w:lineRule="exact"/>
              <w:ind w:right="6"/>
              <w:rPr>
                <w:sz w:val="16"/>
                <w:szCs w:val="16"/>
              </w:rPr>
            </w:pPr>
            <w:r w:rsidRPr="00BF20CF">
              <w:rPr>
                <w:sz w:val="16"/>
                <w:szCs w:val="16"/>
              </w:rPr>
              <w:t>‐9.9%</w:t>
            </w:r>
          </w:p>
        </w:tc>
        <w:tc>
          <w:tcPr>
            <w:tcW w:w="753" w:type="dxa"/>
            <w:tcBorders>
              <w:top w:val="none" w:sz="6" w:space="0" w:color="auto"/>
              <w:left w:val="single" w:sz="6" w:space="0" w:color="000000"/>
              <w:bottom w:val="single" w:sz="6" w:space="0" w:color="000000"/>
              <w:right w:val="none" w:sz="6" w:space="0" w:color="auto"/>
            </w:tcBorders>
          </w:tcPr>
          <w:p w14:paraId="472BE997" w14:textId="77777777" w:rsidR="00B64EC6" w:rsidRPr="00BF20CF" w:rsidRDefault="00B64EC6">
            <w:pPr>
              <w:pStyle w:val="TableParagraph"/>
              <w:kinsoku w:val="0"/>
              <w:overflowPunct w:val="0"/>
              <w:spacing w:line="162" w:lineRule="exact"/>
              <w:ind w:right="50"/>
              <w:rPr>
                <w:sz w:val="16"/>
                <w:szCs w:val="16"/>
              </w:rPr>
            </w:pPr>
            <w:r w:rsidRPr="00BF20CF">
              <w:rPr>
                <w:sz w:val="16"/>
                <w:szCs w:val="16"/>
              </w:rPr>
              <w:t>103,877</w:t>
            </w:r>
          </w:p>
        </w:tc>
        <w:tc>
          <w:tcPr>
            <w:tcW w:w="525" w:type="dxa"/>
            <w:tcBorders>
              <w:top w:val="none" w:sz="6" w:space="0" w:color="auto"/>
              <w:left w:val="none" w:sz="6" w:space="0" w:color="auto"/>
              <w:bottom w:val="single" w:sz="6" w:space="0" w:color="000000"/>
              <w:right w:val="single" w:sz="6" w:space="0" w:color="000000"/>
            </w:tcBorders>
          </w:tcPr>
          <w:p w14:paraId="7AAD0ED5" w14:textId="77777777" w:rsidR="00B64EC6" w:rsidRPr="00BF20CF" w:rsidRDefault="00B64EC6">
            <w:pPr>
              <w:pStyle w:val="TableParagraph"/>
              <w:kinsoku w:val="0"/>
              <w:overflowPunct w:val="0"/>
              <w:spacing w:line="162" w:lineRule="exact"/>
              <w:ind w:right="7"/>
              <w:rPr>
                <w:sz w:val="16"/>
                <w:szCs w:val="16"/>
              </w:rPr>
            </w:pPr>
            <w:r w:rsidRPr="00BF20CF">
              <w:rPr>
                <w:sz w:val="16"/>
                <w:szCs w:val="16"/>
              </w:rPr>
              <w:t>‐0.1%</w:t>
            </w:r>
          </w:p>
        </w:tc>
        <w:tc>
          <w:tcPr>
            <w:tcW w:w="813" w:type="dxa"/>
            <w:tcBorders>
              <w:top w:val="none" w:sz="6" w:space="0" w:color="auto"/>
              <w:left w:val="single" w:sz="6" w:space="0" w:color="000000"/>
              <w:bottom w:val="single" w:sz="6" w:space="0" w:color="000000"/>
              <w:right w:val="none" w:sz="6" w:space="0" w:color="auto"/>
            </w:tcBorders>
          </w:tcPr>
          <w:p w14:paraId="5C1EFE6F" w14:textId="77777777" w:rsidR="00B64EC6" w:rsidRPr="00BF20CF" w:rsidRDefault="00B64EC6">
            <w:pPr>
              <w:pStyle w:val="TableParagraph"/>
              <w:kinsoku w:val="0"/>
              <w:overflowPunct w:val="0"/>
              <w:spacing w:line="162" w:lineRule="exact"/>
              <w:ind w:right="50"/>
              <w:rPr>
                <w:sz w:val="16"/>
                <w:szCs w:val="16"/>
              </w:rPr>
            </w:pPr>
            <w:r w:rsidRPr="00BF20CF">
              <w:rPr>
                <w:sz w:val="16"/>
                <w:szCs w:val="16"/>
              </w:rPr>
              <w:t>6,606</w:t>
            </w:r>
          </w:p>
        </w:tc>
        <w:tc>
          <w:tcPr>
            <w:tcW w:w="525" w:type="dxa"/>
            <w:tcBorders>
              <w:top w:val="none" w:sz="6" w:space="0" w:color="auto"/>
              <w:left w:val="none" w:sz="6" w:space="0" w:color="auto"/>
              <w:bottom w:val="single" w:sz="6" w:space="0" w:color="000000"/>
              <w:right w:val="single" w:sz="6" w:space="0" w:color="000000"/>
            </w:tcBorders>
          </w:tcPr>
          <w:p w14:paraId="2C13C84F" w14:textId="77777777" w:rsidR="00B64EC6" w:rsidRPr="00BF20CF" w:rsidRDefault="00B64EC6">
            <w:pPr>
              <w:pStyle w:val="TableParagraph"/>
              <w:kinsoku w:val="0"/>
              <w:overflowPunct w:val="0"/>
              <w:spacing w:line="162" w:lineRule="exact"/>
              <w:ind w:left="45"/>
              <w:jc w:val="center"/>
              <w:rPr>
                <w:sz w:val="16"/>
                <w:szCs w:val="16"/>
              </w:rPr>
            </w:pPr>
            <w:r w:rsidRPr="00BF20CF">
              <w:rPr>
                <w:sz w:val="16"/>
                <w:szCs w:val="16"/>
              </w:rPr>
              <w:t>‐15.5%</w:t>
            </w:r>
          </w:p>
        </w:tc>
      </w:tr>
      <w:tr w:rsidR="00B64EC6" w:rsidRPr="00BF20CF" w14:paraId="1462594B" w14:textId="77777777">
        <w:trPr>
          <w:trHeight w:val="228"/>
        </w:trPr>
        <w:tc>
          <w:tcPr>
            <w:tcW w:w="608" w:type="dxa"/>
            <w:tcBorders>
              <w:top w:val="single" w:sz="6" w:space="0" w:color="000000"/>
              <w:left w:val="single" w:sz="6" w:space="0" w:color="000000"/>
              <w:bottom w:val="none" w:sz="6" w:space="0" w:color="auto"/>
              <w:right w:val="single" w:sz="6" w:space="0" w:color="000000"/>
            </w:tcBorders>
          </w:tcPr>
          <w:p w14:paraId="0994ECE3" w14:textId="77777777" w:rsidR="00B64EC6" w:rsidRPr="00BF20CF" w:rsidRDefault="00B64EC6">
            <w:pPr>
              <w:pStyle w:val="TableParagraph"/>
              <w:kinsoku w:val="0"/>
              <w:overflowPunct w:val="0"/>
              <w:spacing w:before="10" w:line="240" w:lineRule="auto"/>
              <w:ind w:left="24"/>
              <w:jc w:val="left"/>
              <w:rPr>
                <w:sz w:val="16"/>
                <w:szCs w:val="16"/>
              </w:rPr>
            </w:pPr>
            <w:r w:rsidRPr="00BF20CF">
              <w:rPr>
                <w:sz w:val="16"/>
                <w:szCs w:val="16"/>
              </w:rPr>
              <w:t>2020</w:t>
            </w:r>
          </w:p>
        </w:tc>
        <w:tc>
          <w:tcPr>
            <w:tcW w:w="985" w:type="dxa"/>
            <w:tcBorders>
              <w:top w:val="single" w:sz="6" w:space="0" w:color="000000"/>
              <w:left w:val="single" w:sz="6" w:space="0" w:color="000000"/>
              <w:bottom w:val="none" w:sz="6" w:space="0" w:color="auto"/>
              <w:right w:val="none" w:sz="6" w:space="0" w:color="auto"/>
            </w:tcBorders>
          </w:tcPr>
          <w:p w14:paraId="3150870C" w14:textId="77777777" w:rsidR="00B64EC6" w:rsidRPr="00BF20CF" w:rsidRDefault="00B64EC6">
            <w:pPr>
              <w:pStyle w:val="TableParagraph"/>
              <w:kinsoku w:val="0"/>
              <w:overflowPunct w:val="0"/>
              <w:spacing w:before="10" w:line="240" w:lineRule="auto"/>
              <w:ind w:right="48"/>
              <w:rPr>
                <w:sz w:val="16"/>
                <w:szCs w:val="16"/>
              </w:rPr>
            </w:pPr>
            <w:r w:rsidRPr="00BF20CF">
              <w:rPr>
                <w:sz w:val="16"/>
                <w:szCs w:val="16"/>
              </w:rPr>
              <w:t>274,479</w:t>
            </w:r>
          </w:p>
        </w:tc>
        <w:tc>
          <w:tcPr>
            <w:tcW w:w="525" w:type="dxa"/>
            <w:tcBorders>
              <w:top w:val="single" w:sz="6" w:space="0" w:color="000000"/>
              <w:left w:val="none" w:sz="6" w:space="0" w:color="auto"/>
              <w:bottom w:val="none" w:sz="6" w:space="0" w:color="auto"/>
              <w:right w:val="single" w:sz="6" w:space="0" w:color="000000"/>
            </w:tcBorders>
          </w:tcPr>
          <w:p w14:paraId="7959B53E" w14:textId="77777777" w:rsidR="00B64EC6" w:rsidRPr="00BF20CF" w:rsidRDefault="00B64EC6">
            <w:pPr>
              <w:pStyle w:val="TableParagraph"/>
              <w:kinsoku w:val="0"/>
              <w:overflowPunct w:val="0"/>
              <w:spacing w:before="10" w:line="240" w:lineRule="auto"/>
              <w:ind w:right="6"/>
              <w:rPr>
                <w:sz w:val="16"/>
                <w:szCs w:val="16"/>
              </w:rPr>
            </w:pPr>
            <w:r w:rsidRPr="00BF20CF">
              <w:rPr>
                <w:sz w:val="16"/>
                <w:szCs w:val="16"/>
              </w:rPr>
              <w:t>‐4.8%</w:t>
            </w:r>
          </w:p>
        </w:tc>
        <w:tc>
          <w:tcPr>
            <w:tcW w:w="929" w:type="dxa"/>
            <w:tcBorders>
              <w:top w:val="single" w:sz="6" w:space="0" w:color="000000"/>
              <w:left w:val="single" w:sz="6" w:space="0" w:color="000000"/>
              <w:bottom w:val="none" w:sz="6" w:space="0" w:color="auto"/>
              <w:right w:val="none" w:sz="6" w:space="0" w:color="auto"/>
            </w:tcBorders>
          </w:tcPr>
          <w:p w14:paraId="018AFC38" w14:textId="77777777" w:rsidR="00B64EC6" w:rsidRPr="00BF20CF" w:rsidRDefault="00B64EC6">
            <w:pPr>
              <w:pStyle w:val="TableParagraph"/>
              <w:kinsoku w:val="0"/>
              <w:overflowPunct w:val="0"/>
              <w:spacing w:before="10" w:line="240" w:lineRule="auto"/>
              <w:ind w:right="66"/>
              <w:rPr>
                <w:sz w:val="16"/>
                <w:szCs w:val="16"/>
              </w:rPr>
            </w:pPr>
            <w:r w:rsidRPr="00BF20CF">
              <w:rPr>
                <w:sz w:val="16"/>
                <w:szCs w:val="16"/>
              </w:rPr>
              <w:t>285,282</w:t>
            </w:r>
          </w:p>
        </w:tc>
        <w:tc>
          <w:tcPr>
            <w:tcW w:w="459" w:type="dxa"/>
            <w:tcBorders>
              <w:top w:val="single" w:sz="6" w:space="0" w:color="000000"/>
              <w:left w:val="none" w:sz="6" w:space="0" w:color="auto"/>
              <w:bottom w:val="none" w:sz="6" w:space="0" w:color="auto"/>
              <w:right w:val="single" w:sz="6" w:space="0" w:color="000000"/>
            </w:tcBorders>
          </w:tcPr>
          <w:p w14:paraId="4BFAAB03" w14:textId="77777777" w:rsidR="00B64EC6" w:rsidRPr="00BF20CF" w:rsidRDefault="00B64EC6">
            <w:pPr>
              <w:pStyle w:val="TableParagraph"/>
              <w:kinsoku w:val="0"/>
              <w:overflowPunct w:val="0"/>
              <w:spacing w:before="10" w:line="240" w:lineRule="auto"/>
              <w:ind w:left="67"/>
              <w:jc w:val="center"/>
              <w:rPr>
                <w:sz w:val="16"/>
                <w:szCs w:val="16"/>
              </w:rPr>
            </w:pPr>
            <w:r w:rsidRPr="00BF20CF">
              <w:rPr>
                <w:sz w:val="16"/>
                <w:szCs w:val="16"/>
              </w:rPr>
              <w:t>‐1.3%</w:t>
            </w:r>
          </w:p>
        </w:tc>
        <w:tc>
          <w:tcPr>
            <w:tcW w:w="833" w:type="dxa"/>
            <w:tcBorders>
              <w:top w:val="single" w:sz="6" w:space="0" w:color="000000"/>
              <w:left w:val="single" w:sz="6" w:space="0" w:color="000000"/>
              <w:bottom w:val="none" w:sz="6" w:space="0" w:color="auto"/>
              <w:right w:val="none" w:sz="6" w:space="0" w:color="auto"/>
            </w:tcBorders>
          </w:tcPr>
          <w:p w14:paraId="6A7F748B" w14:textId="77777777" w:rsidR="00B64EC6" w:rsidRPr="00BF20CF" w:rsidRDefault="00B64EC6">
            <w:pPr>
              <w:pStyle w:val="TableParagraph"/>
              <w:kinsoku w:val="0"/>
              <w:overflowPunct w:val="0"/>
              <w:spacing w:before="10" w:line="240" w:lineRule="auto"/>
              <w:ind w:right="48"/>
              <w:rPr>
                <w:sz w:val="16"/>
                <w:szCs w:val="16"/>
              </w:rPr>
            </w:pPr>
            <w:r w:rsidRPr="00BF20CF">
              <w:rPr>
                <w:sz w:val="16"/>
                <w:szCs w:val="16"/>
              </w:rPr>
              <w:t>77,147</w:t>
            </w:r>
          </w:p>
        </w:tc>
        <w:tc>
          <w:tcPr>
            <w:tcW w:w="474" w:type="dxa"/>
            <w:tcBorders>
              <w:top w:val="single" w:sz="6" w:space="0" w:color="000000"/>
              <w:left w:val="none" w:sz="6" w:space="0" w:color="auto"/>
              <w:bottom w:val="none" w:sz="6" w:space="0" w:color="auto"/>
              <w:right w:val="single" w:sz="6" w:space="0" w:color="000000"/>
            </w:tcBorders>
          </w:tcPr>
          <w:p w14:paraId="36A6F7BA" w14:textId="77777777" w:rsidR="00B64EC6" w:rsidRPr="00BF20CF" w:rsidRDefault="00B64EC6">
            <w:pPr>
              <w:pStyle w:val="TableParagraph"/>
              <w:kinsoku w:val="0"/>
              <w:overflowPunct w:val="0"/>
              <w:spacing w:before="10" w:line="240" w:lineRule="auto"/>
              <w:ind w:right="6"/>
              <w:rPr>
                <w:sz w:val="16"/>
                <w:szCs w:val="16"/>
              </w:rPr>
            </w:pPr>
            <w:r w:rsidRPr="00BF20CF">
              <w:rPr>
                <w:sz w:val="16"/>
                <w:szCs w:val="16"/>
              </w:rPr>
              <w:t>‐5.1%</w:t>
            </w:r>
          </w:p>
        </w:tc>
        <w:tc>
          <w:tcPr>
            <w:tcW w:w="874" w:type="dxa"/>
            <w:tcBorders>
              <w:top w:val="single" w:sz="6" w:space="0" w:color="000000"/>
              <w:left w:val="single" w:sz="6" w:space="0" w:color="000000"/>
              <w:bottom w:val="none" w:sz="6" w:space="0" w:color="auto"/>
              <w:right w:val="none" w:sz="6" w:space="0" w:color="auto"/>
            </w:tcBorders>
          </w:tcPr>
          <w:p w14:paraId="3E7A5E61" w14:textId="77777777" w:rsidR="00B64EC6" w:rsidRPr="00BF20CF" w:rsidRDefault="00B64EC6">
            <w:pPr>
              <w:pStyle w:val="TableParagraph"/>
              <w:kinsoku w:val="0"/>
              <w:overflowPunct w:val="0"/>
              <w:spacing w:before="10" w:line="240" w:lineRule="auto"/>
              <w:ind w:right="88"/>
              <w:rPr>
                <w:sz w:val="16"/>
                <w:szCs w:val="16"/>
              </w:rPr>
            </w:pPr>
            <w:r w:rsidRPr="00BF20CF">
              <w:rPr>
                <w:sz w:val="16"/>
                <w:szCs w:val="16"/>
              </w:rPr>
              <w:t>142,531</w:t>
            </w:r>
          </w:p>
        </w:tc>
        <w:tc>
          <w:tcPr>
            <w:tcW w:w="485" w:type="dxa"/>
            <w:tcBorders>
              <w:top w:val="single" w:sz="6" w:space="0" w:color="000000"/>
              <w:left w:val="none" w:sz="6" w:space="0" w:color="auto"/>
              <w:bottom w:val="none" w:sz="6" w:space="0" w:color="auto"/>
              <w:right w:val="single" w:sz="6" w:space="0" w:color="000000"/>
            </w:tcBorders>
          </w:tcPr>
          <w:p w14:paraId="778397D6" w14:textId="77777777" w:rsidR="00B64EC6" w:rsidRPr="00BF20CF" w:rsidRDefault="00B64EC6">
            <w:pPr>
              <w:pStyle w:val="TableParagraph"/>
              <w:kinsoku w:val="0"/>
              <w:overflowPunct w:val="0"/>
              <w:spacing w:before="10" w:line="240" w:lineRule="auto"/>
              <w:ind w:right="6"/>
              <w:rPr>
                <w:sz w:val="16"/>
                <w:szCs w:val="16"/>
              </w:rPr>
            </w:pPr>
            <w:r w:rsidRPr="00BF20CF">
              <w:rPr>
                <w:sz w:val="16"/>
                <w:szCs w:val="16"/>
              </w:rPr>
              <w:t>‐8.5%</w:t>
            </w:r>
          </w:p>
        </w:tc>
        <w:tc>
          <w:tcPr>
            <w:tcW w:w="753" w:type="dxa"/>
            <w:tcBorders>
              <w:top w:val="single" w:sz="6" w:space="0" w:color="000000"/>
              <w:left w:val="single" w:sz="6" w:space="0" w:color="000000"/>
              <w:bottom w:val="none" w:sz="6" w:space="0" w:color="auto"/>
              <w:right w:val="none" w:sz="6" w:space="0" w:color="auto"/>
            </w:tcBorders>
          </w:tcPr>
          <w:p w14:paraId="0E64DC77" w14:textId="77777777" w:rsidR="00B64EC6" w:rsidRPr="00BF20CF" w:rsidRDefault="00B64EC6">
            <w:pPr>
              <w:pStyle w:val="TableParagraph"/>
              <w:kinsoku w:val="0"/>
              <w:overflowPunct w:val="0"/>
              <w:spacing w:before="10" w:line="240" w:lineRule="auto"/>
              <w:ind w:right="50"/>
              <w:rPr>
                <w:sz w:val="16"/>
                <w:szCs w:val="16"/>
              </w:rPr>
            </w:pPr>
            <w:r w:rsidRPr="00BF20CF">
              <w:rPr>
                <w:sz w:val="16"/>
                <w:szCs w:val="16"/>
              </w:rPr>
              <w:t>100,489</w:t>
            </w:r>
          </w:p>
        </w:tc>
        <w:tc>
          <w:tcPr>
            <w:tcW w:w="525" w:type="dxa"/>
            <w:tcBorders>
              <w:top w:val="single" w:sz="6" w:space="0" w:color="000000"/>
              <w:left w:val="none" w:sz="6" w:space="0" w:color="auto"/>
              <w:bottom w:val="none" w:sz="6" w:space="0" w:color="auto"/>
              <w:right w:val="single" w:sz="6" w:space="0" w:color="000000"/>
            </w:tcBorders>
          </w:tcPr>
          <w:p w14:paraId="4E6A6E1D" w14:textId="77777777" w:rsidR="00B64EC6" w:rsidRPr="00BF20CF" w:rsidRDefault="00B64EC6">
            <w:pPr>
              <w:pStyle w:val="TableParagraph"/>
              <w:kinsoku w:val="0"/>
              <w:overflowPunct w:val="0"/>
              <w:spacing w:before="10" w:line="240" w:lineRule="auto"/>
              <w:ind w:right="7"/>
              <w:rPr>
                <w:sz w:val="16"/>
                <w:szCs w:val="16"/>
              </w:rPr>
            </w:pPr>
            <w:r w:rsidRPr="00BF20CF">
              <w:rPr>
                <w:sz w:val="16"/>
                <w:szCs w:val="16"/>
              </w:rPr>
              <w:t>‐3.3%</w:t>
            </w:r>
          </w:p>
        </w:tc>
        <w:tc>
          <w:tcPr>
            <w:tcW w:w="813" w:type="dxa"/>
            <w:tcBorders>
              <w:top w:val="single" w:sz="6" w:space="0" w:color="000000"/>
              <w:left w:val="single" w:sz="6" w:space="0" w:color="000000"/>
              <w:bottom w:val="none" w:sz="6" w:space="0" w:color="auto"/>
              <w:right w:val="none" w:sz="6" w:space="0" w:color="auto"/>
            </w:tcBorders>
          </w:tcPr>
          <w:p w14:paraId="640F20CE" w14:textId="77777777" w:rsidR="00B64EC6" w:rsidRPr="00BF20CF" w:rsidRDefault="00B64EC6">
            <w:pPr>
              <w:pStyle w:val="TableParagraph"/>
              <w:kinsoku w:val="0"/>
              <w:overflowPunct w:val="0"/>
              <w:spacing w:before="10" w:line="240" w:lineRule="auto"/>
              <w:ind w:right="49"/>
              <w:rPr>
                <w:sz w:val="16"/>
                <w:szCs w:val="16"/>
              </w:rPr>
            </w:pPr>
            <w:r w:rsidRPr="00BF20CF">
              <w:rPr>
                <w:sz w:val="16"/>
                <w:szCs w:val="16"/>
              </w:rPr>
              <w:t>5,873</w:t>
            </w:r>
          </w:p>
        </w:tc>
        <w:tc>
          <w:tcPr>
            <w:tcW w:w="525" w:type="dxa"/>
            <w:tcBorders>
              <w:top w:val="single" w:sz="6" w:space="0" w:color="000000"/>
              <w:left w:val="none" w:sz="6" w:space="0" w:color="auto"/>
              <w:bottom w:val="none" w:sz="6" w:space="0" w:color="auto"/>
              <w:right w:val="single" w:sz="6" w:space="0" w:color="000000"/>
            </w:tcBorders>
          </w:tcPr>
          <w:p w14:paraId="336A699C" w14:textId="77777777" w:rsidR="00B64EC6" w:rsidRPr="00BF20CF" w:rsidRDefault="00B64EC6">
            <w:pPr>
              <w:pStyle w:val="TableParagraph"/>
              <w:kinsoku w:val="0"/>
              <w:overflowPunct w:val="0"/>
              <w:spacing w:before="10" w:line="240" w:lineRule="auto"/>
              <w:ind w:left="45"/>
              <w:jc w:val="center"/>
              <w:rPr>
                <w:sz w:val="16"/>
                <w:szCs w:val="16"/>
              </w:rPr>
            </w:pPr>
            <w:r w:rsidRPr="00BF20CF">
              <w:rPr>
                <w:sz w:val="16"/>
                <w:szCs w:val="16"/>
              </w:rPr>
              <w:t>‐11.1%</w:t>
            </w:r>
          </w:p>
        </w:tc>
      </w:tr>
      <w:tr w:rsidR="00B64EC6" w:rsidRPr="00BF20CF" w14:paraId="099BA253" w14:textId="77777777">
        <w:trPr>
          <w:trHeight w:val="212"/>
        </w:trPr>
        <w:tc>
          <w:tcPr>
            <w:tcW w:w="608" w:type="dxa"/>
            <w:tcBorders>
              <w:top w:val="none" w:sz="6" w:space="0" w:color="auto"/>
              <w:left w:val="single" w:sz="6" w:space="0" w:color="000000"/>
              <w:bottom w:val="none" w:sz="6" w:space="0" w:color="auto"/>
              <w:right w:val="single" w:sz="6" w:space="0" w:color="000000"/>
            </w:tcBorders>
          </w:tcPr>
          <w:p w14:paraId="1C086100" w14:textId="77777777" w:rsidR="00B64EC6" w:rsidRPr="00BF20CF" w:rsidRDefault="00B64EC6">
            <w:pPr>
              <w:pStyle w:val="TableParagraph"/>
              <w:kinsoku w:val="0"/>
              <w:overflowPunct w:val="0"/>
              <w:ind w:left="24"/>
              <w:jc w:val="left"/>
              <w:rPr>
                <w:sz w:val="16"/>
                <w:szCs w:val="16"/>
              </w:rPr>
            </w:pPr>
            <w:r w:rsidRPr="00BF20CF">
              <w:rPr>
                <w:sz w:val="16"/>
                <w:szCs w:val="16"/>
              </w:rPr>
              <w:t>2021</w:t>
            </w:r>
          </w:p>
        </w:tc>
        <w:tc>
          <w:tcPr>
            <w:tcW w:w="985" w:type="dxa"/>
            <w:tcBorders>
              <w:top w:val="none" w:sz="6" w:space="0" w:color="auto"/>
              <w:left w:val="single" w:sz="6" w:space="0" w:color="000000"/>
              <w:bottom w:val="none" w:sz="6" w:space="0" w:color="auto"/>
              <w:right w:val="none" w:sz="6" w:space="0" w:color="auto"/>
            </w:tcBorders>
          </w:tcPr>
          <w:p w14:paraId="087DECCF" w14:textId="77777777" w:rsidR="00B64EC6" w:rsidRPr="00BF20CF" w:rsidRDefault="00B64EC6">
            <w:pPr>
              <w:pStyle w:val="TableParagraph"/>
              <w:kinsoku w:val="0"/>
              <w:overflowPunct w:val="0"/>
              <w:ind w:right="48"/>
              <w:rPr>
                <w:sz w:val="16"/>
                <w:szCs w:val="16"/>
              </w:rPr>
            </w:pPr>
            <w:r w:rsidRPr="00BF20CF">
              <w:rPr>
                <w:sz w:val="16"/>
                <w:szCs w:val="16"/>
              </w:rPr>
              <w:t>264,819</w:t>
            </w:r>
          </w:p>
        </w:tc>
        <w:tc>
          <w:tcPr>
            <w:tcW w:w="525" w:type="dxa"/>
            <w:tcBorders>
              <w:top w:val="none" w:sz="6" w:space="0" w:color="auto"/>
              <w:left w:val="none" w:sz="6" w:space="0" w:color="auto"/>
              <w:bottom w:val="none" w:sz="6" w:space="0" w:color="auto"/>
              <w:right w:val="single" w:sz="6" w:space="0" w:color="000000"/>
            </w:tcBorders>
          </w:tcPr>
          <w:p w14:paraId="61F27054" w14:textId="77777777" w:rsidR="00B64EC6" w:rsidRPr="00BF20CF" w:rsidRDefault="00B64EC6">
            <w:pPr>
              <w:pStyle w:val="TableParagraph"/>
              <w:kinsoku w:val="0"/>
              <w:overflowPunct w:val="0"/>
              <w:ind w:right="5"/>
              <w:rPr>
                <w:sz w:val="16"/>
                <w:szCs w:val="16"/>
              </w:rPr>
            </w:pPr>
            <w:r w:rsidRPr="00BF20CF">
              <w:rPr>
                <w:sz w:val="16"/>
                <w:szCs w:val="16"/>
              </w:rPr>
              <w:t>‐3.5%</w:t>
            </w:r>
          </w:p>
        </w:tc>
        <w:tc>
          <w:tcPr>
            <w:tcW w:w="929" w:type="dxa"/>
            <w:tcBorders>
              <w:top w:val="none" w:sz="6" w:space="0" w:color="auto"/>
              <w:left w:val="single" w:sz="6" w:space="0" w:color="000000"/>
              <w:bottom w:val="none" w:sz="6" w:space="0" w:color="auto"/>
              <w:right w:val="none" w:sz="6" w:space="0" w:color="auto"/>
            </w:tcBorders>
          </w:tcPr>
          <w:p w14:paraId="2CCC2A06" w14:textId="77777777" w:rsidR="00B64EC6" w:rsidRPr="00BF20CF" w:rsidRDefault="00B64EC6">
            <w:pPr>
              <w:pStyle w:val="TableParagraph"/>
              <w:kinsoku w:val="0"/>
              <w:overflowPunct w:val="0"/>
              <w:ind w:right="63"/>
              <w:rPr>
                <w:sz w:val="16"/>
                <w:szCs w:val="16"/>
              </w:rPr>
            </w:pPr>
            <w:r w:rsidRPr="00BF20CF">
              <w:rPr>
                <w:sz w:val="16"/>
                <w:szCs w:val="16"/>
              </w:rPr>
              <w:t>291,205</w:t>
            </w:r>
          </w:p>
        </w:tc>
        <w:tc>
          <w:tcPr>
            <w:tcW w:w="459" w:type="dxa"/>
            <w:tcBorders>
              <w:top w:val="none" w:sz="6" w:space="0" w:color="auto"/>
              <w:left w:val="none" w:sz="6" w:space="0" w:color="auto"/>
              <w:bottom w:val="none" w:sz="6" w:space="0" w:color="auto"/>
              <w:right w:val="single" w:sz="6" w:space="0" w:color="000000"/>
            </w:tcBorders>
          </w:tcPr>
          <w:p w14:paraId="2F74E40C" w14:textId="77777777" w:rsidR="00B64EC6" w:rsidRPr="00BF20CF" w:rsidRDefault="00B64EC6">
            <w:pPr>
              <w:pStyle w:val="TableParagraph"/>
              <w:kinsoku w:val="0"/>
              <w:overflowPunct w:val="0"/>
              <w:ind w:left="119"/>
              <w:jc w:val="center"/>
              <w:rPr>
                <w:sz w:val="16"/>
                <w:szCs w:val="16"/>
              </w:rPr>
            </w:pPr>
            <w:r w:rsidRPr="00BF20CF">
              <w:rPr>
                <w:sz w:val="16"/>
                <w:szCs w:val="16"/>
              </w:rPr>
              <w:t>2.1%</w:t>
            </w:r>
          </w:p>
        </w:tc>
        <w:tc>
          <w:tcPr>
            <w:tcW w:w="833" w:type="dxa"/>
            <w:tcBorders>
              <w:top w:val="none" w:sz="6" w:space="0" w:color="auto"/>
              <w:left w:val="single" w:sz="6" w:space="0" w:color="000000"/>
              <w:bottom w:val="none" w:sz="6" w:space="0" w:color="auto"/>
              <w:right w:val="none" w:sz="6" w:space="0" w:color="auto"/>
            </w:tcBorders>
          </w:tcPr>
          <w:p w14:paraId="325D7F38" w14:textId="77777777" w:rsidR="00B64EC6" w:rsidRPr="00BF20CF" w:rsidRDefault="00B64EC6">
            <w:pPr>
              <w:pStyle w:val="TableParagraph"/>
              <w:kinsoku w:val="0"/>
              <w:overflowPunct w:val="0"/>
              <w:ind w:right="47"/>
              <w:rPr>
                <w:sz w:val="16"/>
                <w:szCs w:val="16"/>
              </w:rPr>
            </w:pPr>
            <w:r w:rsidRPr="00BF20CF">
              <w:rPr>
                <w:sz w:val="16"/>
                <w:szCs w:val="16"/>
              </w:rPr>
              <w:t>77,120</w:t>
            </w:r>
          </w:p>
        </w:tc>
        <w:tc>
          <w:tcPr>
            <w:tcW w:w="474" w:type="dxa"/>
            <w:tcBorders>
              <w:top w:val="none" w:sz="6" w:space="0" w:color="auto"/>
              <w:left w:val="none" w:sz="6" w:space="0" w:color="auto"/>
              <w:bottom w:val="none" w:sz="6" w:space="0" w:color="auto"/>
              <w:right w:val="single" w:sz="6" w:space="0" w:color="000000"/>
            </w:tcBorders>
          </w:tcPr>
          <w:p w14:paraId="47E65F89" w14:textId="77777777" w:rsidR="00B64EC6" w:rsidRPr="00BF20CF" w:rsidRDefault="00B64EC6">
            <w:pPr>
              <w:pStyle w:val="TableParagraph"/>
              <w:kinsoku w:val="0"/>
              <w:overflowPunct w:val="0"/>
              <w:ind w:right="4"/>
              <w:rPr>
                <w:sz w:val="16"/>
                <w:szCs w:val="16"/>
              </w:rPr>
            </w:pPr>
            <w:r w:rsidRPr="00BF20CF">
              <w:rPr>
                <w:sz w:val="16"/>
                <w:szCs w:val="16"/>
              </w:rPr>
              <w:t>0.0%</w:t>
            </w:r>
          </w:p>
        </w:tc>
        <w:tc>
          <w:tcPr>
            <w:tcW w:w="874" w:type="dxa"/>
            <w:tcBorders>
              <w:top w:val="none" w:sz="6" w:space="0" w:color="auto"/>
              <w:left w:val="single" w:sz="6" w:space="0" w:color="000000"/>
              <w:bottom w:val="none" w:sz="6" w:space="0" w:color="auto"/>
              <w:right w:val="none" w:sz="6" w:space="0" w:color="auto"/>
            </w:tcBorders>
          </w:tcPr>
          <w:p w14:paraId="6BEBDC97" w14:textId="77777777" w:rsidR="00B64EC6" w:rsidRPr="00BF20CF" w:rsidRDefault="00B64EC6">
            <w:pPr>
              <w:pStyle w:val="TableParagraph"/>
              <w:kinsoku w:val="0"/>
              <w:overflowPunct w:val="0"/>
              <w:ind w:right="88"/>
              <w:rPr>
                <w:sz w:val="16"/>
                <w:szCs w:val="16"/>
              </w:rPr>
            </w:pPr>
            <w:r w:rsidRPr="00BF20CF">
              <w:rPr>
                <w:sz w:val="16"/>
                <w:szCs w:val="16"/>
              </w:rPr>
              <w:t>139,884</w:t>
            </w:r>
          </w:p>
        </w:tc>
        <w:tc>
          <w:tcPr>
            <w:tcW w:w="485" w:type="dxa"/>
            <w:tcBorders>
              <w:top w:val="none" w:sz="6" w:space="0" w:color="auto"/>
              <w:left w:val="none" w:sz="6" w:space="0" w:color="auto"/>
              <w:bottom w:val="none" w:sz="6" w:space="0" w:color="auto"/>
              <w:right w:val="single" w:sz="6" w:space="0" w:color="000000"/>
            </w:tcBorders>
          </w:tcPr>
          <w:p w14:paraId="527A742E" w14:textId="77777777" w:rsidR="00B64EC6" w:rsidRPr="00BF20CF" w:rsidRDefault="00B64EC6">
            <w:pPr>
              <w:pStyle w:val="TableParagraph"/>
              <w:kinsoku w:val="0"/>
              <w:overflowPunct w:val="0"/>
              <w:ind w:right="7"/>
              <w:rPr>
                <w:sz w:val="16"/>
                <w:szCs w:val="16"/>
              </w:rPr>
            </w:pPr>
            <w:r w:rsidRPr="00BF20CF">
              <w:rPr>
                <w:sz w:val="16"/>
                <w:szCs w:val="16"/>
              </w:rPr>
              <w:t>‐1.9%</w:t>
            </w:r>
          </w:p>
        </w:tc>
        <w:tc>
          <w:tcPr>
            <w:tcW w:w="753" w:type="dxa"/>
            <w:tcBorders>
              <w:top w:val="none" w:sz="6" w:space="0" w:color="auto"/>
              <w:left w:val="single" w:sz="6" w:space="0" w:color="000000"/>
              <w:bottom w:val="none" w:sz="6" w:space="0" w:color="auto"/>
              <w:right w:val="none" w:sz="6" w:space="0" w:color="auto"/>
            </w:tcBorders>
          </w:tcPr>
          <w:p w14:paraId="3EC7F522" w14:textId="77777777" w:rsidR="00B64EC6" w:rsidRPr="00BF20CF" w:rsidRDefault="00B64EC6">
            <w:pPr>
              <w:pStyle w:val="TableParagraph"/>
              <w:kinsoku w:val="0"/>
              <w:overflowPunct w:val="0"/>
              <w:ind w:right="52"/>
              <w:rPr>
                <w:sz w:val="16"/>
                <w:szCs w:val="16"/>
              </w:rPr>
            </w:pPr>
            <w:r w:rsidRPr="00BF20CF">
              <w:rPr>
                <w:sz w:val="16"/>
                <w:szCs w:val="16"/>
              </w:rPr>
              <w:t>98,814</w:t>
            </w:r>
          </w:p>
        </w:tc>
        <w:tc>
          <w:tcPr>
            <w:tcW w:w="525" w:type="dxa"/>
            <w:tcBorders>
              <w:top w:val="none" w:sz="6" w:space="0" w:color="auto"/>
              <w:left w:val="none" w:sz="6" w:space="0" w:color="auto"/>
              <w:bottom w:val="none" w:sz="6" w:space="0" w:color="auto"/>
              <w:right w:val="single" w:sz="6" w:space="0" w:color="000000"/>
            </w:tcBorders>
          </w:tcPr>
          <w:p w14:paraId="1813ECD3" w14:textId="77777777" w:rsidR="00B64EC6" w:rsidRPr="00BF20CF" w:rsidRDefault="00B64EC6">
            <w:pPr>
              <w:pStyle w:val="TableParagraph"/>
              <w:kinsoku w:val="0"/>
              <w:overflowPunct w:val="0"/>
              <w:ind w:right="7"/>
              <w:rPr>
                <w:sz w:val="16"/>
                <w:szCs w:val="16"/>
              </w:rPr>
            </w:pPr>
            <w:r w:rsidRPr="00BF20CF">
              <w:rPr>
                <w:sz w:val="16"/>
                <w:szCs w:val="16"/>
              </w:rPr>
              <w:t>‐1.7%</w:t>
            </w:r>
          </w:p>
        </w:tc>
        <w:tc>
          <w:tcPr>
            <w:tcW w:w="813" w:type="dxa"/>
            <w:tcBorders>
              <w:top w:val="none" w:sz="6" w:space="0" w:color="auto"/>
              <w:left w:val="single" w:sz="6" w:space="0" w:color="000000"/>
              <w:bottom w:val="none" w:sz="6" w:space="0" w:color="auto"/>
              <w:right w:val="none" w:sz="6" w:space="0" w:color="auto"/>
            </w:tcBorders>
          </w:tcPr>
          <w:p w14:paraId="4F711B77" w14:textId="77777777" w:rsidR="00B64EC6" w:rsidRPr="00BF20CF" w:rsidRDefault="00B64EC6">
            <w:pPr>
              <w:pStyle w:val="TableParagraph"/>
              <w:kinsoku w:val="0"/>
              <w:overflowPunct w:val="0"/>
              <w:ind w:right="49"/>
              <w:rPr>
                <w:sz w:val="16"/>
                <w:szCs w:val="16"/>
              </w:rPr>
            </w:pPr>
            <w:r w:rsidRPr="00BF20CF">
              <w:rPr>
                <w:sz w:val="16"/>
                <w:szCs w:val="16"/>
              </w:rPr>
              <w:t>5,313</w:t>
            </w:r>
          </w:p>
        </w:tc>
        <w:tc>
          <w:tcPr>
            <w:tcW w:w="525" w:type="dxa"/>
            <w:tcBorders>
              <w:top w:val="none" w:sz="6" w:space="0" w:color="auto"/>
              <w:left w:val="none" w:sz="6" w:space="0" w:color="auto"/>
              <w:bottom w:val="none" w:sz="6" w:space="0" w:color="auto"/>
              <w:right w:val="single" w:sz="6" w:space="0" w:color="000000"/>
            </w:tcBorders>
          </w:tcPr>
          <w:p w14:paraId="413782A4" w14:textId="77777777" w:rsidR="00B64EC6" w:rsidRPr="00BF20CF" w:rsidRDefault="00B64EC6">
            <w:pPr>
              <w:pStyle w:val="TableParagraph"/>
              <w:kinsoku w:val="0"/>
              <w:overflowPunct w:val="0"/>
              <w:ind w:left="129"/>
              <w:jc w:val="center"/>
              <w:rPr>
                <w:sz w:val="16"/>
                <w:szCs w:val="16"/>
              </w:rPr>
            </w:pPr>
            <w:r w:rsidRPr="00BF20CF">
              <w:rPr>
                <w:sz w:val="16"/>
                <w:szCs w:val="16"/>
              </w:rPr>
              <w:t>‐9.5%</w:t>
            </w:r>
          </w:p>
        </w:tc>
      </w:tr>
      <w:tr w:rsidR="00B64EC6" w:rsidRPr="00BF20CF" w14:paraId="6FC62942" w14:textId="77777777">
        <w:trPr>
          <w:trHeight w:val="212"/>
        </w:trPr>
        <w:tc>
          <w:tcPr>
            <w:tcW w:w="608" w:type="dxa"/>
            <w:tcBorders>
              <w:top w:val="none" w:sz="6" w:space="0" w:color="auto"/>
              <w:left w:val="single" w:sz="6" w:space="0" w:color="000000"/>
              <w:bottom w:val="none" w:sz="6" w:space="0" w:color="auto"/>
              <w:right w:val="single" w:sz="6" w:space="0" w:color="000000"/>
            </w:tcBorders>
          </w:tcPr>
          <w:p w14:paraId="32AF0E57" w14:textId="77777777" w:rsidR="00B64EC6" w:rsidRPr="00BF20CF" w:rsidRDefault="00B64EC6">
            <w:pPr>
              <w:pStyle w:val="TableParagraph"/>
              <w:kinsoku w:val="0"/>
              <w:overflowPunct w:val="0"/>
              <w:ind w:left="24"/>
              <w:jc w:val="left"/>
              <w:rPr>
                <w:sz w:val="16"/>
                <w:szCs w:val="16"/>
              </w:rPr>
            </w:pPr>
            <w:r w:rsidRPr="00BF20CF">
              <w:rPr>
                <w:sz w:val="16"/>
                <w:szCs w:val="16"/>
              </w:rPr>
              <w:t>2022</w:t>
            </w:r>
          </w:p>
        </w:tc>
        <w:tc>
          <w:tcPr>
            <w:tcW w:w="985" w:type="dxa"/>
            <w:tcBorders>
              <w:top w:val="none" w:sz="6" w:space="0" w:color="auto"/>
              <w:left w:val="single" w:sz="6" w:space="0" w:color="000000"/>
              <w:bottom w:val="none" w:sz="6" w:space="0" w:color="auto"/>
              <w:right w:val="none" w:sz="6" w:space="0" w:color="auto"/>
            </w:tcBorders>
          </w:tcPr>
          <w:p w14:paraId="00C5DE53" w14:textId="77777777" w:rsidR="00B64EC6" w:rsidRPr="00BF20CF" w:rsidRDefault="00B64EC6">
            <w:pPr>
              <w:pStyle w:val="TableParagraph"/>
              <w:kinsoku w:val="0"/>
              <w:overflowPunct w:val="0"/>
              <w:ind w:right="48"/>
              <w:rPr>
                <w:sz w:val="16"/>
                <w:szCs w:val="16"/>
              </w:rPr>
            </w:pPr>
            <w:r w:rsidRPr="00BF20CF">
              <w:rPr>
                <w:sz w:val="16"/>
                <w:szCs w:val="16"/>
              </w:rPr>
              <w:t>257,330</w:t>
            </w:r>
          </w:p>
        </w:tc>
        <w:tc>
          <w:tcPr>
            <w:tcW w:w="525" w:type="dxa"/>
            <w:tcBorders>
              <w:top w:val="none" w:sz="6" w:space="0" w:color="auto"/>
              <w:left w:val="none" w:sz="6" w:space="0" w:color="auto"/>
              <w:bottom w:val="none" w:sz="6" w:space="0" w:color="auto"/>
              <w:right w:val="single" w:sz="6" w:space="0" w:color="000000"/>
            </w:tcBorders>
          </w:tcPr>
          <w:p w14:paraId="41EECAE7" w14:textId="77777777" w:rsidR="00B64EC6" w:rsidRPr="00BF20CF" w:rsidRDefault="00B64EC6">
            <w:pPr>
              <w:pStyle w:val="TableParagraph"/>
              <w:kinsoku w:val="0"/>
              <w:overflowPunct w:val="0"/>
              <w:ind w:right="6"/>
              <w:rPr>
                <w:sz w:val="16"/>
                <w:szCs w:val="16"/>
              </w:rPr>
            </w:pPr>
            <w:r w:rsidRPr="00BF20CF">
              <w:rPr>
                <w:sz w:val="16"/>
                <w:szCs w:val="16"/>
              </w:rPr>
              <w:t>‐2.8%</w:t>
            </w:r>
          </w:p>
        </w:tc>
        <w:tc>
          <w:tcPr>
            <w:tcW w:w="929" w:type="dxa"/>
            <w:tcBorders>
              <w:top w:val="none" w:sz="6" w:space="0" w:color="auto"/>
              <w:left w:val="single" w:sz="6" w:space="0" w:color="000000"/>
              <w:bottom w:val="none" w:sz="6" w:space="0" w:color="auto"/>
              <w:right w:val="none" w:sz="6" w:space="0" w:color="auto"/>
            </w:tcBorders>
          </w:tcPr>
          <w:p w14:paraId="00EAD4F8" w14:textId="77777777" w:rsidR="00B64EC6" w:rsidRPr="00BF20CF" w:rsidRDefault="00B64EC6">
            <w:pPr>
              <w:pStyle w:val="TableParagraph"/>
              <w:kinsoku w:val="0"/>
              <w:overflowPunct w:val="0"/>
              <w:ind w:right="64"/>
              <w:rPr>
                <w:sz w:val="16"/>
                <w:szCs w:val="16"/>
              </w:rPr>
            </w:pPr>
            <w:r w:rsidRPr="00BF20CF">
              <w:rPr>
                <w:sz w:val="16"/>
                <w:szCs w:val="16"/>
              </w:rPr>
              <w:t>299,008</w:t>
            </w:r>
          </w:p>
        </w:tc>
        <w:tc>
          <w:tcPr>
            <w:tcW w:w="459" w:type="dxa"/>
            <w:tcBorders>
              <w:top w:val="none" w:sz="6" w:space="0" w:color="auto"/>
              <w:left w:val="none" w:sz="6" w:space="0" w:color="auto"/>
              <w:bottom w:val="none" w:sz="6" w:space="0" w:color="auto"/>
              <w:right w:val="single" w:sz="6" w:space="0" w:color="000000"/>
            </w:tcBorders>
          </w:tcPr>
          <w:p w14:paraId="4BF8CCE4" w14:textId="77777777" w:rsidR="00B64EC6" w:rsidRPr="00BF20CF" w:rsidRDefault="00B64EC6">
            <w:pPr>
              <w:pStyle w:val="TableParagraph"/>
              <w:kinsoku w:val="0"/>
              <w:overflowPunct w:val="0"/>
              <w:ind w:left="119"/>
              <w:jc w:val="center"/>
              <w:rPr>
                <w:sz w:val="16"/>
                <w:szCs w:val="16"/>
              </w:rPr>
            </w:pPr>
            <w:r w:rsidRPr="00BF20CF">
              <w:rPr>
                <w:sz w:val="16"/>
                <w:szCs w:val="16"/>
              </w:rPr>
              <w:t>2.7%</w:t>
            </w:r>
          </w:p>
        </w:tc>
        <w:tc>
          <w:tcPr>
            <w:tcW w:w="833" w:type="dxa"/>
            <w:tcBorders>
              <w:top w:val="none" w:sz="6" w:space="0" w:color="auto"/>
              <w:left w:val="single" w:sz="6" w:space="0" w:color="000000"/>
              <w:bottom w:val="none" w:sz="6" w:space="0" w:color="auto"/>
              <w:right w:val="none" w:sz="6" w:space="0" w:color="auto"/>
            </w:tcBorders>
          </w:tcPr>
          <w:p w14:paraId="22D91368" w14:textId="77777777" w:rsidR="00B64EC6" w:rsidRPr="00BF20CF" w:rsidRDefault="00B64EC6">
            <w:pPr>
              <w:pStyle w:val="TableParagraph"/>
              <w:kinsoku w:val="0"/>
              <w:overflowPunct w:val="0"/>
              <w:ind w:right="50"/>
              <w:rPr>
                <w:sz w:val="16"/>
                <w:szCs w:val="16"/>
              </w:rPr>
            </w:pPr>
            <w:r w:rsidRPr="00BF20CF">
              <w:rPr>
                <w:sz w:val="16"/>
                <w:szCs w:val="16"/>
              </w:rPr>
              <w:t>77,407</w:t>
            </w:r>
          </w:p>
        </w:tc>
        <w:tc>
          <w:tcPr>
            <w:tcW w:w="474" w:type="dxa"/>
            <w:tcBorders>
              <w:top w:val="none" w:sz="6" w:space="0" w:color="auto"/>
              <w:left w:val="none" w:sz="6" w:space="0" w:color="auto"/>
              <w:bottom w:val="none" w:sz="6" w:space="0" w:color="auto"/>
              <w:right w:val="single" w:sz="6" w:space="0" w:color="000000"/>
            </w:tcBorders>
          </w:tcPr>
          <w:p w14:paraId="7CCA5425" w14:textId="77777777" w:rsidR="00B64EC6" w:rsidRPr="00BF20CF" w:rsidRDefault="00B64EC6">
            <w:pPr>
              <w:pStyle w:val="TableParagraph"/>
              <w:kinsoku w:val="0"/>
              <w:overflowPunct w:val="0"/>
              <w:ind w:right="6"/>
              <w:rPr>
                <w:sz w:val="16"/>
                <w:szCs w:val="16"/>
              </w:rPr>
            </w:pPr>
            <w:r w:rsidRPr="00BF20CF">
              <w:rPr>
                <w:sz w:val="16"/>
                <w:szCs w:val="16"/>
              </w:rPr>
              <w:t>0.4%</w:t>
            </w:r>
          </w:p>
        </w:tc>
        <w:tc>
          <w:tcPr>
            <w:tcW w:w="874" w:type="dxa"/>
            <w:tcBorders>
              <w:top w:val="none" w:sz="6" w:space="0" w:color="auto"/>
              <w:left w:val="single" w:sz="6" w:space="0" w:color="000000"/>
              <w:bottom w:val="none" w:sz="6" w:space="0" w:color="auto"/>
              <w:right w:val="none" w:sz="6" w:space="0" w:color="auto"/>
            </w:tcBorders>
          </w:tcPr>
          <w:p w14:paraId="790B07B3" w14:textId="77777777" w:rsidR="00B64EC6" w:rsidRPr="00BF20CF" w:rsidRDefault="00B64EC6">
            <w:pPr>
              <w:pStyle w:val="TableParagraph"/>
              <w:kinsoku w:val="0"/>
              <w:overflowPunct w:val="0"/>
              <w:ind w:right="88"/>
              <w:rPr>
                <w:sz w:val="16"/>
                <w:szCs w:val="16"/>
              </w:rPr>
            </w:pPr>
            <w:r w:rsidRPr="00BF20CF">
              <w:rPr>
                <w:sz w:val="16"/>
                <w:szCs w:val="16"/>
              </w:rPr>
              <w:t>140,051</w:t>
            </w:r>
          </w:p>
        </w:tc>
        <w:tc>
          <w:tcPr>
            <w:tcW w:w="485" w:type="dxa"/>
            <w:tcBorders>
              <w:top w:val="none" w:sz="6" w:space="0" w:color="auto"/>
              <w:left w:val="none" w:sz="6" w:space="0" w:color="auto"/>
              <w:bottom w:val="none" w:sz="6" w:space="0" w:color="auto"/>
              <w:right w:val="single" w:sz="6" w:space="0" w:color="000000"/>
            </w:tcBorders>
          </w:tcPr>
          <w:p w14:paraId="37334C66" w14:textId="77777777" w:rsidR="00B64EC6" w:rsidRPr="00BF20CF" w:rsidRDefault="00B64EC6">
            <w:pPr>
              <w:pStyle w:val="TableParagraph"/>
              <w:kinsoku w:val="0"/>
              <w:overflowPunct w:val="0"/>
              <w:ind w:right="6"/>
              <w:rPr>
                <w:sz w:val="16"/>
                <w:szCs w:val="16"/>
              </w:rPr>
            </w:pPr>
            <w:r w:rsidRPr="00BF20CF">
              <w:rPr>
                <w:sz w:val="16"/>
                <w:szCs w:val="16"/>
              </w:rPr>
              <w:t>0.1%</w:t>
            </w:r>
          </w:p>
        </w:tc>
        <w:tc>
          <w:tcPr>
            <w:tcW w:w="753" w:type="dxa"/>
            <w:tcBorders>
              <w:top w:val="none" w:sz="6" w:space="0" w:color="auto"/>
              <w:left w:val="single" w:sz="6" w:space="0" w:color="000000"/>
              <w:bottom w:val="none" w:sz="6" w:space="0" w:color="auto"/>
              <w:right w:val="none" w:sz="6" w:space="0" w:color="auto"/>
            </w:tcBorders>
          </w:tcPr>
          <w:p w14:paraId="4606ADF6" w14:textId="77777777" w:rsidR="00B64EC6" w:rsidRPr="00BF20CF" w:rsidRDefault="00B64EC6">
            <w:pPr>
              <w:pStyle w:val="TableParagraph"/>
              <w:kinsoku w:val="0"/>
              <w:overflowPunct w:val="0"/>
              <w:ind w:right="51"/>
              <w:rPr>
                <w:sz w:val="16"/>
                <w:szCs w:val="16"/>
              </w:rPr>
            </w:pPr>
            <w:r w:rsidRPr="00BF20CF">
              <w:rPr>
                <w:sz w:val="16"/>
                <w:szCs w:val="16"/>
              </w:rPr>
              <w:t>98,706</w:t>
            </w:r>
          </w:p>
        </w:tc>
        <w:tc>
          <w:tcPr>
            <w:tcW w:w="525" w:type="dxa"/>
            <w:tcBorders>
              <w:top w:val="none" w:sz="6" w:space="0" w:color="auto"/>
              <w:left w:val="none" w:sz="6" w:space="0" w:color="auto"/>
              <w:bottom w:val="none" w:sz="6" w:space="0" w:color="auto"/>
              <w:right w:val="single" w:sz="6" w:space="0" w:color="000000"/>
            </w:tcBorders>
          </w:tcPr>
          <w:p w14:paraId="094C8618" w14:textId="77777777" w:rsidR="00B64EC6" w:rsidRPr="00BF20CF" w:rsidRDefault="00B64EC6">
            <w:pPr>
              <w:pStyle w:val="TableParagraph"/>
              <w:kinsoku w:val="0"/>
              <w:overflowPunct w:val="0"/>
              <w:ind w:right="7"/>
              <w:rPr>
                <w:sz w:val="16"/>
                <w:szCs w:val="16"/>
              </w:rPr>
            </w:pPr>
            <w:r w:rsidRPr="00BF20CF">
              <w:rPr>
                <w:sz w:val="16"/>
                <w:szCs w:val="16"/>
              </w:rPr>
              <w:t>‐0.1%</w:t>
            </w:r>
          </w:p>
        </w:tc>
        <w:tc>
          <w:tcPr>
            <w:tcW w:w="813" w:type="dxa"/>
            <w:tcBorders>
              <w:top w:val="none" w:sz="6" w:space="0" w:color="auto"/>
              <w:left w:val="single" w:sz="6" w:space="0" w:color="000000"/>
              <w:bottom w:val="none" w:sz="6" w:space="0" w:color="auto"/>
              <w:right w:val="none" w:sz="6" w:space="0" w:color="auto"/>
            </w:tcBorders>
          </w:tcPr>
          <w:p w14:paraId="57C10462" w14:textId="77777777" w:rsidR="00B64EC6" w:rsidRPr="00BF20CF" w:rsidRDefault="00B64EC6">
            <w:pPr>
              <w:pStyle w:val="TableParagraph"/>
              <w:kinsoku w:val="0"/>
              <w:overflowPunct w:val="0"/>
              <w:ind w:right="49"/>
              <w:rPr>
                <w:sz w:val="16"/>
                <w:szCs w:val="16"/>
              </w:rPr>
            </w:pPr>
            <w:r w:rsidRPr="00BF20CF">
              <w:rPr>
                <w:sz w:val="16"/>
                <w:szCs w:val="16"/>
              </w:rPr>
              <w:t>4,991</w:t>
            </w:r>
          </w:p>
        </w:tc>
        <w:tc>
          <w:tcPr>
            <w:tcW w:w="525" w:type="dxa"/>
            <w:tcBorders>
              <w:top w:val="none" w:sz="6" w:space="0" w:color="auto"/>
              <w:left w:val="none" w:sz="6" w:space="0" w:color="auto"/>
              <w:bottom w:val="none" w:sz="6" w:space="0" w:color="auto"/>
              <w:right w:val="single" w:sz="6" w:space="0" w:color="000000"/>
            </w:tcBorders>
          </w:tcPr>
          <w:p w14:paraId="22D21040" w14:textId="77777777" w:rsidR="00B64EC6" w:rsidRPr="00BF20CF" w:rsidRDefault="00B64EC6">
            <w:pPr>
              <w:pStyle w:val="TableParagraph"/>
              <w:kinsoku w:val="0"/>
              <w:overflowPunct w:val="0"/>
              <w:ind w:left="129"/>
              <w:jc w:val="center"/>
              <w:rPr>
                <w:sz w:val="16"/>
                <w:szCs w:val="16"/>
              </w:rPr>
            </w:pPr>
            <w:r w:rsidRPr="00BF20CF">
              <w:rPr>
                <w:sz w:val="16"/>
                <w:szCs w:val="16"/>
              </w:rPr>
              <w:t>‐6.1%</w:t>
            </w:r>
          </w:p>
        </w:tc>
      </w:tr>
      <w:tr w:rsidR="00B64EC6" w:rsidRPr="00BF20CF" w14:paraId="77092394" w14:textId="77777777">
        <w:trPr>
          <w:trHeight w:val="212"/>
        </w:trPr>
        <w:tc>
          <w:tcPr>
            <w:tcW w:w="608" w:type="dxa"/>
            <w:tcBorders>
              <w:top w:val="none" w:sz="6" w:space="0" w:color="auto"/>
              <w:left w:val="single" w:sz="6" w:space="0" w:color="000000"/>
              <w:bottom w:val="none" w:sz="6" w:space="0" w:color="auto"/>
              <w:right w:val="single" w:sz="6" w:space="0" w:color="000000"/>
            </w:tcBorders>
          </w:tcPr>
          <w:p w14:paraId="2029CA28" w14:textId="77777777" w:rsidR="00B64EC6" w:rsidRPr="00BF20CF" w:rsidRDefault="00B64EC6">
            <w:pPr>
              <w:pStyle w:val="TableParagraph"/>
              <w:kinsoku w:val="0"/>
              <w:overflowPunct w:val="0"/>
              <w:ind w:left="24"/>
              <w:jc w:val="left"/>
              <w:rPr>
                <w:sz w:val="16"/>
                <w:szCs w:val="16"/>
              </w:rPr>
            </w:pPr>
            <w:r w:rsidRPr="00BF20CF">
              <w:rPr>
                <w:sz w:val="16"/>
                <w:szCs w:val="16"/>
              </w:rPr>
              <w:t>2023</w:t>
            </w:r>
          </w:p>
        </w:tc>
        <w:tc>
          <w:tcPr>
            <w:tcW w:w="985" w:type="dxa"/>
            <w:tcBorders>
              <w:top w:val="none" w:sz="6" w:space="0" w:color="auto"/>
              <w:left w:val="single" w:sz="6" w:space="0" w:color="000000"/>
              <w:bottom w:val="none" w:sz="6" w:space="0" w:color="auto"/>
              <w:right w:val="none" w:sz="6" w:space="0" w:color="auto"/>
            </w:tcBorders>
          </w:tcPr>
          <w:p w14:paraId="7E3D19B3" w14:textId="77777777" w:rsidR="00B64EC6" w:rsidRPr="00BF20CF" w:rsidRDefault="00B64EC6">
            <w:pPr>
              <w:pStyle w:val="TableParagraph"/>
              <w:kinsoku w:val="0"/>
              <w:overflowPunct w:val="0"/>
              <w:ind w:right="48"/>
              <w:rPr>
                <w:sz w:val="16"/>
                <w:szCs w:val="16"/>
              </w:rPr>
            </w:pPr>
            <w:r w:rsidRPr="00BF20CF">
              <w:rPr>
                <w:sz w:val="16"/>
                <w:szCs w:val="16"/>
              </w:rPr>
              <w:t>249,962</w:t>
            </w:r>
          </w:p>
        </w:tc>
        <w:tc>
          <w:tcPr>
            <w:tcW w:w="525" w:type="dxa"/>
            <w:tcBorders>
              <w:top w:val="none" w:sz="6" w:space="0" w:color="auto"/>
              <w:left w:val="none" w:sz="6" w:space="0" w:color="auto"/>
              <w:bottom w:val="none" w:sz="6" w:space="0" w:color="auto"/>
              <w:right w:val="single" w:sz="6" w:space="0" w:color="000000"/>
            </w:tcBorders>
          </w:tcPr>
          <w:p w14:paraId="090FD893" w14:textId="77777777" w:rsidR="00B64EC6" w:rsidRPr="00BF20CF" w:rsidRDefault="00B64EC6">
            <w:pPr>
              <w:pStyle w:val="TableParagraph"/>
              <w:kinsoku w:val="0"/>
              <w:overflowPunct w:val="0"/>
              <w:ind w:right="7"/>
              <w:rPr>
                <w:sz w:val="16"/>
                <w:szCs w:val="16"/>
              </w:rPr>
            </w:pPr>
            <w:r w:rsidRPr="00BF20CF">
              <w:rPr>
                <w:sz w:val="16"/>
                <w:szCs w:val="16"/>
              </w:rPr>
              <w:t>‐2.9%</w:t>
            </w:r>
          </w:p>
        </w:tc>
        <w:tc>
          <w:tcPr>
            <w:tcW w:w="929" w:type="dxa"/>
            <w:tcBorders>
              <w:top w:val="none" w:sz="6" w:space="0" w:color="auto"/>
              <w:left w:val="single" w:sz="6" w:space="0" w:color="000000"/>
              <w:bottom w:val="none" w:sz="6" w:space="0" w:color="auto"/>
              <w:right w:val="none" w:sz="6" w:space="0" w:color="auto"/>
            </w:tcBorders>
          </w:tcPr>
          <w:p w14:paraId="3FF42C49" w14:textId="77777777" w:rsidR="00B64EC6" w:rsidRPr="00BF20CF" w:rsidRDefault="00B64EC6">
            <w:pPr>
              <w:pStyle w:val="TableParagraph"/>
              <w:kinsoku w:val="0"/>
              <w:overflowPunct w:val="0"/>
              <w:ind w:right="65"/>
              <w:rPr>
                <w:sz w:val="16"/>
                <w:szCs w:val="16"/>
              </w:rPr>
            </w:pPr>
            <w:r w:rsidRPr="00BF20CF">
              <w:rPr>
                <w:sz w:val="16"/>
                <w:szCs w:val="16"/>
              </w:rPr>
              <w:t>306,779</w:t>
            </w:r>
          </w:p>
        </w:tc>
        <w:tc>
          <w:tcPr>
            <w:tcW w:w="459" w:type="dxa"/>
            <w:tcBorders>
              <w:top w:val="none" w:sz="6" w:space="0" w:color="auto"/>
              <w:left w:val="none" w:sz="6" w:space="0" w:color="auto"/>
              <w:bottom w:val="none" w:sz="6" w:space="0" w:color="auto"/>
              <w:right w:val="single" w:sz="6" w:space="0" w:color="000000"/>
            </w:tcBorders>
          </w:tcPr>
          <w:p w14:paraId="1553BECB" w14:textId="77777777" w:rsidR="00B64EC6" w:rsidRPr="00BF20CF" w:rsidRDefault="00B64EC6">
            <w:pPr>
              <w:pStyle w:val="TableParagraph"/>
              <w:kinsoku w:val="0"/>
              <w:overflowPunct w:val="0"/>
              <w:ind w:left="117"/>
              <w:jc w:val="center"/>
              <w:rPr>
                <w:sz w:val="16"/>
                <w:szCs w:val="16"/>
              </w:rPr>
            </w:pPr>
            <w:r w:rsidRPr="00BF20CF">
              <w:rPr>
                <w:sz w:val="16"/>
                <w:szCs w:val="16"/>
              </w:rPr>
              <w:t>2.6%</w:t>
            </w:r>
          </w:p>
        </w:tc>
        <w:tc>
          <w:tcPr>
            <w:tcW w:w="833" w:type="dxa"/>
            <w:tcBorders>
              <w:top w:val="none" w:sz="6" w:space="0" w:color="auto"/>
              <w:left w:val="single" w:sz="6" w:space="0" w:color="000000"/>
              <w:bottom w:val="none" w:sz="6" w:space="0" w:color="auto"/>
              <w:right w:val="none" w:sz="6" w:space="0" w:color="auto"/>
            </w:tcBorders>
          </w:tcPr>
          <w:p w14:paraId="48CB3628" w14:textId="77777777" w:rsidR="00B64EC6" w:rsidRPr="00BF20CF" w:rsidRDefault="00B64EC6">
            <w:pPr>
              <w:pStyle w:val="TableParagraph"/>
              <w:kinsoku w:val="0"/>
              <w:overflowPunct w:val="0"/>
              <w:ind w:right="50"/>
              <w:rPr>
                <w:sz w:val="16"/>
                <w:szCs w:val="16"/>
              </w:rPr>
            </w:pPr>
            <w:r w:rsidRPr="00BF20CF">
              <w:rPr>
                <w:sz w:val="16"/>
                <w:szCs w:val="16"/>
              </w:rPr>
              <w:t>77,676</w:t>
            </w:r>
          </w:p>
        </w:tc>
        <w:tc>
          <w:tcPr>
            <w:tcW w:w="474" w:type="dxa"/>
            <w:tcBorders>
              <w:top w:val="none" w:sz="6" w:space="0" w:color="auto"/>
              <w:left w:val="none" w:sz="6" w:space="0" w:color="auto"/>
              <w:bottom w:val="none" w:sz="6" w:space="0" w:color="auto"/>
              <w:right w:val="single" w:sz="6" w:space="0" w:color="000000"/>
            </w:tcBorders>
          </w:tcPr>
          <w:p w14:paraId="36E97027" w14:textId="77777777" w:rsidR="00B64EC6" w:rsidRPr="00BF20CF" w:rsidRDefault="00B64EC6">
            <w:pPr>
              <w:pStyle w:val="TableParagraph"/>
              <w:kinsoku w:val="0"/>
              <w:overflowPunct w:val="0"/>
              <w:ind w:right="6"/>
              <w:rPr>
                <w:sz w:val="16"/>
                <w:szCs w:val="16"/>
              </w:rPr>
            </w:pPr>
            <w:r w:rsidRPr="00BF20CF">
              <w:rPr>
                <w:sz w:val="16"/>
                <w:szCs w:val="16"/>
              </w:rPr>
              <w:t>0.3%</w:t>
            </w:r>
          </w:p>
        </w:tc>
        <w:tc>
          <w:tcPr>
            <w:tcW w:w="874" w:type="dxa"/>
            <w:tcBorders>
              <w:top w:val="none" w:sz="6" w:space="0" w:color="auto"/>
              <w:left w:val="single" w:sz="6" w:space="0" w:color="000000"/>
              <w:bottom w:val="none" w:sz="6" w:space="0" w:color="auto"/>
              <w:right w:val="none" w:sz="6" w:space="0" w:color="auto"/>
            </w:tcBorders>
          </w:tcPr>
          <w:p w14:paraId="348056EB" w14:textId="77777777" w:rsidR="00B64EC6" w:rsidRPr="00BF20CF" w:rsidRDefault="00B64EC6">
            <w:pPr>
              <w:pStyle w:val="TableParagraph"/>
              <w:kinsoku w:val="0"/>
              <w:overflowPunct w:val="0"/>
              <w:ind w:right="88"/>
              <w:rPr>
                <w:sz w:val="16"/>
                <w:szCs w:val="16"/>
              </w:rPr>
            </w:pPr>
            <w:r w:rsidRPr="00BF20CF">
              <w:rPr>
                <w:sz w:val="16"/>
                <w:szCs w:val="16"/>
              </w:rPr>
              <w:t>140,198</w:t>
            </w:r>
          </w:p>
        </w:tc>
        <w:tc>
          <w:tcPr>
            <w:tcW w:w="485" w:type="dxa"/>
            <w:tcBorders>
              <w:top w:val="none" w:sz="6" w:space="0" w:color="auto"/>
              <w:left w:val="none" w:sz="6" w:space="0" w:color="auto"/>
              <w:bottom w:val="none" w:sz="6" w:space="0" w:color="auto"/>
              <w:right w:val="single" w:sz="6" w:space="0" w:color="000000"/>
            </w:tcBorders>
          </w:tcPr>
          <w:p w14:paraId="3A934B8A" w14:textId="77777777" w:rsidR="00B64EC6" w:rsidRPr="00BF20CF" w:rsidRDefault="00B64EC6">
            <w:pPr>
              <w:pStyle w:val="TableParagraph"/>
              <w:kinsoku w:val="0"/>
              <w:overflowPunct w:val="0"/>
              <w:ind w:right="7"/>
              <w:rPr>
                <w:sz w:val="16"/>
                <w:szCs w:val="16"/>
              </w:rPr>
            </w:pPr>
            <w:r w:rsidRPr="00BF20CF">
              <w:rPr>
                <w:sz w:val="16"/>
                <w:szCs w:val="16"/>
              </w:rPr>
              <w:t>0.1%</w:t>
            </w:r>
          </w:p>
        </w:tc>
        <w:tc>
          <w:tcPr>
            <w:tcW w:w="753" w:type="dxa"/>
            <w:tcBorders>
              <w:top w:val="none" w:sz="6" w:space="0" w:color="auto"/>
              <w:left w:val="single" w:sz="6" w:space="0" w:color="000000"/>
              <w:bottom w:val="none" w:sz="6" w:space="0" w:color="auto"/>
              <w:right w:val="none" w:sz="6" w:space="0" w:color="auto"/>
            </w:tcBorders>
          </w:tcPr>
          <w:p w14:paraId="3FC5C2A0" w14:textId="77777777" w:rsidR="00B64EC6" w:rsidRPr="00BF20CF" w:rsidRDefault="00B64EC6">
            <w:pPr>
              <w:pStyle w:val="TableParagraph"/>
              <w:kinsoku w:val="0"/>
              <w:overflowPunct w:val="0"/>
              <w:ind w:right="51"/>
              <w:rPr>
                <w:sz w:val="16"/>
                <w:szCs w:val="16"/>
              </w:rPr>
            </w:pPr>
            <w:r w:rsidRPr="00BF20CF">
              <w:rPr>
                <w:sz w:val="16"/>
                <w:szCs w:val="16"/>
              </w:rPr>
              <w:t>98,597</w:t>
            </w:r>
          </w:p>
        </w:tc>
        <w:tc>
          <w:tcPr>
            <w:tcW w:w="525" w:type="dxa"/>
            <w:tcBorders>
              <w:top w:val="none" w:sz="6" w:space="0" w:color="auto"/>
              <w:left w:val="none" w:sz="6" w:space="0" w:color="auto"/>
              <w:bottom w:val="none" w:sz="6" w:space="0" w:color="auto"/>
              <w:right w:val="single" w:sz="6" w:space="0" w:color="000000"/>
            </w:tcBorders>
          </w:tcPr>
          <w:p w14:paraId="20C857A2" w14:textId="77777777" w:rsidR="00B64EC6" w:rsidRPr="00BF20CF" w:rsidRDefault="00B64EC6">
            <w:pPr>
              <w:pStyle w:val="TableParagraph"/>
              <w:kinsoku w:val="0"/>
              <w:overflowPunct w:val="0"/>
              <w:ind w:right="8"/>
              <w:rPr>
                <w:sz w:val="16"/>
                <w:szCs w:val="16"/>
              </w:rPr>
            </w:pPr>
            <w:r w:rsidRPr="00BF20CF">
              <w:rPr>
                <w:sz w:val="16"/>
                <w:szCs w:val="16"/>
              </w:rPr>
              <w:t>‐0.1%</w:t>
            </w:r>
          </w:p>
        </w:tc>
        <w:tc>
          <w:tcPr>
            <w:tcW w:w="813" w:type="dxa"/>
            <w:tcBorders>
              <w:top w:val="none" w:sz="6" w:space="0" w:color="auto"/>
              <w:left w:val="single" w:sz="6" w:space="0" w:color="000000"/>
              <w:bottom w:val="none" w:sz="6" w:space="0" w:color="auto"/>
              <w:right w:val="none" w:sz="6" w:space="0" w:color="auto"/>
            </w:tcBorders>
          </w:tcPr>
          <w:p w14:paraId="40D69DB8" w14:textId="77777777" w:rsidR="00B64EC6" w:rsidRPr="00BF20CF" w:rsidRDefault="00B64EC6">
            <w:pPr>
              <w:pStyle w:val="TableParagraph"/>
              <w:kinsoku w:val="0"/>
              <w:overflowPunct w:val="0"/>
              <w:ind w:right="50"/>
              <w:rPr>
                <w:sz w:val="16"/>
                <w:szCs w:val="16"/>
              </w:rPr>
            </w:pPr>
            <w:r w:rsidRPr="00BF20CF">
              <w:rPr>
                <w:sz w:val="16"/>
                <w:szCs w:val="16"/>
              </w:rPr>
              <w:t>4,804</w:t>
            </w:r>
          </w:p>
        </w:tc>
        <w:tc>
          <w:tcPr>
            <w:tcW w:w="525" w:type="dxa"/>
            <w:tcBorders>
              <w:top w:val="none" w:sz="6" w:space="0" w:color="auto"/>
              <w:left w:val="none" w:sz="6" w:space="0" w:color="auto"/>
              <w:bottom w:val="none" w:sz="6" w:space="0" w:color="auto"/>
              <w:right w:val="single" w:sz="6" w:space="0" w:color="000000"/>
            </w:tcBorders>
          </w:tcPr>
          <w:p w14:paraId="046D7AB5" w14:textId="77777777" w:rsidR="00B64EC6" w:rsidRPr="00BF20CF" w:rsidRDefault="00B64EC6">
            <w:pPr>
              <w:pStyle w:val="TableParagraph"/>
              <w:kinsoku w:val="0"/>
              <w:overflowPunct w:val="0"/>
              <w:ind w:left="127"/>
              <w:jc w:val="center"/>
              <w:rPr>
                <w:sz w:val="16"/>
                <w:szCs w:val="16"/>
              </w:rPr>
            </w:pPr>
            <w:r w:rsidRPr="00BF20CF">
              <w:rPr>
                <w:sz w:val="16"/>
                <w:szCs w:val="16"/>
              </w:rPr>
              <w:t>‐3.7%</w:t>
            </w:r>
          </w:p>
        </w:tc>
      </w:tr>
      <w:tr w:rsidR="00B64EC6" w:rsidRPr="00BF20CF" w14:paraId="5CF053D3" w14:textId="77777777">
        <w:trPr>
          <w:trHeight w:val="212"/>
        </w:trPr>
        <w:tc>
          <w:tcPr>
            <w:tcW w:w="608" w:type="dxa"/>
            <w:tcBorders>
              <w:top w:val="none" w:sz="6" w:space="0" w:color="auto"/>
              <w:left w:val="single" w:sz="6" w:space="0" w:color="000000"/>
              <w:bottom w:val="none" w:sz="6" w:space="0" w:color="auto"/>
              <w:right w:val="single" w:sz="6" w:space="0" w:color="000000"/>
            </w:tcBorders>
          </w:tcPr>
          <w:p w14:paraId="34A6DCF4" w14:textId="77777777" w:rsidR="00B64EC6" w:rsidRPr="00BF20CF" w:rsidRDefault="00B64EC6">
            <w:pPr>
              <w:pStyle w:val="TableParagraph"/>
              <w:kinsoku w:val="0"/>
              <w:overflowPunct w:val="0"/>
              <w:ind w:left="23"/>
              <w:jc w:val="left"/>
              <w:rPr>
                <w:sz w:val="16"/>
                <w:szCs w:val="16"/>
              </w:rPr>
            </w:pPr>
            <w:r w:rsidRPr="00BF20CF">
              <w:rPr>
                <w:sz w:val="16"/>
                <w:szCs w:val="16"/>
              </w:rPr>
              <w:t>2024</w:t>
            </w:r>
          </w:p>
        </w:tc>
        <w:tc>
          <w:tcPr>
            <w:tcW w:w="985" w:type="dxa"/>
            <w:tcBorders>
              <w:top w:val="none" w:sz="6" w:space="0" w:color="auto"/>
              <w:left w:val="single" w:sz="6" w:space="0" w:color="000000"/>
              <w:bottom w:val="none" w:sz="6" w:space="0" w:color="auto"/>
              <w:right w:val="none" w:sz="6" w:space="0" w:color="auto"/>
            </w:tcBorders>
          </w:tcPr>
          <w:p w14:paraId="00773D9C" w14:textId="77777777" w:rsidR="00B64EC6" w:rsidRPr="00BF20CF" w:rsidRDefault="00B64EC6">
            <w:pPr>
              <w:pStyle w:val="TableParagraph"/>
              <w:kinsoku w:val="0"/>
              <w:overflowPunct w:val="0"/>
              <w:ind w:right="49"/>
              <w:rPr>
                <w:sz w:val="16"/>
                <w:szCs w:val="16"/>
              </w:rPr>
            </w:pPr>
            <w:r w:rsidRPr="00BF20CF">
              <w:rPr>
                <w:sz w:val="16"/>
                <w:szCs w:val="16"/>
              </w:rPr>
              <w:t>242,511</w:t>
            </w:r>
          </w:p>
        </w:tc>
        <w:tc>
          <w:tcPr>
            <w:tcW w:w="525" w:type="dxa"/>
            <w:tcBorders>
              <w:top w:val="none" w:sz="6" w:space="0" w:color="auto"/>
              <w:left w:val="none" w:sz="6" w:space="0" w:color="auto"/>
              <w:bottom w:val="none" w:sz="6" w:space="0" w:color="auto"/>
              <w:right w:val="single" w:sz="6" w:space="0" w:color="000000"/>
            </w:tcBorders>
          </w:tcPr>
          <w:p w14:paraId="7983294A" w14:textId="77777777" w:rsidR="00B64EC6" w:rsidRPr="00BF20CF" w:rsidRDefault="00B64EC6">
            <w:pPr>
              <w:pStyle w:val="TableParagraph"/>
              <w:kinsoku w:val="0"/>
              <w:overflowPunct w:val="0"/>
              <w:ind w:right="7"/>
              <w:rPr>
                <w:sz w:val="16"/>
                <w:szCs w:val="16"/>
              </w:rPr>
            </w:pPr>
            <w:r w:rsidRPr="00BF20CF">
              <w:rPr>
                <w:sz w:val="16"/>
                <w:szCs w:val="16"/>
              </w:rPr>
              <w:t>‐3.0%</w:t>
            </w:r>
          </w:p>
        </w:tc>
        <w:tc>
          <w:tcPr>
            <w:tcW w:w="929" w:type="dxa"/>
            <w:tcBorders>
              <w:top w:val="none" w:sz="6" w:space="0" w:color="auto"/>
              <w:left w:val="single" w:sz="6" w:space="0" w:color="000000"/>
              <w:bottom w:val="none" w:sz="6" w:space="0" w:color="auto"/>
              <w:right w:val="none" w:sz="6" w:space="0" w:color="auto"/>
            </w:tcBorders>
          </w:tcPr>
          <w:p w14:paraId="37D3EEC0" w14:textId="77777777" w:rsidR="00B64EC6" w:rsidRPr="00BF20CF" w:rsidRDefault="00B64EC6">
            <w:pPr>
              <w:pStyle w:val="TableParagraph"/>
              <w:kinsoku w:val="0"/>
              <w:overflowPunct w:val="0"/>
              <w:ind w:right="65"/>
              <w:rPr>
                <w:sz w:val="16"/>
                <w:szCs w:val="16"/>
              </w:rPr>
            </w:pPr>
            <w:r w:rsidRPr="00BF20CF">
              <w:rPr>
                <w:sz w:val="16"/>
                <w:szCs w:val="16"/>
              </w:rPr>
              <w:t>314,611</w:t>
            </w:r>
          </w:p>
        </w:tc>
        <w:tc>
          <w:tcPr>
            <w:tcW w:w="459" w:type="dxa"/>
            <w:tcBorders>
              <w:top w:val="none" w:sz="6" w:space="0" w:color="auto"/>
              <w:left w:val="none" w:sz="6" w:space="0" w:color="auto"/>
              <w:bottom w:val="none" w:sz="6" w:space="0" w:color="auto"/>
              <w:right w:val="single" w:sz="6" w:space="0" w:color="000000"/>
            </w:tcBorders>
          </w:tcPr>
          <w:p w14:paraId="587B0C4C" w14:textId="77777777" w:rsidR="00B64EC6" w:rsidRPr="00BF20CF" w:rsidRDefault="00B64EC6">
            <w:pPr>
              <w:pStyle w:val="TableParagraph"/>
              <w:kinsoku w:val="0"/>
              <w:overflowPunct w:val="0"/>
              <w:ind w:left="117"/>
              <w:jc w:val="center"/>
              <w:rPr>
                <w:sz w:val="16"/>
                <w:szCs w:val="16"/>
              </w:rPr>
            </w:pPr>
            <w:r w:rsidRPr="00BF20CF">
              <w:rPr>
                <w:sz w:val="16"/>
                <w:szCs w:val="16"/>
              </w:rPr>
              <w:t>2.6%</w:t>
            </w:r>
          </w:p>
        </w:tc>
        <w:tc>
          <w:tcPr>
            <w:tcW w:w="833" w:type="dxa"/>
            <w:tcBorders>
              <w:top w:val="none" w:sz="6" w:space="0" w:color="auto"/>
              <w:left w:val="single" w:sz="6" w:space="0" w:color="000000"/>
              <w:bottom w:val="none" w:sz="6" w:space="0" w:color="auto"/>
              <w:right w:val="none" w:sz="6" w:space="0" w:color="auto"/>
            </w:tcBorders>
          </w:tcPr>
          <w:p w14:paraId="0393A391" w14:textId="77777777" w:rsidR="00B64EC6" w:rsidRPr="00BF20CF" w:rsidRDefault="00B64EC6">
            <w:pPr>
              <w:pStyle w:val="TableParagraph"/>
              <w:kinsoku w:val="0"/>
              <w:overflowPunct w:val="0"/>
              <w:ind w:right="50"/>
              <w:rPr>
                <w:sz w:val="16"/>
                <w:szCs w:val="16"/>
              </w:rPr>
            </w:pPr>
            <w:r w:rsidRPr="00BF20CF">
              <w:rPr>
                <w:sz w:val="16"/>
                <w:szCs w:val="16"/>
              </w:rPr>
              <w:t>77,984</w:t>
            </w:r>
          </w:p>
        </w:tc>
        <w:tc>
          <w:tcPr>
            <w:tcW w:w="474" w:type="dxa"/>
            <w:tcBorders>
              <w:top w:val="none" w:sz="6" w:space="0" w:color="auto"/>
              <w:left w:val="none" w:sz="6" w:space="0" w:color="auto"/>
              <w:bottom w:val="none" w:sz="6" w:space="0" w:color="auto"/>
              <w:right w:val="single" w:sz="6" w:space="0" w:color="000000"/>
            </w:tcBorders>
          </w:tcPr>
          <w:p w14:paraId="51F6B0FD" w14:textId="77777777" w:rsidR="00B64EC6" w:rsidRPr="00BF20CF" w:rsidRDefault="00B64EC6">
            <w:pPr>
              <w:pStyle w:val="TableParagraph"/>
              <w:kinsoku w:val="0"/>
              <w:overflowPunct w:val="0"/>
              <w:ind w:right="6"/>
              <w:rPr>
                <w:sz w:val="16"/>
                <w:szCs w:val="16"/>
              </w:rPr>
            </w:pPr>
            <w:r w:rsidRPr="00BF20CF">
              <w:rPr>
                <w:sz w:val="16"/>
                <w:szCs w:val="16"/>
              </w:rPr>
              <w:t>0.4%</w:t>
            </w:r>
          </w:p>
        </w:tc>
        <w:tc>
          <w:tcPr>
            <w:tcW w:w="874" w:type="dxa"/>
            <w:tcBorders>
              <w:top w:val="none" w:sz="6" w:space="0" w:color="auto"/>
              <w:left w:val="single" w:sz="6" w:space="0" w:color="000000"/>
              <w:bottom w:val="none" w:sz="6" w:space="0" w:color="auto"/>
              <w:right w:val="none" w:sz="6" w:space="0" w:color="auto"/>
            </w:tcBorders>
          </w:tcPr>
          <w:p w14:paraId="7FF0C667" w14:textId="77777777" w:rsidR="00B64EC6" w:rsidRPr="00BF20CF" w:rsidRDefault="00B64EC6">
            <w:pPr>
              <w:pStyle w:val="TableParagraph"/>
              <w:kinsoku w:val="0"/>
              <w:overflowPunct w:val="0"/>
              <w:ind w:right="88"/>
              <w:rPr>
                <w:sz w:val="16"/>
                <w:szCs w:val="16"/>
              </w:rPr>
            </w:pPr>
            <w:r w:rsidRPr="00BF20CF">
              <w:rPr>
                <w:sz w:val="16"/>
                <w:szCs w:val="16"/>
              </w:rPr>
              <w:t>140,364</w:t>
            </w:r>
          </w:p>
        </w:tc>
        <w:tc>
          <w:tcPr>
            <w:tcW w:w="485" w:type="dxa"/>
            <w:tcBorders>
              <w:top w:val="none" w:sz="6" w:space="0" w:color="auto"/>
              <w:left w:val="none" w:sz="6" w:space="0" w:color="auto"/>
              <w:bottom w:val="none" w:sz="6" w:space="0" w:color="auto"/>
              <w:right w:val="single" w:sz="6" w:space="0" w:color="000000"/>
            </w:tcBorders>
          </w:tcPr>
          <w:p w14:paraId="52F85E38" w14:textId="77777777" w:rsidR="00B64EC6" w:rsidRPr="00BF20CF" w:rsidRDefault="00B64EC6">
            <w:pPr>
              <w:pStyle w:val="TableParagraph"/>
              <w:kinsoku w:val="0"/>
              <w:overflowPunct w:val="0"/>
              <w:ind w:right="7"/>
              <w:rPr>
                <w:sz w:val="16"/>
                <w:szCs w:val="16"/>
              </w:rPr>
            </w:pPr>
            <w:r w:rsidRPr="00BF20CF">
              <w:rPr>
                <w:sz w:val="16"/>
                <w:szCs w:val="16"/>
              </w:rPr>
              <w:t>0.1%</w:t>
            </w:r>
          </w:p>
        </w:tc>
        <w:tc>
          <w:tcPr>
            <w:tcW w:w="753" w:type="dxa"/>
            <w:tcBorders>
              <w:top w:val="none" w:sz="6" w:space="0" w:color="auto"/>
              <w:left w:val="single" w:sz="6" w:space="0" w:color="000000"/>
              <w:bottom w:val="none" w:sz="6" w:space="0" w:color="auto"/>
              <w:right w:val="none" w:sz="6" w:space="0" w:color="auto"/>
            </w:tcBorders>
          </w:tcPr>
          <w:p w14:paraId="1D436D7A" w14:textId="77777777" w:rsidR="00B64EC6" w:rsidRPr="00BF20CF" w:rsidRDefault="00B64EC6">
            <w:pPr>
              <w:pStyle w:val="TableParagraph"/>
              <w:kinsoku w:val="0"/>
              <w:overflowPunct w:val="0"/>
              <w:ind w:right="51"/>
              <w:rPr>
                <w:sz w:val="16"/>
                <w:szCs w:val="16"/>
              </w:rPr>
            </w:pPr>
            <w:r w:rsidRPr="00BF20CF">
              <w:rPr>
                <w:sz w:val="16"/>
                <w:szCs w:val="16"/>
              </w:rPr>
              <w:t>98,489</w:t>
            </w:r>
          </w:p>
        </w:tc>
        <w:tc>
          <w:tcPr>
            <w:tcW w:w="525" w:type="dxa"/>
            <w:tcBorders>
              <w:top w:val="none" w:sz="6" w:space="0" w:color="auto"/>
              <w:left w:val="none" w:sz="6" w:space="0" w:color="auto"/>
              <w:bottom w:val="none" w:sz="6" w:space="0" w:color="auto"/>
              <w:right w:val="single" w:sz="6" w:space="0" w:color="000000"/>
            </w:tcBorders>
          </w:tcPr>
          <w:p w14:paraId="3ECBA0B6" w14:textId="77777777" w:rsidR="00B64EC6" w:rsidRPr="00BF20CF" w:rsidRDefault="00B64EC6">
            <w:pPr>
              <w:pStyle w:val="TableParagraph"/>
              <w:kinsoku w:val="0"/>
              <w:overflowPunct w:val="0"/>
              <w:ind w:right="7"/>
              <w:rPr>
                <w:sz w:val="16"/>
                <w:szCs w:val="16"/>
              </w:rPr>
            </w:pPr>
            <w:r w:rsidRPr="00BF20CF">
              <w:rPr>
                <w:sz w:val="16"/>
                <w:szCs w:val="16"/>
              </w:rPr>
              <w:t>‐0.1%</w:t>
            </w:r>
          </w:p>
        </w:tc>
        <w:tc>
          <w:tcPr>
            <w:tcW w:w="813" w:type="dxa"/>
            <w:tcBorders>
              <w:top w:val="none" w:sz="6" w:space="0" w:color="auto"/>
              <w:left w:val="single" w:sz="6" w:space="0" w:color="000000"/>
              <w:bottom w:val="none" w:sz="6" w:space="0" w:color="auto"/>
              <w:right w:val="none" w:sz="6" w:space="0" w:color="auto"/>
            </w:tcBorders>
          </w:tcPr>
          <w:p w14:paraId="24E13338" w14:textId="77777777" w:rsidR="00B64EC6" w:rsidRPr="00BF20CF" w:rsidRDefault="00B64EC6">
            <w:pPr>
              <w:pStyle w:val="TableParagraph"/>
              <w:kinsoku w:val="0"/>
              <w:overflowPunct w:val="0"/>
              <w:ind w:right="50"/>
              <w:rPr>
                <w:sz w:val="16"/>
                <w:szCs w:val="16"/>
              </w:rPr>
            </w:pPr>
            <w:r w:rsidRPr="00BF20CF">
              <w:rPr>
                <w:sz w:val="16"/>
                <w:szCs w:val="16"/>
              </w:rPr>
              <w:t>4,617</w:t>
            </w:r>
          </w:p>
        </w:tc>
        <w:tc>
          <w:tcPr>
            <w:tcW w:w="525" w:type="dxa"/>
            <w:tcBorders>
              <w:top w:val="none" w:sz="6" w:space="0" w:color="auto"/>
              <w:left w:val="none" w:sz="6" w:space="0" w:color="auto"/>
              <w:bottom w:val="none" w:sz="6" w:space="0" w:color="auto"/>
              <w:right w:val="single" w:sz="6" w:space="0" w:color="000000"/>
            </w:tcBorders>
          </w:tcPr>
          <w:p w14:paraId="6E76C1A9" w14:textId="77777777" w:rsidR="00B64EC6" w:rsidRPr="00BF20CF" w:rsidRDefault="00B64EC6">
            <w:pPr>
              <w:pStyle w:val="TableParagraph"/>
              <w:kinsoku w:val="0"/>
              <w:overflowPunct w:val="0"/>
              <w:ind w:left="127"/>
              <w:jc w:val="center"/>
              <w:rPr>
                <w:sz w:val="16"/>
                <w:szCs w:val="16"/>
              </w:rPr>
            </w:pPr>
            <w:r w:rsidRPr="00BF20CF">
              <w:rPr>
                <w:sz w:val="16"/>
                <w:szCs w:val="16"/>
              </w:rPr>
              <w:t>‐3.9%</w:t>
            </w:r>
          </w:p>
        </w:tc>
      </w:tr>
      <w:tr w:rsidR="00B64EC6" w:rsidRPr="00BF20CF" w14:paraId="50BEC4EC" w14:textId="77777777">
        <w:trPr>
          <w:trHeight w:val="182"/>
        </w:trPr>
        <w:tc>
          <w:tcPr>
            <w:tcW w:w="608" w:type="dxa"/>
            <w:tcBorders>
              <w:top w:val="none" w:sz="6" w:space="0" w:color="auto"/>
              <w:left w:val="single" w:sz="6" w:space="0" w:color="000000"/>
              <w:bottom w:val="single" w:sz="6" w:space="0" w:color="000000"/>
              <w:right w:val="single" w:sz="6" w:space="0" w:color="000000"/>
            </w:tcBorders>
          </w:tcPr>
          <w:p w14:paraId="0ACCA0FE" w14:textId="77777777" w:rsidR="00B64EC6" w:rsidRPr="00BF20CF" w:rsidRDefault="00B64EC6">
            <w:pPr>
              <w:pStyle w:val="TableParagraph"/>
              <w:kinsoku w:val="0"/>
              <w:overflowPunct w:val="0"/>
              <w:spacing w:line="162" w:lineRule="exact"/>
              <w:ind w:left="23"/>
              <w:jc w:val="left"/>
              <w:rPr>
                <w:sz w:val="16"/>
                <w:szCs w:val="16"/>
              </w:rPr>
            </w:pPr>
            <w:r w:rsidRPr="00BF20CF">
              <w:rPr>
                <w:sz w:val="16"/>
                <w:szCs w:val="16"/>
              </w:rPr>
              <w:t>2025</w:t>
            </w:r>
          </w:p>
        </w:tc>
        <w:tc>
          <w:tcPr>
            <w:tcW w:w="985" w:type="dxa"/>
            <w:tcBorders>
              <w:top w:val="none" w:sz="6" w:space="0" w:color="auto"/>
              <w:left w:val="single" w:sz="6" w:space="0" w:color="000000"/>
              <w:bottom w:val="single" w:sz="6" w:space="0" w:color="000000"/>
              <w:right w:val="none" w:sz="6" w:space="0" w:color="auto"/>
            </w:tcBorders>
          </w:tcPr>
          <w:p w14:paraId="6748F3DB" w14:textId="77777777" w:rsidR="00B64EC6" w:rsidRPr="00BF20CF" w:rsidRDefault="00B64EC6">
            <w:pPr>
              <w:pStyle w:val="TableParagraph"/>
              <w:kinsoku w:val="0"/>
              <w:overflowPunct w:val="0"/>
              <w:spacing w:line="162" w:lineRule="exact"/>
              <w:ind w:right="49"/>
              <w:rPr>
                <w:sz w:val="16"/>
                <w:szCs w:val="16"/>
              </w:rPr>
            </w:pPr>
            <w:r w:rsidRPr="00BF20CF">
              <w:rPr>
                <w:sz w:val="16"/>
                <w:szCs w:val="16"/>
              </w:rPr>
              <w:t>235,832</w:t>
            </w:r>
          </w:p>
        </w:tc>
        <w:tc>
          <w:tcPr>
            <w:tcW w:w="525" w:type="dxa"/>
            <w:tcBorders>
              <w:top w:val="none" w:sz="6" w:space="0" w:color="auto"/>
              <w:left w:val="none" w:sz="6" w:space="0" w:color="auto"/>
              <w:bottom w:val="single" w:sz="6" w:space="0" w:color="000000"/>
              <w:right w:val="single" w:sz="6" w:space="0" w:color="000000"/>
            </w:tcBorders>
          </w:tcPr>
          <w:p w14:paraId="74C0129D" w14:textId="77777777" w:rsidR="00B64EC6" w:rsidRPr="00BF20CF" w:rsidRDefault="00B64EC6">
            <w:pPr>
              <w:pStyle w:val="TableParagraph"/>
              <w:kinsoku w:val="0"/>
              <w:overflowPunct w:val="0"/>
              <w:spacing w:line="162" w:lineRule="exact"/>
              <w:ind w:right="7"/>
              <w:rPr>
                <w:sz w:val="16"/>
                <w:szCs w:val="16"/>
              </w:rPr>
            </w:pPr>
            <w:r w:rsidRPr="00BF20CF">
              <w:rPr>
                <w:sz w:val="16"/>
                <w:szCs w:val="16"/>
              </w:rPr>
              <w:t>‐2.8%</w:t>
            </w:r>
          </w:p>
        </w:tc>
        <w:tc>
          <w:tcPr>
            <w:tcW w:w="929" w:type="dxa"/>
            <w:tcBorders>
              <w:top w:val="none" w:sz="6" w:space="0" w:color="auto"/>
              <w:left w:val="single" w:sz="6" w:space="0" w:color="000000"/>
              <w:bottom w:val="single" w:sz="6" w:space="0" w:color="000000"/>
              <w:right w:val="none" w:sz="6" w:space="0" w:color="auto"/>
            </w:tcBorders>
          </w:tcPr>
          <w:p w14:paraId="07970D1F" w14:textId="77777777" w:rsidR="00B64EC6" w:rsidRPr="00BF20CF" w:rsidRDefault="00B64EC6">
            <w:pPr>
              <w:pStyle w:val="TableParagraph"/>
              <w:kinsoku w:val="0"/>
              <w:overflowPunct w:val="0"/>
              <w:spacing w:line="162" w:lineRule="exact"/>
              <w:ind w:right="65"/>
              <w:rPr>
                <w:sz w:val="16"/>
                <w:szCs w:val="16"/>
              </w:rPr>
            </w:pPr>
            <w:r w:rsidRPr="00BF20CF">
              <w:rPr>
                <w:sz w:val="16"/>
                <w:szCs w:val="16"/>
              </w:rPr>
              <w:t>322,574</w:t>
            </w:r>
          </w:p>
        </w:tc>
        <w:tc>
          <w:tcPr>
            <w:tcW w:w="459" w:type="dxa"/>
            <w:tcBorders>
              <w:top w:val="none" w:sz="6" w:space="0" w:color="auto"/>
              <w:left w:val="none" w:sz="6" w:space="0" w:color="auto"/>
              <w:bottom w:val="single" w:sz="6" w:space="0" w:color="000000"/>
              <w:right w:val="single" w:sz="6" w:space="0" w:color="000000"/>
            </w:tcBorders>
          </w:tcPr>
          <w:p w14:paraId="48DF09F2" w14:textId="77777777" w:rsidR="00B64EC6" w:rsidRPr="00BF20CF" w:rsidRDefault="00B64EC6">
            <w:pPr>
              <w:pStyle w:val="TableParagraph"/>
              <w:kinsoku w:val="0"/>
              <w:overflowPunct w:val="0"/>
              <w:spacing w:line="162" w:lineRule="exact"/>
              <w:ind w:left="117"/>
              <w:jc w:val="center"/>
              <w:rPr>
                <w:sz w:val="16"/>
                <w:szCs w:val="16"/>
              </w:rPr>
            </w:pPr>
            <w:r w:rsidRPr="00BF20CF">
              <w:rPr>
                <w:sz w:val="16"/>
                <w:szCs w:val="16"/>
              </w:rPr>
              <w:t>2.5%</w:t>
            </w:r>
          </w:p>
        </w:tc>
        <w:tc>
          <w:tcPr>
            <w:tcW w:w="833" w:type="dxa"/>
            <w:tcBorders>
              <w:top w:val="none" w:sz="6" w:space="0" w:color="auto"/>
              <w:left w:val="single" w:sz="6" w:space="0" w:color="000000"/>
              <w:bottom w:val="single" w:sz="6" w:space="0" w:color="000000"/>
              <w:right w:val="none" w:sz="6" w:space="0" w:color="auto"/>
            </w:tcBorders>
          </w:tcPr>
          <w:p w14:paraId="2F8D5EC9" w14:textId="77777777" w:rsidR="00B64EC6" w:rsidRPr="00BF20CF" w:rsidRDefault="00B64EC6">
            <w:pPr>
              <w:pStyle w:val="TableParagraph"/>
              <w:kinsoku w:val="0"/>
              <w:overflowPunct w:val="0"/>
              <w:spacing w:line="162" w:lineRule="exact"/>
              <w:ind w:right="50"/>
              <w:rPr>
                <w:sz w:val="16"/>
                <w:szCs w:val="16"/>
              </w:rPr>
            </w:pPr>
            <w:r w:rsidRPr="00BF20CF">
              <w:rPr>
                <w:sz w:val="16"/>
                <w:szCs w:val="16"/>
              </w:rPr>
              <w:t>78,355</w:t>
            </w:r>
          </w:p>
        </w:tc>
        <w:tc>
          <w:tcPr>
            <w:tcW w:w="474" w:type="dxa"/>
            <w:tcBorders>
              <w:top w:val="none" w:sz="6" w:space="0" w:color="auto"/>
              <w:left w:val="none" w:sz="6" w:space="0" w:color="auto"/>
              <w:bottom w:val="single" w:sz="6" w:space="0" w:color="000000"/>
              <w:right w:val="single" w:sz="6" w:space="0" w:color="000000"/>
            </w:tcBorders>
          </w:tcPr>
          <w:p w14:paraId="5D79FEA3" w14:textId="77777777" w:rsidR="00B64EC6" w:rsidRPr="00BF20CF" w:rsidRDefault="00B64EC6">
            <w:pPr>
              <w:pStyle w:val="TableParagraph"/>
              <w:kinsoku w:val="0"/>
              <w:overflowPunct w:val="0"/>
              <w:spacing w:line="162" w:lineRule="exact"/>
              <w:ind w:right="6"/>
              <w:rPr>
                <w:sz w:val="16"/>
                <w:szCs w:val="16"/>
              </w:rPr>
            </w:pPr>
            <w:r w:rsidRPr="00BF20CF">
              <w:rPr>
                <w:sz w:val="16"/>
                <w:szCs w:val="16"/>
              </w:rPr>
              <w:t>0.5%</w:t>
            </w:r>
          </w:p>
        </w:tc>
        <w:tc>
          <w:tcPr>
            <w:tcW w:w="874" w:type="dxa"/>
            <w:tcBorders>
              <w:top w:val="none" w:sz="6" w:space="0" w:color="auto"/>
              <w:left w:val="single" w:sz="6" w:space="0" w:color="000000"/>
              <w:bottom w:val="single" w:sz="6" w:space="0" w:color="000000"/>
              <w:right w:val="none" w:sz="6" w:space="0" w:color="auto"/>
            </w:tcBorders>
          </w:tcPr>
          <w:p w14:paraId="2C2AA735" w14:textId="77777777" w:rsidR="00B64EC6" w:rsidRPr="00BF20CF" w:rsidRDefault="00B64EC6">
            <w:pPr>
              <w:pStyle w:val="TableParagraph"/>
              <w:kinsoku w:val="0"/>
              <w:overflowPunct w:val="0"/>
              <w:spacing w:line="162" w:lineRule="exact"/>
              <w:ind w:right="88"/>
              <w:rPr>
                <w:sz w:val="16"/>
                <w:szCs w:val="16"/>
              </w:rPr>
            </w:pPr>
            <w:r w:rsidRPr="00BF20CF">
              <w:rPr>
                <w:sz w:val="16"/>
                <w:szCs w:val="16"/>
              </w:rPr>
              <w:t>140,597</w:t>
            </w:r>
          </w:p>
        </w:tc>
        <w:tc>
          <w:tcPr>
            <w:tcW w:w="485" w:type="dxa"/>
            <w:tcBorders>
              <w:top w:val="none" w:sz="6" w:space="0" w:color="auto"/>
              <w:left w:val="none" w:sz="6" w:space="0" w:color="auto"/>
              <w:bottom w:val="single" w:sz="6" w:space="0" w:color="000000"/>
              <w:right w:val="single" w:sz="6" w:space="0" w:color="000000"/>
            </w:tcBorders>
          </w:tcPr>
          <w:p w14:paraId="7B5D569F" w14:textId="77777777" w:rsidR="00B64EC6" w:rsidRPr="00BF20CF" w:rsidRDefault="00B64EC6">
            <w:pPr>
              <w:pStyle w:val="TableParagraph"/>
              <w:kinsoku w:val="0"/>
              <w:overflowPunct w:val="0"/>
              <w:spacing w:line="162" w:lineRule="exact"/>
              <w:ind w:right="7"/>
              <w:rPr>
                <w:sz w:val="16"/>
                <w:szCs w:val="16"/>
              </w:rPr>
            </w:pPr>
            <w:r w:rsidRPr="00BF20CF">
              <w:rPr>
                <w:sz w:val="16"/>
                <w:szCs w:val="16"/>
              </w:rPr>
              <w:t>0.2%</w:t>
            </w:r>
          </w:p>
        </w:tc>
        <w:tc>
          <w:tcPr>
            <w:tcW w:w="753" w:type="dxa"/>
            <w:tcBorders>
              <w:top w:val="none" w:sz="6" w:space="0" w:color="auto"/>
              <w:left w:val="single" w:sz="6" w:space="0" w:color="000000"/>
              <w:bottom w:val="single" w:sz="6" w:space="0" w:color="000000"/>
              <w:right w:val="none" w:sz="6" w:space="0" w:color="auto"/>
            </w:tcBorders>
          </w:tcPr>
          <w:p w14:paraId="46D0FEB5" w14:textId="77777777" w:rsidR="00B64EC6" w:rsidRPr="00BF20CF" w:rsidRDefault="00B64EC6">
            <w:pPr>
              <w:pStyle w:val="TableParagraph"/>
              <w:kinsoku w:val="0"/>
              <w:overflowPunct w:val="0"/>
              <w:spacing w:line="162" w:lineRule="exact"/>
              <w:ind w:right="51"/>
              <w:rPr>
                <w:sz w:val="16"/>
                <w:szCs w:val="16"/>
              </w:rPr>
            </w:pPr>
            <w:r w:rsidRPr="00BF20CF">
              <w:rPr>
                <w:sz w:val="16"/>
                <w:szCs w:val="16"/>
              </w:rPr>
              <w:t>98,385</w:t>
            </w:r>
          </w:p>
        </w:tc>
        <w:tc>
          <w:tcPr>
            <w:tcW w:w="525" w:type="dxa"/>
            <w:tcBorders>
              <w:top w:val="none" w:sz="6" w:space="0" w:color="auto"/>
              <w:left w:val="none" w:sz="6" w:space="0" w:color="auto"/>
              <w:bottom w:val="single" w:sz="6" w:space="0" w:color="000000"/>
              <w:right w:val="single" w:sz="6" w:space="0" w:color="000000"/>
            </w:tcBorders>
          </w:tcPr>
          <w:p w14:paraId="5AC843CA" w14:textId="77777777" w:rsidR="00B64EC6" w:rsidRPr="00BF20CF" w:rsidRDefault="00B64EC6">
            <w:pPr>
              <w:pStyle w:val="TableParagraph"/>
              <w:kinsoku w:val="0"/>
              <w:overflowPunct w:val="0"/>
              <w:spacing w:line="162" w:lineRule="exact"/>
              <w:ind w:right="7"/>
              <w:rPr>
                <w:sz w:val="16"/>
                <w:szCs w:val="16"/>
              </w:rPr>
            </w:pPr>
            <w:r w:rsidRPr="00BF20CF">
              <w:rPr>
                <w:sz w:val="16"/>
                <w:szCs w:val="16"/>
              </w:rPr>
              <w:t>‐0.1%</w:t>
            </w:r>
          </w:p>
        </w:tc>
        <w:tc>
          <w:tcPr>
            <w:tcW w:w="813" w:type="dxa"/>
            <w:tcBorders>
              <w:top w:val="none" w:sz="6" w:space="0" w:color="auto"/>
              <w:left w:val="single" w:sz="6" w:space="0" w:color="000000"/>
              <w:bottom w:val="single" w:sz="6" w:space="0" w:color="000000"/>
              <w:right w:val="none" w:sz="6" w:space="0" w:color="auto"/>
            </w:tcBorders>
          </w:tcPr>
          <w:p w14:paraId="4FDD74A6" w14:textId="77777777" w:rsidR="00B64EC6" w:rsidRPr="00BF20CF" w:rsidRDefault="00B64EC6">
            <w:pPr>
              <w:pStyle w:val="TableParagraph"/>
              <w:kinsoku w:val="0"/>
              <w:overflowPunct w:val="0"/>
              <w:spacing w:line="162" w:lineRule="exact"/>
              <w:ind w:right="50"/>
              <w:rPr>
                <w:sz w:val="16"/>
                <w:szCs w:val="16"/>
              </w:rPr>
            </w:pPr>
            <w:r w:rsidRPr="00BF20CF">
              <w:rPr>
                <w:sz w:val="16"/>
                <w:szCs w:val="16"/>
              </w:rPr>
              <w:t>4,430</w:t>
            </w:r>
          </w:p>
        </w:tc>
        <w:tc>
          <w:tcPr>
            <w:tcW w:w="525" w:type="dxa"/>
            <w:tcBorders>
              <w:top w:val="none" w:sz="6" w:space="0" w:color="auto"/>
              <w:left w:val="none" w:sz="6" w:space="0" w:color="auto"/>
              <w:bottom w:val="single" w:sz="6" w:space="0" w:color="000000"/>
              <w:right w:val="single" w:sz="6" w:space="0" w:color="000000"/>
            </w:tcBorders>
          </w:tcPr>
          <w:p w14:paraId="7DD0DD17" w14:textId="77777777" w:rsidR="00B64EC6" w:rsidRPr="00BF20CF" w:rsidRDefault="00B64EC6">
            <w:pPr>
              <w:pStyle w:val="TableParagraph"/>
              <w:kinsoku w:val="0"/>
              <w:overflowPunct w:val="0"/>
              <w:spacing w:line="162" w:lineRule="exact"/>
              <w:ind w:left="127"/>
              <w:jc w:val="center"/>
              <w:rPr>
                <w:sz w:val="16"/>
                <w:szCs w:val="16"/>
              </w:rPr>
            </w:pPr>
            <w:r w:rsidRPr="00BF20CF">
              <w:rPr>
                <w:sz w:val="16"/>
                <w:szCs w:val="16"/>
              </w:rPr>
              <w:t>‐4.1%</w:t>
            </w:r>
          </w:p>
        </w:tc>
      </w:tr>
      <w:tr w:rsidR="00B64EC6" w:rsidRPr="00BF20CF" w14:paraId="0F529617" w14:textId="77777777">
        <w:trPr>
          <w:trHeight w:val="227"/>
        </w:trPr>
        <w:tc>
          <w:tcPr>
            <w:tcW w:w="608" w:type="dxa"/>
            <w:tcBorders>
              <w:top w:val="single" w:sz="6" w:space="0" w:color="000000"/>
              <w:left w:val="single" w:sz="6" w:space="0" w:color="000000"/>
              <w:bottom w:val="none" w:sz="6" w:space="0" w:color="auto"/>
              <w:right w:val="single" w:sz="6" w:space="0" w:color="000000"/>
            </w:tcBorders>
          </w:tcPr>
          <w:p w14:paraId="41957E75" w14:textId="77777777" w:rsidR="00B64EC6" w:rsidRPr="00BF20CF" w:rsidRDefault="00B64EC6">
            <w:pPr>
              <w:pStyle w:val="TableParagraph"/>
              <w:kinsoku w:val="0"/>
              <w:overflowPunct w:val="0"/>
              <w:spacing w:before="10" w:line="240" w:lineRule="auto"/>
              <w:ind w:left="44"/>
              <w:jc w:val="left"/>
              <w:rPr>
                <w:sz w:val="16"/>
                <w:szCs w:val="16"/>
              </w:rPr>
            </w:pPr>
            <w:r w:rsidRPr="00BF20CF">
              <w:rPr>
                <w:sz w:val="16"/>
                <w:szCs w:val="16"/>
              </w:rPr>
              <w:t>2013‐19</w:t>
            </w:r>
          </w:p>
        </w:tc>
        <w:tc>
          <w:tcPr>
            <w:tcW w:w="1510" w:type="dxa"/>
            <w:gridSpan w:val="2"/>
            <w:tcBorders>
              <w:top w:val="single" w:sz="6" w:space="0" w:color="000000"/>
              <w:left w:val="single" w:sz="6" w:space="0" w:color="000000"/>
              <w:bottom w:val="none" w:sz="6" w:space="0" w:color="auto"/>
              <w:right w:val="single" w:sz="6" w:space="0" w:color="000000"/>
            </w:tcBorders>
          </w:tcPr>
          <w:p w14:paraId="1F21177D" w14:textId="77777777" w:rsidR="00B64EC6" w:rsidRPr="00BF20CF" w:rsidRDefault="00B64EC6">
            <w:pPr>
              <w:pStyle w:val="TableParagraph"/>
              <w:kinsoku w:val="0"/>
              <w:overflowPunct w:val="0"/>
              <w:spacing w:before="10" w:line="240" w:lineRule="auto"/>
              <w:ind w:right="6"/>
              <w:rPr>
                <w:sz w:val="16"/>
                <w:szCs w:val="16"/>
              </w:rPr>
            </w:pPr>
            <w:r w:rsidRPr="00BF20CF">
              <w:rPr>
                <w:sz w:val="16"/>
                <w:szCs w:val="16"/>
              </w:rPr>
              <w:t>‐4.6%</w:t>
            </w:r>
          </w:p>
        </w:tc>
        <w:tc>
          <w:tcPr>
            <w:tcW w:w="1388" w:type="dxa"/>
            <w:gridSpan w:val="2"/>
            <w:tcBorders>
              <w:top w:val="single" w:sz="6" w:space="0" w:color="000000"/>
              <w:left w:val="single" w:sz="6" w:space="0" w:color="000000"/>
              <w:bottom w:val="none" w:sz="6" w:space="0" w:color="auto"/>
              <w:right w:val="single" w:sz="6" w:space="0" w:color="000000"/>
            </w:tcBorders>
          </w:tcPr>
          <w:p w14:paraId="538EC6BD" w14:textId="77777777" w:rsidR="00B64EC6" w:rsidRPr="00BF20CF" w:rsidRDefault="00B64EC6">
            <w:pPr>
              <w:pStyle w:val="TableParagraph"/>
              <w:kinsoku w:val="0"/>
              <w:overflowPunct w:val="0"/>
              <w:spacing w:before="10" w:line="240" w:lineRule="auto"/>
              <w:ind w:right="5"/>
              <w:rPr>
                <w:sz w:val="16"/>
                <w:szCs w:val="16"/>
              </w:rPr>
            </w:pPr>
            <w:r w:rsidRPr="00BF20CF">
              <w:rPr>
                <w:sz w:val="16"/>
                <w:szCs w:val="16"/>
              </w:rPr>
              <w:t>2.3%</w:t>
            </w:r>
          </w:p>
        </w:tc>
        <w:tc>
          <w:tcPr>
            <w:tcW w:w="1307" w:type="dxa"/>
            <w:gridSpan w:val="2"/>
            <w:tcBorders>
              <w:top w:val="single" w:sz="6" w:space="0" w:color="000000"/>
              <w:left w:val="single" w:sz="6" w:space="0" w:color="000000"/>
              <w:bottom w:val="none" w:sz="6" w:space="0" w:color="auto"/>
              <w:right w:val="single" w:sz="6" w:space="0" w:color="000000"/>
            </w:tcBorders>
          </w:tcPr>
          <w:p w14:paraId="276B2092" w14:textId="77777777" w:rsidR="00B64EC6" w:rsidRPr="00BF20CF" w:rsidRDefault="00B64EC6">
            <w:pPr>
              <w:pStyle w:val="TableParagraph"/>
              <w:kinsoku w:val="0"/>
              <w:overflowPunct w:val="0"/>
              <w:spacing w:before="10" w:line="240" w:lineRule="auto"/>
              <w:ind w:right="5"/>
              <w:rPr>
                <w:sz w:val="16"/>
                <w:szCs w:val="16"/>
              </w:rPr>
            </w:pPr>
            <w:r w:rsidRPr="00BF20CF">
              <w:rPr>
                <w:sz w:val="16"/>
                <w:szCs w:val="16"/>
              </w:rPr>
              <w:t>3.0%</w:t>
            </w:r>
          </w:p>
        </w:tc>
        <w:tc>
          <w:tcPr>
            <w:tcW w:w="1359" w:type="dxa"/>
            <w:gridSpan w:val="2"/>
            <w:tcBorders>
              <w:top w:val="single" w:sz="6" w:space="0" w:color="000000"/>
              <w:left w:val="single" w:sz="6" w:space="0" w:color="000000"/>
              <w:bottom w:val="none" w:sz="6" w:space="0" w:color="auto"/>
              <w:right w:val="single" w:sz="6" w:space="0" w:color="000000"/>
            </w:tcBorders>
          </w:tcPr>
          <w:p w14:paraId="53CD47B2" w14:textId="77777777" w:rsidR="00B64EC6" w:rsidRPr="00BF20CF" w:rsidRDefault="00B64EC6">
            <w:pPr>
              <w:pStyle w:val="TableParagraph"/>
              <w:kinsoku w:val="0"/>
              <w:overflowPunct w:val="0"/>
              <w:spacing w:before="10" w:line="240" w:lineRule="auto"/>
              <w:ind w:right="8"/>
              <w:rPr>
                <w:sz w:val="16"/>
                <w:szCs w:val="16"/>
              </w:rPr>
            </w:pPr>
            <w:r w:rsidRPr="00BF20CF">
              <w:rPr>
                <w:sz w:val="16"/>
                <w:szCs w:val="16"/>
              </w:rPr>
              <w:t>‐3.2%</w:t>
            </w:r>
          </w:p>
        </w:tc>
        <w:tc>
          <w:tcPr>
            <w:tcW w:w="1278" w:type="dxa"/>
            <w:gridSpan w:val="2"/>
            <w:tcBorders>
              <w:top w:val="single" w:sz="6" w:space="0" w:color="000000"/>
              <w:left w:val="single" w:sz="6" w:space="0" w:color="000000"/>
              <w:bottom w:val="none" w:sz="6" w:space="0" w:color="auto"/>
              <w:right w:val="single" w:sz="6" w:space="0" w:color="000000"/>
            </w:tcBorders>
          </w:tcPr>
          <w:p w14:paraId="05445C85" w14:textId="77777777" w:rsidR="00B64EC6" w:rsidRPr="00BF20CF" w:rsidRDefault="00B64EC6">
            <w:pPr>
              <w:pStyle w:val="TableParagraph"/>
              <w:kinsoku w:val="0"/>
              <w:overflowPunct w:val="0"/>
              <w:spacing w:before="10" w:line="240" w:lineRule="auto"/>
              <w:ind w:right="8"/>
              <w:rPr>
                <w:sz w:val="16"/>
                <w:szCs w:val="16"/>
              </w:rPr>
            </w:pPr>
            <w:r w:rsidRPr="00BF20CF">
              <w:rPr>
                <w:sz w:val="16"/>
                <w:szCs w:val="16"/>
              </w:rPr>
              <w:t>‐2.4%</w:t>
            </w:r>
          </w:p>
        </w:tc>
        <w:tc>
          <w:tcPr>
            <w:tcW w:w="1338" w:type="dxa"/>
            <w:gridSpan w:val="2"/>
            <w:tcBorders>
              <w:top w:val="single" w:sz="6" w:space="0" w:color="000000"/>
              <w:left w:val="single" w:sz="6" w:space="0" w:color="000000"/>
              <w:bottom w:val="none" w:sz="6" w:space="0" w:color="auto"/>
              <w:right w:val="single" w:sz="6" w:space="0" w:color="000000"/>
            </w:tcBorders>
          </w:tcPr>
          <w:p w14:paraId="2A9E2087" w14:textId="77777777" w:rsidR="00B64EC6" w:rsidRPr="00BF20CF" w:rsidRDefault="00B64EC6">
            <w:pPr>
              <w:pStyle w:val="TableParagraph"/>
              <w:kinsoku w:val="0"/>
              <w:overflowPunct w:val="0"/>
              <w:spacing w:before="10" w:line="240" w:lineRule="auto"/>
              <w:ind w:right="8"/>
              <w:rPr>
                <w:sz w:val="16"/>
                <w:szCs w:val="16"/>
              </w:rPr>
            </w:pPr>
            <w:r w:rsidRPr="00BF20CF">
              <w:rPr>
                <w:sz w:val="16"/>
                <w:szCs w:val="16"/>
              </w:rPr>
              <w:t>‐6.8%</w:t>
            </w:r>
          </w:p>
        </w:tc>
      </w:tr>
      <w:tr w:rsidR="00B64EC6" w:rsidRPr="00BF20CF" w14:paraId="115945C3" w14:textId="77777777">
        <w:trPr>
          <w:trHeight w:val="182"/>
        </w:trPr>
        <w:tc>
          <w:tcPr>
            <w:tcW w:w="608" w:type="dxa"/>
            <w:tcBorders>
              <w:top w:val="none" w:sz="6" w:space="0" w:color="auto"/>
              <w:left w:val="single" w:sz="6" w:space="0" w:color="000000"/>
              <w:bottom w:val="single" w:sz="6" w:space="0" w:color="000000"/>
              <w:right w:val="single" w:sz="6" w:space="0" w:color="000000"/>
            </w:tcBorders>
          </w:tcPr>
          <w:p w14:paraId="6E54A8ED" w14:textId="77777777" w:rsidR="00B64EC6" w:rsidRPr="00BF20CF" w:rsidRDefault="00B64EC6">
            <w:pPr>
              <w:pStyle w:val="TableParagraph"/>
              <w:kinsoku w:val="0"/>
              <w:overflowPunct w:val="0"/>
              <w:spacing w:line="163" w:lineRule="exact"/>
              <w:ind w:left="43"/>
              <w:jc w:val="left"/>
              <w:rPr>
                <w:sz w:val="16"/>
                <w:szCs w:val="16"/>
              </w:rPr>
            </w:pPr>
            <w:r w:rsidRPr="00BF20CF">
              <w:rPr>
                <w:sz w:val="16"/>
                <w:szCs w:val="16"/>
              </w:rPr>
              <w:t>2020‐25</w:t>
            </w:r>
          </w:p>
        </w:tc>
        <w:tc>
          <w:tcPr>
            <w:tcW w:w="1510" w:type="dxa"/>
            <w:gridSpan w:val="2"/>
            <w:tcBorders>
              <w:top w:val="none" w:sz="6" w:space="0" w:color="auto"/>
              <w:left w:val="single" w:sz="6" w:space="0" w:color="000000"/>
              <w:bottom w:val="single" w:sz="6" w:space="0" w:color="000000"/>
              <w:right w:val="single" w:sz="6" w:space="0" w:color="000000"/>
            </w:tcBorders>
          </w:tcPr>
          <w:p w14:paraId="40E16B42" w14:textId="77777777" w:rsidR="00B64EC6" w:rsidRPr="00BF20CF" w:rsidRDefault="00B64EC6">
            <w:pPr>
              <w:pStyle w:val="TableParagraph"/>
              <w:kinsoku w:val="0"/>
              <w:overflowPunct w:val="0"/>
              <w:spacing w:line="163" w:lineRule="exact"/>
              <w:ind w:right="6"/>
              <w:rPr>
                <w:sz w:val="16"/>
                <w:szCs w:val="16"/>
              </w:rPr>
            </w:pPr>
            <w:r w:rsidRPr="00BF20CF">
              <w:rPr>
                <w:sz w:val="16"/>
                <w:szCs w:val="16"/>
              </w:rPr>
              <w:t>‐3.0%</w:t>
            </w:r>
          </w:p>
        </w:tc>
        <w:tc>
          <w:tcPr>
            <w:tcW w:w="1388" w:type="dxa"/>
            <w:gridSpan w:val="2"/>
            <w:tcBorders>
              <w:top w:val="none" w:sz="6" w:space="0" w:color="auto"/>
              <w:left w:val="single" w:sz="6" w:space="0" w:color="000000"/>
              <w:bottom w:val="single" w:sz="6" w:space="0" w:color="000000"/>
              <w:right w:val="single" w:sz="6" w:space="0" w:color="000000"/>
            </w:tcBorders>
          </w:tcPr>
          <w:p w14:paraId="22DC90D4" w14:textId="77777777" w:rsidR="00B64EC6" w:rsidRPr="00BF20CF" w:rsidRDefault="00B64EC6">
            <w:pPr>
              <w:pStyle w:val="TableParagraph"/>
              <w:kinsoku w:val="0"/>
              <w:overflowPunct w:val="0"/>
              <w:spacing w:line="163" w:lineRule="exact"/>
              <w:ind w:right="6"/>
              <w:rPr>
                <w:sz w:val="16"/>
                <w:szCs w:val="16"/>
              </w:rPr>
            </w:pPr>
            <w:r w:rsidRPr="00BF20CF">
              <w:rPr>
                <w:sz w:val="16"/>
                <w:szCs w:val="16"/>
              </w:rPr>
              <w:t>2.5%</w:t>
            </w:r>
          </w:p>
        </w:tc>
        <w:tc>
          <w:tcPr>
            <w:tcW w:w="1307" w:type="dxa"/>
            <w:gridSpan w:val="2"/>
            <w:tcBorders>
              <w:top w:val="none" w:sz="6" w:space="0" w:color="auto"/>
              <w:left w:val="single" w:sz="6" w:space="0" w:color="000000"/>
              <w:bottom w:val="single" w:sz="6" w:space="0" w:color="000000"/>
              <w:right w:val="single" w:sz="6" w:space="0" w:color="000000"/>
            </w:tcBorders>
          </w:tcPr>
          <w:p w14:paraId="02ACE44B" w14:textId="77777777" w:rsidR="00B64EC6" w:rsidRPr="00BF20CF" w:rsidRDefault="00B64EC6">
            <w:pPr>
              <w:pStyle w:val="TableParagraph"/>
              <w:kinsoku w:val="0"/>
              <w:overflowPunct w:val="0"/>
              <w:spacing w:line="163" w:lineRule="exact"/>
              <w:ind w:right="6"/>
              <w:rPr>
                <w:sz w:val="16"/>
                <w:szCs w:val="16"/>
              </w:rPr>
            </w:pPr>
            <w:r w:rsidRPr="00BF20CF">
              <w:rPr>
                <w:sz w:val="16"/>
                <w:szCs w:val="16"/>
              </w:rPr>
              <w:t>0.3%</w:t>
            </w:r>
          </w:p>
        </w:tc>
        <w:tc>
          <w:tcPr>
            <w:tcW w:w="1359" w:type="dxa"/>
            <w:gridSpan w:val="2"/>
            <w:tcBorders>
              <w:top w:val="none" w:sz="6" w:space="0" w:color="auto"/>
              <w:left w:val="single" w:sz="6" w:space="0" w:color="000000"/>
              <w:bottom w:val="single" w:sz="6" w:space="0" w:color="000000"/>
              <w:right w:val="single" w:sz="6" w:space="0" w:color="000000"/>
            </w:tcBorders>
          </w:tcPr>
          <w:p w14:paraId="3DBECB77" w14:textId="77777777" w:rsidR="00B64EC6" w:rsidRPr="00BF20CF" w:rsidRDefault="00B64EC6">
            <w:pPr>
              <w:pStyle w:val="TableParagraph"/>
              <w:kinsoku w:val="0"/>
              <w:overflowPunct w:val="0"/>
              <w:spacing w:line="163" w:lineRule="exact"/>
              <w:ind w:right="8"/>
              <w:rPr>
                <w:sz w:val="16"/>
                <w:szCs w:val="16"/>
              </w:rPr>
            </w:pPr>
            <w:r w:rsidRPr="00BF20CF">
              <w:rPr>
                <w:sz w:val="16"/>
                <w:szCs w:val="16"/>
              </w:rPr>
              <w:t>‐0.3%</w:t>
            </w:r>
          </w:p>
        </w:tc>
        <w:tc>
          <w:tcPr>
            <w:tcW w:w="1278" w:type="dxa"/>
            <w:gridSpan w:val="2"/>
            <w:tcBorders>
              <w:top w:val="none" w:sz="6" w:space="0" w:color="auto"/>
              <w:left w:val="single" w:sz="6" w:space="0" w:color="000000"/>
              <w:bottom w:val="single" w:sz="6" w:space="0" w:color="000000"/>
              <w:right w:val="single" w:sz="6" w:space="0" w:color="000000"/>
            </w:tcBorders>
          </w:tcPr>
          <w:p w14:paraId="5B90733E" w14:textId="77777777" w:rsidR="00B64EC6" w:rsidRPr="00BF20CF" w:rsidRDefault="00B64EC6">
            <w:pPr>
              <w:pStyle w:val="TableParagraph"/>
              <w:kinsoku w:val="0"/>
              <w:overflowPunct w:val="0"/>
              <w:spacing w:line="163" w:lineRule="exact"/>
              <w:ind w:right="8"/>
              <w:rPr>
                <w:sz w:val="16"/>
                <w:szCs w:val="16"/>
              </w:rPr>
            </w:pPr>
            <w:r w:rsidRPr="00BF20CF">
              <w:rPr>
                <w:sz w:val="16"/>
                <w:szCs w:val="16"/>
              </w:rPr>
              <w:t>‐0.4%</w:t>
            </w:r>
          </w:p>
        </w:tc>
        <w:tc>
          <w:tcPr>
            <w:tcW w:w="1338" w:type="dxa"/>
            <w:gridSpan w:val="2"/>
            <w:tcBorders>
              <w:top w:val="none" w:sz="6" w:space="0" w:color="auto"/>
              <w:left w:val="single" w:sz="6" w:space="0" w:color="000000"/>
              <w:bottom w:val="single" w:sz="6" w:space="0" w:color="000000"/>
              <w:right w:val="single" w:sz="6" w:space="0" w:color="000000"/>
            </w:tcBorders>
          </w:tcPr>
          <w:p w14:paraId="4FA1E84A" w14:textId="77777777" w:rsidR="00B64EC6" w:rsidRPr="00BF20CF" w:rsidRDefault="00B64EC6">
            <w:pPr>
              <w:pStyle w:val="TableParagraph"/>
              <w:kinsoku w:val="0"/>
              <w:overflowPunct w:val="0"/>
              <w:spacing w:line="163" w:lineRule="exact"/>
              <w:ind w:right="8"/>
              <w:rPr>
                <w:sz w:val="16"/>
                <w:szCs w:val="16"/>
              </w:rPr>
            </w:pPr>
            <w:r w:rsidRPr="00BF20CF">
              <w:rPr>
                <w:sz w:val="16"/>
                <w:szCs w:val="16"/>
              </w:rPr>
              <w:t>‐5.5%</w:t>
            </w:r>
          </w:p>
        </w:tc>
      </w:tr>
    </w:tbl>
    <w:p w14:paraId="28D60C61" w14:textId="77777777" w:rsidR="00B64EC6" w:rsidRPr="00BF20CF" w:rsidRDefault="00B64EC6" w:rsidP="00C84F5B">
      <w:pPr>
        <w:spacing w:line="276" w:lineRule="auto"/>
        <w:rPr>
          <w:rFonts w:ascii="Arial" w:hAnsi="Arial" w:cs="Arial"/>
        </w:rPr>
      </w:pPr>
    </w:p>
    <w:p w14:paraId="36A5A41B" w14:textId="77777777" w:rsidR="00B64EC6" w:rsidRPr="00BF20CF" w:rsidRDefault="00B64EC6" w:rsidP="00C84F5B">
      <w:pPr>
        <w:spacing w:line="276" w:lineRule="auto"/>
        <w:rPr>
          <w:rFonts w:ascii="Arial" w:hAnsi="Arial" w:cs="Arial"/>
        </w:rPr>
      </w:pPr>
    </w:p>
    <w:p w14:paraId="0B956280" w14:textId="77777777" w:rsidR="00B64EC6" w:rsidRPr="00BF20CF" w:rsidRDefault="00B64EC6" w:rsidP="00C84F5B">
      <w:pPr>
        <w:spacing w:line="276" w:lineRule="auto"/>
        <w:rPr>
          <w:rFonts w:ascii="Arial" w:hAnsi="Arial" w:cs="Arial"/>
        </w:rPr>
      </w:pPr>
      <w:r w:rsidRPr="00BF20CF">
        <w:rPr>
          <w:rFonts w:ascii="Arial" w:hAnsi="Arial" w:cs="Arial"/>
        </w:rPr>
        <w:t>It is noted that the system peak demand at in Table 9 is less than 1,500 MW in every year.</w:t>
      </w:r>
    </w:p>
    <w:p w14:paraId="7CF06EEF"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2EDCCDFF" w14:textId="77777777" w:rsidR="00B64EC6" w:rsidRPr="00BF20CF" w:rsidRDefault="00B64EC6" w:rsidP="00B64EC6">
      <w:pPr>
        <w:pStyle w:val="ListParagraph"/>
        <w:numPr>
          <w:ilvl w:val="0"/>
          <w:numId w:val="161"/>
        </w:numPr>
        <w:spacing w:after="160" w:line="276" w:lineRule="auto"/>
        <w:rPr>
          <w:rFonts w:ascii="Arial" w:hAnsi="Arial" w:cs="Arial"/>
        </w:rPr>
      </w:pPr>
      <w:r w:rsidRPr="00BF20CF">
        <w:rPr>
          <w:rFonts w:ascii="Arial" w:hAnsi="Arial" w:cs="Arial"/>
        </w:rPr>
        <w:t xml:space="preserve">Please explain how the first table, reflecting Hydro Ottawa’s forecasted billing demand results from the table at the second reference reflecting </w:t>
      </w:r>
      <w:proofErr w:type="spellStart"/>
      <w:r w:rsidRPr="00BF20CF">
        <w:rPr>
          <w:rFonts w:ascii="Arial" w:hAnsi="Arial" w:cs="Arial"/>
        </w:rPr>
        <w:t>Itron’s</w:t>
      </w:r>
      <w:proofErr w:type="spellEnd"/>
      <w:r w:rsidRPr="00BF20CF">
        <w:rPr>
          <w:rFonts w:ascii="Arial" w:hAnsi="Arial" w:cs="Arial"/>
        </w:rPr>
        <w:t xml:space="preserve"> forecasted billing demand.</w:t>
      </w:r>
    </w:p>
    <w:p w14:paraId="67D77D2F" w14:textId="77777777" w:rsidR="00B64EC6" w:rsidRPr="00BF20CF" w:rsidRDefault="00B64EC6" w:rsidP="007F209B">
      <w:pPr>
        <w:pStyle w:val="ListParagraph"/>
        <w:spacing w:after="160" w:line="276" w:lineRule="auto"/>
        <w:rPr>
          <w:rFonts w:ascii="Arial" w:hAnsi="Arial" w:cs="Arial"/>
        </w:rPr>
      </w:pPr>
    </w:p>
    <w:p w14:paraId="50EA7433" w14:textId="77777777" w:rsidR="00B64EC6" w:rsidRPr="00BF20CF" w:rsidRDefault="00B64EC6" w:rsidP="00B64EC6">
      <w:pPr>
        <w:pStyle w:val="ListParagraph"/>
        <w:numPr>
          <w:ilvl w:val="0"/>
          <w:numId w:val="161"/>
        </w:numPr>
        <w:spacing w:after="160" w:line="276" w:lineRule="auto"/>
        <w:rPr>
          <w:rFonts w:ascii="Arial" w:hAnsi="Arial" w:cs="Arial"/>
        </w:rPr>
      </w:pPr>
      <w:r w:rsidRPr="00BF20CF">
        <w:rPr>
          <w:rFonts w:ascii="Arial" w:hAnsi="Arial" w:cs="Arial"/>
        </w:rPr>
        <w:t>Please reconcile billing demand in the hundreds of GW for multiple rate classes in Table 8 with the system peak demand less than 1.5 GW in Table 9.</w:t>
      </w:r>
    </w:p>
    <w:p w14:paraId="4D78B998" w14:textId="77777777" w:rsidR="00B64EC6" w:rsidRPr="00BF20CF" w:rsidRDefault="00B64EC6" w:rsidP="007F209B">
      <w:pPr>
        <w:pStyle w:val="ListParagraph"/>
        <w:spacing w:after="160" w:line="276" w:lineRule="auto"/>
        <w:rPr>
          <w:rFonts w:ascii="Arial" w:hAnsi="Arial" w:cs="Arial"/>
        </w:rPr>
      </w:pPr>
    </w:p>
    <w:p w14:paraId="2B74D9BB" w14:textId="32FA18C9" w:rsidR="00B64EC6" w:rsidRPr="00BF20CF" w:rsidRDefault="00B64EC6" w:rsidP="00B64EC6">
      <w:pPr>
        <w:pStyle w:val="ListParagraph"/>
        <w:numPr>
          <w:ilvl w:val="0"/>
          <w:numId w:val="161"/>
        </w:numPr>
        <w:spacing w:after="160" w:line="276" w:lineRule="auto"/>
        <w:rPr>
          <w:rFonts w:ascii="Arial" w:hAnsi="Arial" w:cs="Arial"/>
        </w:rPr>
      </w:pPr>
      <w:r w:rsidRPr="00BF20CF">
        <w:rPr>
          <w:rFonts w:ascii="Arial" w:hAnsi="Arial" w:cs="Arial"/>
        </w:rPr>
        <w:t>If any tables are in error, please re-state with a corrected table.</w:t>
      </w:r>
    </w:p>
    <w:p w14:paraId="4271B30E" w14:textId="77777777" w:rsidR="00250F7E" w:rsidRPr="00BF20CF" w:rsidRDefault="00250F7E" w:rsidP="00250F7E">
      <w:pPr>
        <w:pStyle w:val="ListParagraph"/>
        <w:rPr>
          <w:rFonts w:ascii="Arial" w:hAnsi="Arial" w:cs="Arial"/>
        </w:rPr>
      </w:pPr>
    </w:p>
    <w:p w14:paraId="4ADDA8F6" w14:textId="77777777"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br w:type="page"/>
      </w:r>
    </w:p>
    <w:p w14:paraId="530BE891" w14:textId="2C40BE9F"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lastRenderedPageBreak/>
        <w:t>3-Staff-7</w:t>
      </w:r>
    </w:p>
    <w:p w14:paraId="3AA97BD4" w14:textId="77777777" w:rsidR="00B64EC6" w:rsidRPr="00BF20CF" w:rsidRDefault="00B64EC6" w:rsidP="00C84F5B">
      <w:pPr>
        <w:spacing w:line="276" w:lineRule="auto"/>
        <w:rPr>
          <w:rFonts w:ascii="Arial" w:hAnsi="Arial" w:cs="Arial"/>
          <w:b/>
        </w:rPr>
      </w:pPr>
      <w:r w:rsidRPr="00BF20CF">
        <w:rPr>
          <w:rFonts w:ascii="Arial" w:hAnsi="Arial" w:cs="Arial"/>
          <w:b/>
        </w:rPr>
        <w:t xml:space="preserve">Ref: </w:t>
      </w:r>
      <w:r w:rsidRPr="00BF20CF">
        <w:rPr>
          <w:rFonts w:ascii="Arial" w:hAnsi="Arial" w:cs="Arial"/>
          <w:b/>
        </w:rPr>
        <w:tab/>
        <w:t>Updated Exhibit 3, Tab 1, Schedule 1, pp 3, 5</w:t>
      </w:r>
    </w:p>
    <w:p w14:paraId="13005307" w14:textId="77777777" w:rsidR="00B64EC6" w:rsidRPr="00BF20CF" w:rsidRDefault="00B64EC6" w:rsidP="00C84F5B">
      <w:pPr>
        <w:spacing w:line="276" w:lineRule="auto"/>
        <w:ind w:firstLine="720"/>
        <w:rPr>
          <w:rFonts w:ascii="Arial" w:hAnsi="Arial" w:cs="Arial"/>
          <w:b/>
        </w:rPr>
      </w:pPr>
      <w:r w:rsidRPr="00BF20CF">
        <w:rPr>
          <w:rFonts w:ascii="Arial" w:hAnsi="Arial" w:cs="Arial"/>
          <w:b/>
        </w:rPr>
        <w:t>Updated Exhibit 3, Tab 1, Schedule 1, Attachment C, pp. 26-27</w:t>
      </w:r>
    </w:p>
    <w:p w14:paraId="0E7DF34F" w14:textId="77777777" w:rsidR="00B64EC6" w:rsidRPr="00BF20CF" w:rsidRDefault="00B64EC6" w:rsidP="00C84F5B">
      <w:pPr>
        <w:spacing w:line="276" w:lineRule="auto"/>
        <w:ind w:firstLine="720"/>
        <w:rPr>
          <w:rFonts w:ascii="Arial" w:hAnsi="Arial" w:cs="Arial"/>
          <w:b/>
        </w:rPr>
      </w:pPr>
      <w:r w:rsidRPr="00BF20CF">
        <w:rPr>
          <w:rFonts w:ascii="Arial" w:hAnsi="Arial" w:cs="Arial"/>
          <w:b/>
        </w:rPr>
        <w:t>Part2LoadForecast Data kWh, sheet Res – Data</w:t>
      </w:r>
    </w:p>
    <w:p w14:paraId="10EBE748"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51476DE" w14:textId="77777777" w:rsidR="00B64EC6" w:rsidRPr="00BF20CF" w:rsidRDefault="00B64EC6" w:rsidP="00C84F5B">
      <w:pPr>
        <w:spacing w:line="276" w:lineRule="auto"/>
        <w:rPr>
          <w:rFonts w:ascii="Arial" w:hAnsi="Arial" w:cs="Arial"/>
        </w:rPr>
      </w:pPr>
      <w:proofErr w:type="spellStart"/>
      <w:r w:rsidRPr="00BF20CF">
        <w:rPr>
          <w:rFonts w:ascii="Arial" w:hAnsi="Arial" w:cs="Arial"/>
        </w:rPr>
        <w:t>Itron</w:t>
      </w:r>
      <w:proofErr w:type="spellEnd"/>
      <w:r w:rsidRPr="00BF20CF">
        <w:rPr>
          <w:rFonts w:ascii="Arial" w:hAnsi="Arial" w:cs="Arial"/>
        </w:rPr>
        <w:t xml:space="preserve"> states:</w:t>
      </w:r>
    </w:p>
    <w:p w14:paraId="3D2107F4" w14:textId="77777777" w:rsidR="00B64EC6" w:rsidRPr="00BF20CF" w:rsidRDefault="00B64EC6" w:rsidP="00C84F5B">
      <w:pPr>
        <w:spacing w:line="276" w:lineRule="auto"/>
        <w:ind w:left="720"/>
        <w:rPr>
          <w:rFonts w:ascii="Arial" w:hAnsi="Arial" w:cs="Arial"/>
        </w:rPr>
      </w:pPr>
      <w:r w:rsidRPr="00BF20CF">
        <w:rPr>
          <w:rFonts w:ascii="Arial" w:hAnsi="Arial" w:cs="Arial"/>
        </w:rPr>
        <w:t>Estimated historical and forecasted CDM savings are directly incorporated into the estimated rate class sales forecast models; cumulative historical CDM are included as a separate model variable.</w:t>
      </w:r>
    </w:p>
    <w:p w14:paraId="373AE54C" w14:textId="77777777" w:rsidR="00B64EC6" w:rsidRPr="00BF20CF" w:rsidRDefault="00B64EC6" w:rsidP="00C84F5B">
      <w:pPr>
        <w:spacing w:line="276" w:lineRule="auto"/>
        <w:ind w:left="720"/>
        <w:rPr>
          <w:rFonts w:ascii="Arial" w:hAnsi="Arial" w:cs="Arial"/>
        </w:rPr>
      </w:pPr>
      <w:r w:rsidRPr="00BF20CF">
        <w:rPr>
          <w:rFonts w:ascii="Arial" w:hAnsi="Arial" w:cs="Arial"/>
        </w:rPr>
        <w:t>…</w:t>
      </w:r>
    </w:p>
    <w:p w14:paraId="697B5D4A" w14:textId="77777777" w:rsidR="00B64EC6" w:rsidRPr="00BF20CF" w:rsidRDefault="00B64EC6" w:rsidP="00C84F5B">
      <w:pPr>
        <w:spacing w:line="276" w:lineRule="auto"/>
        <w:ind w:left="720"/>
        <w:rPr>
          <w:rFonts w:ascii="Arial" w:hAnsi="Arial" w:cs="Arial"/>
        </w:rPr>
      </w:pPr>
      <w:r w:rsidRPr="00BF20CF">
        <w:rPr>
          <w:rFonts w:ascii="Arial" w:hAnsi="Arial" w:cs="Arial"/>
        </w:rPr>
        <w:t>There are two reasons to include CDM as a model variable. First, adding CDM helps explain the declining customer usage and as a result improves on the model fit statistics. Second, it helps avoid double-counting savings.</w:t>
      </w:r>
    </w:p>
    <w:p w14:paraId="3CB6C111" w14:textId="77777777" w:rsidR="00B64EC6" w:rsidRPr="00BF20CF" w:rsidRDefault="00B64EC6" w:rsidP="00C84F5B">
      <w:pPr>
        <w:spacing w:line="276" w:lineRule="auto"/>
        <w:rPr>
          <w:rFonts w:ascii="Arial" w:hAnsi="Arial" w:cs="Arial"/>
        </w:rPr>
      </w:pPr>
    </w:p>
    <w:p w14:paraId="4A197334" w14:textId="77777777" w:rsidR="00B64EC6" w:rsidRPr="00BF20CF" w:rsidRDefault="00B64EC6" w:rsidP="00C84F5B">
      <w:pPr>
        <w:spacing w:line="276" w:lineRule="auto"/>
        <w:rPr>
          <w:rFonts w:ascii="Arial" w:hAnsi="Arial" w:cs="Arial"/>
        </w:rPr>
      </w:pPr>
      <w:r w:rsidRPr="00BF20CF">
        <w:rPr>
          <w:rFonts w:ascii="Arial" w:hAnsi="Arial" w:cs="Arial"/>
        </w:rPr>
        <w:t xml:space="preserve">In the Res – Data worksheet, the variable </w:t>
      </w:r>
      <w:proofErr w:type="spellStart"/>
      <w:r w:rsidRPr="00BF20CF">
        <w:rPr>
          <w:rFonts w:ascii="Arial" w:hAnsi="Arial" w:cs="Arial"/>
        </w:rPr>
        <w:t>ResCDM_PC</w:t>
      </w:r>
      <w:proofErr w:type="spellEnd"/>
      <w:r w:rsidRPr="00BF20CF">
        <w:rPr>
          <w:rFonts w:ascii="Arial" w:hAnsi="Arial" w:cs="Arial"/>
        </w:rPr>
        <w:t xml:space="preserve"> has a value of 47.94 in December, 2019. The value continues to increase each month until November 2021 when it has a value of 50.32. From November 2021 to December 2025, the value of 50.32 is maintained.</w:t>
      </w:r>
    </w:p>
    <w:p w14:paraId="4D657D6A" w14:textId="77777777" w:rsidR="00B64EC6" w:rsidRPr="00BF20CF" w:rsidRDefault="00B64EC6" w:rsidP="00C84F5B">
      <w:pPr>
        <w:spacing w:line="276" w:lineRule="auto"/>
        <w:rPr>
          <w:rFonts w:ascii="Arial" w:hAnsi="Arial" w:cs="Arial"/>
        </w:rPr>
      </w:pPr>
    </w:p>
    <w:p w14:paraId="49891816" w14:textId="77777777" w:rsidR="00B64EC6" w:rsidRPr="00BF20CF" w:rsidRDefault="00B64EC6" w:rsidP="00C84F5B">
      <w:pPr>
        <w:spacing w:line="276" w:lineRule="auto"/>
        <w:rPr>
          <w:rFonts w:ascii="Arial" w:hAnsi="Arial" w:cs="Arial"/>
        </w:rPr>
      </w:pPr>
      <w:r w:rsidRPr="00BF20CF">
        <w:rPr>
          <w:rFonts w:ascii="Arial" w:hAnsi="Arial" w:cs="Arial"/>
        </w:rPr>
        <w:t>On Page 5, Hydro Ottawa has also identified CDM adjustments to the load forecast.</w:t>
      </w:r>
    </w:p>
    <w:p w14:paraId="2B6DCFE5" w14:textId="77777777" w:rsidR="00B64EC6" w:rsidRPr="00BF20CF" w:rsidRDefault="00B64EC6"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2ECD5E1B" w14:textId="77777777" w:rsidR="00B64EC6" w:rsidRPr="00BF20CF" w:rsidRDefault="00B64EC6" w:rsidP="00B64EC6">
      <w:pPr>
        <w:pStyle w:val="ListParagraph"/>
        <w:numPr>
          <w:ilvl w:val="0"/>
          <w:numId w:val="162"/>
        </w:numPr>
        <w:spacing w:after="160" w:line="276" w:lineRule="auto"/>
        <w:rPr>
          <w:rFonts w:ascii="Arial" w:hAnsi="Arial" w:cs="Arial"/>
        </w:rPr>
      </w:pPr>
      <w:r w:rsidRPr="00BF20CF">
        <w:rPr>
          <w:rFonts w:ascii="Arial" w:hAnsi="Arial" w:cs="Arial"/>
        </w:rPr>
        <w:t xml:space="preserve">Please explain the reason for the continued increase in the </w:t>
      </w:r>
      <w:proofErr w:type="spellStart"/>
      <w:r w:rsidRPr="00BF20CF">
        <w:rPr>
          <w:rFonts w:ascii="Arial" w:hAnsi="Arial" w:cs="Arial"/>
        </w:rPr>
        <w:t>ResCDM_PC</w:t>
      </w:r>
      <w:proofErr w:type="spellEnd"/>
      <w:r w:rsidRPr="00BF20CF">
        <w:rPr>
          <w:rFonts w:ascii="Arial" w:hAnsi="Arial" w:cs="Arial"/>
        </w:rPr>
        <w:t xml:space="preserve"> variable in 2020 and 2021. Please differentiate these savings in the regression model from the CDM Adjustments discussed on page 5 of the first reference, and explain how the potential for double-counting has been avoided.</w:t>
      </w:r>
    </w:p>
    <w:p w14:paraId="17A00A74" w14:textId="77777777" w:rsidR="00B64EC6" w:rsidRPr="00BF20CF" w:rsidRDefault="00B64EC6" w:rsidP="007F209B">
      <w:pPr>
        <w:pStyle w:val="ListParagraph"/>
        <w:spacing w:after="160" w:line="276" w:lineRule="auto"/>
        <w:rPr>
          <w:rFonts w:ascii="Arial" w:hAnsi="Arial" w:cs="Arial"/>
        </w:rPr>
      </w:pPr>
    </w:p>
    <w:p w14:paraId="71BDB30B" w14:textId="77777777" w:rsidR="00B64EC6" w:rsidRPr="00BF20CF" w:rsidRDefault="00B64EC6" w:rsidP="00B64EC6">
      <w:pPr>
        <w:pStyle w:val="ListParagraph"/>
        <w:numPr>
          <w:ilvl w:val="0"/>
          <w:numId w:val="162"/>
        </w:numPr>
        <w:spacing w:after="160" w:line="276" w:lineRule="auto"/>
        <w:rPr>
          <w:rFonts w:ascii="Arial" w:hAnsi="Arial" w:cs="Arial"/>
        </w:rPr>
      </w:pPr>
      <w:r w:rsidRPr="00BF20CF">
        <w:rPr>
          <w:rFonts w:ascii="Arial" w:hAnsi="Arial" w:cs="Arial"/>
        </w:rPr>
        <w:t>Please explain how historical CDM savings, and persisting savings from historical CDM delivery, are reflected in the energy models for rate classes other than Residential.</w:t>
      </w:r>
    </w:p>
    <w:p w14:paraId="158AA1F6" w14:textId="77777777" w:rsidR="00B64EC6" w:rsidRPr="00BF20CF" w:rsidRDefault="00B64EC6" w:rsidP="007F209B">
      <w:pPr>
        <w:pStyle w:val="ListParagraph"/>
        <w:spacing w:after="160" w:line="276" w:lineRule="auto"/>
        <w:rPr>
          <w:rFonts w:ascii="Arial" w:hAnsi="Arial" w:cs="Arial"/>
        </w:rPr>
      </w:pPr>
    </w:p>
    <w:p w14:paraId="027422AD" w14:textId="77777777" w:rsidR="00B64EC6" w:rsidRPr="00BF20CF" w:rsidRDefault="00B64EC6" w:rsidP="00B64EC6">
      <w:pPr>
        <w:pStyle w:val="ListParagraph"/>
        <w:numPr>
          <w:ilvl w:val="0"/>
          <w:numId w:val="162"/>
        </w:numPr>
        <w:spacing w:after="160" w:line="276" w:lineRule="auto"/>
        <w:rPr>
          <w:rFonts w:ascii="Arial" w:hAnsi="Arial" w:cs="Arial"/>
        </w:rPr>
      </w:pPr>
      <w:r w:rsidRPr="00BF20CF">
        <w:rPr>
          <w:rFonts w:ascii="Arial" w:hAnsi="Arial" w:cs="Arial"/>
        </w:rPr>
        <w:t>Please differentiate between savings captured in the regression models in part b) from CDM Adjustments discussed on page 5 of the first reference, and explain how the potential for double-counting has been avoided.</w:t>
      </w:r>
    </w:p>
    <w:p w14:paraId="3C630530" w14:textId="77777777" w:rsidR="00B64EC6" w:rsidRPr="00BF20CF" w:rsidRDefault="00B64EC6"/>
    <w:p w14:paraId="474C81C1" w14:textId="77777777" w:rsidR="00381ADD" w:rsidRPr="00BF20CF" w:rsidRDefault="00381ADD"/>
    <w:p w14:paraId="0A749C3C" w14:textId="12DC94E3" w:rsidR="00482130" w:rsidRPr="00BF20CF" w:rsidRDefault="00482130" w:rsidP="00C84F5B">
      <w:pPr>
        <w:rPr>
          <w:rFonts w:ascii="Arial" w:hAnsi="Arial" w:cs="Arial"/>
          <w:b/>
        </w:rPr>
      </w:pPr>
      <w:r w:rsidRPr="00BF20CF">
        <w:rPr>
          <w:rFonts w:ascii="Arial" w:hAnsi="Arial" w:cs="Arial"/>
          <w:b/>
        </w:rPr>
        <w:lastRenderedPageBreak/>
        <w:t>Conservation and Demand Management</w:t>
      </w:r>
      <w:r w:rsidR="00C84F5B" w:rsidRPr="00BF20CF">
        <w:rPr>
          <w:rFonts w:ascii="Arial" w:hAnsi="Arial" w:cs="Arial"/>
          <w:b/>
        </w:rPr>
        <w:t xml:space="preserve"> Adjustments</w:t>
      </w:r>
    </w:p>
    <w:p w14:paraId="3ABE016D" w14:textId="5612E880"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t>3-Staff-8</w:t>
      </w:r>
    </w:p>
    <w:p w14:paraId="5A76589C" w14:textId="1665BC5C" w:rsidR="00482130" w:rsidRPr="00BF20CF" w:rsidRDefault="00482130" w:rsidP="00C84F5B">
      <w:pPr>
        <w:pStyle w:val="NoSpacing"/>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r>
      <w:r w:rsidR="00DB6A93" w:rsidRPr="00BF20CF">
        <w:rPr>
          <w:rFonts w:ascii="Arial" w:hAnsi="Arial" w:cs="Arial"/>
          <w:b/>
          <w:sz w:val="24"/>
          <w:szCs w:val="24"/>
        </w:rPr>
        <w:t xml:space="preserve">Updated </w:t>
      </w:r>
      <w:r w:rsidRPr="00BF20CF">
        <w:rPr>
          <w:rFonts w:ascii="Arial" w:hAnsi="Arial" w:cs="Arial"/>
          <w:b/>
          <w:sz w:val="24"/>
          <w:szCs w:val="24"/>
        </w:rPr>
        <w:t>Exhibit 3</w:t>
      </w:r>
      <w:r w:rsidR="00DB6A93" w:rsidRPr="00BF20CF">
        <w:rPr>
          <w:rFonts w:ascii="Arial" w:hAnsi="Arial" w:cs="Arial"/>
          <w:b/>
          <w:sz w:val="24"/>
          <w:szCs w:val="24"/>
        </w:rPr>
        <w:t>/</w:t>
      </w:r>
      <w:r w:rsidRPr="00BF20CF">
        <w:rPr>
          <w:rFonts w:ascii="Arial" w:hAnsi="Arial" w:cs="Arial"/>
          <w:b/>
          <w:sz w:val="24"/>
          <w:szCs w:val="24"/>
        </w:rPr>
        <w:t xml:space="preserve"> Tab 1</w:t>
      </w:r>
      <w:r w:rsidR="00DB6A93" w:rsidRPr="00BF20CF">
        <w:rPr>
          <w:rFonts w:ascii="Arial" w:hAnsi="Arial" w:cs="Arial"/>
          <w:b/>
          <w:sz w:val="24"/>
          <w:szCs w:val="24"/>
        </w:rPr>
        <w:t>/</w:t>
      </w:r>
      <w:r w:rsidRPr="00BF20CF">
        <w:rPr>
          <w:rFonts w:ascii="Arial" w:hAnsi="Arial" w:cs="Arial"/>
          <w:b/>
          <w:sz w:val="24"/>
          <w:szCs w:val="24"/>
        </w:rPr>
        <w:t xml:space="preserve"> Schedule 1</w:t>
      </w:r>
      <w:r w:rsidR="00DB6A93" w:rsidRPr="00BF20CF">
        <w:rPr>
          <w:rFonts w:ascii="Arial" w:hAnsi="Arial" w:cs="Arial"/>
          <w:b/>
          <w:sz w:val="24"/>
          <w:szCs w:val="24"/>
        </w:rPr>
        <w:t>/</w:t>
      </w:r>
      <w:r w:rsidRPr="00BF20CF">
        <w:rPr>
          <w:rFonts w:ascii="Arial" w:hAnsi="Arial" w:cs="Arial"/>
          <w:b/>
          <w:sz w:val="24"/>
          <w:szCs w:val="24"/>
        </w:rPr>
        <w:t xml:space="preserve"> Tables 6 and 7 </w:t>
      </w:r>
    </w:p>
    <w:p w14:paraId="0932446C" w14:textId="57FFC6EF" w:rsidR="00482130" w:rsidRPr="00BF20CF" w:rsidRDefault="00482130" w:rsidP="00C84F5B">
      <w:pPr>
        <w:pStyle w:val="NoSpacing"/>
        <w:ind w:firstLine="720"/>
        <w:rPr>
          <w:rFonts w:ascii="Arial" w:hAnsi="Arial" w:cs="Arial"/>
          <w:b/>
          <w:sz w:val="24"/>
          <w:szCs w:val="24"/>
        </w:rPr>
      </w:pPr>
      <w:r w:rsidRPr="00BF20CF">
        <w:rPr>
          <w:rFonts w:ascii="Arial" w:hAnsi="Arial" w:cs="Arial"/>
          <w:b/>
          <w:sz w:val="24"/>
          <w:szCs w:val="24"/>
        </w:rPr>
        <w:t>Exhibit 4</w:t>
      </w:r>
      <w:r w:rsidR="00DB6A93" w:rsidRPr="00BF20CF">
        <w:rPr>
          <w:rFonts w:ascii="Arial" w:hAnsi="Arial" w:cs="Arial"/>
          <w:b/>
          <w:sz w:val="24"/>
          <w:szCs w:val="24"/>
        </w:rPr>
        <w:t>/</w:t>
      </w:r>
      <w:r w:rsidRPr="00BF20CF">
        <w:rPr>
          <w:rFonts w:ascii="Arial" w:hAnsi="Arial" w:cs="Arial"/>
          <w:b/>
          <w:sz w:val="24"/>
          <w:szCs w:val="24"/>
        </w:rPr>
        <w:t xml:space="preserve"> Tab 1</w:t>
      </w:r>
      <w:r w:rsidR="00DB6A93" w:rsidRPr="00BF20CF">
        <w:rPr>
          <w:rFonts w:ascii="Arial" w:hAnsi="Arial" w:cs="Arial"/>
          <w:b/>
          <w:sz w:val="24"/>
          <w:szCs w:val="24"/>
        </w:rPr>
        <w:t>/</w:t>
      </w:r>
      <w:r w:rsidRPr="00BF20CF">
        <w:rPr>
          <w:rFonts w:ascii="Arial" w:hAnsi="Arial" w:cs="Arial"/>
          <w:b/>
          <w:sz w:val="24"/>
          <w:szCs w:val="24"/>
        </w:rPr>
        <w:t xml:space="preserve"> Schedule 6, p. 9</w:t>
      </w:r>
    </w:p>
    <w:p w14:paraId="68779E5A" w14:textId="77777777" w:rsidR="00482130" w:rsidRPr="00BF20CF" w:rsidRDefault="00482130" w:rsidP="00C84F5B">
      <w:pPr>
        <w:pStyle w:val="NoSpacing"/>
        <w:ind w:firstLine="720"/>
        <w:rPr>
          <w:rFonts w:ascii="Arial" w:hAnsi="Arial" w:cs="Arial"/>
          <w:b/>
          <w:sz w:val="24"/>
          <w:szCs w:val="24"/>
        </w:rPr>
      </w:pPr>
      <w:r w:rsidRPr="00BF20CF">
        <w:rPr>
          <w:rFonts w:ascii="Arial" w:hAnsi="Arial" w:cs="Arial"/>
          <w:b/>
          <w:sz w:val="24"/>
          <w:szCs w:val="24"/>
        </w:rPr>
        <w:t>IESO CDM 2017 Final Verified Results Report, Tab “LDC Persistence”</w:t>
      </w:r>
    </w:p>
    <w:p w14:paraId="5002C899" w14:textId="77777777" w:rsidR="00482130" w:rsidRPr="00BF20CF" w:rsidRDefault="00482130" w:rsidP="00C84F5B">
      <w:pPr>
        <w:pStyle w:val="NoSpacing"/>
        <w:rPr>
          <w:rFonts w:ascii="Arial" w:hAnsi="Arial" w:cs="Arial"/>
          <w:sz w:val="24"/>
          <w:szCs w:val="24"/>
        </w:rPr>
      </w:pPr>
    </w:p>
    <w:p w14:paraId="15D6709F" w14:textId="77777777" w:rsidR="00482130" w:rsidRPr="00BF20CF" w:rsidRDefault="00482130" w:rsidP="00C84F5B">
      <w:pPr>
        <w:rPr>
          <w:rFonts w:ascii="Arial" w:hAnsi="Arial" w:cs="Arial"/>
        </w:rPr>
      </w:pPr>
      <w:r w:rsidRPr="00BF20CF">
        <w:rPr>
          <w:rFonts w:ascii="Arial" w:hAnsi="Arial" w:cs="Arial"/>
        </w:rPr>
        <w:t>Preamble:</w:t>
      </w:r>
    </w:p>
    <w:p w14:paraId="5EAB51D6" w14:textId="77777777" w:rsidR="00482130" w:rsidRPr="00BF20CF" w:rsidRDefault="00482130" w:rsidP="00C84F5B">
      <w:pPr>
        <w:rPr>
          <w:rFonts w:ascii="Arial" w:hAnsi="Arial" w:cs="Arial"/>
        </w:rPr>
      </w:pPr>
      <w:r w:rsidRPr="00BF20CF">
        <w:rPr>
          <w:rFonts w:ascii="Arial" w:hAnsi="Arial" w:cs="Arial"/>
        </w:rPr>
        <w:t>Exhibit 3, Tab 1, Schedule 1 includes the following five-year Conservation and Demand Management (CDM) adjustments provided below:</w:t>
      </w:r>
    </w:p>
    <w:p w14:paraId="6D6F62EB" w14:textId="77777777" w:rsidR="00482130" w:rsidRPr="00BF20CF" w:rsidRDefault="00482130" w:rsidP="00C84F5B">
      <w:pPr>
        <w:jc w:val="center"/>
        <w:rPr>
          <w:rFonts w:ascii="Arial" w:hAnsi="Arial" w:cs="Arial"/>
        </w:rPr>
      </w:pPr>
      <w:r w:rsidRPr="00BF20CF">
        <w:rPr>
          <w:rFonts w:ascii="Arial" w:hAnsi="Arial" w:cs="Arial"/>
          <w:noProof/>
        </w:rPr>
        <w:drawing>
          <wp:inline distT="0" distB="0" distL="0" distR="0" wp14:anchorId="6A71582F" wp14:editId="1950F9C3">
            <wp:extent cx="5264150" cy="2734337"/>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86615" cy="2746006"/>
                    </a:xfrm>
                    <a:prstGeom prst="rect">
                      <a:avLst/>
                    </a:prstGeom>
                  </pic:spPr>
                </pic:pic>
              </a:graphicData>
            </a:graphic>
          </wp:inline>
        </w:drawing>
      </w:r>
    </w:p>
    <w:p w14:paraId="6532CBF4" w14:textId="77777777" w:rsidR="00482130" w:rsidRPr="00BF20CF" w:rsidRDefault="00482130" w:rsidP="007F209B">
      <w:pPr>
        <w:spacing w:after="120"/>
        <w:jc w:val="center"/>
        <w:rPr>
          <w:rFonts w:ascii="Arial" w:hAnsi="Arial" w:cs="Arial"/>
        </w:rPr>
      </w:pPr>
      <w:r w:rsidRPr="00BF20CF">
        <w:rPr>
          <w:rFonts w:ascii="Arial" w:hAnsi="Arial" w:cs="Arial"/>
          <w:noProof/>
        </w:rPr>
        <w:drawing>
          <wp:inline distT="0" distB="0" distL="0" distR="0" wp14:anchorId="528A7CE3" wp14:editId="25E60282">
            <wp:extent cx="5314950" cy="189260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29451" cy="1897765"/>
                    </a:xfrm>
                    <a:prstGeom prst="rect">
                      <a:avLst/>
                    </a:prstGeom>
                  </pic:spPr>
                </pic:pic>
              </a:graphicData>
            </a:graphic>
          </wp:inline>
        </w:drawing>
      </w:r>
    </w:p>
    <w:p w14:paraId="703DA380" w14:textId="5E7B6390" w:rsidR="008D4171" w:rsidRPr="00BF20CF" w:rsidRDefault="008D4171" w:rsidP="007F209B">
      <w:pPr>
        <w:spacing w:after="120"/>
        <w:jc w:val="center"/>
        <w:rPr>
          <w:rFonts w:ascii="Arial" w:hAnsi="Arial" w:cs="Arial"/>
          <w:i/>
          <w:sz w:val="20"/>
          <w:szCs w:val="20"/>
        </w:rPr>
      </w:pPr>
      <w:r w:rsidRPr="00BF20CF">
        <w:rPr>
          <w:rFonts w:ascii="Arial" w:hAnsi="Arial" w:cs="Arial"/>
          <w:i/>
          <w:sz w:val="20"/>
          <w:szCs w:val="20"/>
        </w:rPr>
        <w:t>Source: Updated Exhibit 3, Tab 1, Schedule 1</w:t>
      </w:r>
    </w:p>
    <w:p w14:paraId="68C72FC5" w14:textId="77777777" w:rsidR="00482130" w:rsidRPr="00BF20CF" w:rsidRDefault="00482130" w:rsidP="00C84F5B">
      <w:pPr>
        <w:rPr>
          <w:rFonts w:ascii="Arial" w:hAnsi="Arial" w:cs="Arial"/>
        </w:rPr>
      </w:pPr>
      <w:r w:rsidRPr="00BF20CF">
        <w:rPr>
          <w:rFonts w:ascii="Arial" w:hAnsi="Arial" w:cs="Arial"/>
        </w:rPr>
        <w:t>The five-year CDM adjustments are based on three components:</w:t>
      </w:r>
    </w:p>
    <w:p w14:paraId="3C809A7E" w14:textId="77777777" w:rsidR="00482130" w:rsidRPr="00BF20CF" w:rsidRDefault="00482130" w:rsidP="00DA686D">
      <w:pPr>
        <w:pStyle w:val="ListParagraph"/>
        <w:numPr>
          <w:ilvl w:val="0"/>
          <w:numId w:val="181"/>
        </w:numPr>
        <w:spacing w:after="160" w:line="259" w:lineRule="auto"/>
        <w:rPr>
          <w:rFonts w:ascii="Arial" w:hAnsi="Arial" w:cs="Arial"/>
        </w:rPr>
      </w:pPr>
      <w:r w:rsidRPr="00BF20CF">
        <w:rPr>
          <w:rFonts w:ascii="Arial" w:hAnsi="Arial" w:cs="Arial"/>
        </w:rPr>
        <w:t>contractual agreements between Hydro Ottawa and customers made on/before April 30, 2019</w:t>
      </w:r>
    </w:p>
    <w:p w14:paraId="2CB3AC44" w14:textId="77777777" w:rsidR="00482130" w:rsidRPr="00BF20CF" w:rsidRDefault="00482130" w:rsidP="00DA686D">
      <w:pPr>
        <w:pStyle w:val="ListParagraph"/>
        <w:numPr>
          <w:ilvl w:val="0"/>
          <w:numId w:val="181"/>
        </w:numPr>
        <w:spacing w:after="160" w:line="259" w:lineRule="auto"/>
        <w:rPr>
          <w:rFonts w:ascii="Arial" w:hAnsi="Arial" w:cs="Arial"/>
        </w:rPr>
      </w:pPr>
      <w:r w:rsidRPr="00BF20CF">
        <w:rPr>
          <w:rFonts w:ascii="Arial" w:hAnsi="Arial" w:cs="Arial"/>
        </w:rPr>
        <w:t xml:space="preserve">estimated rate-based savings of 2 </w:t>
      </w:r>
      <w:proofErr w:type="spellStart"/>
      <w:r w:rsidRPr="00BF20CF">
        <w:rPr>
          <w:rFonts w:ascii="Arial" w:hAnsi="Arial" w:cs="Arial"/>
        </w:rPr>
        <w:t>GWh</w:t>
      </w:r>
      <w:proofErr w:type="spellEnd"/>
      <w:r w:rsidRPr="00BF20CF">
        <w:rPr>
          <w:rFonts w:ascii="Arial" w:hAnsi="Arial" w:cs="Arial"/>
        </w:rPr>
        <w:t xml:space="preserve"> per year from commercial customers</w:t>
      </w:r>
    </w:p>
    <w:p w14:paraId="03E4740A" w14:textId="77777777" w:rsidR="00482130" w:rsidRPr="00BF20CF" w:rsidRDefault="00482130" w:rsidP="00C84F5B">
      <w:pPr>
        <w:jc w:val="center"/>
        <w:rPr>
          <w:rFonts w:ascii="Arial" w:hAnsi="Arial" w:cs="Arial"/>
        </w:rPr>
      </w:pPr>
      <w:r w:rsidRPr="00BF20CF">
        <w:rPr>
          <w:noProof/>
        </w:rPr>
        <w:lastRenderedPageBreak/>
        <w:drawing>
          <wp:inline distT="0" distB="0" distL="0" distR="0" wp14:anchorId="03FAFA3D" wp14:editId="4E5EB4CD">
            <wp:extent cx="5016500" cy="1629292"/>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65449" cy="1645190"/>
                    </a:xfrm>
                    <a:prstGeom prst="rect">
                      <a:avLst/>
                    </a:prstGeom>
                  </pic:spPr>
                </pic:pic>
              </a:graphicData>
            </a:graphic>
          </wp:inline>
        </w:drawing>
      </w:r>
    </w:p>
    <w:p w14:paraId="6E44541C" w14:textId="77777777" w:rsidR="00482130" w:rsidRPr="00BF20CF" w:rsidRDefault="00482130" w:rsidP="00C84F5B">
      <w:pPr>
        <w:spacing w:line="276" w:lineRule="auto"/>
        <w:jc w:val="center"/>
        <w:rPr>
          <w:rFonts w:ascii="Arial" w:hAnsi="Arial" w:cs="Arial"/>
          <w:i/>
          <w:sz w:val="20"/>
        </w:rPr>
      </w:pPr>
      <w:r w:rsidRPr="00BF20CF">
        <w:rPr>
          <w:rFonts w:ascii="Arial" w:hAnsi="Arial" w:cs="Arial"/>
          <w:i/>
          <w:sz w:val="20"/>
        </w:rPr>
        <w:t>Source: Exhibit 4, Tab 1, Schedule 6, p. 9</w:t>
      </w:r>
    </w:p>
    <w:p w14:paraId="4E5BA404" w14:textId="77777777" w:rsidR="00482130" w:rsidRPr="00BF20CF" w:rsidRDefault="00482130" w:rsidP="00DA686D">
      <w:pPr>
        <w:pStyle w:val="ListParagraph"/>
        <w:numPr>
          <w:ilvl w:val="0"/>
          <w:numId w:val="181"/>
        </w:numPr>
        <w:spacing w:line="259" w:lineRule="auto"/>
        <w:rPr>
          <w:rFonts w:ascii="Arial" w:hAnsi="Arial" w:cs="Arial"/>
        </w:rPr>
      </w:pPr>
      <w:r w:rsidRPr="00BF20CF">
        <w:rPr>
          <w:rFonts w:ascii="Arial" w:hAnsi="Arial" w:cs="Arial"/>
        </w:rPr>
        <w:t>estimated impacts related to the continuation of CDM programs which are still being administered at the provincial level by the IESO</w:t>
      </w:r>
    </w:p>
    <w:p w14:paraId="2CB01262" w14:textId="77777777" w:rsidR="00482130" w:rsidRPr="00BF20CF" w:rsidRDefault="00482130" w:rsidP="00AB6816">
      <w:pPr>
        <w:pStyle w:val="NoSpacing"/>
      </w:pPr>
    </w:p>
    <w:p w14:paraId="79BE06C6" w14:textId="77777777" w:rsidR="00482130" w:rsidRPr="00BF20CF" w:rsidRDefault="00482130" w:rsidP="007F209B">
      <w:pPr>
        <w:spacing w:after="120" w:line="276" w:lineRule="auto"/>
        <w:rPr>
          <w:rFonts w:ascii="Arial" w:hAnsi="Arial" w:cs="Arial"/>
        </w:rPr>
      </w:pPr>
      <w:r w:rsidRPr="00BF20CF">
        <w:rPr>
          <w:rFonts w:ascii="Arial" w:hAnsi="Arial" w:cs="Arial"/>
        </w:rPr>
        <w:t>Based on the CDM forecasts in Tables 6 and 7, it shows a progressive increase in forecasted energy and demand savings from ongoing and potentially new programs. The forecasted demand savings in Table 7 are significantly higher than the persistence of demand savings of 2017 programs in the former Conservation First Framework (CFF) into the 2021-2025 years:</w:t>
      </w:r>
    </w:p>
    <w:tbl>
      <w:tblPr>
        <w:tblStyle w:val="TableGrid"/>
        <w:tblW w:w="0" w:type="auto"/>
        <w:jc w:val="center"/>
        <w:tblLook w:val="04A0" w:firstRow="1" w:lastRow="0" w:firstColumn="1" w:lastColumn="0" w:noHBand="0" w:noVBand="1"/>
      </w:tblPr>
      <w:tblGrid>
        <w:gridCol w:w="965"/>
        <w:gridCol w:w="2400"/>
        <w:gridCol w:w="2400"/>
      </w:tblGrid>
      <w:tr w:rsidR="00482130" w:rsidRPr="00BF20CF" w14:paraId="4B0CE17B" w14:textId="77777777" w:rsidTr="00C84F5B">
        <w:trPr>
          <w:trHeight w:val="242"/>
          <w:jc w:val="center"/>
        </w:trPr>
        <w:tc>
          <w:tcPr>
            <w:tcW w:w="965" w:type="dxa"/>
          </w:tcPr>
          <w:p w14:paraId="0A16DD95" w14:textId="77777777" w:rsidR="00482130" w:rsidRPr="00BF20CF" w:rsidRDefault="00482130" w:rsidP="00C84F5B">
            <w:pPr>
              <w:rPr>
                <w:rFonts w:ascii="Arial" w:hAnsi="Arial" w:cs="Arial"/>
              </w:rPr>
            </w:pPr>
            <w:r w:rsidRPr="00BF20CF">
              <w:rPr>
                <w:rFonts w:ascii="Arial" w:hAnsi="Arial" w:cs="Arial"/>
              </w:rPr>
              <w:t>Year</w:t>
            </w:r>
          </w:p>
        </w:tc>
        <w:tc>
          <w:tcPr>
            <w:tcW w:w="2400" w:type="dxa"/>
          </w:tcPr>
          <w:p w14:paraId="2A3F5627" w14:textId="77777777" w:rsidR="00482130" w:rsidRPr="00BF20CF" w:rsidRDefault="00482130" w:rsidP="00C84F5B">
            <w:pPr>
              <w:rPr>
                <w:rFonts w:ascii="Arial" w:hAnsi="Arial" w:cs="Arial"/>
              </w:rPr>
            </w:pPr>
            <w:r w:rsidRPr="00BF20CF">
              <w:rPr>
                <w:rFonts w:ascii="Arial" w:hAnsi="Arial" w:cs="Arial"/>
              </w:rPr>
              <w:t>Energy savings (kWh)</w:t>
            </w:r>
          </w:p>
        </w:tc>
        <w:tc>
          <w:tcPr>
            <w:tcW w:w="2400" w:type="dxa"/>
          </w:tcPr>
          <w:p w14:paraId="5AD8D269" w14:textId="77777777" w:rsidR="00482130" w:rsidRPr="00BF20CF" w:rsidRDefault="00482130" w:rsidP="00C84F5B">
            <w:pPr>
              <w:rPr>
                <w:rFonts w:ascii="Arial" w:hAnsi="Arial" w:cs="Arial"/>
              </w:rPr>
            </w:pPr>
            <w:r w:rsidRPr="00BF20CF">
              <w:rPr>
                <w:rFonts w:ascii="Arial" w:hAnsi="Arial" w:cs="Arial"/>
              </w:rPr>
              <w:t>Demand savings (kW)</w:t>
            </w:r>
          </w:p>
        </w:tc>
      </w:tr>
      <w:tr w:rsidR="00482130" w:rsidRPr="00BF20CF" w14:paraId="360662D0" w14:textId="77777777" w:rsidTr="00C84F5B">
        <w:trPr>
          <w:trHeight w:val="242"/>
          <w:jc w:val="center"/>
        </w:trPr>
        <w:tc>
          <w:tcPr>
            <w:tcW w:w="965" w:type="dxa"/>
          </w:tcPr>
          <w:p w14:paraId="483315A2" w14:textId="77777777" w:rsidR="00482130" w:rsidRPr="00BF20CF" w:rsidRDefault="00482130" w:rsidP="00C84F5B">
            <w:pPr>
              <w:rPr>
                <w:rFonts w:ascii="Arial" w:hAnsi="Arial" w:cs="Arial"/>
              </w:rPr>
            </w:pPr>
            <w:r w:rsidRPr="00BF20CF">
              <w:rPr>
                <w:rFonts w:ascii="Arial" w:hAnsi="Arial" w:cs="Arial"/>
              </w:rPr>
              <w:t>2021</w:t>
            </w:r>
          </w:p>
        </w:tc>
        <w:tc>
          <w:tcPr>
            <w:tcW w:w="2400" w:type="dxa"/>
          </w:tcPr>
          <w:p w14:paraId="6AD1BB8B" w14:textId="77777777" w:rsidR="00482130" w:rsidRPr="00BF20CF" w:rsidRDefault="00482130" w:rsidP="00C84F5B">
            <w:pPr>
              <w:rPr>
                <w:rFonts w:ascii="Arial" w:hAnsi="Arial" w:cs="Arial"/>
              </w:rPr>
            </w:pPr>
            <w:r w:rsidRPr="00BF20CF">
              <w:rPr>
                <w:rFonts w:ascii="Arial" w:hAnsi="Arial" w:cs="Arial"/>
              </w:rPr>
              <w:t>273,675,778</w:t>
            </w:r>
          </w:p>
        </w:tc>
        <w:tc>
          <w:tcPr>
            <w:tcW w:w="2400" w:type="dxa"/>
          </w:tcPr>
          <w:p w14:paraId="0B14BF95" w14:textId="77777777" w:rsidR="00482130" w:rsidRPr="00BF20CF" w:rsidRDefault="00482130" w:rsidP="00C84F5B">
            <w:pPr>
              <w:rPr>
                <w:rFonts w:ascii="Arial" w:hAnsi="Arial" w:cs="Arial"/>
              </w:rPr>
            </w:pPr>
            <w:r w:rsidRPr="00BF20CF">
              <w:rPr>
                <w:rFonts w:ascii="Arial" w:hAnsi="Arial" w:cs="Arial"/>
              </w:rPr>
              <w:t>36,977</w:t>
            </w:r>
          </w:p>
        </w:tc>
      </w:tr>
      <w:tr w:rsidR="00482130" w:rsidRPr="00BF20CF" w14:paraId="47FE35DD" w14:textId="77777777" w:rsidTr="00C84F5B">
        <w:trPr>
          <w:trHeight w:val="242"/>
          <w:jc w:val="center"/>
        </w:trPr>
        <w:tc>
          <w:tcPr>
            <w:tcW w:w="965" w:type="dxa"/>
          </w:tcPr>
          <w:p w14:paraId="2E099B6F" w14:textId="77777777" w:rsidR="00482130" w:rsidRPr="00BF20CF" w:rsidRDefault="00482130" w:rsidP="00C84F5B">
            <w:pPr>
              <w:rPr>
                <w:rFonts w:ascii="Arial" w:hAnsi="Arial" w:cs="Arial"/>
              </w:rPr>
            </w:pPr>
            <w:r w:rsidRPr="00BF20CF">
              <w:rPr>
                <w:rFonts w:ascii="Arial" w:hAnsi="Arial" w:cs="Arial"/>
              </w:rPr>
              <w:t>2022</w:t>
            </w:r>
          </w:p>
        </w:tc>
        <w:tc>
          <w:tcPr>
            <w:tcW w:w="2400" w:type="dxa"/>
          </w:tcPr>
          <w:p w14:paraId="419CAAF2" w14:textId="77777777" w:rsidR="00482130" w:rsidRPr="00BF20CF" w:rsidRDefault="00482130" w:rsidP="00C84F5B">
            <w:pPr>
              <w:rPr>
                <w:rFonts w:ascii="Arial" w:hAnsi="Arial" w:cs="Arial"/>
              </w:rPr>
            </w:pPr>
            <w:r w:rsidRPr="00BF20CF">
              <w:rPr>
                <w:rFonts w:ascii="Arial" w:hAnsi="Arial" w:cs="Arial"/>
              </w:rPr>
              <w:t>268,541,589</w:t>
            </w:r>
          </w:p>
        </w:tc>
        <w:tc>
          <w:tcPr>
            <w:tcW w:w="2400" w:type="dxa"/>
          </w:tcPr>
          <w:p w14:paraId="3256D38A" w14:textId="77777777" w:rsidR="00482130" w:rsidRPr="00BF20CF" w:rsidRDefault="00482130" w:rsidP="00C84F5B">
            <w:pPr>
              <w:rPr>
                <w:rFonts w:ascii="Arial" w:hAnsi="Arial" w:cs="Arial"/>
              </w:rPr>
            </w:pPr>
            <w:r w:rsidRPr="00BF20CF">
              <w:rPr>
                <w:rFonts w:ascii="Arial" w:hAnsi="Arial" w:cs="Arial"/>
              </w:rPr>
              <w:t>35,959</w:t>
            </w:r>
          </w:p>
        </w:tc>
      </w:tr>
      <w:tr w:rsidR="00482130" w:rsidRPr="00BF20CF" w14:paraId="412F1CCD" w14:textId="77777777" w:rsidTr="00C84F5B">
        <w:trPr>
          <w:trHeight w:val="242"/>
          <w:jc w:val="center"/>
        </w:trPr>
        <w:tc>
          <w:tcPr>
            <w:tcW w:w="965" w:type="dxa"/>
          </w:tcPr>
          <w:p w14:paraId="7E654C3A" w14:textId="77777777" w:rsidR="00482130" w:rsidRPr="00BF20CF" w:rsidRDefault="00482130" w:rsidP="00C84F5B">
            <w:pPr>
              <w:rPr>
                <w:rFonts w:ascii="Arial" w:hAnsi="Arial" w:cs="Arial"/>
              </w:rPr>
            </w:pPr>
            <w:r w:rsidRPr="00BF20CF">
              <w:rPr>
                <w:rFonts w:ascii="Arial" w:hAnsi="Arial" w:cs="Arial"/>
              </w:rPr>
              <w:t>2023</w:t>
            </w:r>
          </w:p>
        </w:tc>
        <w:tc>
          <w:tcPr>
            <w:tcW w:w="2400" w:type="dxa"/>
          </w:tcPr>
          <w:p w14:paraId="0F2A5152" w14:textId="77777777" w:rsidR="00482130" w:rsidRPr="00BF20CF" w:rsidRDefault="00482130" w:rsidP="00C84F5B">
            <w:pPr>
              <w:rPr>
                <w:rFonts w:ascii="Arial" w:hAnsi="Arial" w:cs="Arial"/>
              </w:rPr>
            </w:pPr>
            <w:r w:rsidRPr="00BF20CF">
              <w:rPr>
                <w:rFonts w:ascii="Arial" w:hAnsi="Arial" w:cs="Arial"/>
              </w:rPr>
              <w:t>267,015,594</w:t>
            </w:r>
          </w:p>
        </w:tc>
        <w:tc>
          <w:tcPr>
            <w:tcW w:w="2400" w:type="dxa"/>
          </w:tcPr>
          <w:p w14:paraId="657E8131" w14:textId="77777777" w:rsidR="00482130" w:rsidRPr="00BF20CF" w:rsidRDefault="00482130" w:rsidP="00C84F5B">
            <w:pPr>
              <w:rPr>
                <w:rFonts w:ascii="Arial" w:hAnsi="Arial" w:cs="Arial"/>
              </w:rPr>
            </w:pPr>
            <w:r w:rsidRPr="00BF20CF">
              <w:rPr>
                <w:rFonts w:ascii="Arial" w:hAnsi="Arial" w:cs="Arial"/>
              </w:rPr>
              <w:t>35,625</w:t>
            </w:r>
          </w:p>
        </w:tc>
      </w:tr>
      <w:tr w:rsidR="00482130" w:rsidRPr="00BF20CF" w14:paraId="31E23F54" w14:textId="77777777" w:rsidTr="00C84F5B">
        <w:trPr>
          <w:trHeight w:val="242"/>
          <w:jc w:val="center"/>
        </w:trPr>
        <w:tc>
          <w:tcPr>
            <w:tcW w:w="965" w:type="dxa"/>
          </w:tcPr>
          <w:p w14:paraId="4770C2CF" w14:textId="77777777" w:rsidR="00482130" w:rsidRPr="00BF20CF" w:rsidRDefault="00482130" w:rsidP="00C84F5B">
            <w:pPr>
              <w:rPr>
                <w:rFonts w:ascii="Arial" w:hAnsi="Arial" w:cs="Arial"/>
              </w:rPr>
            </w:pPr>
            <w:r w:rsidRPr="00BF20CF">
              <w:rPr>
                <w:rFonts w:ascii="Arial" w:hAnsi="Arial" w:cs="Arial"/>
              </w:rPr>
              <w:t>2024</w:t>
            </w:r>
          </w:p>
        </w:tc>
        <w:tc>
          <w:tcPr>
            <w:tcW w:w="2400" w:type="dxa"/>
          </w:tcPr>
          <w:p w14:paraId="4BEE4CF9" w14:textId="77777777" w:rsidR="00482130" w:rsidRPr="00BF20CF" w:rsidRDefault="00482130" w:rsidP="00C84F5B">
            <w:pPr>
              <w:rPr>
                <w:rFonts w:ascii="Arial" w:hAnsi="Arial" w:cs="Arial"/>
              </w:rPr>
            </w:pPr>
            <w:r w:rsidRPr="00BF20CF">
              <w:rPr>
                <w:rFonts w:ascii="Arial" w:hAnsi="Arial" w:cs="Arial"/>
              </w:rPr>
              <w:t>262,747,721</w:t>
            </w:r>
          </w:p>
        </w:tc>
        <w:tc>
          <w:tcPr>
            <w:tcW w:w="2400" w:type="dxa"/>
          </w:tcPr>
          <w:p w14:paraId="100BDB21" w14:textId="77777777" w:rsidR="00482130" w:rsidRPr="00BF20CF" w:rsidRDefault="00482130" w:rsidP="00C84F5B">
            <w:pPr>
              <w:rPr>
                <w:rFonts w:ascii="Arial" w:hAnsi="Arial" w:cs="Arial"/>
              </w:rPr>
            </w:pPr>
            <w:r w:rsidRPr="00BF20CF">
              <w:rPr>
                <w:rFonts w:ascii="Arial" w:hAnsi="Arial" w:cs="Arial"/>
              </w:rPr>
              <w:t>34,966</w:t>
            </w:r>
          </w:p>
        </w:tc>
      </w:tr>
      <w:tr w:rsidR="00482130" w:rsidRPr="00BF20CF" w14:paraId="1097016F" w14:textId="77777777" w:rsidTr="00C84F5B">
        <w:trPr>
          <w:trHeight w:val="242"/>
          <w:jc w:val="center"/>
        </w:trPr>
        <w:tc>
          <w:tcPr>
            <w:tcW w:w="965" w:type="dxa"/>
          </w:tcPr>
          <w:p w14:paraId="4FA45826" w14:textId="77777777" w:rsidR="00482130" w:rsidRPr="00BF20CF" w:rsidRDefault="00482130" w:rsidP="00C84F5B">
            <w:pPr>
              <w:rPr>
                <w:rFonts w:ascii="Arial" w:hAnsi="Arial" w:cs="Arial"/>
              </w:rPr>
            </w:pPr>
            <w:r w:rsidRPr="00BF20CF">
              <w:rPr>
                <w:rFonts w:ascii="Arial" w:hAnsi="Arial" w:cs="Arial"/>
              </w:rPr>
              <w:t>2025</w:t>
            </w:r>
          </w:p>
        </w:tc>
        <w:tc>
          <w:tcPr>
            <w:tcW w:w="2400" w:type="dxa"/>
          </w:tcPr>
          <w:p w14:paraId="6ED69373" w14:textId="77777777" w:rsidR="00482130" w:rsidRPr="00BF20CF" w:rsidRDefault="00482130" w:rsidP="00C84F5B">
            <w:pPr>
              <w:rPr>
                <w:rFonts w:ascii="Arial" w:hAnsi="Arial" w:cs="Arial"/>
              </w:rPr>
            </w:pPr>
            <w:r w:rsidRPr="00BF20CF">
              <w:rPr>
                <w:rFonts w:ascii="Arial" w:hAnsi="Arial" w:cs="Arial"/>
              </w:rPr>
              <w:t>248,446,183</w:t>
            </w:r>
          </w:p>
        </w:tc>
        <w:tc>
          <w:tcPr>
            <w:tcW w:w="2400" w:type="dxa"/>
          </w:tcPr>
          <w:p w14:paraId="38E3A754" w14:textId="77777777" w:rsidR="00482130" w:rsidRPr="00BF20CF" w:rsidRDefault="00482130" w:rsidP="00C84F5B">
            <w:pPr>
              <w:rPr>
                <w:rFonts w:ascii="Arial" w:hAnsi="Arial" w:cs="Arial"/>
              </w:rPr>
            </w:pPr>
            <w:r w:rsidRPr="00BF20CF">
              <w:rPr>
                <w:rFonts w:ascii="Arial" w:hAnsi="Arial" w:cs="Arial"/>
              </w:rPr>
              <w:t>33,009</w:t>
            </w:r>
          </w:p>
        </w:tc>
      </w:tr>
    </w:tbl>
    <w:p w14:paraId="0C1EB07B" w14:textId="69B98F6C" w:rsidR="00482130" w:rsidRPr="00BF20CF" w:rsidRDefault="00482130" w:rsidP="00C84F5B">
      <w:pPr>
        <w:pStyle w:val="NoSpacing"/>
        <w:jc w:val="center"/>
        <w:rPr>
          <w:rFonts w:ascii="Arial" w:hAnsi="Arial" w:cs="Arial"/>
          <w:i/>
          <w:sz w:val="20"/>
          <w:szCs w:val="24"/>
        </w:rPr>
      </w:pPr>
      <w:r w:rsidRPr="00BF20CF">
        <w:rPr>
          <w:rFonts w:ascii="Arial" w:hAnsi="Arial" w:cs="Arial"/>
          <w:i/>
          <w:sz w:val="20"/>
          <w:szCs w:val="24"/>
        </w:rPr>
        <w:t>Source:</w:t>
      </w:r>
      <w:r w:rsidRPr="00BF20CF">
        <w:rPr>
          <w:rFonts w:ascii="Arial" w:hAnsi="Arial" w:cs="Arial"/>
          <w:sz w:val="24"/>
          <w:szCs w:val="24"/>
        </w:rPr>
        <w:t xml:space="preserve"> </w:t>
      </w:r>
      <w:r w:rsidRPr="00BF20CF">
        <w:rPr>
          <w:rFonts w:ascii="Arial" w:hAnsi="Arial" w:cs="Arial"/>
          <w:i/>
          <w:sz w:val="20"/>
          <w:szCs w:val="24"/>
        </w:rPr>
        <w:t>2017 Final Verified Results Report</w:t>
      </w:r>
    </w:p>
    <w:p w14:paraId="0EC02058" w14:textId="77777777" w:rsidR="00250F7E" w:rsidRPr="00BF20CF" w:rsidRDefault="00250F7E" w:rsidP="00C84F5B">
      <w:pPr>
        <w:pStyle w:val="NoSpacing"/>
        <w:jc w:val="center"/>
        <w:rPr>
          <w:rFonts w:ascii="Arial" w:hAnsi="Arial" w:cs="Arial"/>
          <w:sz w:val="20"/>
          <w:szCs w:val="24"/>
        </w:rPr>
      </w:pPr>
    </w:p>
    <w:p w14:paraId="115C7639" w14:textId="5BC5A403" w:rsidR="00482130" w:rsidRPr="00BF20CF" w:rsidRDefault="00482130" w:rsidP="00C84F5B">
      <w:pPr>
        <w:rPr>
          <w:rFonts w:ascii="Arial" w:hAnsi="Arial" w:cs="Arial"/>
        </w:rPr>
      </w:pPr>
      <w:r w:rsidRPr="00BF20CF">
        <w:rPr>
          <w:rFonts w:ascii="Arial" w:hAnsi="Arial" w:cs="Arial"/>
        </w:rPr>
        <w:t>Question(s):</w:t>
      </w:r>
    </w:p>
    <w:p w14:paraId="4831F77B" w14:textId="77777777" w:rsidR="00250F7E" w:rsidRPr="00BF20CF" w:rsidRDefault="00250F7E" w:rsidP="00C84F5B">
      <w:pPr>
        <w:rPr>
          <w:rFonts w:ascii="Arial" w:hAnsi="Arial" w:cs="Arial"/>
        </w:rPr>
      </w:pPr>
    </w:p>
    <w:p w14:paraId="23302B52" w14:textId="77777777" w:rsidR="00482130" w:rsidRPr="00BF20CF" w:rsidRDefault="00482130" w:rsidP="00DA686D">
      <w:pPr>
        <w:pStyle w:val="ListParagraph"/>
        <w:numPr>
          <w:ilvl w:val="0"/>
          <w:numId w:val="184"/>
        </w:numPr>
        <w:spacing w:after="160" w:line="259" w:lineRule="auto"/>
        <w:rPr>
          <w:rFonts w:ascii="Arial" w:hAnsi="Arial" w:cs="Arial"/>
        </w:rPr>
      </w:pPr>
      <w:r w:rsidRPr="00BF20CF">
        <w:rPr>
          <w:rFonts w:ascii="Arial" w:hAnsi="Arial" w:cs="Arial"/>
        </w:rPr>
        <w:t xml:space="preserve">In excel format, please re-file Tables 6 and 7 (Exhibit 3, Tab 1, Schedule 1) with the breakdown of each of the rate class savings into the following three categories: </w:t>
      </w:r>
    </w:p>
    <w:p w14:paraId="7109EEB0" w14:textId="77777777" w:rsidR="00482130" w:rsidRPr="00BF20CF" w:rsidRDefault="00482130" w:rsidP="00DA686D">
      <w:pPr>
        <w:pStyle w:val="ListParagraph"/>
        <w:numPr>
          <w:ilvl w:val="0"/>
          <w:numId w:val="182"/>
        </w:numPr>
        <w:spacing w:after="160" w:line="276" w:lineRule="auto"/>
        <w:ind w:left="1440"/>
        <w:rPr>
          <w:rFonts w:ascii="Arial" w:hAnsi="Arial" w:cs="Arial"/>
        </w:rPr>
      </w:pPr>
      <w:r w:rsidRPr="00BF20CF">
        <w:rPr>
          <w:rFonts w:ascii="Arial" w:hAnsi="Arial" w:cs="Arial"/>
        </w:rPr>
        <w:t>amount of persisting savings from remaining contracts executed under the CFF on/before April 30, 2019</w:t>
      </w:r>
    </w:p>
    <w:p w14:paraId="2516C97B" w14:textId="77777777" w:rsidR="00482130" w:rsidRPr="00BF20CF" w:rsidRDefault="00482130" w:rsidP="00DA686D">
      <w:pPr>
        <w:pStyle w:val="ListParagraph"/>
        <w:numPr>
          <w:ilvl w:val="0"/>
          <w:numId w:val="182"/>
        </w:numPr>
        <w:spacing w:after="160" w:line="276" w:lineRule="auto"/>
        <w:ind w:left="1440"/>
        <w:rPr>
          <w:rFonts w:ascii="Arial" w:hAnsi="Arial" w:cs="Arial"/>
        </w:rPr>
      </w:pPr>
      <w:r w:rsidRPr="00BF20CF">
        <w:rPr>
          <w:rFonts w:ascii="Arial" w:hAnsi="Arial" w:cs="Arial"/>
        </w:rPr>
        <w:t xml:space="preserve">“rate-based” savings from new projects (showing the allocation of 2 </w:t>
      </w:r>
      <w:proofErr w:type="spellStart"/>
      <w:r w:rsidRPr="00BF20CF">
        <w:rPr>
          <w:rFonts w:ascii="Arial" w:hAnsi="Arial" w:cs="Arial"/>
        </w:rPr>
        <w:t>GWh</w:t>
      </w:r>
      <w:proofErr w:type="spellEnd"/>
      <w:r w:rsidRPr="00BF20CF">
        <w:rPr>
          <w:rFonts w:ascii="Arial" w:hAnsi="Arial" w:cs="Arial"/>
        </w:rPr>
        <w:t>/year of projected savings across commercial classes)</w:t>
      </w:r>
    </w:p>
    <w:p w14:paraId="763C2AC1" w14:textId="3DE01311" w:rsidR="00482130" w:rsidRPr="00BF20CF" w:rsidRDefault="00482130" w:rsidP="00DA686D">
      <w:pPr>
        <w:pStyle w:val="ListParagraph"/>
        <w:numPr>
          <w:ilvl w:val="0"/>
          <w:numId w:val="182"/>
        </w:numPr>
        <w:spacing w:after="160" w:line="276" w:lineRule="auto"/>
        <w:ind w:left="1440"/>
        <w:rPr>
          <w:rFonts w:ascii="Arial" w:hAnsi="Arial" w:cs="Arial"/>
        </w:rPr>
      </w:pPr>
      <w:r w:rsidRPr="00BF20CF">
        <w:rPr>
          <w:rFonts w:ascii="Arial" w:hAnsi="Arial" w:cs="Arial"/>
        </w:rPr>
        <w:t xml:space="preserve">continuation of CDM programs which are still being administered at the provincial level by the IESO </w:t>
      </w:r>
    </w:p>
    <w:p w14:paraId="5848599A" w14:textId="77777777" w:rsidR="007F209B" w:rsidRPr="00BF20CF" w:rsidRDefault="007F209B" w:rsidP="007F209B">
      <w:pPr>
        <w:pStyle w:val="ListParagraph"/>
        <w:spacing w:after="160" w:line="276" w:lineRule="auto"/>
        <w:rPr>
          <w:rFonts w:ascii="Arial" w:hAnsi="Arial" w:cs="Arial"/>
        </w:rPr>
      </w:pPr>
    </w:p>
    <w:p w14:paraId="7D411B5B" w14:textId="77777777" w:rsidR="00482130" w:rsidRPr="00BF20CF" w:rsidRDefault="00482130" w:rsidP="00DA686D">
      <w:pPr>
        <w:pStyle w:val="ListParagraph"/>
        <w:numPr>
          <w:ilvl w:val="0"/>
          <w:numId w:val="184"/>
        </w:numPr>
        <w:spacing w:after="160" w:line="276" w:lineRule="auto"/>
        <w:rPr>
          <w:rFonts w:ascii="Arial" w:hAnsi="Arial" w:cs="Arial"/>
        </w:rPr>
      </w:pPr>
      <w:r w:rsidRPr="00BF20CF">
        <w:rPr>
          <w:rFonts w:ascii="Arial" w:hAnsi="Arial" w:cs="Arial"/>
        </w:rPr>
        <w:t xml:space="preserve">For the first category of savings related to </w:t>
      </w:r>
      <w:proofErr w:type="spellStart"/>
      <w:r w:rsidRPr="00BF20CF">
        <w:rPr>
          <w:rFonts w:ascii="Arial" w:hAnsi="Arial" w:cs="Arial"/>
        </w:rPr>
        <w:t>i</w:t>
      </w:r>
      <w:proofErr w:type="spellEnd"/>
      <w:r w:rsidRPr="00BF20CF">
        <w:rPr>
          <w:rFonts w:ascii="Arial" w:hAnsi="Arial" w:cs="Arial"/>
        </w:rPr>
        <w:t>) persisting savings from remaining contracts executed on/before April 30, 2019:</w:t>
      </w:r>
    </w:p>
    <w:p w14:paraId="45C36BF8" w14:textId="77777777" w:rsidR="00482130" w:rsidRPr="00BF20CF" w:rsidRDefault="00482130" w:rsidP="00DA686D">
      <w:pPr>
        <w:pStyle w:val="ListParagraph"/>
        <w:numPr>
          <w:ilvl w:val="1"/>
          <w:numId w:val="184"/>
        </w:numPr>
        <w:spacing w:after="160" w:line="259" w:lineRule="auto"/>
        <w:rPr>
          <w:rFonts w:ascii="Arial" w:hAnsi="Arial" w:cs="Arial"/>
        </w:rPr>
      </w:pPr>
      <w:r w:rsidRPr="00BF20CF">
        <w:rPr>
          <w:rFonts w:ascii="Arial" w:hAnsi="Arial" w:cs="Arial"/>
        </w:rPr>
        <w:lastRenderedPageBreak/>
        <w:t>Please discuss how Hydro Ottawa has revised its future estimated CDM savings from CFF programs following the cancellation of the CFF.</w:t>
      </w:r>
    </w:p>
    <w:p w14:paraId="7511D0F2" w14:textId="77777777" w:rsidR="00482130" w:rsidRPr="00BF20CF" w:rsidRDefault="00482130" w:rsidP="00DA686D">
      <w:pPr>
        <w:pStyle w:val="ListParagraph"/>
        <w:numPr>
          <w:ilvl w:val="1"/>
          <w:numId w:val="184"/>
        </w:numPr>
        <w:spacing w:after="160" w:line="259" w:lineRule="auto"/>
        <w:rPr>
          <w:rFonts w:ascii="Arial" w:hAnsi="Arial" w:cs="Arial"/>
        </w:rPr>
      </w:pPr>
      <w:r w:rsidRPr="00BF20CF">
        <w:rPr>
          <w:rFonts w:ascii="Arial" w:hAnsi="Arial" w:cs="Arial"/>
        </w:rPr>
        <w:t xml:space="preserve">Please reconcile the CDM savings (in Tables 6 and 7) with the savings from the CDM-IS project reports that were part of the former CFF. </w:t>
      </w:r>
    </w:p>
    <w:p w14:paraId="4789DB89" w14:textId="77777777" w:rsidR="00482130" w:rsidRPr="00BF20CF" w:rsidRDefault="00482130" w:rsidP="00C84F5B">
      <w:pPr>
        <w:ind w:left="1440"/>
        <w:rPr>
          <w:rFonts w:ascii="Arial" w:hAnsi="Arial" w:cs="Arial"/>
        </w:rPr>
      </w:pPr>
      <w:r w:rsidRPr="00BF20CF">
        <w:rPr>
          <w:rFonts w:ascii="Arial" w:hAnsi="Arial" w:cs="Arial"/>
        </w:rPr>
        <w:t xml:space="preserve">Please file the project lists from the CDM-IS savings report in excel format, inclusive of the following information: </w:t>
      </w:r>
    </w:p>
    <w:p w14:paraId="0EB7E7EC" w14:textId="77777777" w:rsidR="00482130" w:rsidRPr="00BF20CF" w:rsidRDefault="00482130" w:rsidP="00DA686D">
      <w:pPr>
        <w:pStyle w:val="ListParagraph"/>
        <w:numPr>
          <w:ilvl w:val="6"/>
          <w:numId w:val="187"/>
        </w:numPr>
        <w:spacing w:after="160" w:line="259" w:lineRule="auto"/>
        <w:rPr>
          <w:rFonts w:ascii="Arial" w:hAnsi="Arial" w:cs="Arial"/>
        </w:rPr>
      </w:pPr>
      <w:r w:rsidRPr="00BF20CF">
        <w:rPr>
          <w:rFonts w:ascii="Arial" w:hAnsi="Arial" w:cs="Arial"/>
        </w:rPr>
        <w:t>What CFF program the project(s) are being completed under</w:t>
      </w:r>
    </w:p>
    <w:p w14:paraId="4048F159" w14:textId="77777777" w:rsidR="00482130" w:rsidRPr="00BF20CF" w:rsidRDefault="00482130" w:rsidP="00DA686D">
      <w:pPr>
        <w:pStyle w:val="ListParagraph"/>
        <w:numPr>
          <w:ilvl w:val="6"/>
          <w:numId w:val="187"/>
        </w:numPr>
        <w:spacing w:after="160" w:line="259" w:lineRule="auto"/>
        <w:rPr>
          <w:rFonts w:ascii="Arial" w:hAnsi="Arial" w:cs="Arial"/>
        </w:rPr>
      </w:pPr>
      <w:r w:rsidRPr="00BF20CF">
        <w:rPr>
          <w:rFonts w:ascii="Arial" w:hAnsi="Arial" w:cs="Arial"/>
        </w:rPr>
        <w:t>The timing of approval for each project</w:t>
      </w:r>
    </w:p>
    <w:p w14:paraId="495FA80B" w14:textId="77777777" w:rsidR="00482130" w:rsidRPr="00BF20CF" w:rsidRDefault="00482130" w:rsidP="00DA686D">
      <w:pPr>
        <w:pStyle w:val="ListParagraph"/>
        <w:numPr>
          <w:ilvl w:val="6"/>
          <w:numId w:val="187"/>
        </w:numPr>
        <w:spacing w:after="160" w:line="259" w:lineRule="auto"/>
        <w:rPr>
          <w:rFonts w:ascii="Arial" w:hAnsi="Arial" w:cs="Arial"/>
        </w:rPr>
      </w:pPr>
      <w:r w:rsidRPr="00BF20CF">
        <w:rPr>
          <w:rFonts w:ascii="Arial" w:hAnsi="Arial" w:cs="Arial"/>
        </w:rPr>
        <w:t>Confirmation that Hydro Ottawa and its customer(s) have entered into a contractual agreement for the energy efficiency project(s) to be completed</w:t>
      </w:r>
    </w:p>
    <w:p w14:paraId="75BE7720" w14:textId="77777777" w:rsidR="00482130" w:rsidRPr="00BF20CF" w:rsidRDefault="00482130" w:rsidP="00DA686D">
      <w:pPr>
        <w:pStyle w:val="ListParagraph"/>
        <w:numPr>
          <w:ilvl w:val="6"/>
          <w:numId w:val="187"/>
        </w:numPr>
        <w:spacing w:line="259" w:lineRule="auto"/>
        <w:rPr>
          <w:rFonts w:ascii="Arial" w:hAnsi="Arial" w:cs="Arial"/>
        </w:rPr>
      </w:pPr>
      <w:r w:rsidRPr="00BF20CF">
        <w:rPr>
          <w:rFonts w:ascii="Arial" w:hAnsi="Arial" w:cs="Arial"/>
        </w:rPr>
        <w:t>The total estimated savings and project timeframe for each CFF-project(s) that Hydro Ottawa is contractually obligated to complete</w:t>
      </w:r>
    </w:p>
    <w:p w14:paraId="26ECEB41" w14:textId="77777777" w:rsidR="00482130" w:rsidRPr="00BF20CF" w:rsidRDefault="00482130" w:rsidP="007F209B">
      <w:pPr>
        <w:pStyle w:val="NoSpacing"/>
        <w:spacing w:line="276" w:lineRule="auto"/>
        <w:ind w:left="1080"/>
        <w:rPr>
          <w:rFonts w:ascii="Arial" w:hAnsi="Arial" w:cs="Arial"/>
          <w:sz w:val="24"/>
          <w:szCs w:val="24"/>
        </w:rPr>
      </w:pPr>
    </w:p>
    <w:p w14:paraId="6A09F45A" w14:textId="77777777" w:rsidR="00482130" w:rsidRPr="00BF20CF" w:rsidRDefault="00482130" w:rsidP="00DA686D">
      <w:pPr>
        <w:pStyle w:val="NoSpacing"/>
        <w:numPr>
          <w:ilvl w:val="0"/>
          <w:numId w:val="184"/>
        </w:numPr>
        <w:rPr>
          <w:rFonts w:ascii="Arial" w:hAnsi="Arial" w:cs="Arial"/>
          <w:sz w:val="24"/>
          <w:szCs w:val="24"/>
        </w:rPr>
      </w:pPr>
      <w:r w:rsidRPr="00BF20CF">
        <w:rPr>
          <w:rFonts w:ascii="Arial" w:hAnsi="Arial" w:cs="Arial"/>
          <w:sz w:val="24"/>
          <w:szCs w:val="24"/>
        </w:rPr>
        <w:t xml:space="preserve">For the second category of savings related to ii) on “rate-based” savings from commercial customers, please clarify what “rate-based” savings mean. It appears that Hydro Ottawa is not seeking approval of a distributor-specific, ratepayer funded CDM program in this application. </w:t>
      </w:r>
    </w:p>
    <w:p w14:paraId="1AF01570" w14:textId="77777777" w:rsidR="00482130" w:rsidRPr="00BF20CF" w:rsidRDefault="00482130" w:rsidP="00C84F5B">
      <w:pPr>
        <w:pStyle w:val="NoSpacing"/>
        <w:ind w:left="720"/>
        <w:rPr>
          <w:rFonts w:ascii="Arial" w:hAnsi="Arial" w:cs="Arial"/>
          <w:sz w:val="24"/>
          <w:szCs w:val="24"/>
        </w:rPr>
      </w:pPr>
    </w:p>
    <w:p w14:paraId="07731D04" w14:textId="77777777" w:rsidR="00482130" w:rsidRPr="00BF20CF" w:rsidRDefault="00482130" w:rsidP="00DA686D">
      <w:pPr>
        <w:pStyle w:val="NoSpacing"/>
        <w:numPr>
          <w:ilvl w:val="1"/>
          <w:numId w:val="184"/>
        </w:numPr>
        <w:rPr>
          <w:rFonts w:ascii="Arial" w:hAnsi="Arial" w:cs="Arial"/>
          <w:sz w:val="24"/>
          <w:szCs w:val="24"/>
        </w:rPr>
      </w:pPr>
      <w:r w:rsidRPr="00BF20CF">
        <w:rPr>
          <w:rFonts w:ascii="Arial" w:hAnsi="Arial" w:cs="Arial"/>
          <w:sz w:val="24"/>
          <w:szCs w:val="24"/>
        </w:rPr>
        <w:t>Please confirm these savings will only be achieved from yet to be approved annual costs of $0.2-0.5 million related to compensation, marketing and miscellaneous costs in OM&amp;A. If not, please clarify.</w:t>
      </w:r>
    </w:p>
    <w:p w14:paraId="662CE630" w14:textId="77777777" w:rsidR="00482130" w:rsidRPr="00BF20CF" w:rsidRDefault="00482130" w:rsidP="00C84F5B">
      <w:pPr>
        <w:pStyle w:val="NoSpacing"/>
        <w:ind w:left="1440"/>
        <w:rPr>
          <w:rFonts w:ascii="Arial" w:hAnsi="Arial" w:cs="Arial"/>
          <w:sz w:val="24"/>
          <w:szCs w:val="24"/>
        </w:rPr>
      </w:pPr>
    </w:p>
    <w:p w14:paraId="6387A111" w14:textId="77777777" w:rsidR="00482130" w:rsidRPr="00BF20CF" w:rsidRDefault="00482130" w:rsidP="00DA686D">
      <w:pPr>
        <w:pStyle w:val="NoSpacing"/>
        <w:numPr>
          <w:ilvl w:val="1"/>
          <w:numId w:val="184"/>
        </w:numPr>
        <w:spacing w:line="276" w:lineRule="auto"/>
        <w:rPr>
          <w:rFonts w:ascii="Arial" w:hAnsi="Arial" w:cs="Arial"/>
          <w:sz w:val="24"/>
          <w:szCs w:val="24"/>
        </w:rPr>
      </w:pPr>
      <w:r w:rsidRPr="00BF20CF">
        <w:rPr>
          <w:rFonts w:ascii="Arial" w:hAnsi="Arial" w:cs="Arial"/>
          <w:sz w:val="24"/>
          <w:szCs w:val="24"/>
        </w:rPr>
        <w:t>Please explain the appropriateness of including CDM staffing costs in OM&amp;A, as they were formerly not included in the revenue requirement</w:t>
      </w:r>
      <w:r w:rsidRPr="00BF20CF">
        <w:rPr>
          <w:rStyle w:val="FootnoteReference"/>
          <w:rFonts w:ascii="Arial" w:hAnsi="Arial" w:cs="Arial"/>
          <w:sz w:val="24"/>
          <w:szCs w:val="24"/>
        </w:rPr>
        <w:footnoteReference w:id="27"/>
      </w:r>
      <w:r w:rsidRPr="00BF20CF">
        <w:rPr>
          <w:rFonts w:ascii="Arial" w:hAnsi="Arial" w:cs="Arial"/>
          <w:sz w:val="24"/>
          <w:szCs w:val="24"/>
        </w:rPr>
        <w:t xml:space="preserve">. Please explain the need for new CDM staff, if there are existing staff available for delivery of conservation activities related to the former CFF, and provide greater clarity on what planning tools, reports and information Hydro Ottawa is relying on to support the need for an increase to its OM&amp;A. </w:t>
      </w:r>
    </w:p>
    <w:p w14:paraId="653AFD03" w14:textId="77777777" w:rsidR="00482130" w:rsidRPr="00BF20CF" w:rsidRDefault="00482130" w:rsidP="009B4AE3">
      <w:pPr>
        <w:pStyle w:val="NoSpacing"/>
        <w:spacing w:line="276" w:lineRule="auto"/>
        <w:ind w:left="1440"/>
        <w:rPr>
          <w:rFonts w:ascii="Arial" w:hAnsi="Arial" w:cs="Arial"/>
          <w:sz w:val="24"/>
          <w:szCs w:val="24"/>
        </w:rPr>
      </w:pPr>
    </w:p>
    <w:p w14:paraId="23095540" w14:textId="77777777" w:rsidR="00482130" w:rsidRPr="00BF20CF" w:rsidRDefault="00482130" w:rsidP="00DA686D">
      <w:pPr>
        <w:pStyle w:val="NoSpacing"/>
        <w:numPr>
          <w:ilvl w:val="1"/>
          <w:numId w:val="184"/>
        </w:numPr>
        <w:spacing w:line="276" w:lineRule="auto"/>
        <w:rPr>
          <w:rFonts w:ascii="Arial" w:hAnsi="Arial" w:cs="Arial"/>
          <w:sz w:val="24"/>
          <w:szCs w:val="24"/>
        </w:rPr>
      </w:pPr>
      <w:r w:rsidRPr="00BF20CF">
        <w:rPr>
          <w:rFonts w:ascii="Arial" w:hAnsi="Arial" w:cs="Arial"/>
          <w:sz w:val="24"/>
          <w:szCs w:val="24"/>
        </w:rPr>
        <w:t xml:space="preserve">Please discuss whether Hydro Ottawa has sought approval or engaged in discussions with the IESO related to the projected rate-based savings from commercial customers. In Hydro Ottawa’s </w:t>
      </w:r>
      <w:r w:rsidRPr="00BF20CF">
        <w:rPr>
          <w:rFonts w:ascii="Arial" w:hAnsi="Arial" w:cs="Arial"/>
          <w:sz w:val="24"/>
          <w:szCs w:val="24"/>
        </w:rPr>
        <w:lastRenderedPageBreak/>
        <w:t xml:space="preserve">response, please provide any correspondence with the IESO on this topic. </w:t>
      </w:r>
    </w:p>
    <w:p w14:paraId="38184713" w14:textId="77777777" w:rsidR="00482130" w:rsidRPr="00BF20CF" w:rsidRDefault="00482130" w:rsidP="009B4AE3">
      <w:pPr>
        <w:pStyle w:val="NoSpacing"/>
        <w:spacing w:line="276" w:lineRule="auto"/>
        <w:ind w:left="1440"/>
        <w:rPr>
          <w:rFonts w:ascii="Arial" w:hAnsi="Arial" w:cs="Arial"/>
          <w:sz w:val="24"/>
          <w:szCs w:val="24"/>
        </w:rPr>
      </w:pPr>
    </w:p>
    <w:p w14:paraId="166B810B" w14:textId="77777777" w:rsidR="00482130" w:rsidRPr="00BF20CF" w:rsidRDefault="00482130" w:rsidP="00DA686D">
      <w:pPr>
        <w:pStyle w:val="NoSpacing"/>
        <w:numPr>
          <w:ilvl w:val="0"/>
          <w:numId w:val="185"/>
        </w:numPr>
        <w:spacing w:line="276" w:lineRule="auto"/>
        <w:rPr>
          <w:rFonts w:ascii="Arial" w:hAnsi="Arial" w:cs="Arial"/>
          <w:sz w:val="24"/>
          <w:szCs w:val="24"/>
        </w:rPr>
      </w:pPr>
      <w:r w:rsidRPr="00BF20CF">
        <w:rPr>
          <w:rFonts w:ascii="Arial" w:hAnsi="Arial" w:cs="Arial"/>
          <w:sz w:val="24"/>
          <w:szCs w:val="24"/>
        </w:rPr>
        <w:t xml:space="preserve">If the OEB does not approve of the requested OM&amp;A funding for these rate-based CDM activities, please discuss whether Hydro Ottawa will continue to pursue these opportunities. </w:t>
      </w:r>
    </w:p>
    <w:p w14:paraId="35422E02" w14:textId="77777777" w:rsidR="00482130" w:rsidRPr="00BF20CF" w:rsidRDefault="00482130" w:rsidP="009B4AE3">
      <w:pPr>
        <w:pStyle w:val="NoSpacing"/>
        <w:spacing w:line="276" w:lineRule="auto"/>
        <w:ind w:left="1800"/>
        <w:rPr>
          <w:rFonts w:ascii="Arial" w:hAnsi="Arial" w:cs="Arial"/>
          <w:sz w:val="24"/>
          <w:szCs w:val="24"/>
        </w:rPr>
      </w:pPr>
    </w:p>
    <w:p w14:paraId="46EBC03E" w14:textId="77777777" w:rsidR="00482130" w:rsidRPr="00BF20CF" w:rsidRDefault="00482130" w:rsidP="00DA686D">
      <w:pPr>
        <w:pStyle w:val="NoSpacing"/>
        <w:numPr>
          <w:ilvl w:val="1"/>
          <w:numId w:val="184"/>
        </w:numPr>
        <w:spacing w:line="276" w:lineRule="auto"/>
        <w:rPr>
          <w:rFonts w:ascii="Arial" w:hAnsi="Arial" w:cs="Arial"/>
          <w:sz w:val="24"/>
          <w:szCs w:val="24"/>
        </w:rPr>
      </w:pPr>
      <w:r w:rsidRPr="00BF20CF">
        <w:rPr>
          <w:rFonts w:ascii="Arial" w:hAnsi="Arial" w:cs="Arial"/>
          <w:sz w:val="24"/>
          <w:szCs w:val="24"/>
        </w:rPr>
        <w:t>In excel format, please file the following details by project to support the inclusion of rate-based savings in the CDM adjustment:</w:t>
      </w:r>
    </w:p>
    <w:p w14:paraId="5D3AE93B" w14:textId="77777777" w:rsidR="00482130" w:rsidRPr="00BF20CF" w:rsidRDefault="00482130" w:rsidP="00DA686D">
      <w:pPr>
        <w:pStyle w:val="ListParagraph"/>
        <w:numPr>
          <w:ilvl w:val="0"/>
          <w:numId w:val="186"/>
        </w:numPr>
        <w:spacing w:after="160" w:line="276" w:lineRule="auto"/>
        <w:rPr>
          <w:rFonts w:ascii="Arial" w:hAnsi="Arial" w:cs="Arial"/>
        </w:rPr>
      </w:pPr>
      <w:r w:rsidRPr="00BF20CF">
        <w:rPr>
          <w:rFonts w:ascii="Arial" w:hAnsi="Arial" w:cs="Arial"/>
        </w:rPr>
        <w:t>What program (e.g., interim framework, post-CFF) the project(s) or CDM activities will be completed under</w:t>
      </w:r>
    </w:p>
    <w:p w14:paraId="38126D0D" w14:textId="77777777" w:rsidR="00482130" w:rsidRPr="00BF20CF" w:rsidRDefault="00482130" w:rsidP="00DA686D">
      <w:pPr>
        <w:pStyle w:val="ListParagraph"/>
        <w:numPr>
          <w:ilvl w:val="0"/>
          <w:numId w:val="186"/>
        </w:numPr>
        <w:spacing w:after="160" w:line="276" w:lineRule="auto"/>
        <w:rPr>
          <w:rFonts w:ascii="Arial" w:hAnsi="Arial" w:cs="Arial"/>
        </w:rPr>
      </w:pPr>
      <w:r w:rsidRPr="00BF20CF">
        <w:rPr>
          <w:rFonts w:ascii="Arial" w:hAnsi="Arial" w:cs="Arial"/>
        </w:rPr>
        <w:t>What entity (e.g., IESO, Hydro Ottawa) will be delivering each project or CDM activity?</w:t>
      </w:r>
    </w:p>
    <w:p w14:paraId="35EE65CA" w14:textId="77777777" w:rsidR="00482130" w:rsidRPr="00BF20CF" w:rsidRDefault="00482130" w:rsidP="00DA686D">
      <w:pPr>
        <w:pStyle w:val="ListParagraph"/>
        <w:numPr>
          <w:ilvl w:val="0"/>
          <w:numId w:val="186"/>
        </w:numPr>
        <w:spacing w:after="160" w:line="276" w:lineRule="auto"/>
        <w:rPr>
          <w:rFonts w:ascii="Arial" w:hAnsi="Arial" w:cs="Arial"/>
        </w:rPr>
      </w:pPr>
      <w:r w:rsidRPr="00BF20CF">
        <w:rPr>
          <w:rFonts w:ascii="Arial" w:hAnsi="Arial" w:cs="Arial"/>
        </w:rPr>
        <w:t xml:space="preserve">The timing of approval for each project or CDM activity </w:t>
      </w:r>
    </w:p>
    <w:p w14:paraId="15C3B699" w14:textId="77777777" w:rsidR="00482130" w:rsidRPr="00BF20CF" w:rsidRDefault="00482130" w:rsidP="00DA686D">
      <w:pPr>
        <w:pStyle w:val="ListParagraph"/>
        <w:numPr>
          <w:ilvl w:val="0"/>
          <w:numId w:val="186"/>
        </w:numPr>
        <w:spacing w:after="160" w:line="276" w:lineRule="auto"/>
        <w:rPr>
          <w:rFonts w:ascii="Arial" w:hAnsi="Arial" w:cs="Arial"/>
        </w:rPr>
      </w:pPr>
      <w:r w:rsidRPr="00BF20CF">
        <w:rPr>
          <w:rFonts w:ascii="Arial" w:hAnsi="Arial" w:cs="Arial"/>
        </w:rPr>
        <w:t>What kind of confirmation Hydro Ottawa will receive to indicate that the project will be completed</w:t>
      </w:r>
    </w:p>
    <w:p w14:paraId="1040D89D" w14:textId="77777777" w:rsidR="00482130" w:rsidRPr="00BF20CF" w:rsidRDefault="00482130" w:rsidP="00DA686D">
      <w:pPr>
        <w:pStyle w:val="ListParagraph"/>
        <w:numPr>
          <w:ilvl w:val="0"/>
          <w:numId w:val="186"/>
        </w:numPr>
        <w:spacing w:after="160" w:line="276" w:lineRule="auto"/>
        <w:rPr>
          <w:rFonts w:ascii="Arial" w:hAnsi="Arial" w:cs="Arial"/>
        </w:rPr>
      </w:pPr>
      <w:r w:rsidRPr="00BF20CF">
        <w:rPr>
          <w:rFonts w:ascii="Arial" w:hAnsi="Arial" w:cs="Arial"/>
        </w:rPr>
        <w:t xml:space="preserve">The total estimated savings (including net-to-gross ratios) and project timeframe for each project or CDM activity. Please provide all relevant input assumptions including savings by measure and customer participation rates, if available. </w:t>
      </w:r>
    </w:p>
    <w:p w14:paraId="22C2A806" w14:textId="77777777" w:rsidR="00482130" w:rsidRPr="00BF20CF" w:rsidRDefault="00482130" w:rsidP="009B4AE3">
      <w:pPr>
        <w:pStyle w:val="ListParagraph"/>
        <w:spacing w:line="276" w:lineRule="auto"/>
        <w:ind w:left="2520"/>
        <w:rPr>
          <w:rFonts w:ascii="Arial" w:hAnsi="Arial" w:cs="Arial"/>
        </w:rPr>
      </w:pPr>
    </w:p>
    <w:p w14:paraId="20B4AF5F" w14:textId="77777777" w:rsidR="00482130" w:rsidRPr="00BF20CF" w:rsidRDefault="00482130" w:rsidP="00DA686D">
      <w:pPr>
        <w:pStyle w:val="ListParagraph"/>
        <w:numPr>
          <w:ilvl w:val="1"/>
          <w:numId w:val="184"/>
        </w:numPr>
        <w:spacing w:after="160" w:line="276" w:lineRule="auto"/>
        <w:rPr>
          <w:rFonts w:ascii="Arial" w:hAnsi="Arial" w:cs="Arial"/>
        </w:rPr>
      </w:pPr>
      <w:r w:rsidRPr="00BF20CF">
        <w:rPr>
          <w:rFonts w:ascii="Arial" w:hAnsi="Arial" w:cs="Arial"/>
        </w:rPr>
        <w:t xml:space="preserve">Please discuss the appropriateness of including projected savings from rate-based activities in the CDM adjustment, as they have yet to be defined and appear to be beyond the scope of the former CFF. </w:t>
      </w:r>
    </w:p>
    <w:p w14:paraId="17AE33C6" w14:textId="77777777" w:rsidR="00482130" w:rsidRPr="00BF20CF" w:rsidRDefault="00482130" w:rsidP="00DA686D">
      <w:pPr>
        <w:pStyle w:val="ListParagraph"/>
        <w:numPr>
          <w:ilvl w:val="1"/>
          <w:numId w:val="188"/>
        </w:numPr>
        <w:spacing w:after="160" w:line="276" w:lineRule="auto"/>
        <w:rPr>
          <w:rFonts w:ascii="Arial" w:hAnsi="Arial" w:cs="Arial"/>
        </w:rPr>
      </w:pPr>
      <w:r w:rsidRPr="00BF20CF">
        <w:rPr>
          <w:rFonts w:ascii="Arial" w:hAnsi="Arial" w:cs="Arial"/>
        </w:rPr>
        <w:t>What OEB policy guidance is Hydro Ottawa relying on in making this proposal?</w:t>
      </w:r>
    </w:p>
    <w:p w14:paraId="1104F8FE" w14:textId="77777777" w:rsidR="00482130" w:rsidRPr="00BF20CF" w:rsidRDefault="00482130" w:rsidP="00DA686D">
      <w:pPr>
        <w:pStyle w:val="ListParagraph"/>
        <w:numPr>
          <w:ilvl w:val="1"/>
          <w:numId w:val="188"/>
        </w:numPr>
        <w:spacing w:after="160" w:line="276" w:lineRule="auto"/>
        <w:rPr>
          <w:rFonts w:ascii="Arial" w:hAnsi="Arial" w:cs="Arial"/>
        </w:rPr>
      </w:pPr>
      <w:r w:rsidRPr="00BF20CF">
        <w:rPr>
          <w:rFonts w:ascii="Arial" w:hAnsi="Arial" w:cs="Arial"/>
        </w:rPr>
        <w:t>How will Hydro Ottawa ensure these potential savings can be achieved and verified?</w:t>
      </w:r>
    </w:p>
    <w:p w14:paraId="06D0D562" w14:textId="754F1297" w:rsidR="00482130" w:rsidRPr="00BF20CF" w:rsidRDefault="00482130" w:rsidP="00DA686D">
      <w:pPr>
        <w:pStyle w:val="ListParagraph"/>
        <w:numPr>
          <w:ilvl w:val="1"/>
          <w:numId w:val="188"/>
        </w:numPr>
        <w:spacing w:after="160" w:line="276" w:lineRule="auto"/>
        <w:rPr>
          <w:rFonts w:ascii="Arial" w:hAnsi="Arial" w:cs="Arial"/>
        </w:rPr>
      </w:pPr>
      <w:r w:rsidRPr="00BF20CF">
        <w:rPr>
          <w:rFonts w:ascii="Arial" w:hAnsi="Arial" w:cs="Arial"/>
        </w:rPr>
        <w:t xml:space="preserve">Please discuss the proposed process that would follow in the event the projected CDM savings do not materialize, including cost responsibility. </w:t>
      </w:r>
    </w:p>
    <w:p w14:paraId="758910C1" w14:textId="77777777" w:rsidR="008E094F" w:rsidRPr="00BF20CF" w:rsidRDefault="008E094F" w:rsidP="008E094F">
      <w:pPr>
        <w:pStyle w:val="ListParagraph"/>
        <w:spacing w:after="160" w:line="276" w:lineRule="auto"/>
        <w:ind w:left="810"/>
        <w:rPr>
          <w:rFonts w:ascii="Arial" w:hAnsi="Arial" w:cs="Arial"/>
        </w:rPr>
      </w:pPr>
    </w:p>
    <w:p w14:paraId="1496D16B" w14:textId="77777777" w:rsidR="00482130" w:rsidRPr="00BF20CF" w:rsidRDefault="00482130" w:rsidP="00DA686D">
      <w:pPr>
        <w:pStyle w:val="ListParagraph"/>
        <w:numPr>
          <w:ilvl w:val="0"/>
          <w:numId w:val="184"/>
        </w:numPr>
        <w:spacing w:after="160" w:line="276" w:lineRule="auto"/>
        <w:rPr>
          <w:rFonts w:ascii="Arial" w:hAnsi="Arial" w:cs="Arial"/>
        </w:rPr>
      </w:pPr>
      <w:r w:rsidRPr="00BF20CF">
        <w:rPr>
          <w:rFonts w:ascii="Arial" w:hAnsi="Arial" w:cs="Arial"/>
        </w:rPr>
        <w:t>For the third category of savings related to iii) continuation of CDM projects administered at the provincial level, please address the following:</w:t>
      </w:r>
    </w:p>
    <w:p w14:paraId="78ECADEA" w14:textId="77777777" w:rsidR="00482130" w:rsidRPr="00BF20CF" w:rsidRDefault="00482130" w:rsidP="00DA686D">
      <w:pPr>
        <w:pStyle w:val="ListParagraph"/>
        <w:numPr>
          <w:ilvl w:val="1"/>
          <w:numId w:val="184"/>
        </w:numPr>
        <w:spacing w:after="160" w:line="276" w:lineRule="auto"/>
        <w:rPr>
          <w:rFonts w:ascii="Arial" w:hAnsi="Arial" w:cs="Arial"/>
        </w:rPr>
      </w:pPr>
      <w:r w:rsidRPr="00BF20CF">
        <w:rPr>
          <w:rFonts w:ascii="Arial" w:hAnsi="Arial" w:cs="Arial"/>
        </w:rPr>
        <w:t xml:space="preserve">Please clarify what “the continuation of CDM projects administered at the provincial level” specifically refers to. </w:t>
      </w:r>
    </w:p>
    <w:p w14:paraId="2AD8E51E" w14:textId="77777777" w:rsidR="00482130" w:rsidRPr="00BF20CF" w:rsidRDefault="00482130" w:rsidP="00C84F5B">
      <w:pPr>
        <w:pStyle w:val="ListParagraph"/>
        <w:ind w:left="1440"/>
        <w:rPr>
          <w:rFonts w:ascii="Arial" w:hAnsi="Arial" w:cs="Arial"/>
        </w:rPr>
      </w:pPr>
    </w:p>
    <w:p w14:paraId="5DDA7428" w14:textId="77777777" w:rsidR="00482130" w:rsidRPr="00BF20CF" w:rsidRDefault="00482130" w:rsidP="00DA686D">
      <w:pPr>
        <w:pStyle w:val="ListParagraph"/>
        <w:numPr>
          <w:ilvl w:val="2"/>
          <w:numId w:val="184"/>
        </w:numPr>
        <w:spacing w:after="160" w:line="276" w:lineRule="auto"/>
        <w:rPr>
          <w:rFonts w:ascii="Arial" w:hAnsi="Arial" w:cs="Arial"/>
        </w:rPr>
      </w:pPr>
      <w:r w:rsidRPr="00BF20CF">
        <w:rPr>
          <w:rFonts w:ascii="Arial" w:hAnsi="Arial" w:cs="Arial"/>
        </w:rPr>
        <w:lastRenderedPageBreak/>
        <w:t xml:space="preserve">Please explain how Hydro Ottawa has estimated lost revenue results at the distributor level. </w:t>
      </w:r>
    </w:p>
    <w:p w14:paraId="20A70E95" w14:textId="77777777" w:rsidR="00482130" w:rsidRPr="00BF20CF" w:rsidRDefault="00482130" w:rsidP="009B4AE3">
      <w:pPr>
        <w:pStyle w:val="ListParagraph"/>
        <w:spacing w:line="276" w:lineRule="auto"/>
        <w:rPr>
          <w:rFonts w:ascii="Arial" w:hAnsi="Arial" w:cs="Arial"/>
        </w:rPr>
      </w:pPr>
    </w:p>
    <w:p w14:paraId="43E71AC2" w14:textId="77777777" w:rsidR="00482130" w:rsidRPr="00BF20CF" w:rsidRDefault="00482130" w:rsidP="00DA686D">
      <w:pPr>
        <w:pStyle w:val="ListParagraph"/>
        <w:numPr>
          <w:ilvl w:val="2"/>
          <w:numId w:val="184"/>
        </w:numPr>
        <w:spacing w:after="160" w:line="276" w:lineRule="auto"/>
        <w:rPr>
          <w:rFonts w:ascii="Arial" w:hAnsi="Arial" w:cs="Arial"/>
        </w:rPr>
      </w:pPr>
      <w:r w:rsidRPr="00BF20CF">
        <w:rPr>
          <w:rFonts w:ascii="Arial" w:hAnsi="Arial" w:cs="Arial"/>
        </w:rPr>
        <w:t>Please discuss whether Hydro Ottawa has sought direction, approval or advice from the IESO in developing these savings estimates. In Hydro Ottawa’s response, please provide all correspondence between Hydro Ottawa and the IESO on this topic.</w:t>
      </w:r>
    </w:p>
    <w:p w14:paraId="13FA59E6" w14:textId="77777777" w:rsidR="00482130" w:rsidRPr="00BF20CF" w:rsidRDefault="00482130" w:rsidP="00DA686D">
      <w:pPr>
        <w:pStyle w:val="NoSpacing"/>
        <w:numPr>
          <w:ilvl w:val="1"/>
          <w:numId w:val="184"/>
        </w:numPr>
        <w:spacing w:line="276" w:lineRule="auto"/>
        <w:rPr>
          <w:rFonts w:ascii="Arial" w:hAnsi="Arial" w:cs="Arial"/>
          <w:sz w:val="24"/>
          <w:szCs w:val="24"/>
        </w:rPr>
      </w:pPr>
      <w:r w:rsidRPr="00BF20CF">
        <w:rPr>
          <w:rFonts w:ascii="Arial" w:hAnsi="Arial" w:cs="Arial"/>
          <w:sz w:val="24"/>
          <w:szCs w:val="24"/>
        </w:rPr>
        <w:t>As the IESO will no longer be providing distributor-level savings reports to LDCs, please discuss the appropriateness of including an estimate of savings from the continuation of CDM projects administered at the provincial level in the CDM adjustment.</w:t>
      </w:r>
    </w:p>
    <w:p w14:paraId="065782BB" w14:textId="77777777" w:rsidR="00482130" w:rsidRPr="00BF20CF" w:rsidRDefault="00482130" w:rsidP="009B4AE3">
      <w:pPr>
        <w:pStyle w:val="NoSpacing"/>
        <w:spacing w:line="276" w:lineRule="auto"/>
        <w:ind w:left="1440"/>
        <w:rPr>
          <w:rFonts w:ascii="Arial" w:hAnsi="Arial" w:cs="Arial"/>
          <w:sz w:val="24"/>
          <w:szCs w:val="24"/>
        </w:rPr>
      </w:pPr>
    </w:p>
    <w:p w14:paraId="663EFFEC" w14:textId="77777777" w:rsidR="00482130" w:rsidRPr="00BF20CF" w:rsidRDefault="00482130" w:rsidP="00DA686D">
      <w:pPr>
        <w:pStyle w:val="NoSpacing"/>
        <w:numPr>
          <w:ilvl w:val="1"/>
          <w:numId w:val="184"/>
        </w:numPr>
        <w:spacing w:line="276" w:lineRule="auto"/>
        <w:rPr>
          <w:rFonts w:ascii="Arial" w:hAnsi="Arial" w:cs="Arial"/>
          <w:sz w:val="24"/>
          <w:szCs w:val="24"/>
        </w:rPr>
      </w:pPr>
      <w:r w:rsidRPr="00BF20CF">
        <w:rPr>
          <w:rFonts w:ascii="Arial" w:hAnsi="Arial" w:cs="Arial"/>
          <w:sz w:val="24"/>
          <w:szCs w:val="24"/>
        </w:rPr>
        <w:t>In excel format, please file the following details by project to support the estimated savings from the continuation of CDM projects administered at the provincial level:</w:t>
      </w:r>
    </w:p>
    <w:p w14:paraId="19ECDF39" w14:textId="77777777" w:rsidR="00482130" w:rsidRPr="00BF20CF" w:rsidRDefault="00482130" w:rsidP="00DA686D">
      <w:pPr>
        <w:pStyle w:val="ListParagraph"/>
        <w:numPr>
          <w:ilvl w:val="0"/>
          <w:numId w:val="189"/>
        </w:numPr>
        <w:spacing w:after="160" w:line="276" w:lineRule="auto"/>
        <w:rPr>
          <w:rFonts w:ascii="Arial" w:hAnsi="Arial" w:cs="Arial"/>
        </w:rPr>
      </w:pPr>
      <w:r w:rsidRPr="00BF20CF">
        <w:rPr>
          <w:rFonts w:ascii="Arial" w:hAnsi="Arial" w:cs="Arial"/>
        </w:rPr>
        <w:t>What program (e.g., interim framework, post-CFF) the project(s) will be completed under</w:t>
      </w:r>
    </w:p>
    <w:p w14:paraId="2F3C430F" w14:textId="77777777" w:rsidR="00482130" w:rsidRPr="00BF20CF" w:rsidRDefault="00482130" w:rsidP="00DA686D">
      <w:pPr>
        <w:pStyle w:val="ListParagraph"/>
        <w:numPr>
          <w:ilvl w:val="0"/>
          <w:numId w:val="189"/>
        </w:numPr>
        <w:spacing w:after="160" w:line="276" w:lineRule="auto"/>
        <w:rPr>
          <w:rFonts w:ascii="Arial" w:hAnsi="Arial" w:cs="Arial"/>
        </w:rPr>
      </w:pPr>
      <w:r w:rsidRPr="00BF20CF">
        <w:rPr>
          <w:rFonts w:ascii="Arial" w:hAnsi="Arial" w:cs="Arial"/>
        </w:rPr>
        <w:t>What entity (e.g., IESO, Hydro Ottawa) will be delivering each project or program?</w:t>
      </w:r>
    </w:p>
    <w:p w14:paraId="35E55684" w14:textId="77777777" w:rsidR="00482130" w:rsidRPr="00BF20CF" w:rsidRDefault="00482130" w:rsidP="00DA686D">
      <w:pPr>
        <w:pStyle w:val="ListParagraph"/>
        <w:numPr>
          <w:ilvl w:val="0"/>
          <w:numId w:val="189"/>
        </w:numPr>
        <w:spacing w:after="160" w:line="276" w:lineRule="auto"/>
        <w:rPr>
          <w:rFonts w:ascii="Arial" w:hAnsi="Arial" w:cs="Arial"/>
        </w:rPr>
      </w:pPr>
      <w:r w:rsidRPr="00BF20CF">
        <w:rPr>
          <w:rFonts w:ascii="Arial" w:hAnsi="Arial" w:cs="Arial"/>
        </w:rPr>
        <w:t xml:space="preserve">The timing of approval for each project </w:t>
      </w:r>
    </w:p>
    <w:p w14:paraId="3A34C50B" w14:textId="77777777" w:rsidR="00482130" w:rsidRPr="00BF20CF" w:rsidRDefault="00482130" w:rsidP="00DA686D">
      <w:pPr>
        <w:pStyle w:val="ListParagraph"/>
        <w:numPr>
          <w:ilvl w:val="0"/>
          <w:numId w:val="189"/>
        </w:numPr>
        <w:spacing w:after="160" w:line="276" w:lineRule="auto"/>
        <w:rPr>
          <w:rFonts w:ascii="Arial" w:hAnsi="Arial" w:cs="Arial"/>
        </w:rPr>
      </w:pPr>
      <w:r w:rsidRPr="00BF20CF">
        <w:rPr>
          <w:rFonts w:ascii="Arial" w:hAnsi="Arial" w:cs="Arial"/>
        </w:rPr>
        <w:t>What kind of confirmation Hydro Ottawa will receive to indicate that the project will be completed</w:t>
      </w:r>
    </w:p>
    <w:p w14:paraId="15780E97" w14:textId="22BB0A1E" w:rsidR="00482130" w:rsidRPr="00BF20CF" w:rsidRDefault="00482130" w:rsidP="00DA686D">
      <w:pPr>
        <w:pStyle w:val="ListParagraph"/>
        <w:numPr>
          <w:ilvl w:val="0"/>
          <w:numId w:val="189"/>
        </w:numPr>
        <w:spacing w:after="160" w:line="276" w:lineRule="auto"/>
        <w:rPr>
          <w:rFonts w:ascii="Arial" w:hAnsi="Arial" w:cs="Arial"/>
        </w:rPr>
      </w:pPr>
      <w:r w:rsidRPr="00BF20CF">
        <w:rPr>
          <w:rFonts w:ascii="Arial" w:hAnsi="Arial" w:cs="Arial"/>
        </w:rPr>
        <w:t>The total estimated savings (including net-to-gross ratios) and project timeframe for each project. Please provide all relevant input assumptions including savings by measure and customer participation rates, if available.</w:t>
      </w:r>
    </w:p>
    <w:p w14:paraId="7C7FF185" w14:textId="77777777" w:rsidR="008E094F" w:rsidRPr="00BF20CF" w:rsidRDefault="008E094F" w:rsidP="008E094F">
      <w:pPr>
        <w:pStyle w:val="ListParagraph"/>
        <w:spacing w:after="160" w:line="276" w:lineRule="auto"/>
        <w:rPr>
          <w:rFonts w:ascii="Arial" w:hAnsi="Arial" w:cs="Arial"/>
        </w:rPr>
      </w:pPr>
    </w:p>
    <w:p w14:paraId="39D4774B" w14:textId="77777777" w:rsidR="00482130" w:rsidRPr="00BF20CF" w:rsidRDefault="00482130" w:rsidP="00DA686D">
      <w:pPr>
        <w:pStyle w:val="ListParagraph"/>
        <w:numPr>
          <w:ilvl w:val="0"/>
          <w:numId w:val="184"/>
        </w:numPr>
        <w:spacing w:after="160" w:line="276" w:lineRule="auto"/>
        <w:rPr>
          <w:rFonts w:ascii="Arial" w:hAnsi="Arial" w:cs="Arial"/>
        </w:rPr>
      </w:pPr>
      <w:r w:rsidRPr="00BF20CF">
        <w:rPr>
          <w:rFonts w:ascii="Arial" w:hAnsi="Arial" w:cs="Arial"/>
        </w:rPr>
        <w:t xml:space="preserve">For the savings forecast from street lighting customers in Tables 6 and 7, please discuss the source of funding for the street light retrofit upgrades, the planned number of upgrades (also as % of total street lights) over the 2021-2025 period, and what the street light bulbs will be upgraded to. </w:t>
      </w:r>
    </w:p>
    <w:p w14:paraId="26F15A2E" w14:textId="4A08BF9F" w:rsidR="00250F7E" w:rsidRPr="00BF20CF" w:rsidRDefault="00250F7E" w:rsidP="00C84F5B">
      <w:pPr>
        <w:pStyle w:val="ListParagraph"/>
        <w:rPr>
          <w:rFonts w:ascii="Arial" w:hAnsi="Arial" w:cs="Arial"/>
        </w:rPr>
      </w:pPr>
      <w:r w:rsidRPr="00BF20CF">
        <w:rPr>
          <w:rFonts w:ascii="Arial" w:hAnsi="Arial" w:cs="Arial"/>
        </w:rPr>
        <w:br w:type="page"/>
      </w:r>
    </w:p>
    <w:p w14:paraId="6DA9AE8C" w14:textId="3A71FC24"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lastRenderedPageBreak/>
        <w:t>3-Staff-9</w:t>
      </w:r>
    </w:p>
    <w:p w14:paraId="4506EA57" w14:textId="7A007468" w:rsidR="00482130" w:rsidRPr="00BF20CF" w:rsidRDefault="00482130" w:rsidP="00C84F5B">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Exhibit 2</w:t>
      </w:r>
      <w:r w:rsidR="008D4171" w:rsidRPr="00BF20CF">
        <w:rPr>
          <w:rFonts w:ascii="Arial" w:hAnsi="Arial" w:cs="Arial"/>
          <w:b/>
          <w:sz w:val="24"/>
          <w:szCs w:val="24"/>
        </w:rPr>
        <w:t>/</w:t>
      </w:r>
      <w:r w:rsidRPr="00BF20CF">
        <w:rPr>
          <w:rFonts w:ascii="Arial" w:hAnsi="Arial" w:cs="Arial"/>
          <w:b/>
          <w:sz w:val="24"/>
          <w:szCs w:val="24"/>
        </w:rPr>
        <w:t xml:space="preserve"> Tab 4</w:t>
      </w:r>
      <w:r w:rsidR="008D4171" w:rsidRPr="00BF20CF">
        <w:rPr>
          <w:rFonts w:ascii="Arial" w:hAnsi="Arial" w:cs="Arial"/>
          <w:b/>
          <w:sz w:val="24"/>
          <w:szCs w:val="24"/>
        </w:rPr>
        <w:t>/</w:t>
      </w:r>
      <w:r w:rsidRPr="00BF20CF">
        <w:rPr>
          <w:rFonts w:ascii="Arial" w:hAnsi="Arial" w:cs="Arial"/>
          <w:b/>
          <w:sz w:val="24"/>
          <w:szCs w:val="24"/>
        </w:rPr>
        <w:t xml:space="preserve"> Schedule 3</w:t>
      </w:r>
      <w:r w:rsidR="008D4171" w:rsidRPr="00BF20CF">
        <w:rPr>
          <w:rFonts w:ascii="Arial" w:hAnsi="Arial" w:cs="Arial"/>
          <w:b/>
          <w:sz w:val="24"/>
          <w:szCs w:val="24"/>
        </w:rPr>
        <w:t>/</w:t>
      </w:r>
      <w:r w:rsidRPr="00BF20CF">
        <w:rPr>
          <w:rFonts w:ascii="Arial" w:hAnsi="Arial" w:cs="Arial"/>
          <w:b/>
          <w:sz w:val="24"/>
          <w:szCs w:val="24"/>
        </w:rPr>
        <w:t xml:space="preserve"> pp. 273-274</w:t>
      </w:r>
    </w:p>
    <w:p w14:paraId="3558DBEE" w14:textId="59C4B2DE" w:rsidR="00482130" w:rsidRPr="00BF20CF" w:rsidRDefault="00482130" w:rsidP="00C84F5B">
      <w:pPr>
        <w:pStyle w:val="NoSpacing"/>
        <w:spacing w:line="276" w:lineRule="auto"/>
        <w:ind w:firstLine="720"/>
        <w:rPr>
          <w:rFonts w:ascii="Arial" w:hAnsi="Arial" w:cs="Arial"/>
          <w:b/>
          <w:sz w:val="24"/>
          <w:szCs w:val="24"/>
        </w:rPr>
      </w:pPr>
      <w:r w:rsidRPr="00BF20CF">
        <w:rPr>
          <w:rFonts w:ascii="Arial" w:hAnsi="Arial" w:cs="Arial"/>
          <w:b/>
          <w:sz w:val="24"/>
          <w:szCs w:val="24"/>
        </w:rPr>
        <w:t>Exhibit 4</w:t>
      </w:r>
      <w:r w:rsidR="008D4171" w:rsidRPr="00BF20CF">
        <w:rPr>
          <w:rFonts w:ascii="Arial" w:hAnsi="Arial" w:cs="Arial"/>
          <w:b/>
          <w:sz w:val="24"/>
          <w:szCs w:val="24"/>
        </w:rPr>
        <w:t>/</w:t>
      </w:r>
      <w:r w:rsidRPr="00BF20CF">
        <w:rPr>
          <w:rFonts w:ascii="Arial" w:hAnsi="Arial" w:cs="Arial"/>
          <w:b/>
          <w:sz w:val="24"/>
          <w:szCs w:val="24"/>
        </w:rPr>
        <w:t xml:space="preserve"> Tab 1</w:t>
      </w:r>
      <w:r w:rsidR="008D4171" w:rsidRPr="00BF20CF">
        <w:rPr>
          <w:rFonts w:ascii="Arial" w:hAnsi="Arial" w:cs="Arial"/>
          <w:b/>
          <w:sz w:val="24"/>
          <w:szCs w:val="24"/>
        </w:rPr>
        <w:t>/</w:t>
      </w:r>
      <w:r w:rsidRPr="00BF20CF">
        <w:rPr>
          <w:rFonts w:ascii="Arial" w:hAnsi="Arial" w:cs="Arial"/>
          <w:b/>
          <w:sz w:val="24"/>
          <w:szCs w:val="24"/>
        </w:rPr>
        <w:t xml:space="preserve"> Schedule 6</w:t>
      </w:r>
      <w:r w:rsidR="008D4171" w:rsidRPr="00BF20CF">
        <w:rPr>
          <w:rFonts w:ascii="Arial" w:hAnsi="Arial" w:cs="Arial"/>
          <w:b/>
          <w:sz w:val="24"/>
          <w:szCs w:val="24"/>
        </w:rPr>
        <w:t>/</w:t>
      </w:r>
      <w:r w:rsidRPr="00BF20CF">
        <w:rPr>
          <w:rFonts w:ascii="Arial" w:hAnsi="Arial" w:cs="Arial"/>
          <w:b/>
          <w:sz w:val="24"/>
          <w:szCs w:val="24"/>
        </w:rPr>
        <w:t xml:space="preserve"> pp. 7-8</w:t>
      </w:r>
    </w:p>
    <w:p w14:paraId="2CFA0883" w14:textId="77777777" w:rsidR="00482130" w:rsidRPr="00BF20CF" w:rsidRDefault="00482130" w:rsidP="00C84F5B">
      <w:pPr>
        <w:pStyle w:val="NoSpacing"/>
        <w:spacing w:line="276" w:lineRule="auto"/>
        <w:rPr>
          <w:rFonts w:ascii="Arial" w:hAnsi="Arial" w:cs="Arial"/>
          <w:b/>
          <w:sz w:val="24"/>
          <w:szCs w:val="24"/>
        </w:rPr>
      </w:pPr>
    </w:p>
    <w:p w14:paraId="0F255545" w14:textId="2144AD02" w:rsidR="00482130" w:rsidRPr="00BF20CF" w:rsidRDefault="00482130" w:rsidP="00C84F5B">
      <w:pPr>
        <w:spacing w:line="276" w:lineRule="auto"/>
        <w:rPr>
          <w:rFonts w:ascii="Arial" w:hAnsi="Arial" w:cs="Arial"/>
        </w:rPr>
      </w:pPr>
      <w:r w:rsidRPr="00BF20CF">
        <w:rPr>
          <w:rFonts w:ascii="Arial" w:hAnsi="Arial" w:cs="Arial"/>
        </w:rPr>
        <w:t>Preamble:</w:t>
      </w:r>
    </w:p>
    <w:p w14:paraId="62ADFA9E" w14:textId="77777777" w:rsidR="00C84F5B" w:rsidRPr="00BF20CF" w:rsidRDefault="00C84F5B" w:rsidP="00C84F5B">
      <w:pPr>
        <w:spacing w:line="276" w:lineRule="auto"/>
        <w:rPr>
          <w:rFonts w:ascii="Arial" w:hAnsi="Arial" w:cs="Arial"/>
        </w:rPr>
      </w:pPr>
    </w:p>
    <w:p w14:paraId="2644FD14" w14:textId="493A29AF" w:rsidR="00482130" w:rsidRPr="00BF20CF" w:rsidRDefault="00482130" w:rsidP="00C84F5B">
      <w:pPr>
        <w:spacing w:line="276" w:lineRule="auto"/>
        <w:rPr>
          <w:rFonts w:ascii="Arial" w:hAnsi="Arial" w:cs="Arial"/>
        </w:rPr>
      </w:pPr>
      <w:r w:rsidRPr="00BF20CF">
        <w:rPr>
          <w:rFonts w:ascii="Arial" w:hAnsi="Arial" w:cs="Arial"/>
        </w:rPr>
        <w:t xml:space="preserve">Based on its Local Achievable Potential Study, Hydro Ottawa notes that utility-scale energy storage is needed to reduce peak of 3.75-7.5 MW at a cost of $9.6-22.7 million. </w:t>
      </w:r>
    </w:p>
    <w:p w14:paraId="575DF471" w14:textId="77777777" w:rsidR="00C84F5B" w:rsidRPr="00BF20CF" w:rsidRDefault="00C84F5B" w:rsidP="00C84F5B">
      <w:pPr>
        <w:spacing w:line="276" w:lineRule="auto"/>
        <w:rPr>
          <w:rFonts w:ascii="Arial" w:hAnsi="Arial" w:cs="Arial"/>
        </w:rPr>
      </w:pPr>
    </w:p>
    <w:p w14:paraId="3FADA6E8" w14:textId="5748B9CA" w:rsidR="00482130" w:rsidRPr="00BF20CF" w:rsidRDefault="00482130" w:rsidP="00C84F5B">
      <w:pPr>
        <w:spacing w:line="276" w:lineRule="auto"/>
        <w:rPr>
          <w:rFonts w:ascii="Arial" w:hAnsi="Arial" w:cs="Arial"/>
        </w:rPr>
      </w:pPr>
      <w:r w:rsidRPr="00BF20CF">
        <w:rPr>
          <w:rFonts w:ascii="Arial" w:hAnsi="Arial" w:cs="Arial"/>
        </w:rPr>
        <w:t xml:space="preserve">To date, Hydro Ottawa has submitted an application for funding from the IESO (for $3.25 million) to relieve of capacity constrained areas in Kanata North (Thermostat and Retrofit Program) that could contribute 2.56 MW towards peak reduction. </w:t>
      </w:r>
    </w:p>
    <w:p w14:paraId="1C0C58A5" w14:textId="77777777" w:rsidR="00C84F5B" w:rsidRPr="00BF20CF" w:rsidRDefault="00C84F5B" w:rsidP="00C84F5B">
      <w:pPr>
        <w:spacing w:line="276" w:lineRule="auto"/>
        <w:rPr>
          <w:rFonts w:ascii="Arial" w:hAnsi="Arial" w:cs="Arial"/>
        </w:rPr>
      </w:pPr>
    </w:p>
    <w:p w14:paraId="03E8E66E" w14:textId="77777777" w:rsidR="00482130" w:rsidRPr="00BF20CF" w:rsidRDefault="00482130" w:rsidP="00C84F5B">
      <w:pPr>
        <w:spacing w:line="276" w:lineRule="auto"/>
        <w:rPr>
          <w:rFonts w:ascii="Arial" w:hAnsi="Arial" w:cs="Arial"/>
        </w:rPr>
      </w:pPr>
      <w:r w:rsidRPr="00BF20CF">
        <w:rPr>
          <w:rFonts w:ascii="Arial" w:hAnsi="Arial" w:cs="Arial"/>
        </w:rPr>
        <w:t>Hydro Ottawa states that it could help with minimizing the rates for customers and provide short-term capacity relief in Kanata North, but did not include expenditures for non-distribution activities in the forecast expenditure plan.</w:t>
      </w:r>
    </w:p>
    <w:p w14:paraId="0014CA41" w14:textId="77777777" w:rsidR="00C84F5B" w:rsidRPr="00BF20CF" w:rsidRDefault="00C84F5B" w:rsidP="00C84F5B">
      <w:pPr>
        <w:pStyle w:val="NoSpacing"/>
        <w:rPr>
          <w:rFonts w:ascii="Arial" w:hAnsi="Arial" w:cs="Arial"/>
          <w:sz w:val="24"/>
          <w:szCs w:val="24"/>
        </w:rPr>
      </w:pPr>
    </w:p>
    <w:p w14:paraId="18DCBCC4" w14:textId="3DD06DE5" w:rsidR="00482130" w:rsidRPr="00BF20CF" w:rsidRDefault="00482130" w:rsidP="00C84F5B">
      <w:pPr>
        <w:pStyle w:val="NoSpacing"/>
        <w:rPr>
          <w:rFonts w:ascii="Arial" w:hAnsi="Arial" w:cs="Arial"/>
          <w:sz w:val="24"/>
          <w:szCs w:val="24"/>
        </w:rPr>
      </w:pPr>
      <w:r w:rsidRPr="00BF20CF">
        <w:rPr>
          <w:rFonts w:ascii="Arial" w:hAnsi="Arial" w:cs="Arial"/>
          <w:sz w:val="24"/>
          <w:szCs w:val="24"/>
        </w:rPr>
        <w:t>Question(s):</w:t>
      </w:r>
    </w:p>
    <w:p w14:paraId="67426485" w14:textId="77777777" w:rsidR="00482130" w:rsidRPr="00BF20CF" w:rsidRDefault="00482130" w:rsidP="00C84F5B">
      <w:pPr>
        <w:pStyle w:val="NoSpacing"/>
        <w:rPr>
          <w:rFonts w:ascii="Arial" w:hAnsi="Arial" w:cs="Arial"/>
          <w:sz w:val="24"/>
          <w:szCs w:val="24"/>
        </w:rPr>
      </w:pPr>
    </w:p>
    <w:p w14:paraId="791740CB" w14:textId="3410714B" w:rsidR="00482130" w:rsidRPr="00BF20CF" w:rsidRDefault="00482130" w:rsidP="00DA686D">
      <w:pPr>
        <w:pStyle w:val="ListParagraph"/>
        <w:numPr>
          <w:ilvl w:val="0"/>
          <w:numId w:val="183"/>
        </w:numPr>
        <w:spacing w:after="160" w:line="276" w:lineRule="auto"/>
        <w:rPr>
          <w:rFonts w:ascii="Arial" w:hAnsi="Arial" w:cs="Arial"/>
        </w:rPr>
      </w:pPr>
      <w:r w:rsidRPr="00BF20CF">
        <w:rPr>
          <w:rFonts w:ascii="Arial" w:hAnsi="Arial" w:cs="Arial"/>
        </w:rPr>
        <w:t xml:space="preserve">What is the status of the application for IESO funding ($3.25 million) for the two projects to relieve of capacity issues in Kanata North? </w:t>
      </w:r>
    </w:p>
    <w:p w14:paraId="75D70AE8" w14:textId="77777777" w:rsidR="00A70187" w:rsidRPr="00BF20CF" w:rsidRDefault="00A70187" w:rsidP="00A70187">
      <w:pPr>
        <w:pStyle w:val="ListParagraph"/>
        <w:spacing w:after="160" w:line="276" w:lineRule="auto"/>
        <w:rPr>
          <w:rFonts w:ascii="Arial" w:hAnsi="Arial" w:cs="Arial"/>
        </w:rPr>
      </w:pPr>
    </w:p>
    <w:p w14:paraId="0C1D9CF7" w14:textId="77777777" w:rsidR="00482130" w:rsidRPr="00BF20CF" w:rsidRDefault="00482130" w:rsidP="00DA686D">
      <w:pPr>
        <w:pStyle w:val="ListParagraph"/>
        <w:numPr>
          <w:ilvl w:val="0"/>
          <w:numId w:val="183"/>
        </w:numPr>
        <w:spacing w:after="160" w:line="276" w:lineRule="auto"/>
        <w:rPr>
          <w:rFonts w:ascii="Arial" w:hAnsi="Arial" w:cs="Arial"/>
        </w:rPr>
      </w:pPr>
      <w:r w:rsidRPr="00BF20CF">
        <w:rPr>
          <w:rFonts w:ascii="Arial" w:hAnsi="Arial" w:cs="Arial"/>
        </w:rPr>
        <w:t>Does Hydro Ottawa plan to request ratepayer funding for the remainder of the project in a future application?</w:t>
      </w:r>
    </w:p>
    <w:p w14:paraId="6FCBD82D" w14:textId="26D0EE99"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t>3-Staff-10</w:t>
      </w:r>
    </w:p>
    <w:p w14:paraId="0A40837E" w14:textId="77777777" w:rsidR="00482130" w:rsidRPr="00BF20CF" w:rsidRDefault="00482130" w:rsidP="00250F7E">
      <w:pPr>
        <w:pStyle w:val="NoSpacing"/>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 xml:space="preserve">Appendix 2-I </w:t>
      </w:r>
    </w:p>
    <w:p w14:paraId="68012B0C" w14:textId="6A0BDAC1" w:rsidR="00482130" w:rsidRPr="00BF20CF" w:rsidRDefault="008D4171" w:rsidP="00250F7E">
      <w:pPr>
        <w:pStyle w:val="NoSpacing"/>
        <w:ind w:firstLine="720"/>
        <w:rPr>
          <w:rFonts w:ascii="Arial" w:hAnsi="Arial" w:cs="Arial"/>
          <w:b/>
          <w:sz w:val="24"/>
          <w:szCs w:val="24"/>
        </w:rPr>
      </w:pPr>
      <w:r w:rsidRPr="00BF20CF">
        <w:rPr>
          <w:rFonts w:ascii="Arial" w:hAnsi="Arial" w:cs="Arial"/>
          <w:b/>
          <w:sz w:val="24"/>
          <w:szCs w:val="24"/>
        </w:rPr>
        <w:t xml:space="preserve">Updated </w:t>
      </w:r>
      <w:r w:rsidR="00482130" w:rsidRPr="00BF20CF">
        <w:rPr>
          <w:rFonts w:ascii="Arial" w:hAnsi="Arial" w:cs="Arial"/>
          <w:b/>
          <w:sz w:val="24"/>
          <w:szCs w:val="24"/>
        </w:rPr>
        <w:t>Exhibit 3</w:t>
      </w:r>
      <w:r w:rsidRPr="00BF20CF">
        <w:rPr>
          <w:rFonts w:ascii="Arial" w:hAnsi="Arial" w:cs="Arial"/>
          <w:b/>
          <w:sz w:val="24"/>
          <w:szCs w:val="24"/>
        </w:rPr>
        <w:t>/</w:t>
      </w:r>
      <w:r w:rsidR="00482130" w:rsidRPr="00BF20CF">
        <w:rPr>
          <w:rFonts w:ascii="Arial" w:hAnsi="Arial" w:cs="Arial"/>
          <w:b/>
          <w:sz w:val="24"/>
          <w:szCs w:val="24"/>
        </w:rPr>
        <w:t xml:space="preserve"> Tab 1</w:t>
      </w:r>
      <w:r w:rsidRPr="00BF20CF">
        <w:rPr>
          <w:rFonts w:ascii="Arial" w:hAnsi="Arial" w:cs="Arial"/>
          <w:b/>
          <w:sz w:val="24"/>
          <w:szCs w:val="24"/>
        </w:rPr>
        <w:t>/</w:t>
      </w:r>
      <w:r w:rsidR="00482130" w:rsidRPr="00BF20CF">
        <w:rPr>
          <w:rFonts w:ascii="Arial" w:hAnsi="Arial" w:cs="Arial"/>
          <w:b/>
          <w:sz w:val="24"/>
          <w:szCs w:val="24"/>
        </w:rPr>
        <w:t xml:space="preserve"> Schedule 1</w:t>
      </w:r>
      <w:r w:rsidRPr="00BF20CF">
        <w:rPr>
          <w:rFonts w:ascii="Arial" w:hAnsi="Arial" w:cs="Arial"/>
          <w:b/>
          <w:sz w:val="24"/>
          <w:szCs w:val="24"/>
        </w:rPr>
        <w:t>/</w:t>
      </w:r>
      <w:r w:rsidR="00482130" w:rsidRPr="00BF20CF">
        <w:rPr>
          <w:rFonts w:ascii="Arial" w:hAnsi="Arial" w:cs="Arial"/>
          <w:b/>
          <w:sz w:val="24"/>
          <w:szCs w:val="24"/>
        </w:rPr>
        <w:t xml:space="preserve"> Tables 6 and 7 </w:t>
      </w:r>
    </w:p>
    <w:p w14:paraId="0FDD66FF" w14:textId="77777777" w:rsidR="00482130" w:rsidRPr="00BF20CF" w:rsidRDefault="00482130" w:rsidP="00250F7E">
      <w:pPr>
        <w:pStyle w:val="NoSpacing"/>
        <w:rPr>
          <w:rFonts w:ascii="Arial" w:hAnsi="Arial" w:cs="Arial"/>
          <w:sz w:val="24"/>
          <w:szCs w:val="24"/>
        </w:rPr>
      </w:pPr>
    </w:p>
    <w:p w14:paraId="3BC4ECE0" w14:textId="77777777" w:rsidR="00482130" w:rsidRPr="00BF20CF" w:rsidRDefault="00482130" w:rsidP="00C84F5B">
      <w:pPr>
        <w:pStyle w:val="NoSpacing"/>
        <w:rPr>
          <w:rFonts w:ascii="Arial" w:hAnsi="Arial" w:cs="Arial"/>
          <w:sz w:val="24"/>
          <w:szCs w:val="24"/>
        </w:rPr>
      </w:pPr>
      <w:r w:rsidRPr="00BF20CF">
        <w:rPr>
          <w:rFonts w:ascii="Arial" w:hAnsi="Arial" w:cs="Arial"/>
          <w:sz w:val="24"/>
          <w:szCs w:val="24"/>
        </w:rPr>
        <w:t>Question(s):</w:t>
      </w:r>
    </w:p>
    <w:p w14:paraId="0CC0159C" w14:textId="77777777" w:rsidR="00482130" w:rsidRPr="00BF20CF" w:rsidRDefault="00482130" w:rsidP="00C84F5B">
      <w:pPr>
        <w:pStyle w:val="NoSpacing"/>
        <w:rPr>
          <w:rFonts w:ascii="Arial" w:hAnsi="Arial" w:cs="Arial"/>
          <w:sz w:val="24"/>
          <w:szCs w:val="24"/>
        </w:rPr>
      </w:pPr>
    </w:p>
    <w:p w14:paraId="4009B90B" w14:textId="77777777" w:rsidR="00482130" w:rsidRPr="00BF20CF" w:rsidRDefault="00482130" w:rsidP="00C84F5B">
      <w:pPr>
        <w:rPr>
          <w:rFonts w:ascii="Arial" w:hAnsi="Arial" w:cs="Arial"/>
        </w:rPr>
      </w:pPr>
      <w:r w:rsidRPr="00BF20CF">
        <w:rPr>
          <w:rFonts w:ascii="Arial" w:hAnsi="Arial" w:cs="Arial"/>
        </w:rPr>
        <w:t>Based on the responses to the above CDM adjustment interrogatories:</w:t>
      </w:r>
    </w:p>
    <w:p w14:paraId="500CBDC0" w14:textId="3C87B9BB" w:rsidR="00482130" w:rsidRPr="00BF20CF" w:rsidRDefault="00482130" w:rsidP="00DA686D">
      <w:pPr>
        <w:pStyle w:val="ListParagraph"/>
        <w:numPr>
          <w:ilvl w:val="0"/>
          <w:numId w:val="180"/>
        </w:numPr>
        <w:spacing w:after="160" w:line="259" w:lineRule="auto"/>
        <w:ind w:left="720"/>
        <w:rPr>
          <w:rFonts w:ascii="Arial" w:hAnsi="Arial" w:cs="Arial"/>
        </w:rPr>
      </w:pPr>
      <w:r w:rsidRPr="00BF20CF">
        <w:rPr>
          <w:rFonts w:ascii="Arial" w:hAnsi="Arial" w:cs="Arial"/>
        </w:rPr>
        <w:t>Please confirm whether there were any change(s) made. If yes, please re-file revised forecasts of CDM savings and updates to all related models from 2021 to 2025.</w:t>
      </w:r>
    </w:p>
    <w:p w14:paraId="3DED1838" w14:textId="77777777" w:rsidR="00F34BF6" w:rsidRPr="00BF20CF" w:rsidRDefault="00F34BF6" w:rsidP="00F34BF6">
      <w:pPr>
        <w:pStyle w:val="ListParagraph"/>
        <w:spacing w:after="160" w:line="259" w:lineRule="auto"/>
        <w:rPr>
          <w:rFonts w:ascii="Arial" w:hAnsi="Arial" w:cs="Arial"/>
        </w:rPr>
      </w:pPr>
    </w:p>
    <w:p w14:paraId="13D85807" w14:textId="77777777" w:rsidR="00482130" w:rsidRPr="00BF20CF" w:rsidRDefault="00482130" w:rsidP="00DA686D">
      <w:pPr>
        <w:pStyle w:val="ListParagraph"/>
        <w:numPr>
          <w:ilvl w:val="0"/>
          <w:numId w:val="180"/>
        </w:numPr>
        <w:spacing w:after="160" w:line="259" w:lineRule="auto"/>
        <w:ind w:left="720"/>
        <w:rPr>
          <w:rFonts w:ascii="Arial" w:hAnsi="Arial" w:cs="Arial"/>
        </w:rPr>
      </w:pPr>
      <w:r w:rsidRPr="00BF20CF">
        <w:rPr>
          <w:rFonts w:ascii="Arial" w:hAnsi="Arial" w:cs="Arial"/>
        </w:rPr>
        <w:t xml:space="preserve">Please provide the LRAMVA thresholds (i.e., annualized equivalent of the CDM adjustments) for each year from 2021 to 2025, as the tables in Appendix 2-I did not include the test years’ CDM adjustments and LRAMVA threshold amounts. </w:t>
      </w:r>
    </w:p>
    <w:p w14:paraId="25D05480" w14:textId="0B96CCA7"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lastRenderedPageBreak/>
        <w:t>3-Staff-11</w:t>
      </w:r>
    </w:p>
    <w:p w14:paraId="34EC80EF" w14:textId="77777777" w:rsidR="00482130" w:rsidRPr="00BF20CF" w:rsidRDefault="00482130" w:rsidP="00C84F5B">
      <w:pPr>
        <w:spacing w:line="276" w:lineRule="auto"/>
        <w:rPr>
          <w:rFonts w:ascii="Arial" w:hAnsi="Arial" w:cs="Arial"/>
          <w:b/>
        </w:rPr>
      </w:pPr>
      <w:r w:rsidRPr="00BF20CF">
        <w:rPr>
          <w:rFonts w:ascii="Arial" w:hAnsi="Arial" w:cs="Arial"/>
          <w:b/>
        </w:rPr>
        <w:t>Ref:</w:t>
      </w:r>
      <w:r w:rsidRPr="00BF20CF">
        <w:rPr>
          <w:rFonts w:ascii="Arial" w:hAnsi="Arial" w:cs="Arial"/>
          <w:b/>
        </w:rPr>
        <w:tab/>
        <w:t>Exhibit 3, Tab 1, Schedule 1, Attachment C, page 5</w:t>
      </w:r>
    </w:p>
    <w:p w14:paraId="701B2D48" w14:textId="77777777" w:rsidR="00482130" w:rsidRPr="00BF20CF" w:rsidRDefault="00482130" w:rsidP="00C84F5B">
      <w:pPr>
        <w:spacing w:line="276" w:lineRule="auto"/>
        <w:ind w:firstLine="720"/>
        <w:rPr>
          <w:rFonts w:ascii="Arial" w:hAnsi="Arial" w:cs="Arial"/>
          <w:b/>
        </w:rPr>
      </w:pPr>
      <w:r w:rsidRPr="00BF20CF">
        <w:rPr>
          <w:rFonts w:ascii="Arial" w:hAnsi="Arial" w:cs="Arial"/>
          <w:b/>
        </w:rPr>
        <w:t>Chapter 2 filing requirements, issued July 12, 2018, page 23.</w:t>
      </w:r>
    </w:p>
    <w:p w14:paraId="5DA528E7"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41F089A" w14:textId="77777777" w:rsidR="00482130" w:rsidRPr="00BF20CF" w:rsidRDefault="00482130" w:rsidP="00C84F5B">
      <w:pPr>
        <w:spacing w:line="276" w:lineRule="auto"/>
        <w:rPr>
          <w:rFonts w:ascii="Arial" w:hAnsi="Arial" w:cs="Arial"/>
        </w:rPr>
      </w:pPr>
      <w:proofErr w:type="spellStart"/>
      <w:r w:rsidRPr="00BF20CF">
        <w:rPr>
          <w:rFonts w:ascii="Arial" w:hAnsi="Arial" w:cs="Arial"/>
        </w:rPr>
        <w:t>Itron</w:t>
      </w:r>
      <w:proofErr w:type="spellEnd"/>
      <w:r w:rsidRPr="00BF20CF">
        <w:rPr>
          <w:rFonts w:ascii="Arial" w:hAnsi="Arial" w:cs="Arial"/>
        </w:rPr>
        <w:t xml:space="preserve"> has calculated normal monthly degree days “as an average of monthly degree-days over the past twenty years - 1999 through 2018.”</w:t>
      </w:r>
    </w:p>
    <w:p w14:paraId="5599B7E3" w14:textId="77777777" w:rsidR="00482130" w:rsidRPr="00BF20CF" w:rsidRDefault="00482130" w:rsidP="00C84F5B">
      <w:pPr>
        <w:spacing w:line="276" w:lineRule="auto"/>
        <w:rPr>
          <w:rFonts w:ascii="Arial" w:hAnsi="Arial" w:cs="Arial"/>
        </w:rPr>
      </w:pPr>
      <w:r w:rsidRPr="00BF20CF">
        <w:rPr>
          <w:rFonts w:ascii="Arial" w:hAnsi="Arial" w:cs="Arial"/>
        </w:rPr>
        <w:t>The filing requirements require “In addition to the proposed test year load forecast, the load forecasts based on a 10-year average and 20-year trends in HDD and CDD”.</w:t>
      </w:r>
    </w:p>
    <w:p w14:paraId="0530654C"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2CAAC251" w14:textId="20F5CFAE" w:rsidR="00482130" w:rsidRPr="00BF20CF" w:rsidRDefault="00482130" w:rsidP="00DA686D">
      <w:pPr>
        <w:pStyle w:val="ListParagraph"/>
        <w:numPr>
          <w:ilvl w:val="0"/>
          <w:numId w:val="159"/>
        </w:numPr>
        <w:spacing w:after="160" w:line="276" w:lineRule="auto"/>
        <w:rPr>
          <w:rFonts w:ascii="Arial" w:hAnsi="Arial" w:cs="Arial"/>
        </w:rPr>
      </w:pPr>
      <w:r w:rsidRPr="00BF20CF">
        <w:rPr>
          <w:rFonts w:ascii="Arial" w:hAnsi="Arial" w:cs="Arial"/>
        </w:rPr>
        <w:t>Please provide a forecast where a 10-year average has been used.</w:t>
      </w:r>
    </w:p>
    <w:p w14:paraId="112D1B08" w14:textId="77777777" w:rsidR="00F34BF6" w:rsidRPr="00BF20CF" w:rsidRDefault="00F34BF6" w:rsidP="00F34BF6">
      <w:pPr>
        <w:pStyle w:val="ListParagraph"/>
        <w:spacing w:after="160" w:line="276" w:lineRule="auto"/>
        <w:rPr>
          <w:rFonts w:ascii="Arial" w:hAnsi="Arial" w:cs="Arial"/>
        </w:rPr>
      </w:pPr>
    </w:p>
    <w:p w14:paraId="2DED6FA0" w14:textId="4BC3BC38" w:rsidR="00482130" w:rsidRPr="00BF20CF" w:rsidRDefault="00482130" w:rsidP="00DA686D">
      <w:pPr>
        <w:pStyle w:val="ListParagraph"/>
        <w:numPr>
          <w:ilvl w:val="0"/>
          <w:numId w:val="159"/>
        </w:numPr>
        <w:spacing w:after="160" w:line="276" w:lineRule="auto"/>
        <w:rPr>
          <w:rFonts w:ascii="Arial" w:hAnsi="Arial" w:cs="Arial"/>
        </w:rPr>
      </w:pPr>
      <w:r w:rsidRPr="00BF20CF">
        <w:rPr>
          <w:rFonts w:ascii="Arial" w:hAnsi="Arial" w:cs="Arial"/>
        </w:rPr>
        <w:t>Please provide a forecast where a 20-year trend has been used.</w:t>
      </w:r>
    </w:p>
    <w:p w14:paraId="225DE47F" w14:textId="36B8FE80"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t>3-Staff-12</w:t>
      </w:r>
    </w:p>
    <w:p w14:paraId="6DA1BB3E" w14:textId="77777777" w:rsidR="00482130" w:rsidRPr="00BF20CF" w:rsidRDefault="00482130" w:rsidP="00C84F5B">
      <w:pPr>
        <w:spacing w:line="276" w:lineRule="auto"/>
        <w:rPr>
          <w:rFonts w:ascii="Arial" w:hAnsi="Arial" w:cs="Arial"/>
          <w:b/>
        </w:rPr>
      </w:pPr>
      <w:r w:rsidRPr="00BF20CF">
        <w:rPr>
          <w:rFonts w:ascii="Arial" w:hAnsi="Arial" w:cs="Arial"/>
          <w:b/>
        </w:rPr>
        <w:t>Ref:</w:t>
      </w:r>
      <w:r w:rsidRPr="00BF20CF">
        <w:rPr>
          <w:rFonts w:ascii="Arial" w:hAnsi="Arial" w:cs="Arial"/>
          <w:b/>
        </w:rPr>
        <w:tab/>
        <w:t>Exhibit 3, Tab 1, Schedule 1, Attachment C, page 6</w:t>
      </w:r>
    </w:p>
    <w:p w14:paraId="70993993"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142A693" w14:textId="77777777" w:rsidR="00482130" w:rsidRPr="00BF20CF" w:rsidRDefault="00482130" w:rsidP="00C84F5B">
      <w:pPr>
        <w:spacing w:line="276" w:lineRule="auto"/>
        <w:rPr>
          <w:rFonts w:ascii="Arial" w:hAnsi="Arial" w:cs="Arial"/>
        </w:rPr>
      </w:pPr>
      <w:proofErr w:type="spellStart"/>
      <w:r w:rsidRPr="00BF20CF">
        <w:rPr>
          <w:rFonts w:ascii="Arial" w:hAnsi="Arial" w:cs="Arial"/>
        </w:rPr>
        <w:t>Itron</w:t>
      </w:r>
      <w:proofErr w:type="spellEnd"/>
      <w:r w:rsidRPr="00BF20CF">
        <w:rPr>
          <w:rFonts w:ascii="Arial" w:hAnsi="Arial" w:cs="Arial"/>
        </w:rPr>
        <w:t xml:space="preserve"> states that:</w:t>
      </w:r>
    </w:p>
    <w:p w14:paraId="34FD3E14" w14:textId="77777777" w:rsidR="00482130" w:rsidRPr="00BF20CF" w:rsidRDefault="00482130" w:rsidP="00C84F5B">
      <w:pPr>
        <w:spacing w:after="240" w:line="276" w:lineRule="auto"/>
        <w:ind w:left="720"/>
        <w:rPr>
          <w:rFonts w:ascii="Arial" w:hAnsi="Arial" w:cs="Arial"/>
        </w:rPr>
      </w:pPr>
      <w:r w:rsidRPr="00BF20CF">
        <w:rPr>
          <w:rFonts w:ascii="Arial" w:hAnsi="Arial" w:cs="Arial"/>
        </w:rPr>
        <w:t>Normal peak-day HDD and TDD are derived as a twenty-year average using a rank and average approach. This approach entails first finding the highest HDD and TDD that occurred in each month over the last twenty years (1999 to 2018), and within each year ranking the degree-days from the highest to the lowest value so that there are 12 monthly ranked HDD and TDD in each year. The ranking across the years are then averaged effectively generating peak-weather TDD and HDD duration curves with 12 average values.</w:t>
      </w:r>
    </w:p>
    <w:p w14:paraId="72435596" w14:textId="77777777" w:rsidR="00482130" w:rsidRPr="00BF20CF" w:rsidRDefault="00482130" w:rsidP="00C84F5B">
      <w:pPr>
        <w:spacing w:line="276" w:lineRule="auto"/>
        <w:ind w:left="720"/>
        <w:rPr>
          <w:rFonts w:ascii="Arial" w:hAnsi="Arial" w:cs="Arial"/>
        </w:rPr>
      </w:pPr>
      <w:r w:rsidRPr="00BF20CF">
        <w:rPr>
          <w:rFonts w:ascii="Arial" w:hAnsi="Arial" w:cs="Arial"/>
        </w:rPr>
        <w:t>The ranked-average TDD and HDD are assigned to specific months based on that peak month TDD or HDD is most likely to occur. The highest weighted TDD is assigned to July, the next highest August, the third highest June, and so forth. The highest HDD value is assigned to January, the next highest to February, the third highest to December, and so forth.</w:t>
      </w:r>
    </w:p>
    <w:p w14:paraId="4C579F33" w14:textId="77777777" w:rsidR="00250F7E" w:rsidRPr="00BF20CF" w:rsidRDefault="00250F7E" w:rsidP="00C84F5B">
      <w:pPr>
        <w:autoSpaceDE w:val="0"/>
        <w:autoSpaceDN w:val="0"/>
        <w:adjustRightInd w:val="0"/>
        <w:spacing w:before="240" w:after="120" w:line="276" w:lineRule="auto"/>
        <w:rPr>
          <w:rFonts w:ascii="Arial" w:hAnsi="Arial" w:cs="Arial"/>
          <w:bCs/>
        </w:rPr>
      </w:pPr>
      <w:r w:rsidRPr="00BF20CF">
        <w:rPr>
          <w:rFonts w:ascii="Arial" w:hAnsi="Arial" w:cs="Arial"/>
          <w:bCs/>
        </w:rPr>
        <w:br w:type="page"/>
      </w:r>
    </w:p>
    <w:p w14:paraId="1C3750E8" w14:textId="31134C01"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lastRenderedPageBreak/>
        <w:t>Question(s):</w:t>
      </w:r>
    </w:p>
    <w:p w14:paraId="1127A009" w14:textId="5E2A6B28" w:rsidR="00482130" w:rsidRPr="00BF20CF" w:rsidRDefault="00482130" w:rsidP="00DA686D">
      <w:pPr>
        <w:pStyle w:val="ListParagraph"/>
        <w:numPr>
          <w:ilvl w:val="0"/>
          <w:numId w:val="158"/>
        </w:numPr>
        <w:spacing w:after="160" w:line="276" w:lineRule="auto"/>
        <w:rPr>
          <w:rFonts w:ascii="Arial" w:hAnsi="Arial" w:cs="Arial"/>
        </w:rPr>
      </w:pPr>
      <w:r w:rsidRPr="00BF20CF">
        <w:rPr>
          <w:rFonts w:ascii="Arial" w:hAnsi="Arial" w:cs="Arial"/>
        </w:rPr>
        <w:t>Please explain why the ranked-average TDD are HDD are assigned to specific months based on the month the peak is most likely to occur, instead of the month it actually occurred?</w:t>
      </w:r>
    </w:p>
    <w:p w14:paraId="1C5DD0D9" w14:textId="77777777" w:rsidR="00F34BF6" w:rsidRPr="00BF20CF" w:rsidRDefault="00F34BF6" w:rsidP="00F34BF6">
      <w:pPr>
        <w:pStyle w:val="ListParagraph"/>
        <w:spacing w:after="160" w:line="276" w:lineRule="auto"/>
        <w:rPr>
          <w:rFonts w:ascii="Arial" w:hAnsi="Arial" w:cs="Arial"/>
        </w:rPr>
      </w:pPr>
    </w:p>
    <w:p w14:paraId="3833453F" w14:textId="54DD41BA" w:rsidR="00482130" w:rsidRPr="00BF20CF" w:rsidRDefault="00482130" w:rsidP="00DA686D">
      <w:pPr>
        <w:pStyle w:val="ListParagraph"/>
        <w:numPr>
          <w:ilvl w:val="0"/>
          <w:numId w:val="158"/>
        </w:numPr>
        <w:spacing w:after="160" w:line="276" w:lineRule="auto"/>
        <w:rPr>
          <w:rFonts w:ascii="Arial" w:hAnsi="Arial" w:cs="Arial"/>
        </w:rPr>
      </w:pPr>
      <w:r w:rsidRPr="00BF20CF">
        <w:rPr>
          <w:rFonts w:ascii="Arial" w:hAnsi="Arial" w:cs="Arial"/>
        </w:rPr>
        <w:t xml:space="preserve">Has </w:t>
      </w:r>
      <w:proofErr w:type="spellStart"/>
      <w:r w:rsidRPr="00BF20CF">
        <w:rPr>
          <w:rFonts w:ascii="Arial" w:hAnsi="Arial" w:cs="Arial"/>
        </w:rPr>
        <w:t>Itron</w:t>
      </w:r>
      <w:proofErr w:type="spellEnd"/>
      <w:r w:rsidRPr="00BF20CF">
        <w:rPr>
          <w:rFonts w:ascii="Arial" w:hAnsi="Arial" w:cs="Arial"/>
        </w:rPr>
        <w:t xml:space="preserve"> considered averaging 20 peak HDD and TDD from January, 20 from February and so on, assigning those to the respective months? Why was this approach discounted?</w:t>
      </w:r>
    </w:p>
    <w:p w14:paraId="472F6159" w14:textId="77777777" w:rsidR="00F34BF6" w:rsidRPr="00BF20CF" w:rsidRDefault="00F34BF6" w:rsidP="00F34BF6">
      <w:pPr>
        <w:pStyle w:val="ListParagraph"/>
        <w:spacing w:after="160" w:line="276" w:lineRule="auto"/>
        <w:rPr>
          <w:rFonts w:ascii="Arial" w:hAnsi="Arial" w:cs="Arial"/>
        </w:rPr>
      </w:pPr>
    </w:p>
    <w:p w14:paraId="21F462C5" w14:textId="77777777" w:rsidR="00482130" w:rsidRPr="00BF20CF" w:rsidRDefault="00482130" w:rsidP="00DA686D">
      <w:pPr>
        <w:pStyle w:val="ListParagraph"/>
        <w:numPr>
          <w:ilvl w:val="0"/>
          <w:numId w:val="158"/>
        </w:numPr>
        <w:spacing w:after="160" w:line="276" w:lineRule="auto"/>
        <w:rPr>
          <w:rFonts w:ascii="Arial" w:hAnsi="Arial" w:cs="Arial"/>
        </w:rPr>
      </w:pPr>
      <w:r w:rsidRPr="00BF20CF">
        <w:rPr>
          <w:rFonts w:ascii="Arial" w:hAnsi="Arial" w:cs="Arial"/>
        </w:rPr>
        <w:t xml:space="preserve">What measures has </w:t>
      </w:r>
      <w:proofErr w:type="spellStart"/>
      <w:r w:rsidRPr="00BF20CF">
        <w:rPr>
          <w:rFonts w:ascii="Arial" w:hAnsi="Arial" w:cs="Arial"/>
        </w:rPr>
        <w:t>Itron</w:t>
      </w:r>
      <w:proofErr w:type="spellEnd"/>
      <w:r w:rsidRPr="00BF20CF">
        <w:rPr>
          <w:rFonts w:ascii="Arial" w:hAnsi="Arial" w:cs="Arial"/>
        </w:rPr>
        <w:t xml:space="preserve"> taken to validate the suitability of a 20-year average with respect to long-term trends in weather?</w:t>
      </w:r>
    </w:p>
    <w:p w14:paraId="377DF416" w14:textId="77777777" w:rsidR="00482130" w:rsidRPr="00BF20CF" w:rsidRDefault="00482130" w:rsidP="00C84F5B">
      <w:pPr>
        <w:autoSpaceDE w:val="0"/>
        <w:autoSpaceDN w:val="0"/>
        <w:adjustRightInd w:val="0"/>
        <w:spacing w:before="240" w:after="120" w:line="276" w:lineRule="auto"/>
        <w:rPr>
          <w:rFonts w:ascii="Arial" w:hAnsi="Arial" w:cs="Arial"/>
          <w:b/>
          <w:bCs/>
        </w:rPr>
      </w:pPr>
      <w:r w:rsidRPr="00BF20CF">
        <w:rPr>
          <w:rFonts w:ascii="Arial" w:hAnsi="Arial" w:cs="Arial"/>
          <w:b/>
          <w:bCs/>
        </w:rPr>
        <w:t>Other Revenue</w:t>
      </w:r>
    </w:p>
    <w:p w14:paraId="11B58EA3" w14:textId="0F32C536"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t>3-Staff-13</w:t>
      </w:r>
    </w:p>
    <w:p w14:paraId="43D6356B" w14:textId="33F59640" w:rsidR="00075721" w:rsidRPr="00BF20CF" w:rsidRDefault="00075721" w:rsidP="00075721">
      <w:pPr>
        <w:spacing w:line="276" w:lineRule="auto"/>
        <w:rPr>
          <w:rFonts w:ascii="Arial" w:hAnsi="Arial" w:cs="Arial"/>
          <w:b/>
        </w:rPr>
      </w:pPr>
      <w:r w:rsidRPr="00BF20CF">
        <w:rPr>
          <w:rFonts w:ascii="Arial" w:hAnsi="Arial" w:cs="Arial"/>
          <w:b/>
        </w:rPr>
        <w:t>Ref:</w:t>
      </w:r>
      <w:r w:rsidRPr="00BF20CF">
        <w:rPr>
          <w:rFonts w:ascii="Arial" w:hAnsi="Arial" w:cs="Arial"/>
          <w:b/>
        </w:rPr>
        <w:tab/>
        <w:t>Exhibit 3, Tab 2, Schedule 1, page 17 of 26</w:t>
      </w:r>
    </w:p>
    <w:p w14:paraId="7609C5A2" w14:textId="1E2D5784"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6FEFC94A" w14:textId="6CE17F9B" w:rsidR="00482130" w:rsidRPr="00BF20CF" w:rsidRDefault="00482130" w:rsidP="00DA686D">
      <w:pPr>
        <w:pStyle w:val="ListParagraph"/>
        <w:numPr>
          <w:ilvl w:val="0"/>
          <w:numId w:val="217"/>
        </w:numPr>
        <w:spacing w:after="160" w:line="276" w:lineRule="auto"/>
        <w:rPr>
          <w:rFonts w:ascii="Arial" w:hAnsi="Arial" w:cs="Arial"/>
        </w:rPr>
      </w:pPr>
      <w:r w:rsidRPr="00BF20CF">
        <w:rPr>
          <w:rFonts w:ascii="Arial" w:hAnsi="Arial" w:cs="Arial"/>
        </w:rPr>
        <w:t>Please provide supporting calculations for the forecasted revenue</w:t>
      </w:r>
      <w:r w:rsidR="00065FBD" w:rsidRPr="00BF20CF">
        <w:rPr>
          <w:rFonts w:ascii="Arial" w:hAnsi="Arial" w:cs="Arial"/>
        </w:rPr>
        <w:t xml:space="preserve"> related to the Dry Core Transformer Distribution Charges for 2021-2025.</w:t>
      </w:r>
    </w:p>
    <w:p w14:paraId="21E957BE" w14:textId="77777777" w:rsidR="00F34BF6" w:rsidRPr="00BF20CF" w:rsidRDefault="00F34BF6" w:rsidP="00F34BF6">
      <w:pPr>
        <w:pStyle w:val="ListParagraph"/>
        <w:spacing w:after="160" w:line="276" w:lineRule="auto"/>
        <w:rPr>
          <w:rFonts w:ascii="Arial" w:hAnsi="Arial" w:cs="Arial"/>
        </w:rPr>
      </w:pPr>
    </w:p>
    <w:p w14:paraId="5D0A1C62" w14:textId="091E43E7" w:rsidR="00482130" w:rsidRPr="00BF20CF" w:rsidRDefault="00482130" w:rsidP="00DA686D">
      <w:pPr>
        <w:pStyle w:val="ListParagraph"/>
        <w:numPr>
          <w:ilvl w:val="0"/>
          <w:numId w:val="217"/>
        </w:numPr>
        <w:spacing w:after="160" w:line="276" w:lineRule="auto"/>
        <w:rPr>
          <w:rFonts w:ascii="Arial" w:hAnsi="Arial" w:cs="Arial"/>
        </w:rPr>
      </w:pPr>
      <w:r w:rsidRPr="00BF20CF">
        <w:rPr>
          <w:rFonts w:ascii="Arial" w:hAnsi="Arial" w:cs="Arial"/>
        </w:rPr>
        <w:t>Please specify what assumptions are used regarding the forecasted Regulated Price Plan, transmission rate, low voltage rate, and regulatory charge.</w:t>
      </w:r>
    </w:p>
    <w:p w14:paraId="5D9B69E6" w14:textId="77777777" w:rsidR="00F34BF6" w:rsidRPr="00BF20CF" w:rsidRDefault="00F34BF6" w:rsidP="00F34BF6">
      <w:pPr>
        <w:pStyle w:val="ListParagraph"/>
        <w:rPr>
          <w:rFonts w:ascii="Arial" w:hAnsi="Arial" w:cs="Arial"/>
        </w:rPr>
      </w:pPr>
    </w:p>
    <w:p w14:paraId="75075F94" w14:textId="77777777" w:rsidR="00482130" w:rsidRPr="00BF20CF" w:rsidRDefault="00482130" w:rsidP="00C84F5B">
      <w:pPr>
        <w:autoSpaceDE w:val="0"/>
        <w:autoSpaceDN w:val="0"/>
        <w:adjustRightInd w:val="0"/>
        <w:spacing w:before="240" w:after="120" w:line="276" w:lineRule="auto"/>
        <w:rPr>
          <w:rFonts w:ascii="Arial" w:hAnsi="Arial" w:cs="Arial"/>
          <w:b/>
          <w:bCs/>
        </w:rPr>
      </w:pPr>
      <w:r w:rsidRPr="00BF20CF">
        <w:rPr>
          <w:rFonts w:ascii="Arial" w:hAnsi="Arial" w:cs="Arial"/>
          <w:b/>
          <w:bCs/>
        </w:rPr>
        <w:t>Exhibit 4 – Operating Expenses</w:t>
      </w:r>
    </w:p>
    <w:p w14:paraId="36EAA2BC" w14:textId="77777777" w:rsidR="00482130" w:rsidRPr="00BF20CF" w:rsidRDefault="00482130" w:rsidP="00C84F5B">
      <w:pPr>
        <w:autoSpaceDE w:val="0"/>
        <w:autoSpaceDN w:val="0"/>
        <w:adjustRightInd w:val="0"/>
        <w:spacing w:before="240" w:after="120" w:line="276" w:lineRule="auto"/>
        <w:rPr>
          <w:rFonts w:ascii="Arial" w:hAnsi="Arial" w:cs="Arial"/>
          <w:b/>
          <w:bCs/>
        </w:rPr>
      </w:pPr>
      <w:r w:rsidRPr="00BF20CF">
        <w:rPr>
          <w:rFonts w:ascii="Arial" w:hAnsi="Arial" w:cs="Arial"/>
          <w:b/>
          <w:bCs/>
        </w:rPr>
        <w:t>Operations, Maintenance and Administration (OM&amp;A)</w:t>
      </w:r>
    </w:p>
    <w:p w14:paraId="7D916824" w14:textId="6F22C649"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t>4-Staff-1</w:t>
      </w:r>
    </w:p>
    <w:p w14:paraId="4188E03D" w14:textId="77777777" w:rsidR="00482130" w:rsidRPr="00BF20CF" w:rsidRDefault="00482130" w:rsidP="00C84F5B">
      <w:pPr>
        <w:rPr>
          <w:rFonts w:ascii="Arial" w:hAnsi="Arial" w:cs="Arial"/>
          <w:b/>
        </w:rPr>
      </w:pPr>
      <w:r w:rsidRPr="00BF20CF">
        <w:rPr>
          <w:rFonts w:ascii="Arial" w:hAnsi="Arial" w:cs="Arial"/>
          <w:b/>
        </w:rPr>
        <w:t>Ref:</w:t>
      </w:r>
      <w:r w:rsidRPr="00BF20CF">
        <w:rPr>
          <w:rFonts w:ascii="Arial" w:hAnsi="Arial" w:cs="Arial"/>
          <w:b/>
        </w:rPr>
        <w:tab/>
        <w:t>Exhibit 4/Tab 1/Schedule 1/pp 4-5 of 6</w:t>
      </w:r>
    </w:p>
    <w:p w14:paraId="3B0F53CF"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560F0942"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Hydro Ottawa noted that the proposed 2021-2025 OM&amp;</w:t>
      </w:r>
      <w:proofErr w:type="gramStart"/>
      <w:r w:rsidRPr="00BF20CF">
        <w:rPr>
          <w:rFonts w:ascii="Arial" w:hAnsi="Arial" w:cs="Arial"/>
          <w:bCs/>
        </w:rPr>
        <w:t>A</w:t>
      </w:r>
      <w:proofErr w:type="gramEnd"/>
      <w:r w:rsidRPr="00BF20CF">
        <w:rPr>
          <w:rFonts w:ascii="Arial" w:hAnsi="Arial" w:cs="Arial"/>
          <w:bCs/>
        </w:rPr>
        <w:t xml:space="preserve"> spending levels were reviewed by the Executive Management Team (EMT) and several adjustments/reductions were made to the proposals. </w:t>
      </w:r>
    </w:p>
    <w:p w14:paraId="5120CDA4" w14:textId="77777777" w:rsidR="00250F7E" w:rsidRPr="00BF20CF" w:rsidRDefault="00250F7E" w:rsidP="00C84F5B">
      <w:pPr>
        <w:autoSpaceDE w:val="0"/>
        <w:autoSpaceDN w:val="0"/>
        <w:adjustRightInd w:val="0"/>
        <w:spacing w:before="240" w:after="120" w:line="276" w:lineRule="auto"/>
        <w:rPr>
          <w:rFonts w:ascii="Arial" w:hAnsi="Arial" w:cs="Arial"/>
          <w:bCs/>
        </w:rPr>
      </w:pPr>
      <w:r w:rsidRPr="00BF20CF">
        <w:rPr>
          <w:rFonts w:ascii="Arial" w:hAnsi="Arial" w:cs="Arial"/>
          <w:bCs/>
        </w:rPr>
        <w:br w:type="page"/>
      </w:r>
    </w:p>
    <w:p w14:paraId="19E319BF" w14:textId="7ECB1CE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lastRenderedPageBreak/>
        <w:t>Question(s):</w:t>
      </w:r>
    </w:p>
    <w:p w14:paraId="385F7606" w14:textId="2BCE6E62" w:rsidR="00482130" w:rsidRPr="00BF20CF" w:rsidRDefault="00482130" w:rsidP="00DA686D">
      <w:pPr>
        <w:pStyle w:val="ListParagraph"/>
        <w:numPr>
          <w:ilvl w:val="0"/>
          <w:numId w:val="175"/>
        </w:numPr>
        <w:autoSpaceDE w:val="0"/>
        <w:autoSpaceDN w:val="0"/>
        <w:adjustRightInd w:val="0"/>
        <w:spacing w:before="240" w:after="120" w:line="276" w:lineRule="auto"/>
        <w:rPr>
          <w:rFonts w:ascii="Arial" w:hAnsi="Arial" w:cs="Arial"/>
          <w:bCs/>
        </w:rPr>
      </w:pPr>
      <w:r w:rsidRPr="00BF20CF">
        <w:rPr>
          <w:rFonts w:ascii="Arial" w:hAnsi="Arial" w:cs="Arial"/>
          <w:bCs/>
        </w:rPr>
        <w:t>Please provide the initial OM&amp;A budget presented to the EMT for each year of the 2021-2025 period.</w:t>
      </w:r>
    </w:p>
    <w:p w14:paraId="296D63F2" w14:textId="77777777" w:rsidR="00F34BF6" w:rsidRPr="00BF20CF" w:rsidRDefault="00F34BF6" w:rsidP="00F34BF6">
      <w:pPr>
        <w:pStyle w:val="ListParagraph"/>
        <w:autoSpaceDE w:val="0"/>
        <w:autoSpaceDN w:val="0"/>
        <w:adjustRightInd w:val="0"/>
        <w:spacing w:before="240" w:after="120" w:line="276" w:lineRule="auto"/>
        <w:rPr>
          <w:rFonts w:ascii="Arial" w:hAnsi="Arial" w:cs="Arial"/>
          <w:bCs/>
        </w:rPr>
      </w:pPr>
    </w:p>
    <w:p w14:paraId="413FA284" w14:textId="37EDDE39" w:rsidR="00482130" w:rsidRPr="00BF20CF" w:rsidRDefault="00482130" w:rsidP="00DA686D">
      <w:pPr>
        <w:pStyle w:val="ListParagraph"/>
        <w:numPr>
          <w:ilvl w:val="0"/>
          <w:numId w:val="175"/>
        </w:numPr>
        <w:autoSpaceDE w:val="0"/>
        <w:autoSpaceDN w:val="0"/>
        <w:adjustRightInd w:val="0"/>
        <w:spacing w:before="240" w:after="120" w:line="276" w:lineRule="auto"/>
        <w:rPr>
          <w:rFonts w:ascii="Arial" w:hAnsi="Arial" w:cs="Arial"/>
          <w:bCs/>
        </w:rPr>
      </w:pPr>
      <w:r w:rsidRPr="00BF20CF">
        <w:rPr>
          <w:rFonts w:ascii="Arial" w:hAnsi="Arial" w:cs="Arial"/>
          <w:bCs/>
        </w:rPr>
        <w:t>Please specify and explain the nature of each adjustment/reduction made to the initial OM&amp;A budget for the 2021-2025 period, please also quantify the impact of each adjustment/reduction by year.</w:t>
      </w:r>
    </w:p>
    <w:p w14:paraId="6C6911B1" w14:textId="77777777" w:rsidR="00F34BF6" w:rsidRPr="00BF20CF" w:rsidRDefault="00F34BF6" w:rsidP="00F34BF6">
      <w:pPr>
        <w:pStyle w:val="ListParagraph"/>
        <w:rPr>
          <w:rFonts w:ascii="Arial" w:hAnsi="Arial" w:cs="Arial"/>
          <w:bCs/>
        </w:rPr>
      </w:pPr>
    </w:p>
    <w:p w14:paraId="414A6FBB" w14:textId="77777777" w:rsidR="00482130" w:rsidRPr="00BF20CF" w:rsidRDefault="00482130" w:rsidP="00DA686D">
      <w:pPr>
        <w:pStyle w:val="ListParagraph"/>
        <w:numPr>
          <w:ilvl w:val="0"/>
          <w:numId w:val="175"/>
        </w:numPr>
        <w:autoSpaceDE w:val="0"/>
        <w:autoSpaceDN w:val="0"/>
        <w:adjustRightInd w:val="0"/>
        <w:spacing w:before="240" w:after="120" w:line="276" w:lineRule="auto"/>
        <w:rPr>
          <w:rFonts w:ascii="Arial" w:hAnsi="Arial" w:cs="Arial"/>
          <w:bCs/>
        </w:rPr>
      </w:pPr>
      <w:r w:rsidRPr="00BF20CF">
        <w:rPr>
          <w:rFonts w:ascii="Arial" w:hAnsi="Arial" w:cs="Arial"/>
          <w:bCs/>
        </w:rPr>
        <w:t>With the upgrade/acquisition of new IT and operational technology systems (e.g. Supervisory Control and Data Acquisition System and the Enterprise Resource Planning System), please discuss how much OM&amp;A will be saved for the 2021-2025 period.</w:t>
      </w:r>
    </w:p>
    <w:p w14:paraId="4B9D6653" w14:textId="5909AB0A"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t>4-Staff-2</w:t>
      </w:r>
    </w:p>
    <w:p w14:paraId="0FE105DE" w14:textId="77777777" w:rsidR="00482130" w:rsidRPr="00BF20CF" w:rsidRDefault="00482130" w:rsidP="00C84F5B">
      <w:pPr>
        <w:rPr>
          <w:rFonts w:ascii="Arial" w:hAnsi="Arial" w:cs="Arial"/>
          <w:b/>
        </w:rPr>
      </w:pPr>
      <w:r w:rsidRPr="00BF20CF">
        <w:rPr>
          <w:rFonts w:ascii="Arial" w:hAnsi="Arial" w:cs="Arial"/>
          <w:b/>
        </w:rPr>
        <w:t>Ref:</w:t>
      </w:r>
      <w:r w:rsidRPr="00BF20CF">
        <w:rPr>
          <w:rFonts w:ascii="Arial" w:hAnsi="Arial" w:cs="Arial"/>
          <w:b/>
        </w:rPr>
        <w:tab/>
        <w:t>Exhibit 4/Tab 1/Schedule 3/page 9 of 10</w:t>
      </w:r>
    </w:p>
    <w:p w14:paraId="46AACDEB"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1AA9A06" w14:textId="77777777" w:rsidR="00482130" w:rsidRPr="00BF20CF" w:rsidRDefault="00482130" w:rsidP="00C84F5B">
      <w:pPr>
        <w:rPr>
          <w:rFonts w:ascii="Arial" w:hAnsi="Arial" w:cs="Arial"/>
        </w:rPr>
      </w:pPr>
      <w:r w:rsidRPr="00BF20CF">
        <w:rPr>
          <w:rFonts w:ascii="Arial" w:hAnsi="Arial" w:cs="Arial"/>
        </w:rPr>
        <w:t>Hydro Ottawa noted that an inflation rate of 2.01% was assumed for 2021 for all non-compensation related costs.</w:t>
      </w:r>
    </w:p>
    <w:p w14:paraId="28E39001"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D183634" w14:textId="244F4516" w:rsidR="00482130" w:rsidRPr="00BF20CF" w:rsidRDefault="00482130" w:rsidP="00DA686D">
      <w:pPr>
        <w:pStyle w:val="ListParagraph"/>
        <w:numPr>
          <w:ilvl w:val="0"/>
          <w:numId w:val="174"/>
        </w:numPr>
        <w:autoSpaceDE w:val="0"/>
        <w:autoSpaceDN w:val="0"/>
        <w:adjustRightInd w:val="0"/>
        <w:spacing w:before="240" w:after="120" w:line="276" w:lineRule="auto"/>
        <w:rPr>
          <w:rFonts w:ascii="Arial" w:hAnsi="Arial" w:cs="Arial"/>
          <w:bCs/>
        </w:rPr>
      </w:pPr>
      <w:r w:rsidRPr="00BF20CF">
        <w:rPr>
          <w:rFonts w:ascii="Arial" w:hAnsi="Arial" w:cs="Arial"/>
          <w:bCs/>
        </w:rPr>
        <w:t>Please specify the inflation rate used for 2020 for non-compensation related costs.</w:t>
      </w:r>
    </w:p>
    <w:p w14:paraId="101A10C5" w14:textId="4EDB1B32" w:rsidR="00F34BF6" w:rsidRPr="00BF20CF" w:rsidRDefault="00F34BF6" w:rsidP="00F34BF6">
      <w:pPr>
        <w:pStyle w:val="ListParagraph"/>
        <w:autoSpaceDE w:val="0"/>
        <w:autoSpaceDN w:val="0"/>
        <w:adjustRightInd w:val="0"/>
        <w:spacing w:before="240" w:after="120" w:line="276" w:lineRule="auto"/>
        <w:rPr>
          <w:rFonts w:ascii="Arial" w:hAnsi="Arial" w:cs="Arial"/>
          <w:bCs/>
        </w:rPr>
      </w:pPr>
    </w:p>
    <w:p w14:paraId="5B254DE1" w14:textId="25EE278A"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t>4-Staff-3</w:t>
      </w:r>
    </w:p>
    <w:p w14:paraId="7D1A7F82" w14:textId="77777777" w:rsidR="00F227B4" w:rsidRPr="00BF20CF" w:rsidRDefault="00F227B4" w:rsidP="00C84F5B">
      <w:pPr>
        <w:rPr>
          <w:rFonts w:ascii="Arial" w:hAnsi="Arial" w:cs="Arial"/>
          <w:b/>
        </w:rPr>
      </w:pPr>
      <w:r w:rsidRPr="00BF20CF">
        <w:rPr>
          <w:rFonts w:ascii="Arial" w:hAnsi="Arial" w:cs="Arial"/>
          <w:b/>
        </w:rPr>
        <w:t>Ref:</w:t>
      </w:r>
      <w:r w:rsidRPr="00BF20CF">
        <w:rPr>
          <w:rFonts w:ascii="Arial" w:hAnsi="Arial" w:cs="Arial"/>
          <w:b/>
        </w:rPr>
        <w:tab/>
        <w:t>Exhibit 4/Tab 1/Schedule 4/page 3 of 43</w:t>
      </w:r>
    </w:p>
    <w:p w14:paraId="7C9A9044" w14:textId="77777777" w:rsidR="00F227B4" w:rsidRPr="00BF20CF" w:rsidRDefault="00F227B4" w:rsidP="00C84F5B">
      <w:pPr>
        <w:ind w:left="720"/>
        <w:rPr>
          <w:rFonts w:ascii="Arial" w:hAnsi="Arial" w:cs="Arial"/>
          <w:b/>
        </w:rPr>
      </w:pPr>
      <w:r w:rsidRPr="00BF20CF">
        <w:rPr>
          <w:rFonts w:ascii="Arial" w:hAnsi="Arial" w:cs="Arial"/>
          <w:b/>
        </w:rPr>
        <w:t>Exhibit 4/Tab 1/Schedule 5/Attachment A</w:t>
      </w:r>
    </w:p>
    <w:p w14:paraId="509D8327" w14:textId="77777777" w:rsidR="00F227B4" w:rsidRPr="00BF20CF" w:rsidRDefault="00F227B4" w:rsidP="00C84F5B">
      <w:pPr>
        <w:ind w:left="720"/>
        <w:rPr>
          <w:rFonts w:ascii="Arial" w:hAnsi="Arial" w:cs="Arial"/>
          <w:b/>
        </w:rPr>
      </w:pPr>
      <w:r w:rsidRPr="00BF20CF">
        <w:rPr>
          <w:rFonts w:ascii="Arial" w:hAnsi="Arial" w:cs="Arial"/>
          <w:b/>
        </w:rPr>
        <w:t>Appendix 2-K Employee Costs</w:t>
      </w:r>
    </w:p>
    <w:p w14:paraId="45BD5226" w14:textId="77777777" w:rsidR="00F227B4" w:rsidRPr="00BF20CF" w:rsidRDefault="00F227B4"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0B0553A0" w14:textId="59E6EEC1" w:rsidR="00F227B4" w:rsidRPr="00BF20CF" w:rsidRDefault="00F227B4" w:rsidP="00F227B4">
      <w:pPr>
        <w:pStyle w:val="ListParagraph"/>
        <w:numPr>
          <w:ilvl w:val="0"/>
          <w:numId w:val="172"/>
        </w:numPr>
        <w:autoSpaceDE w:val="0"/>
        <w:autoSpaceDN w:val="0"/>
        <w:adjustRightInd w:val="0"/>
        <w:spacing w:before="240" w:after="120" w:line="276" w:lineRule="auto"/>
        <w:rPr>
          <w:rFonts w:ascii="Arial" w:hAnsi="Arial" w:cs="Arial"/>
          <w:bCs/>
        </w:rPr>
      </w:pPr>
      <w:r w:rsidRPr="00BF20CF">
        <w:rPr>
          <w:rFonts w:ascii="Arial" w:hAnsi="Arial" w:cs="Arial"/>
          <w:bCs/>
        </w:rPr>
        <w:t>Please explain the difference between Table 2 (Updated Ex 4-1-4, page 5) and Table 7 (Updated Ex 4-1-5, Attachment A, page 16). For example, for the 2021 test year, there is a difference of approximately $2 million between these two tables.</w:t>
      </w:r>
    </w:p>
    <w:p w14:paraId="6665D01A" w14:textId="77777777" w:rsidR="00F227B4" w:rsidRPr="00BF20CF" w:rsidRDefault="00F227B4" w:rsidP="00F34BF6">
      <w:pPr>
        <w:pStyle w:val="ListParagraph"/>
        <w:autoSpaceDE w:val="0"/>
        <w:autoSpaceDN w:val="0"/>
        <w:adjustRightInd w:val="0"/>
        <w:spacing w:before="240" w:after="120" w:line="276" w:lineRule="auto"/>
        <w:rPr>
          <w:rFonts w:ascii="Arial" w:hAnsi="Arial" w:cs="Arial"/>
          <w:bCs/>
        </w:rPr>
      </w:pPr>
    </w:p>
    <w:p w14:paraId="6AED7160" w14:textId="77777777" w:rsidR="00F227B4" w:rsidRPr="00BF20CF" w:rsidRDefault="00F227B4" w:rsidP="00F227B4">
      <w:pPr>
        <w:pStyle w:val="ListParagraph"/>
        <w:numPr>
          <w:ilvl w:val="0"/>
          <w:numId w:val="172"/>
        </w:numPr>
        <w:autoSpaceDE w:val="0"/>
        <w:autoSpaceDN w:val="0"/>
        <w:adjustRightInd w:val="0"/>
        <w:spacing w:before="240" w:after="120" w:line="276" w:lineRule="auto"/>
        <w:rPr>
          <w:rFonts w:ascii="Arial" w:hAnsi="Arial" w:cs="Arial"/>
          <w:bCs/>
        </w:rPr>
      </w:pPr>
      <w:r w:rsidRPr="00BF20CF">
        <w:rPr>
          <w:rFonts w:ascii="Arial" w:hAnsi="Arial" w:cs="Arial"/>
          <w:bCs/>
        </w:rPr>
        <w:t>Please specify OM&amp;A costs incurred in 2018 that is attributable to the three extreme weather events.</w:t>
      </w:r>
    </w:p>
    <w:p w14:paraId="32235A59" w14:textId="77777777" w:rsidR="00F227B4" w:rsidRPr="00BF20CF" w:rsidRDefault="00F227B4" w:rsidP="00F34BF6">
      <w:pPr>
        <w:pStyle w:val="ListParagraph"/>
        <w:autoSpaceDE w:val="0"/>
        <w:autoSpaceDN w:val="0"/>
        <w:adjustRightInd w:val="0"/>
        <w:spacing w:before="240" w:after="120" w:line="276" w:lineRule="auto"/>
        <w:rPr>
          <w:rFonts w:ascii="Arial" w:hAnsi="Arial" w:cs="Arial"/>
          <w:bCs/>
        </w:rPr>
      </w:pPr>
    </w:p>
    <w:p w14:paraId="114DE685" w14:textId="77777777" w:rsidR="00F227B4" w:rsidRPr="00BF20CF" w:rsidRDefault="00F227B4" w:rsidP="00F227B4">
      <w:pPr>
        <w:pStyle w:val="ListParagraph"/>
        <w:numPr>
          <w:ilvl w:val="0"/>
          <w:numId w:val="172"/>
        </w:numPr>
        <w:autoSpaceDE w:val="0"/>
        <w:autoSpaceDN w:val="0"/>
        <w:adjustRightInd w:val="0"/>
        <w:spacing w:before="240" w:after="120" w:line="276" w:lineRule="auto"/>
        <w:rPr>
          <w:rFonts w:ascii="Arial" w:hAnsi="Arial" w:cs="Arial"/>
          <w:bCs/>
        </w:rPr>
      </w:pPr>
      <w:r w:rsidRPr="00BF20CF">
        <w:rPr>
          <w:rFonts w:ascii="Arial" w:hAnsi="Arial" w:cs="Arial"/>
          <w:bCs/>
        </w:rPr>
        <w:lastRenderedPageBreak/>
        <w:t>With respect to the salary structure for executive and management:</w:t>
      </w:r>
    </w:p>
    <w:p w14:paraId="74913C27" w14:textId="77777777" w:rsidR="00F227B4" w:rsidRPr="00BF20CF" w:rsidRDefault="00F227B4" w:rsidP="00F227B4">
      <w:pPr>
        <w:pStyle w:val="ListParagraph"/>
        <w:numPr>
          <w:ilvl w:val="0"/>
          <w:numId w:val="173"/>
        </w:numPr>
        <w:autoSpaceDE w:val="0"/>
        <w:autoSpaceDN w:val="0"/>
        <w:adjustRightInd w:val="0"/>
        <w:spacing w:before="240" w:after="120" w:line="276" w:lineRule="auto"/>
        <w:rPr>
          <w:rFonts w:ascii="Arial" w:hAnsi="Arial" w:cs="Arial"/>
          <w:bCs/>
        </w:rPr>
      </w:pPr>
      <w:r w:rsidRPr="00BF20CF">
        <w:rPr>
          <w:rFonts w:ascii="Arial" w:hAnsi="Arial" w:cs="Arial"/>
          <w:bCs/>
        </w:rPr>
        <w:t>Hydro Ottawa notes that “Performance and contributions are directly tied to Hydro Ottawa’s corporate performance scorecard, ensuring that the focus of this workforce segment is aligned to the advancement of the utility’s Strategic Direction.” Please explain how performance and contributions are directly tied to Hydro Ottawa’s corporate performance scorecard.</w:t>
      </w:r>
    </w:p>
    <w:p w14:paraId="02BD9B15" w14:textId="77777777" w:rsidR="00F227B4" w:rsidRPr="00BF20CF" w:rsidRDefault="00F227B4" w:rsidP="00F227B4">
      <w:pPr>
        <w:pStyle w:val="ListParagraph"/>
        <w:numPr>
          <w:ilvl w:val="0"/>
          <w:numId w:val="173"/>
        </w:numPr>
        <w:autoSpaceDE w:val="0"/>
        <w:autoSpaceDN w:val="0"/>
        <w:adjustRightInd w:val="0"/>
        <w:spacing w:before="240" w:after="120" w:line="276" w:lineRule="auto"/>
        <w:rPr>
          <w:rFonts w:ascii="Arial" w:hAnsi="Arial" w:cs="Arial"/>
          <w:bCs/>
        </w:rPr>
      </w:pPr>
      <w:r w:rsidRPr="00BF20CF">
        <w:rPr>
          <w:rFonts w:ascii="Arial" w:hAnsi="Arial" w:cs="Arial"/>
          <w:bCs/>
        </w:rPr>
        <w:t>Please provide historical and the forecast range of merit increases (i.e. lowest and highest increases in percentage) for executives and management for historical (2016-2019), bridge (2020), and the test year (2021).</w:t>
      </w:r>
    </w:p>
    <w:p w14:paraId="3EF3324C" w14:textId="77777777" w:rsidR="00F227B4" w:rsidRPr="00BF20CF" w:rsidRDefault="00F227B4" w:rsidP="00F34BF6">
      <w:pPr>
        <w:pStyle w:val="ListParagraph"/>
        <w:autoSpaceDE w:val="0"/>
        <w:autoSpaceDN w:val="0"/>
        <w:adjustRightInd w:val="0"/>
        <w:spacing w:before="240" w:after="120" w:line="276" w:lineRule="auto"/>
        <w:rPr>
          <w:rFonts w:ascii="Arial" w:hAnsi="Arial" w:cs="Arial"/>
          <w:bCs/>
        </w:rPr>
      </w:pPr>
    </w:p>
    <w:p w14:paraId="4FE85135" w14:textId="0B624818" w:rsidR="00F227B4" w:rsidRPr="00BF20CF" w:rsidRDefault="00F227B4" w:rsidP="00F227B4">
      <w:pPr>
        <w:pStyle w:val="ListParagraph"/>
        <w:numPr>
          <w:ilvl w:val="0"/>
          <w:numId w:val="172"/>
        </w:numPr>
        <w:autoSpaceDE w:val="0"/>
        <w:autoSpaceDN w:val="0"/>
        <w:adjustRightInd w:val="0"/>
        <w:spacing w:before="240" w:after="120" w:line="276" w:lineRule="auto"/>
        <w:rPr>
          <w:rFonts w:ascii="Arial" w:hAnsi="Arial" w:cs="Arial"/>
          <w:bCs/>
        </w:rPr>
      </w:pPr>
      <w:r w:rsidRPr="00BF20CF">
        <w:rPr>
          <w:rFonts w:ascii="Arial" w:hAnsi="Arial" w:cs="Arial"/>
          <w:bCs/>
        </w:rPr>
        <w:t>For unionized employees, Hydro Ottawa noted that the current collective agreement is in effect from April 1, 2017 until March 31, 2021. Negotiated wage increases are 2.0% for 2017, 2.10% for 2018, 2.10% for 2019, and 2.2% for 2020. Please specify the assumption of wage increases used for 2021.</w:t>
      </w:r>
    </w:p>
    <w:p w14:paraId="36BE505C" w14:textId="77777777" w:rsidR="00F227B4" w:rsidRPr="00BF20CF" w:rsidRDefault="00F227B4" w:rsidP="00F34BF6">
      <w:pPr>
        <w:pStyle w:val="ListParagraph"/>
        <w:rPr>
          <w:rFonts w:ascii="Arial" w:hAnsi="Arial" w:cs="Arial"/>
          <w:bCs/>
        </w:rPr>
      </w:pPr>
    </w:p>
    <w:p w14:paraId="3E1DA387" w14:textId="77777777" w:rsidR="00F227B4" w:rsidRPr="00BF20CF" w:rsidRDefault="00F227B4" w:rsidP="00F227B4">
      <w:pPr>
        <w:pStyle w:val="ListParagraph"/>
        <w:numPr>
          <w:ilvl w:val="0"/>
          <w:numId w:val="172"/>
        </w:numPr>
        <w:autoSpaceDE w:val="0"/>
        <w:autoSpaceDN w:val="0"/>
        <w:adjustRightInd w:val="0"/>
        <w:spacing w:before="240" w:after="120" w:line="276" w:lineRule="auto"/>
        <w:rPr>
          <w:rFonts w:ascii="Arial" w:hAnsi="Arial" w:cs="Arial"/>
          <w:bCs/>
        </w:rPr>
      </w:pPr>
      <w:r w:rsidRPr="00BF20CF">
        <w:rPr>
          <w:rFonts w:ascii="Arial" w:hAnsi="Arial" w:cs="Arial"/>
          <w:bCs/>
        </w:rPr>
        <w:t>Please provide a revised version of Appendix 2-K, Employee Costs, to reflect requests as follows:</w:t>
      </w:r>
    </w:p>
    <w:p w14:paraId="12173E2C" w14:textId="77777777" w:rsidR="00F227B4" w:rsidRPr="00BF20CF" w:rsidRDefault="00F227B4" w:rsidP="00E94BA9">
      <w:pPr>
        <w:pStyle w:val="ListParagraph"/>
        <w:rPr>
          <w:rFonts w:ascii="Arial" w:hAnsi="Arial" w:cs="Arial"/>
          <w:bCs/>
        </w:rPr>
      </w:pPr>
    </w:p>
    <w:p w14:paraId="20B8E671" w14:textId="77777777" w:rsidR="00F227B4" w:rsidRPr="00BF20CF" w:rsidRDefault="00F227B4" w:rsidP="00E94BA9">
      <w:pPr>
        <w:pStyle w:val="ListParagraph"/>
        <w:autoSpaceDE w:val="0"/>
        <w:autoSpaceDN w:val="0"/>
        <w:adjustRightInd w:val="0"/>
        <w:spacing w:before="240" w:after="120" w:line="276" w:lineRule="auto"/>
        <w:rPr>
          <w:rFonts w:ascii="Arial" w:hAnsi="Arial" w:cs="Arial"/>
          <w:bCs/>
        </w:rPr>
      </w:pPr>
      <w:r w:rsidRPr="00BF20CF">
        <w:rPr>
          <w:rFonts w:ascii="Arial" w:hAnsi="Arial" w:cs="Arial"/>
          <w:bCs/>
        </w:rPr>
        <w:t>A breakdown of management positions by executives and non-executive positions.</w:t>
      </w:r>
    </w:p>
    <w:p w14:paraId="706D4953" w14:textId="77777777" w:rsidR="00F227B4" w:rsidRPr="00BF20CF" w:rsidRDefault="00F227B4" w:rsidP="00C84F5B">
      <w:pPr>
        <w:pStyle w:val="ListParagraph"/>
        <w:autoSpaceDE w:val="0"/>
        <w:autoSpaceDN w:val="0"/>
        <w:adjustRightInd w:val="0"/>
        <w:spacing w:before="240" w:after="120" w:line="276" w:lineRule="auto"/>
        <w:rPr>
          <w:rFonts w:ascii="Arial" w:hAnsi="Arial" w:cs="Arial"/>
          <w:bCs/>
        </w:rPr>
      </w:pPr>
      <w:r w:rsidRPr="00BF20CF">
        <w:rPr>
          <w:rFonts w:ascii="Arial" w:hAnsi="Arial" w:cs="Arial"/>
          <w:bCs/>
        </w:rPr>
        <w:t xml:space="preserve">A breakdown of non-management employees by union and non-union. </w:t>
      </w:r>
    </w:p>
    <w:p w14:paraId="2BA2F1E9" w14:textId="77777777" w:rsidR="00F227B4" w:rsidRPr="00BF20CF" w:rsidRDefault="00F227B4" w:rsidP="00C84F5B">
      <w:pPr>
        <w:pStyle w:val="ListParagraph"/>
        <w:autoSpaceDE w:val="0"/>
        <w:autoSpaceDN w:val="0"/>
        <w:adjustRightInd w:val="0"/>
        <w:spacing w:before="240" w:after="120" w:line="276" w:lineRule="auto"/>
        <w:rPr>
          <w:rFonts w:ascii="Arial" w:hAnsi="Arial" w:cs="Arial"/>
          <w:bCs/>
        </w:rPr>
      </w:pPr>
      <w:r w:rsidRPr="00BF20CF">
        <w:rPr>
          <w:rFonts w:ascii="Arial" w:hAnsi="Arial" w:cs="Arial"/>
          <w:bCs/>
        </w:rPr>
        <w:t>To show the expensed and capitalized compensation costs for historical (2016-2019), bridge (2020), and the test year (2021).</w:t>
      </w:r>
    </w:p>
    <w:p w14:paraId="7E86DA71" w14:textId="32FA3A81"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t>4-Staff-4</w:t>
      </w:r>
    </w:p>
    <w:p w14:paraId="6D2C3939" w14:textId="1206BC19" w:rsidR="00F227B4" w:rsidRPr="00BF20CF" w:rsidRDefault="00F227B4" w:rsidP="00C84F5B">
      <w:pPr>
        <w:rPr>
          <w:rFonts w:ascii="Arial" w:hAnsi="Arial" w:cs="Arial"/>
          <w:b/>
        </w:rPr>
      </w:pPr>
      <w:r w:rsidRPr="00BF20CF">
        <w:rPr>
          <w:rFonts w:ascii="Arial" w:hAnsi="Arial" w:cs="Arial"/>
          <w:b/>
        </w:rPr>
        <w:t>Ref:</w:t>
      </w:r>
      <w:r w:rsidRPr="00BF20CF">
        <w:rPr>
          <w:rFonts w:ascii="Arial" w:hAnsi="Arial" w:cs="Arial"/>
          <w:b/>
        </w:rPr>
        <w:tab/>
        <w:t>Updated Exhibit 4/Tab 1/Schedule 4/pp.28-29 of 54</w:t>
      </w:r>
    </w:p>
    <w:p w14:paraId="549C1EF1" w14:textId="77777777" w:rsidR="00F227B4" w:rsidRPr="00BF20CF" w:rsidRDefault="00F227B4"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45BD84C" w14:textId="54B06264" w:rsidR="00F227B4" w:rsidRPr="00BF20CF" w:rsidRDefault="00F227B4" w:rsidP="00C84F5B">
      <w:pPr>
        <w:spacing w:line="276" w:lineRule="auto"/>
        <w:rPr>
          <w:rFonts w:ascii="Arial" w:hAnsi="Arial" w:cs="Arial"/>
        </w:rPr>
      </w:pPr>
      <w:r w:rsidRPr="00BF20CF">
        <w:rPr>
          <w:rFonts w:ascii="Arial" w:hAnsi="Arial" w:cs="Arial"/>
        </w:rPr>
        <w:t>For the Collections, Accounts and Activities program, there is a 47% increase in budgeted costs for 2020 compared to the level of expenses for 2019. The year-over-year variances in this program are mainly due to fluctuations in bad debt expense. Hydro Ottawa noted that in 2018, the bad debt expense dropped, due to the implementation of a Disconnection Moratorium. The expectation is that these levels will be maintained over the 2020-2021 period.</w:t>
      </w:r>
    </w:p>
    <w:p w14:paraId="0DBB6A8D" w14:textId="77777777" w:rsidR="00250F7E" w:rsidRPr="00BF20CF" w:rsidRDefault="00250F7E" w:rsidP="00C84F5B">
      <w:pPr>
        <w:spacing w:line="276" w:lineRule="auto"/>
        <w:rPr>
          <w:rFonts w:ascii="Arial" w:hAnsi="Arial" w:cs="Arial"/>
        </w:rPr>
      </w:pPr>
    </w:p>
    <w:p w14:paraId="4575710E" w14:textId="77777777" w:rsidR="00250F7E" w:rsidRPr="00BF20CF" w:rsidRDefault="00250F7E" w:rsidP="00C84F5B">
      <w:pPr>
        <w:autoSpaceDE w:val="0"/>
        <w:autoSpaceDN w:val="0"/>
        <w:adjustRightInd w:val="0"/>
        <w:spacing w:before="240" w:after="120" w:line="276" w:lineRule="auto"/>
        <w:rPr>
          <w:rFonts w:ascii="Arial" w:hAnsi="Arial" w:cs="Arial"/>
          <w:bCs/>
        </w:rPr>
      </w:pPr>
      <w:r w:rsidRPr="00BF20CF">
        <w:rPr>
          <w:rFonts w:ascii="Arial" w:hAnsi="Arial" w:cs="Arial"/>
          <w:bCs/>
        </w:rPr>
        <w:br w:type="page"/>
      </w:r>
    </w:p>
    <w:p w14:paraId="52859FCB" w14:textId="19FE2245" w:rsidR="00F227B4" w:rsidRPr="00BF20CF" w:rsidRDefault="00F227B4" w:rsidP="00C84F5B">
      <w:pPr>
        <w:autoSpaceDE w:val="0"/>
        <w:autoSpaceDN w:val="0"/>
        <w:adjustRightInd w:val="0"/>
        <w:spacing w:before="240" w:after="120" w:line="276" w:lineRule="auto"/>
        <w:rPr>
          <w:rFonts w:ascii="Arial" w:hAnsi="Arial" w:cs="Arial"/>
          <w:bCs/>
        </w:rPr>
      </w:pPr>
      <w:r w:rsidRPr="00BF20CF">
        <w:rPr>
          <w:rFonts w:ascii="Arial" w:hAnsi="Arial" w:cs="Arial"/>
          <w:bCs/>
        </w:rPr>
        <w:lastRenderedPageBreak/>
        <w:t>Question(s):</w:t>
      </w:r>
    </w:p>
    <w:p w14:paraId="6B5013D2" w14:textId="4805C420" w:rsidR="00F227B4" w:rsidRPr="00BF20CF" w:rsidRDefault="00F227B4" w:rsidP="00F227B4">
      <w:pPr>
        <w:pStyle w:val="ListParagraph"/>
        <w:numPr>
          <w:ilvl w:val="0"/>
          <w:numId w:val="170"/>
        </w:numPr>
        <w:autoSpaceDE w:val="0"/>
        <w:autoSpaceDN w:val="0"/>
        <w:adjustRightInd w:val="0"/>
        <w:spacing w:before="240" w:after="120" w:line="276" w:lineRule="auto"/>
        <w:rPr>
          <w:rFonts w:ascii="Arial" w:hAnsi="Arial" w:cs="Arial"/>
          <w:bCs/>
        </w:rPr>
      </w:pPr>
      <w:r w:rsidRPr="00BF20CF">
        <w:rPr>
          <w:rFonts w:ascii="Arial" w:hAnsi="Arial" w:cs="Arial"/>
          <w:bCs/>
        </w:rPr>
        <w:t>Please explain why a 47% increase in budgeted costs for 2020, and a further 3% increase for 2021 are necessary, given that the expectation is that the level of bad debt expense will be maintained over the 2020-2021 period.</w:t>
      </w:r>
    </w:p>
    <w:p w14:paraId="26800F83" w14:textId="5F088854"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t>4-Staff-5</w:t>
      </w:r>
    </w:p>
    <w:p w14:paraId="212E1440" w14:textId="1A34D0EA" w:rsidR="00F227B4" w:rsidRPr="00BF20CF" w:rsidRDefault="00F227B4" w:rsidP="00C84F5B">
      <w:pPr>
        <w:rPr>
          <w:rFonts w:ascii="Arial" w:hAnsi="Arial" w:cs="Arial"/>
          <w:b/>
        </w:rPr>
      </w:pPr>
      <w:r w:rsidRPr="00BF20CF">
        <w:rPr>
          <w:rFonts w:ascii="Arial" w:hAnsi="Arial" w:cs="Arial"/>
          <w:b/>
        </w:rPr>
        <w:t>Ref:</w:t>
      </w:r>
      <w:r w:rsidRPr="00BF20CF">
        <w:rPr>
          <w:rFonts w:ascii="Arial" w:hAnsi="Arial" w:cs="Arial"/>
          <w:b/>
        </w:rPr>
        <w:tab/>
        <w:t>Updated Exhibit 4/Tab 1/Schedule 4/pp.31-32 of 54</w:t>
      </w:r>
    </w:p>
    <w:p w14:paraId="7FCB9504" w14:textId="77777777" w:rsidR="00F227B4" w:rsidRPr="00BF20CF" w:rsidRDefault="00F227B4"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4020BC61" w14:textId="773F4F03" w:rsidR="00F227B4" w:rsidRPr="00BF20CF" w:rsidRDefault="00F227B4" w:rsidP="00C84F5B">
      <w:pPr>
        <w:autoSpaceDE w:val="0"/>
        <w:autoSpaceDN w:val="0"/>
        <w:adjustRightInd w:val="0"/>
        <w:spacing w:line="276" w:lineRule="auto"/>
        <w:rPr>
          <w:rFonts w:ascii="Arial" w:hAnsi="Arial" w:cs="Arial"/>
          <w:lang w:eastAsia="en-CA"/>
        </w:rPr>
      </w:pPr>
      <w:r w:rsidRPr="00BF20CF">
        <w:rPr>
          <w:rFonts w:ascii="Arial" w:hAnsi="Arial" w:cs="Arial"/>
          <w:lang w:eastAsia="en-CA"/>
        </w:rPr>
        <w:t>Hydro Ottawa explained that the increase of 22% in 2020 from 2019, for the Customer and Community Relations program, is driven by investments in increased automation. These solutions will enhance the customer experience and the efficiency of field operations. OEB staff notes that there is an incremental increase of 7% budgeted for 2021 for this program.</w:t>
      </w:r>
    </w:p>
    <w:p w14:paraId="42E7ADE1" w14:textId="77777777" w:rsidR="00F227B4" w:rsidRPr="00BF20CF" w:rsidRDefault="00F227B4"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09842954" w14:textId="5514D95D" w:rsidR="00F227B4" w:rsidRPr="00BF20CF" w:rsidRDefault="00F227B4" w:rsidP="00BF20CF">
      <w:pPr>
        <w:pStyle w:val="ListParagraph"/>
        <w:numPr>
          <w:ilvl w:val="0"/>
          <w:numId w:val="171"/>
        </w:numPr>
        <w:autoSpaceDE w:val="0"/>
        <w:autoSpaceDN w:val="0"/>
        <w:adjustRightInd w:val="0"/>
        <w:spacing w:before="240" w:after="120" w:line="276" w:lineRule="auto"/>
        <w:rPr>
          <w:rFonts w:ascii="Arial" w:hAnsi="Arial" w:cs="Arial"/>
          <w:bCs/>
        </w:rPr>
      </w:pPr>
      <w:r w:rsidRPr="00BF20CF">
        <w:rPr>
          <w:rFonts w:ascii="Arial" w:hAnsi="Arial" w:cs="Arial"/>
          <w:bCs/>
        </w:rPr>
        <w:t>Please explain the drivers for this incremental increase of 7% for 2021 considering the expected efficiencies gained from increased automation.</w:t>
      </w:r>
    </w:p>
    <w:p w14:paraId="58B7356F" w14:textId="05ACA276"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t>4-Staff-6</w:t>
      </w:r>
    </w:p>
    <w:p w14:paraId="7F9F8C03" w14:textId="564E6101" w:rsidR="00F227B4" w:rsidRPr="00BF20CF" w:rsidRDefault="00F227B4" w:rsidP="00250F7E">
      <w:pPr>
        <w:rPr>
          <w:rFonts w:ascii="Arial" w:hAnsi="Arial" w:cs="Arial"/>
          <w:b/>
        </w:rPr>
      </w:pPr>
      <w:r w:rsidRPr="00BF20CF">
        <w:rPr>
          <w:rFonts w:ascii="Arial" w:hAnsi="Arial" w:cs="Arial"/>
          <w:b/>
        </w:rPr>
        <w:t>Ref:</w:t>
      </w:r>
      <w:r w:rsidRPr="00BF20CF">
        <w:rPr>
          <w:rFonts w:ascii="Arial" w:hAnsi="Arial" w:cs="Arial"/>
          <w:b/>
        </w:rPr>
        <w:tab/>
        <w:t>Updated Exhibit 4/Tab 1/Schedule 4/page 33 of 54</w:t>
      </w:r>
    </w:p>
    <w:p w14:paraId="17EC3BDB" w14:textId="77777777" w:rsidR="00250F7E" w:rsidRPr="00BF20CF" w:rsidRDefault="00250F7E" w:rsidP="00250F7E">
      <w:pPr>
        <w:rPr>
          <w:rFonts w:ascii="Arial" w:hAnsi="Arial" w:cs="Arial"/>
          <w:b/>
        </w:rPr>
      </w:pPr>
    </w:p>
    <w:p w14:paraId="26CB5EBB" w14:textId="77777777" w:rsidR="00F227B4" w:rsidRPr="00BF20CF" w:rsidRDefault="00F227B4" w:rsidP="00250F7E">
      <w:pPr>
        <w:autoSpaceDE w:val="0"/>
        <w:autoSpaceDN w:val="0"/>
        <w:adjustRightInd w:val="0"/>
        <w:spacing w:line="276" w:lineRule="auto"/>
        <w:rPr>
          <w:rFonts w:ascii="Arial" w:hAnsi="Arial" w:cs="Arial"/>
          <w:bCs/>
        </w:rPr>
      </w:pPr>
      <w:r w:rsidRPr="00BF20CF">
        <w:rPr>
          <w:rFonts w:ascii="Arial" w:hAnsi="Arial" w:cs="Arial"/>
          <w:bCs/>
        </w:rPr>
        <w:t>Question(s):</w:t>
      </w:r>
    </w:p>
    <w:p w14:paraId="62FDE75A" w14:textId="77777777" w:rsidR="00F227B4" w:rsidRPr="00BF20CF" w:rsidRDefault="00F227B4" w:rsidP="00F227B4">
      <w:pPr>
        <w:pStyle w:val="ListParagraph"/>
        <w:numPr>
          <w:ilvl w:val="0"/>
          <w:numId w:val="176"/>
        </w:numPr>
        <w:autoSpaceDE w:val="0"/>
        <w:autoSpaceDN w:val="0"/>
        <w:adjustRightInd w:val="0"/>
        <w:spacing w:before="240" w:after="120" w:line="276" w:lineRule="auto"/>
        <w:rPr>
          <w:rFonts w:ascii="Arial" w:hAnsi="Arial" w:cs="Arial"/>
          <w:bCs/>
        </w:rPr>
      </w:pPr>
      <w:r w:rsidRPr="00BF20CF">
        <w:rPr>
          <w:rFonts w:ascii="Arial" w:hAnsi="Arial" w:cs="Arial"/>
          <w:bCs/>
        </w:rPr>
        <w:t>Hydro Ottawa notes that the increase in customer billing program in 2020 is partially due to the timing of the Customer Care &amp; Billing System upgrade project. Please specify the budgeted OM&amp;A costs related to the Customer Care &amp; Billing System upgrade project for 2020 and 2021 respectively.</w:t>
      </w:r>
    </w:p>
    <w:p w14:paraId="73774A94" w14:textId="208A96FF" w:rsidR="00250F7E" w:rsidRPr="00BF20CF" w:rsidRDefault="00250F7E" w:rsidP="00250F7E">
      <w:pPr>
        <w:pStyle w:val="StaffHeader"/>
        <w:numPr>
          <w:ilvl w:val="0"/>
          <w:numId w:val="0"/>
        </w:numPr>
        <w:spacing w:before="240"/>
        <w:rPr>
          <w:rFonts w:cs="Arial"/>
          <w:szCs w:val="24"/>
          <w:u w:val="none"/>
        </w:rPr>
      </w:pPr>
      <w:r w:rsidRPr="00BF20CF">
        <w:rPr>
          <w:rFonts w:cs="Arial"/>
          <w:szCs w:val="24"/>
          <w:u w:val="none"/>
        </w:rPr>
        <w:t>4-Staff-7</w:t>
      </w:r>
    </w:p>
    <w:p w14:paraId="629853B9" w14:textId="77777777" w:rsidR="00F227B4" w:rsidRPr="00BF20CF" w:rsidRDefault="00F227B4" w:rsidP="00C84F5B">
      <w:pPr>
        <w:rPr>
          <w:rFonts w:ascii="Arial" w:hAnsi="Arial" w:cs="Arial"/>
          <w:b/>
        </w:rPr>
      </w:pPr>
      <w:r w:rsidRPr="00BF20CF">
        <w:rPr>
          <w:rFonts w:ascii="Arial" w:hAnsi="Arial" w:cs="Arial"/>
          <w:b/>
        </w:rPr>
        <w:t>Ref:</w:t>
      </w:r>
      <w:r w:rsidRPr="00BF20CF">
        <w:rPr>
          <w:rFonts w:ascii="Arial" w:hAnsi="Arial" w:cs="Arial"/>
          <w:b/>
        </w:rPr>
        <w:tab/>
        <w:t>Exhibit 4/Tab 1/Schedule 5/Attachment A/pp.9-11 of 13</w:t>
      </w:r>
    </w:p>
    <w:p w14:paraId="1F9992F4" w14:textId="77777777" w:rsidR="00210FE3" w:rsidRPr="00BF20CF" w:rsidRDefault="00210FE3" w:rsidP="00250F7E">
      <w:pPr>
        <w:rPr>
          <w:rFonts w:ascii="Arial" w:hAnsi="Arial" w:cs="Arial"/>
          <w:bCs/>
        </w:rPr>
      </w:pPr>
    </w:p>
    <w:p w14:paraId="6F2A994B" w14:textId="760B3064" w:rsidR="00F227B4" w:rsidRPr="00BF20CF" w:rsidRDefault="00F227B4" w:rsidP="00250F7E">
      <w:pPr>
        <w:autoSpaceDE w:val="0"/>
        <w:autoSpaceDN w:val="0"/>
        <w:adjustRightInd w:val="0"/>
        <w:spacing w:line="276" w:lineRule="auto"/>
        <w:rPr>
          <w:rFonts w:ascii="Arial" w:hAnsi="Arial" w:cs="Arial"/>
          <w:bCs/>
        </w:rPr>
      </w:pPr>
      <w:r w:rsidRPr="00BF20CF">
        <w:rPr>
          <w:rFonts w:ascii="Arial" w:hAnsi="Arial" w:cs="Arial"/>
          <w:bCs/>
        </w:rPr>
        <w:t>Question(s):</w:t>
      </w:r>
    </w:p>
    <w:p w14:paraId="264C66FD" w14:textId="77777777" w:rsidR="00250F7E" w:rsidRPr="00BF20CF" w:rsidRDefault="00250F7E" w:rsidP="00250F7E">
      <w:pPr>
        <w:autoSpaceDE w:val="0"/>
        <w:autoSpaceDN w:val="0"/>
        <w:adjustRightInd w:val="0"/>
        <w:spacing w:line="276" w:lineRule="auto"/>
        <w:rPr>
          <w:rFonts w:ascii="Arial" w:hAnsi="Arial" w:cs="Arial"/>
          <w:bCs/>
        </w:rPr>
      </w:pPr>
    </w:p>
    <w:p w14:paraId="5047B9DF" w14:textId="77777777" w:rsidR="00F227B4" w:rsidRPr="00BF20CF" w:rsidRDefault="00F227B4" w:rsidP="00250F7E">
      <w:pPr>
        <w:pStyle w:val="ListParagraph"/>
        <w:numPr>
          <w:ilvl w:val="0"/>
          <w:numId w:val="177"/>
        </w:numPr>
        <w:autoSpaceDE w:val="0"/>
        <w:autoSpaceDN w:val="0"/>
        <w:adjustRightInd w:val="0"/>
        <w:spacing w:line="276" w:lineRule="auto"/>
        <w:rPr>
          <w:rFonts w:ascii="Arial" w:hAnsi="Arial" w:cs="Arial"/>
          <w:bCs/>
        </w:rPr>
      </w:pPr>
      <w:r w:rsidRPr="00BF20CF">
        <w:rPr>
          <w:rFonts w:ascii="Arial" w:hAnsi="Arial" w:cs="Arial"/>
          <w:bCs/>
        </w:rPr>
        <w:t>Please clarify whether Hydro Ottawa has a target percentage of temporary equivalents of the total number of FTEs for the 2021-2025 period.</w:t>
      </w:r>
    </w:p>
    <w:p w14:paraId="6AB281F1" w14:textId="77777777" w:rsidR="00F227B4" w:rsidRPr="00BF20CF" w:rsidRDefault="00F227B4" w:rsidP="00F227B4">
      <w:pPr>
        <w:pStyle w:val="ListParagraph"/>
        <w:numPr>
          <w:ilvl w:val="0"/>
          <w:numId w:val="178"/>
        </w:numPr>
        <w:autoSpaceDE w:val="0"/>
        <w:autoSpaceDN w:val="0"/>
        <w:adjustRightInd w:val="0"/>
        <w:spacing w:before="240" w:after="120" w:line="276" w:lineRule="auto"/>
        <w:rPr>
          <w:rFonts w:ascii="Arial" w:hAnsi="Arial" w:cs="Arial"/>
          <w:bCs/>
        </w:rPr>
      </w:pPr>
      <w:r w:rsidRPr="00BF20CF">
        <w:rPr>
          <w:rFonts w:ascii="Arial" w:hAnsi="Arial" w:cs="Arial"/>
          <w:bCs/>
        </w:rPr>
        <w:t>If so, please specify the target.</w:t>
      </w:r>
    </w:p>
    <w:p w14:paraId="76895ACE" w14:textId="1733E861" w:rsidR="00D56845" w:rsidRPr="00BF20CF" w:rsidRDefault="00F227B4" w:rsidP="00C84F5B">
      <w:pPr>
        <w:pStyle w:val="ListParagraph"/>
        <w:numPr>
          <w:ilvl w:val="0"/>
          <w:numId w:val="178"/>
        </w:numPr>
        <w:autoSpaceDE w:val="0"/>
        <w:autoSpaceDN w:val="0"/>
        <w:adjustRightInd w:val="0"/>
        <w:spacing w:before="240" w:after="120" w:line="276" w:lineRule="auto"/>
        <w:rPr>
          <w:rFonts w:ascii="Arial" w:hAnsi="Arial" w:cs="Arial"/>
          <w:bCs/>
        </w:rPr>
      </w:pPr>
      <w:r w:rsidRPr="00BF20CF">
        <w:rPr>
          <w:rFonts w:ascii="Arial" w:hAnsi="Arial" w:cs="Arial"/>
          <w:bCs/>
        </w:rPr>
        <w:t>If so, please also explain how the target is determined.</w:t>
      </w:r>
    </w:p>
    <w:p w14:paraId="3D669CFE" w14:textId="77777777" w:rsidR="00EA6DF1" w:rsidRPr="00BF20CF" w:rsidRDefault="00EA6DF1" w:rsidP="00EA6DF1">
      <w:pPr>
        <w:pStyle w:val="ListParagraph"/>
        <w:autoSpaceDE w:val="0"/>
        <w:autoSpaceDN w:val="0"/>
        <w:adjustRightInd w:val="0"/>
        <w:spacing w:before="240" w:after="120" w:line="276" w:lineRule="auto"/>
        <w:ind w:left="1440"/>
        <w:rPr>
          <w:rFonts w:ascii="Arial" w:hAnsi="Arial" w:cs="Arial"/>
          <w:bCs/>
        </w:rPr>
      </w:pPr>
    </w:p>
    <w:p w14:paraId="346F2895" w14:textId="7468E0EA" w:rsidR="00482130" w:rsidRPr="00BF20CF" w:rsidRDefault="00482130" w:rsidP="00C84F5B">
      <w:pPr>
        <w:spacing w:line="276" w:lineRule="auto"/>
        <w:rPr>
          <w:rFonts w:ascii="Arial" w:hAnsi="Arial" w:cs="Arial"/>
          <w:b/>
        </w:rPr>
      </w:pPr>
      <w:r w:rsidRPr="00BF20CF">
        <w:rPr>
          <w:rFonts w:ascii="Arial" w:hAnsi="Arial" w:cs="Arial"/>
          <w:b/>
        </w:rPr>
        <w:t xml:space="preserve">Payments in Lieu of Taxes </w:t>
      </w:r>
      <w:proofErr w:type="spellStart"/>
      <w:r w:rsidRPr="00BF20CF">
        <w:rPr>
          <w:rFonts w:ascii="Arial" w:hAnsi="Arial" w:cs="Arial"/>
          <w:b/>
        </w:rPr>
        <w:t>Workform</w:t>
      </w:r>
      <w:proofErr w:type="spellEnd"/>
    </w:p>
    <w:p w14:paraId="2774BCF0" w14:textId="77777777" w:rsidR="00482130" w:rsidRPr="00BF20CF" w:rsidRDefault="00482130" w:rsidP="00C84F5B">
      <w:pPr>
        <w:spacing w:line="276" w:lineRule="auto"/>
        <w:rPr>
          <w:rFonts w:ascii="Arial" w:hAnsi="Arial" w:cs="Arial"/>
        </w:rPr>
      </w:pPr>
    </w:p>
    <w:p w14:paraId="77405891" w14:textId="031C7DD7" w:rsidR="00D56845" w:rsidRPr="00BF20CF" w:rsidRDefault="00D56845" w:rsidP="00D56845">
      <w:pPr>
        <w:autoSpaceDE w:val="0"/>
        <w:autoSpaceDN w:val="0"/>
        <w:adjustRightInd w:val="0"/>
        <w:spacing w:line="276" w:lineRule="auto"/>
        <w:rPr>
          <w:rFonts w:ascii="Arial" w:hAnsi="Arial" w:cs="Arial"/>
          <w:b/>
        </w:rPr>
      </w:pPr>
      <w:r w:rsidRPr="00BF20CF">
        <w:rPr>
          <w:rFonts w:ascii="Arial" w:hAnsi="Arial" w:cs="Arial"/>
          <w:b/>
        </w:rPr>
        <w:t>4</w:t>
      </w:r>
      <w:r w:rsidR="00250F7E" w:rsidRPr="00BF20CF">
        <w:rPr>
          <w:rFonts w:ascii="Arial" w:hAnsi="Arial" w:cs="Arial"/>
          <w:b/>
        </w:rPr>
        <w:t>-Staff-8</w:t>
      </w:r>
    </w:p>
    <w:p w14:paraId="7A929F05" w14:textId="402D90E2" w:rsidR="00D56845" w:rsidRPr="00BF20CF" w:rsidRDefault="00D56845" w:rsidP="00B95C00">
      <w:pPr>
        <w:autoSpaceDE w:val="0"/>
        <w:autoSpaceDN w:val="0"/>
        <w:adjustRightInd w:val="0"/>
        <w:spacing w:line="276" w:lineRule="auto"/>
        <w:ind w:left="720" w:hanging="720"/>
        <w:rPr>
          <w:rFonts w:ascii="Arial" w:hAnsi="Arial" w:cs="Arial"/>
          <w:b/>
        </w:rPr>
      </w:pPr>
      <w:r w:rsidRPr="00BF20CF">
        <w:rPr>
          <w:rFonts w:ascii="Arial" w:hAnsi="Arial" w:cs="Arial"/>
          <w:b/>
        </w:rPr>
        <w:t>Ref:</w:t>
      </w:r>
      <w:r w:rsidRPr="00BF20CF">
        <w:rPr>
          <w:rFonts w:ascii="Arial" w:hAnsi="Arial" w:cs="Arial"/>
          <w:b/>
        </w:rPr>
        <w:tab/>
      </w:r>
      <w:r w:rsidR="00B95C00" w:rsidRPr="00BF20CF">
        <w:rPr>
          <w:rFonts w:ascii="Arial" w:hAnsi="Arial" w:cs="Arial"/>
          <w:b/>
        </w:rPr>
        <w:t xml:space="preserve">Updated </w:t>
      </w:r>
      <w:r w:rsidRPr="00BF20CF">
        <w:rPr>
          <w:rFonts w:ascii="Arial" w:hAnsi="Arial" w:cs="Arial"/>
          <w:b/>
        </w:rPr>
        <w:t xml:space="preserve">Exhibit 4/Tab 4/Schedule 1/Attachments D-H: PILS </w:t>
      </w:r>
      <w:proofErr w:type="spellStart"/>
      <w:r w:rsidRPr="00BF20CF">
        <w:rPr>
          <w:rFonts w:ascii="Arial" w:hAnsi="Arial" w:cs="Arial"/>
          <w:b/>
        </w:rPr>
        <w:t>Workforms</w:t>
      </w:r>
      <w:proofErr w:type="spellEnd"/>
    </w:p>
    <w:p w14:paraId="65EB75D4" w14:textId="4C2CF1C6" w:rsidR="00D56845" w:rsidRPr="00BF20CF" w:rsidRDefault="00B95C00" w:rsidP="00D56845">
      <w:pPr>
        <w:autoSpaceDE w:val="0"/>
        <w:autoSpaceDN w:val="0"/>
        <w:adjustRightInd w:val="0"/>
        <w:spacing w:line="276" w:lineRule="auto"/>
        <w:ind w:left="720"/>
        <w:rPr>
          <w:rFonts w:ascii="Arial" w:hAnsi="Arial" w:cs="Arial"/>
          <w:b/>
        </w:rPr>
      </w:pPr>
      <w:r w:rsidRPr="00BF20CF">
        <w:rPr>
          <w:rFonts w:ascii="Arial" w:hAnsi="Arial" w:cs="Arial"/>
          <w:b/>
        </w:rPr>
        <w:t xml:space="preserve">Updated </w:t>
      </w:r>
      <w:r w:rsidR="00D56845" w:rsidRPr="00BF20CF">
        <w:rPr>
          <w:rFonts w:ascii="Arial" w:hAnsi="Arial" w:cs="Arial"/>
          <w:b/>
        </w:rPr>
        <w:t xml:space="preserve">Exhibit 2/Tab 2/Schedule 1/Attachments F-J: Fixed Assets Continuity Schedules </w:t>
      </w:r>
    </w:p>
    <w:p w14:paraId="15143F54" w14:textId="5838C838" w:rsidR="00D56845" w:rsidRPr="00BF20CF" w:rsidRDefault="00D56845" w:rsidP="00D56845">
      <w:pPr>
        <w:spacing w:before="240"/>
        <w:rPr>
          <w:rFonts w:ascii="Arial" w:hAnsi="Arial" w:cs="Arial"/>
          <w:b/>
        </w:rPr>
      </w:pPr>
      <w:r w:rsidRPr="00BF20CF">
        <w:rPr>
          <w:rFonts w:ascii="Arial" w:hAnsi="Arial" w:cs="Arial"/>
        </w:rPr>
        <w:t xml:space="preserve">Question(s): </w:t>
      </w:r>
    </w:p>
    <w:p w14:paraId="44CE2FEA" w14:textId="77777777" w:rsidR="00D56845" w:rsidRPr="00BF20CF" w:rsidRDefault="00D56845" w:rsidP="00DA686D">
      <w:pPr>
        <w:pStyle w:val="ListParagraph"/>
        <w:numPr>
          <w:ilvl w:val="0"/>
          <w:numId w:val="179"/>
        </w:numPr>
        <w:spacing w:before="240" w:after="160" w:line="259" w:lineRule="auto"/>
        <w:rPr>
          <w:rFonts w:ascii="Arial" w:hAnsi="Arial" w:cs="Arial"/>
        </w:rPr>
      </w:pPr>
      <w:r w:rsidRPr="00BF20CF">
        <w:rPr>
          <w:rFonts w:ascii="Arial" w:hAnsi="Arial" w:cs="Arial"/>
        </w:rPr>
        <w:t xml:space="preserve">Please explain and reconcile the differences between the amortization added back in the PILS </w:t>
      </w:r>
      <w:proofErr w:type="spellStart"/>
      <w:r w:rsidRPr="00BF20CF">
        <w:rPr>
          <w:rFonts w:ascii="Arial" w:hAnsi="Arial" w:cs="Arial"/>
        </w:rPr>
        <w:t>workforms</w:t>
      </w:r>
      <w:proofErr w:type="spellEnd"/>
      <w:r w:rsidRPr="00BF20CF">
        <w:rPr>
          <w:rFonts w:ascii="Arial" w:hAnsi="Arial" w:cs="Arial"/>
        </w:rPr>
        <w:t xml:space="preserve"> to the Fixed Assets Continuity Schedules for the following test years. </w:t>
      </w:r>
    </w:p>
    <w:p w14:paraId="3510F8E7" w14:textId="77777777" w:rsidR="00D56845" w:rsidRPr="00BF20CF" w:rsidRDefault="00D56845" w:rsidP="00D56845">
      <w:pPr>
        <w:pStyle w:val="ListParagraph"/>
        <w:spacing w:before="240"/>
        <w:rPr>
          <w:rFonts w:ascii="Arial" w:hAnsi="Arial" w:cs="Arial"/>
        </w:rPr>
      </w:pPr>
    </w:p>
    <w:p w14:paraId="6729880A" w14:textId="53F04D3B" w:rsidR="00D56845" w:rsidRPr="00BF20CF" w:rsidRDefault="00C72493" w:rsidP="00D56845">
      <w:pPr>
        <w:pStyle w:val="ListParagraph"/>
        <w:spacing w:before="240"/>
        <w:rPr>
          <w:rFonts w:ascii="Arial" w:hAnsi="Arial" w:cs="Arial"/>
        </w:rPr>
      </w:pPr>
      <w:r w:rsidRPr="00BF20CF">
        <w:rPr>
          <w:noProof/>
          <w:lang w:val="en-US"/>
        </w:rPr>
        <w:drawing>
          <wp:inline distT="0" distB="0" distL="0" distR="0" wp14:anchorId="44CFA447" wp14:editId="3F111745">
            <wp:extent cx="5486400" cy="12085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6443" cy="1210810"/>
                    </a:xfrm>
                    <a:prstGeom prst="rect">
                      <a:avLst/>
                    </a:prstGeom>
                    <a:noFill/>
                    <a:ln>
                      <a:noFill/>
                    </a:ln>
                  </pic:spPr>
                </pic:pic>
              </a:graphicData>
            </a:graphic>
          </wp:inline>
        </w:drawing>
      </w:r>
    </w:p>
    <w:p w14:paraId="3F54C478" w14:textId="77777777" w:rsidR="00D56845" w:rsidRPr="00BF20CF" w:rsidRDefault="00D56845" w:rsidP="00D56845">
      <w:pPr>
        <w:pStyle w:val="ListParagraph"/>
        <w:spacing w:before="240"/>
        <w:rPr>
          <w:rFonts w:ascii="Arial" w:hAnsi="Arial" w:cs="Arial"/>
        </w:rPr>
      </w:pPr>
    </w:p>
    <w:p w14:paraId="32020B75" w14:textId="77777777" w:rsidR="00D56845" w:rsidRPr="00BF20CF" w:rsidRDefault="00D56845" w:rsidP="00D56845">
      <w:pPr>
        <w:pStyle w:val="ListParagraph"/>
        <w:spacing w:before="240"/>
        <w:rPr>
          <w:rFonts w:ascii="Arial" w:hAnsi="Arial" w:cs="Arial"/>
        </w:rPr>
      </w:pPr>
    </w:p>
    <w:p w14:paraId="137E5582" w14:textId="77777777" w:rsidR="00D56845" w:rsidRPr="00BF20CF" w:rsidRDefault="00D56845" w:rsidP="00DA686D">
      <w:pPr>
        <w:pStyle w:val="ListParagraph"/>
        <w:numPr>
          <w:ilvl w:val="0"/>
          <w:numId w:val="179"/>
        </w:numPr>
        <w:spacing w:before="240" w:after="160" w:line="259" w:lineRule="auto"/>
        <w:rPr>
          <w:rFonts w:ascii="Arial" w:hAnsi="Arial" w:cs="Arial"/>
        </w:rPr>
      </w:pPr>
      <w:r w:rsidRPr="00BF20CF">
        <w:rPr>
          <w:rFonts w:ascii="Arial" w:hAnsi="Arial" w:cs="Arial"/>
        </w:rPr>
        <w:t xml:space="preserve">Please explain and reconcile the differences between the capital additions in Schedule 8 from the PILS </w:t>
      </w:r>
      <w:proofErr w:type="spellStart"/>
      <w:r w:rsidRPr="00BF20CF">
        <w:rPr>
          <w:rFonts w:ascii="Arial" w:hAnsi="Arial" w:cs="Arial"/>
        </w:rPr>
        <w:t>workforms</w:t>
      </w:r>
      <w:proofErr w:type="spellEnd"/>
      <w:r w:rsidRPr="00BF20CF">
        <w:rPr>
          <w:rFonts w:ascii="Arial" w:hAnsi="Arial" w:cs="Arial"/>
        </w:rPr>
        <w:t xml:space="preserve"> to the Fixed Assets Continuity Schedules for the following test years. </w:t>
      </w:r>
    </w:p>
    <w:p w14:paraId="70A31312" w14:textId="77777777" w:rsidR="00D56845" w:rsidRPr="00BF20CF" w:rsidRDefault="00D56845" w:rsidP="00D56845">
      <w:pPr>
        <w:pStyle w:val="ListParagraph"/>
        <w:spacing w:before="240"/>
        <w:rPr>
          <w:rFonts w:ascii="Arial" w:hAnsi="Arial" w:cs="Arial"/>
        </w:rPr>
      </w:pPr>
    </w:p>
    <w:p w14:paraId="3B1F983E" w14:textId="3BD6817A" w:rsidR="00D56845" w:rsidRPr="00BF20CF" w:rsidRDefault="00C72493" w:rsidP="00D56845">
      <w:pPr>
        <w:pStyle w:val="ListParagraph"/>
        <w:spacing w:before="240"/>
        <w:rPr>
          <w:rFonts w:ascii="Arial" w:hAnsi="Arial" w:cs="Arial"/>
        </w:rPr>
      </w:pPr>
      <w:r w:rsidRPr="00BF20CF">
        <w:rPr>
          <w:noProof/>
          <w:lang w:val="en-US"/>
        </w:rPr>
        <w:drawing>
          <wp:inline distT="0" distB="0" distL="0" distR="0" wp14:anchorId="2F3200A9" wp14:editId="3897A24F">
            <wp:extent cx="5486400" cy="116884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9750" cy="1171685"/>
                    </a:xfrm>
                    <a:prstGeom prst="rect">
                      <a:avLst/>
                    </a:prstGeom>
                    <a:noFill/>
                    <a:ln>
                      <a:noFill/>
                    </a:ln>
                  </pic:spPr>
                </pic:pic>
              </a:graphicData>
            </a:graphic>
          </wp:inline>
        </w:drawing>
      </w:r>
    </w:p>
    <w:p w14:paraId="64680254" w14:textId="2118BADA" w:rsidR="00EA6DF1" w:rsidRPr="00BF20CF" w:rsidRDefault="00EA6DF1" w:rsidP="00C84F5B">
      <w:pPr>
        <w:spacing w:line="276" w:lineRule="auto"/>
        <w:rPr>
          <w:rFonts w:ascii="Arial" w:hAnsi="Arial" w:cs="Arial"/>
        </w:rPr>
      </w:pPr>
      <w:r w:rsidRPr="00BF20CF">
        <w:rPr>
          <w:rFonts w:ascii="Arial" w:hAnsi="Arial" w:cs="Arial"/>
        </w:rPr>
        <w:br w:type="page"/>
      </w:r>
    </w:p>
    <w:p w14:paraId="052E408A" w14:textId="77777777" w:rsidR="00482130" w:rsidRPr="00BF20CF" w:rsidRDefault="00482130" w:rsidP="00C84F5B">
      <w:pPr>
        <w:spacing w:line="276" w:lineRule="auto"/>
        <w:rPr>
          <w:rFonts w:ascii="Arial" w:hAnsi="Arial" w:cs="Arial"/>
          <w:b/>
        </w:rPr>
      </w:pPr>
      <w:r w:rsidRPr="00BF20CF">
        <w:rPr>
          <w:rFonts w:ascii="Arial" w:hAnsi="Arial" w:cs="Arial"/>
          <w:b/>
        </w:rPr>
        <w:lastRenderedPageBreak/>
        <w:t>Exhibit 5 – Cost of Capital and Capital Structure</w:t>
      </w:r>
    </w:p>
    <w:p w14:paraId="5A6E9073" w14:textId="77777777" w:rsidR="00482130" w:rsidRPr="00BF20CF" w:rsidRDefault="00482130" w:rsidP="00C84F5B">
      <w:pPr>
        <w:spacing w:line="276" w:lineRule="auto"/>
        <w:rPr>
          <w:rFonts w:ascii="Arial" w:hAnsi="Arial" w:cs="Arial"/>
          <w:b/>
        </w:rPr>
      </w:pPr>
    </w:p>
    <w:p w14:paraId="5EA86CF5" w14:textId="77777777" w:rsidR="00482130" w:rsidRPr="00BF20CF" w:rsidRDefault="00482130" w:rsidP="00C84F5B">
      <w:pPr>
        <w:spacing w:line="276" w:lineRule="auto"/>
        <w:rPr>
          <w:rFonts w:ascii="Arial" w:eastAsiaTheme="minorHAnsi" w:hAnsi="Arial" w:cs="Arial"/>
          <w:b/>
        </w:rPr>
      </w:pPr>
      <w:r w:rsidRPr="00BF20CF">
        <w:rPr>
          <w:rFonts w:ascii="Arial" w:eastAsiaTheme="minorHAnsi" w:hAnsi="Arial" w:cs="Arial"/>
          <w:b/>
        </w:rPr>
        <w:t>Short-term Debt</w:t>
      </w:r>
    </w:p>
    <w:p w14:paraId="0A776FAE" w14:textId="07F99237" w:rsidR="00EA6DF1" w:rsidRPr="00BF20CF" w:rsidRDefault="00EA6DF1" w:rsidP="00EA6DF1">
      <w:pPr>
        <w:pStyle w:val="StaffHeader"/>
        <w:numPr>
          <w:ilvl w:val="0"/>
          <w:numId w:val="0"/>
        </w:numPr>
        <w:spacing w:before="240"/>
        <w:rPr>
          <w:rFonts w:cs="Arial"/>
          <w:szCs w:val="24"/>
          <w:u w:val="none"/>
        </w:rPr>
      </w:pPr>
      <w:r w:rsidRPr="00BF20CF">
        <w:rPr>
          <w:rFonts w:cs="Arial"/>
          <w:szCs w:val="24"/>
          <w:u w:val="none"/>
        </w:rPr>
        <w:t>5-Staff-1</w:t>
      </w:r>
    </w:p>
    <w:p w14:paraId="2B4B5BA2" w14:textId="77777777" w:rsidR="00482130" w:rsidRPr="00BF20CF" w:rsidRDefault="00482130" w:rsidP="00C84F5B">
      <w:pPr>
        <w:spacing w:line="276" w:lineRule="auto"/>
        <w:rPr>
          <w:rFonts w:ascii="Arial" w:eastAsiaTheme="minorHAnsi" w:hAnsi="Arial" w:cs="Arial"/>
          <w:b/>
        </w:rPr>
      </w:pPr>
      <w:r w:rsidRPr="00BF20CF">
        <w:rPr>
          <w:rFonts w:ascii="Arial" w:eastAsiaTheme="minorHAnsi" w:hAnsi="Arial" w:cs="Arial"/>
          <w:b/>
        </w:rPr>
        <w:t>Ref:</w:t>
      </w:r>
      <w:r w:rsidRPr="00BF20CF">
        <w:rPr>
          <w:rFonts w:ascii="Arial" w:eastAsiaTheme="minorHAnsi" w:hAnsi="Arial" w:cs="Arial"/>
          <w:b/>
        </w:rPr>
        <w:tab/>
        <w:t>Exhibit 5/Tab 1/Schedule 1/p. 2</w:t>
      </w:r>
    </w:p>
    <w:p w14:paraId="050728BA"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Preamble:</w:t>
      </w:r>
    </w:p>
    <w:p w14:paraId="7EB216FF"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Hydro Ottawa proposes to use the deemed short-term debt rate of 2.75% established and issued by the OEB for 2020 as the deemed short-term debt for all years of the plan from 2021 to 2025.</w:t>
      </w:r>
    </w:p>
    <w:p w14:paraId="11293405"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Question(s):</w:t>
      </w:r>
    </w:p>
    <w:p w14:paraId="74BD4F32" w14:textId="0332BFB5" w:rsidR="00482130" w:rsidRPr="00BF20CF" w:rsidRDefault="00482130" w:rsidP="00DA686D">
      <w:pPr>
        <w:numPr>
          <w:ilvl w:val="0"/>
          <w:numId w:val="191"/>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confirm OEB staff’s understanding that Hydro Ottawa is not proposing to update the deemed short-term debt rate at the time of the decision and draft rate order for 2021 rates, even in the even that the updated cost of capital parameters for 2021 have been issued by the OEB.</w:t>
      </w:r>
    </w:p>
    <w:p w14:paraId="4CF12B71" w14:textId="77777777" w:rsidR="00F34BF6" w:rsidRPr="00BF20CF" w:rsidRDefault="00F34BF6" w:rsidP="00F34BF6">
      <w:pPr>
        <w:autoSpaceDE w:val="0"/>
        <w:autoSpaceDN w:val="0"/>
        <w:adjustRightInd w:val="0"/>
        <w:spacing w:before="240" w:after="120" w:line="276" w:lineRule="auto"/>
        <w:ind w:left="720"/>
        <w:contextualSpacing/>
        <w:rPr>
          <w:rFonts w:ascii="Arial" w:hAnsi="Arial" w:cs="Arial"/>
          <w:lang w:val="en-CA"/>
        </w:rPr>
      </w:pPr>
    </w:p>
    <w:p w14:paraId="1D9437E3" w14:textId="312C14EC" w:rsidR="00482130" w:rsidRPr="00BF20CF" w:rsidRDefault="00482130" w:rsidP="00DA686D">
      <w:pPr>
        <w:numPr>
          <w:ilvl w:val="0"/>
          <w:numId w:val="191"/>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Please explain how Hydro Ottawa’s proposal is consistent with the OEB’s policies and practices, particularly as documented in the Rate Handbook, and </w:t>
      </w:r>
      <w:r w:rsidRPr="00BF20CF">
        <w:rPr>
          <w:rFonts w:ascii="Arial" w:hAnsi="Arial" w:cs="Arial"/>
          <w:i/>
          <w:lang w:val="en-CA"/>
        </w:rPr>
        <w:t>the Report of the Board on the Cost of Capital for Ontario’s Regulated Utilities</w:t>
      </w:r>
      <w:r w:rsidRPr="00BF20CF">
        <w:rPr>
          <w:rFonts w:ascii="Arial" w:hAnsi="Arial" w:cs="Arial"/>
          <w:lang w:val="en-CA"/>
        </w:rPr>
        <w:t>, (EB-2009-0084), issued December 11, 2009 (the Cost of Capital Report).</w:t>
      </w:r>
    </w:p>
    <w:p w14:paraId="032B5E21" w14:textId="77777777" w:rsidR="00F34BF6" w:rsidRPr="00BF20CF" w:rsidRDefault="00F34BF6" w:rsidP="00F34BF6">
      <w:pPr>
        <w:autoSpaceDE w:val="0"/>
        <w:autoSpaceDN w:val="0"/>
        <w:adjustRightInd w:val="0"/>
        <w:spacing w:before="240" w:after="120" w:line="276" w:lineRule="auto"/>
        <w:ind w:left="720"/>
        <w:contextualSpacing/>
        <w:rPr>
          <w:rFonts w:ascii="Arial" w:hAnsi="Arial" w:cs="Arial"/>
          <w:lang w:val="en-CA"/>
        </w:rPr>
      </w:pPr>
    </w:p>
    <w:p w14:paraId="5A30C9B8" w14:textId="6F6CD996" w:rsidR="00482130" w:rsidRPr="00BF20CF" w:rsidRDefault="00482130" w:rsidP="00DA686D">
      <w:pPr>
        <w:numPr>
          <w:ilvl w:val="0"/>
          <w:numId w:val="191"/>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Please identify any precedents that Hydro Ottawa is relying on in support of its deemed short-term debt rate proposal.</w:t>
      </w:r>
    </w:p>
    <w:p w14:paraId="67C7E643" w14:textId="77777777" w:rsidR="00EA6DF1" w:rsidRPr="00BF20CF" w:rsidRDefault="00EA6DF1" w:rsidP="00EA6DF1">
      <w:pPr>
        <w:pStyle w:val="ListParagraph"/>
        <w:spacing w:before="120"/>
        <w:rPr>
          <w:rFonts w:ascii="Arial" w:hAnsi="Arial" w:cs="Arial"/>
        </w:rPr>
      </w:pPr>
    </w:p>
    <w:p w14:paraId="1CB771E9" w14:textId="77777777" w:rsidR="00482130" w:rsidRPr="00BF20CF" w:rsidRDefault="00482130" w:rsidP="00EA6DF1">
      <w:pPr>
        <w:spacing w:before="120" w:line="276" w:lineRule="auto"/>
        <w:rPr>
          <w:rFonts w:ascii="Arial" w:eastAsiaTheme="minorHAnsi" w:hAnsi="Arial" w:cs="Arial"/>
          <w:b/>
        </w:rPr>
      </w:pPr>
      <w:r w:rsidRPr="00BF20CF">
        <w:rPr>
          <w:rFonts w:ascii="Arial" w:eastAsiaTheme="minorHAnsi" w:hAnsi="Arial" w:cs="Arial"/>
          <w:b/>
        </w:rPr>
        <w:t>Long-Term Debt</w:t>
      </w:r>
    </w:p>
    <w:p w14:paraId="4561FB7A" w14:textId="6B073DAB" w:rsidR="00EA6DF1" w:rsidRPr="00BF20CF" w:rsidRDefault="00EA6DF1" w:rsidP="00EA6DF1">
      <w:pPr>
        <w:pStyle w:val="StaffHeader"/>
        <w:numPr>
          <w:ilvl w:val="0"/>
          <w:numId w:val="0"/>
        </w:numPr>
        <w:spacing w:before="240"/>
        <w:rPr>
          <w:rFonts w:cs="Arial"/>
          <w:szCs w:val="24"/>
          <w:u w:val="none"/>
        </w:rPr>
      </w:pPr>
      <w:r w:rsidRPr="00BF20CF">
        <w:rPr>
          <w:rFonts w:cs="Arial"/>
          <w:szCs w:val="24"/>
          <w:u w:val="none"/>
        </w:rPr>
        <w:t>5-Staff-2</w:t>
      </w:r>
    </w:p>
    <w:p w14:paraId="582F3FF2" w14:textId="77777777" w:rsidR="00482130" w:rsidRPr="00BF20CF" w:rsidRDefault="00482130" w:rsidP="00C84F5B">
      <w:pPr>
        <w:spacing w:line="276" w:lineRule="auto"/>
        <w:rPr>
          <w:rFonts w:ascii="Arial" w:eastAsiaTheme="minorHAnsi" w:hAnsi="Arial" w:cs="Arial"/>
          <w:b/>
        </w:rPr>
      </w:pPr>
      <w:r w:rsidRPr="00BF20CF">
        <w:rPr>
          <w:rFonts w:ascii="Arial" w:eastAsiaTheme="minorHAnsi" w:hAnsi="Arial" w:cs="Arial"/>
          <w:b/>
        </w:rPr>
        <w:t>Ref:</w:t>
      </w:r>
      <w:r w:rsidRPr="00BF20CF">
        <w:rPr>
          <w:rFonts w:ascii="Arial" w:eastAsiaTheme="minorHAnsi" w:hAnsi="Arial" w:cs="Arial"/>
          <w:b/>
        </w:rPr>
        <w:tab/>
        <w:t>Exhibit 5/Tab 1/Schedule 1/pp. 3-8</w:t>
      </w:r>
      <w:r w:rsidRPr="00BF20CF">
        <w:rPr>
          <w:rFonts w:ascii="Arial" w:eastAsiaTheme="minorHAnsi" w:hAnsi="Arial" w:cs="Arial"/>
          <w:b/>
        </w:rPr>
        <w:br/>
      </w:r>
      <w:r w:rsidRPr="00BF20CF">
        <w:rPr>
          <w:rFonts w:ascii="Arial" w:eastAsiaTheme="minorHAnsi" w:hAnsi="Arial" w:cs="Arial"/>
          <w:b/>
        </w:rPr>
        <w:tab/>
        <w:t>Appendices 2-OB for years 2021-2025</w:t>
      </w:r>
    </w:p>
    <w:p w14:paraId="27B51CA1"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Preamble:</w:t>
      </w:r>
    </w:p>
    <w:p w14:paraId="6A180DAC"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 xml:space="preserve">Hydro Ottawa has calculated its actual and forecasted long-term debt for each year of the plan from 2021 to 2025. Hydro Ottawa forecasts new debt issuances </w:t>
      </w:r>
      <w:r w:rsidRPr="00BF20CF">
        <w:rPr>
          <w:rFonts w:ascii="Arial" w:eastAsiaTheme="minorHAnsi" w:hAnsi="Arial" w:cs="Arial"/>
        </w:rPr>
        <w:lastRenderedPageBreak/>
        <w:t>of $60 million in 2021 and $80 million in 2023, as shown in Table 1 on page 6 of Exhibit 5/Tab 1/Schedule 1.</w:t>
      </w:r>
    </w:p>
    <w:p w14:paraId="37D180BD"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Hydro Ottawa has forecasted the long-term debt rate for each year of the plan, stating:</w:t>
      </w:r>
    </w:p>
    <w:p w14:paraId="7B4492CC" w14:textId="77777777" w:rsidR="00482130" w:rsidRPr="00BF20CF" w:rsidRDefault="00482130" w:rsidP="00C84F5B">
      <w:pPr>
        <w:spacing w:before="240" w:after="120" w:line="276" w:lineRule="auto"/>
        <w:ind w:left="720" w:right="720"/>
        <w:rPr>
          <w:rFonts w:ascii="Arial" w:eastAsiaTheme="minorHAnsi" w:hAnsi="Arial" w:cs="Arial"/>
        </w:rPr>
      </w:pPr>
      <w:r w:rsidRPr="00BF20CF">
        <w:rPr>
          <w:rFonts w:ascii="Arial" w:eastAsiaTheme="minorHAnsi" w:hAnsi="Arial" w:cs="Arial"/>
        </w:rPr>
        <w:t>The long-term debt rate is calculated as the weighted average rate of existing embedded debt and forecast debt planned to be issued from 2021-2025. The calculation to determine the anticipated long-term debt rate is comprised of three components:</w:t>
      </w:r>
    </w:p>
    <w:p w14:paraId="10C08889" w14:textId="77777777" w:rsidR="00482130" w:rsidRPr="00BF20CF" w:rsidRDefault="00482130" w:rsidP="00DA686D">
      <w:pPr>
        <w:numPr>
          <w:ilvl w:val="0"/>
          <w:numId w:val="190"/>
        </w:numPr>
        <w:autoSpaceDE w:val="0"/>
        <w:autoSpaceDN w:val="0"/>
        <w:adjustRightInd w:val="0"/>
        <w:spacing w:before="240" w:after="120" w:line="276" w:lineRule="auto"/>
        <w:ind w:right="720"/>
        <w:contextualSpacing/>
        <w:rPr>
          <w:rFonts w:ascii="Arial" w:hAnsi="Arial" w:cs="Arial"/>
          <w:lang w:val="en-CA"/>
        </w:rPr>
      </w:pPr>
      <w:r w:rsidRPr="00BF20CF">
        <w:rPr>
          <w:rFonts w:ascii="Arial" w:hAnsi="Arial" w:cs="Arial"/>
          <w:lang w:val="en-CA"/>
        </w:rPr>
        <w:t>The forecast Government of Canada 10-year bond yield;</w:t>
      </w:r>
    </w:p>
    <w:p w14:paraId="45429CF4" w14:textId="77777777" w:rsidR="00482130" w:rsidRPr="00BF20CF" w:rsidRDefault="00482130" w:rsidP="00DA686D">
      <w:pPr>
        <w:numPr>
          <w:ilvl w:val="0"/>
          <w:numId w:val="190"/>
        </w:numPr>
        <w:autoSpaceDE w:val="0"/>
        <w:autoSpaceDN w:val="0"/>
        <w:adjustRightInd w:val="0"/>
        <w:spacing w:before="240" w:after="120" w:line="276" w:lineRule="auto"/>
        <w:ind w:right="720"/>
        <w:contextualSpacing/>
        <w:rPr>
          <w:rFonts w:ascii="Arial" w:hAnsi="Arial" w:cs="Arial"/>
          <w:lang w:val="en-CA"/>
        </w:rPr>
      </w:pPr>
      <w:r w:rsidRPr="00BF20CF">
        <w:rPr>
          <w:rFonts w:ascii="Arial" w:hAnsi="Arial" w:cs="Arial"/>
          <w:lang w:val="en-CA"/>
        </w:rPr>
        <w:t>The 30-year to 10-year Government of Canada bond yield spread; and</w:t>
      </w:r>
    </w:p>
    <w:p w14:paraId="278C046C" w14:textId="77777777" w:rsidR="00482130" w:rsidRPr="00BF20CF" w:rsidRDefault="00482130" w:rsidP="00DA686D">
      <w:pPr>
        <w:numPr>
          <w:ilvl w:val="0"/>
          <w:numId w:val="190"/>
        </w:numPr>
        <w:autoSpaceDE w:val="0"/>
        <w:autoSpaceDN w:val="0"/>
        <w:adjustRightInd w:val="0"/>
        <w:spacing w:before="240" w:after="120" w:line="276" w:lineRule="auto"/>
        <w:ind w:right="720"/>
        <w:contextualSpacing/>
        <w:rPr>
          <w:rFonts w:ascii="Arial" w:hAnsi="Arial" w:cs="Arial"/>
          <w:lang w:val="en-CA"/>
        </w:rPr>
      </w:pPr>
      <w:r w:rsidRPr="00BF20CF">
        <w:rPr>
          <w:rFonts w:ascii="Arial" w:hAnsi="Arial" w:cs="Arial"/>
          <w:lang w:val="en-CA"/>
        </w:rPr>
        <w:t>The Hydro Ottawa credit risk spread.</w:t>
      </w:r>
    </w:p>
    <w:p w14:paraId="41927D86" w14:textId="77777777" w:rsidR="00482130" w:rsidRPr="00BF20CF" w:rsidRDefault="00482130" w:rsidP="00C84F5B">
      <w:pPr>
        <w:spacing w:before="240" w:after="120" w:line="276" w:lineRule="auto"/>
        <w:ind w:left="720" w:right="720"/>
        <w:rPr>
          <w:rFonts w:ascii="Arial" w:eastAsiaTheme="minorHAnsi" w:hAnsi="Arial" w:cs="Arial"/>
        </w:rPr>
      </w:pPr>
      <w:r w:rsidRPr="00BF20CF">
        <w:rPr>
          <w:rFonts w:ascii="Arial" w:eastAsiaTheme="minorHAnsi" w:hAnsi="Arial" w:cs="Arial"/>
        </w:rPr>
        <w:t>The use of these three components emulates the calculation of the OEB Cost of Capital Report.</w:t>
      </w:r>
    </w:p>
    <w:p w14:paraId="2BE652CD"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Hydro Ottawa then describes the methodology that it used for forecasting the debt rates for forecasted debt of 10-year and 30-year maturities for each year:</w:t>
      </w:r>
    </w:p>
    <w:p w14:paraId="3E034323" w14:textId="77777777" w:rsidR="00482130" w:rsidRPr="00BF20CF" w:rsidRDefault="00482130" w:rsidP="00C84F5B">
      <w:pPr>
        <w:spacing w:before="240" w:after="120" w:line="276" w:lineRule="auto"/>
        <w:ind w:left="720" w:right="720"/>
        <w:rPr>
          <w:rFonts w:ascii="Arial" w:eastAsiaTheme="minorHAnsi" w:hAnsi="Arial" w:cs="Arial"/>
        </w:rPr>
      </w:pPr>
      <w:r w:rsidRPr="00BF20CF">
        <w:rPr>
          <w:rFonts w:ascii="Arial" w:eastAsiaTheme="minorHAnsi" w:hAnsi="Arial" w:cs="Arial"/>
        </w:rPr>
        <w:t>The underlying forecast for the Government of Canada 10-year yield is that which is presented in the October 2019 Consensus Long-Term Forecast (which is issued twice per year, in October and April).</w:t>
      </w:r>
    </w:p>
    <w:p w14:paraId="1E336631" w14:textId="77777777" w:rsidR="00482130" w:rsidRPr="00BF20CF" w:rsidRDefault="00482130" w:rsidP="00C84F5B">
      <w:pPr>
        <w:spacing w:before="240" w:after="120" w:line="276" w:lineRule="auto"/>
        <w:ind w:left="720" w:right="720"/>
        <w:rPr>
          <w:rFonts w:ascii="Arial" w:eastAsiaTheme="minorHAnsi" w:hAnsi="Arial" w:cs="Arial"/>
        </w:rPr>
      </w:pPr>
      <w:r w:rsidRPr="00BF20CF">
        <w:rPr>
          <w:rFonts w:ascii="Arial" w:eastAsiaTheme="minorHAnsi" w:hAnsi="Arial" w:cs="Arial"/>
        </w:rPr>
        <w:t>Hydro Ottawa 10-year bonds are forecast by adding the Hydro Ottawa historical credit spread of 112 basis points (“bps”) for 10-year bonds to the forecast Government of Canada 10-year yield.</w:t>
      </w:r>
    </w:p>
    <w:p w14:paraId="34E41C6D" w14:textId="77777777" w:rsidR="00482130" w:rsidRPr="00BF20CF" w:rsidRDefault="00482130" w:rsidP="00C84F5B">
      <w:pPr>
        <w:spacing w:before="240" w:after="120" w:line="276" w:lineRule="auto"/>
        <w:ind w:left="720" w:right="720"/>
        <w:rPr>
          <w:rFonts w:ascii="Arial" w:eastAsiaTheme="minorHAnsi" w:hAnsi="Arial" w:cs="Arial"/>
        </w:rPr>
      </w:pPr>
      <w:r w:rsidRPr="00BF20CF">
        <w:rPr>
          <w:rFonts w:ascii="Arial" w:eastAsiaTheme="minorHAnsi" w:hAnsi="Arial" w:cs="Arial"/>
        </w:rPr>
        <w:t>The 30-year Government of Canada bond yield is calculated using the Consensus Long-Term Forecast 10-year bond yield plus 44 bps, which as of October 2019 is the historical five-year average spread of the 30-year over 10-year Government of Canada bond yield, as calculated per the OEB Cost of Capital Report.</w:t>
      </w:r>
    </w:p>
    <w:p w14:paraId="2E234509" w14:textId="77777777" w:rsidR="00482130" w:rsidRPr="00BF20CF" w:rsidRDefault="00482130" w:rsidP="00C84F5B">
      <w:pPr>
        <w:spacing w:before="240" w:after="120" w:line="276" w:lineRule="auto"/>
        <w:ind w:left="720" w:right="720"/>
        <w:rPr>
          <w:rFonts w:ascii="Arial" w:eastAsiaTheme="minorHAnsi" w:hAnsi="Arial" w:cs="Arial"/>
        </w:rPr>
      </w:pPr>
      <w:r w:rsidRPr="00BF20CF">
        <w:rPr>
          <w:rFonts w:ascii="Arial" w:eastAsiaTheme="minorHAnsi" w:hAnsi="Arial" w:cs="Arial"/>
        </w:rPr>
        <w:t>Hydro Ottawa 30-year bonds are then forecast by adding the Hydro Ottawa historical credit spread of 148 bps for 30-year bonds to the forecast 30-year Government of Canada yields.</w:t>
      </w:r>
    </w:p>
    <w:p w14:paraId="1A1C3008" w14:textId="77777777" w:rsidR="00482130" w:rsidRPr="00BF20CF" w:rsidRDefault="00482130" w:rsidP="00C84F5B">
      <w:pPr>
        <w:spacing w:before="240" w:after="120" w:line="276" w:lineRule="auto"/>
        <w:ind w:left="720" w:right="720"/>
        <w:rPr>
          <w:rFonts w:ascii="Arial" w:eastAsiaTheme="minorHAnsi" w:hAnsi="Arial" w:cs="Arial"/>
        </w:rPr>
      </w:pPr>
      <w:r w:rsidRPr="00BF20CF">
        <w:rPr>
          <w:rFonts w:ascii="Arial" w:eastAsiaTheme="minorHAnsi" w:hAnsi="Arial" w:cs="Arial"/>
        </w:rPr>
        <w:t xml:space="preserve">The Hydro Ottawa historical credit spreads used for 10-year and 30-year bonds are as of October 2019 and are based on the </w:t>
      </w:r>
      <w:r w:rsidRPr="00BF20CF">
        <w:rPr>
          <w:rFonts w:ascii="Arial" w:eastAsiaTheme="minorHAnsi" w:hAnsi="Arial" w:cs="Arial"/>
        </w:rPr>
        <w:lastRenderedPageBreak/>
        <w:t>average Bank of Montreal (“BMO”) Capital Markets indicative spreads over the past two-and-a-half years for the Holding Company.</w:t>
      </w:r>
    </w:p>
    <w:p w14:paraId="466B5A81"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 xml:space="preserve">For the deemed long-term debt rate and the Return on Equity (ROE), the OEB uses spreads over between actual data (i.e., actual 10-year and 30-year Government of Bond yields, and 30-year Canadian utility A-rated corporate bond yields) for the same month of the </w:t>
      </w:r>
      <w:r w:rsidRPr="00BF20CF">
        <w:rPr>
          <w:rFonts w:ascii="Arial" w:eastAsiaTheme="minorHAnsi" w:hAnsi="Arial" w:cs="Arial"/>
          <w:i/>
        </w:rPr>
        <w:t>Consensus Forecasts</w:t>
      </w:r>
      <w:r w:rsidRPr="00BF20CF">
        <w:rPr>
          <w:rFonts w:ascii="Arial" w:eastAsiaTheme="minorHAnsi" w:hAnsi="Arial" w:cs="Arial"/>
        </w:rPr>
        <w:t xml:space="preserve">. For the annual cost of capital forecasts for the following rate year (January 1-December 31), this uses actual data for all business days in the month of September, and the September </w:t>
      </w:r>
      <w:r w:rsidRPr="00BF20CF">
        <w:rPr>
          <w:rFonts w:ascii="Arial" w:eastAsiaTheme="minorHAnsi" w:hAnsi="Arial" w:cs="Arial"/>
          <w:i/>
        </w:rPr>
        <w:t>Consensus Forecasts</w:t>
      </w:r>
      <w:r w:rsidRPr="00BF20CF">
        <w:rPr>
          <w:rFonts w:ascii="Arial" w:eastAsiaTheme="minorHAnsi" w:hAnsi="Arial" w:cs="Arial"/>
        </w:rPr>
        <w:t xml:space="preserve">. Consensus Economics conducts the survey around mid-month, and the date on the publication is the date the survey is conducted (publication is a few days later). This temporal alignment is used to get forecasts for the 30-year Government of Canada bond yields and Canadian A-rated Utility bond yields based on the most current information and which should most closely correspond with the 3-month ahead and 12-month ahead forecasts of the 10-year Government of Canada bond yields published in </w:t>
      </w:r>
      <w:r w:rsidRPr="00BF20CF">
        <w:rPr>
          <w:rFonts w:ascii="Arial" w:eastAsiaTheme="minorHAnsi" w:hAnsi="Arial" w:cs="Arial"/>
          <w:i/>
        </w:rPr>
        <w:t>Consensus Forecasts</w:t>
      </w:r>
      <w:r w:rsidRPr="00BF20CF">
        <w:rPr>
          <w:rFonts w:ascii="Arial" w:eastAsiaTheme="minorHAnsi" w:hAnsi="Arial" w:cs="Arial"/>
        </w:rPr>
        <w:t xml:space="preserve"> (i.e. current information that the surveyed economic forecasters would have also had for making their 10-year Government of Canada bond yield forecast).</w:t>
      </w:r>
    </w:p>
    <w:p w14:paraId="1F7BD82A"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 xml:space="preserve">This approach has been continued from when the OEB first adopted a formulaic ROE approach in 1997 for natural gas distributors, with the </w:t>
      </w:r>
      <w:r w:rsidRPr="00BF20CF">
        <w:rPr>
          <w:rFonts w:ascii="Arial" w:eastAsiaTheme="minorHAnsi" w:hAnsi="Arial" w:cs="Arial"/>
          <w:i/>
        </w:rPr>
        <w:t>Ontario Energy Board</w:t>
      </w:r>
      <w:r w:rsidRPr="00BF20CF">
        <w:rPr>
          <w:rFonts w:ascii="Arial" w:eastAsiaTheme="minorHAnsi" w:hAnsi="Arial" w:cs="Arial"/>
        </w:rPr>
        <w:t xml:space="preserve"> </w:t>
      </w:r>
      <w:r w:rsidRPr="00BF20CF">
        <w:rPr>
          <w:rFonts w:ascii="Arial" w:eastAsiaTheme="minorHAnsi" w:hAnsi="Arial" w:cs="Arial"/>
          <w:i/>
        </w:rPr>
        <w:t>Draft Guidelines on a Formula-Based Return on Common Equity for Regulated Utilities</w:t>
      </w:r>
      <w:r w:rsidRPr="00BF20CF">
        <w:rPr>
          <w:rFonts w:ascii="Arial" w:eastAsiaTheme="minorHAnsi" w:hAnsi="Arial" w:cs="Arial"/>
        </w:rPr>
        <w:t xml:space="preserve"> (Draft Guidelines), issued March 1997. Developed for Ontario natural gas distributors, it was the starting point for the OEB’s policies for electricity utility rate regulation in the 2000s following electricity sector restructuring, until reviewed and updated in late 2009 by the current Cost of Capital Report.</w:t>
      </w:r>
    </w:p>
    <w:p w14:paraId="6D2079CE"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The Draft Guidelines were also based on ROE adjustment formulae adopted by the National Energy Board (NEB) (now the Canadian Energy Regulator), the British Columbia Utilities Commission and the Public Utilities Board of Manitoba; these formulae were generally referenced as the RH-2-94 formula, referring to the NEB’s 1994 order adopting this formulaic approach.</w:t>
      </w:r>
    </w:p>
    <w:p w14:paraId="11EDB6AB"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Question(s):</w:t>
      </w:r>
    </w:p>
    <w:p w14:paraId="67858813" w14:textId="77777777" w:rsidR="00482130" w:rsidRPr="00BF20CF" w:rsidRDefault="00482130" w:rsidP="00DA686D">
      <w:pPr>
        <w:numPr>
          <w:ilvl w:val="0"/>
          <w:numId w:val="19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OEB staff observes that forecasts are subject to uncertainty – they are not actuals, but predictions of what is likely to occur, based on past and current circumstances, and what is currently identified as the trend into the future. Further, the degree of uncertainty increases the further out the forecast, and in an increasing and non-linear pace. While we have a point </w:t>
      </w:r>
      <w:r w:rsidRPr="00BF20CF">
        <w:rPr>
          <w:rFonts w:ascii="Arial" w:hAnsi="Arial" w:cs="Arial"/>
          <w:lang w:val="en-CA"/>
        </w:rPr>
        <w:lastRenderedPageBreak/>
        <w:t>estimate forecast for any point in time, the confidence interval increases, typically in what can be described as a horn shape.</w:t>
      </w:r>
    </w:p>
    <w:p w14:paraId="08C22576" w14:textId="77777777" w:rsidR="00482130" w:rsidRPr="00BF20CF" w:rsidRDefault="00482130" w:rsidP="00C84F5B">
      <w:pPr>
        <w:spacing w:before="240" w:after="120" w:line="276" w:lineRule="auto"/>
        <w:ind w:left="720"/>
        <w:rPr>
          <w:rFonts w:ascii="Arial" w:eastAsiaTheme="minorHAnsi" w:hAnsi="Arial" w:cs="Arial"/>
        </w:rPr>
      </w:pPr>
      <w:r w:rsidRPr="00BF20CF">
        <w:rPr>
          <w:rFonts w:ascii="Arial" w:eastAsiaTheme="minorHAnsi" w:hAnsi="Arial" w:cs="Arial"/>
        </w:rPr>
        <w:t>Does Consensus Economics provide any information on the confidence interval or other caveats regarding its long-range forecasts? If so, please provide.</w:t>
      </w:r>
    </w:p>
    <w:p w14:paraId="1B23CA34" w14:textId="77777777" w:rsidR="00482130" w:rsidRPr="00BF20CF" w:rsidRDefault="00482130" w:rsidP="00DA686D">
      <w:pPr>
        <w:numPr>
          <w:ilvl w:val="0"/>
          <w:numId w:val="195"/>
        </w:numPr>
        <w:autoSpaceDE w:val="0"/>
        <w:autoSpaceDN w:val="0"/>
        <w:adjustRightInd w:val="0"/>
        <w:spacing w:before="240" w:after="120" w:line="276" w:lineRule="auto"/>
        <w:contextualSpacing/>
        <w:rPr>
          <w:rFonts w:ascii="Arial" w:hAnsi="Arial" w:cs="Arial"/>
          <w:lang w:val="en-CA"/>
        </w:rPr>
      </w:pPr>
      <w:r w:rsidRPr="00BF20CF">
        <w:rPr>
          <w:rFonts w:ascii="Arial" w:hAnsi="Arial" w:cs="Arial"/>
          <w:lang w:val="en-CA"/>
        </w:rPr>
        <w:t xml:space="preserve">In its Application, as noted above, Hydro Ottawa has adopted: </w:t>
      </w:r>
      <w:proofErr w:type="spellStart"/>
      <w:r w:rsidRPr="00BF20CF">
        <w:rPr>
          <w:rFonts w:ascii="Arial" w:hAnsi="Arial" w:cs="Arial"/>
          <w:lang w:val="en-CA"/>
        </w:rPr>
        <w:t>i</w:t>
      </w:r>
      <w:proofErr w:type="spellEnd"/>
      <w:r w:rsidRPr="00BF20CF">
        <w:rPr>
          <w:rFonts w:ascii="Arial" w:hAnsi="Arial" w:cs="Arial"/>
          <w:lang w:val="en-CA"/>
        </w:rPr>
        <w:t>) a five-year average historical variance between actual 10-year and 30-year Government of Canada bonds; and ii) a 2.5 year average historical variance between Government of Canada and corporate bond spreads (“credit spreads”) for similar maturities (10 years or 30 years).</w:t>
      </w:r>
    </w:p>
    <w:p w14:paraId="4710F86B" w14:textId="77777777" w:rsidR="00482130" w:rsidRPr="00BF20CF" w:rsidRDefault="00482130" w:rsidP="00C84F5B">
      <w:pPr>
        <w:spacing w:before="240" w:after="120" w:line="276" w:lineRule="auto"/>
        <w:ind w:left="720" w:right="720"/>
        <w:rPr>
          <w:rFonts w:ascii="Arial" w:eastAsiaTheme="minorHAnsi" w:hAnsi="Arial" w:cs="Arial"/>
        </w:rPr>
      </w:pPr>
      <w:r w:rsidRPr="00BF20CF">
        <w:rPr>
          <w:rFonts w:ascii="Arial" w:eastAsiaTheme="minorHAnsi" w:hAnsi="Arial" w:cs="Arial"/>
        </w:rPr>
        <w:t>Please explain the basis and rationale for:</w:t>
      </w:r>
    </w:p>
    <w:p w14:paraId="7116FE4E" w14:textId="77777777" w:rsidR="00482130" w:rsidRPr="00BF20CF" w:rsidRDefault="00482130" w:rsidP="00DA686D">
      <w:pPr>
        <w:numPr>
          <w:ilvl w:val="0"/>
          <w:numId w:val="192"/>
        </w:numPr>
        <w:autoSpaceDE w:val="0"/>
        <w:autoSpaceDN w:val="0"/>
        <w:adjustRightInd w:val="0"/>
        <w:spacing w:before="240" w:after="120" w:line="276" w:lineRule="auto"/>
        <w:ind w:left="1440"/>
        <w:contextualSpacing/>
        <w:rPr>
          <w:rFonts w:ascii="Arial" w:hAnsi="Arial" w:cs="Arial"/>
          <w:lang w:val="en-CA"/>
        </w:rPr>
      </w:pPr>
      <w:r w:rsidRPr="00BF20CF">
        <w:rPr>
          <w:rFonts w:ascii="Arial" w:hAnsi="Arial" w:cs="Arial"/>
          <w:lang w:val="en-CA"/>
        </w:rPr>
        <w:t>Using longer-term historical periods than used by the OEB and previously by other Canadian regulators for estimating the variances between Government and corporate/utility bond yields;</w:t>
      </w:r>
    </w:p>
    <w:p w14:paraId="1A26E396" w14:textId="22E7800F" w:rsidR="00482130" w:rsidRPr="00BF20CF" w:rsidRDefault="00482130" w:rsidP="00DA686D">
      <w:pPr>
        <w:numPr>
          <w:ilvl w:val="0"/>
          <w:numId w:val="192"/>
        </w:numPr>
        <w:autoSpaceDE w:val="0"/>
        <w:autoSpaceDN w:val="0"/>
        <w:adjustRightInd w:val="0"/>
        <w:spacing w:before="240" w:after="120" w:line="276" w:lineRule="auto"/>
        <w:ind w:left="1440"/>
        <w:contextualSpacing/>
        <w:rPr>
          <w:rFonts w:ascii="Arial" w:hAnsi="Arial" w:cs="Arial"/>
          <w:lang w:val="en-CA"/>
        </w:rPr>
      </w:pPr>
      <w:r w:rsidRPr="00BF20CF">
        <w:rPr>
          <w:rFonts w:ascii="Arial" w:hAnsi="Arial" w:cs="Arial"/>
          <w:lang w:val="en-CA"/>
        </w:rPr>
        <w:t>Using, on the one hand, a 5-year period for estimating the average spread between 10-year and 30-year Government of Canada bond yields, and, on the other, 2.5 years for estimating the spreads between Government of Canada and corporate/utility bond yields of similar maturities.</w:t>
      </w:r>
    </w:p>
    <w:p w14:paraId="26288296" w14:textId="37581480" w:rsidR="00F34BF6" w:rsidRPr="00BF20CF" w:rsidRDefault="00F34BF6" w:rsidP="00F34BF6">
      <w:pPr>
        <w:autoSpaceDE w:val="0"/>
        <w:autoSpaceDN w:val="0"/>
        <w:adjustRightInd w:val="0"/>
        <w:spacing w:before="240" w:after="120" w:line="276" w:lineRule="auto"/>
        <w:contextualSpacing/>
        <w:rPr>
          <w:rFonts w:ascii="Arial" w:hAnsi="Arial" w:cs="Arial"/>
          <w:lang w:val="en-CA"/>
        </w:rPr>
      </w:pPr>
    </w:p>
    <w:p w14:paraId="60F59EAC" w14:textId="77777777" w:rsidR="00482130" w:rsidRPr="00BF20CF" w:rsidRDefault="00482130" w:rsidP="00C84F5B">
      <w:pPr>
        <w:spacing w:before="240" w:after="120" w:line="276" w:lineRule="auto"/>
        <w:ind w:right="720"/>
        <w:rPr>
          <w:rFonts w:ascii="Arial" w:eastAsiaTheme="minorHAnsi" w:hAnsi="Arial" w:cs="Arial"/>
          <w:b/>
        </w:rPr>
      </w:pPr>
      <w:r w:rsidRPr="00BF20CF">
        <w:rPr>
          <w:rFonts w:ascii="Arial" w:eastAsiaTheme="minorHAnsi" w:hAnsi="Arial" w:cs="Arial"/>
          <w:b/>
        </w:rPr>
        <w:t>Return on Equity</w:t>
      </w:r>
    </w:p>
    <w:p w14:paraId="58DE58B7" w14:textId="5DF86D30" w:rsidR="00F16949" w:rsidRPr="00BF20CF" w:rsidRDefault="00F16949" w:rsidP="00F16949">
      <w:pPr>
        <w:pStyle w:val="StaffHeader"/>
        <w:numPr>
          <w:ilvl w:val="0"/>
          <w:numId w:val="0"/>
        </w:numPr>
        <w:spacing w:before="240"/>
        <w:rPr>
          <w:rFonts w:cs="Arial"/>
          <w:szCs w:val="24"/>
          <w:u w:val="none"/>
        </w:rPr>
      </w:pPr>
      <w:r w:rsidRPr="00BF20CF">
        <w:rPr>
          <w:rFonts w:cs="Arial"/>
          <w:szCs w:val="24"/>
          <w:u w:val="none"/>
        </w:rPr>
        <w:t>5-Staff-3</w:t>
      </w:r>
    </w:p>
    <w:p w14:paraId="0F6B6CC8" w14:textId="77777777" w:rsidR="00482130" w:rsidRPr="00BF20CF" w:rsidRDefault="00482130" w:rsidP="00C84F5B">
      <w:pPr>
        <w:spacing w:after="120" w:line="276" w:lineRule="auto"/>
        <w:ind w:right="720"/>
        <w:rPr>
          <w:rFonts w:ascii="Arial" w:eastAsiaTheme="minorHAnsi" w:hAnsi="Arial" w:cs="Arial"/>
          <w:b/>
        </w:rPr>
      </w:pPr>
      <w:r w:rsidRPr="00BF20CF">
        <w:rPr>
          <w:rFonts w:ascii="Arial" w:eastAsiaTheme="minorHAnsi" w:hAnsi="Arial" w:cs="Arial"/>
          <w:b/>
        </w:rPr>
        <w:t>Ref:</w:t>
      </w:r>
      <w:r w:rsidRPr="00BF20CF">
        <w:rPr>
          <w:rFonts w:ascii="Arial" w:eastAsiaTheme="minorHAnsi" w:hAnsi="Arial" w:cs="Arial"/>
          <w:b/>
        </w:rPr>
        <w:tab/>
        <w:t>Exhibit 5/Tab 1/Schedule 1/pp. 8-10</w:t>
      </w:r>
      <w:r w:rsidRPr="00BF20CF">
        <w:rPr>
          <w:rFonts w:ascii="Arial" w:eastAsiaTheme="minorHAnsi" w:hAnsi="Arial" w:cs="Arial"/>
          <w:b/>
        </w:rPr>
        <w:br/>
      </w:r>
      <w:r w:rsidRPr="00BF20CF">
        <w:rPr>
          <w:rFonts w:ascii="Arial" w:eastAsiaTheme="minorHAnsi" w:hAnsi="Arial" w:cs="Arial"/>
          <w:b/>
        </w:rPr>
        <w:tab/>
        <w:t>Exhibit 1/Tab 1/Schedule x</w:t>
      </w:r>
    </w:p>
    <w:p w14:paraId="2738E36A" w14:textId="77777777" w:rsidR="00482130" w:rsidRPr="00BF20CF" w:rsidRDefault="00482130" w:rsidP="00C84F5B">
      <w:pPr>
        <w:spacing w:before="240" w:after="120" w:line="276" w:lineRule="auto"/>
        <w:ind w:right="720"/>
        <w:rPr>
          <w:rFonts w:ascii="Arial" w:eastAsiaTheme="minorHAnsi" w:hAnsi="Arial" w:cs="Arial"/>
        </w:rPr>
      </w:pPr>
      <w:r w:rsidRPr="00BF20CF">
        <w:rPr>
          <w:rFonts w:ascii="Arial" w:eastAsiaTheme="minorHAnsi" w:hAnsi="Arial" w:cs="Arial"/>
        </w:rPr>
        <w:t>Preamble:</w:t>
      </w:r>
    </w:p>
    <w:p w14:paraId="4C791A2C"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Hydro Ottawa has forecasted the ROE for each year of the plan for 2021 (the rebasing year) and the subsequent years for 2022-2025. Hydro Ottawa states:</w:t>
      </w:r>
      <w:r w:rsidRPr="00BF20CF">
        <w:rPr>
          <w:rFonts w:ascii="Arial" w:eastAsiaTheme="minorHAnsi" w:hAnsi="Arial" w:cs="Arial"/>
          <w:vertAlign w:val="superscript"/>
        </w:rPr>
        <w:footnoteReference w:id="28"/>
      </w:r>
    </w:p>
    <w:p w14:paraId="5CEDDA75" w14:textId="77777777" w:rsidR="00482130" w:rsidRPr="00BF20CF" w:rsidRDefault="00482130" w:rsidP="00C84F5B">
      <w:pPr>
        <w:spacing w:before="240" w:after="120" w:line="276" w:lineRule="auto"/>
        <w:ind w:left="360" w:right="720"/>
        <w:rPr>
          <w:rFonts w:ascii="Arial" w:eastAsiaTheme="minorHAnsi" w:hAnsi="Arial" w:cs="Arial"/>
        </w:rPr>
      </w:pPr>
      <w:r w:rsidRPr="00BF20CF">
        <w:rPr>
          <w:rFonts w:ascii="Arial" w:eastAsiaTheme="minorHAnsi" w:hAnsi="Arial" w:cs="Arial"/>
        </w:rPr>
        <w:t>Hydro Ottawa has used a forecast ROE for the full five-year period covered by this Application. This is in line with the guidance set forth in the Handbook for Utility Rate Applications, which states that “the OEB expects there to be no further rate applications for annual updates within the five-year term” and “the OEB does not expect to address annual rate applications for updates for cost of capital.”</w:t>
      </w:r>
      <w:r w:rsidRPr="00BF20CF">
        <w:rPr>
          <w:rFonts w:ascii="Arial" w:eastAsiaTheme="minorHAnsi" w:hAnsi="Arial" w:cs="Arial"/>
          <w:vertAlign w:val="superscript"/>
        </w:rPr>
        <w:t>4</w:t>
      </w:r>
      <w:r w:rsidRPr="00BF20CF">
        <w:rPr>
          <w:rFonts w:ascii="Arial" w:eastAsiaTheme="minorHAnsi" w:hAnsi="Arial" w:cs="Arial"/>
        </w:rPr>
        <w:t xml:space="preserve"> Hydro Ottawa </w:t>
      </w:r>
      <w:r w:rsidRPr="00BF20CF">
        <w:rPr>
          <w:rFonts w:ascii="Arial" w:eastAsiaTheme="minorHAnsi" w:hAnsi="Arial" w:cs="Arial"/>
        </w:rPr>
        <w:lastRenderedPageBreak/>
        <w:t>has followed this guidance and has proposed an ROE that balances Hydro Ottawa’s expectation of a reasonable return with customers’ needs for investment in the system, while providing regulatory efficiency. Hydro Ottawa has utilized the OEB’s formulaic calculation in determining the forward-looking ROE.</w:t>
      </w:r>
    </w:p>
    <w:p w14:paraId="2BE2977E" w14:textId="77777777" w:rsidR="00482130" w:rsidRPr="00BF20CF" w:rsidRDefault="00482130" w:rsidP="00482130">
      <w:pPr>
        <w:numPr>
          <w:ilvl w:val="0"/>
          <w:numId w:val="48"/>
        </w:numPr>
        <w:autoSpaceDE w:val="0"/>
        <w:autoSpaceDN w:val="0"/>
        <w:adjustRightInd w:val="0"/>
        <w:spacing w:before="240" w:after="120" w:line="276" w:lineRule="auto"/>
        <w:ind w:right="720"/>
        <w:contextualSpacing/>
        <w:rPr>
          <w:rFonts w:ascii="Arial" w:hAnsi="Arial" w:cs="Arial"/>
          <w:sz w:val="20"/>
          <w:szCs w:val="20"/>
          <w:lang w:val="en-CA"/>
        </w:rPr>
      </w:pPr>
      <w:r w:rsidRPr="00BF20CF">
        <w:rPr>
          <w:rFonts w:ascii="Arial" w:hAnsi="Arial" w:cs="Arial"/>
          <w:sz w:val="20"/>
          <w:szCs w:val="20"/>
          <w:lang w:val="en-CA"/>
        </w:rPr>
        <w:t>Ontario Energy Board, Handbook for Utility Rate Applications (October 13, 2016), page 26.</w:t>
      </w:r>
    </w:p>
    <w:p w14:paraId="2EDA8036" w14:textId="77777777" w:rsidR="00482130" w:rsidRPr="00BF20CF" w:rsidRDefault="00482130" w:rsidP="00C84F5B">
      <w:pPr>
        <w:spacing w:before="240" w:after="120" w:line="276" w:lineRule="auto"/>
        <w:rPr>
          <w:rFonts w:ascii="Arial" w:eastAsiaTheme="minorHAnsi" w:hAnsi="Arial" w:cs="Arial"/>
        </w:rPr>
      </w:pPr>
      <w:r w:rsidRPr="00BF20CF">
        <w:rPr>
          <w:rFonts w:ascii="Arial" w:eastAsiaTheme="minorHAnsi" w:hAnsi="Arial" w:cs="Arial"/>
        </w:rPr>
        <w:t>Hydro Ottawa then states the changes that it has made to the application of the OEB’s ROE formula, since Hydro Ottawa is forecasting longer than 1 year ahead:</w:t>
      </w:r>
    </w:p>
    <w:p w14:paraId="0F755D61" w14:textId="77777777" w:rsidR="00482130" w:rsidRPr="00BF20CF" w:rsidRDefault="00482130" w:rsidP="00C84F5B">
      <w:pPr>
        <w:spacing w:before="240" w:after="120" w:line="276" w:lineRule="auto"/>
        <w:ind w:left="720" w:right="720"/>
        <w:rPr>
          <w:rFonts w:ascii="Arial" w:eastAsiaTheme="minorHAnsi" w:hAnsi="Arial" w:cs="Arial"/>
        </w:rPr>
      </w:pPr>
      <w:r w:rsidRPr="00BF20CF">
        <w:rPr>
          <w:rFonts w:ascii="Arial" w:eastAsiaTheme="minorHAnsi" w:hAnsi="Arial" w:cs="Arial"/>
        </w:rPr>
        <w:t>The ROE calculation utilizes three components:</w:t>
      </w:r>
    </w:p>
    <w:p w14:paraId="248C09D6" w14:textId="77777777" w:rsidR="00482130" w:rsidRPr="00BF20CF" w:rsidRDefault="00482130" w:rsidP="00C84F5B">
      <w:pPr>
        <w:spacing w:before="240" w:after="120" w:line="276" w:lineRule="auto"/>
        <w:ind w:left="720" w:right="720"/>
        <w:contextualSpacing/>
        <w:rPr>
          <w:rFonts w:ascii="Arial" w:eastAsiaTheme="minorHAnsi" w:hAnsi="Arial" w:cs="Arial"/>
        </w:rPr>
      </w:pPr>
      <w:r w:rsidRPr="00BF20CF">
        <w:rPr>
          <w:rFonts w:ascii="Arial" w:eastAsiaTheme="minorHAnsi" w:hAnsi="Arial" w:cs="Arial"/>
        </w:rPr>
        <w:t>● The Consensus Forecast Government of Canada 10-year bond yield;</w:t>
      </w:r>
    </w:p>
    <w:p w14:paraId="2B62280A" w14:textId="77777777" w:rsidR="00482130" w:rsidRPr="00BF20CF" w:rsidRDefault="00482130" w:rsidP="00C84F5B">
      <w:pPr>
        <w:spacing w:before="240" w:after="120" w:line="276" w:lineRule="auto"/>
        <w:ind w:left="720" w:right="720"/>
        <w:contextualSpacing/>
        <w:rPr>
          <w:rFonts w:ascii="Arial" w:eastAsiaTheme="minorHAnsi" w:hAnsi="Arial" w:cs="Arial"/>
        </w:rPr>
      </w:pPr>
      <w:r w:rsidRPr="00BF20CF">
        <w:rPr>
          <w:rFonts w:ascii="Arial" w:eastAsiaTheme="minorHAnsi" w:hAnsi="Arial" w:cs="Arial"/>
        </w:rPr>
        <w:t xml:space="preserve">● </w:t>
      </w:r>
      <w:proofErr w:type="gramStart"/>
      <w:r w:rsidRPr="00BF20CF">
        <w:rPr>
          <w:rFonts w:ascii="Arial" w:eastAsiaTheme="minorHAnsi" w:hAnsi="Arial" w:cs="Arial"/>
        </w:rPr>
        <w:t>The</w:t>
      </w:r>
      <w:proofErr w:type="gramEnd"/>
      <w:r w:rsidRPr="00BF20CF">
        <w:rPr>
          <w:rFonts w:ascii="Arial" w:eastAsiaTheme="minorHAnsi" w:hAnsi="Arial" w:cs="Arial"/>
        </w:rPr>
        <w:t xml:space="preserve"> 30-year to 10-year Government of Canada bond yield spread; and</w:t>
      </w:r>
    </w:p>
    <w:p w14:paraId="6FA6E48B" w14:textId="77777777" w:rsidR="00482130" w:rsidRPr="00BF20CF" w:rsidRDefault="00482130" w:rsidP="00C84F5B">
      <w:pPr>
        <w:spacing w:before="240" w:after="120" w:line="276" w:lineRule="auto"/>
        <w:ind w:left="720" w:right="720"/>
        <w:contextualSpacing/>
        <w:rPr>
          <w:rFonts w:ascii="Arial" w:eastAsiaTheme="minorHAnsi" w:hAnsi="Arial" w:cs="Arial"/>
        </w:rPr>
      </w:pPr>
      <w:r w:rsidRPr="00BF20CF">
        <w:rPr>
          <w:rFonts w:ascii="Arial" w:eastAsiaTheme="minorHAnsi" w:hAnsi="Arial" w:cs="Arial"/>
        </w:rPr>
        <w:t>● Change in A-rated Utility Bond Yield Spread from September 2009.</w:t>
      </w:r>
    </w:p>
    <w:p w14:paraId="709A8B53" w14:textId="77777777" w:rsidR="00482130" w:rsidRPr="00BF20CF" w:rsidRDefault="00482130" w:rsidP="00C84F5B">
      <w:pPr>
        <w:spacing w:before="240" w:after="120" w:line="276" w:lineRule="auto"/>
        <w:ind w:left="720" w:right="720"/>
        <w:rPr>
          <w:rFonts w:ascii="Arial" w:eastAsiaTheme="minorHAnsi" w:hAnsi="Arial" w:cs="Arial"/>
        </w:rPr>
      </w:pPr>
      <w:r w:rsidRPr="00BF20CF">
        <w:rPr>
          <w:rFonts w:ascii="Arial" w:eastAsiaTheme="minorHAnsi" w:hAnsi="Arial" w:cs="Arial"/>
        </w:rPr>
        <w:t>The ROE calculation in the model utilizes Consensus Forecast forward-looking rates for 10-year bonds on a three-month and 12-month basis. To forecast the ROE over the five-year period of 2021-2025, the October 2019 Consensus Long-Term Forecast was utilized using the average annual yield for 10-year bonds.</w:t>
      </w:r>
    </w:p>
    <w:p w14:paraId="73DFDF78" w14:textId="77777777" w:rsidR="00482130" w:rsidRPr="00BF20CF" w:rsidRDefault="00482130" w:rsidP="00C84F5B">
      <w:pPr>
        <w:spacing w:before="240" w:after="120" w:line="276" w:lineRule="auto"/>
        <w:ind w:left="720" w:right="720"/>
        <w:rPr>
          <w:rFonts w:ascii="Arial" w:eastAsiaTheme="minorHAnsi" w:hAnsi="Arial" w:cs="Arial"/>
        </w:rPr>
      </w:pPr>
      <w:r w:rsidRPr="00BF20CF">
        <w:rPr>
          <w:rFonts w:ascii="Arial" w:eastAsiaTheme="minorHAnsi" w:hAnsi="Arial" w:cs="Arial"/>
        </w:rPr>
        <w:t>Similar to long-term debt, the 30-year Government of Canada bond yield is then calculated using the forecast 10-year bond yield plus 44 bps, which is the five-year historical average spread of the 30-year over 10-year Government of Canada bond yield as calculated per the OEB Cost of Capital Report.</w:t>
      </w:r>
    </w:p>
    <w:p w14:paraId="6E8CE338" w14:textId="399439B2" w:rsidR="00482130" w:rsidRPr="00BF20CF" w:rsidRDefault="00482130" w:rsidP="00C84F5B">
      <w:pPr>
        <w:spacing w:before="240" w:after="120" w:line="276" w:lineRule="auto"/>
        <w:ind w:left="720" w:right="720"/>
        <w:rPr>
          <w:rFonts w:ascii="Arial" w:eastAsiaTheme="minorHAnsi" w:hAnsi="Arial" w:cs="Arial"/>
        </w:rPr>
      </w:pPr>
      <w:r w:rsidRPr="00BF20CF">
        <w:rPr>
          <w:rFonts w:ascii="Arial" w:eastAsiaTheme="minorHAnsi" w:hAnsi="Arial" w:cs="Arial"/>
        </w:rPr>
        <w:t>To determine the change in A-rated 30-year Utility Bond Yield spreads, the five-year historical average spread as utilized in the Cost of Capital calculations up to October 2019 was used. This five-year historical average equals 154 bps.</w:t>
      </w:r>
    </w:p>
    <w:p w14:paraId="2DF5D973" w14:textId="77777777" w:rsidR="00482130" w:rsidRPr="00BF20CF" w:rsidRDefault="00482130" w:rsidP="00C84F5B">
      <w:pPr>
        <w:spacing w:before="240" w:after="120" w:line="276" w:lineRule="auto"/>
        <w:ind w:right="720"/>
        <w:rPr>
          <w:rFonts w:ascii="Arial" w:eastAsiaTheme="minorHAnsi" w:hAnsi="Arial" w:cs="Arial"/>
        </w:rPr>
      </w:pPr>
      <w:r w:rsidRPr="00BF20CF">
        <w:rPr>
          <w:rFonts w:ascii="Arial" w:eastAsiaTheme="minorHAnsi" w:hAnsi="Arial" w:cs="Arial"/>
        </w:rPr>
        <w:t>Table 4 on page 10 of this exhibit documents the forecasted ROE for each year. OEB staff has compiled the following table summarizing the forecasted ROEs along with the OEB-issued ROE for 2020, per the OEB’s letter on the Cost of Capital Parameters as issued on October 31, 2019.</w:t>
      </w:r>
    </w:p>
    <w:p w14:paraId="4BA3DF3A" w14:textId="2A0758D5" w:rsidR="00482130" w:rsidRPr="00BF20CF" w:rsidRDefault="00482130" w:rsidP="00C84F5B">
      <w:pPr>
        <w:keepLines/>
        <w:spacing w:before="240" w:after="120" w:line="276" w:lineRule="auto"/>
        <w:ind w:right="720"/>
        <w:jc w:val="center"/>
        <w:rPr>
          <w:rFonts w:ascii="Arial" w:eastAsiaTheme="minorHAnsi" w:hAnsi="Arial" w:cs="Arial"/>
          <w:b/>
        </w:rPr>
      </w:pPr>
      <w:r w:rsidRPr="00BF20CF">
        <w:rPr>
          <w:rFonts w:ascii="Arial" w:eastAsiaTheme="minorHAnsi" w:hAnsi="Arial" w:cs="Arial"/>
          <w:b/>
        </w:rPr>
        <w:lastRenderedPageBreak/>
        <w:t>Table 5-Staff-</w:t>
      </w:r>
      <w:r w:rsidR="00F16949" w:rsidRPr="00BF20CF">
        <w:rPr>
          <w:rFonts w:ascii="Arial" w:eastAsiaTheme="minorHAnsi" w:hAnsi="Arial" w:cs="Arial"/>
          <w:b/>
        </w:rPr>
        <w:t>3</w:t>
      </w:r>
      <w:r w:rsidRPr="00BF20CF">
        <w:rPr>
          <w:rFonts w:ascii="Arial" w:eastAsiaTheme="minorHAnsi" w:hAnsi="Arial" w:cs="Arial"/>
          <w:b/>
        </w:rPr>
        <w:t>-1</w:t>
      </w:r>
      <w:proofErr w:type="gramStart"/>
      <w:r w:rsidRPr="00BF20CF">
        <w:rPr>
          <w:rFonts w:ascii="Arial" w:eastAsiaTheme="minorHAnsi" w:hAnsi="Arial" w:cs="Arial"/>
          <w:b/>
        </w:rPr>
        <w:t>:</w:t>
      </w:r>
      <w:proofErr w:type="gramEnd"/>
      <w:r w:rsidRPr="00BF20CF">
        <w:rPr>
          <w:rFonts w:ascii="Arial" w:eastAsiaTheme="minorHAnsi" w:hAnsi="Arial" w:cs="Arial"/>
          <w:b/>
        </w:rPr>
        <w:br/>
        <w:t xml:space="preserve">OEB-issued ROE for 2020 and </w:t>
      </w:r>
      <w:r w:rsidRPr="00BF20CF">
        <w:rPr>
          <w:rFonts w:ascii="Arial" w:eastAsiaTheme="minorHAnsi" w:hAnsi="Arial" w:cs="Arial"/>
          <w:b/>
        </w:rPr>
        <w:br/>
        <w:t>Hydro Ottawa forecasted ROEs for 2021-2025</w:t>
      </w:r>
    </w:p>
    <w:tbl>
      <w:tblPr>
        <w:tblStyle w:val="TableGrid1"/>
        <w:tblW w:w="9317" w:type="dxa"/>
        <w:tblLook w:val="04A0" w:firstRow="1" w:lastRow="0" w:firstColumn="1" w:lastColumn="0" w:noHBand="0" w:noVBand="1"/>
      </w:tblPr>
      <w:tblGrid>
        <w:gridCol w:w="1457"/>
        <w:gridCol w:w="1630"/>
        <w:gridCol w:w="1237"/>
        <w:gridCol w:w="1251"/>
        <w:gridCol w:w="1260"/>
        <w:gridCol w:w="1238"/>
        <w:gridCol w:w="1235"/>
        <w:gridCol w:w="9"/>
      </w:tblGrid>
      <w:tr w:rsidR="00482130" w:rsidRPr="00BF20CF" w14:paraId="57CC8B9A" w14:textId="77777777" w:rsidTr="00C84F5B">
        <w:tc>
          <w:tcPr>
            <w:tcW w:w="1457" w:type="dxa"/>
          </w:tcPr>
          <w:p w14:paraId="68B794BA" w14:textId="77777777" w:rsidR="00482130" w:rsidRPr="00BF20CF" w:rsidRDefault="00482130" w:rsidP="00C84F5B">
            <w:pPr>
              <w:keepLines/>
              <w:spacing w:before="240" w:after="120" w:line="276" w:lineRule="auto"/>
              <w:ind w:right="720"/>
              <w:rPr>
                <w:rFonts w:ascii="Arial" w:eastAsiaTheme="minorHAnsi" w:hAnsi="Arial" w:cs="Arial"/>
              </w:rPr>
            </w:pPr>
          </w:p>
        </w:tc>
        <w:tc>
          <w:tcPr>
            <w:tcW w:w="1630" w:type="dxa"/>
          </w:tcPr>
          <w:p w14:paraId="65D1898C" w14:textId="77777777" w:rsidR="00482130" w:rsidRPr="00BF20CF" w:rsidRDefault="00482130" w:rsidP="00C84F5B">
            <w:pPr>
              <w:keepLines/>
              <w:spacing w:before="240" w:after="120" w:line="276" w:lineRule="auto"/>
              <w:ind w:right="-8"/>
              <w:jc w:val="center"/>
              <w:rPr>
                <w:rFonts w:ascii="Arial" w:eastAsiaTheme="minorHAnsi" w:hAnsi="Arial" w:cs="Arial"/>
              </w:rPr>
            </w:pPr>
            <w:r w:rsidRPr="00BF20CF">
              <w:rPr>
                <w:rFonts w:ascii="Arial" w:eastAsiaTheme="minorHAnsi" w:hAnsi="Arial" w:cs="Arial"/>
              </w:rPr>
              <w:t>OEB-issued</w:t>
            </w:r>
          </w:p>
        </w:tc>
        <w:tc>
          <w:tcPr>
            <w:tcW w:w="6230" w:type="dxa"/>
            <w:gridSpan w:val="6"/>
          </w:tcPr>
          <w:p w14:paraId="3296A1DE" w14:textId="77777777" w:rsidR="00482130" w:rsidRPr="00BF20CF" w:rsidRDefault="00482130" w:rsidP="00C84F5B">
            <w:pPr>
              <w:keepLines/>
              <w:spacing w:before="240" w:after="120" w:line="276" w:lineRule="auto"/>
              <w:ind w:right="720"/>
              <w:jc w:val="center"/>
              <w:rPr>
                <w:rFonts w:ascii="Arial" w:eastAsiaTheme="minorHAnsi" w:hAnsi="Arial" w:cs="Arial"/>
              </w:rPr>
            </w:pPr>
            <w:r w:rsidRPr="00BF20CF">
              <w:rPr>
                <w:rFonts w:ascii="Arial" w:eastAsiaTheme="minorHAnsi" w:hAnsi="Arial" w:cs="Arial"/>
              </w:rPr>
              <w:t>Hydro Ottawa forecasts</w:t>
            </w:r>
          </w:p>
        </w:tc>
      </w:tr>
      <w:tr w:rsidR="00482130" w:rsidRPr="00BF20CF" w14:paraId="4D70B8E6" w14:textId="77777777" w:rsidTr="00C84F5B">
        <w:trPr>
          <w:gridAfter w:val="1"/>
          <w:wAfter w:w="9" w:type="dxa"/>
        </w:trPr>
        <w:tc>
          <w:tcPr>
            <w:tcW w:w="1457" w:type="dxa"/>
          </w:tcPr>
          <w:p w14:paraId="5D14777F" w14:textId="77777777" w:rsidR="00482130" w:rsidRPr="00BF20CF" w:rsidRDefault="00482130" w:rsidP="00C84F5B">
            <w:pPr>
              <w:keepLines/>
              <w:spacing w:before="240" w:after="120" w:line="276" w:lineRule="auto"/>
              <w:ind w:right="720"/>
              <w:rPr>
                <w:rFonts w:ascii="Arial" w:eastAsiaTheme="minorHAnsi" w:hAnsi="Arial" w:cs="Arial"/>
              </w:rPr>
            </w:pPr>
            <w:r w:rsidRPr="00BF20CF">
              <w:rPr>
                <w:rFonts w:ascii="Arial" w:eastAsiaTheme="minorHAnsi" w:hAnsi="Arial" w:cs="Arial"/>
              </w:rPr>
              <w:t>Year</w:t>
            </w:r>
          </w:p>
        </w:tc>
        <w:tc>
          <w:tcPr>
            <w:tcW w:w="1630" w:type="dxa"/>
          </w:tcPr>
          <w:p w14:paraId="75393A32" w14:textId="77777777" w:rsidR="00482130" w:rsidRPr="00BF20CF" w:rsidRDefault="00482130" w:rsidP="00C84F5B">
            <w:pPr>
              <w:keepLines/>
              <w:spacing w:before="240" w:after="120" w:line="276" w:lineRule="auto"/>
              <w:ind w:right="375"/>
              <w:jc w:val="center"/>
              <w:rPr>
                <w:rFonts w:ascii="Arial" w:eastAsiaTheme="minorHAnsi" w:hAnsi="Arial" w:cs="Arial"/>
              </w:rPr>
            </w:pPr>
            <w:r w:rsidRPr="00BF20CF">
              <w:rPr>
                <w:rFonts w:ascii="Arial" w:eastAsiaTheme="minorHAnsi" w:hAnsi="Arial" w:cs="Arial"/>
              </w:rPr>
              <w:t>2020</w:t>
            </w:r>
          </w:p>
        </w:tc>
        <w:tc>
          <w:tcPr>
            <w:tcW w:w="1237" w:type="dxa"/>
          </w:tcPr>
          <w:p w14:paraId="2F7A820E" w14:textId="77777777" w:rsidR="00482130" w:rsidRPr="00BF20CF" w:rsidRDefault="00482130" w:rsidP="00C84F5B">
            <w:pPr>
              <w:keepLines/>
              <w:spacing w:before="240" w:after="120" w:line="276" w:lineRule="auto"/>
              <w:ind w:right="22"/>
              <w:jc w:val="center"/>
              <w:rPr>
                <w:rFonts w:ascii="Arial" w:eastAsiaTheme="minorHAnsi" w:hAnsi="Arial" w:cs="Arial"/>
              </w:rPr>
            </w:pPr>
            <w:r w:rsidRPr="00BF20CF">
              <w:rPr>
                <w:rFonts w:ascii="Arial" w:eastAsiaTheme="minorHAnsi" w:hAnsi="Arial" w:cs="Arial"/>
              </w:rPr>
              <w:t>2021</w:t>
            </w:r>
          </w:p>
        </w:tc>
        <w:tc>
          <w:tcPr>
            <w:tcW w:w="1251" w:type="dxa"/>
          </w:tcPr>
          <w:p w14:paraId="09DC3086" w14:textId="77777777" w:rsidR="00482130" w:rsidRPr="00BF20CF" w:rsidRDefault="00482130" w:rsidP="00C84F5B">
            <w:pPr>
              <w:keepLines/>
              <w:spacing w:before="240" w:after="120" w:line="276" w:lineRule="auto"/>
              <w:jc w:val="center"/>
              <w:rPr>
                <w:rFonts w:ascii="Arial" w:eastAsiaTheme="minorHAnsi" w:hAnsi="Arial" w:cs="Arial"/>
              </w:rPr>
            </w:pPr>
            <w:r w:rsidRPr="00BF20CF">
              <w:rPr>
                <w:rFonts w:ascii="Arial" w:eastAsiaTheme="minorHAnsi" w:hAnsi="Arial" w:cs="Arial"/>
              </w:rPr>
              <w:t>2022</w:t>
            </w:r>
          </w:p>
        </w:tc>
        <w:tc>
          <w:tcPr>
            <w:tcW w:w="1260" w:type="dxa"/>
          </w:tcPr>
          <w:p w14:paraId="5F3E4B8F" w14:textId="77777777" w:rsidR="00482130" w:rsidRPr="00BF20CF" w:rsidRDefault="00482130" w:rsidP="00C84F5B">
            <w:pPr>
              <w:keepLines/>
              <w:spacing w:before="240" w:after="120" w:line="276" w:lineRule="auto"/>
              <w:ind w:right="37"/>
              <w:jc w:val="center"/>
              <w:rPr>
                <w:rFonts w:ascii="Arial" w:eastAsiaTheme="minorHAnsi" w:hAnsi="Arial" w:cs="Arial"/>
              </w:rPr>
            </w:pPr>
            <w:r w:rsidRPr="00BF20CF">
              <w:rPr>
                <w:rFonts w:ascii="Arial" w:eastAsiaTheme="minorHAnsi" w:hAnsi="Arial" w:cs="Arial"/>
              </w:rPr>
              <w:t>2023</w:t>
            </w:r>
          </w:p>
        </w:tc>
        <w:tc>
          <w:tcPr>
            <w:tcW w:w="1238" w:type="dxa"/>
          </w:tcPr>
          <w:p w14:paraId="73E5A6B4" w14:textId="77777777" w:rsidR="00482130" w:rsidRPr="00BF20CF" w:rsidRDefault="00482130" w:rsidP="00C84F5B">
            <w:pPr>
              <w:keepLines/>
              <w:spacing w:before="240" w:after="120" w:line="276" w:lineRule="auto"/>
              <w:jc w:val="center"/>
              <w:rPr>
                <w:rFonts w:ascii="Arial" w:eastAsiaTheme="minorHAnsi" w:hAnsi="Arial" w:cs="Arial"/>
              </w:rPr>
            </w:pPr>
            <w:r w:rsidRPr="00BF20CF">
              <w:rPr>
                <w:rFonts w:ascii="Arial" w:eastAsiaTheme="minorHAnsi" w:hAnsi="Arial" w:cs="Arial"/>
              </w:rPr>
              <w:t>2024</w:t>
            </w:r>
          </w:p>
        </w:tc>
        <w:tc>
          <w:tcPr>
            <w:tcW w:w="1235" w:type="dxa"/>
          </w:tcPr>
          <w:p w14:paraId="4C394DF6" w14:textId="77777777" w:rsidR="00482130" w:rsidRPr="00BF20CF" w:rsidRDefault="00482130" w:rsidP="00C84F5B">
            <w:pPr>
              <w:keepLines/>
              <w:spacing w:before="240" w:after="120" w:line="276" w:lineRule="auto"/>
              <w:ind w:right="15"/>
              <w:jc w:val="center"/>
              <w:rPr>
                <w:rFonts w:ascii="Arial" w:eastAsiaTheme="minorHAnsi" w:hAnsi="Arial" w:cs="Arial"/>
              </w:rPr>
            </w:pPr>
            <w:r w:rsidRPr="00BF20CF">
              <w:rPr>
                <w:rFonts w:ascii="Arial" w:eastAsiaTheme="minorHAnsi" w:hAnsi="Arial" w:cs="Arial"/>
              </w:rPr>
              <w:t>2025</w:t>
            </w:r>
          </w:p>
        </w:tc>
      </w:tr>
      <w:tr w:rsidR="00482130" w:rsidRPr="00BF20CF" w14:paraId="3681B136" w14:textId="77777777" w:rsidTr="00C84F5B">
        <w:trPr>
          <w:gridAfter w:val="1"/>
          <w:wAfter w:w="9" w:type="dxa"/>
        </w:trPr>
        <w:tc>
          <w:tcPr>
            <w:tcW w:w="1457" w:type="dxa"/>
          </w:tcPr>
          <w:p w14:paraId="787223EC" w14:textId="77777777" w:rsidR="00482130" w:rsidRPr="00BF20CF" w:rsidRDefault="00482130" w:rsidP="00C84F5B">
            <w:pPr>
              <w:keepLines/>
              <w:spacing w:before="240" w:after="120" w:line="276" w:lineRule="auto"/>
              <w:ind w:right="720"/>
              <w:rPr>
                <w:rFonts w:ascii="Arial" w:eastAsiaTheme="minorHAnsi" w:hAnsi="Arial" w:cs="Arial"/>
              </w:rPr>
            </w:pPr>
            <w:r w:rsidRPr="00BF20CF">
              <w:rPr>
                <w:rFonts w:ascii="Arial" w:eastAsiaTheme="minorHAnsi" w:hAnsi="Arial" w:cs="Arial"/>
              </w:rPr>
              <w:t>ROE</w:t>
            </w:r>
          </w:p>
        </w:tc>
        <w:tc>
          <w:tcPr>
            <w:tcW w:w="1630" w:type="dxa"/>
          </w:tcPr>
          <w:p w14:paraId="4DD902CE" w14:textId="77777777" w:rsidR="00482130" w:rsidRPr="00BF20CF" w:rsidRDefault="00482130" w:rsidP="00C84F5B">
            <w:pPr>
              <w:keepLines/>
              <w:spacing w:before="240" w:after="120" w:line="276" w:lineRule="auto"/>
              <w:jc w:val="center"/>
              <w:rPr>
                <w:rFonts w:ascii="Arial" w:eastAsiaTheme="minorHAnsi" w:hAnsi="Arial" w:cs="Arial"/>
              </w:rPr>
            </w:pPr>
            <w:r w:rsidRPr="00BF20CF">
              <w:rPr>
                <w:rFonts w:ascii="Arial" w:eastAsiaTheme="minorHAnsi" w:hAnsi="Arial" w:cs="Arial"/>
              </w:rPr>
              <w:t>8.52%</w:t>
            </w:r>
          </w:p>
        </w:tc>
        <w:tc>
          <w:tcPr>
            <w:tcW w:w="1237" w:type="dxa"/>
          </w:tcPr>
          <w:p w14:paraId="194D6C3C" w14:textId="77777777" w:rsidR="00482130" w:rsidRPr="00BF20CF" w:rsidRDefault="00482130" w:rsidP="00C84F5B">
            <w:pPr>
              <w:keepLines/>
              <w:spacing w:before="240" w:after="120" w:line="276" w:lineRule="auto"/>
              <w:ind w:right="8"/>
              <w:jc w:val="center"/>
              <w:rPr>
                <w:rFonts w:ascii="Arial" w:eastAsiaTheme="minorHAnsi" w:hAnsi="Arial" w:cs="Arial"/>
              </w:rPr>
            </w:pPr>
            <w:r w:rsidRPr="00BF20CF">
              <w:rPr>
                <w:rFonts w:ascii="Arial" w:eastAsiaTheme="minorHAnsi" w:hAnsi="Arial" w:cs="Arial"/>
              </w:rPr>
              <w:t>8.88%</w:t>
            </w:r>
          </w:p>
        </w:tc>
        <w:tc>
          <w:tcPr>
            <w:tcW w:w="1251" w:type="dxa"/>
          </w:tcPr>
          <w:p w14:paraId="4A3DF3A4" w14:textId="77777777" w:rsidR="00482130" w:rsidRPr="00BF20CF" w:rsidRDefault="00482130" w:rsidP="00C84F5B">
            <w:pPr>
              <w:keepLines/>
              <w:spacing w:before="240" w:after="120" w:line="276" w:lineRule="auto"/>
              <w:jc w:val="center"/>
              <w:rPr>
                <w:rFonts w:ascii="Arial" w:eastAsiaTheme="minorHAnsi" w:hAnsi="Arial" w:cs="Arial"/>
              </w:rPr>
            </w:pPr>
            <w:r w:rsidRPr="00BF20CF">
              <w:rPr>
                <w:rFonts w:ascii="Arial" w:eastAsiaTheme="minorHAnsi" w:hAnsi="Arial" w:cs="Arial"/>
              </w:rPr>
              <w:t>9.13%</w:t>
            </w:r>
          </w:p>
        </w:tc>
        <w:tc>
          <w:tcPr>
            <w:tcW w:w="1260" w:type="dxa"/>
          </w:tcPr>
          <w:p w14:paraId="45B8BD1C" w14:textId="77777777" w:rsidR="00482130" w:rsidRPr="00BF20CF" w:rsidRDefault="00482130" w:rsidP="00C84F5B">
            <w:pPr>
              <w:keepLines/>
              <w:spacing w:before="240" w:after="120" w:line="276" w:lineRule="auto"/>
              <w:jc w:val="center"/>
              <w:rPr>
                <w:rFonts w:ascii="Arial" w:eastAsiaTheme="minorHAnsi" w:hAnsi="Arial" w:cs="Arial"/>
              </w:rPr>
            </w:pPr>
            <w:r w:rsidRPr="00BF20CF">
              <w:rPr>
                <w:rFonts w:ascii="Arial" w:eastAsiaTheme="minorHAnsi" w:hAnsi="Arial" w:cs="Arial"/>
              </w:rPr>
              <w:t>9.31%</w:t>
            </w:r>
          </w:p>
        </w:tc>
        <w:tc>
          <w:tcPr>
            <w:tcW w:w="1238" w:type="dxa"/>
          </w:tcPr>
          <w:p w14:paraId="5B3BAF8A" w14:textId="77777777" w:rsidR="00482130" w:rsidRPr="00BF20CF" w:rsidRDefault="00482130" w:rsidP="00C84F5B">
            <w:pPr>
              <w:keepLines/>
              <w:spacing w:before="240" w:after="120" w:line="276" w:lineRule="auto"/>
              <w:jc w:val="center"/>
              <w:rPr>
                <w:rFonts w:ascii="Arial" w:eastAsiaTheme="minorHAnsi" w:hAnsi="Arial" w:cs="Arial"/>
              </w:rPr>
            </w:pPr>
            <w:r w:rsidRPr="00BF20CF">
              <w:rPr>
                <w:rFonts w:ascii="Arial" w:eastAsiaTheme="minorHAnsi" w:hAnsi="Arial" w:cs="Arial"/>
              </w:rPr>
              <w:t>9.41%</w:t>
            </w:r>
          </w:p>
        </w:tc>
        <w:tc>
          <w:tcPr>
            <w:tcW w:w="1235" w:type="dxa"/>
          </w:tcPr>
          <w:p w14:paraId="1BCA2F34" w14:textId="77777777" w:rsidR="00482130" w:rsidRPr="00BF20CF" w:rsidRDefault="00482130" w:rsidP="00C84F5B">
            <w:pPr>
              <w:keepLines/>
              <w:spacing w:before="240" w:after="120" w:line="276" w:lineRule="auto"/>
              <w:ind w:right="31"/>
              <w:jc w:val="center"/>
              <w:rPr>
                <w:rFonts w:ascii="Arial" w:eastAsiaTheme="minorHAnsi" w:hAnsi="Arial" w:cs="Arial"/>
              </w:rPr>
            </w:pPr>
            <w:r w:rsidRPr="00BF20CF">
              <w:rPr>
                <w:rFonts w:ascii="Arial" w:eastAsiaTheme="minorHAnsi" w:hAnsi="Arial" w:cs="Arial"/>
              </w:rPr>
              <w:t>9.46%</w:t>
            </w:r>
          </w:p>
        </w:tc>
      </w:tr>
    </w:tbl>
    <w:p w14:paraId="28783DDC" w14:textId="77777777" w:rsidR="00482130" w:rsidRPr="00BF20CF" w:rsidRDefault="00482130" w:rsidP="00C84F5B">
      <w:pPr>
        <w:spacing w:before="240" w:after="120" w:line="276" w:lineRule="auto"/>
        <w:ind w:right="720"/>
        <w:rPr>
          <w:rFonts w:ascii="Arial" w:eastAsiaTheme="minorHAnsi" w:hAnsi="Arial" w:cs="Arial"/>
        </w:rPr>
      </w:pPr>
      <w:r w:rsidRPr="00BF20CF">
        <w:rPr>
          <w:rFonts w:ascii="Arial" w:eastAsiaTheme="minorHAnsi" w:hAnsi="Arial" w:cs="Arial"/>
        </w:rPr>
        <w:t>Question(s):</w:t>
      </w:r>
    </w:p>
    <w:p w14:paraId="27E9E136" w14:textId="59E7A6C9" w:rsidR="00482130" w:rsidRPr="00BF20CF" w:rsidRDefault="00482130" w:rsidP="00DA686D">
      <w:pPr>
        <w:numPr>
          <w:ilvl w:val="0"/>
          <w:numId w:val="193"/>
        </w:numPr>
        <w:autoSpaceDE w:val="0"/>
        <w:autoSpaceDN w:val="0"/>
        <w:adjustRightInd w:val="0"/>
        <w:spacing w:before="240" w:after="120" w:line="276" w:lineRule="auto"/>
        <w:ind w:right="720"/>
        <w:contextualSpacing/>
        <w:rPr>
          <w:rFonts w:ascii="Arial" w:hAnsi="Arial" w:cs="Arial"/>
          <w:lang w:val="en-CA"/>
        </w:rPr>
      </w:pPr>
      <w:r w:rsidRPr="00BF20CF">
        <w:rPr>
          <w:rFonts w:ascii="Arial" w:hAnsi="Arial" w:cs="Arial"/>
          <w:lang w:val="en-CA"/>
        </w:rPr>
        <w:t>Please confirm the entries in the above table.</w:t>
      </w:r>
    </w:p>
    <w:p w14:paraId="26F65FBD" w14:textId="77777777" w:rsidR="00F34BF6" w:rsidRPr="00BF20CF" w:rsidRDefault="00F34BF6" w:rsidP="00F34BF6">
      <w:pPr>
        <w:autoSpaceDE w:val="0"/>
        <w:autoSpaceDN w:val="0"/>
        <w:adjustRightInd w:val="0"/>
        <w:spacing w:before="240" w:after="120" w:line="276" w:lineRule="auto"/>
        <w:ind w:left="720" w:right="720"/>
        <w:contextualSpacing/>
        <w:rPr>
          <w:rFonts w:ascii="Arial" w:hAnsi="Arial" w:cs="Arial"/>
          <w:lang w:val="en-CA"/>
        </w:rPr>
      </w:pPr>
    </w:p>
    <w:p w14:paraId="5271A89C" w14:textId="074E61F2" w:rsidR="00482130" w:rsidRPr="00BF20CF" w:rsidRDefault="00482130" w:rsidP="00DA686D">
      <w:pPr>
        <w:numPr>
          <w:ilvl w:val="0"/>
          <w:numId w:val="193"/>
        </w:numPr>
        <w:autoSpaceDE w:val="0"/>
        <w:autoSpaceDN w:val="0"/>
        <w:adjustRightInd w:val="0"/>
        <w:spacing w:before="240" w:after="120" w:line="276" w:lineRule="auto"/>
        <w:ind w:right="720"/>
        <w:contextualSpacing/>
        <w:rPr>
          <w:rFonts w:ascii="Arial" w:hAnsi="Arial" w:cs="Arial"/>
          <w:lang w:val="en-CA"/>
        </w:rPr>
      </w:pPr>
      <w:r w:rsidRPr="00BF20CF">
        <w:rPr>
          <w:rFonts w:ascii="Arial" w:hAnsi="Arial" w:cs="Arial"/>
          <w:lang w:val="en-CA"/>
        </w:rPr>
        <w:t>Please explain what Hydro Ottawa means in stating that it “has proposed an ROE that balances Hydro Ottawa’s expectation of a reasonable return with customers’ needs for investment in the system”. What is the evidence that Hydro Ottawa is relying on in support of this statement?</w:t>
      </w:r>
    </w:p>
    <w:p w14:paraId="6510251A" w14:textId="77777777" w:rsidR="00F34BF6" w:rsidRPr="00BF20CF" w:rsidRDefault="00F34BF6" w:rsidP="00F34BF6">
      <w:pPr>
        <w:autoSpaceDE w:val="0"/>
        <w:autoSpaceDN w:val="0"/>
        <w:adjustRightInd w:val="0"/>
        <w:spacing w:before="240" w:after="120" w:line="276" w:lineRule="auto"/>
        <w:ind w:left="720" w:right="720"/>
        <w:contextualSpacing/>
        <w:rPr>
          <w:rFonts w:ascii="Arial" w:hAnsi="Arial" w:cs="Arial"/>
          <w:lang w:val="en-CA"/>
        </w:rPr>
      </w:pPr>
    </w:p>
    <w:p w14:paraId="6D5E5A43" w14:textId="00AFAF6F" w:rsidR="00482130" w:rsidRPr="00BF20CF" w:rsidRDefault="00482130" w:rsidP="00DA686D">
      <w:pPr>
        <w:numPr>
          <w:ilvl w:val="0"/>
          <w:numId w:val="193"/>
        </w:numPr>
        <w:autoSpaceDE w:val="0"/>
        <w:autoSpaceDN w:val="0"/>
        <w:adjustRightInd w:val="0"/>
        <w:spacing w:line="276" w:lineRule="auto"/>
        <w:ind w:right="720"/>
        <w:contextualSpacing/>
        <w:rPr>
          <w:rFonts w:ascii="Arial" w:hAnsi="Arial" w:cs="Arial"/>
          <w:lang w:val="en-CA"/>
        </w:rPr>
      </w:pPr>
      <w:r w:rsidRPr="00BF20CF">
        <w:rPr>
          <w:rFonts w:ascii="Arial" w:hAnsi="Arial" w:cs="Arial"/>
          <w:lang w:val="en-CA"/>
        </w:rPr>
        <w:t xml:space="preserve">In the methodology to calculate the long-term debt rate and the ROE, the spreads between: </w:t>
      </w:r>
      <w:proofErr w:type="spellStart"/>
      <w:r w:rsidRPr="00BF20CF">
        <w:rPr>
          <w:rFonts w:ascii="Arial" w:hAnsi="Arial" w:cs="Arial"/>
          <w:lang w:val="en-CA"/>
        </w:rPr>
        <w:t>i</w:t>
      </w:r>
      <w:proofErr w:type="spellEnd"/>
      <w:r w:rsidRPr="00BF20CF">
        <w:rPr>
          <w:rFonts w:ascii="Arial" w:hAnsi="Arial" w:cs="Arial"/>
          <w:lang w:val="en-CA"/>
        </w:rPr>
        <w:t>) 10-year and 30-year Government of Canada bond yields; and ii) 30-year Canadian A-rated Utility Bond and 30-year Government of Canada bond yields are done for the business days in the same month that the Consensus Forecasts survey was done in. This ensures that there is a temporal alignment between the forecasts, and the current economic data that the surveyed forecasters would be aware of in making their predictions. Please explain the rationale for Hydro Ottawa using 5-year historical averages to estimate these spreads for the purposes of forecasting the ROE for all years of its Custom IR plan term.</w:t>
      </w:r>
    </w:p>
    <w:p w14:paraId="2873D2F9" w14:textId="77777777" w:rsidR="00FF2821" w:rsidRPr="00BF20CF" w:rsidRDefault="00FF2821" w:rsidP="00FF2821">
      <w:pPr>
        <w:pStyle w:val="ListParagraph"/>
        <w:rPr>
          <w:rFonts w:ascii="Arial" w:hAnsi="Arial" w:cs="Arial"/>
        </w:rPr>
      </w:pPr>
    </w:p>
    <w:p w14:paraId="488F3ACB" w14:textId="06B1EBB3" w:rsidR="00F16949" w:rsidRPr="00BF20CF" w:rsidRDefault="00F16949" w:rsidP="00F16949">
      <w:pPr>
        <w:pStyle w:val="StaffHeader"/>
        <w:numPr>
          <w:ilvl w:val="0"/>
          <w:numId w:val="0"/>
        </w:numPr>
        <w:spacing w:before="240"/>
        <w:rPr>
          <w:rFonts w:cs="Arial"/>
          <w:szCs w:val="24"/>
          <w:u w:val="none"/>
        </w:rPr>
      </w:pPr>
      <w:r w:rsidRPr="00BF20CF">
        <w:rPr>
          <w:rFonts w:cs="Arial"/>
          <w:szCs w:val="24"/>
          <w:u w:val="none"/>
        </w:rPr>
        <w:t>5-Staff-4</w:t>
      </w:r>
    </w:p>
    <w:p w14:paraId="2876104F" w14:textId="77777777" w:rsidR="00482130" w:rsidRPr="00BF20CF" w:rsidRDefault="00482130" w:rsidP="00C84F5B">
      <w:pPr>
        <w:spacing w:after="120" w:line="276" w:lineRule="auto"/>
        <w:ind w:right="720"/>
        <w:rPr>
          <w:rFonts w:ascii="Arial" w:eastAsiaTheme="minorHAnsi" w:hAnsi="Arial" w:cs="Arial"/>
          <w:b/>
        </w:rPr>
      </w:pPr>
      <w:r w:rsidRPr="00BF20CF">
        <w:rPr>
          <w:rFonts w:ascii="Arial" w:eastAsiaTheme="minorHAnsi" w:hAnsi="Arial" w:cs="Arial"/>
          <w:b/>
        </w:rPr>
        <w:t>Re:</w:t>
      </w:r>
      <w:r w:rsidRPr="00BF20CF">
        <w:rPr>
          <w:rFonts w:ascii="Arial" w:eastAsiaTheme="minorHAnsi" w:hAnsi="Arial" w:cs="Arial"/>
          <w:b/>
        </w:rPr>
        <w:tab/>
        <w:t>Exhibit 5/Tab 1/Schedule 1</w:t>
      </w:r>
    </w:p>
    <w:p w14:paraId="545C6A82" w14:textId="77777777" w:rsidR="00482130" w:rsidRPr="00BF20CF" w:rsidRDefault="00482130" w:rsidP="00C84F5B">
      <w:pPr>
        <w:spacing w:before="240" w:after="120" w:line="276" w:lineRule="auto"/>
        <w:ind w:right="720"/>
        <w:rPr>
          <w:rFonts w:ascii="Arial" w:eastAsiaTheme="minorHAnsi" w:hAnsi="Arial" w:cs="Arial"/>
        </w:rPr>
      </w:pPr>
      <w:r w:rsidRPr="00BF20CF">
        <w:rPr>
          <w:rFonts w:ascii="Arial" w:eastAsiaTheme="minorHAnsi" w:hAnsi="Arial" w:cs="Arial"/>
        </w:rPr>
        <w:t>Preamble:</w:t>
      </w:r>
    </w:p>
    <w:p w14:paraId="786EE5D3" w14:textId="77777777" w:rsidR="00482130" w:rsidRPr="00BF20CF" w:rsidRDefault="00482130" w:rsidP="00C84F5B">
      <w:pPr>
        <w:spacing w:before="240" w:after="120" w:line="276" w:lineRule="auto"/>
        <w:ind w:right="720"/>
        <w:rPr>
          <w:rFonts w:ascii="Arial" w:eastAsiaTheme="minorHAnsi" w:hAnsi="Arial" w:cs="Arial"/>
        </w:rPr>
      </w:pPr>
      <w:r w:rsidRPr="00BF20CF">
        <w:rPr>
          <w:rFonts w:ascii="Arial" w:eastAsiaTheme="minorHAnsi" w:hAnsi="Arial" w:cs="Arial"/>
        </w:rPr>
        <w:t xml:space="preserve">Hydro Ottawa’s forecasts were prepared based on data from October 2019. This was long before the current COVID-19 crisis emerged, and </w:t>
      </w:r>
      <w:r w:rsidRPr="00BF20CF">
        <w:rPr>
          <w:rFonts w:ascii="Arial" w:eastAsiaTheme="minorHAnsi" w:hAnsi="Arial" w:cs="Arial"/>
        </w:rPr>
        <w:lastRenderedPageBreak/>
        <w:t>which has caused significant socioeconomic shock world-wide, affecting financial markets, economic activity and our daily way of living.</w:t>
      </w:r>
    </w:p>
    <w:p w14:paraId="5173BF5F" w14:textId="77777777" w:rsidR="00482130" w:rsidRPr="00BF20CF" w:rsidRDefault="00482130" w:rsidP="00C84F5B">
      <w:pPr>
        <w:spacing w:before="240" w:after="120" w:line="276" w:lineRule="auto"/>
        <w:ind w:right="720"/>
        <w:rPr>
          <w:rFonts w:ascii="Arial" w:eastAsiaTheme="minorHAnsi" w:hAnsi="Arial" w:cs="Arial"/>
        </w:rPr>
      </w:pPr>
      <w:r w:rsidRPr="00BF20CF">
        <w:rPr>
          <w:rFonts w:ascii="Arial" w:eastAsiaTheme="minorHAnsi" w:hAnsi="Arial" w:cs="Arial"/>
        </w:rPr>
        <w:t xml:space="preserve">Hydro Ottawa notes, on page 6 of this exhibit, that the </w:t>
      </w:r>
      <w:r w:rsidRPr="00BF20CF">
        <w:rPr>
          <w:rFonts w:ascii="Arial" w:eastAsiaTheme="minorHAnsi" w:hAnsi="Arial" w:cs="Arial"/>
          <w:i/>
        </w:rPr>
        <w:t>Long-Term Consensus Forecasts</w:t>
      </w:r>
      <w:r w:rsidRPr="00BF20CF">
        <w:rPr>
          <w:rFonts w:ascii="Arial" w:eastAsiaTheme="minorHAnsi" w:hAnsi="Arial" w:cs="Arial"/>
        </w:rPr>
        <w:t xml:space="preserve"> publication that it used is published semi-annually, in April and November of each year.</w:t>
      </w:r>
    </w:p>
    <w:p w14:paraId="608172C1" w14:textId="77777777" w:rsidR="00482130" w:rsidRPr="00BF20CF" w:rsidRDefault="00482130" w:rsidP="00C84F5B">
      <w:pPr>
        <w:spacing w:before="240" w:after="120" w:line="276" w:lineRule="auto"/>
        <w:ind w:right="720"/>
        <w:rPr>
          <w:rFonts w:ascii="Arial" w:eastAsiaTheme="minorHAnsi" w:hAnsi="Arial" w:cs="Arial"/>
        </w:rPr>
      </w:pPr>
      <w:r w:rsidRPr="00BF20CF">
        <w:rPr>
          <w:rFonts w:ascii="Arial" w:eastAsiaTheme="minorHAnsi" w:hAnsi="Arial" w:cs="Arial"/>
        </w:rPr>
        <w:t>Question(s):</w:t>
      </w:r>
    </w:p>
    <w:p w14:paraId="611C4EBF" w14:textId="77777777" w:rsidR="00482130" w:rsidRPr="00BF20CF" w:rsidRDefault="00482130" w:rsidP="00DA686D">
      <w:pPr>
        <w:numPr>
          <w:ilvl w:val="0"/>
          <w:numId w:val="194"/>
        </w:numPr>
        <w:autoSpaceDE w:val="0"/>
        <w:autoSpaceDN w:val="0"/>
        <w:adjustRightInd w:val="0"/>
        <w:spacing w:before="240" w:after="120" w:line="276" w:lineRule="auto"/>
        <w:ind w:right="720"/>
        <w:contextualSpacing/>
        <w:rPr>
          <w:rFonts w:ascii="Arial" w:hAnsi="Arial" w:cs="Arial"/>
          <w:lang w:val="en-CA"/>
        </w:rPr>
      </w:pPr>
      <w:r w:rsidRPr="00BF20CF">
        <w:rPr>
          <w:rFonts w:ascii="Arial" w:hAnsi="Arial" w:cs="Arial"/>
          <w:lang w:val="en-CA"/>
        </w:rPr>
        <w:t xml:space="preserve">Please provide an updated forecast of the cost of capital parameters using Hydro Ottawa’s proposed methodology and the April 2020 Long-Term Consensus Forecasts. Please provide the data used, and identify or provide the sources. Please document all assumptions, and identify any changes in assumptions from what is documented in this exhibit as initially filed. If possible, please provide the data and calculations in a working Microsoft Excel spreadsheet. </w:t>
      </w:r>
    </w:p>
    <w:p w14:paraId="1605E02A" w14:textId="53AE4FA5" w:rsidR="00482130" w:rsidRPr="00BF20CF" w:rsidRDefault="00482130" w:rsidP="00C84F5B">
      <w:pPr>
        <w:autoSpaceDE w:val="0"/>
        <w:autoSpaceDN w:val="0"/>
        <w:adjustRightInd w:val="0"/>
        <w:spacing w:before="240" w:after="120" w:line="276" w:lineRule="auto"/>
        <w:ind w:right="720"/>
        <w:contextualSpacing/>
        <w:rPr>
          <w:rFonts w:ascii="Arial" w:hAnsi="Arial" w:cs="Arial"/>
          <w:lang w:val="en-CA"/>
        </w:rPr>
      </w:pPr>
    </w:p>
    <w:p w14:paraId="7A755883" w14:textId="77777777" w:rsidR="00482130" w:rsidRPr="00BF20CF" w:rsidRDefault="00482130" w:rsidP="00C84F5B">
      <w:pPr>
        <w:autoSpaceDE w:val="0"/>
        <w:autoSpaceDN w:val="0"/>
        <w:adjustRightInd w:val="0"/>
        <w:spacing w:before="240" w:line="276" w:lineRule="auto"/>
        <w:rPr>
          <w:rFonts w:ascii="Arial" w:hAnsi="Arial" w:cs="Arial"/>
          <w:b/>
        </w:rPr>
      </w:pPr>
      <w:r w:rsidRPr="00BF20CF">
        <w:rPr>
          <w:rFonts w:ascii="Arial" w:hAnsi="Arial" w:cs="Arial"/>
          <w:b/>
        </w:rPr>
        <w:t>Exhibit 6 – Calculation of Revenue Deficiency or Sufficiency</w:t>
      </w:r>
    </w:p>
    <w:p w14:paraId="02D18EB5" w14:textId="77777777" w:rsidR="00482130" w:rsidRPr="00BF20CF" w:rsidRDefault="00482130" w:rsidP="00C84F5B">
      <w:pPr>
        <w:autoSpaceDE w:val="0"/>
        <w:autoSpaceDN w:val="0"/>
        <w:adjustRightInd w:val="0"/>
        <w:spacing w:before="240" w:line="276" w:lineRule="auto"/>
        <w:rPr>
          <w:rFonts w:ascii="Arial" w:hAnsi="Arial" w:cs="Arial"/>
          <w:b/>
        </w:rPr>
      </w:pPr>
      <w:r w:rsidRPr="00BF20CF">
        <w:rPr>
          <w:rFonts w:ascii="Arial" w:hAnsi="Arial" w:cs="Arial"/>
          <w:b/>
        </w:rPr>
        <w:t>Revenue Deficiency Amounts &amp; Cost Drivers</w:t>
      </w:r>
    </w:p>
    <w:p w14:paraId="272390AF" w14:textId="3482E75E" w:rsidR="00F16949" w:rsidRPr="00BF20CF" w:rsidRDefault="00F16949" w:rsidP="00F16949">
      <w:pPr>
        <w:pStyle w:val="StaffHeader"/>
        <w:numPr>
          <w:ilvl w:val="0"/>
          <w:numId w:val="0"/>
        </w:numPr>
        <w:spacing w:before="240"/>
        <w:rPr>
          <w:rFonts w:cs="Arial"/>
          <w:szCs w:val="24"/>
          <w:u w:val="none"/>
        </w:rPr>
      </w:pPr>
      <w:r w:rsidRPr="00BF20CF">
        <w:rPr>
          <w:rFonts w:cs="Arial"/>
          <w:szCs w:val="24"/>
          <w:u w:val="none"/>
        </w:rPr>
        <w:t>6-Staff-1</w:t>
      </w:r>
    </w:p>
    <w:p w14:paraId="3FB3D451" w14:textId="77777777" w:rsidR="00482130" w:rsidRPr="00BF20CF" w:rsidRDefault="00482130" w:rsidP="00C84F5B">
      <w:pPr>
        <w:rPr>
          <w:rFonts w:ascii="Arial" w:hAnsi="Arial" w:cs="Arial"/>
          <w:b/>
        </w:rPr>
      </w:pPr>
      <w:r w:rsidRPr="00BF20CF">
        <w:rPr>
          <w:rFonts w:ascii="Arial" w:hAnsi="Arial" w:cs="Arial"/>
          <w:b/>
        </w:rPr>
        <w:t>Ref:</w:t>
      </w:r>
      <w:r w:rsidRPr="00BF20CF">
        <w:rPr>
          <w:rFonts w:ascii="Arial" w:hAnsi="Arial" w:cs="Arial"/>
          <w:b/>
        </w:rPr>
        <w:tab/>
        <w:t>Exhibit 6/Tab 1/Schedule 1/page 5 of 7</w:t>
      </w:r>
    </w:p>
    <w:p w14:paraId="70E4F772"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AF5D052" w14:textId="282812D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Hydro Ottawa notes an increase of $11.</w:t>
      </w:r>
      <w:r w:rsidR="0086100D" w:rsidRPr="00BF20CF">
        <w:rPr>
          <w:rFonts w:ascii="Arial" w:hAnsi="Arial" w:cs="Arial"/>
          <w:bCs/>
        </w:rPr>
        <w:t>9</w:t>
      </w:r>
      <w:r w:rsidRPr="00BF20CF">
        <w:rPr>
          <w:rFonts w:ascii="Arial" w:hAnsi="Arial" w:cs="Arial"/>
          <w:bCs/>
        </w:rPr>
        <w:t xml:space="preserve"> million in return on rate base budgeted for 2021</w:t>
      </w:r>
      <w:r w:rsidR="0086100D" w:rsidRPr="00BF20CF">
        <w:rPr>
          <w:rFonts w:ascii="Arial" w:hAnsi="Arial" w:cs="Arial"/>
          <w:bCs/>
        </w:rPr>
        <w:t xml:space="preserve"> compared to the 2020 OEB-approved level</w:t>
      </w:r>
      <w:r w:rsidRPr="00BF20CF">
        <w:rPr>
          <w:rFonts w:ascii="Arial" w:hAnsi="Arial" w:cs="Arial"/>
          <w:bCs/>
        </w:rPr>
        <w:t>, which is driven by a $17</w:t>
      </w:r>
      <w:r w:rsidR="0086100D" w:rsidRPr="00BF20CF">
        <w:rPr>
          <w:rFonts w:ascii="Arial" w:hAnsi="Arial" w:cs="Arial"/>
          <w:bCs/>
        </w:rPr>
        <w:t>1</w:t>
      </w:r>
      <w:r w:rsidRPr="00BF20CF">
        <w:rPr>
          <w:rFonts w:ascii="Arial" w:hAnsi="Arial" w:cs="Arial"/>
          <w:bCs/>
        </w:rPr>
        <w:t>.</w:t>
      </w:r>
      <w:r w:rsidR="0086100D" w:rsidRPr="00BF20CF">
        <w:rPr>
          <w:rFonts w:ascii="Arial" w:hAnsi="Arial" w:cs="Arial"/>
          <w:bCs/>
        </w:rPr>
        <w:t>9</w:t>
      </w:r>
      <w:r w:rsidRPr="00BF20CF">
        <w:rPr>
          <w:rFonts w:ascii="Arial" w:hAnsi="Arial" w:cs="Arial"/>
          <w:bCs/>
        </w:rPr>
        <w:t xml:space="preserve"> million increase in net fixed assets.</w:t>
      </w:r>
    </w:p>
    <w:p w14:paraId="63458FA9"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7EA5373C" w14:textId="2868D8C9" w:rsidR="00482130" w:rsidRPr="00BF20CF" w:rsidRDefault="00482130" w:rsidP="00DA686D">
      <w:pPr>
        <w:pStyle w:val="ListParagraph"/>
        <w:numPr>
          <w:ilvl w:val="0"/>
          <w:numId w:val="196"/>
        </w:numPr>
        <w:autoSpaceDE w:val="0"/>
        <w:autoSpaceDN w:val="0"/>
        <w:adjustRightInd w:val="0"/>
        <w:spacing w:before="240" w:after="120" w:line="276" w:lineRule="auto"/>
        <w:rPr>
          <w:rFonts w:ascii="Arial" w:hAnsi="Arial" w:cs="Arial"/>
          <w:bCs/>
        </w:rPr>
      </w:pPr>
      <w:r w:rsidRPr="00BF20CF">
        <w:rPr>
          <w:rFonts w:ascii="Arial" w:hAnsi="Arial" w:cs="Arial"/>
          <w:bCs/>
        </w:rPr>
        <w:t>Please provide a breakdown of the $17</w:t>
      </w:r>
      <w:r w:rsidR="0086100D" w:rsidRPr="00BF20CF">
        <w:rPr>
          <w:rFonts w:ascii="Arial" w:hAnsi="Arial" w:cs="Arial"/>
          <w:bCs/>
        </w:rPr>
        <w:t>1</w:t>
      </w:r>
      <w:r w:rsidRPr="00BF20CF">
        <w:rPr>
          <w:rFonts w:ascii="Arial" w:hAnsi="Arial" w:cs="Arial"/>
          <w:bCs/>
        </w:rPr>
        <w:t>.</w:t>
      </w:r>
      <w:r w:rsidR="0086100D" w:rsidRPr="00BF20CF">
        <w:rPr>
          <w:rFonts w:ascii="Arial" w:hAnsi="Arial" w:cs="Arial"/>
          <w:bCs/>
        </w:rPr>
        <w:t>9</w:t>
      </w:r>
      <w:r w:rsidRPr="00BF20CF">
        <w:rPr>
          <w:rFonts w:ascii="Arial" w:hAnsi="Arial" w:cs="Arial"/>
          <w:bCs/>
        </w:rPr>
        <w:t xml:space="preserve"> million increase in net fixed assets by key capital projects/programs.</w:t>
      </w:r>
    </w:p>
    <w:p w14:paraId="0DA4A71B" w14:textId="77777777" w:rsidR="00F16949" w:rsidRPr="00BF20CF" w:rsidRDefault="00F16949" w:rsidP="00C84F5B">
      <w:pPr>
        <w:autoSpaceDE w:val="0"/>
        <w:autoSpaceDN w:val="0"/>
        <w:adjustRightInd w:val="0"/>
        <w:spacing w:before="240" w:line="276" w:lineRule="auto"/>
        <w:rPr>
          <w:rFonts w:ascii="Arial" w:hAnsi="Arial" w:cs="Arial"/>
          <w:b/>
        </w:rPr>
      </w:pPr>
      <w:r w:rsidRPr="00BF20CF">
        <w:rPr>
          <w:rFonts w:ascii="Arial" w:hAnsi="Arial" w:cs="Arial"/>
          <w:b/>
        </w:rPr>
        <w:br w:type="page"/>
      </w:r>
    </w:p>
    <w:p w14:paraId="2344E7C5" w14:textId="134D0AD1" w:rsidR="00482130" w:rsidRPr="00BF20CF" w:rsidRDefault="00482130" w:rsidP="00C84F5B">
      <w:pPr>
        <w:autoSpaceDE w:val="0"/>
        <w:autoSpaceDN w:val="0"/>
        <w:adjustRightInd w:val="0"/>
        <w:spacing w:before="240" w:line="276" w:lineRule="auto"/>
        <w:rPr>
          <w:rFonts w:ascii="Arial" w:hAnsi="Arial" w:cs="Arial"/>
          <w:b/>
        </w:rPr>
      </w:pPr>
      <w:r w:rsidRPr="00BF20CF">
        <w:rPr>
          <w:rFonts w:ascii="Arial" w:hAnsi="Arial" w:cs="Arial"/>
          <w:b/>
        </w:rPr>
        <w:lastRenderedPageBreak/>
        <w:t>Exhibit 7 – Cost Allocation</w:t>
      </w:r>
    </w:p>
    <w:p w14:paraId="42DE6F90" w14:textId="438AF67A" w:rsidR="00F16949" w:rsidRPr="00BF20CF" w:rsidRDefault="00F16949" w:rsidP="00F16949">
      <w:pPr>
        <w:pStyle w:val="StaffHeader"/>
        <w:numPr>
          <w:ilvl w:val="0"/>
          <w:numId w:val="0"/>
        </w:numPr>
        <w:spacing w:before="240"/>
        <w:rPr>
          <w:rFonts w:cs="Arial"/>
          <w:szCs w:val="24"/>
          <w:u w:val="none"/>
        </w:rPr>
      </w:pPr>
      <w:r w:rsidRPr="00BF20CF">
        <w:rPr>
          <w:rFonts w:cs="Arial"/>
          <w:szCs w:val="24"/>
          <w:u w:val="none"/>
        </w:rPr>
        <w:t>7-Staff-1</w:t>
      </w:r>
    </w:p>
    <w:p w14:paraId="707F21B4" w14:textId="5565F5BD" w:rsidR="00B574D2" w:rsidRPr="00BF20CF" w:rsidRDefault="00D903A0" w:rsidP="00913359">
      <w:pPr>
        <w:spacing w:after="240" w:line="276" w:lineRule="auto"/>
        <w:rPr>
          <w:rFonts w:ascii="Arial" w:hAnsi="Arial" w:cs="Arial"/>
          <w:b/>
        </w:rPr>
      </w:pPr>
      <w:r w:rsidRPr="00BF20CF">
        <w:rPr>
          <w:rFonts w:ascii="Arial" w:hAnsi="Arial" w:cs="Arial"/>
          <w:b/>
        </w:rPr>
        <w:t>Ref:</w:t>
      </w:r>
      <w:r w:rsidRPr="00BF20CF">
        <w:rPr>
          <w:rFonts w:ascii="Arial" w:hAnsi="Arial" w:cs="Arial"/>
          <w:b/>
        </w:rPr>
        <w:tab/>
        <w:t xml:space="preserve">Exhibit 7, Tab 1, Schedule 1, </w:t>
      </w:r>
      <w:r w:rsidR="00B574D2" w:rsidRPr="00BF20CF">
        <w:rPr>
          <w:rFonts w:ascii="Arial" w:hAnsi="Arial" w:cs="Arial"/>
          <w:b/>
        </w:rPr>
        <w:t>Attachment B, pp 2-3</w:t>
      </w:r>
    </w:p>
    <w:p w14:paraId="43913ECF" w14:textId="21DF032B" w:rsidR="00B574D2" w:rsidRPr="00BF20CF" w:rsidRDefault="00B574D2" w:rsidP="00913359">
      <w:pPr>
        <w:spacing w:after="240" w:line="276" w:lineRule="auto"/>
        <w:rPr>
          <w:rFonts w:ascii="Arial" w:hAnsi="Arial" w:cs="Arial"/>
        </w:rPr>
      </w:pPr>
      <w:r w:rsidRPr="00BF20CF">
        <w:rPr>
          <w:rFonts w:ascii="Arial" w:hAnsi="Arial" w:cs="Arial"/>
        </w:rPr>
        <w:t>Preamble:</w:t>
      </w:r>
    </w:p>
    <w:p w14:paraId="751C347D" w14:textId="7D21EC12" w:rsidR="00B574D2" w:rsidRPr="00BF20CF" w:rsidRDefault="00B574D2" w:rsidP="00913359">
      <w:pPr>
        <w:spacing w:after="240" w:line="276" w:lineRule="auto"/>
        <w:rPr>
          <w:rFonts w:ascii="Arial" w:hAnsi="Arial" w:cs="Arial"/>
        </w:rPr>
      </w:pPr>
      <w:r w:rsidRPr="00BF20CF">
        <w:rPr>
          <w:rFonts w:ascii="Arial" w:hAnsi="Arial" w:cs="Arial"/>
        </w:rPr>
        <w:t>Elenchus stated that “Hydro Ottawa filed a separate cost allocation model for each year of the rate period in Proceeding EB-2015-0004.” OEB staff notes that Hydro Ottawa filed updated cost allocation models in each year of its Custom IR term.</w:t>
      </w:r>
    </w:p>
    <w:p w14:paraId="4ED5B95A" w14:textId="7E565942" w:rsidR="009F6FDA" w:rsidRPr="00BF20CF" w:rsidRDefault="00B04BE8" w:rsidP="00B64EC6">
      <w:r w:rsidRPr="00BF20CF">
        <w:rPr>
          <w:rFonts w:ascii="Arial" w:hAnsi="Arial" w:cs="Arial"/>
        </w:rPr>
        <w:t xml:space="preserve">Elenchus states that it advised Hydro Ottawa that </w:t>
      </w:r>
      <w:r w:rsidR="00381ADD" w:rsidRPr="00BF20CF">
        <w:rPr>
          <w:rFonts w:ascii="Arial" w:hAnsi="Arial" w:cs="Arial"/>
        </w:rPr>
        <w:t>“</w:t>
      </w:r>
      <w:r w:rsidR="00B574D2" w:rsidRPr="00BF20CF">
        <w:rPr>
          <w:rFonts w:ascii="Arial" w:hAnsi="Arial" w:cs="Arial"/>
        </w:rPr>
        <w:t>a single cost allocation model based on the test year would be suitable for the purposes of cost allocation and rate design for this CIR application.” Accordingly, Hydro Ottawa has filed a single cost allocation model for 2021.</w:t>
      </w:r>
    </w:p>
    <w:p w14:paraId="51AB34E8" w14:textId="77777777" w:rsidR="00B64EC6" w:rsidRPr="00BF20CF" w:rsidRDefault="00B64EC6" w:rsidP="00B64EC6"/>
    <w:p w14:paraId="07F5D583" w14:textId="0191BB93" w:rsidR="00B574D2" w:rsidRPr="00BF20CF" w:rsidRDefault="00B574D2" w:rsidP="00913359">
      <w:pPr>
        <w:spacing w:after="240" w:line="276" w:lineRule="auto"/>
        <w:rPr>
          <w:rFonts w:ascii="Arial" w:hAnsi="Arial" w:cs="Arial"/>
        </w:rPr>
      </w:pPr>
      <w:r w:rsidRPr="00BF20CF">
        <w:rPr>
          <w:rFonts w:ascii="Arial" w:hAnsi="Arial" w:cs="Arial"/>
        </w:rPr>
        <w:t>Question(s):</w:t>
      </w:r>
    </w:p>
    <w:p w14:paraId="3FB59E69" w14:textId="23FB07BE" w:rsidR="00B574D2" w:rsidRPr="00BF20CF" w:rsidRDefault="00B574D2" w:rsidP="00DA686D">
      <w:pPr>
        <w:pStyle w:val="ListParagraph"/>
        <w:numPr>
          <w:ilvl w:val="0"/>
          <w:numId w:val="219"/>
        </w:numPr>
        <w:spacing w:after="240" w:line="276" w:lineRule="auto"/>
        <w:rPr>
          <w:rFonts w:ascii="Arial" w:hAnsi="Arial" w:cs="Arial"/>
        </w:rPr>
      </w:pPr>
      <w:r w:rsidRPr="00BF20CF">
        <w:rPr>
          <w:rFonts w:ascii="Arial" w:hAnsi="Arial" w:cs="Arial"/>
        </w:rPr>
        <w:t>Please confirm that Hydro Ottawa does not intend to perform updates to its cost allocation model through its Custom IR term in 2022-2025.</w:t>
      </w:r>
    </w:p>
    <w:p w14:paraId="7064C9C7" w14:textId="2F020994" w:rsidR="00913359" w:rsidRPr="00BF20CF" w:rsidRDefault="00913359" w:rsidP="00DA686D">
      <w:pPr>
        <w:pStyle w:val="ListParagraph"/>
        <w:numPr>
          <w:ilvl w:val="0"/>
          <w:numId w:val="220"/>
        </w:numPr>
        <w:spacing w:after="240" w:line="276" w:lineRule="auto"/>
        <w:rPr>
          <w:rFonts w:ascii="Arial" w:hAnsi="Arial" w:cs="Arial"/>
        </w:rPr>
      </w:pPr>
      <w:r w:rsidRPr="00BF20CF">
        <w:rPr>
          <w:rFonts w:ascii="Arial" w:hAnsi="Arial" w:cs="Arial"/>
        </w:rPr>
        <w:t>If confirmed, please explain how does Hydro Ottawa plan to determine revenue requirements by rate classes for 2022-2025</w:t>
      </w:r>
      <w:r w:rsidR="00AF29F1" w:rsidRPr="00BF20CF">
        <w:rPr>
          <w:rFonts w:ascii="Arial" w:hAnsi="Arial" w:cs="Arial"/>
        </w:rPr>
        <w:t>?</w:t>
      </w:r>
    </w:p>
    <w:p w14:paraId="3D3E3714" w14:textId="3A898241" w:rsidR="00F16949" w:rsidRPr="00BF20CF" w:rsidRDefault="00F16949" w:rsidP="00F16949">
      <w:pPr>
        <w:pStyle w:val="StaffHeader"/>
        <w:numPr>
          <w:ilvl w:val="0"/>
          <w:numId w:val="0"/>
        </w:numPr>
        <w:spacing w:before="240"/>
        <w:rPr>
          <w:rFonts w:cs="Arial"/>
          <w:szCs w:val="24"/>
          <w:u w:val="none"/>
        </w:rPr>
      </w:pPr>
      <w:r w:rsidRPr="00BF20CF">
        <w:rPr>
          <w:rFonts w:cs="Arial"/>
          <w:szCs w:val="24"/>
          <w:u w:val="none"/>
        </w:rPr>
        <w:t>7-Staff-2</w:t>
      </w:r>
    </w:p>
    <w:p w14:paraId="1BC473DB" w14:textId="6127387E" w:rsidR="00482130" w:rsidRPr="00BF20CF" w:rsidRDefault="00482130" w:rsidP="00B64EC6">
      <w:r w:rsidRPr="00BF20CF">
        <w:rPr>
          <w:rFonts w:ascii="Arial" w:hAnsi="Arial" w:cs="Arial"/>
          <w:b/>
        </w:rPr>
        <w:t>Ref:</w:t>
      </w:r>
      <w:r w:rsidRPr="00BF20CF">
        <w:rPr>
          <w:rFonts w:ascii="Arial" w:hAnsi="Arial" w:cs="Arial"/>
          <w:b/>
        </w:rPr>
        <w:tab/>
      </w:r>
      <w:r w:rsidR="00B64EC6" w:rsidRPr="00BF20CF">
        <w:rPr>
          <w:rFonts w:ascii="Arial" w:hAnsi="Arial" w:cs="Arial"/>
          <w:b/>
        </w:rPr>
        <w:t>Updated Cost Allocation Model, sheet I4 BO Assets</w:t>
      </w:r>
    </w:p>
    <w:p w14:paraId="5A9D6908"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3D334E4" w14:textId="77777777" w:rsidR="00482130" w:rsidRPr="00BF20CF" w:rsidRDefault="00482130" w:rsidP="00C84F5B">
      <w:pPr>
        <w:spacing w:line="276" w:lineRule="auto"/>
        <w:rPr>
          <w:rFonts w:ascii="Arial" w:hAnsi="Arial" w:cs="Arial"/>
        </w:rPr>
      </w:pPr>
      <w:r w:rsidRPr="00BF20CF">
        <w:rPr>
          <w:rFonts w:ascii="Arial" w:hAnsi="Arial" w:cs="Arial"/>
        </w:rPr>
        <w:t>In completing sheet I4 BO Assets, Hydro Ottawa has broken out the assets as operating at primary and secondary voltage as follows:</w:t>
      </w:r>
    </w:p>
    <w:p w14:paraId="38A0F8A1" w14:textId="77777777" w:rsidR="00482130" w:rsidRPr="00BF20CF" w:rsidRDefault="00482130" w:rsidP="00DA686D">
      <w:pPr>
        <w:pStyle w:val="ListParagraph"/>
        <w:numPr>
          <w:ilvl w:val="0"/>
          <w:numId w:val="152"/>
        </w:numPr>
        <w:spacing w:after="160" w:line="276" w:lineRule="auto"/>
        <w:rPr>
          <w:rFonts w:ascii="Arial" w:hAnsi="Arial" w:cs="Arial"/>
        </w:rPr>
      </w:pPr>
      <w:r w:rsidRPr="00BF20CF">
        <w:rPr>
          <w:rFonts w:ascii="Arial" w:hAnsi="Arial" w:cs="Arial"/>
        </w:rPr>
        <w:t>Account 1830 – Poles, Towers and Fixtures – 70% Primary, 30% Secondary</w:t>
      </w:r>
    </w:p>
    <w:p w14:paraId="126EFE40" w14:textId="77777777" w:rsidR="00482130" w:rsidRPr="00BF20CF" w:rsidRDefault="00482130" w:rsidP="00DA686D">
      <w:pPr>
        <w:pStyle w:val="ListParagraph"/>
        <w:numPr>
          <w:ilvl w:val="0"/>
          <w:numId w:val="152"/>
        </w:numPr>
        <w:spacing w:after="160" w:line="276" w:lineRule="auto"/>
        <w:rPr>
          <w:rFonts w:ascii="Arial" w:hAnsi="Arial" w:cs="Arial"/>
        </w:rPr>
      </w:pPr>
      <w:r w:rsidRPr="00BF20CF">
        <w:rPr>
          <w:rFonts w:ascii="Arial" w:hAnsi="Arial" w:cs="Arial"/>
        </w:rPr>
        <w:t>Account 1835 – Overhead Conductors and Devices – 100% Primary</w:t>
      </w:r>
    </w:p>
    <w:p w14:paraId="471C94D9" w14:textId="77777777" w:rsidR="00482130" w:rsidRPr="00BF20CF" w:rsidRDefault="00482130" w:rsidP="00DA686D">
      <w:pPr>
        <w:pStyle w:val="ListParagraph"/>
        <w:numPr>
          <w:ilvl w:val="0"/>
          <w:numId w:val="152"/>
        </w:numPr>
        <w:spacing w:after="160" w:line="276" w:lineRule="auto"/>
        <w:rPr>
          <w:rFonts w:ascii="Arial" w:hAnsi="Arial" w:cs="Arial"/>
        </w:rPr>
      </w:pPr>
      <w:r w:rsidRPr="00BF20CF">
        <w:rPr>
          <w:rFonts w:ascii="Arial" w:hAnsi="Arial" w:cs="Arial"/>
        </w:rPr>
        <w:t>Account 1840 – Underground Conduit – 71.9% Primary, 28.1% Secondary</w:t>
      </w:r>
    </w:p>
    <w:p w14:paraId="2E871A21" w14:textId="77777777" w:rsidR="00482130" w:rsidRPr="00BF20CF" w:rsidRDefault="00482130" w:rsidP="00DA686D">
      <w:pPr>
        <w:pStyle w:val="ListParagraph"/>
        <w:numPr>
          <w:ilvl w:val="0"/>
          <w:numId w:val="152"/>
        </w:numPr>
        <w:spacing w:after="160" w:line="276" w:lineRule="auto"/>
        <w:rPr>
          <w:rFonts w:ascii="Arial" w:hAnsi="Arial" w:cs="Arial"/>
        </w:rPr>
      </w:pPr>
      <w:r w:rsidRPr="00BF20CF">
        <w:rPr>
          <w:rFonts w:ascii="Arial" w:hAnsi="Arial" w:cs="Arial"/>
        </w:rPr>
        <w:t>Account 1845 – Underground Conductors and Devices – 100% Primary</w:t>
      </w:r>
    </w:p>
    <w:p w14:paraId="100240E7"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1809A63" w14:textId="67938B9F" w:rsidR="00482130" w:rsidRPr="00BF20CF" w:rsidRDefault="00482130" w:rsidP="00DA686D">
      <w:pPr>
        <w:pStyle w:val="ListParagraph"/>
        <w:numPr>
          <w:ilvl w:val="0"/>
          <w:numId w:val="151"/>
        </w:numPr>
        <w:spacing w:after="160" w:line="276" w:lineRule="auto"/>
        <w:rPr>
          <w:rFonts w:ascii="Arial" w:hAnsi="Arial" w:cs="Arial"/>
        </w:rPr>
      </w:pPr>
      <w:r w:rsidRPr="00BF20CF">
        <w:rPr>
          <w:rFonts w:ascii="Arial" w:hAnsi="Arial" w:cs="Arial"/>
        </w:rPr>
        <w:t>Please explain how Hydro Ottawa determines the primary and secondary proportions.</w:t>
      </w:r>
    </w:p>
    <w:p w14:paraId="2260469A" w14:textId="77777777" w:rsidR="00F34BF6" w:rsidRPr="00BF20CF" w:rsidRDefault="00F34BF6" w:rsidP="00F34BF6">
      <w:pPr>
        <w:pStyle w:val="ListParagraph"/>
        <w:spacing w:after="160" w:line="276" w:lineRule="auto"/>
        <w:rPr>
          <w:rFonts w:ascii="Arial" w:hAnsi="Arial" w:cs="Arial"/>
        </w:rPr>
      </w:pPr>
    </w:p>
    <w:p w14:paraId="7DAF91D7" w14:textId="77777777" w:rsidR="00482130" w:rsidRPr="00BF20CF" w:rsidRDefault="00482130" w:rsidP="00DA686D">
      <w:pPr>
        <w:pStyle w:val="ListParagraph"/>
        <w:numPr>
          <w:ilvl w:val="0"/>
          <w:numId w:val="151"/>
        </w:numPr>
        <w:spacing w:before="120" w:after="240" w:line="276" w:lineRule="auto"/>
        <w:rPr>
          <w:rFonts w:ascii="Arial" w:hAnsi="Arial" w:cs="Arial"/>
        </w:rPr>
      </w:pPr>
      <w:r w:rsidRPr="00BF20CF">
        <w:rPr>
          <w:rFonts w:ascii="Arial" w:hAnsi="Arial" w:cs="Arial"/>
        </w:rPr>
        <w:t>Please explain the apparent inconsistency of requiring secondary poles and underground conduit when there are no secondary conductors.</w:t>
      </w:r>
    </w:p>
    <w:p w14:paraId="359CBC87" w14:textId="6EFD1383" w:rsidR="00F16949" w:rsidRPr="00BF20CF" w:rsidRDefault="00F16949" w:rsidP="00F16949">
      <w:pPr>
        <w:pStyle w:val="StaffHeader"/>
        <w:numPr>
          <w:ilvl w:val="0"/>
          <w:numId w:val="0"/>
        </w:numPr>
        <w:spacing w:before="240"/>
        <w:rPr>
          <w:rFonts w:cs="Arial"/>
          <w:szCs w:val="24"/>
          <w:u w:val="none"/>
        </w:rPr>
      </w:pPr>
      <w:r w:rsidRPr="00BF20CF">
        <w:rPr>
          <w:rFonts w:cs="Arial"/>
          <w:szCs w:val="24"/>
          <w:u w:val="none"/>
        </w:rPr>
        <w:lastRenderedPageBreak/>
        <w:t>7-Staff-3</w:t>
      </w:r>
    </w:p>
    <w:p w14:paraId="4752794E" w14:textId="77777777" w:rsidR="00482130" w:rsidRPr="00BF20CF" w:rsidRDefault="00482130" w:rsidP="00E4675C">
      <w:pPr>
        <w:spacing w:line="276" w:lineRule="auto"/>
        <w:rPr>
          <w:rFonts w:ascii="Arial" w:hAnsi="Arial" w:cs="Arial"/>
          <w:b/>
        </w:rPr>
      </w:pPr>
      <w:r w:rsidRPr="00BF20CF">
        <w:rPr>
          <w:rFonts w:ascii="Arial" w:hAnsi="Arial" w:cs="Arial"/>
          <w:b/>
        </w:rPr>
        <w:t>Ref:</w:t>
      </w:r>
      <w:r w:rsidRPr="00BF20CF">
        <w:rPr>
          <w:rFonts w:ascii="Arial" w:hAnsi="Arial" w:cs="Arial"/>
          <w:b/>
        </w:rPr>
        <w:tab/>
        <w:t>Exhibit 7, Tab 1, Schedule 1, page 1</w:t>
      </w:r>
    </w:p>
    <w:p w14:paraId="4204822C" w14:textId="50A8215B" w:rsidR="00482130" w:rsidRPr="00BF20CF" w:rsidRDefault="00B64EC6" w:rsidP="00B64EC6">
      <w:pPr>
        <w:spacing w:line="276" w:lineRule="auto"/>
        <w:ind w:firstLine="720"/>
        <w:rPr>
          <w:rFonts w:ascii="Arial" w:hAnsi="Arial" w:cs="Arial"/>
          <w:b/>
        </w:rPr>
      </w:pPr>
      <w:r w:rsidRPr="00BF20CF">
        <w:rPr>
          <w:rFonts w:ascii="Arial" w:hAnsi="Arial" w:cs="Arial"/>
          <w:b/>
        </w:rPr>
        <w:t>Updated Cost Allocation Model, sheet I5.2 Weighting Factors</w:t>
      </w:r>
    </w:p>
    <w:p w14:paraId="4202ADD9" w14:textId="6AFE5DF9" w:rsidR="00482130" w:rsidRPr="00BF20CF" w:rsidRDefault="00482130" w:rsidP="00B64EC6">
      <w:pPr>
        <w:spacing w:line="276" w:lineRule="auto"/>
        <w:ind w:left="720"/>
        <w:rPr>
          <w:rFonts w:ascii="Arial" w:hAnsi="Arial" w:cs="Arial"/>
          <w:b/>
        </w:rPr>
      </w:pPr>
      <w:r w:rsidRPr="00BF20CF">
        <w:rPr>
          <w:rFonts w:ascii="Arial" w:hAnsi="Arial" w:cs="Arial"/>
          <w:b/>
        </w:rPr>
        <w:t xml:space="preserve">EB-2015-0004, 2016 Cost Allocation Model, sheet I5.2 Weighting </w:t>
      </w:r>
      <w:r w:rsidR="00B64EC6" w:rsidRPr="00BF20CF">
        <w:rPr>
          <w:rFonts w:ascii="Arial" w:hAnsi="Arial" w:cs="Arial"/>
          <w:b/>
        </w:rPr>
        <w:t xml:space="preserve">    </w:t>
      </w:r>
      <w:r w:rsidRPr="00BF20CF">
        <w:rPr>
          <w:rFonts w:ascii="Arial" w:hAnsi="Arial" w:cs="Arial"/>
          <w:b/>
        </w:rPr>
        <w:t>Factors</w:t>
      </w:r>
    </w:p>
    <w:p w14:paraId="7BD42BD4"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5A26798" w14:textId="77777777" w:rsidR="00482130" w:rsidRPr="00BF20CF" w:rsidRDefault="00482130" w:rsidP="00C84F5B">
      <w:pPr>
        <w:spacing w:after="240" w:line="276" w:lineRule="auto"/>
        <w:rPr>
          <w:rFonts w:ascii="Arial" w:hAnsi="Arial" w:cs="Arial"/>
        </w:rPr>
      </w:pPr>
      <w:r w:rsidRPr="00BF20CF">
        <w:rPr>
          <w:rFonts w:ascii="Arial" w:hAnsi="Arial" w:cs="Arial"/>
        </w:rPr>
        <w:t>In the section detailing Weighting Factors, Hydro Ottawa states: “For a detailed description of the methodology for development of allocation and load factors, please refer to Attachment 7-1-1(B): Hydro Ottawa Cost Allocation Report.” However, the referenced report does not provide details on weighting factors.</w:t>
      </w:r>
    </w:p>
    <w:p w14:paraId="7C738E36" w14:textId="74E1D9D0" w:rsidR="00F34BF6" w:rsidRPr="00BF20CF" w:rsidRDefault="00482130" w:rsidP="00C84F5B">
      <w:pPr>
        <w:spacing w:after="240" w:line="276" w:lineRule="auto"/>
        <w:rPr>
          <w:rFonts w:ascii="Arial" w:hAnsi="Arial" w:cs="Arial"/>
        </w:rPr>
      </w:pPr>
      <w:r w:rsidRPr="00BF20CF">
        <w:rPr>
          <w:rFonts w:ascii="Arial" w:hAnsi="Arial" w:cs="Arial"/>
        </w:rPr>
        <w:t>In this application, the weighting factors for Billing and Collecting have been updated since the cost allocation model filed with its 2016 Custom IR application. The weighting factors for services are proposed to be the same in 2021 as 2016. These are summarized in the following table:</w:t>
      </w:r>
    </w:p>
    <w:tbl>
      <w:tblPr>
        <w:tblStyle w:val="TableGrid"/>
        <w:tblW w:w="0" w:type="auto"/>
        <w:tblLook w:val="04A0" w:firstRow="1" w:lastRow="0" w:firstColumn="1" w:lastColumn="0" w:noHBand="0" w:noVBand="1"/>
      </w:tblPr>
      <w:tblGrid>
        <w:gridCol w:w="2170"/>
        <w:gridCol w:w="2132"/>
        <w:gridCol w:w="2164"/>
        <w:gridCol w:w="2164"/>
      </w:tblGrid>
      <w:tr w:rsidR="00482130" w:rsidRPr="00BF20CF" w14:paraId="7C23626C" w14:textId="77777777" w:rsidTr="00C84F5B">
        <w:tc>
          <w:tcPr>
            <w:tcW w:w="2337" w:type="dxa"/>
            <w:shd w:val="clear" w:color="auto" w:fill="000000" w:themeFill="text1"/>
          </w:tcPr>
          <w:p w14:paraId="767B31EB" w14:textId="77777777" w:rsidR="00482130" w:rsidRPr="00BF20CF" w:rsidRDefault="00482130" w:rsidP="00C84F5B">
            <w:pPr>
              <w:spacing w:line="276" w:lineRule="auto"/>
              <w:rPr>
                <w:rFonts w:ascii="Arial" w:hAnsi="Arial" w:cs="Arial"/>
                <w:b/>
              </w:rPr>
            </w:pPr>
          </w:p>
        </w:tc>
        <w:tc>
          <w:tcPr>
            <w:tcW w:w="2337" w:type="dxa"/>
            <w:shd w:val="clear" w:color="auto" w:fill="000000" w:themeFill="text1"/>
          </w:tcPr>
          <w:p w14:paraId="6F3709D1" w14:textId="77777777" w:rsidR="00482130" w:rsidRPr="00BF20CF" w:rsidRDefault="00482130" w:rsidP="00C84F5B">
            <w:pPr>
              <w:spacing w:line="276" w:lineRule="auto"/>
              <w:rPr>
                <w:rFonts w:ascii="Arial" w:hAnsi="Arial" w:cs="Arial"/>
                <w:b/>
              </w:rPr>
            </w:pPr>
            <w:r w:rsidRPr="00BF20CF">
              <w:rPr>
                <w:rFonts w:ascii="Arial" w:hAnsi="Arial" w:cs="Arial"/>
                <w:b/>
              </w:rPr>
              <w:t>Services – 2016 and 2021 models</w:t>
            </w:r>
          </w:p>
        </w:tc>
        <w:tc>
          <w:tcPr>
            <w:tcW w:w="2338" w:type="dxa"/>
            <w:shd w:val="clear" w:color="auto" w:fill="000000" w:themeFill="text1"/>
          </w:tcPr>
          <w:p w14:paraId="2D808419" w14:textId="77777777" w:rsidR="00482130" w:rsidRPr="00BF20CF" w:rsidRDefault="00482130" w:rsidP="00C84F5B">
            <w:pPr>
              <w:spacing w:line="276" w:lineRule="auto"/>
              <w:rPr>
                <w:rFonts w:ascii="Arial" w:hAnsi="Arial" w:cs="Arial"/>
                <w:b/>
              </w:rPr>
            </w:pPr>
            <w:r w:rsidRPr="00BF20CF">
              <w:rPr>
                <w:rFonts w:ascii="Arial" w:hAnsi="Arial" w:cs="Arial"/>
                <w:b/>
              </w:rPr>
              <w:t>Billing and Collecting – 2016 model</w:t>
            </w:r>
          </w:p>
        </w:tc>
        <w:tc>
          <w:tcPr>
            <w:tcW w:w="2338" w:type="dxa"/>
            <w:shd w:val="clear" w:color="auto" w:fill="000000" w:themeFill="text1"/>
          </w:tcPr>
          <w:p w14:paraId="36587F96" w14:textId="77777777" w:rsidR="00482130" w:rsidRPr="00BF20CF" w:rsidRDefault="00482130" w:rsidP="00C84F5B">
            <w:pPr>
              <w:spacing w:line="276" w:lineRule="auto"/>
              <w:rPr>
                <w:rFonts w:ascii="Arial" w:hAnsi="Arial" w:cs="Arial"/>
                <w:b/>
              </w:rPr>
            </w:pPr>
            <w:r w:rsidRPr="00BF20CF">
              <w:rPr>
                <w:rFonts w:ascii="Arial" w:hAnsi="Arial" w:cs="Arial"/>
                <w:b/>
              </w:rPr>
              <w:t>Billing and Collecting 2021 model</w:t>
            </w:r>
          </w:p>
        </w:tc>
      </w:tr>
      <w:tr w:rsidR="00482130" w:rsidRPr="00BF20CF" w14:paraId="10BC89C4" w14:textId="77777777" w:rsidTr="00C84F5B">
        <w:tc>
          <w:tcPr>
            <w:tcW w:w="2337" w:type="dxa"/>
          </w:tcPr>
          <w:p w14:paraId="7483CDA1" w14:textId="77777777" w:rsidR="00482130" w:rsidRPr="00BF20CF" w:rsidRDefault="00482130" w:rsidP="00C84F5B">
            <w:pPr>
              <w:spacing w:line="276" w:lineRule="auto"/>
              <w:rPr>
                <w:rFonts w:ascii="Arial" w:hAnsi="Arial" w:cs="Arial"/>
              </w:rPr>
            </w:pPr>
            <w:r w:rsidRPr="00BF20CF">
              <w:rPr>
                <w:rFonts w:ascii="Arial" w:hAnsi="Arial" w:cs="Arial"/>
              </w:rPr>
              <w:t>Residential</w:t>
            </w:r>
          </w:p>
        </w:tc>
        <w:tc>
          <w:tcPr>
            <w:tcW w:w="2337" w:type="dxa"/>
          </w:tcPr>
          <w:p w14:paraId="7F749830" w14:textId="77777777" w:rsidR="00482130" w:rsidRPr="00BF20CF" w:rsidRDefault="00482130" w:rsidP="00C84F5B">
            <w:pPr>
              <w:spacing w:line="276" w:lineRule="auto"/>
              <w:rPr>
                <w:rFonts w:ascii="Arial" w:hAnsi="Arial" w:cs="Arial"/>
              </w:rPr>
            </w:pPr>
            <w:r w:rsidRPr="00BF20CF">
              <w:rPr>
                <w:rFonts w:ascii="Arial" w:hAnsi="Arial" w:cs="Arial"/>
              </w:rPr>
              <w:t>1.0</w:t>
            </w:r>
          </w:p>
        </w:tc>
        <w:tc>
          <w:tcPr>
            <w:tcW w:w="2338" w:type="dxa"/>
          </w:tcPr>
          <w:p w14:paraId="36FF6FA3" w14:textId="77777777" w:rsidR="00482130" w:rsidRPr="00BF20CF" w:rsidRDefault="00482130" w:rsidP="00C84F5B">
            <w:pPr>
              <w:spacing w:line="276" w:lineRule="auto"/>
              <w:rPr>
                <w:rFonts w:ascii="Arial" w:hAnsi="Arial" w:cs="Arial"/>
              </w:rPr>
            </w:pPr>
            <w:r w:rsidRPr="00BF20CF">
              <w:rPr>
                <w:rFonts w:ascii="Arial" w:hAnsi="Arial" w:cs="Arial"/>
              </w:rPr>
              <w:t>1.0</w:t>
            </w:r>
          </w:p>
        </w:tc>
        <w:tc>
          <w:tcPr>
            <w:tcW w:w="2338" w:type="dxa"/>
          </w:tcPr>
          <w:p w14:paraId="006A7FFC" w14:textId="77777777" w:rsidR="00482130" w:rsidRPr="00BF20CF" w:rsidRDefault="00482130" w:rsidP="00C84F5B">
            <w:pPr>
              <w:spacing w:line="276" w:lineRule="auto"/>
              <w:rPr>
                <w:rFonts w:ascii="Arial" w:hAnsi="Arial" w:cs="Arial"/>
              </w:rPr>
            </w:pPr>
            <w:r w:rsidRPr="00BF20CF">
              <w:rPr>
                <w:rFonts w:ascii="Arial" w:hAnsi="Arial" w:cs="Arial"/>
              </w:rPr>
              <w:t>1.0</w:t>
            </w:r>
          </w:p>
        </w:tc>
      </w:tr>
      <w:tr w:rsidR="00482130" w:rsidRPr="00BF20CF" w14:paraId="6EBBC4EB" w14:textId="77777777" w:rsidTr="00C84F5B">
        <w:tc>
          <w:tcPr>
            <w:tcW w:w="2337" w:type="dxa"/>
          </w:tcPr>
          <w:p w14:paraId="2BFDE5EB" w14:textId="77777777" w:rsidR="00482130" w:rsidRPr="00BF20CF" w:rsidRDefault="00482130" w:rsidP="00C84F5B">
            <w:pPr>
              <w:spacing w:line="276" w:lineRule="auto"/>
              <w:rPr>
                <w:rFonts w:ascii="Arial" w:hAnsi="Arial" w:cs="Arial"/>
              </w:rPr>
            </w:pPr>
            <w:r w:rsidRPr="00BF20CF">
              <w:rPr>
                <w:rFonts w:ascii="Arial" w:hAnsi="Arial" w:cs="Arial"/>
              </w:rPr>
              <w:t>General Service &lt; 50 kW</w:t>
            </w:r>
          </w:p>
        </w:tc>
        <w:tc>
          <w:tcPr>
            <w:tcW w:w="2337" w:type="dxa"/>
          </w:tcPr>
          <w:p w14:paraId="466A32D0" w14:textId="77777777" w:rsidR="00482130" w:rsidRPr="00BF20CF" w:rsidRDefault="00482130" w:rsidP="00C84F5B">
            <w:pPr>
              <w:spacing w:line="276" w:lineRule="auto"/>
              <w:rPr>
                <w:rFonts w:ascii="Arial" w:hAnsi="Arial" w:cs="Arial"/>
              </w:rPr>
            </w:pPr>
            <w:r w:rsidRPr="00BF20CF">
              <w:rPr>
                <w:rFonts w:ascii="Arial" w:hAnsi="Arial" w:cs="Arial"/>
              </w:rPr>
              <w:t>2.0</w:t>
            </w:r>
          </w:p>
        </w:tc>
        <w:tc>
          <w:tcPr>
            <w:tcW w:w="2338" w:type="dxa"/>
          </w:tcPr>
          <w:p w14:paraId="732C2DDD" w14:textId="77777777" w:rsidR="00482130" w:rsidRPr="00BF20CF" w:rsidRDefault="00482130" w:rsidP="00C84F5B">
            <w:pPr>
              <w:spacing w:line="276" w:lineRule="auto"/>
              <w:rPr>
                <w:rFonts w:ascii="Arial" w:hAnsi="Arial" w:cs="Arial"/>
              </w:rPr>
            </w:pPr>
            <w:r w:rsidRPr="00BF20CF">
              <w:rPr>
                <w:rFonts w:ascii="Arial" w:hAnsi="Arial" w:cs="Arial"/>
              </w:rPr>
              <w:t>1.0</w:t>
            </w:r>
          </w:p>
        </w:tc>
        <w:tc>
          <w:tcPr>
            <w:tcW w:w="2338" w:type="dxa"/>
          </w:tcPr>
          <w:p w14:paraId="00E866C8" w14:textId="77777777" w:rsidR="00482130" w:rsidRPr="00BF20CF" w:rsidRDefault="00482130" w:rsidP="00C84F5B">
            <w:pPr>
              <w:spacing w:line="276" w:lineRule="auto"/>
              <w:rPr>
                <w:rFonts w:ascii="Arial" w:hAnsi="Arial" w:cs="Arial"/>
              </w:rPr>
            </w:pPr>
            <w:r w:rsidRPr="00BF20CF">
              <w:rPr>
                <w:rFonts w:ascii="Arial" w:hAnsi="Arial" w:cs="Arial"/>
              </w:rPr>
              <w:t>1.1</w:t>
            </w:r>
          </w:p>
        </w:tc>
      </w:tr>
      <w:tr w:rsidR="00482130" w:rsidRPr="00BF20CF" w14:paraId="1867DFFB" w14:textId="77777777" w:rsidTr="00C84F5B">
        <w:tc>
          <w:tcPr>
            <w:tcW w:w="2337" w:type="dxa"/>
          </w:tcPr>
          <w:p w14:paraId="347E6967" w14:textId="77777777" w:rsidR="00482130" w:rsidRPr="00BF20CF" w:rsidRDefault="00482130" w:rsidP="00C84F5B">
            <w:pPr>
              <w:spacing w:line="276" w:lineRule="auto"/>
              <w:rPr>
                <w:rFonts w:ascii="Arial" w:hAnsi="Arial" w:cs="Arial"/>
              </w:rPr>
            </w:pPr>
            <w:r w:rsidRPr="00BF20CF">
              <w:rPr>
                <w:rFonts w:ascii="Arial" w:hAnsi="Arial" w:cs="Arial"/>
              </w:rPr>
              <w:t>General Service 50 to 1,499 kW</w:t>
            </w:r>
          </w:p>
        </w:tc>
        <w:tc>
          <w:tcPr>
            <w:tcW w:w="2337" w:type="dxa"/>
          </w:tcPr>
          <w:p w14:paraId="709E675C" w14:textId="77777777" w:rsidR="00482130" w:rsidRPr="00BF20CF" w:rsidRDefault="00482130" w:rsidP="00C84F5B">
            <w:pPr>
              <w:spacing w:line="276" w:lineRule="auto"/>
              <w:rPr>
                <w:rFonts w:ascii="Arial" w:hAnsi="Arial" w:cs="Arial"/>
              </w:rPr>
            </w:pPr>
            <w:r w:rsidRPr="00BF20CF">
              <w:rPr>
                <w:rFonts w:ascii="Arial" w:hAnsi="Arial" w:cs="Arial"/>
              </w:rPr>
              <w:t>10.0</w:t>
            </w:r>
          </w:p>
        </w:tc>
        <w:tc>
          <w:tcPr>
            <w:tcW w:w="2338" w:type="dxa"/>
          </w:tcPr>
          <w:p w14:paraId="07F0378D" w14:textId="77777777" w:rsidR="00482130" w:rsidRPr="00BF20CF" w:rsidRDefault="00482130" w:rsidP="00C84F5B">
            <w:pPr>
              <w:spacing w:line="276" w:lineRule="auto"/>
              <w:rPr>
                <w:rFonts w:ascii="Arial" w:hAnsi="Arial" w:cs="Arial"/>
              </w:rPr>
            </w:pPr>
            <w:r w:rsidRPr="00BF20CF">
              <w:rPr>
                <w:rFonts w:ascii="Arial" w:hAnsi="Arial" w:cs="Arial"/>
              </w:rPr>
              <w:t>6.4</w:t>
            </w:r>
          </w:p>
        </w:tc>
        <w:tc>
          <w:tcPr>
            <w:tcW w:w="2338" w:type="dxa"/>
          </w:tcPr>
          <w:p w14:paraId="258FCAE8" w14:textId="77777777" w:rsidR="00482130" w:rsidRPr="00BF20CF" w:rsidRDefault="00482130" w:rsidP="00C84F5B">
            <w:pPr>
              <w:spacing w:line="276" w:lineRule="auto"/>
              <w:rPr>
                <w:rFonts w:ascii="Arial" w:hAnsi="Arial" w:cs="Arial"/>
              </w:rPr>
            </w:pPr>
            <w:r w:rsidRPr="00BF20CF">
              <w:rPr>
                <w:rFonts w:ascii="Arial" w:hAnsi="Arial" w:cs="Arial"/>
              </w:rPr>
              <w:t>3.0</w:t>
            </w:r>
          </w:p>
        </w:tc>
      </w:tr>
      <w:tr w:rsidR="00482130" w:rsidRPr="00BF20CF" w14:paraId="766EB6D6" w14:textId="77777777" w:rsidTr="00C84F5B">
        <w:tc>
          <w:tcPr>
            <w:tcW w:w="2337" w:type="dxa"/>
          </w:tcPr>
          <w:p w14:paraId="64084E6A" w14:textId="77777777" w:rsidR="00482130" w:rsidRPr="00BF20CF" w:rsidRDefault="00482130" w:rsidP="00C84F5B">
            <w:pPr>
              <w:spacing w:line="276" w:lineRule="auto"/>
              <w:rPr>
                <w:rFonts w:ascii="Arial" w:hAnsi="Arial" w:cs="Arial"/>
              </w:rPr>
            </w:pPr>
            <w:r w:rsidRPr="00BF20CF">
              <w:rPr>
                <w:rFonts w:ascii="Arial" w:hAnsi="Arial" w:cs="Arial"/>
              </w:rPr>
              <w:t>General Service 1,500 to 4,999 kW</w:t>
            </w:r>
          </w:p>
        </w:tc>
        <w:tc>
          <w:tcPr>
            <w:tcW w:w="2337" w:type="dxa"/>
          </w:tcPr>
          <w:p w14:paraId="2DB5151F" w14:textId="77777777" w:rsidR="00482130" w:rsidRPr="00BF20CF" w:rsidRDefault="00482130" w:rsidP="00C84F5B">
            <w:pPr>
              <w:spacing w:line="276" w:lineRule="auto"/>
              <w:rPr>
                <w:rFonts w:ascii="Arial" w:hAnsi="Arial" w:cs="Arial"/>
              </w:rPr>
            </w:pPr>
            <w:r w:rsidRPr="00BF20CF">
              <w:rPr>
                <w:rFonts w:ascii="Arial" w:hAnsi="Arial" w:cs="Arial"/>
              </w:rPr>
              <w:t>10.0</w:t>
            </w:r>
          </w:p>
        </w:tc>
        <w:tc>
          <w:tcPr>
            <w:tcW w:w="2338" w:type="dxa"/>
          </w:tcPr>
          <w:p w14:paraId="16F80D39" w14:textId="77777777" w:rsidR="00482130" w:rsidRPr="00BF20CF" w:rsidRDefault="00482130" w:rsidP="00C84F5B">
            <w:pPr>
              <w:spacing w:line="276" w:lineRule="auto"/>
              <w:rPr>
                <w:rFonts w:ascii="Arial" w:hAnsi="Arial" w:cs="Arial"/>
              </w:rPr>
            </w:pPr>
            <w:r w:rsidRPr="00BF20CF">
              <w:rPr>
                <w:rFonts w:ascii="Arial" w:hAnsi="Arial" w:cs="Arial"/>
              </w:rPr>
              <w:t>25.3</w:t>
            </w:r>
          </w:p>
        </w:tc>
        <w:tc>
          <w:tcPr>
            <w:tcW w:w="2338" w:type="dxa"/>
          </w:tcPr>
          <w:p w14:paraId="451FF7B5" w14:textId="77777777" w:rsidR="00482130" w:rsidRPr="00BF20CF" w:rsidRDefault="00482130" w:rsidP="00C84F5B">
            <w:pPr>
              <w:spacing w:line="276" w:lineRule="auto"/>
              <w:rPr>
                <w:rFonts w:ascii="Arial" w:hAnsi="Arial" w:cs="Arial"/>
              </w:rPr>
            </w:pPr>
            <w:r w:rsidRPr="00BF20CF">
              <w:rPr>
                <w:rFonts w:ascii="Arial" w:hAnsi="Arial" w:cs="Arial"/>
              </w:rPr>
              <w:t>4.0</w:t>
            </w:r>
          </w:p>
        </w:tc>
      </w:tr>
      <w:tr w:rsidR="00482130" w:rsidRPr="00BF20CF" w14:paraId="21C49CFE" w14:textId="77777777" w:rsidTr="00C84F5B">
        <w:tc>
          <w:tcPr>
            <w:tcW w:w="2337" w:type="dxa"/>
          </w:tcPr>
          <w:p w14:paraId="10693904" w14:textId="77777777" w:rsidR="00482130" w:rsidRPr="00BF20CF" w:rsidRDefault="00482130" w:rsidP="00C84F5B">
            <w:pPr>
              <w:spacing w:line="276" w:lineRule="auto"/>
              <w:rPr>
                <w:rFonts w:ascii="Arial" w:hAnsi="Arial" w:cs="Arial"/>
              </w:rPr>
            </w:pPr>
            <w:r w:rsidRPr="00BF20CF">
              <w:rPr>
                <w:rFonts w:ascii="Arial" w:hAnsi="Arial" w:cs="Arial"/>
              </w:rPr>
              <w:t>Large Use</w:t>
            </w:r>
          </w:p>
        </w:tc>
        <w:tc>
          <w:tcPr>
            <w:tcW w:w="2337" w:type="dxa"/>
          </w:tcPr>
          <w:p w14:paraId="2FBCF8F0" w14:textId="77777777" w:rsidR="00482130" w:rsidRPr="00BF20CF" w:rsidRDefault="00482130" w:rsidP="00C84F5B">
            <w:pPr>
              <w:spacing w:line="276" w:lineRule="auto"/>
              <w:rPr>
                <w:rFonts w:ascii="Arial" w:hAnsi="Arial" w:cs="Arial"/>
              </w:rPr>
            </w:pPr>
            <w:r w:rsidRPr="00BF20CF">
              <w:rPr>
                <w:rFonts w:ascii="Arial" w:hAnsi="Arial" w:cs="Arial"/>
              </w:rPr>
              <w:t>30.0</w:t>
            </w:r>
          </w:p>
        </w:tc>
        <w:tc>
          <w:tcPr>
            <w:tcW w:w="2338" w:type="dxa"/>
          </w:tcPr>
          <w:p w14:paraId="7FA6E8A6" w14:textId="77777777" w:rsidR="00482130" w:rsidRPr="00BF20CF" w:rsidRDefault="00482130" w:rsidP="00C84F5B">
            <w:pPr>
              <w:spacing w:line="276" w:lineRule="auto"/>
              <w:rPr>
                <w:rFonts w:ascii="Arial" w:hAnsi="Arial" w:cs="Arial"/>
              </w:rPr>
            </w:pPr>
            <w:r w:rsidRPr="00BF20CF">
              <w:rPr>
                <w:rFonts w:ascii="Arial" w:hAnsi="Arial" w:cs="Arial"/>
              </w:rPr>
              <w:t>25.2</w:t>
            </w:r>
          </w:p>
        </w:tc>
        <w:tc>
          <w:tcPr>
            <w:tcW w:w="2338" w:type="dxa"/>
          </w:tcPr>
          <w:p w14:paraId="413823DD" w14:textId="77777777" w:rsidR="00482130" w:rsidRPr="00BF20CF" w:rsidRDefault="00482130" w:rsidP="00C84F5B">
            <w:pPr>
              <w:spacing w:line="276" w:lineRule="auto"/>
              <w:rPr>
                <w:rFonts w:ascii="Arial" w:hAnsi="Arial" w:cs="Arial"/>
              </w:rPr>
            </w:pPr>
            <w:r w:rsidRPr="00BF20CF">
              <w:rPr>
                <w:rFonts w:ascii="Arial" w:hAnsi="Arial" w:cs="Arial"/>
              </w:rPr>
              <w:t>3.9</w:t>
            </w:r>
          </w:p>
        </w:tc>
      </w:tr>
      <w:tr w:rsidR="00482130" w:rsidRPr="00BF20CF" w14:paraId="48225645" w14:textId="77777777" w:rsidTr="00C84F5B">
        <w:tc>
          <w:tcPr>
            <w:tcW w:w="2337" w:type="dxa"/>
          </w:tcPr>
          <w:p w14:paraId="0EC78F99" w14:textId="77777777" w:rsidR="00482130" w:rsidRPr="00BF20CF" w:rsidRDefault="00482130" w:rsidP="00C84F5B">
            <w:pPr>
              <w:spacing w:line="276" w:lineRule="auto"/>
              <w:rPr>
                <w:rFonts w:ascii="Arial" w:hAnsi="Arial" w:cs="Arial"/>
              </w:rPr>
            </w:pPr>
            <w:r w:rsidRPr="00BF20CF">
              <w:rPr>
                <w:rFonts w:ascii="Arial" w:hAnsi="Arial" w:cs="Arial"/>
              </w:rPr>
              <w:t>Street Light</w:t>
            </w:r>
          </w:p>
        </w:tc>
        <w:tc>
          <w:tcPr>
            <w:tcW w:w="2337" w:type="dxa"/>
          </w:tcPr>
          <w:p w14:paraId="18DC9376" w14:textId="77777777" w:rsidR="00482130" w:rsidRPr="00BF20CF" w:rsidRDefault="00482130" w:rsidP="00C84F5B">
            <w:pPr>
              <w:spacing w:line="276" w:lineRule="auto"/>
              <w:rPr>
                <w:rFonts w:ascii="Arial" w:hAnsi="Arial" w:cs="Arial"/>
              </w:rPr>
            </w:pPr>
            <w:r w:rsidRPr="00BF20CF">
              <w:rPr>
                <w:rFonts w:ascii="Arial" w:hAnsi="Arial" w:cs="Arial"/>
              </w:rPr>
              <w:t>1.0</w:t>
            </w:r>
          </w:p>
        </w:tc>
        <w:tc>
          <w:tcPr>
            <w:tcW w:w="2338" w:type="dxa"/>
          </w:tcPr>
          <w:p w14:paraId="6111D627" w14:textId="77777777" w:rsidR="00482130" w:rsidRPr="00BF20CF" w:rsidRDefault="00482130" w:rsidP="00C84F5B">
            <w:pPr>
              <w:spacing w:line="276" w:lineRule="auto"/>
              <w:rPr>
                <w:rFonts w:ascii="Arial" w:hAnsi="Arial" w:cs="Arial"/>
              </w:rPr>
            </w:pPr>
            <w:r w:rsidRPr="00BF20CF">
              <w:rPr>
                <w:rFonts w:ascii="Arial" w:hAnsi="Arial" w:cs="Arial"/>
              </w:rPr>
              <w:t>25.2</w:t>
            </w:r>
          </w:p>
        </w:tc>
        <w:tc>
          <w:tcPr>
            <w:tcW w:w="2338" w:type="dxa"/>
          </w:tcPr>
          <w:p w14:paraId="04519088" w14:textId="77777777" w:rsidR="00482130" w:rsidRPr="00BF20CF" w:rsidRDefault="00482130" w:rsidP="00C84F5B">
            <w:pPr>
              <w:spacing w:line="276" w:lineRule="auto"/>
              <w:rPr>
                <w:rFonts w:ascii="Arial" w:hAnsi="Arial" w:cs="Arial"/>
              </w:rPr>
            </w:pPr>
            <w:r w:rsidRPr="00BF20CF">
              <w:rPr>
                <w:rFonts w:ascii="Arial" w:hAnsi="Arial" w:cs="Arial"/>
              </w:rPr>
              <w:t>4.1</w:t>
            </w:r>
          </w:p>
        </w:tc>
      </w:tr>
      <w:tr w:rsidR="00482130" w:rsidRPr="00BF20CF" w14:paraId="35005B7A" w14:textId="77777777" w:rsidTr="00C84F5B">
        <w:tc>
          <w:tcPr>
            <w:tcW w:w="2337" w:type="dxa"/>
          </w:tcPr>
          <w:p w14:paraId="68547CFD" w14:textId="77777777" w:rsidR="00482130" w:rsidRPr="00BF20CF" w:rsidRDefault="00482130" w:rsidP="00C84F5B">
            <w:pPr>
              <w:spacing w:line="276" w:lineRule="auto"/>
              <w:rPr>
                <w:rFonts w:ascii="Arial" w:hAnsi="Arial" w:cs="Arial"/>
              </w:rPr>
            </w:pPr>
            <w:r w:rsidRPr="00BF20CF">
              <w:rPr>
                <w:rFonts w:ascii="Arial" w:hAnsi="Arial" w:cs="Arial"/>
              </w:rPr>
              <w:t>Sentinel</w:t>
            </w:r>
          </w:p>
        </w:tc>
        <w:tc>
          <w:tcPr>
            <w:tcW w:w="2337" w:type="dxa"/>
          </w:tcPr>
          <w:p w14:paraId="0C4BF3A5" w14:textId="77777777" w:rsidR="00482130" w:rsidRPr="00BF20CF" w:rsidRDefault="00482130" w:rsidP="00C84F5B">
            <w:pPr>
              <w:spacing w:line="276" w:lineRule="auto"/>
              <w:rPr>
                <w:rFonts w:ascii="Arial" w:hAnsi="Arial" w:cs="Arial"/>
              </w:rPr>
            </w:pPr>
            <w:r w:rsidRPr="00BF20CF">
              <w:rPr>
                <w:rFonts w:ascii="Arial" w:hAnsi="Arial" w:cs="Arial"/>
              </w:rPr>
              <w:t>1.0</w:t>
            </w:r>
          </w:p>
        </w:tc>
        <w:tc>
          <w:tcPr>
            <w:tcW w:w="2338" w:type="dxa"/>
          </w:tcPr>
          <w:p w14:paraId="58CEAC79" w14:textId="77777777" w:rsidR="00482130" w:rsidRPr="00BF20CF" w:rsidRDefault="00482130" w:rsidP="00C84F5B">
            <w:pPr>
              <w:spacing w:line="276" w:lineRule="auto"/>
              <w:rPr>
                <w:rFonts w:ascii="Arial" w:hAnsi="Arial" w:cs="Arial"/>
              </w:rPr>
            </w:pPr>
            <w:r w:rsidRPr="00BF20CF">
              <w:rPr>
                <w:rFonts w:ascii="Arial" w:hAnsi="Arial" w:cs="Arial"/>
              </w:rPr>
              <w:t>0.7</w:t>
            </w:r>
          </w:p>
        </w:tc>
        <w:tc>
          <w:tcPr>
            <w:tcW w:w="2338" w:type="dxa"/>
          </w:tcPr>
          <w:p w14:paraId="0BBB8C41" w14:textId="77777777" w:rsidR="00482130" w:rsidRPr="00BF20CF" w:rsidRDefault="00482130" w:rsidP="00C84F5B">
            <w:pPr>
              <w:spacing w:line="276" w:lineRule="auto"/>
              <w:rPr>
                <w:rFonts w:ascii="Arial" w:hAnsi="Arial" w:cs="Arial"/>
              </w:rPr>
            </w:pPr>
            <w:r w:rsidRPr="00BF20CF">
              <w:rPr>
                <w:rFonts w:ascii="Arial" w:hAnsi="Arial" w:cs="Arial"/>
              </w:rPr>
              <w:t>0.7</w:t>
            </w:r>
          </w:p>
        </w:tc>
      </w:tr>
      <w:tr w:rsidR="00482130" w:rsidRPr="00BF20CF" w14:paraId="30946556" w14:textId="77777777" w:rsidTr="00C84F5B">
        <w:tc>
          <w:tcPr>
            <w:tcW w:w="2337" w:type="dxa"/>
          </w:tcPr>
          <w:p w14:paraId="69C22432" w14:textId="77777777" w:rsidR="00482130" w:rsidRPr="00BF20CF" w:rsidRDefault="00482130" w:rsidP="00C84F5B">
            <w:pPr>
              <w:spacing w:line="276" w:lineRule="auto"/>
              <w:rPr>
                <w:rFonts w:ascii="Arial" w:hAnsi="Arial" w:cs="Arial"/>
              </w:rPr>
            </w:pPr>
            <w:r w:rsidRPr="00BF20CF">
              <w:rPr>
                <w:rFonts w:ascii="Arial" w:hAnsi="Arial" w:cs="Arial"/>
              </w:rPr>
              <w:t>Unmetered Scattered Load</w:t>
            </w:r>
          </w:p>
        </w:tc>
        <w:tc>
          <w:tcPr>
            <w:tcW w:w="2337" w:type="dxa"/>
          </w:tcPr>
          <w:p w14:paraId="57F379F0" w14:textId="77777777" w:rsidR="00482130" w:rsidRPr="00BF20CF" w:rsidRDefault="00482130" w:rsidP="00C84F5B">
            <w:pPr>
              <w:spacing w:line="276" w:lineRule="auto"/>
              <w:rPr>
                <w:rFonts w:ascii="Arial" w:hAnsi="Arial" w:cs="Arial"/>
              </w:rPr>
            </w:pPr>
            <w:r w:rsidRPr="00BF20CF">
              <w:rPr>
                <w:rFonts w:ascii="Arial" w:hAnsi="Arial" w:cs="Arial"/>
              </w:rPr>
              <w:t>1.0</w:t>
            </w:r>
          </w:p>
        </w:tc>
        <w:tc>
          <w:tcPr>
            <w:tcW w:w="2338" w:type="dxa"/>
          </w:tcPr>
          <w:p w14:paraId="3299DBFB" w14:textId="77777777" w:rsidR="00482130" w:rsidRPr="00BF20CF" w:rsidRDefault="00482130" w:rsidP="00C84F5B">
            <w:pPr>
              <w:spacing w:line="276" w:lineRule="auto"/>
              <w:rPr>
                <w:rFonts w:ascii="Arial" w:hAnsi="Arial" w:cs="Arial"/>
              </w:rPr>
            </w:pPr>
            <w:r w:rsidRPr="00BF20CF">
              <w:rPr>
                <w:rFonts w:ascii="Arial" w:hAnsi="Arial" w:cs="Arial"/>
              </w:rPr>
              <w:t>1.0</w:t>
            </w:r>
          </w:p>
        </w:tc>
        <w:tc>
          <w:tcPr>
            <w:tcW w:w="2338" w:type="dxa"/>
          </w:tcPr>
          <w:p w14:paraId="53990652" w14:textId="77777777" w:rsidR="00482130" w:rsidRPr="00BF20CF" w:rsidRDefault="00482130" w:rsidP="00C84F5B">
            <w:pPr>
              <w:spacing w:line="276" w:lineRule="auto"/>
              <w:rPr>
                <w:rFonts w:ascii="Arial" w:hAnsi="Arial" w:cs="Arial"/>
              </w:rPr>
            </w:pPr>
            <w:r w:rsidRPr="00BF20CF">
              <w:rPr>
                <w:rFonts w:ascii="Arial" w:hAnsi="Arial" w:cs="Arial"/>
              </w:rPr>
              <w:t>1.1</w:t>
            </w:r>
          </w:p>
        </w:tc>
      </w:tr>
      <w:tr w:rsidR="00482130" w:rsidRPr="00BF20CF" w14:paraId="001A7F74" w14:textId="77777777" w:rsidTr="00C84F5B">
        <w:tc>
          <w:tcPr>
            <w:tcW w:w="2337" w:type="dxa"/>
          </w:tcPr>
          <w:p w14:paraId="48005D26" w14:textId="77777777" w:rsidR="00482130" w:rsidRPr="00BF20CF" w:rsidRDefault="00482130" w:rsidP="00C84F5B">
            <w:pPr>
              <w:spacing w:line="276" w:lineRule="auto"/>
              <w:rPr>
                <w:rFonts w:ascii="Arial" w:hAnsi="Arial" w:cs="Arial"/>
              </w:rPr>
            </w:pPr>
            <w:r w:rsidRPr="00BF20CF">
              <w:rPr>
                <w:rFonts w:ascii="Arial" w:hAnsi="Arial" w:cs="Arial"/>
              </w:rPr>
              <w:t>Standby (all volumes)</w:t>
            </w:r>
          </w:p>
        </w:tc>
        <w:tc>
          <w:tcPr>
            <w:tcW w:w="2337" w:type="dxa"/>
          </w:tcPr>
          <w:p w14:paraId="51024A87" w14:textId="77777777" w:rsidR="00482130" w:rsidRPr="00BF20CF" w:rsidRDefault="00482130" w:rsidP="00C84F5B">
            <w:pPr>
              <w:spacing w:line="276" w:lineRule="auto"/>
              <w:rPr>
                <w:rFonts w:ascii="Arial" w:hAnsi="Arial" w:cs="Arial"/>
              </w:rPr>
            </w:pPr>
            <w:r w:rsidRPr="00BF20CF">
              <w:rPr>
                <w:rFonts w:ascii="Arial" w:hAnsi="Arial" w:cs="Arial"/>
              </w:rPr>
              <w:t>10.0</w:t>
            </w:r>
          </w:p>
        </w:tc>
        <w:tc>
          <w:tcPr>
            <w:tcW w:w="2338" w:type="dxa"/>
          </w:tcPr>
          <w:p w14:paraId="5FF20112" w14:textId="77777777" w:rsidR="00482130" w:rsidRPr="00BF20CF" w:rsidRDefault="00482130" w:rsidP="00C84F5B">
            <w:pPr>
              <w:spacing w:line="276" w:lineRule="auto"/>
              <w:rPr>
                <w:rFonts w:ascii="Arial" w:hAnsi="Arial" w:cs="Arial"/>
              </w:rPr>
            </w:pPr>
            <w:r w:rsidRPr="00BF20CF">
              <w:rPr>
                <w:rFonts w:ascii="Arial" w:hAnsi="Arial" w:cs="Arial"/>
              </w:rPr>
              <w:t>24.9</w:t>
            </w:r>
          </w:p>
        </w:tc>
        <w:tc>
          <w:tcPr>
            <w:tcW w:w="2338" w:type="dxa"/>
          </w:tcPr>
          <w:p w14:paraId="621FFC2F" w14:textId="77777777" w:rsidR="00482130" w:rsidRPr="00BF20CF" w:rsidRDefault="00482130" w:rsidP="00C84F5B">
            <w:pPr>
              <w:spacing w:line="276" w:lineRule="auto"/>
              <w:rPr>
                <w:rFonts w:ascii="Arial" w:hAnsi="Arial" w:cs="Arial"/>
              </w:rPr>
            </w:pPr>
            <w:r w:rsidRPr="00BF20CF">
              <w:rPr>
                <w:rFonts w:ascii="Arial" w:hAnsi="Arial" w:cs="Arial"/>
              </w:rPr>
              <w:t>3.9</w:t>
            </w:r>
          </w:p>
        </w:tc>
      </w:tr>
    </w:tbl>
    <w:p w14:paraId="13983998"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1E63564" w14:textId="4F3D97A8" w:rsidR="00482130" w:rsidRPr="00BF20CF" w:rsidRDefault="00482130" w:rsidP="00DA686D">
      <w:pPr>
        <w:pStyle w:val="ListParagraph"/>
        <w:numPr>
          <w:ilvl w:val="0"/>
          <w:numId w:val="153"/>
        </w:numPr>
        <w:spacing w:after="160" w:line="276" w:lineRule="auto"/>
        <w:rPr>
          <w:rFonts w:ascii="Arial" w:hAnsi="Arial" w:cs="Arial"/>
        </w:rPr>
      </w:pPr>
      <w:r w:rsidRPr="00BF20CF">
        <w:rPr>
          <w:rFonts w:ascii="Arial" w:hAnsi="Arial" w:cs="Arial"/>
        </w:rPr>
        <w:t>Please provide a derivation of the weighting factors used for Service and Billing and Collecting.</w:t>
      </w:r>
    </w:p>
    <w:p w14:paraId="08EFD523" w14:textId="77777777" w:rsidR="00F34BF6" w:rsidRPr="00BF20CF" w:rsidRDefault="00F34BF6" w:rsidP="00F34BF6">
      <w:pPr>
        <w:pStyle w:val="ListParagraph"/>
        <w:spacing w:after="160" w:line="276" w:lineRule="auto"/>
        <w:rPr>
          <w:rFonts w:ascii="Arial" w:hAnsi="Arial" w:cs="Arial"/>
        </w:rPr>
      </w:pPr>
    </w:p>
    <w:p w14:paraId="079B15E1" w14:textId="77777777" w:rsidR="00482130" w:rsidRPr="00BF20CF" w:rsidRDefault="00482130" w:rsidP="00DA686D">
      <w:pPr>
        <w:pStyle w:val="ListParagraph"/>
        <w:numPr>
          <w:ilvl w:val="0"/>
          <w:numId w:val="153"/>
        </w:numPr>
        <w:spacing w:after="160" w:line="276" w:lineRule="auto"/>
        <w:rPr>
          <w:rFonts w:ascii="Arial" w:hAnsi="Arial" w:cs="Arial"/>
        </w:rPr>
      </w:pPr>
      <w:r w:rsidRPr="00BF20CF">
        <w:rPr>
          <w:rFonts w:ascii="Arial" w:hAnsi="Arial" w:cs="Arial"/>
        </w:rPr>
        <w:lastRenderedPageBreak/>
        <w:t>Has Hydro Ottawa reviewed its costs for Services in the context of this application, and if not, when was the last time these costs were reviewed?</w:t>
      </w:r>
    </w:p>
    <w:p w14:paraId="7A454E1C" w14:textId="0499A057" w:rsidR="00F16949" w:rsidRPr="00BF20CF" w:rsidRDefault="00F16949" w:rsidP="00F16949">
      <w:pPr>
        <w:pStyle w:val="StaffHeader"/>
        <w:numPr>
          <w:ilvl w:val="0"/>
          <w:numId w:val="0"/>
        </w:numPr>
        <w:spacing w:before="240"/>
        <w:rPr>
          <w:rFonts w:cs="Arial"/>
          <w:szCs w:val="24"/>
          <w:u w:val="none"/>
        </w:rPr>
      </w:pPr>
      <w:r w:rsidRPr="00BF20CF">
        <w:rPr>
          <w:rFonts w:cs="Arial"/>
          <w:szCs w:val="24"/>
          <w:u w:val="none"/>
        </w:rPr>
        <w:t>7-Staff-4</w:t>
      </w:r>
    </w:p>
    <w:p w14:paraId="196E76E8" w14:textId="77777777" w:rsidR="00B64EC6" w:rsidRPr="00BF20CF" w:rsidRDefault="00B64EC6" w:rsidP="00B64EC6">
      <w:pPr>
        <w:spacing w:line="276" w:lineRule="auto"/>
        <w:ind w:left="720" w:hanging="720"/>
        <w:rPr>
          <w:rFonts w:ascii="Arial" w:hAnsi="Arial" w:cs="Arial"/>
          <w:b/>
        </w:rPr>
      </w:pPr>
      <w:r w:rsidRPr="00BF20CF">
        <w:rPr>
          <w:rFonts w:ascii="Arial" w:hAnsi="Arial" w:cs="Arial"/>
          <w:b/>
        </w:rPr>
        <w:t>Ref:</w:t>
      </w:r>
      <w:r w:rsidRPr="00BF20CF">
        <w:rPr>
          <w:rFonts w:ascii="Arial" w:hAnsi="Arial" w:cs="Arial"/>
          <w:b/>
        </w:rPr>
        <w:tab/>
        <w:t>Updated Cost Allocation Model, sheet I6.1 Revenue; sheet I8 Demand Data</w:t>
      </w:r>
    </w:p>
    <w:p w14:paraId="3DD45BAD" w14:textId="77777777" w:rsidR="00B64EC6" w:rsidRPr="00BF20CF" w:rsidRDefault="00B64EC6" w:rsidP="00B64EC6">
      <w:pPr>
        <w:spacing w:line="276" w:lineRule="auto"/>
        <w:ind w:left="720" w:hanging="720"/>
        <w:rPr>
          <w:rFonts w:ascii="Arial" w:hAnsi="Arial" w:cs="Arial"/>
          <w:b/>
        </w:rPr>
      </w:pPr>
      <w:r w:rsidRPr="00BF20CF">
        <w:rPr>
          <w:rFonts w:ascii="Arial" w:hAnsi="Arial" w:cs="Arial"/>
          <w:b/>
        </w:rPr>
        <w:tab/>
        <w:t>EB-2015-0004, 2016 Cost Allocation Model, sheet I6.1 Revenue; sheet I8 Demand Data</w:t>
      </w:r>
    </w:p>
    <w:p w14:paraId="17F23B05" w14:textId="7A985872"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C5881B0" w14:textId="65E49702" w:rsidR="00E4675C" w:rsidRPr="00BF20CF" w:rsidRDefault="00482130" w:rsidP="00C84F5B">
      <w:pPr>
        <w:spacing w:after="240" w:line="276" w:lineRule="auto"/>
        <w:rPr>
          <w:rFonts w:ascii="Arial" w:hAnsi="Arial" w:cs="Arial"/>
        </w:rPr>
      </w:pPr>
      <w:r w:rsidRPr="00BF20CF">
        <w:rPr>
          <w:rFonts w:ascii="Arial" w:hAnsi="Arial" w:cs="Arial"/>
        </w:rPr>
        <w:t>The Standby rate class billing demand and demand allocators from the previous proceeding and proposed in this proceeding are summarized below:</w:t>
      </w:r>
    </w:p>
    <w:tbl>
      <w:tblPr>
        <w:tblStyle w:val="TableGrid"/>
        <w:tblW w:w="0" w:type="auto"/>
        <w:tblLook w:val="04A0" w:firstRow="1" w:lastRow="0" w:firstColumn="1" w:lastColumn="0" w:noHBand="0" w:noVBand="1"/>
      </w:tblPr>
      <w:tblGrid>
        <w:gridCol w:w="2900"/>
        <w:gridCol w:w="2865"/>
        <w:gridCol w:w="2865"/>
      </w:tblGrid>
      <w:tr w:rsidR="00482130" w:rsidRPr="00BF20CF" w14:paraId="01F02CDF" w14:textId="77777777" w:rsidTr="00F34BF6">
        <w:tc>
          <w:tcPr>
            <w:tcW w:w="2900" w:type="dxa"/>
            <w:shd w:val="clear" w:color="auto" w:fill="000000" w:themeFill="text1"/>
          </w:tcPr>
          <w:p w14:paraId="1699AFAD" w14:textId="77777777" w:rsidR="00482130" w:rsidRPr="00BF20CF" w:rsidRDefault="00482130" w:rsidP="00C84F5B">
            <w:pPr>
              <w:spacing w:line="276" w:lineRule="auto"/>
              <w:rPr>
                <w:rFonts w:ascii="Arial" w:hAnsi="Arial" w:cs="Arial"/>
                <w:b/>
              </w:rPr>
            </w:pPr>
          </w:p>
        </w:tc>
        <w:tc>
          <w:tcPr>
            <w:tcW w:w="2865" w:type="dxa"/>
            <w:shd w:val="clear" w:color="auto" w:fill="000000" w:themeFill="text1"/>
          </w:tcPr>
          <w:p w14:paraId="20F52BE8" w14:textId="77777777" w:rsidR="00482130" w:rsidRPr="00BF20CF" w:rsidRDefault="00482130" w:rsidP="00C84F5B">
            <w:pPr>
              <w:spacing w:line="276" w:lineRule="auto"/>
              <w:jc w:val="center"/>
              <w:rPr>
                <w:rFonts w:ascii="Arial" w:hAnsi="Arial" w:cs="Arial"/>
                <w:b/>
              </w:rPr>
            </w:pPr>
            <w:r w:rsidRPr="00BF20CF">
              <w:rPr>
                <w:rFonts w:ascii="Arial" w:hAnsi="Arial" w:cs="Arial"/>
                <w:b/>
              </w:rPr>
              <w:t>2016 Cost Allocation Model (kW)</w:t>
            </w:r>
          </w:p>
        </w:tc>
        <w:tc>
          <w:tcPr>
            <w:tcW w:w="2865" w:type="dxa"/>
            <w:shd w:val="clear" w:color="auto" w:fill="000000" w:themeFill="text1"/>
          </w:tcPr>
          <w:p w14:paraId="78A235A0" w14:textId="77777777" w:rsidR="00482130" w:rsidRPr="00BF20CF" w:rsidRDefault="00482130" w:rsidP="00C84F5B">
            <w:pPr>
              <w:spacing w:line="276" w:lineRule="auto"/>
              <w:jc w:val="center"/>
              <w:rPr>
                <w:rFonts w:ascii="Arial" w:hAnsi="Arial" w:cs="Arial"/>
                <w:b/>
              </w:rPr>
            </w:pPr>
            <w:r w:rsidRPr="00BF20CF">
              <w:rPr>
                <w:rFonts w:ascii="Arial" w:hAnsi="Arial" w:cs="Arial"/>
                <w:b/>
              </w:rPr>
              <w:t>2021 Cost Allocation Model (kW)</w:t>
            </w:r>
          </w:p>
        </w:tc>
      </w:tr>
      <w:tr w:rsidR="00482130" w:rsidRPr="00BF20CF" w14:paraId="5C9F24B5" w14:textId="77777777" w:rsidTr="00F34BF6">
        <w:tc>
          <w:tcPr>
            <w:tcW w:w="2900" w:type="dxa"/>
          </w:tcPr>
          <w:p w14:paraId="75F6104B" w14:textId="77777777" w:rsidR="00482130" w:rsidRPr="00BF20CF" w:rsidRDefault="00482130" w:rsidP="00C84F5B">
            <w:pPr>
              <w:spacing w:line="276" w:lineRule="auto"/>
              <w:rPr>
                <w:rFonts w:ascii="Arial" w:hAnsi="Arial" w:cs="Arial"/>
              </w:rPr>
            </w:pPr>
            <w:r w:rsidRPr="00BF20CF">
              <w:rPr>
                <w:rFonts w:ascii="Arial" w:hAnsi="Arial" w:cs="Arial"/>
              </w:rPr>
              <w:t>Billing Demand</w:t>
            </w:r>
          </w:p>
        </w:tc>
        <w:tc>
          <w:tcPr>
            <w:tcW w:w="2865" w:type="dxa"/>
          </w:tcPr>
          <w:p w14:paraId="7BDC10AB" w14:textId="77777777" w:rsidR="00482130" w:rsidRPr="00BF20CF" w:rsidRDefault="00482130" w:rsidP="00C84F5B">
            <w:pPr>
              <w:spacing w:line="276" w:lineRule="auto"/>
              <w:jc w:val="center"/>
              <w:rPr>
                <w:rFonts w:ascii="Arial" w:hAnsi="Arial" w:cs="Arial"/>
              </w:rPr>
            </w:pPr>
            <w:r w:rsidRPr="00BF20CF">
              <w:rPr>
                <w:rFonts w:ascii="Arial" w:hAnsi="Arial" w:cs="Arial"/>
              </w:rPr>
              <w:t>4,800</w:t>
            </w:r>
          </w:p>
        </w:tc>
        <w:tc>
          <w:tcPr>
            <w:tcW w:w="2865" w:type="dxa"/>
          </w:tcPr>
          <w:p w14:paraId="447877F7" w14:textId="77777777" w:rsidR="00482130" w:rsidRPr="00BF20CF" w:rsidRDefault="00482130" w:rsidP="00C84F5B">
            <w:pPr>
              <w:spacing w:line="276" w:lineRule="auto"/>
              <w:jc w:val="center"/>
              <w:rPr>
                <w:rFonts w:ascii="Arial" w:hAnsi="Arial" w:cs="Arial"/>
              </w:rPr>
            </w:pPr>
            <w:r w:rsidRPr="00BF20CF">
              <w:rPr>
                <w:rFonts w:ascii="Arial" w:hAnsi="Arial" w:cs="Arial"/>
              </w:rPr>
              <w:t>7,440</w:t>
            </w:r>
          </w:p>
        </w:tc>
      </w:tr>
      <w:tr w:rsidR="00482130" w:rsidRPr="00BF20CF" w14:paraId="7E2265D1" w14:textId="77777777" w:rsidTr="00F34BF6">
        <w:tc>
          <w:tcPr>
            <w:tcW w:w="2900" w:type="dxa"/>
          </w:tcPr>
          <w:p w14:paraId="605015C2" w14:textId="77777777" w:rsidR="00482130" w:rsidRPr="00BF20CF" w:rsidRDefault="00482130" w:rsidP="00C84F5B">
            <w:pPr>
              <w:spacing w:line="276" w:lineRule="auto"/>
              <w:rPr>
                <w:rFonts w:ascii="Arial" w:hAnsi="Arial" w:cs="Arial"/>
              </w:rPr>
            </w:pPr>
          </w:p>
        </w:tc>
        <w:tc>
          <w:tcPr>
            <w:tcW w:w="2865" w:type="dxa"/>
          </w:tcPr>
          <w:p w14:paraId="7B5FA3CA" w14:textId="77777777" w:rsidR="00482130" w:rsidRPr="00BF20CF" w:rsidRDefault="00482130" w:rsidP="00C84F5B">
            <w:pPr>
              <w:spacing w:line="276" w:lineRule="auto"/>
              <w:jc w:val="center"/>
              <w:rPr>
                <w:rFonts w:ascii="Arial" w:hAnsi="Arial" w:cs="Arial"/>
              </w:rPr>
            </w:pPr>
          </w:p>
        </w:tc>
        <w:tc>
          <w:tcPr>
            <w:tcW w:w="2865" w:type="dxa"/>
          </w:tcPr>
          <w:p w14:paraId="1F1B874D" w14:textId="77777777" w:rsidR="00482130" w:rsidRPr="00BF20CF" w:rsidRDefault="00482130" w:rsidP="00C84F5B">
            <w:pPr>
              <w:spacing w:line="276" w:lineRule="auto"/>
              <w:jc w:val="center"/>
              <w:rPr>
                <w:rFonts w:ascii="Arial" w:hAnsi="Arial" w:cs="Arial"/>
              </w:rPr>
            </w:pPr>
          </w:p>
        </w:tc>
      </w:tr>
      <w:tr w:rsidR="00482130" w:rsidRPr="00BF20CF" w14:paraId="782E5602" w14:textId="77777777" w:rsidTr="00F34BF6">
        <w:tc>
          <w:tcPr>
            <w:tcW w:w="2900" w:type="dxa"/>
          </w:tcPr>
          <w:p w14:paraId="08A902C2" w14:textId="77777777" w:rsidR="00482130" w:rsidRPr="00BF20CF" w:rsidRDefault="00482130" w:rsidP="00C84F5B">
            <w:pPr>
              <w:spacing w:line="276" w:lineRule="auto"/>
              <w:rPr>
                <w:rFonts w:ascii="Arial" w:hAnsi="Arial" w:cs="Arial"/>
              </w:rPr>
            </w:pPr>
            <w:r w:rsidRPr="00BF20CF">
              <w:rPr>
                <w:rFonts w:ascii="Arial" w:hAnsi="Arial" w:cs="Arial"/>
              </w:rPr>
              <w:t>Classification 1NCP</w:t>
            </w:r>
          </w:p>
        </w:tc>
        <w:tc>
          <w:tcPr>
            <w:tcW w:w="2865" w:type="dxa"/>
          </w:tcPr>
          <w:p w14:paraId="56DB7B75" w14:textId="77777777" w:rsidR="00482130" w:rsidRPr="00BF20CF" w:rsidRDefault="00482130" w:rsidP="00C84F5B">
            <w:pPr>
              <w:spacing w:line="276" w:lineRule="auto"/>
              <w:jc w:val="center"/>
              <w:rPr>
                <w:rFonts w:ascii="Arial" w:hAnsi="Arial" w:cs="Arial"/>
              </w:rPr>
            </w:pPr>
            <w:r w:rsidRPr="00BF20CF">
              <w:rPr>
                <w:rFonts w:ascii="Arial" w:hAnsi="Arial" w:cs="Arial"/>
              </w:rPr>
              <w:t>1,152</w:t>
            </w:r>
          </w:p>
        </w:tc>
        <w:tc>
          <w:tcPr>
            <w:tcW w:w="2865" w:type="dxa"/>
          </w:tcPr>
          <w:p w14:paraId="3D1C0D13" w14:textId="77777777" w:rsidR="00482130" w:rsidRPr="00BF20CF" w:rsidRDefault="00482130" w:rsidP="00C84F5B">
            <w:pPr>
              <w:spacing w:line="276" w:lineRule="auto"/>
              <w:jc w:val="center"/>
              <w:rPr>
                <w:rFonts w:ascii="Arial" w:hAnsi="Arial" w:cs="Arial"/>
              </w:rPr>
            </w:pPr>
            <w:r w:rsidRPr="00BF20CF">
              <w:rPr>
                <w:rFonts w:ascii="Arial" w:hAnsi="Arial" w:cs="Arial"/>
              </w:rPr>
              <w:t>1,152</w:t>
            </w:r>
          </w:p>
        </w:tc>
      </w:tr>
      <w:tr w:rsidR="00482130" w:rsidRPr="00BF20CF" w14:paraId="101FBDCF" w14:textId="77777777" w:rsidTr="00F34BF6">
        <w:tc>
          <w:tcPr>
            <w:tcW w:w="2900" w:type="dxa"/>
          </w:tcPr>
          <w:p w14:paraId="24A68F34" w14:textId="77777777" w:rsidR="00482130" w:rsidRPr="00BF20CF" w:rsidRDefault="00482130" w:rsidP="00C84F5B">
            <w:pPr>
              <w:spacing w:line="276" w:lineRule="auto"/>
              <w:rPr>
                <w:rFonts w:ascii="Arial" w:hAnsi="Arial" w:cs="Arial"/>
              </w:rPr>
            </w:pPr>
            <w:r w:rsidRPr="00BF20CF">
              <w:rPr>
                <w:rFonts w:ascii="Arial" w:hAnsi="Arial" w:cs="Arial"/>
              </w:rPr>
              <w:t>Primary 1NCP</w:t>
            </w:r>
          </w:p>
        </w:tc>
        <w:tc>
          <w:tcPr>
            <w:tcW w:w="2865" w:type="dxa"/>
          </w:tcPr>
          <w:p w14:paraId="24D076C3" w14:textId="77777777" w:rsidR="00482130" w:rsidRPr="00BF20CF" w:rsidRDefault="00482130" w:rsidP="00C84F5B">
            <w:pPr>
              <w:spacing w:line="276" w:lineRule="auto"/>
              <w:jc w:val="center"/>
              <w:rPr>
                <w:rFonts w:ascii="Arial" w:hAnsi="Arial" w:cs="Arial"/>
              </w:rPr>
            </w:pPr>
            <w:r w:rsidRPr="00BF20CF">
              <w:rPr>
                <w:rFonts w:ascii="Arial" w:hAnsi="Arial" w:cs="Arial"/>
              </w:rPr>
              <w:t>1,152</w:t>
            </w:r>
          </w:p>
        </w:tc>
        <w:tc>
          <w:tcPr>
            <w:tcW w:w="2865" w:type="dxa"/>
          </w:tcPr>
          <w:p w14:paraId="6C68EB82" w14:textId="77777777" w:rsidR="00482130" w:rsidRPr="00BF20CF" w:rsidRDefault="00482130" w:rsidP="00C84F5B">
            <w:pPr>
              <w:spacing w:line="276" w:lineRule="auto"/>
              <w:jc w:val="center"/>
              <w:rPr>
                <w:rFonts w:ascii="Arial" w:hAnsi="Arial" w:cs="Arial"/>
              </w:rPr>
            </w:pPr>
            <w:r w:rsidRPr="00BF20CF">
              <w:rPr>
                <w:rFonts w:ascii="Arial" w:hAnsi="Arial" w:cs="Arial"/>
              </w:rPr>
              <w:t>1,152</w:t>
            </w:r>
          </w:p>
        </w:tc>
      </w:tr>
      <w:tr w:rsidR="00482130" w:rsidRPr="00BF20CF" w14:paraId="0F42D5C1" w14:textId="77777777" w:rsidTr="00F34BF6">
        <w:tc>
          <w:tcPr>
            <w:tcW w:w="2900" w:type="dxa"/>
          </w:tcPr>
          <w:p w14:paraId="2CC1711D" w14:textId="77777777" w:rsidR="00482130" w:rsidRPr="00BF20CF" w:rsidRDefault="00482130" w:rsidP="00C84F5B">
            <w:pPr>
              <w:spacing w:line="276" w:lineRule="auto"/>
              <w:rPr>
                <w:rFonts w:ascii="Arial" w:hAnsi="Arial" w:cs="Arial"/>
              </w:rPr>
            </w:pPr>
            <w:r w:rsidRPr="00BF20CF">
              <w:rPr>
                <w:rFonts w:ascii="Arial" w:hAnsi="Arial" w:cs="Arial"/>
              </w:rPr>
              <w:t>Line Transformer 1NCP</w:t>
            </w:r>
          </w:p>
        </w:tc>
        <w:tc>
          <w:tcPr>
            <w:tcW w:w="2865" w:type="dxa"/>
          </w:tcPr>
          <w:p w14:paraId="141D20E2" w14:textId="77777777" w:rsidR="00482130" w:rsidRPr="00BF20CF" w:rsidRDefault="00482130" w:rsidP="00C84F5B">
            <w:pPr>
              <w:spacing w:line="276" w:lineRule="auto"/>
              <w:jc w:val="center"/>
              <w:rPr>
                <w:rFonts w:ascii="Arial" w:hAnsi="Arial" w:cs="Arial"/>
              </w:rPr>
            </w:pPr>
            <w:r w:rsidRPr="00BF20CF">
              <w:rPr>
                <w:rFonts w:ascii="Arial" w:hAnsi="Arial" w:cs="Arial"/>
              </w:rPr>
              <w:t>680</w:t>
            </w:r>
          </w:p>
        </w:tc>
        <w:tc>
          <w:tcPr>
            <w:tcW w:w="2865" w:type="dxa"/>
          </w:tcPr>
          <w:p w14:paraId="3C832C2F" w14:textId="77777777" w:rsidR="00482130" w:rsidRPr="00BF20CF" w:rsidRDefault="00482130" w:rsidP="00C84F5B">
            <w:pPr>
              <w:spacing w:line="276" w:lineRule="auto"/>
              <w:jc w:val="center"/>
              <w:rPr>
                <w:rFonts w:ascii="Arial" w:hAnsi="Arial" w:cs="Arial"/>
              </w:rPr>
            </w:pPr>
            <w:r w:rsidRPr="00BF20CF">
              <w:rPr>
                <w:rFonts w:ascii="Arial" w:hAnsi="Arial" w:cs="Arial"/>
              </w:rPr>
              <w:t>680</w:t>
            </w:r>
          </w:p>
        </w:tc>
      </w:tr>
      <w:tr w:rsidR="00482130" w:rsidRPr="00BF20CF" w14:paraId="250EB9C2" w14:textId="77777777" w:rsidTr="00F34BF6">
        <w:tc>
          <w:tcPr>
            <w:tcW w:w="2900" w:type="dxa"/>
          </w:tcPr>
          <w:p w14:paraId="120EF5F4" w14:textId="77777777" w:rsidR="00482130" w:rsidRPr="00BF20CF" w:rsidRDefault="00482130" w:rsidP="00C84F5B">
            <w:pPr>
              <w:spacing w:line="276" w:lineRule="auto"/>
              <w:rPr>
                <w:rFonts w:ascii="Arial" w:hAnsi="Arial" w:cs="Arial"/>
              </w:rPr>
            </w:pPr>
          </w:p>
        </w:tc>
        <w:tc>
          <w:tcPr>
            <w:tcW w:w="2865" w:type="dxa"/>
          </w:tcPr>
          <w:p w14:paraId="62FE44E4" w14:textId="77777777" w:rsidR="00482130" w:rsidRPr="00BF20CF" w:rsidRDefault="00482130" w:rsidP="00C84F5B">
            <w:pPr>
              <w:spacing w:line="276" w:lineRule="auto"/>
              <w:jc w:val="center"/>
              <w:rPr>
                <w:rFonts w:ascii="Arial" w:hAnsi="Arial" w:cs="Arial"/>
              </w:rPr>
            </w:pPr>
          </w:p>
        </w:tc>
        <w:tc>
          <w:tcPr>
            <w:tcW w:w="2865" w:type="dxa"/>
          </w:tcPr>
          <w:p w14:paraId="4FA5C1F5" w14:textId="77777777" w:rsidR="00482130" w:rsidRPr="00BF20CF" w:rsidRDefault="00482130" w:rsidP="00C84F5B">
            <w:pPr>
              <w:spacing w:line="276" w:lineRule="auto"/>
              <w:jc w:val="center"/>
              <w:rPr>
                <w:rFonts w:ascii="Arial" w:hAnsi="Arial" w:cs="Arial"/>
              </w:rPr>
            </w:pPr>
          </w:p>
        </w:tc>
      </w:tr>
      <w:tr w:rsidR="00482130" w:rsidRPr="00BF20CF" w14:paraId="4E27E7B6" w14:textId="77777777" w:rsidTr="00F34BF6">
        <w:tc>
          <w:tcPr>
            <w:tcW w:w="2900" w:type="dxa"/>
          </w:tcPr>
          <w:p w14:paraId="40F91494" w14:textId="77777777" w:rsidR="00482130" w:rsidRPr="00BF20CF" w:rsidRDefault="00482130" w:rsidP="00C84F5B">
            <w:pPr>
              <w:spacing w:line="276" w:lineRule="auto"/>
              <w:rPr>
                <w:rFonts w:ascii="Arial" w:hAnsi="Arial" w:cs="Arial"/>
              </w:rPr>
            </w:pPr>
            <w:r w:rsidRPr="00BF20CF">
              <w:rPr>
                <w:rFonts w:ascii="Arial" w:hAnsi="Arial" w:cs="Arial"/>
              </w:rPr>
              <w:t>Classification 4NCP</w:t>
            </w:r>
          </w:p>
        </w:tc>
        <w:tc>
          <w:tcPr>
            <w:tcW w:w="2865" w:type="dxa"/>
          </w:tcPr>
          <w:p w14:paraId="2E974816" w14:textId="77777777" w:rsidR="00482130" w:rsidRPr="00BF20CF" w:rsidRDefault="00482130" w:rsidP="00C84F5B">
            <w:pPr>
              <w:spacing w:line="276" w:lineRule="auto"/>
              <w:jc w:val="center"/>
              <w:rPr>
                <w:rFonts w:ascii="Arial" w:hAnsi="Arial" w:cs="Arial"/>
              </w:rPr>
            </w:pPr>
            <w:r w:rsidRPr="00BF20CF">
              <w:rPr>
                <w:rFonts w:ascii="Arial" w:hAnsi="Arial" w:cs="Arial"/>
              </w:rPr>
              <w:t>3,836</w:t>
            </w:r>
          </w:p>
        </w:tc>
        <w:tc>
          <w:tcPr>
            <w:tcW w:w="2865" w:type="dxa"/>
          </w:tcPr>
          <w:p w14:paraId="7CB5310E" w14:textId="77777777" w:rsidR="00482130" w:rsidRPr="00BF20CF" w:rsidRDefault="00482130" w:rsidP="00C84F5B">
            <w:pPr>
              <w:spacing w:line="276" w:lineRule="auto"/>
              <w:jc w:val="center"/>
              <w:rPr>
                <w:rFonts w:ascii="Arial" w:hAnsi="Arial" w:cs="Arial"/>
              </w:rPr>
            </w:pPr>
            <w:r w:rsidRPr="00BF20CF">
              <w:rPr>
                <w:rFonts w:ascii="Arial" w:hAnsi="Arial" w:cs="Arial"/>
              </w:rPr>
              <w:t>412</w:t>
            </w:r>
          </w:p>
        </w:tc>
      </w:tr>
      <w:tr w:rsidR="00482130" w:rsidRPr="00BF20CF" w14:paraId="5F5D7345" w14:textId="77777777" w:rsidTr="00F34BF6">
        <w:tc>
          <w:tcPr>
            <w:tcW w:w="2900" w:type="dxa"/>
          </w:tcPr>
          <w:p w14:paraId="6BF1143F" w14:textId="77777777" w:rsidR="00482130" w:rsidRPr="00BF20CF" w:rsidRDefault="00482130" w:rsidP="00C84F5B">
            <w:pPr>
              <w:spacing w:line="276" w:lineRule="auto"/>
              <w:rPr>
                <w:rFonts w:ascii="Arial" w:hAnsi="Arial" w:cs="Arial"/>
              </w:rPr>
            </w:pPr>
            <w:r w:rsidRPr="00BF20CF">
              <w:rPr>
                <w:rFonts w:ascii="Arial" w:hAnsi="Arial" w:cs="Arial"/>
              </w:rPr>
              <w:t>Primary 4NCP</w:t>
            </w:r>
          </w:p>
        </w:tc>
        <w:tc>
          <w:tcPr>
            <w:tcW w:w="2865" w:type="dxa"/>
          </w:tcPr>
          <w:p w14:paraId="1AA29AA4" w14:textId="77777777" w:rsidR="00482130" w:rsidRPr="00BF20CF" w:rsidRDefault="00482130" w:rsidP="00C84F5B">
            <w:pPr>
              <w:spacing w:line="276" w:lineRule="auto"/>
              <w:jc w:val="center"/>
              <w:rPr>
                <w:rFonts w:ascii="Arial" w:hAnsi="Arial" w:cs="Arial"/>
              </w:rPr>
            </w:pPr>
            <w:r w:rsidRPr="00BF20CF">
              <w:rPr>
                <w:rFonts w:ascii="Arial" w:hAnsi="Arial" w:cs="Arial"/>
              </w:rPr>
              <w:t>3,836</w:t>
            </w:r>
          </w:p>
        </w:tc>
        <w:tc>
          <w:tcPr>
            <w:tcW w:w="2865" w:type="dxa"/>
          </w:tcPr>
          <w:p w14:paraId="6B1352D4" w14:textId="77777777" w:rsidR="00482130" w:rsidRPr="00BF20CF" w:rsidRDefault="00482130" w:rsidP="00C84F5B">
            <w:pPr>
              <w:spacing w:line="276" w:lineRule="auto"/>
              <w:jc w:val="center"/>
              <w:rPr>
                <w:rFonts w:ascii="Arial" w:hAnsi="Arial" w:cs="Arial"/>
              </w:rPr>
            </w:pPr>
            <w:r w:rsidRPr="00BF20CF">
              <w:rPr>
                <w:rFonts w:ascii="Arial" w:hAnsi="Arial" w:cs="Arial"/>
              </w:rPr>
              <w:t>412</w:t>
            </w:r>
          </w:p>
        </w:tc>
      </w:tr>
      <w:tr w:rsidR="00482130" w:rsidRPr="00BF20CF" w14:paraId="41949730" w14:textId="77777777" w:rsidTr="00F34BF6">
        <w:tc>
          <w:tcPr>
            <w:tcW w:w="2900" w:type="dxa"/>
          </w:tcPr>
          <w:p w14:paraId="1F1BF968" w14:textId="77777777" w:rsidR="00482130" w:rsidRPr="00BF20CF" w:rsidRDefault="00482130" w:rsidP="00C84F5B">
            <w:pPr>
              <w:spacing w:line="276" w:lineRule="auto"/>
              <w:rPr>
                <w:rFonts w:ascii="Arial" w:hAnsi="Arial" w:cs="Arial"/>
              </w:rPr>
            </w:pPr>
            <w:r w:rsidRPr="00BF20CF">
              <w:rPr>
                <w:rFonts w:ascii="Arial" w:hAnsi="Arial" w:cs="Arial"/>
              </w:rPr>
              <w:t>Line Transformer 4NCP</w:t>
            </w:r>
          </w:p>
        </w:tc>
        <w:tc>
          <w:tcPr>
            <w:tcW w:w="2865" w:type="dxa"/>
          </w:tcPr>
          <w:p w14:paraId="0F3BCE5F" w14:textId="77777777" w:rsidR="00482130" w:rsidRPr="00BF20CF" w:rsidRDefault="00482130" w:rsidP="00C84F5B">
            <w:pPr>
              <w:spacing w:line="276" w:lineRule="auto"/>
              <w:jc w:val="center"/>
              <w:rPr>
                <w:rFonts w:ascii="Arial" w:hAnsi="Arial" w:cs="Arial"/>
              </w:rPr>
            </w:pPr>
            <w:r w:rsidRPr="00BF20CF">
              <w:rPr>
                <w:rFonts w:ascii="Arial" w:hAnsi="Arial" w:cs="Arial"/>
              </w:rPr>
              <w:t>2,263</w:t>
            </w:r>
          </w:p>
        </w:tc>
        <w:tc>
          <w:tcPr>
            <w:tcW w:w="2865" w:type="dxa"/>
          </w:tcPr>
          <w:p w14:paraId="0468BFD9" w14:textId="77777777" w:rsidR="00482130" w:rsidRPr="00BF20CF" w:rsidRDefault="00482130" w:rsidP="00C84F5B">
            <w:pPr>
              <w:spacing w:line="276" w:lineRule="auto"/>
              <w:jc w:val="center"/>
              <w:rPr>
                <w:rFonts w:ascii="Arial" w:hAnsi="Arial" w:cs="Arial"/>
              </w:rPr>
            </w:pPr>
            <w:r w:rsidRPr="00BF20CF">
              <w:rPr>
                <w:rFonts w:ascii="Arial" w:hAnsi="Arial" w:cs="Arial"/>
              </w:rPr>
              <w:t>243</w:t>
            </w:r>
          </w:p>
        </w:tc>
      </w:tr>
      <w:tr w:rsidR="00482130" w:rsidRPr="00BF20CF" w14:paraId="01FB5DA5" w14:textId="77777777" w:rsidTr="00F34BF6">
        <w:tc>
          <w:tcPr>
            <w:tcW w:w="2900" w:type="dxa"/>
          </w:tcPr>
          <w:p w14:paraId="7C78DE7B" w14:textId="77777777" w:rsidR="00482130" w:rsidRPr="00BF20CF" w:rsidRDefault="00482130" w:rsidP="00C84F5B">
            <w:pPr>
              <w:spacing w:line="276" w:lineRule="auto"/>
              <w:rPr>
                <w:rFonts w:ascii="Arial" w:hAnsi="Arial" w:cs="Arial"/>
              </w:rPr>
            </w:pPr>
          </w:p>
        </w:tc>
        <w:tc>
          <w:tcPr>
            <w:tcW w:w="2865" w:type="dxa"/>
          </w:tcPr>
          <w:p w14:paraId="43FC10EA" w14:textId="77777777" w:rsidR="00482130" w:rsidRPr="00BF20CF" w:rsidRDefault="00482130" w:rsidP="00C84F5B">
            <w:pPr>
              <w:spacing w:line="276" w:lineRule="auto"/>
              <w:jc w:val="center"/>
              <w:rPr>
                <w:rFonts w:ascii="Arial" w:hAnsi="Arial" w:cs="Arial"/>
              </w:rPr>
            </w:pPr>
          </w:p>
        </w:tc>
        <w:tc>
          <w:tcPr>
            <w:tcW w:w="2865" w:type="dxa"/>
          </w:tcPr>
          <w:p w14:paraId="3821C124" w14:textId="77777777" w:rsidR="00482130" w:rsidRPr="00BF20CF" w:rsidRDefault="00482130" w:rsidP="00C84F5B">
            <w:pPr>
              <w:spacing w:line="276" w:lineRule="auto"/>
              <w:jc w:val="center"/>
              <w:rPr>
                <w:rFonts w:ascii="Arial" w:hAnsi="Arial" w:cs="Arial"/>
              </w:rPr>
            </w:pPr>
          </w:p>
        </w:tc>
      </w:tr>
      <w:tr w:rsidR="00482130" w:rsidRPr="00BF20CF" w14:paraId="774BB856" w14:textId="77777777" w:rsidTr="00F34BF6">
        <w:tc>
          <w:tcPr>
            <w:tcW w:w="2900" w:type="dxa"/>
          </w:tcPr>
          <w:p w14:paraId="23443512" w14:textId="77777777" w:rsidR="00482130" w:rsidRPr="00BF20CF" w:rsidRDefault="00482130" w:rsidP="00C84F5B">
            <w:pPr>
              <w:spacing w:line="276" w:lineRule="auto"/>
              <w:rPr>
                <w:rFonts w:ascii="Arial" w:hAnsi="Arial" w:cs="Arial"/>
              </w:rPr>
            </w:pPr>
            <w:r w:rsidRPr="00BF20CF">
              <w:rPr>
                <w:rFonts w:ascii="Arial" w:hAnsi="Arial" w:cs="Arial"/>
              </w:rPr>
              <w:t>Classification 12NCP</w:t>
            </w:r>
          </w:p>
        </w:tc>
        <w:tc>
          <w:tcPr>
            <w:tcW w:w="2865" w:type="dxa"/>
          </w:tcPr>
          <w:p w14:paraId="0AB4BAE0" w14:textId="77777777" w:rsidR="00482130" w:rsidRPr="00BF20CF" w:rsidRDefault="00482130" w:rsidP="00C84F5B">
            <w:pPr>
              <w:spacing w:line="276" w:lineRule="auto"/>
              <w:jc w:val="center"/>
              <w:rPr>
                <w:rFonts w:ascii="Arial" w:hAnsi="Arial" w:cs="Arial"/>
              </w:rPr>
            </w:pPr>
            <w:r w:rsidRPr="00BF20CF">
              <w:rPr>
                <w:rFonts w:ascii="Arial" w:hAnsi="Arial" w:cs="Arial"/>
              </w:rPr>
              <w:t>7,657</w:t>
            </w:r>
          </w:p>
        </w:tc>
        <w:tc>
          <w:tcPr>
            <w:tcW w:w="2865" w:type="dxa"/>
          </w:tcPr>
          <w:p w14:paraId="5271EADB" w14:textId="77777777" w:rsidR="00482130" w:rsidRPr="00BF20CF" w:rsidRDefault="00482130" w:rsidP="00C84F5B">
            <w:pPr>
              <w:spacing w:line="276" w:lineRule="auto"/>
              <w:jc w:val="center"/>
              <w:rPr>
                <w:rFonts w:ascii="Arial" w:hAnsi="Arial" w:cs="Arial"/>
              </w:rPr>
            </w:pPr>
            <w:r w:rsidRPr="00BF20CF">
              <w:rPr>
                <w:rFonts w:ascii="Arial" w:hAnsi="Arial" w:cs="Arial"/>
              </w:rPr>
              <w:t>642</w:t>
            </w:r>
          </w:p>
        </w:tc>
      </w:tr>
      <w:tr w:rsidR="00482130" w:rsidRPr="00BF20CF" w14:paraId="2F5BBCD9" w14:textId="77777777" w:rsidTr="00F34BF6">
        <w:tc>
          <w:tcPr>
            <w:tcW w:w="2900" w:type="dxa"/>
          </w:tcPr>
          <w:p w14:paraId="2EEBA0D9" w14:textId="77777777" w:rsidR="00482130" w:rsidRPr="00BF20CF" w:rsidRDefault="00482130" w:rsidP="00C84F5B">
            <w:pPr>
              <w:spacing w:line="276" w:lineRule="auto"/>
              <w:rPr>
                <w:rFonts w:ascii="Arial" w:hAnsi="Arial" w:cs="Arial"/>
              </w:rPr>
            </w:pPr>
            <w:r w:rsidRPr="00BF20CF">
              <w:rPr>
                <w:rFonts w:ascii="Arial" w:hAnsi="Arial" w:cs="Arial"/>
              </w:rPr>
              <w:t>Primary 12NCP</w:t>
            </w:r>
          </w:p>
        </w:tc>
        <w:tc>
          <w:tcPr>
            <w:tcW w:w="2865" w:type="dxa"/>
          </w:tcPr>
          <w:p w14:paraId="20866400" w14:textId="77777777" w:rsidR="00482130" w:rsidRPr="00BF20CF" w:rsidRDefault="00482130" w:rsidP="00C84F5B">
            <w:pPr>
              <w:spacing w:line="276" w:lineRule="auto"/>
              <w:jc w:val="center"/>
              <w:rPr>
                <w:rFonts w:ascii="Arial" w:hAnsi="Arial" w:cs="Arial"/>
              </w:rPr>
            </w:pPr>
            <w:r w:rsidRPr="00BF20CF">
              <w:rPr>
                <w:rFonts w:ascii="Arial" w:hAnsi="Arial" w:cs="Arial"/>
              </w:rPr>
              <w:t>7,657</w:t>
            </w:r>
          </w:p>
        </w:tc>
        <w:tc>
          <w:tcPr>
            <w:tcW w:w="2865" w:type="dxa"/>
          </w:tcPr>
          <w:p w14:paraId="5EB70C32" w14:textId="77777777" w:rsidR="00482130" w:rsidRPr="00BF20CF" w:rsidRDefault="00482130" w:rsidP="00C84F5B">
            <w:pPr>
              <w:spacing w:line="276" w:lineRule="auto"/>
              <w:jc w:val="center"/>
              <w:rPr>
                <w:rFonts w:ascii="Arial" w:hAnsi="Arial" w:cs="Arial"/>
              </w:rPr>
            </w:pPr>
            <w:r w:rsidRPr="00BF20CF">
              <w:rPr>
                <w:rFonts w:ascii="Arial" w:hAnsi="Arial" w:cs="Arial"/>
              </w:rPr>
              <w:t>642</w:t>
            </w:r>
          </w:p>
        </w:tc>
      </w:tr>
      <w:tr w:rsidR="00482130" w:rsidRPr="00BF20CF" w14:paraId="5664CFED" w14:textId="77777777" w:rsidTr="00F34BF6">
        <w:tc>
          <w:tcPr>
            <w:tcW w:w="2900" w:type="dxa"/>
          </w:tcPr>
          <w:p w14:paraId="6D688CC6" w14:textId="77777777" w:rsidR="00482130" w:rsidRPr="00BF20CF" w:rsidRDefault="00482130" w:rsidP="00C84F5B">
            <w:pPr>
              <w:spacing w:line="276" w:lineRule="auto"/>
              <w:rPr>
                <w:rFonts w:ascii="Arial" w:hAnsi="Arial" w:cs="Arial"/>
              </w:rPr>
            </w:pPr>
            <w:r w:rsidRPr="00BF20CF">
              <w:rPr>
                <w:rFonts w:ascii="Arial" w:hAnsi="Arial" w:cs="Arial"/>
              </w:rPr>
              <w:t>Line Transformer 12NCP</w:t>
            </w:r>
          </w:p>
        </w:tc>
        <w:tc>
          <w:tcPr>
            <w:tcW w:w="2865" w:type="dxa"/>
          </w:tcPr>
          <w:p w14:paraId="5EED6DC1" w14:textId="77777777" w:rsidR="00482130" w:rsidRPr="00BF20CF" w:rsidRDefault="00482130" w:rsidP="00C84F5B">
            <w:pPr>
              <w:spacing w:line="276" w:lineRule="auto"/>
              <w:jc w:val="center"/>
              <w:rPr>
                <w:rFonts w:ascii="Arial" w:hAnsi="Arial" w:cs="Arial"/>
              </w:rPr>
            </w:pPr>
            <w:r w:rsidRPr="00BF20CF">
              <w:rPr>
                <w:rFonts w:ascii="Arial" w:hAnsi="Arial" w:cs="Arial"/>
              </w:rPr>
              <w:t>4,517</w:t>
            </w:r>
          </w:p>
        </w:tc>
        <w:tc>
          <w:tcPr>
            <w:tcW w:w="2865" w:type="dxa"/>
          </w:tcPr>
          <w:p w14:paraId="55987F9F" w14:textId="77777777" w:rsidR="00482130" w:rsidRPr="00BF20CF" w:rsidRDefault="00482130" w:rsidP="00C84F5B">
            <w:pPr>
              <w:spacing w:line="276" w:lineRule="auto"/>
              <w:jc w:val="center"/>
              <w:rPr>
                <w:rFonts w:ascii="Arial" w:hAnsi="Arial" w:cs="Arial"/>
              </w:rPr>
            </w:pPr>
            <w:r w:rsidRPr="00BF20CF">
              <w:rPr>
                <w:rFonts w:ascii="Arial" w:hAnsi="Arial" w:cs="Arial"/>
              </w:rPr>
              <w:t>379</w:t>
            </w:r>
          </w:p>
        </w:tc>
      </w:tr>
    </w:tbl>
    <w:p w14:paraId="748996C7"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D6A4EC5" w14:textId="7E368C16" w:rsidR="00482130" w:rsidRPr="00BF20CF" w:rsidRDefault="00482130" w:rsidP="00DA686D">
      <w:pPr>
        <w:pStyle w:val="ListParagraph"/>
        <w:numPr>
          <w:ilvl w:val="0"/>
          <w:numId w:val="148"/>
        </w:numPr>
        <w:spacing w:after="160" w:line="276" w:lineRule="auto"/>
        <w:rPr>
          <w:rFonts w:ascii="Arial" w:hAnsi="Arial" w:cs="Arial"/>
        </w:rPr>
      </w:pPr>
      <w:r w:rsidRPr="00BF20CF">
        <w:rPr>
          <w:rFonts w:ascii="Arial" w:hAnsi="Arial" w:cs="Arial"/>
        </w:rPr>
        <w:t>Please describe the methodology use to arrive at the demand allocators in 2021 and contrast that with 2016. In particular, please detail any assumptions around actual or deemed demand used.</w:t>
      </w:r>
    </w:p>
    <w:p w14:paraId="0DA92C78" w14:textId="77777777" w:rsidR="00F34BF6" w:rsidRPr="00BF20CF" w:rsidRDefault="00F34BF6" w:rsidP="00F34BF6">
      <w:pPr>
        <w:pStyle w:val="ListParagraph"/>
        <w:spacing w:after="160" w:line="276" w:lineRule="auto"/>
        <w:rPr>
          <w:rFonts w:ascii="Arial" w:hAnsi="Arial" w:cs="Arial"/>
        </w:rPr>
      </w:pPr>
    </w:p>
    <w:p w14:paraId="525CCCC8" w14:textId="7D769A40" w:rsidR="00482130" w:rsidRPr="00BF20CF" w:rsidRDefault="00482130" w:rsidP="00DA686D">
      <w:pPr>
        <w:pStyle w:val="ListParagraph"/>
        <w:numPr>
          <w:ilvl w:val="0"/>
          <w:numId w:val="218"/>
        </w:numPr>
        <w:spacing w:after="160" w:line="276" w:lineRule="auto"/>
        <w:rPr>
          <w:rFonts w:ascii="Arial" w:hAnsi="Arial" w:cs="Arial"/>
        </w:rPr>
      </w:pPr>
      <w:r w:rsidRPr="00BF20CF">
        <w:rPr>
          <w:rFonts w:ascii="Arial" w:hAnsi="Arial" w:cs="Arial"/>
        </w:rPr>
        <w:t>Please explain how the 1NCP values are higher than the 4NCP values. Logically, the total peak demand from each of the four months demand during the highest month of the year would include the peak from the 1NCP, and the next three highest monthly peaks would be included in the 4NCP.</w:t>
      </w:r>
    </w:p>
    <w:p w14:paraId="368428AC" w14:textId="304604FD" w:rsidR="00F16949" w:rsidRPr="00BF20CF" w:rsidRDefault="00F16949" w:rsidP="00F16949">
      <w:pPr>
        <w:pStyle w:val="StaffHeader"/>
        <w:numPr>
          <w:ilvl w:val="0"/>
          <w:numId w:val="0"/>
        </w:numPr>
        <w:spacing w:before="240"/>
        <w:rPr>
          <w:rFonts w:cs="Arial"/>
          <w:szCs w:val="24"/>
          <w:u w:val="none"/>
        </w:rPr>
      </w:pPr>
      <w:r w:rsidRPr="00BF20CF">
        <w:rPr>
          <w:rFonts w:cs="Arial"/>
          <w:szCs w:val="24"/>
          <w:u w:val="none"/>
        </w:rPr>
        <w:lastRenderedPageBreak/>
        <w:t>7-Staff-5</w:t>
      </w:r>
    </w:p>
    <w:p w14:paraId="64EB4144" w14:textId="77777777" w:rsidR="00B64EC6" w:rsidRPr="00BF20CF" w:rsidRDefault="00B64EC6" w:rsidP="00B64EC6">
      <w:pPr>
        <w:spacing w:line="276" w:lineRule="auto"/>
        <w:ind w:left="720" w:hanging="720"/>
        <w:rPr>
          <w:rFonts w:ascii="Arial" w:hAnsi="Arial" w:cs="Arial"/>
          <w:b/>
        </w:rPr>
      </w:pPr>
      <w:r w:rsidRPr="00BF20CF">
        <w:rPr>
          <w:rFonts w:ascii="Arial" w:hAnsi="Arial" w:cs="Arial"/>
          <w:b/>
        </w:rPr>
        <w:t>Ref:</w:t>
      </w:r>
      <w:r w:rsidRPr="00BF20CF">
        <w:rPr>
          <w:rFonts w:ascii="Arial" w:hAnsi="Arial" w:cs="Arial"/>
          <w:b/>
        </w:rPr>
        <w:tab/>
        <w:t>Updated Cost Allocation Model, sheet I6.2 Customer Data; sheet I8 Demand Data</w:t>
      </w:r>
    </w:p>
    <w:p w14:paraId="6007BBBB" w14:textId="4A0A314B"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D6F6870" w14:textId="3469763D" w:rsidR="00C9215F" w:rsidRPr="00BF20CF" w:rsidRDefault="00482130" w:rsidP="00C84F5B">
      <w:pPr>
        <w:spacing w:line="276" w:lineRule="auto"/>
        <w:rPr>
          <w:rFonts w:ascii="Arial" w:hAnsi="Arial" w:cs="Arial"/>
        </w:rPr>
      </w:pPr>
      <w:r w:rsidRPr="00BF20CF">
        <w:rPr>
          <w:rFonts w:ascii="Arial" w:hAnsi="Arial" w:cs="Arial"/>
        </w:rPr>
        <w:t>Hydro Ottawa indicates that out of 316,346 residential customers, 286,894 rely on secondary distribution, and out of 25,391 General Service &lt; 50 customers, 18,091 rely on secondary distribution. However, on sheet I8 Demand Data, the 1NCP, 4NCP and 12NCP indicate the Secondary NCP, Line Transformer NCP, Primary NCP, and Classification NCP are all the same for these rate classes, implying that all of the load receives secondary distribution.</w:t>
      </w:r>
    </w:p>
    <w:p w14:paraId="2A976F98"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0EA0E6F3" w14:textId="18F2C743" w:rsidR="00482130" w:rsidRPr="00BF20CF" w:rsidRDefault="00482130" w:rsidP="00DA686D">
      <w:pPr>
        <w:pStyle w:val="ListParagraph"/>
        <w:numPr>
          <w:ilvl w:val="0"/>
          <w:numId w:val="154"/>
        </w:numPr>
        <w:spacing w:after="160" w:line="276" w:lineRule="auto"/>
        <w:rPr>
          <w:rFonts w:ascii="Arial" w:hAnsi="Arial" w:cs="Arial"/>
        </w:rPr>
      </w:pPr>
      <w:r w:rsidRPr="00BF20CF">
        <w:rPr>
          <w:rFonts w:ascii="Arial" w:hAnsi="Arial" w:cs="Arial"/>
        </w:rPr>
        <w:t>Please reconcile the apparent inconsistency.</w:t>
      </w:r>
    </w:p>
    <w:p w14:paraId="34D32537" w14:textId="77777777" w:rsidR="00F34BF6" w:rsidRPr="00BF20CF" w:rsidRDefault="00F34BF6" w:rsidP="00F34BF6">
      <w:pPr>
        <w:pStyle w:val="ListParagraph"/>
        <w:spacing w:after="160" w:line="276" w:lineRule="auto"/>
        <w:rPr>
          <w:rFonts w:ascii="Arial" w:hAnsi="Arial" w:cs="Arial"/>
        </w:rPr>
      </w:pPr>
    </w:p>
    <w:p w14:paraId="4DC8ABC1" w14:textId="364C1526" w:rsidR="00482130" w:rsidRPr="00BF20CF" w:rsidRDefault="00482130" w:rsidP="00DA686D">
      <w:pPr>
        <w:pStyle w:val="ListParagraph"/>
        <w:numPr>
          <w:ilvl w:val="0"/>
          <w:numId w:val="154"/>
        </w:numPr>
        <w:spacing w:after="160" w:line="276" w:lineRule="auto"/>
        <w:rPr>
          <w:rFonts w:ascii="Arial" w:hAnsi="Arial" w:cs="Arial"/>
        </w:rPr>
      </w:pPr>
      <w:r w:rsidRPr="00BF20CF">
        <w:rPr>
          <w:rFonts w:ascii="Arial" w:hAnsi="Arial" w:cs="Arial"/>
        </w:rPr>
        <w:t>Does Hydro Ottawa have any residential condominiums or other buildings which are served using customer owned transformers or secondary distribution? If so, please provide customer count and aggregate consumption information for customer owned transformation and secondary distribution.</w:t>
      </w:r>
    </w:p>
    <w:p w14:paraId="1FD41E1C" w14:textId="77777777" w:rsidR="00F34BF6" w:rsidRPr="00BF20CF" w:rsidRDefault="00F34BF6" w:rsidP="00F34BF6">
      <w:pPr>
        <w:pStyle w:val="ListParagraph"/>
        <w:spacing w:after="160" w:line="276" w:lineRule="auto"/>
        <w:rPr>
          <w:rFonts w:ascii="Arial" w:hAnsi="Arial" w:cs="Arial"/>
        </w:rPr>
      </w:pPr>
    </w:p>
    <w:p w14:paraId="2671DCC9" w14:textId="7FEE39C4" w:rsidR="00482130" w:rsidRPr="00BF20CF" w:rsidRDefault="00482130" w:rsidP="00DA686D">
      <w:pPr>
        <w:pStyle w:val="ListParagraph"/>
        <w:numPr>
          <w:ilvl w:val="0"/>
          <w:numId w:val="154"/>
        </w:numPr>
        <w:spacing w:after="160" w:line="276" w:lineRule="auto"/>
        <w:rPr>
          <w:rFonts w:ascii="Arial" w:hAnsi="Arial" w:cs="Arial"/>
        </w:rPr>
      </w:pPr>
      <w:r w:rsidRPr="00BF20CF">
        <w:rPr>
          <w:rFonts w:ascii="Arial" w:hAnsi="Arial" w:cs="Arial"/>
        </w:rPr>
        <w:t>Does Hydro Ottawa have any General Service &lt; 50 kW customers in analogous buildings where customers are served using customer owned transformers or secondary distribution?</w:t>
      </w:r>
    </w:p>
    <w:p w14:paraId="0E0739F8" w14:textId="3AE6F631" w:rsidR="00F16949" w:rsidRPr="00BF20CF" w:rsidRDefault="00F16949" w:rsidP="00F16949">
      <w:pPr>
        <w:pStyle w:val="StaffHeader"/>
        <w:numPr>
          <w:ilvl w:val="0"/>
          <w:numId w:val="0"/>
        </w:numPr>
        <w:spacing w:before="240"/>
        <w:rPr>
          <w:rFonts w:cs="Arial"/>
          <w:szCs w:val="24"/>
          <w:u w:val="none"/>
        </w:rPr>
      </w:pPr>
      <w:r w:rsidRPr="00BF20CF">
        <w:rPr>
          <w:rFonts w:cs="Arial"/>
          <w:szCs w:val="24"/>
          <w:u w:val="none"/>
        </w:rPr>
        <w:t>7-Staff-6</w:t>
      </w:r>
    </w:p>
    <w:p w14:paraId="7C72B2AD" w14:textId="2D2C54DC" w:rsidR="00482130" w:rsidRPr="00BF20CF" w:rsidRDefault="00482130" w:rsidP="00CC4A2C">
      <w:pPr>
        <w:spacing w:line="276" w:lineRule="auto"/>
        <w:rPr>
          <w:rFonts w:ascii="Arial" w:hAnsi="Arial" w:cs="Arial"/>
          <w:b/>
          <w:lang w:val="en-CA"/>
        </w:rPr>
      </w:pPr>
      <w:r w:rsidRPr="00BF20CF">
        <w:rPr>
          <w:rFonts w:ascii="Arial" w:hAnsi="Arial" w:cs="Arial"/>
          <w:b/>
          <w:lang w:val="en-CA"/>
        </w:rPr>
        <w:t>Ref:</w:t>
      </w:r>
      <w:r w:rsidRPr="00BF20CF">
        <w:rPr>
          <w:rFonts w:ascii="Arial" w:hAnsi="Arial" w:cs="Arial"/>
          <w:b/>
          <w:lang w:val="en-CA"/>
        </w:rPr>
        <w:tab/>
        <w:t>Cost Allocation Model</w:t>
      </w:r>
    </w:p>
    <w:p w14:paraId="3F4580AD" w14:textId="07AD54E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686633CD" w14:textId="53841822" w:rsidR="00482130" w:rsidRPr="00BF20CF" w:rsidRDefault="00482130" w:rsidP="00DA686D">
      <w:pPr>
        <w:pStyle w:val="ListParagraph"/>
        <w:numPr>
          <w:ilvl w:val="0"/>
          <w:numId w:val="150"/>
        </w:numPr>
        <w:spacing w:after="160" w:line="276" w:lineRule="auto"/>
        <w:rPr>
          <w:rFonts w:ascii="Arial" w:hAnsi="Arial" w:cs="Arial"/>
        </w:rPr>
      </w:pPr>
      <w:r w:rsidRPr="00BF20CF">
        <w:rPr>
          <w:rFonts w:ascii="Arial" w:hAnsi="Arial" w:cs="Arial"/>
        </w:rPr>
        <w:t xml:space="preserve">Please </w:t>
      </w:r>
      <w:r w:rsidR="007B69AC" w:rsidRPr="00BF20CF">
        <w:rPr>
          <w:rFonts w:ascii="Arial" w:hAnsi="Arial" w:cs="Arial"/>
        </w:rPr>
        <w:t xml:space="preserve">provide an updated cost allocation model to reflect any updates to the application resulting from the interrogatories. If available, please use the </w:t>
      </w:r>
      <w:r w:rsidRPr="00BF20CF">
        <w:rPr>
          <w:rFonts w:ascii="Arial" w:hAnsi="Arial" w:cs="Arial"/>
        </w:rPr>
        <w:t>2021 Cost Allocation model.</w:t>
      </w:r>
    </w:p>
    <w:p w14:paraId="3897F319" w14:textId="2DA5BB46" w:rsidR="00F16949" w:rsidRPr="00BF20CF" w:rsidRDefault="00F16949" w:rsidP="00F16949">
      <w:pPr>
        <w:pStyle w:val="StaffHeader"/>
        <w:numPr>
          <w:ilvl w:val="0"/>
          <w:numId w:val="0"/>
        </w:numPr>
        <w:spacing w:before="240"/>
        <w:rPr>
          <w:rFonts w:cs="Arial"/>
          <w:szCs w:val="24"/>
          <w:u w:val="none"/>
        </w:rPr>
      </w:pPr>
      <w:r w:rsidRPr="00BF20CF">
        <w:rPr>
          <w:rFonts w:cs="Arial"/>
          <w:szCs w:val="24"/>
          <w:u w:val="none"/>
        </w:rPr>
        <w:t>7-Staff-7</w:t>
      </w:r>
    </w:p>
    <w:p w14:paraId="0B5729F2" w14:textId="77777777" w:rsidR="00482130" w:rsidRPr="00BF20CF" w:rsidRDefault="00482130" w:rsidP="00C84F5B">
      <w:pPr>
        <w:spacing w:line="276" w:lineRule="auto"/>
        <w:rPr>
          <w:rFonts w:ascii="Arial" w:hAnsi="Arial" w:cs="Arial"/>
          <w:b/>
        </w:rPr>
      </w:pPr>
      <w:r w:rsidRPr="00BF20CF">
        <w:rPr>
          <w:rFonts w:ascii="Arial" w:hAnsi="Arial" w:cs="Arial"/>
          <w:b/>
        </w:rPr>
        <w:t>Ref:</w:t>
      </w:r>
      <w:r w:rsidRPr="00BF20CF">
        <w:rPr>
          <w:rFonts w:ascii="Arial" w:hAnsi="Arial" w:cs="Arial"/>
          <w:b/>
        </w:rPr>
        <w:tab/>
        <w:t>Chapter 2 filing requirements, issued July 12, 2018, page 46.</w:t>
      </w:r>
    </w:p>
    <w:p w14:paraId="29F0D366"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6EAC986" w14:textId="77777777" w:rsidR="00482130" w:rsidRPr="00BF20CF" w:rsidRDefault="00482130" w:rsidP="00C84F5B">
      <w:pPr>
        <w:spacing w:line="276" w:lineRule="auto"/>
        <w:rPr>
          <w:rFonts w:ascii="Arial" w:hAnsi="Arial" w:cs="Arial"/>
        </w:rPr>
      </w:pPr>
      <w:r w:rsidRPr="00BF20CF">
        <w:rPr>
          <w:rFonts w:ascii="Arial" w:hAnsi="Arial" w:cs="Arial"/>
        </w:rPr>
        <w:t>The filing requirements state that:</w:t>
      </w:r>
    </w:p>
    <w:p w14:paraId="4841C882" w14:textId="77777777" w:rsidR="00482130" w:rsidRPr="00BF20CF" w:rsidRDefault="00482130" w:rsidP="00C84F5B">
      <w:pPr>
        <w:spacing w:line="276" w:lineRule="auto"/>
        <w:ind w:left="720"/>
        <w:rPr>
          <w:rFonts w:ascii="Arial" w:hAnsi="Arial" w:cs="Arial"/>
        </w:rPr>
      </w:pPr>
      <w:r w:rsidRPr="00BF20CF">
        <w:rPr>
          <w:rFonts w:ascii="Arial" w:hAnsi="Arial" w:cs="Arial"/>
        </w:rPr>
        <w:t xml:space="preserve">The OEB expects distributors to document their communications with unmetered load customers, including street lighting customers, and how </w:t>
      </w:r>
      <w:r w:rsidRPr="00BF20CF">
        <w:rPr>
          <w:rFonts w:ascii="Arial" w:hAnsi="Arial" w:cs="Arial"/>
        </w:rPr>
        <w:lastRenderedPageBreak/>
        <w:t>the distributor assisted them in understanding the regulatory context in which distributors operate and how it affects unmetered load customers.</w:t>
      </w:r>
    </w:p>
    <w:p w14:paraId="1EB61139" w14:textId="77777777" w:rsidR="00482130" w:rsidRPr="00BF20CF" w:rsidRDefault="00482130"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9BF840F" w14:textId="77777777" w:rsidR="00482130" w:rsidRPr="00BF20CF" w:rsidRDefault="00482130" w:rsidP="00DA686D">
      <w:pPr>
        <w:pStyle w:val="ListParagraph"/>
        <w:numPr>
          <w:ilvl w:val="0"/>
          <w:numId w:val="155"/>
        </w:numPr>
        <w:spacing w:after="160" w:line="276" w:lineRule="auto"/>
        <w:rPr>
          <w:rFonts w:ascii="Arial" w:hAnsi="Arial" w:cs="Arial"/>
        </w:rPr>
      </w:pPr>
      <w:r w:rsidRPr="00BF20CF">
        <w:rPr>
          <w:rFonts w:ascii="Arial" w:hAnsi="Arial" w:cs="Arial"/>
        </w:rPr>
        <w:t>Please provide details on the communication that has taken place with the unmetered load customers, including street lighting customers.</w:t>
      </w:r>
    </w:p>
    <w:p w14:paraId="1DC962B6" w14:textId="34827475" w:rsidR="00F16949" w:rsidRPr="00BF20CF" w:rsidRDefault="00F16949" w:rsidP="00F16949">
      <w:pPr>
        <w:pStyle w:val="StaffHeader"/>
        <w:numPr>
          <w:ilvl w:val="0"/>
          <w:numId w:val="0"/>
        </w:numPr>
        <w:spacing w:before="240"/>
        <w:rPr>
          <w:rFonts w:cs="Arial"/>
          <w:szCs w:val="24"/>
          <w:u w:val="none"/>
        </w:rPr>
      </w:pPr>
      <w:r w:rsidRPr="00BF20CF">
        <w:rPr>
          <w:rFonts w:cs="Arial"/>
          <w:szCs w:val="24"/>
          <w:u w:val="none"/>
        </w:rPr>
        <w:t>7-Staff-8</w:t>
      </w:r>
    </w:p>
    <w:p w14:paraId="49887C8A" w14:textId="77777777" w:rsidR="00085F7A" w:rsidRPr="00BF20CF" w:rsidRDefault="00085F7A" w:rsidP="00C84F5B">
      <w:pPr>
        <w:spacing w:line="276" w:lineRule="auto"/>
        <w:rPr>
          <w:rFonts w:ascii="Arial" w:hAnsi="Arial" w:cs="Arial"/>
          <w:b/>
        </w:rPr>
      </w:pPr>
      <w:r w:rsidRPr="00BF20CF">
        <w:rPr>
          <w:rFonts w:ascii="Arial" w:hAnsi="Arial" w:cs="Arial"/>
          <w:b/>
        </w:rPr>
        <w:t>Ref:</w:t>
      </w:r>
      <w:r w:rsidRPr="00BF20CF">
        <w:rPr>
          <w:rFonts w:ascii="Arial" w:hAnsi="Arial" w:cs="Arial"/>
          <w:b/>
        </w:rPr>
        <w:tab/>
        <w:t>Exhibit 7, Tab 1, Schedule 1, pp. 2, 4</w:t>
      </w:r>
    </w:p>
    <w:p w14:paraId="141E9E17" w14:textId="77777777" w:rsidR="00085F7A" w:rsidRPr="00BF20CF" w:rsidRDefault="00085F7A" w:rsidP="004A2AAA">
      <w:pPr>
        <w:spacing w:line="276" w:lineRule="auto"/>
        <w:ind w:left="720" w:hanging="720"/>
        <w:rPr>
          <w:rFonts w:ascii="Arial" w:hAnsi="Arial" w:cs="Arial"/>
          <w:b/>
        </w:rPr>
      </w:pPr>
      <w:r w:rsidRPr="00BF20CF">
        <w:rPr>
          <w:rFonts w:ascii="Arial" w:hAnsi="Arial" w:cs="Arial"/>
          <w:b/>
        </w:rPr>
        <w:tab/>
        <w:t xml:space="preserve">Updated Revenue Requirement Work Form, sheet 11. </w:t>
      </w:r>
      <w:proofErr w:type="spellStart"/>
      <w:r w:rsidRPr="00BF20CF">
        <w:rPr>
          <w:rFonts w:ascii="Arial" w:hAnsi="Arial" w:cs="Arial"/>
          <w:b/>
        </w:rPr>
        <w:t>Cost_Allocation</w:t>
      </w:r>
      <w:proofErr w:type="spellEnd"/>
    </w:p>
    <w:p w14:paraId="1FFE679F" w14:textId="4D055F70" w:rsidR="00085F7A" w:rsidRPr="00BF20CF" w:rsidRDefault="00085F7A" w:rsidP="00BF20CF">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57BB4E53" w14:textId="77777777" w:rsidR="00085F7A" w:rsidRPr="00BF20CF" w:rsidRDefault="00085F7A" w:rsidP="00C84F5B">
      <w:pPr>
        <w:spacing w:line="276" w:lineRule="auto"/>
        <w:rPr>
          <w:rFonts w:ascii="Arial" w:hAnsi="Arial" w:cs="Arial"/>
        </w:rPr>
      </w:pPr>
      <w:r w:rsidRPr="00BF20CF">
        <w:rPr>
          <w:rFonts w:ascii="Arial" w:hAnsi="Arial" w:cs="Arial"/>
        </w:rPr>
        <w:t>The revenue-to-cost ratio for the Sentinel Rate class has increased from 21.03% in 2016 to 156.34% proposed in this application.</w:t>
      </w:r>
    </w:p>
    <w:p w14:paraId="47B8BA37"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2767288" w14:textId="77777777" w:rsidR="00085F7A" w:rsidRPr="00BF20CF" w:rsidRDefault="00085F7A" w:rsidP="00085F7A">
      <w:pPr>
        <w:pStyle w:val="ListParagraph"/>
        <w:numPr>
          <w:ilvl w:val="0"/>
          <w:numId w:val="156"/>
        </w:numPr>
        <w:spacing w:after="160" w:line="276" w:lineRule="auto"/>
        <w:rPr>
          <w:rFonts w:ascii="Arial" w:hAnsi="Arial" w:cs="Arial"/>
        </w:rPr>
      </w:pPr>
      <w:r w:rsidRPr="00BF20CF">
        <w:rPr>
          <w:rFonts w:ascii="Arial" w:hAnsi="Arial" w:cs="Arial"/>
        </w:rPr>
        <w:t>Has Hydro Ottawa examined the cause of the change in the Standby rate class revenue-to-cost ratio?</w:t>
      </w:r>
    </w:p>
    <w:p w14:paraId="55149236" w14:textId="77777777" w:rsidR="00085F7A" w:rsidRPr="00BF20CF" w:rsidRDefault="00085F7A" w:rsidP="00F34BF6">
      <w:pPr>
        <w:pStyle w:val="ListParagraph"/>
        <w:spacing w:after="160" w:line="276" w:lineRule="auto"/>
        <w:rPr>
          <w:rFonts w:ascii="Arial" w:hAnsi="Arial" w:cs="Arial"/>
        </w:rPr>
      </w:pPr>
    </w:p>
    <w:p w14:paraId="6080FFDD" w14:textId="5C59BD48" w:rsidR="00085F7A" w:rsidRPr="00BF20CF" w:rsidRDefault="00085F7A" w:rsidP="00C84F5B">
      <w:pPr>
        <w:spacing w:line="276" w:lineRule="auto"/>
        <w:rPr>
          <w:rFonts w:ascii="Arial" w:hAnsi="Arial" w:cs="Arial"/>
          <w:b/>
        </w:rPr>
      </w:pPr>
      <w:r w:rsidRPr="00BF20CF">
        <w:rPr>
          <w:rFonts w:ascii="Arial" w:hAnsi="Arial" w:cs="Arial"/>
          <w:b/>
        </w:rPr>
        <w:t>Exhibit 8 – Rate Design</w:t>
      </w:r>
    </w:p>
    <w:p w14:paraId="135EA490" w14:textId="7FD6D0DD" w:rsidR="00F16949" w:rsidRPr="00BF20CF" w:rsidRDefault="00F16949" w:rsidP="00F16949">
      <w:pPr>
        <w:pStyle w:val="StaffHeader"/>
        <w:numPr>
          <w:ilvl w:val="0"/>
          <w:numId w:val="0"/>
        </w:numPr>
        <w:spacing w:before="240"/>
        <w:rPr>
          <w:rFonts w:cs="Arial"/>
          <w:szCs w:val="24"/>
          <w:u w:val="none"/>
        </w:rPr>
      </w:pPr>
      <w:r w:rsidRPr="00BF20CF">
        <w:rPr>
          <w:rFonts w:cs="Arial"/>
          <w:szCs w:val="24"/>
          <w:u w:val="none"/>
        </w:rPr>
        <w:t>8-Staff-1</w:t>
      </w:r>
    </w:p>
    <w:p w14:paraId="54E7E9D5" w14:textId="3FB0EDFE" w:rsidR="00085F7A" w:rsidRPr="00BF20CF" w:rsidRDefault="00085F7A" w:rsidP="00C84F5B">
      <w:pPr>
        <w:spacing w:line="276" w:lineRule="auto"/>
        <w:rPr>
          <w:rFonts w:ascii="Arial" w:hAnsi="Arial" w:cs="Arial"/>
          <w:b/>
        </w:rPr>
      </w:pPr>
      <w:r w:rsidRPr="00BF20CF">
        <w:rPr>
          <w:rFonts w:ascii="Arial" w:hAnsi="Arial" w:cs="Arial"/>
          <w:b/>
        </w:rPr>
        <w:t>Ref:</w:t>
      </w:r>
      <w:r w:rsidRPr="00BF20CF">
        <w:rPr>
          <w:rFonts w:ascii="Arial" w:hAnsi="Arial" w:cs="Arial"/>
          <w:b/>
        </w:rPr>
        <w:tab/>
        <w:t>Updated Exhibit 8, Tab 1, Schedule 1, pp. 3-8</w:t>
      </w:r>
    </w:p>
    <w:p w14:paraId="6002730F" w14:textId="01A6FE52" w:rsidR="00085F7A" w:rsidRPr="00BF20CF" w:rsidRDefault="00085F7A" w:rsidP="00C84F5B">
      <w:pPr>
        <w:spacing w:line="276" w:lineRule="auto"/>
        <w:rPr>
          <w:rFonts w:ascii="Arial" w:hAnsi="Arial" w:cs="Arial"/>
          <w:b/>
        </w:rPr>
      </w:pPr>
      <w:r w:rsidRPr="00BF20CF">
        <w:rPr>
          <w:rFonts w:ascii="Arial" w:hAnsi="Arial" w:cs="Arial"/>
          <w:b/>
        </w:rPr>
        <w:tab/>
        <w:t xml:space="preserve">Updated Exhibit 8, Tab 10, Schedule 1, Attachment </w:t>
      </w:r>
      <w:proofErr w:type="gramStart"/>
      <w:r w:rsidRPr="00BF20CF">
        <w:rPr>
          <w:rFonts w:ascii="Arial" w:hAnsi="Arial" w:cs="Arial"/>
          <w:b/>
        </w:rPr>
        <w:t>A</w:t>
      </w:r>
      <w:proofErr w:type="gramEnd"/>
      <w:r w:rsidRPr="00BF20CF">
        <w:rPr>
          <w:rFonts w:ascii="Arial" w:hAnsi="Arial" w:cs="Arial"/>
          <w:b/>
        </w:rPr>
        <w:t>, pp. 48-50</w:t>
      </w:r>
    </w:p>
    <w:p w14:paraId="5904E8C1"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C6219F1" w14:textId="7E77497B" w:rsidR="00085F7A" w:rsidRPr="00BF20CF" w:rsidRDefault="00085F7A" w:rsidP="00C84F5B">
      <w:pPr>
        <w:spacing w:after="240" w:line="276" w:lineRule="auto"/>
        <w:rPr>
          <w:rFonts w:ascii="Arial" w:hAnsi="Arial" w:cs="Arial"/>
        </w:rPr>
      </w:pPr>
      <w:r w:rsidRPr="00BF20CF">
        <w:rPr>
          <w:rFonts w:ascii="Arial" w:hAnsi="Arial" w:cs="Arial"/>
        </w:rPr>
        <w:t>In the Street Lighting rate class, Hydro Ottawa is proposing to increase the proportion of rate revenue to be collected by the fixed charge from 44% of the total in 2020 to 64% in 2021, increasing each year to 68% in 2025. Similarly for Sentinel Lighting, the proportion of total revenue collected from the fixed charge is proposed to increase from 32% in 2020 to 52% in 2021. A smaller increase in the fixed charge percentage is proposed for the Unmetered Scattered Load (USL) rate class.</w:t>
      </w:r>
    </w:p>
    <w:p w14:paraId="4A8A069F" w14:textId="72B1F1CD" w:rsidR="00085F7A" w:rsidRPr="00BF20CF" w:rsidRDefault="00085F7A" w:rsidP="00C84F5B">
      <w:pPr>
        <w:spacing w:after="240" w:line="276" w:lineRule="auto"/>
        <w:rPr>
          <w:rFonts w:ascii="Arial" w:hAnsi="Arial" w:cs="Arial"/>
        </w:rPr>
      </w:pPr>
      <w:r w:rsidRPr="00BF20CF">
        <w:rPr>
          <w:rFonts w:ascii="Arial" w:hAnsi="Arial" w:cs="Arial"/>
        </w:rPr>
        <w:t>The changes to the both fixed and variable charges are approximately 9-10% for USL, 23-24% for Sentinel Light, and 4-5% for Street Light.</w:t>
      </w:r>
    </w:p>
    <w:p w14:paraId="2C2CD3F6" w14:textId="77777777" w:rsidR="00085F7A" w:rsidRPr="00BF20CF" w:rsidRDefault="00085F7A" w:rsidP="00C84F5B">
      <w:pPr>
        <w:spacing w:line="276" w:lineRule="auto"/>
        <w:rPr>
          <w:rFonts w:ascii="Arial" w:hAnsi="Arial" w:cs="Arial"/>
        </w:rPr>
      </w:pPr>
      <w:r w:rsidRPr="00BF20CF">
        <w:rPr>
          <w:rFonts w:ascii="Arial" w:hAnsi="Arial" w:cs="Arial"/>
        </w:rPr>
        <w:t xml:space="preserve">Hydro Ottawa states that “for customer classes where the 2020 fixed charge is higher than the calculated upper bound, Hydro Ottawa proposes to maintain the </w:t>
      </w:r>
      <w:r w:rsidRPr="00BF20CF">
        <w:rPr>
          <w:rFonts w:ascii="Arial" w:hAnsi="Arial" w:cs="Arial"/>
        </w:rPr>
        <w:lastRenderedPageBreak/>
        <w:t>current fixed charge for 2021.” But “Starting in 2022, Hydro Ottawa proposes to maintain the fixed/variable split in recovering the revenue requirement.” The filing requirements state:</w:t>
      </w:r>
    </w:p>
    <w:p w14:paraId="4ECC41CF" w14:textId="77777777" w:rsidR="00085F7A" w:rsidRPr="00BF20CF" w:rsidRDefault="00085F7A" w:rsidP="00C84F5B">
      <w:pPr>
        <w:spacing w:after="240" w:line="276" w:lineRule="auto"/>
        <w:rPr>
          <w:rFonts w:ascii="Arial" w:hAnsi="Arial" w:cs="Arial"/>
        </w:rPr>
      </w:pPr>
      <w:r w:rsidRPr="00BF20CF">
        <w:rPr>
          <w:rFonts w:ascii="Arial" w:hAnsi="Arial" w:cs="Arial"/>
        </w:rPr>
        <w:t>If a distributor’s current fixed charge for any non-residential class is higher than the calculated ceiling, there is no requirement to lower the fixed charge to the ceiling, nor are distributors expected to raise the fixed charge further above the ceiling for any non-residential class.</w:t>
      </w:r>
    </w:p>
    <w:p w14:paraId="0D0579F2" w14:textId="310A860B" w:rsidR="00085F7A" w:rsidRPr="00BF20CF" w:rsidRDefault="00085F7A" w:rsidP="00C84F5B">
      <w:pPr>
        <w:spacing w:after="240" w:line="276" w:lineRule="auto"/>
        <w:rPr>
          <w:rFonts w:ascii="Arial" w:hAnsi="Arial" w:cs="Arial"/>
        </w:rPr>
      </w:pPr>
      <w:r w:rsidRPr="00BF20CF">
        <w:rPr>
          <w:rFonts w:ascii="Arial" w:hAnsi="Arial" w:cs="Arial"/>
        </w:rPr>
        <w:t>Hydro Ottawa proposes to increase the fixed charge for the General Service &gt; 50 to 1,499 kW rate class from $200 in 2020 and 2021 to $212.51 in 2022 and every year to 2025 despite the calculated ceiling being $78.85.  Similarly, in the General Service &gt; 1,500 to 4,999 kW rate class, Hydro Ottawa is proposing increases every year starting in 2022 to 2024, and in the Large Use rate class in 2022 and 2023 despite the fixed charges for these rate classes already being above the calculated ceiling.</w:t>
      </w:r>
    </w:p>
    <w:p w14:paraId="2623E0ED" w14:textId="561D60AE" w:rsidR="00085F7A" w:rsidRPr="00BF20CF" w:rsidRDefault="00085F7A" w:rsidP="00C84F5B">
      <w:pPr>
        <w:spacing w:line="276" w:lineRule="auto"/>
        <w:rPr>
          <w:rFonts w:ascii="Arial" w:hAnsi="Arial" w:cs="Arial"/>
        </w:rPr>
      </w:pPr>
      <w:r w:rsidRPr="00BF20CF">
        <w:rPr>
          <w:rFonts w:ascii="Arial" w:hAnsi="Arial" w:cs="Arial"/>
        </w:rPr>
        <w:t>In the General Service &lt; 50 kW rate class, Hydro Ottawa is proposing to increase the fixed charge to $20.61 in 2021, which remains below the ceiling of $21.04, but then to $22.03 in 2022, and every year to 2025.</w:t>
      </w:r>
    </w:p>
    <w:p w14:paraId="4978BDC9"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815B21E" w14:textId="77777777" w:rsidR="00085F7A" w:rsidRPr="00BF20CF" w:rsidRDefault="00085F7A" w:rsidP="00085F7A">
      <w:pPr>
        <w:pStyle w:val="ListParagraph"/>
        <w:numPr>
          <w:ilvl w:val="0"/>
          <w:numId w:val="163"/>
        </w:numPr>
        <w:spacing w:after="160" w:line="276" w:lineRule="auto"/>
        <w:rPr>
          <w:rFonts w:ascii="Arial" w:hAnsi="Arial" w:cs="Arial"/>
        </w:rPr>
      </w:pPr>
      <w:r w:rsidRPr="00BF20CF">
        <w:rPr>
          <w:rFonts w:ascii="Arial" w:hAnsi="Arial" w:cs="Arial"/>
        </w:rPr>
        <w:t>Please confirm that Hydro Ottawa is proposing to change fixed and variable charges by the same percentages, with differences due to rate rounding.</w:t>
      </w:r>
    </w:p>
    <w:p w14:paraId="335F0A88" w14:textId="77777777" w:rsidR="00085F7A" w:rsidRPr="00BF20CF" w:rsidRDefault="00085F7A" w:rsidP="00F34BF6">
      <w:pPr>
        <w:pStyle w:val="ListParagraph"/>
        <w:spacing w:after="160" w:line="276" w:lineRule="auto"/>
        <w:rPr>
          <w:rFonts w:ascii="Arial" w:hAnsi="Arial" w:cs="Arial"/>
        </w:rPr>
      </w:pPr>
    </w:p>
    <w:p w14:paraId="6023D0E1" w14:textId="77777777" w:rsidR="00085F7A" w:rsidRPr="00BF20CF" w:rsidRDefault="00085F7A" w:rsidP="00085F7A">
      <w:pPr>
        <w:pStyle w:val="ListParagraph"/>
        <w:numPr>
          <w:ilvl w:val="0"/>
          <w:numId w:val="163"/>
        </w:numPr>
        <w:spacing w:after="160" w:line="276" w:lineRule="auto"/>
        <w:rPr>
          <w:rFonts w:ascii="Arial" w:hAnsi="Arial" w:cs="Arial"/>
        </w:rPr>
      </w:pPr>
      <w:r w:rsidRPr="00BF20CF">
        <w:rPr>
          <w:rFonts w:ascii="Arial" w:hAnsi="Arial" w:cs="Arial"/>
        </w:rPr>
        <w:t>Please confirm that the changes in fixed/variable splits arise from changes in forecasted volumes, and absent changes in projected volumes, the fixed/variable splits would not change.</w:t>
      </w:r>
    </w:p>
    <w:p w14:paraId="591140E5" w14:textId="77777777" w:rsidR="00085F7A" w:rsidRPr="00BF20CF" w:rsidRDefault="00085F7A" w:rsidP="00F34BF6">
      <w:pPr>
        <w:pStyle w:val="ListParagraph"/>
        <w:rPr>
          <w:rFonts w:ascii="Arial" w:hAnsi="Arial" w:cs="Arial"/>
        </w:rPr>
      </w:pPr>
    </w:p>
    <w:p w14:paraId="05F38662" w14:textId="7B4B3423" w:rsidR="00085F7A" w:rsidRPr="00BF20CF" w:rsidRDefault="00085F7A" w:rsidP="00085F7A">
      <w:pPr>
        <w:pStyle w:val="ListParagraph"/>
        <w:numPr>
          <w:ilvl w:val="0"/>
          <w:numId w:val="163"/>
        </w:numPr>
        <w:spacing w:after="160" w:line="276" w:lineRule="auto"/>
        <w:rPr>
          <w:rFonts w:ascii="Arial" w:hAnsi="Arial" w:cs="Arial"/>
        </w:rPr>
      </w:pPr>
      <w:r w:rsidRPr="00BF20CF">
        <w:rPr>
          <w:rFonts w:ascii="Arial" w:hAnsi="Arial" w:cs="Arial"/>
        </w:rPr>
        <w:t>Please explain why Hydro Ottawa is proposing to increase the fixed charges for these rate classes to rates that are either above or further above the ceiling.</w:t>
      </w:r>
    </w:p>
    <w:p w14:paraId="01460D5F" w14:textId="77777777" w:rsidR="00F25DE0" w:rsidRPr="00BF20CF" w:rsidRDefault="00F25DE0" w:rsidP="00F25DE0">
      <w:pPr>
        <w:pStyle w:val="ListParagraph"/>
        <w:rPr>
          <w:rFonts w:ascii="Arial" w:hAnsi="Arial" w:cs="Arial"/>
        </w:rPr>
      </w:pPr>
    </w:p>
    <w:p w14:paraId="0F1C0A0B" w14:textId="594C710F" w:rsidR="00F25DE0" w:rsidRPr="00BF20CF" w:rsidRDefault="00F25DE0" w:rsidP="00F25DE0">
      <w:pPr>
        <w:pStyle w:val="ListParagraph"/>
        <w:spacing w:after="160" w:line="276" w:lineRule="auto"/>
        <w:rPr>
          <w:rFonts w:ascii="Arial" w:hAnsi="Arial" w:cs="Arial"/>
        </w:rPr>
      </w:pPr>
      <w:r w:rsidRPr="00BF20CF">
        <w:rPr>
          <w:rFonts w:ascii="Arial" w:hAnsi="Arial" w:cs="Arial"/>
        </w:rPr>
        <w:br w:type="page"/>
      </w:r>
    </w:p>
    <w:p w14:paraId="4FE9AA7D" w14:textId="7216AED8" w:rsidR="00F25DE0" w:rsidRPr="00BF20CF" w:rsidRDefault="00F25DE0" w:rsidP="00F25DE0">
      <w:pPr>
        <w:pStyle w:val="StaffHeader"/>
        <w:numPr>
          <w:ilvl w:val="0"/>
          <w:numId w:val="0"/>
        </w:numPr>
        <w:spacing w:before="240"/>
        <w:rPr>
          <w:rFonts w:cs="Arial"/>
          <w:szCs w:val="24"/>
          <w:u w:val="none"/>
        </w:rPr>
      </w:pPr>
      <w:r w:rsidRPr="00BF20CF">
        <w:rPr>
          <w:rFonts w:cs="Arial"/>
          <w:szCs w:val="24"/>
          <w:u w:val="none"/>
        </w:rPr>
        <w:lastRenderedPageBreak/>
        <w:t>8-Staff-2</w:t>
      </w:r>
    </w:p>
    <w:p w14:paraId="7555783F" w14:textId="4012E195" w:rsidR="00085F7A" w:rsidRPr="00BF20CF" w:rsidRDefault="00085F7A" w:rsidP="00C84F5B">
      <w:pPr>
        <w:spacing w:line="276" w:lineRule="auto"/>
        <w:rPr>
          <w:rFonts w:ascii="Arial" w:hAnsi="Arial" w:cs="Arial"/>
          <w:b/>
        </w:rPr>
      </w:pPr>
      <w:r w:rsidRPr="00BF20CF">
        <w:rPr>
          <w:rFonts w:ascii="Arial" w:hAnsi="Arial" w:cs="Arial"/>
          <w:b/>
        </w:rPr>
        <w:t xml:space="preserve">Ref: </w:t>
      </w:r>
      <w:r w:rsidRPr="00BF20CF">
        <w:rPr>
          <w:rFonts w:ascii="Arial" w:hAnsi="Arial" w:cs="Arial"/>
          <w:b/>
        </w:rPr>
        <w:tab/>
      </w:r>
      <w:proofErr w:type="spellStart"/>
      <w:r w:rsidRPr="00BF20CF">
        <w:rPr>
          <w:rFonts w:ascii="Arial" w:hAnsi="Arial" w:cs="Arial"/>
          <w:b/>
        </w:rPr>
        <w:t>UpdatedExhibit</w:t>
      </w:r>
      <w:proofErr w:type="spellEnd"/>
      <w:r w:rsidRPr="00BF20CF">
        <w:rPr>
          <w:rFonts w:ascii="Arial" w:hAnsi="Arial" w:cs="Arial"/>
          <w:b/>
        </w:rPr>
        <w:t xml:space="preserve"> 8, Tab 1, Schedule 1, page 9</w:t>
      </w:r>
    </w:p>
    <w:p w14:paraId="6AF2ECC4"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471F9FE" w14:textId="77777777" w:rsidR="00085F7A" w:rsidRPr="00BF20CF" w:rsidRDefault="00085F7A" w:rsidP="00C84F5B">
      <w:pPr>
        <w:spacing w:line="276" w:lineRule="auto"/>
        <w:rPr>
          <w:rFonts w:ascii="Arial" w:hAnsi="Arial" w:cs="Arial"/>
        </w:rPr>
      </w:pPr>
      <w:r w:rsidRPr="00BF20CF">
        <w:rPr>
          <w:rFonts w:ascii="Arial" w:hAnsi="Arial" w:cs="Arial"/>
        </w:rPr>
        <w:t>Hydro Ottawa states that Effective April 1, 2015, customers with customer-owned transformers installed after November 1, 2000 were no longer eligible to receive the Transformer Ownership Credit (TOC). As of November 1, 2025, the TOC is proposed to be eliminated entirely.</w:t>
      </w:r>
    </w:p>
    <w:p w14:paraId="6D963E2A"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37DBB417" w14:textId="77777777" w:rsidR="00085F7A" w:rsidRPr="00BF20CF" w:rsidRDefault="00085F7A" w:rsidP="00085F7A">
      <w:pPr>
        <w:pStyle w:val="ListParagraph"/>
        <w:numPr>
          <w:ilvl w:val="0"/>
          <w:numId w:val="149"/>
        </w:numPr>
        <w:spacing w:after="160" w:line="276" w:lineRule="auto"/>
        <w:rPr>
          <w:rFonts w:ascii="Arial" w:hAnsi="Arial" w:cs="Arial"/>
        </w:rPr>
      </w:pPr>
      <w:r w:rsidRPr="00BF20CF">
        <w:rPr>
          <w:rFonts w:ascii="Arial" w:hAnsi="Arial" w:cs="Arial"/>
        </w:rPr>
        <w:t>Please provide the reason for the November 1, 2000 cut-off date.</w:t>
      </w:r>
    </w:p>
    <w:p w14:paraId="0298A050" w14:textId="77777777" w:rsidR="00085F7A" w:rsidRPr="00BF20CF" w:rsidRDefault="00085F7A" w:rsidP="00F34BF6">
      <w:pPr>
        <w:pStyle w:val="ListParagraph"/>
        <w:spacing w:after="160" w:line="276" w:lineRule="auto"/>
        <w:rPr>
          <w:rFonts w:ascii="Arial" w:hAnsi="Arial" w:cs="Arial"/>
        </w:rPr>
      </w:pPr>
    </w:p>
    <w:p w14:paraId="344ADB41" w14:textId="77777777" w:rsidR="00085F7A" w:rsidRPr="00BF20CF" w:rsidRDefault="00085F7A" w:rsidP="00085F7A">
      <w:pPr>
        <w:pStyle w:val="ListParagraph"/>
        <w:numPr>
          <w:ilvl w:val="0"/>
          <w:numId w:val="149"/>
        </w:numPr>
        <w:spacing w:after="160" w:line="276" w:lineRule="auto"/>
        <w:rPr>
          <w:rFonts w:ascii="Arial" w:hAnsi="Arial" w:cs="Arial"/>
        </w:rPr>
      </w:pPr>
      <w:r w:rsidRPr="00BF20CF">
        <w:rPr>
          <w:rFonts w:ascii="Arial" w:hAnsi="Arial" w:cs="Arial"/>
        </w:rPr>
        <w:t>Please provide copies of communication on April 1, 2015 to customers indicating the change to the TOC.</w:t>
      </w:r>
    </w:p>
    <w:p w14:paraId="36CA1D50" w14:textId="77777777" w:rsidR="00085F7A" w:rsidRPr="00BF20CF" w:rsidRDefault="00085F7A" w:rsidP="00F34BF6">
      <w:pPr>
        <w:pStyle w:val="ListParagraph"/>
        <w:spacing w:after="160" w:line="276" w:lineRule="auto"/>
        <w:rPr>
          <w:rFonts w:ascii="Arial" w:hAnsi="Arial" w:cs="Arial"/>
        </w:rPr>
      </w:pPr>
    </w:p>
    <w:p w14:paraId="02D36899" w14:textId="77777777" w:rsidR="00085F7A" w:rsidRPr="00BF20CF" w:rsidRDefault="00085F7A" w:rsidP="00085F7A">
      <w:pPr>
        <w:pStyle w:val="ListParagraph"/>
        <w:numPr>
          <w:ilvl w:val="0"/>
          <w:numId w:val="149"/>
        </w:numPr>
        <w:spacing w:after="160" w:line="276" w:lineRule="auto"/>
        <w:rPr>
          <w:rFonts w:ascii="Arial" w:hAnsi="Arial" w:cs="Arial"/>
        </w:rPr>
      </w:pPr>
      <w:r w:rsidRPr="00BF20CF">
        <w:rPr>
          <w:rFonts w:ascii="Arial" w:hAnsi="Arial" w:cs="Arial"/>
        </w:rPr>
        <w:t>Please explain the reason for the November 1, 2025 end date for the TOC, two months prior to the end of the period covered by this Custom IR application.</w:t>
      </w:r>
    </w:p>
    <w:p w14:paraId="02C0A57A" w14:textId="279D3A2E" w:rsidR="00F25DE0" w:rsidRPr="00BF20CF" w:rsidRDefault="00F25DE0" w:rsidP="00F25DE0">
      <w:pPr>
        <w:pStyle w:val="StaffHeader"/>
        <w:numPr>
          <w:ilvl w:val="0"/>
          <w:numId w:val="0"/>
        </w:numPr>
        <w:spacing w:before="240"/>
        <w:rPr>
          <w:rFonts w:cs="Arial"/>
          <w:szCs w:val="24"/>
          <w:u w:val="none"/>
        </w:rPr>
      </w:pPr>
      <w:r w:rsidRPr="00BF20CF">
        <w:rPr>
          <w:rFonts w:cs="Arial"/>
          <w:szCs w:val="24"/>
          <w:u w:val="none"/>
        </w:rPr>
        <w:t>8-Staff-3</w:t>
      </w:r>
    </w:p>
    <w:p w14:paraId="23D95F91" w14:textId="77777777" w:rsidR="00085F7A" w:rsidRPr="00BF20CF" w:rsidRDefault="00085F7A" w:rsidP="00C84F5B">
      <w:pPr>
        <w:spacing w:line="276" w:lineRule="auto"/>
        <w:rPr>
          <w:rFonts w:ascii="Arial" w:hAnsi="Arial" w:cs="Arial"/>
          <w:b/>
          <w:lang w:val="en-CA"/>
        </w:rPr>
      </w:pPr>
      <w:r w:rsidRPr="00BF20CF">
        <w:rPr>
          <w:rFonts w:ascii="Arial" w:hAnsi="Arial" w:cs="Arial"/>
          <w:b/>
          <w:lang w:val="en-CA"/>
        </w:rPr>
        <w:t>Ref:</w:t>
      </w:r>
      <w:r w:rsidRPr="00BF20CF">
        <w:rPr>
          <w:rFonts w:ascii="Arial" w:hAnsi="Arial" w:cs="Arial"/>
          <w:b/>
          <w:lang w:val="en-CA"/>
        </w:rPr>
        <w:tab/>
        <w:t>Exhibit 8, Tab 3, Schedule 1, page 1</w:t>
      </w:r>
    </w:p>
    <w:p w14:paraId="653401A0" w14:textId="77777777" w:rsidR="00085F7A" w:rsidRPr="00BF20CF" w:rsidRDefault="00085F7A" w:rsidP="004A2AAA">
      <w:pPr>
        <w:spacing w:line="276" w:lineRule="auto"/>
        <w:ind w:left="720"/>
        <w:rPr>
          <w:rFonts w:ascii="Arial" w:hAnsi="Arial" w:cs="Arial"/>
          <w:b/>
          <w:lang w:val="en-CA"/>
        </w:rPr>
      </w:pPr>
      <w:r w:rsidRPr="00BF20CF">
        <w:rPr>
          <w:rFonts w:ascii="Arial" w:hAnsi="Arial" w:cs="Arial"/>
          <w:b/>
          <w:lang w:val="en-CA"/>
        </w:rPr>
        <w:t xml:space="preserve">RTSR </w:t>
      </w:r>
      <w:proofErr w:type="spellStart"/>
      <w:r w:rsidRPr="00BF20CF">
        <w:rPr>
          <w:rFonts w:ascii="Arial" w:hAnsi="Arial" w:cs="Arial"/>
          <w:b/>
          <w:lang w:val="en-CA"/>
        </w:rPr>
        <w:t>Workform</w:t>
      </w:r>
      <w:proofErr w:type="spellEnd"/>
      <w:r w:rsidRPr="00BF20CF">
        <w:rPr>
          <w:rFonts w:ascii="Arial" w:hAnsi="Arial" w:cs="Arial"/>
          <w:b/>
          <w:lang w:val="en-CA"/>
        </w:rPr>
        <w:t>, Sheet 3. RRR Data; Sheet 4. UTRs and Sub-Transmission</w:t>
      </w:r>
    </w:p>
    <w:p w14:paraId="172F3E6B"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A7A3E3B" w14:textId="77777777" w:rsidR="00085F7A" w:rsidRPr="00BF20CF" w:rsidRDefault="00085F7A" w:rsidP="00C84F5B">
      <w:pPr>
        <w:spacing w:after="240" w:line="276" w:lineRule="auto"/>
        <w:rPr>
          <w:rFonts w:ascii="Arial" w:hAnsi="Arial" w:cs="Arial"/>
          <w:lang w:val="en-CA"/>
        </w:rPr>
      </w:pPr>
      <w:r w:rsidRPr="00BF20CF">
        <w:rPr>
          <w:rFonts w:ascii="Arial" w:hAnsi="Arial" w:cs="Arial"/>
          <w:lang w:val="en-CA"/>
        </w:rPr>
        <w:t>Hydro Ottawa has filed a 2020 RTSR model, which was current as of the date of filing. The RTSR model has been filed with 2019 UTRs and Hydro One Sub-Transmission rates. Hydro Ottawa states that its “rates are derived from 2018 billing determinants, as those are the determinants that have been most recently reported through the utility’s RRR filings.”</w:t>
      </w:r>
    </w:p>
    <w:p w14:paraId="0EB2091F"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F1499C4" w14:textId="00BCEB78" w:rsidR="00085F7A" w:rsidRPr="00BF20CF" w:rsidRDefault="00085F7A" w:rsidP="00085F7A">
      <w:pPr>
        <w:pStyle w:val="ListParagraph"/>
        <w:numPr>
          <w:ilvl w:val="0"/>
          <w:numId w:val="164"/>
        </w:numPr>
        <w:spacing w:after="160" w:line="276" w:lineRule="auto"/>
        <w:rPr>
          <w:rFonts w:ascii="Arial" w:hAnsi="Arial" w:cs="Arial"/>
        </w:rPr>
      </w:pPr>
      <w:r w:rsidRPr="00BF20CF">
        <w:rPr>
          <w:rFonts w:ascii="Arial" w:hAnsi="Arial" w:cs="Arial"/>
        </w:rPr>
        <w:t>Please update using 2019 RRR data, 2020 UTRs and 2020 Hydro One Sub-Transmission rates. Please use the 2021 RTSR model, if available.</w:t>
      </w:r>
    </w:p>
    <w:p w14:paraId="6AA206F3" w14:textId="1D91577E" w:rsidR="00F25DE0" w:rsidRPr="00BF20CF" w:rsidRDefault="00F25DE0" w:rsidP="00F25DE0">
      <w:pPr>
        <w:pStyle w:val="ListParagraph"/>
        <w:spacing w:after="160" w:line="276" w:lineRule="auto"/>
        <w:rPr>
          <w:rFonts w:ascii="Arial" w:hAnsi="Arial" w:cs="Arial"/>
        </w:rPr>
      </w:pPr>
      <w:r w:rsidRPr="00BF20CF">
        <w:rPr>
          <w:rFonts w:ascii="Arial" w:hAnsi="Arial" w:cs="Arial"/>
        </w:rPr>
        <w:br w:type="page"/>
      </w:r>
    </w:p>
    <w:p w14:paraId="760DB9B0" w14:textId="7661C37A" w:rsidR="00F25DE0" w:rsidRPr="00BF20CF" w:rsidRDefault="00F25DE0" w:rsidP="00F25DE0">
      <w:pPr>
        <w:pStyle w:val="StaffHeader"/>
        <w:numPr>
          <w:ilvl w:val="0"/>
          <w:numId w:val="0"/>
        </w:numPr>
        <w:spacing w:before="240"/>
        <w:rPr>
          <w:rFonts w:cs="Arial"/>
          <w:szCs w:val="24"/>
          <w:u w:val="none"/>
        </w:rPr>
      </w:pPr>
      <w:r w:rsidRPr="00BF20CF">
        <w:rPr>
          <w:rFonts w:cs="Arial"/>
          <w:szCs w:val="24"/>
          <w:u w:val="none"/>
        </w:rPr>
        <w:lastRenderedPageBreak/>
        <w:t>8-Staff-4</w:t>
      </w:r>
    </w:p>
    <w:p w14:paraId="7CCA5D8B" w14:textId="2F64D9F6" w:rsidR="00085F7A" w:rsidRPr="00BF20CF" w:rsidRDefault="00085F7A" w:rsidP="00C84F5B">
      <w:pPr>
        <w:spacing w:line="276" w:lineRule="auto"/>
        <w:rPr>
          <w:rFonts w:ascii="Arial" w:hAnsi="Arial" w:cs="Arial"/>
          <w:b/>
          <w:lang w:val="en-CA"/>
        </w:rPr>
      </w:pPr>
      <w:r w:rsidRPr="00BF20CF">
        <w:rPr>
          <w:rFonts w:ascii="Arial" w:hAnsi="Arial" w:cs="Arial"/>
          <w:b/>
          <w:lang w:val="en-CA"/>
        </w:rPr>
        <w:t>Ref:</w:t>
      </w:r>
      <w:r w:rsidRPr="00BF20CF">
        <w:rPr>
          <w:rFonts w:ascii="Arial" w:hAnsi="Arial" w:cs="Arial"/>
          <w:b/>
          <w:lang w:val="en-CA"/>
        </w:rPr>
        <w:tab/>
        <w:t>Updated Exhibit 1, Tab 1, Schedule 10, page 25</w:t>
      </w:r>
    </w:p>
    <w:p w14:paraId="7A738A70" w14:textId="77777777" w:rsidR="00085F7A" w:rsidRPr="00BF20CF" w:rsidRDefault="00085F7A" w:rsidP="00C84F5B">
      <w:pPr>
        <w:spacing w:line="276" w:lineRule="auto"/>
        <w:ind w:firstLine="720"/>
        <w:rPr>
          <w:rFonts w:ascii="Arial" w:hAnsi="Arial" w:cs="Arial"/>
          <w:b/>
          <w:lang w:val="en-CA"/>
        </w:rPr>
      </w:pPr>
      <w:r w:rsidRPr="00BF20CF">
        <w:rPr>
          <w:rFonts w:ascii="Arial" w:hAnsi="Arial" w:cs="Arial"/>
          <w:b/>
          <w:lang w:val="en-CA"/>
        </w:rPr>
        <w:t>Exhibit 8, Tab 4, Schedule 1, page 1</w:t>
      </w:r>
    </w:p>
    <w:p w14:paraId="3D92EF16" w14:textId="77777777" w:rsidR="00085F7A" w:rsidRPr="00BF20CF" w:rsidRDefault="00085F7A" w:rsidP="00C84F5B">
      <w:pPr>
        <w:spacing w:line="276" w:lineRule="auto"/>
        <w:ind w:firstLine="720"/>
        <w:rPr>
          <w:rFonts w:ascii="Arial" w:hAnsi="Arial" w:cs="Arial"/>
          <w:b/>
          <w:lang w:val="en-CA"/>
        </w:rPr>
      </w:pPr>
      <w:r w:rsidRPr="00BF20CF">
        <w:rPr>
          <w:rFonts w:ascii="Arial" w:hAnsi="Arial" w:cs="Arial"/>
          <w:b/>
          <w:lang w:val="en-CA"/>
        </w:rPr>
        <w:t>Updated Exhibit 8, Tab 7, Schedule 1, pp 1, 6-9</w:t>
      </w:r>
    </w:p>
    <w:p w14:paraId="48EAF755"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791F57A2" w14:textId="77777777" w:rsidR="00085F7A" w:rsidRPr="00BF20CF" w:rsidRDefault="00085F7A" w:rsidP="00C84F5B">
      <w:pPr>
        <w:spacing w:after="240" w:line="276" w:lineRule="auto"/>
        <w:rPr>
          <w:rFonts w:ascii="Arial" w:hAnsi="Arial" w:cs="Arial"/>
        </w:rPr>
      </w:pPr>
      <w:r w:rsidRPr="00BF20CF">
        <w:rPr>
          <w:rFonts w:ascii="Arial" w:hAnsi="Arial" w:cs="Arial"/>
        </w:rPr>
        <w:t>In reference to retail service charges, Hydro Ottawa states that it “will not be seeking distributor-specific RSCs.” It states that “as a placeholder for the generic RSCs, 2021 has been inflated by the OEB’s 2020 inflationary rate of 2.0%, while 2022-2025 charge have been escalated annually by 2.51%”</w:t>
      </w:r>
    </w:p>
    <w:p w14:paraId="4271E74D" w14:textId="77777777" w:rsidR="00085F7A" w:rsidRPr="00BF20CF" w:rsidRDefault="00085F7A" w:rsidP="00C84F5B">
      <w:pPr>
        <w:spacing w:after="240" w:line="276" w:lineRule="auto"/>
        <w:rPr>
          <w:rFonts w:ascii="Arial" w:hAnsi="Arial" w:cs="Arial"/>
        </w:rPr>
      </w:pPr>
      <w:r w:rsidRPr="00BF20CF">
        <w:rPr>
          <w:rFonts w:ascii="Arial" w:hAnsi="Arial" w:cs="Arial"/>
        </w:rPr>
        <w:t>OEB staff note that, in the event the escalation factor used by Hydro Ottawa to escalate its retail service charges differs from the rate used by the OEB, Hydro Ottawa will in effect have distributor-specific retail service charges.</w:t>
      </w:r>
    </w:p>
    <w:p w14:paraId="26C33BC8" w14:textId="77777777" w:rsidR="00085F7A" w:rsidRPr="00BF20CF" w:rsidRDefault="00085F7A" w:rsidP="00C84F5B">
      <w:pPr>
        <w:spacing w:after="240" w:line="276" w:lineRule="auto"/>
        <w:rPr>
          <w:rFonts w:ascii="Arial" w:hAnsi="Arial" w:cs="Arial"/>
        </w:rPr>
      </w:pPr>
      <w:r w:rsidRPr="00BF20CF">
        <w:rPr>
          <w:rFonts w:ascii="Arial" w:hAnsi="Arial" w:cs="Arial"/>
        </w:rPr>
        <w:t>Similar proposals are made to escalate charges for Specific Service Charges, Wireline Attachments, Generator Fixed Service Charges and the Standard Supply Service Charge.</w:t>
      </w:r>
    </w:p>
    <w:p w14:paraId="2AD93416" w14:textId="77777777" w:rsidR="00085F7A" w:rsidRPr="00BF20CF" w:rsidRDefault="00085F7A" w:rsidP="00C84F5B">
      <w:pPr>
        <w:spacing w:after="240" w:line="276" w:lineRule="auto"/>
        <w:rPr>
          <w:rFonts w:ascii="Arial" w:hAnsi="Arial" w:cs="Arial"/>
        </w:rPr>
      </w:pPr>
      <w:r w:rsidRPr="00BF20CF">
        <w:rPr>
          <w:rFonts w:ascii="Arial" w:hAnsi="Arial" w:cs="Arial"/>
        </w:rPr>
        <w:t>Hydro Ottawa’s Custom Price Escalation Factor of 2.51% is calculated including a customer Growth Factor of 0.40% to reflect growth in costs due to an increasing number of customers.</w:t>
      </w:r>
    </w:p>
    <w:p w14:paraId="69AFEDF5"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D48B22A" w14:textId="77777777" w:rsidR="00085F7A" w:rsidRPr="00BF20CF" w:rsidRDefault="00085F7A" w:rsidP="00085F7A">
      <w:pPr>
        <w:pStyle w:val="ListParagraph"/>
        <w:numPr>
          <w:ilvl w:val="0"/>
          <w:numId w:val="165"/>
        </w:numPr>
        <w:spacing w:after="160" w:line="276" w:lineRule="auto"/>
        <w:rPr>
          <w:rFonts w:ascii="Arial" w:hAnsi="Arial" w:cs="Arial"/>
        </w:rPr>
      </w:pPr>
      <w:r w:rsidRPr="00BF20CF">
        <w:rPr>
          <w:rFonts w:ascii="Arial" w:hAnsi="Arial" w:cs="Arial"/>
        </w:rPr>
        <w:t>Please confirm whether or not Hydro Ottawa plans to adopt the OEB’s 2021 inflation for 2021 when that is known.</w:t>
      </w:r>
    </w:p>
    <w:p w14:paraId="08E7A6CA" w14:textId="77777777" w:rsidR="00085F7A" w:rsidRPr="00BF20CF" w:rsidRDefault="00085F7A" w:rsidP="00F34BF6">
      <w:pPr>
        <w:pStyle w:val="ListParagraph"/>
        <w:spacing w:after="160" w:line="276" w:lineRule="auto"/>
        <w:rPr>
          <w:rFonts w:ascii="Arial" w:hAnsi="Arial" w:cs="Arial"/>
        </w:rPr>
      </w:pPr>
    </w:p>
    <w:p w14:paraId="39F64955" w14:textId="77777777" w:rsidR="00085F7A" w:rsidRPr="00BF20CF" w:rsidRDefault="00085F7A" w:rsidP="00085F7A">
      <w:pPr>
        <w:pStyle w:val="ListParagraph"/>
        <w:numPr>
          <w:ilvl w:val="0"/>
          <w:numId w:val="165"/>
        </w:numPr>
        <w:spacing w:after="160" w:line="276" w:lineRule="auto"/>
        <w:rPr>
          <w:rFonts w:ascii="Arial" w:hAnsi="Arial" w:cs="Arial"/>
        </w:rPr>
      </w:pPr>
      <w:r w:rsidRPr="00BF20CF">
        <w:rPr>
          <w:rFonts w:ascii="Arial" w:hAnsi="Arial" w:cs="Arial"/>
        </w:rPr>
        <w:t>Does Hydro Ottawa propose to apply its escalation factor of 2.51% for the years 2022-2025, or does it plan to apply the OEB’s generic escalation factor as this is known?</w:t>
      </w:r>
    </w:p>
    <w:p w14:paraId="38681354" w14:textId="77777777" w:rsidR="00085F7A" w:rsidRPr="00BF20CF" w:rsidRDefault="00085F7A" w:rsidP="00F34BF6">
      <w:pPr>
        <w:pStyle w:val="ListParagraph"/>
        <w:rPr>
          <w:rFonts w:ascii="Arial" w:hAnsi="Arial" w:cs="Arial"/>
        </w:rPr>
      </w:pPr>
    </w:p>
    <w:p w14:paraId="0BBA4201" w14:textId="77777777" w:rsidR="00085F7A" w:rsidRPr="00BF20CF" w:rsidRDefault="00085F7A" w:rsidP="00085F7A">
      <w:pPr>
        <w:pStyle w:val="ListParagraph"/>
        <w:numPr>
          <w:ilvl w:val="0"/>
          <w:numId w:val="165"/>
        </w:numPr>
        <w:spacing w:after="160" w:line="276" w:lineRule="auto"/>
        <w:rPr>
          <w:rFonts w:ascii="Arial" w:hAnsi="Arial" w:cs="Arial"/>
        </w:rPr>
      </w:pPr>
      <w:r w:rsidRPr="00BF20CF">
        <w:rPr>
          <w:rFonts w:ascii="Arial" w:hAnsi="Arial" w:cs="Arial"/>
        </w:rPr>
        <w:t>Please explain why it is appropriate to inflate per-incident and per-customer charges on the basis of an escalation factor which includes growth in customer counts as one of the causes of growth in costs.</w:t>
      </w:r>
    </w:p>
    <w:p w14:paraId="0382D498" w14:textId="0789496B" w:rsidR="00F25DE0" w:rsidRPr="00BF20CF" w:rsidRDefault="00F25DE0" w:rsidP="00C84F5B">
      <w:pPr>
        <w:spacing w:line="276" w:lineRule="auto"/>
        <w:rPr>
          <w:rFonts w:ascii="Arial" w:hAnsi="Arial" w:cs="Arial"/>
        </w:rPr>
      </w:pPr>
      <w:r w:rsidRPr="00BF20CF">
        <w:rPr>
          <w:rFonts w:ascii="Arial" w:hAnsi="Arial" w:cs="Arial"/>
        </w:rPr>
        <w:br w:type="page"/>
      </w:r>
    </w:p>
    <w:p w14:paraId="589ED9E8" w14:textId="54C04157" w:rsidR="00F25DE0" w:rsidRPr="00BF20CF" w:rsidRDefault="00F25DE0" w:rsidP="00F25DE0">
      <w:pPr>
        <w:pStyle w:val="StaffHeader"/>
        <w:numPr>
          <w:ilvl w:val="0"/>
          <w:numId w:val="0"/>
        </w:numPr>
        <w:spacing w:before="240"/>
        <w:rPr>
          <w:rFonts w:cs="Arial"/>
          <w:szCs w:val="24"/>
          <w:u w:val="none"/>
        </w:rPr>
      </w:pPr>
      <w:r w:rsidRPr="00BF20CF">
        <w:rPr>
          <w:rFonts w:cs="Arial"/>
          <w:szCs w:val="24"/>
          <w:u w:val="none"/>
        </w:rPr>
        <w:lastRenderedPageBreak/>
        <w:t>8-Staff-5</w:t>
      </w:r>
    </w:p>
    <w:p w14:paraId="3D1BBE97" w14:textId="77777777" w:rsidR="00085F7A" w:rsidRPr="00BF20CF" w:rsidRDefault="00085F7A" w:rsidP="00C84F5B">
      <w:pPr>
        <w:spacing w:line="276" w:lineRule="auto"/>
        <w:rPr>
          <w:rFonts w:ascii="Arial" w:hAnsi="Arial" w:cs="Arial"/>
          <w:b/>
          <w:lang w:val="en-CA"/>
        </w:rPr>
      </w:pPr>
      <w:r w:rsidRPr="00BF20CF">
        <w:rPr>
          <w:rFonts w:ascii="Arial" w:hAnsi="Arial" w:cs="Arial"/>
          <w:b/>
          <w:lang w:val="en-CA"/>
        </w:rPr>
        <w:t>Ref:</w:t>
      </w:r>
      <w:r w:rsidRPr="00BF20CF">
        <w:rPr>
          <w:rFonts w:ascii="Arial" w:hAnsi="Arial" w:cs="Arial"/>
          <w:b/>
          <w:lang w:val="en-CA"/>
        </w:rPr>
        <w:tab/>
        <w:t>Updated Exhibit 8, Tab 7, Schedule 1, page 1</w:t>
      </w:r>
    </w:p>
    <w:p w14:paraId="6C6B78D3" w14:textId="77777777" w:rsidR="00085F7A" w:rsidRPr="00BF20CF" w:rsidRDefault="00085F7A" w:rsidP="00C84F5B">
      <w:pPr>
        <w:spacing w:line="276" w:lineRule="auto"/>
        <w:rPr>
          <w:rFonts w:ascii="Arial" w:hAnsi="Arial" w:cs="Arial"/>
          <w:b/>
          <w:lang w:val="en-CA"/>
        </w:rPr>
      </w:pPr>
      <w:r w:rsidRPr="00BF20CF">
        <w:rPr>
          <w:rFonts w:ascii="Arial" w:hAnsi="Arial" w:cs="Arial"/>
          <w:b/>
          <w:lang w:val="en-CA"/>
        </w:rPr>
        <w:tab/>
        <w:t xml:space="preserve">Exhibit 8, Tab 7, Schedule 1, Attachment </w:t>
      </w:r>
      <w:proofErr w:type="gramStart"/>
      <w:r w:rsidRPr="00BF20CF">
        <w:rPr>
          <w:rFonts w:ascii="Arial" w:hAnsi="Arial" w:cs="Arial"/>
          <w:b/>
          <w:lang w:val="en-CA"/>
        </w:rPr>
        <w:t>A</w:t>
      </w:r>
      <w:proofErr w:type="gramEnd"/>
      <w:r w:rsidRPr="00BF20CF">
        <w:rPr>
          <w:rFonts w:ascii="Arial" w:hAnsi="Arial" w:cs="Arial"/>
          <w:b/>
          <w:lang w:val="en-CA"/>
        </w:rPr>
        <w:t>, pp. 1-9</w:t>
      </w:r>
    </w:p>
    <w:p w14:paraId="72072BEA"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82C9431" w14:textId="77777777" w:rsidR="00085F7A" w:rsidRPr="00BF20CF" w:rsidRDefault="00085F7A" w:rsidP="00C84F5B">
      <w:pPr>
        <w:spacing w:after="240" w:line="276" w:lineRule="auto"/>
        <w:rPr>
          <w:rFonts w:ascii="Arial" w:hAnsi="Arial" w:cs="Arial"/>
        </w:rPr>
      </w:pPr>
      <w:r w:rsidRPr="00BF20CF">
        <w:rPr>
          <w:rFonts w:ascii="Arial" w:hAnsi="Arial" w:cs="Arial"/>
        </w:rPr>
        <w:t>Hydro Ottawa states that it has “undertook a review of many routine service charges to ensure they reflected the associated costs of providing services”. Hydro Ottawa is proposing to update several specific service charges, while some are decreasing, others are increasing. In addition, in some cases, the proposed charge does not reconcile to the calculated costs at the second reference. In particular the following are increases or have costs that a materially different from the proposed change:</w:t>
      </w:r>
    </w:p>
    <w:p w14:paraId="013DC9BC" w14:textId="77777777" w:rsidR="00085F7A" w:rsidRPr="00BF20CF" w:rsidRDefault="00085F7A" w:rsidP="00C84F5B">
      <w:pPr>
        <w:spacing w:after="240" w:line="276" w:lineRule="auto"/>
        <w:rPr>
          <w:rFonts w:ascii="Arial" w:hAnsi="Arial" w:cs="Arial"/>
        </w:rPr>
      </w:pPr>
    </w:p>
    <w:tbl>
      <w:tblPr>
        <w:tblStyle w:val="TableGrid"/>
        <w:tblW w:w="0" w:type="auto"/>
        <w:tblInd w:w="535" w:type="dxa"/>
        <w:tblLook w:val="04A0" w:firstRow="1" w:lastRow="0" w:firstColumn="1" w:lastColumn="0" w:noHBand="0" w:noVBand="1"/>
      </w:tblPr>
      <w:tblGrid>
        <w:gridCol w:w="2932"/>
        <w:gridCol w:w="1411"/>
        <w:gridCol w:w="1319"/>
        <w:gridCol w:w="1323"/>
        <w:gridCol w:w="1110"/>
      </w:tblGrid>
      <w:tr w:rsidR="00085F7A" w:rsidRPr="00BF20CF" w14:paraId="2BC559C6" w14:textId="77777777" w:rsidTr="00C84F5B">
        <w:tc>
          <w:tcPr>
            <w:tcW w:w="3060" w:type="dxa"/>
            <w:shd w:val="clear" w:color="auto" w:fill="000000" w:themeFill="text1"/>
          </w:tcPr>
          <w:p w14:paraId="3A70F209" w14:textId="77777777" w:rsidR="00085F7A" w:rsidRPr="00BF20CF" w:rsidRDefault="00085F7A" w:rsidP="00C84F5B">
            <w:pPr>
              <w:spacing w:line="276" w:lineRule="auto"/>
              <w:rPr>
                <w:rFonts w:ascii="Arial" w:hAnsi="Arial" w:cs="Arial"/>
                <w:b/>
              </w:rPr>
            </w:pPr>
            <w:r w:rsidRPr="00BF20CF">
              <w:rPr>
                <w:rFonts w:ascii="Arial" w:hAnsi="Arial" w:cs="Arial"/>
                <w:b/>
              </w:rPr>
              <w:t>Description</w:t>
            </w:r>
          </w:p>
        </w:tc>
        <w:tc>
          <w:tcPr>
            <w:tcW w:w="1447" w:type="dxa"/>
            <w:shd w:val="clear" w:color="auto" w:fill="000000" w:themeFill="text1"/>
          </w:tcPr>
          <w:p w14:paraId="1A021AB7" w14:textId="77777777" w:rsidR="00085F7A" w:rsidRPr="00BF20CF" w:rsidRDefault="00085F7A" w:rsidP="00C84F5B">
            <w:pPr>
              <w:spacing w:line="276" w:lineRule="auto"/>
              <w:jc w:val="center"/>
              <w:rPr>
                <w:rFonts w:ascii="Arial" w:hAnsi="Arial" w:cs="Arial"/>
                <w:b/>
              </w:rPr>
            </w:pPr>
            <w:r w:rsidRPr="00BF20CF">
              <w:rPr>
                <w:rFonts w:ascii="Arial" w:hAnsi="Arial" w:cs="Arial"/>
                <w:b/>
              </w:rPr>
              <w:t>2020 Charge</w:t>
            </w:r>
          </w:p>
        </w:tc>
        <w:tc>
          <w:tcPr>
            <w:tcW w:w="1346" w:type="dxa"/>
            <w:shd w:val="clear" w:color="auto" w:fill="000000" w:themeFill="text1"/>
          </w:tcPr>
          <w:p w14:paraId="5DC79C72" w14:textId="77777777" w:rsidR="00085F7A" w:rsidRPr="00BF20CF" w:rsidRDefault="00085F7A" w:rsidP="00C84F5B">
            <w:pPr>
              <w:spacing w:line="276" w:lineRule="auto"/>
              <w:jc w:val="center"/>
              <w:rPr>
                <w:rFonts w:ascii="Arial" w:hAnsi="Arial" w:cs="Arial"/>
                <w:b/>
              </w:rPr>
            </w:pPr>
            <w:r w:rsidRPr="00BF20CF">
              <w:rPr>
                <w:rFonts w:ascii="Arial" w:hAnsi="Arial" w:cs="Arial"/>
                <w:b/>
              </w:rPr>
              <w:t>2021 Charge</w:t>
            </w:r>
          </w:p>
        </w:tc>
        <w:tc>
          <w:tcPr>
            <w:tcW w:w="1137" w:type="dxa"/>
            <w:shd w:val="clear" w:color="auto" w:fill="000000" w:themeFill="text1"/>
          </w:tcPr>
          <w:p w14:paraId="4DC9A392" w14:textId="77777777" w:rsidR="00085F7A" w:rsidRPr="00BF20CF" w:rsidRDefault="00085F7A" w:rsidP="00C84F5B">
            <w:pPr>
              <w:spacing w:line="276" w:lineRule="auto"/>
              <w:jc w:val="center"/>
              <w:rPr>
                <w:rFonts w:ascii="Arial" w:hAnsi="Arial" w:cs="Arial"/>
                <w:b/>
              </w:rPr>
            </w:pPr>
            <w:r w:rsidRPr="00BF20CF">
              <w:rPr>
                <w:rFonts w:ascii="Arial" w:hAnsi="Arial" w:cs="Arial"/>
                <w:b/>
              </w:rPr>
              <w:t>Proposed Increase</w:t>
            </w:r>
          </w:p>
        </w:tc>
        <w:tc>
          <w:tcPr>
            <w:tcW w:w="1030" w:type="dxa"/>
            <w:shd w:val="clear" w:color="auto" w:fill="000000" w:themeFill="text1"/>
          </w:tcPr>
          <w:p w14:paraId="4B94EFEE" w14:textId="77777777" w:rsidR="00085F7A" w:rsidRPr="00BF20CF" w:rsidRDefault="00085F7A" w:rsidP="00C84F5B">
            <w:pPr>
              <w:spacing w:line="276" w:lineRule="auto"/>
              <w:jc w:val="center"/>
              <w:rPr>
                <w:rFonts w:ascii="Arial" w:hAnsi="Arial" w:cs="Arial"/>
                <w:b/>
              </w:rPr>
            </w:pPr>
            <w:r w:rsidRPr="00BF20CF">
              <w:rPr>
                <w:rFonts w:ascii="Arial" w:hAnsi="Arial" w:cs="Arial"/>
                <w:b/>
              </w:rPr>
              <w:t>Charge per Costing</w:t>
            </w:r>
          </w:p>
        </w:tc>
      </w:tr>
      <w:tr w:rsidR="00085F7A" w:rsidRPr="00BF20CF" w14:paraId="5DB4E3DC" w14:textId="77777777" w:rsidTr="00C84F5B">
        <w:tc>
          <w:tcPr>
            <w:tcW w:w="3060" w:type="dxa"/>
          </w:tcPr>
          <w:p w14:paraId="4D11D260" w14:textId="77777777" w:rsidR="00085F7A" w:rsidRPr="00BF20CF" w:rsidRDefault="00085F7A" w:rsidP="00C84F5B">
            <w:pPr>
              <w:spacing w:line="276" w:lineRule="auto"/>
              <w:rPr>
                <w:rFonts w:ascii="Arial" w:hAnsi="Arial" w:cs="Arial"/>
              </w:rPr>
            </w:pPr>
            <w:r w:rsidRPr="00BF20CF">
              <w:rPr>
                <w:rFonts w:ascii="Arial" w:hAnsi="Arial" w:cs="Arial"/>
              </w:rPr>
              <w:t>Arrears Certificate (Account Certificate in 2020)</w:t>
            </w:r>
          </w:p>
        </w:tc>
        <w:tc>
          <w:tcPr>
            <w:tcW w:w="1447" w:type="dxa"/>
          </w:tcPr>
          <w:p w14:paraId="3FC097B9" w14:textId="77777777" w:rsidR="00085F7A" w:rsidRPr="00BF20CF" w:rsidRDefault="00085F7A" w:rsidP="00C84F5B">
            <w:pPr>
              <w:spacing w:line="276" w:lineRule="auto"/>
              <w:jc w:val="center"/>
              <w:rPr>
                <w:rFonts w:ascii="Arial" w:hAnsi="Arial" w:cs="Arial"/>
              </w:rPr>
            </w:pPr>
            <w:r w:rsidRPr="00BF20CF">
              <w:rPr>
                <w:rFonts w:ascii="Arial" w:hAnsi="Arial" w:cs="Arial"/>
              </w:rPr>
              <w:t>$15</w:t>
            </w:r>
          </w:p>
        </w:tc>
        <w:tc>
          <w:tcPr>
            <w:tcW w:w="1346" w:type="dxa"/>
          </w:tcPr>
          <w:p w14:paraId="5A896ECB" w14:textId="77777777" w:rsidR="00085F7A" w:rsidRPr="00BF20CF" w:rsidRDefault="00085F7A" w:rsidP="00C84F5B">
            <w:pPr>
              <w:spacing w:line="276" w:lineRule="auto"/>
              <w:jc w:val="center"/>
              <w:rPr>
                <w:rFonts w:ascii="Arial" w:hAnsi="Arial" w:cs="Arial"/>
              </w:rPr>
            </w:pPr>
            <w:r w:rsidRPr="00BF20CF">
              <w:rPr>
                <w:rFonts w:ascii="Arial" w:hAnsi="Arial" w:cs="Arial"/>
              </w:rPr>
              <w:t>$16</w:t>
            </w:r>
          </w:p>
        </w:tc>
        <w:tc>
          <w:tcPr>
            <w:tcW w:w="1137" w:type="dxa"/>
          </w:tcPr>
          <w:p w14:paraId="656C52BC" w14:textId="77777777" w:rsidR="00085F7A" w:rsidRPr="00BF20CF" w:rsidRDefault="00085F7A" w:rsidP="00C84F5B">
            <w:pPr>
              <w:spacing w:line="276" w:lineRule="auto"/>
              <w:jc w:val="center"/>
              <w:rPr>
                <w:rFonts w:ascii="Arial" w:hAnsi="Arial" w:cs="Arial"/>
              </w:rPr>
            </w:pPr>
          </w:p>
        </w:tc>
        <w:tc>
          <w:tcPr>
            <w:tcW w:w="1030" w:type="dxa"/>
          </w:tcPr>
          <w:p w14:paraId="07AEF335" w14:textId="77777777" w:rsidR="00085F7A" w:rsidRPr="00BF20CF" w:rsidRDefault="00085F7A" w:rsidP="00C84F5B">
            <w:pPr>
              <w:spacing w:line="276" w:lineRule="auto"/>
              <w:jc w:val="center"/>
              <w:rPr>
                <w:rFonts w:ascii="Arial" w:hAnsi="Arial" w:cs="Arial"/>
              </w:rPr>
            </w:pPr>
            <w:r w:rsidRPr="00BF20CF">
              <w:rPr>
                <w:rFonts w:ascii="Arial" w:hAnsi="Arial" w:cs="Arial"/>
              </w:rPr>
              <w:t>$51</w:t>
            </w:r>
          </w:p>
        </w:tc>
      </w:tr>
      <w:tr w:rsidR="00085F7A" w:rsidRPr="00BF20CF" w14:paraId="52AA2D4A" w14:textId="77777777" w:rsidTr="00C84F5B">
        <w:tc>
          <w:tcPr>
            <w:tcW w:w="3060" w:type="dxa"/>
          </w:tcPr>
          <w:p w14:paraId="7F96642E" w14:textId="77777777" w:rsidR="00085F7A" w:rsidRPr="00BF20CF" w:rsidRDefault="00085F7A" w:rsidP="00C84F5B">
            <w:pPr>
              <w:spacing w:line="276" w:lineRule="auto"/>
              <w:rPr>
                <w:rFonts w:ascii="Arial" w:hAnsi="Arial" w:cs="Arial"/>
              </w:rPr>
            </w:pPr>
            <w:r w:rsidRPr="00BF20CF">
              <w:rPr>
                <w:rFonts w:ascii="Arial" w:hAnsi="Arial" w:cs="Arial"/>
              </w:rPr>
              <w:t>Easement Certificate (Account Certificate in 2020)</w:t>
            </w:r>
          </w:p>
        </w:tc>
        <w:tc>
          <w:tcPr>
            <w:tcW w:w="1447" w:type="dxa"/>
          </w:tcPr>
          <w:p w14:paraId="478E432E" w14:textId="77777777" w:rsidR="00085F7A" w:rsidRPr="00BF20CF" w:rsidRDefault="00085F7A" w:rsidP="00C84F5B">
            <w:pPr>
              <w:spacing w:line="276" w:lineRule="auto"/>
              <w:jc w:val="center"/>
              <w:rPr>
                <w:rFonts w:ascii="Arial" w:hAnsi="Arial" w:cs="Arial"/>
              </w:rPr>
            </w:pPr>
            <w:r w:rsidRPr="00BF20CF">
              <w:rPr>
                <w:rFonts w:ascii="Arial" w:hAnsi="Arial" w:cs="Arial"/>
              </w:rPr>
              <w:t>$15</w:t>
            </w:r>
          </w:p>
        </w:tc>
        <w:tc>
          <w:tcPr>
            <w:tcW w:w="1346" w:type="dxa"/>
          </w:tcPr>
          <w:p w14:paraId="37B408F6" w14:textId="77777777" w:rsidR="00085F7A" w:rsidRPr="00BF20CF" w:rsidRDefault="00085F7A" w:rsidP="00C84F5B">
            <w:pPr>
              <w:spacing w:line="276" w:lineRule="auto"/>
              <w:jc w:val="center"/>
              <w:rPr>
                <w:rFonts w:ascii="Arial" w:hAnsi="Arial" w:cs="Arial"/>
              </w:rPr>
            </w:pPr>
            <w:r w:rsidRPr="00BF20CF">
              <w:rPr>
                <w:rFonts w:ascii="Arial" w:hAnsi="Arial" w:cs="Arial"/>
              </w:rPr>
              <w:t>$25</w:t>
            </w:r>
          </w:p>
        </w:tc>
        <w:tc>
          <w:tcPr>
            <w:tcW w:w="1137" w:type="dxa"/>
          </w:tcPr>
          <w:p w14:paraId="10C8A9A0" w14:textId="77777777" w:rsidR="00085F7A" w:rsidRPr="00BF20CF" w:rsidRDefault="00085F7A" w:rsidP="00C84F5B">
            <w:pPr>
              <w:spacing w:line="276" w:lineRule="auto"/>
              <w:jc w:val="center"/>
              <w:rPr>
                <w:rFonts w:ascii="Arial" w:hAnsi="Arial" w:cs="Arial"/>
              </w:rPr>
            </w:pPr>
            <w:r w:rsidRPr="00BF20CF">
              <w:rPr>
                <w:rFonts w:ascii="Arial" w:hAnsi="Arial" w:cs="Arial"/>
              </w:rPr>
              <w:t>67%</w:t>
            </w:r>
          </w:p>
        </w:tc>
        <w:tc>
          <w:tcPr>
            <w:tcW w:w="1030" w:type="dxa"/>
          </w:tcPr>
          <w:p w14:paraId="7D2013F2" w14:textId="77777777" w:rsidR="00085F7A" w:rsidRPr="00BF20CF" w:rsidRDefault="00085F7A" w:rsidP="00C84F5B">
            <w:pPr>
              <w:spacing w:line="276" w:lineRule="auto"/>
              <w:jc w:val="center"/>
              <w:rPr>
                <w:rFonts w:ascii="Arial" w:hAnsi="Arial" w:cs="Arial"/>
              </w:rPr>
            </w:pPr>
            <w:r w:rsidRPr="00BF20CF">
              <w:rPr>
                <w:rFonts w:ascii="Arial" w:hAnsi="Arial" w:cs="Arial"/>
              </w:rPr>
              <w:t>$99</w:t>
            </w:r>
          </w:p>
        </w:tc>
      </w:tr>
      <w:tr w:rsidR="00085F7A" w:rsidRPr="00BF20CF" w14:paraId="416962A8" w14:textId="77777777" w:rsidTr="00C84F5B">
        <w:tc>
          <w:tcPr>
            <w:tcW w:w="3060" w:type="dxa"/>
          </w:tcPr>
          <w:p w14:paraId="65984BD1" w14:textId="77777777" w:rsidR="00085F7A" w:rsidRPr="00BF20CF" w:rsidRDefault="00085F7A" w:rsidP="00C84F5B">
            <w:pPr>
              <w:spacing w:line="276" w:lineRule="auto"/>
              <w:rPr>
                <w:rFonts w:ascii="Arial" w:hAnsi="Arial" w:cs="Arial"/>
              </w:rPr>
            </w:pPr>
            <w:r w:rsidRPr="00BF20CF">
              <w:rPr>
                <w:rFonts w:ascii="Arial" w:hAnsi="Arial" w:cs="Arial"/>
              </w:rPr>
              <w:t>Special Billing Service, per hour</w:t>
            </w:r>
          </w:p>
        </w:tc>
        <w:tc>
          <w:tcPr>
            <w:tcW w:w="1447" w:type="dxa"/>
          </w:tcPr>
          <w:p w14:paraId="1EA18C43" w14:textId="77777777" w:rsidR="00085F7A" w:rsidRPr="00BF20CF" w:rsidRDefault="00085F7A" w:rsidP="00C84F5B">
            <w:pPr>
              <w:spacing w:line="276" w:lineRule="auto"/>
              <w:jc w:val="center"/>
              <w:rPr>
                <w:rFonts w:ascii="Arial" w:hAnsi="Arial" w:cs="Arial"/>
              </w:rPr>
            </w:pPr>
            <w:r w:rsidRPr="00BF20CF">
              <w:rPr>
                <w:rFonts w:ascii="Arial" w:hAnsi="Arial" w:cs="Arial"/>
              </w:rPr>
              <w:t>$104</w:t>
            </w:r>
          </w:p>
        </w:tc>
        <w:tc>
          <w:tcPr>
            <w:tcW w:w="1346" w:type="dxa"/>
          </w:tcPr>
          <w:p w14:paraId="368E9911" w14:textId="77777777" w:rsidR="00085F7A" w:rsidRPr="00BF20CF" w:rsidRDefault="00085F7A" w:rsidP="00C84F5B">
            <w:pPr>
              <w:spacing w:line="276" w:lineRule="auto"/>
              <w:jc w:val="center"/>
              <w:rPr>
                <w:rFonts w:ascii="Arial" w:hAnsi="Arial" w:cs="Arial"/>
              </w:rPr>
            </w:pPr>
            <w:r w:rsidRPr="00BF20CF">
              <w:rPr>
                <w:rFonts w:ascii="Arial" w:hAnsi="Arial" w:cs="Arial"/>
              </w:rPr>
              <w:t>$122</w:t>
            </w:r>
          </w:p>
        </w:tc>
        <w:tc>
          <w:tcPr>
            <w:tcW w:w="1137" w:type="dxa"/>
          </w:tcPr>
          <w:p w14:paraId="1792F9E5" w14:textId="77777777" w:rsidR="00085F7A" w:rsidRPr="00BF20CF" w:rsidRDefault="00085F7A" w:rsidP="00C84F5B">
            <w:pPr>
              <w:spacing w:line="276" w:lineRule="auto"/>
              <w:jc w:val="center"/>
              <w:rPr>
                <w:rFonts w:ascii="Arial" w:hAnsi="Arial" w:cs="Arial"/>
              </w:rPr>
            </w:pPr>
            <w:r w:rsidRPr="00BF20CF">
              <w:rPr>
                <w:rFonts w:ascii="Arial" w:hAnsi="Arial" w:cs="Arial"/>
              </w:rPr>
              <w:t>17%</w:t>
            </w:r>
          </w:p>
        </w:tc>
        <w:tc>
          <w:tcPr>
            <w:tcW w:w="1030" w:type="dxa"/>
          </w:tcPr>
          <w:p w14:paraId="7C897C10" w14:textId="77777777" w:rsidR="00085F7A" w:rsidRPr="00BF20CF" w:rsidRDefault="00085F7A" w:rsidP="00C84F5B">
            <w:pPr>
              <w:spacing w:line="276" w:lineRule="auto"/>
              <w:jc w:val="center"/>
              <w:rPr>
                <w:rFonts w:ascii="Arial" w:hAnsi="Arial" w:cs="Arial"/>
              </w:rPr>
            </w:pPr>
            <w:r w:rsidRPr="00BF20CF">
              <w:rPr>
                <w:rFonts w:ascii="Arial" w:hAnsi="Arial" w:cs="Arial"/>
              </w:rPr>
              <w:t>$122</w:t>
            </w:r>
          </w:p>
        </w:tc>
      </w:tr>
      <w:tr w:rsidR="00085F7A" w:rsidRPr="00BF20CF" w14:paraId="67760D38" w14:textId="77777777" w:rsidTr="00C84F5B">
        <w:tc>
          <w:tcPr>
            <w:tcW w:w="3060" w:type="dxa"/>
          </w:tcPr>
          <w:p w14:paraId="02FA8FCA" w14:textId="77777777" w:rsidR="00085F7A" w:rsidRPr="00BF20CF" w:rsidRDefault="00085F7A" w:rsidP="00C84F5B">
            <w:pPr>
              <w:spacing w:line="276" w:lineRule="auto"/>
              <w:rPr>
                <w:rFonts w:ascii="Arial" w:hAnsi="Arial" w:cs="Arial"/>
              </w:rPr>
            </w:pPr>
            <w:r w:rsidRPr="00BF20CF">
              <w:rPr>
                <w:rFonts w:ascii="Arial" w:hAnsi="Arial" w:cs="Arial"/>
              </w:rPr>
              <w:t>Unprocessed Payment Charge (+ bank charges)</w:t>
            </w:r>
          </w:p>
        </w:tc>
        <w:tc>
          <w:tcPr>
            <w:tcW w:w="1447" w:type="dxa"/>
          </w:tcPr>
          <w:p w14:paraId="616AFA2B" w14:textId="77777777" w:rsidR="00085F7A" w:rsidRPr="00BF20CF" w:rsidRDefault="00085F7A" w:rsidP="00C84F5B">
            <w:pPr>
              <w:spacing w:line="276" w:lineRule="auto"/>
              <w:jc w:val="center"/>
              <w:rPr>
                <w:rFonts w:ascii="Arial" w:hAnsi="Arial" w:cs="Arial"/>
              </w:rPr>
            </w:pPr>
            <w:r w:rsidRPr="00BF20CF">
              <w:rPr>
                <w:rFonts w:ascii="Arial" w:hAnsi="Arial" w:cs="Arial"/>
              </w:rPr>
              <w:t>$15</w:t>
            </w:r>
          </w:p>
        </w:tc>
        <w:tc>
          <w:tcPr>
            <w:tcW w:w="1346" w:type="dxa"/>
          </w:tcPr>
          <w:p w14:paraId="600C2FE5" w14:textId="77777777" w:rsidR="00085F7A" w:rsidRPr="00BF20CF" w:rsidRDefault="00085F7A" w:rsidP="00C84F5B">
            <w:pPr>
              <w:spacing w:line="276" w:lineRule="auto"/>
              <w:jc w:val="center"/>
              <w:rPr>
                <w:rFonts w:ascii="Arial" w:hAnsi="Arial" w:cs="Arial"/>
              </w:rPr>
            </w:pPr>
            <w:r w:rsidRPr="00BF20CF">
              <w:rPr>
                <w:rFonts w:ascii="Arial" w:hAnsi="Arial" w:cs="Arial"/>
              </w:rPr>
              <w:t>$25</w:t>
            </w:r>
          </w:p>
        </w:tc>
        <w:tc>
          <w:tcPr>
            <w:tcW w:w="1137" w:type="dxa"/>
          </w:tcPr>
          <w:p w14:paraId="4E9640BA" w14:textId="77777777" w:rsidR="00085F7A" w:rsidRPr="00BF20CF" w:rsidRDefault="00085F7A" w:rsidP="00C84F5B">
            <w:pPr>
              <w:spacing w:line="276" w:lineRule="auto"/>
              <w:jc w:val="center"/>
              <w:rPr>
                <w:rFonts w:ascii="Arial" w:hAnsi="Arial" w:cs="Arial"/>
              </w:rPr>
            </w:pPr>
            <w:r w:rsidRPr="00BF20CF">
              <w:rPr>
                <w:rFonts w:ascii="Arial" w:hAnsi="Arial" w:cs="Arial"/>
              </w:rPr>
              <w:t>67%</w:t>
            </w:r>
          </w:p>
        </w:tc>
        <w:tc>
          <w:tcPr>
            <w:tcW w:w="1030" w:type="dxa"/>
          </w:tcPr>
          <w:p w14:paraId="753E05EB" w14:textId="77777777" w:rsidR="00085F7A" w:rsidRPr="00BF20CF" w:rsidRDefault="00085F7A" w:rsidP="00C84F5B">
            <w:pPr>
              <w:spacing w:line="276" w:lineRule="auto"/>
              <w:jc w:val="center"/>
              <w:rPr>
                <w:rFonts w:ascii="Arial" w:hAnsi="Arial" w:cs="Arial"/>
              </w:rPr>
            </w:pPr>
            <w:r w:rsidRPr="00BF20CF">
              <w:rPr>
                <w:rFonts w:ascii="Arial" w:hAnsi="Arial" w:cs="Arial"/>
              </w:rPr>
              <w:t>$28</w:t>
            </w:r>
          </w:p>
        </w:tc>
      </w:tr>
      <w:tr w:rsidR="00085F7A" w:rsidRPr="00BF20CF" w14:paraId="5D1D1B15" w14:textId="77777777" w:rsidTr="00C84F5B">
        <w:tc>
          <w:tcPr>
            <w:tcW w:w="3060" w:type="dxa"/>
          </w:tcPr>
          <w:p w14:paraId="36E5F922" w14:textId="77777777" w:rsidR="00085F7A" w:rsidRPr="00BF20CF" w:rsidRDefault="00085F7A" w:rsidP="00C84F5B">
            <w:pPr>
              <w:spacing w:line="276" w:lineRule="auto"/>
              <w:rPr>
                <w:rFonts w:ascii="Arial" w:hAnsi="Arial" w:cs="Arial"/>
              </w:rPr>
            </w:pPr>
            <w:r w:rsidRPr="00BF20CF">
              <w:rPr>
                <w:rFonts w:ascii="Arial" w:hAnsi="Arial" w:cs="Arial"/>
              </w:rPr>
              <w:t>Reconnect at Pole – Regular Hours</w:t>
            </w:r>
          </w:p>
        </w:tc>
        <w:tc>
          <w:tcPr>
            <w:tcW w:w="1447" w:type="dxa"/>
          </w:tcPr>
          <w:p w14:paraId="2F935463" w14:textId="77777777" w:rsidR="00085F7A" w:rsidRPr="00BF20CF" w:rsidRDefault="00085F7A" w:rsidP="00C84F5B">
            <w:pPr>
              <w:spacing w:line="276" w:lineRule="auto"/>
              <w:jc w:val="center"/>
              <w:rPr>
                <w:rFonts w:ascii="Arial" w:hAnsi="Arial" w:cs="Arial"/>
              </w:rPr>
            </w:pPr>
            <w:r w:rsidRPr="00BF20CF">
              <w:rPr>
                <w:rFonts w:ascii="Arial" w:hAnsi="Arial" w:cs="Arial"/>
              </w:rPr>
              <w:t>$185</w:t>
            </w:r>
          </w:p>
        </w:tc>
        <w:tc>
          <w:tcPr>
            <w:tcW w:w="1346" w:type="dxa"/>
          </w:tcPr>
          <w:p w14:paraId="421914EF" w14:textId="77777777" w:rsidR="00085F7A" w:rsidRPr="00BF20CF" w:rsidRDefault="00085F7A" w:rsidP="00C84F5B">
            <w:pPr>
              <w:spacing w:line="276" w:lineRule="auto"/>
              <w:jc w:val="center"/>
              <w:rPr>
                <w:rFonts w:ascii="Arial" w:hAnsi="Arial" w:cs="Arial"/>
              </w:rPr>
            </w:pPr>
            <w:r w:rsidRPr="00BF20CF">
              <w:rPr>
                <w:rFonts w:ascii="Arial" w:hAnsi="Arial" w:cs="Arial"/>
              </w:rPr>
              <w:t>$250</w:t>
            </w:r>
          </w:p>
        </w:tc>
        <w:tc>
          <w:tcPr>
            <w:tcW w:w="1137" w:type="dxa"/>
          </w:tcPr>
          <w:p w14:paraId="5744ECCA" w14:textId="77777777" w:rsidR="00085F7A" w:rsidRPr="00BF20CF" w:rsidRDefault="00085F7A" w:rsidP="00C84F5B">
            <w:pPr>
              <w:spacing w:line="276" w:lineRule="auto"/>
              <w:jc w:val="center"/>
              <w:rPr>
                <w:rFonts w:ascii="Arial" w:hAnsi="Arial" w:cs="Arial"/>
              </w:rPr>
            </w:pPr>
            <w:r w:rsidRPr="00BF20CF">
              <w:rPr>
                <w:rFonts w:ascii="Arial" w:hAnsi="Arial" w:cs="Arial"/>
              </w:rPr>
              <w:t>35%</w:t>
            </w:r>
          </w:p>
        </w:tc>
        <w:tc>
          <w:tcPr>
            <w:tcW w:w="1030" w:type="dxa"/>
          </w:tcPr>
          <w:p w14:paraId="0A3CE4AB" w14:textId="77777777" w:rsidR="00085F7A" w:rsidRPr="00BF20CF" w:rsidRDefault="00085F7A" w:rsidP="00C84F5B">
            <w:pPr>
              <w:spacing w:line="276" w:lineRule="auto"/>
              <w:jc w:val="center"/>
              <w:rPr>
                <w:rFonts w:ascii="Arial" w:hAnsi="Arial" w:cs="Arial"/>
              </w:rPr>
            </w:pPr>
            <w:r w:rsidRPr="00BF20CF">
              <w:rPr>
                <w:rFonts w:ascii="Arial" w:hAnsi="Arial" w:cs="Arial"/>
              </w:rPr>
              <w:t>$270</w:t>
            </w:r>
          </w:p>
        </w:tc>
      </w:tr>
    </w:tbl>
    <w:p w14:paraId="40A4DFDA" w14:textId="77777777" w:rsidR="00085F7A" w:rsidRPr="00BF20CF" w:rsidRDefault="00085F7A" w:rsidP="00C84F5B">
      <w:pPr>
        <w:spacing w:line="276" w:lineRule="auto"/>
        <w:rPr>
          <w:rFonts w:ascii="Arial" w:hAnsi="Arial" w:cs="Arial"/>
        </w:rPr>
      </w:pPr>
    </w:p>
    <w:p w14:paraId="102C8544"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70137BB" w14:textId="77777777" w:rsidR="00085F7A" w:rsidRPr="00BF20CF" w:rsidRDefault="00085F7A" w:rsidP="00085F7A">
      <w:pPr>
        <w:pStyle w:val="ListParagraph"/>
        <w:numPr>
          <w:ilvl w:val="0"/>
          <w:numId w:val="166"/>
        </w:numPr>
        <w:spacing w:after="160" w:line="276" w:lineRule="auto"/>
        <w:rPr>
          <w:rFonts w:ascii="Arial" w:hAnsi="Arial" w:cs="Arial"/>
        </w:rPr>
      </w:pPr>
      <w:r w:rsidRPr="00BF20CF">
        <w:rPr>
          <w:rFonts w:ascii="Arial" w:hAnsi="Arial" w:cs="Arial"/>
        </w:rPr>
        <w:t>Please provide details of consultation Hydro Ottawa has performed with customers regarding the increased charges.</w:t>
      </w:r>
    </w:p>
    <w:p w14:paraId="24C3B2FD" w14:textId="77777777" w:rsidR="00085F7A" w:rsidRPr="00BF20CF" w:rsidRDefault="00085F7A" w:rsidP="00F34BF6">
      <w:pPr>
        <w:pStyle w:val="ListParagraph"/>
        <w:spacing w:after="160" w:line="276" w:lineRule="auto"/>
        <w:rPr>
          <w:rFonts w:ascii="Arial" w:hAnsi="Arial" w:cs="Arial"/>
        </w:rPr>
      </w:pPr>
    </w:p>
    <w:p w14:paraId="02B65447" w14:textId="77777777" w:rsidR="00085F7A" w:rsidRPr="00BF20CF" w:rsidRDefault="00085F7A" w:rsidP="00085F7A">
      <w:pPr>
        <w:pStyle w:val="ListParagraph"/>
        <w:numPr>
          <w:ilvl w:val="0"/>
          <w:numId w:val="166"/>
        </w:numPr>
        <w:spacing w:after="160" w:line="276" w:lineRule="auto"/>
        <w:rPr>
          <w:rFonts w:ascii="Arial" w:hAnsi="Arial" w:cs="Arial"/>
        </w:rPr>
      </w:pPr>
      <w:r w:rsidRPr="00BF20CF">
        <w:rPr>
          <w:rFonts w:ascii="Arial" w:hAnsi="Arial" w:cs="Arial"/>
        </w:rPr>
        <w:t>Please provide any feedback received from customers on the proposed service charge changes.</w:t>
      </w:r>
    </w:p>
    <w:p w14:paraId="27CBDC65" w14:textId="77777777" w:rsidR="00085F7A" w:rsidRPr="00BF20CF" w:rsidRDefault="00085F7A" w:rsidP="00F34BF6">
      <w:pPr>
        <w:pStyle w:val="ListParagraph"/>
        <w:rPr>
          <w:rFonts w:ascii="Arial" w:hAnsi="Arial" w:cs="Arial"/>
        </w:rPr>
      </w:pPr>
    </w:p>
    <w:p w14:paraId="52D2D5CD" w14:textId="77777777" w:rsidR="00085F7A" w:rsidRPr="00BF20CF" w:rsidRDefault="00085F7A" w:rsidP="00085F7A">
      <w:pPr>
        <w:pStyle w:val="ListParagraph"/>
        <w:numPr>
          <w:ilvl w:val="0"/>
          <w:numId w:val="166"/>
        </w:numPr>
        <w:spacing w:after="160" w:line="276" w:lineRule="auto"/>
        <w:rPr>
          <w:rFonts w:ascii="Arial" w:hAnsi="Arial" w:cs="Arial"/>
        </w:rPr>
      </w:pPr>
      <w:r w:rsidRPr="00BF20CF">
        <w:rPr>
          <w:rFonts w:ascii="Arial" w:hAnsi="Arial" w:cs="Arial"/>
        </w:rPr>
        <w:lastRenderedPageBreak/>
        <w:t>Please provide an explanation of material differences between the costs to provide services, and the proposed charges in the context of this update to ensure service charges reflect costs of providing services.</w:t>
      </w:r>
    </w:p>
    <w:p w14:paraId="7BE2C0A6" w14:textId="2B0C3E9C" w:rsidR="00F25DE0" w:rsidRPr="00BF20CF" w:rsidRDefault="00F25DE0" w:rsidP="00F25DE0">
      <w:pPr>
        <w:pStyle w:val="StaffHeader"/>
        <w:numPr>
          <w:ilvl w:val="0"/>
          <w:numId w:val="0"/>
        </w:numPr>
        <w:spacing w:before="240"/>
        <w:rPr>
          <w:rFonts w:cs="Arial"/>
          <w:szCs w:val="24"/>
          <w:u w:val="none"/>
        </w:rPr>
      </w:pPr>
      <w:r w:rsidRPr="00BF20CF">
        <w:rPr>
          <w:rFonts w:cs="Arial"/>
          <w:szCs w:val="24"/>
          <w:u w:val="none"/>
        </w:rPr>
        <w:t>8-Staff-6</w:t>
      </w:r>
    </w:p>
    <w:p w14:paraId="0B40974A" w14:textId="77777777" w:rsidR="00085F7A" w:rsidRPr="00BF20CF" w:rsidRDefault="00085F7A" w:rsidP="00C84F5B">
      <w:pPr>
        <w:spacing w:line="276" w:lineRule="auto"/>
        <w:rPr>
          <w:rFonts w:ascii="Arial" w:hAnsi="Arial" w:cs="Arial"/>
          <w:b/>
          <w:lang w:val="en-CA"/>
        </w:rPr>
      </w:pPr>
      <w:r w:rsidRPr="00BF20CF">
        <w:rPr>
          <w:rFonts w:ascii="Arial" w:hAnsi="Arial" w:cs="Arial"/>
          <w:b/>
          <w:lang w:val="en-CA"/>
        </w:rPr>
        <w:t>Ref:</w:t>
      </w:r>
      <w:r w:rsidRPr="00BF20CF">
        <w:rPr>
          <w:rFonts w:ascii="Arial" w:hAnsi="Arial" w:cs="Arial"/>
          <w:b/>
          <w:lang w:val="en-CA"/>
        </w:rPr>
        <w:tab/>
        <w:t>Updated Exhibit 8, Tab 7, Schedule 1, page 8</w:t>
      </w:r>
    </w:p>
    <w:p w14:paraId="47F8B026"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2A8A7979" w14:textId="77777777" w:rsidR="00085F7A" w:rsidRPr="00BF20CF" w:rsidRDefault="00085F7A" w:rsidP="00C84F5B">
      <w:pPr>
        <w:spacing w:line="276" w:lineRule="auto"/>
        <w:rPr>
          <w:rFonts w:ascii="Arial" w:hAnsi="Arial" w:cs="Arial"/>
        </w:rPr>
      </w:pPr>
      <w:r w:rsidRPr="00BF20CF">
        <w:rPr>
          <w:rFonts w:ascii="Arial" w:hAnsi="Arial" w:cs="Arial"/>
        </w:rPr>
        <w:t xml:space="preserve">Hydro Ottawa is proposing to revise its generator fixed service charges including </w:t>
      </w:r>
      <w:proofErr w:type="spellStart"/>
      <w:r w:rsidRPr="00BF20CF">
        <w:rPr>
          <w:rFonts w:ascii="Arial" w:hAnsi="Arial" w:cs="Arial"/>
        </w:rPr>
        <w:t>microFIT</w:t>
      </w:r>
      <w:proofErr w:type="spellEnd"/>
      <w:r w:rsidRPr="00BF20CF">
        <w:rPr>
          <w:rFonts w:ascii="Arial" w:hAnsi="Arial" w:cs="Arial"/>
        </w:rPr>
        <w:t xml:space="preserve">, Net-Metering ERF, FIT ERF, HCI, RESOP, and other ERF. Several customers have filed comments expressing concern over the </w:t>
      </w:r>
      <w:proofErr w:type="spellStart"/>
      <w:r w:rsidRPr="00BF20CF">
        <w:rPr>
          <w:rFonts w:ascii="Arial" w:hAnsi="Arial" w:cs="Arial"/>
        </w:rPr>
        <w:t>microFIT</w:t>
      </w:r>
      <w:proofErr w:type="spellEnd"/>
      <w:r w:rsidRPr="00BF20CF">
        <w:rPr>
          <w:rFonts w:ascii="Arial" w:hAnsi="Arial" w:cs="Arial"/>
        </w:rPr>
        <w:t xml:space="preserve"> fixed charges. The HCI, RESOP, and Other ERF charge is proposed to increase 12% from $281 to $314.</w:t>
      </w:r>
    </w:p>
    <w:p w14:paraId="74F97398"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20D477F2" w14:textId="77777777" w:rsidR="00085F7A" w:rsidRPr="00BF20CF" w:rsidRDefault="00085F7A" w:rsidP="00085F7A">
      <w:pPr>
        <w:pStyle w:val="ListParagraph"/>
        <w:numPr>
          <w:ilvl w:val="0"/>
          <w:numId w:val="167"/>
        </w:numPr>
        <w:spacing w:after="160" w:line="276" w:lineRule="auto"/>
        <w:rPr>
          <w:rFonts w:ascii="Arial" w:hAnsi="Arial" w:cs="Arial"/>
        </w:rPr>
      </w:pPr>
      <w:r w:rsidRPr="00BF20CF">
        <w:rPr>
          <w:rFonts w:ascii="Arial" w:hAnsi="Arial" w:cs="Arial"/>
        </w:rPr>
        <w:t>Please provide details of any consultation Hydro Ottawa has performed with its customers regarding the generator fixed service charges.</w:t>
      </w:r>
    </w:p>
    <w:p w14:paraId="7F1009EB" w14:textId="1CB36C9E" w:rsidR="00F25DE0" w:rsidRPr="00BF20CF" w:rsidRDefault="00F25DE0" w:rsidP="00F25DE0">
      <w:pPr>
        <w:pStyle w:val="StaffHeader"/>
        <w:numPr>
          <w:ilvl w:val="0"/>
          <w:numId w:val="0"/>
        </w:numPr>
        <w:spacing w:before="240"/>
        <w:rPr>
          <w:rFonts w:cs="Arial"/>
          <w:szCs w:val="24"/>
          <w:u w:val="none"/>
        </w:rPr>
      </w:pPr>
      <w:r w:rsidRPr="00BF20CF">
        <w:rPr>
          <w:rFonts w:cs="Arial"/>
          <w:szCs w:val="24"/>
          <w:u w:val="none"/>
        </w:rPr>
        <w:t>8-Staff-7</w:t>
      </w:r>
    </w:p>
    <w:p w14:paraId="2DF0E458" w14:textId="77777777" w:rsidR="00085F7A" w:rsidRPr="00BF20CF" w:rsidRDefault="00085F7A" w:rsidP="00C84F5B">
      <w:pPr>
        <w:spacing w:line="276" w:lineRule="auto"/>
        <w:rPr>
          <w:rFonts w:ascii="Arial" w:hAnsi="Arial" w:cs="Arial"/>
          <w:b/>
          <w:lang w:val="en-CA"/>
        </w:rPr>
      </w:pPr>
      <w:r w:rsidRPr="00BF20CF">
        <w:rPr>
          <w:rFonts w:ascii="Arial" w:hAnsi="Arial" w:cs="Arial"/>
          <w:b/>
          <w:lang w:val="en-CA"/>
        </w:rPr>
        <w:t>Ref:</w:t>
      </w:r>
      <w:r w:rsidRPr="00BF20CF">
        <w:rPr>
          <w:rFonts w:ascii="Arial" w:hAnsi="Arial" w:cs="Arial"/>
          <w:b/>
          <w:lang w:val="en-CA"/>
        </w:rPr>
        <w:tab/>
        <w:t>Updated Exhibit 8, Tab 7, Schedule 1, pp. 8-9</w:t>
      </w:r>
    </w:p>
    <w:p w14:paraId="0D74D0C6"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5579F65F" w14:textId="77777777" w:rsidR="00085F7A" w:rsidRPr="00BF20CF" w:rsidRDefault="00085F7A" w:rsidP="00C84F5B">
      <w:pPr>
        <w:spacing w:line="276" w:lineRule="auto"/>
        <w:rPr>
          <w:rFonts w:ascii="Arial" w:hAnsi="Arial" w:cs="Arial"/>
        </w:rPr>
      </w:pPr>
      <w:r w:rsidRPr="00BF20CF">
        <w:rPr>
          <w:rFonts w:ascii="Arial" w:hAnsi="Arial" w:cs="Arial"/>
        </w:rPr>
        <w:t>Hydro Ottawa is to increase its standard supply service from $0.25 in 2020 to $0.62 in 2021. This is “to align with the 2021-2025 Retail Services Distributor-consolidated billing monthly charge”.</w:t>
      </w:r>
    </w:p>
    <w:p w14:paraId="42ED8E6D" w14:textId="77777777" w:rsidR="00085F7A" w:rsidRPr="00BF20CF" w:rsidRDefault="00085F7A" w:rsidP="00C84F5B">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2E7DC55D" w14:textId="77777777" w:rsidR="00085F7A" w:rsidRPr="00BF20CF" w:rsidRDefault="00085F7A" w:rsidP="00085F7A">
      <w:pPr>
        <w:pStyle w:val="ListParagraph"/>
        <w:numPr>
          <w:ilvl w:val="0"/>
          <w:numId w:val="168"/>
        </w:numPr>
        <w:spacing w:after="160" w:line="276" w:lineRule="auto"/>
        <w:rPr>
          <w:rFonts w:ascii="Arial" w:hAnsi="Arial" w:cs="Arial"/>
        </w:rPr>
      </w:pPr>
      <w:r w:rsidRPr="00BF20CF">
        <w:rPr>
          <w:rFonts w:ascii="Arial" w:hAnsi="Arial" w:cs="Arial"/>
        </w:rPr>
        <w:t>Does Hydro Ottawa incur the same costs in providing this for retail customers as it does for its own customers?</w:t>
      </w:r>
    </w:p>
    <w:p w14:paraId="2A094B7E" w14:textId="77777777" w:rsidR="00085F7A" w:rsidRPr="00BF20CF" w:rsidRDefault="00085F7A" w:rsidP="00F34BF6">
      <w:pPr>
        <w:pStyle w:val="ListParagraph"/>
        <w:spacing w:after="160" w:line="276" w:lineRule="auto"/>
        <w:rPr>
          <w:rFonts w:ascii="Arial" w:hAnsi="Arial" w:cs="Arial"/>
        </w:rPr>
      </w:pPr>
    </w:p>
    <w:p w14:paraId="41A1D7EC" w14:textId="77777777" w:rsidR="00085F7A" w:rsidRPr="00BF20CF" w:rsidRDefault="00085F7A" w:rsidP="00085F7A">
      <w:pPr>
        <w:pStyle w:val="ListParagraph"/>
        <w:numPr>
          <w:ilvl w:val="0"/>
          <w:numId w:val="168"/>
        </w:numPr>
        <w:spacing w:after="160" w:line="276" w:lineRule="auto"/>
        <w:rPr>
          <w:rFonts w:ascii="Arial" w:hAnsi="Arial" w:cs="Arial"/>
        </w:rPr>
      </w:pPr>
      <w:r w:rsidRPr="00BF20CF">
        <w:rPr>
          <w:rFonts w:ascii="Arial" w:hAnsi="Arial" w:cs="Arial"/>
        </w:rPr>
        <w:t>Has Hydro Ottawa estimated the costs incurred in providing this service? If so, please provide.</w:t>
      </w:r>
    </w:p>
    <w:p w14:paraId="78E54695" w14:textId="77777777" w:rsidR="00085F7A" w:rsidRPr="00BF20CF" w:rsidRDefault="00085F7A" w:rsidP="00F34BF6">
      <w:pPr>
        <w:pStyle w:val="ListParagraph"/>
        <w:spacing w:after="160" w:line="276" w:lineRule="auto"/>
        <w:rPr>
          <w:rFonts w:ascii="Arial" w:hAnsi="Arial" w:cs="Arial"/>
        </w:rPr>
      </w:pPr>
    </w:p>
    <w:p w14:paraId="6B7DE59A" w14:textId="59B2623A" w:rsidR="00085F7A" w:rsidRPr="00BF20CF" w:rsidRDefault="00085F7A" w:rsidP="00085F7A">
      <w:pPr>
        <w:pStyle w:val="ListParagraph"/>
        <w:numPr>
          <w:ilvl w:val="0"/>
          <w:numId w:val="168"/>
        </w:numPr>
        <w:spacing w:after="160" w:line="276" w:lineRule="auto"/>
        <w:rPr>
          <w:rFonts w:ascii="Arial" w:hAnsi="Arial" w:cs="Arial"/>
        </w:rPr>
      </w:pPr>
      <w:r w:rsidRPr="00BF20CF">
        <w:rPr>
          <w:rFonts w:ascii="Arial" w:hAnsi="Arial" w:cs="Arial"/>
        </w:rPr>
        <w:t>Please provide details of any consultation Hydro Ottawa has performed with its customers regarding the increased charge.</w:t>
      </w:r>
    </w:p>
    <w:p w14:paraId="300AD357" w14:textId="77777777" w:rsidR="00085F7A" w:rsidRPr="00BF20CF" w:rsidRDefault="00085F7A" w:rsidP="00C84F5B">
      <w:pPr>
        <w:spacing w:line="276" w:lineRule="auto"/>
        <w:rPr>
          <w:rFonts w:ascii="Arial" w:hAnsi="Arial" w:cs="Arial"/>
          <w:b/>
        </w:rPr>
      </w:pPr>
    </w:p>
    <w:p w14:paraId="14D04AAB" w14:textId="77777777" w:rsidR="00E335F0" w:rsidRPr="00BF20CF" w:rsidRDefault="00E335F0" w:rsidP="00C84F5B">
      <w:pPr>
        <w:spacing w:line="276" w:lineRule="auto"/>
        <w:rPr>
          <w:rFonts w:ascii="Arial" w:hAnsi="Arial" w:cs="Arial"/>
          <w:b/>
        </w:rPr>
      </w:pPr>
      <w:r w:rsidRPr="00BF20CF">
        <w:rPr>
          <w:rFonts w:ascii="Arial" w:hAnsi="Arial" w:cs="Arial"/>
          <w:b/>
        </w:rPr>
        <w:br w:type="page"/>
      </w:r>
    </w:p>
    <w:p w14:paraId="7102C395" w14:textId="67DC986C" w:rsidR="00482130" w:rsidRPr="00BF20CF" w:rsidRDefault="00482130" w:rsidP="00C84F5B">
      <w:pPr>
        <w:spacing w:line="276" w:lineRule="auto"/>
        <w:rPr>
          <w:rFonts w:ascii="Arial" w:hAnsi="Arial" w:cs="Arial"/>
          <w:b/>
        </w:rPr>
      </w:pPr>
      <w:r w:rsidRPr="00BF20CF">
        <w:rPr>
          <w:rFonts w:ascii="Arial" w:hAnsi="Arial" w:cs="Arial"/>
          <w:b/>
        </w:rPr>
        <w:lastRenderedPageBreak/>
        <w:t>Exhibit 9 – Deferral and Variance Accounts</w:t>
      </w:r>
    </w:p>
    <w:p w14:paraId="12161BE6" w14:textId="77777777" w:rsidR="00482130" w:rsidRPr="00BF20CF" w:rsidRDefault="00482130" w:rsidP="00C84F5B">
      <w:pPr>
        <w:spacing w:line="276" w:lineRule="auto"/>
        <w:rPr>
          <w:rFonts w:ascii="Arial" w:hAnsi="Arial" w:cs="Arial"/>
          <w:b/>
        </w:rPr>
      </w:pPr>
    </w:p>
    <w:p w14:paraId="75390844" w14:textId="77777777" w:rsidR="00482130" w:rsidRPr="00BF20CF" w:rsidRDefault="00482130" w:rsidP="00C84F5B">
      <w:pPr>
        <w:spacing w:line="276" w:lineRule="auto"/>
        <w:rPr>
          <w:rFonts w:ascii="Arial" w:hAnsi="Arial" w:cs="Arial"/>
          <w:b/>
        </w:rPr>
      </w:pPr>
      <w:r w:rsidRPr="00BF20CF">
        <w:rPr>
          <w:rFonts w:ascii="Arial" w:hAnsi="Arial" w:cs="Arial"/>
          <w:b/>
        </w:rPr>
        <w:t>Lost Revenue Adjustment Mechanism Variance Account (LRAMVA)</w:t>
      </w:r>
    </w:p>
    <w:p w14:paraId="162B8309" w14:textId="6AD4A0B9" w:rsidR="00E335F0" w:rsidRPr="00BF20CF" w:rsidRDefault="00E335F0" w:rsidP="00E335F0">
      <w:pPr>
        <w:pStyle w:val="StaffHeader"/>
        <w:numPr>
          <w:ilvl w:val="0"/>
          <w:numId w:val="0"/>
        </w:numPr>
        <w:spacing w:before="240"/>
        <w:rPr>
          <w:rFonts w:cs="Arial"/>
          <w:szCs w:val="24"/>
          <w:u w:val="none"/>
        </w:rPr>
      </w:pPr>
      <w:r w:rsidRPr="00BF20CF">
        <w:rPr>
          <w:rFonts w:cs="Arial"/>
          <w:szCs w:val="24"/>
          <w:u w:val="none"/>
        </w:rPr>
        <w:t>9-Staff-1</w:t>
      </w:r>
    </w:p>
    <w:p w14:paraId="6CF337AB" w14:textId="4952612A" w:rsidR="00DA686D" w:rsidRPr="00BF20CF" w:rsidRDefault="00DA686D" w:rsidP="00C84F5B">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Updated Exhibit 4/Tab 5/Schedule 2/pp. 1-6</w:t>
      </w:r>
    </w:p>
    <w:p w14:paraId="49AB79AE" w14:textId="77777777" w:rsidR="00DA686D" w:rsidRPr="00BF20CF" w:rsidRDefault="00DA686D" w:rsidP="00C84F5B">
      <w:pPr>
        <w:pStyle w:val="NoSpacing"/>
        <w:spacing w:line="276" w:lineRule="auto"/>
        <w:rPr>
          <w:rFonts w:ascii="Arial" w:hAnsi="Arial" w:cs="Arial"/>
          <w:b/>
          <w:sz w:val="24"/>
          <w:szCs w:val="24"/>
        </w:rPr>
      </w:pPr>
      <w:r w:rsidRPr="00BF20CF">
        <w:rPr>
          <w:rFonts w:ascii="Arial" w:hAnsi="Arial" w:cs="Arial"/>
          <w:b/>
          <w:sz w:val="24"/>
          <w:szCs w:val="24"/>
        </w:rPr>
        <w:tab/>
        <w:t xml:space="preserve">LRAMVA </w:t>
      </w:r>
      <w:proofErr w:type="spellStart"/>
      <w:r w:rsidRPr="00BF20CF">
        <w:rPr>
          <w:rFonts w:ascii="Arial" w:hAnsi="Arial" w:cs="Arial"/>
          <w:b/>
          <w:sz w:val="24"/>
          <w:szCs w:val="24"/>
        </w:rPr>
        <w:t>Workforms</w:t>
      </w:r>
      <w:proofErr w:type="spellEnd"/>
      <w:r w:rsidRPr="00BF20CF">
        <w:rPr>
          <w:rFonts w:ascii="Arial" w:hAnsi="Arial" w:cs="Arial"/>
          <w:b/>
          <w:sz w:val="24"/>
          <w:szCs w:val="24"/>
        </w:rPr>
        <w:t xml:space="preserve"> A, B, C, D and E</w:t>
      </w:r>
    </w:p>
    <w:p w14:paraId="5267EB0A" w14:textId="77777777" w:rsidR="00DA686D" w:rsidRPr="00BF20CF" w:rsidRDefault="00DA686D" w:rsidP="00C84F5B">
      <w:pPr>
        <w:pStyle w:val="NoSpacing"/>
        <w:spacing w:line="276" w:lineRule="auto"/>
        <w:rPr>
          <w:rFonts w:ascii="Arial" w:hAnsi="Arial" w:cs="Arial"/>
          <w:sz w:val="24"/>
          <w:szCs w:val="24"/>
        </w:rPr>
      </w:pPr>
    </w:p>
    <w:p w14:paraId="77B0CEDF"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 xml:space="preserve">Preamble: </w:t>
      </w:r>
    </w:p>
    <w:p w14:paraId="54FD44F6" w14:textId="77777777" w:rsidR="00DA686D" w:rsidRPr="00BF20CF" w:rsidRDefault="00DA686D" w:rsidP="00C84F5B">
      <w:pPr>
        <w:pStyle w:val="NoSpacing"/>
        <w:spacing w:line="276" w:lineRule="auto"/>
        <w:rPr>
          <w:rFonts w:ascii="Arial" w:hAnsi="Arial" w:cs="Arial"/>
          <w:sz w:val="24"/>
          <w:szCs w:val="24"/>
          <w:u w:val="single"/>
        </w:rPr>
      </w:pPr>
    </w:p>
    <w:p w14:paraId="134B6644" w14:textId="0A892DDC" w:rsidR="00DA686D" w:rsidRPr="00BF20CF" w:rsidRDefault="00DA686D" w:rsidP="00C84F5B">
      <w:pPr>
        <w:autoSpaceDE w:val="0"/>
        <w:autoSpaceDN w:val="0"/>
        <w:adjustRightInd w:val="0"/>
        <w:spacing w:line="276" w:lineRule="auto"/>
        <w:rPr>
          <w:rFonts w:ascii="Arial" w:hAnsi="Arial" w:cs="Arial"/>
        </w:rPr>
      </w:pPr>
      <w:r w:rsidRPr="00BF20CF">
        <w:rPr>
          <w:rFonts w:ascii="Arial" w:hAnsi="Arial" w:cs="Arial"/>
        </w:rPr>
        <w:t>At the time of filing, Hydro Ottawa applied for lost revenues up to the 2014 CDM year, amounting to debit $491,812. Hydro Ottawa indicated it may provide LRAMVA claims for years after 2014 as part of subsequent updates to this application.</w:t>
      </w:r>
    </w:p>
    <w:p w14:paraId="4E9EEA76" w14:textId="77777777" w:rsidR="00DA686D" w:rsidRPr="00BF20CF" w:rsidRDefault="00DA686D" w:rsidP="00C84F5B">
      <w:pPr>
        <w:autoSpaceDE w:val="0"/>
        <w:autoSpaceDN w:val="0"/>
        <w:adjustRightInd w:val="0"/>
        <w:spacing w:line="276" w:lineRule="auto"/>
        <w:rPr>
          <w:rFonts w:ascii="Arial" w:hAnsi="Arial" w:cs="Arial"/>
        </w:rPr>
      </w:pPr>
    </w:p>
    <w:p w14:paraId="41958DB4" w14:textId="77777777" w:rsidR="00DA686D" w:rsidRPr="00BF20CF" w:rsidRDefault="00DA686D" w:rsidP="00C614FB">
      <w:pPr>
        <w:pStyle w:val="NoSpacing"/>
        <w:spacing w:line="276" w:lineRule="auto"/>
        <w:rPr>
          <w:rFonts w:ascii="Arial" w:hAnsi="Arial" w:cs="Arial"/>
          <w:sz w:val="24"/>
          <w:szCs w:val="24"/>
        </w:rPr>
      </w:pPr>
      <w:r w:rsidRPr="00BF20CF">
        <w:rPr>
          <w:rFonts w:ascii="Arial" w:hAnsi="Arial" w:cs="Arial"/>
          <w:sz w:val="24"/>
          <w:szCs w:val="24"/>
        </w:rPr>
        <w:t>At the time of filing for 2019 actuals, Hydro Ottawa filed for the additional recovery of lost revenues related to 2015 and 2016 activity. A total debit amount of $2,733,351 is claimed up to the end of 2016 (as part of its 2021-2025 CIR application) inclusive of carrying charges up to Jan. 1, 2021, with the components of the claim summarized below:</w:t>
      </w:r>
    </w:p>
    <w:p w14:paraId="216A0E41" w14:textId="77777777" w:rsidR="00DA686D" w:rsidRPr="00BF20CF" w:rsidRDefault="00DA686D" w:rsidP="00C614FB">
      <w:pPr>
        <w:pStyle w:val="NoSpacing"/>
        <w:spacing w:line="276" w:lineRule="auto"/>
        <w:rPr>
          <w:rFonts w:ascii="Arial" w:hAnsi="Arial" w:cs="Arial"/>
          <w:sz w:val="24"/>
          <w:szCs w:val="24"/>
        </w:rPr>
      </w:pPr>
    </w:p>
    <w:p w14:paraId="7CB1A19C" w14:textId="77777777" w:rsidR="00DA686D" w:rsidRPr="00BF20CF" w:rsidRDefault="00DA686D" w:rsidP="00C614FB">
      <w:pPr>
        <w:pStyle w:val="NoSpacing"/>
        <w:spacing w:line="276" w:lineRule="auto"/>
        <w:rPr>
          <w:rFonts w:ascii="Arial" w:hAnsi="Arial" w:cs="Arial"/>
          <w:sz w:val="24"/>
          <w:szCs w:val="24"/>
        </w:rPr>
      </w:pPr>
      <w:proofErr w:type="spellStart"/>
      <w:r w:rsidRPr="00BF20CF">
        <w:rPr>
          <w:rFonts w:ascii="Arial" w:hAnsi="Arial" w:cs="Arial"/>
          <w:sz w:val="24"/>
          <w:szCs w:val="24"/>
        </w:rPr>
        <w:t>Workform</w:t>
      </w:r>
      <w:proofErr w:type="spellEnd"/>
      <w:r w:rsidRPr="00BF20CF">
        <w:rPr>
          <w:rFonts w:ascii="Arial" w:hAnsi="Arial" w:cs="Arial"/>
          <w:sz w:val="24"/>
          <w:szCs w:val="24"/>
        </w:rPr>
        <w:t xml:space="preserve"> A ($424,027): 2014 new CDM, and 2013 persistence into 2014</w:t>
      </w:r>
    </w:p>
    <w:p w14:paraId="4591E13F" w14:textId="77777777" w:rsidR="00DA686D" w:rsidRPr="00BF20CF" w:rsidRDefault="00DA686D" w:rsidP="00C614FB">
      <w:pPr>
        <w:pStyle w:val="NoSpacing"/>
        <w:spacing w:line="276" w:lineRule="auto"/>
        <w:rPr>
          <w:rFonts w:ascii="Arial" w:hAnsi="Arial" w:cs="Arial"/>
          <w:sz w:val="24"/>
          <w:szCs w:val="24"/>
        </w:rPr>
      </w:pPr>
      <w:proofErr w:type="spellStart"/>
      <w:r w:rsidRPr="00BF20CF">
        <w:rPr>
          <w:rFonts w:ascii="Arial" w:hAnsi="Arial" w:cs="Arial"/>
          <w:sz w:val="24"/>
          <w:szCs w:val="24"/>
        </w:rPr>
        <w:t>Workform</w:t>
      </w:r>
      <w:proofErr w:type="spellEnd"/>
      <w:r w:rsidRPr="00BF20CF">
        <w:rPr>
          <w:rFonts w:ascii="Arial" w:hAnsi="Arial" w:cs="Arial"/>
          <w:sz w:val="24"/>
          <w:szCs w:val="24"/>
        </w:rPr>
        <w:t xml:space="preserve"> B ($67,785): 2013 adjustments (in 2013)</w:t>
      </w:r>
    </w:p>
    <w:p w14:paraId="087B063B" w14:textId="77777777" w:rsidR="00DA686D" w:rsidRPr="00BF20CF" w:rsidRDefault="00DA686D" w:rsidP="00C614FB">
      <w:pPr>
        <w:pStyle w:val="NoSpacing"/>
        <w:spacing w:line="276" w:lineRule="auto"/>
        <w:rPr>
          <w:rFonts w:ascii="Arial" w:hAnsi="Arial" w:cs="Arial"/>
          <w:sz w:val="24"/>
          <w:szCs w:val="24"/>
        </w:rPr>
      </w:pPr>
      <w:proofErr w:type="spellStart"/>
      <w:r w:rsidRPr="00BF20CF">
        <w:rPr>
          <w:rFonts w:ascii="Arial" w:hAnsi="Arial" w:cs="Arial"/>
          <w:sz w:val="24"/>
          <w:szCs w:val="24"/>
        </w:rPr>
        <w:t>Workform</w:t>
      </w:r>
      <w:proofErr w:type="spellEnd"/>
      <w:r w:rsidRPr="00BF20CF">
        <w:rPr>
          <w:rFonts w:ascii="Arial" w:hAnsi="Arial" w:cs="Arial"/>
          <w:sz w:val="24"/>
          <w:szCs w:val="24"/>
        </w:rPr>
        <w:t xml:space="preserve"> C ($334,574): 2011-2014 persistence into 2015</w:t>
      </w:r>
    </w:p>
    <w:p w14:paraId="72AABED3" w14:textId="77777777" w:rsidR="00DA686D" w:rsidRPr="00BF20CF" w:rsidRDefault="00DA686D" w:rsidP="00C614FB">
      <w:pPr>
        <w:pStyle w:val="NoSpacing"/>
        <w:spacing w:line="276" w:lineRule="auto"/>
        <w:rPr>
          <w:rFonts w:ascii="Arial" w:hAnsi="Arial" w:cs="Arial"/>
          <w:sz w:val="24"/>
          <w:szCs w:val="24"/>
        </w:rPr>
      </w:pPr>
      <w:proofErr w:type="spellStart"/>
      <w:r w:rsidRPr="00BF20CF">
        <w:rPr>
          <w:rFonts w:ascii="Arial" w:hAnsi="Arial" w:cs="Arial"/>
          <w:sz w:val="24"/>
          <w:szCs w:val="24"/>
        </w:rPr>
        <w:t>Workform</w:t>
      </w:r>
      <w:proofErr w:type="spellEnd"/>
      <w:r w:rsidRPr="00BF20CF">
        <w:rPr>
          <w:rFonts w:ascii="Arial" w:hAnsi="Arial" w:cs="Arial"/>
          <w:sz w:val="24"/>
          <w:szCs w:val="24"/>
        </w:rPr>
        <w:t xml:space="preserve"> D ($1,071,818): 2015 new CDM </w:t>
      </w:r>
    </w:p>
    <w:p w14:paraId="1B67AA1A" w14:textId="77777777" w:rsidR="00DA686D" w:rsidRPr="00BF20CF" w:rsidRDefault="00DA686D" w:rsidP="00C614FB">
      <w:pPr>
        <w:pStyle w:val="NoSpacing"/>
        <w:spacing w:line="276" w:lineRule="auto"/>
        <w:rPr>
          <w:rFonts w:ascii="Arial" w:hAnsi="Arial" w:cs="Arial"/>
          <w:sz w:val="24"/>
          <w:szCs w:val="24"/>
        </w:rPr>
      </w:pPr>
      <w:proofErr w:type="spellStart"/>
      <w:r w:rsidRPr="00BF20CF">
        <w:rPr>
          <w:rFonts w:ascii="Arial" w:hAnsi="Arial" w:cs="Arial"/>
          <w:sz w:val="24"/>
          <w:szCs w:val="24"/>
        </w:rPr>
        <w:t>Workform</w:t>
      </w:r>
      <w:proofErr w:type="spellEnd"/>
      <w:r w:rsidRPr="00BF20CF">
        <w:rPr>
          <w:rFonts w:ascii="Arial" w:hAnsi="Arial" w:cs="Arial"/>
          <w:sz w:val="24"/>
          <w:szCs w:val="24"/>
        </w:rPr>
        <w:t xml:space="preserve"> E ($835,147): 2016 new CDM, and 2015 persistence into 2016</w:t>
      </w:r>
    </w:p>
    <w:p w14:paraId="72F56E40" w14:textId="77777777" w:rsidR="00DA686D" w:rsidRPr="00BF20CF" w:rsidRDefault="00DA686D" w:rsidP="00C614FB">
      <w:pPr>
        <w:pStyle w:val="NoSpacing"/>
        <w:spacing w:line="276" w:lineRule="auto"/>
        <w:rPr>
          <w:rFonts w:ascii="Arial" w:hAnsi="Arial" w:cs="Arial"/>
          <w:sz w:val="24"/>
          <w:szCs w:val="24"/>
        </w:rPr>
      </w:pPr>
    </w:p>
    <w:p w14:paraId="4C93800A" w14:textId="77777777" w:rsidR="00DA686D" w:rsidRPr="00BF20CF" w:rsidRDefault="00DA686D" w:rsidP="00C614FB">
      <w:pPr>
        <w:pStyle w:val="NoSpacing"/>
        <w:spacing w:line="276" w:lineRule="auto"/>
        <w:rPr>
          <w:rFonts w:ascii="Arial" w:hAnsi="Arial" w:cs="Arial"/>
          <w:sz w:val="24"/>
          <w:szCs w:val="24"/>
        </w:rPr>
      </w:pPr>
      <w:r w:rsidRPr="00BF20CF">
        <w:rPr>
          <w:rFonts w:ascii="Arial" w:hAnsi="Arial" w:cs="Arial"/>
          <w:sz w:val="24"/>
          <w:szCs w:val="24"/>
        </w:rPr>
        <w:t>Question(s):</w:t>
      </w:r>
    </w:p>
    <w:p w14:paraId="51A3E3F6" w14:textId="77777777" w:rsidR="00DA686D" w:rsidRPr="00BF20CF" w:rsidRDefault="00DA686D" w:rsidP="00C614FB">
      <w:pPr>
        <w:pStyle w:val="NoSpacing"/>
        <w:spacing w:line="276" w:lineRule="auto"/>
        <w:rPr>
          <w:rFonts w:ascii="Arial" w:hAnsi="Arial" w:cs="Arial"/>
          <w:sz w:val="24"/>
          <w:szCs w:val="24"/>
        </w:rPr>
      </w:pPr>
    </w:p>
    <w:p w14:paraId="176D3687" w14:textId="6770571E" w:rsidR="00DA686D" w:rsidRPr="00BF20CF" w:rsidRDefault="00DA686D" w:rsidP="00DA686D">
      <w:pPr>
        <w:pStyle w:val="NoSpacing"/>
        <w:numPr>
          <w:ilvl w:val="0"/>
          <w:numId w:val="216"/>
        </w:numPr>
        <w:spacing w:line="276" w:lineRule="auto"/>
        <w:rPr>
          <w:rFonts w:ascii="Arial" w:hAnsi="Arial" w:cs="Arial"/>
          <w:sz w:val="24"/>
          <w:szCs w:val="24"/>
        </w:rPr>
      </w:pPr>
      <w:r w:rsidRPr="00BF20CF">
        <w:rPr>
          <w:rFonts w:ascii="Arial" w:hAnsi="Arial" w:cs="Arial"/>
          <w:sz w:val="24"/>
          <w:szCs w:val="24"/>
        </w:rPr>
        <w:t xml:space="preserve">Please clarify why Hydro Ottawa has not claimed lost revenues up to the end of the Conservation First Framework </w:t>
      </w:r>
    </w:p>
    <w:p w14:paraId="53D18A92" w14:textId="77777777" w:rsidR="00DA686D" w:rsidRPr="00BF20CF" w:rsidRDefault="00DA686D" w:rsidP="00C614FB">
      <w:pPr>
        <w:pStyle w:val="NoSpacing"/>
        <w:spacing w:line="276" w:lineRule="auto"/>
        <w:ind w:left="720"/>
        <w:rPr>
          <w:rFonts w:ascii="Arial" w:hAnsi="Arial" w:cs="Arial"/>
          <w:sz w:val="24"/>
          <w:szCs w:val="24"/>
        </w:rPr>
      </w:pPr>
    </w:p>
    <w:p w14:paraId="28BDDF5A" w14:textId="15233DC1" w:rsidR="00DA686D" w:rsidRPr="00BF20CF" w:rsidRDefault="00DA686D" w:rsidP="00DA686D">
      <w:pPr>
        <w:pStyle w:val="NoSpacing"/>
        <w:numPr>
          <w:ilvl w:val="0"/>
          <w:numId w:val="216"/>
        </w:numPr>
        <w:spacing w:line="276" w:lineRule="auto"/>
        <w:rPr>
          <w:rFonts w:ascii="Arial" w:hAnsi="Arial" w:cs="Arial"/>
          <w:sz w:val="24"/>
          <w:szCs w:val="24"/>
        </w:rPr>
      </w:pPr>
      <w:r w:rsidRPr="00BF20CF">
        <w:rPr>
          <w:rFonts w:ascii="Arial" w:hAnsi="Arial" w:cs="Arial"/>
          <w:sz w:val="24"/>
          <w:szCs w:val="24"/>
        </w:rPr>
        <w:t xml:space="preserve">There are a few inconsistencies in the LRAMVA </w:t>
      </w:r>
      <w:proofErr w:type="spellStart"/>
      <w:r w:rsidRPr="00BF20CF">
        <w:rPr>
          <w:rFonts w:ascii="Arial" w:hAnsi="Arial" w:cs="Arial"/>
          <w:sz w:val="24"/>
          <w:szCs w:val="24"/>
        </w:rPr>
        <w:t>workforms</w:t>
      </w:r>
      <w:proofErr w:type="spellEnd"/>
      <w:r w:rsidRPr="00BF20CF">
        <w:rPr>
          <w:rFonts w:ascii="Arial" w:hAnsi="Arial" w:cs="Arial"/>
          <w:sz w:val="24"/>
          <w:szCs w:val="24"/>
        </w:rPr>
        <w:t xml:space="preserve"> with respect to the LRAMVA thresholds used in each. For example, </w:t>
      </w:r>
      <w:proofErr w:type="spellStart"/>
      <w:r w:rsidRPr="00BF20CF">
        <w:rPr>
          <w:rFonts w:ascii="Arial" w:hAnsi="Arial" w:cs="Arial"/>
          <w:sz w:val="24"/>
          <w:szCs w:val="24"/>
        </w:rPr>
        <w:t>Workforms</w:t>
      </w:r>
      <w:proofErr w:type="spellEnd"/>
      <w:r w:rsidRPr="00BF20CF">
        <w:rPr>
          <w:rFonts w:ascii="Arial" w:hAnsi="Arial" w:cs="Arial"/>
          <w:sz w:val="24"/>
          <w:szCs w:val="24"/>
        </w:rPr>
        <w:t xml:space="preserve"> B and D do not include LRAMVA thresholds in Tab 2, but the corresponding </w:t>
      </w:r>
      <w:proofErr w:type="spellStart"/>
      <w:r w:rsidRPr="00BF20CF">
        <w:rPr>
          <w:rFonts w:ascii="Arial" w:hAnsi="Arial" w:cs="Arial"/>
          <w:sz w:val="24"/>
          <w:szCs w:val="24"/>
        </w:rPr>
        <w:t>Workforms</w:t>
      </w:r>
      <w:proofErr w:type="spellEnd"/>
      <w:r w:rsidRPr="00BF20CF">
        <w:rPr>
          <w:rFonts w:ascii="Arial" w:hAnsi="Arial" w:cs="Arial"/>
          <w:sz w:val="24"/>
          <w:szCs w:val="24"/>
        </w:rPr>
        <w:t xml:space="preserve"> A and C include one. Please clarify whether that was excluded in error. If not, please discuss how the LRAMVA balances in </w:t>
      </w:r>
      <w:proofErr w:type="spellStart"/>
      <w:r w:rsidRPr="00BF20CF">
        <w:rPr>
          <w:rFonts w:ascii="Arial" w:hAnsi="Arial" w:cs="Arial"/>
          <w:sz w:val="24"/>
          <w:szCs w:val="24"/>
        </w:rPr>
        <w:t>Workforms</w:t>
      </w:r>
      <w:proofErr w:type="spellEnd"/>
      <w:r w:rsidRPr="00BF20CF">
        <w:rPr>
          <w:rFonts w:ascii="Arial" w:hAnsi="Arial" w:cs="Arial"/>
          <w:sz w:val="24"/>
          <w:szCs w:val="24"/>
        </w:rPr>
        <w:t xml:space="preserve"> B and D are accurate when there is no forecast savings being compared to actual savings for each of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B (2013 adjustments) and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D (2015 incremental savings).</w:t>
      </w:r>
    </w:p>
    <w:p w14:paraId="172E5125" w14:textId="77777777" w:rsidR="00DA686D" w:rsidRPr="00BF20CF" w:rsidRDefault="00DA686D" w:rsidP="00C614FB">
      <w:pPr>
        <w:pStyle w:val="ListParagraph"/>
        <w:rPr>
          <w:rFonts w:ascii="Arial" w:hAnsi="Arial" w:cs="Arial"/>
        </w:rPr>
      </w:pPr>
    </w:p>
    <w:p w14:paraId="66EBBCEC" w14:textId="77777777" w:rsidR="00DA686D" w:rsidRPr="00BF20CF" w:rsidRDefault="00DA686D" w:rsidP="00DA686D">
      <w:pPr>
        <w:pStyle w:val="NoSpacing"/>
        <w:numPr>
          <w:ilvl w:val="0"/>
          <w:numId w:val="216"/>
        </w:numPr>
        <w:spacing w:line="276" w:lineRule="auto"/>
        <w:rPr>
          <w:rFonts w:ascii="Arial" w:hAnsi="Arial" w:cs="Arial"/>
          <w:sz w:val="24"/>
          <w:szCs w:val="24"/>
        </w:rPr>
      </w:pPr>
      <w:r w:rsidRPr="00BF20CF">
        <w:rPr>
          <w:rFonts w:ascii="Arial" w:hAnsi="Arial" w:cs="Arial"/>
          <w:sz w:val="24"/>
          <w:szCs w:val="24"/>
        </w:rPr>
        <w:t xml:space="preserve">Please explain why Hydro Ottawa did not combine all filings in one LRAMVA </w:t>
      </w:r>
      <w:proofErr w:type="spellStart"/>
      <w:r w:rsidRPr="00BF20CF">
        <w:rPr>
          <w:rFonts w:ascii="Arial" w:hAnsi="Arial" w:cs="Arial"/>
          <w:sz w:val="24"/>
          <w:szCs w:val="24"/>
        </w:rPr>
        <w:t>workform</w:t>
      </w:r>
      <w:proofErr w:type="spellEnd"/>
      <w:r w:rsidRPr="00BF20CF">
        <w:rPr>
          <w:rFonts w:ascii="Arial" w:hAnsi="Arial" w:cs="Arial"/>
          <w:sz w:val="24"/>
          <w:szCs w:val="24"/>
        </w:rPr>
        <w:t>.</w:t>
      </w:r>
    </w:p>
    <w:p w14:paraId="7CBBAAAF" w14:textId="77777777" w:rsidR="00DA686D" w:rsidRPr="00BF20CF" w:rsidRDefault="00DA686D" w:rsidP="00C614FB">
      <w:pPr>
        <w:pStyle w:val="NoSpacing"/>
        <w:spacing w:line="276" w:lineRule="auto"/>
        <w:ind w:left="720"/>
        <w:rPr>
          <w:rFonts w:ascii="Arial" w:hAnsi="Arial" w:cs="Arial"/>
          <w:sz w:val="24"/>
          <w:szCs w:val="24"/>
        </w:rPr>
      </w:pPr>
    </w:p>
    <w:p w14:paraId="1A734D38" w14:textId="5014A7C8" w:rsidR="00DA686D" w:rsidRPr="00BF20CF" w:rsidRDefault="00DA686D" w:rsidP="00DA686D">
      <w:pPr>
        <w:pStyle w:val="NoSpacing"/>
        <w:numPr>
          <w:ilvl w:val="0"/>
          <w:numId w:val="216"/>
        </w:numPr>
        <w:spacing w:line="276" w:lineRule="auto"/>
        <w:rPr>
          <w:rFonts w:ascii="Arial" w:hAnsi="Arial" w:cs="Arial"/>
          <w:sz w:val="24"/>
          <w:szCs w:val="24"/>
        </w:rPr>
      </w:pPr>
      <w:r w:rsidRPr="00BF20CF">
        <w:rPr>
          <w:rFonts w:ascii="Arial" w:hAnsi="Arial" w:cs="Arial"/>
          <w:sz w:val="24"/>
          <w:szCs w:val="24"/>
        </w:rPr>
        <w:t xml:space="preserve">Please confirm that the total LRAMVA debit balance of $2,733,351 is to be disposed of over a 1-year period. (Note: </w:t>
      </w:r>
      <w:proofErr w:type="spellStart"/>
      <w:r w:rsidRPr="00BF20CF">
        <w:rPr>
          <w:rFonts w:ascii="Arial" w:hAnsi="Arial" w:cs="Arial"/>
          <w:sz w:val="24"/>
          <w:szCs w:val="24"/>
        </w:rPr>
        <w:t>Workforms</w:t>
      </w:r>
      <w:proofErr w:type="spellEnd"/>
      <w:r w:rsidRPr="00BF20CF">
        <w:rPr>
          <w:rFonts w:ascii="Arial" w:hAnsi="Arial" w:cs="Arial"/>
          <w:sz w:val="24"/>
          <w:szCs w:val="24"/>
        </w:rPr>
        <w:t xml:space="preserve"> A and B indicate 1-year disposition, while </w:t>
      </w:r>
      <w:proofErr w:type="spellStart"/>
      <w:r w:rsidRPr="00BF20CF">
        <w:rPr>
          <w:rFonts w:ascii="Arial" w:hAnsi="Arial" w:cs="Arial"/>
          <w:sz w:val="24"/>
          <w:szCs w:val="24"/>
        </w:rPr>
        <w:t>Workforms</w:t>
      </w:r>
      <w:proofErr w:type="spellEnd"/>
      <w:r w:rsidRPr="00BF20CF">
        <w:rPr>
          <w:rFonts w:ascii="Arial" w:hAnsi="Arial" w:cs="Arial"/>
          <w:sz w:val="24"/>
          <w:szCs w:val="24"/>
        </w:rPr>
        <w:t xml:space="preserve"> C, D and E indicate 2-year disposition)</w:t>
      </w:r>
    </w:p>
    <w:p w14:paraId="0E26A33A" w14:textId="7CB5CA58" w:rsidR="00E335F0" w:rsidRPr="00BF20CF" w:rsidRDefault="00E335F0" w:rsidP="00E335F0">
      <w:pPr>
        <w:pStyle w:val="StaffHeader"/>
        <w:numPr>
          <w:ilvl w:val="0"/>
          <w:numId w:val="0"/>
        </w:numPr>
        <w:spacing w:before="240"/>
        <w:rPr>
          <w:rFonts w:cs="Arial"/>
          <w:szCs w:val="24"/>
          <w:u w:val="none"/>
        </w:rPr>
      </w:pPr>
      <w:r w:rsidRPr="00BF20CF">
        <w:rPr>
          <w:rFonts w:cs="Arial"/>
          <w:szCs w:val="24"/>
          <w:u w:val="none"/>
        </w:rPr>
        <w:t>9-Staff-2</w:t>
      </w:r>
    </w:p>
    <w:p w14:paraId="312FFEA8" w14:textId="6DE951A2" w:rsidR="00DA686D" w:rsidRPr="00BF20CF" w:rsidRDefault="00DA686D" w:rsidP="00C84F5B">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EB-2015-0004/Exhibit D/Tab 5/Schedule 2</w:t>
      </w:r>
    </w:p>
    <w:p w14:paraId="19494501" w14:textId="08148A92" w:rsidR="00DA686D" w:rsidRPr="00BF20CF" w:rsidRDefault="00DA686D" w:rsidP="00C84F5B">
      <w:pPr>
        <w:pStyle w:val="NoSpacing"/>
        <w:spacing w:line="276" w:lineRule="auto"/>
        <w:ind w:firstLine="720"/>
        <w:rPr>
          <w:rFonts w:ascii="Arial" w:hAnsi="Arial" w:cs="Arial"/>
          <w:b/>
          <w:sz w:val="24"/>
          <w:szCs w:val="24"/>
        </w:rPr>
      </w:pPr>
      <w:r w:rsidRPr="00BF20CF">
        <w:rPr>
          <w:rFonts w:ascii="Arial" w:hAnsi="Arial" w:cs="Arial"/>
          <w:b/>
          <w:sz w:val="24"/>
          <w:szCs w:val="24"/>
        </w:rPr>
        <w:t>Updated Exhibit 4/Tab 5/Schedule 2/p. 3</w:t>
      </w:r>
    </w:p>
    <w:p w14:paraId="2AE90644" w14:textId="77777777" w:rsidR="00DA686D" w:rsidRPr="00BF20CF" w:rsidRDefault="00DA686D" w:rsidP="00C84F5B">
      <w:pPr>
        <w:pStyle w:val="NoSpacing"/>
        <w:spacing w:line="276" w:lineRule="auto"/>
        <w:ind w:firstLine="720"/>
        <w:rPr>
          <w:rFonts w:ascii="Arial" w:hAnsi="Arial" w:cs="Arial"/>
          <w:b/>
          <w:sz w:val="24"/>
          <w:szCs w:val="24"/>
        </w:rPr>
      </w:pPr>
      <w:r w:rsidRPr="00BF20CF">
        <w:rPr>
          <w:rFonts w:ascii="Arial" w:hAnsi="Arial" w:cs="Arial"/>
          <w:b/>
          <w:sz w:val="24"/>
          <w:szCs w:val="24"/>
        </w:rPr>
        <w:t xml:space="preserve">LRAMVA </w:t>
      </w:r>
      <w:proofErr w:type="spellStart"/>
      <w:r w:rsidRPr="00BF20CF">
        <w:rPr>
          <w:rFonts w:ascii="Arial" w:hAnsi="Arial" w:cs="Arial"/>
          <w:b/>
          <w:sz w:val="24"/>
          <w:szCs w:val="24"/>
        </w:rPr>
        <w:t>Workform</w:t>
      </w:r>
      <w:proofErr w:type="spellEnd"/>
      <w:r w:rsidRPr="00BF20CF">
        <w:rPr>
          <w:rFonts w:ascii="Arial" w:hAnsi="Arial" w:cs="Arial"/>
          <w:b/>
          <w:sz w:val="24"/>
          <w:szCs w:val="24"/>
        </w:rPr>
        <w:t xml:space="preserve"> A (“2014LRAMVA_452A”)</w:t>
      </w:r>
    </w:p>
    <w:p w14:paraId="48A21C72" w14:textId="77777777" w:rsidR="00DA686D" w:rsidRPr="00BF20CF" w:rsidRDefault="00DA686D" w:rsidP="00C84F5B">
      <w:pPr>
        <w:pStyle w:val="NoSpacing"/>
        <w:spacing w:line="276" w:lineRule="auto"/>
        <w:ind w:firstLine="720"/>
        <w:rPr>
          <w:rFonts w:ascii="Arial" w:hAnsi="Arial" w:cs="Arial"/>
          <w:b/>
          <w:sz w:val="24"/>
          <w:szCs w:val="24"/>
        </w:rPr>
      </w:pPr>
      <w:r w:rsidRPr="00BF20CF">
        <w:rPr>
          <w:rFonts w:ascii="Arial" w:hAnsi="Arial" w:cs="Arial"/>
          <w:b/>
          <w:sz w:val="24"/>
          <w:szCs w:val="24"/>
        </w:rPr>
        <w:t xml:space="preserve">LRAMVA </w:t>
      </w:r>
      <w:proofErr w:type="spellStart"/>
      <w:r w:rsidRPr="00BF20CF">
        <w:rPr>
          <w:rFonts w:ascii="Arial" w:hAnsi="Arial" w:cs="Arial"/>
          <w:b/>
          <w:sz w:val="24"/>
          <w:szCs w:val="24"/>
        </w:rPr>
        <w:t>Workform</w:t>
      </w:r>
      <w:proofErr w:type="spellEnd"/>
      <w:r w:rsidRPr="00BF20CF">
        <w:rPr>
          <w:rFonts w:ascii="Arial" w:hAnsi="Arial" w:cs="Arial"/>
          <w:b/>
          <w:sz w:val="24"/>
          <w:szCs w:val="24"/>
        </w:rPr>
        <w:t xml:space="preserve"> B (“2014Adjustments_LRAMVA_452B”)</w:t>
      </w:r>
    </w:p>
    <w:p w14:paraId="0E2A0EAB" w14:textId="77777777" w:rsidR="00DA686D" w:rsidRPr="00BF20CF" w:rsidRDefault="00DA686D" w:rsidP="00C84F5B">
      <w:pPr>
        <w:pStyle w:val="NoSpacing"/>
        <w:spacing w:line="276" w:lineRule="auto"/>
        <w:rPr>
          <w:rFonts w:ascii="Arial" w:hAnsi="Arial" w:cs="Arial"/>
          <w:b/>
          <w:sz w:val="24"/>
          <w:szCs w:val="24"/>
          <w:u w:val="single"/>
        </w:rPr>
      </w:pPr>
    </w:p>
    <w:p w14:paraId="7E817402"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 xml:space="preserve">Preamble: </w:t>
      </w:r>
    </w:p>
    <w:p w14:paraId="474C7247" w14:textId="77777777" w:rsidR="00DA686D" w:rsidRPr="00BF20CF" w:rsidRDefault="00DA686D" w:rsidP="00C84F5B">
      <w:pPr>
        <w:pStyle w:val="NoSpacing"/>
        <w:spacing w:line="276" w:lineRule="auto"/>
        <w:rPr>
          <w:rFonts w:ascii="Arial" w:hAnsi="Arial" w:cs="Arial"/>
          <w:sz w:val="24"/>
          <w:szCs w:val="24"/>
        </w:rPr>
      </w:pPr>
    </w:p>
    <w:p w14:paraId="5AC8E9E1"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 xml:space="preserve">In the 2016-2020 CIR proceeding (EB-2015-0004), Hydro Ottawa was approved to dispose of lost revenues related to 2011 to 2013 CDM activity. </w:t>
      </w:r>
    </w:p>
    <w:p w14:paraId="68C13FA4" w14:textId="77777777" w:rsidR="00DA686D" w:rsidRPr="00BF20CF" w:rsidRDefault="00DA686D" w:rsidP="00C84F5B">
      <w:pPr>
        <w:pStyle w:val="NoSpacing"/>
        <w:spacing w:line="276" w:lineRule="auto"/>
        <w:rPr>
          <w:rFonts w:ascii="Arial" w:hAnsi="Arial" w:cs="Arial"/>
          <w:sz w:val="24"/>
          <w:szCs w:val="24"/>
        </w:rPr>
      </w:pPr>
    </w:p>
    <w:p w14:paraId="58B36DCA"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 xml:space="preserve">In the current proceeding, Hydro Ottawa is requesting to dispose of a total debit balance of $491,812 for 2014 activity based on: </w:t>
      </w:r>
    </w:p>
    <w:p w14:paraId="4FA4D506" w14:textId="77777777" w:rsidR="00DA686D" w:rsidRPr="00BF20CF" w:rsidRDefault="00DA686D" w:rsidP="00DA686D">
      <w:pPr>
        <w:pStyle w:val="NoSpacing"/>
        <w:numPr>
          <w:ilvl w:val="0"/>
          <w:numId w:val="212"/>
        </w:numPr>
        <w:spacing w:line="276" w:lineRule="auto"/>
        <w:rPr>
          <w:rFonts w:ascii="Arial" w:hAnsi="Arial" w:cs="Arial"/>
          <w:sz w:val="24"/>
          <w:szCs w:val="24"/>
        </w:rPr>
      </w:pPr>
      <w:r w:rsidRPr="00BF20CF">
        <w:rPr>
          <w:rFonts w:ascii="Arial" w:hAnsi="Arial" w:cs="Arial"/>
          <w:sz w:val="24"/>
          <w:szCs w:val="24"/>
        </w:rPr>
        <w:t xml:space="preserve">new 2014 CDM amounts (debit of $424,027) per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A (“2014LRAMVA_452A”)</w:t>
      </w:r>
    </w:p>
    <w:p w14:paraId="018D3541" w14:textId="77777777" w:rsidR="00DA686D" w:rsidRPr="00BF20CF" w:rsidRDefault="00DA686D" w:rsidP="00DA686D">
      <w:pPr>
        <w:pStyle w:val="NoSpacing"/>
        <w:numPr>
          <w:ilvl w:val="0"/>
          <w:numId w:val="212"/>
        </w:numPr>
        <w:spacing w:line="276" w:lineRule="auto"/>
        <w:rPr>
          <w:rFonts w:ascii="Arial" w:hAnsi="Arial" w:cs="Arial"/>
          <w:sz w:val="24"/>
          <w:szCs w:val="24"/>
        </w:rPr>
      </w:pPr>
      <w:r w:rsidRPr="00BF20CF">
        <w:rPr>
          <w:rFonts w:ascii="Arial" w:hAnsi="Arial" w:cs="Arial"/>
          <w:sz w:val="24"/>
          <w:szCs w:val="24"/>
        </w:rPr>
        <w:t>2013 adjustments (debit of $67,785</w:t>
      </w:r>
      <w:r w:rsidRPr="00BF20CF">
        <w:rPr>
          <w:rFonts w:ascii="Arial" w:eastAsia="Times New Roman" w:hAnsi="Arial" w:cs="Arial"/>
          <w:bCs/>
          <w:color w:val="000000"/>
          <w:sz w:val="24"/>
          <w:szCs w:val="24"/>
        </w:rPr>
        <w:t>)</w:t>
      </w:r>
      <w:r w:rsidRPr="00BF20CF">
        <w:rPr>
          <w:rFonts w:ascii="Arial" w:eastAsia="Times New Roman" w:hAnsi="Arial" w:cs="Arial"/>
          <w:b/>
          <w:bCs/>
          <w:color w:val="000000"/>
          <w:sz w:val="24"/>
          <w:szCs w:val="24"/>
        </w:rPr>
        <w:t xml:space="preserve"> </w:t>
      </w:r>
      <w:r w:rsidRPr="00BF20CF">
        <w:rPr>
          <w:rFonts w:ascii="Arial" w:hAnsi="Arial" w:cs="Arial"/>
          <w:sz w:val="24"/>
          <w:szCs w:val="24"/>
        </w:rPr>
        <w:t xml:space="preserve">that were not included in its previous claim per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B (“2014Adjustments_LRAMVA_452B”)</w:t>
      </w:r>
    </w:p>
    <w:p w14:paraId="2140AB93" w14:textId="77777777" w:rsidR="00DA686D" w:rsidRPr="00BF20CF" w:rsidRDefault="00DA686D" w:rsidP="00C84F5B">
      <w:pPr>
        <w:pStyle w:val="NoSpacing"/>
        <w:spacing w:line="276" w:lineRule="auto"/>
        <w:ind w:left="1080"/>
        <w:rPr>
          <w:rFonts w:ascii="Arial" w:hAnsi="Arial" w:cs="Arial"/>
          <w:sz w:val="24"/>
          <w:szCs w:val="24"/>
        </w:rPr>
      </w:pPr>
    </w:p>
    <w:p w14:paraId="4902D948"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 xml:space="preserve">As noted above, these two components were filed in two separate </w:t>
      </w:r>
      <w:proofErr w:type="spellStart"/>
      <w:r w:rsidRPr="00BF20CF">
        <w:rPr>
          <w:rFonts w:ascii="Arial" w:hAnsi="Arial" w:cs="Arial"/>
          <w:sz w:val="24"/>
          <w:szCs w:val="24"/>
        </w:rPr>
        <w:t>workforms</w:t>
      </w:r>
      <w:proofErr w:type="spellEnd"/>
      <w:r w:rsidRPr="00BF20CF">
        <w:rPr>
          <w:rFonts w:ascii="Arial" w:hAnsi="Arial" w:cs="Arial"/>
          <w:sz w:val="24"/>
          <w:szCs w:val="24"/>
        </w:rPr>
        <w:t xml:space="preserve">: </w:t>
      </w:r>
    </w:p>
    <w:p w14:paraId="0D566AF3" w14:textId="77777777" w:rsidR="00DA686D" w:rsidRPr="00BF20CF" w:rsidRDefault="00DA686D" w:rsidP="00C84F5B">
      <w:pPr>
        <w:pStyle w:val="NoSpacing"/>
        <w:spacing w:line="276" w:lineRule="auto"/>
        <w:rPr>
          <w:rFonts w:ascii="Arial" w:hAnsi="Arial" w:cs="Arial"/>
          <w:sz w:val="24"/>
          <w:szCs w:val="24"/>
        </w:rPr>
      </w:pPr>
    </w:p>
    <w:p w14:paraId="4751A885" w14:textId="77777777" w:rsidR="00DA686D" w:rsidRPr="00BF20CF" w:rsidRDefault="00DA686D" w:rsidP="00DA686D">
      <w:pPr>
        <w:pStyle w:val="NoSpacing"/>
        <w:numPr>
          <w:ilvl w:val="0"/>
          <w:numId w:val="213"/>
        </w:numPr>
        <w:spacing w:line="276" w:lineRule="auto"/>
        <w:rPr>
          <w:rFonts w:ascii="Arial" w:hAnsi="Arial" w:cs="Arial"/>
          <w:sz w:val="24"/>
          <w:szCs w:val="24"/>
        </w:rPr>
      </w:pPr>
      <w:r w:rsidRPr="00BF20CF">
        <w:rPr>
          <w:rFonts w:ascii="Arial" w:hAnsi="Arial" w:cs="Arial"/>
          <w:sz w:val="24"/>
          <w:szCs w:val="24"/>
        </w:rPr>
        <w:t xml:space="preserve">In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A (“2014LRAMVA_452A”), the 2014 LRAMVA balance of $424,027 is inclusive of persistence from 2011-2013 program savings in 2014, and persistence of 2013 savings adjustments in 2014.  </w:t>
      </w:r>
    </w:p>
    <w:p w14:paraId="22BAD1A8" w14:textId="77777777" w:rsidR="00DA686D" w:rsidRPr="00BF20CF" w:rsidRDefault="00DA686D" w:rsidP="00DA686D">
      <w:pPr>
        <w:pStyle w:val="NoSpacing"/>
        <w:numPr>
          <w:ilvl w:val="0"/>
          <w:numId w:val="213"/>
        </w:numPr>
        <w:spacing w:line="276" w:lineRule="auto"/>
        <w:rPr>
          <w:rFonts w:ascii="Arial" w:hAnsi="Arial" w:cs="Arial"/>
          <w:sz w:val="24"/>
          <w:szCs w:val="24"/>
        </w:rPr>
      </w:pPr>
      <w:r w:rsidRPr="00BF20CF">
        <w:rPr>
          <w:rFonts w:ascii="Arial" w:hAnsi="Arial" w:cs="Arial"/>
          <w:sz w:val="24"/>
          <w:szCs w:val="24"/>
        </w:rPr>
        <w:t xml:space="preserve">In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B (“2014Adjustments_LRAMVA_452B”), the LRAMVA balance of $67,785</w:t>
      </w:r>
      <w:r w:rsidRPr="00BF20CF">
        <w:rPr>
          <w:rFonts w:ascii="Arial" w:eastAsia="Times New Roman" w:hAnsi="Arial" w:cs="Arial"/>
          <w:b/>
          <w:bCs/>
          <w:color w:val="000000"/>
          <w:sz w:val="24"/>
          <w:szCs w:val="24"/>
        </w:rPr>
        <w:t xml:space="preserve"> </w:t>
      </w:r>
      <w:r w:rsidRPr="00BF20CF">
        <w:rPr>
          <w:rFonts w:ascii="Arial" w:hAnsi="Arial" w:cs="Arial"/>
          <w:sz w:val="24"/>
          <w:szCs w:val="24"/>
        </w:rPr>
        <w:t>is inclusive of 2013 adjustments and the persistence of 2012 program savings in 2013.</w:t>
      </w:r>
    </w:p>
    <w:p w14:paraId="7409DD9D" w14:textId="77777777" w:rsidR="00DA686D" w:rsidRPr="00BF20CF" w:rsidRDefault="00DA686D" w:rsidP="00C84F5B">
      <w:pPr>
        <w:pStyle w:val="NoSpacing"/>
        <w:spacing w:line="276" w:lineRule="auto"/>
        <w:rPr>
          <w:rFonts w:ascii="Arial" w:hAnsi="Arial" w:cs="Arial"/>
          <w:sz w:val="24"/>
          <w:szCs w:val="24"/>
        </w:rPr>
      </w:pPr>
    </w:p>
    <w:p w14:paraId="3987CA18"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 xml:space="preserve">Hydro Ottawa stated that it has complied with the OEB’s direction to dispose of the LRAMVA balance as part of their COS application. Hydro Ottawa notes that it would have waited to clear the 2013 year (as IESO reports could include significant adjustments) had it received further clarity from the OEB that the </w:t>
      </w:r>
      <w:r w:rsidRPr="00BF20CF">
        <w:rPr>
          <w:rFonts w:ascii="Arial" w:hAnsi="Arial" w:cs="Arial"/>
          <w:sz w:val="24"/>
          <w:szCs w:val="24"/>
        </w:rPr>
        <w:lastRenderedPageBreak/>
        <w:t>LRAMVA balance was related to calendar year savings rather than the IESO report.</w:t>
      </w:r>
    </w:p>
    <w:p w14:paraId="2960D083" w14:textId="77777777" w:rsidR="00DA686D" w:rsidRPr="00BF20CF" w:rsidRDefault="00DA686D" w:rsidP="00C84F5B">
      <w:pPr>
        <w:pStyle w:val="NoSpacing"/>
        <w:spacing w:line="276" w:lineRule="auto"/>
        <w:rPr>
          <w:rFonts w:ascii="Arial" w:hAnsi="Arial" w:cs="Arial"/>
          <w:sz w:val="24"/>
          <w:szCs w:val="24"/>
        </w:rPr>
      </w:pPr>
    </w:p>
    <w:p w14:paraId="022C0A9C"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Question(s):</w:t>
      </w:r>
    </w:p>
    <w:p w14:paraId="6E9FAE0E" w14:textId="77777777" w:rsidR="00DA686D" w:rsidRPr="00BF20CF" w:rsidRDefault="00DA686D" w:rsidP="00C84F5B">
      <w:pPr>
        <w:pStyle w:val="NoSpacing"/>
        <w:spacing w:line="276" w:lineRule="auto"/>
        <w:rPr>
          <w:rFonts w:ascii="Arial" w:hAnsi="Arial" w:cs="Arial"/>
          <w:sz w:val="24"/>
          <w:szCs w:val="24"/>
        </w:rPr>
      </w:pPr>
    </w:p>
    <w:p w14:paraId="7EE52F71" w14:textId="77777777" w:rsidR="00DA686D" w:rsidRPr="00BF20CF" w:rsidRDefault="00DA686D" w:rsidP="00DA686D">
      <w:pPr>
        <w:pStyle w:val="NoSpacing"/>
        <w:numPr>
          <w:ilvl w:val="0"/>
          <w:numId w:val="207"/>
        </w:numPr>
        <w:spacing w:line="276" w:lineRule="auto"/>
        <w:rPr>
          <w:rFonts w:ascii="Arial" w:hAnsi="Arial" w:cs="Arial"/>
          <w:sz w:val="24"/>
          <w:szCs w:val="24"/>
        </w:rPr>
      </w:pPr>
      <w:r w:rsidRPr="00BF20CF">
        <w:rPr>
          <w:rFonts w:ascii="Arial" w:hAnsi="Arial" w:cs="Arial"/>
          <w:sz w:val="24"/>
          <w:szCs w:val="24"/>
        </w:rPr>
        <w:t>As 2013 CDM amounts were disposed of in its 2016-2020 CIR proceeding, please explain how claiming 2013 savings adjustments in this proceeding would not constitute rate retroactivity, and how it falls within prospective treatment of changes.</w:t>
      </w:r>
    </w:p>
    <w:p w14:paraId="395A0999" w14:textId="77777777" w:rsidR="00DA686D" w:rsidRPr="00BF20CF" w:rsidRDefault="00DA686D" w:rsidP="00F34BF6">
      <w:pPr>
        <w:pStyle w:val="NoSpacing"/>
        <w:spacing w:line="276" w:lineRule="auto"/>
        <w:ind w:left="720"/>
        <w:rPr>
          <w:rFonts w:ascii="Arial" w:hAnsi="Arial" w:cs="Arial"/>
          <w:sz w:val="24"/>
          <w:szCs w:val="24"/>
        </w:rPr>
      </w:pPr>
    </w:p>
    <w:p w14:paraId="7BA0B810" w14:textId="1714A6A2" w:rsidR="00DA686D" w:rsidRPr="00BF20CF" w:rsidRDefault="00DA686D" w:rsidP="00DA686D">
      <w:pPr>
        <w:pStyle w:val="NoSpacing"/>
        <w:numPr>
          <w:ilvl w:val="0"/>
          <w:numId w:val="207"/>
        </w:numPr>
        <w:spacing w:line="276" w:lineRule="auto"/>
        <w:rPr>
          <w:rFonts w:ascii="Arial" w:hAnsi="Arial" w:cs="Arial"/>
          <w:sz w:val="24"/>
          <w:szCs w:val="24"/>
        </w:rPr>
      </w:pPr>
      <w:r w:rsidRPr="00BF20CF">
        <w:rPr>
          <w:rFonts w:ascii="Arial" w:hAnsi="Arial" w:cs="Arial"/>
          <w:sz w:val="24"/>
          <w:szCs w:val="24"/>
        </w:rPr>
        <w:t xml:space="preserve">Please clarify which appropriate guideline, filing requirement or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was referenced by Hydro Ottawa where it learned the “LRAMVA balance was related to calendar year savings rather than the IESO report”. </w:t>
      </w:r>
    </w:p>
    <w:p w14:paraId="37370F34" w14:textId="77777777" w:rsidR="00DA686D" w:rsidRPr="00BF20CF" w:rsidRDefault="00DA686D" w:rsidP="00C84F5B">
      <w:pPr>
        <w:pStyle w:val="NoSpacing"/>
        <w:spacing w:line="276" w:lineRule="auto"/>
        <w:rPr>
          <w:rFonts w:ascii="Arial" w:hAnsi="Arial" w:cs="Arial"/>
          <w:sz w:val="24"/>
          <w:szCs w:val="24"/>
        </w:rPr>
      </w:pPr>
    </w:p>
    <w:p w14:paraId="33D54C87" w14:textId="5FFAAE89" w:rsidR="00DA686D" w:rsidRPr="00BF20CF" w:rsidRDefault="00DA686D" w:rsidP="00DA686D">
      <w:pPr>
        <w:pStyle w:val="NoSpacing"/>
        <w:numPr>
          <w:ilvl w:val="0"/>
          <w:numId w:val="207"/>
        </w:numPr>
        <w:spacing w:line="276" w:lineRule="auto"/>
        <w:rPr>
          <w:rFonts w:ascii="Arial" w:hAnsi="Arial" w:cs="Arial"/>
          <w:sz w:val="24"/>
          <w:szCs w:val="24"/>
        </w:rPr>
      </w:pPr>
      <w:r w:rsidRPr="00BF20CF">
        <w:rPr>
          <w:rFonts w:ascii="Arial" w:hAnsi="Arial" w:cs="Arial"/>
          <w:sz w:val="24"/>
          <w:szCs w:val="24"/>
        </w:rPr>
        <w:t xml:space="preserve">In light of the OEB’s guidance (Chapter 2 Filing Requirements for </w:t>
      </w:r>
      <w:hyperlink r:id="rId54" w:history="1">
        <w:r w:rsidRPr="00BF20CF">
          <w:rPr>
            <w:rStyle w:val="Hyperlink"/>
            <w:rFonts w:ascii="Arial" w:hAnsi="Arial" w:cs="Arial"/>
            <w:sz w:val="24"/>
            <w:szCs w:val="24"/>
          </w:rPr>
          <w:t>2018 COS Filers</w:t>
        </w:r>
      </w:hyperlink>
      <w:r w:rsidRPr="00BF20CF">
        <w:rPr>
          <w:rFonts w:ascii="Arial" w:hAnsi="Arial" w:cs="Arial"/>
          <w:sz w:val="24"/>
          <w:szCs w:val="24"/>
        </w:rPr>
        <w:t>) and prior decisions</w:t>
      </w:r>
      <w:r w:rsidRPr="00BF20CF">
        <w:rPr>
          <w:rStyle w:val="FootnoteReference"/>
          <w:rFonts w:ascii="Arial" w:hAnsi="Arial" w:cs="Arial"/>
          <w:sz w:val="24"/>
          <w:szCs w:val="24"/>
        </w:rPr>
        <w:footnoteReference w:id="29"/>
      </w:r>
      <w:r w:rsidRPr="00BF20CF">
        <w:rPr>
          <w:rFonts w:ascii="Arial" w:hAnsi="Arial" w:cs="Arial"/>
          <w:sz w:val="24"/>
          <w:szCs w:val="24"/>
        </w:rPr>
        <w:t xml:space="preserve"> where the OEB did not allow for retroactivity, please explain why Hydro Ottawa is seeking to recover 2013 adjustments (as per “2014Adjustments_LRAMVA_452B”) and the appropriateness of doing so. In response to this interrogatory, please indicate if Hydro Ottawa seeks to maintain its retroactive request to recover 2013 adjustments filed in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B.</w:t>
      </w:r>
    </w:p>
    <w:p w14:paraId="58823C0C" w14:textId="01A45596" w:rsidR="00E335F0" w:rsidRPr="00BF20CF" w:rsidRDefault="00E335F0" w:rsidP="00E335F0">
      <w:pPr>
        <w:pStyle w:val="StaffHeader"/>
        <w:numPr>
          <w:ilvl w:val="0"/>
          <w:numId w:val="0"/>
        </w:numPr>
        <w:spacing w:before="240"/>
        <w:rPr>
          <w:rFonts w:cs="Arial"/>
          <w:szCs w:val="24"/>
          <w:u w:val="none"/>
        </w:rPr>
      </w:pPr>
      <w:r w:rsidRPr="00BF20CF">
        <w:rPr>
          <w:rFonts w:cs="Arial"/>
          <w:szCs w:val="24"/>
          <w:u w:val="none"/>
        </w:rPr>
        <w:t>9-Staff-3</w:t>
      </w:r>
    </w:p>
    <w:p w14:paraId="40E289BB" w14:textId="4A75A52F" w:rsidR="00DA686D" w:rsidRPr="00BF20CF" w:rsidRDefault="00DA686D" w:rsidP="00C84F5B">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 xml:space="preserve">LRAMVA </w:t>
      </w:r>
      <w:proofErr w:type="spellStart"/>
      <w:r w:rsidRPr="00BF20CF">
        <w:rPr>
          <w:rFonts w:ascii="Arial" w:hAnsi="Arial" w:cs="Arial"/>
          <w:b/>
          <w:sz w:val="24"/>
          <w:szCs w:val="24"/>
        </w:rPr>
        <w:t>Workforms</w:t>
      </w:r>
      <w:proofErr w:type="spellEnd"/>
      <w:r w:rsidRPr="00BF20CF">
        <w:rPr>
          <w:rFonts w:ascii="Arial" w:hAnsi="Arial" w:cs="Arial"/>
          <w:b/>
          <w:sz w:val="24"/>
          <w:szCs w:val="24"/>
        </w:rPr>
        <w:t xml:space="preserve"> A, B, C and D </w:t>
      </w:r>
    </w:p>
    <w:p w14:paraId="4DCA90D7" w14:textId="54BB7DC9" w:rsidR="00DA686D" w:rsidRPr="00BF20CF" w:rsidRDefault="00DA686D" w:rsidP="00C84F5B">
      <w:pPr>
        <w:pStyle w:val="NoSpacing"/>
        <w:spacing w:line="276" w:lineRule="auto"/>
        <w:ind w:firstLine="720"/>
        <w:rPr>
          <w:rFonts w:ascii="Arial" w:hAnsi="Arial" w:cs="Arial"/>
          <w:b/>
          <w:sz w:val="24"/>
          <w:szCs w:val="24"/>
        </w:rPr>
      </w:pPr>
      <w:r w:rsidRPr="00BF20CF">
        <w:rPr>
          <w:rFonts w:ascii="Arial" w:hAnsi="Arial" w:cs="Arial"/>
          <w:b/>
          <w:sz w:val="24"/>
          <w:szCs w:val="24"/>
        </w:rPr>
        <w:t>EB-2011-0054/2012 Settlement Agreement/Section 3.3 (p. 13 of 33)</w:t>
      </w:r>
    </w:p>
    <w:p w14:paraId="6F237400" w14:textId="7D866A39" w:rsidR="00DA686D" w:rsidRPr="00BF20CF" w:rsidRDefault="00DA686D" w:rsidP="00C84F5B">
      <w:pPr>
        <w:pStyle w:val="NoSpacing"/>
        <w:spacing w:line="276" w:lineRule="auto"/>
        <w:ind w:left="720"/>
        <w:rPr>
          <w:rFonts w:ascii="Arial" w:hAnsi="Arial" w:cs="Arial"/>
          <w:b/>
          <w:sz w:val="24"/>
          <w:szCs w:val="24"/>
        </w:rPr>
      </w:pPr>
      <w:r w:rsidRPr="00BF20CF">
        <w:rPr>
          <w:rFonts w:ascii="Arial" w:hAnsi="Arial" w:cs="Arial"/>
          <w:b/>
          <w:sz w:val="24"/>
          <w:szCs w:val="24"/>
        </w:rPr>
        <w:t>EB-2011-0054/IRRs – Part I/</w:t>
      </w:r>
      <w:r w:rsidRPr="00BF20CF">
        <w:rPr>
          <w:rFonts w:ascii="Arial" w:eastAsia="Times New Roman" w:hAnsi="Arial" w:cs="Arial"/>
          <w:b/>
          <w:color w:val="000000"/>
          <w:sz w:val="24"/>
          <w:szCs w:val="24"/>
        </w:rPr>
        <w:t xml:space="preserve">Exhibit </w:t>
      </w:r>
      <w:r w:rsidRPr="00BF20CF">
        <w:rPr>
          <w:rFonts w:ascii="Arial" w:hAnsi="Arial" w:cs="Arial"/>
          <w:b/>
          <w:sz w:val="24"/>
          <w:szCs w:val="24"/>
        </w:rPr>
        <w:t>K3/Issue 3.3/IR #2 (Energy Probe #28b) / PDF p. 407 of 729</w:t>
      </w:r>
    </w:p>
    <w:p w14:paraId="3E26136B" w14:textId="77777777" w:rsidR="00DA686D" w:rsidRPr="00BF20CF" w:rsidRDefault="00DA686D" w:rsidP="00C84F5B">
      <w:pPr>
        <w:pStyle w:val="NoSpacing"/>
        <w:spacing w:line="276" w:lineRule="auto"/>
        <w:rPr>
          <w:rFonts w:ascii="Arial" w:hAnsi="Arial" w:cs="Arial"/>
          <w:b/>
          <w:sz w:val="24"/>
          <w:szCs w:val="24"/>
          <w:u w:val="single"/>
        </w:rPr>
      </w:pPr>
    </w:p>
    <w:p w14:paraId="55C3CD9B"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 xml:space="preserve">Preamble: </w:t>
      </w:r>
    </w:p>
    <w:p w14:paraId="53B39610" w14:textId="77777777" w:rsidR="00DA686D" w:rsidRPr="00BF20CF" w:rsidRDefault="00DA686D" w:rsidP="00C84F5B">
      <w:pPr>
        <w:pStyle w:val="NoSpacing"/>
        <w:spacing w:line="276" w:lineRule="auto"/>
        <w:rPr>
          <w:rFonts w:ascii="Arial" w:hAnsi="Arial" w:cs="Arial"/>
          <w:sz w:val="24"/>
          <w:szCs w:val="24"/>
          <w:u w:val="single"/>
        </w:rPr>
      </w:pPr>
    </w:p>
    <w:p w14:paraId="2B90CD17" w14:textId="42AD14CE" w:rsidR="00DA686D" w:rsidRPr="00BF20CF" w:rsidRDefault="00DA686D" w:rsidP="00C84F5B">
      <w:pPr>
        <w:pStyle w:val="NoSpacing"/>
        <w:spacing w:line="276" w:lineRule="auto"/>
        <w:rPr>
          <w:rFonts w:ascii="Arial" w:eastAsia="Times New Roman" w:hAnsi="Arial" w:cs="Arial"/>
          <w:color w:val="000000"/>
          <w:sz w:val="24"/>
          <w:szCs w:val="24"/>
        </w:rPr>
      </w:pPr>
      <w:r w:rsidRPr="00BF20CF">
        <w:rPr>
          <w:rFonts w:ascii="Arial" w:hAnsi="Arial" w:cs="Arial"/>
          <w:sz w:val="24"/>
          <w:szCs w:val="24"/>
        </w:rPr>
        <w:t xml:space="preserve">In this proceeding, </w:t>
      </w:r>
      <w:proofErr w:type="spellStart"/>
      <w:r w:rsidRPr="00BF20CF">
        <w:rPr>
          <w:rFonts w:ascii="Arial" w:hAnsi="Arial" w:cs="Arial"/>
          <w:sz w:val="24"/>
          <w:szCs w:val="24"/>
        </w:rPr>
        <w:t>Workforms</w:t>
      </w:r>
      <w:proofErr w:type="spellEnd"/>
      <w:r w:rsidRPr="00BF20CF">
        <w:rPr>
          <w:rFonts w:ascii="Arial" w:hAnsi="Arial" w:cs="Arial"/>
          <w:sz w:val="24"/>
          <w:szCs w:val="24"/>
        </w:rPr>
        <w:t xml:space="preserve"> A and C included a LRAMVA threshold of </w:t>
      </w:r>
      <w:r w:rsidRPr="00BF20CF">
        <w:rPr>
          <w:rFonts w:ascii="Arial" w:eastAsia="Times New Roman" w:hAnsi="Arial" w:cs="Arial"/>
          <w:color w:val="000000"/>
          <w:sz w:val="24"/>
          <w:szCs w:val="24"/>
        </w:rPr>
        <w:t>29,390,965 kWh, which are the forecast savings applied against actual savings in 2014 and 2015. An extract of the LRAMVA threshold (and its rate class breakdown) is provided below:</w:t>
      </w:r>
    </w:p>
    <w:p w14:paraId="6D18A6B2" w14:textId="77777777" w:rsidR="00DA686D" w:rsidRPr="00BF20CF" w:rsidRDefault="00DA686D" w:rsidP="00C84F5B">
      <w:pPr>
        <w:pStyle w:val="NoSpacing"/>
        <w:spacing w:line="276" w:lineRule="auto"/>
        <w:rPr>
          <w:rFonts w:ascii="Arial" w:eastAsia="Times New Roman" w:hAnsi="Arial" w:cs="Arial"/>
          <w:color w:val="000000"/>
          <w:sz w:val="24"/>
          <w:szCs w:val="24"/>
        </w:rPr>
      </w:pPr>
    </w:p>
    <w:p w14:paraId="65BFF578" w14:textId="0503EF0B" w:rsidR="00DA686D" w:rsidRPr="00BF20CF" w:rsidRDefault="00DA686D" w:rsidP="00C84F5B">
      <w:pPr>
        <w:pStyle w:val="NoSpacing"/>
        <w:spacing w:line="276" w:lineRule="auto"/>
        <w:rPr>
          <w:rFonts w:ascii="Arial" w:eastAsia="Times New Roman" w:hAnsi="Arial" w:cs="Arial"/>
          <w:color w:val="000000"/>
          <w:sz w:val="24"/>
          <w:szCs w:val="24"/>
        </w:rPr>
      </w:pPr>
      <w:r w:rsidRPr="00BF20CF">
        <w:rPr>
          <w:rFonts w:ascii="Arial" w:hAnsi="Arial" w:cs="Arial"/>
          <w:noProof/>
          <w:sz w:val="24"/>
          <w:szCs w:val="24"/>
        </w:rPr>
        <w:lastRenderedPageBreak/>
        <mc:AlternateContent>
          <mc:Choice Requires="wps">
            <w:drawing>
              <wp:anchor distT="0" distB="0" distL="114300" distR="114300" simplePos="0" relativeHeight="251659264" behindDoc="0" locked="0" layoutInCell="1" allowOverlap="1" wp14:anchorId="645C8F5D" wp14:editId="4DF4CCF5">
                <wp:simplePos x="0" y="0"/>
                <wp:positionH relativeFrom="column">
                  <wp:posOffset>913765</wp:posOffset>
                </wp:positionH>
                <wp:positionV relativeFrom="paragraph">
                  <wp:posOffset>431709</wp:posOffset>
                </wp:positionV>
                <wp:extent cx="766763" cy="219075"/>
                <wp:effectExtent l="0" t="0" r="14605" b="28575"/>
                <wp:wrapNone/>
                <wp:docPr id="46" name="Rectangle 46"/>
                <wp:cNvGraphicFramePr/>
                <a:graphic xmlns:a="http://schemas.openxmlformats.org/drawingml/2006/main">
                  <a:graphicData uri="http://schemas.microsoft.com/office/word/2010/wordprocessingShape">
                    <wps:wsp>
                      <wps:cNvSpPr/>
                      <wps:spPr>
                        <a:xfrm>
                          <a:off x="0" y="0"/>
                          <a:ext cx="766763" cy="2190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106AC" id="Rectangle 46" o:spid="_x0000_s1026" style="position:absolute;margin-left:71.95pt;margin-top:34pt;width:60.4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" filled="f" strokecolor="#c00000" strokeweight="1.5pt"/>
            </w:pict>
          </mc:Fallback>
        </mc:AlternateContent>
      </w:r>
      <w:r w:rsidRPr="00BF20CF">
        <w:rPr>
          <w:rFonts w:ascii="Arial" w:hAnsi="Arial" w:cs="Arial"/>
          <w:noProof/>
          <w:sz w:val="24"/>
          <w:szCs w:val="24"/>
        </w:rPr>
        <w:drawing>
          <wp:inline distT="0" distB="0" distL="0" distR="0" wp14:anchorId="4367BB9B" wp14:editId="7D94F2A9">
            <wp:extent cx="5943600" cy="1562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62100"/>
                    </a:xfrm>
                    <a:prstGeom prst="rect">
                      <a:avLst/>
                    </a:prstGeom>
                  </pic:spPr>
                </pic:pic>
              </a:graphicData>
            </a:graphic>
          </wp:inline>
        </w:drawing>
      </w:r>
    </w:p>
    <w:p w14:paraId="1038F1B6" w14:textId="10656692" w:rsidR="00DA686D" w:rsidRPr="00BF20CF" w:rsidRDefault="00DA686D" w:rsidP="00C84F5B">
      <w:pPr>
        <w:pStyle w:val="NoSpacing"/>
        <w:spacing w:line="276" w:lineRule="auto"/>
        <w:rPr>
          <w:rFonts w:ascii="Arial" w:eastAsia="Times New Roman" w:hAnsi="Arial" w:cs="Arial"/>
          <w:color w:val="000000"/>
          <w:sz w:val="20"/>
          <w:szCs w:val="24"/>
        </w:rPr>
      </w:pPr>
      <w:r w:rsidRPr="00BF20CF">
        <w:rPr>
          <w:rFonts w:ascii="Arial" w:eastAsia="Times New Roman" w:hAnsi="Arial" w:cs="Arial"/>
          <w:color w:val="000000"/>
          <w:sz w:val="20"/>
          <w:szCs w:val="24"/>
        </w:rPr>
        <w:t xml:space="preserve">Source: LRAMVA </w:t>
      </w:r>
      <w:proofErr w:type="spellStart"/>
      <w:r w:rsidRPr="00BF20CF">
        <w:rPr>
          <w:rFonts w:ascii="Arial" w:hAnsi="Arial" w:cs="Arial"/>
          <w:sz w:val="20"/>
          <w:szCs w:val="24"/>
        </w:rPr>
        <w:t>Workforms</w:t>
      </w:r>
      <w:proofErr w:type="spellEnd"/>
      <w:r w:rsidRPr="00BF20CF">
        <w:rPr>
          <w:rFonts w:ascii="Arial" w:hAnsi="Arial" w:cs="Arial"/>
          <w:sz w:val="20"/>
          <w:szCs w:val="24"/>
        </w:rPr>
        <w:t xml:space="preserve"> A and C, </w:t>
      </w:r>
      <w:r w:rsidRPr="00BF20CF">
        <w:rPr>
          <w:rFonts w:ascii="Arial" w:eastAsia="Times New Roman" w:hAnsi="Arial" w:cs="Arial"/>
          <w:color w:val="000000"/>
          <w:sz w:val="20"/>
          <w:szCs w:val="24"/>
        </w:rPr>
        <w:t xml:space="preserve">Tab 2 </w:t>
      </w:r>
    </w:p>
    <w:p w14:paraId="739D82EB" w14:textId="77777777" w:rsidR="00DA686D" w:rsidRPr="00BF20CF" w:rsidRDefault="00DA686D" w:rsidP="00C84F5B">
      <w:pPr>
        <w:pStyle w:val="NoSpacing"/>
        <w:spacing w:line="276" w:lineRule="auto"/>
        <w:rPr>
          <w:rFonts w:ascii="Arial" w:eastAsia="Times New Roman" w:hAnsi="Arial" w:cs="Arial"/>
          <w:color w:val="000000"/>
          <w:sz w:val="20"/>
          <w:szCs w:val="24"/>
        </w:rPr>
      </w:pPr>
    </w:p>
    <w:p w14:paraId="7CB46D39" w14:textId="1D1C9ABA" w:rsidR="00DA686D" w:rsidRPr="00BF20CF" w:rsidRDefault="00DA686D" w:rsidP="00C84F5B">
      <w:pPr>
        <w:pStyle w:val="NoSpacing"/>
        <w:spacing w:line="276" w:lineRule="auto"/>
        <w:rPr>
          <w:rFonts w:ascii="Arial" w:eastAsia="Times New Roman" w:hAnsi="Arial" w:cs="Arial"/>
          <w:color w:val="000000"/>
          <w:sz w:val="24"/>
          <w:szCs w:val="24"/>
        </w:rPr>
      </w:pPr>
      <w:r w:rsidRPr="00BF20CF">
        <w:rPr>
          <w:rFonts w:ascii="Arial" w:eastAsia="Times New Roman" w:hAnsi="Arial" w:cs="Arial"/>
          <w:color w:val="000000"/>
          <w:sz w:val="24"/>
          <w:szCs w:val="24"/>
        </w:rPr>
        <w:t xml:space="preserve">The 2012 Settlement Agreement noted that the CDM adjustment to the load forecast was 75 million kWh (p. 13) but this amount is not reflected in its entirety in the </w:t>
      </w:r>
      <w:proofErr w:type="spellStart"/>
      <w:r w:rsidRPr="00BF20CF">
        <w:rPr>
          <w:rFonts w:ascii="Arial" w:eastAsia="Times New Roman" w:hAnsi="Arial" w:cs="Arial"/>
          <w:color w:val="000000"/>
          <w:sz w:val="24"/>
          <w:szCs w:val="24"/>
        </w:rPr>
        <w:t>workform</w:t>
      </w:r>
      <w:proofErr w:type="spellEnd"/>
      <w:r w:rsidRPr="00BF20CF">
        <w:rPr>
          <w:rFonts w:ascii="Arial" w:eastAsia="Times New Roman" w:hAnsi="Arial" w:cs="Arial"/>
          <w:color w:val="000000"/>
          <w:sz w:val="24"/>
          <w:szCs w:val="24"/>
        </w:rPr>
        <w:t xml:space="preserve">. </w:t>
      </w:r>
    </w:p>
    <w:p w14:paraId="30CF2DA7" w14:textId="77777777" w:rsidR="00DA686D" w:rsidRPr="00BF20CF" w:rsidRDefault="00DA686D" w:rsidP="00C84F5B">
      <w:pPr>
        <w:pStyle w:val="NoSpacing"/>
        <w:spacing w:line="276" w:lineRule="auto"/>
        <w:rPr>
          <w:rFonts w:ascii="Arial" w:eastAsia="Times New Roman" w:hAnsi="Arial" w:cs="Arial"/>
          <w:color w:val="000000"/>
          <w:sz w:val="24"/>
          <w:szCs w:val="24"/>
        </w:rPr>
      </w:pPr>
    </w:p>
    <w:p w14:paraId="17172295" w14:textId="7BEAE52D" w:rsidR="00DA686D" w:rsidRPr="00BF20CF" w:rsidRDefault="00DA686D" w:rsidP="00C84F5B">
      <w:pPr>
        <w:pStyle w:val="NoSpacing"/>
        <w:spacing w:line="276" w:lineRule="auto"/>
        <w:rPr>
          <w:rFonts w:ascii="Arial" w:eastAsia="Times New Roman" w:hAnsi="Arial" w:cs="Arial"/>
          <w:color w:val="000000"/>
          <w:sz w:val="24"/>
          <w:szCs w:val="24"/>
        </w:rPr>
      </w:pPr>
      <w:r w:rsidRPr="00BF20CF">
        <w:rPr>
          <w:rFonts w:ascii="Arial" w:eastAsia="Times New Roman" w:hAnsi="Arial" w:cs="Arial"/>
          <w:color w:val="000000"/>
          <w:sz w:val="24"/>
          <w:szCs w:val="24"/>
        </w:rPr>
        <w:t xml:space="preserve">Notwithstanding the above, Table 6 from Part 1 of its 2012 COS proceeding IRRs </w:t>
      </w:r>
      <w:r w:rsidRPr="00BF20CF">
        <w:rPr>
          <w:rFonts w:ascii="Arial" w:hAnsi="Arial" w:cs="Arial"/>
          <w:sz w:val="24"/>
          <w:szCs w:val="24"/>
        </w:rPr>
        <w:t xml:space="preserve">showed different 2011 and 2012 CDM adjustment figures than the amounts included in the LRAMVA </w:t>
      </w:r>
      <w:proofErr w:type="spellStart"/>
      <w:r w:rsidRPr="00BF20CF">
        <w:rPr>
          <w:rFonts w:ascii="Arial" w:hAnsi="Arial" w:cs="Arial"/>
          <w:sz w:val="24"/>
          <w:szCs w:val="24"/>
        </w:rPr>
        <w:t>workform</w:t>
      </w:r>
      <w:proofErr w:type="spellEnd"/>
      <w:r w:rsidRPr="00BF20CF">
        <w:rPr>
          <w:rFonts w:ascii="Arial" w:eastAsia="Times New Roman" w:hAnsi="Arial" w:cs="Arial"/>
          <w:color w:val="000000"/>
          <w:sz w:val="24"/>
          <w:szCs w:val="24"/>
        </w:rPr>
        <w:t>:</w:t>
      </w:r>
    </w:p>
    <w:p w14:paraId="6D966978" w14:textId="77777777" w:rsidR="00DA686D" w:rsidRPr="00BF20CF" w:rsidRDefault="00DA686D" w:rsidP="00C84F5B">
      <w:pPr>
        <w:pStyle w:val="NoSpacing"/>
        <w:spacing w:line="276" w:lineRule="auto"/>
        <w:rPr>
          <w:rFonts w:ascii="Arial" w:eastAsia="Times New Roman" w:hAnsi="Arial" w:cs="Arial"/>
          <w:color w:val="000000"/>
          <w:sz w:val="24"/>
          <w:szCs w:val="24"/>
        </w:rPr>
      </w:pPr>
      <w:r w:rsidRPr="00BF20CF">
        <w:rPr>
          <w:noProof/>
        </w:rPr>
        <w:t xml:space="preserve"> </w:t>
      </w:r>
    </w:p>
    <w:p w14:paraId="3E591B67" w14:textId="7D66E714" w:rsidR="00DA686D" w:rsidRPr="00BF20CF" w:rsidRDefault="00DA686D" w:rsidP="00C84F5B">
      <w:pPr>
        <w:pStyle w:val="NoSpacing"/>
        <w:spacing w:line="276" w:lineRule="auto"/>
        <w:rPr>
          <w:rFonts w:ascii="Arial" w:hAnsi="Arial" w:cs="Arial"/>
          <w:sz w:val="24"/>
          <w:szCs w:val="24"/>
        </w:rPr>
      </w:pPr>
      <w:r w:rsidRPr="00BF20CF">
        <w:rPr>
          <w:noProof/>
        </w:rPr>
        <w:drawing>
          <wp:inline distT="0" distB="0" distL="0" distR="0" wp14:anchorId="3F4ECE7A" wp14:editId="4D53E953">
            <wp:extent cx="4403271" cy="928638"/>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89281" cy="946777"/>
                    </a:xfrm>
                    <a:prstGeom prst="rect">
                      <a:avLst/>
                    </a:prstGeom>
                  </pic:spPr>
                </pic:pic>
              </a:graphicData>
            </a:graphic>
          </wp:inline>
        </w:drawing>
      </w:r>
    </w:p>
    <w:p w14:paraId="076F00CB" w14:textId="4C31B6FF" w:rsidR="00DA686D" w:rsidRPr="00BF20CF" w:rsidRDefault="00DA686D" w:rsidP="00C84F5B">
      <w:pPr>
        <w:pStyle w:val="NoSpacing"/>
        <w:spacing w:line="276" w:lineRule="auto"/>
        <w:rPr>
          <w:rFonts w:ascii="Arial" w:hAnsi="Arial" w:cs="Arial"/>
          <w:sz w:val="20"/>
          <w:szCs w:val="24"/>
        </w:rPr>
      </w:pPr>
      <w:r w:rsidRPr="00BF20CF">
        <w:rPr>
          <w:rFonts w:ascii="Arial" w:hAnsi="Arial" w:cs="Arial"/>
          <w:sz w:val="20"/>
          <w:szCs w:val="24"/>
        </w:rPr>
        <w:t>Source: EB-2011-0054, Part 1 IRRs, K3-3-2 (Energy Probe #28b)</w:t>
      </w:r>
    </w:p>
    <w:p w14:paraId="487E1B07" w14:textId="77777777" w:rsidR="00DA686D" w:rsidRPr="00BF20CF" w:rsidRDefault="00DA686D" w:rsidP="00C84F5B">
      <w:pPr>
        <w:pStyle w:val="NoSpacing"/>
        <w:spacing w:line="276" w:lineRule="auto"/>
        <w:rPr>
          <w:rFonts w:ascii="Arial" w:hAnsi="Arial" w:cs="Arial"/>
          <w:sz w:val="24"/>
          <w:szCs w:val="24"/>
        </w:rPr>
      </w:pPr>
    </w:p>
    <w:p w14:paraId="28DFA69F"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Question(s):</w:t>
      </w:r>
    </w:p>
    <w:p w14:paraId="2707FBC1" w14:textId="77777777" w:rsidR="00DA686D" w:rsidRPr="00BF20CF" w:rsidRDefault="00DA686D" w:rsidP="00C84F5B">
      <w:pPr>
        <w:pStyle w:val="NoSpacing"/>
        <w:spacing w:line="276" w:lineRule="auto"/>
        <w:rPr>
          <w:rFonts w:ascii="Arial" w:hAnsi="Arial" w:cs="Arial"/>
          <w:sz w:val="24"/>
          <w:szCs w:val="24"/>
        </w:rPr>
      </w:pPr>
    </w:p>
    <w:p w14:paraId="7851D45B" w14:textId="06BFE02C" w:rsidR="00DA686D" w:rsidRPr="00BF20CF" w:rsidRDefault="00DA686D" w:rsidP="00DA686D">
      <w:pPr>
        <w:pStyle w:val="NoSpacing"/>
        <w:numPr>
          <w:ilvl w:val="0"/>
          <w:numId w:val="210"/>
        </w:numPr>
        <w:spacing w:line="276" w:lineRule="auto"/>
        <w:rPr>
          <w:rFonts w:ascii="Arial" w:hAnsi="Arial" w:cs="Arial"/>
          <w:sz w:val="24"/>
          <w:szCs w:val="24"/>
        </w:rPr>
      </w:pPr>
      <w:r w:rsidRPr="00BF20CF">
        <w:rPr>
          <w:rFonts w:ascii="Arial" w:hAnsi="Arial" w:cs="Arial"/>
          <w:sz w:val="24"/>
          <w:szCs w:val="24"/>
        </w:rPr>
        <w:t xml:space="preserve">Please clarify whether the 29,390,965 kWh used as LRAMVA threshold in </w:t>
      </w:r>
      <w:proofErr w:type="spellStart"/>
      <w:r w:rsidRPr="00BF20CF">
        <w:rPr>
          <w:rFonts w:ascii="Arial" w:hAnsi="Arial" w:cs="Arial"/>
          <w:sz w:val="24"/>
          <w:szCs w:val="24"/>
        </w:rPr>
        <w:t>Workforms</w:t>
      </w:r>
      <w:proofErr w:type="spellEnd"/>
      <w:r w:rsidRPr="00BF20CF">
        <w:rPr>
          <w:rFonts w:ascii="Arial" w:hAnsi="Arial" w:cs="Arial"/>
          <w:sz w:val="24"/>
          <w:szCs w:val="24"/>
        </w:rPr>
        <w:t xml:space="preserve"> A and C is a component of the 75 </w:t>
      </w:r>
      <w:proofErr w:type="spellStart"/>
      <w:r w:rsidRPr="00BF20CF">
        <w:rPr>
          <w:rFonts w:ascii="Arial" w:hAnsi="Arial" w:cs="Arial"/>
          <w:sz w:val="24"/>
          <w:szCs w:val="24"/>
        </w:rPr>
        <w:t>GWh</w:t>
      </w:r>
      <w:proofErr w:type="spellEnd"/>
      <w:r w:rsidRPr="00BF20CF">
        <w:rPr>
          <w:rFonts w:ascii="Arial" w:hAnsi="Arial" w:cs="Arial"/>
          <w:sz w:val="24"/>
          <w:szCs w:val="24"/>
        </w:rPr>
        <w:t xml:space="preserve"> CDM adjustment associated with energy billed customers. </w:t>
      </w:r>
    </w:p>
    <w:p w14:paraId="764C9E91" w14:textId="77777777" w:rsidR="00DA686D" w:rsidRPr="00BF20CF" w:rsidRDefault="00DA686D" w:rsidP="00C84F5B">
      <w:pPr>
        <w:pStyle w:val="NoSpacing"/>
        <w:spacing w:line="276" w:lineRule="auto"/>
        <w:ind w:left="720"/>
        <w:rPr>
          <w:rFonts w:ascii="Arial" w:hAnsi="Arial" w:cs="Arial"/>
          <w:sz w:val="24"/>
          <w:szCs w:val="24"/>
        </w:rPr>
      </w:pPr>
    </w:p>
    <w:p w14:paraId="746C1616" w14:textId="128162F3" w:rsidR="00DA686D" w:rsidRPr="00BF20CF" w:rsidRDefault="00DA686D" w:rsidP="00DA686D">
      <w:pPr>
        <w:pStyle w:val="NoSpacing"/>
        <w:numPr>
          <w:ilvl w:val="0"/>
          <w:numId w:val="210"/>
        </w:numPr>
        <w:spacing w:line="276" w:lineRule="auto"/>
        <w:rPr>
          <w:rFonts w:ascii="Arial" w:hAnsi="Arial" w:cs="Arial"/>
          <w:sz w:val="24"/>
          <w:szCs w:val="24"/>
        </w:rPr>
      </w:pPr>
      <w:r w:rsidRPr="00BF20CF">
        <w:rPr>
          <w:rFonts w:ascii="Arial" w:hAnsi="Arial" w:cs="Arial"/>
          <w:sz w:val="24"/>
          <w:szCs w:val="24"/>
        </w:rPr>
        <w:t>Please confirm the figures in</w:t>
      </w:r>
      <w:r w:rsidRPr="00BF20CF">
        <w:rPr>
          <w:rFonts w:ascii="Arial" w:eastAsia="Times New Roman" w:hAnsi="Arial" w:cs="Arial"/>
          <w:color w:val="000000"/>
          <w:sz w:val="24"/>
          <w:szCs w:val="24"/>
        </w:rPr>
        <w:t xml:space="preserve"> Table 6 (preamble): </w:t>
      </w:r>
    </w:p>
    <w:p w14:paraId="71983C1B" w14:textId="77777777" w:rsidR="00DA686D" w:rsidRPr="00BF20CF" w:rsidRDefault="00DA686D" w:rsidP="00C84F5B">
      <w:pPr>
        <w:pStyle w:val="NoSpacing"/>
        <w:spacing w:line="276" w:lineRule="auto"/>
        <w:ind w:left="720"/>
        <w:rPr>
          <w:rFonts w:ascii="Arial" w:hAnsi="Arial" w:cs="Arial"/>
          <w:sz w:val="24"/>
          <w:szCs w:val="24"/>
        </w:rPr>
      </w:pPr>
    </w:p>
    <w:p w14:paraId="7846CA39" w14:textId="77777777" w:rsidR="00DA686D" w:rsidRPr="00BF20CF" w:rsidRDefault="00DA686D" w:rsidP="00DA686D">
      <w:pPr>
        <w:pStyle w:val="NoSpacing"/>
        <w:numPr>
          <w:ilvl w:val="1"/>
          <w:numId w:val="214"/>
        </w:numPr>
        <w:spacing w:line="276" w:lineRule="auto"/>
        <w:rPr>
          <w:rFonts w:ascii="Arial" w:hAnsi="Arial" w:cs="Arial"/>
          <w:sz w:val="24"/>
          <w:szCs w:val="24"/>
        </w:rPr>
      </w:pPr>
      <w:r w:rsidRPr="00BF20CF">
        <w:rPr>
          <w:rFonts w:ascii="Arial" w:hAnsi="Arial" w:cs="Arial"/>
          <w:sz w:val="24"/>
          <w:szCs w:val="24"/>
        </w:rPr>
        <w:t xml:space="preserve">75 </w:t>
      </w:r>
      <w:proofErr w:type="spellStart"/>
      <w:r w:rsidRPr="00BF20CF">
        <w:rPr>
          <w:rFonts w:ascii="Arial" w:hAnsi="Arial" w:cs="Arial"/>
          <w:sz w:val="24"/>
          <w:szCs w:val="24"/>
        </w:rPr>
        <w:t>GWh</w:t>
      </w:r>
      <w:proofErr w:type="spellEnd"/>
      <w:r w:rsidRPr="00BF20CF">
        <w:rPr>
          <w:rFonts w:ascii="Arial" w:hAnsi="Arial" w:cs="Arial"/>
          <w:sz w:val="24"/>
          <w:szCs w:val="24"/>
        </w:rPr>
        <w:t xml:space="preserve"> reflect</w:t>
      </w:r>
      <w:r w:rsidRPr="00BF20CF">
        <w:rPr>
          <w:rFonts w:ascii="Arial" w:eastAsia="Times New Roman" w:hAnsi="Arial" w:cs="Arial"/>
          <w:color w:val="000000"/>
          <w:sz w:val="24"/>
          <w:szCs w:val="24"/>
        </w:rPr>
        <w:t xml:space="preserve">s the incremental CDM adjustment to the 2012 load forecast based on the difference between 112.5 </w:t>
      </w:r>
      <w:proofErr w:type="spellStart"/>
      <w:r w:rsidRPr="00BF20CF">
        <w:rPr>
          <w:rFonts w:ascii="Arial" w:eastAsia="Times New Roman" w:hAnsi="Arial" w:cs="Arial"/>
          <w:color w:val="000000"/>
          <w:sz w:val="24"/>
          <w:szCs w:val="24"/>
        </w:rPr>
        <w:t>GWh</w:t>
      </w:r>
      <w:proofErr w:type="spellEnd"/>
      <w:r w:rsidRPr="00BF20CF">
        <w:rPr>
          <w:rFonts w:ascii="Arial" w:eastAsia="Times New Roman" w:hAnsi="Arial" w:cs="Arial"/>
          <w:color w:val="000000"/>
          <w:sz w:val="24"/>
          <w:szCs w:val="24"/>
        </w:rPr>
        <w:t xml:space="preserve"> (2012 figure) and 37.5 </w:t>
      </w:r>
      <w:proofErr w:type="spellStart"/>
      <w:r w:rsidRPr="00BF20CF">
        <w:rPr>
          <w:rFonts w:ascii="Arial" w:eastAsia="Times New Roman" w:hAnsi="Arial" w:cs="Arial"/>
          <w:color w:val="000000"/>
          <w:sz w:val="24"/>
          <w:szCs w:val="24"/>
        </w:rPr>
        <w:t>GWh</w:t>
      </w:r>
      <w:proofErr w:type="spellEnd"/>
      <w:r w:rsidRPr="00BF20CF">
        <w:rPr>
          <w:rFonts w:ascii="Arial" w:eastAsia="Times New Roman" w:hAnsi="Arial" w:cs="Arial"/>
          <w:color w:val="000000"/>
          <w:sz w:val="24"/>
          <w:szCs w:val="24"/>
        </w:rPr>
        <w:t xml:space="preserve"> (2011 figure)</w:t>
      </w:r>
    </w:p>
    <w:p w14:paraId="4EC8D4A2" w14:textId="08BDBF40" w:rsidR="00DA686D" w:rsidRPr="00BF20CF" w:rsidRDefault="00DA686D" w:rsidP="00DA686D">
      <w:pPr>
        <w:pStyle w:val="NoSpacing"/>
        <w:numPr>
          <w:ilvl w:val="1"/>
          <w:numId w:val="214"/>
        </w:numPr>
        <w:spacing w:line="276" w:lineRule="auto"/>
        <w:rPr>
          <w:rFonts w:ascii="Arial" w:hAnsi="Arial" w:cs="Arial"/>
          <w:sz w:val="24"/>
          <w:szCs w:val="24"/>
        </w:rPr>
      </w:pPr>
      <w:r w:rsidRPr="00BF20CF">
        <w:rPr>
          <w:rFonts w:ascii="Arial" w:eastAsia="Times New Roman" w:hAnsi="Arial" w:cs="Arial"/>
          <w:color w:val="000000"/>
          <w:sz w:val="24"/>
          <w:szCs w:val="24"/>
        </w:rPr>
        <w:t xml:space="preserve">112.5 </w:t>
      </w:r>
      <w:proofErr w:type="spellStart"/>
      <w:r w:rsidRPr="00BF20CF">
        <w:rPr>
          <w:rFonts w:ascii="Arial" w:eastAsia="Times New Roman" w:hAnsi="Arial" w:cs="Arial"/>
          <w:color w:val="000000"/>
          <w:sz w:val="24"/>
          <w:szCs w:val="24"/>
        </w:rPr>
        <w:t>GWh</w:t>
      </w:r>
      <w:proofErr w:type="spellEnd"/>
      <w:r w:rsidRPr="00BF20CF">
        <w:rPr>
          <w:rFonts w:ascii="Arial" w:eastAsia="Times New Roman" w:hAnsi="Arial" w:cs="Arial"/>
          <w:color w:val="000000"/>
          <w:sz w:val="24"/>
          <w:szCs w:val="24"/>
        </w:rPr>
        <w:t xml:space="preserve"> </w:t>
      </w:r>
      <w:r w:rsidRPr="00BF20CF">
        <w:rPr>
          <w:rFonts w:ascii="Arial" w:hAnsi="Arial" w:cs="Arial"/>
          <w:sz w:val="24"/>
          <w:szCs w:val="24"/>
        </w:rPr>
        <w:t>reflect</w:t>
      </w:r>
      <w:r w:rsidRPr="00BF20CF">
        <w:rPr>
          <w:rFonts w:ascii="Arial" w:eastAsia="Times New Roman" w:hAnsi="Arial" w:cs="Arial"/>
          <w:color w:val="000000"/>
          <w:sz w:val="24"/>
          <w:szCs w:val="24"/>
        </w:rPr>
        <w:t>s</w:t>
      </w:r>
      <w:r w:rsidRPr="00BF20CF" w:rsidDel="00B22DE7">
        <w:rPr>
          <w:rFonts w:ascii="Arial" w:eastAsia="Times New Roman" w:hAnsi="Arial" w:cs="Arial"/>
          <w:color w:val="000000"/>
          <w:sz w:val="24"/>
          <w:szCs w:val="24"/>
        </w:rPr>
        <w:t xml:space="preserve"> </w:t>
      </w:r>
      <w:r w:rsidRPr="00BF20CF">
        <w:rPr>
          <w:rFonts w:ascii="Arial" w:eastAsia="Times New Roman" w:hAnsi="Arial" w:cs="Arial"/>
          <w:color w:val="000000"/>
          <w:sz w:val="24"/>
          <w:szCs w:val="24"/>
        </w:rPr>
        <w:t xml:space="preserve">the cumulative CDM impact included in the 2012 load forecast </w:t>
      </w:r>
    </w:p>
    <w:p w14:paraId="0992224C" w14:textId="77777777" w:rsidR="00DA686D" w:rsidRPr="00BF20CF" w:rsidRDefault="00DA686D" w:rsidP="00C84F5B">
      <w:pPr>
        <w:pStyle w:val="NoSpacing"/>
        <w:spacing w:line="276" w:lineRule="auto"/>
        <w:ind w:left="1440"/>
        <w:rPr>
          <w:rFonts w:ascii="Arial" w:hAnsi="Arial" w:cs="Arial"/>
          <w:sz w:val="24"/>
          <w:szCs w:val="24"/>
        </w:rPr>
      </w:pPr>
    </w:p>
    <w:p w14:paraId="530B3491" w14:textId="59C1DE00" w:rsidR="00DA686D" w:rsidRPr="00BF20CF" w:rsidRDefault="00DA686D" w:rsidP="00DA686D">
      <w:pPr>
        <w:pStyle w:val="NoSpacing"/>
        <w:numPr>
          <w:ilvl w:val="0"/>
          <w:numId w:val="210"/>
        </w:numPr>
        <w:spacing w:line="276" w:lineRule="auto"/>
        <w:rPr>
          <w:rFonts w:ascii="Arial" w:hAnsi="Arial" w:cs="Arial"/>
          <w:sz w:val="24"/>
          <w:szCs w:val="24"/>
        </w:rPr>
      </w:pPr>
      <w:r w:rsidRPr="00BF20CF">
        <w:rPr>
          <w:rFonts w:ascii="Arial" w:hAnsi="Arial" w:cs="Arial"/>
          <w:sz w:val="24"/>
          <w:szCs w:val="24"/>
        </w:rPr>
        <w:t xml:space="preserve">In light of the OEB’s partial decision in </w:t>
      </w:r>
      <w:proofErr w:type="spellStart"/>
      <w:r w:rsidRPr="00BF20CF">
        <w:rPr>
          <w:rFonts w:ascii="Arial" w:hAnsi="Arial" w:cs="Arial"/>
          <w:sz w:val="24"/>
          <w:szCs w:val="24"/>
        </w:rPr>
        <w:t>Alectra’s</w:t>
      </w:r>
      <w:proofErr w:type="spellEnd"/>
      <w:r w:rsidRPr="00BF20CF">
        <w:rPr>
          <w:rFonts w:ascii="Arial" w:hAnsi="Arial" w:cs="Arial"/>
          <w:sz w:val="24"/>
          <w:szCs w:val="24"/>
        </w:rPr>
        <w:t xml:space="preserve"> 2020 IRM application where a cumulative LRAMVA threshold was used in the Horizon Rate </w:t>
      </w:r>
      <w:r w:rsidRPr="00BF20CF">
        <w:rPr>
          <w:rFonts w:ascii="Arial" w:hAnsi="Arial" w:cs="Arial"/>
          <w:sz w:val="24"/>
          <w:szCs w:val="24"/>
        </w:rPr>
        <w:lastRenderedPageBreak/>
        <w:t>Zone</w:t>
      </w:r>
      <w:r w:rsidRPr="00BF20CF">
        <w:rPr>
          <w:rStyle w:val="FootnoteReference"/>
          <w:rFonts w:ascii="Arial" w:hAnsi="Arial" w:cs="Arial"/>
          <w:sz w:val="24"/>
          <w:szCs w:val="24"/>
        </w:rPr>
        <w:footnoteReference w:id="30"/>
      </w:r>
      <w:r w:rsidRPr="00BF20CF">
        <w:rPr>
          <w:rFonts w:ascii="Arial" w:hAnsi="Arial" w:cs="Arial"/>
          <w:sz w:val="24"/>
          <w:szCs w:val="24"/>
        </w:rPr>
        <w:t xml:space="preserve">, please explain why Hydro Ottawa is using an ‘incremental’ LRAMVA threshold of </w:t>
      </w:r>
      <w:r w:rsidRPr="00BF20CF">
        <w:rPr>
          <w:rFonts w:ascii="Arial" w:eastAsia="Times New Roman" w:hAnsi="Arial" w:cs="Arial"/>
          <w:color w:val="000000"/>
          <w:sz w:val="24"/>
          <w:szCs w:val="24"/>
        </w:rPr>
        <w:t xml:space="preserve">29,390,965 kWh (LRAMVA </w:t>
      </w:r>
      <w:proofErr w:type="spellStart"/>
      <w:r w:rsidRPr="00BF20CF">
        <w:rPr>
          <w:rFonts w:ascii="Arial" w:eastAsia="Times New Roman" w:hAnsi="Arial" w:cs="Arial"/>
          <w:color w:val="000000"/>
          <w:sz w:val="24"/>
          <w:szCs w:val="24"/>
        </w:rPr>
        <w:t>Workforms</w:t>
      </w:r>
      <w:proofErr w:type="spellEnd"/>
      <w:r w:rsidRPr="00BF20CF">
        <w:rPr>
          <w:rFonts w:ascii="Arial" w:eastAsia="Times New Roman" w:hAnsi="Arial" w:cs="Arial"/>
          <w:color w:val="000000"/>
          <w:sz w:val="24"/>
          <w:szCs w:val="24"/>
        </w:rPr>
        <w:t xml:space="preserve"> A and C) rather than ‘cumulative’ forecast savings of </w:t>
      </w:r>
      <w:r w:rsidRPr="00BF20CF">
        <w:rPr>
          <w:rFonts w:ascii="Arial" w:hAnsi="Arial" w:cs="Arial"/>
          <w:sz w:val="24"/>
          <w:szCs w:val="24"/>
        </w:rPr>
        <w:t>112.5 million kWh (per Table 6 in K3-3-2 (#28) to EP).</w:t>
      </w:r>
    </w:p>
    <w:p w14:paraId="6FEC8E64" w14:textId="77777777" w:rsidR="00DA686D" w:rsidRPr="00BF20CF" w:rsidRDefault="00DA686D" w:rsidP="00C84F5B">
      <w:pPr>
        <w:pStyle w:val="NoSpacing"/>
        <w:spacing w:line="276" w:lineRule="auto"/>
        <w:ind w:left="720"/>
        <w:rPr>
          <w:rFonts w:ascii="Arial" w:hAnsi="Arial" w:cs="Arial"/>
          <w:sz w:val="24"/>
          <w:szCs w:val="24"/>
        </w:rPr>
      </w:pPr>
    </w:p>
    <w:p w14:paraId="611F8BDC" w14:textId="038EDB91" w:rsidR="00DA686D" w:rsidRPr="00BF20CF" w:rsidRDefault="00DA686D" w:rsidP="00DA686D">
      <w:pPr>
        <w:pStyle w:val="NoSpacing"/>
        <w:numPr>
          <w:ilvl w:val="0"/>
          <w:numId w:val="210"/>
        </w:numPr>
        <w:spacing w:line="276" w:lineRule="auto"/>
        <w:rPr>
          <w:rFonts w:ascii="Arial" w:hAnsi="Arial" w:cs="Arial"/>
          <w:sz w:val="24"/>
          <w:szCs w:val="24"/>
        </w:rPr>
      </w:pPr>
      <w:r w:rsidRPr="00BF20CF">
        <w:rPr>
          <w:rFonts w:ascii="Arial" w:hAnsi="Arial" w:cs="Arial"/>
          <w:sz w:val="24"/>
          <w:szCs w:val="24"/>
        </w:rPr>
        <w:t xml:space="preserve">Please update Tab 2 of </w:t>
      </w:r>
      <w:proofErr w:type="spellStart"/>
      <w:r w:rsidRPr="00BF20CF">
        <w:rPr>
          <w:rFonts w:ascii="Arial" w:hAnsi="Arial" w:cs="Arial"/>
          <w:sz w:val="24"/>
          <w:szCs w:val="24"/>
        </w:rPr>
        <w:t>Workforms</w:t>
      </w:r>
      <w:proofErr w:type="spellEnd"/>
      <w:r w:rsidRPr="00BF20CF">
        <w:rPr>
          <w:rFonts w:ascii="Arial" w:hAnsi="Arial" w:cs="Arial"/>
          <w:sz w:val="24"/>
          <w:szCs w:val="24"/>
        </w:rPr>
        <w:t xml:space="preserve"> A, B (if applicable), C and D with a LRAMVA threshold value of 112.5 million kWh along with the appropriate rate class breakdown. Please ensure that the total kWh LRAMVA threshold by rate class (as entered in LRAMVA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matches the LRAMVA threshold amounts on the EB-2011-0054 record. </w:t>
      </w:r>
    </w:p>
    <w:p w14:paraId="25DA8B21" w14:textId="0A9DB610" w:rsidR="00E335F0" w:rsidRPr="00BF20CF" w:rsidRDefault="00E335F0" w:rsidP="00E335F0">
      <w:pPr>
        <w:pStyle w:val="StaffHeader"/>
        <w:numPr>
          <w:ilvl w:val="0"/>
          <w:numId w:val="0"/>
        </w:numPr>
        <w:spacing w:before="240"/>
        <w:rPr>
          <w:rFonts w:cs="Arial"/>
          <w:szCs w:val="24"/>
          <w:u w:val="none"/>
        </w:rPr>
      </w:pPr>
      <w:r w:rsidRPr="00BF20CF">
        <w:rPr>
          <w:rFonts w:cs="Arial"/>
          <w:szCs w:val="24"/>
          <w:u w:val="none"/>
        </w:rPr>
        <w:t>9-Staff-4</w:t>
      </w:r>
    </w:p>
    <w:p w14:paraId="7956E8F9" w14:textId="4437B0D2" w:rsidR="00DA686D" w:rsidRPr="00BF20CF" w:rsidRDefault="00DA686D" w:rsidP="00C84F5B">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 xml:space="preserve">LRAMVA </w:t>
      </w:r>
      <w:proofErr w:type="spellStart"/>
      <w:r w:rsidRPr="00BF20CF">
        <w:rPr>
          <w:rFonts w:ascii="Arial" w:hAnsi="Arial" w:cs="Arial"/>
          <w:b/>
          <w:sz w:val="24"/>
          <w:szCs w:val="24"/>
        </w:rPr>
        <w:t>Workform</w:t>
      </w:r>
      <w:proofErr w:type="spellEnd"/>
      <w:r w:rsidRPr="00BF20CF">
        <w:rPr>
          <w:rFonts w:ascii="Arial" w:hAnsi="Arial" w:cs="Arial"/>
          <w:b/>
          <w:sz w:val="24"/>
          <w:szCs w:val="24"/>
        </w:rPr>
        <w:t xml:space="preserve"> A (“2014LRAMVA_452A”)/ Tab 4</w:t>
      </w:r>
    </w:p>
    <w:p w14:paraId="16348F99" w14:textId="0A51658D" w:rsidR="00DA686D" w:rsidRPr="00BF20CF" w:rsidRDefault="00DA686D" w:rsidP="00C84F5B">
      <w:pPr>
        <w:pStyle w:val="NoSpacing"/>
        <w:spacing w:line="276" w:lineRule="auto"/>
        <w:ind w:firstLine="720"/>
        <w:rPr>
          <w:rFonts w:ascii="Arial" w:hAnsi="Arial" w:cs="Arial"/>
          <w:b/>
          <w:sz w:val="24"/>
          <w:szCs w:val="24"/>
        </w:rPr>
      </w:pPr>
      <w:r w:rsidRPr="00BF20CF">
        <w:rPr>
          <w:rFonts w:ascii="Arial" w:hAnsi="Arial" w:cs="Arial"/>
          <w:b/>
          <w:sz w:val="24"/>
          <w:szCs w:val="24"/>
        </w:rPr>
        <w:t xml:space="preserve">LRAMVA </w:t>
      </w:r>
      <w:proofErr w:type="spellStart"/>
      <w:r w:rsidRPr="00BF20CF">
        <w:rPr>
          <w:rFonts w:ascii="Arial" w:hAnsi="Arial" w:cs="Arial"/>
          <w:b/>
          <w:sz w:val="24"/>
          <w:szCs w:val="24"/>
        </w:rPr>
        <w:t>Workform</w:t>
      </w:r>
      <w:proofErr w:type="spellEnd"/>
      <w:r w:rsidRPr="00BF20CF">
        <w:rPr>
          <w:rFonts w:ascii="Arial" w:hAnsi="Arial" w:cs="Arial"/>
          <w:b/>
          <w:sz w:val="24"/>
          <w:szCs w:val="24"/>
        </w:rPr>
        <w:t xml:space="preserve"> B (“2014Adjustments_LRAMVA_452B”)/ Tab 4</w:t>
      </w:r>
    </w:p>
    <w:p w14:paraId="79758CDD" w14:textId="77777777" w:rsidR="00DA686D" w:rsidRPr="00BF20CF" w:rsidRDefault="00DA686D" w:rsidP="00C84F5B">
      <w:pPr>
        <w:pStyle w:val="NoSpacing"/>
        <w:spacing w:line="276" w:lineRule="auto"/>
        <w:rPr>
          <w:rFonts w:ascii="Arial" w:hAnsi="Arial" w:cs="Arial"/>
          <w:b/>
          <w:sz w:val="24"/>
          <w:szCs w:val="24"/>
        </w:rPr>
      </w:pPr>
    </w:p>
    <w:p w14:paraId="2DA9E18A"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 xml:space="preserve">Preamble: </w:t>
      </w:r>
    </w:p>
    <w:p w14:paraId="693E2A4C" w14:textId="77777777" w:rsidR="00DA686D" w:rsidRPr="00BF20CF" w:rsidRDefault="00DA686D" w:rsidP="00C84F5B">
      <w:pPr>
        <w:pStyle w:val="NoSpacing"/>
        <w:spacing w:line="276" w:lineRule="auto"/>
        <w:rPr>
          <w:rFonts w:ascii="Arial" w:hAnsi="Arial" w:cs="Arial"/>
          <w:sz w:val="24"/>
          <w:szCs w:val="24"/>
        </w:rPr>
      </w:pPr>
    </w:p>
    <w:p w14:paraId="10E9842C"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 xml:space="preserve">It appears there are two 2013 adjustments entered into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B (“2014Adjustments_LRAMVA_452B”) that were not included in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A (“2014LRAMVA_452A”).</w:t>
      </w:r>
    </w:p>
    <w:p w14:paraId="79629447" w14:textId="77777777" w:rsidR="00DA686D" w:rsidRPr="00BF20CF" w:rsidRDefault="00DA686D" w:rsidP="00DA686D">
      <w:pPr>
        <w:pStyle w:val="NoSpacing"/>
        <w:numPr>
          <w:ilvl w:val="0"/>
          <w:numId w:val="208"/>
        </w:numPr>
        <w:spacing w:line="276" w:lineRule="auto"/>
        <w:rPr>
          <w:rFonts w:ascii="Arial" w:hAnsi="Arial" w:cs="Arial"/>
          <w:sz w:val="24"/>
          <w:szCs w:val="24"/>
        </w:rPr>
      </w:pPr>
      <w:r w:rsidRPr="00BF20CF">
        <w:rPr>
          <w:rFonts w:ascii="Arial" w:hAnsi="Arial" w:cs="Arial"/>
          <w:sz w:val="24"/>
          <w:szCs w:val="24"/>
        </w:rPr>
        <w:t>Energy Manager (846,892 kWh in 2013; 1,141,184 kWh in 2014)</w:t>
      </w:r>
    </w:p>
    <w:p w14:paraId="55DF4D9F" w14:textId="77777777" w:rsidR="00DA686D" w:rsidRPr="00BF20CF" w:rsidRDefault="00DA686D" w:rsidP="00DA686D">
      <w:pPr>
        <w:pStyle w:val="NoSpacing"/>
        <w:numPr>
          <w:ilvl w:val="0"/>
          <w:numId w:val="208"/>
        </w:numPr>
        <w:spacing w:line="276" w:lineRule="auto"/>
        <w:rPr>
          <w:rFonts w:ascii="Arial" w:hAnsi="Arial" w:cs="Arial"/>
          <w:sz w:val="24"/>
          <w:szCs w:val="24"/>
        </w:rPr>
      </w:pPr>
      <w:r w:rsidRPr="00BF20CF">
        <w:rPr>
          <w:rFonts w:ascii="Arial" w:hAnsi="Arial" w:cs="Arial"/>
          <w:sz w:val="24"/>
          <w:szCs w:val="24"/>
        </w:rPr>
        <w:t>High Performance New Construction (-949,590 kWh in 2013 and 2014)</w:t>
      </w:r>
    </w:p>
    <w:p w14:paraId="72B1A0E7" w14:textId="77777777" w:rsidR="00DA686D" w:rsidRPr="00BF20CF" w:rsidRDefault="00DA686D" w:rsidP="00C84F5B">
      <w:pPr>
        <w:pStyle w:val="NoSpacing"/>
        <w:spacing w:line="276" w:lineRule="auto"/>
        <w:rPr>
          <w:rFonts w:ascii="Arial" w:hAnsi="Arial" w:cs="Arial"/>
          <w:sz w:val="24"/>
          <w:szCs w:val="24"/>
        </w:rPr>
      </w:pPr>
    </w:p>
    <w:p w14:paraId="2376BD73"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Question(s):</w:t>
      </w:r>
    </w:p>
    <w:p w14:paraId="1D4E9E40" w14:textId="77777777" w:rsidR="00DA686D" w:rsidRPr="00BF20CF" w:rsidRDefault="00DA686D" w:rsidP="00C84F5B">
      <w:pPr>
        <w:pStyle w:val="NoSpacing"/>
        <w:spacing w:line="276" w:lineRule="auto"/>
        <w:rPr>
          <w:rFonts w:ascii="Arial" w:hAnsi="Arial" w:cs="Arial"/>
          <w:sz w:val="24"/>
          <w:szCs w:val="24"/>
        </w:rPr>
      </w:pPr>
    </w:p>
    <w:p w14:paraId="6C19BCF0" w14:textId="77777777" w:rsidR="00DA686D" w:rsidRPr="00BF20CF" w:rsidRDefault="00DA686D" w:rsidP="00DA686D">
      <w:pPr>
        <w:pStyle w:val="NoSpacing"/>
        <w:numPr>
          <w:ilvl w:val="0"/>
          <w:numId w:val="209"/>
        </w:numPr>
        <w:spacing w:line="276" w:lineRule="auto"/>
        <w:rPr>
          <w:rFonts w:ascii="Arial" w:hAnsi="Arial" w:cs="Arial"/>
          <w:sz w:val="24"/>
          <w:szCs w:val="24"/>
        </w:rPr>
      </w:pPr>
      <w:r w:rsidRPr="00BF20CF">
        <w:rPr>
          <w:rFonts w:ascii="Arial" w:hAnsi="Arial" w:cs="Arial"/>
          <w:sz w:val="24"/>
          <w:szCs w:val="24"/>
        </w:rPr>
        <w:t xml:space="preserve">Please re-file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A (“2014LRAMVA_452A”) with the two above-noted adjustments included. </w:t>
      </w:r>
    </w:p>
    <w:p w14:paraId="32722C2A" w14:textId="77777777" w:rsidR="00DA686D" w:rsidRPr="00BF20CF" w:rsidRDefault="00DA686D" w:rsidP="00C84F5B">
      <w:pPr>
        <w:pStyle w:val="NoSpacing"/>
        <w:spacing w:line="276" w:lineRule="auto"/>
        <w:ind w:left="720"/>
        <w:rPr>
          <w:rFonts w:ascii="Arial" w:hAnsi="Arial" w:cs="Arial"/>
          <w:sz w:val="24"/>
          <w:szCs w:val="24"/>
        </w:rPr>
      </w:pPr>
    </w:p>
    <w:p w14:paraId="61150D2A" w14:textId="77777777" w:rsidR="00DA686D" w:rsidRPr="00BF20CF" w:rsidRDefault="00DA686D" w:rsidP="00DA686D">
      <w:pPr>
        <w:pStyle w:val="NoSpacing"/>
        <w:numPr>
          <w:ilvl w:val="0"/>
          <w:numId w:val="209"/>
        </w:numPr>
        <w:spacing w:line="276" w:lineRule="auto"/>
        <w:rPr>
          <w:rFonts w:ascii="Arial" w:hAnsi="Arial" w:cs="Arial"/>
          <w:sz w:val="24"/>
          <w:szCs w:val="24"/>
        </w:rPr>
      </w:pPr>
      <w:r w:rsidRPr="00BF20CF">
        <w:rPr>
          <w:rFonts w:ascii="Arial" w:hAnsi="Arial" w:cs="Arial"/>
          <w:sz w:val="24"/>
          <w:szCs w:val="24"/>
        </w:rPr>
        <w:t>If Hydro Ottawa believes that the adjustments should not be included, please explain why.</w:t>
      </w:r>
    </w:p>
    <w:p w14:paraId="7FA6F027" w14:textId="77777777" w:rsidR="00DA686D" w:rsidRPr="00BF20CF" w:rsidRDefault="00DA686D" w:rsidP="00C84F5B">
      <w:pPr>
        <w:pStyle w:val="NoSpacing"/>
        <w:spacing w:line="276" w:lineRule="auto"/>
        <w:rPr>
          <w:rFonts w:ascii="Arial" w:hAnsi="Arial" w:cs="Arial"/>
          <w:sz w:val="24"/>
          <w:szCs w:val="24"/>
        </w:rPr>
      </w:pPr>
    </w:p>
    <w:p w14:paraId="4257F796" w14:textId="50A9F8AF" w:rsidR="00DA686D" w:rsidRPr="00BF20CF" w:rsidRDefault="00DA686D" w:rsidP="00E94BA9">
      <w:pPr>
        <w:pStyle w:val="NoSpacing"/>
        <w:spacing w:line="276" w:lineRule="auto"/>
        <w:rPr>
          <w:rFonts w:ascii="Arial" w:hAnsi="Arial" w:cs="Arial"/>
          <w:b/>
          <w:sz w:val="24"/>
          <w:szCs w:val="24"/>
        </w:rPr>
      </w:pPr>
      <w:r w:rsidRPr="00BF20CF">
        <w:rPr>
          <w:rFonts w:ascii="Arial" w:hAnsi="Arial" w:cs="Arial"/>
          <w:b/>
          <w:sz w:val="24"/>
          <w:szCs w:val="24"/>
        </w:rPr>
        <w:t>9-Staff-</w:t>
      </w:r>
      <w:r w:rsidR="00E335F0" w:rsidRPr="00BF20CF">
        <w:rPr>
          <w:rFonts w:ascii="Arial" w:hAnsi="Arial" w:cs="Arial"/>
          <w:b/>
          <w:sz w:val="24"/>
          <w:szCs w:val="24"/>
        </w:rPr>
        <w:t>5</w:t>
      </w:r>
    </w:p>
    <w:p w14:paraId="43C2133A" w14:textId="77777777" w:rsidR="00DA686D" w:rsidRPr="00BF20CF" w:rsidRDefault="00DA686D" w:rsidP="00E94BA9">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 xml:space="preserve">LRAMVA </w:t>
      </w:r>
      <w:proofErr w:type="spellStart"/>
      <w:r w:rsidRPr="00BF20CF">
        <w:rPr>
          <w:rFonts w:ascii="Arial" w:hAnsi="Arial" w:cs="Arial"/>
          <w:b/>
          <w:sz w:val="24"/>
          <w:szCs w:val="24"/>
        </w:rPr>
        <w:t>Workforms</w:t>
      </w:r>
      <w:proofErr w:type="spellEnd"/>
      <w:r w:rsidRPr="00BF20CF">
        <w:rPr>
          <w:rFonts w:ascii="Arial" w:hAnsi="Arial" w:cs="Arial"/>
          <w:b/>
          <w:sz w:val="24"/>
          <w:szCs w:val="24"/>
        </w:rPr>
        <w:t xml:space="preserve"> A, B, C, D and E / Tabs 4 and 5</w:t>
      </w:r>
    </w:p>
    <w:p w14:paraId="07687AD4" w14:textId="77777777" w:rsidR="00DA686D" w:rsidRPr="00BF20CF" w:rsidRDefault="00DA686D" w:rsidP="00E94BA9">
      <w:pPr>
        <w:pStyle w:val="NoSpacing"/>
        <w:spacing w:line="276" w:lineRule="auto"/>
        <w:rPr>
          <w:rFonts w:ascii="Arial" w:hAnsi="Arial" w:cs="Arial"/>
          <w:b/>
          <w:sz w:val="24"/>
          <w:szCs w:val="24"/>
        </w:rPr>
      </w:pPr>
      <w:r w:rsidRPr="00BF20CF">
        <w:rPr>
          <w:rFonts w:ascii="Arial" w:hAnsi="Arial" w:cs="Arial"/>
          <w:b/>
          <w:sz w:val="24"/>
          <w:szCs w:val="24"/>
        </w:rPr>
        <w:tab/>
        <w:t>Updated Exhibit 4/Tab 5/Schedule 2/pp. 4-5</w:t>
      </w:r>
    </w:p>
    <w:p w14:paraId="4E3CD9ED" w14:textId="77777777" w:rsidR="00DA686D" w:rsidRPr="00BF20CF" w:rsidRDefault="00DA686D" w:rsidP="00E94BA9">
      <w:pPr>
        <w:pStyle w:val="NoSpacing"/>
        <w:spacing w:line="276" w:lineRule="auto"/>
        <w:rPr>
          <w:rFonts w:ascii="Arial" w:hAnsi="Arial" w:cs="Arial"/>
          <w:b/>
          <w:sz w:val="24"/>
          <w:szCs w:val="24"/>
        </w:rPr>
      </w:pPr>
      <w:r w:rsidRPr="00BF20CF">
        <w:rPr>
          <w:rFonts w:ascii="Arial" w:hAnsi="Arial" w:cs="Arial"/>
          <w:b/>
          <w:sz w:val="24"/>
          <w:szCs w:val="24"/>
        </w:rPr>
        <w:tab/>
      </w:r>
    </w:p>
    <w:p w14:paraId="0F813ACF" w14:textId="77777777" w:rsidR="00DA686D" w:rsidRPr="00BF20CF" w:rsidRDefault="00DA686D" w:rsidP="00E94BA9">
      <w:pPr>
        <w:pStyle w:val="NoSpacing"/>
        <w:spacing w:line="276" w:lineRule="auto"/>
        <w:rPr>
          <w:rFonts w:ascii="Arial" w:hAnsi="Arial" w:cs="Arial"/>
          <w:sz w:val="24"/>
          <w:szCs w:val="24"/>
        </w:rPr>
      </w:pPr>
      <w:r w:rsidRPr="00BF20CF">
        <w:rPr>
          <w:rFonts w:ascii="Arial" w:hAnsi="Arial" w:cs="Arial"/>
          <w:sz w:val="24"/>
          <w:szCs w:val="24"/>
        </w:rPr>
        <w:t xml:space="preserve">Preamble: </w:t>
      </w:r>
    </w:p>
    <w:p w14:paraId="6BB9C547" w14:textId="77777777" w:rsidR="00DA686D" w:rsidRPr="00BF20CF" w:rsidRDefault="00DA686D" w:rsidP="00E94BA9">
      <w:pPr>
        <w:spacing w:line="276" w:lineRule="auto"/>
        <w:rPr>
          <w:rFonts w:ascii="Arial" w:hAnsi="Arial" w:cs="Arial"/>
        </w:rPr>
      </w:pPr>
    </w:p>
    <w:p w14:paraId="50D229D5" w14:textId="77777777" w:rsidR="00DA686D" w:rsidRPr="00BF20CF" w:rsidRDefault="00DA686D" w:rsidP="00E94BA9">
      <w:pPr>
        <w:autoSpaceDE w:val="0"/>
        <w:autoSpaceDN w:val="0"/>
        <w:adjustRightInd w:val="0"/>
        <w:spacing w:line="276" w:lineRule="auto"/>
        <w:rPr>
          <w:rFonts w:ascii="Arial" w:eastAsia="ArialMT" w:hAnsi="Arial" w:cs="Arial"/>
        </w:rPr>
      </w:pPr>
      <w:r w:rsidRPr="00BF20CF">
        <w:rPr>
          <w:rFonts w:ascii="Arial" w:eastAsia="ArialMT" w:hAnsi="Arial" w:cs="Arial"/>
        </w:rPr>
        <w:lastRenderedPageBreak/>
        <w:t>For 2014, Hydro Ottawa noted that it does not have customer-level data to allocate savings to the GS&gt; 50 kW customer classes. The utility has continued to use the same methodology for disposing of LRAM claims for the 2014 Report as was used for the 2011-2013 reports. Hydro Ottawa has confirmed that, for years after 2014, customer-level data will be used to allocate savings to customer classes.</w:t>
      </w:r>
    </w:p>
    <w:p w14:paraId="299B9FBB" w14:textId="77777777" w:rsidR="00DA686D" w:rsidRPr="00BF20CF" w:rsidRDefault="00DA686D" w:rsidP="00E94BA9">
      <w:pPr>
        <w:pStyle w:val="NoSpacing"/>
        <w:spacing w:line="276" w:lineRule="auto"/>
        <w:rPr>
          <w:rFonts w:ascii="Arial" w:hAnsi="Arial" w:cs="Arial"/>
          <w:sz w:val="24"/>
          <w:szCs w:val="24"/>
        </w:rPr>
      </w:pPr>
    </w:p>
    <w:p w14:paraId="524B8A1F" w14:textId="77777777" w:rsidR="00DA686D" w:rsidRPr="00BF20CF" w:rsidRDefault="00DA686D" w:rsidP="00E94BA9">
      <w:pPr>
        <w:pStyle w:val="NoSpacing"/>
        <w:spacing w:line="276" w:lineRule="auto"/>
        <w:rPr>
          <w:rFonts w:ascii="Arial" w:hAnsi="Arial" w:cs="Arial"/>
          <w:sz w:val="24"/>
          <w:szCs w:val="24"/>
        </w:rPr>
      </w:pPr>
      <w:r w:rsidRPr="00BF20CF">
        <w:rPr>
          <w:rFonts w:ascii="Arial" w:hAnsi="Arial" w:cs="Arial"/>
          <w:sz w:val="24"/>
          <w:szCs w:val="24"/>
        </w:rPr>
        <w:t xml:space="preserve">In its re-filing of 2019 actuals, Hydro Ottawa updated the allocation of GS 50-1,499 kW, GS 1,500-4,999 kW, and Large Use classes based on 2019 actual non-RPP consumption. </w:t>
      </w:r>
    </w:p>
    <w:p w14:paraId="36FEA227" w14:textId="77777777" w:rsidR="00DA686D" w:rsidRPr="00BF20CF" w:rsidRDefault="00DA686D" w:rsidP="00E94BA9">
      <w:pPr>
        <w:pStyle w:val="NoSpacing"/>
        <w:spacing w:line="276" w:lineRule="auto"/>
        <w:rPr>
          <w:rFonts w:ascii="Arial" w:hAnsi="Arial" w:cs="Arial"/>
          <w:sz w:val="24"/>
          <w:szCs w:val="24"/>
        </w:rPr>
      </w:pPr>
    </w:p>
    <w:p w14:paraId="619F724E" w14:textId="77777777" w:rsidR="00DA686D" w:rsidRPr="00BF20CF" w:rsidRDefault="00DA686D" w:rsidP="00E94BA9">
      <w:pPr>
        <w:pStyle w:val="NoSpacing"/>
        <w:spacing w:line="276" w:lineRule="auto"/>
        <w:rPr>
          <w:rFonts w:ascii="Arial" w:hAnsi="Arial" w:cs="Arial"/>
          <w:sz w:val="24"/>
          <w:szCs w:val="24"/>
        </w:rPr>
      </w:pPr>
      <w:r w:rsidRPr="00BF20CF">
        <w:rPr>
          <w:noProof/>
        </w:rPr>
        <w:drawing>
          <wp:inline distT="0" distB="0" distL="0" distR="0" wp14:anchorId="272AE82D" wp14:editId="3419C3B7">
            <wp:extent cx="3841502" cy="1269419"/>
            <wp:effectExtent l="0" t="0" r="698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56287" cy="1274305"/>
                    </a:xfrm>
                    <a:prstGeom prst="rect">
                      <a:avLst/>
                    </a:prstGeom>
                  </pic:spPr>
                </pic:pic>
              </a:graphicData>
            </a:graphic>
          </wp:inline>
        </w:drawing>
      </w:r>
    </w:p>
    <w:p w14:paraId="3CF106C2" w14:textId="77777777" w:rsidR="00DA686D" w:rsidRPr="00BF20CF" w:rsidRDefault="00DA686D" w:rsidP="00E94BA9">
      <w:pPr>
        <w:pStyle w:val="NoSpacing"/>
        <w:spacing w:line="276" w:lineRule="auto"/>
        <w:rPr>
          <w:rFonts w:ascii="Arial" w:hAnsi="Arial" w:cs="Arial"/>
          <w:sz w:val="20"/>
          <w:szCs w:val="24"/>
        </w:rPr>
      </w:pPr>
      <w:r w:rsidRPr="00BF20CF">
        <w:rPr>
          <w:rFonts w:ascii="Arial" w:hAnsi="Arial" w:cs="Arial"/>
          <w:sz w:val="20"/>
          <w:szCs w:val="24"/>
        </w:rPr>
        <w:t>Source: Updated Exhibit 4, Tab 5, Schedule 2, p. 5</w:t>
      </w:r>
    </w:p>
    <w:p w14:paraId="059D13F3" w14:textId="77777777" w:rsidR="00DA686D" w:rsidRPr="00BF20CF" w:rsidRDefault="00DA686D" w:rsidP="00E94BA9">
      <w:pPr>
        <w:pStyle w:val="NoSpacing"/>
        <w:spacing w:line="276" w:lineRule="auto"/>
        <w:rPr>
          <w:rFonts w:ascii="Arial" w:hAnsi="Arial" w:cs="Arial"/>
          <w:sz w:val="24"/>
          <w:szCs w:val="24"/>
        </w:rPr>
      </w:pPr>
    </w:p>
    <w:p w14:paraId="76131216" w14:textId="77777777" w:rsidR="00DA686D" w:rsidRPr="00BF20CF" w:rsidRDefault="00DA686D" w:rsidP="00E94BA9">
      <w:pPr>
        <w:pStyle w:val="NoSpacing"/>
        <w:spacing w:line="276" w:lineRule="auto"/>
        <w:rPr>
          <w:rFonts w:ascii="Arial" w:hAnsi="Arial" w:cs="Arial"/>
          <w:sz w:val="24"/>
          <w:szCs w:val="24"/>
        </w:rPr>
      </w:pPr>
      <w:r w:rsidRPr="00BF20CF">
        <w:rPr>
          <w:rFonts w:ascii="Arial" w:hAnsi="Arial" w:cs="Arial"/>
          <w:sz w:val="24"/>
          <w:szCs w:val="24"/>
        </w:rPr>
        <w:t>Question(s):</w:t>
      </w:r>
    </w:p>
    <w:p w14:paraId="54A9DAC4" w14:textId="77777777" w:rsidR="00DA686D" w:rsidRPr="00BF20CF" w:rsidRDefault="00DA686D" w:rsidP="00E94BA9">
      <w:pPr>
        <w:pStyle w:val="NoSpacing"/>
        <w:spacing w:line="276" w:lineRule="auto"/>
        <w:rPr>
          <w:rFonts w:ascii="Arial" w:hAnsi="Arial" w:cs="Arial"/>
          <w:sz w:val="24"/>
          <w:szCs w:val="24"/>
        </w:rPr>
      </w:pPr>
    </w:p>
    <w:p w14:paraId="133A65F3" w14:textId="77777777" w:rsidR="00DA686D" w:rsidRPr="00BF20CF" w:rsidRDefault="00DA686D" w:rsidP="00DA686D">
      <w:pPr>
        <w:pStyle w:val="NoSpacing"/>
        <w:numPr>
          <w:ilvl w:val="0"/>
          <w:numId w:val="227"/>
        </w:numPr>
        <w:spacing w:line="276" w:lineRule="auto"/>
        <w:rPr>
          <w:rFonts w:ascii="Arial" w:hAnsi="Arial" w:cs="Arial"/>
          <w:sz w:val="24"/>
          <w:szCs w:val="24"/>
        </w:rPr>
      </w:pPr>
      <w:r w:rsidRPr="00BF20CF">
        <w:rPr>
          <w:rFonts w:ascii="Arial" w:hAnsi="Arial" w:cs="Arial"/>
          <w:sz w:val="24"/>
          <w:szCs w:val="24"/>
        </w:rPr>
        <w:t>As Hydro Ottawa did not have customer-level data to allocate savings to GS&gt;50 kW classes for 2014 and prior, please clarify the basis of the customer class allocations by residential, commercial and industrial CDM programs from 2014 and prior years. As t</w:t>
      </w:r>
      <w:r w:rsidRPr="00BF20CF">
        <w:rPr>
          <w:rFonts w:ascii="Arial" w:eastAsia="ArialMT" w:hAnsi="Arial" w:cs="Arial"/>
          <w:sz w:val="24"/>
          <w:szCs w:val="24"/>
        </w:rPr>
        <w:t>he utility has continued to use the same methodology for disposing of LRAMVA claims for the 2014 Report as was used for the 2011-2013 reports, please discuss the methodology applied.</w:t>
      </w:r>
    </w:p>
    <w:p w14:paraId="4265DF76" w14:textId="77777777" w:rsidR="00DA686D" w:rsidRPr="00BF20CF" w:rsidRDefault="00DA686D" w:rsidP="00E94BA9">
      <w:pPr>
        <w:pStyle w:val="NoSpacing"/>
        <w:spacing w:line="276" w:lineRule="auto"/>
        <w:ind w:left="720"/>
        <w:rPr>
          <w:rFonts w:ascii="Arial" w:hAnsi="Arial" w:cs="Arial"/>
          <w:sz w:val="24"/>
          <w:szCs w:val="24"/>
        </w:rPr>
      </w:pPr>
    </w:p>
    <w:p w14:paraId="593A96F2" w14:textId="77777777" w:rsidR="00DA686D" w:rsidRPr="00BF20CF" w:rsidRDefault="00DA686D" w:rsidP="00DA686D">
      <w:pPr>
        <w:pStyle w:val="NoSpacing"/>
        <w:numPr>
          <w:ilvl w:val="0"/>
          <w:numId w:val="227"/>
        </w:numPr>
        <w:spacing w:line="276" w:lineRule="auto"/>
        <w:rPr>
          <w:rFonts w:ascii="Arial" w:hAnsi="Arial" w:cs="Arial"/>
          <w:sz w:val="24"/>
          <w:szCs w:val="24"/>
        </w:rPr>
      </w:pPr>
      <w:r w:rsidRPr="00BF20CF">
        <w:rPr>
          <w:rFonts w:ascii="Arial" w:hAnsi="Arial" w:cs="Arial"/>
          <w:sz w:val="24"/>
          <w:szCs w:val="24"/>
        </w:rPr>
        <w:t xml:space="preserve">For the GS&gt;50 kW class allocations, please explain how these class allocations in Table 2 (included in preamble) reconcile with the allocations used in Tab 4 (of the LRAMVA </w:t>
      </w:r>
      <w:proofErr w:type="spellStart"/>
      <w:r w:rsidRPr="00BF20CF">
        <w:rPr>
          <w:rFonts w:ascii="Arial" w:hAnsi="Arial" w:cs="Arial"/>
          <w:sz w:val="24"/>
          <w:szCs w:val="24"/>
        </w:rPr>
        <w:t>Workforms</w:t>
      </w:r>
      <w:proofErr w:type="spellEnd"/>
      <w:r w:rsidRPr="00BF20CF">
        <w:rPr>
          <w:rFonts w:ascii="Arial" w:hAnsi="Arial" w:cs="Arial"/>
          <w:sz w:val="24"/>
          <w:szCs w:val="24"/>
        </w:rPr>
        <w:t xml:space="preserve"> D and E) which show class specific allocations broken down by program in 2015 and 2016. </w:t>
      </w:r>
    </w:p>
    <w:p w14:paraId="37BD9D07" w14:textId="77777777" w:rsidR="00DA686D" w:rsidRPr="00BF20CF" w:rsidRDefault="00DA686D" w:rsidP="00E94BA9">
      <w:pPr>
        <w:pStyle w:val="ListParagraph"/>
        <w:spacing w:line="276" w:lineRule="auto"/>
        <w:rPr>
          <w:rFonts w:ascii="Arial" w:hAnsi="Arial" w:cs="Arial"/>
        </w:rPr>
      </w:pPr>
    </w:p>
    <w:p w14:paraId="003DEA97" w14:textId="77777777" w:rsidR="00DA686D" w:rsidRPr="00BF20CF" w:rsidRDefault="00DA686D" w:rsidP="00DA686D">
      <w:pPr>
        <w:pStyle w:val="NoSpacing"/>
        <w:numPr>
          <w:ilvl w:val="0"/>
          <w:numId w:val="227"/>
        </w:numPr>
        <w:spacing w:line="276" w:lineRule="auto"/>
        <w:rPr>
          <w:rFonts w:ascii="Arial" w:hAnsi="Arial" w:cs="Arial"/>
          <w:sz w:val="24"/>
          <w:szCs w:val="24"/>
        </w:rPr>
      </w:pPr>
      <w:r w:rsidRPr="00BF20CF">
        <w:rPr>
          <w:rFonts w:ascii="Arial" w:hAnsi="Arial" w:cs="Arial"/>
          <w:sz w:val="24"/>
          <w:szCs w:val="24"/>
        </w:rPr>
        <w:t xml:space="preserve">Please explain whether the basis of GS&gt;50 kW class allocations derived from non-RPP consumption is reflective of the consumption from participating customers for the purposes of allocating lost revenues. </w:t>
      </w:r>
    </w:p>
    <w:p w14:paraId="625D5C8C" w14:textId="77777777" w:rsidR="00DA686D" w:rsidRPr="00BF20CF" w:rsidRDefault="00DA686D" w:rsidP="00E94BA9">
      <w:pPr>
        <w:pStyle w:val="NoSpacing"/>
        <w:spacing w:line="276" w:lineRule="auto"/>
        <w:rPr>
          <w:rFonts w:ascii="Arial" w:hAnsi="Arial" w:cs="Arial"/>
          <w:sz w:val="24"/>
          <w:szCs w:val="24"/>
        </w:rPr>
      </w:pPr>
    </w:p>
    <w:p w14:paraId="66E3D213" w14:textId="6D6797FD" w:rsidR="00E335F0" w:rsidRPr="00BF20CF" w:rsidRDefault="00E335F0" w:rsidP="00E335F0">
      <w:pPr>
        <w:pStyle w:val="StaffHeader"/>
        <w:numPr>
          <w:ilvl w:val="0"/>
          <w:numId w:val="0"/>
        </w:numPr>
        <w:spacing w:before="240"/>
        <w:rPr>
          <w:rFonts w:cs="Arial"/>
          <w:szCs w:val="24"/>
          <w:u w:val="none"/>
        </w:rPr>
      </w:pPr>
      <w:r w:rsidRPr="00BF20CF">
        <w:rPr>
          <w:rFonts w:cs="Arial"/>
          <w:szCs w:val="24"/>
          <w:u w:val="none"/>
        </w:rPr>
        <w:lastRenderedPageBreak/>
        <w:t>9-Staff-6</w:t>
      </w:r>
    </w:p>
    <w:p w14:paraId="4D1979EC" w14:textId="77777777" w:rsidR="00DA686D" w:rsidRPr="00BF20CF" w:rsidRDefault="00DA686D" w:rsidP="00E94BA9">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 xml:space="preserve">LRAMVA </w:t>
      </w:r>
      <w:proofErr w:type="spellStart"/>
      <w:r w:rsidRPr="00BF20CF">
        <w:rPr>
          <w:rFonts w:ascii="Arial" w:hAnsi="Arial" w:cs="Arial"/>
          <w:b/>
          <w:sz w:val="24"/>
          <w:szCs w:val="24"/>
        </w:rPr>
        <w:t>Workform</w:t>
      </w:r>
      <w:proofErr w:type="spellEnd"/>
      <w:r w:rsidRPr="00BF20CF">
        <w:rPr>
          <w:rFonts w:ascii="Arial" w:hAnsi="Arial" w:cs="Arial"/>
          <w:b/>
          <w:sz w:val="24"/>
          <w:szCs w:val="24"/>
        </w:rPr>
        <w:t xml:space="preserve"> E/Tab 2</w:t>
      </w:r>
    </w:p>
    <w:p w14:paraId="65673B42" w14:textId="77777777" w:rsidR="00DA686D" w:rsidRPr="00BF20CF" w:rsidRDefault="00DA686D" w:rsidP="00E94BA9">
      <w:pPr>
        <w:pStyle w:val="NoSpacing"/>
        <w:spacing w:line="276" w:lineRule="auto"/>
        <w:rPr>
          <w:rFonts w:ascii="Arial" w:hAnsi="Arial" w:cs="Arial"/>
          <w:b/>
          <w:sz w:val="24"/>
          <w:szCs w:val="24"/>
        </w:rPr>
      </w:pPr>
      <w:r w:rsidRPr="00BF20CF">
        <w:rPr>
          <w:rFonts w:ascii="Arial" w:hAnsi="Arial" w:cs="Arial"/>
          <w:b/>
          <w:sz w:val="24"/>
          <w:szCs w:val="24"/>
        </w:rPr>
        <w:tab/>
        <w:t>EB-2015-0004/Settlement Proposal/Attachment 4 (pp. 57-58)</w:t>
      </w:r>
    </w:p>
    <w:p w14:paraId="44593BBA" w14:textId="77777777" w:rsidR="00DA686D" w:rsidRPr="00BF20CF" w:rsidRDefault="00DA686D" w:rsidP="00E94BA9">
      <w:pPr>
        <w:pStyle w:val="NoSpacing"/>
        <w:spacing w:line="276" w:lineRule="auto"/>
        <w:rPr>
          <w:rFonts w:ascii="Arial" w:hAnsi="Arial" w:cs="Arial"/>
          <w:b/>
          <w:sz w:val="24"/>
          <w:szCs w:val="24"/>
        </w:rPr>
      </w:pPr>
      <w:r w:rsidRPr="00BF20CF">
        <w:rPr>
          <w:rFonts w:ascii="Arial" w:hAnsi="Arial" w:cs="Arial"/>
          <w:b/>
          <w:sz w:val="24"/>
          <w:szCs w:val="24"/>
        </w:rPr>
        <w:tab/>
        <w:t>EB-2015-0004/IRRs to VECC/Question #27/ PDF p. 59 of 159</w:t>
      </w:r>
    </w:p>
    <w:p w14:paraId="2E5525DD" w14:textId="77777777" w:rsidR="00DA686D" w:rsidRPr="00BF20CF" w:rsidRDefault="00DA686D" w:rsidP="00E94BA9">
      <w:pPr>
        <w:pStyle w:val="NoSpacing"/>
        <w:spacing w:line="276" w:lineRule="auto"/>
        <w:rPr>
          <w:rFonts w:ascii="Arial" w:hAnsi="Arial" w:cs="Arial"/>
          <w:sz w:val="24"/>
          <w:szCs w:val="24"/>
        </w:rPr>
      </w:pPr>
    </w:p>
    <w:p w14:paraId="139A5A37" w14:textId="77777777" w:rsidR="00DA686D" w:rsidRPr="00BF20CF" w:rsidRDefault="00DA686D" w:rsidP="00E94BA9">
      <w:pPr>
        <w:pStyle w:val="NoSpacing"/>
        <w:spacing w:line="276" w:lineRule="auto"/>
        <w:rPr>
          <w:rFonts w:ascii="Arial" w:hAnsi="Arial" w:cs="Arial"/>
          <w:sz w:val="24"/>
          <w:szCs w:val="24"/>
        </w:rPr>
      </w:pPr>
      <w:r w:rsidRPr="00BF20CF">
        <w:rPr>
          <w:rFonts w:ascii="Arial" w:hAnsi="Arial" w:cs="Arial"/>
          <w:sz w:val="24"/>
          <w:szCs w:val="24"/>
        </w:rPr>
        <w:t xml:space="preserve">Preamble: </w:t>
      </w:r>
    </w:p>
    <w:p w14:paraId="2383BC09" w14:textId="77777777" w:rsidR="00DA686D" w:rsidRPr="00BF20CF" w:rsidRDefault="00DA686D" w:rsidP="00E94BA9">
      <w:pPr>
        <w:pStyle w:val="NoSpacing"/>
        <w:spacing w:line="276" w:lineRule="auto"/>
        <w:rPr>
          <w:rFonts w:ascii="Arial" w:eastAsia="Times New Roman" w:hAnsi="Arial" w:cs="Arial"/>
          <w:color w:val="000000"/>
          <w:sz w:val="24"/>
          <w:szCs w:val="24"/>
        </w:rPr>
      </w:pPr>
      <w:r w:rsidRPr="00BF20CF">
        <w:rPr>
          <w:rFonts w:ascii="Arial" w:hAnsi="Arial" w:cs="Arial"/>
          <w:sz w:val="24"/>
          <w:szCs w:val="24"/>
        </w:rPr>
        <w:t xml:space="preserve">In this proceeding, </w:t>
      </w:r>
      <w:proofErr w:type="spellStart"/>
      <w:r w:rsidRPr="00BF20CF">
        <w:rPr>
          <w:rFonts w:ascii="Arial" w:hAnsi="Arial" w:cs="Arial"/>
          <w:sz w:val="24"/>
          <w:szCs w:val="24"/>
        </w:rPr>
        <w:t>Workform</w:t>
      </w:r>
      <w:proofErr w:type="spellEnd"/>
      <w:r w:rsidRPr="00BF20CF">
        <w:rPr>
          <w:rFonts w:ascii="Arial" w:hAnsi="Arial" w:cs="Arial"/>
          <w:sz w:val="24"/>
          <w:szCs w:val="24"/>
        </w:rPr>
        <w:t xml:space="preserve"> E included a LRAMVA threshold of </w:t>
      </w:r>
      <w:r w:rsidRPr="00BF20CF">
        <w:rPr>
          <w:rFonts w:ascii="Arial" w:eastAsia="Times New Roman" w:hAnsi="Arial" w:cs="Arial"/>
          <w:color w:val="000000"/>
          <w:sz w:val="24"/>
          <w:szCs w:val="24"/>
        </w:rPr>
        <w:t>27,452,000 kWh, which are the forecast savings applied against actual savings in 2016. An extract of the LRAMVA threshold (and its rate class breakdown) is provided below:</w:t>
      </w:r>
    </w:p>
    <w:p w14:paraId="0FD166C3" w14:textId="77777777" w:rsidR="00DA686D" w:rsidRPr="00BF20CF" w:rsidRDefault="00DA686D" w:rsidP="00E94BA9">
      <w:pPr>
        <w:pStyle w:val="NoSpacing"/>
        <w:spacing w:line="276" w:lineRule="auto"/>
        <w:rPr>
          <w:rFonts w:ascii="Arial" w:hAnsi="Arial" w:cs="Arial"/>
          <w:sz w:val="24"/>
          <w:szCs w:val="24"/>
        </w:rPr>
      </w:pPr>
    </w:p>
    <w:p w14:paraId="6F5FF0DF" w14:textId="77777777" w:rsidR="00DA686D" w:rsidRPr="00BF20CF" w:rsidRDefault="00DA686D" w:rsidP="00E94BA9">
      <w:pPr>
        <w:pStyle w:val="NoSpacing"/>
        <w:spacing w:line="276" w:lineRule="auto"/>
        <w:rPr>
          <w:rFonts w:ascii="Arial" w:hAnsi="Arial" w:cs="Arial"/>
          <w:sz w:val="24"/>
          <w:szCs w:val="24"/>
        </w:rPr>
      </w:pPr>
      <w:r w:rsidRPr="00BF20CF">
        <w:rPr>
          <w:noProof/>
        </w:rPr>
        <w:drawing>
          <wp:inline distT="0" distB="0" distL="0" distR="0" wp14:anchorId="5B761440" wp14:editId="5BF3D41C">
            <wp:extent cx="5943600" cy="10223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022350"/>
                    </a:xfrm>
                    <a:prstGeom prst="rect">
                      <a:avLst/>
                    </a:prstGeom>
                  </pic:spPr>
                </pic:pic>
              </a:graphicData>
            </a:graphic>
          </wp:inline>
        </w:drawing>
      </w:r>
    </w:p>
    <w:p w14:paraId="4EA89764" w14:textId="77777777" w:rsidR="00DA686D" w:rsidRPr="00BF20CF" w:rsidRDefault="00DA686D" w:rsidP="00E94BA9">
      <w:pPr>
        <w:pStyle w:val="NoSpacing"/>
        <w:spacing w:line="276" w:lineRule="auto"/>
        <w:rPr>
          <w:rFonts w:ascii="Arial" w:hAnsi="Arial" w:cs="Arial"/>
          <w:sz w:val="20"/>
          <w:szCs w:val="20"/>
        </w:rPr>
      </w:pPr>
      <w:r w:rsidRPr="00BF20CF">
        <w:rPr>
          <w:rFonts w:ascii="Arial" w:hAnsi="Arial" w:cs="Arial"/>
          <w:sz w:val="20"/>
          <w:szCs w:val="20"/>
        </w:rPr>
        <w:t xml:space="preserve">Source: </w:t>
      </w:r>
      <w:r w:rsidRPr="00BF20CF">
        <w:rPr>
          <w:rFonts w:ascii="Arial" w:eastAsia="Times New Roman" w:hAnsi="Arial" w:cs="Arial"/>
          <w:color w:val="000000"/>
          <w:sz w:val="20"/>
          <w:szCs w:val="20"/>
        </w:rPr>
        <w:t xml:space="preserve">LRAMVA </w:t>
      </w:r>
      <w:proofErr w:type="spellStart"/>
      <w:r w:rsidRPr="00BF20CF">
        <w:rPr>
          <w:rFonts w:ascii="Arial" w:hAnsi="Arial" w:cs="Arial"/>
          <w:sz w:val="20"/>
          <w:szCs w:val="20"/>
        </w:rPr>
        <w:t>Workform</w:t>
      </w:r>
      <w:proofErr w:type="spellEnd"/>
      <w:r w:rsidRPr="00BF20CF">
        <w:rPr>
          <w:rFonts w:ascii="Arial" w:hAnsi="Arial" w:cs="Arial"/>
          <w:sz w:val="20"/>
          <w:szCs w:val="20"/>
        </w:rPr>
        <w:t xml:space="preserve"> E, </w:t>
      </w:r>
      <w:r w:rsidRPr="00BF20CF">
        <w:rPr>
          <w:rFonts w:ascii="Arial" w:eastAsia="Times New Roman" w:hAnsi="Arial" w:cs="Arial"/>
          <w:color w:val="000000"/>
          <w:sz w:val="20"/>
          <w:szCs w:val="20"/>
        </w:rPr>
        <w:t>Tab 2</w:t>
      </w:r>
    </w:p>
    <w:p w14:paraId="34C4C540" w14:textId="77777777" w:rsidR="00DA686D" w:rsidRPr="00BF20CF" w:rsidRDefault="00DA686D" w:rsidP="00E94BA9">
      <w:pPr>
        <w:spacing w:line="276" w:lineRule="auto"/>
        <w:rPr>
          <w:rFonts w:ascii="Arial" w:hAnsi="Arial" w:cs="Arial"/>
        </w:rPr>
      </w:pPr>
    </w:p>
    <w:p w14:paraId="7BCFEDA1" w14:textId="77777777" w:rsidR="00DA686D" w:rsidRPr="00BF20CF" w:rsidRDefault="00DA686D" w:rsidP="00E94BA9">
      <w:pPr>
        <w:spacing w:line="276" w:lineRule="auto"/>
        <w:rPr>
          <w:rFonts w:ascii="Arial" w:hAnsi="Arial" w:cs="Arial"/>
        </w:rPr>
      </w:pPr>
      <w:r w:rsidRPr="00BF20CF">
        <w:rPr>
          <w:rFonts w:ascii="Arial" w:hAnsi="Arial" w:cs="Arial"/>
        </w:rPr>
        <w:t>In the 2016-2020 Custom IR Settlement Proposal, the following approved CDM adjustments were included in Attachment 4:</w:t>
      </w:r>
    </w:p>
    <w:p w14:paraId="6CEE34B4" w14:textId="77777777" w:rsidR="00DA686D" w:rsidRPr="00BF20CF" w:rsidRDefault="00DA686D" w:rsidP="00E94BA9">
      <w:pPr>
        <w:spacing w:line="276" w:lineRule="auto"/>
        <w:rPr>
          <w:rFonts w:ascii="Arial" w:hAnsi="Arial" w:cs="Arial"/>
        </w:rPr>
      </w:pPr>
    </w:p>
    <w:p w14:paraId="72DC4155" w14:textId="587E25DF" w:rsidR="00DA686D" w:rsidRPr="00BF20CF" w:rsidRDefault="00DA686D" w:rsidP="00E94BA9">
      <w:pPr>
        <w:spacing w:line="276" w:lineRule="auto"/>
        <w:rPr>
          <w:rFonts w:ascii="Arial" w:hAnsi="Arial" w:cs="Arial"/>
        </w:rPr>
      </w:pPr>
      <w:r w:rsidRPr="00BF20CF">
        <w:rPr>
          <w:rFonts w:ascii="Arial" w:hAnsi="Arial" w:cs="Arial"/>
        </w:rPr>
        <w:t>9-Staff-</w:t>
      </w:r>
      <w:r w:rsidR="008E7B2D" w:rsidRPr="00BF20CF">
        <w:rPr>
          <w:rFonts w:ascii="Arial" w:hAnsi="Arial" w:cs="Arial"/>
        </w:rPr>
        <w:t>6</w:t>
      </w:r>
      <w:r w:rsidRPr="00BF20CF">
        <w:rPr>
          <w:rFonts w:ascii="Arial" w:hAnsi="Arial" w:cs="Arial"/>
        </w:rPr>
        <w:t>-1:</w:t>
      </w:r>
    </w:p>
    <w:p w14:paraId="06C33FDC" w14:textId="77777777" w:rsidR="00DA686D" w:rsidRPr="00BF20CF" w:rsidRDefault="00DA686D" w:rsidP="00E94BA9">
      <w:pPr>
        <w:spacing w:line="276" w:lineRule="auto"/>
        <w:rPr>
          <w:rFonts w:ascii="Arial" w:hAnsi="Arial" w:cs="Arial"/>
        </w:rPr>
      </w:pPr>
      <w:r w:rsidRPr="00BF20CF">
        <w:rPr>
          <w:rFonts w:ascii="Arial" w:hAnsi="Arial" w:cs="Arial"/>
          <w:noProof/>
        </w:rPr>
        <w:drawing>
          <wp:inline distT="0" distB="0" distL="0" distR="0" wp14:anchorId="341D0F7D" wp14:editId="59E7F5AA">
            <wp:extent cx="4914406" cy="2097024"/>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56215" cy="2114864"/>
                    </a:xfrm>
                    <a:prstGeom prst="rect">
                      <a:avLst/>
                    </a:prstGeom>
                  </pic:spPr>
                </pic:pic>
              </a:graphicData>
            </a:graphic>
          </wp:inline>
        </w:drawing>
      </w:r>
    </w:p>
    <w:p w14:paraId="0B7596A5" w14:textId="59D76AA8" w:rsidR="00DA686D" w:rsidRPr="00BF20CF" w:rsidRDefault="00DA686D" w:rsidP="00E94BA9">
      <w:pPr>
        <w:spacing w:line="276" w:lineRule="auto"/>
        <w:rPr>
          <w:rFonts w:ascii="Arial" w:hAnsi="Arial" w:cs="Arial"/>
        </w:rPr>
      </w:pPr>
      <w:r w:rsidRPr="00BF20CF">
        <w:rPr>
          <w:rFonts w:ascii="Arial" w:hAnsi="Arial" w:cs="Arial"/>
        </w:rPr>
        <w:lastRenderedPageBreak/>
        <w:t>9-Staff-</w:t>
      </w:r>
      <w:r w:rsidR="008E7B2D" w:rsidRPr="00BF20CF">
        <w:rPr>
          <w:rFonts w:ascii="Arial" w:hAnsi="Arial" w:cs="Arial"/>
        </w:rPr>
        <w:t>6</w:t>
      </w:r>
      <w:r w:rsidRPr="00BF20CF">
        <w:rPr>
          <w:rFonts w:ascii="Arial" w:hAnsi="Arial" w:cs="Arial"/>
        </w:rPr>
        <w:t>-2:</w:t>
      </w:r>
      <w:r w:rsidRPr="00BF20CF">
        <w:rPr>
          <w:noProof/>
        </w:rPr>
        <w:drawing>
          <wp:inline distT="0" distB="0" distL="0" distR="0" wp14:anchorId="32C870FF" wp14:editId="4EA3B23D">
            <wp:extent cx="4828032" cy="1934308"/>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84142" cy="1956788"/>
                    </a:xfrm>
                    <a:prstGeom prst="rect">
                      <a:avLst/>
                    </a:prstGeom>
                  </pic:spPr>
                </pic:pic>
              </a:graphicData>
            </a:graphic>
          </wp:inline>
        </w:drawing>
      </w:r>
    </w:p>
    <w:p w14:paraId="3920E280" w14:textId="77777777" w:rsidR="00DA686D" w:rsidRPr="00BF20CF" w:rsidRDefault="00DA686D" w:rsidP="00E94BA9">
      <w:pPr>
        <w:spacing w:line="276" w:lineRule="auto"/>
        <w:rPr>
          <w:rFonts w:ascii="Arial" w:hAnsi="Arial" w:cs="Arial"/>
          <w:sz w:val="20"/>
        </w:rPr>
      </w:pPr>
      <w:r w:rsidRPr="00BF20CF">
        <w:rPr>
          <w:rFonts w:ascii="Arial" w:hAnsi="Arial" w:cs="Arial"/>
          <w:sz w:val="20"/>
        </w:rPr>
        <w:t>Source: EB-2015-0004, Settlement Proposal, refiled December 7, 2015, Attachment 4</w:t>
      </w:r>
    </w:p>
    <w:p w14:paraId="3D9E28EF" w14:textId="77777777" w:rsidR="00DA686D" w:rsidRPr="00BF20CF" w:rsidRDefault="00DA686D" w:rsidP="00E94BA9">
      <w:pPr>
        <w:spacing w:line="276" w:lineRule="auto"/>
        <w:rPr>
          <w:rFonts w:ascii="Arial" w:hAnsi="Arial" w:cs="Arial"/>
          <w:sz w:val="20"/>
        </w:rPr>
      </w:pPr>
    </w:p>
    <w:p w14:paraId="779529E5" w14:textId="6045FD30" w:rsidR="00DA686D" w:rsidRPr="00BF20CF" w:rsidRDefault="00DA686D" w:rsidP="00E94BA9">
      <w:pPr>
        <w:spacing w:line="276" w:lineRule="auto"/>
        <w:rPr>
          <w:rFonts w:ascii="Arial" w:hAnsi="Arial" w:cs="Arial"/>
        </w:rPr>
      </w:pPr>
      <w:r w:rsidRPr="00BF20CF">
        <w:rPr>
          <w:rFonts w:ascii="Arial" w:hAnsi="Arial" w:cs="Arial"/>
        </w:rPr>
        <w:t>The LRAMVA threshold (kWh) in the Settlement Proposal is consistent with the cumulative savings embedded in the 2016 to 202</w:t>
      </w:r>
      <w:r w:rsidR="00296BA9" w:rsidRPr="00BF20CF">
        <w:rPr>
          <w:rFonts w:ascii="Arial" w:hAnsi="Arial" w:cs="Arial"/>
        </w:rPr>
        <w:t>0</w:t>
      </w:r>
      <w:r w:rsidRPr="00BF20CF">
        <w:rPr>
          <w:rFonts w:ascii="Arial" w:hAnsi="Arial" w:cs="Arial"/>
        </w:rPr>
        <w:t xml:space="preserve"> load forecasts.</w:t>
      </w:r>
    </w:p>
    <w:p w14:paraId="30752490" w14:textId="77777777" w:rsidR="00DA686D" w:rsidRPr="00BF20CF" w:rsidRDefault="00DA686D" w:rsidP="00E94BA9">
      <w:pPr>
        <w:spacing w:line="276" w:lineRule="auto"/>
        <w:rPr>
          <w:b/>
          <w:bCs/>
        </w:rPr>
      </w:pPr>
    </w:p>
    <w:p w14:paraId="19087138" w14:textId="64CD3BAB" w:rsidR="00DA686D" w:rsidRPr="00BF20CF" w:rsidRDefault="00DA686D" w:rsidP="00E94BA9">
      <w:pPr>
        <w:spacing w:line="276" w:lineRule="auto"/>
        <w:rPr>
          <w:rFonts w:ascii="Arial" w:hAnsi="Arial" w:cs="Arial"/>
        </w:rPr>
      </w:pPr>
      <w:r w:rsidRPr="00BF20CF">
        <w:rPr>
          <w:rFonts w:ascii="Arial" w:hAnsi="Arial" w:cs="Arial"/>
        </w:rPr>
        <w:t>9-Staff-</w:t>
      </w:r>
      <w:r w:rsidR="008E7B2D" w:rsidRPr="00BF20CF">
        <w:rPr>
          <w:rFonts w:ascii="Arial" w:hAnsi="Arial" w:cs="Arial"/>
        </w:rPr>
        <w:t>6</w:t>
      </w:r>
      <w:r w:rsidRPr="00BF20CF">
        <w:rPr>
          <w:rFonts w:ascii="Arial" w:hAnsi="Arial" w:cs="Arial"/>
        </w:rPr>
        <w:t>-3:</w:t>
      </w:r>
    </w:p>
    <w:p w14:paraId="73EC4111" w14:textId="77777777" w:rsidR="00DA686D" w:rsidRPr="00BF20CF" w:rsidRDefault="00DA686D" w:rsidP="00E94BA9">
      <w:pPr>
        <w:spacing w:line="276" w:lineRule="auto"/>
        <w:rPr>
          <w:rFonts w:ascii="Arial" w:hAnsi="Arial" w:cs="Arial"/>
          <w:sz w:val="20"/>
        </w:rPr>
      </w:pPr>
      <w:r w:rsidRPr="00BF20CF">
        <w:rPr>
          <w:noProof/>
        </w:rPr>
        <w:drawing>
          <wp:inline distT="0" distB="0" distL="0" distR="0" wp14:anchorId="78F9B290" wp14:editId="1E442770">
            <wp:extent cx="4785360" cy="21406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00188" cy="2147263"/>
                    </a:xfrm>
                    <a:prstGeom prst="rect">
                      <a:avLst/>
                    </a:prstGeom>
                  </pic:spPr>
                </pic:pic>
              </a:graphicData>
            </a:graphic>
          </wp:inline>
        </w:drawing>
      </w:r>
    </w:p>
    <w:p w14:paraId="49890D34" w14:textId="77777777" w:rsidR="00DA686D" w:rsidRPr="00BF20CF" w:rsidRDefault="00DA686D" w:rsidP="00E94BA9">
      <w:pPr>
        <w:spacing w:line="276" w:lineRule="auto"/>
        <w:rPr>
          <w:rFonts w:ascii="Arial" w:hAnsi="Arial" w:cs="Arial"/>
          <w:sz w:val="20"/>
        </w:rPr>
      </w:pPr>
      <w:r w:rsidRPr="00BF20CF">
        <w:rPr>
          <w:rFonts w:ascii="Arial" w:hAnsi="Arial" w:cs="Arial"/>
          <w:sz w:val="20"/>
        </w:rPr>
        <w:t>Source: EB-2015-0004, IRR 3-VECC#27</w:t>
      </w:r>
    </w:p>
    <w:p w14:paraId="29CC709D" w14:textId="77777777" w:rsidR="00DA686D" w:rsidRPr="00BF20CF" w:rsidRDefault="00DA686D" w:rsidP="00E94BA9">
      <w:pPr>
        <w:spacing w:line="276" w:lineRule="auto"/>
        <w:rPr>
          <w:rFonts w:ascii="Arial" w:hAnsi="Arial" w:cs="Arial"/>
          <w:sz w:val="20"/>
        </w:rPr>
      </w:pPr>
    </w:p>
    <w:p w14:paraId="23090004" w14:textId="77777777" w:rsidR="00DA686D" w:rsidRPr="00BF20CF" w:rsidRDefault="00DA686D" w:rsidP="00E94BA9">
      <w:pPr>
        <w:spacing w:line="276" w:lineRule="auto"/>
        <w:rPr>
          <w:rFonts w:ascii="Arial" w:hAnsi="Arial" w:cs="Arial"/>
        </w:rPr>
      </w:pPr>
      <w:r w:rsidRPr="00BF20CF">
        <w:rPr>
          <w:rFonts w:ascii="Arial" w:hAnsi="Arial" w:cs="Arial"/>
        </w:rPr>
        <w:t>Question(s):</w:t>
      </w:r>
    </w:p>
    <w:p w14:paraId="2B527026" w14:textId="77777777" w:rsidR="00DA686D" w:rsidRPr="00BF20CF" w:rsidRDefault="00DA686D" w:rsidP="00E94BA9">
      <w:pPr>
        <w:spacing w:line="276" w:lineRule="auto"/>
        <w:rPr>
          <w:rFonts w:ascii="Arial" w:hAnsi="Arial" w:cs="Arial"/>
        </w:rPr>
      </w:pPr>
    </w:p>
    <w:p w14:paraId="14A51B5A" w14:textId="77777777" w:rsidR="00DA686D" w:rsidRPr="00BF20CF" w:rsidRDefault="00DA686D" w:rsidP="00DA686D">
      <w:pPr>
        <w:pStyle w:val="ListParagraph"/>
        <w:numPr>
          <w:ilvl w:val="0"/>
          <w:numId w:val="228"/>
        </w:numPr>
        <w:spacing w:line="276" w:lineRule="auto"/>
        <w:rPr>
          <w:rFonts w:ascii="Arial" w:hAnsi="Arial" w:cs="Arial"/>
        </w:rPr>
      </w:pPr>
      <w:r w:rsidRPr="00BF20CF">
        <w:rPr>
          <w:rFonts w:ascii="Arial" w:hAnsi="Arial" w:cs="Arial"/>
        </w:rPr>
        <w:t xml:space="preserve">Please reconcile the LRAMVA threshold (199,563 kW) in Tab 2 of the LRAMVA </w:t>
      </w:r>
      <w:proofErr w:type="spellStart"/>
      <w:r w:rsidRPr="00BF20CF">
        <w:rPr>
          <w:rFonts w:ascii="Arial" w:hAnsi="Arial" w:cs="Arial"/>
        </w:rPr>
        <w:t>workform</w:t>
      </w:r>
      <w:proofErr w:type="spellEnd"/>
      <w:r w:rsidRPr="00BF20CF">
        <w:rPr>
          <w:rFonts w:ascii="Arial" w:hAnsi="Arial" w:cs="Arial"/>
        </w:rPr>
        <w:t xml:space="preserve"> with Table 2 in the preamble, and explain whether the LRAMVA threshold (kW) used in the lost revenue calculation is correct.</w:t>
      </w:r>
    </w:p>
    <w:p w14:paraId="1D17125B" w14:textId="77777777" w:rsidR="00DA686D" w:rsidRPr="00BF20CF" w:rsidRDefault="00DA686D" w:rsidP="00E94BA9">
      <w:pPr>
        <w:pStyle w:val="ListParagraph"/>
        <w:spacing w:line="276" w:lineRule="auto"/>
        <w:rPr>
          <w:rFonts w:ascii="Arial" w:hAnsi="Arial" w:cs="Arial"/>
        </w:rPr>
      </w:pPr>
    </w:p>
    <w:p w14:paraId="1927EB8D" w14:textId="77777777" w:rsidR="00DA686D" w:rsidRPr="00BF20CF" w:rsidRDefault="00DA686D" w:rsidP="00DA686D">
      <w:pPr>
        <w:pStyle w:val="ListParagraph"/>
        <w:numPr>
          <w:ilvl w:val="0"/>
          <w:numId w:val="228"/>
        </w:numPr>
        <w:spacing w:line="276" w:lineRule="auto"/>
        <w:rPr>
          <w:rFonts w:ascii="Arial" w:hAnsi="Arial" w:cs="Arial"/>
        </w:rPr>
      </w:pPr>
      <w:r w:rsidRPr="00BF20CF">
        <w:rPr>
          <w:rFonts w:ascii="Arial" w:hAnsi="Arial" w:cs="Arial"/>
        </w:rPr>
        <w:t xml:space="preserve">Please provide the inputs and assumptions used to arrive at the class breakdown of CDM adjustments of 199,543 kW for the GS&gt;kW class. </w:t>
      </w:r>
    </w:p>
    <w:p w14:paraId="2B84466F" w14:textId="77777777" w:rsidR="00DA686D" w:rsidRPr="00BF20CF" w:rsidRDefault="00DA686D" w:rsidP="00E94BA9">
      <w:pPr>
        <w:pStyle w:val="ListParagraph"/>
        <w:spacing w:line="276" w:lineRule="auto"/>
        <w:rPr>
          <w:rFonts w:ascii="Arial" w:hAnsi="Arial" w:cs="Arial"/>
        </w:rPr>
      </w:pPr>
    </w:p>
    <w:p w14:paraId="0C8ECB5F" w14:textId="77777777" w:rsidR="00DA686D" w:rsidRPr="00BF20CF" w:rsidRDefault="00DA686D" w:rsidP="00DA686D">
      <w:pPr>
        <w:pStyle w:val="ListParagraph"/>
        <w:numPr>
          <w:ilvl w:val="0"/>
          <w:numId w:val="228"/>
        </w:numPr>
        <w:spacing w:line="276" w:lineRule="auto"/>
        <w:rPr>
          <w:rFonts w:ascii="Arial" w:hAnsi="Arial" w:cs="Arial"/>
        </w:rPr>
      </w:pPr>
      <w:r w:rsidRPr="00BF20CF">
        <w:rPr>
          <w:rFonts w:ascii="Arial" w:hAnsi="Arial" w:cs="Arial"/>
        </w:rPr>
        <w:lastRenderedPageBreak/>
        <w:t xml:space="preserve">For consistency, please revise Tab 2 of LRAMVA </w:t>
      </w:r>
      <w:proofErr w:type="spellStart"/>
      <w:r w:rsidRPr="00BF20CF">
        <w:rPr>
          <w:rFonts w:ascii="Arial" w:hAnsi="Arial" w:cs="Arial"/>
        </w:rPr>
        <w:t>Workform</w:t>
      </w:r>
      <w:proofErr w:type="spellEnd"/>
      <w:r w:rsidRPr="00BF20CF">
        <w:rPr>
          <w:rFonts w:ascii="Arial" w:hAnsi="Arial" w:cs="Arial"/>
        </w:rPr>
        <w:t xml:space="preserve"> E to show the LRAMVA threshold (kWh) for all classes, in order to match the approved LRAMVA threshold of 107,267,000 kWh in 2016. </w:t>
      </w:r>
    </w:p>
    <w:p w14:paraId="37AB975F" w14:textId="0D8FA67A" w:rsidR="00CD3DA5" w:rsidRPr="00BF20CF" w:rsidRDefault="00CD3DA5" w:rsidP="00CD3DA5">
      <w:pPr>
        <w:pStyle w:val="StaffHeader"/>
        <w:numPr>
          <w:ilvl w:val="0"/>
          <w:numId w:val="0"/>
        </w:numPr>
        <w:spacing w:before="240"/>
        <w:rPr>
          <w:rFonts w:cs="Arial"/>
          <w:szCs w:val="24"/>
          <w:u w:val="none"/>
        </w:rPr>
      </w:pPr>
      <w:r w:rsidRPr="00BF20CF">
        <w:rPr>
          <w:rFonts w:cs="Arial"/>
          <w:szCs w:val="24"/>
          <w:u w:val="none"/>
        </w:rPr>
        <w:t>9-Staff-7</w:t>
      </w:r>
    </w:p>
    <w:p w14:paraId="6901DB15" w14:textId="77777777" w:rsidR="00DA686D" w:rsidRPr="00BF20CF" w:rsidRDefault="00DA686D" w:rsidP="00E94BA9">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 xml:space="preserve">LRAMVA </w:t>
      </w:r>
      <w:proofErr w:type="spellStart"/>
      <w:r w:rsidRPr="00BF20CF">
        <w:rPr>
          <w:rFonts w:ascii="Arial" w:hAnsi="Arial" w:cs="Arial"/>
          <w:b/>
          <w:sz w:val="24"/>
          <w:szCs w:val="24"/>
        </w:rPr>
        <w:t>Workform</w:t>
      </w:r>
      <w:proofErr w:type="spellEnd"/>
      <w:r w:rsidRPr="00BF20CF">
        <w:rPr>
          <w:rFonts w:ascii="Arial" w:hAnsi="Arial" w:cs="Arial"/>
          <w:b/>
          <w:sz w:val="24"/>
          <w:szCs w:val="24"/>
        </w:rPr>
        <w:t xml:space="preserve"> E/Tab 8</w:t>
      </w:r>
    </w:p>
    <w:p w14:paraId="073E9C55" w14:textId="77777777" w:rsidR="00DA686D" w:rsidRPr="00BF20CF" w:rsidRDefault="00DA686D" w:rsidP="00E94BA9">
      <w:pPr>
        <w:autoSpaceDE w:val="0"/>
        <w:autoSpaceDN w:val="0"/>
        <w:adjustRightInd w:val="0"/>
        <w:spacing w:line="276" w:lineRule="auto"/>
        <w:rPr>
          <w:rFonts w:ascii="Arial" w:hAnsi="Arial" w:cs="Arial"/>
        </w:rPr>
      </w:pPr>
    </w:p>
    <w:p w14:paraId="08002B58" w14:textId="77777777" w:rsidR="00DA686D" w:rsidRPr="00BF20CF" w:rsidRDefault="00DA686D" w:rsidP="00E94BA9">
      <w:pPr>
        <w:autoSpaceDE w:val="0"/>
        <w:autoSpaceDN w:val="0"/>
        <w:adjustRightInd w:val="0"/>
        <w:spacing w:line="276" w:lineRule="auto"/>
        <w:rPr>
          <w:rFonts w:ascii="Arial" w:hAnsi="Arial" w:cs="Arial"/>
        </w:rPr>
      </w:pPr>
      <w:r w:rsidRPr="00BF20CF">
        <w:rPr>
          <w:rFonts w:ascii="Arial" w:hAnsi="Arial" w:cs="Arial"/>
        </w:rPr>
        <w:t>Preamble:</w:t>
      </w:r>
    </w:p>
    <w:p w14:paraId="098B86DE" w14:textId="77777777" w:rsidR="00DA686D" w:rsidRPr="00BF20CF" w:rsidRDefault="00DA686D" w:rsidP="00E94BA9">
      <w:pPr>
        <w:autoSpaceDE w:val="0"/>
        <w:autoSpaceDN w:val="0"/>
        <w:adjustRightInd w:val="0"/>
        <w:spacing w:line="276" w:lineRule="auto"/>
        <w:rPr>
          <w:rFonts w:ascii="Arial" w:hAnsi="Arial" w:cs="Arial"/>
        </w:rPr>
      </w:pPr>
    </w:p>
    <w:p w14:paraId="48C1B975" w14:textId="77777777" w:rsidR="00DA686D" w:rsidRPr="00BF20CF" w:rsidRDefault="00DA686D" w:rsidP="00E94BA9">
      <w:pPr>
        <w:spacing w:after="200" w:line="276" w:lineRule="auto"/>
        <w:rPr>
          <w:rFonts w:ascii="Arial" w:hAnsi="Arial" w:cs="Arial"/>
        </w:rPr>
      </w:pPr>
      <w:r w:rsidRPr="00BF20CF">
        <w:rPr>
          <w:rFonts w:ascii="Arial" w:hAnsi="Arial" w:cs="Arial"/>
        </w:rPr>
        <w:t xml:space="preserve">As part of the filing of 2019 actuals, Hydro Ottawa included street light demand savings amounting to a debit of $12,301 (principal) as part of its 2016 lost revenue claim. The savings were achieved through the streetlight upgrades on a monthly basis, and detailed tables were provided to show the change in demand by type of bulb for several months of 2016. </w:t>
      </w:r>
    </w:p>
    <w:p w14:paraId="4AF489EE" w14:textId="77777777" w:rsidR="00DA686D" w:rsidRPr="00BF20CF" w:rsidRDefault="00DA686D" w:rsidP="00E94BA9">
      <w:pPr>
        <w:autoSpaceDE w:val="0"/>
        <w:autoSpaceDN w:val="0"/>
        <w:adjustRightInd w:val="0"/>
        <w:spacing w:line="276" w:lineRule="auto"/>
        <w:rPr>
          <w:rFonts w:ascii="Arial" w:hAnsi="Arial" w:cs="Arial"/>
        </w:rPr>
      </w:pPr>
      <w:r w:rsidRPr="00BF20CF">
        <w:rPr>
          <w:rFonts w:ascii="Arial" w:hAnsi="Arial" w:cs="Arial"/>
        </w:rPr>
        <w:t>Question(s):</w:t>
      </w:r>
    </w:p>
    <w:p w14:paraId="225C53CB" w14:textId="77777777" w:rsidR="00DA686D" w:rsidRPr="00BF20CF" w:rsidRDefault="00DA686D" w:rsidP="00E94BA9">
      <w:pPr>
        <w:autoSpaceDE w:val="0"/>
        <w:autoSpaceDN w:val="0"/>
        <w:adjustRightInd w:val="0"/>
        <w:spacing w:line="276" w:lineRule="auto"/>
        <w:rPr>
          <w:rFonts w:ascii="Arial" w:hAnsi="Arial" w:cs="Arial"/>
        </w:rPr>
      </w:pPr>
    </w:p>
    <w:p w14:paraId="4B074E8A" w14:textId="77777777" w:rsidR="00DA686D" w:rsidRPr="00BF20CF" w:rsidRDefault="00DA686D" w:rsidP="00DA686D">
      <w:pPr>
        <w:pStyle w:val="ListParagraph"/>
        <w:numPr>
          <w:ilvl w:val="0"/>
          <w:numId w:val="229"/>
        </w:numPr>
        <w:autoSpaceDE w:val="0"/>
        <w:autoSpaceDN w:val="0"/>
        <w:adjustRightInd w:val="0"/>
        <w:spacing w:line="276" w:lineRule="auto"/>
        <w:rPr>
          <w:rFonts w:ascii="Arial" w:hAnsi="Arial" w:cs="Arial"/>
        </w:rPr>
      </w:pPr>
      <w:r w:rsidRPr="00BF20CF">
        <w:rPr>
          <w:rFonts w:ascii="Arial" w:hAnsi="Arial" w:cs="Arial"/>
        </w:rPr>
        <w:t xml:space="preserve">Please confirm whether street light demand savings were funded through the IESO </w:t>
      </w:r>
      <w:proofErr w:type="spellStart"/>
      <w:r w:rsidRPr="00BF20CF">
        <w:rPr>
          <w:rFonts w:ascii="Arial" w:hAnsi="Arial" w:cs="Arial"/>
        </w:rPr>
        <w:t>saveOnEnergy</w:t>
      </w:r>
      <w:proofErr w:type="spellEnd"/>
      <w:r w:rsidRPr="00BF20CF">
        <w:rPr>
          <w:rFonts w:ascii="Arial" w:hAnsi="Arial" w:cs="Arial"/>
        </w:rPr>
        <w:t xml:space="preserve"> retrofit program in 2016. </w:t>
      </w:r>
    </w:p>
    <w:p w14:paraId="725CDC05" w14:textId="77777777" w:rsidR="00DA686D" w:rsidRPr="00BF20CF" w:rsidRDefault="00DA686D" w:rsidP="00E94BA9">
      <w:pPr>
        <w:pStyle w:val="ListParagraph"/>
        <w:autoSpaceDE w:val="0"/>
        <w:autoSpaceDN w:val="0"/>
        <w:adjustRightInd w:val="0"/>
        <w:spacing w:line="276" w:lineRule="auto"/>
        <w:rPr>
          <w:rFonts w:ascii="Arial" w:hAnsi="Arial" w:cs="Arial"/>
        </w:rPr>
      </w:pPr>
    </w:p>
    <w:p w14:paraId="6F71AE7D" w14:textId="77777777" w:rsidR="00DA686D" w:rsidRPr="00BF20CF" w:rsidRDefault="00DA686D" w:rsidP="00DA686D">
      <w:pPr>
        <w:pStyle w:val="ListParagraph"/>
        <w:numPr>
          <w:ilvl w:val="0"/>
          <w:numId w:val="229"/>
        </w:numPr>
        <w:spacing w:after="160" w:line="276" w:lineRule="auto"/>
        <w:rPr>
          <w:rFonts w:ascii="Arial" w:hAnsi="Arial" w:cs="Arial"/>
        </w:rPr>
      </w:pPr>
      <w:r w:rsidRPr="00BF20CF">
        <w:rPr>
          <w:rFonts w:ascii="Arial" w:hAnsi="Arial" w:cs="Arial"/>
        </w:rPr>
        <w:t xml:space="preserve">Please confirm whether there were any street lighting upgrades completed outside of the IESO’s </w:t>
      </w:r>
      <w:proofErr w:type="spellStart"/>
      <w:r w:rsidRPr="00BF20CF">
        <w:rPr>
          <w:rFonts w:ascii="Arial" w:hAnsi="Arial" w:cs="Arial"/>
        </w:rPr>
        <w:t>saveOnEnergy</w:t>
      </w:r>
      <w:proofErr w:type="spellEnd"/>
      <w:r w:rsidRPr="00BF20CF">
        <w:rPr>
          <w:rFonts w:ascii="Arial" w:hAnsi="Arial" w:cs="Arial"/>
        </w:rPr>
        <w:t xml:space="preserve"> Retrofit program that are counted in total billed demand. If yes, please quantify and remove the impact of these savings in the LRAMVA. </w:t>
      </w:r>
    </w:p>
    <w:p w14:paraId="773FE938" w14:textId="77777777" w:rsidR="00DA686D" w:rsidRPr="00BF20CF" w:rsidRDefault="00DA686D" w:rsidP="00E94BA9">
      <w:pPr>
        <w:pStyle w:val="ListParagraph"/>
        <w:autoSpaceDE w:val="0"/>
        <w:autoSpaceDN w:val="0"/>
        <w:adjustRightInd w:val="0"/>
        <w:spacing w:line="276" w:lineRule="auto"/>
        <w:rPr>
          <w:rFonts w:ascii="Arial" w:hAnsi="Arial" w:cs="Arial"/>
        </w:rPr>
      </w:pPr>
    </w:p>
    <w:p w14:paraId="69E2F444" w14:textId="77777777" w:rsidR="00DA686D" w:rsidRPr="00BF20CF" w:rsidRDefault="00DA686D" w:rsidP="00DA686D">
      <w:pPr>
        <w:pStyle w:val="ListParagraph"/>
        <w:numPr>
          <w:ilvl w:val="0"/>
          <w:numId w:val="229"/>
        </w:numPr>
        <w:autoSpaceDE w:val="0"/>
        <w:autoSpaceDN w:val="0"/>
        <w:adjustRightInd w:val="0"/>
        <w:spacing w:line="276" w:lineRule="auto"/>
        <w:rPr>
          <w:rFonts w:ascii="Arial" w:hAnsi="Arial" w:cs="Arial"/>
        </w:rPr>
      </w:pPr>
      <w:r w:rsidRPr="00BF20CF">
        <w:rPr>
          <w:rFonts w:ascii="Arial" w:hAnsi="Arial" w:cs="Arial"/>
        </w:rPr>
        <w:t xml:space="preserve">If yes to a) above, please confirm whether the energy savings from street light projects have been deducted from the respective 2016 </w:t>
      </w:r>
      <w:proofErr w:type="spellStart"/>
      <w:r w:rsidRPr="00BF20CF">
        <w:rPr>
          <w:rFonts w:ascii="Arial" w:hAnsi="Arial" w:cs="Arial"/>
        </w:rPr>
        <w:t>saveOnEnergy</w:t>
      </w:r>
      <w:proofErr w:type="spellEnd"/>
      <w:r w:rsidRPr="00BF20CF">
        <w:rPr>
          <w:rFonts w:ascii="Arial" w:hAnsi="Arial" w:cs="Arial"/>
        </w:rPr>
        <w:t xml:space="preserve"> retrofit program. If not, please revise Tab 5 of LRAMVA </w:t>
      </w:r>
      <w:proofErr w:type="spellStart"/>
      <w:r w:rsidRPr="00BF20CF">
        <w:rPr>
          <w:rFonts w:ascii="Arial" w:hAnsi="Arial" w:cs="Arial"/>
        </w:rPr>
        <w:t>Workform</w:t>
      </w:r>
      <w:proofErr w:type="spellEnd"/>
      <w:r w:rsidRPr="00BF20CF">
        <w:rPr>
          <w:rFonts w:ascii="Arial" w:hAnsi="Arial" w:cs="Arial"/>
        </w:rPr>
        <w:t xml:space="preserve"> E to show that the 2016 retrofit program’s energy savings (claimed in the LRAMVA) are exclusive of street light retrofits.</w:t>
      </w:r>
    </w:p>
    <w:p w14:paraId="42C1B656" w14:textId="77777777" w:rsidR="00DA686D" w:rsidRPr="00BF20CF" w:rsidRDefault="00DA686D" w:rsidP="00E94BA9">
      <w:pPr>
        <w:pStyle w:val="ListParagraph"/>
        <w:rPr>
          <w:rFonts w:ascii="Arial" w:hAnsi="Arial" w:cs="Arial"/>
        </w:rPr>
      </w:pPr>
    </w:p>
    <w:p w14:paraId="1C7CCEB8" w14:textId="77777777" w:rsidR="00DA686D" w:rsidRPr="00BF20CF" w:rsidRDefault="00DA686D" w:rsidP="00DA686D">
      <w:pPr>
        <w:pStyle w:val="ListParagraph"/>
        <w:numPr>
          <w:ilvl w:val="0"/>
          <w:numId w:val="229"/>
        </w:numPr>
        <w:spacing w:after="160" w:line="276" w:lineRule="auto"/>
        <w:rPr>
          <w:rFonts w:ascii="Arial" w:hAnsi="Arial" w:cs="Arial"/>
        </w:rPr>
      </w:pPr>
      <w:r w:rsidRPr="00BF20CF">
        <w:rPr>
          <w:rFonts w:ascii="Arial" w:hAnsi="Arial" w:cs="Arial"/>
        </w:rPr>
        <w:t>Please discuss whether Hydro Ottawa received reports from the City of Ottawa to confirm the number of bulbs, types of bulbs and timing of the bulbs replaced. If not, please discuss whether the number or wattage of bulb retrofits were validated.</w:t>
      </w:r>
    </w:p>
    <w:p w14:paraId="7B133BA3" w14:textId="77777777" w:rsidR="00DA686D" w:rsidRPr="00BF20CF" w:rsidRDefault="00DA686D" w:rsidP="00E94BA9">
      <w:pPr>
        <w:pStyle w:val="ListParagraph"/>
        <w:rPr>
          <w:rFonts w:ascii="Arial" w:hAnsi="Arial" w:cs="Arial"/>
        </w:rPr>
      </w:pPr>
    </w:p>
    <w:p w14:paraId="2BE3D167" w14:textId="77777777" w:rsidR="00DA686D" w:rsidRPr="00BF20CF" w:rsidRDefault="00DA686D" w:rsidP="00DA686D">
      <w:pPr>
        <w:pStyle w:val="ListParagraph"/>
        <w:numPr>
          <w:ilvl w:val="0"/>
          <w:numId w:val="229"/>
        </w:numPr>
        <w:spacing w:line="276" w:lineRule="auto"/>
        <w:rPr>
          <w:rFonts w:ascii="Arial" w:hAnsi="Arial" w:cs="Arial"/>
        </w:rPr>
      </w:pPr>
      <w:r w:rsidRPr="00BF20CF">
        <w:rPr>
          <w:rFonts w:ascii="Arial" w:hAnsi="Arial" w:cs="Arial"/>
        </w:rPr>
        <w:t xml:space="preserve">Please confirm that the change in demand savings were tracked on a monthly basis; and thus, it is appropriate to multiple the monthly savings by the number of months the new bulbs were in-service for the remainder of the year. </w:t>
      </w:r>
    </w:p>
    <w:p w14:paraId="5DE5398D" w14:textId="77777777" w:rsidR="00DA686D" w:rsidRPr="00BF20CF" w:rsidRDefault="00DA686D" w:rsidP="00E94BA9">
      <w:pPr>
        <w:pStyle w:val="ListParagraph"/>
        <w:spacing w:line="276" w:lineRule="auto"/>
        <w:rPr>
          <w:rFonts w:ascii="Arial" w:hAnsi="Arial" w:cs="Arial"/>
        </w:rPr>
      </w:pPr>
    </w:p>
    <w:p w14:paraId="3DDDCDF5" w14:textId="77777777" w:rsidR="00DA686D" w:rsidRPr="00BF20CF" w:rsidRDefault="00DA686D" w:rsidP="00DA686D">
      <w:pPr>
        <w:pStyle w:val="ListParagraph"/>
        <w:numPr>
          <w:ilvl w:val="0"/>
          <w:numId w:val="229"/>
        </w:numPr>
        <w:spacing w:line="276" w:lineRule="auto"/>
        <w:rPr>
          <w:rFonts w:ascii="Arial" w:hAnsi="Arial" w:cs="Arial"/>
        </w:rPr>
      </w:pPr>
      <w:r w:rsidRPr="00BF20CF">
        <w:rPr>
          <w:rFonts w:ascii="Arial" w:hAnsi="Arial" w:cs="Arial"/>
        </w:rPr>
        <w:lastRenderedPageBreak/>
        <w:t xml:space="preserve">Without a net-to-gross ratio (NTG) applied, savings from street light upgrades are gross values. Please explain why it is appropriate not to apply a free ridership assumption to municipal </w:t>
      </w:r>
      <w:proofErr w:type="spellStart"/>
      <w:r w:rsidRPr="00BF20CF">
        <w:rPr>
          <w:rFonts w:ascii="Arial" w:hAnsi="Arial" w:cs="Arial"/>
        </w:rPr>
        <w:t>streetlighting</w:t>
      </w:r>
      <w:proofErr w:type="spellEnd"/>
      <w:r w:rsidRPr="00BF20CF">
        <w:rPr>
          <w:rFonts w:ascii="Arial" w:hAnsi="Arial" w:cs="Arial"/>
        </w:rPr>
        <w:t xml:space="preserve"> projects. Alternatively, please discuss whether it is reasonable to apply </w:t>
      </w:r>
      <w:proofErr w:type="gramStart"/>
      <w:r w:rsidRPr="00BF20CF">
        <w:rPr>
          <w:rFonts w:ascii="Arial" w:hAnsi="Arial" w:cs="Arial"/>
        </w:rPr>
        <w:t>a</w:t>
      </w:r>
      <w:proofErr w:type="gramEnd"/>
      <w:r w:rsidRPr="00BF20CF">
        <w:rPr>
          <w:rFonts w:ascii="Arial" w:hAnsi="Arial" w:cs="Arial"/>
        </w:rPr>
        <w:t xml:space="preserve"> 85% NTG ratio</w:t>
      </w:r>
      <w:r w:rsidRPr="00BF20CF">
        <w:rPr>
          <w:rStyle w:val="FootnoteReference"/>
          <w:rFonts w:ascii="Arial" w:hAnsi="Arial" w:cs="Arial"/>
        </w:rPr>
        <w:footnoteReference w:id="31"/>
      </w:r>
      <w:r w:rsidRPr="00BF20CF">
        <w:rPr>
          <w:rFonts w:ascii="Arial" w:hAnsi="Arial" w:cs="Arial"/>
        </w:rPr>
        <w:t xml:space="preserve"> based on similar retrofit projects in Hydro Ottawa’s service territory. Please make the necessary revision(s) to Tab 8, as applicable. </w:t>
      </w:r>
    </w:p>
    <w:p w14:paraId="7657A08E" w14:textId="4FC37F58" w:rsidR="00CD3DA5" w:rsidRPr="00BF20CF" w:rsidRDefault="00CD3DA5" w:rsidP="00CD3DA5">
      <w:pPr>
        <w:pStyle w:val="StaffHeader"/>
        <w:numPr>
          <w:ilvl w:val="0"/>
          <w:numId w:val="0"/>
        </w:numPr>
        <w:spacing w:before="240"/>
        <w:rPr>
          <w:rFonts w:cs="Arial"/>
          <w:szCs w:val="24"/>
          <w:u w:val="none"/>
        </w:rPr>
      </w:pPr>
      <w:r w:rsidRPr="00BF20CF">
        <w:rPr>
          <w:rFonts w:cs="Arial"/>
          <w:szCs w:val="24"/>
          <w:u w:val="none"/>
        </w:rPr>
        <w:t>9-Staff-8</w:t>
      </w:r>
    </w:p>
    <w:p w14:paraId="3E2F2CD1" w14:textId="4994E4D0" w:rsidR="00DA686D" w:rsidRPr="00BF20CF" w:rsidRDefault="00DA686D" w:rsidP="00C84F5B">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 xml:space="preserve">LRAMVA </w:t>
      </w:r>
      <w:proofErr w:type="spellStart"/>
      <w:r w:rsidRPr="00BF20CF">
        <w:rPr>
          <w:rFonts w:ascii="Arial" w:hAnsi="Arial" w:cs="Arial"/>
          <w:b/>
          <w:sz w:val="24"/>
          <w:szCs w:val="24"/>
        </w:rPr>
        <w:t>Workforms</w:t>
      </w:r>
      <w:proofErr w:type="spellEnd"/>
      <w:r w:rsidRPr="00BF20CF">
        <w:rPr>
          <w:rFonts w:ascii="Arial" w:hAnsi="Arial" w:cs="Arial"/>
          <w:b/>
          <w:sz w:val="24"/>
          <w:szCs w:val="24"/>
        </w:rPr>
        <w:t xml:space="preserve"> A, B, C, D and E </w:t>
      </w:r>
    </w:p>
    <w:p w14:paraId="32D7337E" w14:textId="52D661C9" w:rsidR="00DA686D" w:rsidRPr="00BF20CF" w:rsidRDefault="00DA686D" w:rsidP="00C84F5B">
      <w:pPr>
        <w:pStyle w:val="NoSpacing"/>
        <w:spacing w:line="276" w:lineRule="auto"/>
        <w:rPr>
          <w:rFonts w:ascii="Arial" w:hAnsi="Arial" w:cs="Arial"/>
          <w:b/>
          <w:sz w:val="24"/>
          <w:szCs w:val="24"/>
        </w:rPr>
      </w:pPr>
      <w:r w:rsidRPr="00BF20CF">
        <w:rPr>
          <w:rFonts w:ascii="Arial" w:hAnsi="Arial" w:cs="Arial"/>
          <w:b/>
          <w:sz w:val="24"/>
          <w:szCs w:val="24"/>
        </w:rPr>
        <w:tab/>
        <w:t>Updated Exhibit 4/Tab 5/Schedule 2/p. 6/Table 3</w:t>
      </w:r>
    </w:p>
    <w:p w14:paraId="04DF379A" w14:textId="77777777" w:rsidR="00DA686D" w:rsidRPr="00BF20CF" w:rsidRDefault="00DA686D" w:rsidP="00C84F5B">
      <w:pPr>
        <w:pStyle w:val="NoSpacing"/>
        <w:spacing w:line="276" w:lineRule="auto"/>
        <w:rPr>
          <w:rFonts w:ascii="Arial" w:hAnsi="Arial" w:cs="Arial"/>
          <w:sz w:val="24"/>
          <w:szCs w:val="24"/>
        </w:rPr>
      </w:pPr>
    </w:p>
    <w:p w14:paraId="0264C5B9" w14:textId="77777777" w:rsidR="00DA686D" w:rsidRPr="00BF20CF" w:rsidRDefault="00DA686D" w:rsidP="00C84F5B">
      <w:pPr>
        <w:pStyle w:val="NoSpacing"/>
        <w:spacing w:line="276" w:lineRule="auto"/>
        <w:rPr>
          <w:rFonts w:ascii="Arial" w:hAnsi="Arial" w:cs="Arial"/>
          <w:sz w:val="24"/>
          <w:szCs w:val="24"/>
        </w:rPr>
      </w:pPr>
      <w:r w:rsidRPr="00BF20CF">
        <w:rPr>
          <w:rFonts w:ascii="Arial" w:hAnsi="Arial" w:cs="Arial"/>
          <w:sz w:val="24"/>
          <w:szCs w:val="24"/>
        </w:rPr>
        <w:t>Question(s):</w:t>
      </w:r>
    </w:p>
    <w:p w14:paraId="6F01F537" w14:textId="77777777" w:rsidR="00DA686D" w:rsidRPr="00BF20CF" w:rsidRDefault="00DA686D" w:rsidP="00C84F5B">
      <w:pPr>
        <w:pStyle w:val="NoSpacing"/>
        <w:spacing w:line="276" w:lineRule="auto"/>
        <w:rPr>
          <w:rFonts w:ascii="Arial" w:hAnsi="Arial" w:cs="Arial"/>
          <w:sz w:val="24"/>
          <w:szCs w:val="24"/>
        </w:rPr>
      </w:pPr>
    </w:p>
    <w:p w14:paraId="392922DD" w14:textId="77777777" w:rsidR="00DA686D" w:rsidRPr="00BF20CF" w:rsidRDefault="00DA686D" w:rsidP="00DA686D">
      <w:pPr>
        <w:pStyle w:val="ListParagraph"/>
        <w:numPr>
          <w:ilvl w:val="0"/>
          <w:numId w:val="211"/>
        </w:numPr>
        <w:spacing w:after="160" w:line="276" w:lineRule="auto"/>
        <w:rPr>
          <w:rFonts w:ascii="Arial" w:hAnsi="Arial" w:cs="Arial"/>
        </w:rPr>
      </w:pPr>
      <w:r w:rsidRPr="00BF20CF">
        <w:rPr>
          <w:rFonts w:ascii="Arial" w:hAnsi="Arial" w:cs="Arial"/>
        </w:rPr>
        <w:t xml:space="preserve">Please file the 2011-2015 Persistence Savings Report. </w:t>
      </w:r>
    </w:p>
    <w:p w14:paraId="7A2B47A2" w14:textId="77777777" w:rsidR="00DA686D" w:rsidRPr="00BF20CF" w:rsidRDefault="00DA686D" w:rsidP="00C84F5B">
      <w:pPr>
        <w:pStyle w:val="ListParagraph"/>
        <w:spacing w:line="276" w:lineRule="auto"/>
        <w:rPr>
          <w:rFonts w:ascii="Arial" w:hAnsi="Arial" w:cs="Arial"/>
        </w:rPr>
      </w:pPr>
    </w:p>
    <w:p w14:paraId="6967F966" w14:textId="55DD0001" w:rsidR="00DA686D" w:rsidRPr="00BF20CF" w:rsidRDefault="00DA686D" w:rsidP="00DA686D">
      <w:pPr>
        <w:pStyle w:val="ListParagraph"/>
        <w:numPr>
          <w:ilvl w:val="0"/>
          <w:numId w:val="211"/>
        </w:numPr>
        <w:spacing w:after="160" w:line="276" w:lineRule="auto"/>
        <w:rPr>
          <w:rFonts w:ascii="Arial" w:hAnsi="Arial" w:cs="Arial"/>
        </w:rPr>
      </w:pPr>
      <w:r w:rsidRPr="00BF20CF">
        <w:rPr>
          <w:rFonts w:ascii="Arial" w:hAnsi="Arial" w:cs="Arial"/>
        </w:rPr>
        <w:t xml:space="preserve">Please file updated LRAMVA </w:t>
      </w:r>
      <w:proofErr w:type="spellStart"/>
      <w:r w:rsidRPr="00BF20CF">
        <w:rPr>
          <w:rFonts w:ascii="Arial" w:hAnsi="Arial" w:cs="Arial"/>
        </w:rPr>
        <w:t>workform</w:t>
      </w:r>
      <w:proofErr w:type="spellEnd"/>
      <w:r w:rsidRPr="00BF20CF">
        <w:rPr>
          <w:rFonts w:ascii="Arial" w:hAnsi="Arial" w:cs="Arial"/>
        </w:rPr>
        <w:t xml:space="preserve">(s) as requested in the above LRAMVA interrogatories or as one consolidated LRAMVA </w:t>
      </w:r>
      <w:proofErr w:type="spellStart"/>
      <w:r w:rsidRPr="00BF20CF">
        <w:rPr>
          <w:rFonts w:ascii="Arial" w:hAnsi="Arial" w:cs="Arial"/>
        </w:rPr>
        <w:t>workform</w:t>
      </w:r>
      <w:proofErr w:type="spellEnd"/>
      <w:r w:rsidRPr="00BF20CF">
        <w:rPr>
          <w:rFonts w:ascii="Arial" w:hAnsi="Arial" w:cs="Arial"/>
        </w:rPr>
        <w:t xml:space="preserve"> with all </w:t>
      </w:r>
      <w:proofErr w:type="gramStart"/>
      <w:r w:rsidRPr="00BF20CF">
        <w:rPr>
          <w:rFonts w:ascii="Arial" w:hAnsi="Arial" w:cs="Arial"/>
        </w:rPr>
        <w:t>years</w:t>
      </w:r>
      <w:proofErr w:type="gramEnd"/>
      <w:r w:rsidRPr="00BF20CF">
        <w:rPr>
          <w:rFonts w:ascii="Arial" w:hAnsi="Arial" w:cs="Arial"/>
        </w:rPr>
        <w:t xml:space="preserve"> inclusive, if this can done. Please confirm the LRAMVA balance requested for disposition, the disposition period and the revised rate riders. </w:t>
      </w:r>
    </w:p>
    <w:p w14:paraId="54D7BF74" w14:textId="77777777" w:rsidR="00DA686D" w:rsidRPr="00BF20CF" w:rsidRDefault="00DA686D" w:rsidP="00C84F5B">
      <w:pPr>
        <w:pStyle w:val="ListParagraph"/>
        <w:spacing w:line="276" w:lineRule="auto"/>
        <w:rPr>
          <w:rFonts w:ascii="Arial" w:hAnsi="Arial" w:cs="Arial"/>
        </w:rPr>
      </w:pPr>
    </w:p>
    <w:p w14:paraId="48242334" w14:textId="7AAD95C8" w:rsidR="00624309" w:rsidRPr="00BF20CF" w:rsidRDefault="00DA686D" w:rsidP="00035FB3">
      <w:pPr>
        <w:pStyle w:val="ListParagraph"/>
        <w:numPr>
          <w:ilvl w:val="0"/>
          <w:numId w:val="211"/>
        </w:numPr>
        <w:spacing w:after="160" w:line="276" w:lineRule="auto"/>
        <w:rPr>
          <w:rFonts w:ascii="Arial" w:hAnsi="Arial" w:cs="Arial"/>
        </w:rPr>
      </w:pPr>
      <w:r w:rsidRPr="00BF20CF">
        <w:rPr>
          <w:rFonts w:ascii="Arial" w:hAnsi="Arial" w:cs="Arial"/>
        </w:rPr>
        <w:t xml:space="preserve">Please confirm any changes to the LRAMVA </w:t>
      </w:r>
      <w:proofErr w:type="spellStart"/>
      <w:r w:rsidRPr="00BF20CF">
        <w:rPr>
          <w:rFonts w:ascii="Arial" w:hAnsi="Arial" w:cs="Arial"/>
        </w:rPr>
        <w:t>workform</w:t>
      </w:r>
      <w:proofErr w:type="spellEnd"/>
      <w:r w:rsidRPr="00BF20CF">
        <w:rPr>
          <w:rFonts w:ascii="Arial" w:hAnsi="Arial" w:cs="Arial"/>
        </w:rPr>
        <w:t xml:space="preserve"> in response to these LRAMVA interrogatories in “Table A-2. Updates to LRAMVA Disposition (Tab 1-a)”.</w:t>
      </w:r>
    </w:p>
    <w:p w14:paraId="07900015" w14:textId="77777777" w:rsidR="00C87CDA" w:rsidRPr="00BF20CF" w:rsidRDefault="00C87CDA" w:rsidP="00C87CDA">
      <w:pPr>
        <w:pStyle w:val="ListParagraph"/>
        <w:rPr>
          <w:rFonts w:ascii="Arial" w:hAnsi="Arial" w:cs="Arial"/>
        </w:rPr>
      </w:pPr>
    </w:p>
    <w:p w14:paraId="5B838B13" w14:textId="77777777" w:rsidR="00C87CDA" w:rsidRPr="00BF20CF" w:rsidRDefault="00C87CDA" w:rsidP="00C87CDA">
      <w:pPr>
        <w:autoSpaceDE w:val="0"/>
        <w:autoSpaceDN w:val="0"/>
        <w:adjustRightInd w:val="0"/>
        <w:spacing w:line="276" w:lineRule="auto"/>
        <w:rPr>
          <w:rFonts w:ascii="Arial" w:hAnsi="Arial" w:cs="Arial"/>
          <w:b/>
        </w:rPr>
      </w:pPr>
      <w:r w:rsidRPr="00BF20CF">
        <w:rPr>
          <w:rFonts w:ascii="Arial" w:hAnsi="Arial" w:cs="Arial"/>
          <w:b/>
        </w:rPr>
        <w:t>Other Deferral and Variance Accounts</w:t>
      </w:r>
    </w:p>
    <w:p w14:paraId="6A141051" w14:textId="5B774854" w:rsidR="00C87CDA" w:rsidRPr="00BF20CF" w:rsidRDefault="00C87CDA" w:rsidP="00C87CDA">
      <w:pPr>
        <w:pStyle w:val="StaffHeader"/>
        <w:numPr>
          <w:ilvl w:val="0"/>
          <w:numId w:val="0"/>
        </w:numPr>
        <w:spacing w:before="240"/>
        <w:rPr>
          <w:rFonts w:cs="Arial"/>
          <w:szCs w:val="24"/>
          <w:u w:val="none"/>
        </w:rPr>
      </w:pPr>
      <w:r w:rsidRPr="00BF20CF">
        <w:rPr>
          <w:rFonts w:cs="Arial"/>
          <w:szCs w:val="24"/>
          <w:u w:val="none"/>
        </w:rPr>
        <w:t>9-Staff-9</w:t>
      </w:r>
    </w:p>
    <w:p w14:paraId="64A5714F" w14:textId="77777777" w:rsidR="00C87CDA" w:rsidRPr="00BF20CF" w:rsidRDefault="00C87CDA" w:rsidP="00C87CDA">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Updated Exhibit 9/Tab 1/Schedule 3/pp. 14-15</w:t>
      </w:r>
    </w:p>
    <w:p w14:paraId="39F8C196"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72761D3" w14:textId="77777777" w:rsidR="00C87CDA" w:rsidRPr="00BF20CF" w:rsidRDefault="00C87CDA" w:rsidP="00C87CDA">
      <w:pPr>
        <w:spacing w:before="240" w:after="120" w:line="276" w:lineRule="auto"/>
        <w:rPr>
          <w:rFonts w:ascii="Arial" w:hAnsi="Arial" w:cs="Arial"/>
        </w:rPr>
      </w:pPr>
      <w:r w:rsidRPr="00BF20CF">
        <w:rPr>
          <w:rFonts w:ascii="Arial" w:hAnsi="Arial" w:cs="Arial"/>
        </w:rPr>
        <w:t>The accounting order from the 2016 -2020 Custom IR</w:t>
      </w:r>
      <w:r w:rsidRPr="00BF20CF">
        <w:rPr>
          <w:rStyle w:val="FootnoteReference"/>
          <w:rFonts w:ascii="Arial" w:hAnsi="Arial" w:cs="Arial"/>
        </w:rPr>
        <w:footnoteReference w:id="32"/>
      </w:r>
      <w:r w:rsidRPr="00BF20CF">
        <w:rPr>
          <w:rFonts w:ascii="Arial" w:hAnsi="Arial" w:cs="Arial"/>
        </w:rPr>
        <w:t xml:space="preserve"> established the following for Account 1508 Other Regulatory – Sub-account Gains/Losses from the Sale of Existing Facilities Deferral Account </w:t>
      </w:r>
    </w:p>
    <w:p w14:paraId="5CE09652" w14:textId="77777777" w:rsidR="00C87CDA" w:rsidRPr="00BF20CF" w:rsidRDefault="00C87CDA" w:rsidP="00C87CDA">
      <w:pPr>
        <w:spacing w:before="240" w:after="120" w:line="276" w:lineRule="auto"/>
        <w:ind w:left="720"/>
        <w:rPr>
          <w:rFonts w:ascii="Arial" w:hAnsi="Arial" w:cs="Arial"/>
        </w:rPr>
      </w:pPr>
      <w:r w:rsidRPr="00BF20CF">
        <w:rPr>
          <w:rFonts w:ascii="Arial" w:hAnsi="Arial" w:cs="Arial"/>
        </w:rPr>
        <w:t xml:space="preserve">Hydro Ottawa shall establish a new deferral account 1508 Other Regulatory Assets – Subaccount Gains/Losses from Sale of Existing </w:t>
      </w:r>
      <w:r w:rsidRPr="00BF20CF">
        <w:rPr>
          <w:rFonts w:ascii="Arial" w:hAnsi="Arial" w:cs="Arial"/>
        </w:rPr>
        <w:lastRenderedPageBreak/>
        <w:t xml:space="preserve">Facilities, effective January 1, 2016, to record the </w:t>
      </w:r>
      <w:r w:rsidRPr="00BF20CF">
        <w:rPr>
          <w:rFonts w:ascii="Arial" w:hAnsi="Arial" w:cs="Arial"/>
          <w:b/>
        </w:rPr>
        <w:t>after tax</w:t>
      </w:r>
      <w:r w:rsidRPr="00BF20CF">
        <w:rPr>
          <w:rFonts w:ascii="Arial" w:hAnsi="Arial" w:cs="Arial"/>
        </w:rPr>
        <w:t xml:space="preserve"> gains/losses from the sale of existing buildings and land. (Emphasis added)</w:t>
      </w:r>
    </w:p>
    <w:p w14:paraId="2EF3AA3F" w14:textId="77777777" w:rsidR="00C87CDA" w:rsidRPr="00BF20CF" w:rsidRDefault="00C87CDA" w:rsidP="00C87CDA">
      <w:pPr>
        <w:spacing w:before="240" w:after="120" w:line="276" w:lineRule="auto"/>
        <w:ind w:left="720"/>
        <w:rPr>
          <w:rFonts w:ascii="Arial" w:hAnsi="Arial" w:cs="Arial"/>
        </w:rPr>
      </w:pPr>
      <w:r w:rsidRPr="00BF20CF">
        <w:rPr>
          <w:rFonts w:ascii="Arial" w:hAnsi="Arial" w:cs="Arial"/>
        </w:rPr>
        <w:t xml:space="preserve">This account shall capture 100% of the </w:t>
      </w:r>
      <w:r w:rsidRPr="00BF20CF">
        <w:rPr>
          <w:rFonts w:ascii="Arial" w:hAnsi="Arial" w:cs="Arial"/>
          <w:b/>
        </w:rPr>
        <w:t>after tax</w:t>
      </w:r>
      <w:r w:rsidRPr="00BF20CF">
        <w:rPr>
          <w:rFonts w:ascii="Arial" w:hAnsi="Arial" w:cs="Arial"/>
        </w:rPr>
        <w:t xml:space="preserve"> net gains/losses on the sale of land and existing facilities buildings at Albion Road, Merivale Road and Bank Street. (Emphasis added)</w:t>
      </w:r>
    </w:p>
    <w:p w14:paraId="54D70049" w14:textId="77777777" w:rsidR="00C87CDA" w:rsidRPr="00BF20CF" w:rsidRDefault="00C87CDA" w:rsidP="00C87CDA">
      <w:pPr>
        <w:spacing w:before="240" w:after="120" w:line="276" w:lineRule="auto"/>
        <w:rPr>
          <w:rFonts w:ascii="Arial" w:hAnsi="Arial" w:cs="Arial"/>
        </w:rPr>
      </w:pPr>
      <w:r w:rsidRPr="00BF20CF">
        <w:rPr>
          <w:rFonts w:ascii="Arial" w:hAnsi="Arial" w:cs="Arial"/>
        </w:rPr>
        <w:t xml:space="preserve">In the current application, Hydro Ottawa seeks disposition of a total gain of $2,151,861 in Sub-account 1508. Hydro Ottawa proposes no tax adjustment to the gain being returned to customers. Hydro Ottawa proposes to use the Replacement Property rules under the </w:t>
      </w:r>
      <w:r w:rsidRPr="00BF20CF">
        <w:rPr>
          <w:rFonts w:ascii="Arial" w:hAnsi="Arial" w:cs="Arial"/>
          <w:i/>
        </w:rPr>
        <w:t>Income Tax Act</w:t>
      </w:r>
      <w:r w:rsidRPr="00BF20CF">
        <w:rPr>
          <w:rFonts w:ascii="Arial" w:hAnsi="Arial" w:cs="Arial"/>
        </w:rPr>
        <w:t xml:space="preserve"> to defer the capital gain on the sale of the land and buildings of the Existing Facilities and reduce the additions to the New Facilities by the gain for tax purposes of $7.9 million in 2019. </w:t>
      </w:r>
    </w:p>
    <w:p w14:paraId="5732E2B6"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6303310" w14:textId="77777777" w:rsidR="00C87CDA" w:rsidRPr="00BF20CF" w:rsidRDefault="00C87CDA" w:rsidP="00C87CDA">
      <w:pPr>
        <w:pStyle w:val="ListParagraph"/>
        <w:numPr>
          <w:ilvl w:val="0"/>
          <w:numId w:val="198"/>
        </w:numPr>
        <w:spacing w:before="240" w:after="120" w:line="276" w:lineRule="auto"/>
        <w:rPr>
          <w:rFonts w:ascii="Arial" w:hAnsi="Arial" w:cs="Arial"/>
        </w:rPr>
      </w:pPr>
      <w:r w:rsidRPr="00BF20CF">
        <w:rPr>
          <w:rFonts w:ascii="Arial" w:hAnsi="Arial" w:cs="Arial"/>
        </w:rPr>
        <w:t xml:space="preserve">Please explain if and how this proposal is consistent with the accounting order from the 2016 -2020 Custom IR. </w:t>
      </w:r>
    </w:p>
    <w:p w14:paraId="1223C994" w14:textId="77777777" w:rsidR="00C87CDA" w:rsidRPr="00BF20CF" w:rsidRDefault="00C87CDA" w:rsidP="00C87CDA">
      <w:pPr>
        <w:pStyle w:val="ListParagraph"/>
        <w:spacing w:before="240" w:after="120" w:line="276" w:lineRule="auto"/>
        <w:rPr>
          <w:rFonts w:ascii="Arial" w:hAnsi="Arial" w:cs="Arial"/>
        </w:rPr>
      </w:pPr>
    </w:p>
    <w:p w14:paraId="01F8E14D" w14:textId="77777777" w:rsidR="00C87CDA" w:rsidRPr="00BF20CF" w:rsidRDefault="00C87CDA" w:rsidP="00C87CDA">
      <w:pPr>
        <w:pStyle w:val="ListParagraph"/>
        <w:numPr>
          <w:ilvl w:val="0"/>
          <w:numId w:val="198"/>
        </w:numPr>
        <w:spacing w:before="240" w:after="120" w:line="276" w:lineRule="auto"/>
        <w:rPr>
          <w:rFonts w:ascii="Arial" w:hAnsi="Arial" w:cs="Arial"/>
        </w:rPr>
      </w:pPr>
      <w:r w:rsidRPr="00BF20CF">
        <w:rPr>
          <w:rFonts w:ascii="Arial" w:hAnsi="Arial" w:cs="Arial"/>
        </w:rPr>
        <w:t xml:space="preserve">Please explain how the $7.9 million gain for tax purposes was determined. </w:t>
      </w:r>
    </w:p>
    <w:p w14:paraId="43E7F2BB" w14:textId="77777777" w:rsidR="00C87CDA" w:rsidRPr="00BF20CF" w:rsidRDefault="00C87CDA" w:rsidP="00C87CDA">
      <w:pPr>
        <w:pStyle w:val="ListParagraph"/>
        <w:rPr>
          <w:rFonts w:ascii="Arial" w:hAnsi="Arial" w:cs="Arial"/>
        </w:rPr>
      </w:pPr>
    </w:p>
    <w:p w14:paraId="3457CCC6" w14:textId="77777777" w:rsidR="00C87CDA" w:rsidRPr="00BF20CF" w:rsidRDefault="00C87CDA" w:rsidP="00C87CDA">
      <w:pPr>
        <w:pStyle w:val="ListParagraph"/>
        <w:numPr>
          <w:ilvl w:val="0"/>
          <w:numId w:val="198"/>
        </w:numPr>
        <w:spacing w:before="240" w:after="120" w:line="276" w:lineRule="auto"/>
        <w:rPr>
          <w:rFonts w:ascii="Arial" w:hAnsi="Arial" w:cs="Arial"/>
        </w:rPr>
      </w:pPr>
      <w:r w:rsidRPr="00BF20CF">
        <w:rPr>
          <w:rFonts w:ascii="Arial" w:hAnsi="Arial" w:cs="Arial"/>
        </w:rPr>
        <w:t xml:space="preserve">Please quantify the impact to the relevant account(s) in reference to the Accounting Order from the 2016-2020 Custom IR without the application of the Replacement Property rules. </w:t>
      </w:r>
    </w:p>
    <w:p w14:paraId="0721B102" w14:textId="51BAC272" w:rsidR="00C87CDA" w:rsidRPr="00BF20CF" w:rsidRDefault="00C87CDA" w:rsidP="00C87CDA">
      <w:pPr>
        <w:pStyle w:val="StaffHeader"/>
        <w:numPr>
          <w:ilvl w:val="0"/>
          <w:numId w:val="0"/>
        </w:numPr>
        <w:spacing w:before="240"/>
        <w:rPr>
          <w:rFonts w:cs="Arial"/>
          <w:szCs w:val="24"/>
          <w:u w:val="none"/>
        </w:rPr>
      </w:pPr>
      <w:r w:rsidRPr="00BF20CF">
        <w:rPr>
          <w:rFonts w:cs="Arial"/>
          <w:szCs w:val="24"/>
          <w:u w:val="none"/>
        </w:rPr>
        <w:t>9-Staff-10</w:t>
      </w:r>
    </w:p>
    <w:p w14:paraId="65E62B42" w14:textId="77777777" w:rsidR="00C87CDA" w:rsidRPr="00BF20CF" w:rsidRDefault="00C87CDA" w:rsidP="00C87CDA">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 xml:space="preserve">Exhibit 9/Tab 1/Schedule 3/page 2 </w:t>
      </w:r>
    </w:p>
    <w:p w14:paraId="4A166103" w14:textId="77777777" w:rsidR="00C87CDA" w:rsidRPr="00BF20CF" w:rsidRDefault="00C87CDA" w:rsidP="00C87CDA">
      <w:pPr>
        <w:pStyle w:val="NoSpacing"/>
        <w:spacing w:line="276" w:lineRule="auto"/>
        <w:ind w:firstLine="720"/>
        <w:rPr>
          <w:rFonts w:ascii="Arial" w:hAnsi="Arial" w:cs="Arial"/>
          <w:b/>
          <w:sz w:val="24"/>
          <w:szCs w:val="24"/>
        </w:rPr>
      </w:pPr>
      <w:r w:rsidRPr="00BF20CF">
        <w:rPr>
          <w:rFonts w:ascii="Arial" w:hAnsi="Arial" w:cs="Arial"/>
          <w:b/>
          <w:sz w:val="24"/>
          <w:szCs w:val="24"/>
        </w:rPr>
        <w:t>Updated Exhibit 9/Tab 3/Schedule 1/page 7</w:t>
      </w:r>
    </w:p>
    <w:p w14:paraId="5794885B"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783FE3D8" w14:textId="77777777" w:rsidR="00C87CDA" w:rsidRPr="00BF20CF" w:rsidRDefault="00C87CDA" w:rsidP="00C87CDA">
      <w:pPr>
        <w:spacing w:before="240" w:after="120" w:line="276" w:lineRule="auto"/>
        <w:rPr>
          <w:rFonts w:ascii="Arial" w:hAnsi="Arial" w:cs="Arial"/>
        </w:rPr>
      </w:pPr>
      <w:r w:rsidRPr="00BF20CF">
        <w:rPr>
          <w:rFonts w:ascii="Arial" w:hAnsi="Arial" w:cs="Arial"/>
        </w:rPr>
        <w:t xml:space="preserve">In the current application, Hydro Ottawa proposes to dispose 1508 Sub-account Energy East TransCanada Pipeline balance of $55,424 on a final basis and to discontinue use of this Account. </w:t>
      </w:r>
    </w:p>
    <w:p w14:paraId="4614DF09" w14:textId="77777777" w:rsidR="00C87CDA" w:rsidRPr="00BF20CF" w:rsidRDefault="00C87CDA" w:rsidP="00C87CDA">
      <w:pPr>
        <w:spacing w:before="240" w:after="120" w:line="276" w:lineRule="auto"/>
        <w:rPr>
          <w:rFonts w:ascii="Arial" w:hAnsi="Arial" w:cs="Arial"/>
        </w:rPr>
      </w:pPr>
      <w:r w:rsidRPr="00BF20CF">
        <w:rPr>
          <w:rFonts w:ascii="Arial" w:hAnsi="Arial" w:cs="Arial"/>
        </w:rPr>
        <w:t xml:space="preserve">In Question 4 of the APH issued on March 2015, OEB stated the following: </w:t>
      </w:r>
    </w:p>
    <w:p w14:paraId="29BD48FE" w14:textId="77777777" w:rsidR="00C87CDA" w:rsidRPr="00BF20CF" w:rsidRDefault="00C87CDA" w:rsidP="00C87CDA">
      <w:pPr>
        <w:spacing w:before="240" w:after="120" w:line="276" w:lineRule="auto"/>
        <w:ind w:left="720"/>
        <w:rPr>
          <w:rFonts w:ascii="Arial" w:hAnsi="Arial" w:cs="Arial"/>
        </w:rPr>
      </w:pPr>
      <w:r w:rsidRPr="00BF20CF">
        <w:rPr>
          <w:rFonts w:ascii="Arial" w:hAnsi="Arial" w:cs="Arial"/>
        </w:rPr>
        <w:t xml:space="preserve">This is a Group 2 account and disposition will normally occur when the utility files a cost of service or custom IR application. </w:t>
      </w:r>
      <w:r w:rsidRPr="00BF20CF">
        <w:rPr>
          <w:rFonts w:ascii="Arial" w:hAnsi="Arial" w:cs="Arial"/>
          <w:b/>
        </w:rPr>
        <w:t>Materiality thresholds apply to the amounts recorded.</w:t>
      </w:r>
      <w:r w:rsidRPr="00BF20CF">
        <w:rPr>
          <w:rFonts w:ascii="Arial" w:hAnsi="Arial" w:cs="Arial"/>
        </w:rPr>
        <w:t xml:space="preserve"> Carrying charges will apply </w:t>
      </w:r>
      <w:r w:rsidRPr="00BF20CF">
        <w:rPr>
          <w:rFonts w:ascii="Arial" w:hAnsi="Arial" w:cs="Arial"/>
        </w:rPr>
        <w:lastRenderedPageBreak/>
        <w:t>and these should be recorded in a separate sub-account. (Emphasis added)</w:t>
      </w:r>
    </w:p>
    <w:p w14:paraId="5DA60141"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48AF14E" w14:textId="77777777" w:rsidR="00C87CDA" w:rsidRPr="00BF20CF" w:rsidRDefault="00C87CDA" w:rsidP="00C87CDA">
      <w:pPr>
        <w:pStyle w:val="ListParagraph"/>
        <w:numPr>
          <w:ilvl w:val="0"/>
          <w:numId w:val="205"/>
        </w:numPr>
        <w:spacing w:before="240" w:after="120" w:line="276" w:lineRule="auto"/>
        <w:rPr>
          <w:rFonts w:ascii="Arial" w:hAnsi="Arial" w:cs="Arial"/>
        </w:rPr>
      </w:pPr>
      <w:r w:rsidRPr="00BF20CF">
        <w:rPr>
          <w:rFonts w:ascii="Arial" w:hAnsi="Arial" w:cs="Arial"/>
        </w:rPr>
        <w:t xml:space="preserve">Please explain why Hydro Ottawa requested disposition when the balance is below materiality. </w:t>
      </w:r>
    </w:p>
    <w:p w14:paraId="795F83D2" w14:textId="17A3B8C2" w:rsidR="00C87CDA" w:rsidRPr="00BF20CF" w:rsidRDefault="00C87CDA" w:rsidP="00C87CDA">
      <w:pPr>
        <w:pStyle w:val="StaffHeader"/>
        <w:numPr>
          <w:ilvl w:val="0"/>
          <w:numId w:val="0"/>
        </w:numPr>
        <w:spacing w:before="240"/>
        <w:rPr>
          <w:rFonts w:cs="Arial"/>
          <w:szCs w:val="24"/>
          <w:u w:val="none"/>
        </w:rPr>
      </w:pPr>
      <w:r w:rsidRPr="00BF20CF">
        <w:rPr>
          <w:rFonts w:cs="Arial"/>
          <w:szCs w:val="24"/>
          <w:u w:val="none"/>
        </w:rPr>
        <w:t>9-Staff-11</w:t>
      </w:r>
    </w:p>
    <w:p w14:paraId="4C66C08B" w14:textId="77777777" w:rsidR="00C87CDA" w:rsidRPr="00BF20CF" w:rsidRDefault="00C87CDA" w:rsidP="00C87CDA">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Exhibit 9/Tab 1/Schedule 3/page 2</w:t>
      </w:r>
    </w:p>
    <w:p w14:paraId="1CF5795A" w14:textId="77777777" w:rsidR="00C87CDA" w:rsidRPr="00BF20CF" w:rsidRDefault="00C87CDA" w:rsidP="00C87CDA">
      <w:pPr>
        <w:pStyle w:val="NoSpacing"/>
        <w:spacing w:line="276" w:lineRule="auto"/>
        <w:ind w:left="720"/>
        <w:rPr>
          <w:rFonts w:ascii="Arial" w:hAnsi="Arial" w:cs="Arial"/>
          <w:b/>
          <w:sz w:val="24"/>
          <w:szCs w:val="24"/>
        </w:rPr>
      </w:pPr>
      <w:r w:rsidRPr="00BF20CF">
        <w:rPr>
          <w:rFonts w:ascii="Arial" w:hAnsi="Arial" w:cs="Arial"/>
          <w:b/>
          <w:sz w:val="24"/>
          <w:szCs w:val="24"/>
        </w:rPr>
        <w:t xml:space="preserve">Updated Exhibit 9/Tab 1/Schedule 1/Attachment A: DVA </w:t>
      </w:r>
      <w:proofErr w:type="spellStart"/>
      <w:r w:rsidRPr="00BF20CF">
        <w:rPr>
          <w:rFonts w:ascii="Arial" w:hAnsi="Arial" w:cs="Arial"/>
          <w:b/>
          <w:sz w:val="24"/>
          <w:szCs w:val="24"/>
        </w:rPr>
        <w:t>Workform</w:t>
      </w:r>
      <w:proofErr w:type="spellEnd"/>
    </w:p>
    <w:p w14:paraId="103D37E8" w14:textId="77777777" w:rsidR="00C87CDA" w:rsidRPr="00BF20CF" w:rsidRDefault="00C87CDA" w:rsidP="00C87CDA">
      <w:pPr>
        <w:pStyle w:val="NoSpacing"/>
        <w:spacing w:line="276" w:lineRule="auto"/>
        <w:ind w:left="720"/>
        <w:rPr>
          <w:rFonts w:ascii="Arial" w:hAnsi="Arial" w:cs="Arial"/>
          <w:b/>
          <w:sz w:val="24"/>
          <w:szCs w:val="24"/>
        </w:rPr>
      </w:pPr>
    </w:p>
    <w:p w14:paraId="17967A54"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02DFA117" w14:textId="77777777" w:rsidR="00C87CDA" w:rsidRPr="00BF20CF" w:rsidRDefault="00C87CDA" w:rsidP="00C87CDA">
      <w:pPr>
        <w:spacing w:before="240" w:after="120" w:line="276" w:lineRule="auto"/>
        <w:rPr>
          <w:rFonts w:ascii="Arial" w:hAnsi="Arial" w:cs="Arial"/>
        </w:rPr>
      </w:pPr>
      <w:r w:rsidRPr="00BF20CF">
        <w:rPr>
          <w:rFonts w:ascii="Arial" w:hAnsi="Arial" w:cs="Arial"/>
        </w:rPr>
        <w:t>Sub-Account 1508 Other Post-Employment Benefits (OPEB) was originally approved in Hydro Ottawa’s 2012 rate application to record cumulative actuarial gains or losses in Hydro Ottawa’s post-retirement benefits. The Accounting Order</w:t>
      </w:r>
      <w:r w:rsidRPr="00BF20CF">
        <w:rPr>
          <w:rStyle w:val="FootnoteReference"/>
          <w:rFonts w:ascii="Arial" w:hAnsi="Arial" w:cs="Arial"/>
        </w:rPr>
        <w:footnoteReference w:id="33"/>
      </w:r>
      <w:r w:rsidRPr="00BF20CF">
        <w:rPr>
          <w:rFonts w:ascii="Arial" w:hAnsi="Arial" w:cs="Arial"/>
        </w:rPr>
        <w:t xml:space="preserve">  from the 2012 Rate Order stated: </w:t>
      </w:r>
    </w:p>
    <w:p w14:paraId="5833A826" w14:textId="77777777" w:rsidR="00C87CDA" w:rsidRPr="00BF20CF" w:rsidRDefault="00C87CDA" w:rsidP="00C87CDA">
      <w:pPr>
        <w:spacing w:before="240" w:after="120" w:line="276" w:lineRule="auto"/>
        <w:ind w:left="720"/>
        <w:rPr>
          <w:rFonts w:ascii="Arial" w:hAnsi="Arial" w:cs="Arial"/>
        </w:rPr>
      </w:pPr>
      <w:r w:rsidRPr="00BF20CF">
        <w:rPr>
          <w:rFonts w:ascii="Arial" w:hAnsi="Arial" w:cs="Arial"/>
        </w:rPr>
        <w:t xml:space="preserve">Hydro Ottawa shall capture the one-time adjustment of approximately $2.8 million to the post-retirement liability on the date of transition to IFRS.  This amount shall result from an election applied under IFRS 1 that would otherwise result in a charge to Hydro Ottawa’s retained earnings.  The amount of the one-time adjustment that will be recorded in this account shall be supported by an actuarial valuation when disposition of the deferral account is sought by Hydro Ottawa. </w:t>
      </w:r>
    </w:p>
    <w:p w14:paraId="50C6ADDF" w14:textId="77777777" w:rsidR="00C87CDA" w:rsidRPr="00BF20CF" w:rsidRDefault="00C87CDA" w:rsidP="00C87CDA">
      <w:pPr>
        <w:spacing w:before="240" w:after="120" w:line="276" w:lineRule="auto"/>
        <w:rPr>
          <w:rFonts w:ascii="Arial" w:hAnsi="Arial" w:cs="Arial"/>
        </w:rPr>
      </w:pPr>
    </w:p>
    <w:p w14:paraId="71091C59" w14:textId="77777777" w:rsidR="00C87CDA" w:rsidRPr="00BF20CF" w:rsidRDefault="00C87CDA" w:rsidP="00C87CDA">
      <w:pPr>
        <w:spacing w:before="240" w:after="120" w:line="276" w:lineRule="auto"/>
        <w:rPr>
          <w:rFonts w:ascii="Arial" w:hAnsi="Arial" w:cs="Arial"/>
        </w:rPr>
      </w:pPr>
      <w:r w:rsidRPr="00BF20CF">
        <w:rPr>
          <w:rFonts w:ascii="Arial" w:hAnsi="Arial" w:cs="Arial"/>
        </w:rPr>
        <w:t xml:space="preserve">In the current application, Hydro Ottawa is seeking disposition of a credit balance of $4,431,595 in Sub-account 1508 OPEB. </w:t>
      </w:r>
    </w:p>
    <w:p w14:paraId="05918875" w14:textId="77777777" w:rsidR="00C87CDA" w:rsidRPr="00BF20CF" w:rsidRDefault="00C87CDA" w:rsidP="00C87CDA">
      <w:pPr>
        <w:spacing w:before="240" w:after="120" w:line="276" w:lineRule="auto"/>
        <w:rPr>
          <w:rFonts w:ascii="Arial" w:hAnsi="Arial" w:cs="Arial"/>
        </w:rPr>
      </w:pPr>
      <w:r w:rsidRPr="00BF20CF">
        <w:rPr>
          <w:rFonts w:ascii="Arial" w:hAnsi="Arial" w:cs="Arial"/>
        </w:rPr>
        <w:t>The Report of the Ontario Energy Board: Regulatory Treatment of Pension and Other Post-employment Benefits (OPEBs) Costs stated “Utilities may propose disposition of the account in future cost based rate proceedings if the gains and losses that are tracked in this account do not substantially offset over time.”</w:t>
      </w:r>
      <w:r w:rsidRPr="00BF20CF">
        <w:rPr>
          <w:rStyle w:val="FootnoteReference"/>
          <w:rFonts w:ascii="Arial" w:hAnsi="Arial" w:cs="Arial"/>
        </w:rPr>
        <w:footnoteReference w:id="34"/>
      </w:r>
    </w:p>
    <w:p w14:paraId="3B2CA960"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lastRenderedPageBreak/>
        <w:t>Question(s):</w:t>
      </w:r>
    </w:p>
    <w:p w14:paraId="3B6A9C8B" w14:textId="77777777" w:rsidR="00C87CDA" w:rsidRPr="00BF20CF" w:rsidRDefault="00C87CDA" w:rsidP="00C87CDA">
      <w:pPr>
        <w:pStyle w:val="ListParagraph"/>
        <w:numPr>
          <w:ilvl w:val="0"/>
          <w:numId w:val="197"/>
        </w:numPr>
        <w:spacing w:before="240" w:after="120" w:line="276" w:lineRule="auto"/>
        <w:rPr>
          <w:rFonts w:ascii="Arial" w:hAnsi="Arial" w:cs="Arial"/>
        </w:rPr>
      </w:pPr>
      <w:r w:rsidRPr="00BF20CF">
        <w:rPr>
          <w:rFonts w:ascii="Arial" w:hAnsi="Arial" w:cs="Arial"/>
        </w:rPr>
        <w:t xml:space="preserve">Please confirm if Hydro Ottawa has recorded the $2.8 million one-time adjustment according to the 2012 Accounting Order. </w:t>
      </w:r>
    </w:p>
    <w:p w14:paraId="04046414" w14:textId="77777777" w:rsidR="00C87CDA" w:rsidRPr="00BF20CF" w:rsidRDefault="00C87CDA" w:rsidP="00C87CDA">
      <w:pPr>
        <w:pStyle w:val="ListParagraph"/>
        <w:rPr>
          <w:rFonts w:ascii="Arial" w:hAnsi="Arial" w:cs="Arial"/>
        </w:rPr>
      </w:pPr>
    </w:p>
    <w:p w14:paraId="3780161A" w14:textId="77777777" w:rsidR="00C87CDA" w:rsidRPr="00BF20CF" w:rsidRDefault="00C87CDA" w:rsidP="00C87CDA">
      <w:pPr>
        <w:pStyle w:val="ListParagraph"/>
        <w:numPr>
          <w:ilvl w:val="1"/>
          <w:numId w:val="197"/>
        </w:numPr>
        <w:spacing w:before="240" w:after="120" w:line="276" w:lineRule="auto"/>
        <w:rPr>
          <w:rFonts w:ascii="Arial" w:hAnsi="Arial" w:cs="Arial"/>
        </w:rPr>
      </w:pPr>
      <w:r w:rsidRPr="00BF20CF">
        <w:rPr>
          <w:rFonts w:ascii="Arial" w:hAnsi="Arial" w:cs="Arial"/>
        </w:rPr>
        <w:t xml:space="preserve">If Hydro Ottawa has recorded a different amount or has not recorded the one-time adjustment, please explain why and clarify what balance has been recorded.  </w:t>
      </w:r>
    </w:p>
    <w:p w14:paraId="47DCBE2F" w14:textId="77777777" w:rsidR="00C87CDA" w:rsidRPr="00BF20CF" w:rsidRDefault="00C87CDA" w:rsidP="00C87CDA">
      <w:pPr>
        <w:pStyle w:val="ListParagraph"/>
        <w:rPr>
          <w:rFonts w:ascii="Arial" w:hAnsi="Arial" w:cs="Arial"/>
        </w:rPr>
      </w:pPr>
    </w:p>
    <w:p w14:paraId="7A78E9A3" w14:textId="77777777" w:rsidR="00C87CDA" w:rsidRPr="00BF20CF" w:rsidRDefault="00C87CDA" w:rsidP="00C87CDA">
      <w:pPr>
        <w:pStyle w:val="ListParagraph"/>
        <w:numPr>
          <w:ilvl w:val="0"/>
          <w:numId w:val="197"/>
        </w:numPr>
        <w:spacing w:before="240" w:after="120" w:line="276" w:lineRule="auto"/>
        <w:rPr>
          <w:rFonts w:ascii="Arial" w:hAnsi="Arial" w:cs="Arial"/>
        </w:rPr>
      </w:pPr>
      <w:r w:rsidRPr="00BF20CF">
        <w:rPr>
          <w:rFonts w:ascii="Arial" w:hAnsi="Arial" w:cs="Arial"/>
        </w:rPr>
        <w:t xml:space="preserve">Please provide the support for the balance requested for disposition. </w:t>
      </w:r>
    </w:p>
    <w:p w14:paraId="0BA806E2" w14:textId="77777777" w:rsidR="00C87CDA" w:rsidRPr="00BF20CF" w:rsidRDefault="00C87CDA" w:rsidP="00C87CDA">
      <w:pPr>
        <w:pStyle w:val="ListParagraph"/>
        <w:rPr>
          <w:rFonts w:ascii="Arial" w:hAnsi="Arial" w:cs="Arial"/>
        </w:rPr>
      </w:pPr>
    </w:p>
    <w:p w14:paraId="481CB889" w14:textId="77777777" w:rsidR="00C87CDA" w:rsidRPr="00BF20CF" w:rsidRDefault="00C87CDA" w:rsidP="00C87CDA">
      <w:pPr>
        <w:pStyle w:val="ListParagraph"/>
        <w:numPr>
          <w:ilvl w:val="0"/>
          <w:numId w:val="197"/>
        </w:numPr>
        <w:spacing w:before="240" w:after="120" w:line="276" w:lineRule="auto"/>
        <w:rPr>
          <w:rFonts w:ascii="Arial" w:hAnsi="Arial" w:cs="Arial"/>
        </w:rPr>
      </w:pPr>
      <w:r w:rsidRPr="00BF20CF">
        <w:rPr>
          <w:rFonts w:ascii="Arial" w:hAnsi="Arial" w:cs="Arial"/>
        </w:rPr>
        <w:t>What is the projected gain/loss for this account in 2020 and the current Custom IR period of 2021 to 2025, if available?</w:t>
      </w:r>
    </w:p>
    <w:p w14:paraId="10E02E99" w14:textId="77777777" w:rsidR="00C87CDA" w:rsidRPr="00BF20CF" w:rsidRDefault="00C87CDA" w:rsidP="00C87CDA">
      <w:pPr>
        <w:pStyle w:val="ListParagraph"/>
        <w:rPr>
          <w:rFonts w:ascii="Arial" w:hAnsi="Arial" w:cs="Arial"/>
        </w:rPr>
      </w:pPr>
    </w:p>
    <w:p w14:paraId="03685A5C" w14:textId="77777777" w:rsidR="00C87CDA" w:rsidRPr="00BF20CF" w:rsidRDefault="00C87CDA" w:rsidP="00C87CDA">
      <w:pPr>
        <w:pStyle w:val="ListParagraph"/>
        <w:numPr>
          <w:ilvl w:val="0"/>
          <w:numId w:val="197"/>
        </w:numPr>
        <w:spacing w:before="240" w:after="120" w:line="276" w:lineRule="auto"/>
        <w:rPr>
          <w:rFonts w:ascii="Arial" w:hAnsi="Arial" w:cs="Arial"/>
        </w:rPr>
      </w:pPr>
      <w:r w:rsidRPr="00BF20CF">
        <w:rPr>
          <w:rFonts w:ascii="Arial" w:hAnsi="Arial" w:cs="Arial"/>
        </w:rPr>
        <w:t xml:space="preserve">Please provide the balances for the gain/loss in this account since the approval of this account in 2012 rate application and explain if the OPEB gains and losses tracked in this account have substantially offset over time. </w:t>
      </w:r>
    </w:p>
    <w:p w14:paraId="555F266E" w14:textId="77777777" w:rsidR="00C87CDA" w:rsidRPr="00BF20CF" w:rsidRDefault="00C87CDA" w:rsidP="00C87CDA">
      <w:pPr>
        <w:pStyle w:val="ListParagraph"/>
        <w:rPr>
          <w:rFonts w:ascii="Arial" w:hAnsi="Arial" w:cs="Arial"/>
        </w:rPr>
      </w:pPr>
    </w:p>
    <w:p w14:paraId="649299E3" w14:textId="09EA6F28" w:rsidR="00C87CDA" w:rsidRPr="00BF20CF" w:rsidRDefault="00C87CDA" w:rsidP="00C87CDA">
      <w:pPr>
        <w:pStyle w:val="StaffHeader"/>
        <w:numPr>
          <w:ilvl w:val="0"/>
          <w:numId w:val="0"/>
        </w:numPr>
        <w:spacing w:before="240"/>
        <w:rPr>
          <w:rFonts w:cs="Arial"/>
          <w:szCs w:val="24"/>
          <w:u w:val="none"/>
        </w:rPr>
      </w:pPr>
      <w:r w:rsidRPr="00BF20CF">
        <w:rPr>
          <w:rFonts w:cs="Arial"/>
          <w:szCs w:val="24"/>
          <w:u w:val="none"/>
        </w:rPr>
        <w:t>9-Staff-12</w:t>
      </w:r>
    </w:p>
    <w:p w14:paraId="588F6F2E" w14:textId="77777777" w:rsidR="00C87CDA" w:rsidRPr="00BF20CF" w:rsidRDefault="00C87CDA" w:rsidP="00C87CDA">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 xml:space="preserve">Exhibit 9/Tab 1/Schedule 3/Table 7 on page 13 </w:t>
      </w:r>
    </w:p>
    <w:p w14:paraId="11A911DA" w14:textId="77777777" w:rsidR="00C87CDA" w:rsidRPr="00BF20CF" w:rsidRDefault="00C87CDA" w:rsidP="00C87CDA">
      <w:pPr>
        <w:pStyle w:val="NoSpacing"/>
        <w:spacing w:line="276" w:lineRule="auto"/>
        <w:ind w:firstLine="720"/>
        <w:rPr>
          <w:rFonts w:ascii="Arial" w:hAnsi="Arial" w:cs="Arial"/>
          <w:b/>
        </w:rPr>
      </w:pPr>
      <w:r w:rsidRPr="00BF20CF">
        <w:rPr>
          <w:rFonts w:ascii="Arial" w:hAnsi="Arial" w:cs="Arial"/>
          <w:b/>
          <w:sz w:val="24"/>
          <w:szCs w:val="24"/>
        </w:rPr>
        <w:t xml:space="preserve">Updated Exhibit 9/Tab 1/Schedule 3/Table 6 on page 17 </w:t>
      </w:r>
    </w:p>
    <w:p w14:paraId="1E1E9F61"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7D51525" w14:textId="77777777" w:rsidR="00C87CDA" w:rsidRPr="00BF20CF" w:rsidRDefault="00C87CDA" w:rsidP="00C87CDA">
      <w:pPr>
        <w:autoSpaceDE w:val="0"/>
        <w:autoSpaceDN w:val="0"/>
        <w:adjustRightInd w:val="0"/>
        <w:spacing w:before="240" w:after="120" w:line="276" w:lineRule="auto"/>
        <w:rPr>
          <w:rFonts w:ascii="Arial" w:hAnsi="Arial" w:cs="Arial"/>
        </w:rPr>
      </w:pPr>
      <w:r w:rsidRPr="00BF20CF">
        <w:rPr>
          <w:rFonts w:ascii="Arial" w:hAnsi="Arial" w:cs="Arial"/>
        </w:rPr>
        <w:t>Sub-account 1508 Gains and Losses on Disposal of Fixed Assets was established in the accounting order from the 2016 -2020 Custom IR</w:t>
      </w:r>
      <w:r w:rsidRPr="00BF20CF">
        <w:rPr>
          <w:rStyle w:val="FootnoteReference"/>
          <w:rFonts w:ascii="Arial" w:hAnsi="Arial" w:cs="Arial"/>
        </w:rPr>
        <w:footnoteReference w:id="35"/>
      </w:r>
      <w:r w:rsidRPr="00BF20CF">
        <w:rPr>
          <w:rFonts w:ascii="Arial" w:hAnsi="Arial" w:cs="Arial"/>
        </w:rPr>
        <w:t xml:space="preserve"> to record the difference between the forecast and actual loss on the disposal of fixed assets, related to the retirement of assets or damage to plant. The forecasted amount was an annual gain of $198,349 for the period of 2016 to 2020. </w:t>
      </w:r>
    </w:p>
    <w:p w14:paraId="6498FC2A"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C0EBB49" w14:textId="77777777" w:rsidR="00C87CDA" w:rsidRPr="00BF20CF" w:rsidRDefault="00C87CDA" w:rsidP="00C87CDA">
      <w:pPr>
        <w:pStyle w:val="ListParagraph"/>
        <w:numPr>
          <w:ilvl w:val="0"/>
          <w:numId w:val="199"/>
        </w:numPr>
        <w:spacing w:before="240" w:after="120" w:line="276" w:lineRule="auto"/>
        <w:rPr>
          <w:rFonts w:ascii="Arial" w:hAnsi="Arial" w:cs="Arial"/>
        </w:rPr>
      </w:pPr>
      <w:r w:rsidRPr="00BF20CF">
        <w:rPr>
          <w:rFonts w:ascii="Arial" w:hAnsi="Arial" w:cs="Arial"/>
        </w:rPr>
        <w:t xml:space="preserve">Please explain why the 2019 actual loss of $1,984k was at least 5 times higher as compared to the rest of the years from 2016 to 2020. </w:t>
      </w:r>
    </w:p>
    <w:p w14:paraId="3C33CC2B" w14:textId="77777777" w:rsidR="00C87CDA" w:rsidRPr="00BF20CF" w:rsidRDefault="00C87CDA" w:rsidP="00C87CDA">
      <w:pPr>
        <w:pStyle w:val="ListParagraph"/>
        <w:spacing w:before="240" w:after="120" w:line="276" w:lineRule="auto"/>
        <w:rPr>
          <w:rFonts w:ascii="Arial" w:hAnsi="Arial" w:cs="Arial"/>
        </w:rPr>
      </w:pPr>
    </w:p>
    <w:p w14:paraId="2A2C4FA2" w14:textId="77777777" w:rsidR="00C87CDA" w:rsidRPr="00BF20CF" w:rsidRDefault="00C87CDA" w:rsidP="00C87CDA">
      <w:pPr>
        <w:pStyle w:val="ListParagraph"/>
        <w:numPr>
          <w:ilvl w:val="0"/>
          <w:numId w:val="199"/>
        </w:numPr>
        <w:spacing w:before="240" w:after="120" w:line="276" w:lineRule="auto"/>
        <w:rPr>
          <w:rFonts w:ascii="Arial" w:hAnsi="Arial" w:cs="Arial"/>
        </w:rPr>
      </w:pPr>
      <w:r w:rsidRPr="00BF20CF">
        <w:rPr>
          <w:rFonts w:ascii="Arial" w:hAnsi="Arial" w:cs="Arial"/>
        </w:rPr>
        <w:t xml:space="preserve">Please explain how the estimated losses for 2021 to 2025 were determined and confirm if Hydro Ottawa intends to use the estimated </w:t>
      </w:r>
      <w:r w:rsidRPr="00BF20CF">
        <w:rPr>
          <w:rFonts w:ascii="Arial" w:hAnsi="Arial" w:cs="Arial"/>
        </w:rPr>
        <w:lastRenderedPageBreak/>
        <w:t xml:space="preserve">losses as the forecast amounts to determine the account balances for the period of 2021 to 2025.  </w:t>
      </w:r>
    </w:p>
    <w:p w14:paraId="00F7D4AB" w14:textId="77777777" w:rsidR="00C87CDA" w:rsidRPr="00BF20CF" w:rsidRDefault="00C87CDA" w:rsidP="00C87CDA">
      <w:pPr>
        <w:pStyle w:val="ListParagraph"/>
        <w:rPr>
          <w:rFonts w:ascii="Arial" w:hAnsi="Arial" w:cs="Arial"/>
        </w:rPr>
      </w:pPr>
    </w:p>
    <w:p w14:paraId="3EA65D4B" w14:textId="77777777" w:rsidR="00C87CDA" w:rsidRPr="00BF20CF" w:rsidRDefault="00C87CDA" w:rsidP="00C87CDA">
      <w:pPr>
        <w:pStyle w:val="ListParagraph"/>
        <w:numPr>
          <w:ilvl w:val="0"/>
          <w:numId w:val="199"/>
        </w:numPr>
        <w:spacing w:before="240" w:after="120" w:line="276" w:lineRule="auto"/>
        <w:rPr>
          <w:rFonts w:ascii="Arial" w:hAnsi="Arial" w:cs="Arial"/>
        </w:rPr>
      </w:pPr>
      <w:r w:rsidRPr="00BF20CF">
        <w:rPr>
          <w:rFonts w:ascii="Arial" w:hAnsi="Arial" w:cs="Arial"/>
        </w:rPr>
        <w:t xml:space="preserve">Please explain why the estimated loss in 2022 is doubled as compared to the rest of the test years from 2021 to 2025? </w:t>
      </w:r>
    </w:p>
    <w:p w14:paraId="0F55D06E" w14:textId="77777777" w:rsidR="00C87CDA" w:rsidRPr="00BF20CF" w:rsidRDefault="00C87CDA" w:rsidP="00C87CDA">
      <w:pPr>
        <w:pStyle w:val="ListParagraph"/>
        <w:rPr>
          <w:rFonts w:ascii="Arial" w:hAnsi="Arial" w:cs="Arial"/>
        </w:rPr>
      </w:pPr>
    </w:p>
    <w:p w14:paraId="677B9625" w14:textId="57CB15D7" w:rsidR="00C87CDA" w:rsidRPr="00BF20CF" w:rsidRDefault="00C87CDA" w:rsidP="00C87CDA">
      <w:pPr>
        <w:pStyle w:val="StaffHeader"/>
        <w:numPr>
          <w:ilvl w:val="0"/>
          <w:numId w:val="0"/>
        </w:numPr>
        <w:spacing w:before="240"/>
        <w:rPr>
          <w:rFonts w:cs="Arial"/>
          <w:szCs w:val="24"/>
          <w:u w:val="none"/>
        </w:rPr>
      </w:pPr>
      <w:r w:rsidRPr="00BF20CF">
        <w:rPr>
          <w:rFonts w:cs="Arial"/>
          <w:szCs w:val="24"/>
          <w:u w:val="none"/>
        </w:rPr>
        <w:t>9-Staff-13</w:t>
      </w:r>
    </w:p>
    <w:p w14:paraId="5F571536" w14:textId="77777777" w:rsidR="00C87CDA" w:rsidRPr="00BF20CF" w:rsidRDefault="00C87CDA" w:rsidP="00C87CDA">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Updated Exhibit 9/Tab 1/Schedule 3/Table 8 on page 20</w:t>
      </w:r>
    </w:p>
    <w:p w14:paraId="2AD59AED" w14:textId="77777777" w:rsidR="00C87CDA" w:rsidRPr="00BF20CF" w:rsidRDefault="00C87CDA" w:rsidP="00C87CDA">
      <w:pPr>
        <w:pStyle w:val="NoSpacing"/>
        <w:spacing w:line="276" w:lineRule="auto"/>
        <w:ind w:left="720"/>
        <w:rPr>
          <w:rFonts w:ascii="Arial" w:hAnsi="Arial" w:cs="Arial"/>
          <w:b/>
          <w:sz w:val="24"/>
          <w:szCs w:val="24"/>
        </w:rPr>
      </w:pPr>
      <w:r w:rsidRPr="00BF20CF">
        <w:rPr>
          <w:rFonts w:ascii="Arial" w:hAnsi="Arial" w:cs="Arial"/>
          <w:b/>
          <w:sz w:val="24"/>
          <w:szCs w:val="24"/>
        </w:rPr>
        <w:t xml:space="preserve">Updated Exhibit 9/Tab 1/Schedule 1/Attachment A: DVA </w:t>
      </w:r>
      <w:proofErr w:type="spellStart"/>
      <w:r w:rsidRPr="00BF20CF">
        <w:rPr>
          <w:rFonts w:ascii="Arial" w:hAnsi="Arial" w:cs="Arial"/>
          <w:b/>
          <w:sz w:val="24"/>
          <w:szCs w:val="24"/>
        </w:rPr>
        <w:t>Workform</w:t>
      </w:r>
      <w:proofErr w:type="spellEnd"/>
    </w:p>
    <w:p w14:paraId="5FA5358F"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6004A961" w14:textId="77777777" w:rsidR="00C87CDA" w:rsidRPr="00BF20CF" w:rsidRDefault="00C87CDA" w:rsidP="00C87CDA">
      <w:pPr>
        <w:autoSpaceDE w:val="0"/>
        <w:autoSpaceDN w:val="0"/>
        <w:adjustRightInd w:val="0"/>
        <w:spacing w:before="240" w:after="120" w:line="276" w:lineRule="auto"/>
        <w:rPr>
          <w:rFonts w:ascii="Arial" w:hAnsi="Arial" w:cs="Arial"/>
        </w:rPr>
      </w:pPr>
      <w:r w:rsidRPr="00BF20CF">
        <w:rPr>
          <w:rFonts w:ascii="Arial" w:hAnsi="Arial" w:cs="Arial"/>
        </w:rPr>
        <w:t>As stated in Hydro Ottawa’s 2019 Decision</w:t>
      </w:r>
      <w:r w:rsidRPr="00BF20CF">
        <w:rPr>
          <w:rStyle w:val="FootnoteReference"/>
          <w:rFonts w:ascii="Arial" w:hAnsi="Arial" w:cs="Arial"/>
        </w:rPr>
        <w:footnoteReference w:id="36"/>
      </w:r>
      <w:r w:rsidRPr="00BF20CF">
        <w:rPr>
          <w:rFonts w:ascii="Arial" w:hAnsi="Arial" w:cs="Arial"/>
        </w:rPr>
        <w:t>, Hydro Ottawa recorded $1,384,801 in the Sub-account 1508 Earning Sharing Mechanism (ESM) in 2017 related to 2016 earnings.</w:t>
      </w:r>
    </w:p>
    <w:p w14:paraId="2DE2E6CD" w14:textId="77777777" w:rsidR="00C87CDA" w:rsidRPr="00BF20CF" w:rsidRDefault="00C87CDA" w:rsidP="00C87CDA">
      <w:pPr>
        <w:autoSpaceDE w:val="0"/>
        <w:autoSpaceDN w:val="0"/>
        <w:adjustRightInd w:val="0"/>
        <w:spacing w:before="240" w:after="120" w:line="276" w:lineRule="auto"/>
        <w:rPr>
          <w:rFonts w:ascii="Arial" w:hAnsi="Arial" w:cs="Arial"/>
        </w:rPr>
      </w:pPr>
      <w:r w:rsidRPr="00BF20CF">
        <w:rPr>
          <w:rFonts w:ascii="Arial" w:hAnsi="Arial" w:cs="Arial"/>
        </w:rPr>
        <w:t>As stated in Hydro Ottawa’s 2020 Decision</w:t>
      </w:r>
      <w:r w:rsidRPr="00BF20CF">
        <w:rPr>
          <w:rStyle w:val="FootnoteReference"/>
          <w:rFonts w:ascii="Arial" w:hAnsi="Arial" w:cs="Arial"/>
        </w:rPr>
        <w:footnoteReference w:id="37"/>
      </w:r>
      <w:r w:rsidRPr="00BF20CF">
        <w:rPr>
          <w:rFonts w:ascii="Arial" w:hAnsi="Arial" w:cs="Arial"/>
        </w:rPr>
        <w:t>, Hydro Ottawa recorded $2,149,000 in the Sub-account 1508 Earning Sharing Mechanism (ESM) in 2018 related to 2017 earnings.</w:t>
      </w:r>
    </w:p>
    <w:p w14:paraId="74BD03E9" w14:textId="77777777" w:rsidR="00C87CDA" w:rsidRPr="00BF20CF" w:rsidRDefault="00C87CDA" w:rsidP="00C87CDA">
      <w:pPr>
        <w:spacing w:before="240" w:after="120" w:line="276" w:lineRule="auto"/>
        <w:rPr>
          <w:rFonts w:ascii="Arial" w:hAnsi="Arial" w:cs="Arial"/>
        </w:rPr>
      </w:pPr>
      <w:r w:rsidRPr="00BF20CF">
        <w:rPr>
          <w:rFonts w:ascii="Arial" w:hAnsi="Arial" w:cs="Arial"/>
        </w:rPr>
        <w:t xml:space="preserve">In the current application, Hydro Ottawa presented the calculations for the 2016 ESM as a credit balance of $1,309,000 and 2017 ESM as a credit balance of $2,364,000. </w:t>
      </w:r>
    </w:p>
    <w:p w14:paraId="124BFFC1" w14:textId="77777777" w:rsidR="00C87CDA" w:rsidRPr="00BF20CF" w:rsidRDefault="00C87CDA" w:rsidP="00C87CDA">
      <w:pPr>
        <w:spacing w:before="240" w:after="120" w:line="276" w:lineRule="auto"/>
        <w:rPr>
          <w:rFonts w:ascii="Arial" w:hAnsi="Arial" w:cs="Arial"/>
        </w:rPr>
      </w:pPr>
      <w:r w:rsidRPr="00BF20CF">
        <w:rPr>
          <w:rFonts w:ascii="Arial" w:hAnsi="Arial" w:cs="Arial"/>
        </w:rPr>
        <w:t xml:space="preserve">Hydro Ottawa stated that no ESM was recorded related to 2018 earnings as it didn’t over earn in 2018. </w:t>
      </w:r>
    </w:p>
    <w:p w14:paraId="089F3734" w14:textId="77777777" w:rsidR="00C87CDA" w:rsidRPr="00BF20CF" w:rsidRDefault="00C87CDA" w:rsidP="00C87CDA">
      <w:pPr>
        <w:spacing w:before="240" w:after="120" w:line="276" w:lineRule="auto"/>
        <w:rPr>
          <w:rFonts w:ascii="Arial" w:hAnsi="Arial" w:cs="Arial"/>
        </w:rPr>
      </w:pPr>
      <w:r w:rsidRPr="00BF20CF">
        <w:rPr>
          <w:rFonts w:ascii="Arial" w:hAnsi="Arial" w:cs="Arial"/>
        </w:rPr>
        <w:t xml:space="preserve">In the updated DVA </w:t>
      </w:r>
      <w:proofErr w:type="spellStart"/>
      <w:r w:rsidRPr="00BF20CF">
        <w:rPr>
          <w:rFonts w:ascii="Arial" w:hAnsi="Arial" w:cs="Arial"/>
        </w:rPr>
        <w:t>Workform</w:t>
      </w:r>
      <w:proofErr w:type="spellEnd"/>
      <w:r w:rsidRPr="00BF20CF">
        <w:rPr>
          <w:rFonts w:ascii="Arial" w:hAnsi="Arial" w:cs="Arial"/>
        </w:rPr>
        <w:t xml:space="preserve"> in the current application, Hydro Ottawa recorded a credit balance of $1,384,801 (column AJ) and a credit balance of $1,976,394 (column AT) in the transaction columns for 2017 and 2018 related to 2016 and 2017 ESM for a total credit principal amount of $3,361,195. Hydro Ottawa also recorded a credit balance of $311,490 (column BD) in the transaction column for 2019.  </w:t>
      </w:r>
    </w:p>
    <w:p w14:paraId="5F15802F" w14:textId="77777777" w:rsidR="00C87CDA" w:rsidRPr="00BF20CF" w:rsidRDefault="00C87CDA" w:rsidP="00C87CDA">
      <w:pPr>
        <w:autoSpaceDE w:val="0"/>
        <w:autoSpaceDN w:val="0"/>
        <w:adjustRightInd w:val="0"/>
        <w:spacing w:before="240" w:after="120" w:line="276" w:lineRule="auto"/>
        <w:rPr>
          <w:rFonts w:ascii="Arial" w:hAnsi="Arial" w:cs="Arial"/>
        </w:rPr>
      </w:pPr>
      <w:r w:rsidRPr="00BF20CF">
        <w:rPr>
          <w:rFonts w:ascii="Arial" w:hAnsi="Arial" w:cs="Arial"/>
          <w:bCs/>
        </w:rPr>
        <w:t>Question(s):</w:t>
      </w:r>
    </w:p>
    <w:p w14:paraId="56E3710D" w14:textId="77777777" w:rsidR="00C87CDA" w:rsidRPr="00BF20CF" w:rsidRDefault="00C87CDA" w:rsidP="00C87CDA">
      <w:pPr>
        <w:pStyle w:val="ListParagraph"/>
        <w:numPr>
          <w:ilvl w:val="0"/>
          <w:numId w:val="200"/>
        </w:numPr>
        <w:spacing w:before="240" w:after="120" w:line="276" w:lineRule="auto"/>
        <w:rPr>
          <w:rFonts w:ascii="Arial" w:hAnsi="Arial" w:cs="Arial"/>
        </w:rPr>
      </w:pPr>
      <w:r w:rsidRPr="00BF20CF">
        <w:rPr>
          <w:rFonts w:ascii="Arial" w:hAnsi="Arial" w:cs="Arial"/>
        </w:rPr>
        <w:t xml:space="preserve">Please explain the differences and confirm the balances recorded in the </w:t>
      </w:r>
      <w:r w:rsidRPr="00BF20CF">
        <w:rPr>
          <w:rFonts w:ascii="Arial" w:eastAsia="Times New Roman" w:hAnsi="Arial" w:cs="Arial"/>
        </w:rPr>
        <w:t xml:space="preserve">Sub-account 1508 </w:t>
      </w:r>
      <w:r w:rsidRPr="00BF20CF">
        <w:rPr>
          <w:rFonts w:ascii="Arial" w:hAnsi="Arial" w:cs="Arial"/>
        </w:rPr>
        <w:t xml:space="preserve">ESM related to 2016 and 2017 earnings </w:t>
      </w:r>
    </w:p>
    <w:p w14:paraId="6E74E1BA" w14:textId="77777777" w:rsidR="00C87CDA" w:rsidRPr="00BF20CF" w:rsidRDefault="00C87CDA" w:rsidP="00C87CDA">
      <w:pPr>
        <w:pStyle w:val="ListParagraph"/>
        <w:numPr>
          <w:ilvl w:val="0"/>
          <w:numId w:val="200"/>
        </w:numPr>
        <w:spacing w:before="240" w:after="120" w:line="276" w:lineRule="auto"/>
        <w:rPr>
          <w:rFonts w:ascii="Arial" w:hAnsi="Arial" w:cs="Arial"/>
        </w:rPr>
      </w:pPr>
      <w:r w:rsidRPr="00BF20CF">
        <w:rPr>
          <w:rFonts w:ascii="Arial" w:hAnsi="Arial" w:cs="Arial"/>
        </w:rPr>
        <w:t xml:space="preserve">Please explain what the credit balance of $311,490 relates to. </w:t>
      </w:r>
    </w:p>
    <w:p w14:paraId="15048CE4" w14:textId="77777777" w:rsidR="00C87CDA" w:rsidRPr="00BF20CF" w:rsidRDefault="00C87CDA" w:rsidP="00C87CDA">
      <w:pPr>
        <w:pStyle w:val="ListParagraph"/>
        <w:numPr>
          <w:ilvl w:val="0"/>
          <w:numId w:val="200"/>
        </w:numPr>
        <w:spacing w:before="240" w:after="120" w:line="276" w:lineRule="auto"/>
        <w:rPr>
          <w:rFonts w:ascii="Arial" w:hAnsi="Arial" w:cs="Arial"/>
        </w:rPr>
      </w:pPr>
      <w:r w:rsidRPr="00BF20CF">
        <w:rPr>
          <w:rFonts w:ascii="Arial" w:hAnsi="Arial" w:cs="Arial"/>
        </w:rPr>
        <w:lastRenderedPageBreak/>
        <w:t xml:space="preserve">Please update the DVA </w:t>
      </w:r>
      <w:proofErr w:type="spellStart"/>
      <w:r w:rsidRPr="00BF20CF">
        <w:rPr>
          <w:rFonts w:ascii="Arial" w:hAnsi="Arial" w:cs="Arial"/>
        </w:rPr>
        <w:t>Workform</w:t>
      </w:r>
      <w:proofErr w:type="spellEnd"/>
      <w:r w:rsidRPr="00BF20CF">
        <w:rPr>
          <w:rFonts w:ascii="Arial" w:hAnsi="Arial" w:cs="Arial"/>
        </w:rPr>
        <w:t xml:space="preserve"> if necessary.  </w:t>
      </w:r>
    </w:p>
    <w:p w14:paraId="1692734A" w14:textId="0817C3FE" w:rsidR="00C87CDA" w:rsidRPr="00BF20CF" w:rsidRDefault="00C87CDA" w:rsidP="00C87CDA">
      <w:pPr>
        <w:pStyle w:val="StaffHeader"/>
        <w:numPr>
          <w:ilvl w:val="0"/>
          <w:numId w:val="0"/>
        </w:numPr>
        <w:spacing w:before="240"/>
        <w:rPr>
          <w:rFonts w:cs="Arial"/>
          <w:szCs w:val="24"/>
          <w:u w:val="none"/>
        </w:rPr>
      </w:pPr>
      <w:r w:rsidRPr="00BF20CF">
        <w:rPr>
          <w:rFonts w:cs="Arial"/>
          <w:szCs w:val="24"/>
          <w:u w:val="none"/>
        </w:rPr>
        <w:t>9-Staff-14</w:t>
      </w:r>
    </w:p>
    <w:p w14:paraId="3605EC53" w14:textId="77777777" w:rsidR="00C87CDA" w:rsidRPr="00BF20CF" w:rsidRDefault="00C87CDA" w:rsidP="00C87CDA">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r>
    </w:p>
    <w:p w14:paraId="1C47EF84" w14:textId="77777777" w:rsidR="00C87CDA" w:rsidRPr="00BF20CF" w:rsidRDefault="00C87CDA" w:rsidP="00C87CDA">
      <w:pPr>
        <w:pStyle w:val="NoSpacing"/>
        <w:spacing w:line="276" w:lineRule="auto"/>
        <w:ind w:left="720"/>
        <w:rPr>
          <w:rFonts w:ascii="Arial" w:hAnsi="Arial" w:cs="Arial"/>
          <w:b/>
          <w:sz w:val="24"/>
          <w:szCs w:val="24"/>
        </w:rPr>
      </w:pPr>
      <w:r w:rsidRPr="00BF20CF">
        <w:rPr>
          <w:rFonts w:ascii="Arial" w:hAnsi="Arial" w:cs="Arial"/>
          <w:b/>
          <w:sz w:val="24"/>
          <w:szCs w:val="24"/>
        </w:rPr>
        <w:t xml:space="preserve">Exhibit 9/Tab 1/Schedule 3/page 19 </w:t>
      </w:r>
    </w:p>
    <w:p w14:paraId="0EBC59BF" w14:textId="77777777" w:rsidR="00C87CDA" w:rsidRPr="00BF20CF" w:rsidRDefault="00C87CDA" w:rsidP="00C87CDA">
      <w:pPr>
        <w:pStyle w:val="NoSpacing"/>
        <w:spacing w:line="276" w:lineRule="auto"/>
        <w:ind w:left="720"/>
        <w:rPr>
          <w:rFonts w:ascii="Arial" w:hAnsi="Arial" w:cs="Arial"/>
          <w:b/>
          <w:sz w:val="24"/>
          <w:szCs w:val="24"/>
        </w:rPr>
      </w:pPr>
      <w:r w:rsidRPr="00BF20CF">
        <w:rPr>
          <w:rFonts w:ascii="Arial" w:hAnsi="Arial" w:cs="Arial"/>
          <w:b/>
          <w:sz w:val="24"/>
          <w:szCs w:val="24"/>
        </w:rPr>
        <w:t xml:space="preserve">Updated Exhibit 9/Tab 3/Schedule 1/Table 1 on page 7 </w:t>
      </w:r>
    </w:p>
    <w:p w14:paraId="6ACBB01A" w14:textId="77777777" w:rsidR="00C87CDA" w:rsidRPr="00BF20CF" w:rsidRDefault="00C87CDA" w:rsidP="00C87CDA">
      <w:pPr>
        <w:pStyle w:val="NoSpacing"/>
        <w:spacing w:line="276" w:lineRule="auto"/>
        <w:ind w:left="720"/>
        <w:rPr>
          <w:rFonts w:ascii="Arial" w:hAnsi="Arial" w:cs="Arial"/>
          <w:b/>
          <w:sz w:val="24"/>
          <w:szCs w:val="24"/>
        </w:rPr>
      </w:pPr>
      <w:r w:rsidRPr="00BF20CF">
        <w:rPr>
          <w:rFonts w:ascii="Arial" w:hAnsi="Arial" w:cs="Arial"/>
          <w:b/>
          <w:sz w:val="24"/>
          <w:szCs w:val="24"/>
        </w:rPr>
        <w:t>Updated Exhibit 4/Tab 2/Schedule 4/Attachment A: Appendix 2-M</w:t>
      </w:r>
    </w:p>
    <w:p w14:paraId="232FCCBC"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7BCE025D" w14:textId="77777777" w:rsidR="00C87CDA" w:rsidRPr="00BF20CF" w:rsidRDefault="00C87CDA" w:rsidP="00C87CDA">
      <w:pPr>
        <w:autoSpaceDE w:val="0"/>
        <w:autoSpaceDN w:val="0"/>
        <w:adjustRightInd w:val="0"/>
        <w:spacing w:before="240" w:after="120" w:line="276" w:lineRule="auto"/>
        <w:rPr>
          <w:rFonts w:ascii="Arial" w:hAnsi="Arial" w:cs="Arial"/>
        </w:rPr>
      </w:pPr>
      <w:r w:rsidRPr="00BF20CF">
        <w:rPr>
          <w:rFonts w:ascii="Arial" w:hAnsi="Arial" w:cs="Arial"/>
        </w:rPr>
        <w:t xml:space="preserve">Sub-account 1508 OEB Cost Assessment is to record any material difference between OEB cost assessment that were built into rates, and cost assessments that would result from the application of the new Cost Assessment Model effective April 1, 2016. $916k projection was included in Hydro Ottawa’s 2016 rebasing year.  </w:t>
      </w:r>
    </w:p>
    <w:p w14:paraId="293DA139" w14:textId="77777777" w:rsidR="00C87CDA" w:rsidRPr="00BF20CF" w:rsidRDefault="00C87CDA" w:rsidP="00C87CDA">
      <w:pPr>
        <w:autoSpaceDE w:val="0"/>
        <w:autoSpaceDN w:val="0"/>
        <w:adjustRightInd w:val="0"/>
        <w:spacing w:before="240" w:after="120" w:line="276" w:lineRule="auto"/>
        <w:rPr>
          <w:rFonts w:ascii="Arial" w:hAnsi="Arial" w:cs="Arial"/>
        </w:rPr>
      </w:pPr>
      <w:r w:rsidRPr="00BF20CF">
        <w:rPr>
          <w:rFonts w:ascii="Arial" w:hAnsi="Arial" w:cs="Arial"/>
        </w:rPr>
        <w:t xml:space="preserve">Hydro Ottawa is seeking disposition of principal balance of $1,879,684 along with interest in Sub-account 1508 OEB Cost Assessment. </w:t>
      </w:r>
    </w:p>
    <w:p w14:paraId="3C5ECFDD"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1C59280E" w14:textId="77777777" w:rsidR="00C87CDA" w:rsidRPr="00BF20CF" w:rsidRDefault="00C87CDA" w:rsidP="00C87CDA">
      <w:pPr>
        <w:pStyle w:val="ListParagraph"/>
        <w:numPr>
          <w:ilvl w:val="0"/>
          <w:numId w:val="223"/>
        </w:numPr>
        <w:spacing w:before="240" w:after="120" w:line="276" w:lineRule="auto"/>
        <w:rPr>
          <w:rFonts w:ascii="Arial" w:hAnsi="Arial" w:cs="Arial"/>
        </w:rPr>
      </w:pPr>
      <w:r w:rsidRPr="00BF20CF">
        <w:rPr>
          <w:rFonts w:ascii="Arial" w:hAnsi="Arial" w:cs="Arial"/>
        </w:rPr>
        <w:t xml:space="preserve">Please provide a schedule for the relevant years to support the </w:t>
      </w:r>
      <w:proofErr w:type="gramStart"/>
      <w:r w:rsidRPr="00BF20CF">
        <w:rPr>
          <w:rFonts w:ascii="Arial" w:hAnsi="Arial" w:cs="Arial"/>
        </w:rPr>
        <w:t>principal</w:t>
      </w:r>
      <w:r w:rsidRPr="00BF20CF" w:rsidDel="001F71F5">
        <w:rPr>
          <w:rFonts w:ascii="Arial" w:hAnsi="Arial" w:cs="Arial"/>
        </w:rPr>
        <w:t xml:space="preserve"> </w:t>
      </w:r>
      <w:r w:rsidRPr="00BF20CF">
        <w:rPr>
          <w:rFonts w:ascii="Arial" w:hAnsi="Arial" w:cs="Arial"/>
        </w:rPr>
        <w:t xml:space="preserve"> balance</w:t>
      </w:r>
      <w:proofErr w:type="gramEnd"/>
      <w:r w:rsidRPr="00BF20CF">
        <w:rPr>
          <w:rFonts w:ascii="Arial" w:hAnsi="Arial" w:cs="Arial"/>
        </w:rPr>
        <w:t xml:space="preserve"> of $1,879,684. Please ensure the amounts from the schedule are reconciled to the amounts presented in the updated Appendix 2-M Regulatory Cost Schedule, if applicable. </w:t>
      </w:r>
    </w:p>
    <w:p w14:paraId="6261EACD" w14:textId="16B10007" w:rsidR="00C87CDA" w:rsidRPr="00BF20CF" w:rsidRDefault="00C87CDA" w:rsidP="00C87CDA">
      <w:pPr>
        <w:pStyle w:val="StaffHeader"/>
        <w:numPr>
          <w:ilvl w:val="0"/>
          <w:numId w:val="0"/>
        </w:numPr>
        <w:spacing w:before="240"/>
        <w:rPr>
          <w:rFonts w:cs="Arial"/>
          <w:szCs w:val="24"/>
          <w:u w:val="none"/>
        </w:rPr>
      </w:pPr>
      <w:r w:rsidRPr="00BF20CF">
        <w:rPr>
          <w:rFonts w:cs="Arial"/>
          <w:szCs w:val="24"/>
          <w:u w:val="none"/>
        </w:rPr>
        <w:t>9-Staff-15</w:t>
      </w:r>
    </w:p>
    <w:p w14:paraId="11C33AEA" w14:textId="77777777" w:rsidR="00C87CDA" w:rsidRPr="00BF20CF" w:rsidRDefault="00C87CDA" w:rsidP="00C87CDA">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 xml:space="preserve">Exhibit 9/Tab 1/Schedule 4/Table 3 on page 3 </w:t>
      </w:r>
    </w:p>
    <w:p w14:paraId="09B7E5B3" w14:textId="77777777" w:rsidR="00C87CDA" w:rsidRPr="00BF20CF" w:rsidRDefault="00C87CDA" w:rsidP="00C87CDA">
      <w:pPr>
        <w:pStyle w:val="NoSpacing"/>
        <w:spacing w:line="276" w:lineRule="auto"/>
        <w:ind w:left="720"/>
        <w:rPr>
          <w:rFonts w:ascii="Arial" w:hAnsi="Arial" w:cs="Arial"/>
          <w:b/>
          <w:sz w:val="24"/>
          <w:szCs w:val="24"/>
        </w:rPr>
      </w:pPr>
      <w:r w:rsidRPr="00BF20CF">
        <w:rPr>
          <w:rFonts w:ascii="Arial" w:hAnsi="Arial" w:cs="Arial"/>
          <w:b/>
          <w:sz w:val="24"/>
          <w:szCs w:val="24"/>
        </w:rPr>
        <w:t xml:space="preserve">Updated Exhibit 9/Tab 1/Schedule 3/Table 9 on page 23 </w:t>
      </w:r>
    </w:p>
    <w:p w14:paraId="6EF3AA77"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4DF780A"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 xml:space="preserve">Hydro Ottawa stated that there were no qualifying CCRA payments made in 2018 when calculating the impact of the accelerated CCA in 1592 Sub-account PILs in Table 3. </w:t>
      </w:r>
    </w:p>
    <w:p w14:paraId="5C0CE52F"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 xml:space="preserve">Hydro Ottawa recorded the revenue requirement for an additional $2,163,940 CCRA payments in 2018 in Table 9 for 1508 Sub-account CCRA. </w:t>
      </w:r>
    </w:p>
    <w:p w14:paraId="75C115D6"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0B6FA3D0" w14:textId="77777777" w:rsidR="00C87CDA" w:rsidRPr="00BF20CF" w:rsidRDefault="00C87CDA" w:rsidP="00C87CDA">
      <w:pPr>
        <w:pStyle w:val="ListParagraph"/>
        <w:numPr>
          <w:ilvl w:val="0"/>
          <w:numId w:val="206"/>
        </w:numPr>
        <w:autoSpaceDE w:val="0"/>
        <w:autoSpaceDN w:val="0"/>
        <w:adjustRightInd w:val="0"/>
        <w:spacing w:before="240" w:after="120" w:line="276" w:lineRule="auto"/>
        <w:rPr>
          <w:rFonts w:ascii="Arial" w:eastAsia="Times New Roman" w:hAnsi="Arial" w:cs="Arial"/>
        </w:rPr>
      </w:pPr>
      <w:r w:rsidRPr="00BF20CF">
        <w:rPr>
          <w:rFonts w:ascii="Arial" w:eastAsia="Times New Roman" w:hAnsi="Arial" w:cs="Arial"/>
        </w:rPr>
        <w:t xml:space="preserve">Please confirm the nature and the period CCRA payments related to. (i.e. before or after November 20, 2018) </w:t>
      </w:r>
    </w:p>
    <w:p w14:paraId="3C36CE6E" w14:textId="60D8CBC1" w:rsidR="00C87CDA" w:rsidRPr="00BF20CF" w:rsidRDefault="00C87CDA" w:rsidP="00C87CDA">
      <w:pPr>
        <w:pStyle w:val="StaffHeader"/>
        <w:numPr>
          <w:ilvl w:val="0"/>
          <w:numId w:val="0"/>
        </w:numPr>
        <w:spacing w:before="240"/>
        <w:rPr>
          <w:rFonts w:cs="Arial"/>
          <w:szCs w:val="24"/>
          <w:u w:val="none"/>
        </w:rPr>
      </w:pPr>
      <w:r w:rsidRPr="00BF20CF">
        <w:rPr>
          <w:rFonts w:cs="Arial"/>
          <w:szCs w:val="24"/>
          <w:u w:val="none"/>
        </w:rPr>
        <w:lastRenderedPageBreak/>
        <w:t>9-Staff-16</w:t>
      </w:r>
    </w:p>
    <w:p w14:paraId="00A608D8" w14:textId="77777777" w:rsidR="00C87CDA" w:rsidRPr="00BF20CF" w:rsidRDefault="00C87CDA" w:rsidP="00C87CDA">
      <w:pPr>
        <w:pStyle w:val="NoSpacing"/>
        <w:spacing w:line="276" w:lineRule="auto"/>
        <w:rPr>
          <w:rFonts w:ascii="Arial" w:hAnsi="Arial" w:cs="Arial"/>
          <w:b/>
          <w:sz w:val="24"/>
          <w:szCs w:val="24"/>
        </w:rPr>
      </w:pPr>
      <w:r w:rsidRPr="00BF20CF">
        <w:rPr>
          <w:rFonts w:ascii="Arial" w:hAnsi="Arial" w:cs="Arial"/>
          <w:b/>
          <w:sz w:val="24"/>
          <w:szCs w:val="24"/>
        </w:rPr>
        <w:t>Ref:</w:t>
      </w:r>
      <w:r w:rsidRPr="00BF20CF">
        <w:rPr>
          <w:rFonts w:ascii="Arial" w:hAnsi="Arial" w:cs="Arial"/>
          <w:b/>
          <w:sz w:val="24"/>
          <w:szCs w:val="24"/>
        </w:rPr>
        <w:tab/>
        <w:t>Exhibit 9/Tab 1/Schedule 4/Attachments A</w:t>
      </w:r>
    </w:p>
    <w:p w14:paraId="7CADEB41" w14:textId="77777777" w:rsidR="00C87CDA" w:rsidRPr="00BF20CF" w:rsidRDefault="00C87CDA" w:rsidP="00C87CDA">
      <w:pPr>
        <w:pStyle w:val="NoSpacing"/>
        <w:spacing w:line="276" w:lineRule="auto"/>
        <w:ind w:firstLine="720"/>
        <w:rPr>
          <w:rFonts w:ascii="Arial" w:hAnsi="Arial" w:cs="Arial"/>
          <w:b/>
          <w:sz w:val="24"/>
          <w:szCs w:val="24"/>
        </w:rPr>
      </w:pPr>
      <w:r w:rsidRPr="00BF20CF">
        <w:rPr>
          <w:rFonts w:ascii="Arial" w:hAnsi="Arial" w:cs="Arial"/>
          <w:b/>
          <w:sz w:val="24"/>
          <w:szCs w:val="24"/>
        </w:rPr>
        <w:t>Updated Exhibit 9/Tab 1/Schedule 4/Attachments B, C, F, G</w:t>
      </w:r>
    </w:p>
    <w:p w14:paraId="372723F0" w14:textId="77777777" w:rsidR="00C87CDA" w:rsidRPr="00BF20CF" w:rsidRDefault="00C87CDA" w:rsidP="00C87CDA">
      <w:pPr>
        <w:pStyle w:val="NoSpacing"/>
        <w:spacing w:line="276" w:lineRule="auto"/>
        <w:ind w:left="720"/>
        <w:rPr>
          <w:rFonts w:ascii="Arial" w:hAnsi="Arial" w:cs="Arial"/>
          <w:b/>
          <w:sz w:val="24"/>
          <w:szCs w:val="24"/>
        </w:rPr>
      </w:pPr>
      <w:r w:rsidRPr="00BF20CF">
        <w:rPr>
          <w:rFonts w:ascii="Arial" w:hAnsi="Arial" w:cs="Arial"/>
          <w:b/>
          <w:sz w:val="24"/>
          <w:szCs w:val="24"/>
        </w:rPr>
        <w:t>Updated Exhibit 9/Tab 1/Schedule 4/Table 1 on page 2</w:t>
      </w:r>
    </w:p>
    <w:p w14:paraId="739A6ED9" w14:textId="77777777" w:rsidR="00C87CDA" w:rsidRPr="00BF20CF" w:rsidRDefault="00C87CDA" w:rsidP="00C87CDA">
      <w:pPr>
        <w:pStyle w:val="NoSpacing"/>
        <w:spacing w:line="276" w:lineRule="auto"/>
        <w:ind w:left="720"/>
        <w:rPr>
          <w:rFonts w:ascii="Arial" w:hAnsi="Arial" w:cs="Arial"/>
          <w:b/>
          <w:sz w:val="24"/>
          <w:szCs w:val="24"/>
        </w:rPr>
      </w:pPr>
      <w:r w:rsidRPr="00BF20CF">
        <w:rPr>
          <w:rFonts w:ascii="Arial" w:hAnsi="Arial" w:cs="Arial"/>
          <w:b/>
          <w:sz w:val="24"/>
          <w:szCs w:val="24"/>
        </w:rPr>
        <w:t>Updated Exhibit 9/Tab 1/Schedule 4/Table 2 on page 4</w:t>
      </w:r>
    </w:p>
    <w:p w14:paraId="069B71AC" w14:textId="77777777" w:rsidR="00C87CDA" w:rsidRPr="00BF20CF" w:rsidRDefault="00C87CDA" w:rsidP="00C87CDA">
      <w:pPr>
        <w:pStyle w:val="NoSpacing"/>
        <w:spacing w:line="276" w:lineRule="auto"/>
        <w:ind w:left="720"/>
        <w:rPr>
          <w:rFonts w:ascii="Arial" w:hAnsi="Arial" w:cs="Arial"/>
          <w:b/>
          <w:sz w:val="24"/>
          <w:szCs w:val="24"/>
        </w:rPr>
      </w:pPr>
      <w:r w:rsidRPr="00BF20CF">
        <w:rPr>
          <w:rFonts w:ascii="Arial" w:hAnsi="Arial" w:cs="Arial"/>
          <w:b/>
          <w:sz w:val="24"/>
          <w:szCs w:val="24"/>
        </w:rPr>
        <w:t xml:space="preserve">Updated Exhibit 9/Tab 1/Schedule 4/pp. 2-3 </w:t>
      </w:r>
    </w:p>
    <w:p w14:paraId="040A5537" w14:textId="28717720"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B73D767"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The OEB issued a guidance on July 25, 2019 to establish a separate sub-account of Account 1592 to track the impact of the Bill C-97 CCA rules changes for the period of November 21, 2018 until the effective date of the Utility’s next cost-based rate order. Utilities will record the full revenue requirement impact of any changes in CCA rules that are not reflected in base rates.</w:t>
      </w:r>
      <w:r w:rsidRPr="00BF20CF">
        <w:rPr>
          <w:rStyle w:val="FootnoteReference"/>
          <w:rFonts w:ascii="Arial" w:hAnsi="Arial" w:cs="Arial"/>
          <w:bCs/>
        </w:rPr>
        <w:footnoteReference w:id="38"/>
      </w:r>
    </w:p>
    <w:p w14:paraId="461B5BA4"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 xml:space="preserve">Hydro Ottawa has recorded the impact of the Bill C-97 in Sub-account 1592 – PILs and Tax Variances - CCA changes for capital additions for the period of 2018 to 2020, cost of the New Facilities up to $66 </w:t>
      </w:r>
      <w:r w:rsidRPr="00BF20CF">
        <w:rPr>
          <w:rFonts w:ascii="Arial" w:hAnsi="Arial" w:cs="Arial"/>
        </w:rPr>
        <w:t>million</w:t>
      </w:r>
      <w:r w:rsidRPr="00BF20CF">
        <w:rPr>
          <w:rFonts w:ascii="Arial" w:hAnsi="Arial" w:cs="Arial"/>
          <w:bCs/>
        </w:rPr>
        <w:t xml:space="preserve"> and the New Facilities above $66 </w:t>
      </w:r>
      <w:r w:rsidRPr="00BF20CF">
        <w:rPr>
          <w:rFonts w:ascii="Arial" w:hAnsi="Arial" w:cs="Arial"/>
        </w:rPr>
        <w:t>million</w:t>
      </w:r>
      <w:r w:rsidRPr="00BF20CF">
        <w:rPr>
          <w:rFonts w:ascii="Arial" w:hAnsi="Arial" w:cs="Arial"/>
          <w:bCs/>
        </w:rPr>
        <w:t xml:space="preserve">. The impact of Bill C-97 was not included in the sub-account 1508 Y-Factor and sub-account 1508 New Facilities. </w:t>
      </w:r>
    </w:p>
    <w:p w14:paraId="22977886"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 xml:space="preserve">In the updated evidence on capital additions, Hydro Ottawa stated that “originally, it was estimated that 100% of additions in 2019 and 2020 would qualify for accelerated CCA. Table 1 has been updated to reflect </w:t>
      </w:r>
      <w:proofErr w:type="spellStart"/>
      <w:r w:rsidRPr="00BF20CF">
        <w:rPr>
          <w:rFonts w:ascii="Arial" w:hAnsi="Arial" w:cs="Arial"/>
          <w:bCs/>
        </w:rPr>
        <w:t>remeasurements</w:t>
      </w:r>
      <w:proofErr w:type="spellEnd"/>
      <w:r w:rsidRPr="00BF20CF">
        <w:rPr>
          <w:rFonts w:ascii="Arial" w:hAnsi="Arial" w:cs="Arial"/>
          <w:bCs/>
        </w:rPr>
        <w:t xml:space="preserve"> of 2019 and 2020 additions that would qualify for accelerated CCA.”</w:t>
      </w:r>
    </w:p>
    <w:p w14:paraId="27F76D45"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In the updated evidence on New Facilities, Hydro Ottawa stated that “originally, it was estimated that 28% of new additions for the New Facilities in 2019 would qualify for accelerated CCA. This estimate has been updated, with approximately 40% of new additions for the New Facilities in 2019 set to qualify for accelerated   CCA.”</w:t>
      </w:r>
    </w:p>
    <w:p w14:paraId="5A27B992" w14:textId="3CCA4360"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4106F725"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Capital Additions</w:t>
      </w:r>
    </w:p>
    <w:p w14:paraId="43442FDE" w14:textId="77777777" w:rsidR="00C87CDA" w:rsidRPr="00BF20CF" w:rsidRDefault="00C87CDA" w:rsidP="00C87CDA">
      <w:pPr>
        <w:pStyle w:val="ListParagraph"/>
        <w:numPr>
          <w:ilvl w:val="0"/>
          <w:numId w:val="202"/>
        </w:numPr>
        <w:spacing w:before="240" w:after="120" w:line="276" w:lineRule="auto"/>
        <w:ind w:left="994"/>
        <w:rPr>
          <w:rFonts w:ascii="Arial" w:hAnsi="Arial" w:cs="Arial"/>
        </w:rPr>
      </w:pPr>
      <w:r w:rsidRPr="00BF20CF">
        <w:rPr>
          <w:rFonts w:ascii="Arial" w:hAnsi="Arial" w:cs="Arial"/>
        </w:rPr>
        <w:t xml:space="preserve">Please confirm if the amounts in column (3) titled “cost of acquisition during the year” for 2018 to 2020 in Attachment A and the updated Attachments B and C were the approved capital additions as part of the </w:t>
      </w:r>
      <w:r w:rsidRPr="00BF20CF">
        <w:rPr>
          <w:rFonts w:ascii="Arial" w:hAnsi="Arial" w:cs="Arial"/>
        </w:rPr>
        <w:lastRenderedPageBreak/>
        <w:t xml:space="preserve">2016 Settlement Agreement, or actual capital additions for 2018, 2019 and 2020. </w:t>
      </w:r>
    </w:p>
    <w:p w14:paraId="29ED20EE" w14:textId="77777777" w:rsidR="00C87CDA" w:rsidRPr="00BF20CF" w:rsidRDefault="00C87CDA" w:rsidP="00C87CDA">
      <w:pPr>
        <w:pStyle w:val="ListParagraph"/>
        <w:spacing w:before="240" w:after="120" w:line="276" w:lineRule="auto"/>
        <w:ind w:left="994"/>
        <w:rPr>
          <w:rFonts w:ascii="Arial" w:hAnsi="Arial" w:cs="Arial"/>
        </w:rPr>
      </w:pPr>
      <w:r w:rsidRPr="00BF20CF">
        <w:rPr>
          <w:rFonts w:ascii="Arial" w:hAnsi="Arial" w:cs="Arial"/>
        </w:rPr>
        <w:t xml:space="preserve">a.1) Please explain why Hydro Ottawa has chosen to use approved or actual additions. </w:t>
      </w:r>
    </w:p>
    <w:p w14:paraId="091516AB" w14:textId="77777777" w:rsidR="00C87CDA" w:rsidRPr="00BF20CF" w:rsidRDefault="00C87CDA" w:rsidP="00C87CDA">
      <w:pPr>
        <w:pStyle w:val="ListParagraph"/>
        <w:spacing w:before="240" w:after="120" w:line="276" w:lineRule="auto"/>
        <w:ind w:left="994"/>
        <w:rPr>
          <w:rFonts w:ascii="Arial" w:hAnsi="Arial" w:cs="Arial"/>
        </w:rPr>
      </w:pPr>
    </w:p>
    <w:p w14:paraId="0913472F" w14:textId="77777777" w:rsidR="00C87CDA" w:rsidRPr="00BF20CF" w:rsidRDefault="00C87CDA" w:rsidP="00C87CDA">
      <w:pPr>
        <w:pStyle w:val="ListParagraph"/>
        <w:numPr>
          <w:ilvl w:val="0"/>
          <w:numId w:val="202"/>
        </w:numPr>
        <w:spacing w:before="240" w:after="120" w:line="276" w:lineRule="auto"/>
        <w:ind w:left="994"/>
        <w:rPr>
          <w:rFonts w:ascii="Arial" w:hAnsi="Arial" w:cs="Arial"/>
        </w:rPr>
      </w:pPr>
      <w:r w:rsidRPr="00BF20CF">
        <w:rPr>
          <w:rFonts w:ascii="Arial" w:hAnsi="Arial" w:cs="Arial"/>
        </w:rPr>
        <w:t xml:space="preserve">Please confirm if the amounts in column (4) titled “cost of acquisitions from column 3 that are accelerated investment incentive property (AIIP)” in Attachment A represent the capital additions available for use and acquired after November 20, 2018. Please also confirm if the amounts in column (4) were based on estimates or actuals. </w:t>
      </w:r>
    </w:p>
    <w:p w14:paraId="439E9E3B" w14:textId="77777777" w:rsidR="00C87CDA" w:rsidRPr="00BF20CF" w:rsidRDefault="00C87CDA" w:rsidP="00C87CDA">
      <w:pPr>
        <w:pStyle w:val="ListParagraph"/>
        <w:spacing w:before="240" w:after="120" w:line="276" w:lineRule="auto"/>
        <w:ind w:left="994"/>
        <w:rPr>
          <w:rFonts w:ascii="Arial" w:hAnsi="Arial" w:cs="Arial"/>
        </w:rPr>
      </w:pPr>
      <w:r w:rsidRPr="00BF20CF">
        <w:rPr>
          <w:rFonts w:ascii="Arial" w:hAnsi="Arial" w:cs="Arial"/>
        </w:rPr>
        <w:t xml:space="preserve">b.1) Please explain why Hydro Ottawa has chosen to use estimates or actuals.  </w:t>
      </w:r>
    </w:p>
    <w:p w14:paraId="37291434" w14:textId="77777777" w:rsidR="00C87CDA" w:rsidRPr="00BF20CF" w:rsidRDefault="00C87CDA" w:rsidP="00C87CDA">
      <w:pPr>
        <w:pStyle w:val="ListParagraph"/>
        <w:spacing w:before="240" w:after="120" w:line="276" w:lineRule="auto"/>
        <w:ind w:left="994"/>
        <w:rPr>
          <w:rFonts w:ascii="Arial" w:hAnsi="Arial" w:cs="Arial"/>
        </w:rPr>
      </w:pPr>
    </w:p>
    <w:p w14:paraId="3DF8CF68" w14:textId="77777777" w:rsidR="00C87CDA" w:rsidRPr="00BF20CF" w:rsidRDefault="00C87CDA" w:rsidP="00C87CDA">
      <w:pPr>
        <w:pStyle w:val="ListParagraph"/>
        <w:numPr>
          <w:ilvl w:val="0"/>
          <w:numId w:val="202"/>
        </w:numPr>
        <w:spacing w:before="240" w:after="120" w:line="276" w:lineRule="auto"/>
        <w:ind w:left="994"/>
        <w:rPr>
          <w:rFonts w:ascii="Arial" w:hAnsi="Arial" w:cs="Arial"/>
        </w:rPr>
      </w:pPr>
      <w:r w:rsidRPr="00BF20CF">
        <w:rPr>
          <w:rFonts w:ascii="Arial" w:hAnsi="Arial" w:cs="Arial"/>
        </w:rPr>
        <w:t xml:space="preserve">Please explain how the amounts in column (4) titled “cost of acquisitions from column 3 that are AIIP” in the updated Attachments B and C were determined. What criteria were used to determine if the additions would qualify for accelerated CCA in 2019 and </w:t>
      </w:r>
      <w:proofErr w:type="gramStart"/>
      <w:r w:rsidRPr="00BF20CF">
        <w:rPr>
          <w:rFonts w:ascii="Arial" w:hAnsi="Arial" w:cs="Arial"/>
        </w:rPr>
        <w:t>2020.</w:t>
      </w:r>
      <w:proofErr w:type="gramEnd"/>
      <w:r w:rsidRPr="00BF20CF">
        <w:rPr>
          <w:rFonts w:ascii="Arial" w:hAnsi="Arial" w:cs="Arial"/>
        </w:rPr>
        <w:t xml:space="preserve"> </w:t>
      </w:r>
    </w:p>
    <w:p w14:paraId="0D398B52" w14:textId="77777777" w:rsidR="00C87CDA" w:rsidRPr="00BF20CF" w:rsidRDefault="00C87CDA" w:rsidP="00C87CDA">
      <w:pPr>
        <w:pStyle w:val="ListParagraph"/>
        <w:spacing w:before="240" w:after="120" w:line="276" w:lineRule="auto"/>
        <w:ind w:left="994"/>
        <w:rPr>
          <w:rFonts w:ascii="Arial" w:hAnsi="Arial" w:cs="Arial"/>
        </w:rPr>
      </w:pPr>
    </w:p>
    <w:p w14:paraId="73A287A7" w14:textId="77777777" w:rsidR="00C87CDA" w:rsidRPr="00BF20CF" w:rsidRDefault="00C87CDA" w:rsidP="00C87CDA">
      <w:pPr>
        <w:pStyle w:val="ListParagraph"/>
        <w:numPr>
          <w:ilvl w:val="0"/>
          <w:numId w:val="202"/>
        </w:numPr>
        <w:spacing w:before="240" w:after="120" w:line="276" w:lineRule="auto"/>
        <w:ind w:left="994"/>
        <w:rPr>
          <w:rFonts w:ascii="Arial" w:hAnsi="Arial" w:cs="Arial"/>
        </w:rPr>
      </w:pPr>
      <w:r w:rsidRPr="00BF20CF">
        <w:rPr>
          <w:rFonts w:ascii="Arial" w:hAnsi="Arial" w:cs="Arial"/>
        </w:rPr>
        <w:t xml:space="preserve">Please provide supporting calculations for the amounts in column “Prior CCA/ECE” as shown in Table 1 for capital additions. </w:t>
      </w:r>
    </w:p>
    <w:p w14:paraId="3D3AFAB8" w14:textId="77777777" w:rsidR="00C87CDA" w:rsidRPr="00BF20CF" w:rsidRDefault="00C87CDA" w:rsidP="00C87CDA">
      <w:pPr>
        <w:pStyle w:val="ListParagraph"/>
        <w:spacing w:before="240" w:after="120" w:line="276" w:lineRule="auto"/>
        <w:ind w:left="994"/>
        <w:rPr>
          <w:rFonts w:ascii="Arial" w:hAnsi="Arial" w:cs="Arial"/>
        </w:rPr>
      </w:pPr>
    </w:p>
    <w:p w14:paraId="1AB131CC" w14:textId="77777777" w:rsidR="00C87CDA" w:rsidRPr="00BF20CF" w:rsidRDefault="00C87CDA" w:rsidP="00C87CDA">
      <w:pPr>
        <w:pStyle w:val="ListParagraph"/>
        <w:numPr>
          <w:ilvl w:val="0"/>
          <w:numId w:val="202"/>
        </w:numPr>
        <w:spacing w:before="240" w:after="120" w:line="276" w:lineRule="auto"/>
        <w:ind w:left="990"/>
        <w:rPr>
          <w:rFonts w:ascii="Arial" w:hAnsi="Arial" w:cs="Arial"/>
        </w:rPr>
      </w:pPr>
      <w:r w:rsidRPr="00BF20CF">
        <w:rPr>
          <w:rFonts w:ascii="Arial" w:hAnsi="Arial" w:cs="Arial"/>
        </w:rPr>
        <w:t xml:space="preserve">Please confirm if the accelerated CCA calculated agreed with the amounts from Hydro Ottawa’s Tax Returns for 2018 and 2019, if actuals were used. </w:t>
      </w:r>
    </w:p>
    <w:p w14:paraId="1AD0277E" w14:textId="77777777" w:rsidR="00C87CDA" w:rsidRPr="00BF20CF" w:rsidRDefault="00C87CDA" w:rsidP="00C87CDA">
      <w:pPr>
        <w:pStyle w:val="ListParagraph"/>
        <w:spacing w:before="240" w:after="120" w:line="276" w:lineRule="auto"/>
        <w:ind w:left="990"/>
        <w:rPr>
          <w:rFonts w:ascii="Arial" w:hAnsi="Arial" w:cs="Arial"/>
        </w:rPr>
      </w:pPr>
    </w:p>
    <w:p w14:paraId="3E87D215" w14:textId="77777777" w:rsidR="00C87CDA" w:rsidRPr="00BF20CF" w:rsidRDefault="00C87CDA" w:rsidP="00C87CDA">
      <w:pPr>
        <w:pStyle w:val="ListParagraph"/>
        <w:numPr>
          <w:ilvl w:val="0"/>
          <w:numId w:val="202"/>
        </w:numPr>
        <w:spacing w:before="240" w:after="120" w:line="276" w:lineRule="auto"/>
        <w:ind w:left="990"/>
        <w:rPr>
          <w:rFonts w:ascii="Arial" w:hAnsi="Arial" w:cs="Arial"/>
        </w:rPr>
      </w:pPr>
      <w:r w:rsidRPr="00BF20CF">
        <w:rPr>
          <w:rFonts w:ascii="Arial" w:hAnsi="Arial" w:cs="Arial"/>
        </w:rPr>
        <w:t xml:space="preserve">Please explain why Hydro Ottawa is seeking disposition for 2020 balances in the current application. </w:t>
      </w:r>
    </w:p>
    <w:p w14:paraId="7B934A24" w14:textId="77777777" w:rsidR="00C87CDA" w:rsidRPr="00BF20CF" w:rsidRDefault="00C87CDA" w:rsidP="00C87CDA">
      <w:pPr>
        <w:spacing w:before="240" w:after="120" w:line="276" w:lineRule="auto"/>
        <w:rPr>
          <w:rFonts w:ascii="Arial" w:hAnsi="Arial" w:cs="Arial"/>
        </w:rPr>
      </w:pPr>
      <w:r w:rsidRPr="00BF20CF">
        <w:rPr>
          <w:rFonts w:ascii="Arial" w:hAnsi="Arial" w:cs="Arial"/>
        </w:rPr>
        <w:t>New Facilities up to $66 million</w:t>
      </w:r>
    </w:p>
    <w:p w14:paraId="5C90311A" w14:textId="77777777" w:rsidR="00C87CDA" w:rsidRPr="00BF20CF" w:rsidRDefault="00C87CDA" w:rsidP="00C87CDA">
      <w:pPr>
        <w:pStyle w:val="ListParagraph"/>
        <w:numPr>
          <w:ilvl w:val="0"/>
          <w:numId w:val="202"/>
        </w:numPr>
        <w:spacing w:before="240" w:after="120" w:line="276" w:lineRule="auto"/>
        <w:ind w:left="990"/>
        <w:rPr>
          <w:rFonts w:ascii="Arial" w:hAnsi="Arial" w:cs="Arial"/>
        </w:rPr>
      </w:pPr>
      <w:r w:rsidRPr="00BF20CF">
        <w:rPr>
          <w:rFonts w:ascii="Arial" w:hAnsi="Arial" w:cs="Arial"/>
        </w:rPr>
        <w:t xml:space="preserve">Please confirm the New Facilities additions in column (3) titled “cost of acquisition during the year” and column (4) titled “cost of acquisitions from column 3 that are AIIP” in updated Attachments F are based on actuals or estimates for 2019. Please explain why Hydro Ottawa has chosen to use actual or estimates.  </w:t>
      </w:r>
    </w:p>
    <w:p w14:paraId="22B88D30" w14:textId="77777777" w:rsidR="00C87CDA" w:rsidRPr="00BF20CF" w:rsidRDefault="00C87CDA" w:rsidP="00C87CDA">
      <w:pPr>
        <w:pStyle w:val="ListParagraph"/>
        <w:spacing w:before="240" w:after="120" w:line="276" w:lineRule="auto"/>
        <w:ind w:left="990"/>
        <w:rPr>
          <w:rFonts w:ascii="Arial" w:hAnsi="Arial" w:cs="Arial"/>
        </w:rPr>
      </w:pPr>
    </w:p>
    <w:p w14:paraId="1D0D1CA4" w14:textId="77777777" w:rsidR="00C87CDA" w:rsidRPr="00BF20CF" w:rsidRDefault="00C87CDA" w:rsidP="00C87CDA">
      <w:pPr>
        <w:pStyle w:val="ListParagraph"/>
        <w:numPr>
          <w:ilvl w:val="0"/>
          <w:numId w:val="202"/>
        </w:numPr>
        <w:spacing w:before="240" w:after="120" w:line="276" w:lineRule="auto"/>
        <w:ind w:left="990"/>
        <w:rPr>
          <w:rFonts w:ascii="Arial" w:hAnsi="Arial" w:cs="Arial"/>
        </w:rPr>
      </w:pPr>
      <w:r w:rsidRPr="00BF20CF">
        <w:rPr>
          <w:rFonts w:ascii="Arial" w:hAnsi="Arial" w:cs="Arial"/>
        </w:rPr>
        <w:t>The New Facilities up to $66 million includes $51 million of facilities and $15 million of land. The New Facilities addition in column (3) titled “cost of acquisition during the year” shows a balance of $43 million</w:t>
      </w:r>
      <w:r w:rsidRPr="00BF20CF" w:rsidDel="000B0289">
        <w:rPr>
          <w:rFonts w:ascii="Arial" w:hAnsi="Arial" w:cs="Arial"/>
        </w:rPr>
        <w:t xml:space="preserve"> </w:t>
      </w:r>
      <w:r w:rsidRPr="00BF20CF">
        <w:rPr>
          <w:rFonts w:ascii="Arial" w:hAnsi="Arial" w:cs="Arial"/>
        </w:rPr>
        <w:t xml:space="preserve">in </w:t>
      </w:r>
      <w:r w:rsidRPr="00BF20CF">
        <w:rPr>
          <w:rFonts w:ascii="Arial" w:hAnsi="Arial" w:cs="Arial"/>
        </w:rPr>
        <w:lastRenderedPageBreak/>
        <w:t>updated Attachment F for 2019. Please explain what the difference between $51 million and $43 million relates to.</w:t>
      </w:r>
    </w:p>
    <w:p w14:paraId="1B108DE1" w14:textId="77777777" w:rsidR="00C87CDA" w:rsidRPr="00BF20CF" w:rsidRDefault="00C87CDA" w:rsidP="00C87CDA">
      <w:pPr>
        <w:pStyle w:val="ListParagraph"/>
        <w:rPr>
          <w:rFonts w:ascii="Arial" w:hAnsi="Arial" w:cs="Arial"/>
        </w:rPr>
      </w:pPr>
    </w:p>
    <w:p w14:paraId="651FC375" w14:textId="77777777" w:rsidR="00C87CDA" w:rsidRPr="00BF20CF" w:rsidRDefault="00C87CDA" w:rsidP="00C87CDA">
      <w:pPr>
        <w:pStyle w:val="ListParagraph"/>
        <w:numPr>
          <w:ilvl w:val="0"/>
          <w:numId w:val="202"/>
        </w:numPr>
        <w:spacing w:before="240" w:after="120" w:line="276" w:lineRule="auto"/>
        <w:ind w:left="990"/>
        <w:rPr>
          <w:rFonts w:ascii="Arial" w:hAnsi="Arial" w:cs="Arial"/>
        </w:rPr>
      </w:pPr>
      <w:r w:rsidRPr="00BF20CF">
        <w:rPr>
          <w:rFonts w:ascii="Arial" w:hAnsi="Arial" w:cs="Arial"/>
        </w:rPr>
        <w:t>Please explain what criteria were used to determine 40% of new additions in 2019 would qualify for accelerated CCA.</w:t>
      </w:r>
      <w:r w:rsidRPr="00BF20CF">
        <w:rPr>
          <w:rFonts w:ascii="Arial" w:hAnsi="Arial" w:cs="Arial"/>
          <w:bCs/>
        </w:rPr>
        <w:t xml:space="preserve"> </w:t>
      </w:r>
    </w:p>
    <w:p w14:paraId="0E9A4DBA" w14:textId="77777777" w:rsidR="00C87CDA" w:rsidRPr="00BF20CF" w:rsidRDefault="00C87CDA" w:rsidP="00C87CDA">
      <w:pPr>
        <w:pStyle w:val="ListParagraph"/>
      </w:pPr>
    </w:p>
    <w:p w14:paraId="50A49377" w14:textId="77777777" w:rsidR="00C87CDA" w:rsidRPr="00BF20CF" w:rsidRDefault="00C87CDA" w:rsidP="00C87CDA">
      <w:pPr>
        <w:pStyle w:val="ListParagraph"/>
        <w:numPr>
          <w:ilvl w:val="0"/>
          <w:numId w:val="202"/>
        </w:numPr>
        <w:spacing w:before="240" w:after="120" w:line="276" w:lineRule="auto"/>
        <w:ind w:left="990"/>
        <w:rPr>
          <w:rFonts w:ascii="Arial" w:hAnsi="Arial" w:cs="Arial"/>
        </w:rPr>
      </w:pPr>
      <w:r w:rsidRPr="00BF20CF">
        <w:rPr>
          <w:rFonts w:ascii="Arial" w:hAnsi="Arial" w:cs="Arial"/>
        </w:rPr>
        <w:t xml:space="preserve">Please confirm if the accelerated CCA calculated agreed with the amounts from Hydro Ottawa’s Tax Return for 2019, if actuals were used. </w:t>
      </w:r>
    </w:p>
    <w:p w14:paraId="54BA0D3A" w14:textId="77777777" w:rsidR="00C87CDA" w:rsidRPr="00BF20CF" w:rsidRDefault="00C87CDA" w:rsidP="00C87CDA">
      <w:pPr>
        <w:spacing w:before="240" w:after="120" w:line="276" w:lineRule="auto"/>
        <w:rPr>
          <w:rFonts w:ascii="Arial" w:hAnsi="Arial" w:cs="Arial"/>
        </w:rPr>
      </w:pPr>
      <w:r w:rsidRPr="00BF20CF">
        <w:rPr>
          <w:rFonts w:ascii="Arial" w:hAnsi="Arial" w:cs="Arial"/>
        </w:rPr>
        <w:t>New Facilities above $66 million</w:t>
      </w:r>
    </w:p>
    <w:p w14:paraId="009A517A" w14:textId="77777777" w:rsidR="00C87CDA" w:rsidRPr="00BF20CF" w:rsidRDefault="00C87CDA" w:rsidP="00C87CDA">
      <w:pPr>
        <w:pStyle w:val="ListParagraph"/>
        <w:numPr>
          <w:ilvl w:val="0"/>
          <w:numId w:val="202"/>
        </w:numPr>
        <w:spacing w:before="240" w:after="120" w:line="276" w:lineRule="auto"/>
        <w:ind w:left="990"/>
        <w:rPr>
          <w:rFonts w:ascii="Arial" w:hAnsi="Arial" w:cs="Arial"/>
        </w:rPr>
      </w:pPr>
      <w:r w:rsidRPr="00BF20CF">
        <w:rPr>
          <w:rFonts w:ascii="Arial" w:hAnsi="Arial" w:cs="Arial"/>
        </w:rPr>
        <w:t>Please explain why $72 million was recorded in column (3) titled “cost of acquisition during the year” where new addition in 2019 would be no more than $33.5 million.</w:t>
      </w:r>
    </w:p>
    <w:p w14:paraId="3B345BE9" w14:textId="77777777" w:rsidR="00C87CDA" w:rsidRPr="00BF20CF" w:rsidRDefault="00C87CDA" w:rsidP="00C87CDA">
      <w:pPr>
        <w:pStyle w:val="ListParagraph"/>
        <w:spacing w:before="240" w:after="120" w:line="276" w:lineRule="auto"/>
        <w:ind w:left="990"/>
        <w:rPr>
          <w:rFonts w:ascii="Arial" w:hAnsi="Arial" w:cs="Arial"/>
        </w:rPr>
      </w:pPr>
    </w:p>
    <w:p w14:paraId="62B6C206" w14:textId="77777777" w:rsidR="00C87CDA" w:rsidRPr="00BF20CF" w:rsidRDefault="00C87CDA" w:rsidP="00C87CDA">
      <w:pPr>
        <w:pStyle w:val="ListParagraph"/>
        <w:numPr>
          <w:ilvl w:val="0"/>
          <w:numId w:val="202"/>
        </w:numPr>
        <w:spacing w:before="240" w:after="120" w:line="276" w:lineRule="auto"/>
        <w:ind w:left="990"/>
        <w:rPr>
          <w:rFonts w:ascii="Arial" w:hAnsi="Arial" w:cs="Arial"/>
        </w:rPr>
      </w:pPr>
      <w:r w:rsidRPr="00BF20CF">
        <w:rPr>
          <w:rFonts w:ascii="Arial" w:hAnsi="Arial" w:cs="Arial"/>
        </w:rPr>
        <w:t xml:space="preserve">Please confirm the New Facilities additions in column (3) titled “cost of acquisition during the year” and column (4) titled “cost of acquisitions from column 3 that are AIIP” in the updated Attachment G were based on actual or estimates for 2019. </w:t>
      </w:r>
    </w:p>
    <w:p w14:paraId="183E5752" w14:textId="77777777" w:rsidR="00C87CDA" w:rsidRPr="00BF20CF" w:rsidRDefault="00C87CDA" w:rsidP="00C87CDA">
      <w:pPr>
        <w:pStyle w:val="ListParagraph"/>
        <w:spacing w:before="240" w:after="120" w:line="276" w:lineRule="auto"/>
        <w:ind w:left="990"/>
        <w:rPr>
          <w:rFonts w:ascii="Arial" w:hAnsi="Arial" w:cs="Arial"/>
        </w:rPr>
      </w:pPr>
      <w:r w:rsidRPr="00BF20CF">
        <w:rPr>
          <w:rFonts w:ascii="Arial" w:hAnsi="Arial" w:cs="Arial"/>
        </w:rPr>
        <w:t xml:space="preserve">J.1) Please explain why Hydro Ottawa has chosen to use actuals or estimates </w:t>
      </w:r>
    </w:p>
    <w:p w14:paraId="2AA890EC" w14:textId="77777777" w:rsidR="00C87CDA" w:rsidRPr="00BF20CF" w:rsidRDefault="00C87CDA" w:rsidP="00C87CDA">
      <w:pPr>
        <w:pStyle w:val="ListParagraph"/>
        <w:spacing w:before="240" w:after="120" w:line="276" w:lineRule="auto"/>
        <w:ind w:left="990"/>
        <w:rPr>
          <w:rFonts w:ascii="Arial" w:hAnsi="Arial" w:cs="Arial"/>
        </w:rPr>
      </w:pPr>
    </w:p>
    <w:p w14:paraId="1FCC870D" w14:textId="77777777" w:rsidR="00C87CDA" w:rsidRPr="00BF20CF" w:rsidRDefault="00C87CDA" w:rsidP="00C87CDA">
      <w:pPr>
        <w:pStyle w:val="ListParagraph"/>
        <w:spacing w:before="240" w:after="120" w:line="276" w:lineRule="auto"/>
        <w:ind w:left="990"/>
        <w:rPr>
          <w:rFonts w:ascii="Arial" w:hAnsi="Arial" w:cs="Arial"/>
        </w:rPr>
      </w:pPr>
    </w:p>
    <w:p w14:paraId="0465C4FC" w14:textId="77777777" w:rsidR="00C87CDA" w:rsidRPr="00BF20CF" w:rsidRDefault="00C87CDA" w:rsidP="00C87CDA">
      <w:pPr>
        <w:pStyle w:val="ListParagraph"/>
        <w:numPr>
          <w:ilvl w:val="0"/>
          <w:numId w:val="202"/>
        </w:numPr>
        <w:spacing w:before="240" w:after="120" w:line="276" w:lineRule="auto"/>
        <w:ind w:left="990"/>
        <w:rPr>
          <w:rFonts w:ascii="Arial" w:hAnsi="Arial" w:cs="Arial"/>
        </w:rPr>
      </w:pPr>
      <w:r w:rsidRPr="00BF20CF">
        <w:rPr>
          <w:rFonts w:ascii="Arial" w:hAnsi="Arial" w:cs="Arial"/>
        </w:rPr>
        <w:t xml:space="preserve">Please explain what criteria were used to determine </w:t>
      </w:r>
      <w:r w:rsidRPr="00BF20CF">
        <w:rPr>
          <w:rFonts w:ascii="Arial" w:hAnsi="Arial" w:cs="Arial"/>
          <w:bCs/>
        </w:rPr>
        <w:t>40% of new additions in 2019 would qualify for accelerated CCA.</w:t>
      </w:r>
    </w:p>
    <w:p w14:paraId="4F42A10E" w14:textId="77777777" w:rsidR="00C87CDA" w:rsidRPr="00BF20CF" w:rsidRDefault="00C87CDA" w:rsidP="00C87CDA">
      <w:pPr>
        <w:pStyle w:val="ListParagraph"/>
        <w:spacing w:before="240" w:after="120" w:line="276" w:lineRule="auto"/>
        <w:ind w:left="990"/>
        <w:rPr>
          <w:rFonts w:ascii="Arial" w:hAnsi="Arial" w:cs="Arial"/>
        </w:rPr>
      </w:pPr>
    </w:p>
    <w:p w14:paraId="4A29880D" w14:textId="77777777" w:rsidR="00C87CDA" w:rsidRPr="00BF20CF" w:rsidRDefault="00C87CDA" w:rsidP="00C87CDA">
      <w:pPr>
        <w:pStyle w:val="ListParagraph"/>
        <w:numPr>
          <w:ilvl w:val="0"/>
          <w:numId w:val="202"/>
        </w:numPr>
        <w:spacing w:before="240" w:after="120" w:line="276" w:lineRule="auto"/>
        <w:ind w:left="990"/>
        <w:rPr>
          <w:rFonts w:ascii="Arial" w:hAnsi="Arial" w:cs="Arial"/>
        </w:rPr>
      </w:pPr>
      <w:r w:rsidRPr="00BF20CF">
        <w:rPr>
          <w:rFonts w:ascii="Arial" w:hAnsi="Arial" w:cs="Arial"/>
        </w:rPr>
        <w:t xml:space="preserve">Please confirm if the accelerated CCA calculated agreed with Hydro Ottawa’s Tax Return for 2019, if actuals were used. </w:t>
      </w:r>
    </w:p>
    <w:p w14:paraId="36553F21" w14:textId="77777777" w:rsidR="00C87CDA" w:rsidRPr="00BF20CF" w:rsidRDefault="00C87CDA" w:rsidP="00C87CDA">
      <w:pPr>
        <w:pStyle w:val="ListParagraph"/>
        <w:spacing w:before="240" w:after="120" w:line="276" w:lineRule="auto"/>
        <w:ind w:left="990"/>
        <w:rPr>
          <w:rFonts w:ascii="Arial" w:hAnsi="Arial" w:cs="Arial"/>
        </w:rPr>
      </w:pPr>
    </w:p>
    <w:p w14:paraId="7F6397BF" w14:textId="77777777" w:rsidR="00C87CDA" w:rsidRPr="00BF20CF" w:rsidRDefault="00C87CDA" w:rsidP="00C87CDA">
      <w:pPr>
        <w:pStyle w:val="ListParagraph"/>
        <w:numPr>
          <w:ilvl w:val="0"/>
          <w:numId w:val="202"/>
        </w:numPr>
        <w:spacing w:before="240" w:after="120" w:line="276" w:lineRule="auto"/>
        <w:ind w:left="990"/>
        <w:rPr>
          <w:rFonts w:ascii="Arial" w:hAnsi="Arial" w:cs="Arial"/>
        </w:rPr>
      </w:pPr>
      <w:r w:rsidRPr="00BF20CF">
        <w:rPr>
          <w:rFonts w:ascii="Arial" w:hAnsi="Arial" w:cs="Arial"/>
        </w:rPr>
        <w:t xml:space="preserve">Please explain why Hydro Ottawa is seeking disposition for 2020 balances in the current application. </w:t>
      </w:r>
    </w:p>
    <w:p w14:paraId="5D89711F" w14:textId="260716BD" w:rsidR="00C87CDA" w:rsidRPr="00BF20CF" w:rsidRDefault="00C87CDA" w:rsidP="00C87CDA">
      <w:pPr>
        <w:pStyle w:val="StaffHeader"/>
        <w:numPr>
          <w:ilvl w:val="0"/>
          <w:numId w:val="0"/>
        </w:numPr>
        <w:spacing w:before="240"/>
        <w:rPr>
          <w:rFonts w:cs="Arial"/>
          <w:szCs w:val="24"/>
          <w:u w:val="none"/>
        </w:rPr>
      </w:pPr>
      <w:r w:rsidRPr="00BF20CF">
        <w:rPr>
          <w:rFonts w:cs="Arial"/>
          <w:szCs w:val="24"/>
          <w:u w:val="none"/>
        </w:rPr>
        <w:t>9-Staff-17</w:t>
      </w:r>
    </w:p>
    <w:p w14:paraId="44A68708" w14:textId="621D4449" w:rsidR="00C87CDA" w:rsidRPr="00BF20CF" w:rsidRDefault="00C87CDA" w:rsidP="00C87CDA">
      <w:pPr>
        <w:pStyle w:val="NoSpacing"/>
        <w:spacing w:line="276" w:lineRule="auto"/>
        <w:rPr>
          <w:rFonts w:ascii="Arial" w:hAnsi="Arial" w:cs="Arial"/>
          <w:b/>
          <w:sz w:val="24"/>
          <w:szCs w:val="24"/>
        </w:rPr>
      </w:pPr>
      <w:r w:rsidRPr="00BF20CF">
        <w:rPr>
          <w:rFonts w:ascii="Arial" w:hAnsi="Arial" w:cs="Arial"/>
          <w:b/>
          <w:sz w:val="24"/>
          <w:szCs w:val="24"/>
        </w:rPr>
        <w:t>Ref: Exhibit 9/Tab 2/Schedule 1/pp.1-2</w:t>
      </w:r>
    </w:p>
    <w:p w14:paraId="43970BE8"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14B0A07F" w14:textId="77777777" w:rsidR="00C87CDA" w:rsidRPr="00BF20CF" w:rsidRDefault="00C87CDA" w:rsidP="00C87CDA">
      <w:pPr>
        <w:spacing w:before="240" w:after="120" w:line="276" w:lineRule="auto"/>
        <w:rPr>
          <w:rFonts w:ascii="Arial" w:hAnsi="Arial" w:cs="Arial"/>
        </w:rPr>
      </w:pPr>
      <w:r w:rsidRPr="00BF20CF">
        <w:rPr>
          <w:rFonts w:ascii="Arial" w:hAnsi="Arial" w:cs="Arial"/>
        </w:rPr>
        <w:t xml:space="preserve">As part of Hydro Ottawa’s 2016-2020 application, $5 million of CCRA payments to HONI were estimated per year. During the adjudication process of Hydro Ottawa’s 2016-2020 application, it was agreed to move the CCRA payments out </w:t>
      </w:r>
      <w:r w:rsidRPr="00BF20CF">
        <w:rPr>
          <w:rFonts w:ascii="Arial" w:hAnsi="Arial" w:cs="Arial"/>
        </w:rPr>
        <w:lastRenderedPageBreak/>
        <w:t>of the proposed revenue requirement. As a result, Sub-account 1508 CCRA was established in the Accounting Order from 2016 -2020 Custom IR</w:t>
      </w:r>
      <w:r w:rsidRPr="00BF20CF">
        <w:rPr>
          <w:rStyle w:val="FootnoteReference"/>
          <w:rFonts w:ascii="Arial" w:hAnsi="Arial" w:cs="Arial"/>
        </w:rPr>
        <w:footnoteReference w:id="39"/>
      </w:r>
      <w:r w:rsidRPr="00BF20CF">
        <w:rPr>
          <w:rFonts w:ascii="Arial" w:hAnsi="Arial" w:cs="Arial"/>
        </w:rPr>
        <w:t xml:space="preserve"> to record the revenue requirement impact of CCRA payment made to Hydro One commencing in the year in which the facilities to which each CCRA payment relates provide services to Hydro Ottawa customers. </w:t>
      </w:r>
    </w:p>
    <w:p w14:paraId="5709DA1D"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 xml:space="preserve">In the current application, Hydro Ottawa requests a modification to the account that, as of January 1, 2021, the CCRA account include both new and true-up payments and functions as a symmetrical account to collect or refund the differences for CCRA payments between what Hydro Ottawa has forecasted and what is actually paid for both new and true-up CCRA payments. </w:t>
      </w:r>
    </w:p>
    <w:p w14:paraId="41579E55" w14:textId="3EA7DA13" w:rsidR="00C87CDA" w:rsidRPr="00BF20CF" w:rsidRDefault="00C87CDA" w:rsidP="00BF20CF">
      <w:pPr>
        <w:autoSpaceDE w:val="0"/>
        <w:autoSpaceDN w:val="0"/>
        <w:adjustRightInd w:val="0"/>
        <w:spacing w:before="240" w:after="120" w:line="276" w:lineRule="auto"/>
        <w:rPr>
          <w:rFonts w:ascii="Arial" w:hAnsi="Arial" w:cs="Arial"/>
          <w:bCs/>
        </w:rPr>
      </w:pPr>
      <w:r w:rsidRPr="00BF20CF">
        <w:rPr>
          <w:rFonts w:ascii="Arial" w:hAnsi="Arial" w:cs="Arial"/>
          <w:bCs/>
        </w:rPr>
        <w:t>Question(s):</w:t>
      </w:r>
    </w:p>
    <w:p w14:paraId="5961E99C" w14:textId="77777777" w:rsidR="00C87CDA" w:rsidRPr="00BF20CF" w:rsidRDefault="00C87CDA" w:rsidP="00C87CDA">
      <w:pPr>
        <w:pStyle w:val="ListParagraph"/>
        <w:numPr>
          <w:ilvl w:val="0"/>
          <w:numId w:val="224"/>
        </w:numPr>
        <w:spacing w:before="240" w:after="120" w:line="276" w:lineRule="auto"/>
        <w:rPr>
          <w:rFonts w:ascii="Arial" w:hAnsi="Arial" w:cs="Arial"/>
        </w:rPr>
      </w:pPr>
      <w:r w:rsidRPr="00BF20CF">
        <w:rPr>
          <w:rFonts w:ascii="Arial" w:hAnsi="Arial" w:cs="Arial"/>
        </w:rPr>
        <w:t xml:space="preserve">Please explain the impacts of the requested modification on Hydro Ottawa and Hydro Ottawa’s ratepayers. </w:t>
      </w:r>
    </w:p>
    <w:p w14:paraId="1C4BF17F" w14:textId="77777777" w:rsidR="00C87CDA" w:rsidRPr="00BF20CF" w:rsidRDefault="00C87CDA" w:rsidP="00C87CDA">
      <w:pPr>
        <w:pStyle w:val="ListParagraph"/>
        <w:spacing w:before="240" w:after="120" w:line="276" w:lineRule="auto"/>
        <w:rPr>
          <w:rFonts w:ascii="Arial" w:hAnsi="Arial" w:cs="Arial"/>
        </w:rPr>
      </w:pPr>
    </w:p>
    <w:p w14:paraId="287C573A" w14:textId="77777777" w:rsidR="00C87CDA" w:rsidRPr="00BF20CF" w:rsidRDefault="00C87CDA" w:rsidP="00C87CDA">
      <w:pPr>
        <w:pStyle w:val="ListParagraph"/>
        <w:numPr>
          <w:ilvl w:val="0"/>
          <w:numId w:val="224"/>
        </w:numPr>
        <w:spacing w:before="240" w:after="120" w:line="276" w:lineRule="auto"/>
        <w:rPr>
          <w:rFonts w:ascii="Arial" w:hAnsi="Arial" w:cs="Arial"/>
        </w:rPr>
      </w:pPr>
      <w:r w:rsidRPr="00BF20CF">
        <w:rPr>
          <w:rFonts w:ascii="Arial" w:hAnsi="Arial" w:cs="Arial"/>
        </w:rPr>
        <w:t xml:space="preserve">Please explain if the differences between forecast and actual </w:t>
      </w:r>
      <w:r w:rsidRPr="00BF20CF">
        <w:rPr>
          <w:rFonts w:ascii="Arial" w:eastAsia="Times New Roman" w:hAnsi="Arial" w:cs="Arial"/>
          <w:bCs/>
        </w:rPr>
        <w:t xml:space="preserve">new and true-up </w:t>
      </w:r>
      <w:r w:rsidRPr="00BF20CF">
        <w:rPr>
          <w:rFonts w:ascii="Arial" w:hAnsi="Arial" w:cs="Arial"/>
        </w:rPr>
        <w:t xml:space="preserve">CCRA payments will substantially offset during the period of 2021 to 2025. </w:t>
      </w:r>
    </w:p>
    <w:p w14:paraId="055A03F2" w14:textId="30B80D23" w:rsidR="00C87CDA" w:rsidRPr="00BF20CF" w:rsidRDefault="00C87CDA" w:rsidP="00C87CDA">
      <w:pPr>
        <w:pStyle w:val="StaffHeader"/>
        <w:numPr>
          <w:ilvl w:val="0"/>
          <w:numId w:val="0"/>
        </w:numPr>
        <w:spacing w:before="240"/>
        <w:rPr>
          <w:rFonts w:cs="Arial"/>
          <w:szCs w:val="24"/>
          <w:u w:val="none"/>
        </w:rPr>
      </w:pPr>
      <w:r w:rsidRPr="00BF20CF">
        <w:rPr>
          <w:rFonts w:cs="Arial"/>
          <w:szCs w:val="24"/>
          <w:u w:val="none"/>
        </w:rPr>
        <w:t>9-Staff-18</w:t>
      </w:r>
    </w:p>
    <w:p w14:paraId="71DD6634" w14:textId="77777777" w:rsidR="00C87CDA" w:rsidRPr="00BF20CF" w:rsidRDefault="00C87CDA" w:rsidP="00C87CDA">
      <w:pPr>
        <w:pStyle w:val="NoSpacing"/>
        <w:spacing w:line="276" w:lineRule="auto"/>
        <w:rPr>
          <w:rFonts w:ascii="Arial" w:hAnsi="Arial" w:cs="Arial"/>
          <w:b/>
          <w:sz w:val="24"/>
          <w:szCs w:val="24"/>
        </w:rPr>
      </w:pPr>
      <w:r w:rsidRPr="00BF20CF">
        <w:rPr>
          <w:rFonts w:ascii="Arial" w:hAnsi="Arial" w:cs="Arial"/>
          <w:b/>
          <w:sz w:val="24"/>
          <w:szCs w:val="24"/>
        </w:rPr>
        <w:t xml:space="preserve">Ref: Exhibit 9/Tab 2/Schedule 1/pp. 3-5 </w:t>
      </w:r>
    </w:p>
    <w:p w14:paraId="55A6CED4" w14:textId="77777777" w:rsidR="00C87CDA" w:rsidRPr="00BF20CF" w:rsidRDefault="00C87CDA" w:rsidP="00C87CDA">
      <w:pPr>
        <w:autoSpaceDE w:val="0"/>
        <w:autoSpaceDN w:val="0"/>
        <w:adjustRightInd w:val="0"/>
        <w:spacing w:before="240" w:after="120" w:line="276" w:lineRule="auto"/>
        <w:rPr>
          <w:rFonts w:ascii="Arial" w:hAnsi="Arial" w:cs="Arial"/>
          <w:bCs/>
        </w:rPr>
      </w:pPr>
      <w:r w:rsidRPr="00BF20CF">
        <w:rPr>
          <w:rFonts w:ascii="Arial" w:hAnsi="Arial" w:cs="Arial"/>
          <w:bCs/>
        </w:rPr>
        <w:t>Preamble:</w:t>
      </w:r>
    </w:p>
    <w:p w14:paraId="7B597141" w14:textId="77777777" w:rsidR="00C87CDA" w:rsidRPr="00BF20CF" w:rsidRDefault="00C87CDA" w:rsidP="00C87CDA">
      <w:pPr>
        <w:spacing w:before="240" w:after="120" w:line="276" w:lineRule="auto"/>
        <w:rPr>
          <w:rFonts w:ascii="Arial" w:hAnsi="Arial" w:cs="Arial"/>
          <w:bCs/>
        </w:rPr>
      </w:pPr>
      <w:r w:rsidRPr="00BF20CF">
        <w:rPr>
          <w:rFonts w:ascii="Arial" w:hAnsi="Arial" w:cs="Arial"/>
          <w:bCs/>
        </w:rPr>
        <w:t xml:space="preserve">Sub-account 1508 Capital Additions was established in the Accounting Order from 2016-2020 Custom IR to track revenue requirement resulting from underspending in Hydro Ottawa’s three capital spending categories: System renewal/System service, System access and General plant. </w:t>
      </w:r>
    </w:p>
    <w:p w14:paraId="315ACD70" w14:textId="77777777" w:rsidR="00C87CDA" w:rsidRPr="00BF20CF" w:rsidRDefault="00C87CDA" w:rsidP="00C87CDA">
      <w:pPr>
        <w:spacing w:before="240" w:after="120" w:line="276" w:lineRule="auto"/>
        <w:rPr>
          <w:rFonts w:ascii="Arial" w:hAnsi="Arial" w:cs="Arial"/>
          <w:bCs/>
        </w:rPr>
      </w:pPr>
      <w:r w:rsidRPr="00BF20CF">
        <w:rPr>
          <w:rFonts w:ascii="Arial" w:hAnsi="Arial" w:cs="Arial"/>
          <w:bCs/>
        </w:rPr>
        <w:t>For the period of 2016 to 2018, no amount was recorded as a result of overspending than forecast. Hydro Ottawa will update 2019 actual later in the proceeding.</w:t>
      </w:r>
    </w:p>
    <w:p w14:paraId="0388213A" w14:textId="77777777" w:rsidR="00C87CDA" w:rsidRPr="00BF20CF" w:rsidRDefault="00C87CDA" w:rsidP="00C87CDA">
      <w:pPr>
        <w:spacing w:before="240" w:after="120" w:line="276" w:lineRule="auto"/>
        <w:rPr>
          <w:rFonts w:ascii="Arial" w:hAnsi="Arial" w:cs="Arial"/>
          <w:bCs/>
        </w:rPr>
      </w:pPr>
      <w:r w:rsidRPr="00BF20CF">
        <w:rPr>
          <w:rFonts w:ascii="Arial" w:hAnsi="Arial" w:cs="Arial"/>
          <w:bCs/>
        </w:rPr>
        <w:t xml:space="preserve">In the current application, Hydro Ottawa is requesting to split System Access capital additions into a separate sub-account. The sub-account 1508 System Access Capital Additions will be a symmetrical account to record the revenue </w:t>
      </w:r>
      <w:r w:rsidRPr="00BF20CF">
        <w:rPr>
          <w:rFonts w:ascii="Arial" w:hAnsi="Arial" w:cs="Arial"/>
          <w:bCs/>
        </w:rPr>
        <w:lastRenderedPageBreak/>
        <w:t xml:space="preserve">requirement related to overspending or underspending in the System Access category for 2021-2025. </w:t>
      </w:r>
    </w:p>
    <w:p w14:paraId="186F51E4" w14:textId="77777777" w:rsidR="00C87CDA" w:rsidRPr="00BF20CF" w:rsidRDefault="00C87CDA" w:rsidP="00C87CDA">
      <w:pPr>
        <w:spacing w:before="240" w:after="120" w:line="276" w:lineRule="auto"/>
        <w:rPr>
          <w:rFonts w:ascii="Arial" w:hAnsi="Arial" w:cs="Arial"/>
          <w:bCs/>
        </w:rPr>
      </w:pPr>
      <w:r w:rsidRPr="00BF20CF">
        <w:rPr>
          <w:rFonts w:ascii="Arial" w:hAnsi="Arial" w:cs="Arial"/>
          <w:bCs/>
        </w:rPr>
        <w:t xml:space="preserve">Hydro Ottawa drew a similar comparison of the proposed System Access capital additions sub-account to the Externally Driven Capital variance account approved in </w:t>
      </w:r>
      <w:r w:rsidRPr="00BF20CF">
        <w:rPr>
          <w:rFonts w:ascii="Arial" w:hAnsi="Arial" w:cs="Arial"/>
        </w:rPr>
        <w:t>Toronto Hydro</w:t>
      </w:r>
      <w:r w:rsidRPr="00BF20CF">
        <w:rPr>
          <w:rFonts w:ascii="Arial" w:hAnsi="Arial" w:cs="Arial"/>
          <w:bCs/>
        </w:rPr>
        <w:t>’s 2015-2019</w:t>
      </w:r>
      <w:r w:rsidRPr="00BF20CF">
        <w:rPr>
          <w:rStyle w:val="FootnoteReference"/>
          <w:rFonts w:ascii="Arial" w:hAnsi="Arial" w:cs="Arial"/>
          <w:bCs/>
        </w:rPr>
        <w:footnoteReference w:id="40"/>
      </w:r>
      <w:r w:rsidRPr="00BF20CF">
        <w:rPr>
          <w:rFonts w:ascii="Arial" w:hAnsi="Arial" w:cs="Arial"/>
          <w:bCs/>
        </w:rPr>
        <w:t xml:space="preserve"> and 2020-2024</w:t>
      </w:r>
      <w:r w:rsidRPr="00BF20CF">
        <w:rPr>
          <w:rStyle w:val="FootnoteReference"/>
          <w:rFonts w:ascii="Arial" w:hAnsi="Arial" w:cs="Arial"/>
          <w:bCs/>
        </w:rPr>
        <w:footnoteReference w:id="41"/>
      </w:r>
      <w:r w:rsidRPr="00BF20CF">
        <w:rPr>
          <w:rFonts w:ascii="Arial" w:hAnsi="Arial" w:cs="Arial"/>
          <w:bCs/>
        </w:rPr>
        <w:t xml:space="preserve"> rate applications. </w:t>
      </w:r>
    </w:p>
    <w:p w14:paraId="01A54490" w14:textId="77777777" w:rsidR="00C87CDA" w:rsidRPr="00BF20CF" w:rsidRDefault="00C87CDA" w:rsidP="00C87CDA">
      <w:pPr>
        <w:spacing w:before="240" w:after="120" w:line="276" w:lineRule="auto"/>
        <w:rPr>
          <w:rFonts w:ascii="Arial" w:hAnsi="Arial" w:cs="Arial"/>
          <w:bCs/>
        </w:rPr>
      </w:pPr>
      <w:r w:rsidRPr="00BF20CF">
        <w:rPr>
          <w:rFonts w:ascii="Arial" w:hAnsi="Arial" w:cs="Arial"/>
          <w:bCs/>
        </w:rPr>
        <w:t xml:space="preserve">In </w:t>
      </w:r>
      <w:r w:rsidRPr="00BF20CF">
        <w:rPr>
          <w:rFonts w:ascii="Arial" w:hAnsi="Arial" w:cs="Arial"/>
        </w:rPr>
        <w:t>Toronto Hydro’s application</w:t>
      </w:r>
      <w:r w:rsidRPr="00BF20CF">
        <w:rPr>
          <w:rFonts w:ascii="Arial" w:hAnsi="Arial" w:cs="Arial"/>
          <w:bCs/>
        </w:rPr>
        <w:t xml:space="preserve">, </w:t>
      </w:r>
      <w:r w:rsidRPr="00BF20CF">
        <w:rPr>
          <w:rFonts w:ascii="Arial" w:hAnsi="Arial" w:cs="Arial"/>
        </w:rPr>
        <w:t>Toronto Hydro proposes</w:t>
      </w:r>
      <w:r w:rsidRPr="00BF20CF">
        <w:rPr>
          <w:rFonts w:ascii="Arial" w:hAnsi="Arial" w:cs="Arial"/>
          <w:bCs/>
        </w:rPr>
        <w:t xml:space="preserve"> to only include spend for relocation and expansion work that is currently committed in its Distribution System Plan (DSP) for the 2020-2024 period (e.g. </w:t>
      </w:r>
      <w:proofErr w:type="spellStart"/>
      <w:r w:rsidRPr="00BF20CF">
        <w:rPr>
          <w:rFonts w:ascii="Arial" w:hAnsi="Arial" w:cs="Arial"/>
          <w:bCs/>
        </w:rPr>
        <w:t>Metrolinx</w:t>
      </w:r>
      <w:proofErr w:type="spellEnd"/>
      <w:r w:rsidRPr="00BF20CF">
        <w:rPr>
          <w:rFonts w:ascii="Arial" w:hAnsi="Arial" w:cs="Arial"/>
          <w:bCs/>
        </w:rPr>
        <w:t xml:space="preserve"> </w:t>
      </w:r>
      <w:proofErr w:type="spellStart"/>
      <w:r w:rsidRPr="00BF20CF">
        <w:rPr>
          <w:rFonts w:ascii="Arial" w:hAnsi="Arial" w:cs="Arial"/>
          <w:bCs/>
        </w:rPr>
        <w:t>Eglinton</w:t>
      </w:r>
      <w:proofErr w:type="spellEnd"/>
      <w:r w:rsidRPr="00BF20CF">
        <w:rPr>
          <w:rFonts w:ascii="Arial" w:hAnsi="Arial" w:cs="Arial"/>
          <w:bCs/>
        </w:rPr>
        <w:t xml:space="preserve"> Crosstown 18 LRT and </w:t>
      </w:r>
      <w:proofErr w:type="spellStart"/>
      <w:r w:rsidRPr="00BF20CF">
        <w:rPr>
          <w:rFonts w:ascii="Arial" w:hAnsi="Arial" w:cs="Arial"/>
          <w:bCs/>
        </w:rPr>
        <w:t>Metrolinx</w:t>
      </w:r>
      <w:proofErr w:type="spellEnd"/>
      <w:r w:rsidRPr="00BF20CF">
        <w:rPr>
          <w:rFonts w:ascii="Arial" w:hAnsi="Arial" w:cs="Arial"/>
          <w:bCs/>
        </w:rPr>
        <w:t xml:space="preserve"> Finch LRT)</w:t>
      </w:r>
      <w:r w:rsidRPr="00BF20CF">
        <w:t xml:space="preserve"> </w:t>
      </w:r>
      <w:r w:rsidRPr="00BF20CF">
        <w:rPr>
          <w:rStyle w:val="FootnoteReference"/>
          <w:rFonts w:ascii="Arial" w:hAnsi="Arial" w:cs="Arial"/>
          <w:bCs/>
        </w:rPr>
        <w:footnoteReference w:id="42"/>
      </w:r>
      <w:r w:rsidRPr="00BF20CF">
        <w:rPr>
          <w:rFonts w:ascii="Arial" w:hAnsi="Arial" w:cs="Arial"/>
          <w:bCs/>
        </w:rPr>
        <w:t xml:space="preserve"> in its Externally Driven Capital variance account. </w:t>
      </w:r>
    </w:p>
    <w:p w14:paraId="3C440CA6" w14:textId="77777777" w:rsidR="00C87CDA" w:rsidRPr="00BF20CF" w:rsidRDefault="00C87CDA" w:rsidP="00C87CDA">
      <w:pPr>
        <w:spacing w:before="240" w:after="120" w:line="276" w:lineRule="auto"/>
        <w:rPr>
          <w:rFonts w:ascii="Arial" w:hAnsi="Arial" w:cs="Arial"/>
          <w:bCs/>
        </w:rPr>
      </w:pPr>
      <w:r w:rsidRPr="00BF20CF">
        <w:rPr>
          <w:rFonts w:ascii="Arial" w:hAnsi="Arial" w:cs="Arial"/>
          <w:bCs/>
        </w:rPr>
        <w:t xml:space="preserve">The methodology for sub-account 1508 Capital Addition (excluding System Access) is consistent with what was approved in 2016 Custom IR and will continue to be an asymmetrical account where overspending or earlier spending will not result in recovery from customers during the 2021- 2025 period. </w:t>
      </w:r>
    </w:p>
    <w:p w14:paraId="11B27D57" w14:textId="77777777" w:rsidR="00C87CDA" w:rsidRPr="00BF20CF" w:rsidRDefault="00C87CDA" w:rsidP="00C87CDA">
      <w:pPr>
        <w:spacing w:before="240" w:after="120" w:line="276" w:lineRule="auto"/>
        <w:rPr>
          <w:rFonts w:ascii="Arial" w:hAnsi="Arial" w:cs="Arial"/>
          <w:b/>
        </w:rPr>
      </w:pPr>
      <w:r w:rsidRPr="00BF20CF">
        <w:rPr>
          <w:rFonts w:ascii="Arial" w:hAnsi="Arial" w:cs="Arial"/>
        </w:rPr>
        <w:t xml:space="preserve">Question(s): </w:t>
      </w:r>
    </w:p>
    <w:p w14:paraId="077F4063" w14:textId="77777777" w:rsidR="00C87CDA" w:rsidRPr="00BF20CF" w:rsidRDefault="00C87CDA" w:rsidP="00C87CDA">
      <w:pPr>
        <w:pStyle w:val="ListParagraph"/>
        <w:numPr>
          <w:ilvl w:val="0"/>
          <w:numId w:val="225"/>
        </w:numPr>
        <w:spacing w:before="240" w:after="120" w:line="276" w:lineRule="auto"/>
        <w:rPr>
          <w:rFonts w:ascii="Arial" w:hAnsi="Arial" w:cs="Arial"/>
        </w:rPr>
      </w:pPr>
      <w:r w:rsidRPr="00BF20CF">
        <w:rPr>
          <w:rFonts w:ascii="Arial" w:hAnsi="Arial" w:cs="Arial"/>
        </w:rPr>
        <w:t xml:space="preserve">Please explain the impacts of the requested modifications on Hydro Ottawa and Hydro Ottawa’s ratepayers.  </w:t>
      </w:r>
    </w:p>
    <w:p w14:paraId="37D5B7E8" w14:textId="77777777" w:rsidR="00C87CDA" w:rsidRPr="00BF20CF" w:rsidRDefault="00C87CDA" w:rsidP="00C87CDA">
      <w:pPr>
        <w:pStyle w:val="ListParagraph"/>
        <w:spacing w:before="240" w:after="120" w:line="276" w:lineRule="auto"/>
        <w:rPr>
          <w:rFonts w:ascii="Arial" w:hAnsi="Arial" w:cs="Arial"/>
        </w:rPr>
      </w:pPr>
    </w:p>
    <w:p w14:paraId="1CFD23FD" w14:textId="77777777" w:rsidR="00C87CDA" w:rsidRPr="00BF20CF" w:rsidRDefault="00C87CDA" w:rsidP="00C87CDA">
      <w:pPr>
        <w:pStyle w:val="ListParagraph"/>
        <w:numPr>
          <w:ilvl w:val="0"/>
          <w:numId w:val="225"/>
        </w:numPr>
        <w:spacing w:before="240" w:after="120" w:line="276" w:lineRule="auto"/>
        <w:rPr>
          <w:rFonts w:ascii="Arial" w:hAnsi="Arial" w:cs="Arial"/>
        </w:rPr>
      </w:pPr>
      <w:r w:rsidRPr="00BF20CF">
        <w:rPr>
          <w:rFonts w:ascii="Arial" w:hAnsi="Arial" w:cs="Arial"/>
        </w:rPr>
        <w:t xml:space="preserve">Please explain how the modifications of the account meets the materiality and prudence criteria. </w:t>
      </w:r>
    </w:p>
    <w:p w14:paraId="365A592F" w14:textId="77777777" w:rsidR="00C87CDA" w:rsidRPr="00BF20CF" w:rsidRDefault="00C87CDA" w:rsidP="00C87CDA">
      <w:pPr>
        <w:pStyle w:val="ListParagraph"/>
        <w:spacing w:before="240" w:after="120" w:line="276" w:lineRule="auto"/>
        <w:rPr>
          <w:rFonts w:ascii="Arial" w:hAnsi="Arial" w:cs="Arial"/>
        </w:rPr>
      </w:pPr>
    </w:p>
    <w:p w14:paraId="7058240C" w14:textId="02083982" w:rsidR="00C87CDA" w:rsidRPr="00BF20CF" w:rsidRDefault="00C87CDA" w:rsidP="00C87CDA">
      <w:pPr>
        <w:pStyle w:val="ListParagraph"/>
        <w:numPr>
          <w:ilvl w:val="0"/>
          <w:numId w:val="225"/>
        </w:numPr>
        <w:spacing w:before="240" w:after="120" w:line="276" w:lineRule="auto"/>
        <w:rPr>
          <w:rFonts w:ascii="Arial" w:hAnsi="Arial" w:cs="Arial"/>
        </w:rPr>
      </w:pPr>
      <w:r w:rsidRPr="00BF20CF">
        <w:rPr>
          <w:rFonts w:ascii="Arial" w:hAnsi="Arial" w:cs="Arial"/>
        </w:rPr>
        <w:t>Given that Toronto Hydro only captured investments on the externally initiated plant relocation and expansion program in the approved Externally Driven Capital Variance account, please explain why it is appropriate for Hydro Ottawa to capture all investments under System Access in the proposed sub-account, including customer requests for new connections.</w:t>
      </w:r>
    </w:p>
    <w:sectPr w:rsidR="00C87CDA" w:rsidRPr="00BF20CF">
      <w:headerReference w:type="default" r:id="rId62"/>
      <w:footerReference w:type="default" r:id="rId6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0D0CE" w14:textId="77777777" w:rsidR="00BF20CF" w:rsidRDefault="00BF20CF" w:rsidP="004F724F">
      <w:r>
        <w:separator/>
      </w:r>
    </w:p>
  </w:endnote>
  <w:endnote w:type="continuationSeparator" w:id="0">
    <w:p w14:paraId="1232C475" w14:textId="77777777" w:rsidR="00BF20CF" w:rsidRDefault="00BF20CF" w:rsidP="004F724F">
      <w:r>
        <w:continuationSeparator/>
      </w:r>
    </w:p>
  </w:endnote>
  <w:endnote w:type="continuationNotice" w:id="1">
    <w:p w14:paraId="7168EE66" w14:textId="77777777" w:rsidR="00BF20CF" w:rsidRDefault="00BF20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AEE86" w14:textId="00151617" w:rsidR="00BF20CF" w:rsidRDefault="00BF20CF">
    <w:pPr>
      <w:pStyle w:val="Footer"/>
      <w:jc w:val="center"/>
    </w:pPr>
    <w:r>
      <w:fldChar w:fldCharType="begin"/>
    </w:r>
    <w:r>
      <w:instrText xml:space="preserve"> PAGE   \* MERGEFORMAT </w:instrText>
    </w:r>
    <w:r>
      <w:fldChar w:fldCharType="separate"/>
    </w:r>
    <w:r w:rsidR="00637CD5">
      <w:rPr>
        <w:noProof/>
      </w:rPr>
      <w:t>51</w:t>
    </w:r>
    <w:r>
      <w:rPr>
        <w:noProof/>
      </w:rPr>
      <w:fldChar w:fldCharType="end"/>
    </w:r>
  </w:p>
  <w:p w14:paraId="3C0D6545" w14:textId="77777777" w:rsidR="00BF20CF" w:rsidRDefault="00BF2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99C9B" w14:textId="77777777" w:rsidR="00BF20CF" w:rsidRDefault="00BF20CF" w:rsidP="004F724F">
      <w:r>
        <w:separator/>
      </w:r>
    </w:p>
  </w:footnote>
  <w:footnote w:type="continuationSeparator" w:id="0">
    <w:p w14:paraId="0513DADF" w14:textId="77777777" w:rsidR="00BF20CF" w:rsidRDefault="00BF20CF" w:rsidP="004F724F">
      <w:r>
        <w:continuationSeparator/>
      </w:r>
    </w:p>
  </w:footnote>
  <w:footnote w:type="continuationNotice" w:id="1">
    <w:p w14:paraId="1F580C03" w14:textId="77777777" w:rsidR="00BF20CF" w:rsidRDefault="00BF20CF"/>
  </w:footnote>
  <w:footnote w:id="2">
    <w:p w14:paraId="6FCD731A" w14:textId="77777777" w:rsidR="00BF20CF" w:rsidRPr="00F25870" w:rsidRDefault="00BF20CF" w:rsidP="007509C7">
      <w:pPr>
        <w:pStyle w:val="FootnoteText"/>
        <w:rPr>
          <w:rFonts w:ascii="Arial" w:hAnsi="Arial" w:cs="Arial"/>
          <w:sz w:val="20"/>
        </w:rPr>
      </w:pPr>
      <w:r w:rsidRPr="009D5E4A">
        <w:rPr>
          <w:rStyle w:val="FootnoteReference"/>
          <w:rFonts w:ascii="Arial" w:hAnsi="Arial" w:cs="Arial"/>
          <w:sz w:val="20"/>
        </w:rPr>
        <w:footnoteRef/>
      </w:r>
      <w:r w:rsidRPr="00F25870">
        <w:rPr>
          <w:rFonts w:ascii="Arial" w:hAnsi="Arial" w:cs="Arial"/>
          <w:sz w:val="20"/>
        </w:rPr>
        <w:t xml:space="preserve"> EB-2015-0019</w:t>
      </w:r>
    </w:p>
  </w:footnote>
  <w:footnote w:id="3">
    <w:p w14:paraId="37C5AD06" w14:textId="77777777" w:rsidR="00BF20CF" w:rsidRPr="00F25870" w:rsidRDefault="00BF20CF" w:rsidP="007509C7">
      <w:pPr>
        <w:pStyle w:val="FootnoteText"/>
        <w:rPr>
          <w:rFonts w:ascii="Arial" w:hAnsi="Arial" w:cs="Arial"/>
          <w:sz w:val="20"/>
        </w:rPr>
      </w:pPr>
      <w:r w:rsidRPr="00F25870">
        <w:rPr>
          <w:rStyle w:val="FootnoteReference"/>
          <w:rFonts w:ascii="Arial" w:hAnsi="Arial" w:cs="Arial"/>
          <w:sz w:val="20"/>
        </w:rPr>
        <w:footnoteRef/>
      </w:r>
      <w:r w:rsidRPr="00F25870">
        <w:rPr>
          <w:rFonts w:ascii="Arial" w:hAnsi="Arial" w:cs="Arial"/>
          <w:sz w:val="20"/>
        </w:rPr>
        <w:t xml:space="preserve"> </w:t>
      </w:r>
      <w:hyperlink r:id="rId1" w:history="1">
        <w:r w:rsidRPr="00F25870">
          <w:rPr>
            <w:rStyle w:val="Hyperlink"/>
            <w:rFonts w:ascii="Arial" w:hAnsi="Arial" w:cs="Arial"/>
            <w:sz w:val="20"/>
          </w:rPr>
          <w:t>https://www.oeb.ca/industry/rules-codes-and-requirements/performance-assessment</w:t>
        </w:r>
      </w:hyperlink>
    </w:p>
  </w:footnote>
  <w:footnote w:id="4">
    <w:p w14:paraId="358B8D55" w14:textId="77777777" w:rsidR="00BF20CF" w:rsidRPr="00F25870" w:rsidRDefault="00BF20CF" w:rsidP="007509C7">
      <w:pPr>
        <w:pStyle w:val="FootnoteText"/>
        <w:rPr>
          <w:rFonts w:ascii="Arial" w:hAnsi="Arial" w:cs="Arial"/>
          <w:sz w:val="20"/>
        </w:rPr>
      </w:pPr>
      <w:r w:rsidRPr="00F25870">
        <w:rPr>
          <w:rStyle w:val="FootnoteReference"/>
          <w:rFonts w:ascii="Arial" w:hAnsi="Arial" w:cs="Arial"/>
          <w:sz w:val="20"/>
        </w:rPr>
        <w:footnoteRef/>
      </w:r>
      <w:r w:rsidRPr="00F25870">
        <w:rPr>
          <w:rFonts w:ascii="Arial" w:hAnsi="Arial" w:cs="Arial"/>
          <w:sz w:val="20"/>
        </w:rPr>
        <w:t xml:space="preserve"> </w:t>
      </w:r>
      <w:hyperlink r:id="rId2" w:history="1">
        <w:r w:rsidRPr="00F25870">
          <w:rPr>
            <w:rStyle w:val="Hyperlink"/>
            <w:rFonts w:ascii="Arial" w:hAnsi="Arial" w:cs="Arial"/>
            <w:i/>
            <w:sz w:val="20"/>
          </w:rPr>
          <w:t>FORTISBC Inc. Multi-Year Performance Based Ratemaking Plan For 2014 Through 2018, Decision</w:t>
        </w:r>
        <w:r w:rsidRPr="00F25870">
          <w:rPr>
            <w:rStyle w:val="Hyperlink"/>
            <w:rFonts w:ascii="Arial" w:hAnsi="Arial" w:cs="Arial"/>
            <w:sz w:val="20"/>
          </w:rPr>
          <w:t>, September 15, 2014</w:t>
        </w:r>
      </w:hyperlink>
      <w:r w:rsidRPr="00F25870">
        <w:rPr>
          <w:rFonts w:ascii="Arial" w:hAnsi="Arial" w:cs="Arial"/>
          <w:sz w:val="20"/>
        </w:rPr>
        <w:t xml:space="preserve">, p. 32 </w:t>
      </w:r>
    </w:p>
  </w:footnote>
  <w:footnote w:id="5">
    <w:p w14:paraId="45B9BAAA" w14:textId="77777777" w:rsidR="00BF20CF" w:rsidRPr="00F25870" w:rsidRDefault="00BF20CF" w:rsidP="000E7D3E">
      <w:pPr>
        <w:pStyle w:val="FootnoteText"/>
        <w:rPr>
          <w:rFonts w:ascii="Arial" w:hAnsi="Arial" w:cs="Arial"/>
          <w:sz w:val="20"/>
        </w:rPr>
      </w:pPr>
      <w:r w:rsidRPr="00F25870">
        <w:rPr>
          <w:rStyle w:val="FootnoteReference"/>
          <w:rFonts w:ascii="Arial" w:hAnsi="Arial" w:cs="Arial"/>
          <w:sz w:val="20"/>
        </w:rPr>
        <w:footnoteRef/>
      </w:r>
      <w:r w:rsidRPr="00F25870">
        <w:rPr>
          <w:rFonts w:ascii="Arial" w:hAnsi="Arial" w:cs="Arial"/>
          <w:sz w:val="20"/>
        </w:rPr>
        <w:t xml:space="preserve">  </w:t>
      </w:r>
      <w:hyperlink r:id="rId3" w:history="1">
        <w:r w:rsidRPr="00F25870">
          <w:rPr>
            <w:rStyle w:val="Hyperlink"/>
            <w:rFonts w:ascii="Arial" w:hAnsi="Arial" w:cs="Arial"/>
            <w:i/>
            <w:sz w:val="20"/>
          </w:rPr>
          <w:t>FORTISBC Energy Inc. Multi-Year Performance Based Ratemaking Plan For 2014 Through 2018, Decision</w:t>
        </w:r>
      </w:hyperlink>
      <w:r w:rsidRPr="00F25870">
        <w:rPr>
          <w:rFonts w:ascii="Arial" w:hAnsi="Arial" w:cs="Arial"/>
          <w:sz w:val="20"/>
        </w:rPr>
        <w:t>, September 15, 2014  pp. 32-33</w:t>
      </w:r>
    </w:p>
  </w:footnote>
  <w:footnote w:id="6">
    <w:p w14:paraId="013ADBDC" w14:textId="77777777" w:rsidR="00BF20CF" w:rsidRPr="00F25870" w:rsidRDefault="00BF20CF" w:rsidP="000E7D3E">
      <w:pPr>
        <w:pStyle w:val="FootnoteText"/>
        <w:spacing w:after="0"/>
        <w:rPr>
          <w:rFonts w:ascii="Arial" w:hAnsi="Arial" w:cs="Arial"/>
          <w:sz w:val="20"/>
        </w:rPr>
      </w:pPr>
      <w:r w:rsidRPr="00F25870">
        <w:rPr>
          <w:rStyle w:val="FootnoteReference"/>
          <w:rFonts w:ascii="Arial" w:hAnsi="Arial" w:cs="Arial"/>
          <w:sz w:val="20"/>
        </w:rPr>
        <w:footnoteRef/>
      </w:r>
      <w:r w:rsidRPr="00F25870">
        <w:rPr>
          <w:rFonts w:ascii="Arial" w:hAnsi="Arial" w:cs="Arial"/>
          <w:sz w:val="20"/>
        </w:rPr>
        <w:t xml:space="preserve"> </w:t>
      </w:r>
      <w:r w:rsidRPr="00F25870">
        <w:rPr>
          <w:rFonts w:ascii="Arial" w:hAnsi="Arial" w:cs="Arial"/>
          <w:i/>
          <w:sz w:val="20"/>
        </w:rPr>
        <w:t>Report of the Board on Rate Setting Parameters and Benchmarking under the Renewed Regulatory Framework for Ontario’s Electricity Distributors</w:t>
      </w:r>
      <w:r w:rsidRPr="00F25870">
        <w:rPr>
          <w:rFonts w:ascii="Arial" w:hAnsi="Arial" w:cs="Arial"/>
          <w:sz w:val="20"/>
        </w:rPr>
        <w:t xml:space="preserve"> (EB-2020-0379), issued November 23, 2013, </w:t>
      </w:r>
      <w:proofErr w:type="gramStart"/>
      <w:r w:rsidRPr="00F25870">
        <w:rPr>
          <w:rFonts w:ascii="Arial" w:hAnsi="Arial" w:cs="Arial"/>
          <w:sz w:val="20"/>
        </w:rPr>
        <w:t>corrected</w:t>
      </w:r>
      <w:proofErr w:type="gramEnd"/>
      <w:r w:rsidRPr="00F25870">
        <w:rPr>
          <w:rFonts w:ascii="Arial" w:hAnsi="Arial" w:cs="Arial"/>
          <w:sz w:val="20"/>
        </w:rPr>
        <w:t xml:space="preserve"> December 4, 2013.</w:t>
      </w:r>
    </w:p>
  </w:footnote>
  <w:footnote w:id="7">
    <w:p w14:paraId="4A114111" w14:textId="77777777" w:rsidR="00BF20CF" w:rsidRPr="00F25870" w:rsidRDefault="00BF20CF" w:rsidP="000E7D3E">
      <w:pPr>
        <w:pStyle w:val="FootnoteText"/>
        <w:spacing w:after="0"/>
        <w:rPr>
          <w:rFonts w:ascii="Arial" w:hAnsi="Arial" w:cs="Arial"/>
          <w:sz w:val="20"/>
        </w:rPr>
      </w:pPr>
      <w:r w:rsidRPr="00F25870">
        <w:rPr>
          <w:rStyle w:val="FootnoteReference"/>
          <w:rFonts w:ascii="Arial" w:hAnsi="Arial" w:cs="Arial"/>
          <w:sz w:val="20"/>
        </w:rPr>
        <w:footnoteRef/>
      </w:r>
      <w:r w:rsidRPr="00F25870">
        <w:rPr>
          <w:rFonts w:ascii="Arial" w:hAnsi="Arial" w:cs="Arial"/>
          <w:sz w:val="20"/>
        </w:rPr>
        <w:t xml:space="preserve"> Decision and Order EB-2017-0049, March 7, 2019.</w:t>
      </w:r>
    </w:p>
  </w:footnote>
  <w:footnote w:id="8">
    <w:p w14:paraId="12FA0139" w14:textId="77777777" w:rsidR="00BF20CF" w:rsidRPr="00F25870" w:rsidRDefault="00BF20CF" w:rsidP="000E7D3E">
      <w:pPr>
        <w:pStyle w:val="FootnoteText"/>
        <w:spacing w:after="0"/>
        <w:rPr>
          <w:rFonts w:ascii="Arial" w:hAnsi="Arial" w:cs="Arial"/>
          <w:sz w:val="20"/>
        </w:rPr>
      </w:pPr>
      <w:r w:rsidRPr="00F25870">
        <w:rPr>
          <w:rStyle w:val="FootnoteReference"/>
          <w:rFonts w:ascii="Arial" w:hAnsi="Arial" w:cs="Arial"/>
          <w:sz w:val="20"/>
        </w:rPr>
        <w:footnoteRef/>
      </w:r>
      <w:r w:rsidRPr="00F25870">
        <w:rPr>
          <w:rFonts w:ascii="Arial" w:hAnsi="Arial" w:cs="Arial"/>
          <w:sz w:val="20"/>
        </w:rPr>
        <w:t xml:space="preserve"> </w:t>
      </w:r>
      <w:r w:rsidRPr="008D1A4D">
        <w:rPr>
          <w:rFonts w:ascii="Arial" w:hAnsi="Arial" w:cs="Arial"/>
          <w:sz w:val="20"/>
        </w:rPr>
        <w:t>Decision and Order EB-2017-0049, March 7, 2019</w:t>
      </w:r>
    </w:p>
  </w:footnote>
  <w:footnote w:id="9">
    <w:p w14:paraId="1C0D90B2" w14:textId="77777777" w:rsidR="00BF20CF" w:rsidRPr="00F25870" w:rsidRDefault="00BF20CF" w:rsidP="000E7D3E">
      <w:pPr>
        <w:pStyle w:val="FootnoteText"/>
        <w:spacing w:after="0"/>
        <w:rPr>
          <w:rFonts w:ascii="Arial" w:hAnsi="Arial" w:cs="Arial"/>
          <w:sz w:val="20"/>
        </w:rPr>
      </w:pPr>
      <w:r w:rsidRPr="00F25870">
        <w:rPr>
          <w:rStyle w:val="FootnoteReference"/>
          <w:rFonts w:ascii="Arial" w:hAnsi="Arial" w:cs="Arial"/>
          <w:sz w:val="20"/>
        </w:rPr>
        <w:footnoteRef/>
      </w:r>
      <w:r w:rsidRPr="00F25870">
        <w:rPr>
          <w:rFonts w:ascii="Arial" w:hAnsi="Arial" w:cs="Arial"/>
          <w:sz w:val="20"/>
        </w:rPr>
        <w:t xml:space="preserve"> Decision and Order EB-2018-0165, December 19, 2019</w:t>
      </w:r>
    </w:p>
  </w:footnote>
  <w:footnote w:id="10">
    <w:p w14:paraId="4F74BDDA" w14:textId="77777777" w:rsidR="00BF20CF" w:rsidRPr="00F25870" w:rsidRDefault="00BF20CF" w:rsidP="007509C7">
      <w:pPr>
        <w:pStyle w:val="FootnoteText"/>
        <w:rPr>
          <w:rFonts w:ascii="Arial" w:hAnsi="Arial" w:cs="Arial"/>
          <w:sz w:val="20"/>
        </w:rPr>
      </w:pPr>
      <w:r w:rsidRPr="00F25870">
        <w:rPr>
          <w:rStyle w:val="FootnoteReference"/>
          <w:rFonts w:ascii="Arial" w:hAnsi="Arial" w:cs="Arial"/>
          <w:sz w:val="20"/>
        </w:rPr>
        <w:footnoteRef/>
      </w:r>
      <w:r w:rsidRPr="00F25870">
        <w:rPr>
          <w:rFonts w:ascii="Arial" w:hAnsi="Arial" w:cs="Arial"/>
          <w:sz w:val="20"/>
        </w:rPr>
        <w:t xml:space="preserve"> </w:t>
      </w:r>
      <w:r w:rsidRPr="00F25870">
        <w:rPr>
          <w:rFonts w:ascii="Arial" w:hAnsi="Arial" w:cs="Arial"/>
          <w:i/>
          <w:sz w:val="20"/>
        </w:rPr>
        <w:t>FORTISBC Inc. Multi-Year Performance Based Ratemaking Plan For 2014 Through 2018, Decision</w:t>
      </w:r>
      <w:r w:rsidRPr="00F25870">
        <w:rPr>
          <w:rFonts w:ascii="Arial" w:hAnsi="Arial" w:cs="Arial"/>
          <w:sz w:val="20"/>
        </w:rPr>
        <w:t xml:space="preserve">, September 15, 2014, p. 116-119, and </w:t>
      </w:r>
      <w:r w:rsidRPr="00F25870">
        <w:rPr>
          <w:rFonts w:ascii="Arial" w:hAnsi="Arial" w:cs="Arial"/>
          <w:i/>
          <w:sz w:val="20"/>
        </w:rPr>
        <w:t>FORTISBC Energy Inc. Multi-Year Performance Based Ratemaking Plan For 2014 Through 2018, Decision</w:t>
      </w:r>
      <w:r w:rsidRPr="00F25870">
        <w:rPr>
          <w:rFonts w:ascii="Arial" w:hAnsi="Arial" w:cs="Arial"/>
          <w:sz w:val="20"/>
        </w:rPr>
        <w:t>, September 15, 2014  pp. 119-123</w:t>
      </w:r>
    </w:p>
  </w:footnote>
  <w:footnote w:id="11">
    <w:p w14:paraId="4CA42F15" w14:textId="77777777" w:rsidR="00BF20CF" w:rsidRPr="00F25870" w:rsidRDefault="00BF20CF" w:rsidP="007509C7">
      <w:pPr>
        <w:pStyle w:val="FootnoteText"/>
        <w:rPr>
          <w:rFonts w:ascii="Arial" w:hAnsi="Arial" w:cs="Arial"/>
          <w:sz w:val="20"/>
        </w:rPr>
      </w:pPr>
      <w:r w:rsidRPr="00F25870">
        <w:rPr>
          <w:rStyle w:val="FootnoteReference"/>
          <w:rFonts w:ascii="Arial" w:hAnsi="Arial" w:cs="Arial"/>
          <w:sz w:val="20"/>
        </w:rPr>
        <w:footnoteRef/>
      </w:r>
      <w:r w:rsidRPr="00F25870">
        <w:rPr>
          <w:rFonts w:ascii="Arial" w:hAnsi="Arial" w:cs="Arial"/>
          <w:sz w:val="20"/>
        </w:rPr>
        <w:t xml:space="preserve"> EB-2018-0165, </w:t>
      </w:r>
      <w:r w:rsidRPr="00F25870">
        <w:rPr>
          <w:rFonts w:ascii="Arial" w:hAnsi="Arial" w:cs="Arial"/>
          <w:i/>
          <w:sz w:val="20"/>
        </w:rPr>
        <w:t>Decision and Order</w:t>
      </w:r>
      <w:r w:rsidRPr="00F25870">
        <w:rPr>
          <w:rFonts w:ascii="Arial" w:hAnsi="Arial" w:cs="Arial"/>
          <w:sz w:val="20"/>
        </w:rPr>
        <w:t>, December 19, 2019, p. 193</w:t>
      </w:r>
    </w:p>
  </w:footnote>
  <w:footnote w:id="12">
    <w:p w14:paraId="51AF1F21" w14:textId="77777777" w:rsidR="00BF20CF" w:rsidRPr="00996121" w:rsidRDefault="00BF20CF" w:rsidP="007509C7">
      <w:pPr>
        <w:pStyle w:val="FootnoteText"/>
        <w:rPr>
          <w:rFonts w:ascii="Arial" w:hAnsi="Arial" w:cs="Arial"/>
          <w:sz w:val="20"/>
        </w:rPr>
      </w:pPr>
      <w:r w:rsidRPr="00996121">
        <w:rPr>
          <w:rStyle w:val="FootnoteReference"/>
          <w:rFonts w:ascii="Arial" w:hAnsi="Arial" w:cs="Arial"/>
          <w:sz w:val="20"/>
        </w:rPr>
        <w:footnoteRef/>
      </w:r>
      <w:r w:rsidRPr="00996121">
        <w:rPr>
          <w:rFonts w:ascii="Arial" w:hAnsi="Arial" w:cs="Arial"/>
          <w:sz w:val="20"/>
        </w:rPr>
        <w:t xml:space="preserve"> EB-2018-0165</w:t>
      </w:r>
    </w:p>
  </w:footnote>
  <w:footnote w:id="13">
    <w:p w14:paraId="464A2169" w14:textId="77777777" w:rsidR="00BF20CF" w:rsidRPr="00A769D8" w:rsidRDefault="00BF20CF" w:rsidP="007509C7">
      <w:pPr>
        <w:pStyle w:val="FootnoteText"/>
        <w:rPr>
          <w:rFonts w:ascii="Arial" w:hAnsi="Arial" w:cs="Arial"/>
          <w:sz w:val="20"/>
        </w:rPr>
      </w:pPr>
      <w:r w:rsidRPr="00A769D8">
        <w:rPr>
          <w:rStyle w:val="FootnoteReference"/>
          <w:rFonts w:ascii="Arial" w:hAnsi="Arial" w:cs="Arial"/>
          <w:sz w:val="20"/>
        </w:rPr>
        <w:footnoteRef/>
      </w:r>
      <w:r w:rsidRPr="00A769D8">
        <w:rPr>
          <w:rFonts w:ascii="Arial" w:hAnsi="Arial" w:cs="Arial"/>
          <w:sz w:val="20"/>
        </w:rPr>
        <w:t xml:space="preserve"> EB-2017-0049, Decision and Order, March 7, 2019, p. 28</w:t>
      </w:r>
    </w:p>
  </w:footnote>
  <w:footnote w:id="14">
    <w:p w14:paraId="24F08C9E" w14:textId="77777777" w:rsidR="00BF20CF" w:rsidRPr="00A769D8" w:rsidRDefault="00BF20CF" w:rsidP="007509C7">
      <w:pPr>
        <w:pStyle w:val="FootnoteText"/>
        <w:rPr>
          <w:rFonts w:ascii="Arial" w:hAnsi="Arial" w:cs="Arial"/>
          <w:sz w:val="20"/>
        </w:rPr>
      </w:pPr>
      <w:r w:rsidRPr="00A769D8">
        <w:rPr>
          <w:rStyle w:val="FootnoteReference"/>
          <w:rFonts w:ascii="Arial" w:hAnsi="Arial" w:cs="Arial"/>
          <w:sz w:val="20"/>
        </w:rPr>
        <w:footnoteRef/>
      </w:r>
      <w:r w:rsidRPr="00A769D8">
        <w:rPr>
          <w:rFonts w:ascii="Arial" w:hAnsi="Arial" w:cs="Arial"/>
          <w:sz w:val="20"/>
        </w:rPr>
        <w:t xml:space="preserve"> </w:t>
      </w:r>
      <w:r w:rsidRPr="00A769D8">
        <w:rPr>
          <w:rFonts w:ascii="Arial" w:hAnsi="Arial" w:cs="Arial"/>
          <w:i/>
          <w:sz w:val="20"/>
        </w:rPr>
        <w:t>Ibid.</w:t>
      </w:r>
      <w:r w:rsidRPr="00A769D8">
        <w:rPr>
          <w:rFonts w:ascii="Arial" w:hAnsi="Arial" w:cs="Arial"/>
          <w:sz w:val="20"/>
        </w:rPr>
        <w:t>, p. 29</w:t>
      </w:r>
    </w:p>
  </w:footnote>
  <w:footnote w:id="15">
    <w:p w14:paraId="3B4F4A36" w14:textId="77777777" w:rsidR="00BF20CF" w:rsidRPr="004B35A6" w:rsidRDefault="00BF20CF" w:rsidP="007509C7">
      <w:pPr>
        <w:pStyle w:val="FootnoteText"/>
        <w:rPr>
          <w:rFonts w:ascii="Arial" w:hAnsi="Arial" w:cs="Arial"/>
          <w:sz w:val="20"/>
        </w:rPr>
      </w:pPr>
      <w:r w:rsidRPr="004B35A6">
        <w:rPr>
          <w:rStyle w:val="FootnoteReference"/>
          <w:rFonts w:ascii="Arial" w:hAnsi="Arial" w:cs="Arial"/>
          <w:sz w:val="20"/>
        </w:rPr>
        <w:footnoteRef/>
      </w:r>
      <w:r w:rsidRPr="004B35A6">
        <w:rPr>
          <w:rFonts w:ascii="Arial" w:hAnsi="Arial" w:cs="Arial"/>
          <w:sz w:val="20"/>
        </w:rPr>
        <w:t xml:space="preserve"> Exhibit 1/Tab 1/Schedule 12/Attachment A, p. 17</w:t>
      </w:r>
    </w:p>
  </w:footnote>
  <w:footnote w:id="16">
    <w:p w14:paraId="087037BB" w14:textId="77777777" w:rsidR="00BF20CF" w:rsidRPr="00B60528" w:rsidRDefault="00BF20CF" w:rsidP="00B60528">
      <w:pPr>
        <w:rPr>
          <w:rFonts w:ascii="Arial" w:hAnsi="Arial" w:cs="Arial"/>
          <w:sz w:val="20"/>
          <w:szCs w:val="20"/>
        </w:rPr>
      </w:pPr>
      <w:r w:rsidRPr="00B60528">
        <w:rPr>
          <w:rStyle w:val="FootnoteReference"/>
          <w:rFonts w:ascii="Arial" w:hAnsi="Arial" w:cs="Arial"/>
          <w:sz w:val="20"/>
          <w:szCs w:val="20"/>
        </w:rPr>
        <w:footnoteRef/>
      </w:r>
      <w:r w:rsidRPr="00B60528">
        <w:rPr>
          <w:rFonts w:ascii="Arial" w:hAnsi="Arial" w:cs="Arial"/>
          <w:sz w:val="20"/>
          <w:szCs w:val="20"/>
        </w:rPr>
        <w:t xml:space="preserve"> </w:t>
      </w:r>
      <w:proofErr w:type="spellStart"/>
      <w:r w:rsidRPr="00B60528">
        <w:rPr>
          <w:rFonts w:ascii="Arial" w:hAnsi="Arial" w:cs="Arial"/>
          <w:sz w:val="20"/>
          <w:szCs w:val="20"/>
        </w:rPr>
        <w:t>Millo</w:t>
      </w:r>
      <w:proofErr w:type="spellEnd"/>
      <w:r w:rsidRPr="00B60528">
        <w:rPr>
          <w:rFonts w:ascii="Arial" w:hAnsi="Arial" w:cs="Arial"/>
          <w:sz w:val="20"/>
          <w:szCs w:val="20"/>
        </w:rPr>
        <w:t>, G. (2017). Robust Standard Error Estimators for Panel Models: A Unifying Approach. Journal of Statistical Software, 82(3): 1-26. doi:10.18637/jss.v082.i03</w:t>
      </w:r>
    </w:p>
  </w:footnote>
  <w:footnote w:id="17">
    <w:p w14:paraId="5416BAB4" w14:textId="77777777" w:rsidR="00BF20CF" w:rsidRPr="00B60528" w:rsidRDefault="00BF20CF" w:rsidP="00B60528">
      <w:pPr>
        <w:pStyle w:val="FootnoteText"/>
        <w:rPr>
          <w:rFonts w:ascii="Arial" w:hAnsi="Arial" w:cs="Arial"/>
          <w:sz w:val="20"/>
        </w:rPr>
      </w:pPr>
      <w:r w:rsidRPr="00B60528">
        <w:rPr>
          <w:rStyle w:val="FootnoteReference"/>
          <w:rFonts w:ascii="Arial" w:hAnsi="Arial" w:cs="Arial"/>
          <w:sz w:val="20"/>
        </w:rPr>
        <w:footnoteRef/>
      </w:r>
      <w:r w:rsidRPr="00B60528">
        <w:rPr>
          <w:rFonts w:ascii="Arial" w:hAnsi="Arial" w:cs="Arial"/>
          <w:sz w:val="20"/>
        </w:rPr>
        <w:t xml:space="preserve"> See, for example, the OEB’s recent Custom IR plan decisions for Hydro One Transmission (EB-2019-0082) and Toronto Hydro (EB-2018-0165).  A table similar to this one was filed as part of OEB Staff’s Revised S Factor Working Papers in EB-2019-0082 on October 25, 2019.</w:t>
      </w:r>
    </w:p>
  </w:footnote>
  <w:footnote w:id="18">
    <w:p w14:paraId="070566F5" w14:textId="77777777" w:rsidR="00BF20CF" w:rsidRPr="00B60528" w:rsidRDefault="00BF20CF" w:rsidP="00B60528">
      <w:pPr>
        <w:pStyle w:val="FootnoteText"/>
        <w:rPr>
          <w:rFonts w:ascii="Arial" w:hAnsi="Arial" w:cs="Arial"/>
          <w:sz w:val="20"/>
        </w:rPr>
      </w:pPr>
      <w:r w:rsidRPr="00B60528">
        <w:rPr>
          <w:rFonts w:ascii="Arial" w:hAnsi="Arial" w:cs="Arial"/>
          <w:sz w:val="20"/>
        </w:rPr>
        <w:t xml:space="preserve"> </w:t>
      </w:r>
      <w:r w:rsidRPr="00B60528">
        <w:rPr>
          <w:rStyle w:val="FootnoteReference"/>
          <w:rFonts w:ascii="Arial" w:hAnsi="Arial" w:cs="Arial"/>
          <w:sz w:val="20"/>
        </w:rPr>
        <w:footnoteRef/>
      </w:r>
      <w:r w:rsidRPr="00B60528">
        <w:rPr>
          <w:rFonts w:ascii="Arial" w:hAnsi="Arial" w:cs="Arial"/>
          <w:sz w:val="20"/>
        </w:rPr>
        <w:t xml:space="preserve"> Lowry, M.N., </w:t>
      </w:r>
      <w:r w:rsidRPr="00B60528">
        <w:rPr>
          <w:rFonts w:ascii="Arial" w:hAnsi="Arial" w:cs="Arial"/>
          <w:i/>
          <w:iCs/>
          <w:sz w:val="20"/>
        </w:rPr>
        <w:t>PBR Plan Design for National Grid in Massachusetts</w:t>
      </w:r>
      <w:r w:rsidRPr="00B60528">
        <w:rPr>
          <w:rFonts w:ascii="Arial" w:hAnsi="Arial" w:cs="Arial"/>
          <w:sz w:val="20"/>
        </w:rPr>
        <w:t>, March 22, 2019, filed as Exhibit AG-MNL-2 in Massachusetts Department of Public Utilities D.P.U. 18-150, p. 40.</w:t>
      </w:r>
    </w:p>
  </w:footnote>
  <w:footnote w:id="19">
    <w:p w14:paraId="0814774B" w14:textId="77777777" w:rsidR="00BF20CF" w:rsidRPr="0088271D" w:rsidRDefault="00BF20CF" w:rsidP="0039317E">
      <w:pPr>
        <w:pStyle w:val="FootnoteText"/>
        <w:rPr>
          <w:rFonts w:ascii="Arial" w:hAnsi="Arial" w:cs="Arial"/>
          <w:sz w:val="20"/>
        </w:rPr>
      </w:pPr>
      <w:r w:rsidRPr="0088271D">
        <w:rPr>
          <w:rStyle w:val="FootnoteReference"/>
          <w:rFonts w:ascii="Arial" w:hAnsi="Arial" w:cs="Arial"/>
          <w:sz w:val="20"/>
        </w:rPr>
        <w:footnoteRef/>
      </w:r>
      <w:r w:rsidRPr="0088271D">
        <w:rPr>
          <w:rFonts w:ascii="Arial" w:hAnsi="Arial" w:cs="Arial"/>
          <w:sz w:val="20"/>
        </w:rPr>
        <w:t xml:space="preserve"> EB-2018-0165, Exhibit 1B-2-1, Appendix B. UMS Unit Cost Benchmarking Study.</w:t>
      </w:r>
    </w:p>
  </w:footnote>
  <w:footnote w:id="20">
    <w:p w14:paraId="14313B63" w14:textId="77777777" w:rsidR="00BF20CF" w:rsidRPr="0088271D" w:rsidRDefault="00BF20CF" w:rsidP="0039317E">
      <w:pPr>
        <w:pStyle w:val="FootnoteText"/>
        <w:rPr>
          <w:rFonts w:ascii="Arial" w:hAnsi="Arial" w:cs="Arial"/>
          <w:sz w:val="20"/>
        </w:rPr>
      </w:pPr>
      <w:r w:rsidRPr="003468D3">
        <w:rPr>
          <w:rStyle w:val="FootnoteReference"/>
          <w:rFonts w:ascii="Arial" w:hAnsi="Arial" w:cs="Arial"/>
          <w:sz w:val="20"/>
        </w:rPr>
        <w:footnoteRef/>
      </w:r>
      <w:r w:rsidRPr="003468D3">
        <w:rPr>
          <w:rFonts w:ascii="Arial" w:hAnsi="Arial" w:cs="Arial"/>
          <w:sz w:val="20"/>
        </w:rPr>
        <w:t xml:space="preserve"> </w:t>
      </w:r>
      <w:r w:rsidRPr="0088271D">
        <w:rPr>
          <w:rFonts w:ascii="Arial" w:hAnsi="Arial" w:cs="Arial"/>
          <w:sz w:val="20"/>
        </w:rPr>
        <w:t>EB-2018-0165, Exhibit 1B-2-1, Appendix B. UMS Unit Cost Benchmarking Study. Page 17, Table IV-1.</w:t>
      </w:r>
    </w:p>
    <w:p w14:paraId="3FBFEEDA" w14:textId="77777777" w:rsidR="00BF20CF" w:rsidRDefault="00BF20CF" w:rsidP="0039317E">
      <w:pPr>
        <w:pStyle w:val="FootnoteText"/>
      </w:pPr>
    </w:p>
  </w:footnote>
  <w:footnote w:id="21">
    <w:p w14:paraId="6BDED806" w14:textId="77777777" w:rsidR="00BF20CF" w:rsidRPr="00F25870" w:rsidRDefault="00BF20CF" w:rsidP="007509C7">
      <w:pPr>
        <w:pStyle w:val="FootnoteText"/>
        <w:rPr>
          <w:rFonts w:ascii="Arial" w:hAnsi="Arial" w:cs="Arial"/>
          <w:sz w:val="20"/>
        </w:rPr>
      </w:pPr>
      <w:r w:rsidRPr="00F25870">
        <w:rPr>
          <w:rStyle w:val="FootnoteReference"/>
          <w:rFonts w:ascii="Arial" w:hAnsi="Arial" w:cs="Arial"/>
          <w:sz w:val="20"/>
        </w:rPr>
        <w:footnoteRef/>
      </w:r>
      <w:r w:rsidRPr="00F25870">
        <w:rPr>
          <w:rFonts w:ascii="Arial" w:hAnsi="Arial" w:cs="Arial"/>
          <w:sz w:val="20"/>
        </w:rPr>
        <w:t xml:space="preserve"> EB-2010-0379</w:t>
      </w:r>
    </w:p>
  </w:footnote>
  <w:footnote w:id="22">
    <w:p w14:paraId="2C483AAC" w14:textId="77777777" w:rsidR="00BF20CF" w:rsidRPr="00D56845" w:rsidRDefault="00BF20CF" w:rsidP="00080146">
      <w:pPr>
        <w:pStyle w:val="FootnoteText"/>
        <w:spacing w:after="0"/>
        <w:rPr>
          <w:rFonts w:ascii="Arial" w:hAnsi="Arial" w:cs="Arial"/>
          <w:sz w:val="20"/>
        </w:rPr>
      </w:pPr>
      <w:r w:rsidRPr="00D56845">
        <w:rPr>
          <w:rStyle w:val="FootnoteReference"/>
          <w:rFonts w:ascii="Arial" w:hAnsi="Arial" w:cs="Arial"/>
          <w:sz w:val="20"/>
        </w:rPr>
        <w:footnoteRef/>
      </w:r>
      <w:r w:rsidRPr="00D56845">
        <w:rPr>
          <w:rFonts w:ascii="Arial" w:hAnsi="Arial" w:cs="Arial"/>
          <w:sz w:val="20"/>
        </w:rPr>
        <w:t xml:space="preserve"> EB-2018-0044</w:t>
      </w:r>
    </w:p>
  </w:footnote>
  <w:footnote w:id="23">
    <w:p w14:paraId="69FF9759" w14:textId="77777777" w:rsidR="00BF20CF" w:rsidRPr="00D56845" w:rsidRDefault="00BF20CF" w:rsidP="00080146">
      <w:pPr>
        <w:pStyle w:val="FootnoteText"/>
        <w:spacing w:after="0"/>
        <w:rPr>
          <w:rFonts w:ascii="Arial" w:hAnsi="Arial" w:cs="Arial"/>
          <w:sz w:val="20"/>
          <w:vertAlign w:val="subscript"/>
        </w:rPr>
      </w:pPr>
      <w:r w:rsidRPr="00D56845">
        <w:rPr>
          <w:rStyle w:val="FootnoteReference"/>
          <w:rFonts w:ascii="Arial" w:hAnsi="Arial" w:cs="Arial"/>
          <w:sz w:val="20"/>
        </w:rPr>
        <w:footnoteRef/>
      </w:r>
      <w:r w:rsidRPr="00D56845">
        <w:rPr>
          <w:rStyle w:val="FootnoteReference"/>
          <w:rFonts w:ascii="Arial" w:hAnsi="Arial" w:cs="Arial"/>
          <w:sz w:val="20"/>
        </w:rPr>
        <w:t xml:space="preserve"> </w:t>
      </w:r>
      <w:r w:rsidRPr="00D56845">
        <w:rPr>
          <w:rFonts w:ascii="Arial" w:hAnsi="Arial" w:cs="Arial"/>
          <w:sz w:val="20"/>
        </w:rPr>
        <w:t>EB-2019-0046</w:t>
      </w:r>
    </w:p>
  </w:footnote>
  <w:footnote w:id="24">
    <w:p w14:paraId="25A68D6B" w14:textId="59EE4D36" w:rsidR="00BF20CF" w:rsidRPr="000E3B74" w:rsidRDefault="00BF20CF">
      <w:pPr>
        <w:pStyle w:val="FootnoteText"/>
        <w:rPr>
          <w:rFonts w:ascii="Arial" w:hAnsi="Arial" w:cs="Arial"/>
          <w:sz w:val="20"/>
        </w:rPr>
      </w:pPr>
      <w:r w:rsidRPr="000E3B74">
        <w:rPr>
          <w:rStyle w:val="FootnoteReference"/>
          <w:rFonts w:ascii="Arial" w:hAnsi="Arial" w:cs="Arial"/>
          <w:sz w:val="20"/>
        </w:rPr>
        <w:footnoteRef/>
      </w:r>
      <w:r w:rsidRPr="000E3B74">
        <w:rPr>
          <w:rFonts w:ascii="Arial" w:hAnsi="Arial" w:cs="Arial"/>
          <w:sz w:val="20"/>
        </w:rPr>
        <w:t xml:space="preserve"> Including interest and overhead.</w:t>
      </w:r>
    </w:p>
  </w:footnote>
  <w:footnote w:id="25">
    <w:p w14:paraId="06F99CC4" w14:textId="51B1CCEA" w:rsidR="00BF20CF" w:rsidRPr="00A67477" w:rsidRDefault="00BF20CF" w:rsidP="00185A36">
      <w:pPr>
        <w:pStyle w:val="FootnoteText"/>
        <w:spacing w:after="0"/>
        <w:rPr>
          <w:rFonts w:ascii="Arial" w:hAnsi="Arial" w:cs="Arial"/>
          <w:sz w:val="20"/>
        </w:rPr>
      </w:pPr>
      <w:r w:rsidRPr="00A67477">
        <w:rPr>
          <w:rStyle w:val="FootnoteReference"/>
          <w:rFonts w:ascii="Arial" w:hAnsi="Arial" w:cs="Arial"/>
          <w:sz w:val="20"/>
        </w:rPr>
        <w:footnoteRef/>
      </w:r>
      <w:r w:rsidRPr="00A67477">
        <w:rPr>
          <w:rFonts w:ascii="Arial" w:hAnsi="Arial" w:cs="Arial"/>
          <w:sz w:val="20"/>
        </w:rPr>
        <w:t xml:space="preserve"> EB-2015-0004, Decision on Settlement and Procedural Order No.11, November 23, 2015, page 3.</w:t>
      </w:r>
    </w:p>
  </w:footnote>
  <w:footnote w:id="26">
    <w:p w14:paraId="081C90B7" w14:textId="283420B2" w:rsidR="00BF20CF" w:rsidRPr="00A407EF" w:rsidRDefault="00BF20CF" w:rsidP="00185A36">
      <w:pPr>
        <w:pStyle w:val="FootnoteText"/>
        <w:spacing w:after="0"/>
        <w:rPr>
          <w:rFonts w:ascii="Arial" w:hAnsi="Arial" w:cs="Arial"/>
          <w:sz w:val="20"/>
        </w:rPr>
      </w:pPr>
      <w:r w:rsidRPr="00A407EF">
        <w:rPr>
          <w:rStyle w:val="FootnoteReference"/>
          <w:rFonts w:ascii="Arial" w:hAnsi="Arial" w:cs="Arial"/>
          <w:sz w:val="20"/>
        </w:rPr>
        <w:footnoteRef/>
      </w:r>
      <w:r w:rsidRPr="00A407EF">
        <w:rPr>
          <w:rFonts w:ascii="Arial" w:hAnsi="Arial" w:cs="Arial"/>
          <w:sz w:val="20"/>
        </w:rPr>
        <w:t xml:space="preserve">  Calculated as ($41 million/155,000 sq. ft.). Data from EB-2015-0004, </w:t>
      </w:r>
      <w:proofErr w:type="spellStart"/>
      <w:r w:rsidRPr="00A407EF">
        <w:rPr>
          <w:rFonts w:ascii="Arial" w:hAnsi="Arial" w:cs="Arial"/>
          <w:sz w:val="20"/>
        </w:rPr>
        <w:t>Exh</w:t>
      </w:r>
      <w:proofErr w:type="spellEnd"/>
      <w:r w:rsidRPr="00A407EF">
        <w:rPr>
          <w:rFonts w:ascii="Arial" w:hAnsi="Arial" w:cs="Arial"/>
          <w:sz w:val="20"/>
        </w:rPr>
        <w:t xml:space="preserve"> B Rate Base Part 2 Distribution System Plan page 341, and response to SEC IR#11 Attachment B page 5</w:t>
      </w:r>
      <w:r>
        <w:rPr>
          <w:rFonts w:ascii="Arial" w:hAnsi="Arial" w:cs="Arial"/>
          <w:sz w:val="20"/>
        </w:rPr>
        <w:t>.</w:t>
      </w:r>
    </w:p>
  </w:footnote>
  <w:footnote w:id="27">
    <w:p w14:paraId="5496AACF" w14:textId="77777777" w:rsidR="00BF20CF" w:rsidRPr="00C45381" w:rsidRDefault="00BF20CF" w:rsidP="00C84F5B">
      <w:pPr>
        <w:pStyle w:val="FootnoteText"/>
        <w:rPr>
          <w:rFonts w:ascii="Arial" w:hAnsi="Arial" w:cs="Arial"/>
          <w:sz w:val="20"/>
        </w:rPr>
      </w:pPr>
      <w:r w:rsidRPr="00C45381">
        <w:rPr>
          <w:rStyle w:val="FootnoteReference"/>
          <w:rFonts w:ascii="Arial" w:hAnsi="Arial" w:cs="Arial"/>
          <w:sz w:val="20"/>
        </w:rPr>
        <w:footnoteRef/>
      </w:r>
      <w:r w:rsidRPr="00C45381">
        <w:rPr>
          <w:rFonts w:ascii="Arial" w:hAnsi="Arial" w:cs="Arial"/>
          <w:sz w:val="20"/>
        </w:rPr>
        <w:t xml:space="preserve"> Section 2.4.6 of Chapter 2 Filing Requirements (2018 Edition for 2019 Rate Applications), July 12, 2018</w:t>
      </w:r>
    </w:p>
  </w:footnote>
  <w:footnote w:id="28">
    <w:p w14:paraId="3323992C" w14:textId="77777777" w:rsidR="00BF20CF" w:rsidRPr="00574CD3" w:rsidRDefault="00BF20CF" w:rsidP="00C84F5B">
      <w:pPr>
        <w:pStyle w:val="FootnoteText"/>
        <w:rPr>
          <w:rFonts w:ascii="Arial" w:hAnsi="Arial" w:cs="Arial"/>
          <w:sz w:val="20"/>
        </w:rPr>
      </w:pPr>
      <w:r w:rsidRPr="00574CD3">
        <w:rPr>
          <w:rStyle w:val="FootnoteReference"/>
          <w:rFonts w:ascii="Arial" w:hAnsi="Arial" w:cs="Arial"/>
          <w:sz w:val="20"/>
        </w:rPr>
        <w:footnoteRef/>
      </w:r>
      <w:r>
        <w:rPr>
          <w:rFonts w:ascii="Arial" w:hAnsi="Arial" w:cs="Arial"/>
          <w:sz w:val="20"/>
        </w:rPr>
        <w:t xml:space="preserve"> Exhibit 5/Tab 1/Schedule 1/page</w:t>
      </w:r>
      <w:r w:rsidRPr="00574CD3">
        <w:rPr>
          <w:rFonts w:ascii="Arial" w:hAnsi="Arial" w:cs="Arial"/>
          <w:sz w:val="20"/>
        </w:rPr>
        <w:t xml:space="preserve"> 8</w:t>
      </w:r>
      <w:r>
        <w:rPr>
          <w:rFonts w:ascii="Arial" w:hAnsi="Arial" w:cs="Arial"/>
          <w:sz w:val="20"/>
        </w:rPr>
        <w:t>.</w:t>
      </w:r>
    </w:p>
  </w:footnote>
  <w:footnote w:id="29">
    <w:p w14:paraId="07589011" w14:textId="77777777" w:rsidR="00BF20CF" w:rsidRPr="005865B8" w:rsidRDefault="00BF20CF" w:rsidP="00C84F5B">
      <w:pPr>
        <w:pStyle w:val="FootnoteText"/>
        <w:rPr>
          <w:rFonts w:ascii="Arial" w:hAnsi="Arial" w:cs="Arial"/>
          <w:sz w:val="20"/>
        </w:rPr>
      </w:pPr>
      <w:r w:rsidRPr="005865B8">
        <w:rPr>
          <w:rStyle w:val="FootnoteReference"/>
          <w:rFonts w:ascii="Arial" w:hAnsi="Arial" w:cs="Arial"/>
          <w:sz w:val="20"/>
        </w:rPr>
        <w:footnoteRef/>
      </w:r>
      <w:r w:rsidRPr="005865B8">
        <w:rPr>
          <w:rFonts w:ascii="Arial" w:hAnsi="Arial" w:cs="Arial"/>
          <w:sz w:val="20"/>
        </w:rPr>
        <w:t xml:space="preserve"> EB-2016-0075 (Guelph Hydro 2017 IRM); EB-2016-0080 (Hydro One Brampton 2017 IRM); EB-2016-0214 (North Bay Hydro 2017 IRM)   </w:t>
      </w:r>
    </w:p>
  </w:footnote>
  <w:footnote w:id="30">
    <w:p w14:paraId="6B9B7F9D" w14:textId="77777777" w:rsidR="00BF20CF" w:rsidRPr="00663581" w:rsidRDefault="00BF20CF" w:rsidP="00C84F5B">
      <w:pPr>
        <w:pStyle w:val="FootnoteText"/>
        <w:rPr>
          <w:rFonts w:ascii="Arial" w:hAnsi="Arial" w:cs="Arial"/>
          <w:sz w:val="20"/>
        </w:rPr>
      </w:pPr>
      <w:r w:rsidRPr="00663581">
        <w:rPr>
          <w:rStyle w:val="FootnoteReference"/>
          <w:rFonts w:ascii="Arial" w:hAnsi="Arial" w:cs="Arial"/>
          <w:sz w:val="20"/>
        </w:rPr>
        <w:footnoteRef/>
      </w:r>
      <w:r w:rsidRPr="00663581">
        <w:rPr>
          <w:rFonts w:ascii="Arial" w:hAnsi="Arial" w:cs="Arial"/>
          <w:sz w:val="20"/>
        </w:rPr>
        <w:t xml:space="preserve"> EB-2019-0018</w:t>
      </w:r>
      <w:r>
        <w:rPr>
          <w:rFonts w:ascii="Arial" w:hAnsi="Arial" w:cs="Arial"/>
          <w:sz w:val="20"/>
        </w:rPr>
        <w:t>, Partial Decision and Interim Rate Order, December 12, 2019, p. 20-21</w:t>
      </w:r>
    </w:p>
  </w:footnote>
  <w:footnote w:id="31">
    <w:p w14:paraId="477BA704" w14:textId="77777777" w:rsidR="00BF20CF" w:rsidRPr="004A2608" w:rsidRDefault="00BF20CF" w:rsidP="00C87CDA">
      <w:pPr>
        <w:pStyle w:val="FootnoteText"/>
        <w:spacing w:after="0"/>
        <w:rPr>
          <w:rFonts w:ascii="Arial" w:hAnsi="Arial" w:cs="Arial"/>
          <w:sz w:val="20"/>
        </w:rPr>
      </w:pPr>
      <w:r w:rsidRPr="004A2608">
        <w:rPr>
          <w:rStyle w:val="FootnoteReference"/>
          <w:rFonts w:ascii="Arial" w:hAnsi="Arial" w:cs="Arial"/>
          <w:sz w:val="20"/>
        </w:rPr>
        <w:footnoteRef/>
      </w:r>
      <w:r w:rsidRPr="004A2608">
        <w:rPr>
          <w:rFonts w:ascii="Arial" w:hAnsi="Arial" w:cs="Arial"/>
          <w:sz w:val="20"/>
        </w:rPr>
        <w:t xml:space="preserve"> 2017 verified program results, Tab “LDC Progress”, Col. FQ, NTG for the 2016 retrofit program</w:t>
      </w:r>
    </w:p>
  </w:footnote>
  <w:footnote w:id="32">
    <w:p w14:paraId="29855E9C" w14:textId="77777777" w:rsidR="00BF20CF" w:rsidRPr="00624309" w:rsidRDefault="00BF20CF" w:rsidP="00C87CDA">
      <w:pPr>
        <w:pStyle w:val="FootnoteText"/>
        <w:spacing w:after="0"/>
        <w:rPr>
          <w:rFonts w:ascii="Arial" w:hAnsi="Arial" w:cs="Arial"/>
          <w:sz w:val="20"/>
        </w:rPr>
      </w:pPr>
      <w:r w:rsidRPr="00624309">
        <w:rPr>
          <w:rStyle w:val="FootnoteReference"/>
          <w:rFonts w:ascii="Arial" w:hAnsi="Arial" w:cs="Arial"/>
          <w:sz w:val="20"/>
        </w:rPr>
        <w:footnoteRef/>
      </w:r>
      <w:r w:rsidRPr="00624309">
        <w:rPr>
          <w:rFonts w:ascii="Arial" w:hAnsi="Arial" w:cs="Arial"/>
          <w:sz w:val="20"/>
        </w:rPr>
        <w:t xml:space="preserve"> Schedule C, Accounting Orders, EB-2015-0004</w:t>
      </w:r>
    </w:p>
  </w:footnote>
  <w:footnote w:id="33">
    <w:p w14:paraId="7C8B4682" w14:textId="77777777" w:rsidR="00BF20CF" w:rsidRPr="00624309" w:rsidRDefault="00BF20CF" w:rsidP="00C87CDA">
      <w:pPr>
        <w:pStyle w:val="FootnoteText"/>
        <w:rPr>
          <w:sz w:val="20"/>
        </w:rPr>
      </w:pPr>
      <w:r w:rsidRPr="00624309">
        <w:rPr>
          <w:rStyle w:val="FootnoteReference"/>
          <w:rFonts w:ascii="Arial" w:hAnsi="Arial" w:cs="Arial"/>
          <w:sz w:val="20"/>
        </w:rPr>
        <w:footnoteRef/>
      </w:r>
      <w:r w:rsidRPr="00624309">
        <w:rPr>
          <w:rFonts w:ascii="Arial" w:hAnsi="Arial" w:cs="Arial"/>
          <w:sz w:val="20"/>
        </w:rPr>
        <w:t xml:space="preserve"> </w:t>
      </w:r>
      <w:r>
        <w:rPr>
          <w:rFonts w:ascii="Arial" w:hAnsi="Arial" w:cs="Arial"/>
          <w:sz w:val="20"/>
        </w:rPr>
        <w:t xml:space="preserve">Appendix B, Rate Order </w:t>
      </w:r>
      <w:r w:rsidRPr="00624309">
        <w:rPr>
          <w:rFonts w:ascii="Arial" w:hAnsi="Arial" w:cs="Arial"/>
          <w:sz w:val="20"/>
        </w:rPr>
        <w:t>EB-2011-0054</w:t>
      </w:r>
    </w:p>
  </w:footnote>
  <w:footnote w:id="34">
    <w:p w14:paraId="061CE024" w14:textId="77777777" w:rsidR="00BF20CF" w:rsidRPr="00624309" w:rsidRDefault="00BF20CF" w:rsidP="00C87CDA">
      <w:pPr>
        <w:pStyle w:val="FootnoteText"/>
        <w:rPr>
          <w:rFonts w:ascii="Arial" w:hAnsi="Arial" w:cs="Arial"/>
          <w:sz w:val="20"/>
        </w:rPr>
      </w:pPr>
      <w:r w:rsidRPr="00624309">
        <w:rPr>
          <w:rStyle w:val="FootnoteReference"/>
          <w:rFonts w:ascii="Arial" w:hAnsi="Arial" w:cs="Arial"/>
          <w:sz w:val="20"/>
        </w:rPr>
        <w:footnoteRef/>
      </w:r>
      <w:r w:rsidRPr="00624309">
        <w:rPr>
          <w:rFonts w:ascii="Arial" w:hAnsi="Arial" w:cs="Arial"/>
          <w:sz w:val="20"/>
        </w:rPr>
        <w:t xml:space="preserve"> Page 13 of the Report of the Ontario Energy Board: Regulatory Treatment of Pension and Other Post-employment Benefits (OPEBs) Costs</w:t>
      </w:r>
      <w:r w:rsidRPr="00624309">
        <w:rPr>
          <w:rStyle w:val="FootnoteReference"/>
          <w:rFonts w:ascii="Arial" w:hAnsi="Arial" w:cs="Arial"/>
          <w:sz w:val="20"/>
        </w:rPr>
        <w:t xml:space="preserve"> </w:t>
      </w:r>
      <w:r w:rsidRPr="00624309">
        <w:rPr>
          <w:rFonts w:ascii="Arial" w:hAnsi="Arial" w:cs="Arial"/>
          <w:sz w:val="20"/>
        </w:rPr>
        <w:t>EB-2015-0040</w:t>
      </w:r>
    </w:p>
  </w:footnote>
  <w:footnote w:id="35">
    <w:p w14:paraId="1CCF82BF" w14:textId="77777777" w:rsidR="00BF20CF" w:rsidRPr="00624309" w:rsidRDefault="00BF20CF" w:rsidP="00C87CDA">
      <w:pPr>
        <w:pStyle w:val="FootnoteText"/>
        <w:rPr>
          <w:rFonts w:ascii="Arial" w:hAnsi="Arial" w:cs="Arial"/>
          <w:sz w:val="20"/>
        </w:rPr>
      </w:pPr>
      <w:r w:rsidRPr="00624309">
        <w:rPr>
          <w:rStyle w:val="FootnoteReference"/>
          <w:rFonts w:ascii="Arial" w:hAnsi="Arial" w:cs="Arial"/>
          <w:sz w:val="20"/>
        </w:rPr>
        <w:footnoteRef/>
      </w:r>
      <w:r w:rsidRPr="00624309">
        <w:rPr>
          <w:rFonts w:ascii="Arial" w:hAnsi="Arial" w:cs="Arial"/>
          <w:sz w:val="20"/>
        </w:rPr>
        <w:t xml:space="preserve"> Schedule C, Accounting Orders, EB-2015-0004</w:t>
      </w:r>
    </w:p>
  </w:footnote>
  <w:footnote w:id="36">
    <w:p w14:paraId="5FD79FAB" w14:textId="77777777" w:rsidR="00BF20CF" w:rsidRPr="001A1FE6" w:rsidRDefault="00BF20CF" w:rsidP="00C87CDA">
      <w:pPr>
        <w:autoSpaceDE w:val="0"/>
        <w:autoSpaceDN w:val="0"/>
        <w:adjustRightInd w:val="0"/>
        <w:spacing w:line="276" w:lineRule="auto"/>
        <w:rPr>
          <w:rFonts w:ascii="Arial" w:hAnsi="Arial" w:cs="Arial"/>
          <w:sz w:val="20"/>
          <w:szCs w:val="20"/>
        </w:rPr>
      </w:pPr>
      <w:r w:rsidRPr="0073175E">
        <w:rPr>
          <w:rStyle w:val="FootnoteReference"/>
          <w:rFonts w:ascii="Arial" w:hAnsi="Arial" w:cs="Arial"/>
          <w:sz w:val="20"/>
          <w:szCs w:val="20"/>
        </w:rPr>
        <w:footnoteRef/>
      </w:r>
      <w:r w:rsidRPr="0073175E">
        <w:rPr>
          <w:rFonts w:ascii="Arial" w:hAnsi="Arial" w:cs="Arial"/>
          <w:sz w:val="20"/>
          <w:szCs w:val="20"/>
        </w:rPr>
        <w:t xml:space="preserve"> </w:t>
      </w:r>
      <w:r>
        <w:rPr>
          <w:rFonts w:ascii="Arial" w:hAnsi="Arial" w:cs="Arial"/>
          <w:sz w:val="20"/>
          <w:szCs w:val="20"/>
        </w:rPr>
        <w:t xml:space="preserve">EB-2018-0044, section 4 Base Rate Adjustment </w:t>
      </w:r>
      <w:r w:rsidRPr="0073175E">
        <w:rPr>
          <w:rFonts w:ascii="Arial" w:hAnsi="Arial" w:cs="Arial"/>
          <w:sz w:val="20"/>
          <w:szCs w:val="20"/>
        </w:rPr>
        <w:t xml:space="preserve">pp. 6-7 </w:t>
      </w:r>
    </w:p>
  </w:footnote>
  <w:footnote w:id="37">
    <w:p w14:paraId="6E154B7E" w14:textId="77777777" w:rsidR="00BF20CF" w:rsidRPr="001A1FE6" w:rsidRDefault="00BF20CF" w:rsidP="00C87CDA">
      <w:pPr>
        <w:autoSpaceDE w:val="0"/>
        <w:autoSpaceDN w:val="0"/>
        <w:adjustRightInd w:val="0"/>
        <w:spacing w:line="276" w:lineRule="auto"/>
        <w:rPr>
          <w:rFonts w:ascii="Arial" w:hAnsi="Arial" w:cs="Arial"/>
          <w:sz w:val="20"/>
          <w:szCs w:val="20"/>
        </w:rPr>
      </w:pPr>
      <w:r w:rsidRPr="0073175E">
        <w:rPr>
          <w:rStyle w:val="FootnoteReference"/>
          <w:rFonts w:ascii="Arial" w:hAnsi="Arial" w:cs="Arial"/>
          <w:sz w:val="20"/>
          <w:szCs w:val="20"/>
        </w:rPr>
        <w:footnoteRef/>
      </w:r>
      <w:r w:rsidRPr="0073175E">
        <w:rPr>
          <w:rFonts w:ascii="Arial" w:hAnsi="Arial" w:cs="Arial"/>
          <w:sz w:val="20"/>
          <w:szCs w:val="20"/>
        </w:rPr>
        <w:t xml:space="preserve"> </w:t>
      </w:r>
      <w:r>
        <w:rPr>
          <w:rFonts w:ascii="Arial" w:hAnsi="Arial" w:cs="Arial"/>
          <w:sz w:val="20"/>
          <w:szCs w:val="20"/>
        </w:rPr>
        <w:t>EB-2019-0046, section 4 Base Rate Adjustment pp. 5-6</w:t>
      </w:r>
      <w:r w:rsidRPr="0073175E">
        <w:rPr>
          <w:rFonts w:ascii="Arial" w:hAnsi="Arial" w:cs="Arial"/>
          <w:sz w:val="20"/>
          <w:szCs w:val="20"/>
        </w:rPr>
        <w:t xml:space="preserve"> </w:t>
      </w:r>
    </w:p>
  </w:footnote>
  <w:footnote w:id="38">
    <w:p w14:paraId="41FE21F3" w14:textId="77777777" w:rsidR="00BF20CF" w:rsidRPr="00624309" w:rsidRDefault="00BF20CF" w:rsidP="00C87CDA">
      <w:pPr>
        <w:pStyle w:val="FootnoteText"/>
        <w:rPr>
          <w:rFonts w:ascii="Arial" w:hAnsi="Arial" w:cs="Arial"/>
          <w:sz w:val="20"/>
        </w:rPr>
      </w:pPr>
      <w:r w:rsidRPr="00624309">
        <w:rPr>
          <w:rStyle w:val="FootnoteReference"/>
          <w:rFonts w:ascii="Arial" w:hAnsi="Arial" w:cs="Arial"/>
          <w:sz w:val="20"/>
        </w:rPr>
        <w:footnoteRef/>
      </w:r>
      <w:r w:rsidRPr="00624309">
        <w:rPr>
          <w:rFonts w:ascii="Arial" w:hAnsi="Arial" w:cs="Arial"/>
          <w:sz w:val="20"/>
        </w:rPr>
        <w:t xml:space="preserve"> Accounting Direction Regarding Bill C-97 and Other Changes in Regulatory or legislated Tax Rules for Capital Cost Allowance dated July 25, 2019.  </w:t>
      </w:r>
    </w:p>
  </w:footnote>
  <w:footnote w:id="39">
    <w:p w14:paraId="4D6946CF" w14:textId="77777777" w:rsidR="00BF20CF" w:rsidRPr="00624309" w:rsidRDefault="00BF20CF" w:rsidP="00C87CDA">
      <w:pPr>
        <w:pStyle w:val="FootnoteText"/>
        <w:rPr>
          <w:rFonts w:ascii="Arial" w:hAnsi="Arial" w:cs="Arial"/>
          <w:sz w:val="20"/>
        </w:rPr>
      </w:pPr>
      <w:r w:rsidRPr="00624309">
        <w:rPr>
          <w:rStyle w:val="FootnoteReference"/>
          <w:rFonts w:ascii="Arial" w:hAnsi="Arial" w:cs="Arial"/>
          <w:sz w:val="20"/>
        </w:rPr>
        <w:footnoteRef/>
      </w:r>
      <w:r w:rsidRPr="00624309">
        <w:rPr>
          <w:rFonts w:ascii="Arial" w:hAnsi="Arial" w:cs="Arial"/>
          <w:sz w:val="20"/>
        </w:rPr>
        <w:t xml:space="preserve"> Schedule C, Accounting Orders, EB-2015-0004</w:t>
      </w:r>
    </w:p>
  </w:footnote>
  <w:footnote w:id="40">
    <w:p w14:paraId="5ACE63BD" w14:textId="77777777" w:rsidR="00BF20CF" w:rsidRPr="00624309" w:rsidRDefault="00BF20CF" w:rsidP="006B71B5">
      <w:pPr>
        <w:pStyle w:val="FootnoteText"/>
        <w:spacing w:after="0"/>
        <w:rPr>
          <w:rFonts w:ascii="Arial" w:hAnsi="Arial" w:cs="Arial"/>
          <w:sz w:val="20"/>
        </w:rPr>
      </w:pPr>
      <w:r w:rsidRPr="00624309">
        <w:rPr>
          <w:rStyle w:val="FootnoteReference"/>
          <w:rFonts w:ascii="Arial" w:hAnsi="Arial" w:cs="Arial"/>
          <w:sz w:val="20"/>
        </w:rPr>
        <w:footnoteRef/>
      </w:r>
      <w:r w:rsidRPr="00624309">
        <w:rPr>
          <w:rFonts w:ascii="Arial" w:hAnsi="Arial" w:cs="Arial"/>
          <w:sz w:val="20"/>
        </w:rPr>
        <w:t xml:space="preserve"> Decision and Order EB-2014-0116 (March 1, 2016), Appendix E, pp. 1-2</w:t>
      </w:r>
    </w:p>
  </w:footnote>
  <w:footnote w:id="41">
    <w:p w14:paraId="3AD5431F" w14:textId="77777777" w:rsidR="00BF20CF" w:rsidRPr="00624309" w:rsidRDefault="00BF20CF" w:rsidP="006B71B5">
      <w:pPr>
        <w:pStyle w:val="FootnoteText"/>
        <w:spacing w:after="0"/>
        <w:rPr>
          <w:rFonts w:ascii="Arial" w:hAnsi="Arial" w:cs="Arial"/>
          <w:sz w:val="20"/>
        </w:rPr>
      </w:pPr>
      <w:r w:rsidRPr="00624309">
        <w:rPr>
          <w:rStyle w:val="FootnoteReference"/>
          <w:rFonts w:ascii="Arial" w:hAnsi="Arial" w:cs="Arial"/>
          <w:sz w:val="20"/>
        </w:rPr>
        <w:footnoteRef/>
      </w:r>
      <w:r w:rsidRPr="00624309">
        <w:rPr>
          <w:rFonts w:ascii="Arial" w:hAnsi="Arial" w:cs="Arial"/>
          <w:sz w:val="20"/>
        </w:rPr>
        <w:t xml:space="preserve"> Decision and Order EB-2018-0165 (December 19, 2019), pp. 42-43</w:t>
      </w:r>
    </w:p>
  </w:footnote>
  <w:footnote w:id="42">
    <w:p w14:paraId="227CC099" w14:textId="77777777" w:rsidR="00BF20CF" w:rsidRPr="00624309" w:rsidRDefault="00BF20CF" w:rsidP="006B71B5">
      <w:pPr>
        <w:pStyle w:val="FootnoteText"/>
        <w:spacing w:after="0"/>
        <w:rPr>
          <w:rFonts w:ascii="Arial" w:hAnsi="Arial" w:cs="Arial"/>
          <w:sz w:val="20"/>
        </w:rPr>
      </w:pPr>
      <w:r w:rsidRPr="00624309">
        <w:rPr>
          <w:rStyle w:val="FootnoteReference"/>
          <w:rFonts w:ascii="Arial" w:hAnsi="Arial" w:cs="Arial"/>
          <w:sz w:val="20"/>
        </w:rPr>
        <w:footnoteRef/>
      </w:r>
      <w:r w:rsidRPr="00624309">
        <w:rPr>
          <w:rFonts w:ascii="Arial" w:hAnsi="Arial" w:cs="Arial"/>
          <w:sz w:val="20"/>
        </w:rPr>
        <w:t xml:space="preserve"> EB-2018-0165 Ex9/Tab 1/</w:t>
      </w:r>
      <w:proofErr w:type="spellStart"/>
      <w:r w:rsidRPr="00624309">
        <w:rPr>
          <w:rFonts w:ascii="Arial" w:hAnsi="Arial" w:cs="Arial"/>
          <w:sz w:val="20"/>
        </w:rPr>
        <w:t>Sch</w:t>
      </w:r>
      <w:proofErr w:type="spellEnd"/>
      <w:r w:rsidRPr="00624309">
        <w:rPr>
          <w:rFonts w:ascii="Arial" w:hAnsi="Arial" w:cs="Arial"/>
          <w:sz w:val="20"/>
        </w:rPr>
        <w:t xml:space="preserve"> 1/pp. 14-17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30605" w14:textId="77777777" w:rsidR="00BF20CF" w:rsidRPr="00D819A1" w:rsidRDefault="00BF20CF" w:rsidP="00D819A1">
    <w:pPr>
      <w:pStyle w:val="Header"/>
      <w:jc w:val="right"/>
      <w:rPr>
        <w:rFonts w:ascii="Arial" w:hAnsi="Arial" w:cs="Arial"/>
        <w:b/>
        <w:sz w:val="20"/>
        <w:szCs w:val="20"/>
      </w:rPr>
    </w:pPr>
    <w:r w:rsidRPr="00D819A1">
      <w:rPr>
        <w:rFonts w:ascii="Arial" w:hAnsi="Arial" w:cs="Arial"/>
        <w:b/>
        <w:sz w:val="20"/>
        <w:szCs w:val="20"/>
      </w:rPr>
      <w:t>EB-2019-0261</w:t>
    </w:r>
  </w:p>
  <w:p w14:paraId="744AAE7A" w14:textId="77777777" w:rsidR="00BF20CF" w:rsidRPr="00D819A1" w:rsidRDefault="00BF20CF" w:rsidP="00D819A1">
    <w:pPr>
      <w:pStyle w:val="Header"/>
      <w:jc w:val="right"/>
      <w:rPr>
        <w:rFonts w:ascii="Arial" w:hAnsi="Arial" w:cs="Arial"/>
        <w:b/>
        <w:sz w:val="20"/>
        <w:szCs w:val="20"/>
      </w:rPr>
    </w:pPr>
    <w:r w:rsidRPr="00D819A1">
      <w:rPr>
        <w:rFonts w:ascii="Arial" w:hAnsi="Arial" w:cs="Arial"/>
        <w:b/>
        <w:sz w:val="20"/>
        <w:szCs w:val="20"/>
      </w:rPr>
      <w:t>Hydro Ottawa Limited 2021-2025 Custom IR Application</w:t>
    </w:r>
  </w:p>
  <w:p w14:paraId="70147527" w14:textId="77777777" w:rsidR="00BF20CF" w:rsidRDefault="00BF20CF" w:rsidP="00D819A1">
    <w:pPr>
      <w:pStyle w:val="Header"/>
      <w:jc w:val="right"/>
      <w:rPr>
        <w:rFonts w:ascii="Arial" w:hAnsi="Arial" w:cs="Arial"/>
        <w:b/>
        <w:sz w:val="20"/>
        <w:szCs w:val="20"/>
      </w:rPr>
    </w:pPr>
    <w:r w:rsidRPr="00D819A1">
      <w:rPr>
        <w:rFonts w:ascii="Arial" w:hAnsi="Arial" w:cs="Arial"/>
        <w:b/>
        <w:sz w:val="20"/>
        <w:szCs w:val="20"/>
      </w:rPr>
      <w:t>OEB Staff Interrogatories</w:t>
    </w:r>
  </w:p>
  <w:p w14:paraId="5BDF5CAA" w14:textId="77777777" w:rsidR="00BF20CF" w:rsidRPr="0086688A" w:rsidRDefault="00BF20CF" w:rsidP="00D819A1">
    <w:pPr>
      <w:pStyle w:val="Header"/>
      <w:jc w:val="right"/>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3360" w:hanging="361"/>
      </w:pPr>
      <w:rPr>
        <w:rFonts w:ascii="Symbol" w:hAnsi="Symbol" w:cs="Symbol"/>
        <w:b w:val="0"/>
        <w:bCs w:val="0"/>
        <w:w w:val="100"/>
        <w:sz w:val="22"/>
        <w:szCs w:val="22"/>
      </w:rPr>
    </w:lvl>
    <w:lvl w:ilvl="1">
      <w:numFmt w:val="bullet"/>
      <w:lvlText w:val="•"/>
      <w:lvlJc w:val="left"/>
      <w:pPr>
        <w:ind w:left="4236" w:hanging="361"/>
      </w:pPr>
    </w:lvl>
    <w:lvl w:ilvl="2">
      <w:numFmt w:val="bullet"/>
      <w:lvlText w:val="•"/>
      <w:lvlJc w:val="left"/>
      <w:pPr>
        <w:ind w:left="5112" w:hanging="361"/>
      </w:pPr>
    </w:lvl>
    <w:lvl w:ilvl="3">
      <w:numFmt w:val="bullet"/>
      <w:lvlText w:val="•"/>
      <w:lvlJc w:val="left"/>
      <w:pPr>
        <w:ind w:left="5988" w:hanging="361"/>
      </w:pPr>
    </w:lvl>
    <w:lvl w:ilvl="4">
      <w:numFmt w:val="bullet"/>
      <w:lvlText w:val="•"/>
      <w:lvlJc w:val="left"/>
      <w:pPr>
        <w:ind w:left="6864" w:hanging="361"/>
      </w:pPr>
    </w:lvl>
    <w:lvl w:ilvl="5">
      <w:numFmt w:val="bullet"/>
      <w:lvlText w:val="•"/>
      <w:lvlJc w:val="left"/>
      <w:pPr>
        <w:ind w:left="7740" w:hanging="361"/>
      </w:pPr>
    </w:lvl>
    <w:lvl w:ilvl="6">
      <w:numFmt w:val="bullet"/>
      <w:lvlText w:val="•"/>
      <w:lvlJc w:val="left"/>
      <w:pPr>
        <w:ind w:left="8616" w:hanging="361"/>
      </w:pPr>
    </w:lvl>
    <w:lvl w:ilvl="7">
      <w:numFmt w:val="bullet"/>
      <w:lvlText w:val="•"/>
      <w:lvlJc w:val="left"/>
      <w:pPr>
        <w:ind w:left="9492" w:hanging="361"/>
      </w:pPr>
    </w:lvl>
    <w:lvl w:ilvl="8">
      <w:numFmt w:val="bullet"/>
      <w:lvlText w:val="•"/>
      <w:lvlJc w:val="left"/>
      <w:pPr>
        <w:ind w:left="10368" w:hanging="361"/>
      </w:pPr>
    </w:lvl>
  </w:abstractNum>
  <w:abstractNum w:abstractNumId="1" w15:restartNumberingAfterBreak="0">
    <w:nsid w:val="00A60062"/>
    <w:multiLevelType w:val="hybridMultilevel"/>
    <w:tmpl w:val="44F26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817CF"/>
    <w:multiLevelType w:val="hybridMultilevel"/>
    <w:tmpl w:val="3E7ED06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AC454E"/>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400121"/>
    <w:multiLevelType w:val="hybridMultilevel"/>
    <w:tmpl w:val="2A682A2E"/>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FC25AE"/>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6264AA"/>
    <w:multiLevelType w:val="hybridMultilevel"/>
    <w:tmpl w:val="4CC2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95740C"/>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F904B2"/>
    <w:multiLevelType w:val="hybridMultilevel"/>
    <w:tmpl w:val="D07CA62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5BC402D"/>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EE3423"/>
    <w:multiLevelType w:val="hybridMultilevel"/>
    <w:tmpl w:val="E2A45C1C"/>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3F495B"/>
    <w:multiLevelType w:val="hybridMultilevel"/>
    <w:tmpl w:val="2A682A2E"/>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F229B9"/>
    <w:multiLevelType w:val="hybridMultilevel"/>
    <w:tmpl w:val="C6C4C1D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4A3FA4"/>
    <w:multiLevelType w:val="hybridMultilevel"/>
    <w:tmpl w:val="5B0C5D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C65940"/>
    <w:multiLevelType w:val="hybridMultilevel"/>
    <w:tmpl w:val="D6226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427932"/>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442986"/>
    <w:multiLevelType w:val="hybridMultilevel"/>
    <w:tmpl w:val="ACA0FB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CC04F3"/>
    <w:multiLevelType w:val="hybridMultilevel"/>
    <w:tmpl w:val="D990EFF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7A2398"/>
    <w:multiLevelType w:val="hybridMultilevel"/>
    <w:tmpl w:val="BEC04D5E"/>
    <w:lvl w:ilvl="0" w:tplc="7AAA2D3E">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AF19E1"/>
    <w:multiLevelType w:val="hybridMultilevel"/>
    <w:tmpl w:val="8CC617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B4408C"/>
    <w:multiLevelType w:val="hybridMultilevel"/>
    <w:tmpl w:val="DCB0F43C"/>
    <w:lvl w:ilvl="0" w:tplc="04090001">
      <w:start w:val="1"/>
      <w:numFmt w:val="bullet"/>
      <w:lvlText w:val=""/>
      <w:lvlJc w:val="left"/>
      <w:pPr>
        <w:ind w:left="790" w:hanging="360"/>
      </w:pPr>
      <w:rPr>
        <w:rFonts w:ascii="Symbol" w:hAnsi="Symbol" w:hint="default"/>
      </w:rPr>
    </w:lvl>
    <w:lvl w:ilvl="1" w:tplc="04090003">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1" w15:restartNumberingAfterBreak="0">
    <w:nsid w:val="0BE80529"/>
    <w:multiLevelType w:val="hybridMultilevel"/>
    <w:tmpl w:val="4DF4DA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BFB527F"/>
    <w:multiLevelType w:val="hybridMultilevel"/>
    <w:tmpl w:val="8EE6A6B8"/>
    <w:lvl w:ilvl="0" w:tplc="9322EB0A">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FD13BB"/>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5C59B8"/>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3321D2"/>
    <w:multiLevelType w:val="hybridMultilevel"/>
    <w:tmpl w:val="68CA6E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DE06EDB"/>
    <w:multiLevelType w:val="hybridMultilevel"/>
    <w:tmpl w:val="47E8254C"/>
    <w:lvl w:ilvl="0" w:tplc="04090001">
      <w:start w:val="1"/>
      <w:numFmt w:val="bullet"/>
      <w:lvlText w:val=""/>
      <w:lvlJc w:val="left"/>
      <w:pPr>
        <w:ind w:left="1260" w:hanging="360"/>
      </w:pPr>
      <w:rPr>
        <w:rFonts w:ascii="Symbol" w:hAnsi="Symbol" w:cs="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cs="Wingdings" w:hint="default"/>
      </w:rPr>
    </w:lvl>
    <w:lvl w:ilvl="3" w:tplc="04090001" w:tentative="1">
      <w:start w:val="1"/>
      <w:numFmt w:val="bullet"/>
      <w:lvlText w:val=""/>
      <w:lvlJc w:val="left"/>
      <w:pPr>
        <w:ind w:left="3420" w:hanging="360"/>
      </w:pPr>
      <w:rPr>
        <w:rFonts w:ascii="Symbol" w:hAnsi="Symbol" w:cs="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cs="Wingdings" w:hint="default"/>
      </w:rPr>
    </w:lvl>
    <w:lvl w:ilvl="6" w:tplc="04090001" w:tentative="1">
      <w:start w:val="1"/>
      <w:numFmt w:val="bullet"/>
      <w:lvlText w:val=""/>
      <w:lvlJc w:val="left"/>
      <w:pPr>
        <w:ind w:left="5580" w:hanging="360"/>
      </w:pPr>
      <w:rPr>
        <w:rFonts w:ascii="Symbol" w:hAnsi="Symbol" w:cs="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cs="Wingdings" w:hint="default"/>
      </w:rPr>
    </w:lvl>
  </w:abstractNum>
  <w:abstractNum w:abstractNumId="27" w15:restartNumberingAfterBreak="0">
    <w:nsid w:val="0E5E5850"/>
    <w:multiLevelType w:val="hybridMultilevel"/>
    <w:tmpl w:val="050258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F3B02A3"/>
    <w:multiLevelType w:val="hybridMultilevel"/>
    <w:tmpl w:val="BDDC3E36"/>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194B05"/>
    <w:multiLevelType w:val="hybridMultilevel"/>
    <w:tmpl w:val="AB9C0A4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0DE481B"/>
    <w:multiLevelType w:val="hybridMultilevel"/>
    <w:tmpl w:val="F96A03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BE685C"/>
    <w:multiLevelType w:val="hybridMultilevel"/>
    <w:tmpl w:val="86866712"/>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F15156"/>
    <w:multiLevelType w:val="hybridMultilevel"/>
    <w:tmpl w:val="E52E91A6"/>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240085"/>
    <w:multiLevelType w:val="hybridMultilevel"/>
    <w:tmpl w:val="7714D7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CB0FA4"/>
    <w:multiLevelType w:val="hybridMultilevel"/>
    <w:tmpl w:val="8472A8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3E03804"/>
    <w:multiLevelType w:val="hybridMultilevel"/>
    <w:tmpl w:val="F94A42AA"/>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4716973"/>
    <w:multiLevelType w:val="hybridMultilevel"/>
    <w:tmpl w:val="827E9890"/>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16184D71"/>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781E11"/>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6986D58"/>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991C58"/>
    <w:multiLevelType w:val="hybridMultilevel"/>
    <w:tmpl w:val="2A94C60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6AB64DD"/>
    <w:multiLevelType w:val="hybridMultilevel"/>
    <w:tmpl w:val="A2C28894"/>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485C25"/>
    <w:multiLevelType w:val="hybridMultilevel"/>
    <w:tmpl w:val="5CDA802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181E6DCA"/>
    <w:multiLevelType w:val="hybridMultilevel"/>
    <w:tmpl w:val="78025A0C"/>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18A1037C"/>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9307187"/>
    <w:multiLevelType w:val="hybridMultilevel"/>
    <w:tmpl w:val="4DDC4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9340F97"/>
    <w:multiLevelType w:val="multilevel"/>
    <w:tmpl w:val="91D881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9B86CC7"/>
    <w:multiLevelType w:val="hybridMultilevel"/>
    <w:tmpl w:val="0038C1E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19CC535B"/>
    <w:multiLevelType w:val="hybridMultilevel"/>
    <w:tmpl w:val="00449BC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19CC588F"/>
    <w:multiLevelType w:val="hybridMultilevel"/>
    <w:tmpl w:val="2A682A2E"/>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E72297"/>
    <w:multiLevelType w:val="hybridMultilevel"/>
    <w:tmpl w:val="BD18C53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1BF0746C"/>
    <w:multiLevelType w:val="hybridMultilevel"/>
    <w:tmpl w:val="7F6CD86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576A86"/>
    <w:multiLevelType w:val="hybridMultilevel"/>
    <w:tmpl w:val="D71E4216"/>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3B22E4"/>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CF3EEF"/>
    <w:multiLevelType w:val="multilevel"/>
    <w:tmpl w:val="480A1F76"/>
    <w:lvl w:ilvl="0">
      <w:start w:val="1"/>
      <w:numFmt w:val="lowerLetter"/>
      <w:lvlText w:val="%1."/>
      <w:lvlJc w:val="left"/>
      <w:pPr>
        <w:ind w:left="720" w:hanging="360"/>
      </w:pPr>
      <w:rPr>
        <w:u w:val="none"/>
      </w:rPr>
    </w:lvl>
    <w:lvl w:ilvl="1">
      <w:start w:val="1"/>
      <w:numFmt w:val="lowerLetter"/>
      <w:lvlText w:val="%2)"/>
      <w:lvlJc w:val="left"/>
      <w:pPr>
        <w:ind w:left="1440" w:hanging="360"/>
      </w:pPr>
      <w:rPr>
        <w:rFonts w:ascii="Arial" w:hAnsi="Arial" w:hint="default"/>
        <w:sz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1DE102EB"/>
    <w:multiLevelType w:val="hybridMultilevel"/>
    <w:tmpl w:val="7BB40EB8"/>
    <w:lvl w:ilvl="0" w:tplc="206C145C">
      <w:start w:val="1"/>
      <w:numFmt w:val="lowerLetter"/>
      <w:lvlText w:val="%1)"/>
      <w:lvlJc w:val="left"/>
      <w:pPr>
        <w:ind w:left="720" w:hanging="360"/>
      </w:pPr>
      <w:rPr>
        <w:rFonts w:ascii="Arial" w:hAnsi="Arial" w:cs="Arial" w:hint="default"/>
        <w:strike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ED1C28"/>
    <w:multiLevelType w:val="multilevel"/>
    <w:tmpl w:val="DD4A1E62"/>
    <w:lvl w:ilvl="0">
      <w:start w:val="1"/>
      <w:numFmt w:val="lowerLetter"/>
      <w:lvlText w:val="%1)"/>
      <w:lvlJc w:val="left"/>
      <w:pPr>
        <w:ind w:left="720" w:hanging="360"/>
      </w:pPr>
      <w:rPr>
        <w:rFonts w:ascii="Arial" w:hAnsi="Arial" w:hint="default"/>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1F2E4D73"/>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966D7D"/>
    <w:multiLevelType w:val="hybridMultilevel"/>
    <w:tmpl w:val="B5F612B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20120B33"/>
    <w:multiLevelType w:val="hybridMultilevel"/>
    <w:tmpl w:val="52A273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7D1D8A"/>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0B27CBA"/>
    <w:multiLevelType w:val="hybridMultilevel"/>
    <w:tmpl w:val="2F02B8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0151C6"/>
    <w:multiLevelType w:val="hybridMultilevel"/>
    <w:tmpl w:val="B650A30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21E208D6"/>
    <w:multiLevelType w:val="hybridMultilevel"/>
    <w:tmpl w:val="23D06E9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2206067F"/>
    <w:multiLevelType w:val="multilevel"/>
    <w:tmpl w:val="D13CA220"/>
    <w:lvl w:ilvl="0">
      <w:start w:val="1"/>
      <w:numFmt w:val="lowerLetter"/>
      <w:lvlText w:val="%1)"/>
      <w:lvlJc w:val="left"/>
      <w:pPr>
        <w:ind w:left="720" w:hanging="360"/>
      </w:pPr>
      <w:rPr>
        <w:rFonts w:ascii="Arial" w:hAnsi="Arial" w:hint="default"/>
        <w:sz w:val="24"/>
        <w:u w:val="none"/>
      </w:rPr>
    </w:lvl>
    <w:lvl w:ilvl="1">
      <w:start w:val="1"/>
      <w:numFmt w:val="lowerLetter"/>
      <w:lvlText w:val="%2)"/>
      <w:lvlJc w:val="left"/>
      <w:pPr>
        <w:ind w:left="1440" w:hanging="360"/>
      </w:pPr>
      <w:rPr>
        <w:rFonts w:ascii="Arial" w:hAnsi="Arial" w:hint="default"/>
        <w:sz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227068C1"/>
    <w:multiLevelType w:val="multilevel"/>
    <w:tmpl w:val="0DE2EF2E"/>
    <w:lvl w:ilvl="0">
      <w:start w:val="1"/>
      <w:numFmt w:val="lowerLetter"/>
      <w:lvlText w:val="%1)"/>
      <w:lvlJc w:val="left"/>
      <w:pPr>
        <w:ind w:left="720" w:hanging="360"/>
      </w:pPr>
      <w:rPr>
        <w:rFonts w:ascii="Arial" w:hAnsi="Arial" w:hint="default"/>
        <w:sz w:val="24"/>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22833045"/>
    <w:multiLevelType w:val="hybridMultilevel"/>
    <w:tmpl w:val="EC146B0E"/>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28345A1"/>
    <w:multiLevelType w:val="hybridMultilevel"/>
    <w:tmpl w:val="6EF04C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BD5B19"/>
    <w:multiLevelType w:val="hybridMultilevel"/>
    <w:tmpl w:val="1C8EB92C"/>
    <w:lvl w:ilvl="0" w:tplc="C5363BAA">
      <w:start w:val="1"/>
      <w:numFmt w:val="lowerLetter"/>
      <w:lvlText w:val="%1)"/>
      <w:lvlJc w:val="left"/>
      <w:pPr>
        <w:ind w:left="720" w:hanging="360"/>
      </w:pPr>
      <w:rPr>
        <w:rFonts w:ascii="Arial" w:hAnsi="Arial"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62089F"/>
    <w:multiLevelType w:val="multilevel"/>
    <w:tmpl w:val="DB5A8DC8"/>
    <w:lvl w:ilvl="0">
      <w:start w:val="1"/>
      <w:numFmt w:val="lowerLetter"/>
      <w:lvlText w:val="%1)"/>
      <w:lvlJc w:val="left"/>
      <w:pPr>
        <w:ind w:left="720" w:hanging="360"/>
      </w:pPr>
      <w:rPr>
        <w:rFonts w:ascii="Arial" w:hAnsi="Arial" w:hint="default"/>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24B72941"/>
    <w:multiLevelType w:val="hybridMultilevel"/>
    <w:tmpl w:val="ABF439E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4C300BA"/>
    <w:multiLevelType w:val="hybridMultilevel"/>
    <w:tmpl w:val="2A682A2E"/>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D92F2B"/>
    <w:multiLevelType w:val="hybridMultilevel"/>
    <w:tmpl w:val="CD70CC5C"/>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1A6EBC"/>
    <w:multiLevelType w:val="hybridMultilevel"/>
    <w:tmpl w:val="D566659C"/>
    <w:lvl w:ilvl="0" w:tplc="E16452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1D669E"/>
    <w:multiLevelType w:val="hybridMultilevel"/>
    <w:tmpl w:val="2A682A2E"/>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6776F1B"/>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693161F"/>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85341B4"/>
    <w:multiLevelType w:val="hybridMultilevel"/>
    <w:tmpl w:val="78305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9927255"/>
    <w:multiLevelType w:val="hybridMultilevel"/>
    <w:tmpl w:val="1D0CDBD0"/>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2E49CD"/>
    <w:multiLevelType w:val="hybridMultilevel"/>
    <w:tmpl w:val="21A4051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B7568AC"/>
    <w:multiLevelType w:val="hybridMultilevel"/>
    <w:tmpl w:val="1A4C52CC"/>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C601556"/>
    <w:multiLevelType w:val="hybridMultilevel"/>
    <w:tmpl w:val="694A9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2CED2A13"/>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D9E5150"/>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9F6927"/>
    <w:multiLevelType w:val="hybridMultilevel"/>
    <w:tmpl w:val="9C0A973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2DFA043F"/>
    <w:multiLevelType w:val="hybridMultilevel"/>
    <w:tmpl w:val="BDD2D7E4"/>
    <w:lvl w:ilvl="0" w:tplc="04090017">
      <w:start w:val="1"/>
      <w:numFmt w:val="lowerLetter"/>
      <w:lvlText w:val="%1)"/>
      <w:lvlJc w:val="left"/>
      <w:pPr>
        <w:ind w:left="720" w:hanging="360"/>
      </w:pPr>
      <w:rPr>
        <w:rFonts w:hint="default"/>
      </w:rPr>
    </w:lvl>
    <w:lvl w:ilvl="1" w:tplc="B8144E60">
      <w:start w:val="1"/>
      <w:numFmt w:val="lowerRoman"/>
      <w:lvlText w:val="%2."/>
      <w:lvlJc w:val="left"/>
      <w:pPr>
        <w:ind w:left="1440" w:hanging="360"/>
      </w:pPr>
      <w:rPr>
        <w:rFonts w:hint="default"/>
      </w:rPr>
    </w:lvl>
    <w:lvl w:ilvl="2" w:tplc="9B021792">
      <w:start w:val="1"/>
      <w:numFmt w:val="decimal"/>
      <w:lvlText w:val="(%3)"/>
      <w:lvlJc w:val="left"/>
      <w:pPr>
        <w:ind w:left="2160" w:hanging="180"/>
      </w:pPr>
      <w:rPr>
        <w:rFonts w:hint="default"/>
      </w:rPr>
    </w:lvl>
    <w:lvl w:ilvl="3" w:tplc="9B02179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163691"/>
    <w:multiLevelType w:val="hybridMultilevel"/>
    <w:tmpl w:val="32A8BF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15:restartNumberingAfterBreak="0">
    <w:nsid w:val="2E3976F7"/>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6E6772"/>
    <w:multiLevelType w:val="hybridMultilevel"/>
    <w:tmpl w:val="1B82A9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E9E1AC6"/>
    <w:multiLevelType w:val="hybridMultilevel"/>
    <w:tmpl w:val="A9C67A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2F2139CC"/>
    <w:multiLevelType w:val="hybridMultilevel"/>
    <w:tmpl w:val="CAF6F7B2"/>
    <w:lvl w:ilvl="0" w:tplc="B6380BF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3013CB"/>
    <w:multiLevelType w:val="hybridMultilevel"/>
    <w:tmpl w:val="143804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042086F"/>
    <w:multiLevelType w:val="hybridMultilevel"/>
    <w:tmpl w:val="584E394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315D0C83"/>
    <w:multiLevelType w:val="hybridMultilevel"/>
    <w:tmpl w:val="0DF27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1F37D04"/>
    <w:multiLevelType w:val="hybridMultilevel"/>
    <w:tmpl w:val="61DC8F4A"/>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2785C13"/>
    <w:multiLevelType w:val="hybridMultilevel"/>
    <w:tmpl w:val="F1B441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40C5FBA"/>
    <w:multiLevelType w:val="hybridMultilevel"/>
    <w:tmpl w:val="370646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34FB36A0"/>
    <w:multiLevelType w:val="hybridMultilevel"/>
    <w:tmpl w:val="9352227C"/>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4FC6EED"/>
    <w:multiLevelType w:val="hybridMultilevel"/>
    <w:tmpl w:val="AE32278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F112C734">
      <w:start w:val="1"/>
      <w:numFmt w:val="lowerLetter"/>
      <w:lvlText w:val="%4)"/>
      <w:lvlJc w:val="left"/>
      <w:pPr>
        <w:ind w:left="2880" w:hanging="360"/>
      </w:pPr>
      <w:rPr>
        <w:rFonts w:hint="default"/>
      </w:rPr>
    </w:lvl>
    <w:lvl w:ilvl="4" w:tplc="0409001B">
      <w:start w:val="1"/>
      <w:numFmt w:val="lowerRoman"/>
      <w:lvlText w:val="%5."/>
      <w:lvlJc w:val="right"/>
      <w:pPr>
        <w:ind w:left="3600" w:hanging="360"/>
      </w:pPr>
    </w:lvl>
    <w:lvl w:ilvl="5" w:tplc="78E8B9C0">
      <w:start w:val="1"/>
      <w:numFmt w:val="upperRoman"/>
      <w:lvlText w:val="%6)"/>
      <w:lvlJc w:val="left"/>
      <w:pPr>
        <w:ind w:left="4860" w:hanging="72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7631F8"/>
    <w:multiLevelType w:val="hybridMultilevel"/>
    <w:tmpl w:val="8A1A844C"/>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A6555F"/>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B775A2"/>
    <w:multiLevelType w:val="hybridMultilevel"/>
    <w:tmpl w:val="D6A2BD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6D726C2"/>
    <w:multiLevelType w:val="hybridMultilevel"/>
    <w:tmpl w:val="4EF0E392"/>
    <w:lvl w:ilvl="0" w:tplc="FB1E6A5E">
      <w:start w:val="1"/>
      <w:numFmt w:val="lowerLetter"/>
      <w:lvlText w:val="%1)"/>
      <w:lvlJc w:val="left"/>
      <w:pPr>
        <w:ind w:left="720" w:hanging="360"/>
      </w:pPr>
      <w:rPr>
        <w:rFonts w:ascii="Arial" w:hAnsi="Arial" w:cs="Arial" w:hint="default"/>
      </w:rPr>
    </w:lvl>
    <w:lvl w:ilvl="1" w:tplc="10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70A2772"/>
    <w:multiLevelType w:val="hybridMultilevel"/>
    <w:tmpl w:val="FA6A73EA"/>
    <w:lvl w:ilvl="0" w:tplc="04090003">
      <w:start w:val="1"/>
      <w:numFmt w:val="bullet"/>
      <w:lvlText w:val="o"/>
      <w:lvlJc w:val="left"/>
      <w:pPr>
        <w:ind w:left="1440" w:hanging="360"/>
      </w:pPr>
      <w:rPr>
        <w:rFonts w:ascii="Courier New" w:hAnsi="Courier New" w:cs="Courier New" w:hint="default"/>
      </w:rPr>
    </w:lvl>
    <w:lvl w:ilvl="1" w:tplc="53765D4A">
      <w:numFmt w:val="bullet"/>
      <w:lvlText w:val="-"/>
      <w:lvlJc w:val="left"/>
      <w:pPr>
        <w:ind w:left="21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377E23CA"/>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7FF7686"/>
    <w:multiLevelType w:val="hybridMultilevel"/>
    <w:tmpl w:val="14660B6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6" w15:restartNumberingAfterBreak="0">
    <w:nsid w:val="385F4B55"/>
    <w:multiLevelType w:val="multilevel"/>
    <w:tmpl w:val="5B02DE44"/>
    <w:lvl w:ilvl="0">
      <w:start w:val="1"/>
      <w:numFmt w:val="lowerLetter"/>
      <w:lvlText w:val="%1)"/>
      <w:lvlJc w:val="left"/>
      <w:pPr>
        <w:ind w:left="720" w:hanging="360"/>
      </w:pPr>
      <w:rPr>
        <w:rFonts w:ascii="Arial" w:hAnsi="Arial" w:hint="defaul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38B53CB5"/>
    <w:multiLevelType w:val="hybridMultilevel"/>
    <w:tmpl w:val="94AAD1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931472F"/>
    <w:multiLevelType w:val="hybridMultilevel"/>
    <w:tmpl w:val="9ADA390C"/>
    <w:lvl w:ilvl="0" w:tplc="D15C593E">
      <w:start w:val="1"/>
      <w:numFmt w:val="decimal"/>
      <w:lvlText w:val="(%1)"/>
      <w:lvlJc w:val="left"/>
      <w:pPr>
        <w:ind w:left="2520" w:hanging="360"/>
      </w:pPr>
      <w:rPr>
        <w:rFonts w:ascii="Arial" w:eastAsiaTheme="minorHAnsi" w:hAnsi="Arial" w:cs="Arial"/>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9" w15:restartNumberingAfterBreak="0">
    <w:nsid w:val="39F94166"/>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C0F5D38"/>
    <w:multiLevelType w:val="hybridMultilevel"/>
    <w:tmpl w:val="097664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C3E64B7"/>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CC77011"/>
    <w:multiLevelType w:val="hybridMultilevel"/>
    <w:tmpl w:val="770EB0D2"/>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CC928C7"/>
    <w:multiLevelType w:val="hybridMultilevel"/>
    <w:tmpl w:val="4F6657BA"/>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D0C3763"/>
    <w:multiLevelType w:val="hybridMultilevel"/>
    <w:tmpl w:val="2D0E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D2914F3"/>
    <w:multiLevelType w:val="hybridMultilevel"/>
    <w:tmpl w:val="DFFEC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E272429"/>
    <w:multiLevelType w:val="hybridMultilevel"/>
    <w:tmpl w:val="E9AE590C"/>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E284DDC"/>
    <w:multiLevelType w:val="hybridMultilevel"/>
    <w:tmpl w:val="5F26C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E4C19EB"/>
    <w:multiLevelType w:val="hybridMultilevel"/>
    <w:tmpl w:val="11AA1B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EAD24C2"/>
    <w:multiLevelType w:val="hybridMultilevel"/>
    <w:tmpl w:val="9D5697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F2828BF"/>
    <w:multiLevelType w:val="hybridMultilevel"/>
    <w:tmpl w:val="1CBA513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1" w15:restartNumberingAfterBreak="0">
    <w:nsid w:val="3F3C34CD"/>
    <w:multiLevelType w:val="multilevel"/>
    <w:tmpl w:val="BC768618"/>
    <w:lvl w:ilvl="0">
      <w:start w:val="1"/>
      <w:numFmt w:val="lowerLetter"/>
      <w:lvlText w:val="%1)"/>
      <w:lvlJc w:val="left"/>
      <w:pPr>
        <w:ind w:left="720" w:hanging="360"/>
      </w:pPr>
      <w:rPr>
        <w:rFonts w:ascii="Arial" w:hAnsi="Arial" w:hint="default"/>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15:restartNumberingAfterBreak="0">
    <w:nsid w:val="3FE15AE1"/>
    <w:multiLevelType w:val="hybridMultilevel"/>
    <w:tmpl w:val="15BE6E7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0402AF0"/>
    <w:multiLevelType w:val="hybridMultilevel"/>
    <w:tmpl w:val="94506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092616F"/>
    <w:multiLevelType w:val="hybridMultilevel"/>
    <w:tmpl w:val="B8AC50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E144F3"/>
    <w:multiLevelType w:val="hybridMultilevel"/>
    <w:tmpl w:val="C5D867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156474F"/>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5756E5"/>
    <w:multiLevelType w:val="hybridMultilevel"/>
    <w:tmpl w:val="D35869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25B6F0B"/>
    <w:multiLevelType w:val="hybridMultilevel"/>
    <w:tmpl w:val="87CC22D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2B313A6"/>
    <w:multiLevelType w:val="hybridMultilevel"/>
    <w:tmpl w:val="CC9E8692"/>
    <w:lvl w:ilvl="0" w:tplc="04090017">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3A26BBA"/>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F14A1D"/>
    <w:multiLevelType w:val="hybridMultilevel"/>
    <w:tmpl w:val="033EE0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443A1919"/>
    <w:multiLevelType w:val="hybridMultilevel"/>
    <w:tmpl w:val="AA564FD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4FE7E9A"/>
    <w:multiLevelType w:val="hybridMultilevel"/>
    <w:tmpl w:val="5FA806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462B34A1"/>
    <w:multiLevelType w:val="hybridMultilevel"/>
    <w:tmpl w:val="196CC876"/>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6365B67"/>
    <w:multiLevelType w:val="hybridMultilevel"/>
    <w:tmpl w:val="ABFEAE2E"/>
    <w:lvl w:ilvl="0" w:tplc="0409001B">
      <w:start w:val="1"/>
      <w:numFmt w:val="lowerRoman"/>
      <w:lvlText w:val="%1."/>
      <w:lvlJc w:val="right"/>
      <w:pPr>
        <w:ind w:left="1800" w:hanging="360"/>
      </w:pPr>
      <w:rPr>
        <w:rFonts w:hint="default"/>
      </w:rPr>
    </w:lvl>
    <w:lvl w:ilvl="1" w:tplc="D15C593E">
      <w:start w:val="1"/>
      <w:numFmt w:val="decimal"/>
      <w:lvlText w:val="(%2)"/>
      <w:lvlJc w:val="left"/>
      <w:pPr>
        <w:ind w:left="2520" w:hanging="360"/>
      </w:pPr>
      <w:rPr>
        <w:rFonts w:ascii="Arial" w:eastAsiaTheme="minorHAnsi" w:hAnsi="Arial" w:cs="Arial"/>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6" w15:restartNumberingAfterBreak="0">
    <w:nsid w:val="46C36499"/>
    <w:multiLevelType w:val="hybridMultilevel"/>
    <w:tmpl w:val="8EE6A6B8"/>
    <w:lvl w:ilvl="0" w:tplc="9322EB0A">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6C826B6"/>
    <w:multiLevelType w:val="hybridMultilevel"/>
    <w:tmpl w:val="111A55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80A6429"/>
    <w:multiLevelType w:val="hybridMultilevel"/>
    <w:tmpl w:val="D93084F6"/>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8273A98"/>
    <w:multiLevelType w:val="hybridMultilevel"/>
    <w:tmpl w:val="95BE212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8496C83"/>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91B58CC"/>
    <w:multiLevelType w:val="hybridMultilevel"/>
    <w:tmpl w:val="2376E2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92B3E1B"/>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94E69C6"/>
    <w:multiLevelType w:val="hybridMultilevel"/>
    <w:tmpl w:val="1CBA513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4" w15:restartNumberingAfterBreak="0">
    <w:nsid w:val="4A3227E4"/>
    <w:multiLevelType w:val="hybridMultilevel"/>
    <w:tmpl w:val="A22844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A974D24"/>
    <w:multiLevelType w:val="hybridMultilevel"/>
    <w:tmpl w:val="431C06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AB123D7"/>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ABF3645"/>
    <w:multiLevelType w:val="hybridMultilevel"/>
    <w:tmpl w:val="8468F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B4018FB"/>
    <w:multiLevelType w:val="hybridMultilevel"/>
    <w:tmpl w:val="1290728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B8C75DF"/>
    <w:multiLevelType w:val="hybridMultilevel"/>
    <w:tmpl w:val="1BFE273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0" w15:restartNumberingAfterBreak="0">
    <w:nsid w:val="4C3271C5"/>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C4A039F"/>
    <w:multiLevelType w:val="hybridMultilevel"/>
    <w:tmpl w:val="FB6641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D527CCE"/>
    <w:multiLevelType w:val="hybridMultilevel"/>
    <w:tmpl w:val="3EFA58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D5B743D"/>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D991CDE"/>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E927E63"/>
    <w:multiLevelType w:val="hybridMultilevel"/>
    <w:tmpl w:val="387C67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F11090F"/>
    <w:multiLevelType w:val="hybridMultilevel"/>
    <w:tmpl w:val="0EB8F44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F2A4BD1"/>
    <w:multiLevelType w:val="hybridMultilevel"/>
    <w:tmpl w:val="D552390C"/>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F425936"/>
    <w:multiLevelType w:val="hybridMultilevel"/>
    <w:tmpl w:val="04DA94D8"/>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FAA7AD9"/>
    <w:multiLevelType w:val="hybridMultilevel"/>
    <w:tmpl w:val="CEA8C3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0173C47"/>
    <w:multiLevelType w:val="hybridMultilevel"/>
    <w:tmpl w:val="DDFCB0FA"/>
    <w:lvl w:ilvl="0" w:tplc="1EB09DA6">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1AB5961"/>
    <w:multiLevelType w:val="hybridMultilevel"/>
    <w:tmpl w:val="A2B0B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29C7A41"/>
    <w:multiLevelType w:val="multilevel"/>
    <w:tmpl w:val="C06696EE"/>
    <w:lvl w:ilvl="0">
      <w:start w:val="1"/>
      <w:numFmt w:val="lowerLetter"/>
      <w:lvlText w:val="%1)"/>
      <w:lvlJc w:val="left"/>
      <w:pPr>
        <w:ind w:left="720" w:hanging="360"/>
      </w:pPr>
      <w:rPr>
        <w:rFonts w:ascii="Arial" w:hAnsi="Arial" w:hint="default"/>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15:restartNumberingAfterBreak="0">
    <w:nsid w:val="52E90436"/>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2F130CD"/>
    <w:multiLevelType w:val="hybridMultilevel"/>
    <w:tmpl w:val="4E30E4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3313A22"/>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38A28F3"/>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4783DF2"/>
    <w:multiLevelType w:val="hybridMultilevel"/>
    <w:tmpl w:val="5FFE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4EF2D55"/>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5491AC9"/>
    <w:multiLevelType w:val="hybridMultilevel"/>
    <w:tmpl w:val="6D9EB8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564365B"/>
    <w:multiLevelType w:val="hybridMultilevel"/>
    <w:tmpl w:val="F7DA0A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58C2ACB"/>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6054184"/>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65F3DA4"/>
    <w:multiLevelType w:val="hybridMultilevel"/>
    <w:tmpl w:val="8B2C86E4"/>
    <w:lvl w:ilvl="0" w:tplc="D15C593E">
      <w:start w:val="1"/>
      <w:numFmt w:val="decimal"/>
      <w:lvlText w:val="(%1)"/>
      <w:lvlJc w:val="left"/>
      <w:pPr>
        <w:ind w:left="1800" w:hanging="360"/>
      </w:pPr>
      <w:rPr>
        <w:rFonts w:ascii="Arial" w:eastAsiaTheme="minorHAnsi" w:hAnsi="Arial"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15:restartNumberingAfterBreak="0">
    <w:nsid w:val="57CE5285"/>
    <w:multiLevelType w:val="hybridMultilevel"/>
    <w:tmpl w:val="FC1C88F4"/>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57D55D9A"/>
    <w:multiLevelType w:val="hybridMultilevel"/>
    <w:tmpl w:val="5E68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8574374"/>
    <w:multiLevelType w:val="hybridMultilevel"/>
    <w:tmpl w:val="38B286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91B28AB"/>
    <w:multiLevelType w:val="hybridMultilevel"/>
    <w:tmpl w:val="17A0DEC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F112C734">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B6867A0"/>
    <w:multiLevelType w:val="hybridMultilevel"/>
    <w:tmpl w:val="D6EA7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B99491F"/>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BFB6409"/>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CB846EE"/>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D455A8A"/>
    <w:multiLevelType w:val="hybridMultilevel"/>
    <w:tmpl w:val="2A682A2E"/>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D7221CF"/>
    <w:multiLevelType w:val="hybridMultilevel"/>
    <w:tmpl w:val="1A8A78FE"/>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5E327741"/>
    <w:multiLevelType w:val="hybridMultilevel"/>
    <w:tmpl w:val="F0D84D2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AAFAAF9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FF219E7"/>
    <w:multiLevelType w:val="hybridMultilevel"/>
    <w:tmpl w:val="4A5C23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1234B8E"/>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13866E4"/>
    <w:multiLevelType w:val="hybridMultilevel"/>
    <w:tmpl w:val="8CC617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1AC57E1"/>
    <w:multiLevelType w:val="hybridMultilevel"/>
    <w:tmpl w:val="23D06E9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9" w15:restartNumberingAfterBreak="0">
    <w:nsid w:val="62D0075A"/>
    <w:multiLevelType w:val="hybridMultilevel"/>
    <w:tmpl w:val="635A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35505F3"/>
    <w:multiLevelType w:val="hybridMultilevel"/>
    <w:tmpl w:val="4FA6E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45B40A8"/>
    <w:multiLevelType w:val="hybridMultilevel"/>
    <w:tmpl w:val="D14E2126"/>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4876AAF"/>
    <w:multiLevelType w:val="multilevel"/>
    <w:tmpl w:val="9DD453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rial" w:eastAsiaTheme="minorHAnsi"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3" w15:restartNumberingAfterBreak="0">
    <w:nsid w:val="65107264"/>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5984915"/>
    <w:multiLevelType w:val="hybridMultilevel"/>
    <w:tmpl w:val="C8607EA2"/>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5A65AF9"/>
    <w:multiLevelType w:val="hybridMultilevel"/>
    <w:tmpl w:val="CCF67B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5AE0DA8"/>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6273BF5"/>
    <w:multiLevelType w:val="hybridMultilevel"/>
    <w:tmpl w:val="DF80EB9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66482D98"/>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6DD049F"/>
    <w:multiLevelType w:val="hybridMultilevel"/>
    <w:tmpl w:val="9ADA390C"/>
    <w:lvl w:ilvl="0" w:tplc="D15C593E">
      <w:start w:val="1"/>
      <w:numFmt w:val="decimal"/>
      <w:lvlText w:val="(%1)"/>
      <w:lvlJc w:val="left"/>
      <w:pPr>
        <w:ind w:left="2520" w:hanging="360"/>
      </w:pPr>
      <w:rPr>
        <w:rFonts w:ascii="Arial" w:eastAsiaTheme="minorHAnsi" w:hAnsi="Arial" w:cs="Arial"/>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0" w15:restartNumberingAfterBreak="0">
    <w:nsid w:val="66F335FB"/>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7F32C76"/>
    <w:multiLevelType w:val="hybridMultilevel"/>
    <w:tmpl w:val="E54A0484"/>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9443252"/>
    <w:multiLevelType w:val="hybridMultilevel"/>
    <w:tmpl w:val="229298C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3" w15:restartNumberingAfterBreak="0">
    <w:nsid w:val="6A045B14"/>
    <w:multiLevelType w:val="hybridMultilevel"/>
    <w:tmpl w:val="B75A6D96"/>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A811BFF"/>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AAF1B62"/>
    <w:multiLevelType w:val="hybridMultilevel"/>
    <w:tmpl w:val="050258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AF469DA"/>
    <w:multiLevelType w:val="hybridMultilevel"/>
    <w:tmpl w:val="31ECB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BC52543"/>
    <w:multiLevelType w:val="hybridMultilevel"/>
    <w:tmpl w:val="8DAC777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8" w15:restartNumberingAfterBreak="0">
    <w:nsid w:val="6BCF351F"/>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BD510E2"/>
    <w:multiLevelType w:val="hybridMultilevel"/>
    <w:tmpl w:val="A4D409CC"/>
    <w:lvl w:ilvl="0" w:tplc="C5363BAA">
      <w:start w:val="1"/>
      <w:numFmt w:val="lowerLetter"/>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CDF6698"/>
    <w:multiLevelType w:val="hybridMultilevel"/>
    <w:tmpl w:val="3D2C1D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DA353AB"/>
    <w:multiLevelType w:val="hybridMultilevel"/>
    <w:tmpl w:val="12AEE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DDC5838"/>
    <w:multiLevelType w:val="hybridMultilevel"/>
    <w:tmpl w:val="2A682A2E"/>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DF76DF7"/>
    <w:multiLevelType w:val="multilevel"/>
    <w:tmpl w:val="CD6E7F14"/>
    <w:lvl w:ilvl="0">
      <w:start w:val="1"/>
      <w:numFmt w:val="lowerLetter"/>
      <w:lvlText w:val="%1."/>
      <w:lvlJc w:val="left"/>
      <w:pPr>
        <w:ind w:left="720" w:hanging="360"/>
      </w:pPr>
      <w:rPr>
        <w:u w:val="none"/>
      </w:rPr>
    </w:lvl>
    <w:lvl w:ilvl="1">
      <w:start w:val="1"/>
      <w:numFmt w:val="lowerLetter"/>
      <w:lvlText w:val="%2)"/>
      <w:lvlJc w:val="left"/>
      <w:pPr>
        <w:ind w:left="1440" w:hanging="360"/>
      </w:pPr>
      <w:rPr>
        <w:rFonts w:ascii="Arial" w:hAnsi="Arial" w:hint="default"/>
        <w:sz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4" w15:restartNumberingAfterBreak="0">
    <w:nsid w:val="6E9B11A7"/>
    <w:multiLevelType w:val="hybridMultilevel"/>
    <w:tmpl w:val="EBBA07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EC967BD"/>
    <w:multiLevelType w:val="hybridMultilevel"/>
    <w:tmpl w:val="564AA7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0151278"/>
    <w:multiLevelType w:val="hybridMultilevel"/>
    <w:tmpl w:val="44F26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05530C9"/>
    <w:multiLevelType w:val="hybridMultilevel"/>
    <w:tmpl w:val="F51E0DD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8" w15:restartNumberingAfterBreak="0">
    <w:nsid w:val="70BF2A66"/>
    <w:multiLevelType w:val="hybridMultilevel"/>
    <w:tmpl w:val="A1141C62"/>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1826740"/>
    <w:multiLevelType w:val="hybridMultilevel"/>
    <w:tmpl w:val="78AA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1C90E46"/>
    <w:multiLevelType w:val="hybridMultilevel"/>
    <w:tmpl w:val="ED92B98A"/>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1DF45C5"/>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260254B"/>
    <w:multiLevelType w:val="hybridMultilevel"/>
    <w:tmpl w:val="38FEE8A0"/>
    <w:lvl w:ilvl="0" w:tplc="D08AD568">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2E20CB1"/>
    <w:multiLevelType w:val="hybridMultilevel"/>
    <w:tmpl w:val="427C0D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36D685F"/>
    <w:multiLevelType w:val="hybridMultilevel"/>
    <w:tmpl w:val="0038C1E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5" w15:restartNumberingAfterBreak="0">
    <w:nsid w:val="74A23E96"/>
    <w:multiLevelType w:val="multilevel"/>
    <w:tmpl w:val="6CB49740"/>
    <w:lvl w:ilvl="0">
      <w:start w:val="1"/>
      <w:numFmt w:val="lowerLetter"/>
      <w:lvlText w:val="%1)"/>
      <w:lvlJc w:val="left"/>
      <w:pPr>
        <w:ind w:left="720" w:hanging="360"/>
      </w:pPr>
      <w:rPr>
        <w:rFonts w:ascii="Arial" w:hAnsi="Arial" w:hint="default"/>
        <w:sz w:val="24"/>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6" w15:restartNumberingAfterBreak="0">
    <w:nsid w:val="757B519E"/>
    <w:multiLevelType w:val="hybridMultilevel"/>
    <w:tmpl w:val="3D2C1D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58C496A"/>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65B56D8"/>
    <w:multiLevelType w:val="multilevel"/>
    <w:tmpl w:val="CB422D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15:restartNumberingAfterBreak="0">
    <w:nsid w:val="76BC6A2D"/>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6DE6C65"/>
    <w:multiLevelType w:val="hybridMultilevel"/>
    <w:tmpl w:val="2FF2D9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73323FE"/>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7B65FFC"/>
    <w:multiLevelType w:val="hybridMultilevel"/>
    <w:tmpl w:val="FB6641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91911AE"/>
    <w:multiLevelType w:val="hybridMultilevel"/>
    <w:tmpl w:val="0C9C331E"/>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9A44D68"/>
    <w:multiLevelType w:val="hybridMultilevel"/>
    <w:tmpl w:val="78B63E4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9A74F00"/>
    <w:multiLevelType w:val="hybridMultilevel"/>
    <w:tmpl w:val="EDB85482"/>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AF739C0"/>
    <w:multiLevelType w:val="hybridMultilevel"/>
    <w:tmpl w:val="CA42DE98"/>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B663CAE"/>
    <w:multiLevelType w:val="hybridMultilevel"/>
    <w:tmpl w:val="D33AE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B9A10FC"/>
    <w:multiLevelType w:val="hybridMultilevel"/>
    <w:tmpl w:val="6FDCB2F8"/>
    <w:lvl w:ilvl="0" w:tplc="04090001">
      <w:start w:val="1"/>
      <w:numFmt w:val="bullet"/>
      <w:lvlText w:val=""/>
      <w:lvlJc w:val="left"/>
      <w:pPr>
        <w:ind w:left="1561" w:hanging="360"/>
      </w:pPr>
      <w:rPr>
        <w:rFonts w:ascii="Symbol" w:hAnsi="Symbol" w:hint="default"/>
      </w:rPr>
    </w:lvl>
    <w:lvl w:ilvl="1" w:tplc="04090003" w:tentative="1">
      <w:start w:val="1"/>
      <w:numFmt w:val="bullet"/>
      <w:lvlText w:val="o"/>
      <w:lvlJc w:val="left"/>
      <w:pPr>
        <w:ind w:left="2281" w:hanging="360"/>
      </w:pPr>
      <w:rPr>
        <w:rFonts w:ascii="Courier New" w:hAnsi="Courier New" w:cs="Courier New" w:hint="default"/>
      </w:rPr>
    </w:lvl>
    <w:lvl w:ilvl="2" w:tplc="04090005" w:tentative="1">
      <w:start w:val="1"/>
      <w:numFmt w:val="bullet"/>
      <w:lvlText w:val=""/>
      <w:lvlJc w:val="left"/>
      <w:pPr>
        <w:ind w:left="3001" w:hanging="360"/>
      </w:pPr>
      <w:rPr>
        <w:rFonts w:ascii="Wingdings" w:hAnsi="Wingdings" w:hint="default"/>
      </w:rPr>
    </w:lvl>
    <w:lvl w:ilvl="3" w:tplc="04090001" w:tentative="1">
      <w:start w:val="1"/>
      <w:numFmt w:val="bullet"/>
      <w:lvlText w:val=""/>
      <w:lvlJc w:val="left"/>
      <w:pPr>
        <w:ind w:left="3721" w:hanging="360"/>
      </w:pPr>
      <w:rPr>
        <w:rFonts w:ascii="Symbol" w:hAnsi="Symbol" w:hint="default"/>
      </w:rPr>
    </w:lvl>
    <w:lvl w:ilvl="4" w:tplc="04090003" w:tentative="1">
      <w:start w:val="1"/>
      <w:numFmt w:val="bullet"/>
      <w:lvlText w:val="o"/>
      <w:lvlJc w:val="left"/>
      <w:pPr>
        <w:ind w:left="4441" w:hanging="360"/>
      </w:pPr>
      <w:rPr>
        <w:rFonts w:ascii="Courier New" w:hAnsi="Courier New" w:cs="Courier New" w:hint="default"/>
      </w:rPr>
    </w:lvl>
    <w:lvl w:ilvl="5" w:tplc="04090005" w:tentative="1">
      <w:start w:val="1"/>
      <w:numFmt w:val="bullet"/>
      <w:lvlText w:val=""/>
      <w:lvlJc w:val="left"/>
      <w:pPr>
        <w:ind w:left="5161" w:hanging="360"/>
      </w:pPr>
      <w:rPr>
        <w:rFonts w:ascii="Wingdings" w:hAnsi="Wingdings" w:hint="default"/>
      </w:rPr>
    </w:lvl>
    <w:lvl w:ilvl="6" w:tplc="04090001" w:tentative="1">
      <w:start w:val="1"/>
      <w:numFmt w:val="bullet"/>
      <w:lvlText w:val=""/>
      <w:lvlJc w:val="left"/>
      <w:pPr>
        <w:ind w:left="5881" w:hanging="360"/>
      </w:pPr>
      <w:rPr>
        <w:rFonts w:ascii="Symbol" w:hAnsi="Symbol" w:hint="default"/>
      </w:rPr>
    </w:lvl>
    <w:lvl w:ilvl="7" w:tplc="04090003" w:tentative="1">
      <w:start w:val="1"/>
      <w:numFmt w:val="bullet"/>
      <w:lvlText w:val="o"/>
      <w:lvlJc w:val="left"/>
      <w:pPr>
        <w:ind w:left="6601" w:hanging="360"/>
      </w:pPr>
      <w:rPr>
        <w:rFonts w:ascii="Courier New" w:hAnsi="Courier New" w:cs="Courier New" w:hint="default"/>
      </w:rPr>
    </w:lvl>
    <w:lvl w:ilvl="8" w:tplc="04090005" w:tentative="1">
      <w:start w:val="1"/>
      <w:numFmt w:val="bullet"/>
      <w:lvlText w:val=""/>
      <w:lvlJc w:val="left"/>
      <w:pPr>
        <w:ind w:left="7321" w:hanging="360"/>
      </w:pPr>
      <w:rPr>
        <w:rFonts w:ascii="Wingdings" w:hAnsi="Wingdings" w:hint="default"/>
      </w:rPr>
    </w:lvl>
  </w:abstractNum>
  <w:abstractNum w:abstractNumId="239" w15:restartNumberingAfterBreak="0">
    <w:nsid w:val="7BDA328D"/>
    <w:multiLevelType w:val="hybridMultilevel"/>
    <w:tmpl w:val="BA328FE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0" w15:restartNumberingAfterBreak="0">
    <w:nsid w:val="7C533EA6"/>
    <w:multiLevelType w:val="hybridMultilevel"/>
    <w:tmpl w:val="D2348F04"/>
    <w:lvl w:ilvl="0" w:tplc="F874FF92">
      <w:start w:val="1"/>
      <w:numFmt w:val="decimal"/>
      <w:pStyle w:val="StaffHeader"/>
      <w:lvlText w:val="2-Staff-%1"/>
      <w:lvlJc w:val="left"/>
      <w:pPr>
        <w:ind w:left="171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start w:val="1"/>
      <w:numFmt w:val="lowerLetter"/>
      <w:lvlText w:val="%2."/>
      <w:lvlJc w:val="left"/>
      <w:pPr>
        <w:ind w:left="2340" w:hanging="360"/>
      </w:pPr>
    </w:lvl>
    <w:lvl w:ilvl="2" w:tplc="1009001B" w:tentative="1">
      <w:start w:val="1"/>
      <w:numFmt w:val="lowerRoman"/>
      <w:lvlText w:val="%3."/>
      <w:lvlJc w:val="right"/>
      <w:pPr>
        <w:ind w:left="3060" w:hanging="180"/>
      </w:pPr>
    </w:lvl>
    <w:lvl w:ilvl="3" w:tplc="1009000F" w:tentative="1">
      <w:start w:val="1"/>
      <w:numFmt w:val="decimal"/>
      <w:lvlText w:val="%4."/>
      <w:lvlJc w:val="left"/>
      <w:pPr>
        <w:ind w:left="3780" w:hanging="360"/>
      </w:pPr>
    </w:lvl>
    <w:lvl w:ilvl="4" w:tplc="10090019" w:tentative="1">
      <w:start w:val="1"/>
      <w:numFmt w:val="lowerLetter"/>
      <w:lvlText w:val="%5."/>
      <w:lvlJc w:val="left"/>
      <w:pPr>
        <w:ind w:left="4500" w:hanging="360"/>
      </w:pPr>
    </w:lvl>
    <w:lvl w:ilvl="5" w:tplc="1009001B" w:tentative="1">
      <w:start w:val="1"/>
      <w:numFmt w:val="lowerRoman"/>
      <w:lvlText w:val="%6."/>
      <w:lvlJc w:val="right"/>
      <w:pPr>
        <w:ind w:left="5220" w:hanging="180"/>
      </w:pPr>
    </w:lvl>
    <w:lvl w:ilvl="6" w:tplc="1009000F" w:tentative="1">
      <w:start w:val="1"/>
      <w:numFmt w:val="decimal"/>
      <w:lvlText w:val="%7."/>
      <w:lvlJc w:val="left"/>
      <w:pPr>
        <w:ind w:left="5940" w:hanging="360"/>
      </w:pPr>
    </w:lvl>
    <w:lvl w:ilvl="7" w:tplc="10090019" w:tentative="1">
      <w:start w:val="1"/>
      <w:numFmt w:val="lowerLetter"/>
      <w:lvlText w:val="%8."/>
      <w:lvlJc w:val="left"/>
      <w:pPr>
        <w:ind w:left="6660" w:hanging="360"/>
      </w:pPr>
    </w:lvl>
    <w:lvl w:ilvl="8" w:tplc="1009001B" w:tentative="1">
      <w:start w:val="1"/>
      <w:numFmt w:val="lowerRoman"/>
      <w:lvlText w:val="%9."/>
      <w:lvlJc w:val="right"/>
      <w:pPr>
        <w:ind w:left="7380" w:hanging="180"/>
      </w:pPr>
    </w:lvl>
  </w:abstractNum>
  <w:abstractNum w:abstractNumId="241" w15:restartNumberingAfterBreak="0">
    <w:nsid w:val="7C867ECE"/>
    <w:multiLevelType w:val="hybridMultilevel"/>
    <w:tmpl w:val="2640EC18"/>
    <w:lvl w:ilvl="0" w:tplc="F208A5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CCE4693"/>
    <w:multiLevelType w:val="hybridMultilevel"/>
    <w:tmpl w:val="69207D00"/>
    <w:lvl w:ilvl="0" w:tplc="FB1E6A5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D6C602F"/>
    <w:multiLevelType w:val="hybridMultilevel"/>
    <w:tmpl w:val="5A5AC5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D9B7E27"/>
    <w:multiLevelType w:val="hybridMultilevel"/>
    <w:tmpl w:val="F21A832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5" w15:restartNumberingAfterBreak="0">
    <w:nsid w:val="7EC05A55"/>
    <w:multiLevelType w:val="hybridMultilevel"/>
    <w:tmpl w:val="89667F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F8D27F4"/>
    <w:multiLevelType w:val="hybridMultilevel"/>
    <w:tmpl w:val="D0F85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FAB0FED"/>
    <w:multiLevelType w:val="hybridMultilevel"/>
    <w:tmpl w:val="972C1E0C"/>
    <w:lvl w:ilvl="0" w:tplc="FB1E6A5E">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0"/>
  </w:num>
  <w:num w:numId="2">
    <w:abstractNumId w:val="196"/>
  </w:num>
  <w:num w:numId="3">
    <w:abstractNumId w:val="104"/>
  </w:num>
  <w:num w:numId="4">
    <w:abstractNumId w:val="180"/>
  </w:num>
  <w:num w:numId="5">
    <w:abstractNumId w:val="83"/>
  </w:num>
  <w:num w:numId="6">
    <w:abstractNumId w:val="163"/>
  </w:num>
  <w:num w:numId="7">
    <w:abstractNumId w:val="22"/>
  </w:num>
  <w:num w:numId="8">
    <w:abstractNumId w:val="221"/>
  </w:num>
  <w:num w:numId="9">
    <w:abstractNumId w:val="140"/>
  </w:num>
  <w:num w:numId="10">
    <w:abstractNumId w:val="23"/>
  </w:num>
  <w:num w:numId="11">
    <w:abstractNumId w:val="125"/>
  </w:num>
  <w:num w:numId="12">
    <w:abstractNumId w:val="231"/>
  </w:num>
  <w:num w:numId="13">
    <w:abstractNumId w:val="150"/>
  </w:num>
  <w:num w:numId="14">
    <w:abstractNumId w:val="82"/>
  </w:num>
  <w:num w:numId="15">
    <w:abstractNumId w:val="70"/>
  </w:num>
  <w:num w:numId="16">
    <w:abstractNumId w:val="186"/>
  </w:num>
  <w:num w:numId="17">
    <w:abstractNumId w:val="153"/>
  </w:num>
  <w:num w:numId="18">
    <w:abstractNumId w:val="244"/>
  </w:num>
  <w:num w:numId="19">
    <w:abstractNumId w:val="92"/>
  </w:num>
  <w:num w:numId="20">
    <w:abstractNumId w:val="168"/>
  </w:num>
  <w:num w:numId="21">
    <w:abstractNumId w:val="133"/>
  </w:num>
  <w:num w:numId="22">
    <w:abstractNumId w:val="39"/>
  </w:num>
  <w:num w:numId="23">
    <w:abstractNumId w:val="42"/>
  </w:num>
  <w:num w:numId="24">
    <w:abstractNumId w:val="29"/>
  </w:num>
  <w:num w:numId="25">
    <w:abstractNumId w:val="48"/>
  </w:num>
  <w:num w:numId="26">
    <w:abstractNumId w:val="5"/>
  </w:num>
  <w:num w:numId="27">
    <w:abstractNumId w:val="175"/>
  </w:num>
  <w:num w:numId="28">
    <w:abstractNumId w:val="60"/>
  </w:num>
  <w:num w:numId="29">
    <w:abstractNumId w:val="84"/>
  </w:num>
  <w:num w:numId="30">
    <w:abstractNumId w:val="167"/>
  </w:num>
  <w:num w:numId="31">
    <w:abstractNumId w:val="131"/>
  </w:num>
  <w:num w:numId="32">
    <w:abstractNumId w:val="96"/>
  </w:num>
  <w:num w:numId="33">
    <w:abstractNumId w:val="3"/>
  </w:num>
  <w:num w:numId="34">
    <w:abstractNumId w:val="245"/>
  </w:num>
  <w:num w:numId="35">
    <w:abstractNumId w:val="81"/>
  </w:num>
  <w:num w:numId="36">
    <w:abstractNumId w:val="136"/>
  </w:num>
  <w:num w:numId="37">
    <w:abstractNumId w:val="198"/>
  </w:num>
  <w:num w:numId="38">
    <w:abstractNumId w:val="216"/>
  </w:num>
  <w:num w:numId="39">
    <w:abstractNumId w:val="100"/>
  </w:num>
  <w:num w:numId="40">
    <w:abstractNumId w:val="24"/>
  </w:num>
  <w:num w:numId="41">
    <w:abstractNumId w:val="13"/>
  </w:num>
  <w:num w:numId="42">
    <w:abstractNumId w:val="118"/>
  </w:num>
  <w:num w:numId="43">
    <w:abstractNumId w:val="214"/>
  </w:num>
  <w:num w:numId="44">
    <w:abstractNumId w:val="1"/>
  </w:num>
  <w:num w:numId="45">
    <w:abstractNumId w:val="0"/>
  </w:num>
  <w:num w:numId="46">
    <w:abstractNumId w:val="141"/>
  </w:num>
  <w:num w:numId="47">
    <w:abstractNumId w:val="144"/>
  </w:num>
  <w:num w:numId="48">
    <w:abstractNumId w:val="206"/>
  </w:num>
  <w:num w:numId="49">
    <w:abstractNumId w:val="160"/>
  </w:num>
  <w:num w:numId="50">
    <w:abstractNumId w:val="238"/>
  </w:num>
  <w:num w:numId="51">
    <w:abstractNumId w:val="103"/>
  </w:num>
  <w:num w:numId="52">
    <w:abstractNumId w:val="89"/>
  </w:num>
  <w:num w:numId="53">
    <w:abstractNumId w:val="43"/>
  </w:num>
  <w:num w:numId="54">
    <w:abstractNumId w:val="156"/>
  </w:num>
  <w:num w:numId="55">
    <w:abstractNumId w:val="148"/>
  </w:num>
  <w:num w:numId="56">
    <w:abstractNumId w:val="28"/>
  </w:num>
  <w:num w:numId="57">
    <w:abstractNumId w:val="218"/>
  </w:num>
  <w:num w:numId="58">
    <w:abstractNumId w:val="12"/>
  </w:num>
  <w:num w:numId="59">
    <w:abstractNumId w:val="234"/>
  </w:num>
  <w:num w:numId="60">
    <w:abstractNumId w:val="152"/>
  </w:num>
  <w:num w:numId="61">
    <w:abstractNumId w:val="177"/>
  </w:num>
  <w:num w:numId="62">
    <w:abstractNumId w:val="184"/>
  </w:num>
  <w:num w:numId="63">
    <w:abstractNumId w:val="99"/>
  </w:num>
  <w:num w:numId="64">
    <w:abstractNumId w:val="174"/>
  </w:num>
  <w:num w:numId="65">
    <w:abstractNumId w:val="45"/>
  </w:num>
  <w:num w:numId="66">
    <w:abstractNumId w:val="20"/>
  </w:num>
  <w:num w:numId="67">
    <w:abstractNumId w:val="122"/>
  </w:num>
  <w:num w:numId="68">
    <w:abstractNumId w:val="195"/>
  </w:num>
  <w:num w:numId="69">
    <w:abstractNumId w:val="178"/>
  </w:num>
  <w:num w:numId="70">
    <w:abstractNumId w:val="66"/>
  </w:num>
  <w:num w:numId="71">
    <w:abstractNumId w:val="97"/>
  </w:num>
  <w:num w:numId="72">
    <w:abstractNumId w:val="194"/>
  </w:num>
  <w:num w:numId="73">
    <w:abstractNumId w:val="155"/>
  </w:num>
  <w:num w:numId="74">
    <w:abstractNumId w:val="98"/>
  </w:num>
  <w:num w:numId="75">
    <w:abstractNumId w:val="201"/>
  </w:num>
  <w:num w:numId="76">
    <w:abstractNumId w:val="219"/>
  </w:num>
  <w:num w:numId="77">
    <w:abstractNumId w:val="145"/>
  </w:num>
  <w:num w:numId="78">
    <w:abstractNumId w:val="169"/>
  </w:num>
  <w:num w:numId="79">
    <w:abstractNumId w:val="237"/>
  </w:num>
  <w:num w:numId="80">
    <w:abstractNumId w:val="147"/>
  </w:num>
  <w:num w:numId="81">
    <w:abstractNumId w:val="36"/>
  </w:num>
  <w:num w:numId="82">
    <w:abstractNumId w:val="164"/>
  </w:num>
  <w:num w:numId="83">
    <w:abstractNumId w:val="27"/>
  </w:num>
  <w:num w:numId="84">
    <w:abstractNumId w:val="67"/>
  </w:num>
  <w:num w:numId="85">
    <w:abstractNumId w:val="18"/>
  </w:num>
  <w:num w:numId="86">
    <w:abstractNumId w:val="90"/>
  </w:num>
  <w:num w:numId="87">
    <w:abstractNumId w:val="40"/>
  </w:num>
  <w:num w:numId="88">
    <w:abstractNumId w:val="240"/>
  </w:num>
  <w:num w:numId="89">
    <w:abstractNumId w:val="57"/>
  </w:num>
  <w:num w:numId="90">
    <w:abstractNumId w:val="134"/>
  </w:num>
  <w:num w:numId="91">
    <w:abstractNumId w:val="102"/>
  </w:num>
  <w:num w:numId="92">
    <w:abstractNumId w:val="236"/>
  </w:num>
  <w:num w:numId="93">
    <w:abstractNumId w:val="142"/>
  </w:num>
  <w:num w:numId="94">
    <w:abstractNumId w:val="191"/>
  </w:num>
  <w:num w:numId="95">
    <w:abstractNumId w:val="52"/>
  </w:num>
  <w:num w:numId="96">
    <w:abstractNumId w:val="111"/>
  </w:num>
  <w:num w:numId="97">
    <w:abstractNumId w:val="37"/>
  </w:num>
  <w:num w:numId="98">
    <w:abstractNumId w:val="26"/>
  </w:num>
  <w:num w:numId="99">
    <w:abstractNumId w:val="166"/>
  </w:num>
  <w:num w:numId="100">
    <w:abstractNumId w:val="204"/>
  </w:num>
  <w:num w:numId="101">
    <w:abstractNumId w:val="126"/>
  </w:num>
  <w:num w:numId="102">
    <w:abstractNumId w:val="72"/>
  </w:num>
  <w:num w:numId="103">
    <w:abstractNumId w:val="78"/>
  </w:num>
  <w:num w:numId="104">
    <w:abstractNumId w:val="32"/>
  </w:num>
  <w:num w:numId="105">
    <w:abstractNumId w:val="41"/>
  </w:num>
  <w:num w:numId="106">
    <w:abstractNumId w:val="200"/>
  </w:num>
  <w:num w:numId="107">
    <w:abstractNumId w:val="31"/>
  </w:num>
  <w:num w:numId="108">
    <w:abstractNumId w:val="227"/>
  </w:num>
  <w:num w:numId="109">
    <w:abstractNumId w:val="9"/>
  </w:num>
  <w:num w:numId="110">
    <w:abstractNumId w:val="165"/>
  </w:num>
  <w:num w:numId="111">
    <w:abstractNumId w:val="146"/>
  </w:num>
  <w:num w:numId="112">
    <w:abstractNumId w:val="242"/>
  </w:num>
  <w:num w:numId="113">
    <w:abstractNumId w:val="158"/>
  </w:num>
  <w:num w:numId="114">
    <w:abstractNumId w:val="220"/>
  </w:num>
  <w:num w:numId="115">
    <w:abstractNumId w:val="233"/>
  </w:num>
  <w:num w:numId="116">
    <w:abstractNumId w:val="247"/>
  </w:num>
  <w:num w:numId="117">
    <w:abstractNumId w:val="138"/>
  </w:num>
  <w:num w:numId="118">
    <w:abstractNumId w:val="154"/>
  </w:num>
  <w:num w:numId="119">
    <w:abstractNumId w:val="87"/>
  </w:num>
  <w:num w:numId="120">
    <w:abstractNumId w:val="203"/>
  </w:num>
  <w:num w:numId="121">
    <w:abstractNumId w:val="15"/>
  </w:num>
  <w:num w:numId="122">
    <w:abstractNumId w:val="7"/>
  </w:num>
  <w:num w:numId="123">
    <w:abstractNumId w:val="76"/>
  </w:num>
  <w:num w:numId="124">
    <w:abstractNumId w:val="53"/>
  </w:num>
  <w:num w:numId="125">
    <w:abstractNumId w:val="171"/>
  </w:num>
  <w:num w:numId="126">
    <w:abstractNumId w:val="179"/>
  </w:num>
  <w:num w:numId="127">
    <w:abstractNumId w:val="229"/>
  </w:num>
  <w:num w:numId="128">
    <w:abstractNumId w:val="55"/>
  </w:num>
  <w:num w:numId="129">
    <w:abstractNumId w:val="235"/>
  </w:num>
  <w:num w:numId="130">
    <w:abstractNumId w:val="35"/>
  </w:num>
  <w:num w:numId="131">
    <w:abstractNumId w:val="38"/>
  </w:num>
  <w:num w:numId="132">
    <w:abstractNumId w:val="80"/>
  </w:num>
  <w:num w:numId="133">
    <w:abstractNumId w:val="4"/>
  </w:num>
  <w:num w:numId="134">
    <w:abstractNumId w:val="94"/>
  </w:num>
  <w:num w:numId="135">
    <w:abstractNumId w:val="116"/>
  </w:num>
  <w:num w:numId="136">
    <w:abstractNumId w:val="113"/>
  </w:num>
  <w:num w:numId="137">
    <w:abstractNumId w:val="71"/>
  </w:num>
  <w:num w:numId="138">
    <w:abstractNumId w:val="74"/>
  </w:num>
  <w:num w:numId="139">
    <w:abstractNumId w:val="11"/>
  </w:num>
  <w:num w:numId="140">
    <w:abstractNumId w:val="182"/>
  </w:num>
  <w:num w:numId="141">
    <w:abstractNumId w:val="212"/>
  </w:num>
  <w:num w:numId="142">
    <w:abstractNumId w:val="49"/>
  </w:num>
  <w:num w:numId="143">
    <w:abstractNumId w:val="124"/>
  </w:num>
  <w:num w:numId="144">
    <w:abstractNumId w:val="14"/>
  </w:num>
  <w:num w:numId="145">
    <w:abstractNumId w:val="210"/>
  </w:num>
  <w:num w:numId="146">
    <w:abstractNumId w:val="226"/>
  </w:num>
  <w:num w:numId="147">
    <w:abstractNumId w:val="6"/>
  </w:num>
  <w:num w:numId="148">
    <w:abstractNumId w:val="185"/>
  </w:num>
  <w:num w:numId="149">
    <w:abstractNumId w:val="123"/>
  </w:num>
  <w:num w:numId="15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70"/>
  </w:num>
  <w:num w:numId="152">
    <w:abstractNumId w:val="211"/>
  </w:num>
  <w:num w:numId="153">
    <w:abstractNumId w:val="91"/>
  </w:num>
  <w:num w:numId="154">
    <w:abstractNumId w:val="159"/>
  </w:num>
  <w:num w:numId="155">
    <w:abstractNumId w:val="105"/>
  </w:num>
  <w:num w:numId="156">
    <w:abstractNumId w:val="8"/>
  </w:num>
  <w:num w:numId="157">
    <w:abstractNumId w:val="207"/>
  </w:num>
  <w:num w:numId="158">
    <w:abstractNumId w:val="143"/>
  </w:num>
  <w:num w:numId="159">
    <w:abstractNumId w:val="217"/>
  </w:num>
  <w:num w:numId="160">
    <w:abstractNumId w:val="63"/>
  </w:num>
  <w:num w:numId="161">
    <w:abstractNumId w:val="202"/>
  </w:num>
  <w:num w:numId="162">
    <w:abstractNumId w:val="50"/>
  </w:num>
  <w:num w:numId="163">
    <w:abstractNumId w:val="86"/>
  </w:num>
  <w:num w:numId="164">
    <w:abstractNumId w:val="77"/>
  </w:num>
  <w:num w:numId="165">
    <w:abstractNumId w:val="149"/>
  </w:num>
  <w:num w:numId="166">
    <w:abstractNumId w:val="58"/>
  </w:num>
  <w:num w:numId="167">
    <w:abstractNumId w:val="47"/>
  </w:num>
  <w:num w:numId="168">
    <w:abstractNumId w:val="224"/>
  </w:num>
  <w:num w:numId="169">
    <w:abstractNumId w:val="188"/>
  </w:num>
  <w:num w:numId="170">
    <w:abstractNumId w:val="44"/>
  </w:num>
  <w:num w:numId="171">
    <w:abstractNumId w:val="172"/>
  </w:num>
  <w:num w:numId="172">
    <w:abstractNumId w:val="181"/>
  </w:num>
  <w:num w:numId="173">
    <w:abstractNumId w:val="197"/>
  </w:num>
  <w:num w:numId="174">
    <w:abstractNumId w:val="208"/>
  </w:num>
  <w:num w:numId="175">
    <w:abstractNumId w:val="75"/>
  </w:num>
  <w:num w:numId="176">
    <w:abstractNumId w:val="193"/>
  </w:num>
  <w:num w:numId="177">
    <w:abstractNumId w:val="246"/>
  </w:num>
  <w:num w:numId="178">
    <w:abstractNumId w:val="21"/>
  </w:num>
  <w:num w:numId="179">
    <w:abstractNumId w:val="190"/>
  </w:num>
  <w:num w:numId="180">
    <w:abstractNumId w:val="2"/>
  </w:num>
  <w:num w:numId="181">
    <w:abstractNumId w:val="241"/>
  </w:num>
  <w:num w:numId="182">
    <w:abstractNumId w:val="183"/>
  </w:num>
  <w:num w:numId="183">
    <w:abstractNumId w:val="17"/>
  </w:num>
  <w:num w:numId="184">
    <w:abstractNumId w:val="85"/>
  </w:num>
  <w:num w:numId="185">
    <w:abstractNumId w:val="173"/>
  </w:num>
  <w:num w:numId="186">
    <w:abstractNumId w:val="199"/>
  </w:num>
  <w:num w:numId="187">
    <w:abstractNumId w:val="192"/>
  </w:num>
  <w:num w:numId="188">
    <w:abstractNumId w:val="135"/>
  </w:num>
  <w:num w:numId="189">
    <w:abstractNumId w:val="108"/>
  </w:num>
  <w:num w:numId="190">
    <w:abstractNumId w:val="34"/>
  </w:num>
  <w:num w:numId="191">
    <w:abstractNumId w:val="19"/>
  </w:num>
  <w:num w:numId="192">
    <w:abstractNumId w:val="243"/>
  </w:num>
  <w:num w:numId="193">
    <w:abstractNumId w:val="230"/>
  </w:num>
  <w:num w:numId="194">
    <w:abstractNumId w:val="107"/>
  </w:num>
  <w:num w:numId="195">
    <w:abstractNumId w:val="187"/>
  </w:num>
  <w:num w:numId="196">
    <w:abstractNumId w:val="109"/>
  </w:num>
  <w:num w:numId="197">
    <w:abstractNumId w:val="51"/>
  </w:num>
  <w:num w:numId="198">
    <w:abstractNumId w:val="117"/>
  </w:num>
  <w:num w:numId="199">
    <w:abstractNumId w:val="222"/>
  </w:num>
  <w:num w:numId="200">
    <w:abstractNumId w:val="88"/>
  </w:num>
  <w:num w:numId="201">
    <w:abstractNumId w:val="33"/>
  </w:num>
  <w:num w:numId="202">
    <w:abstractNumId w:val="139"/>
  </w:num>
  <w:num w:numId="203">
    <w:abstractNumId w:val="101"/>
  </w:num>
  <w:num w:numId="204">
    <w:abstractNumId w:val="127"/>
  </w:num>
  <w:num w:numId="205">
    <w:abstractNumId w:val="59"/>
  </w:num>
  <w:num w:numId="206">
    <w:abstractNumId w:val="132"/>
  </w:num>
  <w:num w:numId="207">
    <w:abstractNumId w:val="157"/>
  </w:num>
  <w:num w:numId="208">
    <w:abstractNumId w:val="114"/>
  </w:num>
  <w:num w:numId="209">
    <w:abstractNumId w:val="223"/>
  </w:num>
  <w:num w:numId="210">
    <w:abstractNumId w:val="112"/>
  </w:num>
  <w:num w:numId="211">
    <w:abstractNumId w:val="129"/>
  </w:num>
  <w:num w:numId="212">
    <w:abstractNumId w:val="73"/>
  </w:num>
  <w:num w:numId="213">
    <w:abstractNumId w:val="189"/>
  </w:num>
  <w:num w:numId="214">
    <w:abstractNumId w:val="128"/>
  </w:num>
  <w:num w:numId="215">
    <w:abstractNumId w:val="30"/>
  </w:num>
  <w:num w:numId="216">
    <w:abstractNumId w:val="10"/>
  </w:num>
  <w:num w:numId="217">
    <w:abstractNumId w:val="120"/>
  </w:num>
  <w:num w:numId="218">
    <w:abstractNumId w:val="1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39"/>
  </w:num>
  <w:num w:numId="220">
    <w:abstractNumId w:val="62"/>
  </w:num>
  <w:num w:numId="221">
    <w:abstractNumId w:val="25"/>
  </w:num>
  <w:num w:numId="222">
    <w:abstractNumId w:val="61"/>
  </w:num>
  <w:num w:numId="223">
    <w:abstractNumId w:val="16"/>
  </w:num>
  <w:num w:numId="224">
    <w:abstractNumId w:val="232"/>
  </w:num>
  <w:num w:numId="225">
    <w:abstractNumId w:val="137"/>
  </w:num>
  <w:num w:numId="226">
    <w:abstractNumId w:val="151"/>
  </w:num>
  <w:num w:numId="227">
    <w:abstractNumId w:val="95"/>
  </w:num>
  <w:num w:numId="228">
    <w:abstractNumId w:val="176"/>
  </w:num>
  <w:num w:numId="229">
    <w:abstractNumId w:val="93"/>
  </w:num>
  <w:num w:numId="230">
    <w:abstractNumId w:val="228"/>
  </w:num>
  <w:num w:numId="231">
    <w:abstractNumId w:val="46"/>
  </w:num>
  <w:num w:numId="232">
    <w:abstractNumId w:val="56"/>
  </w:num>
  <w:num w:numId="233">
    <w:abstractNumId w:val="225"/>
  </w:num>
  <w:num w:numId="234">
    <w:abstractNumId w:val="161"/>
  </w:num>
  <w:num w:numId="235">
    <w:abstractNumId w:val="115"/>
  </w:num>
  <w:num w:numId="236">
    <w:abstractNumId w:val="106"/>
  </w:num>
  <w:num w:numId="237">
    <w:abstractNumId w:val="121"/>
  </w:num>
  <w:num w:numId="238">
    <w:abstractNumId w:val="69"/>
  </w:num>
  <w:num w:numId="239">
    <w:abstractNumId w:val="65"/>
  </w:num>
  <w:num w:numId="240">
    <w:abstractNumId w:val="213"/>
  </w:num>
  <w:num w:numId="241">
    <w:abstractNumId w:val="68"/>
  </w:num>
  <w:num w:numId="242">
    <w:abstractNumId w:val="79"/>
  </w:num>
  <w:num w:numId="243">
    <w:abstractNumId w:val="64"/>
  </w:num>
  <w:num w:numId="244">
    <w:abstractNumId w:val="54"/>
  </w:num>
  <w:num w:numId="245">
    <w:abstractNumId w:val="209"/>
  </w:num>
  <w:num w:numId="246">
    <w:abstractNumId w:val="110"/>
  </w:num>
  <w:num w:numId="247">
    <w:abstractNumId w:val="119"/>
  </w:num>
  <w:num w:numId="248">
    <w:abstractNumId w:val="162"/>
  </w:num>
  <w:num w:numId="249">
    <w:abstractNumId w:val="205"/>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CCD"/>
    <w:rsid w:val="00000639"/>
    <w:rsid w:val="00001545"/>
    <w:rsid w:val="00001F22"/>
    <w:rsid w:val="000039C3"/>
    <w:rsid w:val="00003FD0"/>
    <w:rsid w:val="000048E5"/>
    <w:rsid w:val="00005829"/>
    <w:rsid w:val="00005B7F"/>
    <w:rsid w:val="000061CE"/>
    <w:rsid w:val="00006F9A"/>
    <w:rsid w:val="000076E3"/>
    <w:rsid w:val="00012939"/>
    <w:rsid w:val="0001381C"/>
    <w:rsid w:val="000139F7"/>
    <w:rsid w:val="00017589"/>
    <w:rsid w:val="00020580"/>
    <w:rsid w:val="000208F1"/>
    <w:rsid w:val="00024887"/>
    <w:rsid w:val="00030133"/>
    <w:rsid w:val="00030C4D"/>
    <w:rsid w:val="00031EB5"/>
    <w:rsid w:val="00032F71"/>
    <w:rsid w:val="00033066"/>
    <w:rsid w:val="000347B9"/>
    <w:rsid w:val="00035FB3"/>
    <w:rsid w:val="00036F3B"/>
    <w:rsid w:val="00044E92"/>
    <w:rsid w:val="00044FBE"/>
    <w:rsid w:val="000503A9"/>
    <w:rsid w:val="00051A3F"/>
    <w:rsid w:val="00051DFC"/>
    <w:rsid w:val="00051EFF"/>
    <w:rsid w:val="00052293"/>
    <w:rsid w:val="000572D7"/>
    <w:rsid w:val="00060864"/>
    <w:rsid w:val="000650E4"/>
    <w:rsid w:val="00065FBD"/>
    <w:rsid w:val="00067F80"/>
    <w:rsid w:val="00070D02"/>
    <w:rsid w:val="00071571"/>
    <w:rsid w:val="000717D7"/>
    <w:rsid w:val="0007183E"/>
    <w:rsid w:val="00071AF0"/>
    <w:rsid w:val="000722F6"/>
    <w:rsid w:val="0007231E"/>
    <w:rsid w:val="000728E5"/>
    <w:rsid w:val="00073803"/>
    <w:rsid w:val="000755E6"/>
    <w:rsid w:val="00075721"/>
    <w:rsid w:val="00077F25"/>
    <w:rsid w:val="00080146"/>
    <w:rsid w:val="000809B5"/>
    <w:rsid w:val="00081856"/>
    <w:rsid w:val="0008294D"/>
    <w:rsid w:val="0008530E"/>
    <w:rsid w:val="00085F7A"/>
    <w:rsid w:val="000870C0"/>
    <w:rsid w:val="00090D85"/>
    <w:rsid w:val="00092BDC"/>
    <w:rsid w:val="000946FC"/>
    <w:rsid w:val="00094A3D"/>
    <w:rsid w:val="0009518F"/>
    <w:rsid w:val="000951E0"/>
    <w:rsid w:val="00095F42"/>
    <w:rsid w:val="000979E9"/>
    <w:rsid w:val="00097CEC"/>
    <w:rsid w:val="000A1303"/>
    <w:rsid w:val="000A1B7C"/>
    <w:rsid w:val="000A31AC"/>
    <w:rsid w:val="000A40F8"/>
    <w:rsid w:val="000A4106"/>
    <w:rsid w:val="000A6058"/>
    <w:rsid w:val="000A7415"/>
    <w:rsid w:val="000A7F00"/>
    <w:rsid w:val="000B004A"/>
    <w:rsid w:val="000B08B4"/>
    <w:rsid w:val="000B266B"/>
    <w:rsid w:val="000B3894"/>
    <w:rsid w:val="000B3ACB"/>
    <w:rsid w:val="000B49C9"/>
    <w:rsid w:val="000B4D23"/>
    <w:rsid w:val="000B7762"/>
    <w:rsid w:val="000C14B7"/>
    <w:rsid w:val="000C1A1A"/>
    <w:rsid w:val="000C2A40"/>
    <w:rsid w:val="000C45C5"/>
    <w:rsid w:val="000D0E9F"/>
    <w:rsid w:val="000D3C65"/>
    <w:rsid w:val="000E04E5"/>
    <w:rsid w:val="000E0B6A"/>
    <w:rsid w:val="000E3B74"/>
    <w:rsid w:val="000E5A4E"/>
    <w:rsid w:val="000E6A33"/>
    <w:rsid w:val="000E7D3E"/>
    <w:rsid w:val="000F04B2"/>
    <w:rsid w:val="000F08E2"/>
    <w:rsid w:val="000F425D"/>
    <w:rsid w:val="000F4DEB"/>
    <w:rsid w:val="0010102D"/>
    <w:rsid w:val="0010528E"/>
    <w:rsid w:val="0010529A"/>
    <w:rsid w:val="001052B9"/>
    <w:rsid w:val="00105555"/>
    <w:rsid w:val="00106929"/>
    <w:rsid w:val="001123EB"/>
    <w:rsid w:val="00113749"/>
    <w:rsid w:val="00113EBA"/>
    <w:rsid w:val="0011425A"/>
    <w:rsid w:val="00114AF5"/>
    <w:rsid w:val="00115F51"/>
    <w:rsid w:val="00115F5D"/>
    <w:rsid w:val="00117622"/>
    <w:rsid w:val="00117AF2"/>
    <w:rsid w:val="00120052"/>
    <w:rsid w:val="00120AA2"/>
    <w:rsid w:val="00122CEC"/>
    <w:rsid w:val="00123CD1"/>
    <w:rsid w:val="00123DA4"/>
    <w:rsid w:val="0012679F"/>
    <w:rsid w:val="00126D5D"/>
    <w:rsid w:val="0012769E"/>
    <w:rsid w:val="00127CB7"/>
    <w:rsid w:val="00130C3F"/>
    <w:rsid w:val="00130D3C"/>
    <w:rsid w:val="001328D6"/>
    <w:rsid w:val="00132934"/>
    <w:rsid w:val="00133BA2"/>
    <w:rsid w:val="00133F21"/>
    <w:rsid w:val="001431D4"/>
    <w:rsid w:val="0014473E"/>
    <w:rsid w:val="00144F88"/>
    <w:rsid w:val="00146DCF"/>
    <w:rsid w:val="00146EAF"/>
    <w:rsid w:val="00146F91"/>
    <w:rsid w:val="0014720F"/>
    <w:rsid w:val="00153541"/>
    <w:rsid w:val="00154A70"/>
    <w:rsid w:val="00157E7A"/>
    <w:rsid w:val="00162213"/>
    <w:rsid w:val="001640C0"/>
    <w:rsid w:val="0016457E"/>
    <w:rsid w:val="00164C2A"/>
    <w:rsid w:val="001660A5"/>
    <w:rsid w:val="00166A1B"/>
    <w:rsid w:val="0016722A"/>
    <w:rsid w:val="00167ED9"/>
    <w:rsid w:val="00170694"/>
    <w:rsid w:val="001722C1"/>
    <w:rsid w:val="001725D3"/>
    <w:rsid w:val="00173A9E"/>
    <w:rsid w:val="00174027"/>
    <w:rsid w:val="00180A59"/>
    <w:rsid w:val="00182C6A"/>
    <w:rsid w:val="0018356B"/>
    <w:rsid w:val="00185A36"/>
    <w:rsid w:val="001903F9"/>
    <w:rsid w:val="0019086E"/>
    <w:rsid w:val="00191B0D"/>
    <w:rsid w:val="00191F82"/>
    <w:rsid w:val="00192073"/>
    <w:rsid w:val="00192A5B"/>
    <w:rsid w:val="00193079"/>
    <w:rsid w:val="00195561"/>
    <w:rsid w:val="001A01BD"/>
    <w:rsid w:val="001A0473"/>
    <w:rsid w:val="001A1D05"/>
    <w:rsid w:val="001A2CB1"/>
    <w:rsid w:val="001A3589"/>
    <w:rsid w:val="001A4836"/>
    <w:rsid w:val="001A68C5"/>
    <w:rsid w:val="001A6990"/>
    <w:rsid w:val="001B13CD"/>
    <w:rsid w:val="001B3BFE"/>
    <w:rsid w:val="001C0739"/>
    <w:rsid w:val="001C211A"/>
    <w:rsid w:val="001C3C9C"/>
    <w:rsid w:val="001C4C61"/>
    <w:rsid w:val="001C7EF0"/>
    <w:rsid w:val="001C7F33"/>
    <w:rsid w:val="001D08ED"/>
    <w:rsid w:val="001D6413"/>
    <w:rsid w:val="001E0A44"/>
    <w:rsid w:val="001E3971"/>
    <w:rsid w:val="001F03CA"/>
    <w:rsid w:val="001F62C9"/>
    <w:rsid w:val="001F798E"/>
    <w:rsid w:val="001F7A1D"/>
    <w:rsid w:val="001F7E63"/>
    <w:rsid w:val="00200BE5"/>
    <w:rsid w:val="002032AC"/>
    <w:rsid w:val="0020360E"/>
    <w:rsid w:val="002038CE"/>
    <w:rsid w:val="00203BC2"/>
    <w:rsid w:val="00206272"/>
    <w:rsid w:val="00207DB0"/>
    <w:rsid w:val="00210FE3"/>
    <w:rsid w:val="00211407"/>
    <w:rsid w:val="00211624"/>
    <w:rsid w:val="00211A3F"/>
    <w:rsid w:val="002120C6"/>
    <w:rsid w:val="002126B8"/>
    <w:rsid w:val="00215963"/>
    <w:rsid w:val="00215F28"/>
    <w:rsid w:val="00216389"/>
    <w:rsid w:val="002211A2"/>
    <w:rsid w:val="00230DEE"/>
    <w:rsid w:val="00232065"/>
    <w:rsid w:val="00232BB3"/>
    <w:rsid w:val="0023305B"/>
    <w:rsid w:val="0023592D"/>
    <w:rsid w:val="002368C2"/>
    <w:rsid w:val="00236FC7"/>
    <w:rsid w:val="00243572"/>
    <w:rsid w:val="00243B0C"/>
    <w:rsid w:val="0024442C"/>
    <w:rsid w:val="0024596F"/>
    <w:rsid w:val="002466DF"/>
    <w:rsid w:val="00246F4A"/>
    <w:rsid w:val="00250F7E"/>
    <w:rsid w:val="00251530"/>
    <w:rsid w:val="0025278B"/>
    <w:rsid w:val="00254E26"/>
    <w:rsid w:val="00254FCD"/>
    <w:rsid w:val="002571FB"/>
    <w:rsid w:val="00260128"/>
    <w:rsid w:val="0026068C"/>
    <w:rsid w:val="00260C53"/>
    <w:rsid w:val="002620BE"/>
    <w:rsid w:val="00263098"/>
    <w:rsid w:val="002647F5"/>
    <w:rsid w:val="00266429"/>
    <w:rsid w:val="002666FA"/>
    <w:rsid w:val="002669CC"/>
    <w:rsid w:val="00266FFF"/>
    <w:rsid w:val="00270749"/>
    <w:rsid w:val="0027289C"/>
    <w:rsid w:val="0027348F"/>
    <w:rsid w:val="0027471A"/>
    <w:rsid w:val="0027495F"/>
    <w:rsid w:val="00275C29"/>
    <w:rsid w:val="00281AE0"/>
    <w:rsid w:val="00287363"/>
    <w:rsid w:val="00290850"/>
    <w:rsid w:val="00290B07"/>
    <w:rsid w:val="00293545"/>
    <w:rsid w:val="002938BC"/>
    <w:rsid w:val="002938CB"/>
    <w:rsid w:val="002939DE"/>
    <w:rsid w:val="00293DC0"/>
    <w:rsid w:val="00294870"/>
    <w:rsid w:val="00296BA9"/>
    <w:rsid w:val="00297217"/>
    <w:rsid w:val="002A0C3C"/>
    <w:rsid w:val="002A2524"/>
    <w:rsid w:val="002A42D2"/>
    <w:rsid w:val="002A7206"/>
    <w:rsid w:val="002A76B3"/>
    <w:rsid w:val="002B07EF"/>
    <w:rsid w:val="002B0E3C"/>
    <w:rsid w:val="002B1E93"/>
    <w:rsid w:val="002B2EC3"/>
    <w:rsid w:val="002B2FE4"/>
    <w:rsid w:val="002B5CFE"/>
    <w:rsid w:val="002C49F3"/>
    <w:rsid w:val="002D064B"/>
    <w:rsid w:val="002D2693"/>
    <w:rsid w:val="002D35EC"/>
    <w:rsid w:val="002D3968"/>
    <w:rsid w:val="002D48F0"/>
    <w:rsid w:val="002D56B6"/>
    <w:rsid w:val="002E0266"/>
    <w:rsid w:val="002E02A5"/>
    <w:rsid w:val="002E39EC"/>
    <w:rsid w:val="002F0667"/>
    <w:rsid w:val="002F3B4E"/>
    <w:rsid w:val="002F58CC"/>
    <w:rsid w:val="002F6D56"/>
    <w:rsid w:val="00300B9F"/>
    <w:rsid w:val="00302326"/>
    <w:rsid w:val="00302AE5"/>
    <w:rsid w:val="00303070"/>
    <w:rsid w:val="00303745"/>
    <w:rsid w:val="003041BF"/>
    <w:rsid w:val="003049C8"/>
    <w:rsid w:val="003052F8"/>
    <w:rsid w:val="003072FF"/>
    <w:rsid w:val="003074AD"/>
    <w:rsid w:val="003124F8"/>
    <w:rsid w:val="003127C7"/>
    <w:rsid w:val="00313002"/>
    <w:rsid w:val="0031335D"/>
    <w:rsid w:val="00315060"/>
    <w:rsid w:val="00317C18"/>
    <w:rsid w:val="00321A73"/>
    <w:rsid w:val="003246F4"/>
    <w:rsid w:val="00324C67"/>
    <w:rsid w:val="0032706F"/>
    <w:rsid w:val="00327494"/>
    <w:rsid w:val="003335BA"/>
    <w:rsid w:val="00335779"/>
    <w:rsid w:val="0034098C"/>
    <w:rsid w:val="00341D08"/>
    <w:rsid w:val="00343843"/>
    <w:rsid w:val="00344294"/>
    <w:rsid w:val="0034653F"/>
    <w:rsid w:val="0034664C"/>
    <w:rsid w:val="00346819"/>
    <w:rsid w:val="003518E7"/>
    <w:rsid w:val="003535E9"/>
    <w:rsid w:val="00353B6C"/>
    <w:rsid w:val="003575EC"/>
    <w:rsid w:val="0036084C"/>
    <w:rsid w:val="003625E8"/>
    <w:rsid w:val="003675CF"/>
    <w:rsid w:val="00370D2E"/>
    <w:rsid w:val="003714D1"/>
    <w:rsid w:val="00371861"/>
    <w:rsid w:val="00372731"/>
    <w:rsid w:val="00375531"/>
    <w:rsid w:val="00375DD2"/>
    <w:rsid w:val="00381134"/>
    <w:rsid w:val="00381ADD"/>
    <w:rsid w:val="0038398A"/>
    <w:rsid w:val="00385210"/>
    <w:rsid w:val="00386D07"/>
    <w:rsid w:val="00387239"/>
    <w:rsid w:val="00392D1E"/>
    <w:rsid w:val="0039317E"/>
    <w:rsid w:val="00393383"/>
    <w:rsid w:val="003950E2"/>
    <w:rsid w:val="00396A24"/>
    <w:rsid w:val="003A0344"/>
    <w:rsid w:val="003A067E"/>
    <w:rsid w:val="003A1034"/>
    <w:rsid w:val="003A4A25"/>
    <w:rsid w:val="003A4DDB"/>
    <w:rsid w:val="003A551D"/>
    <w:rsid w:val="003A6E71"/>
    <w:rsid w:val="003B1C74"/>
    <w:rsid w:val="003B34FB"/>
    <w:rsid w:val="003B44FD"/>
    <w:rsid w:val="003B6CA3"/>
    <w:rsid w:val="003C2D91"/>
    <w:rsid w:val="003C5596"/>
    <w:rsid w:val="003D2FFC"/>
    <w:rsid w:val="003D3194"/>
    <w:rsid w:val="003D420F"/>
    <w:rsid w:val="003D476F"/>
    <w:rsid w:val="003D4E7A"/>
    <w:rsid w:val="003D6A6E"/>
    <w:rsid w:val="003E297C"/>
    <w:rsid w:val="003E3596"/>
    <w:rsid w:val="003E39AC"/>
    <w:rsid w:val="003E4A37"/>
    <w:rsid w:val="003E7A7A"/>
    <w:rsid w:val="003E7ABC"/>
    <w:rsid w:val="003E7D90"/>
    <w:rsid w:val="003F0C86"/>
    <w:rsid w:val="003F49E4"/>
    <w:rsid w:val="003F60C6"/>
    <w:rsid w:val="003F6811"/>
    <w:rsid w:val="003F6B45"/>
    <w:rsid w:val="003F7A0F"/>
    <w:rsid w:val="00400291"/>
    <w:rsid w:val="004007B9"/>
    <w:rsid w:val="00401C61"/>
    <w:rsid w:val="00402B4E"/>
    <w:rsid w:val="00403184"/>
    <w:rsid w:val="00405315"/>
    <w:rsid w:val="00405673"/>
    <w:rsid w:val="0040706F"/>
    <w:rsid w:val="004074FF"/>
    <w:rsid w:val="00407FAC"/>
    <w:rsid w:val="00410368"/>
    <w:rsid w:val="004110BD"/>
    <w:rsid w:val="004119FC"/>
    <w:rsid w:val="00413FD2"/>
    <w:rsid w:val="004159C0"/>
    <w:rsid w:val="00420476"/>
    <w:rsid w:val="00421659"/>
    <w:rsid w:val="00421B83"/>
    <w:rsid w:val="00422EBE"/>
    <w:rsid w:val="00427FE6"/>
    <w:rsid w:val="0043079A"/>
    <w:rsid w:val="004327D0"/>
    <w:rsid w:val="00437848"/>
    <w:rsid w:val="004430E1"/>
    <w:rsid w:val="00443ADA"/>
    <w:rsid w:val="0044535D"/>
    <w:rsid w:val="004456CB"/>
    <w:rsid w:val="00445C56"/>
    <w:rsid w:val="0044708F"/>
    <w:rsid w:val="00447D21"/>
    <w:rsid w:val="0045028B"/>
    <w:rsid w:val="00452301"/>
    <w:rsid w:val="00452722"/>
    <w:rsid w:val="0045275B"/>
    <w:rsid w:val="00455E90"/>
    <w:rsid w:val="00456B2B"/>
    <w:rsid w:val="0046107E"/>
    <w:rsid w:val="00461DDC"/>
    <w:rsid w:val="004642EA"/>
    <w:rsid w:val="00465CAF"/>
    <w:rsid w:val="00465D1F"/>
    <w:rsid w:val="00467586"/>
    <w:rsid w:val="00473CF0"/>
    <w:rsid w:val="00475419"/>
    <w:rsid w:val="00476279"/>
    <w:rsid w:val="00481D7D"/>
    <w:rsid w:val="00482130"/>
    <w:rsid w:val="00485343"/>
    <w:rsid w:val="004865D5"/>
    <w:rsid w:val="0049020D"/>
    <w:rsid w:val="00491D24"/>
    <w:rsid w:val="00495507"/>
    <w:rsid w:val="0049628F"/>
    <w:rsid w:val="0049787A"/>
    <w:rsid w:val="004A07FF"/>
    <w:rsid w:val="004A2AAA"/>
    <w:rsid w:val="004A5BFB"/>
    <w:rsid w:val="004A5D85"/>
    <w:rsid w:val="004A71D7"/>
    <w:rsid w:val="004A779A"/>
    <w:rsid w:val="004B06FD"/>
    <w:rsid w:val="004B1BA5"/>
    <w:rsid w:val="004B35A6"/>
    <w:rsid w:val="004B3ACE"/>
    <w:rsid w:val="004B6911"/>
    <w:rsid w:val="004B7DB6"/>
    <w:rsid w:val="004C003F"/>
    <w:rsid w:val="004C0426"/>
    <w:rsid w:val="004C10CB"/>
    <w:rsid w:val="004C4827"/>
    <w:rsid w:val="004C5C47"/>
    <w:rsid w:val="004C61CF"/>
    <w:rsid w:val="004C6EF7"/>
    <w:rsid w:val="004D17C0"/>
    <w:rsid w:val="004D33CC"/>
    <w:rsid w:val="004D6F67"/>
    <w:rsid w:val="004E1B90"/>
    <w:rsid w:val="004E1E70"/>
    <w:rsid w:val="004E74A6"/>
    <w:rsid w:val="004E7BA9"/>
    <w:rsid w:val="004F014A"/>
    <w:rsid w:val="004F3C7F"/>
    <w:rsid w:val="004F5757"/>
    <w:rsid w:val="004F6CF0"/>
    <w:rsid w:val="004F724F"/>
    <w:rsid w:val="00502E64"/>
    <w:rsid w:val="00503206"/>
    <w:rsid w:val="00504714"/>
    <w:rsid w:val="00504990"/>
    <w:rsid w:val="00510FC2"/>
    <w:rsid w:val="00511923"/>
    <w:rsid w:val="00512431"/>
    <w:rsid w:val="00512FF1"/>
    <w:rsid w:val="00513657"/>
    <w:rsid w:val="00515CF7"/>
    <w:rsid w:val="005179D0"/>
    <w:rsid w:val="00517BC5"/>
    <w:rsid w:val="005207F5"/>
    <w:rsid w:val="0052087F"/>
    <w:rsid w:val="00522ADF"/>
    <w:rsid w:val="00522D21"/>
    <w:rsid w:val="00522F5D"/>
    <w:rsid w:val="00525D34"/>
    <w:rsid w:val="00527466"/>
    <w:rsid w:val="00530FF8"/>
    <w:rsid w:val="00531577"/>
    <w:rsid w:val="00533ECD"/>
    <w:rsid w:val="00534307"/>
    <w:rsid w:val="00534BF1"/>
    <w:rsid w:val="00535958"/>
    <w:rsid w:val="00542E01"/>
    <w:rsid w:val="005447A7"/>
    <w:rsid w:val="00544D1B"/>
    <w:rsid w:val="005542E0"/>
    <w:rsid w:val="0055468A"/>
    <w:rsid w:val="005549BE"/>
    <w:rsid w:val="00554AD0"/>
    <w:rsid w:val="005554E1"/>
    <w:rsid w:val="00560874"/>
    <w:rsid w:val="0056131F"/>
    <w:rsid w:val="005614CE"/>
    <w:rsid w:val="005626B0"/>
    <w:rsid w:val="005631B2"/>
    <w:rsid w:val="00571045"/>
    <w:rsid w:val="00572689"/>
    <w:rsid w:val="00572876"/>
    <w:rsid w:val="00573FD3"/>
    <w:rsid w:val="0057765E"/>
    <w:rsid w:val="00580707"/>
    <w:rsid w:val="005807CC"/>
    <w:rsid w:val="00581772"/>
    <w:rsid w:val="0058425F"/>
    <w:rsid w:val="0059210F"/>
    <w:rsid w:val="005927B0"/>
    <w:rsid w:val="00592E48"/>
    <w:rsid w:val="00594F59"/>
    <w:rsid w:val="00595CB5"/>
    <w:rsid w:val="00595E38"/>
    <w:rsid w:val="00596CCD"/>
    <w:rsid w:val="00597765"/>
    <w:rsid w:val="005A244C"/>
    <w:rsid w:val="005A25AE"/>
    <w:rsid w:val="005A314B"/>
    <w:rsid w:val="005A4FD9"/>
    <w:rsid w:val="005B0DAC"/>
    <w:rsid w:val="005B2F9B"/>
    <w:rsid w:val="005B3B9A"/>
    <w:rsid w:val="005C3CA5"/>
    <w:rsid w:val="005C434D"/>
    <w:rsid w:val="005C58EF"/>
    <w:rsid w:val="005C59D4"/>
    <w:rsid w:val="005C59E4"/>
    <w:rsid w:val="005C61A6"/>
    <w:rsid w:val="005C66B3"/>
    <w:rsid w:val="005C6C7B"/>
    <w:rsid w:val="005D0B6F"/>
    <w:rsid w:val="005D326D"/>
    <w:rsid w:val="005D6AE6"/>
    <w:rsid w:val="005E5087"/>
    <w:rsid w:val="005E7B12"/>
    <w:rsid w:val="005F0B3D"/>
    <w:rsid w:val="005F1D5A"/>
    <w:rsid w:val="005F756A"/>
    <w:rsid w:val="00600481"/>
    <w:rsid w:val="006009D6"/>
    <w:rsid w:val="00601D43"/>
    <w:rsid w:val="006020FF"/>
    <w:rsid w:val="0060253E"/>
    <w:rsid w:val="006028D2"/>
    <w:rsid w:val="00603820"/>
    <w:rsid w:val="00603EA2"/>
    <w:rsid w:val="006040A8"/>
    <w:rsid w:val="00604FE8"/>
    <w:rsid w:val="00607880"/>
    <w:rsid w:val="0061245F"/>
    <w:rsid w:val="00612CE8"/>
    <w:rsid w:val="006136CE"/>
    <w:rsid w:val="00613C37"/>
    <w:rsid w:val="00616A88"/>
    <w:rsid w:val="00621E66"/>
    <w:rsid w:val="00624309"/>
    <w:rsid w:val="00627100"/>
    <w:rsid w:val="00630C7C"/>
    <w:rsid w:val="00630DF6"/>
    <w:rsid w:val="00632B38"/>
    <w:rsid w:val="00633B8E"/>
    <w:rsid w:val="00633EB0"/>
    <w:rsid w:val="00637CD5"/>
    <w:rsid w:val="006429FA"/>
    <w:rsid w:val="00642BA7"/>
    <w:rsid w:val="00643546"/>
    <w:rsid w:val="00643930"/>
    <w:rsid w:val="00645995"/>
    <w:rsid w:val="00646F30"/>
    <w:rsid w:val="00652EEE"/>
    <w:rsid w:val="0065646B"/>
    <w:rsid w:val="0066059A"/>
    <w:rsid w:val="00665E5A"/>
    <w:rsid w:val="006717E9"/>
    <w:rsid w:val="006732BE"/>
    <w:rsid w:val="00675BF4"/>
    <w:rsid w:val="00676896"/>
    <w:rsid w:val="00680202"/>
    <w:rsid w:val="006822B7"/>
    <w:rsid w:val="00687208"/>
    <w:rsid w:val="00690925"/>
    <w:rsid w:val="00691C4B"/>
    <w:rsid w:val="006921E1"/>
    <w:rsid w:val="00694ACA"/>
    <w:rsid w:val="006961FC"/>
    <w:rsid w:val="006A0D0C"/>
    <w:rsid w:val="006A1ED9"/>
    <w:rsid w:val="006A3C99"/>
    <w:rsid w:val="006A3EBE"/>
    <w:rsid w:val="006A69D4"/>
    <w:rsid w:val="006B2EFE"/>
    <w:rsid w:val="006B3D6B"/>
    <w:rsid w:val="006B422C"/>
    <w:rsid w:val="006B4497"/>
    <w:rsid w:val="006B5643"/>
    <w:rsid w:val="006B71B5"/>
    <w:rsid w:val="006C1625"/>
    <w:rsid w:val="006C1FB8"/>
    <w:rsid w:val="006C2FFC"/>
    <w:rsid w:val="006C41CF"/>
    <w:rsid w:val="006D18A0"/>
    <w:rsid w:val="006D1C66"/>
    <w:rsid w:val="006D1C9F"/>
    <w:rsid w:val="006D4149"/>
    <w:rsid w:val="006D5A45"/>
    <w:rsid w:val="006E0CFC"/>
    <w:rsid w:val="006E2CA8"/>
    <w:rsid w:val="006E469F"/>
    <w:rsid w:val="006E701B"/>
    <w:rsid w:val="006E7467"/>
    <w:rsid w:val="006F0F40"/>
    <w:rsid w:val="006F1957"/>
    <w:rsid w:val="006F2282"/>
    <w:rsid w:val="006F3677"/>
    <w:rsid w:val="00700B3B"/>
    <w:rsid w:val="00700B45"/>
    <w:rsid w:val="007049FA"/>
    <w:rsid w:val="00710BAC"/>
    <w:rsid w:val="007158A9"/>
    <w:rsid w:val="00715D9D"/>
    <w:rsid w:val="00717452"/>
    <w:rsid w:val="00717516"/>
    <w:rsid w:val="007219D5"/>
    <w:rsid w:val="00721A8C"/>
    <w:rsid w:val="007245DF"/>
    <w:rsid w:val="00724747"/>
    <w:rsid w:val="007272D4"/>
    <w:rsid w:val="00727FB8"/>
    <w:rsid w:val="00730554"/>
    <w:rsid w:val="00735261"/>
    <w:rsid w:val="00736C5C"/>
    <w:rsid w:val="007414A0"/>
    <w:rsid w:val="00741F35"/>
    <w:rsid w:val="00742264"/>
    <w:rsid w:val="00743DE4"/>
    <w:rsid w:val="00745168"/>
    <w:rsid w:val="00745434"/>
    <w:rsid w:val="007466A9"/>
    <w:rsid w:val="007503B4"/>
    <w:rsid w:val="0075074C"/>
    <w:rsid w:val="007509C7"/>
    <w:rsid w:val="00750DF2"/>
    <w:rsid w:val="00752660"/>
    <w:rsid w:val="00753675"/>
    <w:rsid w:val="00755EC5"/>
    <w:rsid w:val="00756520"/>
    <w:rsid w:val="00756604"/>
    <w:rsid w:val="007577D5"/>
    <w:rsid w:val="00757923"/>
    <w:rsid w:val="00760EAA"/>
    <w:rsid w:val="007616F1"/>
    <w:rsid w:val="00762B11"/>
    <w:rsid w:val="007634A4"/>
    <w:rsid w:val="00764C44"/>
    <w:rsid w:val="00765505"/>
    <w:rsid w:val="00767218"/>
    <w:rsid w:val="007679A9"/>
    <w:rsid w:val="00767DE1"/>
    <w:rsid w:val="00770298"/>
    <w:rsid w:val="007706A7"/>
    <w:rsid w:val="007723AF"/>
    <w:rsid w:val="007742C9"/>
    <w:rsid w:val="00775613"/>
    <w:rsid w:val="0078227F"/>
    <w:rsid w:val="00783712"/>
    <w:rsid w:val="00790295"/>
    <w:rsid w:val="00792E40"/>
    <w:rsid w:val="007950B9"/>
    <w:rsid w:val="007958D6"/>
    <w:rsid w:val="00796557"/>
    <w:rsid w:val="007977D4"/>
    <w:rsid w:val="007A1859"/>
    <w:rsid w:val="007A4E81"/>
    <w:rsid w:val="007A50D8"/>
    <w:rsid w:val="007A5FA4"/>
    <w:rsid w:val="007A682B"/>
    <w:rsid w:val="007A68A5"/>
    <w:rsid w:val="007A7494"/>
    <w:rsid w:val="007B2268"/>
    <w:rsid w:val="007B5EAB"/>
    <w:rsid w:val="007B69AC"/>
    <w:rsid w:val="007B6AC9"/>
    <w:rsid w:val="007C0B25"/>
    <w:rsid w:val="007C1140"/>
    <w:rsid w:val="007C1475"/>
    <w:rsid w:val="007C14EE"/>
    <w:rsid w:val="007C34C3"/>
    <w:rsid w:val="007C3838"/>
    <w:rsid w:val="007C3C9D"/>
    <w:rsid w:val="007C4C8D"/>
    <w:rsid w:val="007C58EB"/>
    <w:rsid w:val="007C6B6A"/>
    <w:rsid w:val="007C6D66"/>
    <w:rsid w:val="007C722B"/>
    <w:rsid w:val="007D32E1"/>
    <w:rsid w:val="007D38E1"/>
    <w:rsid w:val="007D50CB"/>
    <w:rsid w:val="007D615D"/>
    <w:rsid w:val="007E0014"/>
    <w:rsid w:val="007E05EA"/>
    <w:rsid w:val="007E2268"/>
    <w:rsid w:val="007E4209"/>
    <w:rsid w:val="007E4C14"/>
    <w:rsid w:val="007E624F"/>
    <w:rsid w:val="007E6F37"/>
    <w:rsid w:val="007E759E"/>
    <w:rsid w:val="007F0B07"/>
    <w:rsid w:val="007F209B"/>
    <w:rsid w:val="007F3BA0"/>
    <w:rsid w:val="00800064"/>
    <w:rsid w:val="008028F4"/>
    <w:rsid w:val="00802A10"/>
    <w:rsid w:val="008031EB"/>
    <w:rsid w:val="00804CF3"/>
    <w:rsid w:val="00804EB4"/>
    <w:rsid w:val="00805128"/>
    <w:rsid w:val="00805474"/>
    <w:rsid w:val="00806AF0"/>
    <w:rsid w:val="00807B56"/>
    <w:rsid w:val="0081586F"/>
    <w:rsid w:val="0081739A"/>
    <w:rsid w:val="00817BDC"/>
    <w:rsid w:val="008219BA"/>
    <w:rsid w:val="00822D8F"/>
    <w:rsid w:val="008245DC"/>
    <w:rsid w:val="00825274"/>
    <w:rsid w:val="0082560E"/>
    <w:rsid w:val="00825BFB"/>
    <w:rsid w:val="00826AF5"/>
    <w:rsid w:val="0083051C"/>
    <w:rsid w:val="0083099C"/>
    <w:rsid w:val="00833311"/>
    <w:rsid w:val="008338F5"/>
    <w:rsid w:val="00834D58"/>
    <w:rsid w:val="00835202"/>
    <w:rsid w:val="00836ACE"/>
    <w:rsid w:val="00837EF0"/>
    <w:rsid w:val="00840E76"/>
    <w:rsid w:val="00841015"/>
    <w:rsid w:val="00844DFF"/>
    <w:rsid w:val="00845ACC"/>
    <w:rsid w:val="008464CC"/>
    <w:rsid w:val="00847A02"/>
    <w:rsid w:val="00847CBC"/>
    <w:rsid w:val="008520B9"/>
    <w:rsid w:val="00853C56"/>
    <w:rsid w:val="0085429B"/>
    <w:rsid w:val="00856102"/>
    <w:rsid w:val="00860683"/>
    <w:rsid w:val="0086100D"/>
    <w:rsid w:val="00861E60"/>
    <w:rsid w:val="00863094"/>
    <w:rsid w:val="0086421B"/>
    <w:rsid w:val="0086688A"/>
    <w:rsid w:val="00871378"/>
    <w:rsid w:val="00871B81"/>
    <w:rsid w:val="00871F8D"/>
    <w:rsid w:val="00872F57"/>
    <w:rsid w:val="0087312C"/>
    <w:rsid w:val="0087498A"/>
    <w:rsid w:val="00876407"/>
    <w:rsid w:val="00876E97"/>
    <w:rsid w:val="00877588"/>
    <w:rsid w:val="00880381"/>
    <w:rsid w:val="00882559"/>
    <w:rsid w:val="00883F53"/>
    <w:rsid w:val="00886EDB"/>
    <w:rsid w:val="008875ED"/>
    <w:rsid w:val="00893916"/>
    <w:rsid w:val="00894A4E"/>
    <w:rsid w:val="00896395"/>
    <w:rsid w:val="008A0254"/>
    <w:rsid w:val="008A079A"/>
    <w:rsid w:val="008A4BF2"/>
    <w:rsid w:val="008B15F2"/>
    <w:rsid w:val="008C16FB"/>
    <w:rsid w:val="008C201D"/>
    <w:rsid w:val="008C38CC"/>
    <w:rsid w:val="008C4868"/>
    <w:rsid w:val="008C4F51"/>
    <w:rsid w:val="008C5393"/>
    <w:rsid w:val="008C5DE1"/>
    <w:rsid w:val="008C6157"/>
    <w:rsid w:val="008C6C3B"/>
    <w:rsid w:val="008C701E"/>
    <w:rsid w:val="008C7289"/>
    <w:rsid w:val="008D1A4D"/>
    <w:rsid w:val="008D214F"/>
    <w:rsid w:val="008D2F1E"/>
    <w:rsid w:val="008D338E"/>
    <w:rsid w:val="008D3729"/>
    <w:rsid w:val="008D4171"/>
    <w:rsid w:val="008D586A"/>
    <w:rsid w:val="008D5FE6"/>
    <w:rsid w:val="008D7817"/>
    <w:rsid w:val="008E094F"/>
    <w:rsid w:val="008E0CF2"/>
    <w:rsid w:val="008E2CAB"/>
    <w:rsid w:val="008E4356"/>
    <w:rsid w:val="008E553F"/>
    <w:rsid w:val="008E5775"/>
    <w:rsid w:val="008E5B94"/>
    <w:rsid w:val="008E5D98"/>
    <w:rsid w:val="008E7B2D"/>
    <w:rsid w:val="008F25BE"/>
    <w:rsid w:val="008F2DD8"/>
    <w:rsid w:val="008F673B"/>
    <w:rsid w:val="008F7EAA"/>
    <w:rsid w:val="0090196F"/>
    <w:rsid w:val="009054E7"/>
    <w:rsid w:val="00905E0C"/>
    <w:rsid w:val="0091125F"/>
    <w:rsid w:val="009112F3"/>
    <w:rsid w:val="00911BCE"/>
    <w:rsid w:val="00913359"/>
    <w:rsid w:val="00914013"/>
    <w:rsid w:val="009142D9"/>
    <w:rsid w:val="00914AB7"/>
    <w:rsid w:val="009168F2"/>
    <w:rsid w:val="00916ED5"/>
    <w:rsid w:val="0091798A"/>
    <w:rsid w:val="00921758"/>
    <w:rsid w:val="009217EC"/>
    <w:rsid w:val="009242E2"/>
    <w:rsid w:val="0092535D"/>
    <w:rsid w:val="00926EB8"/>
    <w:rsid w:val="009276B5"/>
    <w:rsid w:val="00930918"/>
    <w:rsid w:val="00930B35"/>
    <w:rsid w:val="00931DC4"/>
    <w:rsid w:val="00934D35"/>
    <w:rsid w:val="009351FB"/>
    <w:rsid w:val="009409E8"/>
    <w:rsid w:val="0094126E"/>
    <w:rsid w:val="009431D6"/>
    <w:rsid w:val="00943B04"/>
    <w:rsid w:val="00944824"/>
    <w:rsid w:val="00946E07"/>
    <w:rsid w:val="00952B03"/>
    <w:rsid w:val="009530CB"/>
    <w:rsid w:val="0095365C"/>
    <w:rsid w:val="00956149"/>
    <w:rsid w:val="0095778C"/>
    <w:rsid w:val="00962593"/>
    <w:rsid w:val="0096351C"/>
    <w:rsid w:val="00963D72"/>
    <w:rsid w:val="00964BED"/>
    <w:rsid w:val="00965416"/>
    <w:rsid w:val="009662FB"/>
    <w:rsid w:val="009665C9"/>
    <w:rsid w:val="00966C93"/>
    <w:rsid w:val="009679F7"/>
    <w:rsid w:val="00967AA3"/>
    <w:rsid w:val="00971E84"/>
    <w:rsid w:val="00972AE9"/>
    <w:rsid w:val="009743F0"/>
    <w:rsid w:val="0097448C"/>
    <w:rsid w:val="009745BD"/>
    <w:rsid w:val="00981A6C"/>
    <w:rsid w:val="00982A8D"/>
    <w:rsid w:val="00983DDB"/>
    <w:rsid w:val="0099052A"/>
    <w:rsid w:val="00991E26"/>
    <w:rsid w:val="00992B95"/>
    <w:rsid w:val="00992D3C"/>
    <w:rsid w:val="00993621"/>
    <w:rsid w:val="00994B01"/>
    <w:rsid w:val="00995F66"/>
    <w:rsid w:val="00996121"/>
    <w:rsid w:val="009A152C"/>
    <w:rsid w:val="009A1BEA"/>
    <w:rsid w:val="009A2F42"/>
    <w:rsid w:val="009A52C3"/>
    <w:rsid w:val="009A7AFD"/>
    <w:rsid w:val="009B1F30"/>
    <w:rsid w:val="009B21D1"/>
    <w:rsid w:val="009B4710"/>
    <w:rsid w:val="009B4AE3"/>
    <w:rsid w:val="009B4FCF"/>
    <w:rsid w:val="009B5CCF"/>
    <w:rsid w:val="009C128E"/>
    <w:rsid w:val="009C2909"/>
    <w:rsid w:val="009C2B5F"/>
    <w:rsid w:val="009C32EC"/>
    <w:rsid w:val="009C33DF"/>
    <w:rsid w:val="009C37AE"/>
    <w:rsid w:val="009C7078"/>
    <w:rsid w:val="009C7877"/>
    <w:rsid w:val="009D0A33"/>
    <w:rsid w:val="009D1163"/>
    <w:rsid w:val="009D18E1"/>
    <w:rsid w:val="009D5E4A"/>
    <w:rsid w:val="009D70D9"/>
    <w:rsid w:val="009E178D"/>
    <w:rsid w:val="009E4530"/>
    <w:rsid w:val="009E5BB8"/>
    <w:rsid w:val="009E71A5"/>
    <w:rsid w:val="009F3133"/>
    <w:rsid w:val="009F339B"/>
    <w:rsid w:val="009F380A"/>
    <w:rsid w:val="009F3815"/>
    <w:rsid w:val="009F4FDA"/>
    <w:rsid w:val="009F5E2C"/>
    <w:rsid w:val="009F5F55"/>
    <w:rsid w:val="009F6AC9"/>
    <w:rsid w:val="009F6FDA"/>
    <w:rsid w:val="009F73EA"/>
    <w:rsid w:val="00A004FB"/>
    <w:rsid w:val="00A00C90"/>
    <w:rsid w:val="00A010CE"/>
    <w:rsid w:val="00A02578"/>
    <w:rsid w:val="00A04182"/>
    <w:rsid w:val="00A11905"/>
    <w:rsid w:val="00A11DD2"/>
    <w:rsid w:val="00A12346"/>
    <w:rsid w:val="00A137F7"/>
    <w:rsid w:val="00A13ADF"/>
    <w:rsid w:val="00A14736"/>
    <w:rsid w:val="00A15343"/>
    <w:rsid w:val="00A1624E"/>
    <w:rsid w:val="00A16254"/>
    <w:rsid w:val="00A172EF"/>
    <w:rsid w:val="00A20D1D"/>
    <w:rsid w:val="00A21B5F"/>
    <w:rsid w:val="00A22874"/>
    <w:rsid w:val="00A22B00"/>
    <w:rsid w:val="00A23F72"/>
    <w:rsid w:val="00A24902"/>
    <w:rsid w:val="00A254E3"/>
    <w:rsid w:val="00A36D9A"/>
    <w:rsid w:val="00A37DB8"/>
    <w:rsid w:val="00A407EF"/>
    <w:rsid w:val="00A426E7"/>
    <w:rsid w:val="00A4285C"/>
    <w:rsid w:val="00A435C6"/>
    <w:rsid w:val="00A45426"/>
    <w:rsid w:val="00A4626C"/>
    <w:rsid w:val="00A46A89"/>
    <w:rsid w:val="00A52150"/>
    <w:rsid w:val="00A523E5"/>
    <w:rsid w:val="00A54E7F"/>
    <w:rsid w:val="00A550F6"/>
    <w:rsid w:val="00A557B7"/>
    <w:rsid w:val="00A569D2"/>
    <w:rsid w:val="00A600C8"/>
    <w:rsid w:val="00A6078E"/>
    <w:rsid w:val="00A631D5"/>
    <w:rsid w:val="00A642E5"/>
    <w:rsid w:val="00A66813"/>
    <w:rsid w:val="00A66D22"/>
    <w:rsid w:val="00A67477"/>
    <w:rsid w:val="00A70187"/>
    <w:rsid w:val="00A721B4"/>
    <w:rsid w:val="00A7235E"/>
    <w:rsid w:val="00A73514"/>
    <w:rsid w:val="00A75C1E"/>
    <w:rsid w:val="00A760C0"/>
    <w:rsid w:val="00A7672D"/>
    <w:rsid w:val="00A769D8"/>
    <w:rsid w:val="00A76C58"/>
    <w:rsid w:val="00A8140F"/>
    <w:rsid w:val="00A833B2"/>
    <w:rsid w:val="00A84104"/>
    <w:rsid w:val="00A84D35"/>
    <w:rsid w:val="00A868DB"/>
    <w:rsid w:val="00A96C28"/>
    <w:rsid w:val="00A96D52"/>
    <w:rsid w:val="00A977E8"/>
    <w:rsid w:val="00A978EB"/>
    <w:rsid w:val="00AA02F4"/>
    <w:rsid w:val="00AA1321"/>
    <w:rsid w:val="00AA42F0"/>
    <w:rsid w:val="00AA58CE"/>
    <w:rsid w:val="00AA64AD"/>
    <w:rsid w:val="00AA744F"/>
    <w:rsid w:val="00AA7571"/>
    <w:rsid w:val="00AB2C50"/>
    <w:rsid w:val="00AB597E"/>
    <w:rsid w:val="00AB640B"/>
    <w:rsid w:val="00AB6816"/>
    <w:rsid w:val="00AB6F9F"/>
    <w:rsid w:val="00AC1AAD"/>
    <w:rsid w:val="00AC1CEF"/>
    <w:rsid w:val="00AC2F6B"/>
    <w:rsid w:val="00AC438A"/>
    <w:rsid w:val="00AD226A"/>
    <w:rsid w:val="00AD4DB4"/>
    <w:rsid w:val="00AD670B"/>
    <w:rsid w:val="00AE0476"/>
    <w:rsid w:val="00AE136F"/>
    <w:rsid w:val="00AE3D3B"/>
    <w:rsid w:val="00AE6FBB"/>
    <w:rsid w:val="00AE7650"/>
    <w:rsid w:val="00AF03C9"/>
    <w:rsid w:val="00AF29F1"/>
    <w:rsid w:val="00AF4270"/>
    <w:rsid w:val="00AF4A0E"/>
    <w:rsid w:val="00AF786A"/>
    <w:rsid w:val="00AF7D20"/>
    <w:rsid w:val="00B01025"/>
    <w:rsid w:val="00B047F6"/>
    <w:rsid w:val="00B04BE8"/>
    <w:rsid w:val="00B04E0C"/>
    <w:rsid w:val="00B07AE7"/>
    <w:rsid w:val="00B10669"/>
    <w:rsid w:val="00B15342"/>
    <w:rsid w:val="00B164CD"/>
    <w:rsid w:val="00B17F42"/>
    <w:rsid w:val="00B20443"/>
    <w:rsid w:val="00B22B55"/>
    <w:rsid w:val="00B22DE7"/>
    <w:rsid w:val="00B231B3"/>
    <w:rsid w:val="00B23BDB"/>
    <w:rsid w:val="00B2431E"/>
    <w:rsid w:val="00B261BA"/>
    <w:rsid w:val="00B31C9D"/>
    <w:rsid w:val="00B31E1D"/>
    <w:rsid w:val="00B31F15"/>
    <w:rsid w:val="00B32A20"/>
    <w:rsid w:val="00B33610"/>
    <w:rsid w:val="00B33A16"/>
    <w:rsid w:val="00B36B7C"/>
    <w:rsid w:val="00B37A3C"/>
    <w:rsid w:val="00B42C1D"/>
    <w:rsid w:val="00B44F1B"/>
    <w:rsid w:val="00B50887"/>
    <w:rsid w:val="00B50B82"/>
    <w:rsid w:val="00B533BC"/>
    <w:rsid w:val="00B57099"/>
    <w:rsid w:val="00B574D2"/>
    <w:rsid w:val="00B57CF5"/>
    <w:rsid w:val="00B60528"/>
    <w:rsid w:val="00B6114A"/>
    <w:rsid w:val="00B63AE0"/>
    <w:rsid w:val="00B6433E"/>
    <w:rsid w:val="00B64EC6"/>
    <w:rsid w:val="00B6633B"/>
    <w:rsid w:val="00B67718"/>
    <w:rsid w:val="00B74437"/>
    <w:rsid w:val="00B755E8"/>
    <w:rsid w:val="00B758C2"/>
    <w:rsid w:val="00B7664D"/>
    <w:rsid w:val="00B766FF"/>
    <w:rsid w:val="00B77154"/>
    <w:rsid w:val="00B80F5C"/>
    <w:rsid w:val="00B82C94"/>
    <w:rsid w:val="00B84171"/>
    <w:rsid w:val="00B8488A"/>
    <w:rsid w:val="00B84E8A"/>
    <w:rsid w:val="00B864B2"/>
    <w:rsid w:val="00B906E7"/>
    <w:rsid w:val="00B931B2"/>
    <w:rsid w:val="00B9330E"/>
    <w:rsid w:val="00B93656"/>
    <w:rsid w:val="00B937EF"/>
    <w:rsid w:val="00B93BBA"/>
    <w:rsid w:val="00B957E4"/>
    <w:rsid w:val="00B958FD"/>
    <w:rsid w:val="00B95C00"/>
    <w:rsid w:val="00BA2815"/>
    <w:rsid w:val="00BA6BF1"/>
    <w:rsid w:val="00BA6C5F"/>
    <w:rsid w:val="00BA720F"/>
    <w:rsid w:val="00BB154A"/>
    <w:rsid w:val="00BB1E72"/>
    <w:rsid w:val="00BB4342"/>
    <w:rsid w:val="00BB4CC9"/>
    <w:rsid w:val="00BB54EC"/>
    <w:rsid w:val="00BB7DD5"/>
    <w:rsid w:val="00BC0A50"/>
    <w:rsid w:val="00BC1DBD"/>
    <w:rsid w:val="00BC3F1F"/>
    <w:rsid w:val="00BC456D"/>
    <w:rsid w:val="00BC45AD"/>
    <w:rsid w:val="00BD002A"/>
    <w:rsid w:val="00BD12C9"/>
    <w:rsid w:val="00BD21C5"/>
    <w:rsid w:val="00BD2F16"/>
    <w:rsid w:val="00BD48C5"/>
    <w:rsid w:val="00BD4A92"/>
    <w:rsid w:val="00BE2CB4"/>
    <w:rsid w:val="00BE2D73"/>
    <w:rsid w:val="00BE35E4"/>
    <w:rsid w:val="00BE39F3"/>
    <w:rsid w:val="00BF20CF"/>
    <w:rsid w:val="00BF50BD"/>
    <w:rsid w:val="00BF622A"/>
    <w:rsid w:val="00BF6790"/>
    <w:rsid w:val="00C0047A"/>
    <w:rsid w:val="00C01E3E"/>
    <w:rsid w:val="00C01ED4"/>
    <w:rsid w:val="00C0318C"/>
    <w:rsid w:val="00C0410B"/>
    <w:rsid w:val="00C054CA"/>
    <w:rsid w:val="00C07272"/>
    <w:rsid w:val="00C122DE"/>
    <w:rsid w:val="00C12C47"/>
    <w:rsid w:val="00C13ED5"/>
    <w:rsid w:val="00C146DD"/>
    <w:rsid w:val="00C167E4"/>
    <w:rsid w:val="00C20F81"/>
    <w:rsid w:val="00C21849"/>
    <w:rsid w:val="00C27B93"/>
    <w:rsid w:val="00C32607"/>
    <w:rsid w:val="00C33183"/>
    <w:rsid w:val="00C34EB4"/>
    <w:rsid w:val="00C353F4"/>
    <w:rsid w:val="00C35C73"/>
    <w:rsid w:val="00C37C3F"/>
    <w:rsid w:val="00C43395"/>
    <w:rsid w:val="00C4422E"/>
    <w:rsid w:val="00C443D1"/>
    <w:rsid w:val="00C45381"/>
    <w:rsid w:val="00C45CCF"/>
    <w:rsid w:val="00C46110"/>
    <w:rsid w:val="00C503A8"/>
    <w:rsid w:val="00C54780"/>
    <w:rsid w:val="00C57632"/>
    <w:rsid w:val="00C577AA"/>
    <w:rsid w:val="00C60089"/>
    <w:rsid w:val="00C61336"/>
    <w:rsid w:val="00C614FB"/>
    <w:rsid w:val="00C62290"/>
    <w:rsid w:val="00C63FAD"/>
    <w:rsid w:val="00C641CA"/>
    <w:rsid w:val="00C65D60"/>
    <w:rsid w:val="00C665E5"/>
    <w:rsid w:val="00C667E6"/>
    <w:rsid w:val="00C721B8"/>
    <w:rsid w:val="00C72493"/>
    <w:rsid w:val="00C742A0"/>
    <w:rsid w:val="00C74CD1"/>
    <w:rsid w:val="00C756C1"/>
    <w:rsid w:val="00C7778F"/>
    <w:rsid w:val="00C80CB4"/>
    <w:rsid w:val="00C8370A"/>
    <w:rsid w:val="00C84F5B"/>
    <w:rsid w:val="00C862D7"/>
    <w:rsid w:val="00C87CDA"/>
    <w:rsid w:val="00C91386"/>
    <w:rsid w:val="00C9215F"/>
    <w:rsid w:val="00C92D64"/>
    <w:rsid w:val="00C95F7C"/>
    <w:rsid w:val="00CA18E1"/>
    <w:rsid w:val="00CA2D2C"/>
    <w:rsid w:val="00CA3241"/>
    <w:rsid w:val="00CA4708"/>
    <w:rsid w:val="00CA64F3"/>
    <w:rsid w:val="00CA7CB7"/>
    <w:rsid w:val="00CB2277"/>
    <w:rsid w:val="00CB38F0"/>
    <w:rsid w:val="00CB5FD5"/>
    <w:rsid w:val="00CC37E9"/>
    <w:rsid w:val="00CC3BC6"/>
    <w:rsid w:val="00CC49EB"/>
    <w:rsid w:val="00CC4A2C"/>
    <w:rsid w:val="00CC5E55"/>
    <w:rsid w:val="00CC6A72"/>
    <w:rsid w:val="00CC7A77"/>
    <w:rsid w:val="00CD0570"/>
    <w:rsid w:val="00CD3DA5"/>
    <w:rsid w:val="00CD41C8"/>
    <w:rsid w:val="00CD48A9"/>
    <w:rsid w:val="00CD4A17"/>
    <w:rsid w:val="00CD66FC"/>
    <w:rsid w:val="00CD6A3C"/>
    <w:rsid w:val="00CD6BF1"/>
    <w:rsid w:val="00CD730B"/>
    <w:rsid w:val="00CE10D7"/>
    <w:rsid w:val="00CE1F49"/>
    <w:rsid w:val="00CE3804"/>
    <w:rsid w:val="00CE56E9"/>
    <w:rsid w:val="00CF07EB"/>
    <w:rsid w:val="00CF0928"/>
    <w:rsid w:val="00CF254D"/>
    <w:rsid w:val="00CF484A"/>
    <w:rsid w:val="00CF4F64"/>
    <w:rsid w:val="00CF543A"/>
    <w:rsid w:val="00CF6579"/>
    <w:rsid w:val="00D010C7"/>
    <w:rsid w:val="00D0148A"/>
    <w:rsid w:val="00D01FC6"/>
    <w:rsid w:val="00D03B67"/>
    <w:rsid w:val="00D03C72"/>
    <w:rsid w:val="00D04607"/>
    <w:rsid w:val="00D05E59"/>
    <w:rsid w:val="00D076A4"/>
    <w:rsid w:val="00D1057A"/>
    <w:rsid w:val="00D1233A"/>
    <w:rsid w:val="00D137EF"/>
    <w:rsid w:val="00D159CC"/>
    <w:rsid w:val="00D2040E"/>
    <w:rsid w:val="00D20C82"/>
    <w:rsid w:val="00D2440F"/>
    <w:rsid w:val="00D268E0"/>
    <w:rsid w:val="00D2731C"/>
    <w:rsid w:val="00D31C54"/>
    <w:rsid w:val="00D33743"/>
    <w:rsid w:val="00D3641B"/>
    <w:rsid w:val="00D407A4"/>
    <w:rsid w:val="00D40EE4"/>
    <w:rsid w:val="00D41427"/>
    <w:rsid w:val="00D43AD7"/>
    <w:rsid w:val="00D4481A"/>
    <w:rsid w:val="00D45237"/>
    <w:rsid w:val="00D461FA"/>
    <w:rsid w:val="00D50285"/>
    <w:rsid w:val="00D53BFD"/>
    <w:rsid w:val="00D557A0"/>
    <w:rsid w:val="00D56845"/>
    <w:rsid w:val="00D5777E"/>
    <w:rsid w:val="00D57E03"/>
    <w:rsid w:val="00D60611"/>
    <w:rsid w:val="00D61488"/>
    <w:rsid w:val="00D619ED"/>
    <w:rsid w:val="00D62B67"/>
    <w:rsid w:val="00D64C54"/>
    <w:rsid w:val="00D669BC"/>
    <w:rsid w:val="00D67188"/>
    <w:rsid w:val="00D71406"/>
    <w:rsid w:val="00D71A60"/>
    <w:rsid w:val="00D76AF7"/>
    <w:rsid w:val="00D81285"/>
    <w:rsid w:val="00D8147A"/>
    <w:rsid w:val="00D81746"/>
    <w:rsid w:val="00D819A1"/>
    <w:rsid w:val="00D8204F"/>
    <w:rsid w:val="00D83C5C"/>
    <w:rsid w:val="00D8452D"/>
    <w:rsid w:val="00D8564D"/>
    <w:rsid w:val="00D86AEF"/>
    <w:rsid w:val="00D903A0"/>
    <w:rsid w:val="00D907C0"/>
    <w:rsid w:val="00D92A43"/>
    <w:rsid w:val="00D936C4"/>
    <w:rsid w:val="00D95E70"/>
    <w:rsid w:val="00D96CD8"/>
    <w:rsid w:val="00D97AEC"/>
    <w:rsid w:val="00DA1F38"/>
    <w:rsid w:val="00DA23E5"/>
    <w:rsid w:val="00DA49B8"/>
    <w:rsid w:val="00DA51DD"/>
    <w:rsid w:val="00DA5C73"/>
    <w:rsid w:val="00DA686D"/>
    <w:rsid w:val="00DB0423"/>
    <w:rsid w:val="00DB09B6"/>
    <w:rsid w:val="00DB0BEB"/>
    <w:rsid w:val="00DB0EA3"/>
    <w:rsid w:val="00DB180F"/>
    <w:rsid w:val="00DB6A93"/>
    <w:rsid w:val="00DC1410"/>
    <w:rsid w:val="00DC4522"/>
    <w:rsid w:val="00DC4FB5"/>
    <w:rsid w:val="00DC5473"/>
    <w:rsid w:val="00DD18EB"/>
    <w:rsid w:val="00DD214B"/>
    <w:rsid w:val="00DD266E"/>
    <w:rsid w:val="00DD45A9"/>
    <w:rsid w:val="00DD6228"/>
    <w:rsid w:val="00DD76FE"/>
    <w:rsid w:val="00DD77F8"/>
    <w:rsid w:val="00DE2041"/>
    <w:rsid w:val="00DE4D64"/>
    <w:rsid w:val="00DF1011"/>
    <w:rsid w:val="00DF34EC"/>
    <w:rsid w:val="00DF3778"/>
    <w:rsid w:val="00DF402D"/>
    <w:rsid w:val="00DF41CC"/>
    <w:rsid w:val="00DF444B"/>
    <w:rsid w:val="00DF4D37"/>
    <w:rsid w:val="00DF664F"/>
    <w:rsid w:val="00DF7684"/>
    <w:rsid w:val="00E048A5"/>
    <w:rsid w:val="00E04B5E"/>
    <w:rsid w:val="00E05724"/>
    <w:rsid w:val="00E05BD7"/>
    <w:rsid w:val="00E102F1"/>
    <w:rsid w:val="00E111E4"/>
    <w:rsid w:val="00E11A59"/>
    <w:rsid w:val="00E1249E"/>
    <w:rsid w:val="00E13AA6"/>
    <w:rsid w:val="00E158FF"/>
    <w:rsid w:val="00E16566"/>
    <w:rsid w:val="00E16DE0"/>
    <w:rsid w:val="00E17196"/>
    <w:rsid w:val="00E21935"/>
    <w:rsid w:val="00E240C1"/>
    <w:rsid w:val="00E2431D"/>
    <w:rsid w:val="00E26AC9"/>
    <w:rsid w:val="00E277FA"/>
    <w:rsid w:val="00E27F19"/>
    <w:rsid w:val="00E30DEC"/>
    <w:rsid w:val="00E31386"/>
    <w:rsid w:val="00E335F0"/>
    <w:rsid w:val="00E33A3C"/>
    <w:rsid w:val="00E3406B"/>
    <w:rsid w:val="00E34EEA"/>
    <w:rsid w:val="00E3702A"/>
    <w:rsid w:val="00E37512"/>
    <w:rsid w:val="00E4126D"/>
    <w:rsid w:val="00E41323"/>
    <w:rsid w:val="00E413DD"/>
    <w:rsid w:val="00E43E35"/>
    <w:rsid w:val="00E44AF1"/>
    <w:rsid w:val="00E4675C"/>
    <w:rsid w:val="00E46CA5"/>
    <w:rsid w:val="00E529D9"/>
    <w:rsid w:val="00E55920"/>
    <w:rsid w:val="00E56696"/>
    <w:rsid w:val="00E60F1B"/>
    <w:rsid w:val="00E61A09"/>
    <w:rsid w:val="00E6297D"/>
    <w:rsid w:val="00E634B8"/>
    <w:rsid w:val="00E6353C"/>
    <w:rsid w:val="00E65BF2"/>
    <w:rsid w:val="00E6752C"/>
    <w:rsid w:val="00E70AA0"/>
    <w:rsid w:val="00E70BCE"/>
    <w:rsid w:val="00E719A0"/>
    <w:rsid w:val="00E731CB"/>
    <w:rsid w:val="00E77C9D"/>
    <w:rsid w:val="00E77FEF"/>
    <w:rsid w:val="00E83B18"/>
    <w:rsid w:val="00E8730B"/>
    <w:rsid w:val="00E94BA9"/>
    <w:rsid w:val="00E95784"/>
    <w:rsid w:val="00EA061C"/>
    <w:rsid w:val="00EA420A"/>
    <w:rsid w:val="00EA4317"/>
    <w:rsid w:val="00EA6DF1"/>
    <w:rsid w:val="00EA7857"/>
    <w:rsid w:val="00EA7F18"/>
    <w:rsid w:val="00EB2F8D"/>
    <w:rsid w:val="00EB32D7"/>
    <w:rsid w:val="00EB3B60"/>
    <w:rsid w:val="00EB4876"/>
    <w:rsid w:val="00EB5002"/>
    <w:rsid w:val="00EB50CA"/>
    <w:rsid w:val="00EB6DE9"/>
    <w:rsid w:val="00EB7C8D"/>
    <w:rsid w:val="00EC17F7"/>
    <w:rsid w:val="00EC227C"/>
    <w:rsid w:val="00EC3ABE"/>
    <w:rsid w:val="00EC468C"/>
    <w:rsid w:val="00EC4ED3"/>
    <w:rsid w:val="00EC5F6B"/>
    <w:rsid w:val="00ED0C5F"/>
    <w:rsid w:val="00ED4877"/>
    <w:rsid w:val="00ED57CE"/>
    <w:rsid w:val="00ED7044"/>
    <w:rsid w:val="00ED731F"/>
    <w:rsid w:val="00ED7865"/>
    <w:rsid w:val="00EE119F"/>
    <w:rsid w:val="00EE3DCE"/>
    <w:rsid w:val="00EE62F7"/>
    <w:rsid w:val="00EE6468"/>
    <w:rsid w:val="00EE6BFC"/>
    <w:rsid w:val="00EE7317"/>
    <w:rsid w:val="00EF12BB"/>
    <w:rsid w:val="00EF393C"/>
    <w:rsid w:val="00EF4434"/>
    <w:rsid w:val="00EF4F28"/>
    <w:rsid w:val="00EF5F34"/>
    <w:rsid w:val="00EF6CF8"/>
    <w:rsid w:val="00F0216A"/>
    <w:rsid w:val="00F04CB9"/>
    <w:rsid w:val="00F0718D"/>
    <w:rsid w:val="00F14978"/>
    <w:rsid w:val="00F16949"/>
    <w:rsid w:val="00F1705D"/>
    <w:rsid w:val="00F178D7"/>
    <w:rsid w:val="00F17E24"/>
    <w:rsid w:val="00F2278A"/>
    <w:rsid w:val="00F227B4"/>
    <w:rsid w:val="00F23BC7"/>
    <w:rsid w:val="00F243B1"/>
    <w:rsid w:val="00F24742"/>
    <w:rsid w:val="00F24FE4"/>
    <w:rsid w:val="00F25870"/>
    <w:rsid w:val="00F25DE0"/>
    <w:rsid w:val="00F2687D"/>
    <w:rsid w:val="00F27DB4"/>
    <w:rsid w:val="00F3144B"/>
    <w:rsid w:val="00F31E2B"/>
    <w:rsid w:val="00F33590"/>
    <w:rsid w:val="00F349E8"/>
    <w:rsid w:val="00F34BF6"/>
    <w:rsid w:val="00F36397"/>
    <w:rsid w:val="00F37F79"/>
    <w:rsid w:val="00F404B2"/>
    <w:rsid w:val="00F41054"/>
    <w:rsid w:val="00F43304"/>
    <w:rsid w:val="00F4349E"/>
    <w:rsid w:val="00F46BD1"/>
    <w:rsid w:val="00F477F3"/>
    <w:rsid w:val="00F5227D"/>
    <w:rsid w:val="00F53CD0"/>
    <w:rsid w:val="00F553B8"/>
    <w:rsid w:val="00F573A9"/>
    <w:rsid w:val="00F63515"/>
    <w:rsid w:val="00F678AE"/>
    <w:rsid w:val="00F715DF"/>
    <w:rsid w:val="00F735B4"/>
    <w:rsid w:val="00F73D03"/>
    <w:rsid w:val="00F75850"/>
    <w:rsid w:val="00F75E97"/>
    <w:rsid w:val="00F768E5"/>
    <w:rsid w:val="00F779CC"/>
    <w:rsid w:val="00F77B78"/>
    <w:rsid w:val="00F820EB"/>
    <w:rsid w:val="00F8226C"/>
    <w:rsid w:val="00F835DE"/>
    <w:rsid w:val="00F85250"/>
    <w:rsid w:val="00F85411"/>
    <w:rsid w:val="00F87677"/>
    <w:rsid w:val="00F901E1"/>
    <w:rsid w:val="00F9225E"/>
    <w:rsid w:val="00F93CA4"/>
    <w:rsid w:val="00F949FA"/>
    <w:rsid w:val="00FA259E"/>
    <w:rsid w:val="00FA544D"/>
    <w:rsid w:val="00FB4507"/>
    <w:rsid w:val="00FB4674"/>
    <w:rsid w:val="00FB6970"/>
    <w:rsid w:val="00FC0C7E"/>
    <w:rsid w:val="00FC0CCD"/>
    <w:rsid w:val="00FC1864"/>
    <w:rsid w:val="00FC5321"/>
    <w:rsid w:val="00FC6246"/>
    <w:rsid w:val="00FC6B12"/>
    <w:rsid w:val="00FD1818"/>
    <w:rsid w:val="00FD2294"/>
    <w:rsid w:val="00FD2297"/>
    <w:rsid w:val="00FD2E53"/>
    <w:rsid w:val="00FD651F"/>
    <w:rsid w:val="00FD7763"/>
    <w:rsid w:val="00FD7C12"/>
    <w:rsid w:val="00FE0C7B"/>
    <w:rsid w:val="00FE2BD3"/>
    <w:rsid w:val="00FE5060"/>
    <w:rsid w:val="00FE7EE1"/>
    <w:rsid w:val="00FE7F01"/>
    <w:rsid w:val="00FF0E5E"/>
    <w:rsid w:val="00FF2821"/>
    <w:rsid w:val="00FF4F63"/>
    <w:rsid w:val="00FF68A7"/>
    <w:rsid w:val="00FF72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2B388C"/>
  <w15:docId w15:val="{9600DFCA-520B-4793-BB18-01E9C08AA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A60"/>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24FE4"/>
    <w:rPr>
      <w:rFonts w:ascii="Tahoma" w:hAnsi="Tahoma" w:cs="Tahoma"/>
      <w:sz w:val="16"/>
      <w:szCs w:val="16"/>
    </w:rPr>
  </w:style>
  <w:style w:type="character" w:styleId="CommentReference">
    <w:name w:val="annotation reference"/>
    <w:semiHidden/>
    <w:rsid w:val="00F24FE4"/>
    <w:rPr>
      <w:sz w:val="16"/>
      <w:szCs w:val="16"/>
    </w:rPr>
  </w:style>
  <w:style w:type="paragraph" w:styleId="CommentText">
    <w:name w:val="annotation text"/>
    <w:basedOn w:val="Normal"/>
    <w:link w:val="CommentTextChar"/>
    <w:rsid w:val="00F24FE4"/>
    <w:rPr>
      <w:sz w:val="20"/>
      <w:szCs w:val="20"/>
    </w:rPr>
  </w:style>
  <w:style w:type="paragraph" w:styleId="CommentSubject">
    <w:name w:val="annotation subject"/>
    <w:basedOn w:val="CommentText"/>
    <w:next w:val="CommentText"/>
    <w:link w:val="CommentSubjectChar"/>
    <w:uiPriority w:val="99"/>
    <w:semiHidden/>
    <w:rsid w:val="00F24FE4"/>
    <w:rPr>
      <w:b/>
      <w:bCs/>
    </w:rPr>
  </w:style>
  <w:style w:type="table" w:styleId="TableGrid">
    <w:name w:val="Table Grid"/>
    <w:basedOn w:val="TableNormal"/>
    <w:uiPriority w:val="39"/>
    <w:rsid w:val="007C3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onoth">
    <w:name w:val="antonoth"/>
    <w:semiHidden/>
    <w:rsid w:val="009351FB"/>
    <w:rPr>
      <w:rFonts w:ascii="Arial" w:hAnsi="Arial" w:cs="Arial"/>
      <w:color w:val="auto"/>
      <w:sz w:val="20"/>
      <w:szCs w:val="20"/>
    </w:rPr>
  </w:style>
  <w:style w:type="paragraph" w:customStyle="1" w:styleId="Normal1">
    <w:name w:val="Normal+1"/>
    <w:basedOn w:val="Normal"/>
    <w:next w:val="Normal"/>
    <w:rsid w:val="00300B9F"/>
    <w:pPr>
      <w:autoSpaceDE w:val="0"/>
      <w:autoSpaceDN w:val="0"/>
      <w:adjustRightInd w:val="0"/>
    </w:pPr>
    <w:rPr>
      <w:rFonts w:ascii="Arial" w:hAnsi="Arial"/>
      <w:lang w:val="en-CA" w:eastAsia="en-CA"/>
    </w:rPr>
  </w:style>
  <w:style w:type="paragraph" w:styleId="ListParagraph">
    <w:name w:val="List Paragraph"/>
    <w:basedOn w:val="Normal"/>
    <w:uiPriority w:val="34"/>
    <w:qFormat/>
    <w:rsid w:val="00CD66FC"/>
    <w:pPr>
      <w:ind w:left="720"/>
      <w:contextualSpacing/>
    </w:pPr>
    <w:rPr>
      <w:rFonts w:eastAsia="Calibri"/>
      <w:lang w:val="en-CA"/>
    </w:rPr>
  </w:style>
  <w:style w:type="paragraph" w:customStyle="1" w:styleId="Default">
    <w:name w:val="Default"/>
    <w:rsid w:val="00A14736"/>
    <w:pPr>
      <w:autoSpaceDE w:val="0"/>
      <w:autoSpaceDN w:val="0"/>
      <w:adjustRightInd w:val="0"/>
    </w:pPr>
    <w:rPr>
      <w:rFonts w:ascii="Arial" w:hAnsi="Arial" w:cs="Arial"/>
      <w:color w:val="000000"/>
      <w:sz w:val="24"/>
      <w:szCs w:val="24"/>
    </w:rPr>
  </w:style>
  <w:style w:type="paragraph" w:styleId="Header">
    <w:name w:val="header"/>
    <w:basedOn w:val="Normal"/>
    <w:link w:val="HeaderChar"/>
    <w:rsid w:val="004F724F"/>
    <w:pPr>
      <w:tabs>
        <w:tab w:val="center" w:pos="4680"/>
        <w:tab w:val="right" w:pos="9360"/>
      </w:tabs>
    </w:pPr>
  </w:style>
  <w:style w:type="character" w:customStyle="1" w:styleId="HeaderChar">
    <w:name w:val="Header Char"/>
    <w:link w:val="Header"/>
    <w:rsid w:val="004F724F"/>
    <w:rPr>
      <w:sz w:val="24"/>
      <w:szCs w:val="24"/>
      <w:lang w:val="en-US" w:eastAsia="en-US"/>
    </w:rPr>
  </w:style>
  <w:style w:type="paragraph" w:styleId="Footer">
    <w:name w:val="footer"/>
    <w:basedOn w:val="Normal"/>
    <w:link w:val="FooterChar"/>
    <w:uiPriority w:val="99"/>
    <w:rsid w:val="004F724F"/>
    <w:pPr>
      <w:tabs>
        <w:tab w:val="center" w:pos="4680"/>
        <w:tab w:val="right" w:pos="9360"/>
      </w:tabs>
    </w:pPr>
  </w:style>
  <w:style w:type="character" w:customStyle="1" w:styleId="FooterChar">
    <w:name w:val="Footer Char"/>
    <w:link w:val="Footer"/>
    <w:uiPriority w:val="99"/>
    <w:rsid w:val="004F724F"/>
    <w:rPr>
      <w:sz w:val="24"/>
      <w:szCs w:val="24"/>
      <w:lang w:val="en-US" w:eastAsia="en-US"/>
    </w:rPr>
  </w:style>
  <w:style w:type="character" w:styleId="Hyperlink">
    <w:name w:val="Hyperlink"/>
    <w:basedOn w:val="DefaultParagraphFont"/>
    <w:uiPriority w:val="99"/>
    <w:rsid w:val="00AE0476"/>
    <w:rPr>
      <w:color w:val="0000FF" w:themeColor="hyperlink"/>
      <w:u w:val="single"/>
    </w:rPr>
  </w:style>
  <w:style w:type="character" w:styleId="FollowedHyperlink">
    <w:name w:val="FollowedHyperlink"/>
    <w:basedOn w:val="DefaultParagraphFont"/>
    <w:uiPriority w:val="99"/>
    <w:rsid w:val="00AE0476"/>
    <w:rPr>
      <w:color w:val="800080" w:themeColor="followedHyperlink"/>
      <w:u w:val="single"/>
    </w:rPr>
  </w:style>
  <w:style w:type="character" w:customStyle="1" w:styleId="CommentTextChar">
    <w:name w:val="Comment Text Char"/>
    <w:basedOn w:val="DefaultParagraphFont"/>
    <w:link w:val="CommentText"/>
    <w:uiPriority w:val="99"/>
    <w:rsid w:val="009F73EA"/>
    <w:rPr>
      <w:lang w:val="en-US" w:eastAsia="en-US"/>
    </w:rPr>
  </w:style>
  <w:style w:type="paragraph" w:styleId="FootnoteText">
    <w:name w:val="footnote text"/>
    <w:basedOn w:val="Normal"/>
    <w:link w:val="FootnoteTextChar"/>
    <w:uiPriority w:val="99"/>
    <w:unhideWhenUsed/>
    <w:rsid w:val="009F73EA"/>
    <w:pPr>
      <w:spacing w:after="120"/>
    </w:pPr>
    <w:rPr>
      <w:rFonts w:ascii="Calibri" w:eastAsia="Calibri" w:hAnsi="Calibri"/>
      <w:sz w:val="16"/>
      <w:szCs w:val="20"/>
    </w:rPr>
  </w:style>
  <w:style w:type="character" w:customStyle="1" w:styleId="FootnoteTextChar">
    <w:name w:val="Footnote Text Char"/>
    <w:basedOn w:val="DefaultParagraphFont"/>
    <w:link w:val="FootnoteText"/>
    <w:uiPriority w:val="99"/>
    <w:rsid w:val="009F73EA"/>
    <w:rPr>
      <w:rFonts w:ascii="Calibri" w:eastAsia="Calibri" w:hAnsi="Calibri"/>
      <w:sz w:val="16"/>
      <w:lang w:val="en-US" w:eastAsia="en-US"/>
    </w:rPr>
  </w:style>
  <w:style w:type="character" w:styleId="FootnoteReference">
    <w:name w:val="footnote reference"/>
    <w:basedOn w:val="DefaultParagraphFont"/>
    <w:uiPriority w:val="99"/>
    <w:unhideWhenUsed/>
    <w:rsid w:val="009F73EA"/>
    <w:rPr>
      <w:vertAlign w:val="superscript"/>
    </w:rPr>
  </w:style>
  <w:style w:type="numbering" w:customStyle="1" w:styleId="NoList1">
    <w:name w:val="No List1"/>
    <w:next w:val="NoList"/>
    <w:uiPriority w:val="99"/>
    <w:semiHidden/>
    <w:unhideWhenUsed/>
    <w:rsid w:val="007509C7"/>
  </w:style>
  <w:style w:type="character" w:customStyle="1" w:styleId="CommentSubjectChar">
    <w:name w:val="Comment Subject Char"/>
    <w:basedOn w:val="CommentTextChar"/>
    <w:link w:val="CommentSubject"/>
    <w:uiPriority w:val="99"/>
    <w:semiHidden/>
    <w:rsid w:val="007509C7"/>
    <w:rPr>
      <w:b/>
      <w:bCs/>
      <w:lang w:val="en-US" w:eastAsia="en-US"/>
    </w:rPr>
  </w:style>
  <w:style w:type="character" w:customStyle="1" w:styleId="BalloonTextChar">
    <w:name w:val="Balloon Text Char"/>
    <w:basedOn w:val="DefaultParagraphFont"/>
    <w:link w:val="BalloonText"/>
    <w:uiPriority w:val="99"/>
    <w:semiHidden/>
    <w:rsid w:val="007509C7"/>
    <w:rPr>
      <w:rFonts w:ascii="Tahoma" w:hAnsi="Tahoma" w:cs="Tahoma"/>
      <w:sz w:val="16"/>
      <w:szCs w:val="16"/>
      <w:lang w:val="en-US" w:eastAsia="en-US"/>
    </w:rPr>
  </w:style>
  <w:style w:type="paragraph" w:styleId="Revision">
    <w:name w:val="Revision"/>
    <w:hidden/>
    <w:uiPriority w:val="99"/>
    <w:semiHidden/>
    <w:rsid w:val="007509C7"/>
    <w:rPr>
      <w:rFonts w:ascii="Calibri" w:eastAsia="Calibri" w:hAnsi="Calibri"/>
      <w:sz w:val="22"/>
      <w:szCs w:val="22"/>
      <w:lang w:val="en-US" w:eastAsia="en-US"/>
    </w:rPr>
  </w:style>
  <w:style w:type="paragraph" w:styleId="BodyText">
    <w:name w:val="Body Text"/>
    <w:basedOn w:val="Normal"/>
    <w:link w:val="BodyTextChar"/>
    <w:uiPriority w:val="1"/>
    <w:qFormat/>
    <w:rsid w:val="007509C7"/>
    <w:pPr>
      <w:autoSpaceDE w:val="0"/>
      <w:autoSpaceDN w:val="0"/>
      <w:adjustRightInd w:val="0"/>
      <w:spacing w:before="115"/>
      <w:ind w:left="840" w:right="115" w:hanging="360"/>
      <w:jc w:val="both"/>
    </w:pPr>
    <w:rPr>
      <w:rFonts w:ascii="Arial" w:eastAsia="Calibri" w:hAnsi="Arial" w:cs="Arial"/>
      <w:sz w:val="22"/>
      <w:szCs w:val="22"/>
    </w:rPr>
  </w:style>
  <w:style w:type="character" w:customStyle="1" w:styleId="BodyTextChar">
    <w:name w:val="Body Text Char"/>
    <w:basedOn w:val="DefaultParagraphFont"/>
    <w:link w:val="BodyText"/>
    <w:uiPriority w:val="1"/>
    <w:rsid w:val="007509C7"/>
    <w:rPr>
      <w:rFonts w:ascii="Arial" w:eastAsia="Calibri" w:hAnsi="Arial" w:cs="Arial"/>
      <w:sz w:val="22"/>
      <w:szCs w:val="22"/>
      <w:lang w:val="en-US" w:eastAsia="en-US"/>
    </w:rPr>
  </w:style>
  <w:style w:type="table" w:customStyle="1" w:styleId="TableGrid1">
    <w:name w:val="Table Grid1"/>
    <w:basedOn w:val="TableNormal"/>
    <w:next w:val="TableGrid"/>
    <w:uiPriority w:val="39"/>
    <w:rsid w:val="007509C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509C7"/>
    <w:rPr>
      <w:color w:val="808080"/>
    </w:rPr>
  </w:style>
  <w:style w:type="paragraph" w:customStyle="1" w:styleId="StaffHeader">
    <w:name w:val="Staff Header"/>
    <w:next w:val="Normal"/>
    <w:qFormat/>
    <w:rsid w:val="009D5E4A"/>
    <w:pPr>
      <w:keepNext/>
      <w:numPr>
        <w:numId w:val="88"/>
      </w:numPr>
      <w:spacing w:before="480" w:line="276" w:lineRule="auto"/>
      <w:ind w:left="0" w:firstLine="0"/>
      <w:outlineLvl w:val="1"/>
    </w:pPr>
    <w:rPr>
      <w:rFonts w:ascii="Arial" w:eastAsia="Calibri" w:hAnsi="Arial"/>
      <w:b/>
      <w:sz w:val="24"/>
      <w:szCs w:val="22"/>
      <w:u w:val="single"/>
      <w:lang w:val="en-US" w:eastAsia="en-US"/>
    </w:rPr>
  </w:style>
  <w:style w:type="paragraph" w:customStyle="1" w:styleId="Questions">
    <w:name w:val="Questions"/>
    <w:basedOn w:val="ListParagraph"/>
    <w:rsid w:val="009D5E4A"/>
    <w:pPr>
      <w:spacing w:after="120" w:line="324" w:lineRule="auto"/>
      <w:ind w:left="0"/>
      <w:contextualSpacing w:val="0"/>
    </w:pPr>
    <w:rPr>
      <w:rFonts w:ascii="Calibri" w:hAnsi="Calibri"/>
      <w:sz w:val="21"/>
      <w:szCs w:val="22"/>
      <w:lang w:val="en-US"/>
    </w:rPr>
  </w:style>
  <w:style w:type="paragraph" w:styleId="NoSpacing">
    <w:name w:val="No Spacing"/>
    <w:uiPriority w:val="1"/>
    <w:qFormat/>
    <w:rsid w:val="00482130"/>
    <w:rPr>
      <w:rFonts w:asciiTheme="minorHAnsi" w:eastAsiaTheme="minorHAnsi" w:hAnsiTheme="minorHAnsi" w:cstheme="minorBidi"/>
      <w:sz w:val="22"/>
      <w:szCs w:val="22"/>
      <w:lang w:val="en-US" w:eastAsia="en-US"/>
    </w:rPr>
  </w:style>
  <w:style w:type="paragraph" w:customStyle="1" w:styleId="TableParagraph">
    <w:name w:val="Table Paragraph"/>
    <w:basedOn w:val="Normal"/>
    <w:uiPriority w:val="1"/>
    <w:qFormat/>
    <w:rsid w:val="00B64EC6"/>
    <w:pPr>
      <w:autoSpaceDE w:val="0"/>
      <w:autoSpaceDN w:val="0"/>
      <w:adjustRightInd w:val="0"/>
      <w:spacing w:line="181" w:lineRule="exact"/>
      <w:jc w:val="right"/>
    </w:pPr>
    <w:rPr>
      <w:rFonts w:ascii="Calibri" w:eastAsiaTheme="minorHAnsi" w:hAnsi="Calibri" w:cs="Calibri"/>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88025">
      <w:bodyDiv w:val="1"/>
      <w:marLeft w:val="0"/>
      <w:marRight w:val="0"/>
      <w:marTop w:val="0"/>
      <w:marBottom w:val="0"/>
      <w:divBdr>
        <w:top w:val="none" w:sz="0" w:space="0" w:color="auto"/>
        <w:left w:val="none" w:sz="0" w:space="0" w:color="auto"/>
        <w:bottom w:val="none" w:sz="0" w:space="0" w:color="auto"/>
        <w:right w:val="none" w:sz="0" w:space="0" w:color="auto"/>
      </w:divBdr>
    </w:div>
    <w:div w:id="218902724">
      <w:bodyDiv w:val="1"/>
      <w:marLeft w:val="0"/>
      <w:marRight w:val="0"/>
      <w:marTop w:val="0"/>
      <w:marBottom w:val="0"/>
      <w:divBdr>
        <w:top w:val="none" w:sz="0" w:space="0" w:color="auto"/>
        <w:left w:val="none" w:sz="0" w:space="0" w:color="auto"/>
        <w:bottom w:val="none" w:sz="0" w:space="0" w:color="auto"/>
        <w:right w:val="none" w:sz="0" w:space="0" w:color="auto"/>
      </w:divBdr>
    </w:div>
    <w:div w:id="746532428">
      <w:bodyDiv w:val="1"/>
      <w:marLeft w:val="0"/>
      <w:marRight w:val="0"/>
      <w:marTop w:val="0"/>
      <w:marBottom w:val="0"/>
      <w:divBdr>
        <w:top w:val="none" w:sz="0" w:space="0" w:color="auto"/>
        <w:left w:val="none" w:sz="0" w:space="0" w:color="auto"/>
        <w:bottom w:val="none" w:sz="0" w:space="0" w:color="auto"/>
        <w:right w:val="none" w:sz="0" w:space="0" w:color="auto"/>
      </w:divBdr>
    </w:div>
    <w:div w:id="1091046924">
      <w:bodyDiv w:val="1"/>
      <w:marLeft w:val="0"/>
      <w:marRight w:val="0"/>
      <w:marTop w:val="0"/>
      <w:marBottom w:val="0"/>
      <w:divBdr>
        <w:top w:val="none" w:sz="0" w:space="0" w:color="auto"/>
        <w:left w:val="none" w:sz="0" w:space="0" w:color="auto"/>
        <w:bottom w:val="none" w:sz="0" w:space="0" w:color="auto"/>
        <w:right w:val="none" w:sz="0" w:space="0" w:color="auto"/>
      </w:divBdr>
    </w:div>
    <w:div w:id="1149664905">
      <w:bodyDiv w:val="1"/>
      <w:marLeft w:val="0"/>
      <w:marRight w:val="0"/>
      <w:marTop w:val="0"/>
      <w:marBottom w:val="0"/>
      <w:divBdr>
        <w:top w:val="none" w:sz="0" w:space="0" w:color="auto"/>
        <w:left w:val="none" w:sz="0" w:space="0" w:color="auto"/>
        <w:bottom w:val="none" w:sz="0" w:space="0" w:color="auto"/>
        <w:right w:val="none" w:sz="0" w:space="0" w:color="auto"/>
      </w:divBdr>
    </w:div>
    <w:div w:id="1190795331">
      <w:bodyDiv w:val="1"/>
      <w:marLeft w:val="0"/>
      <w:marRight w:val="0"/>
      <w:marTop w:val="0"/>
      <w:marBottom w:val="0"/>
      <w:divBdr>
        <w:top w:val="none" w:sz="0" w:space="0" w:color="auto"/>
        <w:left w:val="none" w:sz="0" w:space="0" w:color="auto"/>
        <w:bottom w:val="none" w:sz="0" w:space="0" w:color="auto"/>
        <w:right w:val="none" w:sz="0" w:space="0" w:color="auto"/>
      </w:divBdr>
    </w:div>
    <w:div w:id="1671980256">
      <w:bodyDiv w:val="1"/>
      <w:marLeft w:val="0"/>
      <w:marRight w:val="0"/>
      <w:marTop w:val="0"/>
      <w:marBottom w:val="0"/>
      <w:divBdr>
        <w:top w:val="none" w:sz="0" w:space="0" w:color="auto"/>
        <w:left w:val="none" w:sz="0" w:space="0" w:color="auto"/>
        <w:bottom w:val="none" w:sz="0" w:space="0" w:color="auto"/>
        <w:right w:val="none" w:sz="0" w:space="0" w:color="auto"/>
      </w:divBdr>
      <w:divsChild>
        <w:div w:id="131679726">
          <w:marLeft w:val="547"/>
          <w:marRight w:val="0"/>
          <w:marTop w:val="144"/>
          <w:marBottom w:val="0"/>
          <w:divBdr>
            <w:top w:val="none" w:sz="0" w:space="0" w:color="auto"/>
            <w:left w:val="none" w:sz="0" w:space="0" w:color="auto"/>
            <w:bottom w:val="none" w:sz="0" w:space="0" w:color="auto"/>
            <w:right w:val="none" w:sz="0" w:space="0" w:color="auto"/>
          </w:divBdr>
        </w:div>
        <w:div w:id="1052191242">
          <w:marLeft w:val="547"/>
          <w:marRight w:val="0"/>
          <w:marTop w:val="144"/>
          <w:marBottom w:val="0"/>
          <w:divBdr>
            <w:top w:val="none" w:sz="0" w:space="0" w:color="auto"/>
            <w:left w:val="none" w:sz="0" w:space="0" w:color="auto"/>
            <w:bottom w:val="none" w:sz="0" w:space="0" w:color="auto"/>
            <w:right w:val="none" w:sz="0" w:space="0" w:color="auto"/>
          </w:divBdr>
        </w:div>
        <w:div w:id="1059787597">
          <w:marLeft w:val="547"/>
          <w:marRight w:val="0"/>
          <w:marTop w:val="144"/>
          <w:marBottom w:val="0"/>
          <w:divBdr>
            <w:top w:val="none" w:sz="0" w:space="0" w:color="auto"/>
            <w:left w:val="none" w:sz="0" w:space="0" w:color="auto"/>
            <w:bottom w:val="none" w:sz="0" w:space="0" w:color="auto"/>
            <w:right w:val="none" w:sz="0" w:space="0" w:color="auto"/>
          </w:divBdr>
        </w:div>
      </w:divsChild>
    </w:div>
    <w:div w:id="1707442096">
      <w:bodyDiv w:val="1"/>
      <w:marLeft w:val="0"/>
      <w:marRight w:val="0"/>
      <w:marTop w:val="0"/>
      <w:marBottom w:val="0"/>
      <w:divBdr>
        <w:top w:val="none" w:sz="0" w:space="0" w:color="auto"/>
        <w:left w:val="none" w:sz="0" w:space="0" w:color="auto"/>
        <w:bottom w:val="none" w:sz="0" w:space="0" w:color="auto"/>
        <w:right w:val="none" w:sz="0" w:space="0" w:color="auto"/>
      </w:divBdr>
    </w:div>
    <w:div w:id="1936816608">
      <w:bodyDiv w:val="1"/>
      <w:marLeft w:val="0"/>
      <w:marRight w:val="0"/>
      <w:marTop w:val="0"/>
      <w:marBottom w:val="0"/>
      <w:divBdr>
        <w:top w:val="none" w:sz="0" w:space="0" w:color="auto"/>
        <w:left w:val="none" w:sz="0" w:space="0" w:color="auto"/>
        <w:bottom w:val="none" w:sz="0" w:space="0" w:color="auto"/>
        <w:right w:val="none" w:sz="0" w:space="0" w:color="auto"/>
      </w:divBdr>
    </w:div>
    <w:div w:id="201669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www.oeb.ca/sites/default/files/Filing%20Requirements%20Chapter%202_20072017.pdf"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eb.ca/utility-performance-and-monitoring/natural-gas-and-electricity-utility-yearbooks" TargetMode="External"/><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png"/></Relationships>
</file>

<file path=word/_rels/footnotes.xml.rels><?xml version="1.0" encoding="UTF-8" standalone="yes"?>
<Relationships xmlns="http://schemas.openxmlformats.org/package/2006/relationships"><Relationship Id="rId3" Type="http://schemas.openxmlformats.org/officeDocument/2006/relationships/hyperlink" Target="https://www.bcuc.com/Documents/Proceedings/2014/DOC_42181_09-15-2014-FEI-2014-18-DecisionWEB.pdf" TargetMode="External"/><Relationship Id="rId2" Type="http://schemas.openxmlformats.org/officeDocument/2006/relationships/hyperlink" Target="https://www.bcuc.com/Documents/Proceedings/2014/DOC_42180_09-15-2014_FBC-2014-18-PBR-DecisionWEB.pdf" TargetMode="External"/><Relationship Id="rId1" Type="http://schemas.openxmlformats.org/officeDocument/2006/relationships/hyperlink" Target="https://www.oeb.ca/industry/rules-codes-and-requirements/performance-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92C6F-B330-4941-B6A7-9BC88AF2B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179</Pages>
  <Words>40114</Words>
  <Characters>215777</Characters>
  <Application>Microsoft Office Word</Application>
  <DocSecurity>0</DocSecurity>
  <Lines>1798</Lines>
  <Paragraphs>510</Paragraphs>
  <ScaleCrop>false</ScaleCrop>
  <HeadingPairs>
    <vt:vector size="2" baseType="variant">
      <vt:variant>
        <vt:lpstr>Title</vt:lpstr>
      </vt:variant>
      <vt:variant>
        <vt:i4>1</vt:i4>
      </vt:variant>
    </vt:vector>
  </HeadingPairs>
  <TitlesOfParts>
    <vt:vector size="1" baseType="lpstr">
      <vt:lpstr>Generic Interrogatories</vt:lpstr>
    </vt:vector>
  </TitlesOfParts>
  <Company>Ontario Energy Board</Company>
  <LinksUpToDate>false</LinksUpToDate>
  <CharactersWithSpaces>255381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Interrogatories</dc:title>
  <dc:subject/>
  <dc:creator>antonoth</dc:creator>
  <cp:keywords/>
  <dc:description/>
  <cp:lastModifiedBy>Shuo Zhang</cp:lastModifiedBy>
  <cp:revision>4</cp:revision>
  <cp:lastPrinted>2017-08-16T13:42:00Z</cp:lastPrinted>
  <dcterms:created xsi:type="dcterms:W3CDTF">2020-05-08T20:18:00Z</dcterms:created>
  <dcterms:modified xsi:type="dcterms:W3CDTF">2020-05-08T20:57:00Z</dcterms:modified>
</cp:coreProperties>
</file>