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98B4C" w14:textId="2646B437" w:rsidR="003832E7" w:rsidRDefault="0016049B" w:rsidP="003832E7">
      <w:pPr>
        <w:pStyle w:val="Default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Hydro One Remote Communities Inc.</w:t>
      </w:r>
    </w:p>
    <w:p w14:paraId="57C1D6D2" w14:textId="080B6EF8" w:rsidR="00A07077" w:rsidRDefault="008A48F6" w:rsidP="00A07077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7678FB">
        <w:rPr>
          <w:rFonts w:ascii="Arial" w:hAnsi="Arial" w:cs="Arial"/>
          <w:sz w:val="22"/>
          <w:szCs w:val="22"/>
        </w:rPr>
        <w:t>OEB</w:t>
      </w:r>
      <w:r w:rsidR="00A07077" w:rsidRPr="007678FB">
        <w:rPr>
          <w:rFonts w:ascii="Arial" w:hAnsi="Arial" w:cs="Arial"/>
          <w:sz w:val="22"/>
          <w:szCs w:val="22"/>
        </w:rPr>
        <w:t xml:space="preserve"> Staff </w:t>
      </w:r>
      <w:r w:rsidR="008813C3" w:rsidRPr="007678FB">
        <w:rPr>
          <w:rFonts w:ascii="Arial" w:hAnsi="Arial" w:cs="Arial"/>
          <w:sz w:val="22"/>
          <w:szCs w:val="22"/>
        </w:rPr>
        <w:t>Questions</w:t>
      </w:r>
    </w:p>
    <w:p w14:paraId="39ACCCAD" w14:textId="0B9CCE6B" w:rsidR="00D741E7" w:rsidRPr="007678FB" w:rsidRDefault="00D741E7" w:rsidP="00A07077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COVID-19 Forgone Revenue</w:t>
      </w:r>
    </w:p>
    <w:p w14:paraId="425B2C00" w14:textId="55BF5C6D" w:rsidR="00A07077" w:rsidRPr="00B96000" w:rsidRDefault="00090160" w:rsidP="00B069AA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B96000">
        <w:rPr>
          <w:rFonts w:ascii="Arial" w:hAnsi="Arial" w:cs="Arial"/>
          <w:sz w:val="22"/>
          <w:szCs w:val="22"/>
        </w:rPr>
        <w:t>EB-201</w:t>
      </w:r>
      <w:r w:rsidR="0017167A">
        <w:rPr>
          <w:rFonts w:ascii="Arial" w:hAnsi="Arial" w:cs="Arial"/>
          <w:sz w:val="22"/>
          <w:szCs w:val="22"/>
        </w:rPr>
        <w:t>9-0</w:t>
      </w:r>
      <w:r w:rsidR="0016049B">
        <w:rPr>
          <w:rFonts w:ascii="Arial" w:hAnsi="Arial" w:cs="Arial"/>
          <w:sz w:val="22"/>
          <w:szCs w:val="22"/>
        </w:rPr>
        <w:t>045</w:t>
      </w:r>
    </w:p>
    <w:p w14:paraId="162D731D" w14:textId="77777777" w:rsidR="00A07077" w:rsidRPr="007678FB" w:rsidRDefault="00A07077" w:rsidP="00A07077">
      <w:pPr>
        <w:pStyle w:val="Default"/>
        <w:rPr>
          <w:rFonts w:ascii="Arial" w:hAnsi="Arial" w:cs="Arial"/>
          <w:sz w:val="22"/>
          <w:szCs w:val="22"/>
        </w:rPr>
      </w:pPr>
    </w:p>
    <w:p w14:paraId="01642B97" w14:textId="253988E3" w:rsidR="0017167A" w:rsidRDefault="0016049B" w:rsidP="007A3D45">
      <w:pPr>
        <w:pStyle w:val="Default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Hydro One Remote Communities Inc. (Hydro One Remotes)</w:t>
      </w:r>
    </w:p>
    <w:p w14:paraId="05ED47FF" w14:textId="2581D4C1" w:rsidR="0017167A" w:rsidRDefault="0017167A" w:rsidP="007A3D45">
      <w:pPr>
        <w:pStyle w:val="Default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OEB Staff Questions</w:t>
      </w:r>
    </w:p>
    <w:p w14:paraId="00CBA5D7" w14:textId="16E0422E" w:rsidR="00D741E7" w:rsidRDefault="00D741E7" w:rsidP="007A3D45">
      <w:pPr>
        <w:pStyle w:val="Default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COVID-19 Forgone Revenue</w:t>
      </w:r>
    </w:p>
    <w:p w14:paraId="378958C1" w14:textId="7B68A611" w:rsidR="00A07077" w:rsidRPr="00D55543" w:rsidRDefault="00090160" w:rsidP="007A3D45">
      <w:pPr>
        <w:pStyle w:val="Default"/>
        <w:jc w:val="center"/>
        <w:rPr>
          <w:rFonts w:ascii="Arial" w:hAnsi="Arial" w:cs="Arial"/>
          <w:b/>
          <w:bCs/>
          <w:szCs w:val="28"/>
        </w:rPr>
      </w:pPr>
      <w:r w:rsidRPr="00D55543">
        <w:rPr>
          <w:rFonts w:ascii="Arial" w:hAnsi="Arial" w:cs="Arial"/>
          <w:b/>
          <w:bCs/>
          <w:szCs w:val="28"/>
        </w:rPr>
        <w:t>EB-201</w:t>
      </w:r>
      <w:r w:rsidR="00AD6BFA">
        <w:rPr>
          <w:rFonts w:ascii="Arial" w:hAnsi="Arial" w:cs="Arial"/>
          <w:b/>
          <w:bCs/>
          <w:szCs w:val="28"/>
        </w:rPr>
        <w:t>9-0</w:t>
      </w:r>
      <w:r w:rsidR="0016049B">
        <w:rPr>
          <w:rFonts w:ascii="Arial" w:hAnsi="Arial" w:cs="Arial"/>
          <w:b/>
          <w:bCs/>
          <w:szCs w:val="28"/>
        </w:rPr>
        <w:t>045</w:t>
      </w:r>
    </w:p>
    <w:p w14:paraId="0062ADFA" w14:textId="1D71D195" w:rsidR="00AD6BFA" w:rsidRDefault="00AD6BFA" w:rsidP="007678F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4155095" w14:textId="50DF7BCA" w:rsidR="00425FAF" w:rsidRDefault="00425FAF" w:rsidP="00D336C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Staff Question-1</w:t>
      </w:r>
    </w:p>
    <w:p w14:paraId="10ACA22F" w14:textId="77777777" w:rsidR="00425FAF" w:rsidRPr="00BA7FA8" w:rsidRDefault="00425FAF" w:rsidP="00BA7FA8">
      <w:pPr>
        <w:spacing w:after="0" w:line="300" w:lineRule="auto"/>
        <w:rPr>
          <w:rFonts w:ascii="Arial" w:hAnsi="Arial" w:cs="Arial"/>
          <w:bCs/>
          <w:sz w:val="24"/>
          <w:szCs w:val="24"/>
        </w:rPr>
      </w:pPr>
    </w:p>
    <w:p w14:paraId="0873CBBB" w14:textId="6B8DEB42" w:rsidR="006F2A01" w:rsidRDefault="006F2A01" w:rsidP="006F2A01">
      <w:pPr>
        <w:spacing w:after="0" w:line="30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Hydro One Remotes notes that it is prorating the </w:t>
      </w:r>
      <w:r w:rsidRPr="006F2A01">
        <w:rPr>
          <w:rFonts w:ascii="Arial" w:hAnsi="Arial" w:cs="Arial"/>
          <w:bCs/>
          <w:sz w:val="24"/>
          <w:szCs w:val="24"/>
        </w:rPr>
        <w:t xml:space="preserve">foregone period for May and </w:t>
      </w:r>
      <w:proofErr w:type="gramStart"/>
      <w:r w:rsidRPr="006F2A01">
        <w:rPr>
          <w:rFonts w:ascii="Arial" w:hAnsi="Arial" w:cs="Arial"/>
          <w:bCs/>
          <w:sz w:val="24"/>
          <w:szCs w:val="24"/>
        </w:rPr>
        <w:t>November,</w:t>
      </w:r>
      <w:proofErr w:type="gramEnd"/>
      <w:r w:rsidRPr="006F2A01">
        <w:rPr>
          <w:rFonts w:ascii="Arial" w:hAnsi="Arial" w:cs="Arial"/>
          <w:bCs/>
          <w:sz w:val="24"/>
          <w:szCs w:val="24"/>
        </w:rPr>
        <w:t xml:space="preserve"> 2020. This includes half of the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F2A01">
        <w:rPr>
          <w:rFonts w:ascii="Arial" w:hAnsi="Arial" w:cs="Arial"/>
          <w:bCs/>
          <w:sz w:val="24"/>
          <w:szCs w:val="24"/>
        </w:rPr>
        <w:t>month of May, 2020, half of the month of November, 2020, and full months for June to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F2A01">
        <w:rPr>
          <w:rFonts w:ascii="Arial" w:hAnsi="Arial" w:cs="Arial"/>
          <w:bCs/>
          <w:sz w:val="24"/>
          <w:szCs w:val="24"/>
        </w:rPr>
        <w:t>October, 2020, for a total of 6 months for the foregone period</w:t>
      </w:r>
      <w:r>
        <w:rPr>
          <w:rFonts w:ascii="Arial" w:hAnsi="Arial" w:cs="Arial"/>
          <w:bCs/>
          <w:sz w:val="24"/>
          <w:szCs w:val="24"/>
        </w:rPr>
        <w:t>.</w:t>
      </w:r>
      <w:bookmarkStart w:id="0" w:name="_GoBack"/>
      <w:bookmarkEnd w:id="0"/>
    </w:p>
    <w:p w14:paraId="389A8E35" w14:textId="54AE7BB9" w:rsidR="00510A7A" w:rsidRPr="006B49DE" w:rsidRDefault="006F2A01" w:rsidP="006B49DE">
      <w:pPr>
        <w:pStyle w:val="ListParagraph"/>
        <w:numPr>
          <w:ilvl w:val="0"/>
          <w:numId w:val="50"/>
        </w:numPr>
        <w:spacing w:after="0" w:line="300" w:lineRule="auto"/>
        <w:rPr>
          <w:rFonts w:ascii="Arial" w:hAnsi="Arial" w:cs="Arial"/>
          <w:bCs/>
          <w:sz w:val="24"/>
          <w:szCs w:val="24"/>
        </w:rPr>
      </w:pPr>
      <w:r w:rsidRPr="006B49DE">
        <w:rPr>
          <w:rFonts w:ascii="Arial" w:hAnsi="Arial" w:cs="Arial"/>
          <w:bCs/>
          <w:sz w:val="24"/>
          <w:szCs w:val="24"/>
        </w:rPr>
        <w:t>Please explain why Hydro One Remotes is using half of May and half of November consumption data as opposed to the full six months of May to October.</w:t>
      </w:r>
    </w:p>
    <w:p w14:paraId="199A20A5" w14:textId="22818635" w:rsidR="006F2A01" w:rsidRPr="006B49DE" w:rsidRDefault="00510A7A" w:rsidP="006B49DE">
      <w:pPr>
        <w:pStyle w:val="ListParagraph"/>
        <w:numPr>
          <w:ilvl w:val="0"/>
          <w:numId w:val="50"/>
        </w:numPr>
        <w:spacing w:after="0" w:line="30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Please confirm whether the data entered in the foregone period is calendar month billing data or consumption data</w:t>
      </w:r>
      <w:r w:rsidR="00CB0610">
        <w:rPr>
          <w:rFonts w:ascii="Arial" w:hAnsi="Arial" w:cs="Arial"/>
          <w:bCs/>
          <w:sz w:val="24"/>
          <w:szCs w:val="24"/>
        </w:rPr>
        <w:t>.</w:t>
      </w:r>
      <w:r w:rsidR="006F2A01" w:rsidRPr="006B49DE">
        <w:rPr>
          <w:rFonts w:ascii="Arial" w:hAnsi="Arial" w:cs="Arial"/>
          <w:bCs/>
          <w:sz w:val="24"/>
          <w:szCs w:val="24"/>
        </w:rPr>
        <w:t xml:space="preserve"> </w:t>
      </w:r>
    </w:p>
    <w:p w14:paraId="447711D1" w14:textId="26F35D1D" w:rsidR="006F2A01" w:rsidRDefault="006F2A01" w:rsidP="006F2A01">
      <w:pPr>
        <w:spacing w:after="0" w:line="300" w:lineRule="auto"/>
        <w:rPr>
          <w:rFonts w:ascii="Arial" w:hAnsi="Arial" w:cs="Arial"/>
          <w:bCs/>
          <w:sz w:val="24"/>
          <w:szCs w:val="24"/>
        </w:rPr>
      </w:pPr>
    </w:p>
    <w:p w14:paraId="6147E15F" w14:textId="043605C6" w:rsidR="006F2A01" w:rsidRPr="006F2A01" w:rsidRDefault="006F2A01" w:rsidP="006F2A01">
      <w:pPr>
        <w:spacing w:after="0" w:line="300" w:lineRule="auto"/>
        <w:rPr>
          <w:rFonts w:ascii="Arial" w:hAnsi="Arial" w:cs="Arial"/>
          <w:b/>
          <w:sz w:val="24"/>
          <w:szCs w:val="24"/>
        </w:rPr>
      </w:pPr>
      <w:r w:rsidRPr="006F2A01">
        <w:rPr>
          <w:rFonts w:ascii="Arial" w:hAnsi="Arial" w:cs="Arial"/>
          <w:b/>
          <w:sz w:val="24"/>
          <w:szCs w:val="24"/>
        </w:rPr>
        <w:t>Staff Question-2</w:t>
      </w:r>
    </w:p>
    <w:p w14:paraId="27882205" w14:textId="7901521F" w:rsidR="006F2A01" w:rsidRDefault="006F2A01" w:rsidP="006F2A01">
      <w:pPr>
        <w:spacing w:after="0" w:line="300" w:lineRule="auto"/>
        <w:rPr>
          <w:rFonts w:ascii="Arial" w:hAnsi="Arial" w:cs="Arial"/>
          <w:b/>
          <w:sz w:val="24"/>
          <w:szCs w:val="24"/>
        </w:rPr>
      </w:pPr>
      <w:r w:rsidRPr="006F2A01">
        <w:rPr>
          <w:rFonts w:ascii="Arial" w:hAnsi="Arial" w:cs="Arial"/>
          <w:b/>
          <w:sz w:val="24"/>
          <w:szCs w:val="24"/>
        </w:rPr>
        <w:t>Ref: COVID-19 Forgone Revenue Rate Rider Model, Tab 3 – Billing Determinants</w:t>
      </w:r>
    </w:p>
    <w:p w14:paraId="42B86F50" w14:textId="3445AB49" w:rsidR="006F2A01" w:rsidRDefault="006F2A01" w:rsidP="006F2A01">
      <w:pPr>
        <w:spacing w:after="0" w:line="300" w:lineRule="auto"/>
        <w:rPr>
          <w:rFonts w:ascii="Arial" w:hAnsi="Arial" w:cs="Arial"/>
          <w:b/>
          <w:sz w:val="24"/>
          <w:szCs w:val="24"/>
        </w:rPr>
      </w:pPr>
    </w:p>
    <w:p w14:paraId="6FC8D6C6" w14:textId="17048EC8" w:rsidR="00664954" w:rsidRDefault="0054237A" w:rsidP="006F2A01">
      <w:pPr>
        <w:spacing w:after="0" w:line="30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Please explain the large deviations in the consumption data for the 6-month recovery period when compared to the 6-month forgone period for the line items below.</w:t>
      </w:r>
    </w:p>
    <w:p w14:paraId="35B332D8" w14:textId="77777777" w:rsidR="0054237A" w:rsidRPr="00664954" w:rsidRDefault="0054237A" w:rsidP="006F2A01">
      <w:pPr>
        <w:spacing w:after="0" w:line="300" w:lineRule="auto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0"/>
        <w:gridCol w:w="2790"/>
        <w:gridCol w:w="2790"/>
      </w:tblGrid>
      <w:tr w:rsidR="006F2A01" w:rsidRPr="006F2A01" w14:paraId="07C659B0" w14:textId="7338B7CF" w:rsidTr="006F2A01">
        <w:trPr>
          <w:trHeight w:val="580"/>
        </w:trPr>
        <w:tc>
          <w:tcPr>
            <w:tcW w:w="3770" w:type="dxa"/>
          </w:tcPr>
          <w:p w14:paraId="368F75A3" w14:textId="4715A1C9" w:rsidR="006F2A01" w:rsidRPr="00664954" w:rsidRDefault="006F2A01" w:rsidP="00664954">
            <w:pPr>
              <w:spacing w:line="30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14:paraId="6744015B" w14:textId="6BDB567A" w:rsidR="006F2A01" w:rsidRPr="00664954" w:rsidRDefault="006F2A01" w:rsidP="00664954">
            <w:pPr>
              <w:spacing w:line="30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4954">
              <w:rPr>
                <w:rFonts w:ascii="Arial" w:hAnsi="Arial" w:cs="Arial"/>
                <w:b/>
                <w:sz w:val="24"/>
                <w:szCs w:val="24"/>
              </w:rPr>
              <w:t>Total kWh</w:t>
            </w:r>
          </w:p>
          <w:p w14:paraId="38A0B180" w14:textId="5D80AA7C" w:rsidR="006F2A01" w:rsidRPr="00664954" w:rsidRDefault="006F2A01" w:rsidP="00664954">
            <w:pPr>
              <w:spacing w:line="30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4954">
              <w:rPr>
                <w:rFonts w:ascii="Arial" w:hAnsi="Arial" w:cs="Arial"/>
                <w:b/>
                <w:sz w:val="24"/>
                <w:szCs w:val="24"/>
              </w:rPr>
              <w:t>(Forgone Period)</w:t>
            </w:r>
          </w:p>
        </w:tc>
        <w:tc>
          <w:tcPr>
            <w:tcW w:w="2790" w:type="dxa"/>
          </w:tcPr>
          <w:p w14:paraId="7F734B95" w14:textId="58917E94" w:rsidR="006F2A01" w:rsidRPr="00664954" w:rsidRDefault="006F2A01" w:rsidP="00664954">
            <w:pPr>
              <w:spacing w:line="30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4954">
              <w:rPr>
                <w:rFonts w:ascii="Arial" w:hAnsi="Arial" w:cs="Arial"/>
                <w:b/>
                <w:sz w:val="24"/>
                <w:szCs w:val="24"/>
              </w:rPr>
              <w:t>Recovery Period</w:t>
            </w:r>
          </w:p>
          <w:p w14:paraId="61F073A9" w14:textId="38D8AFC1" w:rsidR="006F2A01" w:rsidRPr="00664954" w:rsidRDefault="006F2A01" w:rsidP="00664954">
            <w:pPr>
              <w:spacing w:line="30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4954">
              <w:rPr>
                <w:rFonts w:ascii="Arial" w:hAnsi="Arial" w:cs="Arial"/>
                <w:b/>
                <w:sz w:val="24"/>
                <w:szCs w:val="24"/>
              </w:rPr>
              <w:t>(Nov 2020</w:t>
            </w:r>
            <w:r w:rsidR="00664954" w:rsidRPr="00664954">
              <w:rPr>
                <w:rFonts w:ascii="Arial" w:hAnsi="Arial" w:cs="Arial"/>
                <w:b/>
                <w:sz w:val="24"/>
                <w:szCs w:val="24"/>
              </w:rPr>
              <w:t xml:space="preserve"> to Apr 2021)</w:t>
            </w:r>
          </w:p>
        </w:tc>
      </w:tr>
      <w:tr w:rsidR="00664954" w:rsidRPr="006F2A01" w14:paraId="17B890AB" w14:textId="60921726" w:rsidTr="00684D68">
        <w:trPr>
          <w:trHeight w:val="580"/>
        </w:trPr>
        <w:tc>
          <w:tcPr>
            <w:tcW w:w="9350" w:type="dxa"/>
            <w:gridSpan w:val="3"/>
            <w:hideMark/>
          </w:tcPr>
          <w:p w14:paraId="5F8EF734" w14:textId="5EEFD9C9" w:rsidR="00664954" w:rsidRPr="006F2A01" w:rsidRDefault="00664954" w:rsidP="006F2A01">
            <w:pPr>
              <w:spacing w:line="300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6F2A01">
              <w:rPr>
                <w:rFonts w:ascii="Arial" w:hAnsi="Arial" w:cs="Arial"/>
                <w:bCs/>
                <w:sz w:val="24"/>
                <w:szCs w:val="24"/>
              </w:rPr>
              <w:t>NON STANDARD</w:t>
            </w:r>
            <w:proofErr w:type="gramEnd"/>
            <w:r w:rsidRPr="006F2A01">
              <w:rPr>
                <w:rFonts w:ascii="Arial" w:hAnsi="Arial" w:cs="Arial"/>
                <w:bCs/>
                <w:sz w:val="24"/>
                <w:szCs w:val="24"/>
              </w:rPr>
              <w:t xml:space="preserve"> A YEAR ROUND RESIDENTIAL SERVICE CLASSIFICATION – R2</w:t>
            </w:r>
          </w:p>
        </w:tc>
      </w:tr>
      <w:tr w:rsidR="00664954" w:rsidRPr="006F2A01" w14:paraId="6C1F33FC" w14:textId="0708E1A3" w:rsidTr="00737F77">
        <w:trPr>
          <w:trHeight w:val="290"/>
        </w:trPr>
        <w:tc>
          <w:tcPr>
            <w:tcW w:w="3770" w:type="dxa"/>
            <w:hideMark/>
          </w:tcPr>
          <w:p w14:paraId="3B6D533E" w14:textId="77777777" w:rsidR="00664954" w:rsidRPr="006F2A01" w:rsidRDefault="00664954" w:rsidP="00664954">
            <w:pPr>
              <w:spacing w:line="30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F2A01">
              <w:rPr>
                <w:rFonts w:ascii="Arial" w:hAnsi="Arial" w:cs="Arial"/>
                <w:bCs/>
                <w:sz w:val="24"/>
                <w:szCs w:val="24"/>
              </w:rPr>
              <w:t>Electricity Rate - Next 1,500 kWh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DDA57" w14:textId="6EB07BF1" w:rsidR="00664954" w:rsidRPr="006F2A01" w:rsidRDefault="00664954" w:rsidP="00664954">
            <w:pPr>
              <w:spacing w:line="30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4,818,217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7AC4EAF3" w14:textId="4CE71128" w:rsidR="00664954" w:rsidRPr="00664954" w:rsidRDefault="00664954" w:rsidP="00664954">
            <w:pPr>
              <w:spacing w:line="300" w:lineRule="auto"/>
              <w:rPr>
                <w:rFonts w:ascii="Calibri" w:hAnsi="Calibri" w:cs="Calibri"/>
                <w:color w:val="000000"/>
              </w:rPr>
            </w:pPr>
            <w:r w:rsidRPr="00664954">
              <w:rPr>
                <w:rFonts w:ascii="Calibri" w:hAnsi="Calibri" w:cs="Calibri"/>
                <w:color w:val="000000"/>
              </w:rPr>
              <w:t xml:space="preserve">                         10,752,148 </w:t>
            </w:r>
          </w:p>
        </w:tc>
      </w:tr>
      <w:tr w:rsidR="00664954" w:rsidRPr="006F2A01" w14:paraId="7A9C5427" w14:textId="6F766A14" w:rsidTr="00737F77">
        <w:trPr>
          <w:trHeight w:val="290"/>
        </w:trPr>
        <w:tc>
          <w:tcPr>
            <w:tcW w:w="3770" w:type="dxa"/>
            <w:hideMark/>
          </w:tcPr>
          <w:p w14:paraId="041A28D0" w14:textId="77777777" w:rsidR="00664954" w:rsidRPr="006F2A01" w:rsidRDefault="00664954" w:rsidP="00664954">
            <w:pPr>
              <w:spacing w:line="30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F2A01">
              <w:rPr>
                <w:rFonts w:ascii="Arial" w:hAnsi="Arial" w:cs="Arial"/>
                <w:bCs/>
                <w:sz w:val="24"/>
                <w:szCs w:val="24"/>
              </w:rPr>
              <w:t>Electricity Rate - All Additional kWh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6CD94" w14:textId="038FD141" w:rsidR="00664954" w:rsidRPr="006F2A01" w:rsidRDefault="00664954" w:rsidP="00664954">
            <w:pPr>
              <w:spacing w:line="30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385,369 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2CD08092" w14:textId="578A1734" w:rsidR="00664954" w:rsidRPr="00664954" w:rsidRDefault="00664954" w:rsidP="00664954">
            <w:pPr>
              <w:spacing w:line="300" w:lineRule="auto"/>
              <w:rPr>
                <w:rFonts w:ascii="Calibri" w:hAnsi="Calibri" w:cs="Calibri"/>
                <w:color w:val="000000"/>
              </w:rPr>
            </w:pPr>
            <w:r w:rsidRPr="00664954">
              <w:rPr>
                <w:rFonts w:ascii="Calibri" w:hAnsi="Calibri" w:cs="Calibri"/>
                <w:color w:val="000000"/>
              </w:rPr>
              <w:t xml:space="preserve">                            2,471,352 </w:t>
            </w:r>
          </w:p>
        </w:tc>
      </w:tr>
      <w:tr w:rsidR="00664954" w:rsidRPr="006F2A01" w14:paraId="0AB919DC" w14:textId="2C506C91" w:rsidTr="00A80BA8">
        <w:trPr>
          <w:trHeight w:val="580"/>
        </w:trPr>
        <w:tc>
          <w:tcPr>
            <w:tcW w:w="9350" w:type="dxa"/>
            <w:gridSpan w:val="3"/>
            <w:hideMark/>
          </w:tcPr>
          <w:p w14:paraId="2461C4D4" w14:textId="62D6D796" w:rsidR="00664954" w:rsidRPr="006F2A01" w:rsidRDefault="00664954" w:rsidP="00664954">
            <w:pPr>
              <w:spacing w:line="300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6F2A01">
              <w:rPr>
                <w:rFonts w:ascii="Arial" w:hAnsi="Arial" w:cs="Arial"/>
                <w:bCs/>
                <w:sz w:val="24"/>
                <w:szCs w:val="24"/>
              </w:rPr>
              <w:t>NON STANDARD</w:t>
            </w:r>
            <w:proofErr w:type="gramEnd"/>
            <w:r w:rsidRPr="006F2A01">
              <w:rPr>
                <w:rFonts w:ascii="Arial" w:hAnsi="Arial" w:cs="Arial"/>
                <w:bCs/>
                <w:sz w:val="24"/>
                <w:szCs w:val="24"/>
              </w:rPr>
              <w:t xml:space="preserve"> A GENERAL SERVICE SINGLE PHASE SERVICE CLASSIFICATION – G1</w:t>
            </w:r>
          </w:p>
        </w:tc>
      </w:tr>
      <w:tr w:rsidR="00664954" w:rsidRPr="006F2A01" w14:paraId="7DB64583" w14:textId="55C8BDCC" w:rsidTr="001C08C0">
        <w:trPr>
          <w:trHeight w:val="290"/>
        </w:trPr>
        <w:tc>
          <w:tcPr>
            <w:tcW w:w="3770" w:type="dxa"/>
            <w:hideMark/>
          </w:tcPr>
          <w:p w14:paraId="7A21CCAF" w14:textId="77777777" w:rsidR="00664954" w:rsidRPr="006F2A01" w:rsidRDefault="00664954" w:rsidP="00664954">
            <w:pPr>
              <w:spacing w:line="30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F2A01">
              <w:rPr>
                <w:rFonts w:ascii="Arial" w:hAnsi="Arial" w:cs="Arial"/>
                <w:bCs/>
                <w:sz w:val="24"/>
                <w:szCs w:val="24"/>
              </w:rPr>
              <w:t>Electricity Rate - First 6,000 kWh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14434" w14:textId="24129705" w:rsidR="00664954" w:rsidRPr="006F2A01" w:rsidRDefault="00664954" w:rsidP="00664954">
            <w:pPr>
              <w:spacing w:line="30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2,507,695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11263193" w14:textId="677526F9" w:rsidR="00664954" w:rsidRPr="00664954" w:rsidRDefault="00664954" w:rsidP="00664954">
            <w:pPr>
              <w:spacing w:line="300" w:lineRule="auto"/>
              <w:rPr>
                <w:rFonts w:ascii="Calibri" w:hAnsi="Calibri" w:cs="Calibri"/>
                <w:color w:val="000000"/>
              </w:rPr>
            </w:pPr>
            <w:r w:rsidRPr="00664954">
              <w:rPr>
                <w:rFonts w:ascii="Calibri" w:hAnsi="Calibri" w:cs="Calibri"/>
                <w:color w:val="000000"/>
              </w:rPr>
              <w:t xml:space="preserve">                            3,611,819 </w:t>
            </w:r>
          </w:p>
        </w:tc>
      </w:tr>
      <w:tr w:rsidR="00664954" w:rsidRPr="006F2A01" w14:paraId="1020CEAA" w14:textId="01488E8D" w:rsidTr="001C08C0">
        <w:trPr>
          <w:trHeight w:val="290"/>
        </w:trPr>
        <w:tc>
          <w:tcPr>
            <w:tcW w:w="3770" w:type="dxa"/>
            <w:hideMark/>
          </w:tcPr>
          <w:p w14:paraId="5495C12D" w14:textId="77777777" w:rsidR="00664954" w:rsidRPr="006F2A01" w:rsidRDefault="00664954" w:rsidP="00664954">
            <w:pPr>
              <w:spacing w:line="30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F2A01">
              <w:rPr>
                <w:rFonts w:ascii="Arial" w:hAnsi="Arial" w:cs="Arial"/>
                <w:bCs/>
                <w:sz w:val="24"/>
                <w:szCs w:val="24"/>
              </w:rPr>
              <w:lastRenderedPageBreak/>
              <w:t>Electricity Rate - Next 7,000 kWh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FF008" w14:textId="78385927" w:rsidR="00664954" w:rsidRPr="006F2A01" w:rsidRDefault="00664954" w:rsidP="00664954">
            <w:pPr>
              <w:spacing w:line="30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181,934 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579168E6" w14:textId="14651D2A" w:rsidR="00664954" w:rsidRPr="00664954" w:rsidRDefault="00664954" w:rsidP="00664954">
            <w:pPr>
              <w:spacing w:line="300" w:lineRule="auto"/>
              <w:rPr>
                <w:rFonts w:ascii="Calibri" w:hAnsi="Calibri" w:cs="Calibri"/>
                <w:color w:val="000000"/>
              </w:rPr>
            </w:pPr>
            <w:r w:rsidRPr="00664954">
              <w:rPr>
                <w:rFonts w:ascii="Calibri" w:hAnsi="Calibri" w:cs="Calibri"/>
                <w:color w:val="000000"/>
              </w:rPr>
              <w:t xml:space="preserve">                               405,714 </w:t>
            </w:r>
          </w:p>
        </w:tc>
      </w:tr>
      <w:tr w:rsidR="00664954" w:rsidRPr="006F2A01" w14:paraId="7F8C9457" w14:textId="2F797072" w:rsidTr="008A3107">
        <w:trPr>
          <w:trHeight w:val="580"/>
        </w:trPr>
        <w:tc>
          <w:tcPr>
            <w:tcW w:w="9350" w:type="dxa"/>
            <w:gridSpan w:val="3"/>
            <w:hideMark/>
          </w:tcPr>
          <w:p w14:paraId="60DB93B6" w14:textId="0AB35227" w:rsidR="00664954" w:rsidRPr="006F2A01" w:rsidRDefault="00664954" w:rsidP="00664954">
            <w:pPr>
              <w:spacing w:line="300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6F2A01">
              <w:rPr>
                <w:rFonts w:ascii="Arial" w:hAnsi="Arial" w:cs="Arial"/>
                <w:bCs/>
                <w:sz w:val="24"/>
                <w:szCs w:val="24"/>
              </w:rPr>
              <w:t>NON STANDARD</w:t>
            </w:r>
            <w:proofErr w:type="gramEnd"/>
            <w:r w:rsidRPr="006F2A01">
              <w:rPr>
                <w:rFonts w:ascii="Arial" w:hAnsi="Arial" w:cs="Arial"/>
                <w:bCs/>
                <w:sz w:val="24"/>
                <w:szCs w:val="24"/>
              </w:rPr>
              <w:t xml:space="preserve"> A GENERAL SERVICE THREE PHASE SERVICE CLASSIFICATION – G3</w:t>
            </w:r>
          </w:p>
        </w:tc>
      </w:tr>
      <w:tr w:rsidR="00664954" w:rsidRPr="006F2A01" w14:paraId="2BBAEE9A" w14:textId="62BEA633" w:rsidTr="00664954">
        <w:trPr>
          <w:trHeight w:val="290"/>
        </w:trPr>
        <w:tc>
          <w:tcPr>
            <w:tcW w:w="3770" w:type="dxa"/>
            <w:hideMark/>
          </w:tcPr>
          <w:p w14:paraId="4F23CEA2" w14:textId="77777777" w:rsidR="00664954" w:rsidRPr="006F2A01" w:rsidRDefault="00664954" w:rsidP="00664954">
            <w:pPr>
              <w:spacing w:line="30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F2A01">
              <w:rPr>
                <w:rFonts w:ascii="Arial" w:hAnsi="Arial" w:cs="Arial"/>
                <w:bCs/>
                <w:sz w:val="24"/>
                <w:szCs w:val="24"/>
              </w:rPr>
              <w:t>Electricity Rate - First 25,000 kWh</w:t>
            </w:r>
          </w:p>
        </w:tc>
        <w:tc>
          <w:tcPr>
            <w:tcW w:w="2790" w:type="dxa"/>
          </w:tcPr>
          <w:p w14:paraId="4833C220" w14:textId="77777777" w:rsidR="00664954" w:rsidRDefault="00664954" w:rsidP="006649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2,541,304 </w:t>
            </w:r>
          </w:p>
          <w:p w14:paraId="3D6CA6B7" w14:textId="77777777" w:rsidR="00664954" w:rsidRPr="006F2A01" w:rsidRDefault="00664954" w:rsidP="00664954">
            <w:pPr>
              <w:spacing w:line="30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EAF1DD" w:themeFill="accent3" w:themeFillTint="33"/>
          </w:tcPr>
          <w:p w14:paraId="3C98E139" w14:textId="77777777" w:rsidR="00664954" w:rsidRPr="00664954" w:rsidRDefault="00664954" w:rsidP="00664954">
            <w:pPr>
              <w:spacing w:line="300" w:lineRule="auto"/>
              <w:rPr>
                <w:rFonts w:ascii="Calibri" w:hAnsi="Calibri" w:cs="Calibri"/>
                <w:color w:val="000000"/>
              </w:rPr>
            </w:pPr>
            <w:r w:rsidRPr="00664954">
              <w:rPr>
                <w:rFonts w:ascii="Calibri" w:hAnsi="Calibri" w:cs="Calibri"/>
                <w:color w:val="000000"/>
              </w:rPr>
              <w:t xml:space="preserve">                            3,132,533 </w:t>
            </w:r>
          </w:p>
          <w:p w14:paraId="46FAE0BF" w14:textId="77777777" w:rsidR="00664954" w:rsidRPr="006F2A01" w:rsidRDefault="00664954" w:rsidP="00664954">
            <w:pPr>
              <w:spacing w:line="30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64954" w:rsidRPr="006F2A01" w14:paraId="70E2D0B2" w14:textId="384ECB36" w:rsidTr="00B244FF">
        <w:trPr>
          <w:trHeight w:val="580"/>
        </w:trPr>
        <w:tc>
          <w:tcPr>
            <w:tcW w:w="9350" w:type="dxa"/>
            <w:gridSpan w:val="3"/>
            <w:hideMark/>
          </w:tcPr>
          <w:p w14:paraId="41D6BAB9" w14:textId="239C0A59" w:rsidR="00664954" w:rsidRPr="006F2A01" w:rsidRDefault="00664954" w:rsidP="00664954">
            <w:pPr>
              <w:spacing w:line="30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F2A01">
              <w:rPr>
                <w:rFonts w:ascii="Arial" w:hAnsi="Arial" w:cs="Arial"/>
                <w:bCs/>
                <w:sz w:val="24"/>
                <w:szCs w:val="24"/>
              </w:rPr>
              <w:t>STANDARD A RESIDENTIAL AIR ACCESS SERVICE CLASSIFICATION</w:t>
            </w:r>
          </w:p>
        </w:tc>
      </w:tr>
      <w:tr w:rsidR="00664954" w:rsidRPr="006F2A01" w14:paraId="215A8742" w14:textId="65C61875" w:rsidTr="007C58E2">
        <w:trPr>
          <w:trHeight w:val="290"/>
        </w:trPr>
        <w:tc>
          <w:tcPr>
            <w:tcW w:w="3770" w:type="dxa"/>
            <w:hideMark/>
          </w:tcPr>
          <w:p w14:paraId="486D3A18" w14:textId="77777777" w:rsidR="00664954" w:rsidRPr="006F2A01" w:rsidRDefault="00664954" w:rsidP="00664954">
            <w:pPr>
              <w:spacing w:line="30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F2A01">
              <w:rPr>
                <w:rFonts w:ascii="Arial" w:hAnsi="Arial" w:cs="Arial"/>
                <w:bCs/>
                <w:sz w:val="24"/>
                <w:szCs w:val="24"/>
              </w:rPr>
              <w:t>Electricity Rate - First 250 kWh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84D3D" w14:textId="38622E34" w:rsidR="00664954" w:rsidRPr="006F2A01" w:rsidRDefault="00664954" w:rsidP="00664954">
            <w:pPr>
              <w:spacing w:line="30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102,264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7BA524C1" w14:textId="2F24ADD2" w:rsidR="00664954" w:rsidRPr="00664954" w:rsidRDefault="00664954" w:rsidP="00664954">
            <w:pPr>
              <w:spacing w:line="300" w:lineRule="auto"/>
              <w:rPr>
                <w:rFonts w:ascii="Calibri" w:hAnsi="Calibri" w:cs="Calibri"/>
                <w:color w:val="000000"/>
              </w:rPr>
            </w:pPr>
            <w:r w:rsidRPr="00664954">
              <w:rPr>
                <w:rFonts w:ascii="Calibri" w:hAnsi="Calibri" w:cs="Calibri"/>
                <w:color w:val="000000"/>
              </w:rPr>
              <w:t xml:space="preserve">                                 30,000 </w:t>
            </w:r>
          </w:p>
        </w:tc>
      </w:tr>
      <w:tr w:rsidR="00664954" w:rsidRPr="006F2A01" w14:paraId="0D5C1838" w14:textId="098001AB" w:rsidTr="007C58E2">
        <w:trPr>
          <w:trHeight w:val="290"/>
        </w:trPr>
        <w:tc>
          <w:tcPr>
            <w:tcW w:w="3770" w:type="dxa"/>
            <w:hideMark/>
          </w:tcPr>
          <w:p w14:paraId="2903AEF8" w14:textId="77777777" w:rsidR="00664954" w:rsidRPr="006F2A01" w:rsidRDefault="00664954" w:rsidP="00664954">
            <w:pPr>
              <w:spacing w:line="30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F2A01">
              <w:rPr>
                <w:rFonts w:ascii="Arial" w:hAnsi="Arial" w:cs="Arial"/>
                <w:bCs/>
                <w:sz w:val="24"/>
                <w:szCs w:val="24"/>
              </w:rPr>
              <w:t>Electricity Rate - All Additional kWh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0E4D8" w14:textId="29935509" w:rsidR="00664954" w:rsidRPr="006F2A01" w:rsidRDefault="00664954" w:rsidP="00664954">
            <w:pPr>
              <w:spacing w:line="30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474,812 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0ECCB2D9" w14:textId="2D2D1F11" w:rsidR="00664954" w:rsidRPr="00664954" w:rsidRDefault="00664954" w:rsidP="00664954">
            <w:pPr>
              <w:spacing w:line="300" w:lineRule="auto"/>
              <w:rPr>
                <w:rFonts w:ascii="Calibri" w:hAnsi="Calibri" w:cs="Calibri"/>
                <w:color w:val="000000"/>
              </w:rPr>
            </w:pPr>
            <w:r w:rsidRPr="00664954">
              <w:rPr>
                <w:rFonts w:ascii="Calibri" w:hAnsi="Calibri" w:cs="Calibri"/>
                <w:color w:val="000000"/>
              </w:rPr>
              <w:t xml:space="preserve">                               781,075 </w:t>
            </w:r>
          </w:p>
        </w:tc>
      </w:tr>
    </w:tbl>
    <w:p w14:paraId="032DF867" w14:textId="77777777" w:rsidR="006F2A01" w:rsidRPr="006F2A01" w:rsidRDefault="006F2A01" w:rsidP="006F2A01">
      <w:pPr>
        <w:spacing w:after="0" w:line="300" w:lineRule="auto"/>
        <w:rPr>
          <w:rFonts w:ascii="Arial" w:hAnsi="Arial" w:cs="Arial"/>
          <w:bCs/>
          <w:sz w:val="24"/>
          <w:szCs w:val="24"/>
        </w:rPr>
      </w:pPr>
    </w:p>
    <w:sectPr w:rsidR="006F2A01" w:rsidRPr="006F2A01" w:rsidSect="00EA0919">
      <w:footerReference w:type="default" r:id="rId8"/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97762" w14:textId="77777777" w:rsidR="00C67267" w:rsidRDefault="00C67267" w:rsidP="0091388E">
      <w:pPr>
        <w:spacing w:after="0" w:line="240" w:lineRule="auto"/>
      </w:pPr>
      <w:r>
        <w:separator/>
      </w:r>
    </w:p>
  </w:endnote>
  <w:endnote w:type="continuationSeparator" w:id="0">
    <w:p w14:paraId="3D7C9024" w14:textId="77777777" w:rsidR="00C67267" w:rsidRDefault="00C67267" w:rsidP="00913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6304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C2EED2" w14:textId="6A87AB9E" w:rsidR="00C67267" w:rsidRDefault="00C672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0C7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E50CBBA" w14:textId="77777777" w:rsidR="00C67267" w:rsidRDefault="00C672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B7BB8" w14:textId="77777777" w:rsidR="00C67267" w:rsidRDefault="00C67267" w:rsidP="0091388E">
      <w:pPr>
        <w:spacing w:after="0" w:line="240" w:lineRule="auto"/>
      </w:pPr>
      <w:r>
        <w:separator/>
      </w:r>
    </w:p>
  </w:footnote>
  <w:footnote w:type="continuationSeparator" w:id="0">
    <w:p w14:paraId="3A5C301E" w14:textId="77777777" w:rsidR="00C67267" w:rsidRDefault="00C67267" w:rsidP="00913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541BD"/>
    <w:multiLevelType w:val="hybridMultilevel"/>
    <w:tmpl w:val="D296775A"/>
    <w:lvl w:ilvl="0" w:tplc="844CD41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041AAC"/>
    <w:multiLevelType w:val="hybridMultilevel"/>
    <w:tmpl w:val="16DC5A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77A22"/>
    <w:multiLevelType w:val="hybridMultilevel"/>
    <w:tmpl w:val="AD82E2F6"/>
    <w:lvl w:ilvl="0" w:tplc="E70AED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A46C8"/>
    <w:multiLevelType w:val="hybridMultilevel"/>
    <w:tmpl w:val="58169948"/>
    <w:lvl w:ilvl="0" w:tplc="E0BA03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70AA"/>
    <w:multiLevelType w:val="hybridMultilevel"/>
    <w:tmpl w:val="1F64A2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D7F6B"/>
    <w:multiLevelType w:val="hybridMultilevel"/>
    <w:tmpl w:val="7AE6525C"/>
    <w:lvl w:ilvl="0" w:tplc="7F2E8A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6445E"/>
    <w:multiLevelType w:val="hybridMultilevel"/>
    <w:tmpl w:val="927AD6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701F2"/>
    <w:multiLevelType w:val="hybridMultilevel"/>
    <w:tmpl w:val="265E4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723CE"/>
    <w:multiLevelType w:val="hybridMultilevel"/>
    <w:tmpl w:val="0DE6A5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26852"/>
    <w:multiLevelType w:val="hybridMultilevel"/>
    <w:tmpl w:val="A6C8C844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EA4B77"/>
    <w:multiLevelType w:val="hybridMultilevel"/>
    <w:tmpl w:val="F3CEE9F4"/>
    <w:lvl w:ilvl="0" w:tplc="8398E6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93D90"/>
    <w:multiLevelType w:val="hybridMultilevel"/>
    <w:tmpl w:val="D7F46E80"/>
    <w:lvl w:ilvl="0" w:tplc="3C7239C2">
      <w:numFmt w:val="bullet"/>
      <w:lvlText w:val="-"/>
      <w:lvlJc w:val="left"/>
      <w:pPr>
        <w:ind w:left="1440" w:hanging="720"/>
      </w:pPr>
      <w:rPr>
        <w:rFonts w:ascii="Arial" w:eastAsiaTheme="minorHAnsi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5A1BE8"/>
    <w:multiLevelType w:val="hybridMultilevel"/>
    <w:tmpl w:val="34FC30C6"/>
    <w:lvl w:ilvl="0" w:tplc="9E14FB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5F3F50"/>
    <w:multiLevelType w:val="hybridMultilevel"/>
    <w:tmpl w:val="8980688A"/>
    <w:lvl w:ilvl="0" w:tplc="172C7C9E">
      <w:start w:val="1"/>
      <w:numFmt w:val="lowerLetter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F84B98"/>
    <w:multiLevelType w:val="hybridMultilevel"/>
    <w:tmpl w:val="9BCC8F5A"/>
    <w:lvl w:ilvl="0" w:tplc="C92A03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9E5908"/>
    <w:multiLevelType w:val="hybridMultilevel"/>
    <w:tmpl w:val="89982AC4"/>
    <w:lvl w:ilvl="0" w:tplc="ED962BCE">
      <w:start w:val="1"/>
      <w:numFmt w:val="lowerLetter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87E35"/>
    <w:multiLevelType w:val="hybridMultilevel"/>
    <w:tmpl w:val="6486D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527366"/>
    <w:multiLevelType w:val="hybridMultilevel"/>
    <w:tmpl w:val="4F9ECD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53ABC"/>
    <w:multiLevelType w:val="hybridMultilevel"/>
    <w:tmpl w:val="07DCF008"/>
    <w:lvl w:ilvl="0" w:tplc="C05E49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AF4F41"/>
    <w:multiLevelType w:val="hybridMultilevel"/>
    <w:tmpl w:val="75DAA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0645E"/>
    <w:multiLevelType w:val="hybridMultilevel"/>
    <w:tmpl w:val="5CE05A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F316BC"/>
    <w:multiLevelType w:val="hybridMultilevel"/>
    <w:tmpl w:val="C484B31C"/>
    <w:lvl w:ilvl="0" w:tplc="1C3CB3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2E7748"/>
    <w:multiLevelType w:val="hybridMultilevel"/>
    <w:tmpl w:val="93E42A94"/>
    <w:lvl w:ilvl="0" w:tplc="3758AF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983D5B"/>
    <w:multiLevelType w:val="hybridMultilevel"/>
    <w:tmpl w:val="FFD070A6"/>
    <w:lvl w:ilvl="0" w:tplc="F7E81886">
      <w:start w:val="1"/>
      <w:numFmt w:val="lowerLetter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F460D"/>
    <w:multiLevelType w:val="hybridMultilevel"/>
    <w:tmpl w:val="EB501818"/>
    <w:lvl w:ilvl="0" w:tplc="BD2231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FA1B65"/>
    <w:multiLevelType w:val="hybridMultilevel"/>
    <w:tmpl w:val="FC166F22"/>
    <w:lvl w:ilvl="0" w:tplc="F7F074A8">
      <w:start w:val="1"/>
      <w:numFmt w:val="lowerLetter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9E4735"/>
    <w:multiLevelType w:val="hybridMultilevel"/>
    <w:tmpl w:val="47669AD8"/>
    <w:lvl w:ilvl="0" w:tplc="B524CE24">
      <w:start w:val="1"/>
      <w:numFmt w:val="decimal"/>
      <w:lvlText w:val="%1)"/>
      <w:lvlJc w:val="left"/>
      <w:pPr>
        <w:ind w:left="1440" w:hanging="72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DA6378F"/>
    <w:multiLevelType w:val="hybridMultilevel"/>
    <w:tmpl w:val="C7C20EBA"/>
    <w:lvl w:ilvl="0" w:tplc="798EB58C">
      <w:start w:val="1"/>
      <w:numFmt w:val="lowerLetter"/>
      <w:lvlText w:val="(%1)"/>
      <w:lvlJc w:val="left"/>
      <w:pPr>
        <w:ind w:left="1440" w:hanging="72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EE47AC4"/>
    <w:multiLevelType w:val="hybridMultilevel"/>
    <w:tmpl w:val="A2788756"/>
    <w:lvl w:ilvl="0" w:tplc="6EB22388">
      <w:start w:val="1"/>
      <w:numFmt w:val="lowerLetter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98903C44"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932C9658"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AE24B8"/>
    <w:multiLevelType w:val="hybridMultilevel"/>
    <w:tmpl w:val="C95C439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35D0B7C"/>
    <w:multiLevelType w:val="hybridMultilevel"/>
    <w:tmpl w:val="A5D2E776"/>
    <w:lvl w:ilvl="0" w:tplc="04090011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5993A74"/>
    <w:multiLevelType w:val="hybridMultilevel"/>
    <w:tmpl w:val="2620E0CE"/>
    <w:lvl w:ilvl="0" w:tplc="98F44A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1E172A"/>
    <w:multiLevelType w:val="hybridMultilevel"/>
    <w:tmpl w:val="365A8338"/>
    <w:lvl w:ilvl="0" w:tplc="8DB61BE6">
      <w:start w:val="1"/>
      <w:numFmt w:val="lowerLetter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2F6DC8"/>
    <w:multiLevelType w:val="hybridMultilevel"/>
    <w:tmpl w:val="717C1438"/>
    <w:lvl w:ilvl="0" w:tplc="085E6A3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2A675AF"/>
    <w:multiLevelType w:val="hybridMultilevel"/>
    <w:tmpl w:val="AFC00A0C"/>
    <w:lvl w:ilvl="0" w:tplc="EF74F8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E97C38"/>
    <w:multiLevelType w:val="hybridMultilevel"/>
    <w:tmpl w:val="3C2CCE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7B192C"/>
    <w:multiLevelType w:val="hybridMultilevel"/>
    <w:tmpl w:val="F568550A"/>
    <w:lvl w:ilvl="0" w:tplc="8F30AF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4F13B7"/>
    <w:multiLevelType w:val="hybridMultilevel"/>
    <w:tmpl w:val="AACE34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042EB6"/>
    <w:multiLevelType w:val="hybridMultilevel"/>
    <w:tmpl w:val="949CC27C"/>
    <w:lvl w:ilvl="0" w:tplc="04090011">
      <w:start w:val="1"/>
      <w:numFmt w:val="decimal"/>
      <w:lvlText w:val="%1)"/>
      <w:lvlJc w:val="left"/>
      <w:pPr>
        <w:ind w:left="144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576254D"/>
    <w:multiLevelType w:val="hybridMultilevel"/>
    <w:tmpl w:val="A5D2E776"/>
    <w:lvl w:ilvl="0" w:tplc="04090011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60C18AC"/>
    <w:multiLevelType w:val="hybridMultilevel"/>
    <w:tmpl w:val="1F321D06"/>
    <w:lvl w:ilvl="0" w:tplc="5DCE42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572952"/>
    <w:multiLevelType w:val="hybridMultilevel"/>
    <w:tmpl w:val="B0B230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813817"/>
    <w:multiLevelType w:val="hybridMultilevel"/>
    <w:tmpl w:val="EA9C05B4"/>
    <w:lvl w:ilvl="0" w:tplc="2260269A">
      <w:start w:val="1"/>
      <w:numFmt w:val="lowerLetter"/>
      <w:lvlText w:val="(%1)"/>
      <w:lvlJc w:val="left"/>
      <w:pPr>
        <w:ind w:left="432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3" w15:restartNumberingAfterBreak="0">
    <w:nsid w:val="6E532356"/>
    <w:multiLevelType w:val="hybridMultilevel"/>
    <w:tmpl w:val="7004D0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411C23"/>
    <w:multiLevelType w:val="hybridMultilevel"/>
    <w:tmpl w:val="388CC258"/>
    <w:lvl w:ilvl="0" w:tplc="B744276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5C54976"/>
    <w:multiLevelType w:val="hybridMultilevel"/>
    <w:tmpl w:val="F35828B4"/>
    <w:lvl w:ilvl="0" w:tplc="FD540F16">
      <w:start w:val="1"/>
      <w:numFmt w:val="lowerLetter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530981"/>
    <w:multiLevelType w:val="hybridMultilevel"/>
    <w:tmpl w:val="F4B43042"/>
    <w:lvl w:ilvl="0" w:tplc="AC0CF1FA">
      <w:start w:val="1"/>
      <w:numFmt w:val="lowerLetter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7C047B"/>
    <w:multiLevelType w:val="hybridMultilevel"/>
    <w:tmpl w:val="772066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024A6B"/>
    <w:multiLevelType w:val="hybridMultilevel"/>
    <w:tmpl w:val="8190E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391335"/>
    <w:multiLevelType w:val="hybridMultilevel"/>
    <w:tmpl w:val="3B08EF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31"/>
  </w:num>
  <w:num w:numId="4">
    <w:abstractNumId w:val="5"/>
  </w:num>
  <w:num w:numId="5">
    <w:abstractNumId w:val="24"/>
  </w:num>
  <w:num w:numId="6">
    <w:abstractNumId w:val="46"/>
  </w:num>
  <w:num w:numId="7">
    <w:abstractNumId w:val="23"/>
  </w:num>
  <w:num w:numId="8">
    <w:abstractNumId w:val="42"/>
  </w:num>
  <w:num w:numId="9">
    <w:abstractNumId w:val="45"/>
  </w:num>
  <w:num w:numId="10">
    <w:abstractNumId w:val="43"/>
  </w:num>
  <w:num w:numId="11">
    <w:abstractNumId w:val="1"/>
  </w:num>
  <w:num w:numId="12">
    <w:abstractNumId w:val="49"/>
  </w:num>
  <w:num w:numId="13">
    <w:abstractNumId w:val="37"/>
  </w:num>
  <w:num w:numId="14">
    <w:abstractNumId w:val="19"/>
  </w:num>
  <w:num w:numId="15">
    <w:abstractNumId w:val="13"/>
  </w:num>
  <w:num w:numId="16">
    <w:abstractNumId w:val="28"/>
  </w:num>
  <w:num w:numId="17">
    <w:abstractNumId w:val="26"/>
  </w:num>
  <w:num w:numId="18">
    <w:abstractNumId w:val="48"/>
  </w:num>
  <w:num w:numId="19">
    <w:abstractNumId w:val="41"/>
  </w:num>
  <w:num w:numId="20">
    <w:abstractNumId w:val="18"/>
  </w:num>
  <w:num w:numId="21">
    <w:abstractNumId w:val="17"/>
  </w:num>
  <w:num w:numId="22">
    <w:abstractNumId w:val="7"/>
  </w:num>
  <w:num w:numId="23">
    <w:abstractNumId w:val="8"/>
  </w:num>
  <w:num w:numId="24">
    <w:abstractNumId w:val="34"/>
  </w:num>
  <w:num w:numId="25">
    <w:abstractNumId w:val="4"/>
  </w:num>
  <w:num w:numId="26">
    <w:abstractNumId w:val="44"/>
  </w:num>
  <w:num w:numId="27">
    <w:abstractNumId w:val="27"/>
  </w:num>
  <w:num w:numId="28">
    <w:abstractNumId w:val="0"/>
  </w:num>
  <w:num w:numId="29">
    <w:abstractNumId w:val="33"/>
  </w:num>
  <w:num w:numId="30">
    <w:abstractNumId w:val="9"/>
  </w:num>
  <w:num w:numId="31">
    <w:abstractNumId w:val="11"/>
  </w:num>
  <w:num w:numId="32">
    <w:abstractNumId w:val="38"/>
  </w:num>
  <w:num w:numId="33">
    <w:abstractNumId w:val="30"/>
  </w:num>
  <w:num w:numId="34">
    <w:abstractNumId w:val="29"/>
  </w:num>
  <w:num w:numId="35">
    <w:abstractNumId w:val="39"/>
  </w:num>
  <w:num w:numId="36">
    <w:abstractNumId w:val="3"/>
  </w:num>
  <w:num w:numId="37">
    <w:abstractNumId w:val="16"/>
  </w:num>
  <w:num w:numId="38">
    <w:abstractNumId w:val="32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</w:num>
  <w:num w:numId="41">
    <w:abstractNumId w:val="35"/>
  </w:num>
  <w:num w:numId="42">
    <w:abstractNumId w:val="20"/>
  </w:num>
  <w:num w:numId="43">
    <w:abstractNumId w:val="47"/>
  </w:num>
  <w:num w:numId="44">
    <w:abstractNumId w:val="2"/>
  </w:num>
  <w:num w:numId="45">
    <w:abstractNumId w:val="36"/>
  </w:num>
  <w:num w:numId="46">
    <w:abstractNumId w:val="12"/>
  </w:num>
  <w:num w:numId="47">
    <w:abstractNumId w:val="40"/>
  </w:num>
  <w:num w:numId="48">
    <w:abstractNumId w:val="21"/>
  </w:num>
  <w:num w:numId="49">
    <w:abstractNumId w:val="10"/>
  </w:num>
  <w:num w:numId="50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52"/>
    <w:rsid w:val="00003794"/>
    <w:rsid w:val="00024560"/>
    <w:rsid w:val="00027364"/>
    <w:rsid w:val="0003073C"/>
    <w:rsid w:val="00035337"/>
    <w:rsid w:val="00047D05"/>
    <w:rsid w:val="00052210"/>
    <w:rsid w:val="00054071"/>
    <w:rsid w:val="0006126D"/>
    <w:rsid w:val="00067F57"/>
    <w:rsid w:val="00070542"/>
    <w:rsid w:val="00071BEC"/>
    <w:rsid w:val="00074514"/>
    <w:rsid w:val="000832D4"/>
    <w:rsid w:val="00083BD5"/>
    <w:rsid w:val="00090160"/>
    <w:rsid w:val="000A350D"/>
    <w:rsid w:val="000B3E7E"/>
    <w:rsid w:val="000D223C"/>
    <w:rsid w:val="000D7E8A"/>
    <w:rsid w:val="000D7EC3"/>
    <w:rsid w:val="000E28EB"/>
    <w:rsid w:val="000E4006"/>
    <w:rsid w:val="000F1E3A"/>
    <w:rsid w:val="00100CF4"/>
    <w:rsid w:val="00112EFF"/>
    <w:rsid w:val="001136A2"/>
    <w:rsid w:val="00116733"/>
    <w:rsid w:val="0012374A"/>
    <w:rsid w:val="00147064"/>
    <w:rsid w:val="00157F4A"/>
    <w:rsid w:val="0016049B"/>
    <w:rsid w:val="00164E99"/>
    <w:rsid w:val="0017167A"/>
    <w:rsid w:val="0017733C"/>
    <w:rsid w:val="00183CC8"/>
    <w:rsid w:val="00187E9B"/>
    <w:rsid w:val="001927C2"/>
    <w:rsid w:val="001A4DCD"/>
    <w:rsid w:val="001B0536"/>
    <w:rsid w:val="001C148C"/>
    <w:rsid w:val="001F46E9"/>
    <w:rsid w:val="001F560C"/>
    <w:rsid w:val="00203092"/>
    <w:rsid w:val="002208C0"/>
    <w:rsid w:val="00224C06"/>
    <w:rsid w:val="0025687C"/>
    <w:rsid w:val="0026490C"/>
    <w:rsid w:val="00266927"/>
    <w:rsid w:val="00274A48"/>
    <w:rsid w:val="00291CCC"/>
    <w:rsid w:val="002A21C0"/>
    <w:rsid w:val="002A370E"/>
    <w:rsid w:val="002A6415"/>
    <w:rsid w:val="002B4629"/>
    <w:rsid w:val="002B7B7C"/>
    <w:rsid w:val="002C1918"/>
    <w:rsid w:val="002C26C9"/>
    <w:rsid w:val="002C2BF2"/>
    <w:rsid w:val="002C68B8"/>
    <w:rsid w:val="002C7EF6"/>
    <w:rsid w:val="002F4756"/>
    <w:rsid w:val="00302509"/>
    <w:rsid w:val="003049C5"/>
    <w:rsid w:val="003259CC"/>
    <w:rsid w:val="00335FBB"/>
    <w:rsid w:val="003379D1"/>
    <w:rsid w:val="00340C00"/>
    <w:rsid w:val="003413C3"/>
    <w:rsid w:val="003457C3"/>
    <w:rsid w:val="00347F94"/>
    <w:rsid w:val="00357B19"/>
    <w:rsid w:val="00362BEE"/>
    <w:rsid w:val="003679CF"/>
    <w:rsid w:val="003702D1"/>
    <w:rsid w:val="00373FAD"/>
    <w:rsid w:val="003777B5"/>
    <w:rsid w:val="00377E24"/>
    <w:rsid w:val="003832E7"/>
    <w:rsid w:val="00385F0A"/>
    <w:rsid w:val="003A20A0"/>
    <w:rsid w:val="003A56D3"/>
    <w:rsid w:val="003A58B0"/>
    <w:rsid w:val="003B6BF8"/>
    <w:rsid w:val="003C2A19"/>
    <w:rsid w:val="003D1590"/>
    <w:rsid w:val="00400DFC"/>
    <w:rsid w:val="00412DC6"/>
    <w:rsid w:val="00421A07"/>
    <w:rsid w:val="00424FB9"/>
    <w:rsid w:val="00425FAF"/>
    <w:rsid w:val="00433FAA"/>
    <w:rsid w:val="004377B0"/>
    <w:rsid w:val="00443FDF"/>
    <w:rsid w:val="004450AB"/>
    <w:rsid w:val="00451FE4"/>
    <w:rsid w:val="0045331E"/>
    <w:rsid w:val="00472C81"/>
    <w:rsid w:val="00475032"/>
    <w:rsid w:val="004859EF"/>
    <w:rsid w:val="0048635E"/>
    <w:rsid w:val="004B13AB"/>
    <w:rsid w:val="004B59B9"/>
    <w:rsid w:val="004C22E8"/>
    <w:rsid w:val="004D7D8A"/>
    <w:rsid w:val="004E5CF3"/>
    <w:rsid w:val="004F292B"/>
    <w:rsid w:val="00510A7A"/>
    <w:rsid w:val="005164F5"/>
    <w:rsid w:val="0052560F"/>
    <w:rsid w:val="00535D92"/>
    <w:rsid w:val="00541762"/>
    <w:rsid w:val="0054237A"/>
    <w:rsid w:val="00556778"/>
    <w:rsid w:val="005666F2"/>
    <w:rsid w:val="00572064"/>
    <w:rsid w:val="00582C4D"/>
    <w:rsid w:val="00584369"/>
    <w:rsid w:val="00587A35"/>
    <w:rsid w:val="005B56FA"/>
    <w:rsid w:val="005C2E1B"/>
    <w:rsid w:val="005C7984"/>
    <w:rsid w:val="005D215B"/>
    <w:rsid w:val="005F4693"/>
    <w:rsid w:val="00614064"/>
    <w:rsid w:val="00622A5B"/>
    <w:rsid w:val="0064279A"/>
    <w:rsid w:val="00645F80"/>
    <w:rsid w:val="00652B84"/>
    <w:rsid w:val="00664954"/>
    <w:rsid w:val="006A5D23"/>
    <w:rsid w:val="006B49DE"/>
    <w:rsid w:val="006D36EF"/>
    <w:rsid w:val="006E3D58"/>
    <w:rsid w:val="006F2A01"/>
    <w:rsid w:val="006F33B0"/>
    <w:rsid w:val="006F7D0F"/>
    <w:rsid w:val="007041E8"/>
    <w:rsid w:val="00704EE5"/>
    <w:rsid w:val="007066E2"/>
    <w:rsid w:val="00722640"/>
    <w:rsid w:val="0073197E"/>
    <w:rsid w:val="00736C82"/>
    <w:rsid w:val="00746080"/>
    <w:rsid w:val="00746F6C"/>
    <w:rsid w:val="00750C77"/>
    <w:rsid w:val="00766FC3"/>
    <w:rsid w:val="007678FB"/>
    <w:rsid w:val="007705DD"/>
    <w:rsid w:val="00771850"/>
    <w:rsid w:val="00772B57"/>
    <w:rsid w:val="00774DBD"/>
    <w:rsid w:val="00781D04"/>
    <w:rsid w:val="00792E3B"/>
    <w:rsid w:val="007A3D45"/>
    <w:rsid w:val="007B0197"/>
    <w:rsid w:val="007B70C7"/>
    <w:rsid w:val="007C2D45"/>
    <w:rsid w:val="007C3747"/>
    <w:rsid w:val="007D4DA8"/>
    <w:rsid w:val="007D55CA"/>
    <w:rsid w:val="007F49EB"/>
    <w:rsid w:val="00805FDA"/>
    <w:rsid w:val="00812C1B"/>
    <w:rsid w:val="008141CA"/>
    <w:rsid w:val="008357EF"/>
    <w:rsid w:val="00835AD0"/>
    <w:rsid w:val="00843A1D"/>
    <w:rsid w:val="00862C3B"/>
    <w:rsid w:val="008747B3"/>
    <w:rsid w:val="008813C3"/>
    <w:rsid w:val="008926F0"/>
    <w:rsid w:val="008964E8"/>
    <w:rsid w:val="008970F1"/>
    <w:rsid w:val="008A2134"/>
    <w:rsid w:val="008A48F6"/>
    <w:rsid w:val="008C32FC"/>
    <w:rsid w:val="008D1AEA"/>
    <w:rsid w:val="008E5B40"/>
    <w:rsid w:val="008E6045"/>
    <w:rsid w:val="008E6CBA"/>
    <w:rsid w:val="008E772A"/>
    <w:rsid w:val="0090113B"/>
    <w:rsid w:val="0091388E"/>
    <w:rsid w:val="00917B27"/>
    <w:rsid w:val="00927A9A"/>
    <w:rsid w:val="0093258A"/>
    <w:rsid w:val="0094373C"/>
    <w:rsid w:val="0094417B"/>
    <w:rsid w:val="00946DEE"/>
    <w:rsid w:val="00951E2B"/>
    <w:rsid w:val="00952939"/>
    <w:rsid w:val="00953EB6"/>
    <w:rsid w:val="00954332"/>
    <w:rsid w:val="00955C4A"/>
    <w:rsid w:val="00961EA0"/>
    <w:rsid w:val="00964B0B"/>
    <w:rsid w:val="00997F27"/>
    <w:rsid w:val="009A5C44"/>
    <w:rsid w:val="009B03AF"/>
    <w:rsid w:val="009B17CE"/>
    <w:rsid w:val="009C4216"/>
    <w:rsid w:val="009C48DB"/>
    <w:rsid w:val="009C4AA9"/>
    <w:rsid w:val="009D5F4B"/>
    <w:rsid w:val="009D7441"/>
    <w:rsid w:val="009E626E"/>
    <w:rsid w:val="009E7CBF"/>
    <w:rsid w:val="009F1609"/>
    <w:rsid w:val="009F756C"/>
    <w:rsid w:val="00A034CC"/>
    <w:rsid w:val="00A07077"/>
    <w:rsid w:val="00A10860"/>
    <w:rsid w:val="00A1162D"/>
    <w:rsid w:val="00A2014F"/>
    <w:rsid w:val="00A50DD0"/>
    <w:rsid w:val="00A516B0"/>
    <w:rsid w:val="00A51D18"/>
    <w:rsid w:val="00A55CE8"/>
    <w:rsid w:val="00A5620A"/>
    <w:rsid w:val="00A60B85"/>
    <w:rsid w:val="00A62828"/>
    <w:rsid w:val="00A81F73"/>
    <w:rsid w:val="00A91710"/>
    <w:rsid w:val="00AA06D9"/>
    <w:rsid w:val="00AA1502"/>
    <w:rsid w:val="00AA2D5E"/>
    <w:rsid w:val="00AA579F"/>
    <w:rsid w:val="00AC2406"/>
    <w:rsid w:val="00AD04B9"/>
    <w:rsid w:val="00AD3FCF"/>
    <w:rsid w:val="00AD6BFA"/>
    <w:rsid w:val="00B03802"/>
    <w:rsid w:val="00B069AA"/>
    <w:rsid w:val="00B07C51"/>
    <w:rsid w:val="00B23A36"/>
    <w:rsid w:val="00B246EE"/>
    <w:rsid w:val="00B25576"/>
    <w:rsid w:val="00B25EF5"/>
    <w:rsid w:val="00B372D9"/>
    <w:rsid w:val="00B37721"/>
    <w:rsid w:val="00B41A96"/>
    <w:rsid w:val="00B50EB2"/>
    <w:rsid w:val="00B631D5"/>
    <w:rsid w:val="00B6722A"/>
    <w:rsid w:val="00B73D0B"/>
    <w:rsid w:val="00B82D78"/>
    <w:rsid w:val="00B96000"/>
    <w:rsid w:val="00BA434C"/>
    <w:rsid w:val="00BA7FA8"/>
    <w:rsid w:val="00BD24F4"/>
    <w:rsid w:val="00BD4F65"/>
    <w:rsid w:val="00BF0403"/>
    <w:rsid w:val="00BF23EB"/>
    <w:rsid w:val="00C01E66"/>
    <w:rsid w:val="00C01F4B"/>
    <w:rsid w:val="00C06F9E"/>
    <w:rsid w:val="00C13E6B"/>
    <w:rsid w:val="00C2370B"/>
    <w:rsid w:val="00C320DB"/>
    <w:rsid w:val="00C33DAF"/>
    <w:rsid w:val="00C465DE"/>
    <w:rsid w:val="00C56C54"/>
    <w:rsid w:val="00C624D5"/>
    <w:rsid w:val="00C67267"/>
    <w:rsid w:val="00C848A0"/>
    <w:rsid w:val="00C878C5"/>
    <w:rsid w:val="00C96AEA"/>
    <w:rsid w:val="00CB0610"/>
    <w:rsid w:val="00CB127A"/>
    <w:rsid w:val="00CC0B6D"/>
    <w:rsid w:val="00CD764A"/>
    <w:rsid w:val="00CE1CD3"/>
    <w:rsid w:val="00CE4F01"/>
    <w:rsid w:val="00CE70DA"/>
    <w:rsid w:val="00CF4912"/>
    <w:rsid w:val="00D00027"/>
    <w:rsid w:val="00D261BB"/>
    <w:rsid w:val="00D266EE"/>
    <w:rsid w:val="00D336C4"/>
    <w:rsid w:val="00D374D9"/>
    <w:rsid w:val="00D42072"/>
    <w:rsid w:val="00D46DED"/>
    <w:rsid w:val="00D47F7E"/>
    <w:rsid w:val="00D55543"/>
    <w:rsid w:val="00D55546"/>
    <w:rsid w:val="00D6213C"/>
    <w:rsid w:val="00D647C0"/>
    <w:rsid w:val="00D741E7"/>
    <w:rsid w:val="00D77694"/>
    <w:rsid w:val="00D77B0F"/>
    <w:rsid w:val="00D912EC"/>
    <w:rsid w:val="00DB6B52"/>
    <w:rsid w:val="00DC4D92"/>
    <w:rsid w:val="00DE0781"/>
    <w:rsid w:val="00DE1C56"/>
    <w:rsid w:val="00DE5488"/>
    <w:rsid w:val="00DE75AC"/>
    <w:rsid w:val="00DF5A52"/>
    <w:rsid w:val="00E17C58"/>
    <w:rsid w:val="00E231C2"/>
    <w:rsid w:val="00E24542"/>
    <w:rsid w:val="00E27366"/>
    <w:rsid w:val="00E34BD1"/>
    <w:rsid w:val="00E429DA"/>
    <w:rsid w:val="00E55367"/>
    <w:rsid w:val="00E61953"/>
    <w:rsid w:val="00E62AF4"/>
    <w:rsid w:val="00E62C2A"/>
    <w:rsid w:val="00E646DF"/>
    <w:rsid w:val="00E8586E"/>
    <w:rsid w:val="00E86635"/>
    <w:rsid w:val="00E96A06"/>
    <w:rsid w:val="00EA0919"/>
    <w:rsid w:val="00EA11EF"/>
    <w:rsid w:val="00EB5240"/>
    <w:rsid w:val="00EC0B55"/>
    <w:rsid w:val="00ED154C"/>
    <w:rsid w:val="00ED1E35"/>
    <w:rsid w:val="00F034BF"/>
    <w:rsid w:val="00F05C93"/>
    <w:rsid w:val="00F1624A"/>
    <w:rsid w:val="00F233A3"/>
    <w:rsid w:val="00F266E7"/>
    <w:rsid w:val="00F26D30"/>
    <w:rsid w:val="00F348C2"/>
    <w:rsid w:val="00F35689"/>
    <w:rsid w:val="00F57152"/>
    <w:rsid w:val="00F7362C"/>
    <w:rsid w:val="00F756EA"/>
    <w:rsid w:val="00F857E3"/>
    <w:rsid w:val="00F86A59"/>
    <w:rsid w:val="00F92F61"/>
    <w:rsid w:val="00F97B74"/>
    <w:rsid w:val="00FA278C"/>
    <w:rsid w:val="00FA606D"/>
    <w:rsid w:val="00FB0513"/>
    <w:rsid w:val="00FB6F10"/>
    <w:rsid w:val="00FC4CF8"/>
    <w:rsid w:val="00FC5DA7"/>
    <w:rsid w:val="00FD0482"/>
    <w:rsid w:val="00FF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71267"/>
  <w15:docId w15:val="{9B140FE6-257D-48D2-A8C2-31077FD8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064"/>
    <w:pPr>
      <w:ind w:left="720"/>
      <w:contextualSpacing/>
    </w:pPr>
  </w:style>
  <w:style w:type="paragraph" w:customStyle="1" w:styleId="Default">
    <w:name w:val="Default"/>
    <w:rsid w:val="00A070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2D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B82D7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82D7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B82D7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92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F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F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F6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E7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9138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1388E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91388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1388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1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F49B4-B62F-4241-A7D6-1F0B0F206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abramoma</dc:creator>
  <cp:lastModifiedBy>Georgette Vlahos</cp:lastModifiedBy>
  <cp:revision>2</cp:revision>
  <cp:lastPrinted>2014-09-29T14:43:00Z</cp:lastPrinted>
  <dcterms:created xsi:type="dcterms:W3CDTF">2020-09-18T16:33:00Z</dcterms:created>
  <dcterms:modified xsi:type="dcterms:W3CDTF">2020-09-18T16:33:00Z</dcterms:modified>
</cp:coreProperties>
</file>