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F29DB" w14:textId="6395993D" w:rsidR="00781EF4" w:rsidRDefault="00781EF4" w:rsidP="00AF5EB8">
      <w:pPr>
        <w:ind w:left="360" w:hanging="360"/>
      </w:pPr>
    </w:p>
    <w:p w14:paraId="7D249B76" w14:textId="45214174" w:rsidR="00781EF4" w:rsidRPr="00781EF4" w:rsidRDefault="00781EF4" w:rsidP="00781EF4">
      <w:pPr>
        <w:ind w:left="360" w:hanging="360"/>
        <w:jc w:val="center"/>
        <w:rPr>
          <w:rFonts w:ascii="Arial" w:hAnsi="Arial" w:cs="Arial"/>
          <w:b/>
          <w:bCs/>
          <w:sz w:val="24"/>
          <w:szCs w:val="24"/>
          <w:u w:val="single"/>
        </w:rPr>
      </w:pPr>
      <w:r w:rsidRPr="00781EF4">
        <w:rPr>
          <w:rFonts w:ascii="Arial" w:hAnsi="Arial" w:cs="Arial"/>
          <w:b/>
          <w:bCs/>
          <w:sz w:val="24"/>
          <w:szCs w:val="24"/>
          <w:u w:val="single"/>
        </w:rPr>
        <w:t>OEB Staff Questions</w:t>
      </w:r>
    </w:p>
    <w:p w14:paraId="7227B597" w14:textId="77777777" w:rsidR="00781EF4" w:rsidRDefault="00781EF4" w:rsidP="00AF5EB8">
      <w:pPr>
        <w:ind w:left="360" w:hanging="360"/>
      </w:pPr>
    </w:p>
    <w:p w14:paraId="3269741C" w14:textId="29C6C914" w:rsidR="00AF5EB8" w:rsidRPr="009F4DBC" w:rsidRDefault="00AF5EB8" w:rsidP="00AF5EB8">
      <w:pPr>
        <w:pStyle w:val="ListParagraph"/>
        <w:numPr>
          <w:ilvl w:val="0"/>
          <w:numId w:val="1"/>
        </w:numPr>
        <w:rPr>
          <w:rFonts w:ascii="Arial" w:hAnsi="Arial" w:cs="Arial"/>
          <w:b/>
          <w:bCs/>
          <w:sz w:val="24"/>
          <w:szCs w:val="24"/>
        </w:rPr>
      </w:pPr>
      <w:r>
        <w:rPr>
          <w:rFonts w:ascii="Arial" w:hAnsi="Arial" w:cs="Arial"/>
          <w:b/>
          <w:bCs/>
          <w:sz w:val="24"/>
          <w:szCs w:val="24"/>
        </w:rPr>
        <w:t>Ref:</w:t>
      </w:r>
      <w:r>
        <w:rPr>
          <w:rFonts w:ascii="Arial" w:hAnsi="Arial" w:cs="Arial"/>
          <w:b/>
          <w:bCs/>
          <w:sz w:val="24"/>
          <w:szCs w:val="24"/>
          <w:rPrChange w:id="0" w:author="Judy But" w:date="2020-09-11T10:55:00Z">
            <w:rPr>
              <w:rFonts w:ascii="Arial" w:hAnsi="Arial" w:cs="Arial"/>
              <w:sz w:val="24"/>
              <w:szCs w:val="24"/>
            </w:rPr>
          </w:rPrChange>
        </w:rPr>
        <w:tab/>
      </w:r>
      <w:r w:rsidR="00D27702" w:rsidRPr="009F4DBC">
        <w:rPr>
          <w:rFonts w:ascii="Arial" w:hAnsi="Arial" w:cs="Arial"/>
          <w:b/>
          <w:bCs/>
          <w:sz w:val="24"/>
          <w:szCs w:val="24"/>
        </w:rPr>
        <w:t>Exhibit 1/Tab4/</w:t>
      </w:r>
      <w:r w:rsidRPr="009F4DBC">
        <w:rPr>
          <w:rFonts w:ascii="Arial" w:hAnsi="Arial" w:cs="Arial"/>
          <w:b/>
          <w:bCs/>
          <w:sz w:val="24"/>
          <w:szCs w:val="24"/>
        </w:rPr>
        <w:t>Appendices D, E, F, G, H</w:t>
      </w:r>
    </w:p>
    <w:p w14:paraId="129820BB" w14:textId="5643BBF1" w:rsidR="00AF5EB8" w:rsidRDefault="00AF5EB8" w:rsidP="00AF5EB8">
      <w:pPr>
        <w:spacing w:line="276" w:lineRule="auto"/>
        <w:rPr>
          <w:rFonts w:ascii="Arial" w:hAnsi="Arial" w:cs="Arial"/>
          <w:sz w:val="24"/>
          <w:szCs w:val="24"/>
        </w:rPr>
      </w:pPr>
      <w:r>
        <w:rPr>
          <w:rFonts w:ascii="Arial" w:hAnsi="Arial" w:cs="Arial"/>
          <w:sz w:val="24"/>
          <w:szCs w:val="24"/>
        </w:rPr>
        <w:t xml:space="preserve">Toronto Hydro included five </w:t>
      </w:r>
      <w:r w:rsidR="00D27702">
        <w:rPr>
          <w:rFonts w:ascii="Arial" w:hAnsi="Arial" w:cs="Arial"/>
          <w:sz w:val="24"/>
          <w:szCs w:val="24"/>
        </w:rPr>
        <w:t>Measurement &amp; Verification (</w:t>
      </w:r>
      <w:r>
        <w:rPr>
          <w:rFonts w:ascii="Arial" w:hAnsi="Arial" w:cs="Arial"/>
          <w:sz w:val="24"/>
          <w:szCs w:val="24"/>
        </w:rPr>
        <w:t>M&amp;V</w:t>
      </w:r>
      <w:r w:rsidR="00D27702">
        <w:rPr>
          <w:rFonts w:ascii="Arial" w:hAnsi="Arial" w:cs="Arial"/>
          <w:sz w:val="24"/>
          <w:szCs w:val="24"/>
        </w:rPr>
        <w:t>)</w:t>
      </w:r>
      <w:r>
        <w:rPr>
          <w:rFonts w:ascii="Arial" w:hAnsi="Arial" w:cs="Arial"/>
          <w:sz w:val="24"/>
          <w:szCs w:val="24"/>
        </w:rPr>
        <w:t xml:space="preserve"> reports prepared by </w:t>
      </w:r>
      <w:proofErr w:type="spellStart"/>
      <w:r>
        <w:rPr>
          <w:rFonts w:ascii="Arial" w:hAnsi="Arial" w:cs="Arial"/>
          <w:sz w:val="24"/>
          <w:szCs w:val="24"/>
        </w:rPr>
        <w:t>ClearResult</w:t>
      </w:r>
      <w:proofErr w:type="spellEnd"/>
      <w:r>
        <w:rPr>
          <w:rFonts w:ascii="Arial" w:hAnsi="Arial" w:cs="Arial"/>
          <w:sz w:val="24"/>
          <w:szCs w:val="24"/>
        </w:rPr>
        <w:t xml:space="preserve"> </w:t>
      </w:r>
      <w:r w:rsidR="00A31C3E">
        <w:rPr>
          <w:rFonts w:ascii="Arial" w:hAnsi="Arial" w:cs="Arial"/>
          <w:sz w:val="24"/>
          <w:szCs w:val="24"/>
        </w:rPr>
        <w:t>Canada Inc. (</w:t>
      </w:r>
      <w:proofErr w:type="spellStart"/>
      <w:r w:rsidR="00A31C3E">
        <w:rPr>
          <w:rFonts w:ascii="Arial" w:hAnsi="Arial" w:cs="Arial"/>
          <w:sz w:val="24"/>
          <w:szCs w:val="24"/>
        </w:rPr>
        <w:t>ClearResult</w:t>
      </w:r>
      <w:proofErr w:type="spellEnd"/>
      <w:r w:rsidR="00A31C3E">
        <w:rPr>
          <w:rFonts w:ascii="Arial" w:hAnsi="Arial" w:cs="Arial"/>
          <w:sz w:val="24"/>
          <w:szCs w:val="24"/>
        </w:rPr>
        <w:t xml:space="preserve">) </w:t>
      </w:r>
      <w:r>
        <w:rPr>
          <w:rFonts w:ascii="Arial" w:hAnsi="Arial" w:cs="Arial"/>
          <w:sz w:val="24"/>
          <w:szCs w:val="24"/>
        </w:rPr>
        <w:t xml:space="preserve">to claim additional project savings that were not included in the IESO’s Participation &amp; Cost (P&amp;C) report. </w:t>
      </w:r>
    </w:p>
    <w:p w14:paraId="712C4F24" w14:textId="77777777" w:rsidR="00AF5EB8" w:rsidRDefault="00AF5EB8" w:rsidP="00AF5EB8">
      <w:pPr>
        <w:pStyle w:val="NoSpacing"/>
        <w:rPr>
          <w:rFonts w:ascii="Arial" w:hAnsi="Arial" w:cs="Arial"/>
          <w:b/>
          <w:bCs/>
          <w:sz w:val="24"/>
          <w:szCs w:val="24"/>
        </w:rPr>
      </w:pPr>
      <w:r>
        <w:rPr>
          <w:rFonts w:ascii="Arial" w:hAnsi="Arial" w:cs="Arial"/>
          <w:b/>
          <w:bCs/>
          <w:sz w:val="24"/>
          <w:szCs w:val="24"/>
        </w:rPr>
        <w:t>Questions:</w:t>
      </w:r>
    </w:p>
    <w:p w14:paraId="4BE51489" w14:textId="77777777" w:rsidR="00AF5EB8" w:rsidRDefault="00AF5EB8" w:rsidP="00AF5EB8">
      <w:pPr>
        <w:pStyle w:val="NoSpacing"/>
        <w:rPr>
          <w:rFonts w:ascii="Arial" w:hAnsi="Arial" w:cs="Arial"/>
          <w:sz w:val="24"/>
          <w:szCs w:val="24"/>
        </w:rPr>
      </w:pPr>
    </w:p>
    <w:p w14:paraId="5545A648" w14:textId="3CB5BDE1" w:rsidR="000817A7" w:rsidRDefault="00AF5EB8" w:rsidP="000817A7">
      <w:pPr>
        <w:pStyle w:val="ListParagraph"/>
        <w:numPr>
          <w:ilvl w:val="0"/>
          <w:numId w:val="2"/>
        </w:numPr>
        <w:rPr>
          <w:rFonts w:ascii="Arial" w:hAnsi="Arial" w:cs="Arial"/>
          <w:sz w:val="24"/>
          <w:szCs w:val="24"/>
        </w:rPr>
      </w:pPr>
      <w:r>
        <w:rPr>
          <w:rFonts w:ascii="Arial" w:hAnsi="Arial" w:cs="Arial"/>
          <w:sz w:val="24"/>
          <w:szCs w:val="24"/>
        </w:rPr>
        <w:t>For each project</w:t>
      </w:r>
      <w:r w:rsidR="00A31C3E">
        <w:rPr>
          <w:rFonts w:ascii="Arial" w:hAnsi="Arial" w:cs="Arial"/>
          <w:sz w:val="24"/>
          <w:szCs w:val="24"/>
        </w:rPr>
        <w:t xml:space="preserve"> documented in each of the </w:t>
      </w:r>
      <w:proofErr w:type="spellStart"/>
      <w:r w:rsidR="00A31C3E">
        <w:rPr>
          <w:rFonts w:ascii="Arial" w:hAnsi="Arial" w:cs="Arial"/>
          <w:sz w:val="24"/>
          <w:szCs w:val="24"/>
        </w:rPr>
        <w:t>ClearResult’s</w:t>
      </w:r>
      <w:proofErr w:type="spellEnd"/>
      <w:r w:rsidR="00A31C3E">
        <w:rPr>
          <w:rFonts w:ascii="Arial" w:hAnsi="Arial" w:cs="Arial"/>
          <w:sz w:val="24"/>
          <w:szCs w:val="24"/>
        </w:rPr>
        <w:t xml:space="preserve"> Reports</w:t>
      </w:r>
      <w:r>
        <w:rPr>
          <w:rFonts w:ascii="Arial" w:hAnsi="Arial" w:cs="Arial"/>
          <w:sz w:val="24"/>
          <w:szCs w:val="24"/>
        </w:rPr>
        <w:t>, please discuss why the project savings did not appear on the IESO’s P&amp;C report, and why the demand savings should be considered eligible for lost revenue recovery.</w:t>
      </w:r>
    </w:p>
    <w:p w14:paraId="0B9BF6BF" w14:textId="5174DF44" w:rsidR="00AF5EB8" w:rsidRDefault="00AF5EB8" w:rsidP="00AF5EB8">
      <w:pPr>
        <w:pStyle w:val="ListParagraph"/>
        <w:numPr>
          <w:ilvl w:val="0"/>
          <w:numId w:val="2"/>
        </w:numPr>
        <w:rPr>
          <w:rFonts w:ascii="Arial" w:hAnsi="Arial" w:cs="Arial"/>
          <w:sz w:val="24"/>
          <w:szCs w:val="24"/>
        </w:rPr>
      </w:pPr>
      <w:r>
        <w:rPr>
          <w:rFonts w:ascii="Arial" w:hAnsi="Arial" w:cs="Arial"/>
          <w:sz w:val="24"/>
          <w:szCs w:val="24"/>
        </w:rPr>
        <w:t xml:space="preserve">Please provide a breakdown of the monthly demand savings claimed by project per the M&amp;V reports, and confirm </w:t>
      </w:r>
      <w:r w:rsidR="00B06D86">
        <w:rPr>
          <w:rFonts w:ascii="Arial" w:hAnsi="Arial" w:cs="Arial"/>
          <w:sz w:val="24"/>
          <w:szCs w:val="24"/>
        </w:rPr>
        <w:t xml:space="preserve">the </w:t>
      </w:r>
      <w:r>
        <w:rPr>
          <w:rFonts w:ascii="Arial" w:hAnsi="Arial" w:cs="Arial"/>
          <w:sz w:val="24"/>
          <w:szCs w:val="24"/>
        </w:rPr>
        <w:t>monthly multiplier applied for each project to estimate annual demand savings. Please indicate which IESO program(s) these demand savings were classified under in Tables 5-d and 5-e</w:t>
      </w:r>
      <w:r w:rsidR="00A31C3E">
        <w:rPr>
          <w:rFonts w:ascii="Arial" w:hAnsi="Arial" w:cs="Arial"/>
          <w:sz w:val="24"/>
          <w:szCs w:val="24"/>
        </w:rPr>
        <w:t xml:space="preserve"> of the LRAMVA Work</w:t>
      </w:r>
      <w:r w:rsidR="003E20AE">
        <w:rPr>
          <w:rFonts w:ascii="Arial" w:hAnsi="Arial" w:cs="Arial"/>
          <w:sz w:val="24"/>
          <w:szCs w:val="24"/>
        </w:rPr>
        <w:t xml:space="preserve"> F</w:t>
      </w:r>
      <w:r w:rsidR="00A31C3E">
        <w:rPr>
          <w:rFonts w:ascii="Arial" w:hAnsi="Arial" w:cs="Arial"/>
          <w:sz w:val="24"/>
          <w:szCs w:val="24"/>
        </w:rPr>
        <w:t>orm</w:t>
      </w:r>
      <w:r>
        <w:rPr>
          <w:rFonts w:ascii="Arial" w:hAnsi="Arial" w:cs="Arial"/>
          <w:sz w:val="24"/>
          <w:szCs w:val="24"/>
        </w:rPr>
        <w:t>, and include cell references.</w:t>
      </w:r>
    </w:p>
    <w:p w14:paraId="7955B4C1" w14:textId="5E83E8C9" w:rsidR="00AF5EB8" w:rsidRDefault="00AF5EB8" w:rsidP="00AF5EB8">
      <w:pPr>
        <w:pStyle w:val="ListParagraph"/>
        <w:numPr>
          <w:ilvl w:val="0"/>
          <w:numId w:val="2"/>
        </w:numPr>
        <w:rPr>
          <w:rFonts w:ascii="Arial" w:hAnsi="Arial" w:cs="Arial"/>
          <w:sz w:val="24"/>
          <w:szCs w:val="24"/>
        </w:rPr>
      </w:pPr>
      <w:r>
        <w:rPr>
          <w:rFonts w:ascii="Arial" w:hAnsi="Arial" w:cs="Arial"/>
          <w:sz w:val="24"/>
          <w:szCs w:val="24"/>
        </w:rPr>
        <w:t xml:space="preserve">If the monthly demand savings from each of the five projects claimed in the LRAMVA </w:t>
      </w:r>
      <w:r w:rsidR="003E20AE">
        <w:rPr>
          <w:rFonts w:ascii="Arial" w:hAnsi="Arial" w:cs="Arial"/>
          <w:sz w:val="24"/>
          <w:szCs w:val="24"/>
        </w:rPr>
        <w:t>W</w:t>
      </w:r>
      <w:r>
        <w:rPr>
          <w:rFonts w:ascii="Arial" w:hAnsi="Arial" w:cs="Arial"/>
          <w:sz w:val="24"/>
          <w:szCs w:val="24"/>
        </w:rPr>
        <w:t>ork</w:t>
      </w:r>
      <w:r w:rsidR="003E20AE">
        <w:rPr>
          <w:rFonts w:ascii="Arial" w:hAnsi="Arial" w:cs="Arial"/>
          <w:sz w:val="24"/>
          <w:szCs w:val="24"/>
        </w:rPr>
        <w:t xml:space="preserve"> F</w:t>
      </w:r>
      <w:r>
        <w:rPr>
          <w:rFonts w:ascii="Arial" w:hAnsi="Arial" w:cs="Arial"/>
          <w:sz w:val="24"/>
          <w:szCs w:val="24"/>
        </w:rPr>
        <w:t>orm are not those shown in the M&amp;V reports, please confirm whether any additional calculations were performed to arrive at the project savings. If yes, please provide supporting documentation in</w:t>
      </w:r>
      <w:r w:rsidR="003E20AE">
        <w:rPr>
          <w:rFonts w:ascii="Arial" w:hAnsi="Arial" w:cs="Arial"/>
          <w:sz w:val="24"/>
          <w:szCs w:val="24"/>
        </w:rPr>
        <w:t xml:space="preserve"> working Microsoft</w:t>
      </w:r>
      <w:r>
        <w:rPr>
          <w:rFonts w:ascii="Arial" w:hAnsi="Arial" w:cs="Arial"/>
          <w:sz w:val="24"/>
          <w:szCs w:val="24"/>
        </w:rPr>
        <w:t xml:space="preserve"> Excel format to show the savings</w:t>
      </w:r>
      <w:r w:rsidR="003E20AE">
        <w:rPr>
          <w:rFonts w:ascii="Arial" w:hAnsi="Arial" w:cs="Arial"/>
          <w:sz w:val="24"/>
          <w:szCs w:val="24"/>
        </w:rPr>
        <w:t xml:space="preserve"> calculated</w:t>
      </w:r>
      <w:r>
        <w:rPr>
          <w:rFonts w:ascii="Arial" w:hAnsi="Arial" w:cs="Arial"/>
          <w:sz w:val="24"/>
          <w:szCs w:val="24"/>
        </w:rPr>
        <w:t xml:space="preserve"> from pre- and post- installation, and the methodology used to estimate peak savings. Please ensure that all confidential information is removed or treated in accordance with </w:t>
      </w:r>
      <w:r w:rsidRPr="00E5769B">
        <w:rPr>
          <w:rFonts w:ascii="Arial" w:hAnsi="Arial" w:cs="Arial"/>
          <w:sz w:val="24"/>
          <w:szCs w:val="24"/>
        </w:rPr>
        <w:t xml:space="preserve">Rule 9A of the OEB’s </w:t>
      </w:r>
      <w:r w:rsidRPr="00B640F6">
        <w:rPr>
          <w:rFonts w:ascii="Arial" w:hAnsi="Arial" w:cs="Arial"/>
          <w:i/>
          <w:iCs/>
          <w:sz w:val="24"/>
          <w:szCs w:val="24"/>
        </w:rPr>
        <w:t>Rules of Practice and Procedure</w:t>
      </w:r>
      <w:r>
        <w:rPr>
          <w:rFonts w:ascii="Arial" w:hAnsi="Arial" w:cs="Arial"/>
          <w:sz w:val="24"/>
          <w:szCs w:val="24"/>
        </w:rPr>
        <w:t>.</w:t>
      </w:r>
    </w:p>
    <w:p w14:paraId="09E015DC" w14:textId="77777777" w:rsidR="00AF5EB8" w:rsidRDefault="00AF5EB8" w:rsidP="00AF5EB8">
      <w:pPr>
        <w:pStyle w:val="ListParagraph"/>
        <w:numPr>
          <w:ilvl w:val="0"/>
          <w:numId w:val="2"/>
        </w:numPr>
        <w:rPr>
          <w:rFonts w:ascii="Arial" w:hAnsi="Arial" w:cs="Arial"/>
          <w:sz w:val="24"/>
          <w:szCs w:val="24"/>
        </w:rPr>
      </w:pPr>
      <w:r>
        <w:rPr>
          <w:rFonts w:ascii="Arial" w:hAnsi="Arial" w:cs="Arial"/>
          <w:sz w:val="24"/>
          <w:szCs w:val="24"/>
        </w:rPr>
        <w:t xml:space="preserve">For each project, please confirm the percentage allocation of the demand savings to each of the rate classes and how that rate class allocation percentage was calculated. </w:t>
      </w:r>
    </w:p>
    <w:p w14:paraId="1C8A5021" w14:textId="77777777" w:rsidR="004066F3" w:rsidRDefault="004066F3" w:rsidP="004066F3">
      <w:pPr>
        <w:pStyle w:val="ListParagraph"/>
        <w:rPr>
          <w:rFonts w:ascii="Arial" w:hAnsi="Arial" w:cs="Arial"/>
          <w:sz w:val="24"/>
          <w:szCs w:val="24"/>
        </w:rPr>
      </w:pPr>
    </w:p>
    <w:p w14:paraId="31317478" w14:textId="27440C03" w:rsidR="00AF5EB8" w:rsidRPr="009F4DBC" w:rsidRDefault="00AF5EB8" w:rsidP="00C31724">
      <w:pPr>
        <w:pStyle w:val="ListParagraph"/>
        <w:numPr>
          <w:ilvl w:val="0"/>
          <w:numId w:val="1"/>
        </w:numPr>
        <w:spacing w:line="276" w:lineRule="auto"/>
        <w:rPr>
          <w:rFonts w:ascii="Arial" w:hAnsi="Arial" w:cs="Arial"/>
          <w:sz w:val="24"/>
          <w:szCs w:val="24"/>
        </w:rPr>
      </w:pPr>
      <w:r w:rsidRPr="009F4DBC">
        <w:rPr>
          <w:rFonts w:ascii="Arial" w:hAnsi="Arial" w:cs="Arial"/>
          <w:b/>
          <w:bCs/>
          <w:sz w:val="24"/>
          <w:szCs w:val="24"/>
        </w:rPr>
        <w:t>Ref:</w:t>
      </w:r>
      <w:r w:rsidRPr="009F4DBC">
        <w:rPr>
          <w:rFonts w:ascii="Arial" w:hAnsi="Arial" w:cs="Arial"/>
          <w:b/>
          <w:bCs/>
          <w:sz w:val="24"/>
          <w:szCs w:val="24"/>
        </w:rPr>
        <w:tab/>
        <w:t xml:space="preserve">LRAMVA </w:t>
      </w:r>
      <w:proofErr w:type="spellStart"/>
      <w:r w:rsidRPr="009F4DBC">
        <w:rPr>
          <w:rFonts w:ascii="Arial" w:hAnsi="Arial" w:cs="Arial"/>
          <w:b/>
          <w:bCs/>
          <w:sz w:val="24"/>
          <w:szCs w:val="24"/>
        </w:rPr>
        <w:t>workform</w:t>
      </w:r>
      <w:proofErr w:type="spellEnd"/>
      <w:r w:rsidRPr="009F4DBC">
        <w:rPr>
          <w:rFonts w:ascii="Arial" w:hAnsi="Arial" w:cs="Arial"/>
          <w:b/>
          <w:bCs/>
          <w:sz w:val="24"/>
          <w:szCs w:val="24"/>
        </w:rPr>
        <w:t xml:space="preserve">, Tab 5 (Table 5-d and 5-e) </w:t>
      </w:r>
      <w:r w:rsidR="009F4DBC" w:rsidRPr="009F4DBC">
        <w:rPr>
          <w:rFonts w:ascii="Arial" w:hAnsi="Arial" w:cs="Arial"/>
          <w:b/>
          <w:bCs/>
          <w:sz w:val="24"/>
          <w:szCs w:val="24"/>
        </w:rPr>
        <w:t>and</w:t>
      </w:r>
      <w:r w:rsidRPr="009F4DBC">
        <w:rPr>
          <w:rFonts w:ascii="Arial" w:hAnsi="Arial" w:cs="Arial"/>
          <w:b/>
          <w:bCs/>
          <w:sz w:val="24"/>
          <w:szCs w:val="24"/>
        </w:rPr>
        <w:t xml:space="preserve"> Tab 7</w:t>
      </w:r>
      <w:r w:rsidR="009F4DBC" w:rsidRPr="009F4DBC">
        <w:rPr>
          <w:rFonts w:ascii="Arial" w:hAnsi="Arial" w:cs="Arial"/>
          <w:b/>
          <w:bCs/>
          <w:sz w:val="24"/>
          <w:szCs w:val="24"/>
        </w:rPr>
        <w:br/>
      </w:r>
      <w:r w:rsidRPr="009F4DBC">
        <w:rPr>
          <w:rFonts w:ascii="Arial" w:hAnsi="Arial" w:cs="Arial"/>
          <w:b/>
          <w:bCs/>
          <w:sz w:val="24"/>
          <w:szCs w:val="24"/>
        </w:rPr>
        <w:tab/>
      </w:r>
      <w:r w:rsidRPr="009F4DBC">
        <w:rPr>
          <w:rFonts w:ascii="Arial" w:hAnsi="Arial" w:cs="Arial"/>
          <w:b/>
          <w:bCs/>
          <w:sz w:val="24"/>
          <w:szCs w:val="24"/>
        </w:rPr>
        <w:tab/>
        <w:t>Project Level Savings Report</w:t>
      </w:r>
    </w:p>
    <w:p w14:paraId="514DF23D" w14:textId="37C7E1DA" w:rsidR="00AF5EB8" w:rsidRDefault="00AF5EB8" w:rsidP="00AF5EB8">
      <w:pPr>
        <w:spacing w:line="276" w:lineRule="auto"/>
        <w:rPr>
          <w:rFonts w:ascii="Arial" w:hAnsi="Arial" w:cs="Arial"/>
          <w:sz w:val="24"/>
          <w:szCs w:val="24"/>
        </w:rPr>
      </w:pPr>
      <w:r>
        <w:rPr>
          <w:rFonts w:ascii="Arial" w:hAnsi="Arial" w:cs="Arial"/>
          <w:sz w:val="24"/>
          <w:szCs w:val="24"/>
        </w:rPr>
        <w:t xml:space="preserve">The program savings claimed on the LRAMVA </w:t>
      </w:r>
      <w:proofErr w:type="spellStart"/>
      <w:r>
        <w:rPr>
          <w:rFonts w:ascii="Arial" w:hAnsi="Arial" w:cs="Arial"/>
          <w:sz w:val="24"/>
          <w:szCs w:val="24"/>
        </w:rPr>
        <w:t>Workform</w:t>
      </w:r>
      <w:proofErr w:type="spellEnd"/>
      <w:r>
        <w:rPr>
          <w:rFonts w:ascii="Arial" w:hAnsi="Arial" w:cs="Arial"/>
          <w:sz w:val="24"/>
          <w:szCs w:val="24"/>
        </w:rPr>
        <w:t xml:space="preserve"> for the 2018 and 2019 Retrofit program appear to exceed the values reported in the submitted project level savings reports.</w:t>
      </w:r>
      <w:r w:rsidR="00E30562">
        <w:rPr>
          <w:rFonts w:ascii="Arial" w:hAnsi="Arial" w:cs="Arial"/>
          <w:sz w:val="24"/>
          <w:szCs w:val="24"/>
        </w:rPr>
        <w:t xml:space="preserve"> For example, the 2018 and 2019 Retrofit program reported energy savings of 191,551,410 kWh and 63,390,764 kWh. However, neither of these values align with those reported in the submitted project level savings reports.</w:t>
      </w:r>
    </w:p>
    <w:p w14:paraId="3652F56A" w14:textId="77777777" w:rsidR="00AF5EB8" w:rsidRDefault="00AF5EB8" w:rsidP="00AF5EB8">
      <w:pPr>
        <w:rPr>
          <w:rFonts w:ascii="Arial" w:hAnsi="Arial" w:cs="Arial"/>
          <w:b/>
          <w:bCs/>
          <w:sz w:val="24"/>
          <w:szCs w:val="24"/>
        </w:rPr>
      </w:pPr>
      <w:r>
        <w:rPr>
          <w:rFonts w:ascii="Arial" w:hAnsi="Arial" w:cs="Arial"/>
          <w:b/>
          <w:bCs/>
          <w:sz w:val="24"/>
          <w:szCs w:val="24"/>
        </w:rPr>
        <w:lastRenderedPageBreak/>
        <w:t>Questions:</w:t>
      </w:r>
    </w:p>
    <w:p w14:paraId="279DA286" w14:textId="77777777" w:rsidR="00AF5EB8" w:rsidRDefault="00AF5EB8" w:rsidP="00AF5EB8">
      <w:pPr>
        <w:pStyle w:val="ListParagraph"/>
        <w:numPr>
          <w:ilvl w:val="0"/>
          <w:numId w:val="3"/>
        </w:numPr>
        <w:rPr>
          <w:rFonts w:ascii="Arial" w:hAnsi="Arial" w:cs="Arial"/>
          <w:sz w:val="24"/>
          <w:szCs w:val="24"/>
        </w:rPr>
      </w:pPr>
      <w:r>
        <w:rPr>
          <w:rFonts w:ascii="Arial" w:hAnsi="Arial" w:cs="Arial"/>
          <w:sz w:val="24"/>
          <w:szCs w:val="24"/>
        </w:rPr>
        <w:t xml:space="preserve">For the 2018 retrofit program, it appears that 191,551,410 kWh of savings were estimated based on three retrofit projects.  </w:t>
      </w:r>
    </w:p>
    <w:p w14:paraId="6570BF4D" w14:textId="77777777" w:rsidR="00AF5EB8" w:rsidRDefault="00AF5EB8" w:rsidP="00AF5EB8">
      <w:pPr>
        <w:pStyle w:val="ListParagraph"/>
        <w:numPr>
          <w:ilvl w:val="1"/>
          <w:numId w:val="3"/>
        </w:numPr>
        <w:rPr>
          <w:rFonts w:ascii="Arial" w:hAnsi="Arial" w:cs="Arial"/>
          <w:sz w:val="24"/>
          <w:szCs w:val="24"/>
        </w:rPr>
      </w:pPr>
      <w:r>
        <w:rPr>
          <w:rFonts w:ascii="Arial" w:hAnsi="Arial" w:cs="Arial"/>
          <w:sz w:val="24"/>
          <w:szCs w:val="24"/>
        </w:rPr>
        <w:t xml:space="preserve">For each retrofit project, please explain whether these savings were reviewed by the IESO or submitted for IESO incentive payment approval. Please explain eligibility of the incremental savings for lost revenue recovery. </w:t>
      </w:r>
    </w:p>
    <w:p w14:paraId="3167D7E6" w14:textId="7FF367E1" w:rsidR="00AF5EB8" w:rsidRDefault="00AF5EB8" w:rsidP="00AF5EB8">
      <w:pPr>
        <w:pStyle w:val="ListParagraph"/>
        <w:numPr>
          <w:ilvl w:val="1"/>
          <w:numId w:val="3"/>
        </w:numPr>
        <w:rPr>
          <w:rFonts w:ascii="Arial" w:hAnsi="Arial" w:cs="Arial"/>
          <w:sz w:val="24"/>
          <w:szCs w:val="24"/>
        </w:rPr>
      </w:pPr>
      <w:r>
        <w:rPr>
          <w:rFonts w:ascii="Arial" w:hAnsi="Arial" w:cs="Arial"/>
          <w:sz w:val="24"/>
          <w:szCs w:val="24"/>
        </w:rPr>
        <w:t>Please indicate the reference source documents to support the savings underpinning the LRAMVA balances. If the source document was not filed with the application, please submit it along with the response</w:t>
      </w:r>
      <w:r w:rsidR="00245956">
        <w:rPr>
          <w:rFonts w:ascii="Arial" w:hAnsi="Arial" w:cs="Arial"/>
          <w:sz w:val="24"/>
          <w:szCs w:val="24"/>
        </w:rPr>
        <w:t xml:space="preserve"> or, if it was filed in a previous application, please provide a full reference to the case number and the document reference (e.g., Application/Exhibit/Tab/Schedule/Appendix, Interrogatory Response, etc.)</w:t>
      </w:r>
      <w:r>
        <w:rPr>
          <w:rFonts w:ascii="Arial" w:hAnsi="Arial" w:cs="Arial"/>
          <w:sz w:val="24"/>
          <w:szCs w:val="24"/>
        </w:rPr>
        <w:t>.</w:t>
      </w:r>
    </w:p>
    <w:p w14:paraId="77D24DBF" w14:textId="77777777" w:rsidR="00AF5EB8" w:rsidRDefault="00AF5EB8" w:rsidP="00AF5EB8">
      <w:pPr>
        <w:pStyle w:val="ListParagraph"/>
        <w:numPr>
          <w:ilvl w:val="0"/>
          <w:numId w:val="3"/>
        </w:numPr>
        <w:rPr>
          <w:rFonts w:ascii="Arial" w:hAnsi="Arial" w:cs="Arial"/>
          <w:sz w:val="24"/>
          <w:szCs w:val="24"/>
        </w:rPr>
      </w:pPr>
      <w:r>
        <w:rPr>
          <w:rFonts w:ascii="Arial" w:hAnsi="Arial" w:cs="Arial"/>
          <w:sz w:val="24"/>
          <w:szCs w:val="24"/>
        </w:rPr>
        <w:t xml:space="preserve">For the 2019 retrofit program, please indicate what additional project savings are included in the LRAMVA </w:t>
      </w:r>
      <w:proofErr w:type="spellStart"/>
      <w:r>
        <w:rPr>
          <w:rFonts w:ascii="Arial" w:hAnsi="Arial" w:cs="Arial"/>
          <w:sz w:val="24"/>
          <w:szCs w:val="24"/>
        </w:rPr>
        <w:t>Workform</w:t>
      </w:r>
      <w:proofErr w:type="spellEnd"/>
      <w:r>
        <w:rPr>
          <w:rFonts w:ascii="Arial" w:hAnsi="Arial" w:cs="Arial"/>
          <w:sz w:val="24"/>
          <w:szCs w:val="24"/>
        </w:rPr>
        <w:t>. In the response, please explain why these additional savings are eligible for lost revenue recovery.</w:t>
      </w:r>
    </w:p>
    <w:p w14:paraId="59FD8542" w14:textId="03342A9A" w:rsidR="00AF5EB8" w:rsidRDefault="00AF5EB8" w:rsidP="00AF5EB8">
      <w:pPr>
        <w:pStyle w:val="ListParagraph"/>
        <w:numPr>
          <w:ilvl w:val="0"/>
          <w:numId w:val="3"/>
        </w:numPr>
        <w:rPr>
          <w:rFonts w:ascii="Arial" w:hAnsi="Arial" w:cs="Arial"/>
          <w:sz w:val="24"/>
          <w:szCs w:val="24"/>
        </w:rPr>
      </w:pPr>
      <w:r>
        <w:rPr>
          <w:rFonts w:ascii="Arial" w:hAnsi="Arial" w:cs="Arial"/>
          <w:sz w:val="24"/>
          <w:szCs w:val="24"/>
        </w:rPr>
        <w:t xml:space="preserve">Please explain how the persistence of 2018 savings is calculated in 2019 for both energy and demand savings for the retrofit program. In the response, please include key assumptions such as the persistence rate, and where persistence assumptions were derived. </w:t>
      </w:r>
    </w:p>
    <w:p w14:paraId="03530E98" w14:textId="77777777" w:rsidR="004066F3" w:rsidRPr="00D25A5E" w:rsidRDefault="004066F3" w:rsidP="004066F3">
      <w:pPr>
        <w:pStyle w:val="ListParagraph"/>
        <w:rPr>
          <w:rFonts w:ascii="Arial" w:hAnsi="Arial" w:cs="Arial"/>
          <w:sz w:val="24"/>
          <w:szCs w:val="24"/>
        </w:rPr>
      </w:pPr>
    </w:p>
    <w:p w14:paraId="421D891D" w14:textId="32D9F7C3" w:rsidR="00394987" w:rsidRPr="009F4DBC" w:rsidRDefault="00AF5EB8" w:rsidP="00530C32">
      <w:pPr>
        <w:pStyle w:val="ListParagraph"/>
        <w:numPr>
          <w:ilvl w:val="0"/>
          <w:numId w:val="1"/>
        </w:numPr>
        <w:spacing w:line="276" w:lineRule="auto"/>
        <w:rPr>
          <w:rFonts w:ascii="Arial" w:hAnsi="Arial" w:cs="Arial"/>
          <w:sz w:val="24"/>
          <w:szCs w:val="24"/>
        </w:rPr>
      </w:pPr>
      <w:r w:rsidRPr="009F4DBC">
        <w:rPr>
          <w:rFonts w:ascii="Arial" w:hAnsi="Arial" w:cs="Arial"/>
          <w:b/>
          <w:bCs/>
          <w:sz w:val="24"/>
          <w:szCs w:val="24"/>
        </w:rPr>
        <w:t>Ref:</w:t>
      </w:r>
      <w:r w:rsidRPr="009F4DBC">
        <w:rPr>
          <w:rFonts w:ascii="Arial" w:hAnsi="Arial" w:cs="Arial"/>
          <w:b/>
          <w:bCs/>
          <w:sz w:val="24"/>
          <w:szCs w:val="24"/>
        </w:rPr>
        <w:tab/>
        <w:t xml:space="preserve">LRAMVA </w:t>
      </w:r>
      <w:proofErr w:type="spellStart"/>
      <w:r w:rsidRPr="009F4DBC">
        <w:rPr>
          <w:rFonts w:ascii="Arial" w:hAnsi="Arial" w:cs="Arial"/>
          <w:b/>
          <w:bCs/>
          <w:sz w:val="24"/>
          <w:szCs w:val="24"/>
        </w:rPr>
        <w:t>Workform</w:t>
      </w:r>
      <w:proofErr w:type="spellEnd"/>
      <w:r w:rsidRPr="009F4DBC">
        <w:rPr>
          <w:rFonts w:ascii="Arial" w:hAnsi="Arial" w:cs="Arial"/>
          <w:b/>
          <w:bCs/>
          <w:sz w:val="24"/>
          <w:szCs w:val="24"/>
        </w:rPr>
        <w:t>, Tab 5 (Table 5-d and 5-e) &amp; Tab 7</w:t>
      </w:r>
      <w:r w:rsidR="009F4DBC" w:rsidRPr="009F4DBC">
        <w:rPr>
          <w:rFonts w:ascii="Arial" w:hAnsi="Arial" w:cs="Arial"/>
          <w:b/>
          <w:bCs/>
          <w:sz w:val="24"/>
          <w:szCs w:val="24"/>
        </w:rPr>
        <w:br/>
        <w:t xml:space="preserve"> </w:t>
      </w:r>
      <w:r w:rsidR="009F4DBC" w:rsidRPr="009F4DBC">
        <w:rPr>
          <w:rFonts w:ascii="Arial" w:hAnsi="Arial" w:cs="Arial"/>
          <w:b/>
          <w:bCs/>
          <w:sz w:val="24"/>
          <w:szCs w:val="24"/>
        </w:rPr>
        <w:tab/>
      </w:r>
      <w:r w:rsidR="009F4DBC" w:rsidRPr="009F4DBC">
        <w:rPr>
          <w:rFonts w:ascii="Arial" w:hAnsi="Arial" w:cs="Arial"/>
          <w:b/>
          <w:bCs/>
          <w:sz w:val="24"/>
          <w:szCs w:val="24"/>
        </w:rPr>
        <w:tab/>
      </w:r>
      <w:r w:rsidR="00394987" w:rsidRPr="009F4DBC">
        <w:rPr>
          <w:rFonts w:ascii="Arial" w:hAnsi="Arial" w:cs="Arial"/>
          <w:b/>
          <w:bCs/>
          <w:sz w:val="24"/>
          <w:szCs w:val="24"/>
        </w:rPr>
        <w:t>Non-Retrofit CFF Projects Report</w:t>
      </w:r>
    </w:p>
    <w:p w14:paraId="7C55E5F9" w14:textId="6E2C2E4C" w:rsidR="00AF5EB8" w:rsidRPr="00D25A5E" w:rsidRDefault="00AF5EB8" w:rsidP="00AF5EB8">
      <w:pPr>
        <w:spacing w:line="276" w:lineRule="auto"/>
        <w:rPr>
          <w:rFonts w:ascii="Arial" w:hAnsi="Arial" w:cs="Arial"/>
          <w:sz w:val="24"/>
          <w:szCs w:val="24"/>
        </w:rPr>
      </w:pPr>
      <w:r w:rsidRPr="00D25A5E">
        <w:rPr>
          <w:rFonts w:ascii="Arial" w:hAnsi="Arial" w:cs="Arial"/>
          <w:sz w:val="24"/>
          <w:szCs w:val="24"/>
        </w:rPr>
        <w:t>Toronto Hydro has included non-</w:t>
      </w:r>
      <w:r w:rsidR="00394987" w:rsidRPr="00D25A5E">
        <w:rPr>
          <w:rFonts w:ascii="Arial" w:hAnsi="Arial" w:cs="Arial"/>
          <w:sz w:val="24"/>
          <w:szCs w:val="24"/>
        </w:rPr>
        <w:t xml:space="preserve">Retrofit </w:t>
      </w:r>
      <w:r w:rsidRPr="00D25A5E">
        <w:rPr>
          <w:rFonts w:ascii="Arial" w:hAnsi="Arial" w:cs="Arial"/>
          <w:sz w:val="24"/>
          <w:szCs w:val="24"/>
        </w:rPr>
        <w:t>CFF Projects as part of its LRAMVA calculations. Based on the spreadsheet provided, there are non-</w:t>
      </w:r>
      <w:r w:rsidR="00394987" w:rsidRPr="00D25A5E">
        <w:rPr>
          <w:rFonts w:ascii="Arial" w:hAnsi="Arial" w:cs="Arial"/>
          <w:sz w:val="24"/>
          <w:szCs w:val="24"/>
        </w:rPr>
        <w:t xml:space="preserve">Retrofit </w:t>
      </w:r>
      <w:r w:rsidRPr="00D25A5E">
        <w:rPr>
          <w:rFonts w:ascii="Arial" w:hAnsi="Arial" w:cs="Arial"/>
          <w:sz w:val="24"/>
          <w:szCs w:val="24"/>
        </w:rPr>
        <w:t>CFF projects claimed in April-Dec 2019, and Jan-May 2020.</w:t>
      </w:r>
    </w:p>
    <w:p w14:paraId="0664864F" w14:textId="77777777" w:rsidR="00AF5EB8" w:rsidRPr="00D25A5E" w:rsidRDefault="00AF5EB8" w:rsidP="00AF5EB8">
      <w:pPr>
        <w:spacing w:line="276" w:lineRule="auto"/>
        <w:rPr>
          <w:rFonts w:ascii="Arial" w:hAnsi="Arial" w:cs="Arial"/>
          <w:b/>
          <w:bCs/>
          <w:sz w:val="24"/>
          <w:szCs w:val="24"/>
        </w:rPr>
      </w:pPr>
      <w:r w:rsidRPr="00D25A5E">
        <w:rPr>
          <w:rFonts w:ascii="Arial" w:hAnsi="Arial" w:cs="Arial"/>
          <w:b/>
          <w:bCs/>
          <w:sz w:val="24"/>
          <w:szCs w:val="24"/>
        </w:rPr>
        <w:t>Questions:</w:t>
      </w:r>
    </w:p>
    <w:p w14:paraId="007CA25E" w14:textId="3CC1A07C" w:rsidR="00AF5EB8" w:rsidRPr="00D25A5E" w:rsidRDefault="00D25A5E" w:rsidP="00AF5EB8">
      <w:pPr>
        <w:pStyle w:val="ListParagraph"/>
        <w:numPr>
          <w:ilvl w:val="0"/>
          <w:numId w:val="4"/>
        </w:numPr>
        <w:spacing w:line="276" w:lineRule="auto"/>
        <w:rPr>
          <w:rFonts w:ascii="Arial" w:hAnsi="Arial" w:cs="Arial"/>
          <w:sz w:val="24"/>
          <w:szCs w:val="24"/>
        </w:rPr>
      </w:pPr>
      <w:r>
        <w:rPr>
          <w:rFonts w:ascii="Arial" w:hAnsi="Arial" w:cs="Arial"/>
          <w:sz w:val="24"/>
          <w:szCs w:val="24"/>
        </w:rPr>
        <w:t xml:space="preserve">Please confirm that all non-Retrofit CFF Projects have been completed prior to December 31, 2019. In the response, please quantify </w:t>
      </w:r>
      <w:r w:rsidR="00AF5EB8" w:rsidRPr="00D25A5E">
        <w:rPr>
          <w:rFonts w:ascii="Arial" w:eastAsia="Times New Roman" w:hAnsi="Arial" w:cs="Arial"/>
          <w:sz w:val="24"/>
          <w:szCs w:val="24"/>
        </w:rPr>
        <w:t>any program savings beyond December 31, 2019 that are being captured in the LRAMVA.</w:t>
      </w:r>
    </w:p>
    <w:p w14:paraId="30E32608" w14:textId="031B3B1C" w:rsidR="00AF5EB8" w:rsidRDefault="00AF5EB8" w:rsidP="00AF5EB8">
      <w:pPr>
        <w:pStyle w:val="ListParagraph"/>
        <w:spacing w:line="276" w:lineRule="auto"/>
        <w:rPr>
          <w:rFonts w:ascii="Arial" w:hAnsi="Arial" w:cs="Arial"/>
          <w:sz w:val="24"/>
          <w:szCs w:val="24"/>
        </w:rPr>
      </w:pPr>
    </w:p>
    <w:p w14:paraId="46B75B3E" w14:textId="77777777" w:rsidR="004066F3" w:rsidRDefault="004066F3" w:rsidP="00AF5EB8">
      <w:pPr>
        <w:pStyle w:val="ListParagraph"/>
        <w:spacing w:line="276" w:lineRule="auto"/>
        <w:rPr>
          <w:rFonts w:ascii="Arial" w:hAnsi="Arial" w:cs="Arial"/>
          <w:sz w:val="24"/>
          <w:szCs w:val="24"/>
        </w:rPr>
      </w:pPr>
    </w:p>
    <w:p w14:paraId="1536D9B3" w14:textId="2B96521E" w:rsidR="00AF5EB8" w:rsidRDefault="00AF5EB8" w:rsidP="00AF5EB8">
      <w:pPr>
        <w:pStyle w:val="ListParagraph"/>
        <w:numPr>
          <w:ilvl w:val="0"/>
          <w:numId w:val="1"/>
        </w:numPr>
        <w:rPr>
          <w:rFonts w:ascii="Arial" w:hAnsi="Arial" w:cs="Arial"/>
          <w:b/>
          <w:bCs/>
          <w:sz w:val="24"/>
          <w:szCs w:val="24"/>
        </w:rPr>
      </w:pPr>
      <w:r>
        <w:rPr>
          <w:rFonts w:ascii="Arial" w:hAnsi="Arial" w:cs="Arial"/>
          <w:b/>
          <w:bCs/>
          <w:sz w:val="24"/>
          <w:szCs w:val="24"/>
        </w:rPr>
        <w:t>Ref:</w:t>
      </w:r>
      <w:r>
        <w:rPr>
          <w:rFonts w:ascii="Arial" w:hAnsi="Arial" w:cs="Arial"/>
          <w:b/>
          <w:bCs/>
          <w:sz w:val="24"/>
          <w:szCs w:val="24"/>
        </w:rPr>
        <w:tab/>
      </w:r>
      <w:r w:rsidRPr="009F4DBC">
        <w:rPr>
          <w:rFonts w:ascii="Arial" w:hAnsi="Arial" w:cs="Arial"/>
          <w:b/>
          <w:bCs/>
          <w:sz w:val="24"/>
          <w:szCs w:val="24"/>
        </w:rPr>
        <w:t>LRAMVA Work</w:t>
      </w:r>
      <w:r w:rsidR="009F4DBC" w:rsidRPr="009F4DBC">
        <w:rPr>
          <w:rFonts w:ascii="Arial" w:hAnsi="Arial" w:cs="Arial"/>
          <w:b/>
          <w:bCs/>
          <w:sz w:val="24"/>
          <w:szCs w:val="24"/>
        </w:rPr>
        <w:t xml:space="preserve"> F</w:t>
      </w:r>
      <w:r w:rsidRPr="009F4DBC">
        <w:rPr>
          <w:rFonts w:ascii="Arial" w:hAnsi="Arial" w:cs="Arial"/>
          <w:b/>
          <w:bCs/>
          <w:sz w:val="24"/>
          <w:szCs w:val="24"/>
        </w:rPr>
        <w:t>orm, Tab 3-a</w:t>
      </w:r>
    </w:p>
    <w:p w14:paraId="744A64DE" w14:textId="77FCD52C" w:rsidR="00AF5EB8" w:rsidRDefault="00AF5EB8" w:rsidP="00AF5EB8">
      <w:pPr>
        <w:rPr>
          <w:rFonts w:ascii="Arial" w:hAnsi="Arial" w:cs="Arial"/>
          <w:sz w:val="24"/>
          <w:szCs w:val="24"/>
        </w:rPr>
      </w:pPr>
      <w:r>
        <w:rPr>
          <w:rFonts w:ascii="Arial" w:hAnsi="Arial" w:cs="Arial"/>
          <w:sz w:val="24"/>
          <w:szCs w:val="24"/>
        </w:rPr>
        <w:t>Toronto Hydro provide</w:t>
      </w:r>
      <w:r w:rsidR="0069711D">
        <w:rPr>
          <w:rFonts w:ascii="Arial" w:hAnsi="Arial" w:cs="Arial"/>
          <w:sz w:val="24"/>
          <w:szCs w:val="24"/>
        </w:rPr>
        <w:t>d</w:t>
      </w:r>
      <w:r>
        <w:rPr>
          <w:rFonts w:ascii="Arial" w:hAnsi="Arial" w:cs="Arial"/>
          <w:sz w:val="24"/>
          <w:szCs w:val="24"/>
        </w:rPr>
        <w:t xml:space="preserve"> </w:t>
      </w:r>
      <w:r w:rsidR="0069711D">
        <w:rPr>
          <w:rFonts w:ascii="Arial" w:hAnsi="Arial" w:cs="Arial"/>
          <w:sz w:val="24"/>
          <w:szCs w:val="24"/>
        </w:rPr>
        <w:t xml:space="preserve">consumer </w:t>
      </w:r>
      <w:r>
        <w:rPr>
          <w:rFonts w:ascii="Arial" w:hAnsi="Arial" w:cs="Arial"/>
          <w:sz w:val="24"/>
          <w:szCs w:val="24"/>
        </w:rPr>
        <w:t xml:space="preserve">rate class allocations in Tab 3-a, however the calculations to support and develop the rate class allocations </w:t>
      </w:r>
      <w:r w:rsidR="0069711D">
        <w:rPr>
          <w:rFonts w:ascii="Arial" w:hAnsi="Arial" w:cs="Arial"/>
          <w:sz w:val="24"/>
          <w:szCs w:val="24"/>
        </w:rPr>
        <w:t>have not been filed</w:t>
      </w:r>
      <w:r>
        <w:rPr>
          <w:rFonts w:ascii="Arial" w:hAnsi="Arial" w:cs="Arial"/>
          <w:sz w:val="24"/>
          <w:szCs w:val="24"/>
        </w:rPr>
        <w:t>.</w:t>
      </w:r>
    </w:p>
    <w:p w14:paraId="650C855E" w14:textId="77777777" w:rsidR="00AF5EB8" w:rsidRDefault="00AF5EB8" w:rsidP="00AF5EB8">
      <w:pPr>
        <w:rPr>
          <w:rFonts w:ascii="Arial" w:hAnsi="Arial" w:cs="Arial"/>
          <w:b/>
          <w:bCs/>
          <w:sz w:val="24"/>
          <w:szCs w:val="24"/>
        </w:rPr>
      </w:pPr>
      <w:r>
        <w:rPr>
          <w:rFonts w:ascii="Arial" w:hAnsi="Arial" w:cs="Arial"/>
          <w:b/>
          <w:bCs/>
          <w:sz w:val="24"/>
          <w:szCs w:val="24"/>
        </w:rPr>
        <w:t>Question:</w:t>
      </w:r>
    </w:p>
    <w:p w14:paraId="2D7EF596" w14:textId="43A5587E" w:rsidR="00642792" w:rsidRDefault="00AF5EB8" w:rsidP="00AF5EB8">
      <w:pPr>
        <w:pStyle w:val="ListParagraph"/>
        <w:numPr>
          <w:ilvl w:val="0"/>
          <w:numId w:val="5"/>
        </w:numPr>
        <w:rPr>
          <w:rFonts w:ascii="Arial" w:hAnsi="Arial" w:cs="Arial"/>
          <w:sz w:val="24"/>
          <w:szCs w:val="24"/>
        </w:rPr>
      </w:pPr>
      <w:r>
        <w:rPr>
          <w:rFonts w:ascii="Arial" w:hAnsi="Arial" w:cs="Arial"/>
          <w:sz w:val="24"/>
          <w:szCs w:val="24"/>
        </w:rPr>
        <w:lastRenderedPageBreak/>
        <w:t>Please provide an unlocked</w:t>
      </w:r>
      <w:r w:rsidR="00B131FD">
        <w:rPr>
          <w:rFonts w:ascii="Arial" w:hAnsi="Arial" w:cs="Arial"/>
          <w:sz w:val="24"/>
          <w:szCs w:val="24"/>
        </w:rPr>
        <w:t xml:space="preserve"> and working</w:t>
      </w:r>
      <w:r>
        <w:rPr>
          <w:rFonts w:ascii="Arial" w:hAnsi="Arial" w:cs="Arial"/>
          <w:sz w:val="24"/>
          <w:szCs w:val="24"/>
        </w:rPr>
        <w:t xml:space="preserve"> Excel spreadsheet showing all calculations used to determine the consumer rate class allocations. Please ensure that all confidential information is removed or treated in accordance with </w:t>
      </w:r>
      <w:r w:rsidRPr="00E5769B">
        <w:rPr>
          <w:rFonts w:ascii="Arial" w:hAnsi="Arial" w:cs="Arial"/>
          <w:sz w:val="24"/>
          <w:szCs w:val="24"/>
        </w:rPr>
        <w:t xml:space="preserve">Rule 9A of the OEB’s </w:t>
      </w:r>
      <w:r w:rsidRPr="00B640F6">
        <w:rPr>
          <w:rFonts w:ascii="Arial" w:hAnsi="Arial" w:cs="Arial"/>
          <w:i/>
          <w:iCs/>
          <w:sz w:val="24"/>
          <w:szCs w:val="24"/>
        </w:rPr>
        <w:t>Rules of Practice and Procedure</w:t>
      </w:r>
      <w:r>
        <w:rPr>
          <w:rFonts w:ascii="Arial" w:hAnsi="Arial" w:cs="Arial"/>
          <w:sz w:val="24"/>
          <w:szCs w:val="24"/>
        </w:rPr>
        <w:t>.</w:t>
      </w:r>
      <w:r w:rsidR="00702BA6">
        <w:rPr>
          <w:rFonts w:ascii="Arial" w:hAnsi="Arial" w:cs="Arial"/>
          <w:sz w:val="24"/>
          <w:szCs w:val="24"/>
        </w:rPr>
        <w:br/>
      </w:r>
      <w:bookmarkStart w:id="1" w:name="_GoBack"/>
      <w:bookmarkEnd w:id="1"/>
    </w:p>
    <w:p w14:paraId="7A8C4B70" w14:textId="07A153EB" w:rsidR="00155072" w:rsidRPr="00155072" w:rsidRDefault="00155072" w:rsidP="00155072">
      <w:pPr>
        <w:pStyle w:val="ListParagraph"/>
        <w:numPr>
          <w:ilvl w:val="0"/>
          <w:numId w:val="1"/>
        </w:numPr>
        <w:rPr>
          <w:rFonts w:ascii="Arial" w:hAnsi="Arial" w:cs="Arial"/>
          <w:b/>
          <w:bCs/>
          <w:sz w:val="24"/>
          <w:szCs w:val="24"/>
        </w:rPr>
      </w:pPr>
      <w:r w:rsidRPr="00155072">
        <w:rPr>
          <w:rFonts w:ascii="Arial" w:hAnsi="Arial" w:cs="Arial"/>
          <w:b/>
          <w:bCs/>
          <w:sz w:val="24"/>
          <w:szCs w:val="24"/>
        </w:rPr>
        <w:t>Ref:</w:t>
      </w:r>
      <w:r w:rsidRPr="00155072">
        <w:rPr>
          <w:rFonts w:ascii="Arial" w:hAnsi="Arial" w:cs="Arial"/>
          <w:b/>
          <w:bCs/>
          <w:sz w:val="24"/>
          <w:szCs w:val="24"/>
        </w:rPr>
        <w:tab/>
        <w:t>Tab 3/Schedule 1/Rate Model</w:t>
      </w:r>
    </w:p>
    <w:p w14:paraId="7336F036" w14:textId="77777777" w:rsidR="00155072" w:rsidRPr="00155072" w:rsidRDefault="00155072" w:rsidP="00155072">
      <w:pPr>
        <w:rPr>
          <w:rFonts w:ascii="Arial" w:hAnsi="Arial" w:cs="Arial"/>
          <w:sz w:val="24"/>
          <w:szCs w:val="24"/>
        </w:rPr>
      </w:pPr>
      <w:r w:rsidRPr="00155072">
        <w:rPr>
          <w:rFonts w:ascii="Arial" w:hAnsi="Arial" w:cs="Arial"/>
          <w:sz w:val="24"/>
          <w:szCs w:val="24"/>
        </w:rPr>
        <w:t xml:space="preserve">Toronto Hydro is seeking disposition of Account 1595 (2017) as of December 31, 2019 in the current application. No forecasted interest from January 1, 2020 to December 31, 2020 was entered in the Continuity Schedule tab of the Rate Model. </w:t>
      </w:r>
    </w:p>
    <w:p w14:paraId="1DAA3072" w14:textId="77777777" w:rsidR="00155072" w:rsidRPr="00155072" w:rsidRDefault="00155072" w:rsidP="00155072">
      <w:pPr>
        <w:rPr>
          <w:rFonts w:ascii="Arial" w:hAnsi="Arial" w:cs="Arial"/>
          <w:b/>
          <w:bCs/>
          <w:sz w:val="24"/>
          <w:szCs w:val="24"/>
        </w:rPr>
      </w:pPr>
      <w:r w:rsidRPr="00155072">
        <w:rPr>
          <w:rFonts w:ascii="Arial" w:hAnsi="Arial" w:cs="Arial"/>
          <w:b/>
          <w:bCs/>
          <w:sz w:val="24"/>
          <w:szCs w:val="24"/>
        </w:rPr>
        <w:t>Question:</w:t>
      </w:r>
    </w:p>
    <w:p w14:paraId="25113D63" w14:textId="77777777" w:rsidR="00155072" w:rsidRPr="00155072" w:rsidRDefault="00155072" w:rsidP="00155072">
      <w:pPr>
        <w:numPr>
          <w:ilvl w:val="0"/>
          <w:numId w:val="11"/>
        </w:numPr>
        <w:rPr>
          <w:rFonts w:ascii="Arial" w:hAnsi="Arial" w:cs="Arial"/>
          <w:sz w:val="24"/>
          <w:szCs w:val="24"/>
        </w:rPr>
      </w:pPr>
      <w:r w:rsidRPr="00155072">
        <w:rPr>
          <w:rFonts w:ascii="Arial" w:hAnsi="Arial" w:cs="Arial"/>
          <w:sz w:val="24"/>
          <w:szCs w:val="24"/>
        </w:rPr>
        <w:t xml:space="preserve">Please update the model to include any forecasted interest from Jan 1, 2020 to Dec 31, 2020 (column BQ) on the Account 1595 (2017) balance as of December 31, 2019.   </w:t>
      </w:r>
    </w:p>
    <w:p w14:paraId="65F75D54" w14:textId="4179B758" w:rsidR="00155072" w:rsidRPr="00155072" w:rsidRDefault="00155072" w:rsidP="00155072">
      <w:pPr>
        <w:pStyle w:val="ListParagraph"/>
        <w:numPr>
          <w:ilvl w:val="0"/>
          <w:numId w:val="1"/>
        </w:numPr>
        <w:rPr>
          <w:rFonts w:ascii="Arial" w:hAnsi="Arial" w:cs="Arial"/>
          <w:b/>
          <w:bCs/>
          <w:sz w:val="24"/>
          <w:szCs w:val="24"/>
        </w:rPr>
      </w:pPr>
      <w:r w:rsidRPr="00155072">
        <w:rPr>
          <w:rFonts w:ascii="Arial" w:hAnsi="Arial" w:cs="Arial"/>
          <w:b/>
          <w:bCs/>
          <w:sz w:val="24"/>
          <w:szCs w:val="24"/>
        </w:rPr>
        <w:t>Ref:</w:t>
      </w:r>
      <w:r w:rsidRPr="00155072">
        <w:rPr>
          <w:rFonts w:ascii="Arial" w:hAnsi="Arial" w:cs="Arial"/>
          <w:b/>
          <w:bCs/>
          <w:sz w:val="24"/>
          <w:szCs w:val="24"/>
        </w:rPr>
        <w:tab/>
        <w:t xml:space="preserve">Tab 3/Schedule 2/ GA Analysis </w:t>
      </w:r>
      <w:proofErr w:type="spellStart"/>
      <w:r w:rsidRPr="00155072">
        <w:rPr>
          <w:rFonts w:ascii="Arial" w:hAnsi="Arial" w:cs="Arial"/>
          <w:b/>
          <w:bCs/>
          <w:sz w:val="24"/>
          <w:szCs w:val="24"/>
        </w:rPr>
        <w:t>Workform</w:t>
      </w:r>
      <w:proofErr w:type="spellEnd"/>
      <w:r w:rsidRPr="00155072">
        <w:rPr>
          <w:rFonts w:ascii="Arial" w:hAnsi="Arial" w:cs="Arial"/>
          <w:b/>
          <w:bCs/>
          <w:sz w:val="24"/>
          <w:szCs w:val="24"/>
        </w:rPr>
        <w:t xml:space="preserve"> </w:t>
      </w:r>
    </w:p>
    <w:p w14:paraId="5DC44438" w14:textId="77777777" w:rsidR="00155072" w:rsidRPr="00155072" w:rsidRDefault="00155072" w:rsidP="00155072">
      <w:pPr>
        <w:rPr>
          <w:rFonts w:ascii="Arial" w:hAnsi="Arial" w:cs="Arial"/>
          <w:b/>
          <w:bCs/>
          <w:sz w:val="24"/>
          <w:szCs w:val="24"/>
        </w:rPr>
      </w:pPr>
      <w:r w:rsidRPr="00155072">
        <w:rPr>
          <w:rFonts w:ascii="Arial" w:hAnsi="Arial" w:cs="Arial"/>
          <w:b/>
          <w:bCs/>
          <w:sz w:val="24"/>
          <w:szCs w:val="24"/>
        </w:rPr>
        <w:t>Tab 2/Schedule 1/p.8</w:t>
      </w:r>
    </w:p>
    <w:p w14:paraId="4D79F6FA" w14:textId="77777777" w:rsidR="00155072" w:rsidRPr="00155072" w:rsidRDefault="00155072" w:rsidP="00155072">
      <w:pPr>
        <w:rPr>
          <w:rFonts w:ascii="Arial" w:hAnsi="Arial" w:cs="Arial"/>
          <w:sz w:val="24"/>
          <w:szCs w:val="24"/>
        </w:rPr>
      </w:pPr>
      <w:r w:rsidRPr="00155072">
        <w:rPr>
          <w:rFonts w:ascii="Arial" w:hAnsi="Arial" w:cs="Arial"/>
          <w:sz w:val="24"/>
          <w:szCs w:val="24"/>
        </w:rPr>
        <w:t xml:space="preserve">Toronto Hydro stated that it has implemented the OEB’s February 21, 2019 Accounting Guidance for RSVA accounts 1588 Power and 1589 GA effective January 1, 2019 in the current application.  </w:t>
      </w:r>
    </w:p>
    <w:p w14:paraId="5B04BE78" w14:textId="77777777" w:rsidR="00155072" w:rsidRPr="00155072" w:rsidRDefault="00155072" w:rsidP="00155072">
      <w:pPr>
        <w:rPr>
          <w:rFonts w:ascii="Arial" w:hAnsi="Arial" w:cs="Arial"/>
          <w:sz w:val="24"/>
          <w:szCs w:val="24"/>
        </w:rPr>
      </w:pPr>
      <w:r w:rsidRPr="00155072">
        <w:rPr>
          <w:rFonts w:ascii="Arial" w:hAnsi="Arial" w:cs="Arial"/>
          <w:sz w:val="24"/>
          <w:szCs w:val="24"/>
        </w:rPr>
        <w:t xml:space="preserve">In Note 5 of the GA Analysis </w:t>
      </w:r>
      <w:proofErr w:type="spellStart"/>
      <w:r w:rsidRPr="00155072">
        <w:rPr>
          <w:rFonts w:ascii="Arial" w:hAnsi="Arial" w:cs="Arial"/>
          <w:sz w:val="24"/>
          <w:szCs w:val="24"/>
        </w:rPr>
        <w:t>Workform</w:t>
      </w:r>
      <w:proofErr w:type="spellEnd"/>
      <w:r w:rsidRPr="00155072">
        <w:rPr>
          <w:rFonts w:ascii="Arial" w:hAnsi="Arial" w:cs="Arial"/>
          <w:sz w:val="24"/>
          <w:szCs w:val="24"/>
        </w:rPr>
        <w:t>, Toronto Hydro stated that reconciling items 1a and 1b are “Not applicable as Toronto Hydro records the true-up RPP settlement amounts with the IESO on a quarterly basis. The RPP amounts for 2019 are based on the actual IESO invoices received.”</w:t>
      </w:r>
    </w:p>
    <w:tbl>
      <w:tblPr>
        <w:tblW w:w="6740" w:type="dxa"/>
        <w:tblLook w:val="04A0" w:firstRow="1" w:lastRow="0" w:firstColumn="1" w:lastColumn="0" w:noHBand="0" w:noVBand="1"/>
      </w:tblPr>
      <w:tblGrid>
        <w:gridCol w:w="1080"/>
        <w:gridCol w:w="5660"/>
      </w:tblGrid>
      <w:tr w:rsidR="00155072" w:rsidRPr="00155072" w14:paraId="5EE9C7AF" w14:textId="77777777" w:rsidTr="00920867">
        <w:trPr>
          <w:trHeight w:val="5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BDFC7" w14:textId="77777777" w:rsidR="00155072" w:rsidRPr="00155072" w:rsidRDefault="00155072" w:rsidP="00155072">
            <w:pPr>
              <w:rPr>
                <w:rFonts w:ascii="Arial" w:hAnsi="Arial" w:cs="Arial"/>
                <w:sz w:val="24"/>
                <w:szCs w:val="24"/>
              </w:rPr>
            </w:pPr>
            <w:r w:rsidRPr="00155072">
              <w:rPr>
                <w:rFonts w:ascii="Arial" w:hAnsi="Arial" w:cs="Arial"/>
                <w:sz w:val="24"/>
                <w:szCs w:val="24"/>
              </w:rPr>
              <w:t>1a</w:t>
            </w:r>
          </w:p>
        </w:tc>
        <w:tc>
          <w:tcPr>
            <w:tcW w:w="5660" w:type="dxa"/>
            <w:tcBorders>
              <w:top w:val="single" w:sz="4" w:space="0" w:color="auto"/>
              <w:left w:val="nil"/>
              <w:bottom w:val="single" w:sz="4" w:space="0" w:color="auto"/>
              <w:right w:val="single" w:sz="4" w:space="0" w:color="auto"/>
            </w:tcBorders>
            <w:shd w:val="clear" w:color="auto" w:fill="auto"/>
            <w:vAlign w:val="bottom"/>
            <w:hideMark/>
          </w:tcPr>
          <w:p w14:paraId="4294BB7F" w14:textId="77777777" w:rsidR="00155072" w:rsidRPr="00155072" w:rsidRDefault="00155072" w:rsidP="00155072">
            <w:pPr>
              <w:rPr>
                <w:rFonts w:ascii="Arial" w:hAnsi="Arial" w:cs="Arial"/>
                <w:sz w:val="24"/>
                <w:szCs w:val="24"/>
              </w:rPr>
            </w:pPr>
            <w:r w:rsidRPr="00155072">
              <w:rPr>
                <w:rFonts w:ascii="Arial" w:hAnsi="Arial" w:cs="Arial"/>
                <w:sz w:val="24"/>
                <w:szCs w:val="24"/>
              </w:rPr>
              <w:t>CT 148 True-up of GA Charges based on Actual Non-RPP Volumes - prior year</w:t>
            </w:r>
          </w:p>
        </w:tc>
      </w:tr>
      <w:tr w:rsidR="00155072" w:rsidRPr="00155072" w14:paraId="3918C757" w14:textId="77777777" w:rsidTr="00920867">
        <w:trPr>
          <w:trHeight w:val="5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99E6887" w14:textId="77777777" w:rsidR="00155072" w:rsidRPr="00155072" w:rsidRDefault="00155072" w:rsidP="00155072">
            <w:pPr>
              <w:rPr>
                <w:rFonts w:ascii="Arial" w:hAnsi="Arial" w:cs="Arial"/>
                <w:sz w:val="24"/>
                <w:szCs w:val="24"/>
              </w:rPr>
            </w:pPr>
            <w:r w:rsidRPr="00155072">
              <w:rPr>
                <w:rFonts w:ascii="Arial" w:hAnsi="Arial" w:cs="Arial"/>
                <w:sz w:val="24"/>
                <w:szCs w:val="24"/>
              </w:rPr>
              <w:t>1b</w:t>
            </w:r>
          </w:p>
        </w:tc>
        <w:tc>
          <w:tcPr>
            <w:tcW w:w="5660" w:type="dxa"/>
            <w:tcBorders>
              <w:top w:val="nil"/>
              <w:left w:val="nil"/>
              <w:bottom w:val="single" w:sz="4" w:space="0" w:color="auto"/>
              <w:right w:val="single" w:sz="4" w:space="0" w:color="auto"/>
            </w:tcBorders>
            <w:shd w:val="clear" w:color="auto" w:fill="auto"/>
            <w:vAlign w:val="bottom"/>
            <w:hideMark/>
          </w:tcPr>
          <w:p w14:paraId="5D1CE8B8" w14:textId="77777777" w:rsidR="00155072" w:rsidRPr="00155072" w:rsidRDefault="00155072" w:rsidP="00155072">
            <w:pPr>
              <w:rPr>
                <w:rFonts w:ascii="Arial" w:hAnsi="Arial" w:cs="Arial"/>
                <w:sz w:val="24"/>
                <w:szCs w:val="24"/>
              </w:rPr>
            </w:pPr>
            <w:r w:rsidRPr="00155072">
              <w:rPr>
                <w:rFonts w:ascii="Arial" w:hAnsi="Arial" w:cs="Arial"/>
                <w:sz w:val="24"/>
                <w:szCs w:val="24"/>
              </w:rPr>
              <w:t>CT 148 True-up of GA Charges based on Actual Non-RPP Volumes - current year</w:t>
            </w:r>
          </w:p>
        </w:tc>
      </w:tr>
    </w:tbl>
    <w:p w14:paraId="06A42F0C" w14:textId="77777777" w:rsidR="00155072" w:rsidRPr="00155072" w:rsidRDefault="00155072" w:rsidP="00155072">
      <w:pPr>
        <w:rPr>
          <w:rFonts w:ascii="Arial" w:hAnsi="Arial" w:cs="Arial"/>
          <w:sz w:val="24"/>
          <w:szCs w:val="24"/>
        </w:rPr>
      </w:pPr>
    </w:p>
    <w:p w14:paraId="63AD9C0D" w14:textId="77777777" w:rsidR="00155072" w:rsidRPr="00155072" w:rsidRDefault="00155072" w:rsidP="00155072">
      <w:pPr>
        <w:rPr>
          <w:rFonts w:ascii="Arial" w:hAnsi="Arial" w:cs="Arial"/>
          <w:b/>
          <w:bCs/>
          <w:sz w:val="24"/>
          <w:szCs w:val="24"/>
        </w:rPr>
      </w:pPr>
      <w:r w:rsidRPr="00155072">
        <w:rPr>
          <w:rFonts w:ascii="Arial" w:hAnsi="Arial" w:cs="Arial"/>
          <w:b/>
          <w:bCs/>
          <w:sz w:val="24"/>
          <w:szCs w:val="24"/>
        </w:rPr>
        <w:t>Questions</w:t>
      </w:r>
      <w:r w:rsidRPr="00155072">
        <w:rPr>
          <w:rFonts w:ascii="Arial" w:hAnsi="Arial" w:cs="Arial"/>
          <w:sz w:val="24"/>
          <w:szCs w:val="24"/>
        </w:rPr>
        <w:t>:</w:t>
      </w:r>
    </w:p>
    <w:p w14:paraId="16487D83" w14:textId="77777777" w:rsidR="00155072" w:rsidRPr="00155072" w:rsidRDefault="00155072" w:rsidP="00155072">
      <w:pPr>
        <w:numPr>
          <w:ilvl w:val="0"/>
          <w:numId w:val="10"/>
        </w:numPr>
        <w:rPr>
          <w:rFonts w:ascii="Arial" w:hAnsi="Arial" w:cs="Arial"/>
          <w:sz w:val="24"/>
          <w:szCs w:val="24"/>
        </w:rPr>
      </w:pPr>
      <w:r w:rsidRPr="00155072">
        <w:rPr>
          <w:rFonts w:ascii="Arial" w:hAnsi="Arial" w:cs="Arial"/>
          <w:sz w:val="24"/>
          <w:szCs w:val="24"/>
        </w:rPr>
        <w:t>The Feb 21, 2019 Accounting Guidance requires monthly true-ups of RPP settlements and Toronto Hydro stated that the RPP true-up is done on a quarterly basis. Please explain and confirm if Toronto Hydro has fully implemented the Accounting Guidance.</w:t>
      </w:r>
    </w:p>
    <w:p w14:paraId="7603B572" w14:textId="77777777" w:rsidR="00155072" w:rsidRPr="00155072" w:rsidRDefault="00155072" w:rsidP="00155072">
      <w:pPr>
        <w:numPr>
          <w:ilvl w:val="0"/>
          <w:numId w:val="10"/>
        </w:numPr>
        <w:rPr>
          <w:rFonts w:ascii="Arial" w:hAnsi="Arial" w:cs="Arial"/>
          <w:sz w:val="24"/>
          <w:szCs w:val="24"/>
        </w:rPr>
      </w:pPr>
      <w:r w:rsidRPr="00155072">
        <w:rPr>
          <w:rFonts w:ascii="Arial" w:hAnsi="Arial" w:cs="Arial"/>
          <w:sz w:val="24"/>
          <w:szCs w:val="24"/>
        </w:rPr>
        <w:lastRenderedPageBreak/>
        <w:t xml:space="preserve">Please explain why reconciling items 1a and 1b are not applicable and update the explanation for reconciling item 1a and 1b accordingly. </w:t>
      </w:r>
    </w:p>
    <w:p w14:paraId="5C51A8B4" w14:textId="77777777" w:rsidR="00155072" w:rsidRPr="00155072" w:rsidRDefault="00155072" w:rsidP="00155072">
      <w:pPr>
        <w:numPr>
          <w:ilvl w:val="0"/>
          <w:numId w:val="1"/>
        </w:numPr>
        <w:rPr>
          <w:rFonts w:ascii="Arial" w:hAnsi="Arial" w:cs="Arial"/>
          <w:b/>
          <w:bCs/>
          <w:sz w:val="24"/>
          <w:szCs w:val="24"/>
        </w:rPr>
      </w:pPr>
      <w:r w:rsidRPr="00155072">
        <w:rPr>
          <w:rFonts w:ascii="Arial" w:hAnsi="Arial" w:cs="Arial"/>
          <w:b/>
          <w:bCs/>
          <w:sz w:val="24"/>
          <w:szCs w:val="24"/>
        </w:rPr>
        <w:t>Ref:</w:t>
      </w:r>
      <w:r w:rsidRPr="00155072">
        <w:rPr>
          <w:rFonts w:ascii="Arial" w:hAnsi="Arial" w:cs="Arial"/>
          <w:b/>
          <w:bCs/>
          <w:sz w:val="24"/>
          <w:szCs w:val="24"/>
        </w:rPr>
        <w:tab/>
        <w:t xml:space="preserve">Tab 3/Schedule 2/ GA Analysis </w:t>
      </w:r>
      <w:proofErr w:type="spellStart"/>
      <w:r w:rsidRPr="00155072">
        <w:rPr>
          <w:rFonts w:ascii="Arial" w:hAnsi="Arial" w:cs="Arial"/>
          <w:b/>
          <w:bCs/>
          <w:sz w:val="24"/>
          <w:szCs w:val="24"/>
        </w:rPr>
        <w:t>Workform</w:t>
      </w:r>
      <w:proofErr w:type="spellEnd"/>
      <w:r w:rsidRPr="00155072">
        <w:rPr>
          <w:rFonts w:ascii="Arial" w:hAnsi="Arial" w:cs="Arial"/>
          <w:b/>
          <w:bCs/>
          <w:sz w:val="24"/>
          <w:szCs w:val="24"/>
        </w:rPr>
        <w:t xml:space="preserve"> </w:t>
      </w:r>
    </w:p>
    <w:p w14:paraId="43C1ED83" w14:textId="77777777" w:rsidR="00155072" w:rsidRPr="00155072" w:rsidRDefault="00155072" w:rsidP="00155072">
      <w:pPr>
        <w:rPr>
          <w:rFonts w:ascii="Arial" w:hAnsi="Arial" w:cs="Arial"/>
          <w:b/>
          <w:bCs/>
          <w:sz w:val="24"/>
          <w:szCs w:val="24"/>
        </w:rPr>
      </w:pPr>
      <w:r w:rsidRPr="00155072">
        <w:rPr>
          <w:rFonts w:ascii="Arial" w:hAnsi="Arial" w:cs="Arial"/>
          <w:b/>
          <w:bCs/>
          <w:sz w:val="24"/>
          <w:szCs w:val="24"/>
        </w:rPr>
        <w:t>Tab 3/Schedule 1/Rate Model</w:t>
      </w:r>
    </w:p>
    <w:p w14:paraId="01C1988E" w14:textId="77777777" w:rsidR="00155072" w:rsidRPr="00155072" w:rsidRDefault="00155072" w:rsidP="00155072">
      <w:pPr>
        <w:rPr>
          <w:rFonts w:ascii="Arial" w:hAnsi="Arial" w:cs="Arial"/>
          <w:sz w:val="24"/>
          <w:szCs w:val="24"/>
        </w:rPr>
      </w:pPr>
      <w:r w:rsidRPr="00155072">
        <w:rPr>
          <w:rFonts w:ascii="Arial" w:hAnsi="Arial" w:cs="Arial"/>
          <w:sz w:val="24"/>
          <w:szCs w:val="24"/>
        </w:rPr>
        <w:t xml:space="preserve">A credit balance of $50,366,169 was entered in Column AV “Principal Adjustments during 2018” in the Continuity Schedule tab of the Rate Model for Account 1589. In the GA Analysis </w:t>
      </w:r>
      <w:proofErr w:type="spellStart"/>
      <w:r w:rsidRPr="00155072">
        <w:rPr>
          <w:rFonts w:ascii="Arial" w:hAnsi="Arial" w:cs="Arial"/>
          <w:sz w:val="24"/>
          <w:szCs w:val="24"/>
        </w:rPr>
        <w:t>Workform</w:t>
      </w:r>
      <w:proofErr w:type="spellEnd"/>
      <w:r w:rsidRPr="00155072">
        <w:rPr>
          <w:rFonts w:ascii="Arial" w:hAnsi="Arial" w:cs="Arial"/>
          <w:sz w:val="24"/>
          <w:szCs w:val="24"/>
        </w:rPr>
        <w:t xml:space="preserve">, no Principal Adjustment was entered for Note 7 Principal Adjustments included in last approved balance. </w:t>
      </w:r>
    </w:p>
    <w:p w14:paraId="7B062A84" w14:textId="77777777" w:rsidR="00155072" w:rsidRPr="00155072" w:rsidRDefault="00155072" w:rsidP="00155072">
      <w:pPr>
        <w:rPr>
          <w:rFonts w:ascii="Arial" w:hAnsi="Arial" w:cs="Arial"/>
          <w:sz w:val="24"/>
          <w:szCs w:val="24"/>
        </w:rPr>
      </w:pPr>
      <w:r w:rsidRPr="00155072">
        <w:rPr>
          <w:rFonts w:ascii="Arial" w:hAnsi="Arial" w:cs="Arial"/>
          <w:b/>
          <w:bCs/>
          <w:sz w:val="24"/>
          <w:szCs w:val="24"/>
        </w:rPr>
        <w:t>Question</w:t>
      </w:r>
      <w:r w:rsidRPr="00155072">
        <w:rPr>
          <w:rFonts w:ascii="Arial" w:hAnsi="Arial" w:cs="Arial"/>
          <w:sz w:val="24"/>
          <w:szCs w:val="24"/>
        </w:rPr>
        <w:t>:</w:t>
      </w:r>
    </w:p>
    <w:p w14:paraId="369A0D3B" w14:textId="77777777" w:rsidR="00155072" w:rsidRPr="00155072" w:rsidRDefault="00155072" w:rsidP="00155072">
      <w:pPr>
        <w:numPr>
          <w:ilvl w:val="0"/>
          <w:numId w:val="12"/>
        </w:numPr>
        <w:rPr>
          <w:rFonts w:ascii="Arial" w:hAnsi="Arial" w:cs="Arial"/>
          <w:sz w:val="24"/>
          <w:szCs w:val="24"/>
        </w:rPr>
      </w:pPr>
      <w:r w:rsidRPr="00155072">
        <w:rPr>
          <w:rFonts w:ascii="Arial" w:hAnsi="Arial" w:cs="Arial"/>
          <w:sz w:val="24"/>
          <w:szCs w:val="24"/>
        </w:rPr>
        <w:t xml:space="preserve">Please reconcile and update Note 7 if necessary. Please indicate if any Principal Adjustment needs to be reversed in the current application. </w:t>
      </w:r>
    </w:p>
    <w:p w14:paraId="4EBFAE02" w14:textId="6BC65A42" w:rsidR="00155072" w:rsidRPr="00155072" w:rsidRDefault="00155072" w:rsidP="005F108D">
      <w:pPr>
        <w:pStyle w:val="ListParagraph"/>
        <w:numPr>
          <w:ilvl w:val="0"/>
          <w:numId w:val="1"/>
        </w:numPr>
        <w:rPr>
          <w:rFonts w:ascii="Arial" w:hAnsi="Arial" w:cs="Arial"/>
          <w:b/>
          <w:bCs/>
          <w:sz w:val="24"/>
          <w:szCs w:val="24"/>
        </w:rPr>
      </w:pPr>
      <w:r w:rsidRPr="00155072">
        <w:rPr>
          <w:rFonts w:ascii="Arial" w:hAnsi="Arial" w:cs="Arial"/>
          <w:b/>
          <w:bCs/>
          <w:sz w:val="24"/>
          <w:szCs w:val="24"/>
        </w:rPr>
        <w:t>Ref:</w:t>
      </w:r>
      <w:r w:rsidRPr="00155072">
        <w:rPr>
          <w:rFonts w:ascii="Arial" w:hAnsi="Arial" w:cs="Arial"/>
          <w:b/>
          <w:bCs/>
          <w:sz w:val="24"/>
          <w:szCs w:val="24"/>
        </w:rPr>
        <w:tab/>
        <w:t>Tab 2/Schedule 1/p. 4-5</w:t>
      </w:r>
      <w:r w:rsidRPr="00155072">
        <w:rPr>
          <w:rFonts w:ascii="Arial" w:hAnsi="Arial" w:cs="Arial"/>
          <w:b/>
          <w:bCs/>
          <w:sz w:val="24"/>
          <w:szCs w:val="24"/>
        </w:rPr>
        <w:br/>
      </w:r>
      <w:r w:rsidRPr="00155072">
        <w:rPr>
          <w:rFonts w:ascii="Arial" w:hAnsi="Arial" w:cs="Arial"/>
          <w:b/>
          <w:bCs/>
          <w:sz w:val="24"/>
          <w:szCs w:val="24"/>
        </w:rPr>
        <w:t xml:space="preserve">           </w:t>
      </w:r>
      <w:r w:rsidRPr="00155072">
        <w:rPr>
          <w:rFonts w:ascii="Arial" w:hAnsi="Arial" w:cs="Arial"/>
          <w:b/>
          <w:bCs/>
          <w:sz w:val="24"/>
          <w:szCs w:val="24"/>
        </w:rPr>
        <w:tab/>
      </w:r>
      <w:r w:rsidRPr="00155072">
        <w:rPr>
          <w:rFonts w:ascii="Arial" w:hAnsi="Arial" w:cs="Arial"/>
          <w:b/>
          <w:bCs/>
          <w:sz w:val="24"/>
          <w:szCs w:val="24"/>
        </w:rPr>
        <w:t xml:space="preserve">EB-2018-0165 Updated Draft Rate Order, February 12, 2020, p.19 </w:t>
      </w:r>
      <w:r w:rsidRPr="00155072">
        <w:rPr>
          <w:rFonts w:ascii="Arial" w:hAnsi="Arial" w:cs="Arial"/>
          <w:b/>
          <w:bCs/>
          <w:sz w:val="24"/>
          <w:szCs w:val="24"/>
        </w:rPr>
        <w:tab/>
      </w:r>
      <w:r w:rsidRPr="00155072">
        <w:rPr>
          <w:rFonts w:ascii="Arial" w:hAnsi="Arial" w:cs="Arial"/>
          <w:b/>
          <w:bCs/>
          <w:sz w:val="24"/>
          <w:szCs w:val="24"/>
        </w:rPr>
        <w:tab/>
      </w:r>
      <w:r>
        <w:rPr>
          <w:rFonts w:ascii="Arial" w:hAnsi="Arial" w:cs="Arial"/>
          <w:b/>
          <w:bCs/>
          <w:sz w:val="24"/>
          <w:szCs w:val="24"/>
        </w:rPr>
        <w:tab/>
      </w:r>
      <w:r w:rsidRPr="00155072">
        <w:rPr>
          <w:rFonts w:ascii="Arial" w:hAnsi="Arial" w:cs="Arial"/>
          <w:b/>
          <w:bCs/>
          <w:sz w:val="24"/>
          <w:szCs w:val="24"/>
        </w:rPr>
        <w:t>EB-2018-0165 Decision and Rate Order, February 20, 2020, p.3</w:t>
      </w:r>
    </w:p>
    <w:p w14:paraId="2A8370B9" w14:textId="77777777" w:rsidR="00155072" w:rsidRPr="00155072" w:rsidRDefault="00155072" w:rsidP="00155072">
      <w:pPr>
        <w:rPr>
          <w:rFonts w:ascii="Arial" w:hAnsi="Arial" w:cs="Arial"/>
          <w:sz w:val="24"/>
          <w:szCs w:val="24"/>
        </w:rPr>
      </w:pPr>
      <w:r w:rsidRPr="00155072">
        <w:rPr>
          <w:rFonts w:ascii="Arial" w:hAnsi="Arial" w:cs="Arial"/>
          <w:sz w:val="24"/>
          <w:szCs w:val="24"/>
        </w:rPr>
        <w:t xml:space="preserve">Toronto Hydro stated that the accounts that are subject to true-up in this proceeding are those which the OEB approved for disposition starting on March 1, 2020 and January 1, 2021. </w:t>
      </w:r>
    </w:p>
    <w:p w14:paraId="0F883590" w14:textId="77777777" w:rsidR="00155072" w:rsidRPr="00155072" w:rsidRDefault="00155072" w:rsidP="00155072">
      <w:pPr>
        <w:rPr>
          <w:rFonts w:ascii="Arial" w:hAnsi="Arial" w:cs="Arial"/>
          <w:sz w:val="24"/>
          <w:szCs w:val="24"/>
        </w:rPr>
      </w:pPr>
      <w:r w:rsidRPr="00155072">
        <w:rPr>
          <w:rFonts w:ascii="Arial" w:hAnsi="Arial" w:cs="Arial"/>
          <w:sz w:val="24"/>
          <w:szCs w:val="24"/>
        </w:rPr>
        <w:t xml:space="preserve">Toronto Hydro also stated that regarding the future tax savings in connection with two of these accounts (i.e. the Operating </w:t>
      </w:r>
      <w:proofErr w:type="spellStart"/>
      <w:r w:rsidRPr="00155072">
        <w:rPr>
          <w:rFonts w:ascii="Arial" w:hAnsi="Arial" w:cs="Arial"/>
          <w:sz w:val="24"/>
          <w:szCs w:val="24"/>
        </w:rPr>
        <w:t>Centres</w:t>
      </w:r>
      <w:proofErr w:type="spellEnd"/>
      <w:r w:rsidRPr="00155072">
        <w:rPr>
          <w:rFonts w:ascii="Arial" w:hAnsi="Arial" w:cs="Arial"/>
          <w:sz w:val="24"/>
          <w:szCs w:val="24"/>
        </w:rPr>
        <w:t xml:space="preserve"> Consolidation Program (OCCP) and the Gain on Sale of 50/60 Eglinton Avenue), Toronto Hydro cannot true-up these two accounts for actuals until the underlying account dispositions are complete (December 31, 2021) and the final tax savings are realized.  Therefore, the utility proposes to defer the required true-ups for these two accounts to its 2023 Custom IR Update application.</w:t>
      </w:r>
    </w:p>
    <w:p w14:paraId="59C298FA" w14:textId="786BA6E7" w:rsidR="00155072" w:rsidRPr="00155072" w:rsidRDefault="00155072" w:rsidP="00155072">
      <w:pPr>
        <w:rPr>
          <w:rFonts w:ascii="Arial" w:hAnsi="Arial" w:cs="Arial"/>
          <w:sz w:val="24"/>
          <w:szCs w:val="24"/>
        </w:rPr>
      </w:pPr>
      <w:r w:rsidRPr="00155072">
        <w:rPr>
          <w:rFonts w:ascii="Arial" w:hAnsi="Arial" w:cs="Arial"/>
          <w:sz w:val="24"/>
          <w:szCs w:val="24"/>
        </w:rPr>
        <w:t>On page 19 of the Updated Draft Rate Order from Toronto Hydro’s last Custom IR EB-2018-0165 filed on February 12, 2020, Toronto Hydro proposed to “</w:t>
      </w:r>
      <w:bookmarkStart w:id="2" w:name="_Hlk52202176"/>
      <w:r w:rsidRPr="00155072">
        <w:rPr>
          <w:rFonts w:ascii="Arial" w:hAnsi="Arial" w:cs="Arial"/>
          <w:sz w:val="24"/>
          <w:szCs w:val="24"/>
        </w:rPr>
        <w:t>true-up any variances between the principal and interest amounts proposed for clearance …and the actual principal and interest amounts in Account 1595 in the year that the disposition commences</w:t>
      </w:r>
      <w:bookmarkEnd w:id="2"/>
      <w:r w:rsidRPr="00155072">
        <w:rPr>
          <w:rFonts w:ascii="Arial" w:hAnsi="Arial" w:cs="Arial"/>
          <w:b/>
          <w:bCs/>
          <w:sz w:val="24"/>
          <w:szCs w:val="24"/>
        </w:rPr>
        <w:t>”</w:t>
      </w:r>
      <w:r>
        <w:rPr>
          <w:rFonts w:ascii="Arial" w:hAnsi="Arial" w:cs="Arial"/>
          <w:b/>
          <w:bCs/>
          <w:sz w:val="24"/>
          <w:szCs w:val="24"/>
        </w:rPr>
        <w:t xml:space="preserve">. </w:t>
      </w:r>
      <w:r w:rsidRPr="00155072">
        <w:rPr>
          <w:rFonts w:ascii="Arial" w:hAnsi="Arial" w:cs="Arial"/>
          <w:sz w:val="24"/>
          <w:szCs w:val="24"/>
        </w:rPr>
        <w:t xml:space="preserve">On page 3 of the Decision and Rate Order, the OEB finds that the updated draft rate order filed on February 12, 2020 is in accordance with the Decision. </w:t>
      </w:r>
    </w:p>
    <w:p w14:paraId="1973866A" w14:textId="77777777" w:rsidR="00155072" w:rsidRPr="00155072" w:rsidRDefault="00155072" w:rsidP="00155072">
      <w:pPr>
        <w:rPr>
          <w:rFonts w:ascii="Arial" w:hAnsi="Arial" w:cs="Arial"/>
          <w:b/>
          <w:bCs/>
          <w:sz w:val="24"/>
          <w:szCs w:val="24"/>
        </w:rPr>
      </w:pPr>
      <w:r w:rsidRPr="00155072">
        <w:rPr>
          <w:rFonts w:ascii="Arial" w:hAnsi="Arial" w:cs="Arial"/>
          <w:b/>
          <w:bCs/>
          <w:sz w:val="24"/>
          <w:szCs w:val="24"/>
        </w:rPr>
        <w:t>Question:</w:t>
      </w:r>
    </w:p>
    <w:p w14:paraId="270B5945" w14:textId="42EA756A" w:rsidR="00781EF4" w:rsidRPr="00155072" w:rsidRDefault="00155072" w:rsidP="00207E4E">
      <w:pPr>
        <w:numPr>
          <w:ilvl w:val="0"/>
          <w:numId w:val="13"/>
        </w:numPr>
        <w:rPr>
          <w:rFonts w:ascii="Arial" w:hAnsi="Arial" w:cs="Arial"/>
          <w:sz w:val="24"/>
          <w:szCs w:val="24"/>
        </w:rPr>
      </w:pPr>
      <w:r w:rsidRPr="00155072">
        <w:rPr>
          <w:rFonts w:ascii="Arial" w:hAnsi="Arial" w:cs="Arial"/>
          <w:sz w:val="24"/>
          <w:szCs w:val="24"/>
        </w:rPr>
        <w:t xml:space="preserve">Please explain why Toronto Hydro cannot true-up the OCCP and the Gain on Sale of 50/60 Eglinton Avenue accounts until the dispositions are complete. </w:t>
      </w:r>
    </w:p>
    <w:sectPr w:rsidR="00781EF4" w:rsidRPr="0015507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DE811" w14:textId="77777777" w:rsidR="00781EF4" w:rsidRDefault="00781EF4" w:rsidP="00781EF4">
      <w:pPr>
        <w:spacing w:after="0" w:line="240" w:lineRule="auto"/>
      </w:pPr>
      <w:r>
        <w:separator/>
      </w:r>
    </w:p>
  </w:endnote>
  <w:endnote w:type="continuationSeparator" w:id="0">
    <w:p w14:paraId="7B48686C" w14:textId="77777777" w:rsidR="00781EF4" w:rsidRDefault="00781EF4" w:rsidP="00781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18474" w14:textId="77777777" w:rsidR="00781EF4" w:rsidRDefault="00781EF4" w:rsidP="00781EF4">
      <w:pPr>
        <w:spacing w:after="0" w:line="240" w:lineRule="auto"/>
      </w:pPr>
      <w:r>
        <w:separator/>
      </w:r>
    </w:p>
  </w:footnote>
  <w:footnote w:type="continuationSeparator" w:id="0">
    <w:p w14:paraId="74A86D9A" w14:textId="77777777" w:rsidR="00781EF4" w:rsidRDefault="00781EF4" w:rsidP="00781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996A5" w14:textId="6E33DCA0" w:rsidR="00781EF4" w:rsidRDefault="00781EF4" w:rsidP="00781EF4">
    <w:pPr>
      <w:pStyle w:val="Header"/>
      <w:jc w:val="right"/>
    </w:pPr>
    <w:r>
      <w:t>Toronto Hydro-Electric System Limited</w:t>
    </w:r>
  </w:p>
  <w:p w14:paraId="56A3E26E" w14:textId="1803C4E2" w:rsidR="00781EF4" w:rsidRDefault="00781EF4" w:rsidP="00781EF4">
    <w:pPr>
      <w:pStyle w:val="Header"/>
      <w:jc w:val="right"/>
    </w:pPr>
    <w:r>
      <w:t>2021 Custom IR Rate Adjustment</w:t>
    </w:r>
  </w:p>
  <w:p w14:paraId="63A4C952" w14:textId="6E268571" w:rsidR="00781EF4" w:rsidRDefault="00781EF4" w:rsidP="00781EF4">
    <w:pPr>
      <w:pStyle w:val="Header"/>
      <w:jc w:val="right"/>
    </w:pPr>
    <w:r>
      <w:t>EB-2020-0057</w:t>
    </w:r>
  </w:p>
  <w:p w14:paraId="56DA41FA" w14:textId="03F543FD" w:rsidR="00781EF4" w:rsidRDefault="00781EF4" w:rsidP="00781EF4">
    <w:pPr>
      <w:pStyle w:val="Header"/>
      <w:jc w:val="right"/>
    </w:pPr>
    <w:r>
      <w:t>September 30, 2020</w:t>
    </w:r>
  </w:p>
  <w:p w14:paraId="733DEADE" w14:textId="3D6B9838" w:rsidR="00781EF4" w:rsidRDefault="00781EF4" w:rsidP="00781EF4">
    <w:pPr>
      <w:pStyle w:val="Header"/>
      <w:jc w:val="right"/>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4</w:t>
    </w:r>
  </w:p>
  <w:p w14:paraId="1C36299D" w14:textId="77777777" w:rsidR="00781EF4" w:rsidRDefault="00781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7C62"/>
    <w:multiLevelType w:val="hybridMultilevel"/>
    <w:tmpl w:val="79A67480"/>
    <w:lvl w:ilvl="0" w:tplc="5734B6AE">
      <w:start w:val="1"/>
      <w:numFmt w:val="lowerLetter"/>
      <w:lvlText w:val="(%1)"/>
      <w:lvlJc w:val="left"/>
      <w:pPr>
        <w:ind w:left="720" w:hanging="360"/>
      </w:pPr>
    </w:lvl>
    <w:lvl w:ilvl="1" w:tplc="F0D4B586">
      <w:start w:val="1"/>
      <w:numFmt w:val="lowerRoman"/>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C8059A"/>
    <w:multiLevelType w:val="hybridMultilevel"/>
    <w:tmpl w:val="9912EF24"/>
    <w:lvl w:ilvl="0" w:tplc="C3D69F6A">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B0A94"/>
    <w:multiLevelType w:val="hybridMultilevel"/>
    <w:tmpl w:val="95F66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6254F"/>
    <w:multiLevelType w:val="hybridMultilevel"/>
    <w:tmpl w:val="B68218B0"/>
    <w:lvl w:ilvl="0" w:tplc="5734B6A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EB4633"/>
    <w:multiLevelType w:val="hybridMultilevel"/>
    <w:tmpl w:val="79A67480"/>
    <w:lvl w:ilvl="0" w:tplc="5734B6AE">
      <w:start w:val="1"/>
      <w:numFmt w:val="lowerLetter"/>
      <w:lvlText w:val="(%1)"/>
      <w:lvlJc w:val="left"/>
      <w:pPr>
        <w:ind w:left="720" w:hanging="360"/>
      </w:pPr>
    </w:lvl>
    <w:lvl w:ilvl="1" w:tplc="F0D4B586">
      <w:start w:val="1"/>
      <w:numFmt w:val="lowerRoman"/>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2F3504"/>
    <w:multiLevelType w:val="hybridMultilevel"/>
    <w:tmpl w:val="E552F7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F3592A"/>
    <w:multiLevelType w:val="hybridMultilevel"/>
    <w:tmpl w:val="2CB22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55EFF"/>
    <w:multiLevelType w:val="hybridMultilevel"/>
    <w:tmpl w:val="36026C18"/>
    <w:lvl w:ilvl="0" w:tplc="32AC7192">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50E3578B"/>
    <w:multiLevelType w:val="hybridMultilevel"/>
    <w:tmpl w:val="79A67480"/>
    <w:lvl w:ilvl="0" w:tplc="5734B6AE">
      <w:start w:val="1"/>
      <w:numFmt w:val="lowerLetter"/>
      <w:lvlText w:val="(%1)"/>
      <w:lvlJc w:val="left"/>
      <w:pPr>
        <w:ind w:left="720" w:hanging="360"/>
      </w:pPr>
    </w:lvl>
    <w:lvl w:ilvl="1" w:tplc="F0D4B586">
      <w:start w:val="1"/>
      <w:numFmt w:val="lowerRoman"/>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68B0638"/>
    <w:multiLevelType w:val="hybridMultilevel"/>
    <w:tmpl w:val="FF202D34"/>
    <w:lvl w:ilvl="0" w:tplc="F6EC7C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21747"/>
    <w:multiLevelType w:val="hybridMultilevel"/>
    <w:tmpl w:val="195A0D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2"/>
  </w:num>
  <w:num w:numId="10">
    <w:abstractNumId w:val="1"/>
  </w:num>
  <w:num w:numId="11">
    <w:abstractNumId w:val="1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1A"/>
    <w:rsid w:val="0003446A"/>
    <w:rsid w:val="000817A7"/>
    <w:rsid w:val="00155072"/>
    <w:rsid w:val="001A6ACB"/>
    <w:rsid w:val="001B473B"/>
    <w:rsid w:val="001B4E9B"/>
    <w:rsid w:val="00245956"/>
    <w:rsid w:val="00394987"/>
    <w:rsid w:val="003E20AE"/>
    <w:rsid w:val="004066F3"/>
    <w:rsid w:val="00455280"/>
    <w:rsid w:val="004D61A0"/>
    <w:rsid w:val="00642792"/>
    <w:rsid w:val="0069711D"/>
    <w:rsid w:val="00702BA6"/>
    <w:rsid w:val="0073284F"/>
    <w:rsid w:val="00781EF4"/>
    <w:rsid w:val="00896E1A"/>
    <w:rsid w:val="008B080E"/>
    <w:rsid w:val="009F4DBC"/>
    <w:rsid w:val="00A31C3E"/>
    <w:rsid w:val="00A544AA"/>
    <w:rsid w:val="00AE456B"/>
    <w:rsid w:val="00AF5EB8"/>
    <w:rsid w:val="00B06D86"/>
    <w:rsid w:val="00B131FD"/>
    <w:rsid w:val="00B87953"/>
    <w:rsid w:val="00C02224"/>
    <w:rsid w:val="00D25A5E"/>
    <w:rsid w:val="00D27702"/>
    <w:rsid w:val="00DE3780"/>
    <w:rsid w:val="00E30562"/>
    <w:rsid w:val="00EA4F86"/>
    <w:rsid w:val="00EB3A57"/>
    <w:rsid w:val="00EE15CD"/>
    <w:rsid w:val="00F0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8A4AB"/>
  <w15:chartTrackingRefBased/>
  <w15:docId w15:val="{9B96D553-F9A5-4A50-9BB7-81D28A24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E1A"/>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6E1A"/>
    <w:pPr>
      <w:spacing w:after="0" w:line="240" w:lineRule="auto"/>
    </w:pPr>
  </w:style>
  <w:style w:type="paragraph" w:styleId="ListParagraph">
    <w:name w:val="List Paragraph"/>
    <w:basedOn w:val="Normal"/>
    <w:uiPriority w:val="34"/>
    <w:qFormat/>
    <w:rsid w:val="00896E1A"/>
    <w:pPr>
      <w:ind w:left="720"/>
      <w:contextualSpacing/>
    </w:pPr>
  </w:style>
  <w:style w:type="table" w:styleId="TableGrid">
    <w:name w:val="Table Grid"/>
    <w:basedOn w:val="TableNormal"/>
    <w:uiPriority w:val="39"/>
    <w:rsid w:val="00896E1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5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EB8"/>
    <w:rPr>
      <w:rFonts w:ascii="Segoe UI" w:hAnsi="Segoe UI" w:cs="Segoe UI"/>
      <w:sz w:val="18"/>
      <w:szCs w:val="18"/>
    </w:rPr>
  </w:style>
  <w:style w:type="paragraph" w:styleId="Header">
    <w:name w:val="header"/>
    <w:basedOn w:val="Normal"/>
    <w:link w:val="HeaderChar"/>
    <w:uiPriority w:val="99"/>
    <w:unhideWhenUsed/>
    <w:rsid w:val="00781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EF4"/>
  </w:style>
  <w:style w:type="paragraph" w:styleId="Footer">
    <w:name w:val="footer"/>
    <w:basedOn w:val="Normal"/>
    <w:link w:val="FooterChar"/>
    <w:uiPriority w:val="99"/>
    <w:unhideWhenUsed/>
    <w:rsid w:val="00781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8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1743B-CA6B-46C1-961D-0754CE944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Di Ilio</dc:creator>
  <cp:keywords/>
  <dc:description/>
  <cp:lastModifiedBy>Keith Ritchie</cp:lastModifiedBy>
  <cp:revision>4</cp:revision>
  <dcterms:created xsi:type="dcterms:W3CDTF">2020-09-29T13:02:00Z</dcterms:created>
  <dcterms:modified xsi:type="dcterms:W3CDTF">2020-09-29T13:06:00Z</dcterms:modified>
</cp:coreProperties>
</file>