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DB48D" w14:textId="77777777" w:rsidR="0049455D" w:rsidRDefault="0049455D" w:rsidP="0049455D">
      <w:pPr>
        <w:spacing w:after="0"/>
        <w:jc w:val="center"/>
        <w:rPr>
          <w:rFonts w:ascii="Arial" w:hAnsi="Arial" w:cs="Arial"/>
          <w:b/>
          <w:sz w:val="24"/>
        </w:rPr>
      </w:pPr>
      <w:proofErr w:type="spellStart"/>
      <w:r>
        <w:rPr>
          <w:rFonts w:ascii="Arial" w:hAnsi="Arial" w:cs="Arial"/>
          <w:b/>
          <w:sz w:val="24"/>
        </w:rPr>
        <w:t>Elexicon</w:t>
      </w:r>
      <w:proofErr w:type="spellEnd"/>
      <w:r>
        <w:rPr>
          <w:rFonts w:ascii="Arial" w:hAnsi="Arial" w:cs="Arial"/>
          <w:b/>
          <w:sz w:val="24"/>
        </w:rPr>
        <w:t xml:space="preserve"> Energy Inc. – Whitby Rate Zone</w:t>
      </w:r>
    </w:p>
    <w:p w14:paraId="62045C10" w14:textId="0B577960" w:rsidR="0049455D" w:rsidRDefault="0049455D" w:rsidP="0049455D">
      <w:pPr>
        <w:spacing w:after="0"/>
        <w:jc w:val="center"/>
        <w:rPr>
          <w:rFonts w:ascii="Arial" w:hAnsi="Arial" w:cs="Arial"/>
          <w:b/>
          <w:sz w:val="24"/>
        </w:rPr>
      </w:pPr>
      <w:r>
        <w:rPr>
          <w:rFonts w:ascii="Arial" w:hAnsi="Arial" w:cs="Arial"/>
          <w:b/>
          <w:sz w:val="24"/>
        </w:rPr>
        <w:t>EB-</w:t>
      </w:r>
      <w:r w:rsidR="00551DF9">
        <w:rPr>
          <w:rFonts w:ascii="Arial" w:hAnsi="Arial" w:cs="Arial"/>
          <w:b/>
          <w:sz w:val="24"/>
        </w:rPr>
        <w:t>2020-0012</w:t>
      </w:r>
    </w:p>
    <w:p w14:paraId="5C4CBFA8" w14:textId="77777777" w:rsidR="0049455D" w:rsidRDefault="0049455D" w:rsidP="0049455D">
      <w:pPr>
        <w:spacing w:after="0"/>
        <w:jc w:val="center"/>
        <w:rPr>
          <w:rFonts w:ascii="Arial" w:hAnsi="Arial" w:cs="Arial"/>
          <w:b/>
          <w:sz w:val="24"/>
        </w:rPr>
      </w:pPr>
      <w:r>
        <w:rPr>
          <w:rFonts w:ascii="Arial" w:hAnsi="Arial" w:cs="Arial"/>
          <w:b/>
          <w:sz w:val="24"/>
        </w:rPr>
        <w:t>OEB Staff Questions</w:t>
      </w:r>
    </w:p>
    <w:p w14:paraId="076174D0" w14:textId="7AF4CB4D" w:rsidR="00A23092" w:rsidRDefault="00E3223D"/>
    <w:p w14:paraId="3E2FB9EC" w14:textId="531638C6" w:rsidR="0043559D" w:rsidRDefault="0043559D">
      <w:pPr>
        <w:rPr>
          <w:rFonts w:ascii="Arial" w:hAnsi="Arial" w:cs="Arial"/>
          <w:b/>
          <w:bCs/>
          <w:sz w:val="24"/>
          <w:szCs w:val="24"/>
        </w:rPr>
      </w:pPr>
      <w:r>
        <w:rPr>
          <w:rFonts w:ascii="Arial" w:hAnsi="Arial" w:cs="Arial"/>
          <w:b/>
          <w:bCs/>
          <w:sz w:val="24"/>
          <w:szCs w:val="24"/>
        </w:rPr>
        <w:t>Staff Question – 1</w:t>
      </w:r>
    </w:p>
    <w:p w14:paraId="71C1CE53" w14:textId="43CCBE55" w:rsidR="0043559D" w:rsidRDefault="0043559D">
      <w:pPr>
        <w:rPr>
          <w:rFonts w:ascii="Arial" w:hAnsi="Arial" w:cs="Arial"/>
          <w:b/>
          <w:bCs/>
          <w:sz w:val="24"/>
          <w:szCs w:val="24"/>
        </w:rPr>
      </w:pPr>
      <w:r>
        <w:rPr>
          <w:rFonts w:ascii="Arial" w:hAnsi="Arial" w:cs="Arial"/>
          <w:b/>
          <w:bCs/>
          <w:sz w:val="24"/>
          <w:szCs w:val="24"/>
        </w:rPr>
        <w:t xml:space="preserve">Ref: </w:t>
      </w:r>
      <w:proofErr w:type="spellStart"/>
      <w:r>
        <w:rPr>
          <w:rFonts w:ascii="Arial" w:hAnsi="Arial" w:cs="Arial"/>
          <w:b/>
          <w:bCs/>
          <w:sz w:val="24"/>
          <w:szCs w:val="24"/>
        </w:rPr>
        <w:t>Elexicon</w:t>
      </w:r>
      <w:proofErr w:type="spellEnd"/>
      <w:r>
        <w:rPr>
          <w:rFonts w:ascii="Arial" w:hAnsi="Arial" w:cs="Arial"/>
          <w:b/>
          <w:bCs/>
          <w:sz w:val="24"/>
          <w:szCs w:val="24"/>
        </w:rPr>
        <w:t>- Whitby’s 2020 IRM Decision and Order EB-2019-0130; Application, pages 11, 16 &amp; 17</w:t>
      </w:r>
    </w:p>
    <w:p w14:paraId="5AFA4742" w14:textId="32466E09" w:rsidR="0043559D" w:rsidRDefault="0043559D">
      <w:pPr>
        <w:rPr>
          <w:rFonts w:ascii="Arial" w:hAnsi="Arial" w:cs="Arial"/>
          <w:sz w:val="24"/>
          <w:szCs w:val="24"/>
        </w:rPr>
      </w:pPr>
      <w:r>
        <w:rPr>
          <w:rFonts w:ascii="Arial" w:hAnsi="Arial" w:cs="Arial"/>
          <w:sz w:val="24"/>
          <w:szCs w:val="24"/>
        </w:rPr>
        <w:t xml:space="preserve">Page 8 of </w:t>
      </w:r>
      <w:proofErr w:type="spellStart"/>
      <w:r>
        <w:rPr>
          <w:rFonts w:ascii="Arial" w:hAnsi="Arial" w:cs="Arial"/>
          <w:sz w:val="24"/>
          <w:szCs w:val="24"/>
        </w:rPr>
        <w:t>Elexicon</w:t>
      </w:r>
      <w:proofErr w:type="spellEnd"/>
      <w:r>
        <w:rPr>
          <w:rFonts w:ascii="Arial" w:hAnsi="Arial" w:cs="Arial"/>
          <w:sz w:val="24"/>
          <w:szCs w:val="24"/>
        </w:rPr>
        <w:t xml:space="preserve"> – Whitby’s 2020 IRM Decision and Order states that: </w:t>
      </w:r>
    </w:p>
    <w:p w14:paraId="033C1D3E" w14:textId="3D1FEB0C" w:rsidR="0043559D" w:rsidRPr="0043559D" w:rsidRDefault="0043559D" w:rsidP="0043559D">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OEB finds that the implementation of the February 21, 2019 accounting guidance </w:t>
      </w:r>
      <w:r>
        <w:rPr>
          <w:rFonts w:ascii="Arial" w:hAnsi="Arial" w:cs="Arial"/>
          <w:sz w:val="24"/>
          <w:szCs w:val="24"/>
        </w:rPr>
        <w:tab/>
        <w:t xml:space="preserve">is mandatory. However, given the special circumstances of integrating the </w:t>
      </w:r>
      <w:r>
        <w:rPr>
          <w:rFonts w:ascii="Arial" w:hAnsi="Arial" w:cs="Arial"/>
          <w:sz w:val="24"/>
          <w:szCs w:val="24"/>
        </w:rPr>
        <w:tab/>
        <w:t xml:space="preserve">operations of the two merged distributors’ rate zones, OEB will approve an </w:t>
      </w:r>
      <w:r>
        <w:rPr>
          <w:rFonts w:ascii="Arial" w:hAnsi="Arial" w:cs="Arial"/>
          <w:sz w:val="24"/>
          <w:szCs w:val="24"/>
        </w:rPr>
        <w:tab/>
        <w:t xml:space="preserve">extension for the implementation of the accounting guidance to align with the </w:t>
      </w:r>
      <w:r>
        <w:rPr>
          <w:rFonts w:ascii="Arial" w:hAnsi="Arial" w:cs="Arial"/>
          <w:sz w:val="24"/>
          <w:szCs w:val="24"/>
        </w:rPr>
        <w:tab/>
        <w:t>implementation date of the new integrated CIS system.</w:t>
      </w:r>
    </w:p>
    <w:p w14:paraId="42A57BED" w14:textId="77777777" w:rsidR="0043559D" w:rsidRPr="0043559D" w:rsidRDefault="0043559D">
      <w:pPr>
        <w:rPr>
          <w:rFonts w:ascii="Arial" w:hAnsi="Arial" w:cs="Arial"/>
          <w:sz w:val="24"/>
          <w:szCs w:val="24"/>
        </w:rPr>
      </w:pPr>
    </w:p>
    <w:p w14:paraId="003A3FF6" w14:textId="052443D6" w:rsidR="0043559D" w:rsidRDefault="0043559D">
      <w:pPr>
        <w:rPr>
          <w:rFonts w:ascii="Arial" w:hAnsi="Arial" w:cs="Arial"/>
          <w:sz w:val="24"/>
          <w:szCs w:val="24"/>
        </w:rPr>
      </w:pPr>
      <w:r w:rsidRPr="0043559D">
        <w:rPr>
          <w:rFonts w:ascii="Arial" w:hAnsi="Arial" w:cs="Arial"/>
          <w:sz w:val="24"/>
          <w:szCs w:val="24"/>
        </w:rPr>
        <w:t xml:space="preserve">On page 17 of this application, </w:t>
      </w:r>
      <w:proofErr w:type="spellStart"/>
      <w:r w:rsidRPr="0043559D">
        <w:rPr>
          <w:rFonts w:ascii="Arial" w:hAnsi="Arial" w:cs="Arial"/>
          <w:sz w:val="24"/>
          <w:szCs w:val="24"/>
        </w:rPr>
        <w:t>Elexicon</w:t>
      </w:r>
      <w:proofErr w:type="spellEnd"/>
      <w:r>
        <w:rPr>
          <w:rFonts w:ascii="Arial" w:hAnsi="Arial" w:cs="Arial"/>
          <w:sz w:val="24"/>
          <w:szCs w:val="24"/>
        </w:rPr>
        <w:t xml:space="preserve"> – Whitby states that:</w:t>
      </w:r>
    </w:p>
    <w:p w14:paraId="7C4A07D4" w14:textId="42AD48D5" w:rsidR="0043559D" w:rsidRPr="0043559D" w:rsidRDefault="0043559D" w:rsidP="0043559D">
      <w:pPr>
        <w:autoSpaceDE w:val="0"/>
        <w:autoSpaceDN w:val="0"/>
        <w:adjustRightInd w:val="0"/>
        <w:spacing w:after="0" w:line="240" w:lineRule="auto"/>
        <w:rPr>
          <w:rFonts w:ascii="Arial" w:hAnsi="Arial" w:cs="Arial"/>
          <w:sz w:val="24"/>
          <w:szCs w:val="24"/>
        </w:rPr>
      </w:pPr>
      <w:r>
        <w:rPr>
          <w:rFonts w:ascii="Arial" w:hAnsi="Arial" w:cs="Arial"/>
          <w:sz w:val="24"/>
          <w:szCs w:val="24"/>
        </w:rPr>
        <w:tab/>
      </w:r>
      <w:proofErr w:type="spellStart"/>
      <w:r w:rsidRPr="0043559D">
        <w:rPr>
          <w:rFonts w:ascii="Arial" w:hAnsi="Arial" w:cs="Arial"/>
          <w:sz w:val="24"/>
          <w:szCs w:val="24"/>
        </w:rPr>
        <w:t>Elexicon’s</w:t>
      </w:r>
      <w:proofErr w:type="spellEnd"/>
      <w:r w:rsidRPr="0043559D">
        <w:rPr>
          <w:rFonts w:ascii="Arial" w:hAnsi="Arial" w:cs="Arial"/>
          <w:sz w:val="24"/>
          <w:szCs w:val="24"/>
        </w:rPr>
        <w:t xml:space="preserve"> project to</w:t>
      </w:r>
      <w:r>
        <w:rPr>
          <w:rFonts w:ascii="Arial" w:hAnsi="Arial" w:cs="Arial"/>
          <w:sz w:val="24"/>
          <w:szCs w:val="24"/>
        </w:rPr>
        <w:t xml:space="preserve"> </w:t>
      </w:r>
      <w:r w:rsidRPr="0043559D">
        <w:rPr>
          <w:rFonts w:ascii="Arial" w:hAnsi="Arial" w:cs="Arial"/>
          <w:sz w:val="24"/>
          <w:szCs w:val="24"/>
        </w:rPr>
        <w:t xml:space="preserve">integrate its legacy rate zone’s CIS systems was planned </w:t>
      </w:r>
      <w:r>
        <w:rPr>
          <w:rFonts w:ascii="Arial" w:hAnsi="Arial" w:cs="Arial"/>
          <w:sz w:val="24"/>
          <w:szCs w:val="24"/>
        </w:rPr>
        <w:tab/>
      </w:r>
      <w:r w:rsidRPr="0043559D">
        <w:rPr>
          <w:rFonts w:ascii="Arial" w:hAnsi="Arial" w:cs="Arial"/>
          <w:sz w:val="24"/>
          <w:szCs w:val="24"/>
        </w:rPr>
        <w:t>during 2020, however, the project has</w:t>
      </w:r>
      <w:r>
        <w:rPr>
          <w:rFonts w:ascii="Arial" w:hAnsi="Arial" w:cs="Arial"/>
          <w:sz w:val="24"/>
          <w:szCs w:val="24"/>
        </w:rPr>
        <w:t xml:space="preserve"> </w:t>
      </w:r>
      <w:r w:rsidRPr="0043559D">
        <w:rPr>
          <w:rFonts w:ascii="Arial" w:hAnsi="Arial" w:cs="Arial"/>
          <w:sz w:val="24"/>
          <w:szCs w:val="24"/>
        </w:rPr>
        <w:t xml:space="preserve">experienced some minor delays triggered </w:t>
      </w:r>
      <w:r>
        <w:rPr>
          <w:rFonts w:ascii="Arial" w:hAnsi="Arial" w:cs="Arial"/>
          <w:sz w:val="24"/>
          <w:szCs w:val="24"/>
        </w:rPr>
        <w:tab/>
      </w:r>
      <w:r w:rsidRPr="0043559D">
        <w:rPr>
          <w:rFonts w:ascii="Arial" w:hAnsi="Arial" w:cs="Arial"/>
          <w:sz w:val="24"/>
          <w:szCs w:val="24"/>
        </w:rPr>
        <w:t>by the COVID-19 environment which has affected the timing of</w:t>
      </w:r>
      <w:r>
        <w:rPr>
          <w:rFonts w:ascii="Arial" w:hAnsi="Arial" w:cs="Arial"/>
          <w:sz w:val="24"/>
          <w:szCs w:val="24"/>
        </w:rPr>
        <w:t xml:space="preserve"> </w:t>
      </w:r>
      <w:r w:rsidRPr="0043559D">
        <w:rPr>
          <w:rFonts w:ascii="Arial" w:hAnsi="Arial" w:cs="Arial"/>
          <w:sz w:val="24"/>
          <w:szCs w:val="24"/>
        </w:rPr>
        <w:t xml:space="preserve">coordinated </w:t>
      </w:r>
      <w:r>
        <w:rPr>
          <w:rFonts w:ascii="Arial" w:hAnsi="Arial" w:cs="Arial"/>
          <w:sz w:val="24"/>
          <w:szCs w:val="24"/>
        </w:rPr>
        <w:tab/>
      </w:r>
      <w:r w:rsidRPr="0043559D">
        <w:rPr>
          <w:rFonts w:ascii="Arial" w:hAnsi="Arial" w:cs="Arial"/>
          <w:sz w:val="24"/>
          <w:szCs w:val="24"/>
        </w:rPr>
        <w:t xml:space="preserve">activities with the IESO as the provincial MDMR. </w:t>
      </w:r>
      <w:proofErr w:type="spellStart"/>
      <w:r w:rsidRPr="0043559D">
        <w:rPr>
          <w:rFonts w:ascii="Arial" w:hAnsi="Arial" w:cs="Arial"/>
          <w:sz w:val="24"/>
          <w:szCs w:val="24"/>
        </w:rPr>
        <w:t>Elexicon</w:t>
      </w:r>
      <w:proofErr w:type="spellEnd"/>
      <w:r w:rsidRPr="0043559D">
        <w:rPr>
          <w:rFonts w:ascii="Arial" w:hAnsi="Arial" w:cs="Arial"/>
          <w:sz w:val="24"/>
          <w:szCs w:val="24"/>
        </w:rPr>
        <w:t xml:space="preserve"> still plans to have the </w:t>
      </w:r>
      <w:r>
        <w:rPr>
          <w:rFonts w:ascii="Arial" w:hAnsi="Arial" w:cs="Arial"/>
          <w:sz w:val="24"/>
          <w:szCs w:val="24"/>
        </w:rPr>
        <w:tab/>
      </w:r>
      <w:r w:rsidRPr="0043559D">
        <w:rPr>
          <w:rFonts w:ascii="Arial" w:hAnsi="Arial" w:cs="Arial"/>
          <w:sz w:val="24"/>
          <w:szCs w:val="24"/>
        </w:rPr>
        <w:t>CIS project</w:t>
      </w:r>
      <w:r>
        <w:rPr>
          <w:rFonts w:ascii="Arial" w:hAnsi="Arial" w:cs="Arial"/>
          <w:sz w:val="24"/>
          <w:szCs w:val="24"/>
        </w:rPr>
        <w:t xml:space="preserve"> </w:t>
      </w:r>
      <w:r w:rsidRPr="0043559D">
        <w:rPr>
          <w:rFonts w:ascii="Arial" w:hAnsi="Arial" w:cs="Arial"/>
          <w:sz w:val="24"/>
          <w:szCs w:val="24"/>
        </w:rPr>
        <w:t>completed later in 2020.</w:t>
      </w:r>
    </w:p>
    <w:p w14:paraId="06A4B8F5" w14:textId="6C6BAE02" w:rsidR="0043559D" w:rsidRDefault="0043559D">
      <w:pPr>
        <w:rPr>
          <w:rFonts w:ascii="Arial" w:hAnsi="Arial" w:cs="Arial"/>
          <w:b/>
          <w:bCs/>
          <w:sz w:val="24"/>
          <w:szCs w:val="24"/>
        </w:rPr>
      </w:pPr>
    </w:p>
    <w:p w14:paraId="79FF7AD5" w14:textId="20A6F1DE" w:rsidR="0043559D" w:rsidRDefault="0043559D" w:rsidP="0043559D">
      <w:pPr>
        <w:rPr>
          <w:rFonts w:ascii="Arial" w:hAnsi="Arial" w:cs="Arial"/>
          <w:sz w:val="24"/>
          <w:szCs w:val="24"/>
        </w:rPr>
      </w:pPr>
      <w:proofErr w:type="spellStart"/>
      <w:r>
        <w:rPr>
          <w:rFonts w:ascii="Arial" w:hAnsi="Arial" w:cs="Arial"/>
          <w:sz w:val="24"/>
          <w:szCs w:val="24"/>
        </w:rPr>
        <w:t>Elexicon</w:t>
      </w:r>
      <w:proofErr w:type="spellEnd"/>
      <w:r>
        <w:rPr>
          <w:rFonts w:ascii="Arial" w:hAnsi="Arial" w:cs="Arial"/>
          <w:sz w:val="24"/>
          <w:szCs w:val="24"/>
        </w:rPr>
        <w:t>- Whitby explains that “</w:t>
      </w:r>
      <w:r w:rsidRPr="0043559D">
        <w:rPr>
          <w:rFonts w:ascii="Arial" w:hAnsi="Arial" w:cs="Arial"/>
          <w:sz w:val="24"/>
          <w:szCs w:val="24"/>
        </w:rPr>
        <w:t>EW’s last</w:t>
      </w:r>
      <w:r>
        <w:rPr>
          <w:rFonts w:ascii="Arial" w:hAnsi="Arial" w:cs="Arial"/>
          <w:sz w:val="24"/>
          <w:szCs w:val="24"/>
        </w:rPr>
        <w:t xml:space="preserve"> </w:t>
      </w:r>
      <w:r w:rsidRPr="0043559D">
        <w:rPr>
          <w:rFonts w:ascii="Arial" w:hAnsi="Arial" w:cs="Arial"/>
          <w:sz w:val="24"/>
          <w:szCs w:val="24"/>
        </w:rPr>
        <w:t>disposition of Group 1 account balances was in the 2018 IRM application (EB-2017-0085 / EB-2017-70292) which was based on 2016 balances</w:t>
      </w:r>
      <w:r w:rsidR="002178B0">
        <w:rPr>
          <w:rFonts w:ascii="Arial" w:hAnsi="Arial" w:cs="Arial"/>
          <w:sz w:val="24"/>
          <w:szCs w:val="24"/>
        </w:rPr>
        <w:t>”</w:t>
      </w:r>
      <w:r w:rsidRPr="0043559D">
        <w:rPr>
          <w:rFonts w:ascii="Arial" w:hAnsi="Arial" w:cs="Arial"/>
          <w:sz w:val="24"/>
          <w:szCs w:val="24"/>
        </w:rPr>
        <w:t>.</w:t>
      </w:r>
      <w:r w:rsidR="002178B0">
        <w:rPr>
          <w:rFonts w:ascii="Arial" w:hAnsi="Arial" w:cs="Arial"/>
          <w:sz w:val="24"/>
          <w:szCs w:val="24"/>
        </w:rPr>
        <w:t xml:space="preserve">  </w:t>
      </w:r>
    </w:p>
    <w:p w14:paraId="3F99A5CB" w14:textId="18473153" w:rsidR="002178B0" w:rsidRDefault="002178B0" w:rsidP="0043559D">
      <w:pPr>
        <w:rPr>
          <w:rFonts w:ascii="Arial" w:hAnsi="Arial" w:cs="Arial"/>
          <w:sz w:val="24"/>
          <w:szCs w:val="24"/>
        </w:rPr>
      </w:pPr>
      <w:r>
        <w:rPr>
          <w:rFonts w:ascii="Arial" w:hAnsi="Arial" w:cs="Arial"/>
          <w:sz w:val="24"/>
          <w:szCs w:val="24"/>
        </w:rPr>
        <w:t xml:space="preserve">OEB staff notes that </w:t>
      </w:r>
      <w:proofErr w:type="spellStart"/>
      <w:r>
        <w:rPr>
          <w:rFonts w:ascii="Arial" w:hAnsi="Arial" w:cs="Arial"/>
          <w:sz w:val="24"/>
          <w:szCs w:val="24"/>
        </w:rPr>
        <w:t>Elexicon</w:t>
      </w:r>
      <w:proofErr w:type="spellEnd"/>
      <w:r>
        <w:rPr>
          <w:rFonts w:ascii="Arial" w:hAnsi="Arial" w:cs="Arial"/>
          <w:sz w:val="24"/>
          <w:szCs w:val="24"/>
        </w:rPr>
        <w:t xml:space="preserve">-Whitby had reviewed the historical balances in 2018 and four months in 2019 to compare its methodology to the OEB’s methodology in its 2020 IRM proceeding and it provides </w:t>
      </w:r>
      <w:r w:rsidR="007F5951">
        <w:rPr>
          <w:rFonts w:ascii="Arial" w:hAnsi="Arial" w:cs="Arial"/>
          <w:sz w:val="24"/>
          <w:szCs w:val="24"/>
        </w:rPr>
        <w:t>an excel spreadsheet</w:t>
      </w:r>
      <w:r>
        <w:rPr>
          <w:rFonts w:ascii="Arial" w:hAnsi="Arial" w:cs="Arial"/>
          <w:sz w:val="24"/>
          <w:szCs w:val="24"/>
        </w:rPr>
        <w:t xml:space="preserve"> for 2019</w:t>
      </w:r>
      <w:r w:rsidR="007F5951">
        <w:rPr>
          <w:rFonts w:ascii="Arial" w:hAnsi="Arial" w:cs="Arial"/>
          <w:sz w:val="24"/>
          <w:szCs w:val="24"/>
        </w:rPr>
        <w:t>’s full year review</w:t>
      </w:r>
      <w:r>
        <w:rPr>
          <w:rFonts w:ascii="Arial" w:hAnsi="Arial" w:cs="Arial"/>
          <w:sz w:val="24"/>
          <w:szCs w:val="24"/>
        </w:rPr>
        <w:t xml:space="preserve"> in the current application. </w:t>
      </w:r>
    </w:p>
    <w:p w14:paraId="54021C2B" w14:textId="77777777" w:rsidR="002178B0" w:rsidRDefault="002178B0" w:rsidP="002178B0">
      <w:pPr>
        <w:pStyle w:val="ListParagraph"/>
        <w:numPr>
          <w:ilvl w:val="0"/>
          <w:numId w:val="6"/>
        </w:numPr>
        <w:rPr>
          <w:rFonts w:ascii="Arial" w:hAnsi="Arial" w:cs="Arial"/>
          <w:sz w:val="24"/>
          <w:szCs w:val="24"/>
        </w:rPr>
      </w:pPr>
      <w:r>
        <w:rPr>
          <w:rFonts w:ascii="Arial" w:hAnsi="Arial" w:cs="Arial"/>
          <w:sz w:val="24"/>
          <w:szCs w:val="24"/>
        </w:rPr>
        <w:t xml:space="preserve">Please confirm </w:t>
      </w:r>
      <w:proofErr w:type="gramStart"/>
      <w:r>
        <w:rPr>
          <w:rFonts w:ascii="Arial" w:hAnsi="Arial" w:cs="Arial"/>
          <w:sz w:val="24"/>
          <w:szCs w:val="24"/>
        </w:rPr>
        <w:t>whether or not</w:t>
      </w:r>
      <w:proofErr w:type="gramEnd"/>
      <w:r>
        <w:rPr>
          <w:rFonts w:ascii="Arial" w:hAnsi="Arial" w:cs="Arial"/>
          <w:sz w:val="24"/>
          <w:szCs w:val="24"/>
        </w:rPr>
        <w:t xml:space="preserve"> </w:t>
      </w:r>
      <w:proofErr w:type="spellStart"/>
      <w:r>
        <w:rPr>
          <w:rFonts w:ascii="Arial" w:hAnsi="Arial" w:cs="Arial"/>
          <w:sz w:val="24"/>
          <w:szCs w:val="24"/>
        </w:rPr>
        <w:t>Elexicon</w:t>
      </w:r>
      <w:proofErr w:type="spellEnd"/>
      <w:r>
        <w:rPr>
          <w:rFonts w:ascii="Arial" w:hAnsi="Arial" w:cs="Arial"/>
          <w:sz w:val="24"/>
          <w:szCs w:val="24"/>
        </w:rPr>
        <w:t xml:space="preserve">-Whitby expects further adjustments to any of the DVAs upon the implementation of the new integrated CIS system. If so, please provide the details. </w:t>
      </w:r>
    </w:p>
    <w:p w14:paraId="238418A3" w14:textId="11382822" w:rsidR="002178B0" w:rsidRPr="002178B0" w:rsidRDefault="008A08A8" w:rsidP="002178B0">
      <w:pPr>
        <w:pStyle w:val="ListParagraph"/>
        <w:numPr>
          <w:ilvl w:val="0"/>
          <w:numId w:val="6"/>
        </w:numPr>
        <w:rPr>
          <w:rFonts w:ascii="Arial" w:hAnsi="Arial" w:cs="Arial"/>
          <w:sz w:val="24"/>
          <w:szCs w:val="24"/>
        </w:rPr>
      </w:pPr>
      <w:r>
        <w:rPr>
          <w:rFonts w:ascii="Arial" w:hAnsi="Arial" w:cs="Arial"/>
          <w:sz w:val="24"/>
          <w:szCs w:val="24"/>
        </w:rPr>
        <w:t xml:space="preserve">Please explain why </w:t>
      </w:r>
      <w:proofErr w:type="spellStart"/>
      <w:r>
        <w:rPr>
          <w:rFonts w:ascii="Arial" w:hAnsi="Arial" w:cs="Arial"/>
          <w:sz w:val="24"/>
          <w:szCs w:val="24"/>
        </w:rPr>
        <w:t>Elexicon</w:t>
      </w:r>
      <w:proofErr w:type="spellEnd"/>
      <w:r>
        <w:rPr>
          <w:rFonts w:ascii="Arial" w:hAnsi="Arial" w:cs="Arial"/>
          <w:sz w:val="24"/>
          <w:szCs w:val="24"/>
        </w:rPr>
        <w:t xml:space="preserve">-Whitby has not review the </w:t>
      </w:r>
      <w:r w:rsidR="007F5951">
        <w:rPr>
          <w:rFonts w:ascii="Arial" w:hAnsi="Arial" w:cs="Arial"/>
          <w:sz w:val="24"/>
          <w:szCs w:val="24"/>
        </w:rPr>
        <w:t xml:space="preserve">2017 </w:t>
      </w:r>
      <w:r>
        <w:rPr>
          <w:rFonts w:ascii="Arial" w:hAnsi="Arial" w:cs="Arial"/>
          <w:sz w:val="24"/>
          <w:szCs w:val="24"/>
        </w:rPr>
        <w:t xml:space="preserve">historical balances for Accounts 1588 and 1589 for the purpose of comparing the differences in methodologies, given the </w:t>
      </w:r>
      <w:r w:rsidR="007F5951">
        <w:rPr>
          <w:rFonts w:ascii="Arial" w:hAnsi="Arial" w:cs="Arial"/>
          <w:sz w:val="24"/>
          <w:szCs w:val="24"/>
        </w:rPr>
        <w:t xml:space="preserve">2017 </w:t>
      </w:r>
      <w:r>
        <w:rPr>
          <w:rFonts w:ascii="Arial" w:hAnsi="Arial" w:cs="Arial"/>
          <w:sz w:val="24"/>
          <w:szCs w:val="24"/>
        </w:rPr>
        <w:t xml:space="preserve">balances </w:t>
      </w:r>
      <w:r w:rsidR="007F5951">
        <w:rPr>
          <w:rFonts w:ascii="Arial" w:hAnsi="Arial" w:cs="Arial"/>
          <w:sz w:val="24"/>
          <w:szCs w:val="24"/>
        </w:rPr>
        <w:t xml:space="preserve">have </w:t>
      </w:r>
      <w:r>
        <w:rPr>
          <w:rFonts w:ascii="Arial" w:hAnsi="Arial" w:cs="Arial"/>
          <w:sz w:val="24"/>
          <w:szCs w:val="24"/>
        </w:rPr>
        <w:t>not</w:t>
      </w:r>
      <w:r w:rsidR="007F5951">
        <w:rPr>
          <w:rFonts w:ascii="Arial" w:hAnsi="Arial" w:cs="Arial"/>
          <w:sz w:val="24"/>
          <w:szCs w:val="24"/>
        </w:rPr>
        <w:t xml:space="preserve"> been</w:t>
      </w:r>
      <w:r>
        <w:rPr>
          <w:rFonts w:ascii="Arial" w:hAnsi="Arial" w:cs="Arial"/>
          <w:sz w:val="24"/>
          <w:szCs w:val="24"/>
        </w:rPr>
        <w:t xml:space="preserve"> disposed. </w:t>
      </w:r>
      <w:r w:rsidR="002178B0">
        <w:rPr>
          <w:rFonts w:ascii="Arial" w:hAnsi="Arial" w:cs="Arial"/>
          <w:sz w:val="24"/>
          <w:szCs w:val="24"/>
        </w:rPr>
        <w:t xml:space="preserve"> </w:t>
      </w:r>
    </w:p>
    <w:p w14:paraId="4BC724FB" w14:textId="77777777" w:rsidR="002178B0" w:rsidRDefault="002178B0" w:rsidP="0043559D">
      <w:pPr>
        <w:rPr>
          <w:rFonts w:ascii="Arial" w:hAnsi="Arial" w:cs="Arial"/>
          <w:sz w:val="24"/>
          <w:szCs w:val="24"/>
        </w:rPr>
      </w:pPr>
    </w:p>
    <w:p w14:paraId="097846AC" w14:textId="77777777" w:rsidR="00EE7C07" w:rsidRDefault="00EE7C07" w:rsidP="008A08A8">
      <w:pPr>
        <w:rPr>
          <w:rFonts w:ascii="Arial" w:hAnsi="Arial" w:cs="Arial"/>
          <w:b/>
          <w:bCs/>
          <w:sz w:val="24"/>
          <w:szCs w:val="24"/>
        </w:rPr>
      </w:pPr>
    </w:p>
    <w:p w14:paraId="20E8B4F1" w14:textId="77777777" w:rsidR="00EE7C07" w:rsidRDefault="00EE7C07" w:rsidP="008A08A8">
      <w:pPr>
        <w:rPr>
          <w:rFonts w:ascii="Arial" w:hAnsi="Arial" w:cs="Arial"/>
          <w:b/>
          <w:bCs/>
          <w:sz w:val="24"/>
          <w:szCs w:val="24"/>
        </w:rPr>
      </w:pPr>
    </w:p>
    <w:p w14:paraId="2C51C93B" w14:textId="4A09456A" w:rsidR="00EE7C07" w:rsidRDefault="00EE7C07" w:rsidP="008A08A8">
      <w:pPr>
        <w:rPr>
          <w:rFonts w:ascii="Arial" w:hAnsi="Arial" w:cs="Arial"/>
          <w:b/>
          <w:bCs/>
          <w:sz w:val="24"/>
          <w:szCs w:val="24"/>
        </w:rPr>
      </w:pPr>
      <w:r>
        <w:rPr>
          <w:rFonts w:ascii="Arial" w:hAnsi="Arial" w:cs="Arial"/>
          <w:b/>
          <w:bCs/>
          <w:sz w:val="24"/>
          <w:szCs w:val="24"/>
        </w:rPr>
        <w:lastRenderedPageBreak/>
        <w:t>Staff Question – 2</w:t>
      </w:r>
    </w:p>
    <w:p w14:paraId="3DD4CC8A" w14:textId="415D210A" w:rsidR="00EE7C07" w:rsidRDefault="00EE7C07" w:rsidP="008A08A8">
      <w:pPr>
        <w:rPr>
          <w:rFonts w:ascii="Arial" w:hAnsi="Arial" w:cs="Arial"/>
          <w:b/>
          <w:bCs/>
          <w:sz w:val="24"/>
          <w:szCs w:val="24"/>
        </w:rPr>
      </w:pPr>
      <w:r>
        <w:rPr>
          <w:rFonts w:ascii="Arial" w:hAnsi="Arial" w:cs="Arial"/>
          <w:b/>
          <w:bCs/>
          <w:sz w:val="24"/>
          <w:szCs w:val="24"/>
        </w:rPr>
        <w:t xml:space="preserve">Ref: </w:t>
      </w:r>
      <w:r w:rsidR="00D85D64">
        <w:rPr>
          <w:rFonts w:ascii="Arial" w:hAnsi="Arial" w:cs="Arial"/>
          <w:b/>
          <w:bCs/>
          <w:sz w:val="24"/>
          <w:szCs w:val="24"/>
        </w:rPr>
        <w:t xml:space="preserve">The OEB’s Q&amp;As on the 1588 and 1589 dated Oct 31, 2019; </w:t>
      </w:r>
      <w:proofErr w:type="spellStart"/>
      <w:r w:rsidR="005F2B37">
        <w:rPr>
          <w:rFonts w:ascii="Arial" w:hAnsi="Arial" w:cs="Arial"/>
          <w:b/>
          <w:bCs/>
          <w:sz w:val="24"/>
          <w:szCs w:val="24"/>
        </w:rPr>
        <w:t>Elexicon</w:t>
      </w:r>
      <w:proofErr w:type="spellEnd"/>
      <w:r w:rsidR="005F2B37">
        <w:rPr>
          <w:rFonts w:ascii="Arial" w:hAnsi="Arial" w:cs="Arial"/>
          <w:b/>
          <w:bCs/>
          <w:sz w:val="24"/>
          <w:szCs w:val="24"/>
        </w:rPr>
        <w:t xml:space="preserve">- Whitby’s 2020 IRM Decision and Order; </w:t>
      </w:r>
      <w:r w:rsidR="00D85D64">
        <w:rPr>
          <w:rFonts w:ascii="Arial" w:hAnsi="Arial" w:cs="Arial"/>
          <w:b/>
          <w:bCs/>
          <w:sz w:val="24"/>
          <w:szCs w:val="24"/>
        </w:rPr>
        <w:t>Appendix J, Supplemental Evidence – 1588/1589 Accounting Guidance, pages 7 and 8</w:t>
      </w:r>
    </w:p>
    <w:p w14:paraId="54AC93A3" w14:textId="43B24AE9" w:rsidR="005F2B37" w:rsidRDefault="00F753FA" w:rsidP="00F753F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Regarding the different method and process used by </w:t>
      </w:r>
      <w:proofErr w:type="spellStart"/>
      <w:r>
        <w:rPr>
          <w:rFonts w:ascii="Arial" w:hAnsi="Arial" w:cs="Arial"/>
          <w:sz w:val="24"/>
          <w:szCs w:val="24"/>
        </w:rPr>
        <w:t>Elexicon</w:t>
      </w:r>
      <w:proofErr w:type="spellEnd"/>
      <w:r>
        <w:rPr>
          <w:rFonts w:ascii="Arial" w:hAnsi="Arial" w:cs="Arial"/>
          <w:sz w:val="24"/>
          <w:szCs w:val="24"/>
        </w:rPr>
        <w:t xml:space="preserve">-Whitby, </w:t>
      </w:r>
      <w:proofErr w:type="spellStart"/>
      <w:r w:rsidR="005F2B37">
        <w:rPr>
          <w:rFonts w:ascii="Arial" w:hAnsi="Arial" w:cs="Arial"/>
          <w:sz w:val="24"/>
          <w:szCs w:val="24"/>
        </w:rPr>
        <w:t>Elexicon</w:t>
      </w:r>
      <w:proofErr w:type="spellEnd"/>
      <w:r w:rsidR="005F2B37">
        <w:rPr>
          <w:rFonts w:ascii="Arial" w:hAnsi="Arial" w:cs="Arial"/>
          <w:sz w:val="24"/>
          <w:szCs w:val="24"/>
        </w:rPr>
        <w:t>-Whitby’s 2020 IRM decision and order EB-2019-0130 states that</w:t>
      </w:r>
      <w:r>
        <w:rPr>
          <w:rFonts w:ascii="Arial" w:hAnsi="Arial" w:cs="Arial"/>
          <w:sz w:val="24"/>
          <w:szCs w:val="24"/>
        </w:rPr>
        <w:t xml:space="preserve"> “OEB finds that the implementation of the February 21, 2019 accounting guidance is mandatory”.</w:t>
      </w:r>
      <w:r>
        <w:rPr>
          <w:rStyle w:val="FootnoteReference"/>
          <w:rFonts w:ascii="Arial" w:hAnsi="Arial" w:cs="Arial"/>
          <w:sz w:val="24"/>
          <w:szCs w:val="24"/>
        </w:rPr>
        <w:footnoteReference w:id="1"/>
      </w:r>
    </w:p>
    <w:p w14:paraId="1630D65F" w14:textId="6A9CBD6C" w:rsidR="00F753FA" w:rsidRDefault="00F753FA" w:rsidP="005F2B37">
      <w:pPr>
        <w:rPr>
          <w:rFonts w:ascii="Arial" w:hAnsi="Arial" w:cs="Arial"/>
          <w:sz w:val="24"/>
          <w:szCs w:val="24"/>
        </w:rPr>
      </w:pPr>
      <w:r>
        <w:rPr>
          <w:rFonts w:ascii="Arial" w:hAnsi="Arial" w:cs="Arial"/>
          <w:sz w:val="24"/>
          <w:szCs w:val="24"/>
        </w:rPr>
        <w:tab/>
      </w:r>
    </w:p>
    <w:p w14:paraId="7F23A2DE" w14:textId="315ECF9F" w:rsidR="00EE7C07" w:rsidRDefault="005936A2" w:rsidP="008A08A8">
      <w:pPr>
        <w:rPr>
          <w:rFonts w:ascii="Arial" w:hAnsi="Arial" w:cs="Arial"/>
          <w:sz w:val="24"/>
          <w:szCs w:val="24"/>
        </w:rPr>
      </w:pPr>
      <w:r w:rsidRPr="005936A2">
        <w:rPr>
          <w:rFonts w:ascii="Arial" w:hAnsi="Arial" w:cs="Arial"/>
          <w:sz w:val="24"/>
          <w:szCs w:val="24"/>
        </w:rPr>
        <w:t xml:space="preserve">Q28 of the OEB’s 1588/1589 Q&amp;As </w:t>
      </w:r>
      <w:r>
        <w:rPr>
          <w:rFonts w:ascii="Arial" w:hAnsi="Arial" w:cs="Arial"/>
          <w:sz w:val="24"/>
          <w:szCs w:val="24"/>
        </w:rPr>
        <w:t xml:space="preserve">provides the expectations regarding the final disposition request of the 1588/1589 balances under the two situations: </w:t>
      </w:r>
    </w:p>
    <w:p w14:paraId="6103F783" w14:textId="703B597E" w:rsidR="005520C1" w:rsidRDefault="005936A2" w:rsidP="005520C1">
      <w:pPr>
        <w:pStyle w:val="Default"/>
        <w:numPr>
          <w:ilvl w:val="0"/>
          <w:numId w:val="13"/>
        </w:numPr>
        <w:rPr>
          <w:color w:val="auto"/>
        </w:rPr>
      </w:pPr>
      <w:r w:rsidRPr="005936A2">
        <w:rPr>
          <w:color w:val="auto"/>
        </w:rPr>
        <w:t>Approved interim disposition or no disposition requested for historical balances</w:t>
      </w:r>
      <w:r>
        <w:rPr>
          <w:color w:val="auto"/>
        </w:rPr>
        <w:t xml:space="preserve">: </w:t>
      </w:r>
    </w:p>
    <w:p w14:paraId="60ED5CDD" w14:textId="730C3C40" w:rsidR="005936A2" w:rsidRDefault="005520C1" w:rsidP="005520C1">
      <w:pPr>
        <w:pStyle w:val="Default"/>
        <w:ind w:left="720"/>
        <w:rPr>
          <w:color w:val="auto"/>
        </w:rPr>
      </w:pPr>
      <w:r w:rsidRPr="005520C1">
        <w:rPr>
          <w:color w:val="auto"/>
        </w:rPr>
        <w:t>If these utilities identified errors or discrepancies that materially affect the ending account balances, utilities may be guided by the materiality threshold in the subsequent question in determining whether adjustments to the account balances are required. Utilities should adjust their account balances (if necessary) prior to requesting final disposition.</w:t>
      </w:r>
    </w:p>
    <w:p w14:paraId="3770694C" w14:textId="6E8460CC" w:rsidR="005520C1" w:rsidRDefault="005520C1" w:rsidP="005520C1">
      <w:pPr>
        <w:pStyle w:val="Default"/>
        <w:ind w:left="720"/>
        <w:rPr>
          <w:color w:val="auto"/>
        </w:rPr>
      </w:pPr>
    </w:p>
    <w:p w14:paraId="25440EBE" w14:textId="25478000" w:rsidR="005520C1" w:rsidRDefault="005520C1" w:rsidP="005520C1">
      <w:pPr>
        <w:pStyle w:val="Default"/>
        <w:numPr>
          <w:ilvl w:val="0"/>
          <w:numId w:val="13"/>
        </w:numPr>
        <w:rPr>
          <w:sz w:val="22"/>
          <w:szCs w:val="22"/>
        </w:rPr>
      </w:pPr>
      <w:r w:rsidRPr="005520C1">
        <w:rPr>
          <w:color w:val="auto"/>
        </w:rPr>
        <w:t>No disposition of historical balances and concerns noted</w:t>
      </w:r>
      <w:r w:rsidR="00B50439">
        <w:rPr>
          <w:color w:val="auto"/>
        </w:rPr>
        <w:t>:</w:t>
      </w:r>
      <w:r>
        <w:rPr>
          <w:sz w:val="22"/>
          <w:szCs w:val="22"/>
        </w:rPr>
        <w:t xml:space="preserve"> </w:t>
      </w:r>
    </w:p>
    <w:p w14:paraId="67826A4B" w14:textId="3EF653E2" w:rsidR="005520C1" w:rsidRPr="005936A2" w:rsidRDefault="005520C1" w:rsidP="005520C1">
      <w:pPr>
        <w:pStyle w:val="Default"/>
        <w:ind w:left="720"/>
        <w:rPr>
          <w:color w:val="auto"/>
        </w:rPr>
      </w:pPr>
      <w:r w:rsidRPr="005520C1">
        <w:rPr>
          <w:color w:val="auto"/>
        </w:rPr>
        <w:t>Utilities that did not receive approval for disposition of historical account balances due to concerns noted in the decision of their rate application should apply the accounting guidance to those balances as well as the 2018 balance and adjust the balances as necessary, prior to requesting final disposition.</w:t>
      </w:r>
    </w:p>
    <w:p w14:paraId="3D59D29F" w14:textId="6007D684" w:rsidR="00F753FA" w:rsidRDefault="00F753FA" w:rsidP="008A08A8">
      <w:pPr>
        <w:rPr>
          <w:rFonts w:ascii="Arial" w:hAnsi="Arial" w:cs="Arial"/>
          <w:sz w:val="24"/>
          <w:szCs w:val="24"/>
        </w:rPr>
      </w:pPr>
    </w:p>
    <w:p w14:paraId="27BD7F90" w14:textId="6830200E" w:rsidR="00F753FA" w:rsidRDefault="00F753FA" w:rsidP="008A08A8">
      <w:pPr>
        <w:rPr>
          <w:rFonts w:ascii="Arial" w:hAnsi="Arial" w:cs="Arial"/>
          <w:sz w:val="24"/>
          <w:szCs w:val="24"/>
        </w:rPr>
      </w:pPr>
      <w:r w:rsidRPr="005936A2">
        <w:rPr>
          <w:rFonts w:ascii="Arial" w:hAnsi="Arial" w:cs="Arial"/>
          <w:sz w:val="24"/>
          <w:szCs w:val="24"/>
        </w:rPr>
        <w:t>Q2</w:t>
      </w:r>
      <w:r>
        <w:rPr>
          <w:rFonts w:ascii="Arial" w:hAnsi="Arial" w:cs="Arial"/>
          <w:sz w:val="24"/>
          <w:szCs w:val="24"/>
        </w:rPr>
        <w:t>9</w:t>
      </w:r>
      <w:r w:rsidRPr="005936A2">
        <w:rPr>
          <w:rFonts w:ascii="Arial" w:hAnsi="Arial" w:cs="Arial"/>
          <w:sz w:val="24"/>
          <w:szCs w:val="24"/>
        </w:rPr>
        <w:t xml:space="preserve"> of the OEB’s 1588/1589 Q&amp;As</w:t>
      </w:r>
      <w:r w:rsidR="00642DF3">
        <w:rPr>
          <w:rFonts w:ascii="Arial" w:hAnsi="Arial" w:cs="Arial"/>
          <w:sz w:val="24"/>
          <w:szCs w:val="24"/>
        </w:rPr>
        <w:t xml:space="preserve"> provides the materiality threshold for the adjustments for the account 1588/1589 being 5% of the respective expense account (4705/4707). The Q29 states that “</w:t>
      </w:r>
      <w:r w:rsidR="00760B1B" w:rsidRPr="00760B1B">
        <w:rPr>
          <w:rFonts w:ascii="Arial" w:hAnsi="Arial" w:cs="Arial"/>
          <w:sz w:val="24"/>
          <w:szCs w:val="24"/>
        </w:rPr>
        <w:t>Adjustments should be fully explained in a rate application and treatment of these adjustments will be determined on a case-by-case basis</w:t>
      </w:r>
      <w:r w:rsidR="00760B1B">
        <w:rPr>
          <w:rFonts w:ascii="Arial" w:hAnsi="Arial" w:cs="Arial"/>
          <w:sz w:val="24"/>
          <w:szCs w:val="24"/>
        </w:rPr>
        <w:t>”</w:t>
      </w:r>
      <w:r w:rsidR="00760B1B" w:rsidRPr="00760B1B">
        <w:rPr>
          <w:rFonts w:ascii="Arial" w:hAnsi="Arial" w:cs="Arial"/>
          <w:sz w:val="24"/>
          <w:szCs w:val="24"/>
        </w:rPr>
        <w:t>.</w:t>
      </w:r>
    </w:p>
    <w:p w14:paraId="3171E8F2" w14:textId="77777777" w:rsidR="00760B1B" w:rsidRDefault="005520C1" w:rsidP="008A08A8">
      <w:pPr>
        <w:rPr>
          <w:rFonts w:ascii="Arial" w:hAnsi="Arial" w:cs="Arial"/>
          <w:sz w:val="24"/>
          <w:szCs w:val="24"/>
        </w:rPr>
      </w:pPr>
      <w:r>
        <w:rPr>
          <w:rFonts w:ascii="Arial" w:hAnsi="Arial" w:cs="Arial"/>
          <w:sz w:val="24"/>
          <w:szCs w:val="24"/>
        </w:rPr>
        <w:t xml:space="preserve">On page </w:t>
      </w:r>
      <w:r w:rsidR="00760B1B">
        <w:rPr>
          <w:rFonts w:ascii="Arial" w:hAnsi="Arial" w:cs="Arial"/>
          <w:sz w:val="24"/>
          <w:szCs w:val="24"/>
        </w:rPr>
        <w:t xml:space="preserve">8 of Appendix J, </w:t>
      </w:r>
      <w:proofErr w:type="spellStart"/>
      <w:r w:rsidR="00760B1B">
        <w:rPr>
          <w:rFonts w:ascii="Arial" w:hAnsi="Arial" w:cs="Arial"/>
          <w:sz w:val="24"/>
          <w:szCs w:val="24"/>
        </w:rPr>
        <w:t>Elexicon</w:t>
      </w:r>
      <w:proofErr w:type="spellEnd"/>
      <w:r w:rsidR="00760B1B">
        <w:rPr>
          <w:rFonts w:ascii="Arial" w:hAnsi="Arial" w:cs="Arial"/>
          <w:sz w:val="24"/>
          <w:szCs w:val="24"/>
        </w:rPr>
        <w:t>-Whitby provides the 2018 adjustments for 1588 and 1589 and its assessment of the materiality as below:</w:t>
      </w:r>
    </w:p>
    <w:tbl>
      <w:tblPr>
        <w:tblStyle w:val="TableGrid"/>
        <w:tblW w:w="0" w:type="auto"/>
        <w:tblLook w:val="04A0" w:firstRow="1" w:lastRow="0" w:firstColumn="1" w:lastColumn="0" w:noHBand="0" w:noVBand="1"/>
      </w:tblPr>
      <w:tblGrid>
        <w:gridCol w:w="1525"/>
        <w:gridCol w:w="1377"/>
        <w:gridCol w:w="1683"/>
        <w:gridCol w:w="1620"/>
        <w:gridCol w:w="1622"/>
        <w:gridCol w:w="1523"/>
      </w:tblGrid>
      <w:tr w:rsidR="00760B1B" w14:paraId="0EC8A87B" w14:textId="77777777" w:rsidTr="00760B1B">
        <w:tc>
          <w:tcPr>
            <w:tcW w:w="1525" w:type="dxa"/>
          </w:tcPr>
          <w:p w14:paraId="75C2336A" w14:textId="77777777" w:rsidR="00760B1B" w:rsidRPr="00760B1B" w:rsidRDefault="00760B1B" w:rsidP="008A08A8">
            <w:pPr>
              <w:rPr>
                <w:rFonts w:ascii="Arial" w:hAnsi="Arial" w:cs="Arial"/>
                <w:b/>
                <w:bCs/>
                <w:sz w:val="24"/>
                <w:szCs w:val="24"/>
              </w:rPr>
            </w:pPr>
          </w:p>
        </w:tc>
        <w:tc>
          <w:tcPr>
            <w:tcW w:w="1377" w:type="dxa"/>
          </w:tcPr>
          <w:p w14:paraId="18008F62" w14:textId="14686F44" w:rsidR="00760B1B" w:rsidRPr="00760B1B" w:rsidRDefault="00760B1B" w:rsidP="008A08A8">
            <w:pPr>
              <w:rPr>
                <w:rFonts w:ascii="Arial" w:hAnsi="Arial" w:cs="Arial"/>
                <w:b/>
                <w:bCs/>
                <w:sz w:val="24"/>
                <w:szCs w:val="24"/>
              </w:rPr>
            </w:pPr>
            <w:r>
              <w:rPr>
                <w:rFonts w:ascii="Arial" w:hAnsi="Arial" w:cs="Arial"/>
                <w:b/>
                <w:bCs/>
                <w:sz w:val="24"/>
                <w:szCs w:val="24"/>
              </w:rPr>
              <w:t>Balance per EW Method</w:t>
            </w:r>
          </w:p>
        </w:tc>
        <w:tc>
          <w:tcPr>
            <w:tcW w:w="1683" w:type="dxa"/>
          </w:tcPr>
          <w:p w14:paraId="4E122558" w14:textId="7473F90F" w:rsidR="00760B1B" w:rsidRPr="00760B1B" w:rsidRDefault="00760B1B" w:rsidP="008A08A8">
            <w:pPr>
              <w:rPr>
                <w:rFonts w:ascii="Arial" w:hAnsi="Arial" w:cs="Arial"/>
                <w:b/>
                <w:bCs/>
                <w:sz w:val="24"/>
                <w:szCs w:val="24"/>
              </w:rPr>
            </w:pPr>
            <w:r>
              <w:rPr>
                <w:rFonts w:ascii="Arial" w:hAnsi="Arial" w:cs="Arial"/>
                <w:b/>
                <w:bCs/>
                <w:sz w:val="24"/>
                <w:szCs w:val="24"/>
              </w:rPr>
              <w:t>Balance per OEB method</w:t>
            </w:r>
          </w:p>
        </w:tc>
        <w:tc>
          <w:tcPr>
            <w:tcW w:w="1620" w:type="dxa"/>
          </w:tcPr>
          <w:p w14:paraId="363B6A9C" w14:textId="6B699F53" w:rsidR="00760B1B" w:rsidRPr="00760B1B" w:rsidRDefault="00760B1B" w:rsidP="008A08A8">
            <w:pPr>
              <w:rPr>
                <w:rFonts w:ascii="Arial" w:hAnsi="Arial" w:cs="Arial"/>
                <w:b/>
                <w:bCs/>
                <w:sz w:val="24"/>
                <w:szCs w:val="24"/>
              </w:rPr>
            </w:pPr>
            <w:r w:rsidRPr="00760B1B">
              <w:rPr>
                <w:rFonts w:ascii="Arial" w:hAnsi="Arial" w:cs="Arial"/>
                <w:b/>
                <w:bCs/>
                <w:sz w:val="24"/>
                <w:szCs w:val="24"/>
              </w:rPr>
              <w:t>2018 Adjustment $</w:t>
            </w:r>
          </w:p>
        </w:tc>
        <w:tc>
          <w:tcPr>
            <w:tcW w:w="1622" w:type="dxa"/>
          </w:tcPr>
          <w:p w14:paraId="2075BB50" w14:textId="194389CD" w:rsidR="00760B1B" w:rsidRPr="00760B1B" w:rsidRDefault="00760B1B" w:rsidP="008A08A8">
            <w:pPr>
              <w:rPr>
                <w:rFonts w:ascii="Arial" w:hAnsi="Arial" w:cs="Arial"/>
                <w:b/>
                <w:bCs/>
                <w:sz w:val="24"/>
                <w:szCs w:val="24"/>
              </w:rPr>
            </w:pPr>
            <w:r w:rsidRPr="00760B1B">
              <w:rPr>
                <w:rFonts w:ascii="Arial" w:hAnsi="Arial" w:cs="Arial"/>
                <w:b/>
                <w:bCs/>
                <w:sz w:val="24"/>
                <w:szCs w:val="24"/>
              </w:rPr>
              <w:t>Materiality Threshold $</w:t>
            </w:r>
          </w:p>
        </w:tc>
        <w:tc>
          <w:tcPr>
            <w:tcW w:w="1523" w:type="dxa"/>
          </w:tcPr>
          <w:p w14:paraId="5F9FC154" w14:textId="7493636F" w:rsidR="00760B1B" w:rsidRPr="00760B1B" w:rsidRDefault="00760B1B" w:rsidP="008A08A8">
            <w:pPr>
              <w:rPr>
                <w:rFonts w:ascii="Arial" w:hAnsi="Arial" w:cs="Arial"/>
                <w:b/>
                <w:bCs/>
                <w:sz w:val="24"/>
                <w:szCs w:val="24"/>
              </w:rPr>
            </w:pPr>
            <w:r w:rsidRPr="00760B1B">
              <w:rPr>
                <w:rFonts w:ascii="Arial" w:hAnsi="Arial" w:cs="Arial"/>
                <w:b/>
                <w:bCs/>
                <w:sz w:val="24"/>
                <w:szCs w:val="24"/>
              </w:rPr>
              <w:t>Conclusion</w:t>
            </w:r>
          </w:p>
        </w:tc>
      </w:tr>
      <w:tr w:rsidR="00760B1B" w14:paraId="644A4261" w14:textId="77777777" w:rsidTr="00760B1B">
        <w:tc>
          <w:tcPr>
            <w:tcW w:w="1525" w:type="dxa"/>
          </w:tcPr>
          <w:p w14:paraId="42F43EEA" w14:textId="65B4E643" w:rsidR="00760B1B" w:rsidRPr="00760B1B" w:rsidRDefault="00760B1B" w:rsidP="008A08A8">
            <w:pPr>
              <w:rPr>
                <w:rFonts w:ascii="Arial" w:hAnsi="Arial" w:cs="Arial"/>
                <w:b/>
                <w:bCs/>
                <w:sz w:val="24"/>
                <w:szCs w:val="24"/>
              </w:rPr>
            </w:pPr>
            <w:r w:rsidRPr="00760B1B">
              <w:rPr>
                <w:rFonts w:ascii="Arial" w:hAnsi="Arial" w:cs="Arial"/>
                <w:b/>
                <w:bCs/>
                <w:sz w:val="24"/>
                <w:szCs w:val="24"/>
              </w:rPr>
              <w:t>Account 1588</w:t>
            </w:r>
          </w:p>
        </w:tc>
        <w:tc>
          <w:tcPr>
            <w:tcW w:w="1377" w:type="dxa"/>
          </w:tcPr>
          <w:p w14:paraId="7B2A873B" w14:textId="238B011A" w:rsidR="00760B1B" w:rsidRDefault="00760B1B" w:rsidP="008A08A8">
            <w:pPr>
              <w:rPr>
                <w:rFonts w:ascii="Arial" w:hAnsi="Arial" w:cs="Arial"/>
                <w:sz w:val="24"/>
                <w:szCs w:val="24"/>
              </w:rPr>
            </w:pPr>
            <w:r>
              <w:rPr>
                <w:rFonts w:ascii="Arial" w:hAnsi="Arial" w:cs="Arial"/>
                <w:sz w:val="24"/>
                <w:szCs w:val="24"/>
              </w:rPr>
              <w:t>($126,266)</w:t>
            </w:r>
          </w:p>
        </w:tc>
        <w:tc>
          <w:tcPr>
            <w:tcW w:w="1683" w:type="dxa"/>
          </w:tcPr>
          <w:p w14:paraId="1C7EB4C6" w14:textId="0280943B" w:rsidR="00760B1B" w:rsidRDefault="00760B1B" w:rsidP="008A08A8">
            <w:pPr>
              <w:rPr>
                <w:rFonts w:ascii="Arial" w:hAnsi="Arial" w:cs="Arial"/>
                <w:sz w:val="24"/>
                <w:szCs w:val="24"/>
              </w:rPr>
            </w:pPr>
            <w:r>
              <w:rPr>
                <w:rFonts w:ascii="Arial" w:hAnsi="Arial" w:cs="Arial"/>
                <w:sz w:val="24"/>
                <w:szCs w:val="24"/>
              </w:rPr>
              <w:t>($317,586)</w:t>
            </w:r>
          </w:p>
        </w:tc>
        <w:tc>
          <w:tcPr>
            <w:tcW w:w="1620" w:type="dxa"/>
          </w:tcPr>
          <w:p w14:paraId="2F1E74BF" w14:textId="292F73EB" w:rsidR="00760B1B" w:rsidRDefault="00760B1B" w:rsidP="008A08A8">
            <w:pPr>
              <w:rPr>
                <w:rFonts w:ascii="Arial" w:hAnsi="Arial" w:cs="Arial"/>
                <w:sz w:val="24"/>
                <w:szCs w:val="24"/>
              </w:rPr>
            </w:pPr>
            <w:r>
              <w:rPr>
                <w:rFonts w:ascii="Arial" w:hAnsi="Arial" w:cs="Arial"/>
                <w:sz w:val="24"/>
                <w:szCs w:val="24"/>
              </w:rPr>
              <w:t>$191,320</w:t>
            </w:r>
          </w:p>
        </w:tc>
        <w:tc>
          <w:tcPr>
            <w:tcW w:w="1622" w:type="dxa"/>
          </w:tcPr>
          <w:p w14:paraId="3E717FC8" w14:textId="1D7CEB27" w:rsidR="00760B1B" w:rsidRDefault="00760B1B" w:rsidP="008A08A8">
            <w:pPr>
              <w:rPr>
                <w:rFonts w:ascii="Arial" w:hAnsi="Arial" w:cs="Arial"/>
                <w:sz w:val="24"/>
                <w:szCs w:val="24"/>
              </w:rPr>
            </w:pPr>
            <w:r>
              <w:rPr>
                <w:rFonts w:ascii="Arial" w:hAnsi="Arial" w:cs="Arial"/>
                <w:sz w:val="24"/>
                <w:szCs w:val="24"/>
              </w:rPr>
              <w:t>$254,032</w:t>
            </w:r>
          </w:p>
        </w:tc>
        <w:tc>
          <w:tcPr>
            <w:tcW w:w="1523" w:type="dxa"/>
          </w:tcPr>
          <w:p w14:paraId="233FDE92" w14:textId="4DDE5A5B" w:rsidR="00760B1B" w:rsidRDefault="00760B1B" w:rsidP="008A08A8">
            <w:pPr>
              <w:rPr>
                <w:rFonts w:ascii="Arial" w:hAnsi="Arial" w:cs="Arial"/>
                <w:sz w:val="24"/>
                <w:szCs w:val="24"/>
              </w:rPr>
            </w:pPr>
            <w:r>
              <w:rPr>
                <w:rFonts w:ascii="Arial" w:hAnsi="Arial" w:cs="Arial"/>
                <w:sz w:val="24"/>
                <w:szCs w:val="24"/>
              </w:rPr>
              <w:t xml:space="preserve">Not material </w:t>
            </w:r>
          </w:p>
        </w:tc>
      </w:tr>
      <w:tr w:rsidR="00760B1B" w14:paraId="38EE250C" w14:textId="77777777" w:rsidTr="00760B1B">
        <w:tc>
          <w:tcPr>
            <w:tcW w:w="1525" w:type="dxa"/>
          </w:tcPr>
          <w:p w14:paraId="34B68263" w14:textId="2BED198E" w:rsidR="00760B1B" w:rsidRPr="00760B1B" w:rsidRDefault="00760B1B" w:rsidP="008A08A8">
            <w:pPr>
              <w:rPr>
                <w:rFonts w:ascii="Arial" w:hAnsi="Arial" w:cs="Arial"/>
                <w:b/>
                <w:bCs/>
                <w:sz w:val="24"/>
                <w:szCs w:val="24"/>
              </w:rPr>
            </w:pPr>
            <w:r w:rsidRPr="00760B1B">
              <w:rPr>
                <w:rFonts w:ascii="Arial" w:hAnsi="Arial" w:cs="Arial"/>
                <w:b/>
                <w:bCs/>
                <w:sz w:val="24"/>
                <w:szCs w:val="24"/>
              </w:rPr>
              <w:t>Account 1589</w:t>
            </w:r>
          </w:p>
        </w:tc>
        <w:tc>
          <w:tcPr>
            <w:tcW w:w="1377" w:type="dxa"/>
          </w:tcPr>
          <w:p w14:paraId="031BB83E" w14:textId="5BAF45F2" w:rsidR="00760B1B" w:rsidRDefault="00760B1B" w:rsidP="008A08A8">
            <w:pPr>
              <w:rPr>
                <w:rFonts w:ascii="Arial" w:hAnsi="Arial" w:cs="Arial"/>
                <w:sz w:val="24"/>
                <w:szCs w:val="24"/>
              </w:rPr>
            </w:pPr>
            <w:r>
              <w:rPr>
                <w:rFonts w:ascii="Arial" w:hAnsi="Arial" w:cs="Arial"/>
                <w:sz w:val="24"/>
                <w:szCs w:val="24"/>
              </w:rPr>
              <w:t>($364,515)</w:t>
            </w:r>
          </w:p>
        </w:tc>
        <w:tc>
          <w:tcPr>
            <w:tcW w:w="1683" w:type="dxa"/>
          </w:tcPr>
          <w:p w14:paraId="793C86FC" w14:textId="3B6906E2" w:rsidR="00760B1B" w:rsidRDefault="00760B1B" w:rsidP="008A08A8">
            <w:pPr>
              <w:rPr>
                <w:rFonts w:ascii="Arial" w:hAnsi="Arial" w:cs="Arial"/>
                <w:sz w:val="24"/>
                <w:szCs w:val="24"/>
              </w:rPr>
            </w:pPr>
            <w:r>
              <w:rPr>
                <w:rFonts w:ascii="Arial" w:hAnsi="Arial" w:cs="Arial"/>
                <w:sz w:val="24"/>
                <w:szCs w:val="24"/>
              </w:rPr>
              <w:t>($526,467)</w:t>
            </w:r>
          </w:p>
        </w:tc>
        <w:tc>
          <w:tcPr>
            <w:tcW w:w="1620" w:type="dxa"/>
          </w:tcPr>
          <w:p w14:paraId="58B4CF5A" w14:textId="43E9BE76" w:rsidR="00760B1B" w:rsidRDefault="00760B1B" w:rsidP="008A08A8">
            <w:pPr>
              <w:rPr>
                <w:rFonts w:ascii="Arial" w:hAnsi="Arial" w:cs="Arial"/>
                <w:sz w:val="24"/>
                <w:szCs w:val="24"/>
              </w:rPr>
            </w:pPr>
            <w:r>
              <w:rPr>
                <w:rFonts w:ascii="Arial" w:hAnsi="Arial" w:cs="Arial"/>
                <w:sz w:val="24"/>
                <w:szCs w:val="24"/>
              </w:rPr>
              <w:t>$161,952</w:t>
            </w:r>
          </w:p>
        </w:tc>
        <w:tc>
          <w:tcPr>
            <w:tcW w:w="1622" w:type="dxa"/>
          </w:tcPr>
          <w:p w14:paraId="2B83A329" w14:textId="4997BD7A" w:rsidR="00760B1B" w:rsidRDefault="00760B1B" w:rsidP="008A08A8">
            <w:pPr>
              <w:rPr>
                <w:rFonts w:ascii="Arial" w:hAnsi="Arial" w:cs="Arial"/>
                <w:sz w:val="24"/>
                <w:szCs w:val="24"/>
              </w:rPr>
            </w:pPr>
            <w:r>
              <w:rPr>
                <w:rFonts w:ascii="Arial" w:hAnsi="Arial" w:cs="Arial"/>
                <w:sz w:val="24"/>
                <w:szCs w:val="24"/>
              </w:rPr>
              <w:t>$162,066</w:t>
            </w:r>
          </w:p>
        </w:tc>
        <w:tc>
          <w:tcPr>
            <w:tcW w:w="1523" w:type="dxa"/>
          </w:tcPr>
          <w:p w14:paraId="74173236" w14:textId="222E069D" w:rsidR="00760B1B" w:rsidRDefault="00760B1B" w:rsidP="008A08A8">
            <w:pPr>
              <w:rPr>
                <w:rFonts w:ascii="Arial" w:hAnsi="Arial" w:cs="Arial"/>
                <w:sz w:val="24"/>
                <w:szCs w:val="24"/>
              </w:rPr>
            </w:pPr>
            <w:r>
              <w:rPr>
                <w:rFonts w:ascii="Arial" w:hAnsi="Arial" w:cs="Arial"/>
                <w:sz w:val="24"/>
                <w:szCs w:val="24"/>
              </w:rPr>
              <w:t>Not material</w:t>
            </w:r>
          </w:p>
        </w:tc>
      </w:tr>
    </w:tbl>
    <w:p w14:paraId="44E49E61" w14:textId="5AC08030" w:rsidR="00760B1B" w:rsidRDefault="00760B1B" w:rsidP="008A08A8">
      <w:pPr>
        <w:rPr>
          <w:rFonts w:ascii="Arial" w:hAnsi="Arial" w:cs="Arial"/>
          <w:sz w:val="24"/>
          <w:szCs w:val="24"/>
        </w:rPr>
      </w:pPr>
    </w:p>
    <w:p w14:paraId="26029266" w14:textId="5D14864A" w:rsidR="00760B1B" w:rsidRDefault="00760B1B" w:rsidP="008A08A8">
      <w:pPr>
        <w:rPr>
          <w:rFonts w:ascii="Arial" w:hAnsi="Arial" w:cs="Arial"/>
          <w:sz w:val="24"/>
          <w:szCs w:val="24"/>
        </w:rPr>
      </w:pPr>
      <w:proofErr w:type="spellStart"/>
      <w:r>
        <w:rPr>
          <w:rFonts w:ascii="Arial" w:hAnsi="Arial" w:cs="Arial"/>
          <w:sz w:val="24"/>
          <w:szCs w:val="24"/>
        </w:rPr>
        <w:lastRenderedPageBreak/>
        <w:t>Elexicon</w:t>
      </w:r>
      <w:proofErr w:type="spellEnd"/>
      <w:r>
        <w:rPr>
          <w:rFonts w:ascii="Arial" w:hAnsi="Arial" w:cs="Arial"/>
          <w:sz w:val="24"/>
          <w:szCs w:val="24"/>
        </w:rPr>
        <w:t xml:space="preserve">-Whitby states that it falls into the </w:t>
      </w:r>
      <w:r w:rsidR="00B069F4">
        <w:rPr>
          <w:rFonts w:ascii="Arial" w:hAnsi="Arial" w:cs="Arial"/>
          <w:sz w:val="24"/>
          <w:szCs w:val="24"/>
        </w:rPr>
        <w:t>scenario 1 provided in Q28 of the OEB’s 1588/1589 Q&amp;As and states that “</w:t>
      </w:r>
      <w:r w:rsidRPr="00B069F4">
        <w:rPr>
          <w:rFonts w:ascii="Arial" w:hAnsi="Arial" w:cs="Arial"/>
          <w:sz w:val="24"/>
          <w:szCs w:val="24"/>
        </w:rPr>
        <w:t>The review provided demonstrates that methodology outcome differences fall below the materiality threshold. As a result, there are no adjustments required for either Account 1588 or 1589 for historical balances related to the new accounting guidance</w:t>
      </w:r>
      <w:r w:rsidR="00B069F4">
        <w:rPr>
          <w:rFonts w:ascii="Arial" w:hAnsi="Arial" w:cs="Arial"/>
          <w:sz w:val="24"/>
          <w:szCs w:val="24"/>
        </w:rPr>
        <w:t>”</w:t>
      </w:r>
      <w:r w:rsidRPr="00B069F4">
        <w:rPr>
          <w:rFonts w:ascii="Arial" w:hAnsi="Arial" w:cs="Arial"/>
          <w:sz w:val="24"/>
          <w:szCs w:val="24"/>
        </w:rPr>
        <w:t>.</w:t>
      </w:r>
    </w:p>
    <w:p w14:paraId="2E8BAA44" w14:textId="65E96316" w:rsidR="00B069F4" w:rsidRDefault="00B069F4" w:rsidP="00B069F4">
      <w:pPr>
        <w:pStyle w:val="ListParagraph"/>
        <w:numPr>
          <w:ilvl w:val="0"/>
          <w:numId w:val="16"/>
        </w:numPr>
        <w:rPr>
          <w:rFonts w:ascii="Arial" w:hAnsi="Arial" w:cs="Arial"/>
          <w:sz w:val="24"/>
          <w:szCs w:val="24"/>
        </w:rPr>
      </w:pPr>
      <w:r>
        <w:rPr>
          <w:rFonts w:ascii="Arial" w:hAnsi="Arial" w:cs="Arial"/>
          <w:sz w:val="24"/>
          <w:szCs w:val="24"/>
        </w:rPr>
        <w:t xml:space="preserve">Please confirm that the 2018 adjustments for 1588 and 1589 should be both in a credit position which would increase the refunded amounts to the respective ratepayer groups. </w:t>
      </w:r>
    </w:p>
    <w:p w14:paraId="6FE9A950" w14:textId="078B2B57" w:rsidR="00B069F4" w:rsidRDefault="00B069F4" w:rsidP="00B069F4">
      <w:pPr>
        <w:pStyle w:val="ListParagraph"/>
        <w:numPr>
          <w:ilvl w:val="0"/>
          <w:numId w:val="16"/>
        </w:numPr>
        <w:rPr>
          <w:rFonts w:ascii="Arial" w:hAnsi="Arial" w:cs="Arial"/>
          <w:sz w:val="24"/>
          <w:szCs w:val="24"/>
        </w:rPr>
      </w:pPr>
      <w:r>
        <w:rPr>
          <w:rFonts w:ascii="Arial" w:hAnsi="Arial" w:cs="Arial"/>
          <w:sz w:val="24"/>
          <w:szCs w:val="24"/>
        </w:rPr>
        <w:t xml:space="preserve">Please provide the materiality threshold used in </w:t>
      </w:r>
      <w:r w:rsidR="00B50439">
        <w:rPr>
          <w:rFonts w:ascii="Arial" w:hAnsi="Arial" w:cs="Arial"/>
          <w:sz w:val="24"/>
          <w:szCs w:val="24"/>
        </w:rPr>
        <w:t xml:space="preserve">the former </w:t>
      </w:r>
      <w:r>
        <w:rPr>
          <w:rFonts w:ascii="Arial" w:hAnsi="Arial" w:cs="Arial"/>
          <w:sz w:val="24"/>
          <w:szCs w:val="24"/>
        </w:rPr>
        <w:t>Whitby</w:t>
      </w:r>
      <w:r w:rsidR="00B50439">
        <w:rPr>
          <w:rFonts w:ascii="Arial" w:hAnsi="Arial" w:cs="Arial"/>
          <w:sz w:val="24"/>
          <w:szCs w:val="24"/>
        </w:rPr>
        <w:t xml:space="preserve"> Hydro</w:t>
      </w:r>
      <w:r>
        <w:rPr>
          <w:rFonts w:ascii="Arial" w:hAnsi="Arial" w:cs="Arial"/>
          <w:sz w:val="24"/>
          <w:szCs w:val="24"/>
        </w:rPr>
        <w:t xml:space="preserve">’s last cost of service application. </w:t>
      </w:r>
    </w:p>
    <w:p w14:paraId="61BDCD02" w14:textId="6B79C3FE" w:rsidR="00B069F4" w:rsidRDefault="00B069F4" w:rsidP="00B069F4">
      <w:pPr>
        <w:pStyle w:val="ListParagraph"/>
        <w:numPr>
          <w:ilvl w:val="0"/>
          <w:numId w:val="16"/>
        </w:numPr>
        <w:rPr>
          <w:rFonts w:ascii="Arial" w:hAnsi="Arial" w:cs="Arial"/>
          <w:sz w:val="24"/>
          <w:szCs w:val="24"/>
        </w:rPr>
      </w:pPr>
      <w:r>
        <w:rPr>
          <w:rFonts w:ascii="Arial" w:hAnsi="Arial" w:cs="Arial"/>
          <w:sz w:val="24"/>
          <w:szCs w:val="24"/>
        </w:rPr>
        <w:t xml:space="preserve">Please provide the rate impacts for the 2018 adjustments to the residential customers and GS&lt; 50 customers (i.e. if including the 2018 adjustments, what would be the incremental rate impact to these customers).  </w:t>
      </w:r>
    </w:p>
    <w:p w14:paraId="705F23DB" w14:textId="501F3C75" w:rsidR="00B069F4" w:rsidRPr="00B069F4" w:rsidRDefault="00B069F4" w:rsidP="00B069F4">
      <w:pPr>
        <w:pStyle w:val="ListParagraph"/>
        <w:numPr>
          <w:ilvl w:val="0"/>
          <w:numId w:val="16"/>
        </w:numPr>
        <w:rPr>
          <w:rFonts w:ascii="Arial" w:hAnsi="Arial" w:cs="Arial"/>
          <w:sz w:val="24"/>
          <w:szCs w:val="24"/>
        </w:rPr>
      </w:pPr>
      <w:r>
        <w:rPr>
          <w:rFonts w:ascii="Arial" w:hAnsi="Arial" w:cs="Arial"/>
          <w:sz w:val="24"/>
          <w:szCs w:val="24"/>
        </w:rPr>
        <w:t>Given that the 2018 adjustments are close to the materiality thresholds</w:t>
      </w:r>
      <w:r w:rsidR="00B50439">
        <w:rPr>
          <w:rFonts w:ascii="Arial" w:hAnsi="Arial" w:cs="Arial"/>
          <w:sz w:val="24"/>
          <w:szCs w:val="24"/>
        </w:rPr>
        <w:t xml:space="preserve"> (particularly Account 1589)</w:t>
      </w:r>
      <w:r>
        <w:rPr>
          <w:rFonts w:ascii="Arial" w:hAnsi="Arial" w:cs="Arial"/>
          <w:sz w:val="24"/>
          <w:szCs w:val="24"/>
        </w:rPr>
        <w:t>, please explain</w:t>
      </w:r>
      <w:r w:rsidR="00B50439">
        <w:rPr>
          <w:rFonts w:ascii="Arial" w:hAnsi="Arial" w:cs="Arial"/>
          <w:sz w:val="24"/>
          <w:szCs w:val="24"/>
        </w:rPr>
        <w:t xml:space="preserve"> what</w:t>
      </w:r>
      <w:r>
        <w:rPr>
          <w:rFonts w:ascii="Arial" w:hAnsi="Arial" w:cs="Arial"/>
          <w:sz w:val="24"/>
          <w:szCs w:val="24"/>
        </w:rPr>
        <w:t xml:space="preserve"> </w:t>
      </w:r>
      <w:proofErr w:type="spellStart"/>
      <w:r>
        <w:rPr>
          <w:rFonts w:ascii="Arial" w:hAnsi="Arial" w:cs="Arial"/>
          <w:sz w:val="24"/>
          <w:szCs w:val="24"/>
        </w:rPr>
        <w:t>Elexicon</w:t>
      </w:r>
      <w:proofErr w:type="spellEnd"/>
      <w:r>
        <w:rPr>
          <w:rFonts w:ascii="Arial" w:hAnsi="Arial" w:cs="Arial"/>
          <w:sz w:val="24"/>
          <w:szCs w:val="24"/>
        </w:rPr>
        <w:t xml:space="preserve">-Whitby’s </w:t>
      </w:r>
      <w:r w:rsidR="00B50439">
        <w:rPr>
          <w:rFonts w:ascii="Arial" w:hAnsi="Arial" w:cs="Arial"/>
          <w:sz w:val="24"/>
          <w:szCs w:val="24"/>
        </w:rPr>
        <w:t>position would be with respect to</w:t>
      </w:r>
      <w:r>
        <w:rPr>
          <w:rFonts w:ascii="Arial" w:hAnsi="Arial" w:cs="Arial"/>
          <w:sz w:val="24"/>
          <w:szCs w:val="24"/>
        </w:rPr>
        <w:t xml:space="preserve"> </w:t>
      </w:r>
      <w:r w:rsidR="00B50439">
        <w:rPr>
          <w:rFonts w:ascii="Arial" w:hAnsi="Arial" w:cs="Arial"/>
          <w:sz w:val="24"/>
          <w:szCs w:val="24"/>
        </w:rPr>
        <w:t>recording</w:t>
      </w:r>
      <w:r>
        <w:rPr>
          <w:rFonts w:ascii="Arial" w:hAnsi="Arial" w:cs="Arial"/>
          <w:sz w:val="24"/>
          <w:szCs w:val="24"/>
        </w:rPr>
        <w:t xml:space="preserve"> the</w:t>
      </w:r>
      <w:r w:rsidR="00B50439">
        <w:rPr>
          <w:rFonts w:ascii="Arial" w:hAnsi="Arial" w:cs="Arial"/>
          <w:sz w:val="24"/>
          <w:szCs w:val="24"/>
        </w:rPr>
        <w:t>se</w:t>
      </w:r>
      <w:r>
        <w:rPr>
          <w:rFonts w:ascii="Arial" w:hAnsi="Arial" w:cs="Arial"/>
          <w:sz w:val="24"/>
          <w:szCs w:val="24"/>
        </w:rPr>
        <w:t xml:space="preserve"> adjustments </w:t>
      </w:r>
      <w:r w:rsidR="00B50439">
        <w:rPr>
          <w:rFonts w:ascii="Arial" w:hAnsi="Arial" w:cs="Arial"/>
          <w:sz w:val="24"/>
          <w:szCs w:val="24"/>
        </w:rPr>
        <w:t xml:space="preserve">as principal adjustments in the </w:t>
      </w:r>
      <w:r w:rsidR="00476841">
        <w:rPr>
          <w:rFonts w:ascii="Arial" w:hAnsi="Arial" w:cs="Arial"/>
          <w:sz w:val="24"/>
          <w:szCs w:val="24"/>
        </w:rPr>
        <w:t>DVA</w:t>
      </w:r>
      <w:r w:rsidR="00B50439">
        <w:rPr>
          <w:rFonts w:ascii="Arial" w:hAnsi="Arial" w:cs="Arial"/>
          <w:sz w:val="24"/>
          <w:szCs w:val="24"/>
        </w:rPr>
        <w:t xml:space="preserve"> continuity schedule</w:t>
      </w:r>
      <w:r>
        <w:rPr>
          <w:rFonts w:ascii="Arial" w:hAnsi="Arial" w:cs="Arial"/>
          <w:sz w:val="24"/>
          <w:szCs w:val="24"/>
        </w:rPr>
        <w:t>.</w:t>
      </w:r>
    </w:p>
    <w:p w14:paraId="3E9484E8" w14:textId="77777777" w:rsidR="00EE7C07" w:rsidRDefault="00EE7C07" w:rsidP="008A08A8">
      <w:pPr>
        <w:rPr>
          <w:rFonts w:ascii="Arial" w:hAnsi="Arial" w:cs="Arial"/>
          <w:b/>
          <w:bCs/>
          <w:sz w:val="24"/>
          <w:szCs w:val="24"/>
        </w:rPr>
      </w:pPr>
    </w:p>
    <w:p w14:paraId="1ABEF6DE" w14:textId="41A429B3" w:rsidR="008A08A8" w:rsidRDefault="008A08A8" w:rsidP="008A08A8">
      <w:pPr>
        <w:rPr>
          <w:rFonts w:ascii="Arial" w:hAnsi="Arial" w:cs="Arial"/>
          <w:b/>
          <w:bCs/>
          <w:sz w:val="24"/>
          <w:szCs w:val="24"/>
        </w:rPr>
      </w:pPr>
      <w:r>
        <w:rPr>
          <w:rFonts w:ascii="Arial" w:hAnsi="Arial" w:cs="Arial"/>
          <w:b/>
          <w:bCs/>
          <w:sz w:val="24"/>
          <w:szCs w:val="24"/>
        </w:rPr>
        <w:t xml:space="preserve">Staff Question – </w:t>
      </w:r>
      <w:r w:rsidR="00B069F4">
        <w:rPr>
          <w:rFonts w:ascii="Arial" w:hAnsi="Arial" w:cs="Arial"/>
          <w:b/>
          <w:bCs/>
          <w:sz w:val="24"/>
          <w:szCs w:val="24"/>
        </w:rPr>
        <w:t>3</w:t>
      </w:r>
    </w:p>
    <w:p w14:paraId="2B11711A" w14:textId="77777777" w:rsidR="008A08A8" w:rsidRDefault="008A08A8" w:rsidP="008A08A8">
      <w:pPr>
        <w:rPr>
          <w:rFonts w:ascii="Arial" w:hAnsi="Arial" w:cs="Arial"/>
          <w:b/>
          <w:bCs/>
          <w:sz w:val="24"/>
          <w:szCs w:val="24"/>
        </w:rPr>
      </w:pPr>
      <w:r>
        <w:rPr>
          <w:rFonts w:ascii="Arial" w:hAnsi="Arial" w:cs="Arial"/>
          <w:b/>
          <w:bCs/>
          <w:sz w:val="24"/>
          <w:szCs w:val="24"/>
        </w:rPr>
        <w:t xml:space="preserve">Ref:  </w:t>
      </w:r>
      <w:proofErr w:type="spellStart"/>
      <w:r>
        <w:rPr>
          <w:rFonts w:ascii="Arial" w:hAnsi="Arial" w:cs="Arial"/>
          <w:b/>
          <w:bCs/>
          <w:sz w:val="24"/>
          <w:szCs w:val="24"/>
        </w:rPr>
        <w:t>Elexicon_Whitby</w:t>
      </w:r>
      <w:proofErr w:type="spellEnd"/>
      <w:r>
        <w:rPr>
          <w:rFonts w:ascii="Arial" w:hAnsi="Arial" w:cs="Arial"/>
          <w:b/>
          <w:bCs/>
          <w:sz w:val="24"/>
          <w:szCs w:val="24"/>
        </w:rPr>
        <w:t xml:space="preserve"> RZ_2020 Accounting Guidance 2019 </w:t>
      </w:r>
      <w:proofErr w:type="spellStart"/>
      <w:r>
        <w:rPr>
          <w:rFonts w:ascii="Arial" w:hAnsi="Arial" w:cs="Arial"/>
          <w:b/>
          <w:bCs/>
          <w:sz w:val="24"/>
          <w:szCs w:val="24"/>
        </w:rPr>
        <w:t>Analysis_Full</w:t>
      </w:r>
      <w:proofErr w:type="spellEnd"/>
      <w:r>
        <w:rPr>
          <w:rFonts w:ascii="Arial" w:hAnsi="Arial" w:cs="Arial"/>
          <w:b/>
          <w:bCs/>
          <w:sz w:val="24"/>
          <w:szCs w:val="24"/>
        </w:rPr>
        <w:t xml:space="preserve"> Year Excel file </w:t>
      </w:r>
    </w:p>
    <w:p w14:paraId="7FC3EAE5" w14:textId="77777777" w:rsidR="00FC3658" w:rsidRDefault="00FC3658" w:rsidP="0043559D">
      <w:pPr>
        <w:rPr>
          <w:rFonts w:ascii="Arial" w:hAnsi="Arial" w:cs="Arial"/>
          <w:sz w:val="24"/>
          <w:szCs w:val="24"/>
        </w:rPr>
      </w:pPr>
      <w:r>
        <w:rPr>
          <w:rFonts w:ascii="Arial" w:hAnsi="Arial" w:cs="Arial"/>
          <w:sz w:val="24"/>
          <w:szCs w:val="24"/>
        </w:rPr>
        <w:t xml:space="preserve">Cells E30 and E42 of </w:t>
      </w:r>
      <w:r w:rsidR="008A08A8">
        <w:rPr>
          <w:rFonts w:ascii="Arial" w:hAnsi="Arial" w:cs="Arial"/>
          <w:sz w:val="24"/>
          <w:szCs w:val="24"/>
        </w:rPr>
        <w:t>Tab 4 “Final RSVA balances” of the 2019 Analysis excel file</w:t>
      </w:r>
      <w:r>
        <w:rPr>
          <w:rFonts w:ascii="Arial" w:hAnsi="Arial" w:cs="Arial"/>
          <w:sz w:val="24"/>
          <w:szCs w:val="24"/>
        </w:rPr>
        <w:t xml:space="preserve"> provides the final RSVA balances for 2019 for Accounts 1588 and 1589 as below: </w:t>
      </w:r>
    </w:p>
    <w:p w14:paraId="5F730B54" w14:textId="251BDCC5" w:rsidR="002178B0" w:rsidRDefault="00FC3658" w:rsidP="0043559D">
      <w:pPr>
        <w:rPr>
          <w:rFonts w:ascii="Arial" w:hAnsi="Arial" w:cs="Arial"/>
          <w:sz w:val="24"/>
          <w:szCs w:val="24"/>
        </w:rPr>
      </w:pPr>
      <w:r>
        <w:rPr>
          <w:rFonts w:ascii="Arial" w:hAnsi="Arial" w:cs="Arial"/>
          <w:sz w:val="24"/>
          <w:szCs w:val="24"/>
        </w:rPr>
        <w:t>Account 1588’s 2019 final balance (Cell E30):</w:t>
      </w:r>
      <w:r w:rsidR="008A08A8">
        <w:rPr>
          <w:rFonts w:ascii="Arial" w:hAnsi="Arial" w:cs="Arial"/>
          <w:sz w:val="24"/>
          <w:szCs w:val="24"/>
        </w:rPr>
        <w:t xml:space="preserve"> </w:t>
      </w:r>
      <w:r>
        <w:rPr>
          <w:rFonts w:ascii="Arial" w:hAnsi="Arial" w:cs="Arial"/>
          <w:sz w:val="24"/>
          <w:szCs w:val="24"/>
        </w:rPr>
        <w:t xml:space="preserve">($591,428) </w:t>
      </w:r>
    </w:p>
    <w:p w14:paraId="53E175DF" w14:textId="10652B6B" w:rsidR="00FC3658" w:rsidRDefault="00FC3658" w:rsidP="00FC3658">
      <w:pPr>
        <w:rPr>
          <w:rFonts w:ascii="Arial" w:hAnsi="Arial" w:cs="Arial"/>
          <w:sz w:val="24"/>
          <w:szCs w:val="24"/>
        </w:rPr>
      </w:pPr>
      <w:r>
        <w:rPr>
          <w:rFonts w:ascii="Arial" w:hAnsi="Arial" w:cs="Arial"/>
          <w:sz w:val="24"/>
          <w:szCs w:val="24"/>
        </w:rPr>
        <w:t>Account 1589’s 2019 final balance (Cell E42):  $235,842</w:t>
      </w:r>
    </w:p>
    <w:p w14:paraId="53A8C91B" w14:textId="77777777" w:rsidR="006D5874" w:rsidRDefault="00FC3658" w:rsidP="00FC3658">
      <w:pPr>
        <w:rPr>
          <w:rFonts w:ascii="Arial" w:hAnsi="Arial" w:cs="Arial"/>
          <w:sz w:val="24"/>
          <w:szCs w:val="24"/>
        </w:rPr>
      </w:pPr>
      <w:r>
        <w:rPr>
          <w:rFonts w:ascii="Arial" w:hAnsi="Arial" w:cs="Arial"/>
          <w:sz w:val="24"/>
          <w:szCs w:val="24"/>
        </w:rPr>
        <w:t xml:space="preserve">OEB staff notes </w:t>
      </w:r>
      <w:r w:rsidR="006D5874">
        <w:rPr>
          <w:rFonts w:ascii="Arial" w:hAnsi="Arial" w:cs="Arial"/>
          <w:sz w:val="24"/>
          <w:szCs w:val="24"/>
        </w:rPr>
        <w:t xml:space="preserve">that there are some discrepancies between the </w:t>
      </w:r>
      <w:r>
        <w:rPr>
          <w:rFonts w:ascii="Arial" w:hAnsi="Arial" w:cs="Arial"/>
          <w:sz w:val="24"/>
          <w:szCs w:val="24"/>
        </w:rPr>
        <w:t>balance</w:t>
      </w:r>
      <w:r w:rsidR="006D5874">
        <w:rPr>
          <w:rFonts w:ascii="Arial" w:hAnsi="Arial" w:cs="Arial"/>
          <w:sz w:val="24"/>
          <w:szCs w:val="24"/>
        </w:rPr>
        <w:t>s</w:t>
      </w:r>
      <w:r>
        <w:rPr>
          <w:rFonts w:ascii="Arial" w:hAnsi="Arial" w:cs="Arial"/>
          <w:sz w:val="24"/>
          <w:szCs w:val="24"/>
        </w:rPr>
        <w:t xml:space="preserve"> for 2019 from the DVA continuity schedule in Tab 3 of the 2021 IRM rate generator</w:t>
      </w:r>
      <w:r w:rsidR="006D5874">
        <w:rPr>
          <w:rFonts w:ascii="Arial" w:hAnsi="Arial" w:cs="Arial"/>
          <w:sz w:val="24"/>
          <w:szCs w:val="24"/>
        </w:rPr>
        <w:t xml:space="preserve"> and the 2019 final balances per above in the 2019 Analysis excel file: </w:t>
      </w:r>
    </w:p>
    <w:p w14:paraId="0A99A291" w14:textId="77777777" w:rsidR="006D5874" w:rsidRDefault="00FC3658" w:rsidP="00FC3658">
      <w:pPr>
        <w:rPr>
          <w:rFonts w:ascii="Arial" w:hAnsi="Arial" w:cs="Arial"/>
          <w:sz w:val="24"/>
          <w:szCs w:val="24"/>
        </w:rPr>
      </w:pPr>
      <w:r>
        <w:rPr>
          <w:rFonts w:ascii="Arial" w:hAnsi="Arial" w:cs="Arial"/>
          <w:sz w:val="24"/>
          <w:szCs w:val="24"/>
        </w:rPr>
        <w:t xml:space="preserve"> </w:t>
      </w:r>
    </w:p>
    <w:tbl>
      <w:tblPr>
        <w:tblW w:w="7380" w:type="dxa"/>
        <w:tblLook w:val="04A0" w:firstRow="1" w:lastRow="0" w:firstColumn="1" w:lastColumn="0" w:noHBand="0" w:noVBand="1"/>
      </w:tblPr>
      <w:tblGrid>
        <w:gridCol w:w="1096"/>
        <w:gridCol w:w="1461"/>
        <w:gridCol w:w="1316"/>
        <w:gridCol w:w="1461"/>
        <w:gridCol w:w="1460"/>
        <w:gridCol w:w="1195"/>
      </w:tblGrid>
      <w:tr w:rsidR="006D5874" w:rsidRPr="006D5874" w14:paraId="432E04BA" w14:textId="77777777" w:rsidTr="006D5874">
        <w:trPr>
          <w:trHeight w:val="773"/>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E3904" w14:textId="77777777" w:rsidR="006D5874" w:rsidRPr="002E2094" w:rsidRDefault="006D5874" w:rsidP="006D5874">
            <w:pPr>
              <w:spacing w:after="0" w:line="240" w:lineRule="auto"/>
              <w:rPr>
                <w:rFonts w:ascii="Arial" w:eastAsia="Times New Roman" w:hAnsi="Arial" w:cs="Arial"/>
                <w:b/>
                <w:bCs/>
                <w:color w:val="000000"/>
              </w:rPr>
            </w:pPr>
            <w:r w:rsidRPr="002E2094">
              <w:rPr>
                <w:rFonts w:ascii="Arial" w:eastAsia="Times New Roman" w:hAnsi="Arial" w:cs="Arial"/>
                <w:b/>
                <w:bCs/>
                <w:color w:val="000000"/>
              </w:rPr>
              <w:t xml:space="preserve">Account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DE2BF7"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Transactions Debit / (Credit) during 2019</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F497095"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Principal Adjustment during 2019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F70D366"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Sum of 2019 Transactions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266AF701"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Final RSVA Balance as per the 2019 Analysis File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0929A15"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Difference</w:t>
            </w:r>
          </w:p>
        </w:tc>
      </w:tr>
      <w:tr w:rsidR="006D5874" w:rsidRPr="006D5874" w14:paraId="5B1D84A8" w14:textId="77777777" w:rsidTr="006D5874">
        <w:trPr>
          <w:trHeight w:val="773"/>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7781907" w14:textId="77777777" w:rsidR="006D5874" w:rsidRPr="002E2094" w:rsidRDefault="006D5874" w:rsidP="006D5874">
            <w:pPr>
              <w:spacing w:after="0" w:line="240" w:lineRule="auto"/>
              <w:jc w:val="center"/>
              <w:rPr>
                <w:rFonts w:ascii="Arial" w:eastAsia="Times New Roman" w:hAnsi="Arial" w:cs="Arial"/>
                <w:b/>
                <w:bCs/>
                <w:color w:val="000000"/>
              </w:rPr>
            </w:pPr>
            <w:r w:rsidRPr="002E2094">
              <w:rPr>
                <w:rFonts w:ascii="Arial" w:eastAsia="Times New Roman" w:hAnsi="Arial" w:cs="Arial"/>
                <w:b/>
                <w:bCs/>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14:paraId="356509FE"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A = Column BD of the continuity schedule</w:t>
            </w:r>
          </w:p>
        </w:tc>
        <w:tc>
          <w:tcPr>
            <w:tcW w:w="1300" w:type="dxa"/>
            <w:tcBorders>
              <w:top w:val="nil"/>
              <w:left w:val="nil"/>
              <w:bottom w:val="single" w:sz="4" w:space="0" w:color="auto"/>
              <w:right w:val="single" w:sz="4" w:space="0" w:color="auto"/>
            </w:tcBorders>
            <w:shd w:val="clear" w:color="auto" w:fill="auto"/>
            <w:vAlign w:val="center"/>
            <w:hideMark/>
          </w:tcPr>
          <w:p w14:paraId="003D370F"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 xml:space="preserve">B = Column BF of the continuity schedule </w:t>
            </w:r>
          </w:p>
        </w:tc>
        <w:tc>
          <w:tcPr>
            <w:tcW w:w="1280" w:type="dxa"/>
            <w:tcBorders>
              <w:top w:val="nil"/>
              <w:left w:val="nil"/>
              <w:bottom w:val="single" w:sz="4" w:space="0" w:color="auto"/>
              <w:right w:val="single" w:sz="4" w:space="0" w:color="auto"/>
            </w:tcBorders>
            <w:shd w:val="clear" w:color="auto" w:fill="auto"/>
            <w:vAlign w:val="center"/>
            <w:hideMark/>
          </w:tcPr>
          <w:p w14:paraId="4775EF80"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C= A+B</w:t>
            </w:r>
          </w:p>
        </w:tc>
        <w:tc>
          <w:tcPr>
            <w:tcW w:w="1460" w:type="dxa"/>
            <w:tcBorders>
              <w:top w:val="nil"/>
              <w:left w:val="nil"/>
              <w:bottom w:val="single" w:sz="4" w:space="0" w:color="auto"/>
              <w:right w:val="single" w:sz="4" w:space="0" w:color="auto"/>
            </w:tcBorders>
            <w:shd w:val="clear" w:color="auto" w:fill="auto"/>
            <w:vAlign w:val="center"/>
            <w:hideMark/>
          </w:tcPr>
          <w:p w14:paraId="1271CC0F"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D</w:t>
            </w:r>
          </w:p>
        </w:tc>
        <w:tc>
          <w:tcPr>
            <w:tcW w:w="1020" w:type="dxa"/>
            <w:tcBorders>
              <w:top w:val="nil"/>
              <w:left w:val="nil"/>
              <w:bottom w:val="single" w:sz="4" w:space="0" w:color="auto"/>
              <w:right w:val="single" w:sz="4" w:space="0" w:color="auto"/>
            </w:tcBorders>
            <w:shd w:val="clear" w:color="auto" w:fill="auto"/>
            <w:vAlign w:val="center"/>
            <w:hideMark/>
          </w:tcPr>
          <w:p w14:paraId="32AE130C" w14:textId="77777777" w:rsidR="006D5874" w:rsidRPr="002E2094" w:rsidRDefault="006D5874" w:rsidP="006D5874">
            <w:pPr>
              <w:spacing w:after="0" w:line="240" w:lineRule="auto"/>
              <w:rPr>
                <w:rFonts w:ascii="Arial" w:eastAsia="Times New Roman" w:hAnsi="Arial" w:cs="Arial"/>
                <w:b/>
                <w:bCs/>
                <w:sz w:val="20"/>
                <w:szCs w:val="20"/>
              </w:rPr>
            </w:pPr>
            <w:r w:rsidRPr="002E2094">
              <w:rPr>
                <w:rFonts w:ascii="Arial" w:eastAsia="Times New Roman" w:hAnsi="Arial" w:cs="Arial"/>
                <w:b/>
                <w:bCs/>
                <w:sz w:val="20"/>
                <w:szCs w:val="20"/>
              </w:rPr>
              <w:t>E=C-D</w:t>
            </w:r>
          </w:p>
        </w:tc>
      </w:tr>
      <w:tr w:rsidR="006D5874" w:rsidRPr="006D5874" w14:paraId="51C7CAD8" w14:textId="77777777" w:rsidTr="006D5874">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1676FDF2" w14:textId="77777777" w:rsidR="006D5874" w:rsidRPr="002E2094" w:rsidRDefault="006D5874" w:rsidP="006D5874">
            <w:pPr>
              <w:spacing w:after="0" w:line="240" w:lineRule="auto"/>
              <w:jc w:val="right"/>
              <w:rPr>
                <w:rFonts w:ascii="Arial" w:eastAsia="Times New Roman" w:hAnsi="Arial" w:cs="Arial"/>
                <w:b/>
                <w:bCs/>
                <w:color w:val="000000"/>
              </w:rPr>
            </w:pPr>
            <w:r w:rsidRPr="002E2094">
              <w:rPr>
                <w:rFonts w:ascii="Arial" w:eastAsia="Times New Roman" w:hAnsi="Arial" w:cs="Arial"/>
                <w:b/>
                <w:bCs/>
                <w:color w:val="000000"/>
              </w:rPr>
              <w:t>1588</w:t>
            </w:r>
          </w:p>
        </w:tc>
        <w:tc>
          <w:tcPr>
            <w:tcW w:w="1300" w:type="dxa"/>
            <w:tcBorders>
              <w:top w:val="nil"/>
              <w:left w:val="nil"/>
              <w:bottom w:val="single" w:sz="4" w:space="0" w:color="auto"/>
              <w:right w:val="single" w:sz="4" w:space="0" w:color="auto"/>
            </w:tcBorders>
            <w:shd w:val="clear" w:color="auto" w:fill="auto"/>
            <w:noWrap/>
            <w:vAlign w:val="bottom"/>
            <w:hideMark/>
          </w:tcPr>
          <w:p w14:paraId="6DF8E961"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(350,063)</w:t>
            </w:r>
          </w:p>
        </w:tc>
        <w:tc>
          <w:tcPr>
            <w:tcW w:w="1300" w:type="dxa"/>
            <w:tcBorders>
              <w:top w:val="nil"/>
              <w:left w:val="nil"/>
              <w:bottom w:val="single" w:sz="4" w:space="0" w:color="auto"/>
              <w:right w:val="single" w:sz="4" w:space="0" w:color="auto"/>
            </w:tcBorders>
            <w:shd w:val="clear" w:color="auto" w:fill="auto"/>
            <w:noWrap/>
            <w:vAlign w:val="bottom"/>
            <w:hideMark/>
          </w:tcPr>
          <w:p w14:paraId="011E1E7C"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(310,982)</w:t>
            </w:r>
          </w:p>
        </w:tc>
        <w:tc>
          <w:tcPr>
            <w:tcW w:w="1280" w:type="dxa"/>
            <w:tcBorders>
              <w:top w:val="nil"/>
              <w:left w:val="nil"/>
              <w:bottom w:val="single" w:sz="4" w:space="0" w:color="auto"/>
              <w:right w:val="single" w:sz="4" w:space="0" w:color="auto"/>
            </w:tcBorders>
            <w:shd w:val="clear" w:color="auto" w:fill="auto"/>
            <w:noWrap/>
            <w:vAlign w:val="bottom"/>
            <w:hideMark/>
          </w:tcPr>
          <w:p w14:paraId="7B84326A"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(661,045)</w:t>
            </w:r>
          </w:p>
        </w:tc>
        <w:tc>
          <w:tcPr>
            <w:tcW w:w="1460" w:type="dxa"/>
            <w:tcBorders>
              <w:top w:val="nil"/>
              <w:left w:val="nil"/>
              <w:bottom w:val="single" w:sz="4" w:space="0" w:color="auto"/>
              <w:right w:val="single" w:sz="4" w:space="0" w:color="auto"/>
            </w:tcBorders>
            <w:shd w:val="clear" w:color="auto" w:fill="auto"/>
            <w:noWrap/>
            <w:vAlign w:val="bottom"/>
            <w:hideMark/>
          </w:tcPr>
          <w:p w14:paraId="198F15A1"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(591,428)</w:t>
            </w:r>
          </w:p>
        </w:tc>
        <w:tc>
          <w:tcPr>
            <w:tcW w:w="1020" w:type="dxa"/>
            <w:tcBorders>
              <w:top w:val="nil"/>
              <w:left w:val="nil"/>
              <w:bottom w:val="single" w:sz="4" w:space="0" w:color="auto"/>
              <w:right w:val="single" w:sz="4" w:space="0" w:color="auto"/>
            </w:tcBorders>
            <w:shd w:val="clear" w:color="auto" w:fill="auto"/>
            <w:noWrap/>
            <w:vAlign w:val="bottom"/>
            <w:hideMark/>
          </w:tcPr>
          <w:p w14:paraId="213D8FF1"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(69,617)</w:t>
            </w:r>
          </w:p>
        </w:tc>
      </w:tr>
      <w:tr w:rsidR="006D5874" w:rsidRPr="006D5874" w14:paraId="05E3E2FC" w14:textId="77777777" w:rsidTr="006D5874">
        <w:trPr>
          <w:trHeight w:val="28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8BDA671" w14:textId="77777777" w:rsidR="006D5874" w:rsidRPr="002E2094" w:rsidRDefault="006D5874" w:rsidP="006D5874">
            <w:pPr>
              <w:spacing w:after="0" w:line="240" w:lineRule="auto"/>
              <w:jc w:val="right"/>
              <w:rPr>
                <w:rFonts w:ascii="Arial" w:eastAsia="Times New Roman" w:hAnsi="Arial" w:cs="Arial"/>
                <w:b/>
                <w:bCs/>
                <w:color w:val="000000"/>
              </w:rPr>
            </w:pPr>
            <w:r w:rsidRPr="002E2094">
              <w:rPr>
                <w:rFonts w:ascii="Arial" w:eastAsia="Times New Roman" w:hAnsi="Arial" w:cs="Arial"/>
                <w:b/>
                <w:bCs/>
                <w:color w:val="000000"/>
              </w:rPr>
              <w:lastRenderedPageBreak/>
              <w:t>1589</w:t>
            </w:r>
          </w:p>
        </w:tc>
        <w:tc>
          <w:tcPr>
            <w:tcW w:w="1300" w:type="dxa"/>
            <w:tcBorders>
              <w:top w:val="nil"/>
              <w:left w:val="nil"/>
              <w:bottom w:val="single" w:sz="4" w:space="0" w:color="auto"/>
              <w:right w:val="single" w:sz="4" w:space="0" w:color="auto"/>
            </w:tcBorders>
            <w:shd w:val="clear" w:color="auto" w:fill="auto"/>
            <w:noWrap/>
            <w:vAlign w:val="bottom"/>
            <w:hideMark/>
          </w:tcPr>
          <w:p w14:paraId="1EA7456C"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423,335 </w:t>
            </w:r>
          </w:p>
        </w:tc>
        <w:tc>
          <w:tcPr>
            <w:tcW w:w="1300" w:type="dxa"/>
            <w:tcBorders>
              <w:top w:val="nil"/>
              <w:left w:val="nil"/>
              <w:bottom w:val="single" w:sz="4" w:space="0" w:color="auto"/>
              <w:right w:val="single" w:sz="4" w:space="0" w:color="auto"/>
            </w:tcBorders>
            <w:shd w:val="clear" w:color="auto" w:fill="auto"/>
            <w:noWrap/>
            <w:vAlign w:val="bottom"/>
            <w:hideMark/>
          </w:tcPr>
          <w:p w14:paraId="121F0A31"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(188,482)</w:t>
            </w:r>
          </w:p>
        </w:tc>
        <w:tc>
          <w:tcPr>
            <w:tcW w:w="1280" w:type="dxa"/>
            <w:tcBorders>
              <w:top w:val="nil"/>
              <w:left w:val="nil"/>
              <w:bottom w:val="single" w:sz="4" w:space="0" w:color="auto"/>
              <w:right w:val="single" w:sz="4" w:space="0" w:color="auto"/>
            </w:tcBorders>
            <w:shd w:val="clear" w:color="auto" w:fill="auto"/>
            <w:noWrap/>
            <w:vAlign w:val="bottom"/>
            <w:hideMark/>
          </w:tcPr>
          <w:p w14:paraId="4BD6B7FE"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234,853 </w:t>
            </w:r>
          </w:p>
        </w:tc>
        <w:tc>
          <w:tcPr>
            <w:tcW w:w="1460" w:type="dxa"/>
            <w:tcBorders>
              <w:top w:val="nil"/>
              <w:left w:val="nil"/>
              <w:bottom w:val="single" w:sz="4" w:space="0" w:color="auto"/>
              <w:right w:val="single" w:sz="4" w:space="0" w:color="auto"/>
            </w:tcBorders>
            <w:shd w:val="clear" w:color="auto" w:fill="auto"/>
            <w:noWrap/>
            <w:vAlign w:val="bottom"/>
            <w:hideMark/>
          </w:tcPr>
          <w:p w14:paraId="075D5BFA"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235,842 </w:t>
            </w:r>
          </w:p>
        </w:tc>
        <w:tc>
          <w:tcPr>
            <w:tcW w:w="1020" w:type="dxa"/>
            <w:tcBorders>
              <w:top w:val="nil"/>
              <w:left w:val="nil"/>
              <w:bottom w:val="single" w:sz="4" w:space="0" w:color="auto"/>
              <w:right w:val="single" w:sz="4" w:space="0" w:color="auto"/>
            </w:tcBorders>
            <w:shd w:val="clear" w:color="auto" w:fill="auto"/>
            <w:noWrap/>
            <w:vAlign w:val="bottom"/>
            <w:hideMark/>
          </w:tcPr>
          <w:p w14:paraId="239E2AFD" w14:textId="77777777" w:rsidR="006D5874" w:rsidRPr="002E2094" w:rsidRDefault="006D5874" w:rsidP="006D5874">
            <w:pPr>
              <w:spacing w:after="0" w:line="240" w:lineRule="auto"/>
              <w:rPr>
                <w:rFonts w:ascii="Arial" w:eastAsia="Times New Roman" w:hAnsi="Arial" w:cs="Arial"/>
                <w:color w:val="000000"/>
              </w:rPr>
            </w:pPr>
            <w:r w:rsidRPr="002E2094">
              <w:rPr>
                <w:rFonts w:ascii="Arial" w:eastAsia="Times New Roman" w:hAnsi="Arial" w:cs="Arial"/>
                <w:color w:val="000000"/>
              </w:rPr>
              <w:t xml:space="preserve">         (989)</w:t>
            </w:r>
          </w:p>
        </w:tc>
      </w:tr>
    </w:tbl>
    <w:p w14:paraId="3CE5CB06" w14:textId="1287A46F" w:rsidR="00FC3658" w:rsidRDefault="00FC3658" w:rsidP="00FC3658">
      <w:pPr>
        <w:rPr>
          <w:rFonts w:ascii="Arial" w:hAnsi="Arial" w:cs="Arial"/>
          <w:sz w:val="24"/>
          <w:szCs w:val="24"/>
        </w:rPr>
      </w:pPr>
    </w:p>
    <w:p w14:paraId="78BBE35A" w14:textId="66D2D8AE" w:rsidR="006D5874" w:rsidRPr="006D5874" w:rsidRDefault="006D5874" w:rsidP="006D5874">
      <w:pPr>
        <w:pStyle w:val="ListParagraph"/>
        <w:numPr>
          <w:ilvl w:val="0"/>
          <w:numId w:val="8"/>
        </w:numPr>
        <w:rPr>
          <w:rFonts w:ascii="Arial" w:hAnsi="Arial" w:cs="Arial"/>
          <w:sz w:val="24"/>
          <w:szCs w:val="24"/>
        </w:rPr>
      </w:pPr>
      <w:r>
        <w:rPr>
          <w:rFonts w:ascii="Arial" w:hAnsi="Arial" w:cs="Arial"/>
          <w:sz w:val="24"/>
          <w:szCs w:val="24"/>
        </w:rPr>
        <w:t xml:space="preserve">Please explain the ($69,617) difference noted for Account 1588. </w:t>
      </w:r>
    </w:p>
    <w:p w14:paraId="52645EC4" w14:textId="77777777" w:rsidR="00FC3658" w:rsidRPr="00FC3658" w:rsidRDefault="00FC3658" w:rsidP="00FC3658">
      <w:pPr>
        <w:rPr>
          <w:rFonts w:ascii="Arial" w:hAnsi="Arial" w:cs="Arial"/>
          <w:sz w:val="24"/>
          <w:szCs w:val="24"/>
        </w:rPr>
      </w:pPr>
    </w:p>
    <w:p w14:paraId="1C28505F" w14:textId="2E76ECC3" w:rsidR="00CC586E" w:rsidRDefault="00CC586E">
      <w:pPr>
        <w:rPr>
          <w:rFonts w:ascii="Arial" w:hAnsi="Arial" w:cs="Arial"/>
          <w:b/>
          <w:bCs/>
          <w:sz w:val="24"/>
          <w:szCs w:val="24"/>
        </w:rPr>
      </w:pPr>
      <w:r>
        <w:rPr>
          <w:rFonts w:ascii="Arial" w:hAnsi="Arial" w:cs="Arial"/>
          <w:b/>
          <w:bCs/>
          <w:sz w:val="24"/>
          <w:szCs w:val="24"/>
        </w:rPr>
        <w:t xml:space="preserve">Staff Question – </w:t>
      </w:r>
      <w:r w:rsidR="00B069F4">
        <w:rPr>
          <w:rFonts w:ascii="Arial" w:hAnsi="Arial" w:cs="Arial"/>
          <w:b/>
          <w:bCs/>
          <w:sz w:val="24"/>
          <w:szCs w:val="24"/>
        </w:rPr>
        <w:t>4</w:t>
      </w:r>
    </w:p>
    <w:p w14:paraId="2C5C477B" w14:textId="22D0906B" w:rsidR="00CC586E" w:rsidRDefault="00CC586E">
      <w:pPr>
        <w:rPr>
          <w:rFonts w:ascii="Arial" w:hAnsi="Arial" w:cs="Arial"/>
          <w:b/>
          <w:bCs/>
          <w:sz w:val="24"/>
          <w:szCs w:val="24"/>
        </w:rPr>
      </w:pPr>
      <w:r>
        <w:rPr>
          <w:rFonts w:ascii="Arial" w:hAnsi="Arial" w:cs="Arial"/>
          <w:b/>
          <w:bCs/>
          <w:sz w:val="24"/>
          <w:szCs w:val="24"/>
        </w:rPr>
        <w:t xml:space="preserve">Ref:  </w:t>
      </w:r>
      <w:proofErr w:type="spellStart"/>
      <w:r w:rsidR="009D3ACA">
        <w:rPr>
          <w:rFonts w:ascii="Arial" w:hAnsi="Arial" w:cs="Arial"/>
          <w:b/>
          <w:bCs/>
          <w:sz w:val="24"/>
          <w:szCs w:val="24"/>
        </w:rPr>
        <w:t>Elexicon_Whitby</w:t>
      </w:r>
      <w:proofErr w:type="spellEnd"/>
      <w:r w:rsidR="009D3ACA">
        <w:rPr>
          <w:rFonts w:ascii="Arial" w:hAnsi="Arial" w:cs="Arial"/>
          <w:b/>
          <w:bCs/>
          <w:sz w:val="24"/>
          <w:szCs w:val="24"/>
        </w:rPr>
        <w:t xml:space="preserve"> RZ_2020 Accounting Guidance 2019 </w:t>
      </w:r>
      <w:proofErr w:type="spellStart"/>
      <w:r w:rsidR="009D3ACA">
        <w:rPr>
          <w:rFonts w:ascii="Arial" w:hAnsi="Arial" w:cs="Arial"/>
          <w:b/>
          <w:bCs/>
          <w:sz w:val="24"/>
          <w:szCs w:val="24"/>
        </w:rPr>
        <w:t>Analysis_Full</w:t>
      </w:r>
      <w:proofErr w:type="spellEnd"/>
      <w:r w:rsidR="009D3ACA">
        <w:rPr>
          <w:rFonts w:ascii="Arial" w:hAnsi="Arial" w:cs="Arial"/>
          <w:b/>
          <w:bCs/>
          <w:sz w:val="24"/>
          <w:szCs w:val="24"/>
        </w:rPr>
        <w:t xml:space="preserve"> Year Excel file </w:t>
      </w:r>
    </w:p>
    <w:p w14:paraId="07B40087" w14:textId="672046CC" w:rsidR="009D3ACA" w:rsidRDefault="009D3ACA">
      <w:pPr>
        <w:rPr>
          <w:rFonts w:ascii="Arial" w:hAnsi="Arial" w:cs="Arial"/>
          <w:sz w:val="24"/>
          <w:szCs w:val="24"/>
        </w:rPr>
      </w:pPr>
      <w:r>
        <w:rPr>
          <w:rFonts w:ascii="Arial" w:hAnsi="Arial" w:cs="Arial"/>
          <w:sz w:val="24"/>
          <w:szCs w:val="24"/>
        </w:rPr>
        <w:t xml:space="preserve">Cell E15 on the Tab “EW Settlement Comparison” shows a figure of $438,787 for “Adjustment for OEB Accounting Guidance (UFE)”. The cell is linked to another file which was not provided to the OEB. </w:t>
      </w:r>
    </w:p>
    <w:p w14:paraId="5C48E6E9" w14:textId="4E8DDA37" w:rsidR="00B5022F" w:rsidRDefault="00B5022F">
      <w:pPr>
        <w:rPr>
          <w:rFonts w:ascii="Arial" w:hAnsi="Arial" w:cs="Arial"/>
          <w:sz w:val="24"/>
          <w:szCs w:val="24"/>
        </w:rPr>
      </w:pPr>
      <w:r>
        <w:rPr>
          <w:rFonts w:ascii="Arial" w:hAnsi="Arial" w:cs="Arial"/>
          <w:sz w:val="24"/>
          <w:szCs w:val="24"/>
        </w:rPr>
        <w:t xml:space="preserve">The Tab provides the settlement comparison between the EW method and OEB method for the cost of power account 4705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
        <w:gridCol w:w="5467"/>
        <w:gridCol w:w="266"/>
        <w:gridCol w:w="1661"/>
        <w:gridCol w:w="1690"/>
      </w:tblGrid>
      <w:tr w:rsidR="00B5022F" w:rsidRPr="00B5022F" w14:paraId="16B3A23D" w14:textId="77777777" w:rsidTr="00B5022F">
        <w:trPr>
          <w:trHeight w:val="285"/>
        </w:trPr>
        <w:tc>
          <w:tcPr>
            <w:tcW w:w="0" w:type="auto"/>
            <w:gridSpan w:val="2"/>
            <w:shd w:val="clear" w:color="000000" w:fill="FFFFFF"/>
            <w:noWrap/>
            <w:vAlign w:val="bottom"/>
            <w:hideMark/>
          </w:tcPr>
          <w:p w14:paraId="45864430" w14:textId="77777777" w:rsidR="00B5022F" w:rsidRPr="00B5022F" w:rsidRDefault="00B5022F" w:rsidP="00B5022F">
            <w:pPr>
              <w:spacing w:after="0" w:line="240" w:lineRule="auto"/>
              <w:rPr>
                <w:rFonts w:ascii="Calibri" w:eastAsia="Times New Roman" w:hAnsi="Calibri" w:cs="Calibri"/>
                <w:color w:val="000000"/>
                <w:u w:val="single"/>
              </w:rPr>
            </w:pPr>
            <w:r w:rsidRPr="00B5022F">
              <w:rPr>
                <w:rFonts w:ascii="Calibri" w:eastAsia="Times New Roman" w:hAnsi="Calibri" w:cs="Calibri"/>
                <w:color w:val="000000"/>
                <w:u w:val="single"/>
              </w:rPr>
              <w:t>Cost of Energy (4705)</w:t>
            </w:r>
          </w:p>
        </w:tc>
        <w:tc>
          <w:tcPr>
            <w:tcW w:w="0" w:type="auto"/>
            <w:shd w:val="clear" w:color="000000" w:fill="FFFFFF"/>
            <w:noWrap/>
            <w:vAlign w:val="bottom"/>
            <w:hideMark/>
          </w:tcPr>
          <w:p w14:paraId="4AF2C60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5EA38CD3" w14:textId="77777777" w:rsidR="00B5022F" w:rsidRPr="00B5022F" w:rsidRDefault="00B5022F" w:rsidP="00B5022F">
            <w:pPr>
              <w:spacing w:after="0" w:line="240" w:lineRule="auto"/>
              <w:jc w:val="center"/>
              <w:rPr>
                <w:rFonts w:ascii="Calibri" w:eastAsia="Times New Roman" w:hAnsi="Calibri" w:cs="Calibri"/>
                <w:color w:val="000000"/>
              </w:rPr>
            </w:pPr>
            <w:r w:rsidRPr="00B5022F">
              <w:rPr>
                <w:rFonts w:ascii="Calibri" w:eastAsia="Times New Roman" w:hAnsi="Calibri" w:cs="Calibri"/>
                <w:color w:val="000000"/>
              </w:rPr>
              <w:t xml:space="preserve"> EW Method </w:t>
            </w:r>
          </w:p>
        </w:tc>
        <w:tc>
          <w:tcPr>
            <w:tcW w:w="0" w:type="auto"/>
            <w:shd w:val="clear" w:color="000000" w:fill="FFFFFF"/>
            <w:noWrap/>
            <w:vAlign w:val="bottom"/>
            <w:hideMark/>
          </w:tcPr>
          <w:p w14:paraId="435E60C8"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OEB Method </w:t>
            </w:r>
          </w:p>
        </w:tc>
      </w:tr>
      <w:tr w:rsidR="00B5022F" w:rsidRPr="00B5022F" w14:paraId="03401D4D" w14:textId="77777777" w:rsidTr="00B5022F">
        <w:trPr>
          <w:trHeight w:val="285"/>
        </w:trPr>
        <w:tc>
          <w:tcPr>
            <w:tcW w:w="0" w:type="auto"/>
            <w:shd w:val="clear" w:color="000000" w:fill="FFFFFF"/>
            <w:noWrap/>
            <w:vAlign w:val="bottom"/>
            <w:hideMark/>
          </w:tcPr>
          <w:p w14:paraId="0463BFE0"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01C4B352"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Net Energy Cost Settlement (IESO charge type 101)</w:t>
            </w:r>
          </w:p>
        </w:tc>
        <w:tc>
          <w:tcPr>
            <w:tcW w:w="0" w:type="auto"/>
            <w:shd w:val="clear" w:color="000000" w:fill="FFFFFF"/>
            <w:noWrap/>
            <w:vAlign w:val="bottom"/>
            <w:hideMark/>
          </w:tcPr>
          <w:p w14:paraId="721FF41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4EE39250"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15,946,033 </w:t>
            </w:r>
          </w:p>
        </w:tc>
        <w:tc>
          <w:tcPr>
            <w:tcW w:w="0" w:type="auto"/>
            <w:shd w:val="clear" w:color="000000" w:fill="DCE6F1"/>
            <w:noWrap/>
            <w:vAlign w:val="bottom"/>
            <w:hideMark/>
          </w:tcPr>
          <w:p w14:paraId="0B70D8F6"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15,946,033 </w:t>
            </w:r>
          </w:p>
        </w:tc>
      </w:tr>
      <w:tr w:rsidR="00B5022F" w:rsidRPr="00B5022F" w14:paraId="72207DC1" w14:textId="77777777" w:rsidTr="00B5022F">
        <w:trPr>
          <w:trHeight w:val="300"/>
        </w:trPr>
        <w:tc>
          <w:tcPr>
            <w:tcW w:w="0" w:type="auto"/>
            <w:shd w:val="clear" w:color="000000" w:fill="FFFFFF"/>
            <w:noWrap/>
            <w:vAlign w:val="bottom"/>
            <w:hideMark/>
          </w:tcPr>
          <w:p w14:paraId="4DB0D4D6"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13E1E2A0"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FIT/</w:t>
            </w:r>
            <w:proofErr w:type="spellStart"/>
            <w:r w:rsidRPr="00B5022F">
              <w:rPr>
                <w:rFonts w:ascii="Calibri" w:eastAsia="Times New Roman" w:hAnsi="Calibri" w:cs="Calibri"/>
                <w:color w:val="000000"/>
              </w:rPr>
              <w:t>MicroFit</w:t>
            </w:r>
            <w:proofErr w:type="spellEnd"/>
            <w:r w:rsidRPr="00B5022F">
              <w:rPr>
                <w:rFonts w:ascii="Calibri" w:eastAsia="Times New Roman" w:hAnsi="Calibri" w:cs="Calibri"/>
                <w:color w:val="000000"/>
              </w:rPr>
              <w:t xml:space="preserve"> @ spot </w:t>
            </w:r>
          </w:p>
        </w:tc>
        <w:tc>
          <w:tcPr>
            <w:tcW w:w="0" w:type="auto"/>
            <w:shd w:val="clear" w:color="000000" w:fill="FFFFFF"/>
            <w:noWrap/>
            <w:vAlign w:val="bottom"/>
            <w:hideMark/>
          </w:tcPr>
          <w:p w14:paraId="5BBFC62D"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67229313"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104,508 </w:t>
            </w:r>
          </w:p>
        </w:tc>
        <w:tc>
          <w:tcPr>
            <w:tcW w:w="0" w:type="auto"/>
            <w:shd w:val="clear" w:color="000000" w:fill="DCE6F1"/>
            <w:noWrap/>
            <w:vAlign w:val="bottom"/>
            <w:hideMark/>
          </w:tcPr>
          <w:p w14:paraId="34711ADE"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104,508 </w:t>
            </w:r>
          </w:p>
        </w:tc>
      </w:tr>
      <w:tr w:rsidR="00B5022F" w:rsidRPr="00B5022F" w14:paraId="41140DD7" w14:textId="77777777" w:rsidTr="00B5022F">
        <w:trPr>
          <w:trHeight w:val="285"/>
        </w:trPr>
        <w:tc>
          <w:tcPr>
            <w:tcW w:w="0" w:type="auto"/>
            <w:shd w:val="clear" w:color="000000" w:fill="FFFFFF"/>
            <w:noWrap/>
            <w:vAlign w:val="bottom"/>
            <w:hideMark/>
          </w:tcPr>
          <w:p w14:paraId="63853D69"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00"/>
            <w:noWrap/>
            <w:vAlign w:val="bottom"/>
            <w:hideMark/>
          </w:tcPr>
          <w:p w14:paraId="0991DF5B"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RPP - actual differential - Billing from CIS Final (RPP - </w:t>
            </w:r>
            <w:proofErr w:type="gramStart"/>
            <w:r w:rsidRPr="00B5022F">
              <w:rPr>
                <w:rFonts w:ascii="Calibri" w:eastAsia="Times New Roman" w:hAnsi="Calibri" w:cs="Calibri"/>
                <w:color w:val="000000"/>
              </w:rPr>
              <w:t>spot)*</w:t>
            </w:r>
            <w:proofErr w:type="gramEnd"/>
          </w:p>
        </w:tc>
        <w:tc>
          <w:tcPr>
            <w:tcW w:w="0" w:type="auto"/>
            <w:shd w:val="clear" w:color="000000" w:fill="FFFFFF"/>
            <w:noWrap/>
            <w:vAlign w:val="bottom"/>
            <w:hideMark/>
          </w:tcPr>
          <w:p w14:paraId="3C32635A"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00"/>
            <w:noWrap/>
            <w:vAlign w:val="bottom"/>
            <w:hideMark/>
          </w:tcPr>
          <w:p w14:paraId="741A3D7F"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34,948,191 </w:t>
            </w:r>
          </w:p>
        </w:tc>
        <w:tc>
          <w:tcPr>
            <w:tcW w:w="0" w:type="auto"/>
            <w:shd w:val="clear" w:color="000000" w:fill="FFFFFF"/>
            <w:noWrap/>
            <w:vAlign w:val="bottom"/>
            <w:hideMark/>
          </w:tcPr>
          <w:p w14:paraId="2DB62E1E"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r>
      <w:tr w:rsidR="00B5022F" w:rsidRPr="00B5022F" w14:paraId="51FA0700" w14:textId="77777777" w:rsidTr="00B5022F">
        <w:trPr>
          <w:trHeight w:val="285"/>
        </w:trPr>
        <w:tc>
          <w:tcPr>
            <w:tcW w:w="0" w:type="auto"/>
            <w:shd w:val="clear" w:color="000000" w:fill="FFFFFF"/>
            <w:noWrap/>
            <w:vAlign w:val="bottom"/>
            <w:hideMark/>
          </w:tcPr>
          <w:p w14:paraId="3963BBE2"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422BB19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GA RPP Portion</w:t>
            </w:r>
          </w:p>
        </w:tc>
        <w:tc>
          <w:tcPr>
            <w:tcW w:w="0" w:type="auto"/>
            <w:shd w:val="clear" w:color="000000" w:fill="FFFFFF"/>
            <w:noWrap/>
            <w:vAlign w:val="bottom"/>
            <w:hideMark/>
          </w:tcPr>
          <w:p w14:paraId="21486ADC"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72384991"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00"/>
            <w:noWrap/>
            <w:vAlign w:val="bottom"/>
            <w:hideMark/>
          </w:tcPr>
          <w:p w14:paraId="746B4319"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52,146,700 </w:t>
            </w:r>
          </w:p>
        </w:tc>
      </w:tr>
      <w:tr w:rsidR="00B5022F" w:rsidRPr="00B5022F" w14:paraId="5D2FC179" w14:textId="77777777" w:rsidTr="00B5022F">
        <w:trPr>
          <w:trHeight w:val="293"/>
        </w:trPr>
        <w:tc>
          <w:tcPr>
            <w:tcW w:w="0" w:type="auto"/>
            <w:shd w:val="clear" w:color="000000" w:fill="FFFFFF"/>
            <w:noWrap/>
            <w:vAlign w:val="bottom"/>
            <w:hideMark/>
          </w:tcPr>
          <w:p w14:paraId="7FEB5AA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03016F5F"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1598 Final Settlement</w:t>
            </w:r>
          </w:p>
        </w:tc>
        <w:tc>
          <w:tcPr>
            <w:tcW w:w="0" w:type="auto"/>
            <w:shd w:val="clear" w:color="000000" w:fill="FFFFFF"/>
            <w:noWrap/>
            <w:vAlign w:val="bottom"/>
            <w:hideMark/>
          </w:tcPr>
          <w:p w14:paraId="691A33B3"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2D3E4FF8"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00"/>
            <w:noWrap/>
            <w:vAlign w:val="bottom"/>
            <w:hideMark/>
          </w:tcPr>
          <w:p w14:paraId="4A8EA3D3"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(17,637,296)</w:t>
            </w:r>
          </w:p>
        </w:tc>
      </w:tr>
      <w:tr w:rsidR="00B5022F" w:rsidRPr="00B5022F" w14:paraId="7BFBB09E" w14:textId="77777777" w:rsidTr="00B5022F">
        <w:trPr>
          <w:trHeight w:val="300"/>
        </w:trPr>
        <w:tc>
          <w:tcPr>
            <w:tcW w:w="0" w:type="auto"/>
            <w:shd w:val="clear" w:color="000000" w:fill="FFFFFF"/>
            <w:noWrap/>
            <w:vAlign w:val="bottom"/>
            <w:hideMark/>
          </w:tcPr>
          <w:p w14:paraId="0C1E2769"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7BDAA28F"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Adjustment for OEB Accounting Guidance (UFE)</w:t>
            </w:r>
          </w:p>
        </w:tc>
        <w:tc>
          <w:tcPr>
            <w:tcW w:w="0" w:type="auto"/>
            <w:shd w:val="clear" w:color="000000" w:fill="FFFFFF"/>
            <w:noWrap/>
            <w:vAlign w:val="bottom"/>
            <w:hideMark/>
          </w:tcPr>
          <w:p w14:paraId="0D9B49BA"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0" w:type="auto"/>
            <w:shd w:val="clear" w:color="000000" w:fill="FFFFFF"/>
            <w:noWrap/>
            <w:vAlign w:val="bottom"/>
            <w:hideMark/>
          </w:tcPr>
          <w:p w14:paraId="19682F20"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(438,787)</w:t>
            </w:r>
          </w:p>
        </w:tc>
        <w:tc>
          <w:tcPr>
            <w:tcW w:w="0" w:type="auto"/>
            <w:shd w:val="clear" w:color="000000" w:fill="FFFFFF"/>
            <w:noWrap/>
            <w:vAlign w:val="bottom"/>
            <w:hideMark/>
          </w:tcPr>
          <w:p w14:paraId="4CE4AE33"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r>
    </w:tbl>
    <w:p w14:paraId="31E07B40" w14:textId="598A149A" w:rsidR="00B5022F" w:rsidRDefault="00B5022F">
      <w:pPr>
        <w:rPr>
          <w:rFonts w:ascii="Calibri" w:eastAsia="Times New Roman" w:hAnsi="Calibri" w:cs="Calibri"/>
          <w:color w:val="000000"/>
        </w:rPr>
      </w:pPr>
    </w:p>
    <w:p w14:paraId="2145475E" w14:textId="56A6110F" w:rsidR="00B5022F" w:rsidRDefault="00B5022F">
      <w:pPr>
        <w:rPr>
          <w:rFonts w:ascii="Arial" w:eastAsia="Times New Roman" w:hAnsi="Arial" w:cs="Arial"/>
          <w:color w:val="000000"/>
          <w:sz w:val="24"/>
          <w:szCs w:val="24"/>
        </w:rPr>
      </w:pPr>
      <w:r>
        <w:rPr>
          <w:rFonts w:ascii="Arial" w:eastAsia="Times New Roman" w:hAnsi="Arial" w:cs="Arial"/>
          <w:color w:val="000000"/>
          <w:sz w:val="24"/>
          <w:szCs w:val="24"/>
        </w:rPr>
        <w:t xml:space="preserve">For the purpose of clearly showing the adjusting entry needed, </w:t>
      </w:r>
      <w:r w:rsidRPr="00B5022F">
        <w:rPr>
          <w:rFonts w:ascii="Arial" w:eastAsia="Times New Roman" w:hAnsi="Arial" w:cs="Arial"/>
          <w:color w:val="000000"/>
          <w:sz w:val="24"/>
          <w:szCs w:val="24"/>
        </w:rPr>
        <w:t xml:space="preserve">OEB Staff has added a column (the middle column – “EW-Adjusted”) to break down the adjustment in the table below: </w:t>
      </w:r>
    </w:p>
    <w:tbl>
      <w:tblPr>
        <w:tblW w:w="0" w:type="auto"/>
        <w:tblLayout w:type="fixed"/>
        <w:tblLook w:val="04A0" w:firstRow="1" w:lastRow="0" w:firstColumn="1" w:lastColumn="0" w:noHBand="0" w:noVBand="1"/>
      </w:tblPr>
      <w:tblGrid>
        <w:gridCol w:w="2976"/>
        <w:gridCol w:w="242"/>
        <w:gridCol w:w="2600"/>
        <w:gridCol w:w="1832"/>
        <w:gridCol w:w="1710"/>
      </w:tblGrid>
      <w:tr w:rsidR="008025D1" w:rsidRPr="00B5022F" w14:paraId="2C4FDB89" w14:textId="77777777" w:rsidTr="002E2094">
        <w:trPr>
          <w:trHeight w:val="285"/>
        </w:trPr>
        <w:tc>
          <w:tcPr>
            <w:tcW w:w="2976" w:type="dxa"/>
            <w:tcBorders>
              <w:top w:val="nil"/>
              <w:left w:val="nil"/>
              <w:bottom w:val="nil"/>
              <w:right w:val="nil"/>
            </w:tcBorders>
            <w:shd w:val="clear" w:color="000000" w:fill="FFFFFF"/>
            <w:noWrap/>
            <w:vAlign w:val="bottom"/>
            <w:hideMark/>
          </w:tcPr>
          <w:p w14:paraId="0504F3D5" w14:textId="77777777" w:rsidR="00B5022F" w:rsidRPr="00B5022F" w:rsidRDefault="00B5022F" w:rsidP="00B5022F">
            <w:pPr>
              <w:spacing w:after="0" w:line="240" w:lineRule="auto"/>
              <w:rPr>
                <w:rFonts w:ascii="Calibri" w:eastAsia="Times New Roman" w:hAnsi="Calibri" w:cs="Calibri"/>
                <w:b/>
                <w:bCs/>
                <w:color w:val="000000"/>
                <w:u w:val="single"/>
              </w:rPr>
            </w:pPr>
            <w:r w:rsidRPr="00B5022F">
              <w:rPr>
                <w:rFonts w:ascii="Calibri" w:eastAsia="Times New Roman" w:hAnsi="Calibri" w:cs="Calibri"/>
                <w:b/>
                <w:bCs/>
                <w:color w:val="000000"/>
                <w:u w:val="single"/>
              </w:rPr>
              <w:t>Cost of Energy (4705)</w:t>
            </w:r>
          </w:p>
        </w:tc>
        <w:tc>
          <w:tcPr>
            <w:tcW w:w="242" w:type="dxa"/>
            <w:tcBorders>
              <w:top w:val="nil"/>
              <w:left w:val="nil"/>
              <w:bottom w:val="nil"/>
              <w:right w:val="nil"/>
            </w:tcBorders>
            <w:shd w:val="clear" w:color="auto" w:fill="auto"/>
            <w:noWrap/>
            <w:vAlign w:val="bottom"/>
            <w:hideMark/>
          </w:tcPr>
          <w:p w14:paraId="2A0AE7BB" w14:textId="77777777" w:rsidR="00B5022F" w:rsidRPr="00B5022F" w:rsidRDefault="00B5022F" w:rsidP="00B5022F">
            <w:pPr>
              <w:spacing w:after="0" w:line="240" w:lineRule="auto"/>
              <w:rPr>
                <w:rFonts w:ascii="Calibri" w:eastAsia="Times New Roman" w:hAnsi="Calibri" w:cs="Calibri"/>
                <w:b/>
                <w:bCs/>
                <w:color w:val="000000"/>
                <w:u w:val="single"/>
              </w:rPr>
            </w:pPr>
          </w:p>
        </w:tc>
        <w:tc>
          <w:tcPr>
            <w:tcW w:w="2600" w:type="dxa"/>
            <w:tcBorders>
              <w:top w:val="nil"/>
              <w:left w:val="nil"/>
              <w:bottom w:val="nil"/>
              <w:right w:val="nil"/>
            </w:tcBorders>
            <w:shd w:val="clear" w:color="auto" w:fill="auto"/>
            <w:noWrap/>
            <w:vAlign w:val="bottom"/>
            <w:hideMark/>
          </w:tcPr>
          <w:p w14:paraId="7F68B0FE" w14:textId="77777777" w:rsidR="00B5022F" w:rsidRPr="00B5022F" w:rsidRDefault="00B5022F" w:rsidP="00B5022F">
            <w:pPr>
              <w:spacing w:after="0" w:line="240" w:lineRule="auto"/>
              <w:rPr>
                <w:rFonts w:ascii="Times New Roman" w:eastAsia="Times New Roman" w:hAnsi="Times New Roman" w:cs="Times New Roman"/>
                <w:sz w:val="20"/>
                <w:szCs w:val="20"/>
              </w:rPr>
            </w:pPr>
          </w:p>
        </w:tc>
        <w:tc>
          <w:tcPr>
            <w:tcW w:w="1832" w:type="dxa"/>
            <w:tcBorders>
              <w:top w:val="nil"/>
              <w:left w:val="nil"/>
              <w:bottom w:val="nil"/>
              <w:right w:val="nil"/>
            </w:tcBorders>
            <w:shd w:val="clear" w:color="auto" w:fill="auto"/>
            <w:noWrap/>
            <w:vAlign w:val="bottom"/>
            <w:hideMark/>
          </w:tcPr>
          <w:p w14:paraId="6E5B0C16" w14:textId="77777777" w:rsidR="00B5022F" w:rsidRPr="00B5022F" w:rsidRDefault="00B5022F" w:rsidP="00B5022F">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5EBA619" w14:textId="77777777" w:rsidR="00B5022F" w:rsidRPr="00B5022F" w:rsidRDefault="00B5022F" w:rsidP="00B5022F">
            <w:pPr>
              <w:spacing w:after="0" w:line="240" w:lineRule="auto"/>
              <w:rPr>
                <w:rFonts w:ascii="Times New Roman" w:eastAsia="Times New Roman" w:hAnsi="Times New Roman" w:cs="Times New Roman"/>
                <w:sz w:val="20"/>
                <w:szCs w:val="20"/>
              </w:rPr>
            </w:pPr>
          </w:p>
        </w:tc>
      </w:tr>
      <w:tr w:rsidR="008025D1" w:rsidRPr="00B5022F" w14:paraId="5F8A3DF7" w14:textId="77777777" w:rsidTr="008025D1">
        <w:trPr>
          <w:trHeight w:val="285"/>
        </w:trPr>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5D111"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42" w:type="dxa"/>
            <w:tcBorders>
              <w:top w:val="single" w:sz="4" w:space="0" w:color="auto"/>
              <w:left w:val="nil"/>
              <w:bottom w:val="single" w:sz="4" w:space="0" w:color="auto"/>
              <w:right w:val="single" w:sz="4" w:space="0" w:color="auto"/>
            </w:tcBorders>
            <w:shd w:val="clear" w:color="000000" w:fill="FFFFFF"/>
            <w:noWrap/>
            <w:vAlign w:val="bottom"/>
            <w:hideMark/>
          </w:tcPr>
          <w:p w14:paraId="0A5238CB"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single" w:sz="4" w:space="0" w:color="auto"/>
              <w:left w:val="nil"/>
              <w:bottom w:val="single" w:sz="4" w:space="0" w:color="auto"/>
              <w:right w:val="single" w:sz="4" w:space="0" w:color="auto"/>
            </w:tcBorders>
            <w:shd w:val="clear" w:color="000000" w:fill="FFFFFF"/>
            <w:noWrap/>
            <w:vAlign w:val="bottom"/>
            <w:hideMark/>
          </w:tcPr>
          <w:p w14:paraId="0F597F64" w14:textId="4D801A79" w:rsidR="00B5022F" w:rsidRPr="00B5022F" w:rsidRDefault="00B5022F" w:rsidP="00B5022F">
            <w:pPr>
              <w:spacing w:after="0" w:line="240" w:lineRule="auto"/>
              <w:rPr>
                <w:rFonts w:ascii="Calibri" w:eastAsia="Times New Roman" w:hAnsi="Calibri" w:cs="Calibri"/>
                <w:b/>
                <w:bCs/>
                <w:color w:val="000000"/>
              </w:rPr>
            </w:pPr>
            <w:r w:rsidRPr="00B5022F">
              <w:rPr>
                <w:rFonts w:ascii="Calibri" w:eastAsia="Times New Roman" w:hAnsi="Calibri" w:cs="Calibri"/>
                <w:b/>
                <w:bCs/>
                <w:color w:val="000000"/>
              </w:rPr>
              <w:t>EW Method</w:t>
            </w:r>
            <w:r w:rsidR="008025D1">
              <w:rPr>
                <w:rFonts w:ascii="Calibri" w:eastAsia="Times New Roman" w:hAnsi="Calibri" w:cs="Calibri"/>
                <w:b/>
                <w:bCs/>
                <w:color w:val="000000"/>
              </w:rPr>
              <w:t xml:space="preserve"> (Use Retail KWH for RPP settlements)</w:t>
            </w:r>
          </w:p>
        </w:tc>
        <w:tc>
          <w:tcPr>
            <w:tcW w:w="1832" w:type="dxa"/>
            <w:tcBorders>
              <w:top w:val="single" w:sz="4" w:space="0" w:color="auto"/>
              <w:left w:val="nil"/>
              <w:bottom w:val="single" w:sz="4" w:space="0" w:color="auto"/>
              <w:right w:val="single" w:sz="4" w:space="0" w:color="auto"/>
            </w:tcBorders>
            <w:shd w:val="clear" w:color="000000" w:fill="FFFF00"/>
            <w:noWrap/>
            <w:vAlign w:val="bottom"/>
            <w:hideMark/>
          </w:tcPr>
          <w:p w14:paraId="7778E947" w14:textId="595F2EB7" w:rsidR="00B5022F" w:rsidRPr="00B5022F" w:rsidRDefault="00B5022F" w:rsidP="00B5022F">
            <w:pPr>
              <w:spacing w:after="0" w:line="240" w:lineRule="auto"/>
              <w:rPr>
                <w:rFonts w:ascii="Calibri" w:eastAsia="Times New Roman" w:hAnsi="Calibri" w:cs="Calibri"/>
                <w:b/>
                <w:bCs/>
                <w:color w:val="000000"/>
              </w:rPr>
            </w:pPr>
            <w:r w:rsidRPr="00B5022F">
              <w:rPr>
                <w:rFonts w:ascii="Calibri" w:eastAsia="Times New Roman" w:hAnsi="Calibri" w:cs="Calibri"/>
                <w:b/>
                <w:bCs/>
                <w:color w:val="000000"/>
              </w:rPr>
              <w:t xml:space="preserve">EW </w:t>
            </w:r>
            <w:r w:rsidR="008025D1">
              <w:rPr>
                <w:rFonts w:ascii="Calibri" w:eastAsia="Times New Roman" w:hAnsi="Calibri" w:cs="Calibri"/>
                <w:b/>
                <w:bCs/>
                <w:color w:val="000000"/>
              </w:rPr>
              <w:t>–</w:t>
            </w:r>
            <w:r w:rsidRPr="00B5022F">
              <w:rPr>
                <w:rFonts w:ascii="Calibri" w:eastAsia="Times New Roman" w:hAnsi="Calibri" w:cs="Calibri"/>
                <w:b/>
                <w:bCs/>
                <w:color w:val="000000"/>
              </w:rPr>
              <w:t xml:space="preserve"> Adjusted</w:t>
            </w:r>
            <w:r w:rsidR="008025D1">
              <w:rPr>
                <w:rFonts w:ascii="Calibri" w:eastAsia="Times New Roman" w:hAnsi="Calibri" w:cs="Calibri"/>
                <w:b/>
                <w:bCs/>
                <w:color w:val="000000"/>
              </w:rPr>
              <w:t xml:space="preserve"> (use retail kWh for RPP settlements)</w:t>
            </w:r>
          </w:p>
        </w:tc>
        <w:tc>
          <w:tcPr>
            <w:tcW w:w="1710" w:type="dxa"/>
            <w:tcBorders>
              <w:top w:val="single" w:sz="4" w:space="0" w:color="auto"/>
              <w:left w:val="nil"/>
              <w:bottom w:val="single" w:sz="4" w:space="0" w:color="auto"/>
              <w:right w:val="single" w:sz="4" w:space="0" w:color="auto"/>
            </w:tcBorders>
            <w:shd w:val="clear" w:color="000000" w:fill="FFFFFF"/>
            <w:noWrap/>
            <w:vAlign w:val="bottom"/>
            <w:hideMark/>
          </w:tcPr>
          <w:p w14:paraId="749A53B5" w14:textId="3B149B9B" w:rsidR="00B5022F" w:rsidRPr="00B5022F" w:rsidRDefault="00B5022F" w:rsidP="00B5022F">
            <w:pPr>
              <w:spacing w:after="0" w:line="240" w:lineRule="auto"/>
              <w:rPr>
                <w:rFonts w:ascii="Calibri" w:eastAsia="Times New Roman" w:hAnsi="Calibri" w:cs="Calibri"/>
                <w:b/>
                <w:bCs/>
                <w:color w:val="000000"/>
              </w:rPr>
            </w:pPr>
            <w:r w:rsidRPr="00B5022F">
              <w:rPr>
                <w:rFonts w:ascii="Calibri" w:eastAsia="Times New Roman" w:hAnsi="Calibri" w:cs="Calibri"/>
                <w:b/>
                <w:bCs/>
                <w:color w:val="000000"/>
              </w:rPr>
              <w:t>OEB Method</w:t>
            </w:r>
            <w:r w:rsidR="008025D1">
              <w:rPr>
                <w:rFonts w:ascii="Calibri" w:eastAsia="Times New Roman" w:hAnsi="Calibri" w:cs="Calibri"/>
                <w:b/>
                <w:bCs/>
                <w:color w:val="000000"/>
              </w:rPr>
              <w:t xml:space="preserve"> (use wholesale volumes for RPP settlements)</w:t>
            </w:r>
          </w:p>
        </w:tc>
      </w:tr>
      <w:tr w:rsidR="008025D1" w:rsidRPr="00B5022F" w14:paraId="7836A06E"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5578064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Net Energy Cost Settlement (IESO charge type 101)</w:t>
            </w:r>
          </w:p>
        </w:tc>
        <w:tc>
          <w:tcPr>
            <w:tcW w:w="242" w:type="dxa"/>
            <w:tcBorders>
              <w:top w:val="nil"/>
              <w:left w:val="nil"/>
              <w:bottom w:val="single" w:sz="4" w:space="0" w:color="auto"/>
              <w:right w:val="single" w:sz="4" w:space="0" w:color="auto"/>
            </w:tcBorders>
            <w:shd w:val="clear" w:color="000000" w:fill="FFFFFF"/>
            <w:noWrap/>
            <w:vAlign w:val="bottom"/>
            <w:hideMark/>
          </w:tcPr>
          <w:p w14:paraId="7895613A"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15BFD7F2"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15,946,033 </w:t>
            </w:r>
          </w:p>
        </w:tc>
        <w:tc>
          <w:tcPr>
            <w:tcW w:w="1832" w:type="dxa"/>
            <w:tcBorders>
              <w:top w:val="nil"/>
              <w:left w:val="nil"/>
              <w:bottom w:val="single" w:sz="4" w:space="0" w:color="auto"/>
              <w:right w:val="single" w:sz="4" w:space="0" w:color="auto"/>
            </w:tcBorders>
            <w:shd w:val="clear" w:color="000000" w:fill="FFFF00"/>
            <w:noWrap/>
            <w:vAlign w:val="bottom"/>
            <w:hideMark/>
          </w:tcPr>
          <w:p w14:paraId="7BCC2BB6"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15,946,033 </w:t>
            </w:r>
          </w:p>
        </w:tc>
        <w:tc>
          <w:tcPr>
            <w:tcW w:w="1710" w:type="dxa"/>
            <w:tcBorders>
              <w:top w:val="nil"/>
              <w:left w:val="nil"/>
              <w:bottom w:val="single" w:sz="4" w:space="0" w:color="auto"/>
              <w:right w:val="single" w:sz="4" w:space="0" w:color="auto"/>
            </w:tcBorders>
            <w:shd w:val="clear" w:color="000000" w:fill="DCE6F1"/>
            <w:noWrap/>
            <w:vAlign w:val="bottom"/>
            <w:hideMark/>
          </w:tcPr>
          <w:p w14:paraId="62B5EC49"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15,946,033 </w:t>
            </w:r>
          </w:p>
        </w:tc>
      </w:tr>
      <w:tr w:rsidR="008025D1" w:rsidRPr="00B5022F" w14:paraId="0E209F81"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62B59C16"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FIT/</w:t>
            </w:r>
            <w:proofErr w:type="spellStart"/>
            <w:r w:rsidRPr="00B5022F">
              <w:rPr>
                <w:rFonts w:ascii="Calibri" w:eastAsia="Times New Roman" w:hAnsi="Calibri" w:cs="Calibri"/>
                <w:color w:val="000000"/>
              </w:rPr>
              <w:t>MicroFit</w:t>
            </w:r>
            <w:proofErr w:type="spellEnd"/>
            <w:r w:rsidRPr="00B5022F">
              <w:rPr>
                <w:rFonts w:ascii="Calibri" w:eastAsia="Times New Roman" w:hAnsi="Calibri" w:cs="Calibri"/>
                <w:color w:val="000000"/>
              </w:rPr>
              <w:t xml:space="preserve"> @ spot </w:t>
            </w:r>
          </w:p>
        </w:tc>
        <w:tc>
          <w:tcPr>
            <w:tcW w:w="242" w:type="dxa"/>
            <w:tcBorders>
              <w:top w:val="nil"/>
              <w:left w:val="nil"/>
              <w:bottom w:val="single" w:sz="4" w:space="0" w:color="auto"/>
              <w:right w:val="single" w:sz="4" w:space="0" w:color="auto"/>
            </w:tcBorders>
            <w:shd w:val="clear" w:color="000000" w:fill="FFFFFF"/>
            <w:noWrap/>
            <w:vAlign w:val="bottom"/>
            <w:hideMark/>
          </w:tcPr>
          <w:p w14:paraId="6C31E93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51CC81B3"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104,508 </w:t>
            </w:r>
          </w:p>
        </w:tc>
        <w:tc>
          <w:tcPr>
            <w:tcW w:w="1832" w:type="dxa"/>
            <w:tcBorders>
              <w:top w:val="nil"/>
              <w:left w:val="nil"/>
              <w:bottom w:val="single" w:sz="4" w:space="0" w:color="auto"/>
              <w:right w:val="single" w:sz="4" w:space="0" w:color="auto"/>
            </w:tcBorders>
            <w:shd w:val="clear" w:color="000000" w:fill="FFFF00"/>
            <w:noWrap/>
            <w:vAlign w:val="bottom"/>
            <w:hideMark/>
          </w:tcPr>
          <w:p w14:paraId="2D989C26"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104,508 </w:t>
            </w:r>
          </w:p>
        </w:tc>
        <w:tc>
          <w:tcPr>
            <w:tcW w:w="1710" w:type="dxa"/>
            <w:tcBorders>
              <w:top w:val="nil"/>
              <w:left w:val="nil"/>
              <w:bottom w:val="single" w:sz="4" w:space="0" w:color="auto"/>
              <w:right w:val="single" w:sz="4" w:space="0" w:color="auto"/>
            </w:tcBorders>
            <w:shd w:val="clear" w:color="000000" w:fill="DCE6F1"/>
            <w:noWrap/>
            <w:vAlign w:val="bottom"/>
            <w:hideMark/>
          </w:tcPr>
          <w:p w14:paraId="52AB3BC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104,508 </w:t>
            </w:r>
          </w:p>
        </w:tc>
      </w:tr>
      <w:tr w:rsidR="008025D1" w:rsidRPr="00B5022F" w14:paraId="5805CFB6"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1493CE6A"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RPP - actual differential - Billing from CIS Final (RPP - </w:t>
            </w:r>
            <w:proofErr w:type="gramStart"/>
            <w:r w:rsidRPr="00B5022F">
              <w:rPr>
                <w:rFonts w:ascii="Calibri" w:eastAsia="Times New Roman" w:hAnsi="Calibri" w:cs="Calibri"/>
                <w:color w:val="000000"/>
              </w:rPr>
              <w:t>spot)*</w:t>
            </w:r>
            <w:proofErr w:type="gramEnd"/>
          </w:p>
        </w:tc>
        <w:tc>
          <w:tcPr>
            <w:tcW w:w="242" w:type="dxa"/>
            <w:tcBorders>
              <w:top w:val="nil"/>
              <w:left w:val="nil"/>
              <w:bottom w:val="single" w:sz="4" w:space="0" w:color="auto"/>
              <w:right w:val="single" w:sz="4" w:space="0" w:color="auto"/>
            </w:tcBorders>
            <w:shd w:val="clear" w:color="000000" w:fill="FFFFFF"/>
            <w:noWrap/>
            <w:vAlign w:val="bottom"/>
            <w:hideMark/>
          </w:tcPr>
          <w:p w14:paraId="056274FB"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2D2E64B3"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34,948,191 </w:t>
            </w:r>
          </w:p>
        </w:tc>
        <w:tc>
          <w:tcPr>
            <w:tcW w:w="1832" w:type="dxa"/>
            <w:tcBorders>
              <w:top w:val="nil"/>
              <w:left w:val="nil"/>
              <w:bottom w:val="single" w:sz="4" w:space="0" w:color="auto"/>
              <w:right w:val="single" w:sz="4" w:space="0" w:color="auto"/>
            </w:tcBorders>
            <w:shd w:val="clear" w:color="000000" w:fill="FFFF00"/>
            <w:noWrap/>
            <w:vAlign w:val="bottom"/>
            <w:hideMark/>
          </w:tcPr>
          <w:p w14:paraId="67DA049C"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   </w:t>
            </w:r>
          </w:p>
        </w:tc>
        <w:tc>
          <w:tcPr>
            <w:tcW w:w="1710" w:type="dxa"/>
            <w:tcBorders>
              <w:top w:val="nil"/>
              <w:left w:val="nil"/>
              <w:bottom w:val="single" w:sz="4" w:space="0" w:color="auto"/>
              <w:right w:val="single" w:sz="4" w:space="0" w:color="auto"/>
            </w:tcBorders>
            <w:shd w:val="clear" w:color="000000" w:fill="FFFFFF"/>
            <w:noWrap/>
            <w:vAlign w:val="bottom"/>
            <w:hideMark/>
          </w:tcPr>
          <w:p w14:paraId="31EFCFDB"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r>
      <w:tr w:rsidR="008025D1" w:rsidRPr="00B5022F" w14:paraId="237FD223"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71FE5A12"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lastRenderedPageBreak/>
              <w:t>GA RPP Portion</w:t>
            </w:r>
          </w:p>
        </w:tc>
        <w:tc>
          <w:tcPr>
            <w:tcW w:w="242" w:type="dxa"/>
            <w:tcBorders>
              <w:top w:val="nil"/>
              <w:left w:val="nil"/>
              <w:bottom w:val="single" w:sz="4" w:space="0" w:color="auto"/>
              <w:right w:val="single" w:sz="4" w:space="0" w:color="auto"/>
            </w:tcBorders>
            <w:shd w:val="clear" w:color="000000" w:fill="FFFFFF"/>
            <w:noWrap/>
            <w:vAlign w:val="bottom"/>
            <w:hideMark/>
          </w:tcPr>
          <w:p w14:paraId="45D2666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33AEDBED"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1832" w:type="dxa"/>
            <w:tcBorders>
              <w:top w:val="nil"/>
              <w:left w:val="nil"/>
              <w:bottom w:val="single" w:sz="4" w:space="0" w:color="auto"/>
              <w:right w:val="single" w:sz="4" w:space="0" w:color="auto"/>
            </w:tcBorders>
            <w:shd w:val="clear" w:color="000000" w:fill="FFFF00"/>
            <w:noWrap/>
            <w:vAlign w:val="bottom"/>
            <w:hideMark/>
          </w:tcPr>
          <w:p w14:paraId="5637E58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52,750,382 </w:t>
            </w:r>
          </w:p>
        </w:tc>
        <w:tc>
          <w:tcPr>
            <w:tcW w:w="1710" w:type="dxa"/>
            <w:tcBorders>
              <w:top w:val="nil"/>
              <w:left w:val="nil"/>
              <w:bottom w:val="single" w:sz="4" w:space="0" w:color="auto"/>
              <w:right w:val="single" w:sz="4" w:space="0" w:color="auto"/>
            </w:tcBorders>
            <w:shd w:val="clear" w:color="000000" w:fill="FFFFFF"/>
            <w:noWrap/>
            <w:vAlign w:val="bottom"/>
            <w:hideMark/>
          </w:tcPr>
          <w:p w14:paraId="396CF1AA"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52,146,700 </w:t>
            </w:r>
          </w:p>
        </w:tc>
      </w:tr>
      <w:tr w:rsidR="008025D1" w:rsidRPr="00B5022F" w14:paraId="5AA46960"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00"/>
            <w:noWrap/>
            <w:vAlign w:val="bottom"/>
            <w:hideMark/>
          </w:tcPr>
          <w:p w14:paraId="79AD5836"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1598 Final Settlement</w:t>
            </w:r>
          </w:p>
        </w:tc>
        <w:tc>
          <w:tcPr>
            <w:tcW w:w="242" w:type="dxa"/>
            <w:tcBorders>
              <w:top w:val="nil"/>
              <w:left w:val="nil"/>
              <w:bottom w:val="single" w:sz="4" w:space="0" w:color="auto"/>
              <w:right w:val="single" w:sz="4" w:space="0" w:color="auto"/>
            </w:tcBorders>
            <w:shd w:val="clear" w:color="000000" w:fill="FFFFFF"/>
            <w:noWrap/>
            <w:vAlign w:val="bottom"/>
            <w:hideMark/>
          </w:tcPr>
          <w:p w14:paraId="0A1E051C"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3CB6AF7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1832" w:type="dxa"/>
            <w:tcBorders>
              <w:top w:val="nil"/>
              <w:left w:val="nil"/>
              <w:bottom w:val="single" w:sz="4" w:space="0" w:color="auto"/>
              <w:right w:val="single" w:sz="4" w:space="0" w:color="auto"/>
            </w:tcBorders>
            <w:shd w:val="clear" w:color="000000" w:fill="FFFF00"/>
            <w:noWrap/>
            <w:vAlign w:val="bottom"/>
            <w:hideMark/>
          </w:tcPr>
          <w:p w14:paraId="4775DC6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(17,802,219)</w:t>
            </w:r>
          </w:p>
        </w:tc>
        <w:tc>
          <w:tcPr>
            <w:tcW w:w="1710" w:type="dxa"/>
            <w:tcBorders>
              <w:top w:val="nil"/>
              <w:left w:val="nil"/>
              <w:bottom w:val="single" w:sz="4" w:space="0" w:color="auto"/>
              <w:right w:val="single" w:sz="4" w:space="0" w:color="auto"/>
            </w:tcBorders>
            <w:shd w:val="clear" w:color="000000" w:fill="FFFFFF"/>
            <w:noWrap/>
            <w:vAlign w:val="bottom"/>
            <w:hideMark/>
          </w:tcPr>
          <w:p w14:paraId="0F94CDB6"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(17,637,296)</w:t>
            </w:r>
          </w:p>
        </w:tc>
      </w:tr>
      <w:tr w:rsidR="008025D1" w:rsidRPr="00B5022F" w14:paraId="2F960693"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00"/>
            <w:noWrap/>
            <w:vAlign w:val="bottom"/>
            <w:hideMark/>
          </w:tcPr>
          <w:p w14:paraId="706B72CC"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1598 Adjustment to be submitted to the IEO</w:t>
            </w:r>
          </w:p>
        </w:tc>
        <w:tc>
          <w:tcPr>
            <w:tcW w:w="242" w:type="dxa"/>
            <w:tcBorders>
              <w:top w:val="nil"/>
              <w:left w:val="nil"/>
              <w:bottom w:val="single" w:sz="4" w:space="0" w:color="auto"/>
              <w:right w:val="single" w:sz="4" w:space="0" w:color="auto"/>
            </w:tcBorders>
            <w:shd w:val="clear" w:color="000000" w:fill="FFFFFF"/>
            <w:noWrap/>
            <w:vAlign w:val="bottom"/>
            <w:hideMark/>
          </w:tcPr>
          <w:p w14:paraId="651FDDAA"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1287AFC8"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1832" w:type="dxa"/>
            <w:tcBorders>
              <w:top w:val="nil"/>
              <w:left w:val="nil"/>
              <w:bottom w:val="single" w:sz="4" w:space="0" w:color="auto"/>
              <w:right w:val="single" w:sz="4" w:space="0" w:color="auto"/>
            </w:tcBorders>
            <w:shd w:val="clear" w:color="000000" w:fill="FFFF00"/>
            <w:noWrap/>
            <w:vAlign w:val="bottom"/>
            <w:hideMark/>
          </w:tcPr>
          <w:p w14:paraId="7A6F4A2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164,923 </w:t>
            </w:r>
          </w:p>
        </w:tc>
        <w:tc>
          <w:tcPr>
            <w:tcW w:w="1710" w:type="dxa"/>
            <w:tcBorders>
              <w:top w:val="nil"/>
              <w:left w:val="nil"/>
              <w:bottom w:val="single" w:sz="4" w:space="0" w:color="auto"/>
              <w:right w:val="single" w:sz="4" w:space="0" w:color="auto"/>
            </w:tcBorders>
            <w:shd w:val="clear" w:color="000000" w:fill="FFFFFF"/>
            <w:noWrap/>
            <w:vAlign w:val="bottom"/>
            <w:hideMark/>
          </w:tcPr>
          <w:p w14:paraId="1A7C5A0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r>
      <w:tr w:rsidR="008025D1" w:rsidRPr="00B5022F" w14:paraId="5484DD3E"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00"/>
            <w:noWrap/>
            <w:vAlign w:val="bottom"/>
            <w:hideMark/>
          </w:tcPr>
          <w:p w14:paraId="2986F4F1"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Adjustment of RPP GA UFE</w:t>
            </w:r>
          </w:p>
        </w:tc>
        <w:tc>
          <w:tcPr>
            <w:tcW w:w="242" w:type="dxa"/>
            <w:tcBorders>
              <w:top w:val="nil"/>
              <w:left w:val="nil"/>
              <w:bottom w:val="single" w:sz="4" w:space="0" w:color="auto"/>
              <w:right w:val="single" w:sz="4" w:space="0" w:color="auto"/>
            </w:tcBorders>
            <w:shd w:val="clear" w:color="000000" w:fill="FFFFFF"/>
            <w:noWrap/>
            <w:vAlign w:val="bottom"/>
            <w:hideMark/>
          </w:tcPr>
          <w:p w14:paraId="396F9C97"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09D71AEF"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1832" w:type="dxa"/>
            <w:tcBorders>
              <w:top w:val="nil"/>
              <w:left w:val="nil"/>
              <w:bottom w:val="single" w:sz="4" w:space="0" w:color="auto"/>
              <w:right w:val="single" w:sz="4" w:space="0" w:color="auto"/>
            </w:tcBorders>
            <w:shd w:val="clear" w:color="000000" w:fill="FFFF00"/>
            <w:noWrap/>
            <w:vAlign w:val="bottom"/>
            <w:hideMark/>
          </w:tcPr>
          <w:p w14:paraId="1C3100A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(603,682)</w:t>
            </w:r>
          </w:p>
        </w:tc>
        <w:tc>
          <w:tcPr>
            <w:tcW w:w="1710" w:type="dxa"/>
            <w:tcBorders>
              <w:top w:val="nil"/>
              <w:left w:val="nil"/>
              <w:bottom w:val="single" w:sz="4" w:space="0" w:color="auto"/>
              <w:right w:val="single" w:sz="4" w:space="0" w:color="auto"/>
            </w:tcBorders>
            <w:shd w:val="clear" w:color="000000" w:fill="FFFFFF"/>
            <w:noWrap/>
            <w:vAlign w:val="bottom"/>
            <w:hideMark/>
          </w:tcPr>
          <w:p w14:paraId="1EF267CD"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r>
      <w:tr w:rsidR="008025D1" w:rsidRPr="00B5022F" w14:paraId="0E7F82F4" w14:textId="77777777" w:rsidTr="008025D1">
        <w:trPr>
          <w:trHeight w:val="285"/>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08286F17"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Adjustment for OEB Accounting Guidance (UFE)</w:t>
            </w:r>
          </w:p>
        </w:tc>
        <w:tc>
          <w:tcPr>
            <w:tcW w:w="242" w:type="dxa"/>
            <w:tcBorders>
              <w:top w:val="nil"/>
              <w:left w:val="nil"/>
              <w:bottom w:val="single" w:sz="4" w:space="0" w:color="auto"/>
              <w:right w:val="single" w:sz="4" w:space="0" w:color="auto"/>
            </w:tcBorders>
            <w:shd w:val="clear" w:color="000000" w:fill="FFFFFF"/>
            <w:noWrap/>
            <w:vAlign w:val="bottom"/>
            <w:hideMark/>
          </w:tcPr>
          <w:p w14:paraId="123A777C"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68069760"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(438,787)</w:t>
            </w:r>
          </w:p>
        </w:tc>
        <w:tc>
          <w:tcPr>
            <w:tcW w:w="1832" w:type="dxa"/>
            <w:tcBorders>
              <w:top w:val="nil"/>
              <w:left w:val="nil"/>
              <w:bottom w:val="single" w:sz="4" w:space="0" w:color="auto"/>
              <w:right w:val="single" w:sz="4" w:space="0" w:color="auto"/>
            </w:tcBorders>
            <w:shd w:val="clear" w:color="000000" w:fill="FFFF00"/>
            <w:noWrap/>
            <w:vAlign w:val="bottom"/>
            <w:hideMark/>
          </w:tcPr>
          <w:p w14:paraId="5FEA3B1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1710" w:type="dxa"/>
            <w:tcBorders>
              <w:top w:val="nil"/>
              <w:left w:val="nil"/>
              <w:bottom w:val="single" w:sz="4" w:space="0" w:color="auto"/>
              <w:right w:val="single" w:sz="4" w:space="0" w:color="auto"/>
            </w:tcBorders>
            <w:shd w:val="clear" w:color="000000" w:fill="FFFFFF"/>
            <w:noWrap/>
            <w:vAlign w:val="bottom"/>
            <w:hideMark/>
          </w:tcPr>
          <w:p w14:paraId="37E95C1C"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r>
      <w:tr w:rsidR="008025D1" w:rsidRPr="00B5022F" w14:paraId="172CC718" w14:textId="77777777" w:rsidTr="008025D1">
        <w:trPr>
          <w:trHeight w:val="293"/>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4CCF89E1" w14:textId="7215A325"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r w:rsidR="008025D1">
              <w:rPr>
                <w:rFonts w:ascii="Calibri" w:eastAsia="Times New Roman" w:hAnsi="Calibri" w:cs="Calibri"/>
                <w:color w:val="000000"/>
              </w:rPr>
              <w:t>Total</w:t>
            </w:r>
          </w:p>
        </w:tc>
        <w:tc>
          <w:tcPr>
            <w:tcW w:w="242" w:type="dxa"/>
            <w:tcBorders>
              <w:top w:val="nil"/>
              <w:left w:val="nil"/>
              <w:bottom w:val="single" w:sz="4" w:space="0" w:color="auto"/>
              <w:right w:val="single" w:sz="4" w:space="0" w:color="auto"/>
            </w:tcBorders>
            <w:shd w:val="clear" w:color="000000" w:fill="FFFFFF"/>
            <w:noWrap/>
            <w:vAlign w:val="bottom"/>
            <w:hideMark/>
          </w:tcPr>
          <w:p w14:paraId="50E9624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w:t>
            </w:r>
          </w:p>
        </w:tc>
        <w:tc>
          <w:tcPr>
            <w:tcW w:w="2600" w:type="dxa"/>
            <w:tcBorders>
              <w:top w:val="nil"/>
              <w:left w:val="nil"/>
              <w:bottom w:val="single" w:sz="4" w:space="0" w:color="auto"/>
              <w:right w:val="single" w:sz="4" w:space="0" w:color="auto"/>
            </w:tcBorders>
            <w:shd w:val="clear" w:color="000000" w:fill="FFFFFF"/>
            <w:noWrap/>
            <w:vAlign w:val="bottom"/>
            <w:hideMark/>
          </w:tcPr>
          <w:p w14:paraId="246BA944"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50,559,944 </w:t>
            </w:r>
          </w:p>
        </w:tc>
        <w:tc>
          <w:tcPr>
            <w:tcW w:w="1832" w:type="dxa"/>
            <w:tcBorders>
              <w:top w:val="nil"/>
              <w:left w:val="nil"/>
              <w:bottom w:val="single" w:sz="4" w:space="0" w:color="auto"/>
              <w:right w:val="single" w:sz="4" w:space="0" w:color="auto"/>
            </w:tcBorders>
            <w:shd w:val="clear" w:color="000000" w:fill="FFFF00"/>
            <w:noWrap/>
            <w:vAlign w:val="bottom"/>
            <w:hideMark/>
          </w:tcPr>
          <w:p w14:paraId="51495205"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50,559,945 </w:t>
            </w:r>
          </w:p>
        </w:tc>
        <w:tc>
          <w:tcPr>
            <w:tcW w:w="1710" w:type="dxa"/>
            <w:tcBorders>
              <w:top w:val="nil"/>
              <w:left w:val="nil"/>
              <w:bottom w:val="single" w:sz="4" w:space="0" w:color="auto"/>
              <w:right w:val="single" w:sz="4" w:space="0" w:color="auto"/>
            </w:tcBorders>
            <w:shd w:val="clear" w:color="000000" w:fill="FFFFFF"/>
            <w:noWrap/>
            <w:vAlign w:val="bottom"/>
            <w:hideMark/>
          </w:tcPr>
          <w:p w14:paraId="04DC6C20" w14:textId="77777777" w:rsidR="00B5022F" w:rsidRPr="00B5022F" w:rsidRDefault="00B5022F" w:rsidP="00B5022F">
            <w:pPr>
              <w:spacing w:after="0" w:line="240" w:lineRule="auto"/>
              <w:rPr>
                <w:rFonts w:ascii="Calibri" w:eastAsia="Times New Roman" w:hAnsi="Calibri" w:cs="Calibri"/>
                <w:color w:val="000000"/>
              </w:rPr>
            </w:pPr>
            <w:r w:rsidRPr="00B5022F">
              <w:rPr>
                <w:rFonts w:ascii="Calibri" w:eastAsia="Times New Roman" w:hAnsi="Calibri" w:cs="Calibri"/>
                <w:color w:val="000000"/>
              </w:rPr>
              <w:t xml:space="preserve">   50,559,945 </w:t>
            </w:r>
          </w:p>
        </w:tc>
      </w:tr>
    </w:tbl>
    <w:p w14:paraId="3BE95799" w14:textId="01D258AF" w:rsidR="00B5022F" w:rsidRDefault="00B5022F">
      <w:pPr>
        <w:rPr>
          <w:rFonts w:ascii="Arial" w:eastAsia="Times New Roman" w:hAnsi="Arial" w:cs="Arial"/>
          <w:color w:val="000000"/>
          <w:sz w:val="24"/>
          <w:szCs w:val="24"/>
        </w:rPr>
      </w:pPr>
    </w:p>
    <w:p w14:paraId="5B58E59C" w14:textId="339016FF" w:rsidR="009D3ACA" w:rsidRDefault="009D3ACA" w:rsidP="009D3ACA">
      <w:pPr>
        <w:pStyle w:val="ListParagraph"/>
        <w:numPr>
          <w:ilvl w:val="0"/>
          <w:numId w:val="2"/>
        </w:numPr>
        <w:rPr>
          <w:rFonts w:ascii="Arial" w:hAnsi="Arial" w:cs="Arial"/>
          <w:sz w:val="24"/>
          <w:szCs w:val="24"/>
        </w:rPr>
      </w:pPr>
      <w:r>
        <w:rPr>
          <w:rFonts w:ascii="Arial" w:hAnsi="Arial" w:cs="Arial"/>
          <w:sz w:val="24"/>
          <w:szCs w:val="24"/>
        </w:rPr>
        <w:t>Please provide the file that is linked to cell</w:t>
      </w:r>
      <w:r w:rsidR="00476841">
        <w:rPr>
          <w:rFonts w:ascii="Arial" w:hAnsi="Arial" w:cs="Arial"/>
          <w:sz w:val="24"/>
          <w:szCs w:val="24"/>
        </w:rPr>
        <w:t xml:space="preserve"> E15</w:t>
      </w:r>
      <w:r>
        <w:rPr>
          <w:rFonts w:ascii="Arial" w:hAnsi="Arial" w:cs="Arial"/>
          <w:sz w:val="24"/>
          <w:szCs w:val="24"/>
        </w:rPr>
        <w:t xml:space="preserve">. </w:t>
      </w:r>
    </w:p>
    <w:p w14:paraId="147DD4CC" w14:textId="3300067F" w:rsidR="00B5022F" w:rsidRDefault="00B5022F" w:rsidP="009D3ACA">
      <w:pPr>
        <w:pStyle w:val="ListParagraph"/>
        <w:numPr>
          <w:ilvl w:val="0"/>
          <w:numId w:val="2"/>
        </w:numPr>
        <w:rPr>
          <w:rFonts w:ascii="Arial" w:hAnsi="Arial" w:cs="Arial"/>
          <w:sz w:val="24"/>
          <w:szCs w:val="24"/>
        </w:rPr>
      </w:pPr>
      <w:r>
        <w:rPr>
          <w:rFonts w:ascii="Arial" w:hAnsi="Arial" w:cs="Arial"/>
          <w:sz w:val="24"/>
          <w:szCs w:val="24"/>
        </w:rPr>
        <w:t xml:space="preserve">Please confirm </w:t>
      </w:r>
      <w:r w:rsidR="00476841">
        <w:rPr>
          <w:rFonts w:ascii="Arial" w:hAnsi="Arial" w:cs="Arial"/>
          <w:sz w:val="24"/>
          <w:szCs w:val="24"/>
        </w:rPr>
        <w:t xml:space="preserve">the accuracy of </w:t>
      </w:r>
      <w:r w:rsidR="003D3940">
        <w:rPr>
          <w:rFonts w:ascii="Arial" w:hAnsi="Arial" w:cs="Arial"/>
          <w:sz w:val="24"/>
          <w:szCs w:val="24"/>
        </w:rPr>
        <w:t xml:space="preserve">the added column in the above table by the OEB staff. </w:t>
      </w:r>
    </w:p>
    <w:p w14:paraId="38991CE7" w14:textId="56E5CF9C" w:rsidR="00E9425D" w:rsidRPr="00C73583" w:rsidRDefault="003D3940" w:rsidP="009D3ACA">
      <w:pPr>
        <w:pStyle w:val="ListParagraph"/>
        <w:numPr>
          <w:ilvl w:val="0"/>
          <w:numId w:val="2"/>
        </w:numPr>
        <w:rPr>
          <w:rFonts w:ascii="Arial" w:hAnsi="Arial" w:cs="Arial"/>
          <w:sz w:val="24"/>
          <w:szCs w:val="24"/>
        </w:rPr>
      </w:pPr>
      <w:r w:rsidRPr="00C73583">
        <w:rPr>
          <w:rFonts w:ascii="Arial" w:hAnsi="Arial" w:cs="Arial"/>
          <w:sz w:val="24"/>
          <w:szCs w:val="24"/>
        </w:rPr>
        <w:t xml:space="preserve">If 2) is confirmed, please </w:t>
      </w:r>
      <w:r w:rsidR="009D3ACA" w:rsidRPr="00C73583">
        <w:rPr>
          <w:rFonts w:ascii="Arial" w:hAnsi="Arial" w:cs="Arial"/>
          <w:sz w:val="24"/>
          <w:szCs w:val="24"/>
        </w:rPr>
        <w:t xml:space="preserve">confirm that </w:t>
      </w:r>
      <w:proofErr w:type="spellStart"/>
      <w:r w:rsidR="00E9425D" w:rsidRPr="00C73583">
        <w:rPr>
          <w:rFonts w:ascii="Arial" w:hAnsi="Arial" w:cs="Arial"/>
          <w:sz w:val="24"/>
          <w:szCs w:val="24"/>
        </w:rPr>
        <w:t>Elexicon</w:t>
      </w:r>
      <w:proofErr w:type="spellEnd"/>
      <w:r w:rsidR="00E9425D" w:rsidRPr="00C73583">
        <w:rPr>
          <w:rFonts w:ascii="Arial" w:hAnsi="Arial" w:cs="Arial"/>
          <w:sz w:val="24"/>
          <w:szCs w:val="24"/>
        </w:rPr>
        <w:t xml:space="preserve">-Whitby </w:t>
      </w:r>
      <w:r w:rsidR="008025D1">
        <w:rPr>
          <w:rFonts w:ascii="Arial" w:hAnsi="Arial" w:cs="Arial"/>
          <w:sz w:val="24"/>
          <w:szCs w:val="24"/>
        </w:rPr>
        <w:t>is</w:t>
      </w:r>
      <w:r w:rsidR="00476841">
        <w:rPr>
          <w:rFonts w:ascii="Arial" w:hAnsi="Arial" w:cs="Arial"/>
          <w:sz w:val="24"/>
          <w:szCs w:val="24"/>
        </w:rPr>
        <w:t xml:space="preserve"> required to remit to</w:t>
      </w:r>
      <w:r w:rsidR="00E9425D" w:rsidRPr="00C73583">
        <w:rPr>
          <w:rFonts w:ascii="Arial" w:hAnsi="Arial" w:cs="Arial"/>
          <w:sz w:val="24"/>
          <w:szCs w:val="24"/>
        </w:rPr>
        <w:t xml:space="preserve"> the IESO </w:t>
      </w:r>
      <w:r w:rsidR="00C73583" w:rsidRPr="00C73583">
        <w:rPr>
          <w:rFonts w:ascii="Arial" w:hAnsi="Arial" w:cs="Arial"/>
          <w:sz w:val="24"/>
          <w:szCs w:val="24"/>
        </w:rPr>
        <w:t xml:space="preserve">$164,923 to true up </w:t>
      </w:r>
      <w:r w:rsidR="00E9425D" w:rsidRPr="00C73583">
        <w:rPr>
          <w:rFonts w:ascii="Arial" w:hAnsi="Arial" w:cs="Arial"/>
          <w:sz w:val="24"/>
          <w:szCs w:val="24"/>
        </w:rPr>
        <w:t>the RPP settlement</w:t>
      </w:r>
      <w:r w:rsidR="00C73583" w:rsidRPr="00C73583">
        <w:rPr>
          <w:rFonts w:ascii="Arial" w:hAnsi="Arial" w:cs="Arial"/>
          <w:sz w:val="24"/>
          <w:szCs w:val="24"/>
        </w:rPr>
        <w:t xml:space="preserve"> variances </w:t>
      </w:r>
      <w:r w:rsidR="00E9425D" w:rsidRPr="00C73583">
        <w:rPr>
          <w:rFonts w:ascii="Arial" w:hAnsi="Arial" w:cs="Arial"/>
          <w:sz w:val="24"/>
          <w:szCs w:val="24"/>
        </w:rPr>
        <w:t>in 2019 because of the use of retail volumes instead of the wholesale volumes.</w:t>
      </w:r>
    </w:p>
    <w:p w14:paraId="23268056" w14:textId="3069A6C2" w:rsidR="00E9425D" w:rsidRDefault="00E9425D" w:rsidP="00E9425D">
      <w:pPr>
        <w:pStyle w:val="ListParagraph"/>
        <w:numPr>
          <w:ilvl w:val="0"/>
          <w:numId w:val="9"/>
        </w:numPr>
        <w:rPr>
          <w:rFonts w:ascii="Arial" w:hAnsi="Arial" w:cs="Arial"/>
          <w:sz w:val="24"/>
          <w:szCs w:val="24"/>
        </w:rPr>
      </w:pPr>
      <w:r>
        <w:rPr>
          <w:rFonts w:ascii="Arial" w:hAnsi="Arial" w:cs="Arial"/>
          <w:sz w:val="24"/>
          <w:szCs w:val="24"/>
        </w:rPr>
        <w:t xml:space="preserve">If </w:t>
      </w:r>
      <w:r w:rsidR="00C73583">
        <w:rPr>
          <w:rFonts w:ascii="Arial" w:hAnsi="Arial" w:cs="Arial"/>
          <w:sz w:val="24"/>
          <w:szCs w:val="24"/>
        </w:rPr>
        <w:t>so</w:t>
      </w:r>
      <w:r>
        <w:rPr>
          <w:rFonts w:ascii="Arial" w:hAnsi="Arial" w:cs="Arial"/>
          <w:sz w:val="24"/>
          <w:szCs w:val="24"/>
        </w:rPr>
        <w:t xml:space="preserve">, please explain </w:t>
      </w:r>
      <w:proofErr w:type="gramStart"/>
      <w:r>
        <w:rPr>
          <w:rFonts w:ascii="Arial" w:hAnsi="Arial" w:cs="Arial"/>
          <w:sz w:val="24"/>
          <w:szCs w:val="24"/>
        </w:rPr>
        <w:t>whether or not</w:t>
      </w:r>
      <w:proofErr w:type="gramEnd"/>
      <w:r>
        <w:rPr>
          <w:rFonts w:ascii="Arial" w:hAnsi="Arial" w:cs="Arial"/>
          <w:sz w:val="24"/>
          <w:szCs w:val="24"/>
        </w:rPr>
        <w:t xml:space="preserve"> the utility has submitted this adjustment to the IESO and whether or not the utility has </w:t>
      </w:r>
      <w:r w:rsidR="008025D1">
        <w:rPr>
          <w:rFonts w:ascii="Arial" w:hAnsi="Arial" w:cs="Arial"/>
          <w:sz w:val="24"/>
          <w:szCs w:val="24"/>
        </w:rPr>
        <w:t>settled</w:t>
      </w:r>
      <w:r>
        <w:rPr>
          <w:rFonts w:ascii="Arial" w:hAnsi="Arial" w:cs="Arial"/>
          <w:sz w:val="24"/>
          <w:szCs w:val="24"/>
        </w:rPr>
        <w:t xml:space="preserve"> this amount </w:t>
      </w:r>
      <w:r w:rsidR="00CB709D">
        <w:rPr>
          <w:rFonts w:ascii="Arial" w:hAnsi="Arial" w:cs="Arial"/>
          <w:sz w:val="24"/>
          <w:szCs w:val="24"/>
        </w:rPr>
        <w:t>with</w:t>
      </w:r>
      <w:r>
        <w:rPr>
          <w:rFonts w:ascii="Arial" w:hAnsi="Arial" w:cs="Arial"/>
          <w:sz w:val="24"/>
          <w:szCs w:val="24"/>
        </w:rPr>
        <w:t xml:space="preserve"> the IESO. Please provide the settlement month when the adjustment amount of $</w:t>
      </w:r>
      <w:r w:rsidR="00C73583">
        <w:rPr>
          <w:rFonts w:ascii="Arial" w:hAnsi="Arial" w:cs="Arial"/>
          <w:sz w:val="24"/>
          <w:szCs w:val="24"/>
        </w:rPr>
        <w:t>164,923</w:t>
      </w:r>
      <w:r>
        <w:rPr>
          <w:rFonts w:ascii="Arial" w:hAnsi="Arial" w:cs="Arial"/>
          <w:sz w:val="24"/>
          <w:szCs w:val="24"/>
        </w:rPr>
        <w:t xml:space="preserve"> was included</w:t>
      </w:r>
      <w:r w:rsidR="00C73583">
        <w:rPr>
          <w:rFonts w:ascii="Arial" w:hAnsi="Arial" w:cs="Arial"/>
          <w:sz w:val="24"/>
          <w:szCs w:val="24"/>
        </w:rPr>
        <w:t>.</w:t>
      </w:r>
    </w:p>
    <w:p w14:paraId="15936E40" w14:textId="65177D2E" w:rsidR="00E9425D" w:rsidRPr="009D3ACA" w:rsidRDefault="009D3ACA" w:rsidP="00E9425D">
      <w:pPr>
        <w:pStyle w:val="ListParagraph"/>
        <w:numPr>
          <w:ilvl w:val="0"/>
          <w:numId w:val="5"/>
        </w:numPr>
        <w:rPr>
          <w:rFonts w:ascii="Arial" w:hAnsi="Arial" w:cs="Arial"/>
          <w:sz w:val="24"/>
          <w:szCs w:val="24"/>
        </w:rPr>
      </w:pPr>
      <w:r w:rsidRPr="00E9425D">
        <w:rPr>
          <w:rFonts w:ascii="Arial" w:hAnsi="Arial" w:cs="Arial"/>
          <w:sz w:val="24"/>
          <w:szCs w:val="24"/>
        </w:rPr>
        <w:t xml:space="preserve">If not, please explain whether </w:t>
      </w:r>
      <w:proofErr w:type="spellStart"/>
      <w:r w:rsidR="00EB1652">
        <w:rPr>
          <w:rFonts w:ascii="Arial" w:hAnsi="Arial" w:cs="Arial"/>
          <w:sz w:val="24"/>
          <w:szCs w:val="24"/>
        </w:rPr>
        <w:t>Elexicon</w:t>
      </w:r>
      <w:proofErr w:type="spellEnd"/>
      <w:r w:rsidRPr="00E9425D">
        <w:rPr>
          <w:rFonts w:ascii="Arial" w:hAnsi="Arial" w:cs="Arial"/>
          <w:sz w:val="24"/>
          <w:szCs w:val="24"/>
        </w:rPr>
        <w:t>-Whitby plan</w:t>
      </w:r>
      <w:r w:rsidR="00EB1652">
        <w:rPr>
          <w:rFonts w:ascii="Arial" w:hAnsi="Arial" w:cs="Arial"/>
          <w:sz w:val="24"/>
          <w:szCs w:val="24"/>
        </w:rPr>
        <w:t>s</w:t>
      </w:r>
      <w:r w:rsidRPr="00E9425D">
        <w:rPr>
          <w:rFonts w:ascii="Arial" w:hAnsi="Arial" w:cs="Arial"/>
          <w:sz w:val="24"/>
          <w:szCs w:val="24"/>
        </w:rPr>
        <w:t xml:space="preserve"> to settle this adjustment with the IESO</w:t>
      </w:r>
      <w:r w:rsidR="00E9425D">
        <w:rPr>
          <w:rFonts w:ascii="Arial" w:hAnsi="Arial" w:cs="Arial"/>
          <w:sz w:val="24"/>
          <w:szCs w:val="24"/>
        </w:rPr>
        <w:t xml:space="preserve"> </w:t>
      </w:r>
      <w:r w:rsidR="00EB1652">
        <w:rPr>
          <w:rFonts w:ascii="Arial" w:hAnsi="Arial" w:cs="Arial"/>
          <w:sz w:val="24"/>
          <w:szCs w:val="24"/>
        </w:rPr>
        <w:t>(</w:t>
      </w:r>
      <w:r w:rsidR="00E9425D">
        <w:rPr>
          <w:rFonts w:ascii="Arial" w:hAnsi="Arial" w:cs="Arial"/>
          <w:sz w:val="24"/>
          <w:szCs w:val="24"/>
        </w:rPr>
        <w:t>and please provide the plan</w:t>
      </w:r>
      <w:r w:rsidR="00EB1652">
        <w:rPr>
          <w:rFonts w:ascii="Arial" w:hAnsi="Arial" w:cs="Arial"/>
          <w:sz w:val="24"/>
          <w:szCs w:val="24"/>
        </w:rPr>
        <w:t xml:space="preserve"> details)</w:t>
      </w:r>
      <w:r w:rsidR="00E9425D">
        <w:rPr>
          <w:rFonts w:ascii="Arial" w:hAnsi="Arial" w:cs="Arial"/>
          <w:sz w:val="24"/>
          <w:szCs w:val="24"/>
        </w:rPr>
        <w:t xml:space="preserve">. </w:t>
      </w:r>
    </w:p>
    <w:p w14:paraId="3F39DAFA" w14:textId="53F937E2" w:rsidR="009D3ACA" w:rsidRPr="00E9425D" w:rsidRDefault="009D3ACA" w:rsidP="00E9425D">
      <w:pPr>
        <w:pStyle w:val="ListParagraph"/>
        <w:ind w:left="1440"/>
        <w:rPr>
          <w:rFonts w:ascii="Arial" w:hAnsi="Arial" w:cs="Arial"/>
          <w:sz w:val="24"/>
          <w:szCs w:val="24"/>
        </w:rPr>
      </w:pPr>
    </w:p>
    <w:p w14:paraId="465AFEA8" w14:textId="12BCA623" w:rsidR="00DC1FEE" w:rsidRDefault="00DC1FEE" w:rsidP="00DC1FEE">
      <w:pPr>
        <w:rPr>
          <w:rFonts w:ascii="Arial" w:hAnsi="Arial" w:cs="Arial"/>
          <w:b/>
          <w:bCs/>
          <w:sz w:val="24"/>
          <w:szCs w:val="24"/>
        </w:rPr>
      </w:pPr>
      <w:r>
        <w:rPr>
          <w:rFonts w:ascii="Arial" w:hAnsi="Arial" w:cs="Arial"/>
          <w:b/>
          <w:bCs/>
          <w:sz w:val="24"/>
          <w:szCs w:val="24"/>
        </w:rPr>
        <w:t xml:space="preserve">Staff Question – </w:t>
      </w:r>
      <w:r w:rsidR="00B069F4">
        <w:rPr>
          <w:rFonts w:ascii="Arial" w:hAnsi="Arial" w:cs="Arial"/>
          <w:b/>
          <w:bCs/>
          <w:sz w:val="24"/>
          <w:szCs w:val="24"/>
        </w:rPr>
        <w:t>5</w:t>
      </w:r>
    </w:p>
    <w:p w14:paraId="2BE84933" w14:textId="77777777" w:rsidR="00DC1FEE" w:rsidRDefault="00DC1FEE" w:rsidP="00DC1FEE">
      <w:pPr>
        <w:rPr>
          <w:rFonts w:ascii="Arial" w:hAnsi="Arial" w:cs="Arial"/>
          <w:b/>
          <w:bCs/>
          <w:sz w:val="24"/>
          <w:szCs w:val="24"/>
        </w:rPr>
      </w:pPr>
      <w:r>
        <w:rPr>
          <w:rFonts w:ascii="Arial" w:hAnsi="Arial" w:cs="Arial"/>
          <w:b/>
          <w:bCs/>
          <w:sz w:val="24"/>
          <w:szCs w:val="24"/>
        </w:rPr>
        <w:t xml:space="preserve">Ref:  </w:t>
      </w:r>
      <w:proofErr w:type="spellStart"/>
      <w:r>
        <w:rPr>
          <w:rFonts w:ascii="Arial" w:hAnsi="Arial" w:cs="Arial"/>
          <w:b/>
          <w:bCs/>
          <w:sz w:val="24"/>
          <w:szCs w:val="24"/>
        </w:rPr>
        <w:t>Elexicon_Whitby</w:t>
      </w:r>
      <w:proofErr w:type="spellEnd"/>
      <w:r>
        <w:rPr>
          <w:rFonts w:ascii="Arial" w:hAnsi="Arial" w:cs="Arial"/>
          <w:b/>
          <w:bCs/>
          <w:sz w:val="24"/>
          <w:szCs w:val="24"/>
        </w:rPr>
        <w:t xml:space="preserve"> RZ_2020 Accounting Guidance 2019 </w:t>
      </w:r>
      <w:proofErr w:type="spellStart"/>
      <w:r>
        <w:rPr>
          <w:rFonts w:ascii="Arial" w:hAnsi="Arial" w:cs="Arial"/>
          <w:b/>
          <w:bCs/>
          <w:sz w:val="24"/>
          <w:szCs w:val="24"/>
        </w:rPr>
        <w:t>Analysis_Full</w:t>
      </w:r>
      <w:proofErr w:type="spellEnd"/>
      <w:r>
        <w:rPr>
          <w:rFonts w:ascii="Arial" w:hAnsi="Arial" w:cs="Arial"/>
          <w:b/>
          <w:bCs/>
          <w:sz w:val="24"/>
          <w:szCs w:val="24"/>
        </w:rPr>
        <w:t xml:space="preserve"> Year Excel file </w:t>
      </w:r>
    </w:p>
    <w:p w14:paraId="2973F726" w14:textId="71B208A0" w:rsidR="009A188A" w:rsidRPr="00DC1FEE" w:rsidRDefault="00DC1FEE">
      <w:pPr>
        <w:rPr>
          <w:rFonts w:ascii="Arial" w:hAnsi="Arial" w:cs="Arial"/>
          <w:sz w:val="24"/>
          <w:szCs w:val="24"/>
        </w:rPr>
      </w:pPr>
      <w:r>
        <w:rPr>
          <w:rFonts w:ascii="Arial" w:hAnsi="Arial" w:cs="Arial"/>
          <w:sz w:val="24"/>
          <w:szCs w:val="24"/>
        </w:rPr>
        <w:t xml:space="preserve">In </w:t>
      </w:r>
      <w:r w:rsidRPr="00DC1FEE">
        <w:rPr>
          <w:rFonts w:ascii="Arial" w:hAnsi="Arial" w:cs="Arial"/>
          <w:sz w:val="24"/>
          <w:szCs w:val="24"/>
        </w:rPr>
        <w:t>Tab</w:t>
      </w:r>
      <w:r>
        <w:rPr>
          <w:rFonts w:ascii="Arial" w:hAnsi="Arial" w:cs="Arial"/>
          <w:sz w:val="24"/>
          <w:szCs w:val="24"/>
        </w:rPr>
        <w:t xml:space="preserve"> “Whitby-2019” of the 2019 full year analysis excel file, </w:t>
      </w:r>
      <w:proofErr w:type="spellStart"/>
      <w:r>
        <w:rPr>
          <w:rFonts w:ascii="Arial" w:hAnsi="Arial" w:cs="Arial"/>
          <w:sz w:val="24"/>
          <w:szCs w:val="24"/>
        </w:rPr>
        <w:t>Elexicon</w:t>
      </w:r>
      <w:proofErr w:type="spellEnd"/>
      <w:r>
        <w:rPr>
          <w:rFonts w:ascii="Arial" w:hAnsi="Arial" w:cs="Arial"/>
          <w:sz w:val="24"/>
          <w:szCs w:val="24"/>
        </w:rPr>
        <w:t>-Whitby has provided the following GA actual rates for the RPP and Non-RPP customers and explained that these rates are sourced from IESO invoices and adjusted for UFE.</w:t>
      </w:r>
      <w:r w:rsidRPr="00DC1FEE">
        <w:rPr>
          <w:rFonts w:ascii="Arial" w:hAnsi="Arial" w:cs="Arial"/>
          <w:sz w:val="24"/>
          <w:szCs w:val="24"/>
        </w:rPr>
        <w:t xml:space="preserve"> </w:t>
      </w:r>
    </w:p>
    <w:p w14:paraId="1E7F90AE" w14:textId="77777777" w:rsidR="00DC1FEE" w:rsidRDefault="00DC1FEE">
      <w:pPr>
        <w:rPr>
          <w:rFonts w:ascii="Arial" w:hAnsi="Arial" w:cs="Arial"/>
          <w:b/>
          <w:bCs/>
          <w:sz w:val="24"/>
          <w:szCs w:val="24"/>
        </w:rPr>
      </w:pPr>
    </w:p>
    <w:tbl>
      <w:tblPr>
        <w:tblW w:w="0" w:type="auto"/>
        <w:tblLook w:val="04A0" w:firstRow="1" w:lastRow="0" w:firstColumn="1" w:lastColumn="0" w:noHBand="0" w:noVBand="1"/>
      </w:tblPr>
      <w:tblGrid>
        <w:gridCol w:w="942"/>
        <w:gridCol w:w="1906"/>
        <w:gridCol w:w="324"/>
        <w:gridCol w:w="1336"/>
        <w:gridCol w:w="4010"/>
        <w:gridCol w:w="421"/>
        <w:gridCol w:w="421"/>
      </w:tblGrid>
      <w:tr w:rsidR="00DC1FEE" w:rsidRPr="00DC1FEE" w14:paraId="22D94CA5" w14:textId="77777777" w:rsidTr="00DC1FEE">
        <w:trPr>
          <w:trHeight w:val="285"/>
        </w:trPr>
        <w:tc>
          <w:tcPr>
            <w:tcW w:w="0" w:type="auto"/>
            <w:tcBorders>
              <w:top w:val="nil"/>
              <w:left w:val="nil"/>
              <w:bottom w:val="nil"/>
              <w:right w:val="nil"/>
            </w:tcBorders>
            <w:shd w:val="pct25" w:color="000000" w:fill="auto"/>
            <w:noWrap/>
            <w:vAlign w:val="bottom"/>
            <w:hideMark/>
          </w:tcPr>
          <w:p w14:paraId="04BA1581" w14:textId="77777777" w:rsidR="00DC1FEE" w:rsidRPr="00DC1FEE" w:rsidRDefault="00DC1FEE" w:rsidP="00DC1FEE">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14:paraId="71D79688" w14:textId="77777777" w:rsidR="00DC1FEE" w:rsidRPr="00DC1FEE" w:rsidRDefault="00DC1FEE" w:rsidP="00DC1FEE">
            <w:pPr>
              <w:spacing w:after="0" w:line="240" w:lineRule="auto"/>
              <w:rPr>
                <w:rFonts w:ascii="Calibri" w:eastAsia="Times New Roman" w:hAnsi="Calibri" w:cs="Calibri"/>
                <w:color w:val="000000"/>
                <w:sz w:val="18"/>
                <w:szCs w:val="18"/>
              </w:rPr>
            </w:pPr>
            <w:r w:rsidRPr="00DC1FEE">
              <w:rPr>
                <w:rFonts w:ascii="Calibri" w:eastAsia="Times New Roman" w:hAnsi="Calibri" w:cs="Calibri"/>
                <w:color w:val="000000"/>
                <w:sz w:val="18"/>
                <w:szCs w:val="18"/>
              </w:rPr>
              <w:t>see split below</w:t>
            </w:r>
          </w:p>
        </w:tc>
        <w:tc>
          <w:tcPr>
            <w:tcW w:w="0" w:type="auto"/>
            <w:tcBorders>
              <w:top w:val="nil"/>
              <w:left w:val="nil"/>
              <w:bottom w:val="nil"/>
              <w:right w:val="nil"/>
            </w:tcBorders>
            <w:shd w:val="clear" w:color="auto" w:fill="auto"/>
            <w:noWrap/>
            <w:vAlign w:val="bottom"/>
            <w:hideMark/>
          </w:tcPr>
          <w:p w14:paraId="76B6C0BC" w14:textId="77777777" w:rsidR="00DC1FEE" w:rsidRPr="00DC1FEE" w:rsidRDefault="00DC1FEE" w:rsidP="00DC1FEE">
            <w:pPr>
              <w:spacing w:after="0" w:line="240" w:lineRule="auto"/>
              <w:rPr>
                <w:rFonts w:ascii="Calibri" w:eastAsia="Times New Roman" w:hAnsi="Calibri" w:cs="Calibri"/>
                <w:color w:val="000000"/>
                <w:sz w:val="18"/>
                <w:szCs w:val="18"/>
              </w:rPr>
            </w:pPr>
          </w:p>
        </w:tc>
        <w:tc>
          <w:tcPr>
            <w:tcW w:w="0" w:type="auto"/>
            <w:tcBorders>
              <w:top w:val="nil"/>
              <w:left w:val="nil"/>
              <w:bottom w:val="nil"/>
              <w:right w:val="nil"/>
            </w:tcBorders>
            <w:shd w:val="clear" w:color="auto" w:fill="auto"/>
            <w:noWrap/>
            <w:vAlign w:val="bottom"/>
            <w:hideMark/>
          </w:tcPr>
          <w:p w14:paraId="5C0CEAB3" w14:textId="1C0EAA38" w:rsidR="00DC1FEE" w:rsidRPr="00DC1FEE" w:rsidRDefault="00DC1FEE" w:rsidP="00DC1FEE">
            <w:pPr>
              <w:spacing w:after="0" w:line="240" w:lineRule="auto"/>
              <w:rPr>
                <w:rFonts w:ascii="Calibri" w:eastAsia="Times New Roman" w:hAnsi="Calibri" w:cs="Calibri"/>
                <w:color w:val="000000"/>
              </w:rPr>
            </w:pPr>
            <w:r w:rsidRPr="00DC1FEE">
              <w:rPr>
                <w:rFonts w:ascii="Calibri" w:eastAsia="Times New Roman" w:hAnsi="Calibri" w:cs="Calibri"/>
                <w:noProof/>
                <w:color w:val="000000"/>
              </w:rPr>
              <mc:AlternateContent>
                <mc:Choice Requires="wps">
                  <w:drawing>
                    <wp:anchor distT="0" distB="0" distL="114300" distR="114300" simplePos="0" relativeHeight="251657216" behindDoc="0" locked="0" layoutInCell="1" allowOverlap="1" wp14:anchorId="5F5C0749" wp14:editId="123BD2B2">
                      <wp:simplePos x="0" y="0"/>
                      <wp:positionH relativeFrom="column">
                        <wp:posOffset>238125</wp:posOffset>
                      </wp:positionH>
                      <wp:positionV relativeFrom="paragraph">
                        <wp:posOffset>-5080</wp:posOffset>
                      </wp:positionV>
                      <wp:extent cx="71755" cy="209550"/>
                      <wp:effectExtent l="0" t="0" r="42545" b="19050"/>
                      <wp:wrapNone/>
                      <wp:docPr id="7" name="Right Brace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66675" cy="219075"/>
                              </a:xfrm>
                              <a:prstGeom prst="rightBrace">
                                <a:avLst/>
                              </a:prstGeom>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242E3F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18.75pt;margin-top:-.4pt;width:5.6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RT1gEAAAMEAAAOAAAAZHJzL2Uyb0RvYy54bWysU9uO0zAQfUfiHyy/0ySVaCFquhK7ghfE&#10;rnaXD/A648aSbxqbJuXrGTttFi1ICMTL+DbnzMzxzO5qsoYdAaP2ruPNquYMnPS9doeOf338+OYd&#10;ZzEJ1wvjHXT8BJFf7V+/2o2hhbUfvOkBGZG42I6h40NKoa2qKAewIq58AEePyqMViY54qHoUI7Fb&#10;U63relONHvuAXkKMdHszP/J94VcKZLpVKkJipuOUWyoWi33KttrvRHtAEQYtz2mIf8jCCu0o6EJ1&#10;I5Jg31D/QmW1RB+9SivpbeWV0hJKDVRNU7+o5mEQAUotJE4Mi0zx/9HKL8c7ZLrv+JYzJyx90b0+&#10;DIl9QCGBbbNAY4gt+T2EOzyfIm1ztZNCm1eqg01F1NMiKkyJSbrcbDbbt5xJelk372vaE0n1jA0Y&#10;0yfwluVNxzFHL8GLnuL4OaYZcHEkdM5ozqHs0slATsO4e1BUDEVtCrq0EVwbZEdBDSCkBJeacwLF&#10;O8OUNmYB1n8Gnv0zFEqL/Q14QZTI3qUFbLXz+LvoabqkrGb/iwJz3VmCJ9+f6B9pENMtGWX82HFp&#10;dOBs8Pj95R0mc+3niRBOkkfHU1Elc1GnlQ86T0Vu5Z/PJfjz7O5/AAAA//8DAFBLAwQUAAYACAAA&#10;ACEA1QQSftsAAAAGAQAADwAAAGRycy9kb3ducmV2LnhtbEyPMU/DMBCFdyT+g3VILKh1GgotIU6F&#10;qBg7NLB0c+MjiYjPke027r/nOsF0untP775XbpIdxBl96B0pWMwzEEiNMz21Cr4+P2ZrECFqMnpw&#10;hAouGGBT3d6UujBuoj2e69gKDqFQaAVdjGMhZWg6tDrM3YjE2rfzVkdefSuN1xOH20HmWfYsre6J&#10;P3R6xPcOm5/6ZBW82HzaLuzysts+JKx9Wu0Oo1fq/i69vYKImOKfGa74jA4VMx3diUwQg4LH1RM7&#10;FVwLsLxc8zzyOc9BVqX8j1/9AgAA//8DAFBLAQItABQABgAIAAAAIQC2gziS/gAAAOEBAAATAAAA&#10;AAAAAAAAAAAAAAAAAABbQ29udGVudF9UeXBlc10ueG1sUEsBAi0AFAAGAAgAAAAhADj9If/WAAAA&#10;lAEAAAsAAAAAAAAAAAAAAAAALwEAAF9yZWxzLy5yZWxzUEsBAi0AFAAGAAgAAAAhAIbPFFPWAQAA&#10;AwQAAA4AAAAAAAAAAAAAAAAALgIAAGRycy9lMm9Eb2MueG1sUEsBAi0AFAAGAAgAAAAhANUEEn7b&#10;AAAABgEAAA8AAAAAAAAAAAAAAAAAMAQAAGRycy9kb3ducmV2LnhtbFBLBQYAAAAABAAEAPMAAAA4&#10;BQAAAAA=&#10;" adj="548" strokecolor="#4472c4 [3204]" strokeweight=".5pt">
                      <v:stroke joinstyle="miter"/>
                    </v:shape>
                  </w:pict>
                </mc:Fallback>
              </mc:AlternateContent>
            </w:r>
            <w:r w:rsidRPr="00DC1FEE">
              <w:rPr>
                <w:rFonts w:ascii="Calibri" w:eastAsia="Times New Roman" w:hAnsi="Calibri" w:cs="Calibri"/>
                <w:noProof/>
                <w:color w:val="000000"/>
              </w:rPr>
              <mc:AlternateContent>
                <mc:Choice Requires="wps">
                  <w:drawing>
                    <wp:anchor distT="0" distB="0" distL="114300" distR="114300" simplePos="0" relativeHeight="251658240" behindDoc="0" locked="0" layoutInCell="1" allowOverlap="1" wp14:anchorId="6890592E" wp14:editId="3D7FDDC6">
                      <wp:simplePos x="0" y="0"/>
                      <wp:positionH relativeFrom="column">
                        <wp:posOffset>247650</wp:posOffset>
                      </wp:positionH>
                      <wp:positionV relativeFrom="paragraph">
                        <wp:posOffset>224155</wp:posOffset>
                      </wp:positionV>
                      <wp:extent cx="52705" cy="342900"/>
                      <wp:effectExtent l="0" t="0" r="42545" b="19050"/>
                      <wp:wrapNone/>
                      <wp:docPr id="4" name="Right Brace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45719" cy="342900"/>
                              </a:xfrm>
                              <a:prstGeom prst="rightBrace">
                                <a:avLst/>
                              </a:prstGeom>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42E16641" id="Right Brace 4" o:spid="_x0000_s1026" type="#_x0000_t88" style="position:absolute;margin-left:19.5pt;margin-top:17.65pt;width:4.1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ZZ2QEAAAMEAAAOAAAAZHJzL2Uyb0RvYy54bWysU9tu1DAQfUfiHyy/s0mWBdpos5VoBS+I&#10;Vi18gOuMN5Z809hssnw9Y2c3RQUJgXiZeOw5M3NOZrZXkzXsABi1dx1vVjVn4KTvtdt3/OuXD68u&#10;OItJuF4Y76DjR4j8avfyxXYMLaz94E0PyCiJi+0YOj6kFNqqinIAK+LKB3D0qDxakcjFfdWjGCm7&#10;NdW6rt9Wo8c+oJcQI93ezI98V/IrBTLdKhUhMdNx6i0Vi8U+ZlvttqLdowiDlqc2xD90YYV2VHRJ&#10;dSOSYN9Q/5LKaok+epVW0tvKK6UlFA7EpqmfsXkYRIDChcSJYZEp/r+08vPhDpnuO77hzAlLv+he&#10;74fE3qOQwDZZoDHEluIewh2evEjHzHZSaPOXeLCpiHpcRIUpMUmXmzfvmkvOJL283qwv66J59YQN&#10;GNNH8JblQ8cxVy/Fi57i8CkmqkqAcyA5uaO5h3JKRwO5DePuQREZqtoUdBkjuDbIDoIGQEgJLjWZ&#10;E+Ur0RmmtDELsP4z8BSfoVBG7G/AC6JU9i4tYKudx99VT9O5ZTXHnxWYeWcJHn1/pP9Ii5huySjj&#10;x45LowNng8fvz+8wmWs/b4RwkiI6nooqORdNWtHntBV5lH/2S/Gn3d39AAAA//8DAFBLAwQUAAYA&#10;CAAAACEApJ3LRN8AAAAHAQAADwAAAGRycy9kb3ducmV2LnhtbEyPS0/DMBCE70j8B2uRuFEHwqMJ&#10;cSpEhZAQBxoe4ujGSxKw10nsNuHfs5zgNFrNauabYjU7K/Y4hs6TgtNFAgKp9qajRsHL893JEkSI&#10;moy2nlDBNwZYlYcHhc6Nn2iD+yo2gkMo5FpBG2OfSxnqFp0OC98jsffhR6cjn2MjzagnDndWniXJ&#10;pXS6I25odY+3LdZf1c4pGDI53advr2v7+D48bQINn9X6Qanjo/nmGkTEOf49wy8+o0PJTFu/IxOE&#10;VZBmPCWyXqQg2D+/Yt0qWGYpyLKQ//nLHwAAAP//AwBQSwECLQAUAAYACAAAACEAtoM4kv4AAADh&#10;AQAAEwAAAAAAAAAAAAAAAAAAAAAAW0NvbnRlbnRfVHlwZXNdLnhtbFBLAQItABQABgAIAAAAIQA4&#10;/SH/1gAAAJQBAAALAAAAAAAAAAAAAAAAAC8BAABfcmVscy8ucmVsc1BLAQItABQABgAIAAAAIQB8&#10;nlZZ2QEAAAMEAAAOAAAAAAAAAAAAAAAAAC4CAABkcnMvZTJvRG9jLnhtbFBLAQItABQABgAIAAAA&#10;IQCknctE3wAAAAcBAAAPAAAAAAAAAAAAAAAAADMEAABkcnMvZG93bnJldi54bWxQSwUGAAAAAAQA&#10;BADzAAAAPwUAAAAA&#10;" adj="240" strokecolor="#4472c4 [3204]" strokeweight=".5pt">
                      <v:stroke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20"/>
            </w:tblGrid>
            <w:tr w:rsidR="00DC1FEE" w:rsidRPr="00DC1FEE" w14:paraId="437DAFDE" w14:textId="77777777">
              <w:trPr>
                <w:trHeight w:val="285"/>
                <w:tblCellSpacing w:w="0" w:type="dxa"/>
              </w:trPr>
              <w:tc>
                <w:tcPr>
                  <w:tcW w:w="1120" w:type="dxa"/>
                  <w:tcBorders>
                    <w:top w:val="nil"/>
                    <w:left w:val="nil"/>
                    <w:bottom w:val="nil"/>
                    <w:right w:val="nil"/>
                  </w:tcBorders>
                  <w:shd w:val="clear" w:color="auto" w:fill="auto"/>
                  <w:noWrap/>
                  <w:vAlign w:val="bottom"/>
                  <w:hideMark/>
                </w:tcPr>
                <w:p w14:paraId="7694BF59" w14:textId="77777777" w:rsidR="00DC1FEE" w:rsidRPr="00DC1FEE" w:rsidRDefault="00DC1FEE" w:rsidP="00DC1FEE">
                  <w:pPr>
                    <w:spacing w:after="0" w:line="240" w:lineRule="auto"/>
                    <w:rPr>
                      <w:rFonts w:ascii="Calibri" w:eastAsia="Times New Roman" w:hAnsi="Calibri" w:cs="Calibri"/>
                      <w:color w:val="000000"/>
                    </w:rPr>
                  </w:pPr>
                </w:p>
              </w:tc>
            </w:tr>
          </w:tbl>
          <w:p w14:paraId="47D0BF46" w14:textId="77777777" w:rsidR="00DC1FEE" w:rsidRPr="00DC1FEE" w:rsidRDefault="00DC1FEE" w:rsidP="00DC1FEE">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2E46C24A" w14:textId="77777777" w:rsidR="00DC1FEE" w:rsidRPr="00DC1FEE" w:rsidRDefault="00DC1FEE" w:rsidP="00DC1FEE">
            <w:pPr>
              <w:spacing w:after="0" w:line="240" w:lineRule="auto"/>
              <w:rPr>
                <w:rFonts w:ascii="Calibri" w:eastAsia="Times New Roman" w:hAnsi="Calibri" w:cs="Calibri"/>
                <w:i/>
                <w:iCs/>
                <w:color w:val="000000"/>
                <w:sz w:val="18"/>
                <w:szCs w:val="18"/>
              </w:rPr>
            </w:pPr>
            <w:r w:rsidRPr="00DC1FEE">
              <w:rPr>
                <w:rFonts w:ascii="Calibri" w:eastAsia="Times New Roman" w:hAnsi="Calibri" w:cs="Calibri"/>
                <w:i/>
                <w:iCs/>
                <w:color w:val="000000"/>
                <w:sz w:val="18"/>
                <w:szCs w:val="18"/>
              </w:rPr>
              <w:t>Sourced from IESO invoice</w:t>
            </w:r>
          </w:p>
        </w:tc>
        <w:tc>
          <w:tcPr>
            <w:tcW w:w="0" w:type="auto"/>
            <w:tcBorders>
              <w:top w:val="nil"/>
              <w:left w:val="nil"/>
              <w:bottom w:val="nil"/>
              <w:right w:val="nil"/>
            </w:tcBorders>
            <w:shd w:val="clear" w:color="auto" w:fill="auto"/>
            <w:noWrap/>
            <w:vAlign w:val="bottom"/>
            <w:hideMark/>
          </w:tcPr>
          <w:p w14:paraId="6B984CE6" w14:textId="77777777" w:rsidR="00DC1FEE" w:rsidRPr="00DC1FEE" w:rsidRDefault="00DC1FEE" w:rsidP="00DC1FEE">
            <w:pPr>
              <w:spacing w:after="0" w:line="240" w:lineRule="auto"/>
              <w:rPr>
                <w:rFonts w:ascii="Calibri" w:eastAsia="Times New Roman" w:hAnsi="Calibri" w:cs="Calibri"/>
                <w:i/>
                <w:iCs/>
                <w:color w:val="000000"/>
                <w:sz w:val="18"/>
                <w:szCs w:val="18"/>
              </w:rPr>
            </w:pPr>
          </w:p>
        </w:tc>
        <w:tc>
          <w:tcPr>
            <w:tcW w:w="0" w:type="auto"/>
            <w:tcBorders>
              <w:top w:val="nil"/>
              <w:left w:val="nil"/>
              <w:bottom w:val="nil"/>
              <w:right w:val="nil"/>
            </w:tcBorders>
            <w:shd w:val="clear" w:color="auto" w:fill="auto"/>
            <w:noWrap/>
            <w:vAlign w:val="bottom"/>
            <w:hideMark/>
          </w:tcPr>
          <w:p w14:paraId="4CCB005A" w14:textId="77777777" w:rsidR="00DC1FEE" w:rsidRPr="00DC1FEE" w:rsidRDefault="00DC1FEE" w:rsidP="00DC1FEE">
            <w:pPr>
              <w:spacing w:after="0" w:line="240" w:lineRule="auto"/>
              <w:rPr>
                <w:rFonts w:ascii="Times New Roman" w:eastAsia="Times New Roman" w:hAnsi="Times New Roman" w:cs="Times New Roman"/>
                <w:sz w:val="20"/>
                <w:szCs w:val="20"/>
              </w:rPr>
            </w:pPr>
          </w:p>
        </w:tc>
      </w:tr>
      <w:tr w:rsidR="00DC1FEE" w:rsidRPr="00DC1FEE" w14:paraId="01812E31" w14:textId="77777777" w:rsidTr="00DC1FEE">
        <w:trPr>
          <w:trHeight w:val="285"/>
        </w:trPr>
        <w:tc>
          <w:tcPr>
            <w:tcW w:w="0" w:type="auto"/>
            <w:tcBorders>
              <w:top w:val="nil"/>
              <w:left w:val="nil"/>
              <w:bottom w:val="nil"/>
              <w:right w:val="nil"/>
            </w:tcBorders>
            <w:shd w:val="clear" w:color="000000" w:fill="FFFF00"/>
            <w:noWrap/>
            <w:vAlign w:val="bottom"/>
            <w:hideMark/>
          </w:tcPr>
          <w:p w14:paraId="055E2884" w14:textId="77777777" w:rsidR="00DC1FEE" w:rsidRPr="00DC1FEE" w:rsidRDefault="00DC1FEE" w:rsidP="00DC1FEE">
            <w:pPr>
              <w:spacing w:after="0" w:line="240" w:lineRule="auto"/>
              <w:jc w:val="right"/>
              <w:rPr>
                <w:rFonts w:ascii="Calibri" w:eastAsia="Times New Roman" w:hAnsi="Calibri" w:cs="Calibri"/>
                <w:color w:val="000000"/>
              </w:rPr>
            </w:pPr>
            <w:r w:rsidRPr="00DC1FEE">
              <w:rPr>
                <w:rFonts w:ascii="Calibri" w:eastAsia="Times New Roman" w:hAnsi="Calibri" w:cs="Calibri"/>
                <w:color w:val="000000"/>
              </w:rPr>
              <w:t>0.10803</w:t>
            </w:r>
          </w:p>
        </w:tc>
        <w:tc>
          <w:tcPr>
            <w:tcW w:w="0" w:type="auto"/>
            <w:gridSpan w:val="2"/>
            <w:tcBorders>
              <w:top w:val="nil"/>
              <w:left w:val="nil"/>
              <w:bottom w:val="nil"/>
              <w:right w:val="nil"/>
            </w:tcBorders>
            <w:shd w:val="clear" w:color="auto" w:fill="auto"/>
            <w:noWrap/>
            <w:vAlign w:val="bottom"/>
            <w:hideMark/>
          </w:tcPr>
          <w:p w14:paraId="084509E0" w14:textId="77777777" w:rsidR="00DC1FEE" w:rsidRPr="00DC1FEE" w:rsidRDefault="00DC1FEE" w:rsidP="00DC1FEE">
            <w:pPr>
              <w:spacing w:after="0" w:line="240" w:lineRule="auto"/>
              <w:rPr>
                <w:rFonts w:ascii="Calibri" w:eastAsia="Times New Roman" w:hAnsi="Calibri" w:cs="Calibri"/>
                <w:color w:val="000000"/>
                <w:sz w:val="18"/>
                <w:szCs w:val="18"/>
              </w:rPr>
            </w:pPr>
            <w:r w:rsidRPr="00DC1FEE">
              <w:rPr>
                <w:rFonts w:ascii="Calibri" w:eastAsia="Times New Roman" w:hAnsi="Calibri" w:cs="Calibri"/>
                <w:color w:val="000000"/>
                <w:sz w:val="18"/>
                <w:szCs w:val="18"/>
              </w:rPr>
              <w:t>RPP - Class B GA actual</w:t>
            </w:r>
          </w:p>
        </w:tc>
        <w:tc>
          <w:tcPr>
            <w:tcW w:w="0" w:type="auto"/>
            <w:tcBorders>
              <w:top w:val="nil"/>
              <w:left w:val="nil"/>
              <w:bottom w:val="nil"/>
              <w:right w:val="nil"/>
            </w:tcBorders>
            <w:shd w:val="clear" w:color="auto" w:fill="auto"/>
            <w:noWrap/>
            <w:vAlign w:val="bottom"/>
            <w:hideMark/>
          </w:tcPr>
          <w:p w14:paraId="5B989982" w14:textId="77777777" w:rsidR="00DC1FEE" w:rsidRPr="00DC1FEE" w:rsidRDefault="00DC1FEE" w:rsidP="00DC1FEE">
            <w:pPr>
              <w:spacing w:after="0" w:line="240" w:lineRule="auto"/>
              <w:rPr>
                <w:rFonts w:ascii="Calibri" w:eastAsia="Times New Roman" w:hAnsi="Calibri" w:cs="Calibri"/>
                <w:color w:val="000000"/>
                <w:sz w:val="18"/>
                <w:szCs w:val="18"/>
              </w:rPr>
            </w:pPr>
          </w:p>
        </w:tc>
        <w:tc>
          <w:tcPr>
            <w:tcW w:w="0" w:type="auto"/>
            <w:gridSpan w:val="3"/>
            <w:vMerge w:val="restart"/>
            <w:tcBorders>
              <w:top w:val="nil"/>
              <w:left w:val="nil"/>
              <w:bottom w:val="nil"/>
              <w:right w:val="nil"/>
            </w:tcBorders>
            <w:shd w:val="clear" w:color="auto" w:fill="auto"/>
            <w:vAlign w:val="bottom"/>
            <w:hideMark/>
          </w:tcPr>
          <w:p w14:paraId="084606D7" w14:textId="77777777" w:rsidR="00DC1FEE" w:rsidRPr="00DC1FEE" w:rsidRDefault="00DC1FEE" w:rsidP="00DC1FEE">
            <w:pPr>
              <w:spacing w:after="0" w:line="240" w:lineRule="auto"/>
              <w:rPr>
                <w:rFonts w:ascii="Calibri" w:eastAsia="Times New Roman" w:hAnsi="Calibri" w:cs="Calibri"/>
                <w:i/>
                <w:iCs/>
                <w:color w:val="000000"/>
                <w:sz w:val="18"/>
                <w:szCs w:val="18"/>
              </w:rPr>
            </w:pPr>
            <w:r w:rsidRPr="00DC1FEE">
              <w:rPr>
                <w:rFonts w:ascii="Calibri" w:eastAsia="Times New Roman" w:hAnsi="Calibri" w:cs="Calibri"/>
                <w:i/>
                <w:iCs/>
                <w:color w:val="000000"/>
                <w:sz w:val="18"/>
                <w:szCs w:val="18"/>
              </w:rPr>
              <w:t xml:space="preserve">Actual Average GA rates - splits based on actual kWh sourced from CIS billing stats adjusted for UFE </w:t>
            </w:r>
            <w:proofErr w:type="spellStart"/>
            <w:r w:rsidRPr="00DC1FEE">
              <w:rPr>
                <w:rFonts w:ascii="Calibri" w:eastAsia="Times New Roman" w:hAnsi="Calibri" w:cs="Calibri"/>
                <w:i/>
                <w:iCs/>
                <w:color w:val="000000"/>
                <w:sz w:val="18"/>
                <w:szCs w:val="18"/>
              </w:rPr>
              <w:t>multipied</w:t>
            </w:r>
            <w:proofErr w:type="spellEnd"/>
            <w:r w:rsidRPr="00DC1FEE">
              <w:rPr>
                <w:rFonts w:ascii="Calibri" w:eastAsia="Times New Roman" w:hAnsi="Calibri" w:cs="Calibri"/>
                <w:i/>
                <w:iCs/>
                <w:color w:val="000000"/>
                <w:sz w:val="18"/>
                <w:szCs w:val="18"/>
              </w:rPr>
              <w:t xml:space="preserve"> by monthly actual GA rates</w:t>
            </w:r>
          </w:p>
        </w:tc>
      </w:tr>
      <w:tr w:rsidR="00DC1FEE" w:rsidRPr="00DC1FEE" w14:paraId="76DF387C" w14:textId="77777777" w:rsidTr="00DC1FEE">
        <w:trPr>
          <w:trHeight w:val="360"/>
        </w:trPr>
        <w:tc>
          <w:tcPr>
            <w:tcW w:w="0" w:type="auto"/>
            <w:tcBorders>
              <w:top w:val="nil"/>
              <w:left w:val="nil"/>
              <w:bottom w:val="nil"/>
              <w:right w:val="nil"/>
            </w:tcBorders>
            <w:shd w:val="clear" w:color="000000" w:fill="FFFF00"/>
            <w:noWrap/>
            <w:vAlign w:val="bottom"/>
            <w:hideMark/>
          </w:tcPr>
          <w:p w14:paraId="53D5B73C" w14:textId="77777777" w:rsidR="00DC1FEE" w:rsidRPr="00DC1FEE" w:rsidRDefault="00DC1FEE" w:rsidP="00DC1FEE">
            <w:pPr>
              <w:spacing w:after="0" w:line="240" w:lineRule="auto"/>
              <w:jc w:val="right"/>
              <w:rPr>
                <w:rFonts w:ascii="Calibri" w:eastAsia="Times New Roman" w:hAnsi="Calibri" w:cs="Calibri"/>
                <w:color w:val="000000"/>
              </w:rPr>
            </w:pPr>
            <w:r w:rsidRPr="00DC1FEE">
              <w:rPr>
                <w:rFonts w:ascii="Calibri" w:eastAsia="Times New Roman" w:hAnsi="Calibri" w:cs="Calibri"/>
                <w:color w:val="000000"/>
              </w:rPr>
              <w:t>0.10789</w:t>
            </w:r>
          </w:p>
        </w:tc>
        <w:tc>
          <w:tcPr>
            <w:tcW w:w="0" w:type="auto"/>
            <w:gridSpan w:val="2"/>
            <w:tcBorders>
              <w:top w:val="nil"/>
              <w:left w:val="nil"/>
              <w:bottom w:val="nil"/>
              <w:right w:val="nil"/>
            </w:tcBorders>
            <w:shd w:val="clear" w:color="auto" w:fill="auto"/>
            <w:noWrap/>
            <w:vAlign w:val="bottom"/>
            <w:hideMark/>
          </w:tcPr>
          <w:p w14:paraId="48E363CC" w14:textId="77777777" w:rsidR="00DC1FEE" w:rsidRPr="00DC1FEE" w:rsidRDefault="00DC1FEE" w:rsidP="00DC1FEE">
            <w:pPr>
              <w:spacing w:after="0" w:line="240" w:lineRule="auto"/>
              <w:rPr>
                <w:rFonts w:ascii="Calibri" w:eastAsia="Times New Roman" w:hAnsi="Calibri" w:cs="Calibri"/>
                <w:color w:val="000000"/>
                <w:sz w:val="18"/>
                <w:szCs w:val="18"/>
              </w:rPr>
            </w:pPr>
            <w:r w:rsidRPr="00DC1FEE">
              <w:rPr>
                <w:rFonts w:ascii="Calibri" w:eastAsia="Times New Roman" w:hAnsi="Calibri" w:cs="Calibri"/>
                <w:color w:val="000000"/>
                <w:sz w:val="18"/>
                <w:szCs w:val="18"/>
              </w:rPr>
              <w:t>Non RPP - Class B GA actual</w:t>
            </w:r>
          </w:p>
        </w:tc>
        <w:tc>
          <w:tcPr>
            <w:tcW w:w="0" w:type="auto"/>
            <w:tcBorders>
              <w:top w:val="nil"/>
              <w:left w:val="nil"/>
              <w:bottom w:val="nil"/>
              <w:right w:val="nil"/>
            </w:tcBorders>
            <w:shd w:val="clear" w:color="auto" w:fill="auto"/>
            <w:noWrap/>
            <w:vAlign w:val="bottom"/>
            <w:hideMark/>
          </w:tcPr>
          <w:p w14:paraId="567856BC" w14:textId="77777777" w:rsidR="00DC1FEE" w:rsidRPr="00DC1FEE" w:rsidRDefault="00DC1FEE" w:rsidP="00DC1FEE">
            <w:pPr>
              <w:spacing w:after="0" w:line="240" w:lineRule="auto"/>
              <w:rPr>
                <w:rFonts w:ascii="Calibri" w:eastAsia="Times New Roman" w:hAnsi="Calibri" w:cs="Calibri"/>
                <w:color w:val="000000"/>
                <w:sz w:val="18"/>
                <w:szCs w:val="18"/>
              </w:rPr>
            </w:pPr>
          </w:p>
        </w:tc>
        <w:tc>
          <w:tcPr>
            <w:tcW w:w="0" w:type="auto"/>
            <w:gridSpan w:val="3"/>
            <w:vMerge/>
            <w:tcBorders>
              <w:top w:val="nil"/>
              <w:left w:val="nil"/>
              <w:bottom w:val="nil"/>
              <w:right w:val="nil"/>
            </w:tcBorders>
            <w:vAlign w:val="center"/>
            <w:hideMark/>
          </w:tcPr>
          <w:p w14:paraId="61A44B07" w14:textId="77777777" w:rsidR="00DC1FEE" w:rsidRPr="00DC1FEE" w:rsidRDefault="00DC1FEE" w:rsidP="00DC1FEE">
            <w:pPr>
              <w:spacing w:after="0" w:line="240" w:lineRule="auto"/>
              <w:rPr>
                <w:rFonts w:ascii="Calibri" w:eastAsia="Times New Roman" w:hAnsi="Calibri" w:cs="Calibri"/>
                <w:i/>
                <w:iCs/>
                <w:color w:val="000000"/>
                <w:sz w:val="18"/>
                <w:szCs w:val="18"/>
              </w:rPr>
            </w:pPr>
          </w:p>
        </w:tc>
      </w:tr>
    </w:tbl>
    <w:p w14:paraId="662CCB01" w14:textId="3D6FA0F6" w:rsidR="00CC586E" w:rsidRDefault="00CC586E" w:rsidP="00DC1FEE">
      <w:pPr>
        <w:pStyle w:val="ListParagraph"/>
        <w:rPr>
          <w:rFonts w:ascii="Arial" w:hAnsi="Arial" w:cs="Arial"/>
          <w:b/>
          <w:bCs/>
          <w:sz w:val="24"/>
          <w:szCs w:val="24"/>
        </w:rPr>
      </w:pPr>
    </w:p>
    <w:p w14:paraId="7E7EDB40" w14:textId="08C089BC" w:rsidR="00DC1FEE" w:rsidRDefault="00DC1FEE" w:rsidP="00DC1FEE">
      <w:pPr>
        <w:pStyle w:val="ListParagraph"/>
        <w:numPr>
          <w:ilvl w:val="0"/>
          <w:numId w:val="11"/>
        </w:numPr>
        <w:rPr>
          <w:rFonts w:ascii="Arial" w:hAnsi="Arial" w:cs="Arial"/>
          <w:sz w:val="24"/>
          <w:szCs w:val="24"/>
        </w:rPr>
      </w:pPr>
      <w:r>
        <w:rPr>
          <w:rFonts w:ascii="Arial" w:hAnsi="Arial" w:cs="Arial"/>
          <w:sz w:val="24"/>
          <w:szCs w:val="24"/>
        </w:rPr>
        <w:t xml:space="preserve">Please explain why the actual GA rate sourced from the IESO invoice for the RPP customers are different than the rate for the Non-RPP customers. </w:t>
      </w:r>
    </w:p>
    <w:p w14:paraId="5D709F27" w14:textId="6325090A" w:rsidR="00DC1FEE" w:rsidRDefault="00EE7C07" w:rsidP="00DC1FEE">
      <w:pPr>
        <w:pStyle w:val="ListParagraph"/>
        <w:numPr>
          <w:ilvl w:val="0"/>
          <w:numId w:val="11"/>
        </w:numPr>
        <w:rPr>
          <w:rFonts w:ascii="Arial" w:hAnsi="Arial" w:cs="Arial"/>
          <w:sz w:val="24"/>
          <w:szCs w:val="24"/>
        </w:rPr>
      </w:pPr>
      <w:proofErr w:type="spellStart"/>
      <w:r>
        <w:rPr>
          <w:rFonts w:ascii="Arial" w:hAnsi="Arial" w:cs="Arial"/>
          <w:sz w:val="24"/>
          <w:szCs w:val="24"/>
        </w:rPr>
        <w:t>Elexicon</w:t>
      </w:r>
      <w:proofErr w:type="spellEnd"/>
      <w:r>
        <w:rPr>
          <w:rFonts w:ascii="Arial" w:hAnsi="Arial" w:cs="Arial"/>
          <w:sz w:val="24"/>
          <w:szCs w:val="24"/>
        </w:rPr>
        <w:t>-Whitby provides a note for the GA rate: “</w:t>
      </w:r>
      <w:r w:rsidRPr="00DC1FEE">
        <w:rPr>
          <w:rFonts w:ascii="Arial" w:hAnsi="Arial" w:cs="Arial"/>
          <w:sz w:val="24"/>
          <w:szCs w:val="24"/>
        </w:rPr>
        <w:t xml:space="preserve">Actual Average GA rates - splits based on actual kWh sourced from CIS billing stats adjusted for UFE </w:t>
      </w:r>
      <w:r w:rsidR="00EB1652" w:rsidRPr="00DC1FEE">
        <w:rPr>
          <w:rFonts w:ascii="Arial" w:hAnsi="Arial" w:cs="Arial"/>
          <w:sz w:val="24"/>
          <w:szCs w:val="24"/>
        </w:rPr>
        <w:t>multiplied</w:t>
      </w:r>
      <w:r w:rsidRPr="00DC1FEE">
        <w:rPr>
          <w:rFonts w:ascii="Arial" w:hAnsi="Arial" w:cs="Arial"/>
          <w:sz w:val="24"/>
          <w:szCs w:val="24"/>
        </w:rPr>
        <w:t xml:space="preserve"> </w:t>
      </w:r>
      <w:r w:rsidR="00E3223D">
        <w:rPr>
          <w:rFonts w:ascii="Arial" w:hAnsi="Arial" w:cs="Arial"/>
          <w:sz w:val="24"/>
          <w:szCs w:val="24"/>
        </w:rPr>
        <w:t xml:space="preserve">[sic] </w:t>
      </w:r>
      <w:r w:rsidRPr="00DC1FEE">
        <w:rPr>
          <w:rFonts w:ascii="Arial" w:hAnsi="Arial" w:cs="Arial"/>
          <w:sz w:val="24"/>
          <w:szCs w:val="24"/>
        </w:rPr>
        <w:t>by monthly actual GA rates</w:t>
      </w:r>
      <w:r>
        <w:rPr>
          <w:rFonts w:ascii="Arial" w:hAnsi="Arial" w:cs="Arial"/>
          <w:sz w:val="24"/>
          <w:szCs w:val="24"/>
        </w:rPr>
        <w:t xml:space="preserve">”. Please explain what it means and provide the calculations for the rates. </w:t>
      </w:r>
    </w:p>
    <w:p w14:paraId="1549D5A9" w14:textId="0AC0FE09" w:rsidR="00861B72" w:rsidRDefault="00861B72" w:rsidP="00861B72">
      <w:pPr>
        <w:rPr>
          <w:rFonts w:ascii="Arial" w:hAnsi="Arial" w:cs="Arial"/>
          <w:sz w:val="24"/>
          <w:szCs w:val="24"/>
        </w:rPr>
      </w:pPr>
    </w:p>
    <w:p w14:paraId="28DE46C2" w14:textId="68041371" w:rsidR="00861B72" w:rsidRPr="00861B72" w:rsidRDefault="00861B72" w:rsidP="00861B72">
      <w:pPr>
        <w:rPr>
          <w:rFonts w:ascii="Arial" w:hAnsi="Arial" w:cs="Arial"/>
          <w:b/>
          <w:bCs/>
          <w:sz w:val="24"/>
          <w:szCs w:val="24"/>
        </w:rPr>
      </w:pPr>
      <w:r w:rsidRPr="00861B72">
        <w:rPr>
          <w:rFonts w:ascii="Arial" w:hAnsi="Arial" w:cs="Arial"/>
          <w:b/>
          <w:bCs/>
          <w:sz w:val="24"/>
          <w:szCs w:val="24"/>
        </w:rPr>
        <w:t>Staff Question – 6</w:t>
      </w:r>
    </w:p>
    <w:p w14:paraId="27E81AC8" w14:textId="049783B1" w:rsidR="00861B72" w:rsidRPr="00861B72" w:rsidRDefault="00861B72" w:rsidP="00861B72">
      <w:pPr>
        <w:rPr>
          <w:rFonts w:ascii="Arial" w:hAnsi="Arial" w:cs="Arial"/>
          <w:b/>
          <w:bCs/>
          <w:sz w:val="24"/>
          <w:szCs w:val="24"/>
        </w:rPr>
      </w:pPr>
      <w:r w:rsidRPr="00861B72">
        <w:rPr>
          <w:rFonts w:ascii="Arial" w:hAnsi="Arial" w:cs="Arial"/>
          <w:b/>
          <w:bCs/>
          <w:sz w:val="24"/>
          <w:szCs w:val="24"/>
        </w:rPr>
        <w:t xml:space="preserve">Ref: GA Analysis </w:t>
      </w:r>
      <w:proofErr w:type="spellStart"/>
      <w:r w:rsidRPr="00861B72">
        <w:rPr>
          <w:rFonts w:ascii="Arial" w:hAnsi="Arial" w:cs="Arial"/>
          <w:b/>
          <w:bCs/>
          <w:sz w:val="24"/>
          <w:szCs w:val="24"/>
        </w:rPr>
        <w:t>Workform</w:t>
      </w:r>
      <w:proofErr w:type="spellEnd"/>
      <w:r w:rsidRPr="00861B72">
        <w:rPr>
          <w:rFonts w:ascii="Arial" w:hAnsi="Arial" w:cs="Arial"/>
          <w:b/>
          <w:bCs/>
          <w:sz w:val="24"/>
          <w:szCs w:val="24"/>
        </w:rPr>
        <w:t xml:space="preserve"> </w:t>
      </w:r>
    </w:p>
    <w:p w14:paraId="0D582772" w14:textId="4A6D1FCE" w:rsidR="00861B72" w:rsidRDefault="00861B72" w:rsidP="00861B72">
      <w:pPr>
        <w:rPr>
          <w:rFonts w:ascii="Arial" w:hAnsi="Arial" w:cs="Arial"/>
          <w:sz w:val="24"/>
          <w:szCs w:val="24"/>
        </w:rPr>
      </w:pPr>
      <w:r>
        <w:rPr>
          <w:rFonts w:ascii="Arial" w:hAnsi="Arial" w:cs="Arial"/>
          <w:sz w:val="24"/>
          <w:szCs w:val="24"/>
        </w:rPr>
        <w:t xml:space="preserve">OEB staff summarizes the principal adjustments related to the unbilled to actual revenue differences as per Tab “Principal Adjustments” of the GA Analysis </w:t>
      </w:r>
      <w:proofErr w:type="spellStart"/>
      <w:r>
        <w:rPr>
          <w:rFonts w:ascii="Arial" w:hAnsi="Arial" w:cs="Arial"/>
          <w:sz w:val="24"/>
          <w:szCs w:val="24"/>
        </w:rPr>
        <w:t>Workform</w:t>
      </w:r>
      <w:proofErr w:type="spellEnd"/>
      <w:r>
        <w:rPr>
          <w:rFonts w:ascii="Arial" w:hAnsi="Arial" w:cs="Arial"/>
          <w:sz w:val="24"/>
          <w:szCs w:val="24"/>
        </w:rPr>
        <w:t xml:space="preserve"> as below: </w:t>
      </w:r>
    </w:p>
    <w:p w14:paraId="5769F0E2" w14:textId="164B0025" w:rsidR="00861B72" w:rsidRDefault="00861B72" w:rsidP="00861B72">
      <w:pPr>
        <w:rPr>
          <w:rFonts w:ascii="Arial" w:hAnsi="Arial" w:cs="Arial"/>
          <w:sz w:val="24"/>
          <w:szCs w:val="24"/>
        </w:rPr>
      </w:pPr>
    </w:p>
    <w:tbl>
      <w:tblPr>
        <w:tblStyle w:val="TableGrid"/>
        <w:tblW w:w="0" w:type="auto"/>
        <w:tblLook w:val="04A0" w:firstRow="1" w:lastRow="0" w:firstColumn="1" w:lastColumn="0" w:noHBand="0" w:noVBand="1"/>
      </w:tblPr>
      <w:tblGrid>
        <w:gridCol w:w="2155"/>
        <w:gridCol w:w="3150"/>
        <w:gridCol w:w="4045"/>
      </w:tblGrid>
      <w:tr w:rsidR="00861B72" w14:paraId="73500BBA" w14:textId="77777777" w:rsidTr="00861B72">
        <w:tc>
          <w:tcPr>
            <w:tcW w:w="2155" w:type="dxa"/>
          </w:tcPr>
          <w:p w14:paraId="0D6B1D76" w14:textId="77777777" w:rsidR="00861B72" w:rsidRDefault="00861B72" w:rsidP="00861B72">
            <w:pPr>
              <w:rPr>
                <w:rFonts w:ascii="Arial" w:hAnsi="Arial" w:cs="Arial"/>
                <w:sz w:val="24"/>
                <w:szCs w:val="24"/>
              </w:rPr>
            </w:pPr>
          </w:p>
        </w:tc>
        <w:tc>
          <w:tcPr>
            <w:tcW w:w="3150" w:type="dxa"/>
          </w:tcPr>
          <w:p w14:paraId="6156021F" w14:textId="26DAC459" w:rsidR="00861B72" w:rsidRPr="00861B72" w:rsidRDefault="00861B72" w:rsidP="00861B72">
            <w:pPr>
              <w:jc w:val="center"/>
              <w:rPr>
                <w:rFonts w:ascii="Arial" w:hAnsi="Arial" w:cs="Arial"/>
                <w:b/>
                <w:bCs/>
                <w:sz w:val="24"/>
                <w:szCs w:val="24"/>
              </w:rPr>
            </w:pPr>
            <w:r w:rsidRPr="00861B72">
              <w:rPr>
                <w:rFonts w:ascii="Arial" w:hAnsi="Arial" w:cs="Arial"/>
                <w:b/>
                <w:bCs/>
                <w:sz w:val="24"/>
                <w:szCs w:val="24"/>
              </w:rPr>
              <w:t>Unbilled to Actual Revenue differences for 2018</w:t>
            </w:r>
          </w:p>
        </w:tc>
        <w:tc>
          <w:tcPr>
            <w:tcW w:w="4045" w:type="dxa"/>
          </w:tcPr>
          <w:p w14:paraId="3B9C3953" w14:textId="22495587" w:rsidR="00861B72" w:rsidRPr="00861B72" w:rsidRDefault="00861B72" w:rsidP="00861B72">
            <w:pPr>
              <w:jc w:val="center"/>
              <w:rPr>
                <w:rFonts w:ascii="Arial" w:hAnsi="Arial" w:cs="Arial"/>
                <w:b/>
                <w:bCs/>
                <w:sz w:val="24"/>
                <w:szCs w:val="24"/>
              </w:rPr>
            </w:pPr>
            <w:r w:rsidRPr="00861B72">
              <w:rPr>
                <w:rFonts w:ascii="Arial" w:hAnsi="Arial" w:cs="Arial"/>
                <w:b/>
                <w:bCs/>
                <w:sz w:val="24"/>
                <w:szCs w:val="24"/>
              </w:rPr>
              <w:t>Unbilled to Actual Revenue differences for 2019</w:t>
            </w:r>
          </w:p>
        </w:tc>
      </w:tr>
      <w:tr w:rsidR="00861B72" w14:paraId="09CAB2CC" w14:textId="77777777" w:rsidTr="00861B72">
        <w:tc>
          <w:tcPr>
            <w:tcW w:w="2155" w:type="dxa"/>
          </w:tcPr>
          <w:p w14:paraId="60DED1F5" w14:textId="19127091" w:rsidR="00861B72" w:rsidRPr="00861B72" w:rsidRDefault="00861B72" w:rsidP="00861B72">
            <w:pPr>
              <w:rPr>
                <w:rFonts w:ascii="Arial" w:hAnsi="Arial" w:cs="Arial"/>
                <w:b/>
                <w:bCs/>
                <w:sz w:val="24"/>
                <w:szCs w:val="24"/>
              </w:rPr>
            </w:pPr>
            <w:r w:rsidRPr="00861B72">
              <w:rPr>
                <w:rFonts w:ascii="Arial" w:hAnsi="Arial" w:cs="Arial"/>
                <w:b/>
                <w:bCs/>
                <w:sz w:val="24"/>
                <w:szCs w:val="24"/>
              </w:rPr>
              <w:t>Account 1588</w:t>
            </w:r>
          </w:p>
        </w:tc>
        <w:tc>
          <w:tcPr>
            <w:tcW w:w="3150" w:type="dxa"/>
          </w:tcPr>
          <w:p w14:paraId="5F2999B7" w14:textId="70B10D9C" w:rsidR="00861B72" w:rsidRDefault="00861B72" w:rsidP="00861B72">
            <w:pPr>
              <w:jc w:val="center"/>
              <w:rPr>
                <w:rFonts w:ascii="Arial" w:hAnsi="Arial" w:cs="Arial"/>
                <w:sz w:val="24"/>
                <w:szCs w:val="24"/>
              </w:rPr>
            </w:pPr>
            <w:r>
              <w:rPr>
                <w:rFonts w:ascii="Arial" w:hAnsi="Arial" w:cs="Arial"/>
                <w:sz w:val="24"/>
                <w:szCs w:val="24"/>
              </w:rPr>
              <w:t>($18,294)</w:t>
            </w:r>
          </w:p>
        </w:tc>
        <w:tc>
          <w:tcPr>
            <w:tcW w:w="4045" w:type="dxa"/>
          </w:tcPr>
          <w:p w14:paraId="59FAE908" w14:textId="3BA0E76B" w:rsidR="00861B72" w:rsidRDefault="00861B72" w:rsidP="00861B72">
            <w:pPr>
              <w:jc w:val="center"/>
              <w:rPr>
                <w:rFonts w:ascii="Arial" w:hAnsi="Arial" w:cs="Arial"/>
                <w:sz w:val="24"/>
                <w:szCs w:val="24"/>
              </w:rPr>
            </w:pPr>
            <w:r>
              <w:rPr>
                <w:rFonts w:ascii="Arial" w:hAnsi="Arial" w:cs="Arial"/>
                <w:sz w:val="24"/>
                <w:szCs w:val="24"/>
              </w:rPr>
              <w:t>($41,319)</w:t>
            </w:r>
          </w:p>
        </w:tc>
      </w:tr>
      <w:tr w:rsidR="00861B72" w14:paraId="087F0BCD" w14:textId="77777777" w:rsidTr="00861B72">
        <w:tc>
          <w:tcPr>
            <w:tcW w:w="2155" w:type="dxa"/>
          </w:tcPr>
          <w:p w14:paraId="4039FC40" w14:textId="03DB9FA3" w:rsidR="00861B72" w:rsidRPr="00861B72" w:rsidRDefault="00861B72" w:rsidP="00861B72">
            <w:pPr>
              <w:rPr>
                <w:rFonts w:ascii="Arial" w:hAnsi="Arial" w:cs="Arial"/>
                <w:b/>
                <w:bCs/>
                <w:sz w:val="24"/>
                <w:szCs w:val="24"/>
              </w:rPr>
            </w:pPr>
            <w:r w:rsidRPr="00861B72">
              <w:rPr>
                <w:rFonts w:ascii="Arial" w:hAnsi="Arial" w:cs="Arial"/>
                <w:b/>
                <w:bCs/>
                <w:sz w:val="24"/>
                <w:szCs w:val="24"/>
              </w:rPr>
              <w:t xml:space="preserve">Account 1589 </w:t>
            </w:r>
          </w:p>
        </w:tc>
        <w:tc>
          <w:tcPr>
            <w:tcW w:w="3150" w:type="dxa"/>
          </w:tcPr>
          <w:p w14:paraId="0B8EE950" w14:textId="28CE4B54" w:rsidR="00861B72" w:rsidRDefault="00861B72" w:rsidP="00861B72">
            <w:pPr>
              <w:jc w:val="center"/>
              <w:rPr>
                <w:rFonts w:ascii="Arial" w:hAnsi="Arial" w:cs="Arial"/>
                <w:sz w:val="24"/>
                <w:szCs w:val="24"/>
              </w:rPr>
            </w:pPr>
            <w:r>
              <w:rPr>
                <w:rFonts w:ascii="Arial" w:hAnsi="Arial" w:cs="Arial"/>
                <w:sz w:val="24"/>
                <w:szCs w:val="24"/>
              </w:rPr>
              <w:t>($86,592)</w:t>
            </w:r>
          </w:p>
        </w:tc>
        <w:tc>
          <w:tcPr>
            <w:tcW w:w="4045" w:type="dxa"/>
          </w:tcPr>
          <w:p w14:paraId="04994F2C" w14:textId="2739D93A" w:rsidR="00861B72" w:rsidRDefault="00861B72" w:rsidP="00861B72">
            <w:pPr>
              <w:jc w:val="center"/>
              <w:rPr>
                <w:rFonts w:ascii="Arial" w:hAnsi="Arial" w:cs="Arial"/>
                <w:sz w:val="24"/>
                <w:szCs w:val="24"/>
              </w:rPr>
            </w:pPr>
            <w:r>
              <w:rPr>
                <w:rFonts w:ascii="Arial" w:hAnsi="Arial" w:cs="Arial"/>
                <w:sz w:val="24"/>
                <w:szCs w:val="24"/>
              </w:rPr>
              <w:t>($165,515)</w:t>
            </w:r>
          </w:p>
        </w:tc>
      </w:tr>
    </w:tbl>
    <w:p w14:paraId="56515073" w14:textId="31AB40F5" w:rsidR="00861B72" w:rsidRDefault="00861B72" w:rsidP="00861B72">
      <w:pPr>
        <w:rPr>
          <w:rFonts w:ascii="Arial" w:hAnsi="Arial" w:cs="Arial"/>
          <w:sz w:val="24"/>
          <w:szCs w:val="24"/>
        </w:rPr>
      </w:pPr>
    </w:p>
    <w:p w14:paraId="11E7BA71" w14:textId="01E846D0" w:rsidR="00861B72" w:rsidRDefault="00861B72" w:rsidP="00861B72">
      <w:pPr>
        <w:rPr>
          <w:rFonts w:ascii="Arial" w:hAnsi="Arial" w:cs="Arial"/>
          <w:sz w:val="24"/>
          <w:szCs w:val="24"/>
        </w:rPr>
      </w:pPr>
    </w:p>
    <w:p w14:paraId="46F15129" w14:textId="5BA06259" w:rsidR="00861B72" w:rsidRPr="00861B72" w:rsidRDefault="00861B72" w:rsidP="00861B72">
      <w:pPr>
        <w:pStyle w:val="ListParagraph"/>
        <w:numPr>
          <w:ilvl w:val="0"/>
          <w:numId w:val="17"/>
        </w:numPr>
        <w:rPr>
          <w:rFonts w:ascii="Arial" w:hAnsi="Arial" w:cs="Arial"/>
          <w:sz w:val="24"/>
          <w:szCs w:val="24"/>
        </w:rPr>
      </w:pPr>
      <w:r>
        <w:rPr>
          <w:rFonts w:ascii="Arial" w:hAnsi="Arial" w:cs="Arial"/>
          <w:sz w:val="24"/>
          <w:szCs w:val="24"/>
        </w:rPr>
        <w:t xml:space="preserve">Please explain why the 2019 adjustments for the unbilled to actual revenue differences for both 1588 and 1589 are much higher than the 2018 adjustments. </w:t>
      </w:r>
    </w:p>
    <w:p w14:paraId="52100F8D" w14:textId="77777777" w:rsidR="002A05F1" w:rsidRDefault="002A05F1" w:rsidP="00861319">
      <w:pPr>
        <w:pStyle w:val="NoSpacing"/>
        <w:spacing w:line="276" w:lineRule="auto"/>
        <w:rPr>
          <w:rFonts w:ascii="Arial" w:hAnsi="Arial" w:cs="Arial"/>
          <w:b/>
          <w:bCs/>
          <w:sz w:val="24"/>
          <w:szCs w:val="24"/>
        </w:rPr>
      </w:pPr>
    </w:p>
    <w:p w14:paraId="7F0E7DB9" w14:textId="17311C1C" w:rsidR="00861319" w:rsidRDefault="00886D1F" w:rsidP="00861319">
      <w:pPr>
        <w:pStyle w:val="NoSpacing"/>
        <w:spacing w:line="276" w:lineRule="auto"/>
        <w:rPr>
          <w:rFonts w:ascii="Arial" w:hAnsi="Arial" w:cs="Arial"/>
          <w:b/>
          <w:bCs/>
          <w:sz w:val="24"/>
          <w:szCs w:val="24"/>
        </w:rPr>
      </w:pPr>
      <w:r>
        <w:rPr>
          <w:rFonts w:ascii="Arial" w:hAnsi="Arial" w:cs="Arial"/>
          <w:b/>
          <w:bCs/>
          <w:sz w:val="24"/>
          <w:szCs w:val="24"/>
        </w:rPr>
        <w:t xml:space="preserve">Staff Question – 7 </w:t>
      </w:r>
    </w:p>
    <w:p w14:paraId="5EB7774A" w14:textId="49898C88" w:rsidR="00886D1F" w:rsidRDefault="00886D1F" w:rsidP="00861319">
      <w:pPr>
        <w:pStyle w:val="NoSpacing"/>
        <w:spacing w:line="276" w:lineRule="auto"/>
        <w:rPr>
          <w:rFonts w:ascii="Arial" w:hAnsi="Arial" w:cs="Arial"/>
          <w:b/>
          <w:bCs/>
          <w:sz w:val="24"/>
          <w:szCs w:val="24"/>
        </w:rPr>
      </w:pPr>
      <w:r>
        <w:rPr>
          <w:rFonts w:ascii="Arial" w:hAnsi="Arial" w:cs="Arial"/>
          <w:b/>
          <w:bCs/>
          <w:sz w:val="24"/>
          <w:szCs w:val="24"/>
        </w:rPr>
        <w:t xml:space="preserve">Ref: </w:t>
      </w:r>
      <w:r>
        <w:rPr>
          <w:rFonts w:ascii="Arial" w:hAnsi="Arial" w:cs="Arial"/>
          <w:b/>
          <w:bCs/>
          <w:sz w:val="24"/>
          <w:szCs w:val="24"/>
        </w:rPr>
        <w:tab/>
        <w:t>Rate Generator Model</w:t>
      </w:r>
      <w:r w:rsidR="0031206D">
        <w:rPr>
          <w:rFonts w:ascii="Arial" w:hAnsi="Arial" w:cs="Arial"/>
          <w:b/>
          <w:bCs/>
          <w:sz w:val="24"/>
          <w:szCs w:val="24"/>
        </w:rPr>
        <w:t>,</w:t>
      </w:r>
      <w:r>
        <w:rPr>
          <w:rFonts w:ascii="Arial" w:hAnsi="Arial" w:cs="Arial"/>
          <w:b/>
          <w:bCs/>
          <w:sz w:val="24"/>
          <w:szCs w:val="24"/>
        </w:rPr>
        <w:t xml:space="preserve"> </w:t>
      </w:r>
      <w:r w:rsidR="0031206D">
        <w:rPr>
          <w:rFonts w:ascii="Arial" w:hAnsi="Arial" w:cs="Arial"/>
          <w:b/>
          <w:bCs/>
          <w:sz w:val="24"/>
          <w:szCs w:val="24"/>
        </w:rPr>
        <w:t>Tab 3 – Continuity Schedule, c</w:t>
      </w:r>
      <w:r>
        <w:rPr>
          <w:rFonts w:ascii="Arial" w:hAnsi="Arial" w:cs="Arial"/>
          <w:b/>
          <w:bCs/>
          <w:sz w:val="24"/>
          <w:szCs w:val="24"/>
        </w:rPr>
        <w:t>ells AL23 and AL25</w:t>
      </w:r>
    </w:p>
    <w:p w14:paraId="67BD2DD6" w14:textId="5F946ADE" w:rsidR="00886D1F" w:rsidRDefault="00886D1F" w:rsidP="00861319">
      <w:pPr>
        <w:pStyle w:val="NoSpacing"/>
        <w:spacing w:line="276" w:lineRule="auto"/>
        <w:rPr>
          <w:rFonts w:ascii="Arial" w:hAnsi="Arial" w:cs="Arial"/>
          <w:b/>
          <w:bCs/>
          <w:sz w:val="24"/>
          <w:szCs w:val="24"/>
        </w:rPr>
      </w:pPr>
    </w:p>
    <w:p w14:paraId="2E31D63F" w14:textId="1C95BE2E" w:rsidR="00886D1F" w:rsidRDefault="00886D1F" w:rsidP="00861319">
      <w:pPr>
        <w:pStyle w:val="NoSpacing"/>
        <w:spacing w:line="276" w:lineRule="auto"/>
        <w:rPr>
          <w:rFonts w:ascii="Arial" w:hAnsi="Arial" w:cs="Arial"/>
          <w:sz w:val="24"/>
          <w:szCs w:val="24"/>
        </w:rPr>
      </w:pPr>
      <w:r>
        <w:rPr>
          <w:rFonts w:ascii="Arial" w:hAnsi="Arial" w:cs="Arial"/>
          <w:sz w:val="24"/>
          <w:szCs w:val="24"/>
        </w:rPr>
        <w:t xml:space="preserve">The model shows a principle adjustment during 2017 of ($238,157) in Account 1580 for the RSVA – Wholesale Market Service Charge and an off-setting adjustment of $238,157 in 1580 Sub-Account 1580 Variance WMS – Sub-account CBR Class B. </w:t>
      </w:r>
    </w:p>
    <w:p w14:paraId="37AD9A24" w14:textId="77777777" w:rsidR="00886D1F" w:rsidRDefault="00886D1F" w:rsidP="00861319">
      <w:pPr>
        <w:pStyle w:val="NoSpacing"/>
        <w:spacing w:line="276" w:lineRule="auto"/>
        <w:rPr>
          <w:rFonts w:ascii="Arial" w:hAnsi="Arial" w:cs="Arial"/>
          <w:sz w:val="24"/>
          <w:szCs w:val="24"/>
        </w:rPr>
      </w:pPr>
    </w:p>
    <w:p w14:paraId="6804BD5C" w14:textId="6E5343E9" w:rsidR="0031206D" w:rsidRPr="0031206D" w:rsidRDefault="00886D1F" w:rsidP="00861319">
      <w:pPr>
        <w:pStyle w:val="NoSpacing"/>
        <w:numPr>
          <w:ilvl w:val="0"/>
          <w:numId w:val="20"/>
        </w:numPr>
        <w:spacing w:line="276" w:lineRule="auto"/>
        <w:rPr>
          <w:rFonts w:ascii="Arial" w:hAnsi="Arial" w:cs="Arial"/>
          <w:sz w:val="24"/>
          <w:szCs w:val="24"/>
        </w:rPr>
      </w:pPr>
      <w:r>
        <w:rPr>
          <w:rFonts w:ascii="Arial" w:hAnsi="Arial" w:cs="Arial"/>
          <w:sz w:val="24"/>
          <w:szCs w:val="24"/>
        </w:rPr>
        <w:t>Please explain the nature of these adjustment</w:t>
      </w:r>
      <w:r w:rsidR="00EB1652">
        <w:rPr>
          <w:rFonts w:ascii="Arial" w:hAnsi="Arial" w:cs="Arial"/>
          <w:sz w:val="24"/>
          <w:szCs w:val="24"/>
        </w:rPr>
        <w:t>s</w:t>
      </w:r>
      <w:r>
        <w:rPr>
          <w:rFonts w:ascii="Arial" w:hAnsi="Arial" w:cs="Arial"/>
          <w:sz w:val="24"/>
          <w:szCs w:val="24"/>
        </w:rPr>
        <w:t xml:space="preserve">. </w:t>
      </w:r>
    </w:p>
    <w:p w14:paraId="1B421DF2" w14:textId="77777777" w:rsidR="0031206D" w:rsidRDefault="0031206D" w:rsidP="00861319">
      <w:pPr>
        <w:pStyle w:val="NoSpacing"/>
        <w:spacing w:line="276" w:lineRule="auto"/>
        <w:rPr>
          <w:rFonts w:ascii="Arial" w:hAnsi="Arial" w:cs="Arial"/>
          <w:b/>
          <w:bCs/>
          <w:sz w:val="24"/>
          <w:szCs w:val="24"/>
        </w:rPr>
      </w:pPr>
    </w:p>
    <w:p w14:paraId="5E2BB997" w14:textId="18E16DE8" w:rsidR="00AA522C" w:rsidRDefault="00AA522C" w:rsidP="00861319">
      <w:pPr>
        <w:pStyle w:val="NoSpacing"/>
        <w:spacing w:line="276" w:lineRule="auto"/>
        <w:rPr>
          <w:rFonts w:ascii="Arial" w:hAnsi="Arial" w:cs="Arial"/>
          <w:b/>
          <w:bCs/>
          <w:sz w:val="24"/>
          <w:szCs w:val="24"/>
        </w:rPr>
      </w:pPr>
      <w:r>
        <w:rPr>
          <w:rFonts w:ascii="Arial" w:hAnsi="Arial" w:cs="Arial"/>
          <w:b/>
          <w:bCs/>
          <w:sz w:val="24"/>
          <w:szCs w:val="24"/>
        </w:rPr>
        <w:t xml:space="preserve">Staff Question – 8 </w:t>
      </w:r>
    </w:p>
    <w:p w14:paraId="4BBE5F76" w14:textId="082ADA7B" w:rsidR="00AA522C" w:rsidRDefault="00AA522C" w:rsidP="00861319">
      <w:pPr>
        <w:pStyle w:val="NoSpacing"/>
        <w:spacing w:line="276" w:lineRule="auto"/>
        <w:rPr>
          <w:rFonts w:ascii="Arial" w:hAnsi="Arial" w:cs="Arial"/>
          <w:b/>
          <w:bCs/>
          <w:sz w:val="24"/>
          <w:szCs w:val="24"/>
        </w:rPr>
      </w:pPr>
      <w:r>
        <w:rPr>
          <w:rFonts w:ascii="Arial" w:hAnsi="Arial" w:cs="Arial"/>
          <w:b/>
          <w:bCs/>
          <w:sz w:val="24"/>
          <w:szCs w:val="24"/>
        </w:rPr>
        <w:t>Ref:</w:t>
      </w:r>
      <w:r>
        <w:rPr>
          <w:rFonts w:ascii="Arial" w:hAnsi="Arial" w:cs="Arial"/>
          <w:b/>
          <w:bCs/>
          <w:sz w:val="24"/>
          <w:szCs w:val="24"/>
        </w:rPr>
        <w:tab/>
        <w:t xml:space="preserve">Rate Generator Model, </w:t>
      </w:r>
      <w:r w:rsidR="0031206D">
        <w:rPr>
          <w:rFonts w:ascii="Arial" w:hAnsi="Arial" w:cs="Arial"/>
          <w:b/>
          <w:bCs/>
          <w:sz w:val="24"/>
          <w:szCs w:val="24"/>
        </w:rPr>
        <w:t xml:space="preserve">Tab 3 – Continuity Schedule, </w:t>
      </w:r>
      <w:r>
        <w:rPr>
          <w:rFonts w:ascii="Arial" w:hAnsi="Arial" w:cs="Arial"/>
          <w:b/>
          <w:bCs/>
          <w:sz w:val="24"/>
          <w:szCs w:val="24"/>
        </w:rPr>
        <w:t>cell BE36</w:t>
      </w:r>
    </w:p>
    <w:p w14:paraId="6FCBCE31" w14:textId="1B6BFEC8" w:rsidR="00AA522C" w:rsidRDefault="00AA522C" w:rsidP="00AA522C">
      <w:pPr>
        <w:pStyle w:val="NoSpacing"/>
        <w:spacing w:line="276" w:lineRule="auto"/>
        <w:ind w:left="720"/>
        <w:rPr>
          <w:rFonts w:ascii="Arial" w:hAnsi="Arial" w:cs="Arial"/>
          <w:b/>
          <w:bCs/>
          <w:sz w:val="24"/>
          <w:szCs w:val="24"/>
        </w:rPr>
      </w:pPr>
      <w:bookmarkStart w:id="0" w:name="_Hlk52438548"/>
      <w:r w:rsidRPr="00AA522C">
        <w:rPr>
          <w:rFonts w:ascii="Arial" w:hAnsi="Arial" w:cs="Arial"/>
          <w:b/>
          <w:bCs/>
          <w:sz w:val="24"/>
          <w:szCs w:val="24"/>
        </w:rPr>
        <w:t>Whitby Hydro Electric Corporation – 2019 Rate Application</w:t>
      </w:r>
      <w:r>
        <w:rPr>
          <w:rFonts w:ascii="Arial" w:hAnsi="Arial" w:cs="Arial"/>
          <w:b/>
          <w:bCs/>
          <w:sz w:val="24"/>
          <w:szCs w:val="24"/>
        </w:rPr>
        <w:t xml:space="preserve"> </w:t>
      </w:r>
      <w:r w:rsidRPr="00AA522C">
        <w:rPr>
          <w:rFonts w:ascii="Arial" w:hAnsi="Arial" w:cs="Arial"/>
          <w:b/>
          <w:bCs/>
          <w:sz w:val="24"/>
          <w:szCs w:val="24"/>
        </w:rPr>
        <w:t>(EB- 2018-0079)</w:t>
      </w:r>
      <w:r>
        <w:rPr>
          <w:rFonts w:ascii="Arial" w:hAnsi="Arial" w:cs="Arial"/>
          <w:b/>
          <w:bCs/>
          <w:sz w:val="24"/>
          <w:szCs w:val="24"/>
        </w:rPr>
        <w:t xml:space="preserve"> </w:t>
      </w:r>
      <w:r w:rsidRPr="00AA522C">
        <w:rPr>
          <w:rFonts w:ascii="Arial" w:hAnsi="Arial" w:cs="Arial"/>
          <w:b/>
          <w:bCs/>
          <w:sz w:val="24"/>
          <w:szCs w:val="24"/>
        </w:rPr>
        <w:t>Settlement Proposal</w:t>
      </w:r>
    </w:p>
    <w:bookmarkEnd w:id="0"/>
    <w:p w14:paraId="1BA61149" w14:textId="4CF1E3CD" w:rsidR="00AA522C" w:rsidRDefault="00AA522C" w:rsidP="00861319">
      <w:pPr>
        <w:pStyle w:val="NoSpacing"/>
        <w:spacing w:line="276" w:lineRule="auto"/>
        <w:rPr>
          <w:rFonts w:ascii="Arial" w:hAnsi="Arial" w:cs="Arial"/>
          <w:b/>
          <w:bCs/>
          <w:sz w:val="24"/>
          <w:szCs w:val="24"/>
        </w:rPr>
      </w:pPr>
    </w:p>
    <w:p w14:paraId="33EF7110" w14:textId="57DC2EBD" w:rsidR="0065191D" w:rsidRDefault="00AA522C" w:rsidP="00861319">
      <w:pPr>
        <w:pStyle w:val="NoSpacing"/>
        <w:spacing w:line="276" w:lineRule="auto"/>
        <w:rPr>
          <w:rFonts w:ascii="Arial" w:hAnsi="Arial" w:cs="Arial"/>
          <w:sz w:val="24"/>
          <w:szCs w:val="24"/>
        </w:rPr>
      </w:pPr>
      <w:r>
        <w:rPr>
          <w:rFonts w:ascii="Arial" w:hAnsi="Arial" w:cs="Arial"/>
          <w:sz w:val="24"/>
          <w:szCs w:val="24"/>
        </w:rPr>
        <w:t>Cell BE36 of the Rate Generator model shows a</w:t>
      </w:r>
      <w:r w:rsidR="0065191D">
        <w:rPr>
          <w:rFonts w:ascii="Arial" w:hAnsi="Arial" w:cs="Arial"/>
          <w:sz w:val="24"/>
          <w:szCs w:val="24"/>
        </w:rPr>
        <w:t>n amount</w:t>
      </w:r>
      <w:r>
        <w:rPr>
          <w:rFonts w:ascii="Arial" w:hAnsi="Arial" w:cs="Arial"/>
          <w:sz w:val="24"/>
          <w:szCs w:val="24"/>
        </w:rPr>
        <w:t xml:space="preserve"> of ($406,958) </w:t>
      </w:r>
      <w:r w:rsidR="006D3AC0">
        <w:rPr>
          <w:rFonts w:ascii="Arial" w:hAnsi="Arial" w:cs="Arial"/>
          <w:sz w:val="24"/>
          <w:szCs w:val="24"/>
        </w:rPr>
        <w:t>for</w:t>
      </w:r>
      <w:r>
        <w:rPr>
          <w:rFonts w:ascii="Arial" w:hAnsi="Arial" w:cs="Arial"/>
          <w:sz w:val="24"/>
          <w:szCs w:val="24"/>
        </w:rPr>
        <w:t xml:space="preserve"> Account 1595(2019). </w:t>
      </w:r>
    </w:p>
    <w:p w14:paraId="0E514189" w14:textId="77777777" w:rsidR="0065191D" w:rsidRDefault="0065191D" w:rsidP="00861319">
      <w:pPr>
        <w:pStyle w:val="NoSpacing"/>
        <w:spacing w:line="276" w:lineRule="auto"/>
        <w:rPr>
          <w:rFonts w:ascii="Arial" w:hAnsi="Arial" w:cs="Arial"/>
          <w:sz w:val="24"/>
          <w:szCs w:val="24"/>
        </w:rPr>
      </w:pPr>
    </w:p>
    <w:p w14:paraId="057A7429" w14:textId="56E63AA0" w:rsidR="00AA522C" w:rsidRDefault="00AA522C" w:rsidP="00861319">
      <w:pPr>
        <w:pStyle w:val="NoSpacing"/>
        <w:spacing w:line="276" w:lineRule="auto"/>
        <w:rPr>
          <w:rFonts w:ascii="Arial" w:hAnsi="Arial" w:cs="Arial"/>
          <w:sz w:val="24"/>
          <w:szCs w:val="24"/>
        </w:rPr>
      </w:pPr>
      <w:r>
        <w:rPr>
          <w:rFonts w:ascii="Arial" w:hAnsi="Arial" w:cs="Arial"/>
          <w:sz w:val="24"/>
          <w:szCs w:val="24"/>
        </w:rPr>
        <w:t>The OEB-approved settlement proposal</w:t>
      </w:r>
      <w:r w:rsidR="006D3AC0">
        <w:rPr>
          <w:rFonts w:ascii="Arial" w:hAnsi="Arial" w:cs="Arial"/>
          <w:sz w:val="24"/>
          <w:szCs w:val="24"/>
        </w:rPr>
        <w:t xml:space="preserve"> for the 2019 rate year</w:t>
      </w:r>
      <w:r>
        <w:rPr>
          <w:rFonts w:ascii="Arial" w:hAnsi="Arial" w:cs="Arial"/>
          <w:sz w:val="24"/>
          <w:szCs w:val="24"/>
        </w:rPr>
        <w:t xml:space="preserve"> notes the following balances for disposition:</w:t>
      </w:r>
    </w:p>
    <w:p w14:paraId="76BD17D8" w14:textId="2D4F2DD4" w:rsidR="00AA522C" w:rsidRDefault="00AA522C" w:rsidP="00AA522C">
      <w:pPr>
        <w:pStyle w:val="ListParagraph"/>
        <w:numPr>
          <w:ilvl w:val="0"/>
          <w:numId w:val="22"/>
        </w:numPr>
        <w:autoSpaceDE w:val="0"/>
        <w:autoSpaceDN w:val="0"/>
        <w:adjustRightInd w:val="0"/>
        <w:spacing w:after="0" w:line="240" w:lineRule="auto"/>
        <w:rPr>
          <w:rFonts w:ascii="Arial" w:hAnsi="Arial" w:cs="Arial"/>
          <w:sz w:val="24"/>
          <w:szCs w:val="24"/>
        </w:rPr>
      </w:pPr>
      <w:r w:rsidRPr="00AA522C">
        <w:rPr>
          <w:rFonts w:ascii="Arial" w:hAnsi="Arial" w:cs="Arial"/>
          <w:sz w:val="24"/>
          <w:szCs w:val="24"/>
        </w:rPr>
        <w:t>LRAMVA debit balance of $346,347 ($336,629 in principal plus projected interest to the end of 2018)</w:t>
      </w:r>
    </w:p>
    <w:p w14:paraId="519DF382" w14:textId="6365CD92" w:rsidR="00AA522C" w:rsidRDefault="00AA522C" w:rsidP="00671A8D">
      <w:pPr>
        <w:pStyle w:val="ListParagraph"/>
        <w:numPr>
          <w:ilvl w:val="0"/>
          <w:numId w:val="22"/>
        </w:numPr>
        <w:autoSpaceDE w:val="0"/>
        <w:autoSpaceDN w:val="0"/>
        <w:adjustRightInd w:val="0"/>
        <w:spacing w:after="0" w:line="240" w:lineRule="auto"/>
        <w:rPr>
          <w:rFonts w:ascii="Arial" w:hAnsi="Arial" w:cs="Arial"/>
          <w:sz w:val="24"/>
          <w:szCs w:val="24"/>
        </w:rPr>
      </w:pPr>
      <w:r w:rsidRPr="00AA522C">
        <w:rPr>
          <w:rFonts w:ascii="Arial" w:hAnsi="Arial" w:cs="Arial"/>
          <w:sz w:val="24"/>
          <w:szCs w:val="24"/>
        </w:rPr>
        <w:lastRenderedPageBreak/>
        <w:t>Tax sharing amount of $50,174, to be refunded to rate payers and that this portion of the tax savings amount be recorded in Account 1595 for</w:t>
      </w:r>
      <w:r>
        <w:rPr>
          <w:rFonts w:ascii="Arial" w:hAnsi="Arial" w:cs="Arial"/>
          <w:sz w:val="24"/>
          <w:szCs w:val="24"/>
        </w:rPr>
        <w:t xml:space="preserve"> </w:t>
      </w:r>
      <w:r w:rsidRPr="00AA522C">
        <w:rPr>
          <w:rFonts w:ascii="Arial" w:hAnsi="Arial" w:cs="Arial"/>
          <w:sz w:val="24"/>
          <w:szCs w:val="24"/>
        </w:rPr>
        <w:t xml:space="preserve">future disposition, when </w:t>
      </w:r>
      <w:proofErr w:type="gramStart"/>
      <w:r w:rsidRPr="00AA522C">
        <w:rPr>
          <w:rFonts w:ascii="Arial" w:hAnsi="Arial" w:cs="Arial"/>
          <w:sz w:val="24"/>
          <w:szCs w:val="24"/>
        </w:rPr>
        <w:t>sufficient</w:t>
      </w:r>
      <w:proofErr w:type="gramEnd"/>
      <w:r w:rsidRPr="00AA522C">
        <w:rPr>
          <w:rFonts w:ascii="Arial" w:hAnsi="Arial" w:cs="Arial"/>
          <w:sz w:val="24"/>
          <w:szCs w:val="24"/>
        </w:rPr>
        <w:t xml:space="preserve"> balances have accumulated</w:t>
      </w:r>
    </w:p>
    <w:p w14:paraId="538C36E0" w14:textId="5E4BD625" w:rsidR="00AA522C" w:rsidRDefault="0065191D" w:rsidP="008C5DF3">
      <w:pPr>
        <w:pStyle w:val="ListParagraph"/>
        <w:numPr>
          <w:ilvl w:val="0"/>
          <w:numId w:val="22"/>
        </w:numPr>
        <w:autoSpaceDE w:val="0"/>
        <w:autoSpaceDN w:val="0"/>
        <w:adjustRightInd w:val="0"/>
        <w:spacing w:after="0" w:line="240" w:lineRule="auto"/>
        <w:rPr>
          <w:rFonts w:ascii="Arial" w:hAnsi="Arial" w:cs="Arial"/>
          <w:sz w:val="24"/>
          <w:szCs w:val="24"/>
        </w:rPr>
      </w:pPr>
      <w:r w:rsidRPr="0065191D">
        <w:rPr>
          <w:rFonts w:ascii="Arial" w:hAnsi="Arial" w:cs="Arial"/>
          <w:sz w:val="24"/>
          <w:szCs w:val="24"/>
        </w:rPr>
        <w:t>I</w:t>
      </w:r>
      <w:r w:rsidR="00AA522C" w:rsidRPr="0065191D">
        <w:rPr>
          <w:rFonts w:ascii="Arial" w:hAnsi="Arial" w:cs="Arial"/>
          <w:sz w:val="24"/>
          <w:szCs w:val="24"/>
        </w:rPr>
        <w:t>nterim disposition of the</w:t>
      </w:r>
      <w:r w:rsidRPr="0065191D">
        <w:rPr>
          <w:rFonts w:ascii="Arial" w:hAnsi="Arial" w:cs="Arial"/>
          <w:sz w:val="24"/>
          <w:szCs w:val="24"/>
        </w:rPr>
        <w:t xml:space="preserve"> </w:t>
      </w:r>
      <w:r w:rsidR="00AA522C" w:rsidRPr="0065191D">
        <w:rPr>
          <w:rFonts w:ascii="Arial" w:hAnsi="Arial" w:cs="Arial"/>
          <w:sz w:val="24"/>
          <w:szCs w:val="24"/>
        </w:rPr>
        <w:t xml:space="preserve">portion of the Account 1589 Global </w:t>
      </w:r>
      <w:r w:rsidRPr="0065191D">
        <w:rPr>
          <w:rFonts w:ascii="Arial" w:hAnsi="Arial" w:cs="Arial"/>
          <w:sz w:val="24"/>
          <w:szCs w:val="24"/>
        </w:rPr>
        <w:t>Adjustment</w:t>
      </w:r>
      <w:r w:rsidR="00AA522C" w:rsidRPr="0065191D">
        <w:rPr>
          <w:rFonts w:ascii="Arial" w:hAnsi="Arial" w:cs="Arial"/>
          <w:sz w:val="24"/>
          <w:szCs w:val="24"/>
        </w:rPr>
        <w:t xml:space="preserve"> balance related to the specific customers that</w:t>
      </w:r>
      <w:r>
        <w:rPr>
          <w:rFonts w:ascii="Arial" w:hAnsi="Arial" w:cs="Arial"/>
          <w:sz w:val="24"/>
          <w:szCs w:val="24"/>
        </w:rPr>
        <w:t xml:space="preserve"> </w:t>
      </w:r>
      <w:r w:rsidR="00AA522C" w:rsidRPr="0065191D">
        <w:rPr>
          <w:rFonts w:ascii="Arial" w:hAnsi="Arial" w:cs="Arial"/>
          <w:sz w:val="24"/>
          <w:szCs w:val="24"/>
        </w:rPr>
        <w:t>transitioned from Class B to Class A on July 1, 2017</w:t>
      </w:r>
      <w:r>
        <w:rPr>
          <w:rFonts w:ascii="Arial" w:hAnsi="Arial" w:cs="Arial"/>
          <w:sz w:val="24"/>
          <w:szCs w:val="24"/>
        </w:rPr>
        <w:t xml:space="preserve"> in the amount of </w:t>
      </w:r>
      <w:r w:rsidR="00AA522C" w:rsidRPr="0065191D">
        <w:rPr>
          <w:rFonts w:ascii="Arial" w:hAnsi="Arial" w:cs="Arial"/>
          <w:sz w:val="24"/>
          <w:szCs w:val="24"/>
        </w:rPr>
        <w:t>$70,331</w:t>
      </w:r>
    </w:p>
    <w:p w14:paraId="1E633E2F" w14:textId="7EB3318A" w:rsidR="0065191D" w:rsidRDefault="0065191D" w:rsidP="0065191D">
      <w:pPr>
        <w:autoSpaceDE w:val="0"/>
        <w:autoSpaceDN w:val="0"/>
        <w:adjustRightInd w:val="0"/>
        <w:spacing w:after="0" w:line="240" w:lineRule="auto"/>
        <w:rPr>
          <w:rFonts w:ascii="Arial" w:hAnsi="Arial" w:cs="Arial"/>
          <w:sz w:val="24"/>
          <w:szCs w:val="24"/>
        </w:rPr>
      </w:pPr>
    </w:p>
    <w:p w14:paraId="2797E5AF" w14:textId="22203E7A" w:rsidR="00E6669A" w:rsidRPr="00E6669A" w:rsidRDefault="0065191D" w:rsidP="00E6669A">
      <w:pPr>
        <w:pStyle w:val="ListParagraph"/>
        <w:numPr>
          <w:ilvl w:val="0"/>
          <w:numId w:val="23"/>
        </w:numPr>
        <w:autoSpaceDE w:val="0"/>
        <w:autoSpaceDN w:val="0"/>
        <w:adjustRightInd w:val="0"/>
        <w:spacing w:after="0" w:line="240" w:lineRule="auto"/>
        <w:rPr>
          <w:rFonts w:ascii="Arial" w:hAnsi="Arial" w:cs="Arial"/>
          <w:sz w:val="24"/>
          <w:szCs w:val="24"/>
        </w:rPr>
      </w:pPr>
      <w:r>
        <w:rPr>
          <w:rFonts w:ascii="Arial" w:hAnsi="Arial" w:cs="Arial"/>
          <w:sz w:val="24"/>
          <w:szCs w:val="24"/>
        </w:rPr>
        <w:t>Please reconcile the amount transferred into Account 1595(2019) with the items approved for disposition as part of the settlement proposal (EB-2018-0079)</w:t>
      </w:r>
      <w:r w:rsidR="00E6669A">
        <w:rPr>
          <w:rFonts w:ascii="Arial" w:hAnsi="Arial" w:cs="Arial"/>
          <w:sz w:val="24"/>
          <w:szCs w:val="24"/>
        </w:rPr>
        <w:t xml:space="preserve"> and update the Rate Generator model</w:t>
      </w:r>
      <w:r w:rsidR="00EB1652">
        <w:rPr>
          <w:rFonts w:ascii="Arial" w:hAnsi="Arial" w:cs="Arial"/>
          <w:sz w:val="24"/>
          <w:szCs w:val="24"/>
        </w:rPr>
        <w:t>,</w:t>
      </w:r>
      <w:r w:rsidR="00E6669A">
        <w:rPr>
          <w:rFonts w:ascii="Arial" w:hAnsi="Arial" w:cs="Arial"/>
          <w:sz w:val="24"/>
          <w:szCs w:val="24"/>
        </w:rPr>
        <w:t xml:space="preserve"> if necessary.</w:t>
      </w:r>
    </w:p>
    <w:p w14:paraId="300A9467" w14:textId="77777777" w:rsidR="0031206D" w:rsidRDefault="0031206D" w:rsidP="00861319">
      <w:pPr>
        <w:pStyle w:val="NoSpacing"/>
        <w:spacing w:line="276" w:lineRule="auto"/>
        <w:rPr>
          <w:rFonts w:ascii="Arial" w:hAnsi="Arial" w:cs="Arial"/>
          <w:b/>
          <w:bCs/>
          <w:sz w:val="24"/>
          <w:szCs w:val="24"/>
        </w:rPr>
      </w:pPr>
    </w:p>
    <w:p w14:paraId="26EC1594" w14:textId="2B361031" w:rsidR="0031206D" w:rsidRDefault="0031206D" w:rsidP="00861319">
      <w:pPr>
        <w:pStyle w:val="NoSpacing"/>
        <w:spacing w:line="276" w:lineRule="auto"/>
        <w:rPr>
          <w:rFonts w:ascii="Arial" w:hAnsi="Arial" w:cs="Arial"/>
          <w:b/>
          <w:bCs/>
          <w:sz w:val="24"/>
          <w:szCs w:val="24"/>
        </w:rPr>
      </w:pPr>
      <w:r>
        <w:rPr>
          <w:rFonts w:ascii="Arial" w:hAnsi="Arial" w:cs="Arial"/>
          <w:b/>
          <w:bCs/>
          <w:sz w:val="24"/>
          <w:szCs w:val="24"/>
        </w:rPr>
        <w:t xml:space="preserve">Staff Question – 9 </w:t>
      </w:r>
    </w:p>
    <w:p w14:paraId="487D993A" w14:textId="448DD114" w:rsidR="0031206D" w:rsidRDefault="0031206D" w:rsidP="00861319">
      <w:pPr>
        <w:pStyle w:val="NoSpacing"/>
        <w:spacing w:line="276" w:lineRule="auto"/>
        <w:rPr>
          <w:rFonts w:ascii="Arial" w:hAnsi="Arial" w:cs="Arial"/>
          <w:b/>
          <w:bCs/>
          <w:sz w:val="24"/>
          <w:szCs w:val="24"/>
        </w:rPr>
      </w:pPr>
      <w:r>
        <w:rPr>
          <w:rFonts w:ascii="Arial" w:hAnsi="Arial" w:cs="Arial"/>
          <w:b/>
          <w:bCs/>
          <w:sz w:val="24"/>
          <w:szCs w:val="24"/>
        </w:rPr>
        <w:t>Ref:</w:t>
      </w:r>
      <w:r>
        <w:rPr>
          <w:rFonts w:ascii="Arial" w:hAnsi="Arial" w:cs="Arial"/>
          <w:b/>
          <w:bCs/>
          <w:sz w:val="24"/>
          <w:szCs w:val="24"/>
        </w:rPr>
        <w:tab/>
        <w:t>Rate Generator Model, Tab 6.</w:t>
      </w:r>
      <w:r w:rsidR="001E3F68">
        <w:rPr>
          <w:rFonts w:ascii="Arial" w:hAnsi="Arial" w:cs="Arial"/>
          <w:b/>
          <w:bCs/>
          <w:sz w:val="24"/>
          <w:szCs w:val="24"/>
        </w:rPr>
        <w:t xml:space="preserve">2a CBR </w:t>
      </w:r>
      <w:proofErr w:type="spellStart"/>
      <w:r w:rsidR="001E3F68">
        <w:rPr>
          <w:rFonts w:ascii="Arial" w:hAnsi="Arial" w:cs="Arial"/>
          <w:b/>
          <w:bCs/>
          <w:sz w:val="24"/>
          <w:szCs w:val="24"/>
        </w:rPr>
        <w:t>B_</w:t>
      </w:r>
      <w:r>
        <w:rPr>
          <w:rFonts w:ascii="Arial" w:hAnsi="Arial" w:cs="Arial"/>
          <w:b/>
          <w:bCs/>
          <w:sz w:val="24"/>
          <w:szCs w:val="24"/>
        </w:rPr>
        <w:t>Allocation</w:t>
      </w:r>
      <w:proofErr w:type="spellEnd"/>
      <w:r>
        <w:rPr>
          <w:rFonts w:ascii="Arial" w:hAnsi="Arial" w:cs="Arial"/>
          <w:b/>
          <w:bCs/>
          <w:sz w:val="24"/>
          <w:szCs w:val="24"/>
        </w:rPr>
        <w:t xml:space="preserve">, </w:t>
      </w:r>
    </w:p>
    <w:p w14:paraId="5CD05886" w14:textId="4AFA3F5E" w:rsidR="0031206D" w:rsidRDefault="0031206D" w:rsidP="0031206D">
      <w:pPr>
        <w:pStyle w:val="NoSpacing"/>
        <w:spacing w:line="276" w:lineRule="auto"/>
        <w:ind w:left="720"/>
        <w:rPr>
          <w:rFonts w:ascii="Arial" w:hAnsi="Arial" w:cs="Arial"/>
          <w:b/>
          <w:bCs/>
          <w:sz w:val="24"/>
          <w:szCs w:val="24"/>
        </w:rPr>
      </w:pPr>
      <w:r>
        <w:rPr>
          <w:rFonts w:ascii="Arial" w:hAnsi="Arial" w:cs="Arial"/>
          <w:b/>
          <w:bCs/>
          <w:sz w:val="24"/>
          <w:szCs w:val="24"/>
        </w:rPr>
        <w:t>Manager’s Summary, p. 14</w:t>
      </w:r>
    </w:p>
    <w:p w14:paraId="3A2EEE74" w14:textId="626521D8" w:rsidR="0031206D" w:rsidRDefault="0031206D" w:rsidP="0031206D">
      <w:pPr>
        <w:pStyle w:val="NoSpacing"/>
        <w:spacing w:line="276" w:lineRule="auto"/>
        <w:ind w:left="720"/>
        <w:rPr>
          <w:rFonts w:ascii="Arial" w:hAnsi="Arial" w:cs="Arial"/>
          <w:b/>
          <w:bCs/>
          <w:sz w:val="24"/>
          <w:szCs w:val="24"/>
        </w:rPr>
      </w:pPr>
      <w:r w:rsidRPr="00AA522C">
        <w:rPr>
          <w:rFonts w:ascii="Arial" w:hAnsi="Arial" w:cs="Arial"/>
          <w:b/>
          <w:bCs/>
          <w:sz w:val="24"/>
          <w:szCs w:val="24"/>
        </w:rPr>
        <w:t>Whitby Hydro Electric Corporation – 2019 Rate Application</w:t>
      </w:r>
      <w:r>
        <w:rPr>
          <w:rFonts w:ascii="Arial" w:hAnsi="Arial" w:cs="Arial"/>
          <w:b/>
          <w:bCs/>
          <w:sz w:val="24"/>
          <w:szCs w:val="24"/>
        </w:rPr>
        <w:t xml:space="preserve"> </w:t>
      </w:r>
      <w:r w:rsidRPr="00AA522C">
        <w:rPr>
          <w:rFonts w:ascii="Arial" w:hAnsi="Arial" w:cs="Arial"/>
          <w:b/>
          <w:bCs/>
          <w:sz w:val="24"/>
          <w:szCs w:val="24"/>
        </w:rPr>
        <w:t>(EB- 2018-0079)</w:t>
      </w:r>
      <w:r>
        <w:rPr>
          <w:rFonts w:ascii="Arial" w:hAnsi="Arial" w:cs="Arial"/>
          <w:b/>
          <w:bCs/>
          <w:sz w:val="24"/>
          <w:szCs w:val="24"/>
        </w:rPr>
        <w:t xml:space="preserve"> </w:t>
      </w:r>
      <w:r w:rsidRPr="00AA522C">
        <w:rPr>
          <w:rFonts w:ascii="Arial" w:hAnsi="Arial" w:cs="Arial"/>
          <w:b/>
          <w:bCs/>
          <w:sz w:val="24"/>
          <w:szCs w:val="24"/>
        </w:rPr>
        <w:t>Settlement Proposal</w:t>
      </w:r>
    </w:p>
    <w:p w14:paraId="55EF15E2" w14:textId="01D7B331" w:rsidR="000E0C17" w:rsidRDefault="000E0C17" w:rsidP="000E0C17">
      <w:pPr>
        <w:pStyle w:val="NoSpacing"/>
        <w:spacing w:line="276" w:lineRule="auto"/>
        <w:rPr>
          <w:rFonts w:ascii="Arial" w:hAnsi="Arial" w:cs="Arial"/>
          <w:b/>
          <w:bCs/>
          <w:sz w:val="24"/>
          <w:szCs w:val="24"/>
        </w:rPr>
      </w:pPr>
    </w:p>
    <w:p w14:paraId="1882A92C" w14:textId="77777777" w:rsidR="00E669AA" w:rsidRDefault="00E669AA" w:rsidP="001E3F68">
      <w:pPr>
        <w:pStyle w:val="NoSpacing"/>
        <w:spacing w:line="276" w:lineRule="auto"/>
        <w:rPr>
          <w:rFonts w:ascii="Arial" w:hAnsi="Arial" w:cs="Arial"/>
          <w:sz w:val="24"/>
          <w:szCs w:val="24"/>
        </w:rPr>
      </w:pPr>
      <w:r>
        <w:rPr>
          <w:rFonts w:ascii="Arial" w:hAnsi="Arial" w:cs="Arial"/>
          <w:sz w:val="24"/>
          <w:szCs w:val="24"/>
        </w:rPr>
        <w:t xml:space="preserve">On p. 14, </w:t>
      </w:r>
      <w:proofErr w:type="spellStart"/>
      <w:r>
        <w:rPr>
          <w:rFonts w:ascii="Arial" w:hAnsi="Arial" w:cs="Arial"/>
          <w:sz w:val="24"/>
          <w:szCs w:val="24"/>
        </w:rPr>
        <w:t>Elexicon</w:t>
      </w:r>
      <w:proofErr w:type="spellEnd"/>
      <w:r>
        <w:rPr>
          <w:rFonts w:ascii="Arial" w:hAnsi="Arial" w:cs="Arial"/>
          <w:sz w:val="24"/>
          <w:szCs w:val="24"/>
        </w:rPr>
        <w:t>-Whitby noted that it r</w:t>
      </w:r>
      <w:r w:rsidR="001E3F68" w:rsidRPr="001E3F68">
        <w:rPr>
          <w:rFonts w:ascii="Arial" w:hAnsi="Arial" w:cs="Arial"/>
          <w:sz w:val="24"/>
          <w:szCs w:val="24"/>
        </w:rPr>
        <w:t>equested and</w:t>
      </w:r>
      <w:r>
        <w:rPr>
          <w:rFonts w:ascii="Arial" w:hAnsi="Arial" w:cs="Arial"/>
          <w:sz w:val="24"/>
          <w:szCs w:val="24"/>
        </w:rPr>
        <w:t xml:space="preserve"> </w:t>
      </w:r>
      <w:r w:rsidR="001E3F68" w:rsidRPr="001E3F68">
        <w:rPr>
          <w:rFonts w:ascii="Arial" w:hAnsi="Arial" w:cs="Arial"/>
          <w:sz w:val="24"/>
          <w:szCs w:val="24"/>
        </w:rPr>
        <w:t>received approval to dispose of the share of the 2017 GA balance relating to those customers who had</w:t>
      </w:r>
      <w:r>
        <w:rPr>
          <w:rFonts w:ascii="Arial" w:hAnsi="Arial" w:cs="Arial"/>
          <w:sz w:val="24"/>
          <w:szCs w:val="24"/>
        </w:rPr>
        <w:t xml:space="preserve"> </w:t>
      </w:r>
      <w:r w:rsidR="001E3F68" w:rsidRPr="001E3F68">
        <w:rPr>
          <w:rFonts w:ascii="Arial" w:hAnsi="Arial" w:cs="Arial"/>
          <w:sz w:val="24"/>
          <w:szCs w:val="24"/>
        </w:rPr>
        <w:t>transitioned from Class B to Class A in 2017.</w:t>
      </w:r>
    </w:p>
    <w:p w14:paraId="1F1C3CD0" w14:textId="77777777" w:rsidR="00E669AA" w:rsidRDefault="00E669AA" w:rsidP="001E3F68">
      <w:pPr>
        <w:pStyle w:val="NoSpacing"/>
        <w:spacing w:line="276" w:lineRule="auto"/>
        <w:rPr>
          <w:rFonts w:ascii="Arial" w:hAnsi="Arial" w:cs="Arial"/>
          <w:sz w:val="24"/>
          <w:szCs w:val="24"/>
        </w:rPr>
      </w:pPr>
    </w:p>
    <w:p w14:paraId="4B02114D" w14:textId="06AC2F04" w:rsidR="000E0C17" w:rsidRPr="000E0C17" w:rsidRDefault="000E0C17" w:rsidP="001E3F68">
      <w:pPr>
        <w:pStyle w:val="NoSpacing"/>
        <w:spacing w:line="276" w:lineRule="auto"/>
        <w:rPr>
          <w:rFonts w:ascii="Arial" w:hAnsi="Arial" w:cs="Arial"/>
          <w:sz w:val="24"/>
          <w:szCs w:val="24"/>
        </w:rPr>
      </w:pPr>
      <w:r w:rsidRPr="000E0C17">
        <w:rPr>
          <w:rFonts w:ascii="Arial" w:hAnsi="Arial" w:cs="Arial"/>
          <w:sz w:val="24"/>
          <w:szCs w:val="24"/>
        </w:rPr>
        <w:t xml:space="preserve">On </w:t>
      </w:r>
      <w:r>
        <w:rPr>
          <w:rFonts w:ascii="Arial" w:hAnsi="Arial" w:cs="Arial"/>
          <w:sz w:val="24"/>
          <w:szCs w:val="24"/>
        </w:rPr>
        <w:t>p. 1</w:t>
      </w:r>
      <w:r w:rsidR="00E669AA">
        <w:rPr>
          <w:rFonts w:ascii="Arial" w:hAnsi="Arial" w:cs="Arial"/>
          <w:sz w:val="24"/>
          <w:szCs w:val="24"/>
        </w:rPr>
        <w:t>5</w:t>
      </w:r>
      <w:r>
        <w:rPr>
          <w:rFonts w:ascii="Arial" w:hAnsi="Arial" w:cs="Arial"/>
          <w:sz w:val="24"/>
          <w:szCs w:val="24"/>
        </w:rPr>
        <w:t xml:space="preserve"> of the Manager’s Summary, </w:t>
      </w:r>
      <w:proofErr w:type="spellStart"/>
      <w:r>
        <w:rPr>
          <w:rFonts w:ascii="Arial" w:hAnsi="Arial" w:cs="Arial"/>
          <w:sz w:val="24"/>
          <w:szCs w:val="24"/>
        </w:rPr>
        <w:t>Elexicon</w:t>
      </w:r>
      <w:proofErr w:type="spellEnd"/>
      <w:r>
        <w:rPr>
          <w:rFonts w:ascii="Arial" w:hAnsi="Arial" w:cs="Arial"/>
          <w:sz w:val="24"/>
          <w:szCs w:val="24"/>
        </w:rPr>
        <w:t>-Whitby noted that it adjusted its rate generator model as follows:</w:t>
      </w:r>
    </w:p>
    <w:p w14:paraId="0FB730CC" w14:textId="77777777" w:rsidR="000E0C17" w:rsidRDefault="000E0C17" w:rsidP="000E0C17">
      <w:pPr>
        <w:pStyle w:val="NoSpacing"/>
        <w:spacing w:line="276" w:lineRule="auto"/>
        <w:ind w:left="720"/>
        <w:rPr>
          <w:rFonts w:ascii="Arial" w:hAnsi="Arial" w:cs="Arial"/>
          <w:sz w:val="24"/>
          <w:szCs w:val="24"/>
        </w:rPr>
      </w:pPr>
    </w:p>
    <w:p w14:paraId="1AED126D" w14:textId="27614F6D" w:rsidR="000E0C17" w:rsidRPr="001E3F68" w:rsidRDefault="000E0C17" w:rsidP="001E3F68">
      <w:pPr>
        <w:autoSpaceDE w:val="0"/>
        <w:autoSpaceDN w:val="0"/>
        <w:adjustRightInd w:val="0"/>
        <w:spacing w:after="0" w:line="240" w:lineRule="auto"/>
        <w:ind w:left="720"/>
        <w:rPr>
          <w:rFonts w:ascii="Arial" w:hAnsi="Arial" w:cs="Arial"/>
          <w:sz w:val="24"/>
          <w:szCs w:val="24"/>
        </w:rPr>
      </w:pPr>
      <w:r w:rsidRPr="001E3F68">
        <w:rPr>
          <w:rFonts w:ascii="Arial" w:hAnsi="Arial" w:cs="Arial"/>
          <w:sz w:val="24"/>
          <w:szCs w:val="24"/>
        </w:rPr>
        <w:t>The eleven customers who transitioned from Class B to Class A in 2017 were reviewed to determine if they remained as Class A customers during the 2018 and 2019 periods.</w:t>
      </w:r>
    </w:p>
    <w:p w14:paraId="51F23A81" w14:textId="77777777" w:rsidR="001E3F68" w:rsidRPr="001E3F68" w:rsidRDefault="001E3F68" w:rsidP="001E3F68">
      <w:pPr>
        <w:autoSpaceDE w:val="0"/>
        <w:autoSpaceDN w:val="0"/>
        <w:adjustRightInd w:val="0"/>
        <w:spacing w:after="0" w:line="240" w:lineRule="auto"/>
        <w:ind w:left="720"/>
        <w:rPr>
          <w:rFonts w:ascii="Arial" w:hAnsi="Arial" w:cs="Arial"/>
          <w:sz w:val="24"/>
          <w:szCs w:val="24"/>
        </w:rPr>
      </w:pPr>
    </w:p>
    <w:p w14:paraId="5E343A87" w14:textId="4A4935D2" w:rsidR="000E0C17" w:rsidRDefault="000E0C17" w:rsidP="008B6FEC">
      <w:pPr>
        <w:pStyle w:val="ListParagraph"/>
        <w:numPr>
          <w:ilvl w:val="0"/>
          <w:numId w:val="25"/>
        </w:numPr>
        <w:autoSpaceDE w:val="0"/>
        <w:autoSpaceDN w:val="0"/>
        <w:adjustRightInd w:val="0"/>
        <w:spacing w:after="0" w:line="240" w:lineRule="auto"/>
        <w:ind w:left="1440"/>
        <w:rPr>
          <w:rFonts w:ascii="Arial" w:hAnsi="Arial" w:cs="Arial"/>
          <w:sz w:val="24"/>
          <w:szCs w:val="24"/>
        </w:rPr>
      </w:pPr>
      <w:r w:rsidRPr="001E3F68">
        <w:rPr>
          <w:rFonts w:ascii="Arial" w:hAnsi="Arial" w:cs="Arial"/>
          <w:sz w:val="24"/>
          <w:szCs w:val="24"/>
        </w:rPr>
        <w:t>The ten customers who remained Class A up to the end of 2019, were not included in section 3a of Tab 6. Class A Consumption Data of the rate generator model. For section 3b, their full year consumption and demand was included in 2017 (as well as the 2018 and 2019 years).</w:t>
      </w:r>
    </w:p>
    <w:p w14:paraId="75A284E4" w14:textId="77777777" w:rsidR="001E3F68" w:rsidRPr="001E3F68" w:rsidRDefault="001E3F68" w:rsidP="001E3F68">
      <w:pPr>
        <w:pStyle w:val="ListParagraph"/>
        <w:autoSpaceDE w:val="0"/>
        <w:autoSpaceDN w:val="0"/>
        <w:adjustRightInd w:val="0"/>
        <w:spacing w:after="0" w:line="240" w:lineRule="auto"/>
        <w:ind w:left="1440"/>
        <w:rPr>
          <w:rFonts w:ascii="Arial" w:hAnsi="Arial" w:cs="Arial"/>
          <w:sz w:val="24"/>
          <w:szCs w:val="24"/>
        </w:rPr>
      </w:pPr>
    </w:p>
    <w:p w14:paraId="5932C1FD" w14:textId="63B543A5" w:rsidR="001E3F68" w:rsidRPr="001E3F68" w:rsidRDefault="000E0C17" w:rsidP="001E3F68">
      <w:pPr>
        <w:pStyle w:val="ListParagraph"/>
        <w:numPr>
          <w:ilvl w:val="0"/>
          <w:numId w:val="24"/>
        </w:numPr>
        <w:autoSpaceDE w:val="0"/>
        <w:autoSpaceDN w:val="0"/>
        <w:adjustRightInd w:val="0"/>
        <w:spacing w:after="0" w:line="240" w:lineRule="auto"/>
        <w:ind w:left="1440"/>
        <w:rPr>
          <w:rFonts w:ascii="Arial" w:hAnsi="Arial" w:cs="Arial"/>
          <w:sz w:val="24"/>
          <w:szCs w:val="24"/>
        </w:rPr>
      </w:pPr>
      <w:r w:rsidRPr="001E3F68">
        <w:rPr>
          <w:rFonts w:ascii="Arial" w:hAnsi="Arial" w:cs="Arial"/>
          <w:sz w:val="24"/>
          <w:szCs w:val="24"/>
        </w:rPr>
        <w:t xml:space="preserve">There was one customer who transitioned to Class A in </w:t>
      </w:r>
      <w:r w:rsidR="001E3F68" w:rsidRPr="001E3F68">
        <w:rPr>
          <w:rFonts w:ascii="Arial" w:hAnsi="Arial" w:cs="Arial"/>
          <w:sz w:val="24"/>
          <w:szCs w:val="24"/>
        </w:rPr>
        <w:t>2017 but</w:t>
      </w:r>
      <w:r w:rsidRPr="001E3F68">
        <w:rPr>
          <w:rFonts w:ascii="Arial" w:hAnsi="Arial" w:cs="Arial"/>
          <w:sz w:val="24"/>
          <w:szCs w:val="24"/>
        </w:rPr>
        <w:t xml:space="preserve"> shifted back to Class B in 2018. This customer (Customer 7) was included in section 3a of Tab 6 of the rate generator model. However, for 2017 they were identified as Class A for the full year to</w:t>
      </w:r>
      <w:r w:rsidR="001E3F68" w:rsidRPr="001E3F68">
        <w:rPr>
          <w:rFonts w:ascii="Arial" w:hAnsi="Arial" w:cs="Arial"/>
          <w:sz w:val="24"/>
          <w:szCs w:val="24"/>
        </w:rPr>
        <w:t xml:space="preserve"> </w:t>
      </w:r>
      <w:r w:rsidRPr="001E3F68">
        <w:rPr>
          <w:rFonts w:ascii="Arial" w:hAnsi="Arial" w:cs="Arial"/>
          <w:sz w:val="24"/>
          <w:szCs w:val="24"/>
        </w:rPr>
        <w:t>avoid any duplication of costs being assigned to them for their 2017 consumption. For</w:t>
      </w:r>
      <w:r w:rsidR="001E3F68">
        <w:rPr>
          <w:rFonts w:ascii="Arial" w:hAnsi="Arial" w:cs="Arial"/>
          <w:sz w:val="24"/>
          <w:szCs w:val="24"/>
        </w:rPr>
        <w:t xml:space="preserve"> </w:t>
      </w:r>
      <w:r w:rsidRPr="001E3F68">
        <w:rPr>
          <w:rFonts w:ascii="Arial" w:hAnsi="Arial" w:cs="Arial"/>
          <w:sz w:val="24"/>
          <w:szCs w:val="24"/>
        </w:rPr>
        <w:t>section 3b, their full year consumption and demand was included in 2017.</w:t>
      </w:r>
    </w:p>
    <w:p w14:paraId="7C7DEFDD" w14:textId="16945CA3" w:rsidR="001E3F68" w:rsidRDefault="001E3F68" w:rsidP="001E3F68">
      <w:pPr>
        <w:autoSpaceDE w:val="0"/>
        <w:autoSpaceDN w:val="0"/>
        <w:adjustRightInd w:val="0"/>
        <w:spacing w:after="0" w:line="240" w:lineRule="auto"/>
        <w:rPr>
          <w:rFonts w:ascii="Arial" w:hAnsi="Arial" w:cs="Arial"/>
          <w:sz w:val="24"/>
          <w:szCs w:val="24"/>
        </w:rPr>
      </w:pPr>
    </w:p>
    <w:p w14:paraId="0EBC025B" w14:textId="34B74907" w:rsidR="00E669AA" w:rsidRDefault="00E669AA" w:rsidP="00E669AA">
      <w:pPr>
        <w:autoSpaceDE w:val="0"/>
        <w:autoSpaceDN w:val="0"/>
        <w:adjustRightInd w:val="0"/>
        <w:spacing w:after="0" w:line="240" w:lineRule="auto"/>
        <w:rPr>
          <w:rFonts w:ascii="Arial" w:hAnsi="Arial" w:cs="Arial"/>
          <w:sz w:val="24"/>
          <w:szCs w:val="24"/>
        </w:rPr>
      </w:pPr>
      <w:r w:rsidRPr="00E669AA">
        <w:rPr>
          <w:rFonts w:ascii="Arial" w:hAnsi="Arial" w:cs="Arial"/>
          <w:sz w:val="24"/>
          <w:szCs w:val="24"/>
        </w:rPr>
        <w:t>OEB staff notes Tab 6.2a of the Rate Generator model calculates the customer-specific CBR Class B for transitioning customers based on the consumption information provided in tab 6 – Class A Consumption Data</w:t>
      </w:r>
      <w:r>
        <w:rPr>
          <w:rFonts w:ascii="Arial" w:hAnsi="Arial" w:cs="Arial"/>
          <w:sz w:val="24"/>
          <w:szCs w:val="24"/>
        </w:rPr>
        <w:t xml:space="preserve">. The Rate Generator shows a </w:t>
      </w:r>
      <w:r w:rsidR="009C3AD5">
        <w:rPr>
          <w:rFonts w:ascii="Arial" w:hAnsi="Arial" w:cs="Arial"/>
          <w:sz w:val="24"/>
          <w:szCs w:val="24"/>
        </w:rPr>
        <w:t xml:space="preserve">Class B </w:t>
      </w:r>
      <w:r>
        <w:rPr>
          <w:rFonts w:ascii="Arial" w:hAnsi="Arial" w:cs="Arial"/>
          <w:sz w:val="24"/>
          <w:szCs w:val="24"/>
        </w:rPr>
        <w:t xml:space="preserve">consumption </w:t>
      </w:r>
      <w:r w:rsidR="009C3AD5">
        <w:rPr>
          <w:rFonts w:ascii="Arial" w:hAnsi="Arial" w:cs="Arial"/>
          <w:sz w:val="24"/>
          <w:szCs w:val="24"/>
        </w:rPr>
        <w:t xml:space="preserve">data </w:t>
      </w:r>
      <w:r>
        <w:rPr>
          <w:rFonts w:ascii="Arial" w:hAnsi="Arial" w:cs="Arial"/>
          <w:sz w:val="24"/>
          <w:szCs w:val="24"/>
        </w:rPr>
        <w:t>of 10,112,630 (cellF23)</w:t>
      </w:r>
      <w:r w:rsidR="009C3AD5">
        <w:rPr>
          <w:rFonts w:ascii="Arial" w:hAnsi="Arial" w:cs="Arial"/>
          <w:sz w:val="24"/>
          <w:szCs w:val="24"/>
        </w:rPr>
        <w:t xml:space="preserve"> for all Class B customers in 2017</w:t>
      </w:r>
      <w:r>
        <w:rPr>
          <w:rFonts w:ascii="Arial" w:hAnsi="Arial" w:cs="Arial"/>
          <w:sz w:val="24"/>
          <w:szCs w:val="24"/>
        </w:rPr>
        <w:t xml:space="preserve">. </w:t>
      </w:r>
    </w:p>
    <w:p w14:paraId="767959B2" w14:textId="77777777" w:rsidR="009C3AD5" w:rsidRDefault="009C3AD5" w:rsidP="00E669AA">
      <w:pPr>
        <w:autoSpaceDE w:val="0"/>
        <w:autoSpaceDN w:val="0"/>
        <w:adjustRightInd w:val="0"/>
        <w:spacing w:after="0" w:line="240" w:lineRule="auto"/>
        <w:rPr>
          <w:rFonts w:ascii="Arial" w:hAnsi="Arial" w:cs="Arial"/>
          <w:sz w:val="24"/>
          <w:szCs w:val="24"/>
        </w:rPr>
      </w:pPr>
    </w:p>
    <w:p w14:paraId="34D8A71A" w14:textId="64FC64E9" w:rsidR="00413BC9" w:rsidRDefault="00413BC9" w:rsidP="00E669AA">
      <w:pPr>
        <w:pStyle w:val="ListParagraph"/>
        <w:numPr>
          <w:ilvl w:val="0"/>
          <w:numId w:val="27"/>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w:t>
      </w:r>
      <w:r w:rsidR="00E669AA">
        <w:rPr>
          <w:rFonts w:ascii="Arial" w:hAnsi="Arial" w:cs="Arial"/>
          <w:sz w:val="24"/>
          <w:szCs w:val="24"/>
        </w:rPr>
        <w:t xml:space="preserve">that </w:t>
      </w:r>
      <w:proofErr w:type="spellStart"/>
      <w:r w:rsidR="00E669AA">
        <w:rPr>
          <w:rFonts w:ascii="Arial" w:hAnsi="Arial" w:cs="Arial"/>
          <w:sz w:val="24"/>
          <w:szCs w:val="24"/>
        </w:rPr>
        <w:t>Elexicon</w:t>
      </w:r>
      <w:proofErr w:type="spellEnd"/>
      <w:r w:rsidR="00E669AA">
        <w:rPr>
          <w:rFonts w:ascii="Arial" w:hAnsi="Arial" w:cs="Arial"/>
          <w:sz w:val="24"/>
          <w:szCs w:val="24"/>
        </w:rPr>
        <w:t xml:space="preserve"> </w:t>
      </w:r>
      <w:r w:rsidR="009C3AD5">
        <w:rPr>
          <w:rFonts w:ascii="Arial" w:hAnsi="Arial" w:cs="Arial"/>
          <w:sz w:val="24"/>
          <w:szCs w:val="24"/>
        </w:rPr>
        <w:t xml:space="preserve">addressed transitioning </w:t>
      </w:r>
      <w:r w:rsidR="00A9490B">
        <w:rPr>
          <w:rFonts w:ascii="Arial" w:hAnsi="Arial" w:cs="Arial"/>
          <w:sz w:val="24"/>
          <w:szCs w:val="24"/>
        </w:rPr>
        <w:t xml:space="preserve">customers in 2017 for the purpose of clearing </w:t>
      </w:r>
      <w:r w:rsidR="009C3AD5">
        <w:rPr>
          <w:rFonts w:ascii="Arial" w:hAnsi="Arial" w:cs="Arial"/>
          <w:sz w:val="24"/>
          <w:szCs w:val="24"/>
        </w:rPr>
        <w:t xml:space="preserve">GA balances </w:t>
      </w:r>
      <w:r w:rsidR="00A9490B">
        <w:rPr>
          <w:rFonts w:ascii="Arial" w:hAnsi="Arial" w:cs="Arial"/>
          <w:sz w:val="24"/>
          <w:szCs w:val="24"/>
        </w:rPr>
        <w:t>Class A</w:t>
      </w:r>
      <w:r w:rsidR="00E6669A">
        <w:rPr>
          <w:rFonts w:ascii="Arial" w:hAnsi="Arial" w:cs="Arial"/>
          <w:sz w:val="24"/>
          <w:szCs w:val="24"/>
        </w:rPr>
        <w:t xml:space="preserve"> only</w:t>
      </w:r>
      <w:r w:rsidR="00A9490B">
        <w:rPr>
          <w:rFonts w:ascii="Arial" w:hAnsi="Arial" w:cs="Arial"/>
          <w:sz w:val="24"/>
          <w:szCs w:val="24"/>
        </w:rPr>
        <w:t xml:space="preserve"> </w:t>
      </w:r>
      <w:r w:rsidR="009C3AD5">
        <w:rPr>
          <w:rFonts w:ascii="Arial" w:hAnsi="Arial" w:cs="Arial"/>
          <w:sz w:val="24"/>
          <w:szCs w:val="24"/>
        </w:rPr>
        <w:t xml:space="preserve">in </w:t>
      </w:r>
      <w:r w:rsidR="00380368">
        <w:rPr>
          <w:rFonts w:ascii="Arial" w:hAnsi="Arial" w:cs="Arial"/>
          <w:sz w:val="24"/>
          <w:szCs w:val="24"/>
        </w:rPr>
        <w:t xml:space="preserve">its </w:t>
      </w:r>
      <w:r w:rsidR="009C3AD5">
        <w:rPr>
          <w:rFonts w:ascii="Arial" w:hAnsi="Arial" w:cs="Arial"/>
          <w:sz w:val="24"/>
          <w:szCs w:val="24"/>
        </w:rPr>
        <w:t>2019 settlement</w:t>
      </w:r>
      <w:r w:rsidR="00F1523A">
        <w:rPr>
          <w:rFonts w:ascii="Arial" w:hAnsi="Arial" w:cs="Arial"/>
          <w:sz w:val="24"/>
          <w:szCs w:val="24"/>
        </w:rPr>
        <w:t xml:space="preserve"> (EB-2018-0079)</w:t>
      </w:r>
      <w:r>
        <w:rPr>
          <w:rFonts w:ascii="Arial" w:hAnsi="Arial" w:cs="Arial"/>
          <w:sz w:val="24"/>
          <w:szCs w:val="24"/>
        </w:rPr>
        <w:t>.</w:t>
      </w:r>
    </w:p>
    <w:p w14:paraId="59514B71" w14:textId="77777777" w:rsidR="00E6669A" w:rsidRDefault="00413BC9" w:rsidP="00A80129">
      <w:pPr>
        <w:pStyle w:val="ListParagraph"/>
        <w:numPr>
          <w:ilvl w:val="0"/>
          <w:numId w:val="27"/>
        </w:numPr>
        <w:autoSpaceDE w:val="0"/>
        <w:autoSpaceDN w:val="0"/>
        <w:adjustRightInd w:val="0"/>
        <w:spacing w:after="0" w:line="240" w:lineRule="auto"/>
        <w:rPr>
          <w:rFonts w:ascii="Arial" w:hAnsi="Arial" w:cs="Arial"/>
          <w:sz w:val="24"/>
          <w:szCs w:val="24"/>
        </w:rPr>
      </w:pPr>
      <w:r w:rsidRPr="00A9490B">
        <w:rPr>
          <w:rFonts w:ascii="Arial" w:hAnsi="Arial" w:cs="Arial"/>
          <w:sz w:val="24"/>
          <w:szCs w:val="24"/>
        </w:rPr>
        <w:t>If so</w:t>
      </w:r>
      <w:r w:rsidR="009C3AD5" w:rsidRPr="00A9490B">
        <w:rPr>
          <w:rFonts w:ascii="Arial" w:hAnsi="Arial" w:cs="Arial"/>
          <w:sz w:val="24"/>
          <w:szCs w:val="24"/>
        </w:rPr>
        <w:t xml:space="preserve">, please state if and how </w:t>
      </w:r>
      <w:r w:rsidR="00447C6A" w:rsidRPr="00A9490B">
        <w:rPr>
          <w:rFonts w:ascii="Arial" w:hAnsi="Arial" w:cs="Arial"/>
          <w:sz w:val="24"/>
          <w:szCs w:val="24"/>
        </w:rPr>
        <w:t xml:space="preserve">Class B consumption data for </w:t>
      </w:r>
      <w:r w:rsidR="006B4383" w:rsidRPr="00A9490B">
        <w:rPr>
          <w:rFonts w:ascii="Arial" w:hAnsi="Arial" w:cs="Arial"/>
          <w:sz w:val="24"/>
          <w:szCs w:val="24"/>
        </w:rPr>
        <w:t>these customers</w:t>
      </w:r>
      <w:r w:rsidR="00447C6A" w:rsidRPr="00A9490B">
        <w:rPr>
          <w:rFonts w:ascii="Arial" w:hAnsi="Arial" w:cs="Arial"/>
          <w:sz w:val="24"/>
          <w:szCs w:val="24"/>
        </w:rPr>
        <w:t xml:space="preserve"> has been considered in the calculation of the remaining </w:t>
      </w:r>
      <w:r w:rsidR="009C3AD5" w:rsidRPr="00A9490B">
        <w:rPr>
          <w:rFonts w:ascii="Arial" w:hAnsi="Arial" w:cs="Arial"/>
          <w:sz w:val="24"/>
          <w:szCs w:val="24"/>
        </w:rPr>
        <w:t>CBR Class B balance</w:t>
      </w:r>
      <w:r w:rsidR="00E6669A">
        <w:rPr>
          <w:rFonts w:ascii="Arial" w:hAnsi="Arial" w:cs="Arial"/>
          <w:sz w:val="24"/>
          <w:szCs w:val="24"/>
        </w:rPr>
        <w:t xml:space="preserve"> for 2017</w:t>
      </w:r>
    </w:p>
    <w:p w14:paraId="11311761" w14:textId="32E9CE4B" w:rsidR="00E6669A" w:rsidRDefault="00EB1652" w:rsidP="00E6669A">
      <w:pPr>
        <w:pStyle w:val="ListParagraph"/>
        <w:numPr>
          <w:ilvl w:val="0"/>
          <w:numId w:val="27"/>
        </w:numPr>
        <w:autoSpaceDE w:val="0"/>
        <w:autoSpaceDN w:val="0"/>
        <w:adjustRightInd w:val="0"/>
        <w:spacing w:after="0" w:line="240" w:lineRule="auto"/>
        <w:rPr>
          <w:rFonts w:ascii="Arial" w:hAnsi="Arial" w:cs="Arial"/>
          <w:sz w:val="24"/>
          <w:szCs w:val="24"/>
        </w:rPr>
      </w:pPr>
      <w:r>
        <w:rPr>
          <w:rFonts w:ascii="Arial" w:hAnsi="Arial" w:cs="Arial"/>
          <w:sz w:val="24"/>
          <w:szCs w:val="24"/>
        </w:rPr>
        <w:t>Please p</w:t>
      </w:r>
      <w:r w:rsidR="00E6669A" w:rsidRPr="00A9490B">
        <w:rPr>
          <w:rFonts w:ascii="Arial" w:hAnsi="Arial" w:cs="Arial"/>
          <w:sz w:val="24"/>
          <w:szCs w:val="24"/>
        </w:rPr>
        <w:t xml:space="preserve">rovide a </w:t>
      </w:r>
      <w:r w:rsidR="00E6669A">
        <w:rPr>
          <w:rFonts w:ascii="Arial" w:hAnsi="Arial" w:cs="Arial"/>
          <w:sz w:val="24"/>
          <w:szCs w:val="24"/>
        </w:rPr>
        <w:t>breakdown of the Class B consumption data.</w:t>
      </w:r>
    </w:p>
    <w:p w14:paraId="7717EAD3" w14:textId="77777777" w:rsidR="00E6669A" w:rsidRPr="00A9490B" w:rsidRDefault="00E6669A" w:rsidP="00E6669A">
      <w:pPr>
        <w:pStyle w:val="ListParagraph"/>
        <w:autoSpaceDE w:val="0"/>
        <w:autoSpaceDN w:val="0"/>
        <w:adjustRightInd w:val="0"/>
        <w:spacing w:after="0" w:line="240" w:lineRule="auto"/>
        <w:rPr>
          <w:rFonts w:ascii="Arial" w:hAnsi="Arial" w:cs="Arial"/>
          <w:sz w:val="24"/>
          <w:szCs w:val="24"/>
        </w:rPr>
      </w:pPr>
    </w:p>
    <w:p w14:paraId="21A942C2" w14:textId="77777777" w:rsidR="001E3F68" w:rsidRDefault="001E3F68" w:rsidP="001E3F68">
      <w:pPr>
        <w:autoSpaceDE w:val="0"/>
        <w:autoSpaceDN w:val="0"/>
        <w:adjustRightInd w:val="0"/>
        <w:spacing w:after="0" w:line="240" w:lineRule="auto"/>
        <w:ind w:left="1440"/>
        <w:rPr>
          <w:rFonts w:ascii="Arial" w:hAnsi="Arial" w:cs="Arial"/>
          <w:b/>
          <w:bCs/>
          <w:sz w:val="24"/>
          <w:szCs w:val="24"/>
        </w:rPr>
      </w:pPr>
    </w:p>
    <w:p w14:paraId="56311867" w14:textId="25AE2CCB" w:rsidR="00B75943" w:rsidRDefault="00B75943" w:rsidP="00861319">
      <w:pPr>
        <w:pStyle w:val="NoSpacing"/>
        <w:spacing w:line="276" w:lineRule="auto"/>
        <w:rPr>
          <w:rFonts w:ascii="Arial" w:hAnsi="Arial" w:cs="Arial"/>
          <w:b/>
          <w:bCs/>
          <w:sz w:val="24"/>
          <w:szCs w:val="24"/>
        </w:rPr>
      </w:pPr>
      <w:r>
        <w:rPr>
          <w:rFonts w:ascii="Arial" w:hAnsi="Arial" w:cs="Arial"/>
          <w:b/>
          <w:bCs/>
          <w:sz w:val="24"/>
          <w:szCs w:val="24"/>
        </w:rPr>
        <w:t>Staff Question</w:t>
      </w:r>
      <w:r w:rsidR="00180ECE">
        <w:rPr>
          <w:rFonts w:ascii="Arial" w:hAnsi="Arial" w:cs="Arial"/>
          <w:b/>
          <w:bCs/>
          <w:sz w:val="24"/>
          <w:szCs w:val="24"/>
        </w:rPr>
        <w:t xml:space="preserve"> – 10 </w:t>
      </w:r>
    </w:p>
    <w:p w14:paraId="25F932AD" w14:textId="61DDD283" w:rsidR="00180ECE" w:rsidRDefault="00180ECE" w:rsidP="00861319">
      <w:pPr>
        <w:pStyle w:val="NoSpacing"/>
        <w:spacing w:line="276" w:lineRule="auto"/>
        <w:rPr>
          <w:rFonts w:ascii="Arial" w:hAnsi="Arial" w:cs="Arial"/>
          <w:b/>
          <w:bCs/>
          <w:sz w:val="24"/>
          <w:szCs w:val="24"/>
        </w:rPr>
      </w:pPr>
      <w:r>
        <w:rPr>
          <w:rFonts w:ascii="Arial" w:hAnsi="Arial" w:cs="Arial"/>
          <w:b/>
          <w:bCs/>
          <w:sz w:val="24"/>
          <w:szCs w:val="24"/>
        </w:rPr>
        <w:t xml:space="preserve">Ref: </w:t>
      </w:r>
      <w:r>
        <w:rPr>
          <w:rFonts w:ascii="Arial" w:hAnsi="Arial" w:cs="Arial"/>
          <w:b/>
          <w:bCs/>
          <w:sz w:val="24"/>
          <w:szCs w:val="24"/>
        </w:rPr>
        <w:tab/>
        <w:t>Rate Generator Model, Tab 18 – Additional Rates</w:t>
      </w:r>
    </w:p>
    <w:p w14:paraId="15E1C67B" w14:textId="18158B22" w:rsidR="00180ECE" w:rsidRDefault="00180ECE" w:rsidP="00861319">
      <w:pPr>
        <w:pStyle w:val="NoSpacing"/>
        <w:spacing w:line="276" w:lineRule="auto"/>
        <w:rPr>
          <w:rFonts w:ascii="Arial" w:hAnsi="Arial" w:cs="Arial"/>
          <w:b/>
          <w:bCs/>
          <w:sz w:val="24"/>
          <w:szCs w:val="24"/>
        </w:rPr>
      </w:pPr>
      <w:r>
        <w:rPr>
          <w:rFonts w:ascii="Arial" w:hAnsi="Arial" w:cs="Arial"/>
          <w:b/>
          <w:bCs/>
          <w:sz w:val="24"/>
          <w:szCs w:val="24"/>
        </w:rPr>
        <w:tab/>
      </w:r>
    </w:p>
    <w:p w14:paraId="18799C4A" w14:textId="4E9BE48B" w:rsidR="00180ECE" w:rsidRPr="00180ECE" w:rsidRDefault="00180ECE" w:rsidP="00861319">
      <w:pPr>
        <w:pStyle w:val="NoSpacing"/>
        <w:spacing w:line="276" w:lineRule="auto"/>
        <w:rPr>
          <w:rFonts w:ascii="Arial" w:hAnsi="Arial" w:cs="Arial"/>
          <w:sz w:val="24"/>
          <w:szCs w:val="24"/>
        </w:rPr>
      </w:pPr>
      <w:r>
        <w:rPr>
          <w:rFonts w:ascii="Arial" w:hAnsi="Arial" w:cs="Arial"/>
          <w:sz w:val="24"/>
          <w:szCs w:val="24"/>
        </w:rPr>
        <w:t xml:space="preserve">Please explain the offsetting rate rider entries </w:t>
      </w:r>
      <w:r w:rsidR="00954E29">
        <w:rPr>
          <w:rFonts w:ascii="Arial" w:hAnsi="Arial" w:cs="Arial"/>
          <w:sz w:val="24"/>
          <w:szCs w:val="24"/>
        </w:rPr>
        <w:t xml:space="preserve">for the Sentinel class </w:t>
      </w:r>
      <w:r>
        <w:rPr>
          <w:rFonts w:ascii="Arial" w:hAnsi="Arial" w:cs="Arial"/>
          <w:sz w:val="24"/>
          <w:szCs w:val="24"/>
        </w:rPr>
        <w:t xml:space="preserve">on Tab 18.  </w:t>
      </w:r>
    </w:p>
    <w:p w14:paraId="60A43F19" w14:textId="77777777" w:rsidR="00180ECE" w:rsidRPr="00180ECE" w:rsidRDefault="00180ECE" w:rsidP="00861319">
      <w:pPr>
        <w:pStyle w:val="NoSpacing"/>
        <w:spacing w:line="276" w:lineRule="auto"/>
        <w:rPr>
          <w:rFonts w:ascii="Arial" w:hAnsi="Arial" w:cs="Arial"/>
          <w:sz w:val="24"/>
          <w:szCs w:val="24"/>
        </w:rPr>
      </w:pPr>
    </w:p>
    <w:p w14:paraId="7C4DD732" w14:textId="31F79C8E" w:rsidR="002A568C" w:rsidRDefault="002A568C" w:rsidP="00861319">
      <w:pPr>
        <w:pStyle w:val="NoSpacing"/>
        <w:spacing w:line="276" w:lineRule="auto"/>
        <w:rPr>
          <w:rFonts w:ascii="Arial" w:hAnsi="Arial" w:cs="Arial"/>
          <w:b/>
          <w:bCs/>
          <w:sz w:val="24"/>
          <w:szCs w:val="24"/>
        </w:rPr>
      </w:pPr>
      <w:r>
        <w:rPr>
          <w:rFonts w:ascii="Arial" w:hAnsi="Arial" w:cs="Arial"/>
          <w:b/>
          <w:bCs/>
          <w:sz w:val="24"/>
          <w:szCs w:val="24"/>
        </w:rPr>
        <w:t>Staff Question – 1</w:t>
      </w:r>
      <w:r w:rsidR="00180ECE">
        <w:rPr>
          <w:rFonts w:ascii="Arial" w:hAnsi="Arial" w:cs="Arial"/>
          <w:b/>
          <w:bCs/>
          <w:sz w:val="24"/>
          <w:szCs w:val="24"/>
        </w:rPr>
        <w:t>1</w:t>
      </w:r>
    </w:p>
    <w:p w14:paraId="64542F32" w14:textId="065443B2" w:rsidR="00705009" w:rsidRDefault="002A568C" w:rsidP="00861319">
      <w:pPr>
        <w:pStyle w:val="NoSpacing"/>
        <w:spacing w:line="276" w:lineRule="auto"/>
        <w:rPr>
          <w:rFonts w:ascii="Arial" w:hAnsi="Arial" w:cs="Arial"/>
          <w:b/>
          <w:bCs/>
          <w:sz w:val="24"/>
          <w:szCs w:val="24"/>
        </w:rPr>
      </w:pPr>
      <w:r>
        <w:rPr>
          <w:rFonts w:ascii="Arial" w:hAnsi="Arial" w:cs="Arial"/>
          <w:b/>
          <w:bCs/>
          <w:sz w:val="24"/>
          <w:szCs w:val="24"/>
        </w:rPr>
        <w:t xml:space="preserve">Ref: </w:t>
      </w:r>
      <w:r>
        <w:rPr>
          <w:rFonts w:ascii="Arial" w:hAnsi="Arial" w:cs="Arial"/>
          <w:b/>
          <w:bCs/>
          <w:sz w:val="24"/>
          <w:szCs w:val="24"/>
        </w:rPr>
        <w:tab/>
      </w:r>
      <w:r w:rsidR="00705009">
        <w:rPr>
          <w:rFonts w:ascii="Arial" w:hAnsi="Arial" w:cs="Arial"/>
          <w:b/>
          <w:bCs/>
          <w:sz w:val="24"/>
          <w:szCs w:val="24"/>
        </w:rPr>
        <w:t>Manager’s Summary, pp. 22-23</w:t>
      </w:r>
    </w:p>
    <w:p w14:paraId="1F8D223F" w14:textId="2C32AFA1" w:rsidR="002A568C" w:rsidRDefault="002A568C" w:rsidP="00705009">
      <w:pPr>
        <w:pStyle w:val="NoSpacing"/>
        <w:spacing w:line="276" w:lineRule="auto"/>
        <w:ind w:left="720"/>
        <w:rPr>
          <w:rFonts w:ascii="Arial" w:hAnsi="Arial" w:cs="Arial"/>
          <w:b/>
          <w:bCs/>
          <w:sz w:val="24"/>
          <w:szCs w:val="24"/>
        </w:rPr>
      </w:pPr>
      <w:r>
        <w:rPr>
          <w:rFonts w:ascii="Arial" w:hAnsi="Arial" w:cs="Arial"/>
          <w:b/>
          <w:bCs/>
          <w:sz w:val="24"/>
          <w:szCs w:val="24"/>
        </w:rPr>
        <w:t xml:space="preserve">Rate Generator Model, </w:t>
      </w:r>
      <w:r w:rsidR="00705009">
        <w:rPr>
          <w:rFonts w:ascii="Arial" w:hAnsi="Arial" w:cs="Arial"/>
          <w:b/>
          <w:bCs/>
          <w:sz w:val="24"/>
          <w:szCs w:val="24"/>
        </w:rPr>
        <w:t xml:space="preserve">Tab 9 – Shared Tax Rate Rider and </w:t>
      </w:r>
      <w:r>
        <w:rPr>
          <w:rFonts w:ascii="Arial" w:hAnsi="Arial" w:cs="Arial"/>
          <w:b/>
          <w:bCs/>
          <w:sz w:val="24"/>
          <w:szCs w:val="24"/>
        </w:rPr>
        <w:t>Tab 18 – Additional Rates</w:t>
      </w:r>
    </w:p>
    <w:p w14:paraId="1613E323" w14:textId="78B04F3C" w:rsidR="002A568C" w:rsidRDefault="002A568C" w:rsidP="00861319">
      <w:pPr>
        <w:pStyle w:val="NoSpacing"/>
        <w:spacing w:line="276" w:lineRule="auto"/>
        <w:rPr>
          <w:rFonts w:ascii="Arial" w:hAnsi="Arial" w:cs="Arial"/>
          <w:b/>
          <w:bCs/>
          <w:sz w:val="24"/>
          <w:szCs w:val="24"/>
        </w:rPr>
      </w:pPr>
    </w:p>
    <w:p w14:paraId="65F0EF00" w14:textId="1FFA03ED" w:rsidR="00413677" w:rsidRDefault="00705009" w:rsidP="00861319">
      <w:pPr>
        <w:pStyle w:val="NoSpacing"/>
        <w:spacing w:line="276" w:lineRule="auto"/>
        <w:rPr>
          <w:rFonts w:ascii="Arial" w:hAnsi="Arial" w:cs="Arial"/>
          <w:sz w:val="24"/>
          <w:szCs w:val="24"/>
        </w:rPr>
      </w:pPr>
      <w:r>
        <w:rPr>
          <w:rFonts w:ascii="Arial" w:hAnsi="Arial" w:cs="Arial"/>
          <w:sz w:val="24"/>
          <w:szCs w:val="24"/>
        </w:rPr>
        <w:t>The Rate Generator model calculated a shared tax savings amount of (</w:t>
      </w:r>
      <w:r w:rsidR="00BE6C8A">
        <w:rPr>
          <w:rFonts w:ascii="Arial" w:hAnsi="Arial" w:cs="Arial"/>
          <w:sz w:val="24"/>
          <w:szCs w:val="24"/>
        </w:rPr>
        <w:t>$</w:t>
      </w:r>
      <w:r>
        <w:rPr>
          <w:rFonts w:ascii="Arial" w:hAnsi="Arial" w:cs="Arial"/>
          <w:sz w:val="24"/>
          <w:szCs w:val="24"/>
        </w:rPr>
        <w:t xml:space="preserve">50,172) and the model produced rate riders for each rate class on tab 9 of the model. </w:t>
      </w:r>
    </w:p>
    <w:p w14:paraId="5575668D" w14:textId="13EC05B1" w:rsidR="00413677" w:rsidRDefault="00413677" w:rsidP="00861319">
      <w:pPr>
        <w:pStyle w:val="NoSpacing"/>
        <w:spacing w:line="276" w:lineRule="auto"/>
        <w:rPr>
          <w:rFonts w:ascii="Arial" w:hAnsi="Arial" w:cs="Arial"/>
          <w:sz w:val="24"/>
          <w:szCs w:val="24"/>
        </w:rPr>
      </w:pPr>
    </w:p>
    <w:p w14:paraId="36AF65E3" w14:textId="4D9B8568" w:rsidR="00413677" w:rsidRDefault="00705009" w:rsidP="00861319">
      <w:pPr>
        <w:pStyle w:val="NoSpacing"/>
        <w:spacing w:line="276" w:lineRule="auto"/>
        <w:rPr>
          <w:rFonts w:ascii="Arial" w:hAnsi="Arial" w:cs="Arial"/>
          <w:sz w:val="24"/>
          <w:szCs w:val="24"/>
        </w:rPr>
      </w:pPr>
      <w:r>
        <w:rPr>
          <w:rFonts w:ascii="Arial" w:hAnsi="Arial" w:cs="Arial"/>
          <w:sz w:val="24"/>
          <w:szCs w:val="24"/>
        </w:rPr>
        <w:t xml:space="preserve">In its manager’s summary, </w:t>
      </w:r>
      <w:proofErr w:type="spellStart"/>
      <w:r>
        <w:rPr>
          <w:rFonts w:ascii="Arial" w:hAnsi="Arial" w:cs="Arial"/>
          <w:sz w:val="24"/>
          <w:szCs w:val="24"/>
        </w:rPr>
        <w:t>Elexicon</w:t>
      </w:r>
      <w:proofErr w:type="spellEnd"/>
      <w:r>
        <w:rPr>
          <w:rFonts w:ascii="Arial" w:hAnsi="Arial" w:cs="Arial"/>
          <w:sz w:val="24"/>
          <w:szCs w:val="24"/>
        </w:rPr>
        <w:t xml:space="preserve">-Whitby </w:t>
      </w:r>
      <w:r w:rsidR="00413677">
        <w:rPr>
          <w:rFonts w:ascii="Arial" w:hAnsi="Arial" w:cs="Arial"/>
          <w:sz w:val="24"/>
          <w:szCs w:val="24"/>
        </w:rPr>
        <w:t xml:space="preserve">shows the following </w:t>
      </w:r>
      <w:r>
        <w:rPr>
          <w:rFonts w:ascii="Arial" w:hAnsi="Arial" w:cs="Arial"/>
          <w:sz w:val="24"/>
          <w:szCs w:val="24"/>
        </w:rPr>
        <w:t>table</w:t>
      </w:r>
      <w:r w:rsidR="00413677">
        <w:rPr>
          <w:rFonts w:ascii="Arial" w:hAnsi="Arial" w:cs="Arial"/>
          <w:sz w:val="24"/>
          <w:szCs w:val="24"/>
        </w:rPr>
        <w:t>:</w:t>
      </w:r>
    </w:p>
    <w:p w14:paraId="342D251E" w14:textId="02B7256B" w:rsidR="00413677" w:rsidRDefault="00413677" w:rsidP="00413677">
      <w:pPr>
        <w:pStyle w:val="NoSpacing"/>
        <w:spacing w:line="276" w:lineRule="auto"/>
        <w:jc w:val="center"/>
        <w:rPr>
          <w:rFonts w:ascii="Arial" w:hAnsi="Arial" w:cs="Arial"/>
          <w:sz w:val="24"/>
          <w:szCs w:val="24"/>
        </w:rPr>
      </w:pPr>
      <w:r w:rsidRPr="00413677">
        <w:rPr>
          <w:noProof/>
        </w:rPr>
        <w:drawing>
          <wp:inline distT="0" distB="0" distL="0" distR="0" wp14:anchorId="7CE824EF" wp14:editId="33C0B39C">
            <wp:extent cx="5807710" cy="2726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7710" cy="2726690"/>
                    </a:xfrm>
                    <a:prstGeom prst="rect">
                      <a:avLst/>
                    </a:prstGeom>
                    <a:noFill/>
                    <a:ln>
                      <a:noFill/>
                    </a:ln>
                  </pic:spPr>
                </pic:pic>
              </a:graphicData>
            </a:graphic>
          </wp:inline>
        </w:drawing>
      </w:r>
    </w:p>
    <w:p w14:paraId="4AA4146B" w14:textId="592A80AB" w:rsidR="00BE6C8A" w:rsidRDefault="00BE6C8A" w:rsidP="00861319">
      <w:pPr>
        <w:pStyle w:val="NoSpacing"/>
        <w:spacing w:line="276" w:lineRule="auto"/>
        <w:rPr>
          <w:rFonts w:ascii="Arial" w:hAnsi="Arial" w:cs="Arial"/>
          <w:sz w:val="24"/>
          <w:szCs w:val="24"/>
        </w:rPr>
      </w:pPr>
    </w:p>
    <w:p w14:paraId="6D4F2420" w14:textId="1029D651" w:rsidR="00BE6C8A" w:rsidRDefault="00BE6C8A" w:rsidP="00861319">
      <w:pPr>
        <w:pStyle w:val="NoSpacing"/>
        <w:spacing w:line="276" w:lineRule="auto"/>
        <w:rPr>
          <w:rFonts w:ascii="Arial" w:hAnsi="Arial" w:cs="Arial"/>
          <w:sz w:val="24"/>
          <w:szCs w:val="24"/>
        </w:rPr>
      </w:pPr>
    </w:p>
    <w:p w14:paraId="15432285" w14:textId="2C9FE933" w:rsidR="00413677" w:rsidRDefault="00413677" w:rsidP="00413677">
      <w:pPr>
        <w:pStyle w:val="NoSpacing"/>
        <w:spacing w:line="276" w:lineRule="auto"/>
        <w:rPr>
          <w:rFonts w:ascii="Arial" w:hAnsi="Arial" w:cs="Arial"/>
          <w:sz w:val="24"/>
          <w:szCs w:val="24"/>
        </w:rPr>
      </w:pPr>
      <w:proofErr w:type="spellStart"/>
      <w:r>
        <w:rPr>
          <w:rFonts w:ascii="Arial" w:hAnsi="Arial" w:cs="Arial"/>
          <w:sz w:val="24"/>
          <w:szCs w:val="24"/>
        </w:rPr>
        <w:t>Elexicon</w:t>
      </w:r>
      <w:proofErr w:type="spellEnd"/>
      <w:r>
        <w:rPr>
          <w:rFonts w:ascii="Arial" w:hAnsi="Arial" w:cs="Arial"/>
          <w:sz w:val="24"/>
          <w:szCs w:val="24"/>
        </w:rPr>
        <w:t>-Whitby further notes that</w:t>
      </w:r>
      <w:r w:rsidR="008E0CCD">
        <w:rPr>
          <w:rFonts w:ascii="Arial" w:hAnsi="Arial" w:cs="Arial"/>
          <w:sz w:val="24"/>
          <w:szCs w:val="24"/>
        </w:rPr>
        <w:t>:</w:t>
      </w:r>
      <w:r>
        <w:rPr>
          <w:rFonts w:ascii="Arial" w:hAnsi="Arial" w:cs="Arial"/>
          <w:sz w:val="24"/>
          <w:szCs w:val="24"/>
        </w:rPr>
        <w:t xml:space="preserve"> </w:t>
      </w:r>
      <w:r w:rsidR="008E0CCD">
        <w:rPr>
          <w:rFonts w:ascii="Arial" w:hAnsi="Arial" w:cs="Arial"/>
          <w:sz w:val="24"/>
          <w:szCs w:val="24"/>
        </w:rPr>
        <w:t>“</w:t>
      </w:r>
      <w:r>
        <w:rPr>
          <w:rFonts w:ascii="Arial" w:hAnsi="Arial" w:cs="Arial"/>
          <w:sz w:val="24"/>
          <w:szCs w:val="24"/>
        </w:rPr>
        <w:t>t</w:t>
      </w:r>
      <w:r w:rsidRPr="00413677">
        <w:rPr>
          <w:rFonts w:ascii="Arial" w:hAnsi="Arial" w:cs="Arial"/>
          <w:sz w:val="24"/>
          <w:szCs w:val="24"/>
        </w:rPr>
        <w:t>he overall difference between the intended shared savings and the calculated disposition is 4%. The</w:t>
      </w:r>
      <w:r>
        <w:rPr>
          <w:rFonts w:ascii="Arial" w:hAnsi="Arial" w:cs="Arial"/>
          <w:sz w:val="24"/>
          <w:szCs w:val="24"/>
        </w:rPr>
        <w:t xml:space="preserve"> </w:t>
      </w:r>
      <w:r w:rsidRPr="00413677">
        <w:rPr>
          <w:rFonts w:ascii="Arial" w:hAnsi="Arial" w:cs="Arial"/>
          <w:sz w:val="24"/>
          <w:szCs w:val="24"/>
        </w:rPr>
        <w:t xml:space="preserve">calculated disposition for most rate </w:t>
      </w:r>
      <w:r w:rsidRPr="00413677">
        <w:rPr>
          <w:rFonts w:ascii="Arial" w:hAnsi="Arial" w:cs="Arial"/>
          <w:sz w:val="24"/>
          <w:szCs w:val="24"/>
        </w:rPr>
        <w:lastRenderedPageBreak/>
        <w:t xml:space="preserve">classes produces reasonable results; </w:t>
      </w:r>
      <w:r w:rsidR="00EC3E23" w:rsidRPr="00413677">
        <w:rPr>
          <w:rFonts w:ascii="Arial" w:hAnsi="Arial" w:cs="Arial"/>
          <w:sz w:val="24"/>
          <w:szCs w:val="24"/>
        </w:rPr>
        <w:t>however,</w:t>
      </w:r>
      <w:r w:rsidRPr="00413677">
        <w:rPr>
          <w:rFonts w:ascii="Arial" w:hAnsi="Arial" w:cs="Arial"/>
          <w:sz w:val="24"/>
          <w:szCs w:val="24"/>
        </w:rPr>
        <w:t xml:space="preserve"> the GS &lt; 50kW class shows a significant variance of 84% between the calculated disposition and the intended shared savings.</w:t>
      </w:r>
      <w:r w:rsidR="008E0CCD">
        <w:rPr>
          <w:rFonts w:ascii="Arial" w:hAnsi="Arial" w:cs="Arial"/>
          <w:sz w:val="24"/>
          <w:szCs w:val="24"/>
        </w:rPr>
        <w:t xml:space="preserve"> </w:t>
      </w:r>
      <w:r w:rsidRPr="00413677">
        <w:rPr>
          <w:rFonts w:ascii="Arial" w:hAnsi="Arial" w:cs="Arial"/>
          <w:sz w:val="24"/>
          <w:szCs w:val="24"/>
        </w:rPr>
        <w:t>On a smaller scale, the USL class shows a difference of 22% and the difference for Residential is -7%.</w:t>
      </w:r>
      <w:r w:rsidR="008E0CCD">
        <w:rPr>
          <w:rFonts w:ascii="Arial" w:hAnsi="Arial" w:cs="Arial"/>
          <w:sz w:val="24"/>
          <w:szCs w:val="24"/>
        </w:rPr>
        <w:t>”</w:t>
      </w:r>
    </w:p>
    <w:p w14:paraId="27448C45" w14:textId="5998CF7E" w:rsidR="00145903" w:rsidRDefault="00145903" w:rsidP="00413677">
      <w:pPr>
        <w:pStyle w:val="NoSpacing"/>
        <w:spacing w:line="276" w:lineRule="auto"/>
        <w:rPr>
          <w:rFonts w:ascii="Arial" w:hAnsi="Arial" w:cs="Arial"/>
          <w:sz w:val="24"/>
          <w:szCs w:val="24"/>
        </w:rPr>
      </w:pPr>
    </w:p>
    <w:p w14:paraId="565D0504" w14:textId="11988073" w:rsidR="00145903" w:rsidRDefault="00145903" w:rsidP="00413677">
      <w:pPr>
        <w:pStyle w:val="NoSpacing"/>
        <w:spacing w:line="276" w:lineRule="auto"/>
        <w:rPr>
          <w:rFonts w:ascii="Arial" w:hAnsi="Arial" w:cs="Arial"/>
          <w:sz w:val="24"/>
          <w:szCs w:val="24"/>
        </w:rPr>
      </w:pPr>
      <w:proofErr w:type="spellStart"/>
      <w:r>
        <w:rPr>
          <w:rFonts w:ascii="Arial" w:hAnsi="Arial" w:cs="Arial"/>
          <w:sz w:val="24"/>
          <w:szCs w:val="24"/>
        </w:rPr>
        <w:t>Elexicon</w:t>
      </w:r>
      <w:proofErr w:type="spellEnd"/>
      <w:r>
        <w:rPr>
          <w:rFonts w:ascii="Arial" w:hAnsi="Arial" w:cs="Arial"/>
          <w:sz w:val="24"/>
          <w:szCs w:val="24"/>
        </w:rPr>
        <w:t>-Whitby further notes that the Appendix B in the OEB’s Filing Requirements state that “</w:t>
      </w:r>
      <w:r w:rsidRPr="00145903">
        <w:rPr>
          <w:rFonts w:ascii="Arial" w:hAnsi="Arial" w:cs="Arial"/>
          <w:sz w:val="24"/>
          <w:szCs w:val="24"/>
        </w:rPr>
        <w:t>rate riders that do not produce the intended results, can be addressed through alternative approaches</w:t>
      </w:r>
      <w:r>
        <w:rPr>
          <w:rFonts w:ascii="Arial" w:hAnsi="Arial" w:cs="Arial"/>
          <w:sz w:val="24"/>
          <w:szCs w:val="24"/>
        </w:rPr>
        <w:t>”.</w:t>
      </w:r>
    </w:p>
    <w:p w14:paraId="0242D3D5" w14:textId="2A064B80" w:rsidR="008E0CCD" w:rsidRDefault="008E0CCD" w:rsidP="008E0CCD">
      <w:pPr>
        <w:pStyle w:val="NoSpacing"/>
        <w:spacing w:line="276" w:lineRule="auto"/>
        <w:rPr>
          <w:rFonts w:ascii="Arial" w:hAnsi="Arial" w:cs="Arial"/>
          <w:sz w:val="24"/>
          <w:szCs w:val="24"/>
        </w:rPr>
      </w:pPr>
    </w:p>
    <w:p w14:paraId="0463D9C6" w14:textId="790E4441" w:rsidR="00E12F97" w:rsidRDefault="00413677" w:rsidP="00E12F97">
      <w:pPr>
        <w:pStyle w:val="NoSpacing"/>
        <w:numPr>
          <w:ilvl w:val="0"/>
          <w:numId w:val="29"/>
        </w:numPr>
        <w:spacing w:line="276" w:lineRule="auto"/>
        <w:rPr>
          <w:rFonts w:ascii="Arial" w:hAnsi="Arial" w:cs="Arial"/>
          <w:sz w:val="24"/>
          <w:szCs w:val="24"/>
        </w:rPr>
      </w:pPr>
      <w:r>
        <w:rPr>
          <w:rFonts w:ascii="Arial" w:hAnsi="Arial" w:cs="Arial"/>
          <w:sz w:val="24"/>
          <w:szCs w:val="24"/>
        </w:rPr>
        <w:t xml:space="preserve">Under </w:t>
      </w:r>
      <w:proofErr w:type="spellStart"/>
      <w:r>
        <w:rPr>
          <w:rFonts w:ascii="Arial" w:hAnsi="Arial" w:cs="Arial"/>
          <w:sz w:val="24"/>
          <w:szCs w:val="24"/>
        </w:rPr>
        <w:t>Elexicon</w:t>
      </w:r>
      <w:proofErr w:type="spellEnd"/>
      <w:r>
        <w:rPr>
          <w:rFonts w:ascii="Arial" w:hAnsi="Arial" w:cs="Arial"/>
          <w:sz w:val="24"/>
          <w:szCs w:val="24"/>
        </w:rPr>
        <w:t xml:space="preserve">-Whitby’s proposal, the tax sharing amounts would not be returned until 2025, when </w:t>
      </w:r>
      <w:r w:rsidR="00CB709D">
        <w:rPr>
          <w:rFonts w:ascii="Arial" w:hAnsi="Arial" w:cs="Arial"/>
          <w:sz w:val="24"/>
          <w:szCs w:val="24"/>
        </w:rPr>
        <w:t xml:space="preserve">the residual amounts in </w:t>
      </w:r>
      <w:r>
        <w:rPr>
          <w:rFonts w:ascii="Arial" w:hAnsi="Arial" w:cs="Arial"/>
          <w:sz w:val="24"/>
          <w:szCs w:val="24"/>
        </w:rPr>
        <w:t>Account 1595 (2021) will be eligible for disposition</w:t>
      </w:r>
      <w:r w:rsidR="00886DE3">
        <w:rPr>
          <w:rFonts w:ascii="Arial" w:hAnsi="Arial" w:cs="Arial"/>
          <w:sz w:val="24"/>
          <w:szCs w:val="24"/>
        </w:rPr>
        <w:t>, given the OEB’s updated requirements in Appendix A of  the Filing Requirements</w:t>
      </w:r>
      <w:r>
        <w:rPr>
          <w:rFonts w:ascii="Arial" w:hAnsi="Arial" w:cs="Arial"/>
          <w:sz w:val="24"/>
          <w:szCs w:val="24"/>
        </w:rPr>
        <w:t>.</w:t>
      </w:r>
      <w:r w:rsidR="005B1703">
        <w:rPr>
          <w:rStyle w:val="FootnoteReference"/>
          <w:rFonts w:ascii="Arial" w:hAnsi="Arial" w:cs="Arial"/>
          <w:sz w:val="24"/>
          <w:szCs w:val="24"/>
        </w:rPr>
        <w:footnoteReference w:id="2"/>
      </w:r>
      <w:r>
        <w:rPr>
          <w:rFonts w:ascii="Arial" w:hAnsi="Arial" w:cs="Arial"/>
          <w:sz w:val="24"/>
          <w:szCs w:val="24"/>
        </w:rPr>
        <w:t xml:space="preserve"> </w:t>
      </w:r>
      <w:r w:rsidRPr="00413677">
        <w:rPr>
          <w:rFonts w:ascii="Arial" w:hAnsi="Arial" w:cs="Arial"/>
          <w:sz w:val="24"/>
          <w:szCs w:val="24"/>
        </w:rPr>
        <w:t xml:space="preserve">Please comment </w:t>
      </w:r>
      <w:r w:rsidR="00CB709D">
        <w:rPr>
          <w:rFonts w:ascii="Arial" w:hAnsi="Arial" w:cs="Arial"/>
          <w:sz w:val="24"/>
          <w:szCs w:val="24"/>
        </w:rPr>
        <w:t xml:space="preserve">on </w:t>
      </w:r>
      <w:r w:rsidRPr="00413677">
        <w:rPr>
          <w:rFonts w:ascii="Arial" w:hAnsi="Arial" w:cs="Arial"/>
          <w:sz w:val="24"/>
          <w:szCs w:val="24"/>
        </w:rPr>
        <w:t xml:space="preserve">whether </w:t>
      </w:r>
      <w:proofErr w:type="spellStart"/>
      <w:r w:rsidRPr="00413677">
        <w:rPr>
          <w:rFonts w:ascii="Arial" w:hAnsi="Arial" w:cs="Arial"/>
          <w:sz w:val="24"/>
          <w:szCs w:val="24"/>
        </w:rPr>
        <w:t>E</w:t>
      </w:r>
      <w:r w:rsidR="00CB709D">
        <w:rPr>
          <w:rFonts w:ascii="Arial" w:hAnsi="Arial" w:cs="Arial"/>
          <w:sz w:val="24"/>
          <w:szCs w:val="24"/>
        </w:rPr>
        <w:t>lexicon</w:t>
      </w:r>
      <w:proofErr w:type="spellEnd"/>
      <w:r w:rsidR="00CB709D">
        <w:rPr>
          <w:rFonts w:ascii="Arial" w:hAnsi="Arial" w:cs="Arial"/>
          <w:sz w:val="24"/>
          <w:szCs w:val="24"/>
        </w:rPr>
        <w:t>-</w:t>
      </w:r>
      <w:r w:rsidRPr="00413677">
        <w:rPr>
          <w:rFonts w:ascii="Arial" w:hAnsi="Arial" w:cs="Arial"/>
          <w:sz w:val="24"/>
          <w:szCs w:val="24"/>
        </w:rPr>
        <w:t>W</w:t>
      </w:r>
      <w:r w:rsidR="00CB709D">
        <w:rPr>
          <w:rFonts w:ascii="Arial" w:hAnsi="Arial" w:cs="Arial"/>
          <w:sz w:val="24"/>
          <w:szCs w:val="24"/>
        </w:rPr>
        <w:t>hitby</w:t>
      </w:r>
      <w:r w:rsidRPr="00413677">
        <w:rPr>
          <w:rFonts w:ascii="Arial" w:hAnsi="Arial" w:cs="Arial"/>
          <w:sz w:val="24"/>
          <w:szCs w:val="24"/>
        </w:rPr>
        <w:t xml:space="preserve"> has considered the extended delay</w:t>
      </w:r>
      <w:r w:rsidR="00886DE3">
        <w:rPr>
          <w:rFonts w:ascii="Arial" w:hAnsi="Arial" w:cs="Arial"/>
          <w:sz w:val="24"/>
          <w:szCs w:val="24"/>
        </w:rPr>
        <w:t>, and intergenerational inequities,</w:t>
      </w:r>
      <w:r w:rsidRPr="00413677">
        <w:rPr>
          <w:rFonts w:ascii="Arial" w:hAnsi="Arial" w:cs="Arial"/>
          <w:sz w:val="24"/>
          <w:szCs w:val="24"/>
        </w:rPr>
        <w:t xml:space="preserve"> in the return of these amounts to customers</w:t>
      </w:r>
      <w:r w:rsidR="008E0CCD">
        <w:rPr>
          <w:rFonts w:ascii="Arial" w:hAnsi="Arial" w:cs="Arial"/>
          <w:sz w:val="24"/>
          <w:szCs w:val="24"/>
        </w:rPr>
        <w:t xml:space="preserve"> </w:t>
      </w:r>
      <w:r w:rsidR="00886DE3">
        <w:rPr>
          <w:rFonts w:ascii="Arial" w:hAnsi="Arial" w:cs="Arial"/>
          <w:sz w:val="24"/>
          <w:szCs w:val="24"/>
        </w:rPr>
        <w:t>when</w:t>
      </w:r>
      <w:r w:rsidR="008E0CCD">
        <w:rPr>
          <w:rFonts w:ascii="Arial" w:hAnsi="Arial" w:cs="Arial"/>
          <w:sz w:val="24"/>
          <w:szCs w:val="24"/>
        </w:rPr>
        <w:t xml:space="preserve"> proposing to transfer these amounts to Account 1595</w:t>
      </w:r>
      <w:r>
        <w:rPr>
          <w:rFonts w:ascii="Arial" w:hAnsi="Arial" w:cs="Arial"/>
          <w:sz w:val="24"/>
          <w:szCs w:val="24"/>
        </w:rPr>
        <w:t>.</w:t>
      </w:r>
    </w:p>
    <w:p w14:paraId="64AC6B85" w14:textId="31559EC1" w:rsidR="008E0CCD" w:rsidRDefault="00145903" w:rsidP="00E12F97">
      <w:pPr>
        <w:pStyle w:val="NoSpacing"/>
        <w:numPr>
          <w:ilvl w:val="0"/>
          <w:numId w:val="29"/>
        </w:numPr>
        <w:spacing w:line="276" w:lineRule="auto"/>
        <w:rPr>
          <w:rFonts w:ascii="Arial" w:hAnsi="Arial" w:cs="Arial"/>
          <w:sz w:val="24"/>
          <w:szCs w:val="24"/>
        </w:rPr>
      </w:pPr>
      <w:r>
        <w:rPr>
          <w:rFonts w:ascii="Arial" w:hAnsi="Arial" w:cs="Arial"/>
          <w:sz w:val="24"/>
          <w:szCs w:val="24"/>
        </w:rPr>
        <w:t xml:space="preserve">Please confirm that </w:t>
      </w:r>
      <w:proofErr w:type="spellStart"/>
      <w:r>
        <w:rPr>
          <w:rFonts w:ascii="Arial" w:hAnsi="Arial" w:cs="Arial"/>
          <w:sz w:val="24"/>
          <w:szCs w:val="24"/>
        </w:rPr>
        <w:t>Elexicon</w:t>
      </w:r>
      <w:proofErr w:type="spellEnd"/>
      <w:r>
        <w:rPr>
          <w:rFonts w:ascii="Arial" w:hAnsi="Arial" w:cs="Arial"/>
          <w:sz w:val="24"/>
          <w:szCs w:val="24"/>
        </w:rPr>
        <w:t xml:space="preserve">-Whitby has based its determination that the intended results would not </w:t>
      </w:r>
      <w:r w:rsidR="00886DE3">
        <w:rPr>
          <w:rFonts w:ascii="Arial" w:hAnsi="Arial" w:cs="Arial"/>
          <w:sz w:val="24"/>
          <w:szCs w:val="24"/>
        </w:rPr>
        <w:t xml:space="preserve">be </w:t>
      </w:r>
      <w:r>
        <w:rPr>
          <w:rFonts w:ascii="Arial" w:hAnsi="Arial" w:cs="Arial"/>
          <w:sz w:val="24"/>
          <w:szCs w:val="24"/>
        </w:rPr>
        <w:t xml:space="preserve">produced </w:t>
      </w:r>
      <w:r w:rsidR="00886DE3">
        <w:rPr>
          <w:rFonts w:ascii="Arial" w:hAnsi="Arial" w:cs="Arial"/>
          <w:sz w:val="24"/>
          <w:szCs w:val="24"/>
        </w:rPr>
        <w:t>primarily</w:t>
      </w:r>
      <w:r>
        <w:rPr>
          <w:rFonts w:ascii="Arial" w:hAnsi="Arial" w:cs="Arial"/>
          <w:sz w:val="24"/>
          <w:szCs w:val="24"/>
        </w:rPr>
        <w:t xml:space="preserve"> on the percentage deviations between calculated and allocated amounts for each rate class.</w:t>
      </w:r>
    </w:p>
    <w:p w14:paraId="7F54541B" w14:textId="77D32A60" w:rsidR="00145903" w:rsidRDefault="00145903" w:rsidP="00E12F97">
      <w:pPr>
        <w:pStyle w:val="NoSpacing"/>
        <w:numPr>
          <w:ilvl w:val="0"/>
          <w:numId w:val="29"/>
        </w:numPr>
        <w:spacing w:line="276" w:lineRule="auto"/>
        <w:rPr>
          <w:rFonts w:ascii="Arial" w:hAnsi="Arial" w:cs="Arial"/>
          <w:sz w:val="24"/>
          <w:szCs w:val="24"/>
        </w:rPr>
      </w:pPr>
      <w:r>
        <w:rPr>
          <w:rFonts w:ascii="Arial" w:hAnsi="Arial" w:cs="Arial"/>
          <w:sz w:val="24"/>
          <w:szCs w:val="24"/>
        </w:rPr>
        <w:t xml:space="preserve">Please confirm that, on an absolute dollar basis, the deviations between calculated and allocated amounts of shared tax savings are not </w:t>
      </w:r>
      <w:r w:rsidR="00886DE3">
        <w:rPr>
          <w:rFonts w:ascii="Arial" w:hAnsi="Arial" w:cs="Arial"/>
          <w:sz w:val="24"/>
          <w:szCs w:val="24"/>
        </w:rPr>
        <w:t xml:space="preserve">considered </w:t>
      </w:r>
      <w:r>
        <w:rPr>
          <w:rFonts w:ascii="Arial" w:hAnsi="Arial" w:cs="Arial"/>
          <w:sz w:val="24"/>
          <w:szCs w:val="24"/>
        </w:rPr>
        <w:t xml:space="preserve">by </w:t>
      </w:r>
      <w:proofErr w:type="spellStart"/>
      <w:r>
        <w:rPr>
          <w:rFonts w:ascii="Arial" w:hAnsi="Arial" w:cs="Arial"/>
          <w:sz w:val="24"/>
          <w:szCs w:val="24"/>
        </w:rPr>
        <w:t>Elexicon</w:t>
      </w:r>
      <w:proofErr w:type="spellEnd"/>
      <w:r>
        <w:rPr>
          <w:rFonts w:ascii="Arial" w:hAnsi="Arial" w:cs="Arial"/>
          <w:sz w:val="24"/>
          <w:szCs w:val="24"/>
        </w:rPr>
        <w:t>-Whitby to be material (the largest of which is $4,016 in the GS &gt; 50 class).</w:t>
      </w:r>
    </w:p>
    <w:p w14:paraId="3B83BEB0" w14:textId="4290D567" w:rsidR="00145903" w:rsidRDefault="00145903" w:rsidP="00E12F97">
      <w:pPr>
        <w:pStyle w:val="NoSpacing"/>
        <w:numPr>
          <w:ilvl w:val="0"/>
          <w:numId w:val="29"/>
        </w:numPr>
        <w:spacing w:line="276" w:lineRule="auto"/>
        <w:rPr>
          <w:rFonts w:ascii="Arial" w:hAnsi="Arial" w:cs="Arial"/>
          <w:sz w:val="24"/>
          <w:szCs w:val="24"/>
        </w:rPr>
      </w:pPr>
      <w:r>
        <w:rPr>
          <w:rFonts w:ascii="Arial" w:hAnsi="Arial" w:cs="Arial"/>
          <w:sz w:val="24"/>
          <w:szCs w:val="24"/>
        </w:rPr>
        <w:t xml:space="preserve">Does </w:t>
      </w:r>
      <w:proofErr w:type="spellStart"/>
      <w:r>
        <w:rPr>
          <w:rFonts w:ascii="Arial" w:hAnsi="Arial" w:cs="Arial"/>
          <w:sz w:val="24"/>
          <w:szCs w:val="24"/>
        </w:rPr>
        <w:t>Elexicon</w:t>
      </w:r>
      <w:proofErr w:type="spellEnd"/>
      <w:r>
        <w:rPr>
          <w:rFonts w:ascii="Arial" w:hAnsi="Arial" w:cs="Arial"/>
          <w:sz w:val="24"/>
          <w:szCs w:val="24"/>
        </w:rPr>
        <w:t>-Whitby take a firm position with respect to proposing to transfer the shared tax savings amounts to Account 1595 in this proceeding? Please explain.</w:t>
      </w:r>
    </w:p>
    <w:p w14:paraId="1EDC9D12" w14:textId="5D839EF9" w:rsidR="00705009" w:rsidRPr="00705009" w:rsidRDefault="00705009" w:rsidP="00861319">
      <w:pPr>
        <w:pStyle w:val="NoSpacing"/>
        <w:spacing w:line="276" w:lineRule="auto"/>
        <w:rPr>
          <w:rFonts w:ascii="Arial" w:hAnsi="Arial" w:cs="Arial"/>
          <w:sz w:val="24"/>
          <w:szCs w:val="24"/>
        </w:rPr>
      </w:pPr>
    </w:p>
    <w:p w14:paraId="77896C57" w14:textId="77777777" w:rsidR="002A568C" w:rsidRDefault="002A568C" w:rsidP="00861319">
      <w:pPr>
        <w:pStyle w:val="NoSpacing"/>
        <w:spacing w:line="276" w:lineRule="auto"/>
        <w:rPr>
          <w:rFonts w:ascii="Arial" w:hAnsi="Arial" w:cs="Arial"/>
          <w:b/>
          <w:bCs/>
          <w:sz w:val="24"/>
          <w:szCs w:val="24"/>
        </w:rPr>
      </w:pPr>
    </w:p>
    <w:p w14:paraId="4E6D066A" w14:textId="55B1DD4A" w:rsidR="00861319" w:rsidRPr="00555650" w:rsidRDefault="00861319" w:rsidP="00861319">
      <w:pPr>
        <w:pStyle w:val="NoSpacing"/>
        <w:spacing w:line="276" w:lineRule="auto"/>
        <w:rPr>
          <w:rFonts w:ascii="Arial" w:hAnsi="Arial" w:cs="Arial"/>
          <w:b/>
          <w:bCs/>
          <w:sz w:val="24"/>
          <w:szCs w:val="24"/>
        </w:rPr>
      </w:pPr>
      <w:r>
        <w:rPr>
          <w:rFonts w:ascii="Arial" w:hAnsi="Arial" w:cs="Arial"/>
          <w:b/>
          <w:bCs/>
          <w:sz w:val="24"/>
          <w:szCs w:val="24"/>
        </w:rPr>
        <w:t xml:space="preserve">Staff </w:t>
      </w:r>
      <w:r w:rsidRPr="00555650">
        <w:rPr>
          <w:rFonts w:ascii="Arial" w:hAnsi="Arial" w:cs="Arial"/>
          <w:b/>
          <w:bCs/>
          <w:sz w:val="24"/>
          <w:szCs w:val="24"/>
        </w:rPr>
        <w:t xml:space="preserve">Question </w:t>
      </w:r>
      <w:r>
        <w:rPr>
          <w:rFonts w:ascii="Arial" w:hAnsi="Arial" w:cs="Arial"/>
          <w:b/>
          <w:bCs/>
          <w:sz w:val="24"/>
          <w:szCs w:val="24"/>
        </w:rPr>
        <w:t xml:space="preserve">– </w:t>
      </w:r>
      <w:r w:rsidR="003D05DA">
        <w:rPr>
          <w:rFonts w:ascii="Arial" w:hAnsi="Arial" w:cs="Arial"/>
          <w:b/>
          <w:bCs/>
          <w:sz w:val="24"/>
          <w:szCs w:val="24"/>
        </w:rPr>
        <w:t>12</w:t>
      </w:r>
      <w:r>
        <w:rPr>
          <w:rFonts w:ascii="Arial" w:hAnsi="Arial" w:cs="Arial"/>
          <w:b/>
          <w:bCs/>
          <w:sz w:val="24"/>
          <w:szCs w:val="24"/>
        </w:rPr>
        <w:t xml:space="preserve"> </w:t>
      </w:r>
    </w:p>
    <w:p w14:paraId="479BF1C4" w14:textId="54FE6300" w:rsidR="00861319" w:rsidRPr="00555650" w:rsidRDefault="00861319" w:rsidP="00861319">
      <w:pPr>
        <w:pStyle w:val="NoSpacing"/>
        <w:spacing w:line="276" w:lineRule="auto"/>
        <w:rPr>
          <w:rFonts w:ascii="Arial" w:hAnsi="Arial" w:cs="Arial"/>
          <w:b/>
          <w:bCs/>
          <w:sz w:val="24"/>
          <w:szCs w:val="24"/>
        </w:rPr>
      </w:pPr>
      <w:r w:rsidRPr="00555650">
        <w:rPr>
          <w:rFonts w:ascii="Arial" w:hAnsi="Arial" w:cs="Arial"/>
          <w:b/>
          <w:bCs/>
          <w:sz w:val="24"/>
          <w:szCs w:val="24"/>
        </w:rPr>
        <w:t>Ref:</w:t>
      </w:r>
      <w:r w:rsidRPr="00555650">
        <w:rPr>
          <w:rFonts w:ascii="Arial" w:hAnsi="Arial" w:cs="Arial"/>
          <w:b/>
          <w:bCs/>
          <w:sz w:val="24"/>
          <w:szCs w:val="24"/>
        </w:rPr>
        <w:tab/>
        <w:t xml:space="preserve">Tab 8 of LRAMVA </w:t>
      </w:r>
      <w:proofErr w:type="spellStart"/>
      <w:r w:rsidR="00280573">
        <w:rPr>
          <w:rFonts w:ascii="Arial" w:hAnsi="Arial" w:cs="Arial"/>
          <w:b/>
          <w:bCs/>
          <w:sz w:val="24"/>
          <w:szCs w:val="24"/>
        </w:rPr>
        <w:t>W</w:t>
      </w:r>
      <w:r w:rsidRPr="00555650">
        <w:rPr>
          <w:rFonts w:ascii="Arial" w:hAnsi="Arial" w:cs="Arial"/>
          <w:b/>
          <w:bCs/>
          <w:sz w:val="24"/>
          <w:szCs w:val="24"/>
        </w:rPr>
        <w:t>orkform</w:t>
      </w:r>
      <w:proofErr w:type="spellEnd"/>
      <w:r w:rsidRPr="00555650">
        <w:rPr>
          <w:rFonts w:ascii="Arial" w:hAnsi="Arial" w:cs="Arial"/>
          <w:b/>
          <w:bCs/>
          <w:sz w:val="24"/>
          <w:szCs w:val="24"/>
        </w:rPr>
        <w:t xml:space="preserve"> (Streetlighting)</w:t>
      </w:r>
    </w:p>
    <w:p w14:paraId="4496BD33" w14:textId="77777777" w:rsidR="00861319" w:rsidRPr="00555650" w:rsidRDefault="00861319" w:rsidP="00861319">
      <w:pPr>
        <w:pStyle w:val="NoSpacing"/>
        <w:spacing w:line="276" w:lineRule="auto"/>
        <w:rPr>
          <w:rFonts w:ascii="Arial" w:hAnsi="Arial" w:cs="Arial"/>
          <w:b/>
          <w:bCs/>
          <w:sz w:val="24"/>
          <w:szCs w:val="24"/>
        </w:rPr>
      </w:pPr>
      <w:r w:rsidRPr="00555650">
        <w:rPr>
          <w:rFonts w:ascii="Arial" w:hAnsi="Arial" w:cs="Arial"/>
          <w:b/>
          <w:bCs/>
          <w:sz w:val="24"/>
          <w:szCs w:val="24"/>
        </w:rPr>
        <w:tab/>
        <w:t xml:space="preserve">Appendix A – LRAMVA Disposition, Application, p. 7 </w:t>
      </w:r>
    </w:p>
    <w:p w14:paraId="65E534ED" w14:textId="77777777" w:rsidR="00861319" w:rsidRDefault="00861319" w:rsidP="00861319">
      <w:pPr>
        <w:pStyle w:val="NoSpacing"/>
        <w:spacing w:line="276" w:lineRule="auto"/>
        <w:rPr>
          <w:rFonts w:ascii="Arial" w:hAnsi="Arial" w:cs="Arial"/>
          <w:sz w:val="24"/>
          <w:szCs w:val="24"/>
        </w:rPr>
      </w:pPr>
    </w:p>
    <w:p w14:paraId="252C5B6A" w14:textId="3D98E885" w:rsidR="00861319" w:rsidRDefault="00280573" w:rsidP="00861319">
      <w:pPr>
        <w:pStyle w:val="NoSpacing"/>
        <w:spacing w:line="276" w:lineRule="auto"/>
        <w:rPr>
          <w:rFonts w:ascii="Arial" w:hAnsi="Arial" w:cs="Arial"/>
          <w:sz w:val="24"/>
          <w:szCs w:val="24"/>
        </w:rPr>
      </w:pPr>
      <w:proofErr w:type="spellStart"/>
      <w:r>
        <w:rPr>
          <w:rFonts w:ascii="Arial" w:hAnsi="Arial" w:cs="Arial"/>
          <w:sz w:val="24"/>
          <w:szCs w:val="24"/>
        </w:rPr>
        <w:t>Elexicon</w:t>
      </w:r>
      <w:proofErr w:type="spellEnd"/>
      <w:r>
        <w:rPr>
          <w:rFonts w:ascii="Arial" w:hAnsi="Arial" w:cs="Arial"/>
          <w:sz w:val="24"/>
          <w:szCs w:val="24"/>
        </w:rPr>
        <w:t>-Whitby</w:t>
      </w:r>
      <w:r w:rsidR="00861319" w:rsidRPr="00555650">
        <w:rPr>
          <w:rFonts w:ascii="Arial" w:hAnsi="Arial" w:cs="Arial"/>
          <w:sz w:val="24"/>
          <w:szCs w:val="24"/>
        </w:rPr>
        <w:t xml:space="preserve"> has confirmed that savings are calculated on existing lights which have been retrofitted and attributable to </w:t>
      </w:r>
      <w:r w:rsidR="00861319">
        <w:rPr>
          <w:rFonts w:ascii="Arial" w:hAnsi="Arial" w:cs="Arial"/>
          <w:sz w:val="24"/>
          <w:szCs w:val="24"/>
        </w:rPr>
        <w:t xml:space="preserve">the city’s </w:t>
      </w:r>
      <w:r w:rsidR="00861319" w:rsidRPr="00555650">
        <w:rPr>
          <w:rFonts w:ascii="Arial" w:hAnsi="Arial" w:cs="Arial"/>
          <w:sz w:val="24"/>
          <w:szCs w:val="24"/>
        </w:rPr>
        <w:t xml:space="preserve">participation in the IESO program. However, the street light savings </w:t>
      </w:r>
      <w:r w:rsidR="00861319">
        <w:rPr>
          <w:rFonts w:ascii="Arial" w:hAnsi="Arial" w:cs="Arial"/>
          <w:sz w:val="24"/>
          <w:szCs w:val="24"/>
        </w:rPr>
        <w:t xml:space="preserve">achieved </w:t>
      </w:r>
      <w:r w:rsidR="00861319" w:rsidRPr="00555650">
        <w:rPr>
          <w:rFonts w:ascii="Arial" w:hAnsi="Arial" w:cs="Arial"/>
          <w:sz w:val="24"/>
          <w:szCs w:val="24"/>
        </w:rPr>
        <w:t xml:space="preserve">in 2017 and 2018 appear to be </w:t>
      </w:r>
      <w:proofErr w:type="gramStart"/>
      <w:r w:rsidR="00861319" w:rsidRPr="00555650">
        <w:rPr>
          <w:rFonts w:ascii="Arial" w:hAnsi="Arial" w:cs="Arial"/>
          <w:sz w:val="24"/>
          <w:szCs w:val="24"/>
        </w:rPr>
        <w:t>double</w:t>
      </w:r>
      <w:r>
        <w:rPr>
          <w:rFonts w:ascii="Arial" w:hAnsi="Arial" w:cs="Arial"/>
          <w:sz w:val="24"/>
          <w:szCs w:val="24"/>
        </w:rPr>
        <w:t>-</w:t>
      </w:r>
      <w:r w:rsidR="00861319" w:rsidRPr="00555650">
        <w:rPr>
          <w:rFonts w:ascii="Arial" w:hAnsi="Arial" w:cs="Arial"/>
          <w:sz w:val="24"/>
          <w:szCs w:val="24"/>
        </w:rPr>
        <w:t>counted</w:t>
      </w:r>
      <w:proofErr w:type="gramEnd"/>
      <w:r>
        <w:rPr>
          <w:rFonts w:ascii="Arial" w:hAnsi="Arial" w:cs="Arial"/>
          <w:sz w:val="24"/>
          <w:szCs w:val="24"/>
        </w:rPr>
        <w:t>,</w:t>
      </w:r>
      <w:r w:rsidR="00861319" w:rsidRPr="00555650">
        <w:rPr>
          <w:rFonts w:ascii="Arial" w:hAnsi="Arial" w:cs="Arial"/>
          <w:sz w:val="24"/>
          <w:szCs w:val="24"/>
        </w:rPr>
        <w:t xml:space="preserve"> as </w:t>
      </w:r>
      <w:r w:rsidR="00861319">
        <w:rPr>
          <w:rFonts w:ascii="Arial" w:hAnsi="Arial" w:cs="Arial"/>
          <w:sz w:val="24"/>
          <w:szCs w:val="24"/>
        </w:rPr>
        <w:t xml:space="preserve">both the </w:t>
      </w:r>
      <w:r w:rsidR="00861319" w:rsidRPr="00555650">
        <w:rPr>
          <w:rFonts w:ascii="Arial" w:hAnsi="Arial" w:cs="Arial"/>
          <w:sz w:val="24"/>
          <w:szCs w:val="24"/>
        </w:rPr>
        <w:t>demand</w:t>
      </w:r>
      <w:r w:rsidR="00861319">
        <w:rPr>
          <w:rFonts w:ascii="Arial" w:hAnsi="Arial" w:cs="Arial"/>
          <w:sz w:val="24"/>
          <w:szCs w:val="24"/>
        </w:rPr>
        <w:t xml:space="preserve"> and </w:t>
      </w:r>
      <w:r w:rsidR="00861319" w:rsidRPr="00555650">
        <w:rPr>
          <w:rFonts w:ascii="Arial" w:hAnsi="Arial" w:cs="Arial"/>
          <w:sz w:val="24"/>
          <w:szCs w:val="24"/>
        </w:rPr>
        <w:t xml:space="preserve">energy savings are claimed in </w:t>
      </w:r>
      <w:r w:rsidR="00861319">
        <w:rPr>
          <w:rFonts w:ascii="Arial" w:hAnsi="Arial" w:cs="Arial"/>
          <w:sz w:val="24"/>
          <w:szCs w:val="24"/>
        </w:rPr>
        <w:t>the LRAMVA</w:t>
      </w:r>
      <w:r w:rsidR="00861319" w:rsidRPr="00555650">
        <w:rPr>
          <w:rFonts w:ascii="Arial" w:hAnsi="Arial" w:cs="Arial"/>
          <w:sz w:val="24"/>
          <w:szCs w:val="24"/>
        </w:rPr>
        <w:t xml:space="preserve">. </w:t>
      </w:r>
    </w:p>
    <w:p w14:paraId="31BBB9E4" w14:textId="77777777" w:rsidR="00861319" w:rsidRDefault="00861319" w:rsidP="00861319">
      <w:pPr>
        <w:pStyle w:val="NoSpacing"/>
        <w:spacing w:line="276" w:lineRule="auto"/>
        <w:rPr>
          <w:rFonts w:ascii="Arial" w:hAnsi="Arial" w:cs="Arial"/>
          <w:sz w:val="24"/>
          <w:szCs w:val="24"/>
        </w:rPr>
      </w:pPr>
    </w:p>
    <w:p w14:paraId="09D72524" w14:textId="77777777" w:rsidR="00861319" w:rsidRDefault="00861319" w:rsidP="00861319">
      <w:pPr>
        <w:pStyle w:val="NoSpacing"/>
        <w:numPr>
          <w:ilvl w:val="0"/>
          <w:numId w:val="18"/>
        </w:numPr>
        <w:spacing w:line="276" w:lineRule="auto"/>
        <w:rPr>
          <w:rFonts w:ascii="Arial" w:hAnsi="Arial" w:cs="Arial"/>
          <w:sz w:val="24"/>
          <w:szCs w:val="24"/>
        </w:rPr>
      </w:pPr>
      <w:r>
        <w:rPr>
          <w:rFonts w:ascii="Arial" w:hAnsi="Arial" w:cs="Arial"/>
          <w:sz w:val="24"/>
          <w:szCs w:val="24"/>
        </w:rPr>
        <w:lastRenderedPageBreak/>
        <w:t xml:space="preserve">Please confirm that the street light savings achieved from the 2015 to 2018 period do not include savings due to natural replacements that were done outside of the city’s participation in </w:t>
      </w:r>
      <w:proofErr w:type="spellStart"/>
      <w:r w:rsidRPr="00555650">
        <w:rPr>
          <w:rFonts w:ascii="Arial" w:hAnsi="Arial" w:cs="Arial"/>
          <w:sz w:val="24"/>
          <w:szCs w:val="24"/>
        </w:rPr>
        <w:t>saveOnEnergy</w:t>
      </w:r>
      <w:proofErr w:type="spellEnd"/>
      <w:r>
        <w:rPr>
          <w:rFonts w:ascii="Arial" w:hAnsi="Arial" w:cs="Arial"/>
          <w:sz w:val="24"/>
          <w:szCs w:val="24"/>
        </w:rPr>
        <w:t xml:space="preserve"> CDM program. </w:t>
      </w:r>
    </w:p>
    <w:p w14:paraId="1DB88A3B" w14:textId="77777777" w:rsidR="00861319" w:rsidRPr="00555650" w:rsidRDefault="00861319" w:rsidP="00861319">
      <w:pPr>
        <w:pStyle w:val="NoSpacing"/>
        <w:numPr>
          <w:ilvl w:val="0"/>
          <w:numId w:val="18"/>
        </w:numPr>
        <w:spacing w:line="276" w:lineRule="auto"/>
        <w:rPr>
          <w:rFonts w:ascii="Arial" w:hAnsi="Arial" w:cs="Arial"/>
          <w:sz w:val="24"/>
          <w:szCs w:val="24"/>
        </w:rPr>
      </w:pPr>
      <w:r>
        <w:rPr>
          <w:rFonts w:ascii="Arial" w:hAnsi="Arial" w:cs="Arial"/>
          <w:sz w:val="24"/>
          <w:szCs w:val="24"/>
        </w:rPr>
        <w:t xml:space="preserve">As shown in Table 3 of Appendix A, the energy savings associated with streetlighting (in kWh) were netted out of the 2015 and 2016 </w:t>
      </w:r>
      <w:proofErr w:type="spellStart"/>
      <w:r w:rsidRPr="00555650">
        <w:rPr>
          <w:rFonts w:ascii="Arial" w:hAnsi="Arial" w:cs="Arial"/>
          <w:sz w:val="24"/>
          <w:szCs w:val="24"/>
        </w:rPr>
        <w:t>saveOnEnergy</w:t>
      </w:r>
      <w:proofErr w:type="spellEnd"/>
      <w:r>
        <w:rPr>
          <w:rFonts w:ascii="Arial" w:hAnsi="Arial" w:cs="Arial"/>
          <w:sz w:val="24"/>
          <w:szCs w:val="24"/>
        </w:rPr>
        <w:t xml:space="preserve"> </w:t>
      </w:r>
      <w:r w:rsidRPr="00555650">
        <w:rPr>
          <w:rFonts w:ascii="Arial" w:hAnsi="Arial" w:cs="Arial"/>
          <w:sz w:val="24"/>
          <w:szCs w:val="24"/>
        </w:rPr>
        <w:t>retrofit program</w:t>
      </w:r>
      <w:r>
        <w:rPr>
          <w:rFonts w:ascii="Arial" w:hAnsi="Arial" w:cs="Arial"/>
          <w:sz w:val="24"/>
          <w:szCs w:val="24"/>
        </w:rPr>
        <w:t xml:space="preserve">s. </w:t>
      </w:r>
      <w:r w:rsidRPr="00555650">
        <w:rPr>
          <w:rFonts w:ascii="Arial" w:hAnsi="Arial" w:cs="Arial"/>
          <w:sz w:val="24"/>
          <w:szCs w:val="24"/>
        </w:rPr>
        <w:t>Please quanti</w:t>
      </w:r>
      <w:r>
        <w:rPr>
          <w:rFonts w:ascii="Arial" w:hAnsi="Arial" w:cs="Arial"/>
          <w:sz w:val="24"/>
          <w:szCs w:val="24"/>
        </w:rPr>
        <w:t>f</w:t>
      </w:r>
      <w:r w:rsidRPr="00555650">
        <w:rPr>
          <w:rFonts w:ascii="Arial" w:hAnsi="Arial" w:cs="Arial"/>
          <w:sz w:val="24"/>
          <w:szCs w:val="24"/>
        </w:rPr>
        <w:t xml:space="preserve">y the energy savings related to street lighting upgrades from </w:t>
      </w:r>
      <w:r>
        <w:rPr>
          <w:rFonts w:ascii="Arial" w:hAnsi="Arial" w:cs="Arial"/>
          <w:sz w:val="24"/>
          <w:szCs w:val="24"/>
        </w:rPr>
        <w:t xml:space="preserve">the </w:t>
      </w:r>
      <w:r w:rsidRPr="00555650">
        <w:rPr>
          <w:rFonts w:ascii="Arial" w:hAnsi="Arial" w:cs="Arial"/>
          <w:sz w:val="24"/>
          <w:szCs w:val="24"/>
        </w:rPr>
        <w:t>2017</w:t>
      </w:r>
      <w:r>
        <w:rPr>
          <w:rFonts w:ascii="Arial" w:hAnsi="Arial" w:cs="Arial"/>
          <w:sz w:val="24"/>
          <w:szCs w:val="24"/>
        </w:rPr>
        <w:t xml:space="preserve"> and</w:t>
      </w:r>
      <w:r w:rsidRPr="00555650">
        <w:rPr>
          <w:rFonts w:ascii="Arial" w:hAnsi="Arial" w:cs="Arial"/>
          <w:sz w:val="24"/>
          <w:szCs w:val="24"/>
        </w:rPr>
        <w:t xml:space="preserve"> 2018 </w:t>
      </w:r>
      <w:proofErr w:type="spellStart"/>
      <w:r w:rsidRPr="00555650">
        <w:rPr>
          <w:rFonts w:ascii="Arial" w:hAnsi="Arial" w:cs="Arial"/>
          <w:sz w:val="24"/>
          <w:szCs w:val="24"/>
        </w:rPr>
        <w:t>saveOnEnergy</w:t>
      </w:r>
      <w:proofErr w:type="spellEnd"/>
      <w:r w:rsidRPr="00555650">
        <w:rPr>
          <w:rFonts w:ascii="Arial" w:hAnsi="Arial" w:cs="Arial"/>
          <w:sz w:val="24"/>
          <w:szCs w:val="24"/>
        </w:rPr>
        <w:t xml:space="preserve"> retrofit programs.  </w:t>
      </w:r>
    </w:p>
    <w:p w14:paraId="4B9BBD18" w14:textId="77777777" w:rsidR="00861319" w:rsidRDefault="00861319" w:rsidP="00861319">
      <w:pPr>
        <w:pStyle w:val="NoSpacing"/>
        <w:numPr>
          <w:ilvl w:val="0"/>
          <w:numId w:val="18"/>
        </w:numPr>
        <w:spacing w:line="276" w:lineRule="auto"/>
        <w:rPr>
          <w:rFonts w:ascii="Arial" w:hAnsi="Arial" w:cs="Arial"/>
          <w:sz w:val="24"/>
          <w:szCs w:val="24"/>
        </w:rPr>
      </w:pPr>
      <w:r w:rsidRPr="00555650">
        <w:rPr>
          <w:rFonts w:ascii="Arial" w:hAnsi="Arial" w:cs="Arial"/>
          <w:sz w:val="24"/>
          <w:szCs w:val="24"/>
        </w:rPr>
        <w:t xml:space="preserve">Please explain why the energy savings associated with street light savings were not deducted from the 2017 retrofit program </w:t>
      </w:r>
      <w:r>
        <w:rPr>
          <w:rFonts w:ascii="Arial" w:hAnsi="Arial" w:cs="Arial"/>
          <w:sz w:val="24"/>
          <w:szCs w:val="24"/>
        </w:rPr>
        <w:t>(total savings of</w:t>
      </w:r>
      <w:r w:rsidRPr="00555650">
        <w:rPr>
          <w:rFonts w:ascii="Arial" w:hAnsi="Arial" w:cs="Arial"/>
          <w:sz w:val="24"/>
          <w:szCs w:val="24"/>
        </w:rPr>
        <w:t xml:space="preserve"> 4,297,254 kWh</w:t>
      </w:r>
      <w:r>
        <w:rPr>
          <w:rFonts w:ascii="Arial" w:hAnsi="Arial" w:cs="Arial"/>
          <w:sz w:val="24"/>
          <w:szCs w:val="24"/>
        </w:rPr>
        <w:t>)</w:t>
      </w:r>
      <w:r w:rsidRPr="00555650">
        <w:rPr>
          <w:rFonts w:ascii="Arial" w:hAnsi="Arial" w:cs="Arial"/>
          <w:sz w:val="24"/>
          <w:szCs w:val="24"/>
        </w:rPr>
        <w:t xml:space="preserve"> and from the 2018 retrofit program </w:t>
      </w:r>
      <w:r>
        <w:rPr>
          <w:rFonts w:ascii="Arial" w:hAnsi="Arial" w:cs="Arial"/>
          <w:sz w:val="24"/>
          <w:szCs w:val="24"/>
        </w:rPr>
        <w:t xml:space="preserve">(total </w:t>
      </w:r>
      <w:r w:rsidRPr="00555650">
        <w:rPr>
          <w:rFonts w:ascii="Arial" w:hAnsi="Arial" w:cs="Arial"/>
          <w:sz w:val="24"/>
          <w:szCs w:val="24"/>
        </w:rPr>
        <w:t>savings of 5,192,386 kWh</w:t>
      </w:r>
      <w:r>
        <w:rPr>
          <w:rFonts w:ascii="Arial" w:hAnsi="Arial" w:cs="Arial"/>
          <w:sz w:val="24"/>
          <w:szCs w:val="24"/>
        </w:rPr>
        <w:t>) and the appropriateness of not doing so</w:t>
      </w:r>
      <w:r w:rsidRPr="00555650">
        <w:rPr>
          <w:rFonts w:ascii="Arial" w:hAnsi="Arial" w:cs="Arial"/>
          <w:sz w:val="24"/>
          <w:szCs w:val="24"/>
        </w:rPr>
        <w:t xml:space="preserve">.  </w:t>
      </w:r>
    </w:p>
    <w:p w14:paraId="30B21C62" w14:textId="2E1D1926" w:rsidR="00861319" w:rsidRDefault="00861319" w:rsidP="00861319">
      <w:pPr>
        <w:pStyle w:val="NoSpacing"/>
        <w:numPr>
          <w:ilvl w:val="0"/>
          <w:numId w:val="18"/>
        </w:numPr>
        <w:spacing w:line="276" w:lineRule="auto"/>
        <w:rPr>
          <w:rFonts w:ascii="Arial" w:hAnsi="Arial" w:cs="Arial"/>
          <w:sz w:val="24"/>
          <w:szCs w:val="24"/>
        </w:rPr>
      </w:pPr>
      <w:r w:rsidRPr="00555650">
        <w:rPr>
          <w:rFonts w:ascii="Arial" w:hAnsi="Arial" w:cs="Arial"/>
          <w:sz w:val="24"/>
          <w:szCs w:val="24"/>
        </w:rPr>
        <w:t xml:space="preserve">If the energy related savings from street lighting upgrades are </w:t>
      </w:r>
      <w:r>
        <w:rPr>
          <w:rFonts w:ascii="Arial" w:hAnsi="Arial" w:cs="Arial"/>
          <w:sz w:val="24"/>
          <w:szCs w:val="24"/>
        </w:rPr>
        <w:t xml:space="preserve">included in the 2017 and 2018 </w:t>
      </w:r>
      <w:r w:rsidRPr="00555650">
        <w:rPr>
          <w:rFonts w:ascii="Arial" w:hAnsi="Arial" w:cs="Arial"/>
          <w:sz w:val="24"/>
          <w:szCs w:val="24"/>
        </w:rPr>
        <w:t>retrofit program</w:t>
      </w:r>
      <w:r>
        <w:rPr>
          <w:rFonts w:ascii="Arial" w:hAnsi="Arial" w:cs="Arial"/>
          <w:sz w:val="24"/>
          <w:szCs w:val="24"/>
        </w:rPr>
        <w:t>s</w:t>
      </w:r>
      <w:r w:rsidRPr="00555650">
        <w:rPr>
          <w:rFonts w:ascii="Arial" w:hAnsi="Arial" w:cs="Arial"/>
          <w:sz w:val="24"/>
          <w:szCs w:val="24"/>
        </w:rPr>
        <w:t>, please clarify how there is no double</w:t>
      </w:r>
      <w:r w:rsidR="00280573">
        <w:rPr>
          <w:rFonts w:ascii="Arial" w:hAnsi="Arial" w:cs="Arial"/>
          <w:sz w:val="24"/>
          <w:szCs w:val="24"/>
        </w:rPr>
        <w:t>-</w:t>
      </w:r>
      <w:r w:rsidRPr="00555650">
        <w:rPr>
          <w:rFonts w:ascii="Arial" w:hAnsi="Arial" w:cs="Arial"/>
          <w:sz w:val="24"/>
          <w:szCs w:val="24"/>
        </w:rPr>
        <w:t>counting of street lighting savings in the LRAMVA for 2017 and 2018.</w:t>
      </w:r>
    </w:p>
    <w:p w14:paraId="3BF7AD33" w14:textId="2D5A90AF" w:rsidR="00861319" w:rsidRDefault="00861319" w:rsidP="00861319">
      <w:pPr>
        <w:pStyle w:val="NoSpacing"/>
        <w:numPr>
          <w:ilvl w:val="0"/>
          <w:numId w:val="18"/>
        </w:numPr>
        <w:spacing w:line="276" w:lineRule="auto"/>
        <w:rPr>
          <w:rFonts w:ascii="Arial" w:hAnsi="Arial" w:cs="Arial"/>
          <w:sz w:val="24"/>
          <w:szCs w:val="24"/>
        </w:rPr>
      </w:pPr>
      <w:bookmarkStart w:id="1" w:name="_Hlk52951872"/>
      <w:r>
        <w:rPr>
          <w:rFonts w:ascii="Arial" w:hAnsi="Arial" w:cs="Arial"/>
          <w:sz w:val="24"/>
          <w:szCs w:val="24"/>
        </w:rPr>
        <w:t>For 2017/18, please clarify the specific reference for the 2018 net-to-gross ratio of 89.18% and the rationale for using this assumption, as it is higher than previous years</w:t>
      </w:r>
      <w:r w:rsidR="00D36342">
        <w:rPr>
          <w:rFonts w:ascii="Arial" w:hAnsi="Arial" w:cs="Arial"/>
          <w:sz w:val="24"/>
          <w:szCs w:val="24"/>
        </w:rPr>
        <w:t>’</w:t>
      </w:r>
      <w:r>
        <w:rPr>
          <w:rFonts w:ascii="Arial" w:hAnsi="Arial" w:cs="Arial"/>
          <w:sz w:val="24"/>
          <w:szCs w:val="24"/>
        </w:rPr>
        <w:t xml:space="preserve"> net-to-gross </w:t>
      </w:r>
      <w:bookmarkStart w:id="2" w:name="_GoBack"/>
      <w:r>
        <w:rPr>
          <w:rFonts w:ascii="Arial" w:hAnsi="Arial" w:cs="Arial"/>
          <w:sz w:val="24"/>
          <w:szCs w:val="24"/>
        </w:rPr>
        <w:t>adjustments</w:t>
      </w:r>
      <w:bookmarkEnd w:id="2"/>
      <w:r>
        <w:rPr>
          <w:rFonts w:ascii="Arial" w:hAnsi="Arial" w:cs="Arial"/>
          <w:sz w:val="24"/>
          <w:szCs w:val="24"/>
        </w:rPr>
        <w:t xml:space="preserve"> of 76.77% in 2015 and 60.98% in 2016.</w:t>
      </w:r>
    </w:p>
    <w:bookmarkEnd w:id="1"/>
    <w:p w14:paraId="4EDE667C" w14:textId="450E7F6F" w:rsidR="00886D1F" w:rsidRDefault="00886D1F" w:rsidP="00886D1F">
      <w:pPr>
        <w:pStyle w:val="NoSpacing"/>
        <w:spacing w:line="276" w:lineRule="auto"/>
        <w:rPr>
          <w:rFonts w:ascii="Arial" w:hAnsi="Arial" w:cs="Arial"/>
          <w:sz w:val="24"/>
          <w:szCs w:val="24"/>
        </w:rPr>
      </w:pPr>
    </w:p>
    <w:p w14:paraId="751C9880" w14:textId="0F87982A" w:rsidR="00861319" w:rsidRDefault="00861319" w:rsidP="00861319">
      <w:pPr>
        <w:pStyle w:val="NoSpacing"/>
        <w:spacing w:line="276" w:lineRule="auto"/>
        <w:rPr>
          <w:rFonts w:ascii="Arial" w:hAnsi="Arial" w:cs="Arial"/>
          <w:b/>
          <w:bCs/>
          <w:sz w:val="24"/>
          <w:szCs w:val="24"/>
        </w:rPr>
      </w:pPr>
      <w:r>
        <w:rPr>
          <w:rFonts w:ascii="Arial" w:hAnsi="Arial" w:cs="Arial"/>
          <w:b/>
          <w:bCs/>
          <w:sz w:val="24"/>
          <w:szCs w:val="24"/>
        </w:rPr>
        <w:t xml:space="preserve">Staff </w:t>
      </w:r>
      <w:r w:rsidRPr="00555650">
        <w:rPr>
          <w:rFonts w:ascii="Arial" w:hAnsi="Arial" w:cs="Arial"/>
          <w:b/>
          <w:bCs/>
          <w:sz w:val="24"/>
          <w:szCs w:val="24"/>
        </w:rPr>
        <w:t>Question</w:t>
      </w:r>
      <w:r>
        <w:rPr>
          <w:rFonts w:ascii="Arial" w:hAnsi="Arial" w:cs="Arial"/>
          <w:b/>
          <w:bCs/>
          <w:sz w:val="24"/>
          <w:szCs w:val="24"/>
        </w:rPr>
        <w:t xml:space="preserve"> – </w:t>
      </w:r>
      <w:r w:rsidR="003D05DA">
        <w:rPr>
          <w:rFonts w:ascii="Arial" w:hAnsi="Arial" w:cs="Arial"/>
          <w:b/>
          <w:bCs/>
          <w:sz w:val="24"/>
          <w:szCs w:val="24"/>
        </w:rPr>
        <w:t>13</w:t>
      </w:r>
      <w:r>
        <w:rPr>
          <w:rFonts w:ascii="Arial" w:hAnsi="Arial" w:cs="Arial"/>
          <w:b/>
          <w:bCs/>
          <w:sz w:val="24"/>
          <w:szCs w:val="24"/>
        </w:rPr>
        <w:t xml:space="preserve"> </w:t>
      </w:r>
    </w:p>
    <w:p w14:paraId="26E29818" w14:textId="77777777" w:rsidR="00861319" w:rsidRPr="00555650" w:rsidRDefault="00861319" w:rsidP="00861319">
      <w:pPr>
        <w:pStyle w:val="NoSpacing"/>
        <w:spacing w:line="276" w:lineRule="auto"/>
        <w:rPr>
          <w:rFonts w:ascii="Arial" w:hAnsi="Arial" w:cs="Arial"/>
          <w:b/>
          <w:bCs/>
          <w:sz w:val="24"/>
          <w:szCs w:val="24"/>
        </w:rPr>
      </w:pPr>
    </w:p>
    <w:p w14:paraId="65135C83" w14:textId="63F8F677" w:rsidR="00861319" w:rsidRPr="00555650" w:rsidRDefault="00861319" w:rsidP="00861319">
      <w:pPr>
        <w:pStyle w:val="NoSpacing"/>
        <w:spacing w:line="276" w:lineRule="auto"/>
        <w:rPr>
          <w:rFonts w:ascii="Arial" w:hAnsi="Arial" w:cs="Arial"/>
          <w:b/>
          <w:sz w:val="24"/>
          <w:szCs w:val="24"/>
        </w:rPr>
      </w:pPr>
      <w:r w:rsidRPr="00555650">
        <w:rPr>
          <w:rFonts w:ascii="Arial" w:hAnsi="Arial" w:cs="Arial"/>
          <w:b/>
          <w:sz w:val="24"/>
          <w:szCs w:val="24"/>
        </w:rPr>
        <w:t>Ref:</w:t>
      </w:r>
      <w:r w:rsidRPr="00555650">
        <w:rPr>
          <w:rFonts w:ascii="Arial" w:hAnsi="Arial" w:cs="Arial"/>
          <w:b/>
          <w:sz w:val="24"/>
          <w:szCs w:val="24"/>
        </w:rPr>
        <w:tab/>
        <w:t xml:space="preserve">LRAMVA </w:t>
      </w:r>
      <w:proofErr w:type="spellStart"/>
      <w:r w:rsidR="00280573">
        <w:rPr>
          <w:rFonts w:ascii="Arial" w:hAnsi="Arial" w:cs="Arial"/>
          <w:b/>
          <w:sz w:val="24"/>
          <w:szCs w:val="24"/>
        </w:rPr>
        <w:t>W</w:t>
      </w:r>
      <w:r w:rsidRPr="00555650">
        <w:rPr>
          <w:rFonts w:ascii="Arial" w:hAnsi="Arial" w:cs="Arial"/>
          <w:b/>
          <w:sz w:val="24"/>
          <w:szCs w:val="24"/>
        </w:rPr>
        <w:t>orkform</w:t>
      </w:r>
      <w:proofErr w:type="spellEnd"/>
      <w:r w:rsidRPr="00555650">
        <w:rPr>
          <w:rFonts w:ascii="Arial" w:hAnsi="Arial" w:cs="Arial"/>
          <w:b/>
          <w:sz w:val="24"/>
          <w:szCs w:val="24"/>
        </w:rPr>
        <w:t>, Tab 1-a</w:t>
      </w:r>
    </w:p>
    <w:p w14:paraId="32D0EABA" w14:textId="1DA9D424" w:rsidR="00861319" w:rsidRPr="00555650" w:rsidRDefault="00861319" w:rsidP="00861319">
      <w:pPr>
        <w:pStyle w:val="NoSpacing"/>
        <w:numPr>
          <w:ilvl w:val="0"/>
          <w:numId w:val="19"/>
        </w:numPr>
        <w:spacing w:line="276" w:lineRule="auto"/>
        <w:rPr>
          <w:rFonts w:ascii="Arial" w:hAnsi="Arial" w:cs="Arial"/>
          <w:sz w:val="24"/>
          <w:szCs w:val="24"/>
        </w:rPr>
      </w:pPr>
      <w:r w:rsidRPr="00555650">
        <w:rPr>
          <w:rFonts w:ascii="Arial" w:hAnsi="Arial" w:cs="Arial"/>
          <w:sz w:val="24"/>
          <w:szCs w:val="24"/>
        </w:rPr>
        <w:t xml:space="preserve">If </w:t>
      </w:r>
      <w:proofErr w:type="spellStart"/>
      <w:r w:rsidRPr="00555650">
        <w:rPr>
          <w:rFonts w:ascii="Arial" w:hAnsi="Arial" w:cs="Arial"/>
          <w:sz w:val="24"/>
          <w:szCs w:val="24"/>
        </w:rPr>
        <w:t>Elexicon</w:t>
      </w:r>
      <w:proofErr w:type="spellEnd"/>
      <w:r w:rsidR="00280573">
        <w:rPr>
          <w:rFonts w:ascii="Arial" w:hAnsi="Arial" w:cs="Arial"/>
          <w:sz w:val="24"/>
          <w:szCs w:val="24"/>
        </w:rPr>
        <w:t xml:space="preserve">-Whitby </w:t>
      </w:r>
      <w:r w:rsidRPr="00555650">
        <w:rPr>
          <w:rFonts w:ascii="Arial" w:hAnsi="Arial" w:cs="Arial"/>
          <w:sz w:val="24"/>
          <w:szCs w:val="24"/>
        </w:rPr>
        <w:t xml:space="preserve">made any changes to the LRAMVA </w:t>
      </w:r>
      <w:proofErr w:type="spellStart"/>
      <w:r w:rsidR="00280573">
        <w:rPr>
          <w:rFonts w:ascii="Arial" w:hAnsi="Arial" w:cs="Arial"/>
          <w:sz w:val="24"/>
          <w:szCs w:val="24"/>
        </w:rPr>
        <w:t>W</w:t>
      </w:r>
      <w:r w:rsidRPr="00555650">
        <w:rPr>
          <w:rFonts w:ascii="Arial" w:hAnsi="Arial" w:cs="Arial"/>
          <w:sz w:val="24"/>
          <w:szCs w:val="24"/>
        </w:rPr>
        <w:t>orkform</w:t>
      </w:r>
      <w:proofErr w:type="spellEnd"/>
      <w:r w:rsidRPr="00555650">
        <w:rPr>
          <w:rFonts w:ascii="Arial" w:hAnsi="Arial" w:cs="Arial"/>
          <w:sz w:val="24"/>
          <w:szCs w:val="24"/>
        </w:rPr>
        <w:t xml:space="preserve"> as a result of its responses to the above LRAMVA</w:t>
      </w:r>
      <w:r>
        <w:rPr>
          <w:rFonts w:ascii="Arial" w:hAnsi="Arial" w:cs="Arial"/>
          <w:sz w:val="24"/>
          <w:szCs w:val="24"/>
        </w:rPr>
        <w:t xml:space="preserve"> question</w:t>
      </w:r>
      <w:r w:rsidRPr="00555650">
        <w:rPr>
          <w:rFonts w:ascii="Arial" w:hAnsi="Arial" w:cs="Arial"/>
          <w:sz w:val="24"/>
          <w:szCs w:val="24"/>
        </w:rPr>
        <w:t xml:space="preserve">, please file an updated LRAMVA </w:t>
      </w:r>
      <w:proofErr w:type="spellStart"/>
      <w:r w:rsidR="00280573">
        <w:rPr>
          <w:rFonts w:ascii="Arial" w:hAnsi="Arial" w:cs="Arial"/>
          <w:sz w:val="24"/>
          <w:szCs w:val="24"/>
        </w:rPr>
        <w:t>W</w:t>
      </w:r>
      <w:r w:rsidRPr="00555650">
        <w:rPr>
          <w:rFonts w:ascii="Arial" w:hAnsi="Arial" w:cs="Arial"/>
          <w:sz w:val="24"/>
          <w:szCs w:val="24"/>
        </w:rPr>
        <w:t>orkform</w:t>
      </w:r>
      <w:proofErr w:type="spellEnd"/>
      <w:r w:rsidRPr="00555650">
        <w:rPr>
          <w:rFonts w:ascii="Arial" w:hAnsi="Arial" w:cs="Arial"/>
          <w:sz w:val="24"/>
          <w:szCs w:val="24"/>
        </w:rPr>
        <w:t>, and confirm the</w:t>
      </w:r>
      <w:r w:rsidR="00280573">
        <w:rPr>
          <w:rFonts w:ascii="Arial" w:hAnsi="Arial" w:cs="Arial"/>
          <w:sz w:val="24"/>
          <w:szCs w:val="24"/>
        </w:rPr>
        <w:t xml:space="preserve"> relevant updates to the</w:t>
      </w:r>
      <w:r w:rsidRPr="00555650">
        <w:rPr>
          <w:rFonts w:ascii="Arial" w:hAnsi="Arial" w:cs="Arial"/>
          <w:sz w:val="24"/>
          <w:szCs w:val="24"/>
        </w:rPr>
        <w:t xml:space="preserve"> LRAMVA balance requested for disposition, the disposition period</w:t>
      </w:r>
      <w:r w:rsidR="00280573">
        <w:rPr>
          <w:rFonts w:ascii="Arial" w:hAnsi="Arial" w:cs="Arial"/>
          <w:sz w:val="24"/>
          <w:szCs w:val="24"/>
        </w:rPr>
        <w:t>,</w:t>
      </w:r>
      <w:r w:rsidRPr="00555650">
        <w:rPr>
          <w:rFonts w:ascii="Arial" w:hAnsi="Arial" w:cs="Arial"/>
          <w:sz w:val="24"/>
          <w:szCs w:val="24"/>
        </w:rPr>
        <w:t xml:space="preserve"> and the revised rate riders. </w:t>
      </w:r>
    </w:p>
    <w:p w14:paraId="13C9B2F2" w14:textId="7BDD7A30" w:rsidR="00861319" w:rsidRPr="00555650" w:rsidRDefault="00861319" w:rsidP="00861319">
      <w:pPr>
        <w:pStyle w:val="NoSpacing"/>
        <w:numPr>
          <w:ilvl w:val="0"/>
          <w:numId w:val="19"/>
        </w:numPr>
        <w:spacing w:line="276" w:lineRule="auto"/>
        <w:rPr>
          <w:rFonts w:ascii="Arial" w:hAnsi="Arial" w:cs="Arial"/>
          <w:sz w:val="24"/>
          <w:szCs w:val="24"/>
        </w:rPr>
      </w:pPr>
      <w:r w:rsidRPr="00555650">
        <w:rPr>
          <w:rFonts w:ascii="Arial" w:hAnsi="Arial" w:cs="Arial"/>
          <w:sz w:val="24"/>
          <w:szCs w:val="24"/>
        </w:rPr>
        <w:t xml:space="preserve">Please </w:t>
      </w:r>
      <w:r w:rsidR="00D36342">
        <w:rPr>
          <w:rFonts w:ascii="Arial" w:hAnsi="Arial" w:cs="Arial"/>
          <w:sz w:val="24"/>
          <w:szCs w:val="24"/>
        </w:rPr>
        <w:t>record</w:t>
      </w:r>
      <w:r w:rsidRPr="00555650">
        <w:rPr>
          <w:rFonts w:ascii="Arial" w:hAnsi="Arial" w:cs="Arial"/>
          <w:sz w:val="24"/>
          <w:szCs w:val="24"/>
        </w:rPr>
        <w:t xml:space="preserve"> any changes to the LRAMVA </w:t>
      </w:r>
      <w:proofErr w:type="spellStart"/>
      <w:r w:rsidR="00280573">
        <w:rPr>
          <w:rFonts w:ascii="Arial" w:hAnsi="Arial" w:cs="Arial"/>
          <w:sz w:val="24"/>
          <w:szCs w:val="24"/>
        </w:rPr>
        <w:t>W</w:t>
      </w:r>
      <w:r w:rsidRPr="00555650">
        <w:rPr>
          <w:rFonts w:ascii="Arial" w:hAnsi="Arial" w:cs="Arial"/>
          <w:sz w:val="24"/>
          <w:szCs w:val="24"/>
        </w:rPr>
        <w:t>orkform</w:t>
      </w:r>
      <w:proofErr w:type="spellEnd"/>
      <w:r w:rsidRPr="00555650">
        <w:rPr>
          <w:rFonts w:ascii="Arial" w:hAnsi="Arial" w:cs="Arial"/>
          <w:sz w:val="24"/>
          <w:szCs w:val="24"/>
        </w:rPr>
        <w:t xml:space="preserve"> in response to the</w:t>
      </w:r>
      <w:r>
        <w:rPr>
          <w:rFonts w:ascii="Arial" w:hAnsi="Arial" w:cs="Arial"/>
          <w:sz w:val="24"/>
          <w:szCs w:val="24"/>
        </w:rPr>
        <w:t xml:space="preserve"> above</w:t>
      </w:r>
      <w:r w:rsidRPr="00555650">
        <w:rPr>
          <w:rFonts w:ascii="Arial" w:hAnsi="Arial" w:cs="Arial"/>
          <w:sz w:val="24"/>
          <w:szCs w:val="24"/>
        </w:rPr>
        <w:t xml:space="preserve"> LRAMVA </w:t>
      </w:r>
      <w:r>
        <w:rPr>
          <w:rFonts w:ascii="Arial" w:hAnsi="Arial" w:cs="Arial"/>
          <w:sz w:val="24"/>
          <w:szCs w:val="24"/>
        </w:rPr>
        <w:t>question</w:t>
      </w:r>
      <w:r w:rsidRPr="00555650">
        <w:rPr>
          <w:rFonts w:ascii="Arial" w:hAnsi="Arial" w:cs="Arial"/>
          <w:sz w:val="24"/>
          <w:szCs w:val="24"/>
        </w:rPr>
        <w:t xml:space="preserve"> in “Table A-2.  Updates to LRAMVA Disposition (Tab 1-a)”.</w:t>
      </w:r>
      <w:r>
        <w:rPr>
          <w:rFonts w:ascii="Arial" w:hAnsi="Arial" w:cs="Arial"/>
          <w:sz w:val="24"/>
          <w:szCs w:val="24"/>
        </w:rPr>
        <w:t xml:space="preserve"> </w:t>
      </w:r>
    </w:p>
    <w:p w14:paraId="3BE2AB6E" w14:textId="77777777" w:rsidR="00861319" w:rsidRDefault="00861319" w:rsidP="00861319">
      <w:pPr>
        <w:pStyle w:val="NoSpacing"/>
        <w:spacing w:line="276" w:lineRule="auto"/>
        <w:rPr>
          <w:rFonts w:ascii="Arial" w:hAnsi="Arial" w:cs="Arial"/>
          <w:sz w:val="24"/>
          <w:szCs w:val="24"/>
        </w:rPr>
      </w:pPr>
    </w:p>
    <w:p w14:paraId="01D779AD" w14:textId="77777777" w:rsidR="00861319" w:rsidRPr="00555650" w:rsidRDefault="00861319" w:rsidP="00861319">
      <w:pPr>
        <w:pStyle w:val="NoSpacing"/>
        <w:spacing w:line="276" w:lineRule="auto"/>
        <w:rPr>
          <w:rFonts w:ascii="Arial" w:hAnsi="Arial" w:cs="Arial"/>
          <w:sz w:val="24"/>
          <w:szCs w:val="24"/>
        </w:rPr>
      </w:pPr>
    </w:p>
    <w:p w14:paraId="27CDE426" w14:textId="77777777" w:rsidR="00861B72" w:rsidRPr="00861B72" w:rsidRDefault="00861B72" w:rsidP="00861B72">
      <w:pPr>
        <w:rPr>
          <w:rFonts w:ascii="Arial" w:hAnsi="Arial" w:cs="Arial"/>
          <w:sz w:val="24"/>
          <w:szCs w:val="24"/>
        </w:rPr>
      </w:pPr>
    </w:p>
    <w:sectPr w:rsidR="00861B72" w:rsidRPr="00861B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2F8E" w14:textId="77777777" w:rsidR="0036622A" w:rsidRDefault="0036622A" w:rsidP="007F5951">
      <w:pPr>
        <w:spacing w:after="0" w:line="240" w:lineRule="auto"/>
      </w:pPr>
      <w:r>
        <w:separator/>
      </w:r>
    </w:p>
  </w:endnote>
  <w:endnote w:type="continuationSeparator" w:id="0">
    <w:p w14:paraId="342F70E3" w14:textId="77777777" w:rsidR="0036622A" w:rsidRDefault="0036622A" w:rsidP="007F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613210"/>
      <w:docPartObj>
        <w:docPartGallery w:val="Page Numbers (Bottom of Page)"/>
        <w:docPartUnique/>
      </w:docPartObj>
    </w:sdtPr>
    <w:sdtEndPr>
      <w:rPr>
        <w:noProof/>
      </w:rPr>
    </w:sdtEndPr>
    <w:sdtContent>
      <w:p w14:paraId="6D71AD2C" w14:textId="47ECEDE9" w:rsidR="007F5951" w:rsidRDefault="007F5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3DBCC" w14:textId="77777777" w:rsidR="007F5951" w:rsidRDefault="007F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55A1B" w14:textId="77777777" w:rsidR="0036622A" w:rsidRDefault="0036622A" w:rsidP="007F5951">
      <w:pPr>
        <w:spacing w:after="0" w:line="240" w:lineRule="auto"/>
      </w:pPr>
      <w:r>
        <w:separator/>
      </w:r>
    </w:p>
  </w:footnote>
  <w:footnote w:type="continuationSeparator" w:id="0">
    <w:p w14:paraId="3D43AD0D" w14:textId="77777777" w:rsidR="0036622A" w:rsidRDefault="0036622A" w:rsidP="007F5951">
      <w:pPr>
        <w:spacing w:after="0" w:line="240" w:lineRule="auto"/>
      </w:pPr>
      <w:r>
        <w:continuationSeparator/>
      </w:r>
    </w:p>
  </w:footnote>
  <w:footnote w:id="1">
    <w:p w14:paraId="29F09D7E" w14:textId="60D7F441" w:rsidR="00F753FA" w:rsidRPr="002E2094" w:rsidRDefault="00F753FA">
      <w:pPr>
        <w:pStyle w:val="FootnoteText"/>
        <w:rPr>
          <w:rFonts w:ascii="Arial" w:hAnsi="Arial" w:cs="Arial"/>
        </w:rPr>
      </w:pPr>
      <w:r w:rsidRPr="002E2094">
        <w:rPr>
          <w:rStyle w:val="FootnoteReference"/>
          <w:rFonts w:ascii="Arial" w:hAnsi="Arial" w:cs="Arial"/>
        </w:rPr>
        <w:footnoteRef/>
      </w:r>
      <w:r w:rsidRPr="002E2094">
        <w:rPr>
          <w:rFonts w:ascii="Arial" w:hAnsi="Arial" w:cs="Arial"/>
        </w:rPr>
        <w:t xml:space="preserve"> </w:t>
      </w:r>
      <w:r w:rsidRPr="00B50439">
        <w:rPr>
          <w:rFonts w:ascii="Arial" w:hAnsi="Arial" w:cs="Arial"/>
        </w:rPr>
        <w:t>EB-2019-0130, Page 8.</w:t>
      </w:r>
      <w:r w:rsidRPr="002E2094">
        <w:rPr>
          <w:rFonts w:ascii="Arial" w:hAnsi="Arial" w:cs="Arial"/>
        </w:rPr>
        <w:t xml:space="preserve"> </w:t>
      </w:r>
    </w:p>
  </w:footnote>
  <w:footnote w:id="2">
    <w:p w14:paraId="7203E9A4" w14:textId="3B191EA0" w:rsidR="005B1703" w:rsidRDefault="005B1703">
      <w:pPr>
        <w:pStyle w:val="FootnoteText"/>
      </w:pPr>
      <w:r>
        <w:rPr>
          <w:rStyle w:val="FootnoteReference"/>
        </w:rPr>
        <w:footnoteRef/>
      </w:r>
      <w:r>
        <w:t xml:space="preserve"> Filing Requirements </w:t>
      </w:r>
      <w:proofErr w:type="gramStart"/>
      <w:r>
        <w:t>For</w:t>
      </w:r>
      <w:proofErr w:type="gramEnd"/>
      <w:r>
        <w:t xml:space="preserve"> Electricity Distribution Rate Applications, Chapter 3, issued May 14, 2020, Appendix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1DB"/>
    <w:multiLevelType w:val="hybridMultilevel"/>
    <w:tmpl w:val="505401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EA86C9D"/>
    <w:multiLevelType w:val="hybridMultilevel"/>
    <w:tmpl w:val="CAC0B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F4CD3"/>
    <w:multiLevelType w:val="hybridMultilevel"/>
    <w:tmpl w:val="F70C1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17FE2"/>
    <w:multiLevelType w:val="hybridMultilevel"/>
    <w:tmpl w:val="2988C242"/>
    <w:lvl w:ilvl="0" w:tplc="A37C4D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B15FD"/>
    <w:multiLevelType w:val="hybridMultilevel"/>
    <w:tmpl w:val="2E003550"/>
    <w:lvl w:ilvl="0" w:tplc="99B2B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0C31FE"/>
    <w:multiLevelType w:val="hybridMultilevel"/>
    <w:tmpl w:val="30302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036D7"/>
    <w:multiLevelType w:val="hybridMultilevel"/>
    <w:tmpl w:val="DD4C3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52CD8"/>
    <w:multiLevelType w:val="hybridMultilevel"/>
    <w:tmpl w:val="6616C974"/>
    <w:lvl w:ilvl="0" w:tplc="9D08AD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9B0A88"/>
    <w:multiLevelType w:val="hybridMultilevel"/>
    <w:tmpl w:val="F306E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4064D"/>
    <w:multiLevelType w:val="hybridMultilevel"/>
    <w:tmpl w:val="91E8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F2D85"/>
    <w:multiLevelType w:val="hybridMultilevel"/>
    <w:tmpl w:val="4DE22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379B1"/>
    <w:multiLevelType w:val="hybridMultilevel"/>
    <w:tmpl w:val="803CEDC0"/>
    <w:lvl w:ilvl="0" w:tplc="1B5C1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7B193C"/>
    <w:multiLevelType w:val="hybridMultilevel"/>
    <w:tmpl w:val="D0B2F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745B6"/>
    <w:multiLevelType w:val="hybridMultilevel"/>
    <w:tmpl w:val="6CB82D14"/>
    <w:lvl w:ilvl="0" w:tplc="562669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C67D72"/>
    <w:multiLevelType w:val="hybridMultilevel"/>
    <w:tmpl w:val="A578709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47001EAB"/>
    <w:multiLevelType w:val="hybridMultilevel"/>
    <w:tmpl w:val="66D2E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97F34"/>
    <w:multiLevelType w:val="hybridMultilevel"/>
    <w:tmpl w:val="1CE87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93687"/>
    <w:multiLevelType w:val="hybridMultilevel"/>
    <w:tmpl w:val="A78C1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D17A5"/>
    <w:multiLevelType w:val="hybridMultilevel"/>
    <w:tmpl w:val="99E69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9303A"/>
    <w:multiLevelType w:val="hybridMultilevel"/>
    <w:tmpl w:val="A45CEA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B00E0"/>
    <w:multiLevelType w:val="hybridMultilevel"/>
    <w:tmpl w:val="296C5A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A4C5BA6"/>
    <w:multiLevelType w:val="hybridMultilevel"/>
    <w:tmpl w:val="5A3E58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268AE"/>
    <w:multiLevelType w:val="hybridMultilevel"/>
    <w:tmpl w:val="DD7EC9A4"/>
    <w:lvl w:ilvl="0" w:tplc="9702AE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00274E"/>
    <w:multiLevelType w:val="hybridMultilevel"/>
    <w:tmpl w:val="994EBB54"/>
    <w:lvl w:ilvl="0" w:tplc="958CBB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316D66"/>
    <w:multiLevelType w:val="hybridMultilevel"/>
    <w:tmpl w:val="502C2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EB69D9"/>
    <w:multiLevelType w:val="hybridMultilevel"/>
    <w:tmpl w:val="8FD8B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E3B0D"/>
    <w:multiLevelType w:val="hybridMultilevel"/>
    <w:tmpl w:val="2228A84A"/>
    <w:lvl w:ilvl="0" w:tplc="1DCEA71A">
      <w:start w:val="1"/>
      <w:numFmt w:val="lowerLetter"/>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27" w15:restartNumberingAfterBreak="0">
    <w:nsid w:val="760977F7"/>
    <w:multiLevelType w:val="hybridMultilevel"/>
    <w:tmpl w:val="15D01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E5C80"/>
    <w:multiLevelType w:val="hybridMultilevel"/>
    <w:tmpl w:val="D0B2F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3"/>
  </w:num>
  <w:num w:numId="4">
    <w:abstractNumId w:val="7"/>
  </w:num>
  <w:num w:numId="5">
    <w:abstractNumId w:val="23"/>
  </w:num>
  <w:num w:numId="6">
    <w:abstractNumId w:val="17"/>
  </w:num>
  <w:num w:numId="7">
    <w:abstractNumId w:val="2"/>
  </w:num>
  <w:num w:numId="8">
    <w:abstractNumId w:val="15"/>
  </w:num>
  <w:num w:numId="9">
    <w:abstractNumId w:val="22"/>
  </w:num>
  <w:num w:numId="10">
    <w:abstractNumId w:val="10"/>
  </w:num>
  <w:num w:numId="11">
    <w:abstractNumId w:val="4"/>
  </w:num>
  <w:num w:numId="12">
    <w:abstractNumId w:val="11"/>
  </w:num>
  <w:num w:numId="13">
    <w:abstractNumId w:val="9"/>
  </w:num>
  <w:num w:numId="14">
    <w:abstractNumId w:val="16"/>
  </w:num>
  <w:num w:numId="15">
    <w:abstractNumId w:val="5"/>
  </w:num>
  <w:num w:numId="16">
    <w:abstractNumId w:val="26"/>
  </w:num>
  <w:num w:numId="17">
    <w:abstractNumId w:val="8"/>
  </w:num>
  <w:num w:numId="18">
    <w:abstractNumId w:val="18"/>
  </w:num>
  <w:num w:numId="19">
    <w:abstractNumId w:val="6"/>
  </w:num>
  <w:num w:numId="20">
    <w:abstractNumId w:val="25"/>
  </w:num>
  <w:num w:numId="21">
    <w:abstractNumId w:val="14"/>
  </w:num>
  <w:num w:numId="22">
    <w:abstractNumId w:val="24"/>
  </w:num>
  <w:num w:numId="23">
    <w:abstractNumId w:val="12"/>
  </w:num>
  <w:num w:numId="24">
    <w:abstractNumId w:val="20"/>
  </w:num>
  <w:num w:numId="25">
    <w:abstractNumId w:val="0"/>
  </w:num>
  <w:num w:numId="26">
    <w:abstractNumId w:val="21"/>
  </w:num>
  <w:num w:numId="27">
    <w:abstractNumId w:val="28"/>
  </w:num>
  <w:num w:numId="28">
    <w:abstractNumId w:val="1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5D"/>
    <w:rsid w:val="000D34CD"/>
    <w:rsid w:val="000E0C17"/>
    <w:rsid w:val="00145903"/>
    <w:rsid w:val="00180ECE"/>
    <w:rsid w:val="001A78C4"/>
    <w:rsid w:val="001E3F68"/>
    <w:rsid w:val="0021411C"/>
    <w:rsid w:val="002178B0"/>
    <w:rsid w:val="002601D8"/>
    <w:rsid w:val="00280573"/>
    <w:rsid w:val="00293056"/>
    <w:rsid w:val="002A05F1"/>
    <w:rsid w:val="002A568C"/>
    <w:rsid w:val="002E2094"/>
    <w:rsid w:val="0030247A"/>
    <w:rsid w:val="0031206D"/>
    <w:rsid w:val="0036622A"/>
    <w:rsid w:val="00380368"/>
    <w:rsid w:val="0039518C"/>
    <w:rsid w:val="003D05DA"/>
    <w:rsid w:val="003D3940"/>
    <w:rsid w:val="00413677"/>
    <w:rsid w:val="00413BC9"/>
    <w:rsid w:val="0043559D"/>
    <w:rsid w:val="00447C6A"/>
    <w:rsid w:val="004742A4"/>
    <w:rsid w:val="00476841"/>
    <w:rsid w:val="0049455D"/>
    <w:rsid w:val="004E6D99"/>
    <w:rsid w:val="00517EEF"/>
    <w:rsid w:val="00551DF9"/>
    <w:rsid w:val="005520C1"/>
    <w:rsid w:val="005936A2"/>
    <w:rsid w:val="005B1703"/>
    <w:rsid w:val="005F0FDC"/>
    <w:rsid w:val="005F2B37"/>
    <w:rsid w:val="00642DF3"/>
    <w:rsid w:val="0065191D"/>
    <w:rsid w:val="00690FEA"/>
    <w:rsid w:val="006B4383"/>
    <w:rsid w:val="006D3AC0"/>
    <w:rsid w:val="006D5874"/>
    <w:rsid w:val="00705009"/>
    <w:rsid w:val="00760B1B"/>
    <w:rsid w:val="007D64C7"/>
    <w:rsid w:val="007E4AE6"/>
    <w:rsid w:val="007E7427"/>
    <w:rsid w:val="007F5951"/>
    <w:rsid w:val="008025D1"/>
    <w:rsid w:val="00861319"/>
    <w:rsid w:val="00861B72"/>
    <w:rsid w:val="00886D1F"/>
    <w:rsid w:val="00886DE3"/>
    <w:rsid w:val="00897F99"/>
    <w:rsid w:val="008A08A8"/>
    <w:rsid w:val="008A0BB0"/>
    <w:rsid w:val="008C31EE"/>
    <w:rsid w:val="008E0CCD"/>
    <w:rsid w:val="00934EA0"/>
    <w:rsid w:val="00952229"/>
    <w:rsid w:val="00954E29"/>
    <w:rsid w:val="009A188A"/>
    <w:rsid w:val="009A6D7B"/>
    <w:rsid w:val="009C3AD5"/>
    <w:rsid w:val="009D11B4"/>
    <w:rsid w:val="009D3ACA"/>
    <w:rsid w:val="00A20EFB"/>
    <w:rsid w:val="00A9490B"/>
    <w:rsid w:val="00AA522C"/>
    <w:rsid w:val="00AC36AC"/>
    <w:rsid w:val="00B069F4"/>
    <w:rsid w:val="00B5022F"/>
    <w:rsid w:val="00B50439"/>
    <w:rsid w:val="00B75943"/>
    <w:rsid w:val="00BE6C8A"/>
    <w:rsid w:val="00C73583"/>
    <w:rsid w:val="00C87E17"/>
    <w:rsid w:val="00CB709D"/>
    <w:rsid w:val="00CC586E"/>
    <w:rsid w:val="00CF15FE"/>
    <w:rsid w:val="00D36342"/>
    <w:rsid w:val="00D85D64"/>
    <w:rsid w:val="00DC13C3"/>
    <w:rsid w:val="00DC1FEE"/>
    <w:rsid w:val="00E12F97"/>
    <w:rsid w:val="00E3223D"/>
    <w:rsid w:val="00E6669A"/>
    <w:rsid w:val="00E669AA"/>
    <w:rsid w:val="00E9425D"/>
    <w:rsid w:val="00EB1652"/>
    <w:rsid w:val="00EC3E23"/>
    <w:rsid w:val="00EE7C07"/>
    <w:rsid w:val="00F1523A"/>
    <w:rsid w:val="00F753FA"/>
    <w:rsid w:val="00F86610"/>
    <w:rsid w:val="00FC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592"/>
  <w15:chartTrackingRefBased/>
  <w15:docId w15:val="{5D9D81D5-5D1D-4828-837E-8CF620BF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88A"/>
    <w:pPr>
      <w:ind w:left="720"/>
      <w:contextualSpacing/>
    </w:pPr>
  </w:style>
  <w:style w:type="paragraph" w:styleId="Header">
    <w:name w:val="header"/>
    <w:basedOn w:val="Normal"/>
    <w:link w:val="HeaderChar"/>
    <w:uiPriority w:val="99"/>
    <w:unhideWhenUsed/>
    <w:rsid w:val="007F5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951"/>
  </w:style>
  <w:style w:type="paragraph" w:styleId="Footer">
    <w:name w:val="footer"/>
    <w:basedOn w:val="Normal"/>
    <w:link w:val="FooterChar"/>
    <w:uiPriority w:val="99"/>
    <w:unhideWhenUsed/>
    <w:rsid w:val="007F5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951"/>
  </w:style>
  <w:style w:type="paragraph" w:customStyle="1" w:styleId="Default">
    <w:name w:val="Default"/>
    <w:rsid w:val="005936A2"/>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75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3FA"/>
    <w:rPr>
      <w:sz w:val="20"/>
      <w:szCs w:val="20"/>
    </w:rPr>
  </w:style>
  <w:style w:type="character" w:styleId="FootnoteReference">
    <w:name w:val="footnote reference"/>
    <w:basedOn w:val="DefaultParagraphFont"/>
    <w:uiPriority w:val="99"/>
    <w:semiHidden/>
    <w:unhideWhenUsed/>
    <w:rsid w:val="00F753FA"/>
    <w:rPr>
      <w:vertAlign w:val="superscript"/>
    </w:rPr>
  </w:style>
  <w:style w:type="table" w:styleId="TableGrid">
    <w:name w:val="Table Grid"/>
    <w:basedOn w:val="TableNormal"/>
    <w:uiPriority w:val="39"/>
    <w:rsid w:val="00760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1319"/>
    <w:pPr>
      <w:spacing w:after="0" w:line="240" w:lineRule="auto"/>
    </w:pPr>
  </w:style>
  <w:style w:type="paragraph" w:styleId="BalloonText">
    <w:name w:val="Balloon Text"/>
    <w:basedOn w:val="Normal"/>
    <w:link w:val="BalloonTextChar"/>
    <w:uiPriority w:val="99"/>
    <w:semiHidden/>
    <w:unhideWhenUsed/>
    <w:rsid w:val="00886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D1F"/>
    <w:rPr>
      <w:rFonts w:ascii="Segoe UI" w:hAnsi="Segoe UI" w:cs="Segoe UI"/>
      <w:sz w:val="18"/>
      <w:szCs w:val="18"/>
    </w:rPr>
  </w:style>
  <w:style w:type="character" w:styleId="CommentReference">
    <w:name w:val="annotation reference"/>
    <w:basedOn w:val="DefaultParagraphFont"/>
    <w:uiPriority w:val="99"/>
    <w:semiHidden/>
    <w:unhideWhenUsed/>
    <w:rsid w:val="001A78C4"/>
    <w:rPr>
      <w:sz w:val="16"/>
      <w:szCs w:val="16"/>
    </w:rPr>
  </w:style>
  <w:style w:type="paragraph" w:styleId="CommentText">
    <w:name w:val="annotation text"/>
    <w:basedOn w:val="Normal"/>
    <w:link w:val="CommentTextChar"/>
    <w:uiPriority w:val="99"/>
    <w:semiHidden/>
    <w:unhideWhenUsed/>
    <w:rsid w:val="001A78C4"/>
    <w:pPr>
      <w:spacing w:line="240" w:lineRule="auto"/>
    </w:pPr>
    <w:rPr>
      <w:sz w:val="20"/>
      <w:szCs w:val="20"/>
    </w:rPr>
  </w:style>
  <w:style w:type="character" w:customStyle="1" w:styleId="CommentTextChar">
    <w:name w:val="Comment Text Char"/>
    <w:basedOn w:val="DefaultParagraphFont"/>
    <w:link w:val="CommentText"/>
    <w:uiPriority w:val="99"/>
    <w:semiHidden/>
    <w:rsid w:val="001A78C4"/>
    <w:rPr>
      <w:sz w:val="20"/>
      <w:szCs w:val="20"/>
    </w:rPr>
  </w:style>
  <w:style w:type="paragraph" w:styleId="CommentSubject">
    <w:name w:val="annotation subject"/>
    <w:basedOn w:val="CommentText"/>
    <w:next w:val="CommentText"/>
    <w:link w:val="CommentSubjectChar"/>
    <w:uiPriority w:val="99"/>
    <w:semiHidden/>
    <w:unhideWhenUsed/>
    <w:rsid w:val="001A78C4"/>
    <w:rPr>
      <w:b/>
      <w:bCs/>
    </w:rPr>
  </w:style>
  <w:style w:type="character" w:customStyle="1" w:styleId="CommentSubjectChar">
    <w:name w:val="Comment Subject Char"/>
    <w:basedOn w:val="CommentTextChar"/>
    <w:link w:val="CommentSubject"/>
    <w:uiPriority w:val="99"/>
    <w:semiHidden/>
    <w:rsid w:val="001A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02613">
      <w:bodyDiv w:val="1"/>
      <w:marLeft w:val="0"/>
      <w:marRight w:val="0"/>
      <w:marTop w:val="0"/>
      <w:marBottom w:val="0"/>
      <w:divBdr>
        <w:top w:val="none" w:sz="0" w:space="0" w:color="auto"/>
        <w:left w:val="none" w:sz="0" w:space="0" w:color="auto"/>
        <w:bottom w:val="none" w:sz="0" w:space="0" w:color="auto"/>
        <w:right w:val="none" w:sz="0" w:space="0" w:color="auto"/>
      </w:divBdr>
    </w:div>
    <w:div w:id="449206402">
      <w:bodyDiv w:val="1"/>
      <w:marLeft w:val="0"/>
      <w:marRight w:val="0"/>
      <w:marTop w:val="0"/>
      <w:marBottom w:val="0"/>
      <w:divBdr>
        <w:top w:val="none" w:sz="0" w:space="0" w:color="auto"/>
        <w:left w:val="none" w:sz="0" w:space="0" w:color="auto"/>
        <w:bottom w:val="none" w:sz="0" w:space="0" w:color="auto"/>
        <w:right w:val="none" w:sz="0" w:space="0" w:color="auto"/>
      </w:divBdr>
    </w:div>
    <w:div w:id="584655870">
      <w:bodyDiv w:val="1"/>
      <w:marLeft w:val="0"/>
      <w:marRight w:val="0"/>
      <w:marTop w:val="0"/>
      <w:marBottom w:val="0"/>
      <w:divBdr>
        <w:top w:val="none" w:sz="0" w:space="0" w:color="auto"/>
        <w:left w:val="none" w:sz="0" w:space="0" w:color="auto"/>
        <w:bottom w:val="none" w:sz="0" w:space="0" w:color="auto"/>
        <w:right w:val="none" w:sz="0" w:space="0" w:color="auto"/>
      </w:divBdr>
    </w:div>
    <w:div w:id="1709989177">
      <w:bodyDiv w:val="1"/>
      <w:marLeft w:val="0"/>
      <w:marRight w:val="0"/>
      <w:marTop w:val="0"/>
      <w:marBottom w:val="0"/>
      <w:divBdr>
        <w:top w:val="none" w:sz="0" w:space="0" w:color="auto"/>
        <w:left w:val="none" w:sz="0" w:space="0" w:color="auto"/>
        <w:bottom w:val="none" w:sz="0" w:space="0" w:color="auto"/>
        <w:right w:val="none" w:sz="0" w:space="0" w:color="auto"/>
      </w:divBdr>
    </w:div>
    <w:div w:id="17863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A581-9219-4FE3-AD29-E0902061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dc:creator>
  <cp:keywords/>
  <dc:description/>
  <cp:lastModifiedBy>Birgit Armstrong</cp:lastModifiedBy>
  <cp:revision>3</cp:revision>
  <dcterms:created xsi:type="dcterms:W3CDTF">2020-10-07T13:21:00Z</dcterms:created>
  <dcterms:modified xsi:type="dcterms:W3CDTF">2020-10-07T13:33:00Z</dcterms:modified>
</cp:coreProperties>
</file>