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E7" w:rsidRPr="003832E7" w:rsidRDefault="004E69F8" w:rsidP="003832E7">
      <w:pPr>
        <w:pStyle w:val="Default"/>
        <w:jc w:val="right"/>
        <w:rPr>
          <w:rFonts w:ascii="Arial" w:hAnsi="Arial" w:cs="Arial"/>
          <w:sz w:val="22"/>
          <w:szCs w:val="22"/>
        </w:rPr>
      </w:pPr>
      <w:r>
        <w:rPr>
          <w:rFonts w:ascii="Arial" w:hAnsi="Arial" w:cs="Arial"/>
          <w:bCs/>
          <w:sz w:val="22"/>
          <w:szCs w:val="22"/>
        </w:rPr>
        <w:t>Kingston Hydro Corporation</w:t>
      </w:r>
    </w:p>
    <w:p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-0</w:t>
      </w:r>
      <w:r w:rsidR="00D57E8C" w:rsidRPr="00D57E8C">
        <w:rPr>
          <w:rFonts w:ascii="Arial" w:hAnsi="Arial" w:cs="Arial"/>
          <w:sz w:val="22"/>
          <w:szCs w:val="22"/>
        </w:rPr>
        <w:t>0</w:t>
      </w:r>
      <w:r w:rsidR="004E69F8">
        <w:rPr>
          <w:rFonts w:ascii="Arial" w:hAnsi="Arial" w:cs="Arial"/>
          <w:sz w:val="22"/>
          <w:szCs w:val="22"/>
        </w:rPr>
        <w:t>34</w:t>
      </w:r>
    </w:p>
    <w:p w:rsidR="00A07077" w:rsidRPr="00D57E8C" w:rsidRDefault="00A07077" w:rsidP="00A07077">
      <w:pPr>
        <w:pStyle w:val="Default"/>
        <w:rPr>
          <w:rFonts w:ascii="Arial" w:hAnsi="Arial" w:cs="Arial"/>
          <w:sz w:val="22"/>
          <w:szCs w:val="22"/>
        </w:rPr>
      </w:pPr>
    </w:p>
    <w:p w:rsidR="00A07077" w:rsidRPr="00D57E8C" w:rsidRDefault="004E69F8" w:rsidP="00A07077">
      <w:pPr>
        <w:pStyle w:val="Default"/>
        <w:jc w:val="center"/>
        <w:rPr>
          <w:rFonts w:ascii="Arial" w:hAnsi="Arial" w:cs="Arial"/>
          <w:sz w:val="28"/>
          <w:szCs w:val="28"/>
        </w:rPr>
      </w:pPr>
      <w:r>
        <w:rPr>
          <w:rFonts w:ascii="Arial" w:hAnsi="Arial" w:cs="Arial"/>
          <w:b/>
          <w:bCs/>
          <w:sz w:val="28"/>
          <w:szCs w:val="28"/>
        </w:rPr>
        <w:t>Kingston Hydro Corporation</w:t>
      </w:r>
    </w:p>
    <w:p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-0</w:t>
      </w:r>
      <w:r w:rsidR="002D4924">
        <w:rPr>
          <w:rFonts w:ascii="Arial" w:hAnsi="Arial" w:cs="Arial"/>
          <w:b/>
          <w:bCs/>
          <w:sz w:val="28"/>
          <w:szCs w:val="28"/>
        </w:rPr>
        <w:t>0</w:t>
      </w:r>
      <w:r w:rsidR="004E69F8">
        <w:rPr>
          <w:rFonts w:ascii="Arial" w:hAnsi="Arial" w:cs="Arial"/>
          <w:b/>
          <w:bCs/>
          <w:sz w:val="28"/>
          <w:szCs w:val="28"/>
        </w:rPr>
        <w:t>34</w:t>
      </w:r>
    </w:p>
    <w:p w:rsidR="00A07077" w:rsidRDefault="00A07077" w:rsidP="00A07077">
      <w:pPr>
        <w:rPr>
          <w:rFonts w:ascii="Arial" w:hAnsi="Arial" w:cs="Arial"/>
          <w:b/>
          <w:bCs/>
          <w:sz w:val="28"/>
          <w:szCs w:val="28"/>
        </w:rPr>
      </w:pPr>
    </w:p>
    <w:p w:rsidR="00D57E8C" w:rsidRDefault="00D57E8C" w:rsidP="00D57E8C">
      <w:pPr>
        <w:rPr>
          <w:rFonts w:ascii="Arial" w:hAnsi="Arial" w:cs="Arial"/>
          <w:b/>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Staff Question -1 </w:t>
      </w: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Ref: 2019 IRM Decision and Order EB-2018-0047; Kingston Hydro’s Response to Incomplete Letter, Page 2</w:t>
      </w: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In Kingston Hydro’s 2019 IRM Decision and Order EB-2018-0047, the OEB expressed concerns over the balances in Kingston Hydro’s commodity accounts and ordered a regulatory audit by OEB’s Audit and Investigations unit of Kingston Hydro’s processes regarding RPP settlement claims and true-ups of claims with the IESO.</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Default"/>
        <w:rPr>
          <w:color w:val="auto"/>
        </w:rPr>
      </w:pPr>
      <w:r>
        <w:t xml:space="preserve">In its response to the OEB’s incomplete letter, Kingston Hydro states </w:t>
      </w:r>
      <w:r w:rsidRPr="000F733D">
        <w:rPr>
          <w:color w:val="auto"/>
        </w:rPr>
        <w:t>that Kingston Hydro is not requesting final disposition for any balances that have been previously disposed of on an interim basis.</w:t>
      </w:r>
      <w:r>
        <w:rPr>
          <w:color w:val="auto"/>
        </w:rPr>
        <w:t xml:space="preserve"> </w:t>
      </w:r>
    </w:p>
    <w:p w:rsidR="004E69F8" w:rsidRDefault="004E69F8" w:rsidP="004E69F8">
      <w:pPr>
        <w:pStyle w:val="Default"/>
        <w:rPr>
          <w:color w:val="auto"/>
        </w:rPr>
      </w:pPr>
    </w:p>
    <w:p w:rsidR="004E69F8" w:rsidRDefault="004E69F8" w:rsidP="004E69F8">
      <w:pPr>
        <w:pStyle w:val="Default"/>
        <w:rPr>
          <w:color w:val="auto"/>
        </w:rPr>
      </w:pPr>
      <w:r>
        <w:rPr>
          <w:color w:val="auto"/>
        </w:rPr>
        <w:t xml:space="preserve">OEB staff notes that Kingston Hydro has requested the disposition of Group 1 DVA balances and the OEB-ordered audit has not been completed at this time. </w:t>
      </w:r>
    </w:p>
    <w:p w:rsidR="004E69F8" w:rsidRPr="000F733D" w:rsidRDefault="004E69F8" w:rsidP="004E69F8">
      <w:pPr>
        <w:pStyle w:val="Default"/>
        <w:rPr>
          <w:color w:val="auto"/>
        </w:rPr>
      </w:pPr>
    </w:p>
    <w:p w:rsidR="004E69F8" w:rsidRDefault="004E69F8" w:rsidP="004E69F8">
      <w:pPr>
        <w:pStyle w:val="ListParagraph"/>
        <w:numPr>
          <w:ilvl w:val="0"/>
          <w:numId w:val="28"/>
        </w:numPr>
        <w:autoSpaceDE w:val="0"/>
        <w:autoSpaceDN w:val="0"/>
        <w:adjustRightInd w:val="0"/>
        <w:spacing w:after="0" w:line="240" w:lineRule="auto"/>
        <w:rPr>
          <w:rFonts w:ascii="Arial" w:hAnsi="Arial" w:cs="Arial"/>
          <w:sz w:val="24"/>
          <w:szCs w:val="24"/>
        </w:rPr>
      </w:pPr>
      <w:r w:rsidRPr="000F733D">
        <w:rPr>
          <w:rFonts w:ascii="Arial" w:hAnsi="Arial" w:cs="Arial"/>
          <w:sz w:val="24"/>
          <w:szCs w:val="24"/>
        </w:rPr>
        <w:t xml:space="preserve">Please clarify whether Kingston Hydro is requesting the disposition of 2019 Group 1 balances as at interim basis in this application. If not, please explain the appropriateness of </w:t>
      </w:r>
      <w:r w:rsidR="00716D24">
        <w:rPr>
          <w:rFonts w:ascii="Arial" w:hAnsi="Arial" w:cs="Arial"/>
          <w:sz w:val="24"/>
          <w:szCs w:val="24"/>
        </w:rPr>
        <w:t xml:space="preserve">a </w:t>
      </w:r>
      <w:r>
        <w:rPr>
          <w:rFonts w:ascii="Arial" w:hAnsi="Arial" w:cs="Arial"/>
          <w:sz w:val="24"/>
          <w:szCs w:val="24"/>
        </w:rPr>
        <w:t xml:space="preserve">final </w:t>
      </w:r>
      <w:r w:rsidRPr="000F733D">
        <w:rPr>
          <w:rFonts w:ascii="Arial" w:hAnsi="Arial" w:cs="Arial"/>
          <w:sz w:val="24"/>
          <w:szCs w:val="24"/>
        </w:rPr>
        <w:t>disp</w:t>
      </w:r>
      <w:r w:rsidR="00716D24">
        <w:rPr>
          <w:rFonts w:ascii="Arial" w:hAnsi="Arial" w:cs="Arial"/>
          <w:sz w:val="24"/>
          <w:szCs w:val="24"/>
        </w:rPr>
        <w:t>osition</w:t>
      </w:r>
      <w:r w:rsidRPr="000F733D">
        <w:rPr>
          <w:rFonts w:ascii="Arial" w:hAnsi="Arial" w:cs="Arial"/>
          <w:sz w:val="24"/>
          <w:szCs w:val="24"/>
        </w:rPr>
        <w:t xml:space="preserve"> of the balances that may not be accurate.</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2</w:t>
      </w:r>
      <w:r w:rsidRPr="000F733D">
        <w:rPr>
          <w:rFonts w:ascii="Arial" w:hAnsi="Arial" w:cs="Arial"/>
          <w:b/>
          <w:bCs/>
          <w:sz w:val="24"/>
          <w:szCs w:val="24"/>
        </w:rPr>
        <w:t xml:space="preserve"> </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Kingston Hydro’s Response to Incomplete Letter, pages 1 &amp; 2; GA Analysis Workform Tab. Principal Adjustments</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Default"/>
        <w:rPr>
          <w:sz w:val="23"/>
          <w:szCs w:val="23"/>
        </w:rPr>
      </w:pPr>
      <w:r>
        <w:t>In explaining the variances with RRR 2.1.7 for Accounts 1588 and 1589, Kingston Hydro states that part of the variances were due to “</w:t>
      </w:r>
      <w:r>
        <w:rPr>
          <w:sz w:val="23"/>
          <w:szCs w:val="23"/>
        </w:rPr>
        <w:t xml:space="preserve">Settlement accrual booked in error (no longer needed due to new illustrative commodity model)” and “Detailed reconciliations have been included in the GA Analysis Workform on the “Principal Adjustments” tab”. </w:t>
      </w:r>
    </w:p>
    <w:p w:rsidR="004E69F8" w:rsidRDefault="004E69F8" w:rsidP="004E69F8">
      <w:pPr>
        <w:pStyle w:val="Default"/>
        <w:ind w:left="720"/>
        <w:rPr>
          <w:sz w:val="23"/>
          <w:szCs w:val="23"/>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 xml:space="preserve">OEB staff does not note any description of the errors for the adjustments on the Principal Adjustments Tab of the GA Analysis Workform. </w:t>
      </w: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Default="004E69F8" w:rsidP="004E69F8">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map the adjustments for the settlement accrual booked in error to the adjustments on the Principal Adjustments Tab of the GA Analysis Workform. </w:t>
      </w:r>
    </w:p>
    <w:p w:rsidR="004E69F8" w:rsidRPr="00183838" w:rsidRDefault="004E69F8" w:rsidP="004E69F8">
      <w:pPr>
        <w:pStyle w:val="ListParagraph"/>
        <w:numPr>
          <w:ilvl w:val="0"/>
          <w:numId w:val="29"/>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Please explain in detail for the adjustments for the settlement accrual booked in error and no longer needed due to new illustrative commodity model.  </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3</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GA Analysis Workform; Kingston Hydro’s Response to Incompleteness Letter, page 2</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Regarding the reconciling item #3 in Note 5 of the 2019 GA Analysis Workform, Kingston Hydro states:</w:t>
      </w: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Pr="00E42C71" w:rsidRDefault="004E69F8" w:rsidP="004E69F8">
      <w:pPr>
        <w:pStyle w:val="Default"/>
        <w:spacing w:after="200"/>
        <w:jc w:val="both"/>
      </w:pPr>
      <w:r>
        <w:tab/>
      </w:r>
      <w:r w:rsidRPr="00716D24">
        <w:rPr>
          <w:rFonts w:ascii="Arial" w:hAnsi="Arial" w:cs="Arial"/>
          <w:color w:val="auto"/>
        </w:rPr>
        <w:t>($218,920)</w:t>
      </w:r>
      <w:r w:rsidR="00716D24" w:rsidRPr="00716D24">
        <w:rPr>
          <w:rFonts w:ascii="Arial" w:hAnsi="Arial" w:cs="Arial"/>
          <w:color w:val="auto"/>
        </w:rPr>
        <w:t xml:space="preserve"> </w:t>
      </w:r>
      <w:r w:rsidRPr="00716D24">
        <w:rPr>
          <w:rFonts w:ascii="Arial" w:hAnsi="Arial" w:cs="Arial"/>
          <w:color w:val="auto"/>
        </w:rPr>
        <w:t xml:space="preserve">is an adjustment in the GL that related to billing adjustments that </w:t>
      </w:r>
      <w:r w:rsidRPr="00716D24">
        <w:rPr>
          <w:rFonts w:ascii="Arial" w:hAnsi="Arial" w:cs="Arial"/>
          <w:color w:val="auto"/>
        </w:rPr>
        <w:tab/>
        <w:t xml:space="preserve">pertained to pre 2019 transactions. </w:t>
      </w:r>
    </w:p>
    <w:p w:rsidR="004E69F8" w:rsidRPr="00E42C71"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ab/>
      </w:r>
      <w:r w:rsidRPr="00E42C71">
        <w:rPr>
          <w:rFonts w:ascii="Arial" w:hAnsi="Arial" w:cs="Arial"/>
          <w:sz w:val="24"/>
          <w:szCs w:val="24"/>
        </w:rPr>
        <w:t xml:space="preserve">Kingston Hydro is not requesting an adjustment to the 2018 balance that was </w:t>
      </w:r>
      <w:r>
        <w:rPr>
          <w:rFonts w:ascii="Arial" w:hAnsi="Arial" w:cs="Arial"/>
          <w:sz w:val="24"/>
          <w:szCs w:val="24"/>
        </w:rPr>
        <w:tab/>
      </w:r>
      <w:r w:rsidRPr="00E42C71">
        <w:rPr>
          <w:rFonts w:ascii="Arial" w:hAnsi="Arial" w:cs="Arial"/>
          <w:sz w:val="24"/>
          <w:szCs w:val="24"/>
        </w:rPr>
        <w:t xml:space="preserve">disposed of on an interim basis, as the billing adjustments are included in the </w:t>
      </w:r>
      <w:r>
        <w:rPr>
          <w:rFonts w:ascii="Arial" w:hAnsi="Arial" w:cs="Arial"/>
          <w:sz w:val="24"/>
          <w:szCs w:val="24"/>
        </w:rPr>
        <w:tab/>
      </w:r>
      <w:r w:rsidRPr="00E42C71">
        <w:rPr>
          <w:rFonts w:ascii="Arial" w:hAnsi="Arial" w:cs="Arial"/>
          <w:sz w:val="24"/>
          <w:szCs w:val="24"/>
        </w:rPr>
        <w:t>amount requested for disposition in this proceeding.</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the billing adjustments of ($218,920) in the following aspects: </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What class of customers the adjustments are related to? </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Approximately how many customers are impacted?</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What are the reasons for the billing adjustments?</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What years of the bills that the billing adjustments are pertaining to?</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 xml:space="preserve"> 4</w:t>
      </w:r>
    </w:p>
    <w:p w:rsidR="004E69F8" w:rsidRDefault="004E69F8" w:rsidP="004E69F8">
      <w:pPr>
        <w:autoSpaceDE w:val="0"/>
        <w:autoSpaceDN w:val="0"/>
        <w:adjustRightInd w:val="0"/>
        <w:spacing w:after="0" w:line="240" w:lineRule="auto"/>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GA Analysis Workform</w:t>
      </w:r>
    </w:p>
    <w:p w:rsidR="004E69F8" w:rsidRDefault="004E69F8" w:rsidP="004E69F8">
      <w:pPr>
        <w:autoSpaceDE w:val="0"/>
        <w:autoSpaceDN w:val="0"/>
        <w:adjustRightInd w:val="0"/>
        <w:spacing w:after="0" w:line="240" w:lineRule="auto"/>
        <w:rPr>
          <w:rFonts w:ascii="Arial" w:hAnsi="Arial" w:cs="Arial"/>
          <w:b/>
          <w:bCs/>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OEB staff notes the following CT148 adjustment item in 2019 GA Analysis Workform:</w:t>
      </w:r>
    </w:p>
    <w:p w:rsidR="004E69F8" w:rsidRDefault="004E69F8" w:rsidP="004E69F8">
      <w:pPr>
        <w:autoSpaceDE w:val="0"/>
        <w:autoSpaceDN w:val="0"/>
        <w:adjustRightInd w:val="0"/>
        <w:spacing w:after="0" w:line="240" w:lineRule="auto"/>
        <w:rPr>
          <w:rFonts w:ascii="Arial" w:hAnsi="Arial" w:cs="Arial"/>
          <w:sz w:val="24"/>
          <w:szCs w:val="24"/>
        </w:rPr>
      </w:pPr>
    </w:p>
    <w:tbl>
      <w:tblPr>
        <w:tblW w:w="0" w:type="auto"/>
        <w:tblLook w:val="04A0" w:firstRow="1" w:lastRow="0" w:firstColumn="1" w:lastColumn="0" w:noHBand="0" w:noVBand="1"/>
      </w:tblPr>
      <w:tblGrid>
        <w:gridCol w:w="461"/>
        <w:gridCol w:w="3187"/>
        <w:gridCol w:w="3273"/>
        <w:gridCol w:w="2429"/>
      </w:tblGrid>
      <w:tr w:rsidR="004E69F8" w:rsidRPr="004E64B6" w:rsidTr="0019794B">
        <w:trPr>
          <w:trHeight w:val="5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E69F8" w:rsidRPr="004E64B6" w:rsidRDefault="004E69F8" w:rsidP="0019794B">
            <w:pPr>
              <w:spacing w:after="0" w:line="240" w:lineRule="auto"/>
              <w:jc w:val="right"/>
              <w:rPr>
                <w:rFonts w:ascii="Arial" w:eastAsia="Times New Roman" w:hAnsi="Arial" w:cs="Arial"/>
                <w:b/>
                <w:bCs/>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4E69F8" w:rsidRPr="004E64B6" w:rsidRDefault="004E69F8" w:rsidP="0019794B">
            <w:pPr>
              <w:spacing w:after="0" w:line="240" w:lineRule="auto"/>
              <w:rPr>
                <w:rFonts w:ascii="Arial" w:eastAsia="Times New Roman" w:hAnsi="Arial" w:cs="Arial"/>
                <w:b/>
                <w:bCs/>
              </w:rPr>
            </w:pPr>
            <w:r w:rsidRPr="004E64B6">
              <w:rPr>
                <w:rFonts w:ascii="Arial" w:eastAsia="Times New Roman" w:hAnsi="Arial" w:cs="Arial"/>
                <w:b/>
                <w:bCs/>
              </w:rPr>
              <w:t>Item</w:t>
            </w:r>
          </w:p>
        </w:tc>
        <w:tc>
          <w:tcPr>
            <w:tcW w:w="0" w:type="auto"/>
            <w:tcBorders>
              <w:top w:val="single" w:sz="4" w:space="0" w:color="auto"/>
              <w:left w:val="nil"/>
              <w:bottom w:val="single" w:sz="4" w:space="0" w:color="auto"/>
              <w:right w:val="nil"/>
            </w:tcBorders>
            <w:shd w:val="clear" w:color="000000" w:fill="FFFF00"/>
            <w:noWrap/>
            <w:vAlign w:val="bottom"/>
          </w:tcPr>
          <w:p w:rsidR="004E69F8" w:rsidRPr="004E64B6" w:rsidRDefault="004E69F8" w:rsidP="0019794B">
            <w:pPr>
              <w:spacing w:after="0" w:line="240" w:lineRule="auto"/>
              <w:jc w:val="center"/>
              <w:rPr>
                <w:rFonts w:ascii="Arial" w:eastAsia="Times New Roman" w:hAnsi="Arial" w:cs="Arial"/>
                <w:b/>
                <w:bCs/>
                <w:color w:val="000000"/>
              </w:rPr>
            </w:pPr>
            <w:r w:rsidRPr="004E64B6">
              <w:rPr>
                <w:rFonts w:ascii="Arial" w:eastAsia="Times New Roman" w:hAnsi="Arial" w:cs="Arial"/>
                <w:b/>
                <w:bCs/>
                <w:color w:val="000000"/>
              </w:rPr>
              <w:t>Amount</w:t>
            </w:r>
          </w:p>
        </w:tc>
        <w:tc>
          <w:tcPr>
            <w:tcW w:w="0" w:type="auto"/>
            <w:tcBorders>
              <w:top w:val="single" w:sz="4" w:space="0" w:color="auto"/>
              <w:left w:val="single" w:sz="4" w:space="0" w:color="auto"/>
              <w:bottom w:val="single" w:sz="4" w:space="0" w:color="auto"/>
              <w:right w:val="single" w:sz="4" w:space="0" w:color="000000"/>
            </w:tcBorders>
            <w:shd w:val="clear" w:color="000000" w:fill="EDEDED"/>
            <w:vAlign w:val="bottom"/>
          </w:tcPr>
          <w:p w:rsidR="004E69F8" w:rsidRPr="004E64B6" w:rsidRDefault="004E69F8" w:rsidP="0019794B">
            <w:pPr>
              <w:spacing w:after="0" w:line="240" w:lineRule="auto"/>
              <w:rPr>
                <w:rFonts w:ascii="Arial" w:eastAsia="Times New Roman" w:hAnsi="Arial" w:cs="Arial"/>
                <w:b/>
                <w:bCs/>
                <w:color w:val="000000"/>
              </w:rPr>
            </w:pPr>
            <w:r w:rsidRPr="004E64B6">
              <w:rPr>
                <w:rFonts w:ascii="Arial" w:eastAsia="Times New Roman" w:hAnsi="Arial" w:cs="Arial"/>
                <w:b/>
                <w:bCs/>
                <w:color w:val="000000"/>
              </w:rPr>
              <w:t>Explanation</w:t>
            </w:r>
          </w:p>
        </w:tc>
      </w:tr>
      <w:tr w:rsidR="004E69F8" w:rsidRPr="004E64B6" w:rsidTr="0019794B">
        <w:trPr>
          <w:trHeight w:val="5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9F8" w:rsidRPr="004E64B6" w:rsidRDefault="004E69F8" w:rsidP="0019794B">
            <w:pPr>
              <w:spacing w:after="0" w:line="240" w:lineRule="auto"/>
              <w:jc w:val="right"/>
              <w:rPr>
                <w:rFonts w:ascii="Arial" w:eastAsia="Times New Roman" w:hAnsi="Arial" w:cs="Arial"/>
              </w:rPr>
            </w:pPr>
            <w:r w:rsidRPr="004E64B6">
              <w:rPr>
                <w:rFonts w:ascii="Arial" w:eastAsia="Times New Roman" w:hAnsi="Arial" w:cs="Arial"/>
              </w:rPr>
              <w:t>1b</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E69F8" w:rsidRPr="004E64B6" w:rsidRDefault="004E69F8" w:rsidP="0019794B">
            <w:pPr>
              <w:spacing w:after="0" w:line="240" w:lineRule="auto"/>
              <w:rPr>
                <w:rFonts w:ascii="Arial" w:eastAsia="Times New Roman" w:hAnsi="Arial" w:cs="Arial"/>
              </w:rPr>
            </w:pPr>
            <w:r w:rsidRPr="004E64B6">
              <w:rPr>
                <w:rFonts w:ascii="Arial" w:eastAsia="Times New Roman" w:hAnsi="Arial" w:cs="Arial"/>
              </w:rPr>
              <w:t>CT 148 True-up of GA Charges based on Actual Non-RPP Volumes - current year</w:t>
            </w:r>
          </w:p>
        </w:tc>
        <w:tc>
          <w:tcPr>
            <w:tcW w:w="0" w:type="auto"/>
            <w:tcBorders>
              <w:top w:val="single" w:sz="4" w:space="0" w:color="auto"/>
              <w:left w:val="nil"/>
              <w:bottom w:val="single" w:sz="4" w:space="0" w:color="auto"/>
              <w:right w:val="nil"/>
            </w:tcBorders>
            <w:shd w:val="clear" w:color="000000" w:fill="FFFF00"/>
            <w:noWrap/>
            <w:vAlign w:val="bottom"/>
            <w:hideMark/>
          </w:tcPr>
          <w:p w:rsidR="004E69F8" w:rsidRPr="004E64B6" w:rsidRDefault="004E69F8" w:rsidP="0019794B">
            <w:pPr>
              <w:spacing w:after="0" w:line="240" w:lineRule="auto"/>
              <w:jc w:val="center"/>
              <w:rPr>
                <w:rFonts w:ascii="Arial" w:eastAsia="Times New Roman" w:hAnsi="Arial" w:cs="Arial"/>
                <w:color w:val="000000"/>
              </w:rPr>
            </w:pPr>
            <w:r w:rsidRPr="004E64B6">
              <w:rPr>
                <w:rFonts w:ascii="Arial" w:eastAsia="Times New Roman" w:hAnsi="Arial" w:cs="Arial"/>
                <w:color w:val="000000"/>
              </w:rPr>
              <w:t xml:space="preserve"> $                                  925,019 </w:t>
            </w:r>
          </w:p>
        </w:tc>
        <w:tc>
          <w:tcPr>
            <w:tcW w:w="0" w:type="auto"/>
            <w:tcBorders>
              <w:top w:val="single" w:sz="4" w:space="0" w:color="auto"/>
              <w:left w:val="single" w:sz="4" w:space="0" w:color="auto"/>
              <w:bottom w:val="single" w:sz="4" w:space="0" w:color="auto"/>
              <w:right w:val="single" w:sz="4" w:space="0" w:color="000000"/>
            </w:tcBorders>
            <w:shd w:val="clear" w:color="000000" w:fill="EDEDED"/>
            <w:vAlign w:val="bottom"/>
            <w:hideMark/>
          </w:tcPr>
          <w:p w:rsidR="004E69F8" w:rsidRPr="004E64B6" w:rsidRDefault="004E69F8" w:rsidP="0019794B">
            <w:pPr>
              <w:spacing w:after="0" w:line="240" w:lineRule="auto"/>
              <w:rPr>
                <w:rFonts w:ascii="Arial" w:eastAsia="Times New Roman" w:hAnsi="Arial" w:cs="Arial"/>
                <w:color w:val="000000"/>
              </w:rPr>
            </w:pPr>
            <w:r w:rsidRPr="004E64B6">
              <w:rPr>
                <w:rFonts w:ascii="Arial" w:eastAsia="Times New Roman" w:hAnsi="Arial" w:cs="Arial"/>
                <w:color w:val="000000"/>
              </w:rPr>
              <w:t>True-up of 2019 GA charges recorded in 2020</w:t>
            </w:r>
          </w:p>
        </w:tc>
      </w:tr>
    </w:tbl>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OEB staff notes that the credit side of the above adjustment was recorded in 2019 in Account 1588 as per review of the Principal Adjustment tab of the GA Analysis Workform. OEB staff notes that the prior year CT148 adjustment is ($83,701). </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why the CT148 true-up adjustment in 2019 is of a much larger amount as compared to the adjustment in 2018. </w:t>
      </w:r>
    </w:p>
    <w:p w:rsidR="004E69F8" w:rsidRDefault="004E69F8" w:rsidP="004E69F8">
      <w:pPr>
        <w:pStyle w:val="ListParagraph"/>
        <w:autoSpaceDE w:val="0"/>
        <w:autoSpaceDN w:val="0"/>
        <w:adjustRightInd w:val="0"/>
        <w:spacing w:after="0" w:line="240" w:lineRule="auto"/>
        <w:rPr>
          <w:rFonts w:ascii="Arial" w:hAnsi="Arial" w:cs="Arial"/>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9B3D3E" w:rsidRDefault="009B3D3E" w:rsidP="004E69F8">
      <w:pPr>
        <w:pStyle w:val="ListParagraph"/>
        <w:autoSpaceDE w:val="0"/>
        <w:autoSpaceDN w:val="0"/>
        <w:adjustRightInd w:val="0"/>
        <w:spacing w:after="0" w:line="240" w:lineRule="auto"/>
        <w:ind w:left="0"/>
        <w:rPr>
          <w:rFonts w:ascii="Arial" w:hAnsi="Arial" w:cs="Arial"/>
          <w:b/>
          <w:bCs/>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lastRenderedPageBreak/>
        <w:t>Staff Question -</w:t>
      </w:r>
      <w:r>
        <w:rPr>
          <w:rFonts w:ascii="Arial" w:hAnsi="Arial" w:cs="Arial"/>
          <w:b/>
          <w:bCs/>
          <w:sz w:val="24"/>
          <w:szCs w:val="24"/>
        </w:rPr>
        <w:t xml:space="preserve"> </w:t>
      </w:r>
      <w:r w:rsidR="009B3D3E">
        <w:rPr>
          <w:rFonts w:ascii="Arial" w:hAnsi="Arial" w:cs="Arial"/>
          <w:b/>
          <w:bCs/>
          <w:sz w:val="24"/>
          <w:szCs w:val="24"/>
        </w:rPr>
        <w:t>5</w:t>
      </w:r>
    </w:p>
    <w:p w:rsidR="004E69F8" w:rsidRDefault="004E69F8" w:rsidP="004E69F8">
      <w:pPr>
        <w:autoSpaceDE w:val="0"/>
        <w:autoSpaceDN w:val="0"/>
        <w:adjustRightInd w:val="0"/>
        <w:spacing w:after="0" w:line="240" w:lineRule="auto"/>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GA Analysis Workform; the Accounting Guidance for IESO Charge Type 2148</w:t>
      </w:r>
    </w:p>
    <w:p w:rsidR="004E69F8" w:rsidRDefault="004E69F8" w:rsidP="004E69F8">
      <w:pPr>
        <w:autoSpaceDE w:val="0"/>
        <w:autoSpaceDN w:val="0"/>
        <w:adjustRightInd w:val="0"/>
        <w:spacing w:after="0" w:line="240" w:lineRule="auto"/>
        <w:rPr>
          <w:rFonts w:ascii="Arial" w:hAnsi="Arial" w:cs="Arial"/>
          <w:b/>
          <w:bCs/>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OEB staff notes that the following reconciling items are netted zero in the 2019 GA Analysis Workform: </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tbl>
      <w:tblPr>
        <w:tblW w:w="0" w:type="auto"/>
        <w:tblLook w:val="04A0" w:firstRow="1" w:lastRow="0" w:firstColumn="1" w:lastColumn="0" w:noHBand="0" w:noVBand="1"/>
      </w:tblPr>
      <w:tblGrid>
        <w:gridCol w:w="339"/>
        <w:gridCol w:w="1927"/>
        <w:gridCol w:w="3273"/>
        <w:gridCol w:w="3811"/>
      </w:tblGrid>
      <w:tr w:rsidR="004E69F8" w:rsidRPr="001E1B23" w:rsidTr="0019794B">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rsidR="004E69F8" w:rsidRPr="001E1B23" w:rsidRDefault="004E69F8" w:rsidP="0019794B">
            <w:pPr>
              <w:spacing w:after="0" w:line="240" w:lineRule="auto"/>
              <w:jc w:val="right"/>
              <w:rPr>
                <w:rFonts w:ascii="Arial" w:eastAsia="Times New Roman" w:hAnsi="Arial" w:cs="Arial"/>
                <w:b/>
                <w:bCs/>
                <w:color w:val="000000"/>
              </w:rPr>
            </w:pPr>
          </w:p>
        </w:tc>
        <w:tc>
          <w:tcPr>
            <w:tcW w:w="0" w:type="auto"/>
            <w:tcBorders>
              <w:top w:val="single" w:sz="4" w:space="0" w:color="auto"/>
              <w:left w:val="nil"/>
              <w:bottom w:val="single" w:sz="4" w:space="0" w:color="auto"/>
              <w:right w:val="single" w:sz="4" w:space="0" w:color="auto"/>
            </w:tcBorders>
            <w:shd w:val="clear" w:color="000000" w:fill="FFFFFF"/>
            <w:vAlign w:val="bottom"/>
          </w:tcPr>
          <w:p w:rsidR="004E69F8" w:rsidRPr="001E1B23" w:rsidRDefault="004E69F8" w:rsidP="0019794B">
            <w:pPr>
              <w:spacing w:after="0" w:line="240" w:lineRule="auto"/>
              <w:rPr>
                <w:rFonts w:ascii="Arial" w:eastAsia="Times New Roman" w:hAnsi="Arial" w:cs="Arial"/>
                <w:b/>
                <w:bCs/>
                <w:color w:val="000000"/>
              </w:rPr>
            </w:pPr>
            <w:r w:rsidRPr="001E1B23">
              <w:rPr>
                <w:rFonts w:ascii="Arial" w:eastAsia="Times New Roman" w:hAnsi="Arial" w:cs="Arial"/>
                <w:b/>
                <w:bCs/>
                <w:color w:val="000000"/>
              </w:rPr>
              <w:t>Item</w:t>
            </w:r>
          </w:p>
        </w:tc>
        <w:tc>
          <w:tcPr>
            <w:tcW w:w="0" w:type="auto"/>
            <w:tcBorders>
              <w:top w:val="single" w:sz="4" w:space="0" w:color="auto"/>
              <w:left w:val="nil"/>
              <w:bottom w:val="single" w:sz="4" w:space="0" w:color="auto"/>
              <w:right w:val="nil"/>
            </w:tcBorders>
            <w:shd w:val="clear" w:color="000000" w:fill="FFFFFF"/>
            <w:noWrap/>
            <w:vAlign w:val="bottom"/>
          </w:tcPr>
          <w:p w:rsidR="004E69F8" w:rsidRPr="001E1B23" w:rsidRDefault="004E69F8" w:rsidP="0019794B">
            <w:pPr>
              <w:spacing w:after="0" w:line="240" w:lineRule="auto"/>
              <w:jc w:val="center"/>
              <w:rPr>
                <w:rFonts w:ascii="Arial" w:eastAsia="Times New Roman" w:hAnsi="Arial" w:cs="Arial"/>
                <w:b/>
                <w:bCs/>
                <w:color w:val="000000"/>
              </w:rPr>
            </w:pPr>
            <w:r w:rsidRPr="001E1B23">
              <w:rPr>
                <w:rFonts w:ascii="Arial" w:eastAsia="Times New Roman" w:hAnsi="Arial" w:cs="Arial"/>
                <w:b/>
                <w:bCs/>
                <w:color w:val="000000"/>
              </w:rPr>
              <w:t>Amount</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4E69F8" w:rsidRPr="001E1B23" w:rsidRDefault="004E69F8" w:rsidP="0019794B">
            <w:pPr>
              <w:spacing w:after="0" w:line="240" w:lineRule="auto"/>
              <w:rPr>
                <w:rFonts w:ascii="Arial" w:eastAsia="Times New Roman" w:hAnsi="Arial" w:cs="Arial"/>
                <w:b/>
                <w:bCs/>
                <w:color w:val="000000"/>
              </w:rPr>
            </w:pPr>
            <w:r w:rsidRPr="001E1B23">
              <w:rPr>
                <w:rFonts w:ascii="Arial" w:eastAsia="Times New Roman" w:hAnsi="Arial" w:cs="Arial"/>
                <w:b/>
                <w:bCs/>
                <w:color w:val="000000"/>
              </w:rPr>
              <w:t>Explanation</w:t>
            </w:r>
          </w:p>
        </w:tc>
      </w:tr>
      <w:tr w:rsidR="004E69F8" w:rsidRPr="001E1B23" w:rsidTr="0019794B">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69F8" w:rsidRPr="001E1B23" w:rsidRDefault="004E69F8" w:rsidP="0019794B">
            <w:pPr>
              <w:spacing w:after="0" w:line="240" w:lineRule="auto"/>
              <w:jc w:val="right"/>
              <w:rPr>
                <w:rFonts w:ascii="Arial" w:eastAsia="Times New Roman" w:hAnsi="Arial" w:cs="Arial"/>
                <w:color w:val="000000"/>
              </w:rPr>
            </w:pPr>
            <w:r w:rsidRPr="001E1B23">
              <w:rPr>
                <w:rFonts w:ascii="Arial" w:eastAsia="Times New Roman" w:hAnsi="Arial" w:cs="Arial"/>
                <w:color w:val="000000"/>
              </w:rPr>
              <w:t>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CT 2148 for prior period corrections</w:t>
            </w:r>
          </w:p>
        </w:tc>
        <w:tc>
          <w:tcPr>
            <w:tcW w:w="0" w:type="auto"/>
            <w:tcBorders>
              <w:top w:val="single" w:sz="4" w:space="0" w:color="auto"/>
              <w:left w:val="nil"/>
              <w:bottom w:val="single" w:sz="4" w:space="0" w:color="auto"/>
              <w:right w:val="nil"/>
            </w:tcBorders>
            <w:shd w:val="clear" w:color="000000" w:fill="FFFFFF"/>
            <w:noWrap/>
            <w:vAlign w:val="bottom"/>
            <w:hideMark/>
          </w:tcPr>
          <w:p w:rsidR="004E69F8" w:rsidRPr="001E1B23" w:rsidRDefault="004E69F8" w:rsidP="0019794B">
            <w:pPr>
              <w:spacing w:after="0" w:line="240" w:lineRule="auto"/>
              <w:jc w:val="center"/>
              <w:rPr>
                <w:rFonts w:ascii="Arial" w:eastAsia="Times New Roman" w:hAnsi="Arial" w:cs="Arial"/>
                <w:color w:val="000000"/>
              </w:rPr>
            </w:pPr>
            <w:r w:rsidRPr="001E1B23">
              <w:rPr>
                <w:rFonts w:ascii="Arial" w:eastAsia="Times New Roman" w:hAnsi="Arial" w:cs="Arial"/>
                <w:color w:val="000000"/>
              </w:rPr>
              <w:t xml:space="preserve"> $                                  810,304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From September 2019 IESO invoice (lines 8 and 9 from 2020 GA Workform plus Jan-Mar 2019)</w:t>
            </w:r>
          </w:p>
        </w:tc>
      </w:tr>
      <w:tr w:rsidR="004E69F8" w:rsidRPr="001E1B23" w:rsidTr="0019794B">
        <w:trPr>
          <w:trHeight w:val="28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4E69F8" w:rsidRPr="001E1B23" w:rsidRDefault="004E69F8" w:rsidP="0019794B">
            <w:pPr>
              <w:spacing w:after="0" w:line="240" w:lineRule="auto"/>
              <w:jc w:val="right"/>
              <w:rPr>
                <w:rFonts w:ascii="Arial" w:eastAsia="Times New Roman" w:hAnsi="Arial" w:cs="Arial"/>
                <w:color w:val="000000"/>
              </w:rPr>
            </w:pPr>
            <w:r w:rsidRPr="001E1B23">
              <w:rPr>
                <w:rFonts w:ascii="Arial" w:eastAsia="Times New Roman" w:hAnsi="Arial" w:cs="Arial"/>
                <w:color w:val="000000"/>
              </w:rPr>
              <w:t>6</w:t>
            </w:r>
          </w:p>
        </w:tc>
        <w:tc>
          <w:tcPr>
            <w:tcW w:w="0" w:type="auto"/>
            <w:tcBorders>
              <w:top w:val="nil"/>
              <w:left w:val="nil"/>
              <w:bottom w:val="single" w:sz="4" w:space="0" w:color="auto"/>
              <w:right w:val="single" w:sz="4" w:space="0" w:color="auto"/>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Others as justified by distributor</w:t>
            </w:r>
          </w:p>
        </w:tc>
        <w:tc>
          <w:tcPr>
            <w:tcW w:w="0" w:type="auto"/>
            <w:tcBorders>
              <w:top w:val="nil"/>
              <w:left w:val="nil"/>
              <w:bottom w:val="single" w:sz="4" w:space="0" w:color="auto"/>
              <w:right w:val="nil"/>
            </w:tcBorders>
            <w:shd w:val="clear" w:color="000000" w:fill="FFFFFF"/>
            <w:noWrap/>
            <w:vAlign w:val="bottom"/>
            <w:hideMark/>
          </w:tcPr>
          <w:p w:rsidR="004E69F8" w:rsidRPr="001E1B23" w:rsidRDefault="004E69F8" w:rsidP="0019794B">
            <w:pPr>
              <w:spacing w:after="0" w:line="240" w:lineRule="auto"/>
              <w:jc w:val="center"/>
              <w:rPr>
                <w:rFonts w:ascii="Arial" w:eastAsia="Times New Roman" w:hAnsi="Arial" w:cs="Arial"/>
                <w:color w:val="000000"/>
              </w:rPr>
            </w:pPr>
            <w:r w:rsidRPr="001E1B23">
              <w:rPr>
                <w:rFonts w:ascii="Arial" w:eastAsia="Times New Roman" w:hAnsi="Arial" w:cs="Arial"/>
                <w:color w:val="000000"/>
              </w:rPr>
              <w:t xml:space="preserve"> $                            </w:t>
            </w:r>
            <w:proofErr w:type="gramStart"/>
            <w:r w:rsidRPr="001E1B23">
              <w:rPr>
                <w:rFonts w:ascii="Arial" w:eastAsia="Times New Roman" w:hAnsi="Arial" w:cs="Arial"/>
                <w:color w:val="000000"/>
              </w:rPr>
              <w:t xml:space="preserve">   (</w:t>
            </w:r>
            <w:proofErr w:type="gramEnd"/>
            <w:r w:rsidRPr="001E1B23">
              <w:rPr>
                <w:rFonts w:ascii="Arial" w:eastAsia="Times New Roman" w:hAnsi="Arial" w:cs="Arial"/>
                <w:color w:val="000000"/>
              </w:rPr>
              <w:t xml:space="preserve">142,085) </w:t>
            </w:r>
          </w:p>
        </w:tc>
        <w:tc>
          <w:tcPr>
            <w:tcW w:w="0" w:type="auto"/>
            <w:tcBorders>
              <w:top w:val="single" w:sz="4" w:space="0" w:color="auto"/>
              <w:left w:val="single" w:sz="4" w:space="0" w:color="auto"/>
              <w:bottom w:val="single" w:sz="4" w:space="0" w:color="auto"/>
              <w:right w:val="single" w:sz="4" w:space="0" w:color="000000"/>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From September 2019 IESO invoice (reversal of previous Issue 870 related to 2018 as a result of line 5)</w:t>
            </w:r>
          </w:p>
        </w:tc>
      </w:tr>
      <w:tr w:rsidR="004E69F8" w:rsidRPr="001E1B23" w:rsidTr="0019794B">
        <w:trPr>
          <w:trHeight w:val="28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4E69F8" w:rsidRPr="001E1B23" w:rsidRDefault="004E69F8" w:rsidP="0019794B">
            <w:pPr>
              <w:spacing w:after="0" w:line="240" w:lineRule="auto"/>
              <w:jc w:val="right"/>
              <w:rPr>
                <w:rFonts w:ascii="Arial" w:eastAsia="Times New Roman" w:hAnsi="Arial" w:cs="Arial"/>
                <w:color w:val="000000"/>
              </w:rPr>
            </w:pPr>
            <w:r w:rsidRPr="001E1B23">
              <w:rPr>
                <w:rFonts w:ascii="Arial" w:eastAsia="Times New Roman" w:hAnsi="Arial" w:cs="Arial"/>
                <w:color w:val="000000"/>
              </w:rPr>
              <w:t>7</w:t>
            </w:r>
          </w:p>
        </w:tc>
        <w:tc>
          <w:tcPr>
            <w:tcW w:w="0" w:type="auto"/>
            <w:tcBorders>
              <w:top w:val="nil"/>
              <w:left w:val="nil"/>
              <w:bottom w:val="single" w:sz="4" w:space="0" w:color="auto"/>
              <w:right w:val="single" w:sz="4" w:space="0" w:color="auto"/>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 </w:t>
            </w:r>
          </w:p>
        </w:tc>
        <w:tc>
          <w:tcPr>
            <w:tcW w:w="0" w:type="auto"/>
            <w:tcBorders>
              <w:top w:val="nil"/>
              <w:left w:val="nil"/>
              <w:bottom w:val="single" w:sz="4" w:space="0" w:color="auto"/>
              <w:right w:val="nil"/>
            </w:tcBorders>
            <w:shd w:val="clear" w:color="000000" w:fill="FFFFFF"/>
            <w:noWrap/>
            <w:vAlign w:val="bottom"/>
            <w:hideMark/>
          </w:tcPr>
          <w:p w:rsidR="004E69F8" w:rsidRPr="001E1B23" w:rsidRDefault="004E69F8" w:rsidP="0019794B">
            <w:pPr>
              <w:spacing w:after="0" w:line="240" w:lineRule="auto"/>
              <w:jc w:val="center"/>
              <w:rPr>
                <w:rFonts w:ascii="Arial" w:eastAsia="Times New Roman" w:hAnsi="Arial" w:cs="Arial"/>
                <w:color w:val="000000"/>
              </w:rPr>
            </w:pPr>
            <w:r w:rsidRPr="001E1B23">
              <w:rPr>
                <w:rFonts w:ascii="Arial" w:eastAsia="Times New Roman" w:hAnsi="Arial" w:cs="Arial"/>
                <w:color w:val="000000"/>
              </w:rPr>
              <w:t xml:space="preserve"> $                            </w:t>
            </w:r>
            <w:proofErr w:type="gramStart"/>
            <w:r w:rsidRPr="001E1B23">
              <w:rPr>
                <w:rFonts w:ascii="Arial" w:eastAsia="Times New Roman" w:hAnsi="Arial" w:cs="Arial"/>
                <w:color w:val="000000"/>
              </w:rPr>
              <w:t xml:space="preserve">   (</w:t>
            </w:r>
            <w:proofErr w:type="gramEnd"/>
            <w:r w:rsidRPr="001E1B23">
              <w:rPr>
                <w:rFonts w:ascii="Arial" w:eastAsia="Times New Roman" w:hAnsi="Arial" w:cs="Arial"/>
                <w:color w:val="000000"/>
              </w:rPr>
              <w:t xml:space="preserve">564,280) </w:t>
            </w:r>
          </w:p>
        </w:tc>
        <w:tc>
          <w:tcPr>
            <w:tcW w:w="0" w:type="auto"/>
            <w:tcBorders>
              <w:top w:val="single" w:sz="4" w:space="0" w:color="auto"/>
              <w:left w:val="single" w:sz="4" w:space="0" w:color="auto"/>
              <w:bottom w:val="single" w:sz="4" w:space="0" w:color="auto"/>
              <w:right w:val="single" w:sz="4" w:space="0" w:color="000000"/>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Portion of line 5 related to 2018 balances</w:t>
            </w:r>
          </w:p>
        </w:tc>
      </w:tr>
      <w:tr w:rsidR="004E69F8" w:rsidRPr="001E1B23" w:rsidTr="0019794B">
        <w:trPr>
          <w:trHeight w:val="27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4E69F8" w:rsidRPr="001E1B23" w:rsidRDefault="004E69F8" w:rsidP="0019794B">
            <w:pPr>
              <w:spacing w:after="0" w:line="240" w:lineRule="auto"/>
              <w:jc w:val="right"/>
              <w:rPr>
                <w:rFonts w:ascii="Arial" w:eastAsia="Times New Roman" w:hAnsi="Arial" w:cs="Arial"/>
                <w:color w:val="000000"/>
              </w:rPr>
            </w:pPr>
            <w:r w:rsidRPr="001E1B23">
              <w:rPr>
                <w:rFonts w:ascii="Arial" w:eastAsia="Times New Roman" w:hAnsi="Arial" w:cs="Arial"/>
                <w:color w:val="000000"/>
              </w:rPr>
              <w:t>8</w:t>
            </w:r>
          </w:p>
        </w:tc>
        <w:tc>
          <w:tcPr>
            <w:tcW w:w="0" w:type="auto"/>
            <w:tcBorders>
              <w:top w:val="nil"/>
              <w:left w:val="nil"/>
              <w:bottom w:val="single" w:sz="4" w:space="0" w:color="auto"/>
              <w:right w:val="single" w:sz="4" w:space="0" w:color="auto"/>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 </w:t>
            </w:r>
          </w:p>
        </w:tc>
        <w:tc>
          <w:tcPr>
            <w:tcW w:w="0" w:type="auto"/>
            <w:tcBorders>
              <w:top w:val="nil"/>
              <w:left w:val="nil"/>
              <w:bottom w:val="single" w:sz="4" w:space="0" w:color="auto"/>
              <w:right w:val="nil"/>
            </w:tcBorders>
            <w:shd w:val="clear" w:color="000000" w:fill="FFFFFF"/>
            <w:noWrap/>
            <w:vAlign w:val="bottom"/>
            <w:hideMark/>
          </w:tcPr>
          <w:p w:rsidR="004E69F8" w:rsidRPr="001E1B23" w:rsidRDefault="004E69F8" w:rsidP="0019794B">
            <w:pPr>
              <w:spacing w:after="0" w:line="240" w:lineRule="auto"/>
              <w:jc w:val="center"/>
              <w:rPr>
                <w:rFonts w:ascii="Arial" w:eastAsia="Times New Roman" w:hAnsi="Arial" w:cs="Arial"/>
                <w:color w:val="000000"/>
              </w:rPr>
            </w:pPr>
            <w:r w:rsidRPr="001E1B23">
              <w:rPr>
                <w:rFonts w:ascii="Arial" w:eastAsia="Times New Roman" w:hAnsi="Arial" w:cs="Arial"/>
                <w:color w:val="000000"/>
              </w:rPr>
              <w:t xml:space="preserve"> $                                      5,330 </w:t>
            </w:r>
          </w:p>
        </w:tc>
        <w:tc>
          <w:tcPr>
            <w:tcW w:w="0" w:type="auto"/>
            <w:tcBorders>
              <w:top w:val="single" w:sz="4" w:space="0" w:color="auto"/>
              <w:left w:val="single" w:sz="4" w:space="0" w:color="auto"/>
              <w:bottom w:val="single" w:sz="4" w:space="0" w:color="auto"/>
              <w:right w:val="single" w:sz="4" w:space="0" w:color="000000"/>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Difference in 2020 GA Workform estimate vs. actual IESO invoice</w:t>
            </w:r>
          </w:p>
        </w:tc>
      </w:tr>
      <w:tr w:rsidR="004E69F8" w:rsidRPr="001E1B23" w:rsidTr="0019794B">
        <w:trPr>
          <w:trHeight w:val="28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4E69F8" w:rsidRPr="001E1B23" w:rsidRDefault="004E69F8" w:rsidP="0019794B">
            <w:pPr>
              <w:spacing w:after="0" w:line="240" w:lineRule="auto"/>
              <w:jc w:val="right"/>
              <w:rPr>
                <w:rFonts w:ascii="Arial" w:eastAsia="Times New Roman" w:hAnsi="Arial" w:cs="Arial"/>
                <w:color w:val="000000"/>
              </w:rPr>
            </w:pPr>
            <w:r w:rsidRPr="001E1B23">
              <w:rPr>
                <w:rFonts w:ascii="Arial" w:eastAsia="Times New Roman" w:hAnsi="Arial" w:cs="Arial"/>
                <w:color w:val="000000"/>
              </w:rPr>
              <w:t>9</w:t>
            </w:r>
          </w:p>
        </w:tc>
        <w:tc>
          <w:tcPr>
            <w:tcW w:w="0" w:type="auto"/>
            <w:tcBorders>
              <w:top w:val="nil"/>
              <w:left w:val="nil"/>
              <w:bottom w:val="single" w:sz="4" w:space="0" w:color="auto"/>
              <w:right w:val="single" w:sz="4" w:space="0" w:color="auto"/>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 </w:t>
            </w:r>
          </w:p>
        </w:tc>
        <w:tc>
          <w:tcPr>
            <w:tcW w:w="0" w:type="auto"/>
            <w:tcBorders>
              <w:top w:val="nil"/>
              <w:left w:val="nil"/>
              <w:bottom w:val="single" w:sz="4" w:space="0" w:color="auto"/>
              <w:right w:val="nil"/>
            </w:tcBorders>
            <w:shd w:val="clear" w:color="000000" w:fill="FFFFFF"/>
            <w:noWrap/>
            <w:vAlign w:val="bottom"/>
            <w:hideMark/>
          </w:tcPr>
          <w:p w:rsidR="004E69F8" w:rsidRPr="001E1B23" w:rsidRDefault="004E69F8" w:rsidP="0019794B">
            <w:pPr>
              <w:spacing w:after="0" w:line="240" w:lineRule="auto"/>
              <w:jc w:val="center"/>
              <w:rPr>
                <w:rFonts w:ascii="Arial" w:eastAsia="Times New Roman" w:hAnsi="Arial" w:cs="Arial"/>
                <w:color w:val="000000"/>
              </w:rPr>
            </w:pPr>
            <w:r w:rsidRPr="001E1B23">
              <w:rPr>
                <w:rFonts w:ascii="Arial" w:eastAsia="Times New Roman" w:hAnsi="Arial" w:cs="Arial"/>
                <w:color w:val="000000"/>
              </w:rPr>
              <w:t xml:space="preserve"> $                            </w:t>
            </w:r>
            <w:proofErr w:type="gramStart"/>
            <w:r w:rsidRPr="001E1B23">
              <w:rPr>
                <w:rFonts w:ascii="Arial" w:eastAsia="Times New Roman" w:hAnsi="Arial" w:cs="Arial"/>
                <w:color w:val="000000"/>
              </w:rPr>
              <w:t xml:space="preserve">   (</w:t>
            </w:r>
            <w:proofErr w:type="gramEnd"/>
            <w:r w:rsidRPr="001E1B23">
              <w:rPr>
                <w:rFonts w:ascii="Arial" w:eastAsia="Times New Roman" w:hAnsi="Arial" w:cs="Arial"/>
                <w:color w:val="000000"/>
              </w:rPr>
              <w:t xml:space="preserve">109,269) </w:t>
            </w:r>
          </w:p>
        </w:tc>
        <w:tc>
          <w:tcPr>
            <w:tcW w:w="0" w:type="auto"/>
            <w:tcBorders>
              <w:top w:val="single" w:sz="4" w:space="0" w:color="auto"/>
              <w:left w:val="single" w:sz="4" w:space="0" w:color="auto"/>
              <w:bottom w:val="single" w:sz="4" w:space="0" w:color="auto"/>
              <w:right w:val="single" w:sz="4" w:space="0" w:color="000000"/>
            </w:tcBorders>
            <w:shd w:val="clear" w:color="000000" w:fill="FFFFFF"/>
            <w:vAlign w:val="bottom"/>
            <w:hideMark/>
          </w:tcPr>
          <w:p w:rsidR="004E69F8" w:rsidRPr="001E1B23" w:rsidRDefault="004E69F8" w:rsidP="0019794B">
            <w:pPr>
              <w:spacing w:after="0" w:line="240" w:lineRule="auto"/>
              <w:rPr>
                <w:rFonts w:ascii="Arial" w:eastAsia="Times New Roman" w:hAnsi="Arial" w:cs="Arial"/>
                <w:color w:val="000000"/>
              </w:rPr>
            </w:pPr>
            <w:r w:rsidRPr="001E1B23">
              <w:rPr>
                <w:rFonts w:ascii="Arial" w:eastAsia="Times New Roman" w:hAnsi="Arial" w:cs="Arial"/>
                <w:color w:val="000000"/>
              </w:rPr>
              <w:t>Portion of line 5 relating to 2019 calendar year adjustments (Jan-Mar 2019 for incorrect EG reporting)</w:t>
            </w:r>
          </w:p>
        </w:tc>
      </w:tr>
    </w:tbl>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The OEB issued an Accounting Guidance on May 15, 20</w:t>
      </w:r>
      <w:r w:rsidR="009B3D3E">
        <w:rPr>
          <w:rFonts w:ascii="Arial" w:hAnsi="Arial" w:cs="Arial"/>
          <w:sz w:val="24"/>
          <w:szCs w:val="24"/>
        </w:rPr>
        <w:t>1</w:t>
      </w:r>
      <w:r>
        <w:rPr>
          <w:rFonts w:ascii="Arial" w:hAnsi="Arial" w:cs="Arial"/>
          <w:sz w:val="24"/>
          <w:szCs w:val="24"/>
        </w:rPr>
        <w:t>9 regarding the IESO Charge Type 2148. The Accounting Guidance states that:</w:t>
      </w:r>
    </w:p>
    <w:p w:rsidR="004E69F8" w:rsidRDefault="004E69F8" w:rsidP="004E69F8">
      <w:pPr>
        <w:autoSpaceDE w:val="0"/>
        <w:autoSpaceDN w:val="0"/>
        <w:adjustRightInd w:val="0"/>
        <w:spacing w:after="0" w:line="240" w:lineRule="auto"/>
        <w:rPr>
          <w:rFonts w:ascii="Arial" w:hAnsi="Arial" w:cs="Arial"/>
          <w:sz w:val="24"/>
          <w:szCs w:val="24"/>
        </w:rPr>
      </w:pPr>
    </w:p>
    <w:p w:rsidR="004E69F8" w:rsidRPr="00DC23A0"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DC23A0">
        <w:rPr>
          <w:rFonts w:ascii="Arial" w:hAnsi="Arial" w:cs="Arial"/>
          <w:sz w:val="24"/>
          <w:szCs w:val="24"/>
        </w:rPr>
        <w:t xml:space="preserve">Distributors are expected to incorporate the portion of RPP global adjustment </w:t>
      </w:r>
      <w:r>
        <w:rPr>
          <w:rFonts w:ascii="Arial" w:hAnsi="Arial" w:cs="Arial"/>
          <w:sz w:val="24"/>
          <w:szCs w:val="24"/>
        </w:rPr>
        <w:tab/>
      </w:r>
      <w:r w:rsidRPr="00DC23A0">
        <w:rPr>
          <w:rFonts w:ascii="Arial" w:hAnsi="Arial" w:cs="Arial"/>
          <w:sz w:val="24"/>
          <w:szCs w:val="24"/>
        </w:rPr>
        <w:t xml:space="preserve">from charge type 2148 in their RPP settlement claims. Therefore, the total global </w:t>
      </w:r>
      <w:r>
        <w:rPr>
          <w:rFonts w:ascii="Arial" w:hAnsi="Arial" w:cs="Arial"/>
          <w:sz w:val="24"/>
          <w:szCs w:val="24"/>
        </w:rPr>
        <w:tab/>
      </w:r>
      <w:r w:rsidRPr="00DC23A0">
        <w:rPr>
          <w:rFonts w:ascii="Arial" w:hAnsi="Arial" w:cs="Arial"/>
          <w:sz w:val="24"/>
          <w:szCs w:val="24"/>
        </w:rPr>
        <w:t xml:space="preserve">adjustment cost is to be used in calculating RPP settlements claims and </w:t>
      </w:r>
      <w:r>
        <w:rPr>
          <w:rFonts w:ascii="Arial" w:hAnsi="Arial" w:cs="Arial"/>
          <w:sz w:val="24"/>
          <w:szCs w:val="24"/>
        </w:rPr>
        <w:tab/>
      </w:r>
      <w:r w:rsidRPr="00DC23A0">
        <w:rPr>
          <w:rFonts w:ascii="Arial" w:hAnsi="Arial" w:cs="Arial"/>
          <w:sz w:val="24"/>
          <w:szCs w:val="24"/>
        </w:rPr>
        <w:t xml:space="preserve">subsequent true ups with the IESO. The portion of charge type 2148 relating to </w:t>
      </w:r>
      <w:r>
        <w:rPr>
          <w:rFonts w:ascii="Arial" w:hAnsi="Arial" w:cs="Arial"/>
          <w:sz w:val="24"/>
          <w:szCs w:val="24"/>
        </w:rPr>
        <w:tab/>
      </w:r>
      <w:r w:rsidRPr="00DC23A0">
        <w:rPr>
          <w:rFonts w:ascii="Arial" w:hAnsi="Arial" w:cs="Arial"/>
          <w:sz w:val="24"/>
          <w:szCs w:val="24"/>
        </w:rPr>
        <w:t xml:space="preserve">RPP customers would need to be settled with the IESO as a part of the current </w:t>
      </w:r>
      <w:r>
        <w:rPr>
          <w:rFonts w:ascii="Arial" w:hAnsi="Arial" w:cs="Arial"/>
          <w:sz w:val="24"/>
          <w:szCs w:val="24"/>
        </w:rPr>
        <w:tab/>
      </w:r>
      <w:r w:rsidRPr="00DC23A0">
        <w:rPr>
          <w:rFonts w:ascii="Arial" w:hAnsi="Arial" w:cs="Arial"/>
          <w:sz w:val="24"/>
          <w:szCs w:val="24"/>
        </w:rPr>
        <w:t xml:space="preserve">month RPP settlement using current month Class B RPP load quantities. </w:t>
      </w:r>
      <w:r>
        <w:rPr>
          <w:rFonts w:ascii="Arial" w:hAnsi="Arial" w:cs="Arial"/>
          <w:sz w:val="24"/>
          <w:szCs w:val="24"/>
        </w:rPr>
        <w:tab/>
      </w:r>
      <w:r w:rsidRPr="00DC23A0">
        <w:rPr>
          <w:rFonts w:ascii="Arial" w:hAnsi="Arial" w:cs="Arial"/>
          <w:sz w:val="24"/>
          <w:szCs w:val="24"/>
        </w:rPr>
        <w:t xml:space="preserve">Distributors are not expected to revise prior period RPP settlement claims for </w:t>
      </w:r>
      <w:r>
        <w:rPr>
          <w:rFonts w:ascii="Arial" w:hAnsi="Arial" w:cs="Arial"/>
          <w:sz w:val="24"/>
          <w:szCs w:val="24"/>
        </w:rPr>
        <w:tab/>
      </w:r>
      <w:r w:rsidRPr="00DC23A0">
        <w:rPr>
          <w:rFonts w:ascii="Arial" w:hAnsi="Arial" w:cs="Arial"/>
          <w:sz w:val="24"/>
          <w:szCs w:val="24"/>
        </w:rPr>
        <w:t>prior period corrections stemming from charge type 2148.</w:t>
      </w:r>
    </w:p>
    <w:p w:rsidR="004E69F8" w:rsidRPr="00DC23A0"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why these reconciling items are needed in 2019 GA Analysis Workform. </w:t>
      </w:r>
    </w:p>
    <w:p w:rsidR="004E69F8" w:rsidRDefault="004E69F8" w:rsidP="004E69F8">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the portion of the CT 2148 adjustment related to 2019 only and provide the Non-RPP portions and RPP portions of the adjustments. </w:t>
      </w:r>
    </w:p>
    <w:p w:rsidR="004E69F8" w:rsidRDefault="004E69F8" w:rsidP="004E69F8">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that Kingston Hydro has recorded the CT2148 adjustment in accordance with the Accounting Guidance dated May 15, 2019. Specifically, Kingston Hydro has apportioned the adjustment into RPP and Non-RPP and has settled the RPP-portion of the CT2148 with the IESO. </w:t>
      </w:r>
      <w:r w:rsidRPr="00F11D8D">
        <w:rPr>
          <w:rFonts w:ascii="Arial" w:hAnsi="Arial" w:cs="Arial"/>
          <w:sz w:val="24"/>
          <w:szCs w:val="24"/>
        </w:rPr>
        <w:t xml:space="preserve"> </w:t>
      </w:r>
    </w:p>
    <w:p w:rsidR="004E69F8" w:rsidRDefault="004E69F8" w:rsidP="004E69F8">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so, please provide the month where Kingston Hydro has included the RPP portion of the CT2148 or a plan when it will be settled. </w:t>
      </w:r>
    </w:p>
    <w:p w:rsidR="004E69F8" w:rsidRPr="00F11D8D" w:rsidRDefault="004E69F8" w:rsidP="004E69F8">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If not, why not. </w:t>
      </w: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 xml:space="preserve"> </w:t>
      </w:r>
      <w:r w:rsidR="009B3D3E">
        <w:rPr>
          <w:rFonts w:ascii="Arial" w:hAnsi="Arial" w:cs="Arial"/>
          <w:b/>
          <w:bCs/>
          <w:sz w:val="24"/>
          <w:szCs w:val="24"/>
        </w:rPr>
        <w:t>6</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GA Analysis Workform</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OEB staff notes from the “Principal Adjustments” tab of the GA Analysis Workform that the 2019 principal adjustments for Account 1588 is mainly comprised of the following two adjustments: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9"/>
        <w:gridCol w:w="3507"/>
        <w:gridCol w:w="2625"/>
        <w:gridCol w:w="2173"/>
      </w:tblGrid>
      <w:tr w:rsidR="004E69F8" w:rsidRPr="00192C55" w:rsidTr="0019794B">
        <w:trPr>
          <w:trHeight w:val="278"/>
        </w:trPr>
        <w:tc>
          <w:tcPr>
            <w:tcW w:w="0" w:type="auto"/>
            <w:shd w:val="clear" w:color="000000" w:fill="EDEDED"/>
            <w:noWrap/>
            <w:vAlign w:val="bottom"/>
            <w:hideMark/>
          </w:tcPr>
          <w:p w:rsidR="004E69F8" w:rsidRPr="00192C55" w:rsidRDefault="004E69F8" w:rsidP="0019794B">
            <w:pPr>
              <w:spacing w:after="0" w:line="240" w:lineRule="auto"/>
              <w:jc w:val="center"/>
              <w:rPr>
                <w:rFonts w:ascii="Arial" w:eastAsia="Times New Roman" w:hAnsi="Arial" w:cs="Arial"/>
                <w:color w:val="000000"/>
              </w:rPr>
            </w:pPr>
            <w:r w:rsidRPr="00192C55">
              <w:rPr>
                <w:rFonts w:ascii="Arial" w:eastAsia="Times New Roman" w:hAnsi="Arial" w:cs="Arial"/>
                <w:color w:val="000000"/>
              </w:rPr>
              <w:t>2019</w:t>
            </w:r>
          </w:p>
        </w:tc>
        <w:tc>
          <w:tcPr>
            <w:tcW w:w="0" w:type="auto"/>
            <w:gridSpan w:val="4"/>
            <w:shd w:val="clear" w:color="auto" w:fill="auto"/>
            <w:noWrap/>
            <w:vAlign w:val="bottom"/>
            <w:hideMark/>
          </w:tcPr>
          <w:p w:rsidR="004E69F8" w:rsidRPr="00192C55" w:rsidRDefault="004E69F8" w:rsidP="0019794B">
            <w:pPr>
              <w:spacing w:after="0" w:line="240" w:lineRule="auto"/>
              <w:rPr>
                <w:rFonts w:ascii="Arial" w:eastAsia="Times New Roman" w:hAnsi="Arial" w:cs="Arial"/>
                <w:i/>
                <w:iCs/>
                <w:color w:val="000000"/>
              </w:rPr>
            </w:pPr>
            <w:r w:rsidRPr="00192C55">
              <w:rPr>
                <w:rFonts w:ascii="Arial" w:eastAsia="Times New Roman" w:hAnsi="Arial" w:cs="Arial"/>
                <w:i/>
                <w:iCs/>
                <w:color w:val="000000"/>
              </w:rPr>
              <w:t>Current year principal adjustments</w:t>
            </w:r>
          </w:p>
        </w:tc>
      </w:tr>
      <w:tr w:rsidR="004E69F8" w:rsidRPr="00192C55" w:rsidTr="0019794B">
        <w:trPr>
          <w:trHeight w:val="287"/>
        </w:trPr>
        <w:tc>
          <w:tcPr>
            <w:tcW w:w="0" w:type="auto"/>
            <w:shd w:val="clear" w:color="auto" w:fill="auto"/>
            <w:noWrap/>
            <w:vAlign w:val="bottom"/>
            <w:hideMark/>
          </w:tcPr>
          <w:p w:rsidR="004E69F8" w:rsidRPr="00192C55" w:rsidRDefault="004E69F8" w:rsidP="0019794B">
            <w:pPr>
              <w:spacing w:after="0" w:line="240" w:lineRule="auto"/>
              <w:rPr>
                <w:rFonts w:ascii="Arial" w:eastAsia="Times New Roman" w:hAnsi="Arial" w:cs="Arial"/>
                <w:color w:val="000000"/>
              </w:rPr>
            </w:pPr>
            <w:r w:rsidRPr="00192C55">
              <w:rPr>
                <w:rFonts w:ascii="Arial" w:eastAsia="Times New Roman" w:hAnsi="Arial" w:cs="Arial"/>
                <w:color w:val="000000"/>
              </w:rPr>
              <w:t> </w:t>
            </w:r>
          </w:p>
        </w:tc>
        <w:tc>
          <w:tcPr>
            <w:tcW w:w="0" w:type="auto"/>
            <w:shd w:val="clear" w:color="auto" w:fill="auto"/>
            <w:noWrap/>
            <w:vAlign w:val="bottom"/>
            <w:hideMark/>
          </w:tcPr>
          <w:p w:rsidR="004E69F8" w:rsidRPr="00192C55" w:rsidRDefault="004E69F8" w:rsidP="0019794B">
            <w:pPr>
              <w:spacing w:after="0" w:line="240" w:lineRule="auto"/>
              <w:jc w:val="right"/>
              <w:rPr>
                <w:rFonts w:ascii="Arial" w:eastAsia="Times New Roman" w:hAnsi="Arial" w:cs="Arial"/>
                <w:color w:val="000000"/>
              </w:rPr>
            </w:pPr>
            <w:r w:rsidRPr="00192C55">
              <w:rPr>
                <w:rFonts w:ascii="Arial" w:eastAsia="Times New Roman" w:hAnsi="Arial" w:cs="Arial"/>
                <w:color w:val="000000"/>
              </w:rPr>
              <w:t>1</w:t>
            </w:r>
          </w:p>
        </w:tc>
        <w:tc>
          <w:tcPr>
            <w:tcW w:w="0" w:type="auto"/>
            <w:shd w:val="clear" w:color="auto" w:fill="auto"/>
            <w:vAlign w:val="bottom"/>
            <w:hideMark/>
          </w:tcPr>
          <w:p w:rsidR="004E69F8" w:rsidRPr="00192C55" w:rsidRDefault="004E69F8" w:rsidP="0019794B">
            <w:pPr>
              <w:spacing w:after="0" w:line="240" w:lineRule="auto"/>
              <w:rPr>
                <w:rFonts w:ascii="Arial" w:eastAsia="Times New Roman" w:hAnsi="Arial" w:cs="Arial"/>
                <w:color w:val="000000"/>
              </w:rPr>
            </w:pPr>
            <w:r w:rsidRPr="00192C55">
              <w:rPr>
                <w:rFonts w:ascii="Arial" w:eastAsia="Times New Roman" w:hAnsi="Arial" w:cs="Arial"/>
                <w:color w:val="000000"/>
              </w:rPr>
              <w:t xml:space="preserve">CT 148 true-up of GA Charges based on actual RPP volumes </w:t>
            </w:r>
          </w:p>
        </w:tc>
        <w:tc>
          <w:tcPr>
            <w:tcW w:w="0" w:type="auto"/>
            <w:shd w:val="clear" w:color="000000" w:fill="FFFF00"/>
            <w:noWrap/>
            <w:vAlign w:val="bottom"/>
            <w:hideMark/>
          </w:tcPr>
          <w:p w:rsidR="004E69F8" w:rsidRPr="00192C55" w:rsidRDefault="004E69F8" w:rsidP="0019794B">
            <w:pPr>
              <w:spacing w:after="0" w:line="240" w:lineRule="auto"/>
              <w:jc w:val="center"/>
              <w:rPr>
                <w:rFonts w:ascii="Arial" w:eastAsia="Times New Roman" w:hAnsi="Arial" w:cs="Arial"/>
                <w:color w:val="000000"/>
              </w:rPr>
            </w:pPr>
            <w:r w:rsidRPr="00192C55">
              <w:rPr>
                <w:rFonts w:ascii="Arial" w:eastAsia="Times New Roman" w:hAnsi="Arial" w:cs="Arial"/>
                <w:color w:val="000000"/>
              </w:rPr>
              <w:t xml:space="preserve">                        (925,019)</w:t>
            </w:r>
          </w:p>
        </w:tc>
        <w:tc>
          <w:tcPr>
            <w:tcW w:w="0" w:type="auto"/>
            <w:shd w:val="clear" w:color="000000" w:fill="EDEDED"/>
            <w:noWrap/>
            <w:vAlign w:val="bottom"/>
            <w:hideMark/>
          </w:tcPr>
          <w:p w:rsidR="004E69F8" w:rsidRPr="00192C55" w:rsidRDefault="004E69F8" w:rsidP="0019794B">
            <w:pPr>
              <w:spacing w:after="0" w:line="240" w:lineRule="auto"/>
              <w:jc w:val="center"/>
              <w:rPr>
                <w:rFonts w:ascii="Arial" w:eastAsia="Times New Roman" w:hAnsi="Arial" w:cs="Arial"/>
                <w:color w:val="000000"/>
              </w:rPr>
            </w:pPr>
            <w:r w:rsidRPr="00192C55">
              <w:rPr>
                <w:rFonts w:ascii="Arial" w:eastAsia="Times New Roman" w:hAnsi="Arial" w:cs="Arial"/>
                <w:color w:val="000000"/>
              </w:rPr>
              <w:t xml:space="preserve">                       2,020 </w:t>
            </w:r>
          </w:p>
        </w:tc>
      </w:tr>
      <w:tr w:rsidR="004E69F8" w:rsidRPr="00192C55" w:rsidTr="0019794B">
        <w:trPr>
          <w:trHeight w:val="270"/>
        </w:trPr>
        <w:tc>
          <w:tcPr>
            <w:tcW w:w="0" w:type="auto"/>
            <w:shd w:val="clear" w:color="auto" w:fill="auto"/>
            <w:noWrap/>
            <w:vAlign w:val="bottom"/>
            <w:hideMark/>
          </w:tcPr>
          <w:p w:rsidR="004E69F8" w:rsidRPr="00192C55" w:rsidRDefault="004E69F8" w:rsidP="0019794B">
            <w:pPr>
              <w:spacing w:after="0" w:line="240" w:lineRule="auto"/>
              <w:rPr>
                <w:rFonts w:ascii="Arial" w:eastAsia="Times New Roman" w:hAnsi="Arial" w:cs="Arial"/>
                <w:color w:val="000000"/>
              </w:rPr>
            </w:pPr>
            <w:r w:rsidRPr="00192C55">
              <w:rPr>
                <w:rFonts w:ascii="Arial" w:eastAsia="Times New Roman" w:hAnsi="Arial" w:cs="Arial"/>
                <w:color w:val="000000"/>
              </w:rPr>
              <w:t> </w:t>
            </w:r>
          </w:p>
        </w:tc>
        <w:tc>
          <w:tcPr>
            <w:tcW w:w="0" w:type="auto"/>
            <w:shd w:val="clear" w:color="auto" w:fill="auto"/>
            <w:noWrap/>
            <w:vAlign w:val="bottom"/>
            <w:hideMark/>
          </w:tcPr>
          <w:p w:rsidR="004E69F8" w:rsidRPr="00192C55" w:rsidRDefault="004E69F8" w:rsidP="0019794B">
            <w:pPr>
              <w:spacing w:after="0" w:line="240" w:lineRule="auto"/>
              <w:jc w:val="right"/>
              <w:rPr>
                <w:rFonts w:ascii="Arial" w:eastAsia="Times New Roman" w:hAnsi="Arial" w:cs="Arial"/>
                <w:color w:val="000000"/>
              </w:rPr>
            </w:pPr>
            <w:r w:rsidRPr="00192C55">
              <w:rPr>
                <w:rFonts w:ascii="Arial" w:eastAsia="Times New Roman" w:hAnsi="Arial" w:cs="Arial"/>
                <w:color w:val="000000"/>
              </w:rPr>
              <w:t>2</w:t>
            </w:r>
          </w:p>
        </w:tc>
        <w:tc>
          <w:tcPr>
            <w:tcW w:w="0" w:type="auto"/>
            <w:shd w:val="clear" w:color="auto" w:fill="auto"/>
            <w:vAlign w:val="bottom"/>
            <w:hideMark/>
          </w:tcPr>
          <w:p w:rsidR="004E69F8" w:rsidRPr="00192C55" w:rsidRDefault="004E69F8" w:rsidP="0019794B">
            <w:pPr>
              <w:spacing w:after="0" w:line="240" w:lineRule="auto"/>
              <w:rPr>
                <w:rFonts w:ascii="Arial" w:eastAsia="Times New Roman" w:hAnsi="Arial" w:cs="Arial"/>
                <w:color w:val="000000"/>
              </w:rPr>
            </w:pPr>
            <w:r w:rsidRPr="00192C55">
              <w:rPr>
                <w:rFonts w:ascii="Arial" w:eastAsia="Times New Roman" w:hAnsi="Arial" w:cs="Arial"/>
                <w:color w:val="000000"/>
              </w:rPr>
              <w:t>CT 1142 true-up based on actuals</w:t>
            </w:r>
          </w:p>
        </w:tc>
        <w:tc>
          <w:tcPr>
            <w:tcW w:w="0" w:type="auto"/>
            <w:shd w:val="clear" w:color="000000" w:fill="FFFF00"/>
            <w:noWrap/>
            <w:vAlign w:val="bottom"/>
            <w:hideMark/>
          </w:tcPr>
          <w:p w:rsidR="004E69F8" w:rsidRPr="00192C55" w:rsidRDefault="004E69F8" w:rsidP="0019794B">
            <w:pPr>
              <w:spacing w:after="0" w:line="240" w:lineRule="auto"/>
              <w:jc w:val="center"/>
              <w:rPr>
                <w:rFonts w:ascii="Arial" w:eastAsia="Times New Roman" w:hAnsi="Arial" w:cs="Arial"/>
                <w:color w:val="000000"/>
              </w:rPr>
            </w:pPr>
            <w:r w:rsidRPr="00192C55">
              <w:rPr>
                <w:rFonts w:ascii="Arial" w:eastAsia="Times New Roman" w:hAnsi="Arial" w:cs="Arial"/>
                <w:color w:val="000000"/>
              </w:rPr>
              <w:t xml:space="preserve">                     (1,256,779)</w:t>
            </w:r>
          </w:p>
        </w:tc>
        <w:tc>
          <w:tcPr>
            <w:tcW w:w="0" w:type="auto"/>
            <w:shd w:val="clear" w:color="000000" w:fill="EDEDED"/>
            <w:noWrap/>
            <w:vAlign w:val="bottom"/>
            <w:hideMark/>
          </w:tcPr>
          <w:p w:rsidR="004E69F8" w:rsidRPr="00192C55" w:rsidRDefault="004E69F8" w:rsidP="0019794B">
            <w:pPr>
              <w:spacing w:after="0" w:line="240" w:lineRule="auto"/>
              <w:jc w:val="center"/>
              <w:rPr>
                <w:rFonts w:ascii="Arial" w:eastAsia="Times New Roman" w:hAnsi="Arial" w:cs="Arial"/>
                <w:color w:val="000000"/>
              </w:rPr>
            </w:pPr>
            <w:r w:rsidRPr="00192C55">
              <w:rPr>
                <w:rFonts w:ascii="Arial" w:eastAsia="Times New Roman" w:hAnsi="Arial" w:cs="Arial"/>
                <w:color w:val="000000"/>
              </w:rPr>
              <w:t xml:space="preserve">                       2,020 </w:t>
            </w:r>
          </w:p>
        </w:tc>
      </w:tr>
    </w:tbl>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Default="004E69F8" w:rsidP="004E69F8">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a breakdown of the CT1142 true-up adjustment of ($1,256,779) into the energy portion (RPP-HOEP) and the global adjustment portion (RPP portion of the GA). </w:t>
      </w:r>
    </w:p>
    <w:p w:rsidR="004E69F8" w:rsidRDefault="004E69F8" w:rsidP="004E69F8">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Please complete the table below and explain if the total amount below in cell A is not zero:</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05"/>
        <w:gridCol w:w="3891"/>
        <w:gridCol w:w="2327"/>
        <w:gridCol w:w="2327"/>
      </w:tblGrid>
      <w:tr w:rsidR="004E69F8" w:rsidRPr="00192C55" w:rsidTr="0019794B">
        <w:tc>
          <w:tcPr>
            <w:tcW w:w="805" w:type="dxa"/>
          </w:tcPr>
          <w:p w:rsidR="004E69F8" w:rsidRPr="00192C55" w:rsidRDefault="004E69F8" w:rsidP="0019794B">
            <w:pPr>
              <w:autoSpaceDE w:val="0"/>
              <w:autoSpaceDN w:val="0"/>
              <w:adjustRightInd w:val="0"/>
              <w:rPr>
                <w:rFonts w:ascii="Arial" w:hAnsi="Arial" w:cs="Arial"/>
                <w:b/>
                <w:bCs/>
                <w:sz w:val="24"/>
                <w:szCs w:val="24"/>
              </w:rPr>
            </w:pPr>
          </w:p>
        </w:tc>
        <w:tc>
          <w:tcPr>
            <w:tcW w:w="3891" w:type="dxa"/>
          </w:tcPr>
          <w:p w:rsidR="004E69F8" w:rsidRPr="00192C55" w:rsidRDefault="004E69F8" w:rsidP="0019794B">
            <w:pPr>
              <w:autoSpaceDE w:val="0"/>
              <w:autoSpaceDN w:val="0"/>
              <w:adjustRightInd w:val="0"/>
              <w:rPr>
                <w:rFonts w:ascii="Arial" w:hAnsi="Arial" w:cs="Arial"/>
                <w:b/>
                <w:bCs/>
                <w:sz w:val="24"/>
                <w:szCs w:val="24"/>
              </w:rPr>
            </w:pPr>
            <w:r w:rsidRPr="00192C55">
              <w:rPr>
                <w:rFonts w:ascii="Arial" w:hAnsi="Arial" w:cs="Arial"/>
                <w:b/>
                <w:bCs/>
                <w:sz w:val="24"/>
                <w:szCs w:val="24"/>
              </w:rPr>
              <w:t>Item</w:t>
            </w:r>
          </w:p>
        </w:tc>
        <w:tc>
          <w:tcPr>
            <w:tcW w:w="2327" w:type="dxa"/>
          </w:tcPr>
          <w:p w:rsidR="004E69F8" w:rsidRPr="00192C55" w:rsidRDefault="004E69F8" w:rsidP="0019794B">
            <w:pPr>
              <w:autoSpaceDE w:val="0"/>
              <w:autoSpaceDN w:val="0"/>
              <w:adjustRightInd w:val="0"/>
              <w:rPr>
                <w:rFonts w:ascii="Arial" w:hAnsi="Arial" w:cs="Arial"/>
                <w:b/>
                <w:bCs/>
                <w:sz w:val="24"/>
                <w:szCs w:val="24"/>
              </w:rPr>
            </w:pPr>
            <w:r w:rsidRPr="00192C55">
              <w:rPr>
                <w:rFonts w:ascii="Arial" w:hAnsi="Arial" w:cs="Arial"/>
                <w:b/>
                <w:bCs/>
                <w:sz w:val="24"/>
                <w:szCs w:val="24"/>
              </w:rPr>
              <w:t>Reference</w:t>
            </w:r>
          </w:p>
        </w:tc>
        <w:tc>
          <w:tcPr>
            <w:tcW w:w="2327" w:type="dxa"/>
          </w:tcPr>
          <w:p w:rsidR="004E69F8" w:rsidRPr="00192C55" w:rsidRDefault="004E69F8" w:rsidP="0019794B">
            <w:pPr>
              <w:autoSpaceDE w:val="0"/>
              <w:autoSpaceDN w:val="0"/>
              <w:adjustRightInd w:val="0"/>
              <w:rPr>
                <w:rFonts w:ascii="Arial" w:hAnsi="Arial" w:cs="Arial"/>
                <w:b/>
                <w:bCs/>
                <w:sz w:val="24"/>
                <w:szCs w:val="24"/>
              </w:rPr>
            </w:pPr>
            <w:r w:rsidRPr="00192C55">
              <w:rPr>
                <w:rFonts w:ascii="Arial" w:hAnsi="Arial" w:cs="Arial"/>
                <w:b/>
                <w:bCs/>
                <w:sz w:val="24"/>
                <w:szCs w:val="24"/>
              </w:rPr>
              <w:t>Amount</w:t>
            </w:r>
            <w:r>
              <w:rPr>
                <w:rFonts w:ascii="Arial" w:hAnsi="Arial" w:cs="Arial"/>
                <w:b/>
                <w:bCs/>
                <w:sz w:val="24"/>
                <w:szCs w:val="24"/>
              </w:rPr>
              <w:t xml:space="preserve"> $</w:t>
            </w:r>
          </w:p>
        </w:tc>
      </w:tr>
      <w:tr w:rsidR="004E69F8" w:rsidTr="0019794B">
        <w:tc>
          <w:tcPr>
            <w:tcW w:w="805" w:type="dxa"/>
          </w:tcPr>
          <w:p w:rsidR="004E69F8" w:rsidRDefault="004E69F8" w:rsidP="0019794B">
            <w:pPr>
              <w:autoSpaceDE w:val="0"/>
              <w:autoSpaceDN w:val="0"/>
              <w:adjustRightInd w:val="0"/>
              <w:rPr>
                <w:rFonts w:ascii="Arial" w:hAnsi="Arial" w:cs="Arial"/>
                <w:sz w:val="24"/>
                <w:szCs w:val="24"/>
              </w:rPr>
            </w:pPr>
            <w:r>
              <w:rPr>
                <w:rFonts w:ascii="Arial" w:hAnsi="Arial" w:cs="Arial"/>
                <w:sz w:val="24"/>
                <w:szCs w:val="24"/>
              </w:rPr>
              <w:t>1.</w:t>
            </w:r>
          </w:p>
        </w:tc>
        <w:tc>
          <w:tcPr>
            <w:tcW w:w="3891" w:type="dxa"/>
          </w:tcPr>
          <w:p w:rsidR="004E69F8" w:rsidRDefault="004E69F8" w:rsidP="0019794B">
            <w:pPr>
              <w:autoSpaceDE w:val="0"/>
              <w:autoSpaceDN w:val="0"/>
              <w:adjustRightInd w:val="0"/>
              <w:rPr>
                <w:rFonts w:ascii="Arial" w:hAnsi="Arial" w:cs="Arial"/>
                <w:sz w:val="24"/>
                <w:szCs w:val="24"/>
              </w:rPr>
            </w:pPr>
            <w:r>
              <w:rPr>
                <w:rFonts w:ascii="Arial" w:hAnsi="Arial" w:cs="Arial"/>
                <w:sz w:val="24"/>
                <w:szCs w:val="24"/>
              </w:rPr>
              <w:t xml:space="preserve">RPP portion of GA $ that was included in the Transactions Debit/(Credit) during the year of the DVA continuity schedule </w:t>
            </w:r>
          </w:p>
        </w:tc>
        <w:tc>
          <w:tcPr>
            <w:tcW w:w="2327" w:type="dxa"/>
          </w:tcPr>
          <w:p w:rsidR="004E69F8" w:rsidRDefault="004E69F8" w:rsidP="0019794B">
            <w:pPr>
              <w:autoSpaceDE w:val="0"/>
              <w:autoSpaceDN w:val="0"/>
              <w:adjustRightInd w:val="0"/>
              <w:jc w:val="center"/>
              <w:rPr>
                <w:rFonts w:ascii="Arial" w:hAnsi="Arial" w:cs="Arial"/>
                <w:sz w:val="24"/>
                <w:szCs w:val="24"/>
              </w:rPr>
            </w:pPr>
          </w:p>
          <w:p w:rsidR="004E69F8" w:rsidRDefault="004E69F8" w:rsidP="0019794B">
            <w:pPr>
              <w:autoSpaceDE w:val="0"/>
              <w:autoSpaceDN w:val="0"/>
              <w:adjustRightInd w:val="0"/>
              <w:jc w:val="center"/>
              <w:rPr>
                <w:rFonts w:ascii="Arial" w:hAnsi="Arial" w:cs="Arial"/>
                <w:sz w:val="24"/>
                <w:szCs w:val="24"/>
              </w:rPr>
            </w:pPr>
            <w:r>
              <w:rPr>
                <w:rFonts w:ascii="Arial" w:hAnsi="Arial" w:cs="Arial"/>
                <w:sz w:val="24"/>
                <w:szCs w:val="24"/>
              </w:rPr>
              <w:t>A</w:t>
            </w:r>
          </w:p>
        </w:tc>
        <w:tc>
          <w:tcPr>
            <w:tcW w:w="2327" w:type="dxa"/>
          </w:tcPr>
          <w:p w:rsidR="004E69F8" w:rsidRDefault="004E69F8" w:rsidP="0019794B">
            <w:pPr>
              <w:autoSpaceDE w:val="0"/>
              <w:autoSpaceDN w:val="0"/>
              <w:adjustRightInd w:val="0"/>
              <w:rPr>
                <w:rFonts w:ascii="Arial" w:hAnsi="Arial" w:cs="Arial"/>
                <w:sz w:val="24"/>
                <w:szCs w:val="24"/>
              </w:rPr>
            </w:pPr>
          </w:p>
        </w:tc>
      </w:tr>
      <w:tr w:rsidR="004E69F8" w:rsidRPr="00192C55" w:rsidTr="0019794B">
        <w:tc>
          <w:tcPr>
            <w:tcW w:w="805" w:type="dxa"/>
          </w:tcPr>
          <w:p w:rsidR="004E69F8" w:rsidRPr="00192C55" w:rsidRDefault="004E69F8" w:rsidP="0019794B">
            <w:pPr>
              <w:autoSpaceDE w:val="0"/>
              <w:autoSpaceDN w:val="0"/>
              <w:adjustRightInd w:val="0"/>
              <w:rPr>
                <w:rFonts w:ascii="Arial" w:hAnsi="Arial" w:cs="Arial"/>
                <w:sz w:val="24"/>
                <w:szCs w:val="24"/>
              </w:rPr>
            </w:pPr>
            <w:r w:rsidRPr="00192C55">
              <w:rPr>
                <w:rFonts w:ascii="Arial" w:hAnsi="Arial" w:cs="Arial"/>
                <w:sz w:val="24"/>
                <w:szCs w:val="24"/>
              </w:rPr>
              <w:t xml:space="preserve">2. </w:t>
            </w:r>
          </w:p>
        </w:tc>
        <w:tc>
          <w:tcPr>
            <w:tcW w:w="3891" w:type="dxa"/>
          </w:tcPr>
          <w:p w:rsidR="004E69F8" w:rsidRPr="00192C55" w:rsidRDefault="004E69F8" w:rsidP="0019794B">
            <w:pPr>
              <w:autoSpaceDE w:val="0"/>
              <w:autoSpaceDN w:val="0"/>
              <w:adjustRightInd w:val="0"/>
              <w:rPr>
                <w:rFonts w:ascii="Arial" w:hAnsi="Arial" w:cs="Arial"/>
                <w:sz w:val="24"/>
                <w:szCs w:val="24"/>
              </w:rPr>
            </w:pPr>
            <w:r w:rsidRPr="00192C55">
              <w:rPr>
                <w:rFonts w:ascii="Arial" w:eastAsia="Times New Roman" w:hAnsi="Arial" w:cs="Arial"/>
                <w:color w:val="000000"/>
                <w:sz w:val="24"/>
                <w:szCs w:val="24"/>
              </w:rPr>
              <w:t>CT 148 true-up of GA Charges based on actual RPP volumes</w:t>
            </w:r>
          </w:p>
        </w:tc>
        <w:tc>
          <w:tcPr>
            <w:tcW w:w="2327" w:type="dxa"/>
          </w:tcPr>
          <w:p w:rsidR="004E69F8" w:rsidRPr="00192C55" w:rsidRDefault="004E69F8" w:rsidP="0019794B">
            <w:pPr>
              <w:autoSpaceDE w:val="0"/>
              <w:autoSpaceDN w:val="0"/>
              <w:adjustRightInd w:val="0"/>
              <w:jc w:val="center"/>
              <w:rPr>
                <w:rFonts w:ascii="Arial" w:hAnsi="Arial" w:cs="Arial"/>
                <w:sz w:val="24"/>
                <w:szCs w:val="24"/>
              </w:rPr>
            </w:pPr>
            <w:r w:rsidRPr="00192C55">
              <w:rPr>
                <w:rFonts w:ascii="Arial" w:hAnsi="Arial" w:cs="Arial"/>
                <w:sz w:val="24"/>
                <w:szCs w:val="24"/>
              </w:rPr>
              <w:t>B</w:t>
            </w:r>
          </w:p>
        </w:tc>
        <w:tc>
          <w:tcPr>
            <w:tcW w:w="2327" w:type="dxa"/>
          </w:tcPr>
          <w:p w:rsidR="004E69F8" w:rsidRPr="00192C55" w:rsidRDefault="004E69F8" w:rsidP="0019794B">
            <w:pPr>
              <w:autoSpaceDE w:val="0"/>
              <w:autoSpaceDN w:val="0"/>
              <w:adjustRightInd w:val="0"/>
              <w:rPr>
                <w:rFonts w:ascii="Arial" w:hAnsi="Arial" w:cs="Arial"/>
                <w:sz w:val="24"/>
                <w:szCs w:val="24"/>
              </w:rPr>
            </w:pPr>
            <w:r w:rsidRPr="00192C55">
              <w:rPr>
                <w:rFonts w:ascii="Arial" w:hAnsi="Arial" w:cs="Arial"/>
                <w:sz w:val="24"/>
                <w:szCs w:val="24"/>
              </w:rPr>
              <w:t>(925,019)</w:t>
            </w:r>
          </w:p>
        </w:tc>
      </w:tr>
      <w:tr w:rsidR="004E69F8" w:rsidTr="0019794B">
        <w:tc>
          <w:tcPr>
            <w:tcW w:w="805" w:type="dxa"/>
          </w:tcPr>
          <w:p w:rsidR="004E69F8" w:rsidRDefault="004E69F8" w:rsidP="0019794B">
            <w:pPr>
              <w:autoSpaceDE w:val="0"/>
              <w:autoSpaceDN w:val="0"/>
              <w:adjustRightInd w:val="0"/>
              <w:rPr>
                <w:rFonts w:ascii="Arial" w:hAnsi="Arial" w:cs="Arial"/>
                <w:sz w:val="24"/>
                <w:szCs w:val="24"/>
              </w:rPr>
            </w:pPr>
            <w:r>
              <w:rPr>
                <w:rFonts w:ascii="Arial" w:hAnsi="Arial" w:cs="Arial"/>
                <w:sz w:val="24"/>
                <w:szCs w:val="24"/>
              </w:rPr>
              <w:t>3.</w:t>
            </w:r>
          </w:p>
        </w:tc>
        <w:tc>
          <w:tcPr>
            <w:tcW w:w="3891" w:type="dxa"/>
          </w:tcPr>
          <w:p w:rsidR="004E69F8" w:rsidRDefault="004E69F8" w:rsidP="0019794B">
            <w:pPr>
              <w:autoSpaceDE w:val="0"/>
              <w:autoSpaceDN w:val="0"/>
              <w:adjustRightInd w:val="0"/>
              <w:rPr>
                <w:rFonts w:ascii="Arial" w:hAnsi="Arial" w:cs="Arial"/>
                <w:sz w:val="24"/>
                <w:szCs w:val="24"/>
              </w:rPr>
            </w:pPr>
            <w:r>
              <w:rPr>
                <w:rFonts w:ascii="Arial" w:hAnsi="Arial" w:cs="Arial"/>
                <w:sz w:val="24"/>
                <w:szCs w:val="24"/>
              </w:rPr>
              <w:t>RPP portion of the GA that is included in CT 1142 true-up</w:t>
            </w:r>
          </w:p>
        </w:tc>
        <w:tc>
          <w:tcPr>
            <w:tcW w:w="2327" w:type="dxa"/>
          </w:tcPr>
          <w:p w:rsidR="004E69F8" w:rsidRDefault="004E69F8" w:rsidP="0019794B">
            <w:pPr>
              <w:autoSpaceDE w:val="0"/>
              <w:autoSpaceDN w:val="0"/>
              <w:adjustRightInd w:val="0"/>
              <w:jc w:val="center"/>
              <w:rPr>
                <w:rFonts w:ascii="Arial" w:hAnsi="Arial" w:cs="Arial"/>
                <w:sz w:val="24"/>
                <w:szCs w:val="24"/>
              </w:rPr>
            </w:pPr>
            <w:r>
              <w:rPr>
                <w:rFonts w:ascii="Arial" w:hAnsi="Arial" w:cs="Arial"/>
                <w:sz w:val="24"/>
                <w:szCs w:val="24"/>
              </w:rPr>
              <w:t>C</w:t>
            </w:r>
          </w:p>
        </w:tc>
        <w:tc>
          <w:tcPr>
            <w:tcW w:w="2327" w:type="dxa"/>
          </w:tcPr>
          <w:p w:rsidR="004E69F8" w:rsidRDefault="004E69F8" w:rsidP="0019794B">
            <w:pPr>
              <w:autoSpaceDE w:val="0"/>
              <w:autoSpaceDN w:val="0"/>
              <w:adjustRightInd w:val="0"/>
              <w:rPr>
                <w:rFonts w:ascii="Arial" w:hAnsi="Arial" w:cs="Arial"/>
                <w:sz w:val="24"/>
                <w:szCs w:val="24"/>
              </w:rPr>
            </w:pPr>
          </w:p>
        </w:tc>
      </w:tr>
      <w:tr w:rsidR="004E69F8" w:rsidTr="0019794B">
        <w:tc>
          <w:tcPr>
            <w:tcW w:w="805" w:type="dxa"/>
          </w:tcPr>
          <w:p w:rsidR="004E69F8" w:rsidRDefault="004E69F8" w:rsidP="0019794B">
            <w:pPr>
              <w:autoSpaceDE w:val="0"/>
              <w:autoSpaceDN w:val="0"/>
              <w:adjustRightInd w:val="0"/>
              <w:rPr>
                <w:rFonts w:ascii="Arial" w:hAnsi="Arial" w:cs="Arial"/>
                <w:sz w:val="24"/>
                <w:szCs w:val="24"/>
              </w:rPr>
            </w:pPr>
          </w:p>
        </w:tc>
        <w:tc>
          <w:tcPr>
            <w:tcW w:w="3891" w:type="dxa"/>
          </w:tcPr>
          <w:p w:rsidR="004E69F8" w:rsidRDefault="004E69F8" w:rsidP="0019794B">
            <w:pPr>
              <w:autoSpaceDE w:val="0"/>
              <w:autoSpaceDN w:val="0"/>
              <w:adjustRightInd w:val="0"/>
              <w:rPr>
                <w:rFonts w:ascii="Arial" w:hAnsi="Arial" w:cs="Arial"/>
                <w:sz w:val="24"/>
                <w:szCs w:val="24"/>
              </w:rPr>
            </w:pPr>
            <w:r>
              <w:rPr>
                <w:rFonts w:ascii="Arial" w:hAnsi="Arial" w:cs="Arial"/>
                <w:sz w:val="24"/>
                <w:szCs w:val="24"/>
              </w:rPr>
              <w:t xml:space="preserve">Total </w:t>
            </w:r>
          </w:p>
        </w:tc>
        <w:tc>
          <w:tcPr>
            <w:tcW w:w="2327" w:type="dxa"/>
          </w:tcPr>
          <w:p w:rsidR="004E69F8" w:rsidRDefault="004E69F8" w:rsidP="0019794B">
            <w:pPr>
              <w:autoSpaceDE w:val="0"/>
              <w:autoSpaceDN w:val="0"/>
              <w:adjustRightInd w:val="0"/>
              <w:jc w:val="center"/>
              <w:rPr>
                <w:rFonts w:ascii="Arial" w:hAnsi="Arial" w:cs="Arial"/>
                <w:sz w:val="24"/>
                <w:szCs w:val="24"/>
              </w:rPr>
            </w:pPr>
          </w:p>
        </w:tc>
        <w:tc>
          <w:tcPr>
            <w:tcW w:w="2327" w:type="dxa"/>
          </w:tcPr>
          <w:p w:rsidR="004E69F8" w:rsidRDefault="004E69F8" w:rsidP="0019794B">
            <w:pPr>
              <w:autoSpaceDE w:val="0"/>
              <w:autoSpaceDN w:val="0"/>
              <w:adjustRightInd w:val="0"/>
              <w:rPr>
                <w:rFonts w:ascii="Arial" w:hAnsi="Arial" w:cs="Arial"/>
                <w:sz w:val="24"/>
                <w:szCs w:val="24"/>
              </w:rPr>
            </w:pPr>
          </w:p>
        </w:tc>
      </w:tr>
    </w:tbl>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 xml:space="preserve"> </w:t>
      </w:r>
      <w:r w:rsidR="007C20AD">
        <w:rPr>
          <w:rFonts w:ascii="Arial" w:hAnsi="Arial" w:cs="Arial"/>
          <w:b/>
          <w:bCs/>
          <w:sz w:val="24"/>
          <w:szCs w:val="24"/>
        </w:rPr>
        <w:t>7</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Kingston Hydro’s 2016 Custom IR Settlement Proposal dated November 3, 2015, pages 13 and 14</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Pr="00102877" w:rsidRDefault="004E69F8" w:rsidP="004E69F8">
      <w:pPr>
        <w:pStyle w:val="ListParagraph"/>
        <w:autoSpaceDE w:val="0"/>
        <w:autoSpaceDN w:val="0"/>
        <w:adjustRightInd w:val="0"/>
        <w:spacing w:after="0" w:line="240" w:lineRule="auto"/>
        <w:ind w:left="0"/>
        <w:rPr>
          <w:rFonts w:ascii="Arial" w:hAnsi="Arial" w:cs="Arial"/>
          <w:sz w:val="24"/>
          <w:szCs w:val="24"/>
        </w:rPr>
      </w:pPr>
      <w:r w:rsidRPr="00102877">
        <w:rPr>
          <w:rFonts w:ascii="Arial" w:hAnsi="Arial" w:cs="Arial"/>
          <w:sz w:val="24"/>
          <w:szCs w:val="24"/>
        </w:rPr>
        <w:t>Page 13 of Kingston Hydro’s 2016 Custom IR Settlement Proposal states that:</w:t>
      </w:r>
    </w:p>
    <w:p w:rsidR="004E69F8" w:rsidRPr="00102877"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102877">
        <w:rPr>
          <w:rFonts w:ascii="Arial" w:hAnsi="Arial" w:cs="Arial"/>
          <w:b/>
          <w:bCs/>
          <w:noProof/>
          <w:sz w:val="24"/>
          <w:szCs w:val="24"/>
        </w:rPr>
        <w:lastRenderedPageBreak/>
        <w:drawing>
          <wp:inline distT="0" distB="0" distL="0" distR="0" wp14:anchorId="3EB62524" wp14:editId="6CBB9E9B">
            <wp:extent cx="5943600" cy="3368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68040"/>
                    </a:xfrm>
                    <a:prstGeom prst="rect">
                      <a:avLst/>
                    </a:prstGeom>
                    <a:noFill/>
                    <a:ln>
                      <a:noFill/>
                    </a:ln>
                  </pic:spPr>
                </pic:pic>
              </a:graphicData>
            </a:graphic>
          </wp:inline>
        </w:drawing>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Page 14 of Kingston Hydro’s 2016 Custom IR Settlement Proposal states that:</w:t>
      </w: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Pr="00D84A37"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ab/>
      </w:r>
      <w:r w:rsidRPr="00D84A37">
        <w:rPr>
          <w:rFonts w:ascii="Arial" w:hAnsi="Arial" w:cs="Arial"/>
          <w:noProof/>
          <w:sz w:val="24"/>
          <w:szCs w:val="24"/>
        </w:rPr>
        <w:drawing>
          <wp:inline distT="0" distB="0" distL="0" distR="0" wp14:anchorId="74C099EA" wp14:editId="1BDD9EB8">
            <wp:extent cx="5943600" cy="3283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283585"/>
                    </a:xfrm>
                    <a:prstGeom prst="rect">
                      <a:avLst/>
                    </a:prstGeom>
                    <a:noFill/>
                    <a:ln>
                      <a:noFill/>
                    </a:ln>
                  </pic:spPr>
                </pic:pic>
              </a:graphicData>
            </a:graphic>
          </wp:inline>
        </w:drawing>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that the capital variance account is expected to track the variances in the custom plan of 2016 to 2020. </w:t>
      </w:r>
    </w:p>
    <w:p w:rsidR="004E69F8" w:rsidRDefault="004E69F8" w:rsidP="004E69F8">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Please provide the information in the table below for each of the three categories (System Renewal/System Service, System Access and General Plant). Please do not break these three categories into more detailed levels. </w:t>
      </w:r>
    </w:p>
    <w:p w:rsidR="004E69F8" w:rsidRDefault="004E69F8" w:rsidP="004E69F8">
      <w:pPr>
        <w:autoSpaceDE w:val="0"/>
        <w:autoSpaceDN w:val="0"/>
        <w:adjustRightInd w:val="0"/>
        <w:spacing w:after="0" w:line="240" w:lineRule="auto"/>
        <w:rPr>
          <w:rFonts w:ascii="Arial" w:hAnsi="Arial" w:cs="Arial"/>
          <w:sz w:val="24"/>
          <w:szCs w:val="24"/>
        </w:rPr>
      </w:pPr>
    </w:p>
    <w:tbl>
      <w:tblPr>
        <w:tblW w:w="9020" w:type="dxa"/>
        <w:tblCellMar>
          <w:left w:w="0" w:type="dxa"/>
          <w:right w:w="0" w:type="dxa"/>
        </w:tblCellMar>
        <w:tblLook w:val="04A0" w:firstRow="1" w:lastRow="0" w:firstColumn="1" w:lastColumn="0" w:noHBand="0" w:noVBand="1"/>
      </w:tblPr>
      <w:tblGrid>
        <w:gridCol w:w="3103"/>
        <w:gridCol w:w="1020"/>
        <w:gridCol w:w="1020"/>
        <w:gridCol w:w="1020"/>
        <w:gridCol w:w="1020"/>
        <w:gridCol w:w="1020"/>
        <w:gridCol w:w="1020"/>
      </w:tblGrid>
      <w:tr w:rsidR="004E69F8" w:rsidRPr="001620F5" w:rsidTr="0019794B">
        <w:trPr>
          <w:trHeight w:val="285"/>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E69F8" w:rsidRPr="001620F5" w:rsidRDefault="004E69F8" w:rsidP="0019794B">
            <w:pPr>
              <w:jc w:val="right"/>
              <w:rPr>
                <w:rFonts w:ascii="Arial" w:hAnsi="Arial" w:cs="Arial"/>
                <w:b/>
                <w:bCs/>
                <w:color w:val="000000"/>
              </w:rPr>
            </w:pPr>
            <w:r w:rsidRPr="001620F5">
              <w:rPr>
                <w:rFonts w:ascii="Arial" w:hAnsi="Arial" w:cs="Arial"/>
                <w:b/>
                <w:bCs/>
                <w:color w:val="000000"/>
              </w:rPr>
              <w:t>2016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E69F8" w:rsidRPr="001620F5" w:rsidRDefault="004E69F8" w:rsidP="0019794B">
            <w:pPr>
              <w:jc w:val="right"/>
              <w:rPr>
                <w:rFonts w:ascii="Arial" w:hAnsi="Arial" w:cs="Arial"/>
                <w:b/>
                <w:bCs/>
                <w:color w:val="000000"/>
              </w:rPr>
            </w:pPr>
            <w:r w:rsidRPr="001620F5">
              <w:rPr>
                <w:rFonts w:ascii="Arial" w:hAnsi="Arial" w:cs="Arial"/>
                <w:b/>
                <w:bCs/>
                <w:color w:val="000000"/>
              </w:rPr>
              <w:t>2017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E69F8" w:rsidRPr="001620F5" w:rsidRDefault="004E69F8" w:rsidP="0019794B">
            <w:pPr>
              <w:jc w:val="right"/>
              <w:rPr>
                <w:rFonts w:ascii="Arial" w:hAnsi="Arial" w:cs="Arial"/>
                <w:b/>
                <w:bCs/>
                <w:color w:val="000000"/>
              </w:rPr>
            </w:pPr>
            <w:r w:rsidRPr="001620F5">
              <w:rPr>
                <w:rFonts w:ascii="Arial" w:hAnsi="Arial" w:cs="Arial"/>
                <w:b/>
                <w:bCs/>
                <w:color w:val="000000"/>
              </w:rPr>
              <w:t>2018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E69F8" w:rsidRPr="001620F5" w:rsidRDefault="004E69F8" w:rsidP="0019794B">
            <w:pPr>
              <w:jc w:val="right"/>
              <w:rPr>
                <w:rFonts w:ascii="Arial" w:hAnsi="Arial" w:cs="Arial"/>
                <w:b/>
                <w:bCs/>
                <w:color w:val="000000"/>
              </w:rPr>
            </w:pPr>
            <w:r w:rsidRPr="001620F5">
              <w:rPr>
                <w:rFonts w:ascii="Arial" w:hAnsi="Arial" w:cs="Arial"/>
                <w:b/>
                <w:bCs/>
                <w:color w:val="000000"/>
              </w:rPr>
              <w:t>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E69F8" w:rsidRPr="001620F5" w:rsidRDefault="004E69F8" w:rsidP="0019794B">
            <w:pPr>
              <w:jc w:val="right"/>
              <w:rPr>
                <w:rFonts w:ascii="Arial" w:hAnsi="Arial" w:cs="Arial"/>
                <w:b/>
                <w:bCs/>
                <w:color w:val="000000"/>
              </w:rPr>
            </w:pPr>
            <w:r w:rsidRPr="001620F5">
              <w:rPr>
                <w:rFonts w:ascii="Arial" w:hAnsi="Arial" w:cs="Arial"/>
                <w:b/>
                <w:bCs/>
                <w:color w:val="000000"/>
              </w:rPr>
              <w:t>2020</w:t>
            </w:r>
          </w:p>
        </w:tc>
      </w:tr>
      <w:tr w:rsidR="004E69F8" w:rsidRPr="001620F5" w:rsidTr="0019794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b/>
                <w:bCs/>
                <w:color w:val="000000"/>
              </w:rPr>
            </w:pPr>
            <w:r w:rsidRPr="001620F5">
              <w:rPr>
                <w:rFonts w:ascii="Arial" w:hAnsi="Arial" w:cs="Arial"/>
                <w:b/>
                <w:bCs/>
                <w:color w:val="000000"/>
              </w:rPr>
              <w:t>Annual Approved CAPEX</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jc w:val="center"/>
              <w:rPr>
                <w:rFonts w:ascii="Arial" w:hAnsi="Arial" w:cs="Arial"/>
                <w:b/>
                <w:bCs/>
                <w:color w:val="000000"/>
              </w:rPr>
            </w:pPr>
            <w:r w:rsidRPr="001620F5">
              <w:rPr>
                <w:rFonts w:ascii="Arial" w:hAnsi="Arial" w:cs="Arial"/>
                <w:b/>
                <w:bCs/>
                <w:color w:val="000000"/>
              </w:rPr>
              <w:t>a</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r>
      <w:tr w:rsidR="004E69F8" w:rsidRPr="001620F5" w:rsidTr="0019794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b/>
                <w:bCs/>
                <w:color w:val="000000"/>
              </w:rPr>
            </w:pPr>
            <w:r w:rsidRPr="001620F5">
              <w:rPr>
                <w:rFonts w:ascii="Arial" w:hAnsi="Arial" w:cs="Arial"/>
                <w:b/>
                <w:bCs/>
                <w:color w:val="000000"/>
              </w:rPr>
              <w:t xml:space="preserve">Cumulative Approved CAPEX </w:t>
            </w:r>
          </w:p>
          <w:p w:rsidR="004E69F8" w:rsidRPr="001620F5" w:rsidRDefault="004E69F8" w:rsidP="0019794B">
            <w:pPr>
              <w:rPr>
                <w:rFonts w:ascii="Arial" w:hAnsi="Arial" w:cs="Arial"/>
                <w:b/>
                <w:bCs/>
                <w:color w:val="000000"/>
              </w:rPr>
            </w:pPr>
            <w:r w:rsidRPr="001620F5">
              <w:rPr>
                <w:rFonts w:ascii="Arial" w:hAnsi="Arial" w:cs="Arial"/>
                <w:b/>
                <w:bCs/>
                <w:color w:val="000000"/>
              </w:rPr>
              <w:t>(Note 1)</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jc w:val="center"/>
              <w:rPr>
                <w:rFonts w:ascii="Arial" w:hAnsi="Arial" w:cs="Arial"/>
                <w:b/>
                <w:bCs/>
                <w:color w:val="000000"/>
              </w:rPr>
            </w:pPr>
            <w:r w:rsidRPr="001620F5">
              <w:rPr>
                <w:rFonts w:ascii="Arial" w:hAnsi="Arial" w:cs="Arial"/>
                <w:b/>
                <w:bCs/>
                <w:color w:val="000000"/>
              </w:rPr>
              <w:t>b</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r>
      <w:tr w:rsidR="004E69F8" w:rsidRPr="001620F5" w:rsidTr="0019794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b/>
                <w:bCs/>
                <w:color w:val="000000"/>
              </w:rPr>
            </w:pPr>
            <w:r w:rsidRPr="001620F5">
              <w:rPr>
                <w:rFonts w:ascii="Arial" w:hAnsi="Arial" w:cs="Arial"/>
                <w:b/>
                <w:bCs/>
                <w:color w:val="000000"/>
              </w:rPr>
              <w:t>Annual Actual CAPEX</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jc w:val="center"/>
              <w:rPr>
                <w:rFonts w:ascii="Arial" w:hAnsi="Arial" w:cs="Arial"/>
                <w:b/>
                <w:bCs/>
                <w:color w:val="000000"/>
              </w:rPr>
            </w:pPr>
            <w:r w:rsidRPr="001620F5">
              <w:rPr>
                <w:rFonts w:ascii="Arial" w:hAnsi="Arial" w:cs="Arial"/>
                <w:b/>
                <w:bCs/>
                <w:color w:val="000000"/>
              </w:rPr>
              <w:t>c</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r>
      <w:tr w:rsidR="004E69F8" w:rsidRPr="001620F5" w:rsidTr="0019794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b/>
                <w:bCs/>
                <w:color w:val="000000"/>
              </w:rPr>
            </w:pPr>
            <w:r w:rsidRPr="001620F5">
              <w:rPr>
                <w:rFonts w:ascii="Arial" w:hAnsi="Arial" w:cs="Arial"/>
                <w:b/>
                <w:bCs/>
                <w:color w:val="000000"/>
              </w:rPr>
              <w:t xml:space="preserve">Cumulative Actual CAPEX </w:t>
            </w:r>
          </w:p>
          <w:p w:rsidR="004E69F8" w:rsidRPr="001620F5" w:rsidRDefault="004E69F8" w:rsidP="0019794B">
            <w:pPr>
              <w:rPr>
                <w:rFonts w:ascii="Arial" w:hAnsi="Arial" w:cs="Arial"/>
                <w:b/>
                <w:bCs/>
                <w:color w:val="000000"/>
              </w:rPr>
            </w:pPr>
            <w:r w:rsidRPr="001620F5">
              <w:rPr>
                <w:rFonts w:ascii="Arial" w:hAnsi="Arial" w:cs="Arial"/>
                <w:b/>
                <w:bCs/>
                <w:color w:val="000000"/>
              </w:rPr>
              <w:t>(Note 2)</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jc w:val="center"/>
              <w:rPr>
                <w:rFonts w:ascii="Arial" w:hAnsi="Arial" w:cs="Arial"/>
                <w:b/>
                <w:bCs/>
                <w:color w:val="000000"/>
              </w:rPr>
            </w:pPr>
            <w:r w:rsidRPr="001620F5">
              <w:rPr>
                <w:rFonts w:ascii="Arial" w:hAnsi="Arial" w:cs="Arial"/>
                <w:b/>
                <w:bCs/>
                <w:color w:val="000000"/>
              </w:rPr>
              <w:t>d</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r>
      <w:tr w:rsidR="004E69F8" w:rsidRPr="001620F5" w:rsidTr="0019794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b/>
                <w:bCs/>
                <w:color w:val="000000"/>
              </w:rPr>
            </w:pPr>
            <w:r w:rsidRPr="001620F5">
              <w:rPr>
                <w:rFonts w:ascii="Arial" w:hAnsi="Arial" w:cs="Arial"/>
                <w:b/>
                <w:bCs/>
                <w:color w:val="000000"/>
              </w:rPr>
              <w:t xml:space="preserve">Underspending if Cumulative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jc w:val="center"/>
              <w:rPr>
                <w:rFonts w:ascii="Arial" w:hAnsi="Arial" w:cs="Arial"/>
                <w:b/>
                <w:bCs/>
                <w:color w:val="000000"/>
              </w:rPr>
            </w:pPr>
            <w:r w:rsidRPr="001620F5">
              <w:rPr>
                <w:rFonts w:ascii="Arial" w:hAnsi="Arial" w:cs="Arial"/>
                <w:b/>
                <w:bCs/>
                <w:color w:val="000000"/>
              </w:rPr>
              <w:t>e=d-b</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4E69F8" w:rsidRPr="001620F5" w:rsidRDefault="004E69F8" w:rsidP="0019794B">
            <w:pPr>
              <w:rPr>
                <w:rFonts w:ascii="Arial" w:hAnsi="Arial" w:cs="Arial"/>
                <w:color w:val="000000"/>
              </w:rPr>
            </w:pPr>
            <w:r w:rsidRPr="001620F5">
              <w:rPr>
                <w:rFonts w:ascii="Arial" w:hAnsi="Arial" w:cs="Arial"/>
                <w:color w:val="000000"/>
              </w:rPr>
              <w:t> </w:t>
            </w:r>
          </w:p>
        </w:tc>
      </w:tr>
    </w:tbl>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Note 1: Cumulative approved CAPEX is the sum of the prior year cumulative approved CAPEX plus the current annual approved CAPEX. </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Note 2: Cumulative actual CAPEX is the sum of the prior year cumulative actual CAPEX plus the current annual actual CAPEX. </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Please provide the reference to the 2016 Custom IR application with respect to the approved CAPEX in three categories. </w:t>
      </w:r>
    </w:p>
    <w:p w:rsidR="004E69F8" w:rsidRPr="00D84A37"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Pr="000F733D"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 xml:space="preserve"> </w:t>
      </w:r>
      <w:r w:rsidR="007C20AD">
        <w:rPr>
          <w:rFonts w:ascii="Arial" w:hAnsi="Arial" w:cs="Arial"/>
          <w:b/>
          <w:bCs/>
          <w:sz w:val="24"/>
          <w:szCs w:val="24"/>
        </w:rPr>
        <w:t>8</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Kingston Hydro’s excel file for the Capital Addition Variance Model</w:t>
      </w:r>
    </w:p>
    <w:p w:rsidR="004E69F8" w:rsidRDefault="004E69F8" w:rsidP="004E69F8">
      <w:pPr>
        <w:pStyle w:val="ListParagraph"/>
        <w:autoSpaceDE w:val="0"/>
        <w:autoSpaceDN w:val="0"/>
        <w:adjustRightInd w:val="0"/>
        <w:spacing w:after="0" w:line="240" w:lineRule="auto"/>
        <w:ind w:left="0"/>
        <w:rPr>
          <w:rFonts w:ascii="Arial" w:hAnsi="Arial" w:cs="Arial"/>
          <w:b/>
          <w:bCs/>
          <w:sz w:val="24"/>
          <w:szCs w:val="24"/>
        </w:rPr>
      </w:pP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 xml:space="preserve">In the Capital Addition Variance Model excel file, OEB staff notes that Kingston Hydro has provided the annual revenue requirement calculation for the capital addition variance sub-account of ($34,573) which can be broken down into the following categories of the assets: </w:t>
      </w:r>
    </w:p>
    <w:p w:rsidR="004E69F8" w:rsidRDefault="004E69F8" w:rsidP="004E69F8">
      <w:pPr>
        <w:pStyle w:val="ListParagraph"/>
        <w:autoSpaceDE w:val="0"/>
        <w:autoSpaceDN w:val="0"/>
        <w:adjustRightInd w:val="0"/>
        <w:spacing w:after="0" w:line="240" w:lineRule="auto"/>
        <w:ind w:left="0"/>
        <w:rPr>
          <w:rFonts w:ascii="Arial" w:hAnsi="Arial" w:cs="Arial"/>
          <w:sz w:val="24"/>
          <w:szCs w:val="24"/>
        </w:rPr>
      </w:pP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General Plant- ESM software: variance of ($9,030.40)</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General Plant-Truck: variance of nil</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System Renewal/System Service: variance of nil</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System Access – Meters: Variance of ($19,963.17)</w:t>
      </w:r>
    </w:p>
    <w:p w:rsidR="004E69F8" w:rsidRDefault="004E69F8" w:rsidP="004E69F8">
      <w:pPr>
        <w:pStyle w:val="ListParagraph"/>
        <w:numPr>
          <w:ilvl w:val="0"/>
          <w:numId w:val="31"/>
        </w:numPr>
        <w:autoSpaceDE w:val="0"/>
        <w:autoSpaceDN w:val="0"/>
        <w:adjustRightInd w:val="0"/>
        <w:spacing w:after="0" w:line="240" w:lineRule="auto"/>
        <w:rPr>
          <w:rFonts w:ascii="Arial" w:hAnsi="Arial" w:cs="Arial"/>
          <w:sz w:val="24"/>
          <w:szCs w:val="24"/>
        </w:rPr>
      </w:pPr>
      <w:r>
        <w:rPr>
          <w:rFonts w:ascii="Arial" w:hAnsi="Arial" w:cs="Arial"/>
          <w:sz w:val="24"/>
          <w:szCs w:val="24"/>
        </w:rPr>
        <w:t>System Access – Russel St.: variance of ($5,579.58)</w:t>
      </w:r>
    </w:p>
    <w:p w:rsidR="004E69F8" w:rsidRDefault="004E69F8" w:rsidP="004E69F8">
      <w:pPr>
        <w:autoSpaceDE w:val="0"/>
        <w:autoSpaceDN w:val="0"/>
        <w:adjustRightInd w:val="0"/>
        <w:spacing w:after="0" w:line="240" w:lineRule="auto"/>
        <w:rPr>
          <w:rFonts w:ascii="Arial" w:hAnsi="Arial" w:cs="Arial"/>
          <w:sz w:val="24"/>
          <w:szCs w:val="24"/>
        </w:rPr>
      </w:pPr>
    </w:p>
    <w:p w:rsidR="004E69F8" w:rsidRDefault="004E69F8" w:rsidP="004E69F8">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clarify that the requested balance of ($34,573) in Account 1508 is as at December 31, 2019 or December 31, 2020? </w:t>
      </w:r>
    </w:p>
    <w:p w:rsidR="004E69F8" w:rsidRDefault="004E69F8" w:rsidP="004E69F8">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If the balance is as at December 31, 2019, why Kingston Hydro is requesting the disposition of the balance now given the custom IR plan is from 2016 to 2020.</w:t>
      </w:r>
    </w:p>
    <w:p w:rsidR="004E69F8" w:rsidRDefault="004E69F8" w:rsidP="004E69F8">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the balance is as at December 31, 2020, please explain whether Kingston Hydro is planning to request the 2020 variances based on the forecasted actual. </w:t>
      </w:r>
    </w:p>
    <w:p w:rsidR="004E69F8" w:rsidRDefault="004E69F8" w:rsidP="004E69F8">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Please provide the supporting calculations for CAPEX variance row in each of the tabs.</w:t>
      </w:r>
    </w:p>
    <w:p w:rsidR="004E69F8" w:rsidRDefault="004E69F8" w:rsidP="004E69F8">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why Kingston Hydro breaks down the general plant category and system access category further into two sub-categories of assets. </w:t>
      </w:r>
    </w:p>
    <w:p w:rsidR="004E69F8" w:rsidRDefault="004E69F8" w:rsidP="004E69F8">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Does the calculation model recognize the delay of the capital assets as agreed upon in the 2016 Custom IR settlement proposal? </w:t>
      </w:r>
    </w:p>
    <w:p w:rsidR="004E69F8" w:rsidRDefault="004E69F8" w:rsidP="004E69F8">
      <w:pPr>
        <w:pStyle w:val="ListParagraph"/>
        <w:numPr>
          <w:ilvl w:val="0"/>
          <w:numId w:val="3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not, please update the calculation model to recognize the delay of the capital assets. </w:t>
      </w:r>
    </w:p>
    <w:p w:rsidR="004E69F8" w:rsidRDefault="004E69F8" w:rsidP="004E69F8">
      <w:pPr>
        <w:autoSpaceDE w:val="0"/>
        <w:autoSpaceDN w:val="0"/>
        <w:adjustRightInd w:val="0"/>
        <w:spacing w:after="0" w:line="240" w:lineRule="auto"/>
        <w:rPr>
          <w:rFonts w:ascii="Arial" w:hAnsi="Arial" w:cs="Arial"/>
          <w:sz w:val="24"/>
          <w:szCs w:val="24"/>
        </w:rPr>
      </w:pPr>
    </w:p>
    <w:p w:rsidR="004E69F8" w:rsidRPr="00BF2AB2" w:rsidRDefault="004E69F8" w:rsidP="004E69F8">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Did Kingston Hydro delay the spending on the general plant- truck in 2016 and delayed the spending on system renewal/system service in 2016 and 2017? If so, why there were no variance related to these two categories of assets in the capital addition model provided. </w:t>
      </w:r>
    </w:p>
    <w:p w:rsidR="00D57E8C" w:rsidRDefault="00D57E8C" w:rsidP="008E6045">
      <w:pPr>
        <w:rPr>
          <w:rFonts w:ascii="Arial" w:hAnsi="Arial" w:cs="Arial"/>
          <w:b/>
          <w:sz w:val="24"/>
          <w:szCs w:val="24"/>
        </w:rPr>
      </w:pPr>
    </w:p>
    <w:p w:rsidR="000A294A" w:rsidRPr="000F733D" w:rsidRDefault="000A294A" w:rsidP="000A294A">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 xml:space="preserve"> 9</w:t>
      </w:r>
    </w:p>
    <w:p w:rsidR="000A294A" w:rsidRDefault="000A294A" w:rsidP="000A294A">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 xml:space="preserve">Kingston Hydro’s </w:t>
      </w:r>
      <w:r w:rsidR="00EE1169">
        <w:rPr>
          <w:rFonts w:ascii="Arial" w:hAnsi="Arial" w:cs="Arial"/>
          <w:b/>
          <w:bCs/>
          <w:sz w:val="24"/>
          <w:szCs w:val="24"/>
        </w:rPr>
        <w:t xml:space="preserve">Mangers Summary Page 12 </w:t>
      </w:r>
      <w:r w:rsidR="00516C78">
        <w:rPr>
          <w:rFonts w:ascii="Arial" w:hAnsi="Arial" w:cs="Arial"/>
          <w:b/>
          <w:bCs/>
          <w:sz w:val="24"/>
          <w:szCs w:val="24"/>
        </w:rPr>
        <w:t>MicroFIT</w:t>
      </w:r>
    </w:p>
    <w:p w:rsidR="00516C78" w:rsidRDefault="00516C78" w:rsidP="000A294A">
      <w:pPr>
        <w:pStyle w:val="ListParagraph"/>
        <w:autoSpaceDE w:val="0"/>
        <w:autoSpaceDN w:val="0"/>
        <w:adjustRightInd w:val="0"/>
        <w:spacing w:after="0" w:line="240" w:lineRule="auto"/>
        <w:ind w:left="0"/>
        <w:rPr>
          <w:rFonts w:ascii="Arial" w:hAnsi="Arial" w:cs="Arial"/>
          <w:b/>
          <w:bCs/>
          <w:sz w:val="24"/>
          <w:szCs w:val="24"/>
        </w:rPr>
      </w:pPr>
    </w:p>
    <w:p w:rsidR="00516C78" w:rsidRDefault="004E3A81" w:rsidP="000A294A">
      <w:pPr>
        <w:pStyle w:val="ListParagraph"/>
        <w:autoSpaceDE w:val="0"/>
        <w:autoSpaceDN w:val="0"/>
        <w:adjustRightInd w:val="0"/>
        <w:spacing w:after="0" w:line="240" w:lineRule="auto"/>
        <w:ind w:left="0"/>
        <w:rPr>
          <w:rFonts w:ascii="Arial" w:hAnsi="Arial" w:cs="Arial"/>
          <w:b/>
          <w:bCs/>
          <w:sz w:val="24"/>
          <w:szCs w:val="24"/>
        </w:rPr>
      </w:pPr>
      <w:r>
        <w:rPr>
          <w:rFonts w:ascii="Arial" w:hAnsi="Arial" w:cs="Arial"/>
        </w:rPr>
        <w:t xml:space="preserve">Please confirm Kingston Hydro is aware an </w:t>
      </w:r>
      <w:r w:rsidRPr="0021157E">
        <w:rPr>
          <w:rFonts w:ascii="Arial" w:hAnsi="Arial" w:cs="Arial"/>
        </w:rPr>
        <w:t>OEB lette</w:t>
      </w:r>
      <w:r>
        <w:rPr>
          <w:rFonts w:ascii="Arial" w:hAnsi="Arial" w:cs="Arial"/>
        </w:rPr>
        <w:t>r was</w:t>
      </w:r>
      <w:r w:rsidRPr="0021157E">
        <w:rPr>
          <w:rFonts w:ascii="Arial" w:hAnsi="Arial" w:cs="Arial"/>
        </w:rPr>
        <w:t xml:space="preserve"> issued February 24, 2020</w:t>
      </w:r>
      <w:r>
        <w:rPr>
          <w:rFonts w:ascii="Arial" w:hAnsi="Arial" w:cs="Arial"/>
        </w:rPr>
        <w:t xml:space="preserve"> changing the microFit charge from $5.40 to $4.55</w:t>
      </w:r>
      <w:r w:rsidR="000C11A1">
        <w:rPr>
          <w:rFonts w:ascii="Arial" w:hAnsi="Arial" w:cs="Arial"/>
        </w:rPr>
        <w:t>.</w:t>
      </w:r>
      <w:r w:rsidR="00EE7717">
        <w:rPr>
          <w:rFonts w:ascii="Arial" w:hAnsi="Arial" w:cs="Arial"/>
        </w:rPr>
        <w:t xml:space="preserve"> The charge of $4.55 is to be adopted in this rate application. </w:t>
      </w:r>
    </w:p>
    <w:p w:rsidR="00516C78" w:rsidRDefault="00516C78" w:rsidP="000A294A">
      <w:pPr>
        <w:pStyle w:val="ListParagraph"/>
        <w:autoSpaceDE w:val="0"/>
        <w:autoSpaceDN w:val="0"/>
        <w:adjustRightInd w:val="0"/>
        <w:spacing w:after="0" w:line="240" w:lineRule="auto"/>
        <w:ind w:left="0"/>
        <w:rPr>
          <w:rFonts w:ascii="Arial" w:hAnsi="Arial" w:cs="Arial"/>
          <w:b/>
          <w:bCs/>
          <w:sz w:val="24"/>
          <w:szCs w:val="24"/>
        </w:rPr>
      </w:pPr>
    </w:p>
    <w:p w:rsidR="00DA12DD" w:rsidRDefault="00DA12DD" w:rsidP="00DA12DD">
      <w:pPr>
        <w:pStyle w:val="ListParagraph"/>
        <w:autoSpaceDE w:val="0"/>
        <w:autoSpaceDN w:val="0"/>
        <w:adjustRightInd w:val="0"/>
        <w:spacing w:after="0" w:line="240" w:lineRule="auto"/>
        <w:ind w:left="0"/>
        <w:rPr>
          <w:rFonts w:ascii="Arial" w:hAnsi="Arial" w:cs="Arial"/>
          <w:b/>
          <w:bCs/>
          <w:sz w:val="24"/>
          <w:szCs w:val="24"/>
        </w:rPr>
      </w:pPr>
    </w:p>
    <w:p w:rsidR="00DA12DD" w:rsidRPr="000F733D" w:rsidRDefault="00DA12DD" w:rsidP="00DA12DD">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Staff Question -</w:t>
      </w:r>
      <w:r>
        <w:rPr>
          <w:rFonts w:ascii="Arial" w:hAnsi="Arial" w:cs="Arial"/>
          <w:b/>
          <w:bCs/>
          <w:sz w:val="24"/>
          <w:szCs w:val="24"/>
        </w:rPr>
        <w:t xml:space="preserve"> 10</w:t>
      </w:r>
    </w:p>
    <w:p w:rsidR="00DA12DD" w:rsidRDefault="00DA12DD" w:rsidP="00DA12DD">
      <w:pPr>
        <w:pStyle w:val="ListParagraph"/>
        <w:autoSpaceDE w:val="0"/>
        <w:autoSpaceDN w:val="0"/>
        <w:adjustRightInd w:val="0"/>
        <w:spacing w:after="0" w:line="240" w:lineRule="auto"/>
        <w:ind w:left="0"/>
        <w:rPr>
          <w:rFonts w:ascii="Arial" w:hAnsi="Arial" w:cs="Arial"/>
          <w:b/>
          <w:bCs/>
          <w:sz w:val="24"/>
          <w:szCs w:val="24"/>
        </w:rPr>
      </w:pPr>
      <w:r w:rsidRPr="000F733D">
        <w:rPr>
          <w:rFonts w:ascii="Arial" w:hAnsi="Arial" w:cs="Arial"/>
          <w:b/>
          <w:bCs/>
          <w:sz w:val="24"/>
          <w:szCs w:val="24"/>
        </w:rPr>
        <w:t xml:space="preserve">Ref: </w:t>
      </w:r>
      <w:r>
        <w:rPr>
          <w:rFonts w:ascii="Arial" w:hAnsi="Arial" w:cs="Arial"/>
          <w:b/>
          <w:bCs/>
          <w:sz w:val="24"/>
          <w:szCs w:val="24"/>
        </w:rPr>
        <w:t>Kingston Hydro’s Mangers Summary Page 13</w:t>
      </w:r>
      <w:r w:rsidR="004C6AC5">
        <w:rPr>
          <w:rFonts w:ascii="Arial" w:hAnsi="Arial" w:cs="Arial"/>
          <w:b/>
          <w:bCs/>
          <w:sz w:val="24"/>
          <w:szCs w:val="24"/>
        </w:rPr>
        <w:t xml:space="preserve"> Bill Impacts and Rate Generator Model Tab 19</w:t>
      </w:r>
    </w:p>
    <w:p w:rsidR="004C6AC5" w:rsidRDefault="004C6AC5" w:rsidP="00DA12DD">
      <w:pPr>
        <w:pStyle w:val="ListParagraph"/>
        <w:autoSpaceDE w:val="0"/>
        <w:autoSpaceDN w:val="0"/>
        <w:adjustRightInd w:val="0"/>
        <w:spacing w:after="0" w:line="240" w:lineRule="auto"/>
        <w:ind w:left="0"/>
        <w:rPr>
          <w:rFonts w:ascii="Arial" w:hAnsi="Arial" w:cs="Arial"/>
          <w:b/>
          <w:bCs/>
          <w:sz w:val="24"/>
          <w:szCs w:val="24"/>
        </w:rPr>
      </w:pPr>
    </w:p>
    <w:p w:rsidR="004C6AC5" w:rsidRPr="004C6AC5" w:rsidRDefault="004C6AC5" w:rsidP="00DA12DD">
      <w:pPr>
        <w:pStyle w:val="ListParagraph"/>
        <w:autoSpaceDE w:val="0"/>
        <w:autoSpaceDN w:val="0"/>
        <w:adjustRightInd w:val="0"/>
        <w:spacing w:after="0" w:line="240" w:lineRule="auto"/>
        <w:ind w:left="0"/>
        <w:rPr>
          <w:rFonts w:ascii="Arial" w:hAnsi="Arial" w:cs="Arial"/>
          <w:sz w:val="24"/>
          <w:szCs w:val="24"/>
        </w:rPr>
      </w:pPr>
      <w:r w:rsidRPr="004C6AC5">
        <w:rPr>
          <w:rFonts w:ascii="Arial" w:hAnsi="Arial" w:cs="Arial"/>
          <w:sz w:val="24"/>
          <w:szCs w:val="24"/>
        </w:rPr>
        <w:t xml:space="preserve">Please confirm Kingston Hydro’s rate generator Tab 19 is now working correctly and the bill impacts Tab 20 is correct. </w:t>
      </w:r>
    </w:p>
    <w:p w:rsidR="000A294A" w:rsidRPr="002D056D" w:rsidRDefault="000A294A" w:rsidP="008E6045">
      <w:pPr>
        <w:rPr>
          <w:rFonts w:ascii="Arial" w:hAnsi="Arial" w:cs="Arial"/>
          <w:b/>
          <w:sz w:val="24"/>
          <w:szCs w:val="24"/>
        </w:rPr>
      </w:pPr>
      <w:bookmarkStart w:id="0" w:name="_GoBack"/>
      <w:bookmarkEnd w:id="0"/>
    </w:p>
    <w:sectPr w:rsidR="000A294A"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DF015B"/>
    <w:multiLevelType w:val="hybridMultilevel"/>
    <w:tmpl w:val="609A919E"/>
    <w:lvl w:ilvl="0" w:tplc="7EE823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F736C"/>
    <w:multiLevelType w:val="hybridMultilevel"/>
    <w:tmpl w:val="4EAA6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1D2AB2"/>
    <w:multiLevelType w:val="hybridMultilevel"/>
    <w:tmpl w:val="3174A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9022D7"/>
    <w:multiLevelType w:val="hybridMultilevel"/>
    <w:tmpl w:val="DB0C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DF76522"/>
    <w:multiLevelType w:val="hybridMultilevel"/>
    <w:tmpl w:val="F4FC330C"/>
    <w:lvl w:ilvl="0" w:tplc="66DEE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724284"/>
    <w:multiLevelType w:val="hybridMultilevel"/>
    <w:tmpl w:val="DCCC03F6"/>
    <w:lvl w:ilvl="0" w:tplc="25E8A21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AF0BB6"/>
    <w:multiLevelType w:val="hybridMultilevel"/>
    <w:tmpl w:val="95369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9E50C83"/>
    <w:multiLevelType w:val="hybridMultilevel"/>
    <w:tmpl w:val="26362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917691A"/>
    <w:multiLevelType w:val="hybridMultilevel"/>
    <w:tmpl w:val="862E0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F2D5957"/>
    <w:multiLevelType w:val="hybridMultilevel"/>
    <w:tmpl w:val="C1CAD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845542F"/>
    <w:multiLevelType w:val="hybridMultilevel"/>
    <w:tmpl w:val="855EC860"/>
    <w:lvl w:ilvl="0" w:tplc="DAA200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895A1F"/>
    <w:multiLevelType w:val="hybridMultilevel"/>
    <w:tmpl w:val="4FCA5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8"/>
  </w:num>
  <w:num w:numId="3">
    <w:abstractNumId w:val="27"/>
  </w:num>
  <w:num w:numId="4">
    <w:abstractNumId w:val="38"/>
  </w:num>
  <w:num w:numId="5">
    <w:abstractNumId w:val="16"/>
  </w:num>
  <w:num w:numId="6">
    <w:abstractNumId w:val="10"/>
  </w:num>
  <w:num w:numId="7">
    <w:abstractNumId w:val="23"/>
  </w:num>
  <w:num w:numId="8">
    <w:abstractNumId w:val="18"/>
  </w:num>
  <w:num w:numId="9">
    <w:abstractNumId w:val="20"/>
  </w:num>
  <w:num w:numId="10">
    <w:abstractNumId w:val="7"/>
  </w:num>
  <w:num w:numId="11">
    <w:abstractNumId w:val="22"/>
  </w:num>
  <w:num w:numId="12">
    <w:abstractNumId w:val="29"/>
  </w:num>
  <w:num w:numId="13">
    <w:abstractNumId w:val="6"/>
  </w:num>
  <w:num w:numId="14">
    <w:abstractNumId w:val="3"/>
  </w:num>
  <w:num w:numId="15">
    <w:abstractNumId w:val="35"/>
  </w:num>
  <w:num w:numId="16">
    <w:abstractNumId w:val="9"/>
  </w:num>
  <w:num w:numId="17">
    <w:abstractNumId w:val="25"/>
  </w:num>
  <w:num w:numId="18">
    <w:abstractNumId w:val="32"/>
  </w:num>
  <w:num w:numId="19">
    <w:abstractNumId w:val="34"/>
  </w:num>
  <w:num w:numId="20">
    <w:abstractNumId w:val="15"/>
  </w:num>
  <w:num w:numId="21">
    <w:abstractNumId w:val="31"/>
  </w:num>
  <w:num w:numId="22">
    <w:abstractNumId w:val="12"/>
  </w:num>
  <w:num w:numId="23">
    <w:abstractNumId w:val="28"/>
  </w:num>
  <w:num w:numId="24">
    <w:abstractNumId w:val="26"/>
  </w:num>
  <w:num w:numId="25">
    <w:abstractNumId w:val="4"/>
  </w:num>
  <w:num w:numId="26">
    <w:abstractNumId w:val="21"/>
  </w:num>
  <w:num w:numId="27">
    <w:abstractNumId w:val="24"/>
  </w:num>
  <w:num w:numId="28">
    <w:abstractNumId w:val="33"/>
  </w:num>
  <w:num w:numId="29">
    <w:abstractNumId w:val="5"/>
  </w:num>
  <w:num w:numId="30">
    <w:abstractNumId w:val="37"/>
  </w:num>
  <w:num w:numId="31">
    <w:abstractNumId w:val="14"/>
  </w:num>
  <w:num w:numId="32">
    <w:abstractNumId w:val="17"/>
  </w:num>
  <w:num w:numId="33">
    <w:abstractNumId w:val="30"/>
  </w:num>
  <w:num w:numId="34">
    <w:abstractNumId w:val="13"/>
  </w:num>
  <w:num w:numId="35">
    <w:abstractNumId w:val="11"/>
  </w:num>
  <w:num w:numId="36">
    <w:abstractNumId w:val="2"/>
  </w:num>
  <w:num w:numId="37">
    <w:abstractNumId w:val="19"/>
  </w:num>
  <w:num w:numId="38">
    <w:abstractNumId w:val="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294A"/>
    <w:rsid w:val="000B3E7E"/>
    <w:rsid w:val="000C11A1"/>
    <w:rsid w:val="000D223C"/>
    <w:rsid w:val="000E4006"/>
    <w:rsid w:val="000F1E3A"/>
    <w:rsid w:val="00133BE1"/>
    <w:rsid w:val="00164E99"/>
    <w:rsid w:val="00183CC8"/>
    <w:rsid w:val="00187E9B"/>
    <w:rsid w:val="001927C2"/>
    <w:rsid w:val="001A4DCD"/>
    <w:rsid w:val="00200CAF"/>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40C00"/>
    <w:rsid w:val="003702D1"/>
    <w:rsid w:val="00373FAD"/>
    <w:rsid w:val="003777B5"/>
    <w:rsid w:val="003832E7"/>
    <w:rsid w:val="003A20A0"/>
    <w:rsid w:val="003A58B0"/>
    <w:rsid w:val="00400DFC"/>
    <w:rsid w:val="00412DC6"/>
    <w:rsid w:val="004377B0"/>
    <w:rsid w:val="00472C81"/>
    <w:rsid w:val="00475032"/>
    <w:rsid w:val="004859EF"/>
    <w:rsid w:val="004C6AC5"/>
    <w:rsid w:val="004E3A81"/>
    <w:rsid w:val="004E69F8"/>
    <w:rsid w:val="005164F5"/>
    <w:rsid w:val="00516C78"/>
    <w:rsid w:val="0052560F"/>
    <w:rsid w:val="005666F2"/>
    <w:rsid w:val="00572064"/>
    <w:rsid w:val="00584369"/>
    <w:rsid w:val="00587A35"/>
    <w:rsid w:val="00593F5E"/>
    <w:rsid w:val="005F4693"/>
    <w:rsid w:val="00623602"/>
    <w:rsid w:val="0064279A"/>
    <w:rsid w:val="00651C98"/>
    <w:rsid w:val="006A5D23"/>
    <w:rsid w:val="006E3D58"/>
    <w:rsid w:val="00704EE5"/>
    <w:rsid w:val="007066E2"/>
    <w:rsid w:val="00716D24"/>
    <w:rsid w:val="00722640"/>
    <w:rsid w:val="0073197E"/>
    <w:rsid w:val="00746080"/>
    <w:rsid w:val="00772B57"/>
    <w:rsid w:val="00781D04"/>
    <w:rsid w:val="007C20AD"/>
    <w:rsid w:val="007C2D45"/>
    <w:rsid w:val="007F49EB"/>
    <w:rsid w:val="00805FDA"/>
    <w:rsid w:val="00812C1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B3D3E"/>
    <w:rsid w:val="009C4216"/>
    <w:rsid w:val="009D5F4B"/>
    <w:rsid w:val="009E626E"/>
    <w:rsid w:val="009E7CBF"/>
    <w:rsid w:val="00A07077"/>
    <w:rsid w:val="00A14A3E"/>
    <w:rsid w:val="00A50DD0"/>
    <w:rsid w:val="00A516B0"/>
    <w:rsid w:val="00A5620A"/>
    <w:rsid w:val="00AA06D9"/>
    <w:rsid w:val="00AB7FE1"/>
    <w:rsid w:val="00AC2406"/>
    <w:rsid w:val="00AD3FCF"/>
    <w:rsid w:val="00B03802"/>
    <w:rsid w:val="00B069AA"/>
    <w:rsid w:val="00B23A36"/>
    <w:rsid w:val="00B25576"/>
    <w:rsid w:val="00B25EF5"/>
    <w:rsid w:val="00B50EB2"/>
    <w:rsid w:val="00B6722A"/>
    <w:rsid w:val="00B82D78"/>
    <w:rsid w:val="00BA434C"/>
    <w:rsid w:val="00BD4F65"/>
    <w:rsid w:val="00C06F9E"/>
    <w:rsid w:val="00C13E6B"/>
    <w:rsid w:val="00C2370B"/>
    <w:rsid w:val="00C624D5"/>
    <w:rsid w:val="00C848A0"/>
    <w:rsid w:val="00C878C5"/>
    <w:rsid w:val="00C96AEA"/>
    <w:rsid w:val="00CA2766"/>
    <w:rsid w:val="00CC0B6D"/>
    <w:rsid w:val="00CE1CD3"/>
    <w:rsid w:val="00CE4F01"/>
    <w:rsid w:val="00D55546"/>
    <w:rsid w:val="00D57E8C"/>
    <w:rsid w:val="00D6213C"/>
    <w:rsid w:val="00D647C0"/>
    <w:rsid w:val="00D77694"/>
    <w:rsid w:val="00D77B0F"/>
    <w:rsid w:val="00DA12DD"/>
    <w:rsid w:val="00DB6B52"/>
    <w:rsid w:val="00DE5488"/>
    <w:rsid w:val="00DE75AC"/>
    <w:rsid w:val="00DF5A52"/>
    <w:rsid w:val="00E17C58"/>
    <w:rsid w:val="00E231C2"/>
    <w:rsid w:val="00E429DA"/>
    <w:rsid w:val="00E62C2A"/>
    <w:rsid w:val="00E8586E"/>
    <w:rsid w:val="00E96A06"/>
    <w:rsid w:val="00EA0919"/>
    <w:rsid w:val="00EB5240"/>
    <w:rsid w:val="00EC0B55"/>
    <w:rsid w:val="00EE1169"/>
    <w:rsid w:val="00EE7717"/>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4663"/>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95CC-2992-46B3-BBFE-4A3FD7FF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6</cp:revision>
  <cp:lastPrinted>2014-09-29T14:43:00Z</cp:lastPrinted>
  <dcterms:created xsi:type="dcterms:W3CDTF">2020-10-15T13:55:00Z</dcterms:created>
  <dcterms:modified xsi:type="dcterms:W3CDTF">2020-10-16T13:08:00Z</dcterms:modified>
</cp:coreProperties>
</file>