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0C5EA" w14:textId="1D09AE5A" w:rsidR="00A23092" w:rsidRPr="00F8428F" w:rsidRDefault="00F8428F">
      <w:pPr>
        <w:rPr>
          <w:rFonts w:ascii="Arial" w:hAnsi="Arial" w:cs="Arial"/>
          <w:b/>
          <w:bCs/>
          <w:sz w:val="24"/>
          <w:szCs w:val="24"/>
        </w:rPr>
      </w:pPr>
      <w:r w:rsidRPr="00F8428F">
        <w:rPr>
          <w:rFonts w:ascii="Arial" w:hAnsi="Arial" w:cs="Arial"/>
          <w:b/>
          <w:bCs/>
          <w:sz w:val="24"/>
          <w:szCs w:val="24"/>
        </w:rPr>
        <w:t>Westario Power’s 2021 IRM Application EB-2020-0062</w:t>
      </w:r>
    </w:p>
    <w:p w14:paraId="17727B9A" w14:textId="46B72874" w:rsidR="00F8428F" w:rsidRPr="00F8428F" w:rsidRDefault="00F8428F">
      <w:pPr>
        <w:rPr>
          <w:rFonts w:ascii="Arial" w:hAnsi="Arial" w:cs="Arial"/>
          <w:b/>
          <w:bCs/>
          <w:sz w:val="24"/>
          <w:szCs w:val="24"/>
        </w:rPr>
      </w:pPr>
      <w:r w:rsidRPr="00F8428F">
        <w:rPr>
          <w:rFonts w:ascii="Arial" w:hAnsi="Arial" w:cs="Arial"/>
          <w:b/>
          <w:bCs/>
          <w:sz w:val="24"/>
          <w:szCs w:val="24"/>
        </w:rPr>
        <w:t xml:space="preserve">Staff </w:t>
      </w:r>
      <w:r w:rsidR="00923658">
        <w:rPr>
          <w:rFonts w:ascii="Arial" w:hAnsi="Arial" w:cs="Arial"/>
          <w:b/>
          <w:bCs/>
          <w:sz w:val="24"/>
          <w:szCs w:val="24"/>
        </w:rPr>
        <w:t xml:space="preserve">Follow-up </w:t>
      </w:r>
      <w:r w:rsidRPr="00F8428F">
        <w:rPr>
          <w:rFonts w:ascii="Arial" w:hAnsi="Arial" w:cs="Arial"/>
          <w:b/>
          <w:bCs/>
          <w:sz w:val="24"/>
          <w:szCs w:val="24"/>
        </w:rPr>
        <w:t>Questions</w:t>
      </w:r>
    </w:p>
    <w:p w14:paraId="4D1066B7" w14:textId="26C329CA" w:rsidR="00E22909" w:rsidRDefault="00E22909" w:rsidP="00E22909">
      <w:pPr>
        <w:rPr>
          <w:rFonts w:ascii="Arial" w:hAnsi="Arial" w:cs="Arial"/>
        </w:rPr>
      </w:pPr>
      <w:r w:rsidRPr="00E22909">
        <w:rPr>
          <w:rFonts w:ascii="Arial" w:hAnsi="Arial" w:cs="Arial"/>
        </w:rPr>
        <w:t>*</w:t>
      </w:r>
      <w:r>
        <w:rPr>
          <w:rFonts w:ascii="Arial" w:hAnsi="Arial" w:cs="Arial"/>
        </w:rPr>
        <w:t>Please note r</w:t>
      </w:r>
      <w:r w:rsidRPr="00E22909">
        <w:rPr>
          <w:rFonts w:ascii="Arial" w:hAnsi="Arial" w:cs="Arial"/>
        </w:rPr>
        <w:t xml:space="preserve">esponses to </w:t>
      </w:r>
      <w:r>
        <w:rPr>
          <w:rFonts w:ascii="Arial" w:hAnsi="Arial" w:cs="Arial"/>
        </w:rPr>
        <w:t>staff questions</w:t>
      </w:r>
      <w:r w:rsidRPr="00E22909">
        <w:rPr>
          <w:rFonts w:ascii="Arial" w:hAnsi="Arial" w:cs="Arial"/>
        </w:rPr>
        <w:t xml:space="preserve">, including supporting documentation, must not include personal information unless filed in accordance with rule 9A of the OEB’s </w:t>
      </w:r>
      <w:r w:rsidRPr="00E22909">
        <w:rPr>
          <w:rFonts w:ascii="Arial" w:hAnsi="Arial" w:cs="Arial"/>
          <w:i/>
          <w:iCs/>
        </w:rPr>
        <w:t>Rules of Practice and Procedure</w:t>
      </w:r>
      <w:r w:rsidRPr="00E22909">
        <w:rPr>
          <w:rFonts w:ascii="Arial" w:hAnsi="Arial" w:cs="Arial"/>
        </w:rPr>
        <w:t>.</w:t>
      </w:r>
    </w:p>
    <w:p w14:paraId="7744CFDA" w14:textId="54650E8E" w:rsidR="00D43C72" w:rsidRDefault="00923658" w:rsidP="00D43C72">
      <w:pPr>
        <w:rPr>
          <w:rFonts w:ascii="Arial" w:hAnsi="Arial" w:cs="Arial"/>
          <w:b/>
          <w:bCs/>
          <w:sz w:val="24"/>
          <w:szCs w:val="24"/>
        </w:rPr>
      </w:pPr>
      <w:r>
        <w:rPr>
          <w:rFonts w:ascii="Arial" w:hAnsi="Arial" w:cs="Arial"/>
          <w:b/>
          <w:bCs/>
          <w:sz w:val="24"/>
          <w:szCs w:val="24"/>
        </w:rPr>
        <w:t>Sup-</w:t>
      </w:r>
      <w:r w:rsidR="00D43C72" w:rsidRPr="00F55146">
        <w:rPr>
          <w:rFonts w:ascii="Arial" w:hAnsi="Arial" w:cs="Arial"/>
          <w:b/>
          <w:bCs/>
          <w:sz w:val="24"/>
          <w:szCs w:val="24"/>
        </w:rPr>
        <w:t>Staff -</w:t>
      </w:r>
      <w:r w:rsidR="00AA7CE4">
        <w:rPr>
          <w:rFonts w:ascii="Arial" w:hAnsi="Arial" w:cs="Arial"/>
          <w:b/>
          <w:bCs/>
          <w:sz w:val="24"/>
          <w:szCs w:val="24"/>
        </w:rPr>
        <w:t>1</w:t>
      </w:r>
    </w:p>
    <w:p w14:paraId="661CB878" w14:textId="7AC460B9" w:rsidR="008E0388" w:rsidRDefault="00D43C72" w:rsidP="008E0388">
      <w:pPr>
        <w:ind w:left="720" w:hanging="720"/>
        <w:rPr>
          <w:rFonts w:ascii="Arial" w:hAnsi="Arial" w:cs="Arial"/>
          <w:b/>
          <w:bCs/>
          <w:sz w:val="24"/>
          <w:szCs w:val="24"/>
        </w:rPr>
      </w:pPr>
      <w:r>
        <w:rPr>
          <w:rFonts w:ascii="Arial" w:hAnsi="Arial" w:cs="Arial"/>
          <w:b/>
          <w:bCs/>
          <w:sz w:val="24"/>
          <w:szCs w:val="24"/>
        </w:rPr>
        <w:t xml:space="preserve">Ref: </w:t>
      </w:r>
      <w:r w:rsidR="008E0388">
        <w:rPr>
          <w:rFonts w:ascii="Arial" w:hAnsi="Arial" w:cs="Arial"/>
          <w:b/>
          <w:bCs/>
          <w:sz w:val="24"/>
          <w:szCs w:val="24"/>
        </w:rPr>
        <w:tab/>
        <w:t xml:space="preserve">IRM Rate Generator Model, Tab 3. Continuity Schedule and </w:t>
      </w:r>
      <w:r>
        <w:rPr>
          <w:rFonts w:ascii="Arial" w:hAnsi="Arial" w:cs="Arial"/>
          <w:b/>
          <w:bCs/>
          <w:sz w:val="24"/>
          <w:szCs w:val="24"/>
        </w:rPr>
        <w:t>Tab 6. Class A Consumption Data in the IRM rate generator</w:t>
      </w:r>
    </w:p>
    <w:p w14:paraId="5ABF83D4" w14:textId="13AAA2A0" w:rsidR="00923658" w:rsidRDefault="00923658" w:rsidP="008E0388">
      <w:pPr>
        <w:ind w:left="720" w:hanging="720"/>
        <w:rPr>
          <w:rFonts w:ascii="Arial" w:hAnsi="Arial" w:cs="Arial"/>
          <w:b/>
          <w:bCs/>
          <w:sz w:val="24"/>
          <w:szCs w:val="24"/>
        </w:rPr>
      </w:pPr>
      <w:r>
        <w:rPr>
          <w:rFonts w:ascii="Arial" w:hAnsi="Arial" w:cs="Arial"/>
          <w:b/>
          <w:bCs/>
          <w:sz w:val="24"/>
          <w:szCs w:val="24"/>
        </w:rPr>
        <w:tab/>
        <w:t>Response to Staff Question 1</w:t>
      </w:r>
    </w:p>
    <w:p w14:paraId="41D2777A" w14:textId="3881B99C" w:rsidR="000302AE" w:rsidRDefault="000479F6" w:rsidP="000302AE">
      <w:pPr>
        <w:autoSpaceDE w:val="0"/>
        <w:autoSpaceDN w:val="0"/>
        <w:adjustRightInd w:val="0"/>
        <w:spacing w:after="0" w:line="240" w:lineRule="auto"/>
        <w:rPr>
          <w:rFonts w:ascii="Arial" w:hAnsi="Arial" w:cs="Arial"/>
          <w:sz w:val="24"/>
          <w:szCs w:val="24"/>
        </w:rPr>
      </w:pPr>
      <w:r w:rsidRPr="00303EC3">
        <w:rPr>
          <w:rFonts w:ascii="Arial" w:hAnsi="Arial" w:cs="Arial"/>
          <w:sz w:val="24"/>
          <w:szCs w:val="24"/>
        </w:rPr>
        <w:t xml:space="preserve">OEB staff </w:t>
      </w:r>
      <w:r>
        <w:rPr>
          <w:rFonts w:ascii="Arial" w:hAnsi="Arial" w:cs="Arial"/>
          <w:sz w:val="24"/>
          <w:szCs w:val="24"/>
        </w:rPr>
        <w:t xml:space="preserve">requested the three </w:t>
      </w:r>
      <w:r w:rsidR="00A13F39">
        <w:rPr>
          <w:rFonts w:ascii="Arial" w:hAnsi="Arial" w:cs="Arial"/>
          <w:sz w:val="24"/>
          <w:szCs w:val="24"/>
        </w:rPr>
        <w:t xml:space="preserve">2019 </w:t>
      </w:r>
      <w:r>
        <w:rPr>
          <w:rFonts w:ascii="Arial" w:hAnsi="Arial" w:cs="Arial"/>
          <w:sz w:val="24"/>
          <w:szCs w:val="24"/>
        </w:rPr>
        <w:t xml:space="preserve">transition customers have their consumption data filled out starting from the year after Account 1589 GA was disposed. </w:t>
      </w:r>
      <w:r w:rsidR="00A13F39">
        <w:rPr>
          <w:rFonts w:ascii="Arial" w:hAnsi="Arial" w:cs="Arial"/>
          <w:sz w:val="24"/>
          <w:szCs w:val="24"/>
        </w:rPr>
        <w:t>However,</w:t>
      </w:r>
      <w:r w:rsidR="00596061">
        <w:rPr>
          <w:rFonts w:ascii="Arial" w:hAnsi="Arial" w:cs="Arial"/>
          <w:sz w:val="24"/>
          <w:szCs w:val="24"/>
        </w:rPr>
        <w:t xml:space="preserve"> upon subsequent review, OEB staff notes</w:t>
      </w:r>
      <w:r w:rsidR="00A13F39">
        <w:rPr>
          <w:rFonts w:ascii="Arial" w:hAnsi="Arial" w:cs="Arial"/>
          <w:sz w:val="24"/>
          <w:szCs w:val="24"/>
        </w:rPr>
        <w:t xml:space="preserve"> Account 1589 GA had already been disposed to 2018 transition customers, so the three 2019 transition customers’ data only needs to be populated in 2019. </w:t>
      </w:r>
    </w:p>
    <w:p w14:paraId="1766EFE1" w14:textId="77777777" w:rsidR="000302AE" w:rsidRDefault="000302AE" w:rsidP="000302AE">
      <w:pPr>
        <w:autoSpaceDE w:val="0"/>
        <w:autoSpaceDN w:val="0"/>
        <w:adjustRightInd w:val="0"/>
        <w:spacing w:after="0" w:line="240" w:lineRule="auto"/>
        <w:rPr>
          <w:rFonts w:ascii="Arial" w:hAnsi="Arial" w:cs="Arial"/>
          <w:sz w:val="24"/>
          <w:szCs w:val="24"/>
        </w:rPr>
      </w:pPr>
    </w:p>
    <w:p w14:paraId="17EFDB1B" w14:textId="24E96E56" w:rsidR="00DF2235" w:rsidRDefault="00A13F39" w:rsidP="000302AE">
      <w:pPr>
        <w:pStyle w:val="ListParagraph"/>
        <w:numPr>
          <w:ilvl w:val="0"/>
          <w:numId w:val="15"/>
        </w:numPr>
        <w:autoSpaceDE w:val="0"/>
        <w:autoSpaceDN w:val="0"/>
        <w:adjustRightInd w:val="0"/>
        <w:spacing w:after="0" w:line="240" w:lineRule="auto"/>
        <w:rPr>
          <w:rFonts w:ascii="Arial" w:hAnsi="Arial" w:cs="Arial"/>
          <w:sz w:val="24"/>
          <w:szCs w:val="24"/>
        </w:rPr>
      </w:pPr>
      <w:r w:rsidRPr="000302AE">
        <w:rPr>
          <w:rFonts w:ascii="Arial" w:hAnsi="Arial" w:cs="Arial"/>
          <w:sz w:val="24"/>
          <w:szCs w:val="24"/>
        </w:rPr>
        <w:t xml:space="preserve">For the three 2019 transition customers please populate only </w:t>
      </w:r>
      <w:r w:rsidR="00596061">
        <w:rPr>
          <w:rFonts w:ascii="Arial" w:hAnsi="Arial" w:cs="Arial"/>
          <w:sz w:val="24"/>
          <w:szCs w:val="24"/>
        </w:rPr>
        <w:t>the</w:t>
      </w:r>
      <w:r w:rsidRPr="000302AE">
        <w:rPr>
          <w:rFonts w:ascii="Arial" w:hAnsi="Arial" w:cs="Arial"/>
          <w:sz w:val="24"/>
          <w:szCs w:val="24"/>
        </w:rPr>
        <w:t xml:space="preserve"> 2019</w:t>
      </w:r>
      <w:r w:rsidR="00596061">
        <w:rPr>
          <w:rFonts w:ascii="Arial" w:hAnsi="Arial" w:cs="Arial"/>
          <w:sz w:val="24"/>
          <w:szCs w:val="24"/>
        </w:rPr>
        <w:t xml:space="preserve"> data</w:t>
      </w:r>
      <w:r w:rsidR="00923658">
        <w:rPr>
          <w:rFonts w:ascii="Arial" w:hAnsi="Arial" w:cs="Arial"/>
          <w:sz w:val="24"/>
          <w:szCs w:val="24"/>
        </w:rPr>
        <w:t xml:space="preserve"> and update the model as required.</w:t>
      </w:r>
    </w:p>
    <w:p w14:paraId="2A3A9E67" w14:textId="08A86A8A" w:rsidR="00CB162B" w:rsidRPr="00CB162B" w:rsidRDefault="00CB162B" w:rsidP="00CB162B">
      <w:pPr>
        <w:pStyle w:val="ListParagraph"/>
        <w:autoSpaceDE w:val="0"/>
        <w:autoSpaceDN w:val="0"/>
        <w:adjustRightInd w:val="0"/>
        <w:spacing w:after="0" w:line="240" w:lineRule="auto"/>
        <w:ind w:left="360"/>
        <w:rPr>
          <w:rFonts w:ascii="Arial" w:hAnsi="Arial" w:cs="Arial"/>
          <w:color w:val="FF0000"/>
          <w:sz w:val="24"/>
          <w:szCs w:val="24"/>
        </w:rPr>
      </w:pPr>
      <w:r>
        <w:rPr>
          <w:rFonts w:ascii="Arial" w:hAnsi="Arial" w:cs="Arial"/>
          <w:color w:val="FF0000"/>
          <w:sz w:val="24"/>
          <w:szCs w:val="24"/>
        </w:rPr>
        <w:t>The information for the transition customers has been removed from the 2016 to 2018 columns in 2021 IRM Rate Generator Model V4.</w:t>
      </w:r>
    </w:p>
    <w:p w14:paraId="4252B6E6" w14:textId="77777777" w:rsidR="00961036" w:rsidRDefault="00961036" w:rsidP="00961036">
      <w:pPr>
        <w:autoSpaceDE w:val="0"/>
        <w:autoSpaceDN w:val="0"/>
        <w:adjustRightInd w:val="0"/>
        <w:spacing w:after="0" w:line="240" w:lineRule="auto"/>
        <w:contextualSpacing/>
        <w:rPr>
          <w:rFonts w:ascii="Arial" w:hAnsi="Arial" w:cs="Arial"/>
          <w:sz w:val="24"/>
          <w:szCs w:val="24"/>
        </w:rPr>
      </w:pPr>
    </w:p>
    <w:p w14:paraId="0958CFB9" w14:textId="010C0747" w:rsidR="00923658" w:rsidRDefault="00923658" w:rsidP="00923658">
      <w:pPr>
        <w:rPr>
          <w:rFonts w:ascii="Arial" w:hAnsi="Arial" w:cs="Arial"/>
          <w:b/>
          <w:bCs/>
          <w:sz w:val="24"/>
          <w:szCs w:val="24"/>
        </w:rPr>
      </w:pPr>
      <w:r>
        <w:rPr>
          <w:rFonts w:ascii="Arial" w:hAnsi="Arial" w:cs="Arial"/>
          <w:b/>
          <w:bCs/>
          <w:sz w:val="24"/>
          <w:szCs w:val="24"/>
        </w:rPr>
        <w:t>Sup-</w:t>
      </w:r>
      <w:r w:rsidRPr="00F55146">
        <w:rPr>
          <w:rFonts w:ascii="Arial" w:hAnsi="Arial" w:cs="Arial"/>
          <w:b/>
          <w:bCs/>
          <w:sz w:val="24"/>
          <w:szCs w:val="24"/>
        </w:rPr>
        <w:t>Staff -</w:t>
      </w:r>
      <w:r w:rsidR="00510D0F">
        <w:rPr>
          <w:rFonts w:ascii="Arial" w:hAnsi="Arial" w:cs="Arial"/>
          <w:b/>
          <w:bCs/>
          <w:sz w:val="24"/>
          <w:szCs w:val="24"/>
        </w:rPr>
        <w:t>2</w:t>
      </w:r>
    </w:p>
    <w:p w14:paraId="21E8524C" w14:textId="77777777" w:rsidR="00923658" w:rsidRDefault="00923658" w:rsidP="00923658">
      <w:pPr>
        <w:rPr>
          <w:rFonts w:ascii="Arial" w:hAnsi="Arial" w:cs="Arial"/>
          <w:b/>
          <w:bCs/>
          <w:sz w:val="24"/>
          <w:szCs w:val="24"/>
        </w:rPr>
      </w:pPr>
      <w:r>
        <w:rPr>
          <w:rFonts w:ascii="Arial" w:hAnsi="Arial" w:cs="Arial"/>
          <w:b/>
          <w:bCs/>
          <w:sz w:val="24"/>
          <w:szCs w:val="24"/>
        </w:rPr>
        <w:t xml:space="preserve">Ref: </w:t>
      </w:r>
      <w:r>
        <w:rPr>
          <w:rFonts w:ascii="Arial" w:hAnsi="Arial" w:cs="Arial"/>
          <w:b/>
          <w:bCs/>
          <w:sz w:val="24"/>
          <w:szCs w:val="24"/>
        </w:rPr>
        <w:tab/>
        <w:t xml:space="preserve">IRM Rate Generator Model V3, Tab 3. Continuity Schedule; </w:t>
      </w:r>
    </w:p>
    <w:p w14:paraId="5A887F81" w14:textId="77777777" w:rsidR="00923658" w:rsidRDefault="00923658" w:rsidP="00923658">
      <w:pPr>
        <w:ind w:left="720"/>
        <w:rPr>
          <w:rFonts w:ascii="Arial" w:hAnsi="Arial" w:cs="Arial"/>
          <w:b/>
          <w:bCs/>
          <w:sz w:val="24"/>
          <w:szCs w:val="24"/>
        </w:rPr>
      </w:pPr>
      <w:r>
        <w:rPr>
          <w:rFonts w:ascii="Arial" w:hAnsi="Arial" w:cs="Arial"/>
          <w:b/>
          <w:bCs/>
          <w:sz w:val="24"/>
          <w:szCs w:val="24"/>
        </w:rPr>
        <w:t xml:space="preserve">2020 IRM Rate Generator Model dated Dec 12, 2019, Tab 3. Continuity Schedule; </w:t>
      </w:r>
    </w:p>
    <w:p w14:paraId="7C4262DE" w14:textId="68A9F0D1" w:rsidR="00923658" w:rsidRDefault="00923658" w:rsidP="00923658">
      <w:pPr>
        <w:ind w:firstLine="720"/>
        <w:rPr>
          <w:rFonts w:ascii="Arial" w:hAnsi="Arial" w:cs="Arial"/>
          <w:b/>
          <w:bCs/>
          <w:sz w:val="24"/>
          <w:szCs w:val="24"/>
        </w:rPr>
      </w:pPr>
      <w:r>
        <w:rPr>
          <w:rFonts w:ascii="Arial" w:hAnsi="Arial" w:cs="Arial"/>
          <w:b/>
          <w:bCs/>
          <w:sz w:val="24"/>
          <w:szCs w:val="24"/>
        </w:rPr>
        <w:t xml:space="preserve">the OEB’s Inspection Report </w:t>
      </w:r>
    </w:p>
    <w:p w14:paraId="19D7E8D2" w14:textId="77777777" w:rsidR="00923658" w:rsidRDefault="00923658" w:rsidP="00923658">
      <w:pPr>
        <w:rPr>
          <w:rFonts w:ascii="Arial" w:hAnsi="Arial" w:cs="Arial"/>
          <w:sz w:val="24"/>
          <w:szCs w:val="24"/>
        </w:rPr>
      </w:pPr>
      <w:r>
        <w:rPr>
          <w:rFonts w:ascii="Arial" w:hAnsi="Arial" w:cs="Arial"/>
          <w:sz w:val="24"/>
          <w:szCs w:val="24"/>
        </w:rPr>
        <w:t xml:space="preserve">Westario Power updated the DVA continuity schedule in the IRM rate generator model V3 in order to align the 2018 balances in the 2020 IRM application to the 2018 balances in the current rate application for Accounts 1588 and 1589. </w:t>
      </w:r>
    </w:p>
    <w:p w14:paraId="0B0B71AC" w14:textId="02016A04" w:rsidR="00923658" w:rsidRDefault="00923658" w:rsidP="00923658">
      <w:pPr>
        <w:rPr>
          <w:rFonts w:ascii="Arial" w:hAnsi="Arial" w:cs="Arial"/>
          <w:sz w:val="24"/>
          <w:szCs w:val="24"/>
        </w:rPr>
      </w:pPr>
      <w:r>
        <w:rPr>
          <w:rFonts w:ascii="Arial" w:hAnsi="Arial" w:cs="Arial"/>
          <w:sz w:val="24"/>
          <w:szCs w:val="24"/>
        </w:rPr>
        <w:t xml:space="preserve">However, </w:t>
      </w:r>
      <w:r w:rsidR="00596061">
        <w:rPr>
          <w:rFonts w:ascii="Arial" w:hAnsi="Arial" w:cs="Arial"/>
          <w:sz w:val="24"/>
          <w:szCs w:val="24"/>
        </w:rPr>
        <w:t xml:space="preserve">OEB </w:t>
      </w:r>
      <w:r>
        <w:rPr>
          <w:rFonts w:ascii="Arial" w:hAnsi="Arial" w:cs="Arial"/>
          <w:sz w:val="24"/>
          <w:szCs w:val="24"/>
        </w:rPr>
        <w:t xml:space="preserve">staff notes that the 2018 principal adjustment for Account 1589 </w:t>
      </w:r>
      <w:r w:rsidR="00596061">
        <w:rPr>
          <w:rFonts w:ascii="Arial" w:hAnsi="Arial" w:cs="Arial"/>
          <w:sz w:val="24"/>
          <w:szCs w:val="24"/>
        </w:rPr>
        <w:t>does not agree to</w:t>
      </w:r>
      <w:r>
        <w:rPr>
          <w:rFonts w:ascii="Arial" w:hAnsi="Arial" w:cs="Arial"/>
          <w:sz w:val="24"/>
          <w:szCs w:val="24"/>
        </w:rPr>
        <w:t xml:space="preserve"> the one in the Tab. 3 of the DVA continuity schedule of the 2020 IRM rate generator model dated Dec 12, 2019. Please see the differences below: </w:t>
      </w:r>
    </w:p>
    <w:tbl>
      <w:tblPr>
        <w:tblStyle w:val="TableGrid"/>
        <w:tblW w:w="0" w:type="auto"/>
        <w:tblLook w:val="04A0" w:firstRow="1" w:lastRow="0" w:firstColumn="1" w:lastColumn="0" w:noHBand="0" w:noVBand="1"/>
      </w:tblPr>
      <w:tblGrid>
        <w:gridCol w:w="3055"/>
        <w:gridCol w:w="2520"/>
      </w:tblGrid>
      <w:tr w:rsidR="00923658" w14:paraId="3E0AD8C0" w14:textId="77777777" w:rsidTr="005B7CF1">
        <w:tc>
          <w:tcPr>
            <w:tcW w:w="3055" w:type="dxa"/>
          </w:tcPr>
          <w:p w14:paraId="51147B7F" w14:textId="77777777" w:rsidR="00923658" w:rsidRPr="00B83664" w:rsidRDefault="00923658" w:rsidP="005B7CF1">
            <w:pPr>
              <w:rPr>
                <w:rFonts w:ascii="Arial" w:hAnsi="Arial" w:cs="Arial"/>
                <w:b/>
                <w:bCs/>
                <w:sz w:val="24"/>
                <w:szCs w:val="24"/>
              </w:rPr>
            </w:pPr>
          </w:p>
        </w:tc>
        <w:tc>
          <w:tcPr>
            <w:tcW w:w="2520" w:type="dxa"/>
          </w:tcPr>
          <w:p w14:paraId="19D290D4" w14:textId="77777777" w:rsidR="00923658" w:rsidRPr="00B83664" w:rsidRDefault="00923658" w:rsidP="005B7CF1">
            <w:pPr>
              <w:rPr>
                <w:rFonts w:ascii="Arial" w:hAnsi="Arial" w:cs="Arial"/>
                <w:b/>
                <w:bCs/>
                <w:sz w:val="24"/>
                <w:szCs w:val="24"/>
              </w:rPr>
            </w:pPr>
            <w:r w:rsidRPr="00B83664">
              <w:rPr>
                <w:rFonts w:ascii="Arial" w:hAnsi="Arial" w:cs="Arial"/>
                <w:b/>
                <w:bCs/>
                <w:sz w:val="24"/>
                <w:szCs w:val="24"/>
              </w:rPr>
              <w:t>2018 Principal Adjustment</w:t>
            </w:r>
          </w:p>
        </w:tc>
      </w:tr>
      <w:tr w:rsidR="00923658" w14:paraId="6C8F920F" w14:textId="77777777" w:rsidTr="005B7CF1">
        <w:tc>
          <w:tcPr>
            <w:tcW w:w="3055" w:type="dxa"/>
          </w:tcPr>
          <w:p w14:paraId="412A1F62" w14:textId="77777777" w:rsidR="00923658" w:rsidRDefault="00923658" w:rsidP="005B7CF1">
            <w:pPr>
              <w:rPr>
                <w:rFonts w:ascii="Arial" w:hAnsi="Arial" w:cs="Arial"/>
                <w:sz w:val="24"/>
                <w:szCs w:val="24"/>
              </w:rPr>
            </w:pPr>
            <w:r>
              <w:rPr>
                <w:rFonts w:ascii="Arial" w:hAnsi="Arial" w:cs="Arial"/>
                <w:sz w:val="24"/>
                <w:szCs w:val="24"/>
              </w:rPr>
              <w:t>2021 IRM Rate Generator V3</w:t>
            </w:r>
          </w:p>
        </w:tc>
        <w:tc>
          <w:tcPr>
            <w:tcW w:w="2520" w:type="dxa"/>
          </w:tcPr>
          <w:p w14:paraId="0802C015" w14:textId="77777777" w:rsidR="00923658" w:rsidRDefault="00923658" w:rsidP="005B7CF1">
            <w:pPr>
              <w:rPr>
                <w:rFonts w:ascii="Arial" w:hAnsi="Arial" w:cs="Arial"/>
                <w:sz w:val="24"/>
                <w:szCs w:val="24"/>
              </w:rPr>
            </w:pPr>
            <w:r>
              <w:rPr>
                <w:rFonts w:ascii="Arial" w:hAnsi="Arial" w:cs="Arial"/>
                <w:sz w:val="24"/>
                <w:szCs w:val="24"/>
              </w:rPr>
              <w:t>$(</w:t>
            </w:r>
            <w:r w:rsidRPr="006A38D2">
              <w:rPr>
                <w:rFonts w:ascii="Arial" w:hAnsi="Arial" w:cs="Arial"/>
                <w:sz w:val="24"/>
                <w:szCs w:val="24"/>
              </w:rPr>
              <w:t>236</w:t>
            </w:r>
            <w:r>
              <w:rPr>
                <w:rFonts w:ascii="Arial" w:hAnsi="Arial" w:cs="Arial"/>
                <w:sz w:val="24"/>
                <w:szCs w:val="24"/>
              </w:rPr>
              <w:t>,</w:t>
            </w:r>
            <w:r w:rsidRPr="006A38D2">
              <w:rPr>
                <w:rFonts w:ascii="Arial" w:hAnsi="Arial" w:cs="Arial"/>
                <w:sz w:val="24"/>
                <w:szCs w:val="24"/>
              </w:rPr>
              <w:t>417</w:t>
            </w:r>
            <w:r>
              <w:rPr>
                <w:rFonts w:ascii="Arial" w:hAnsi="Arial" w:cs="Arial"/>
                <w:sz w:val="24"/>
                <w:szCs w:val="24"/>
              </w:rPr>
              <w:t>)</w:t>
            </w:r>
          </w:p>
        </w:tc>
      </w:tr>
      <w:tr w:rsidR="00923658" w14:paraId="51FB160E" w14:textId="77777777" w:rsidTr="005B7CF1">
        <w:tc>
          <w:tcPr>
            <w:tcW w:w="3055" w:type="dxa"/>
          </w:tcPr>
          <w:p w14:paraId="5AE33EA3" w14:textId="77777777" w:rsidR="00923658" w:rsidRDefault="00923658" w:rsidP="005B7CF1">
            <w:pPr>
              <w:rPr>
                <w:rFonts w:ascii="Arial" w:hAnsi="Arial" w:cs="Arial"/>
                <w:sz w:val="24"/>
                <w:szCs w:val="24"/>
              </w:rPr>
            </w:pPr>
            <w:r>
              <w:rPr>
                <w:rFonts w:ascii="Arial" w:hAnsi="Arial" w:cs="Arial"/>
                <w:sz w:val="24"/>
                <w:szCs w:val="24"/>
              </w:rPr>
              <w:t>2020 IRM Rate Generator Dec 12, 2019</w:t>
            </w:r>
          </w:p>
        </w:tc>
        <w:tc>
          <w:tcPr>
            <w:tcW w:w="2520" w:type="dxa"/>
          </w:tcPr>
          <w:p w14:paraId="5AE6D059" w14:textId="77777777" w:rsidR="00923658" w:rsidRPr="006A38D2" w:rsidRDefault="00923658" w:rsidP="005B7CF1">
            <w:pPr>
              <w:rPr>
                <w:rFonts w:ascii="Arial" w:hAnsi="Arial" w:cs="Arial"/>
                <w:sz w:val="24"/>
                <w:szCs w:val="24"/>
              </w:rPr>
            </w:pPr>
            <w:r w:rsidRPr="006A38D2">
              <w:rPr>
                <w:rFonts w:ascii="Arial" w:hAnsi="Arial" w:cs="Arial"/>
                <w:sz w:val="24"/>
                <w:szCs w:val="24"/>
              </w:rPr>
              <w:t xml:space="preserve">                   </w:t>
            </w:r>
            <w:r>
              <w:rPr>
                <w:rFonts w:ascii="Arial" w:hAnsi="Arial" w:cs="Arial"/>
                <w:sz w:val="24"/>
                <w:szCs w:val="24"/>
              </w:rPr>
              <w:t>$</w:t>
            </w:r>
            <w:r w:rsidRPr="006A38D2">
              <w:rPr>
                <w:rFonts w:ascii="Arial" w:hAnsi="Arial" w:cs="Arial"/>
                <w:sz w:val="24"/>
                <w:szCs w:val="24"/>
              </w:rPr>
              <w:t>(828,335)</w:t>
            </w:r>
          </w:p>
          <w:p w14:paraId="63D3DE11" w14:textId="77777777" w:rsidR="00923658" w:rsidRPr="006A38D2" w:rsidRDefault="00923658" w:rsidP="005B7CF1">
            <w:pPr>
              <w:rPr>
                <w:rFonts w:ascii="Arial" w:hAnsi="Arial" w:cs="Arial"/>
                <w:sz w:val="24"/>
                <w:szCs w:val="24"/>
              </w:rPr>
            </w:pPr>
          </w:p>
        </w:tc>
      </w:tr>
      <w:tr w:rsidR="00923658" w14:paraId="62B592D9" w14:textId="77777777" w:rsidTr="005B7CF1">
        <w:tc>
          <w:tcPr>
            <w:tcW w:w="3055" w:type="dxa"/>
          </w:tcPr>
          <w:p w14:paraId="2889F5CC" w14:textId="77777777" w:rsidR="00923658" w:rsidRDefault="00923658" w:rsidP="005B7CF1">
            <w:pPr>
              <w:rPr>
                <w:rFonts w:ascii="Arial" w:hAnsi="Arial" w:cs="Arial"/>
                <w:sz w:val="24"/>
                <w:szCs w:val="24"/>
              </w:rPr>
            </w:pPr>
            <w:r>
              <w:rPr>
                <w:rFonts w:ascii="Arial" w:hAnsi="Arial" w:cs="Arial"/>
                <w:sz w:val="24"/>
                <w:szCs w:val="24"/>
              </w:rPr>
              <w:lastRenderedPageBreak/>
              <w:t>Difference</w:t>
            </w:r>
          </w:p>
        </w:tc>
        <w:tc>
          <w:tcPr>
            <w:tcW w:w="2520" w:type="dxa"/>
          </w:tcPr>
          <w:p w14:paraId="4FA75D5D" w14:textId="77777777" w:rsidR="00923658" w:rsidRPr="006A38D2" w:rsidRDefault="00923658" w:rsidP="005B7CF1">
            <w:pPr>
              <w:rPr>
                <w:rFonts w:ascii="Arial" w:hAnsi="Arial" w:cs="Arial"/>
                <w:sz w:val="24"/>
                <w:szCs w:val="24"/>
              </w:rPr>
            </w:pPr>
            <w:r>
              <w:rPr>
                <w:rFonts w:ascii="Arial" w:hAnsi="Arial" w:cs="Arial"/>
                <w:sz w:val="24"/>
                <w:szCs w:val="24"/>
              </w:rPr>
              <w:t>$591,918</w:t>
            </w:r>
          </w:p>
        </w:tc>
      </w:tr>
    </w:tbl>
    <w:p w14:paraId="6ACF7568" w14:textId="77777777" w:rsidR="00923658" w:rsidRDefault="00923658" w:rsidP="00923658">
      <w:pPr>
        <w:rPr>
          <w:rFonts w:ascii="Arial" w:hAnsi="Arial" w:cs="Arial"/>
          <w:sz w:val="24"/>
          <w:szCs w:val="24"/>
        </w:rPr>
      </w:pPr>
    </w:p>
    <w:p w14:paraId="33D80A2C" w14:textId="0B4CD2E7" w:rsidR="00923658" w:rsidRDefault="00923658" w:rsidP="00923658">
      <w:pPr>
        <w:rPr>
          <w:rFonts w:ascii="Arial" w:hAnsi="Arial" w:cs="Arial"/>
          <w:sz w:val="24"/>
          <w:szCs w:val="24"/>
        </w:rPr>
      </w:pPr>
      <w:r>
        <w:rPr>
          <w:rFonts w:ascii="Arial" w:hAnsi="Arial" w:cs="Arial"/>
          <w:sz w:val="24"/>
          <w:szCs w:val="24"/>
        </w:rPr>
        <w:t>Regarding Account 1589, Section 2.1</w:t>
      </w:r>
      <w:r w:rsidRPr="00F74705">
        <w:rPr>
          <w:rFonts w:ascii="Arial" w:hAnsi="Arial" w:cs="Arial"/>
          <w:sz w:val="24"/>
          <w:szCs w:val="24"/>
        </w:rPr>
        <w:t xml:space="preserve"> </w:t>
      </w:r>
      <w:r>
        <w:rPr>
          <w:rFonts w:ascii="Arial" w:hAnsi="Arial" w:cs="Arial"/>
          <w:sz w:val="24"/>
          <w:szCs w:val="24"/>
        </w:rPr>
        <w:t>of the Inspection Report states that</w:t>
      </w:r>
      <w:r w:rsidRPr="00F74705">
        <w:rPr>
          <w:rFonts w:ascii="Arial" w:hAnsi="Arial" w:cs="Arial"/>
          <w:sz w:val="24"/>
          <w:szCs w:val="24"/>
        </w:rPr>
        <w:t xml:space="preserve"> “</w:t>
      </w:r>
      <w:r w:rsidRPr="006A38D2">
        <w:rPr>
          <w:rFonts w:ascii="Arial" w:hAnsi="Arial" w:cs="Arial"/>
          <w:sz w:val="24"/>
          <w:szCs w:val="24"/>
        </w:rPr>
        <w:t>The proper adjustments in 2019 have been booked as shown below and included in the adjustments column of the Continuity schedule in WPI’s 2020 IRM rate application to correct the erroneous calculation of GA settlement with the IESO.</w:t>
      </w:r>
      <w:r w:rsidRPr="00F74705">
        <w:rPr>
          <w:rFonts w:ascii="Arial" w:hAnsi="Arial" w:cs="Arial"/>
          <w:sz w:val="24"/>
          <w:szCs w:val="24"/>
        </w:rPr>
        <w:t>”</w:t>
      </w:r>
    </w:p>
    <w:p w14:paraId="020B0956" w14:textId="30E41F75" w:rsidR="00923658" w:rsidRDefault="00923658" w:rsidP="0020422F">
      <w:pPr>
        <w:pStyle w:val="ListParagraph"/>
        <w:numPr>
          <w:ilvl w:val="0"/>
          <w:numId w:val="23"/>
        </w:numPr>
        <w:rPr>
          <w:rFonts w:ascii="Arial" w:hAnsi="Arial" w:cs="Arial"/>
          <w:sz w:val="24"/>
          <w:szCs w:val="24"/>
        </w:rPr>
      </w:pPr>
      <w:r w:rsidRPr="0020422F">
        <w:rPr>
          <w:rFonts w:ascii="Arial" w:hAnsi="Arial" w:cs="Arial"/>
          <w:sz w:val="24"/>
          <w:szCs w:val="24"/>
        </w:rPr>
        <w:t xml:space="preserve">Given that the 2016 to 2018 adjustments have been reviewed by the auditor, please explain why the 2018 principal adjustment is not </w:t>
      </w:r>
      <w:r w:rsidR="00596061" w:rsidRPr="0020422F">
        <w:rPr>
          <w:rFonts w:ascii="Arial" w:hAnsi="Arial" w:cs="Arial"/>
          <w:sz w:val="24"/>
          <w:szCs w:val="24"/>
        </w:rPr>
        <w:t xml:space="preserve">equal to </w:t>
      </w:r>
      <w:r w:rsidRPr="0020422F">
        <w:rPr>
          <w:rFonts w:ascii="Arial" w:hAnsi="Arial" w:cs="Arial"/>
          <w:sz w:val="24"/>
          <w:szCs w:val="24"/>
        </w:rPr>
        <w:t>the one in the 2020 IRM application and please update the continuity schedule as applicable.</w:t>
      </w:r>
    </w:p>
    <w:p w14:paraId="3A97917D" w14:textId="401F4BFC" w:rsidR="000452DA" w:rsidRPr="000452DA" w:rsidRDefault="000452DA" w:rsidP="000452DA">
      <w:pPr>
        <w:pStyle w:val="ListParagraph"/>
        <w:ind w:left="360"/>
        <w:rPr>
          <w:rFonts w:ascii="Arial" w:hAnsi="Arial" w:cs="Arial"/>
          <w:color w:val="FF0000"/>
          <w:sz w:val="24"/>
          <w:szCs w:val="24"/>
        </w:rPr>
      </w:pPr>
      <w:r>
        <w:rPr>
          <w:rFonts w:ascii="Arial" w:hAnsi="Arial" w:cs="Arial"/>
          <w:color w:val="FF0000"/>
          <w:sz w:val="24"/>
          <w:szCs w:val="24"/>
        </w:rPr>
        <w:t>The 2018 principal adjustments amount of $236,417 agree with both the GA Analysis workform in both 2020 and 2021.</w:t>
      </w:r>
      <w:r w:rsidR="007D6A5B">
        <w:rPr>
          <w:rFonts w:ascii="Arial" w:hAnsi="Arial" w:cs="Arial"/>
          <w:color w:val="FF0000"/>
          <w:sz w:val="24"/>
          <w:szCs w:val="24"/>
        </w:rPr>
        <w:t xml:space="preserve"> The Closing letter of the audit report states “…these corrective adjustments have been reflected on the GA Analysis workform for 2016, 2017 and 2018…</w:t>
      </w:r>
      <w:proofErr w:type="gramStart"/>
      <w:r w:rsidR="007D6A5B">
        <w:rPr>
          <w:rFonts w:ascii="Arial" w:hAnsi="Arial" w:cs="Arial"/>
          <w:color w:val="FF0000"/>
          <w:sz w:val="24"/>
          <w:szCs w:val="24"/>
        </w:rPr>
        <w:t>”</w:t>
      </w:r>
      <w:r w:rsidR="00F87095">
        <w:rPr>
          <w:rFonts w:ascii="Arial" w:hAnsi="Arial" w:cs="Arial"/>
          <w:color w:val="FF0000"/>
          <w:sz w:val="24"/>
          <w:szCs w:val="24"/>
        </w:rPr>
        <w:t>.</w:t>
      </w:r>
      <w:proofErr w:type="gramEnd"/>
      <w:r w:rsidR="00F87095">
        <w:rPr>
          <w:rFonts w:ascii="Arial" w:hAnsi="Arial" w:cs="Arial"/>
          <w:color w:val="FF0000"/>
          <w:sz w:val="24"/>
          <w:szCs w:val="24"/>
        </w:rPr>
        <w:t xml:space="preserve">  The 2021 continuity schedule reflects all of these audited amounts from the GA Analysis workform.</w:t>
      </w:r>
      <w:r w:rsidR="00F41FCC">
        <w:rPr>
          <w:rFonts w:ascii="Arial" w:hAnsi="Arial" w:cs="Arial"/>
          <w:color w:val="FF0000"/>
          <w:sz w:val="24"/>
          <w:szCs w:val="24"/>
        </w:rPr>
        <w:t xml:space="preserve">  The Continuity schedule in the 2020 IRM rate application missed including the adjustment for the IESO invoice correction </w:t>
      </w:r>
      <w:r w:rsidR="00CE15EE">
        <w:rPr>
          <w:rFonts w:ascii="Arial" w:hAnsi="Arial" w:cs="Arial"/>
          <w:color w:val="FF0000"/>
          <w:sz w:val="24"/>
          <w:szCs w:val="24"/>
        </w:rPr>
        <w:t xml:space="preserve">as well as the $48,067 difference in the GA true-up recalculation from actual booked.  These items should all have been included on the </w:t>
      </w:r>
      <w:r w:rsidR="00CB14DB">
        <w:rPr>
          <w:rFonts w:ascii="Arial" w:hAnsi="Arial" w:cs="Arial"/>
          <w:color w:val="FF0000"/>
          <w:sz w:val="24"/>
          <w:szCs w:val="24"/>
        </w:rPr>
        <w:t xml:space="preserve">2020 </w:t>
      </w:r>
      <w:bookmarkStart w:id="0" w:name="_GoBack"/>
      <w:bookmarkEnd w:id="0"/>
      <w:r w:rsidR="00CE15EE">
        <w:rPr>
          <w:rFonts w:ascii="Arial" w:hAnsi="Arial" w:cs="Arial"/>
          <w:color w:val="FF0000"/>
          <w:sz w:val="24"/>
          <w:szCs w:val="24"/>
        </w:rPr>
        <w:t>continuity schedule.</w:t>
      </w:r>
    </w:p>
    <w:p w14:paraId="7C71E96D" w14:textId="77777777" w:rsidR="00923658" w:rsidRPr="00F74705" w:rsidRDefault="00923658" w:rsidP="00923658">
      <w:pPr>
        <w:rPr>
          <w:rFonts w:ascii="Arial" w:hAnsi="Arial" w:cs="Arial"/>
          <w:sz w:val="24"/>
          <w:szCs w:val="24"/>
        </w:rPr>
      </w:pPr>
    </w:p>
    <w:p w14:paraId="3914FBDA" w14:textId="09B7F2D4" w:rsidR="00923658" w:rsidRDefault="00923658" w:rsidP="00923658">
      <w:pPr>
        <w:rPr>
          <w:rFonts w:ascii="Arial" w:hAnsi="Arial" w:cs="Arial"/>
          <w:b/>
          <w:bCs/>
          <w:sz w:val="24"/>
          <w:szCs w:val="24"/>
        </w:rPr>
      </w:pPr>
      <w:r>
        <w:rPr>
          <w:rFonts w:ascii="Arial" w:hAnsi="Arial" w:cs="Arial"/>
          <w:b/>
          <w:bCs/>
          <w:sz w:val="24"/>
          <w:szCs w:val="24"/>
        </w:rPr>
        <w:t>Sup-Staff-</w:t>
      </w:r>
      <w:r w:rsidR="00510D0F">
        <w:rPr>
          <w:rFonts w:ascii="Arial" w:hAnsi="Arial" w:cs="Arial"/>
          <w:b/>
          <w:bCs/>
          <w:sz w:val="24"/>
          <w:szCs w:val="24"/>
        </w:rPr>
        <w:t>3</w:t>
      </w:r>
    </w:p>
    <w:p w14:paraId="750EB156" w14:textId="5B139B9C" w:rsidR="00923658" w:rsidRDefault="00923658" w:rsidP="00923658">
      <w:pPr>
        <w:rPr>
          <w:rFonts w:ascii="Arial" w:hAnsi="Arial" w:cs="Arial"/>
          <w:b/>
          <w:bCs/>
          <w:sz w:val="24"/>
          <w:szCs w:val="24"/>
        </w:rPr>
      </w:pPr>
      <w:r>
        <w:rPr>
          <w:rFonts w:ascii="Arial" w:hAnsi="Arial" w:cs="Arial"/>
          <w:b/>
          <w:bCs/>
          <w:sz w:val="24"/>
          <w:szCs w:val="24"/>
        </w:rPr>
        <w:t xml:space="preserve">Ref: </w:t>
      </w:r>
      <w:r>
        <w:rPr>
          <w:rFonts w:ascii="Arial" w:hAnsi="Arial" w:cs="Arial"/>
          <w:b/>
          <w:bCs/>
          <w:sz w:val="24"/>
          <w:szCs w:val="24"/>
        </w:rPr>
        <w:tab/>
        <w:t>Response to Staff Question -5</w:t>
      </w:r>
    </w:p>
    <w:p w14:paraId="4FB61399" w14:textId="77777777" w:rsidR="00923658" w:rsidRPr="00B83664" w:rsidRDefault="00923658" w:rsidP="00923658">
      <w:pPr>
        <w:rPr>
          <w:rFonts w:ascii="Arial" w:hAnsi="Arial" w:cs="Arial"/>
          <w:b/>
          <w:bCs/>
          <w:sz w:val="24"/>
          <w:szCs w:val="24"/>
        </w:rPr>
      </w:pPr>
      <w:r w:rsidRPr="00B83664">
        <w:rPr>
          <w:rFonts w:ascii="Arial" w:hAnsi="Arial" w:cs="Arial"/>
          <w:sz w:val="24"/>
          <w:szCs w:val="24"/>
        </w:rPr>
        <w:t xml:space="preserve">Regarding </w:t>
      </w:r>
      <w:r>
        <w:rPr>
          <w:rFonts w:ascii="Arial" w:hAnsi="Arial" w:cs="Arial"/>
          <w:sz w:val="24"/>
          <w:szCs w:val="24"/>
        </w:rPr>
        <w:t>the r</w:t>
      </w:r>
      <w:r w:rsidRPr="00D130BD">
        <w:rPr>
          <w:rFonts w:ascii="Arial" w:hAnsi="Arial" w:cs="Arial"/>
          <w:sz w:val="24"/>
          <w:szCs w:val="24"/>
        </w:rPr>
        <w:t>econciliation item #10 of $544,564</w:t>
      </w:r>
      <w:r>
        <w:rPr>
          <w:rFonts w:ascii="Arial" w:hAnsi="Arial" w:cs="Arial"/>
          <w:sz w:val="24"/>
          <w:szCs w:val="24"/>
        </w:rPr>
        <w:t xml:space="preserve"> on </w:t>
      </w:r>
      <w:r w:rsidRPr="00D130BD">
        <w:rPr>
          <w:rFonts w:ascii="Arial" w:hAnsi="Arial" w:cs="Arial"/>
          <w:sz w:val="24"/>
          <w:szCs w:val="24"/>
        </w:rPr>
        <w:t>2018 GA Analysis Workform</w:t>
      </w:r>
      <w:r>
        <w:rPr>
          <w:rFonts w:ascii="Arial" w:hAnsi="Arial" w:cs="Arial"/>
          <w:sz w:val="24"/>
          <w:szCs w:val="24"/>
        </w:rPr>
        <w:t>, Westario Power states that:</w:t>
      </w:r>
    </w:p>
    <w:p w14:paraId="171AA907" w14:textId="77777777" w:rsidR="00923658" w:rsidRDefault="00923658" w:rsidP="00923658">
      <w:pPr>
        <w:rPr>
          <w:rFonts w:ascii="Arial" w:hAnsi="Arial" w:cs="Arial"/>
          <w:b/>
          <w:bCs/>
          <w:sz w:val="24"/>
          <w:szCs w:val="24"/>
        </w:rPr>
      </w:pPr>
    </w:p>
    <w:p w14:paraId="74D34037" w14:textId="77777777" w:rsidR="00923658" w:rsidRPr="006A38D2" w:rsidRDefault="00923658" w:rsidP="00923658">
      <w:pPr>
        <w:ind w:left="720"/>
        <w:rPr>
          <w:rFonts w:ascii="Arial" w:hAnsi="Arial" w:cs="Arial"/>
          <w:sz w:val="24"/>
          <w:szCs w:val="24"/>
        </w:rPr>
      </w:pPr>
      <w:r w:rsidRPr="006A38D2">
        <w:rPr>
          <w:rFonts w:ascii="Arial" w:hAnsi="Arial" w:cs="Arial"/>
          <w:sz w:val="24"/>
          <w:szCs w:val="24"/>
        </w:rPr>
        <w:t>Adjustment c) is not mentioned in the OEB’s Inspection report.  This was a billing error on the IESO’s July 2017 invoice to Westario Power.  Westario was overbilled by $544,654.  The 2017 true-up for this amount was included in the $2,075,109 adjustment that was reviewed by the OEB and included in the Observation 2 of the Inspection report.  In 2018 when the IESO refunded Westario this money it was allocated to 1589 in error.  Since the 2017 true-up treated the refund as if it was all allocated to 1588 the allocation of this refund should have gone to account 1589.  An entry was made in 2020 to reallocate this balance from 1588 to 1589.  This adjustment needs to be included as without it the balance balances of both 1588 and 1589 would be misstated by not being consistent with the adjustment outlined in Observation 2.</w:t>
      </w:r>
    </w:p>
    <w:p w14:paraId="6753738A" w14:textId="77777777" w:rsidR="00923658" w:rsidRDefault="00923658" w:rsidP="00923658">
      <w:pPr>
        <w:pStyle w:val="ListParagraph"/>
        <w:rPr>
          <w:rFonts w:ascii="Arial" w:hAnsi="Arial" w:cs="Arial"/>
          <w:b/>
          <w:bCs/>
          <w:sz w:val="24"/>
          <w:szCs w:val="24"/>
        </w:rPr>
      </w:pPr>
    </w:p>
    <w:p w14:paraId="07847530" w14:textId="528F6027" w:rsidR="00923658" w:rsidRDefault="00596061" w:rsidP="00923658">
      <w:pPr>
        <w:pStyle w:val="ListParagraph"/>
        <w:numPr>
          <w:ilvl w:val="0"/>
          <w:numId w:val="21"/>
        </w:numPr>
        <w:rPr>
          <w:rFonts w:ascii="Arial" w:hAnsi="Arial" w:cs="Arial"/>
          <w:sz w:val="24"/>
          <w:szCs w:val="24"/>
        </w:rPr>
      </w:pPr>
      <w:r>
        <w:rPr>
          <w:rFonts w:ascii="Arial" w:hAnsi="Arial" w:cs="Arial"/>
          <w:sz w:val="24"/>
          <w:szCs w:val="24"/>
        </w:rPr>
        <w:t>Please explain</w:t>
      </w:r>
      <w:r w:rsidR="00923658" w:rsidRPr="00923658">
        <w:rPr>
          <w:rFonts w:ascii="Arial" w:hAnsi="Arial" w:cs="Arial"/>
          <w:sz w:val="24"/>
          <w:szCs w:val="24"/>
        </w:rPr>
        <w:t xml:space="preserve"> the total over-billing amount by the IESO in 2017? What is the nature of this overbilling? </w:t>
      </w:r>
    </w:p>
    <w:p w14:paraId="616889FD" w14:textId="18AE9FA0" w:rsidR="00F41FCC" w:rsidRDefault="00F41FCC" w:rsidP="00F41FCC">
      <w:pPr>
        <w:pStyle w:val="ListParagraph"/>
        <w:ind w:left="360"/>
        <w:rPr>
          <w:rFonts w:ascii="Arial" w:hAnsi="Arial" w:cs="Arial"/>
          <w:color w:val="FF0000"/>
          <w:sz w:val="24"/>
          <w:szCs w:val="24"/>
        </w:rPr>
      </w:pPr>
      <w:r>
        <w:rPr>
          <w:rFonts w:ascii="Arial" w:hAnsi="Arial" w:cs="Arial"/>
          <w:color w:val="FF0000"/>
          <w:sz w:val="24"/>
          <w:szCs w:val="24"/>
        </w:rPr>
        <w:lastRenderedPageBreak/>
        <w:t xml:space="preserve">This over billing by the IESO was an overcharging of line 148 “Class B Global Adjustment Settlement amount”.  </w:t>
      </w:r>
      <w:r w:rsidR="00CE15EE">
        <w:rPr>
          <w:rFonts w:ascii="Arial" w:hAnsi="Arial" w:cs="Arial"/>
          <w:color w:val="FF0000"/>
          <w:sz w:val="24"/>
          <w:szCs w:val="24"/>
        </w:rPr>
        <w:t xml:space="preserve">The consumption of class </w:t>
      </w:r>
      <w:proofErr w:type="gramStart"/>
      <w:r w:rsidR="00CE15EE">
        <w:rPr>
          <w:rFonts w:ascii="Arial" w:hAnsi="Arial" w:cs="Arial"/>
          <w:color w:val="FF0000"/>
          <w:sz w:val="24"/>
          <w:szCs w:val="24"/>
        </w:rPr>
        <w:t>A</w:t>
      </w:r>
      <w:proofErr w:type="gramEnd"/>
      <w:r w:rsidR="00CE15EE">
        <w:rPr>
          <w:rFonts w:ascii="Arial" w:hAnsi="Arial" w:cs="Arial"/>
          <w:color w:val="FF0000"/>
          <w:sz w:val="24"/>
          <w:szCs w:val="24"/>
        </w:rPr>
        <w:t xml:space="preserve"> customers was included in the calculation of this amount on the original invoice.  </w:t>
      </w:r>
      <w:r>
        <w:rPr>
          <w:rFonts w:ascii="Arial" w:hAnsi="Arial" w:cs="Arial"/>
          <w:color w:val="FF0000"/>
          <w:sz w:val="24"/>
          <w:szCs w:val="24"/>
        </w:rPr>
        <w:t xml:space="preserve">This adjustment is shown on the GA Analysis workform which was reviewed in the </w:t>
      </w:r>
      <w:r w:rsidR="00CE15EE">
        <w:rPr>
          <w:rFonts w:ascii="Arial" w:hAnsi="Arial" w:cs="Arial"/>
          <w:color w:val="FF0000"/>
          <w:sz w:val="24"/>
          <w:szCs w:val="24"/>
        </w:rPr>
        <w:t xml:space="preserve">1588/1589 </w:t>
      </w:r>
      <w:r>
        <w:rPr>
          <w:rFonts w:ascii="Arial" w:hAnsi="Arial" w:cs="Arial"/>
          <w:color w:val="FF0000"/>
          <w:sz w:val="24"/>
          <w:szCs w:val="24"/>
        </w:rPr>
        <w:t xml:space="preserve">audit.  </w:t>
      </w:r>
    </w:p>
    <w:p w14:paraId="7E2E8BB9" w14:textId="77777777" w:rsidR="00CE15EE" w:rsidRPr="00F41FCC" w:rsidRDefault="00CE15EE" w:rsidP="00F41FCC">
      <w:pPr>
        <w:pStyle w:val="ListParagraph"/>
        <w:ind w:left="360"/>
        <w:rPr>
          <w:rFonts w:ascii="Arial" w:hAnsi="Arial" w:cs="Arial"/>
          <w:color w:val="FF0000"/>
          <w:sz w:val="24"/>
          <w:szCs w:val="24"/>
        </w:rPr>
      </w:pPr>
    </w:p>
    <w:p w14:paraId="611B9B1C" w14:textId="54A82112" w:rsidR="00CE15EE" w:rsidRDefault="00596061" w:rsidP="00CE15EE">
      <w:pPr>
        <w:pStyle w:val="ListParagraph"/>
        <w:numPr>
          <w:ilvl w:val="0"/>
          <w:numId w:val="21"/>
        </w:numPr>
        <w:rPr>
          <w:rFonts w:ascii="Arial" w:hAnsi="Arial" w:cs="Arial"/>
          <w:sz w:val="24"/>
          <w:szCs w:val="24"/>
        </w:rPr>
      </w:pPr>
      <w:r>
        <w:rPr>
          <w:rFonts w:ascii="Arial" w:hAnsi="Arial" w:cs="Arial"/>
          <w:sz w:val="24"/>
          <w:szCs w:val="24"/>
        </w:rPr>
        <w:t xml:space="preserve">Please explain if </w:t>
      </w:r>
      <w:r w:rsidR="00923658" w:rsidRPr="00923658">
        <w:rPr>
          <w:rFonts w:ascii="Arial" w:hAnsi="Arial" w:cs="Arial"/>
          <w:sz w:val="24"/>
          <w:szCs w:val="24"/>
        </w:rPr>
        <w:t xml:space="preserve">it </w:t>
      </w:r>
      <w:r>
        <w:rPr>
          <w:rFonts w:ascii="Arial" w:hAnsi="Arial" w:cs="Arial"/>
          <w:sz w:val="24"/>
          <w:szCs w:val="24"/>
        </w:rPr>
        <w:t xml:space="preserve">was </w:t>
      </w:r>
      <w:r w:rsidR="00923658" w:rsidRPr="00923658">
        <w:rPr>
          <w:rFonts w:ascii="Arial" w:hAnsi="Arial" w:cs="Arial"/>
          <w:sz w:val="24"/>
          <w:szCs w:val="24"/>
        </w:rPr>
        <w:t>allocated to the RPP and Non-RPP portions</w:t>
      </w:r>
      <w:r>
        <w:rPr>
          <w:rFonts w:ascii="Arial" w:hAnsi="Arial" w:cs="Arial"/>
          <w:sz w:val="24"/>
          <w:szCs w:val="24"/>
        </w:rPr>
        <w:t>.</w:t>
      </w:r>
    </w:p>
    <w:p w14:paraId="51099F55" w14:textId="6C21C4F8" w:rsidR="00CE15EE" w:rsidRDefault="00CE15EE" w:rsidP="00CE15EE">
      <w:pPr>
        <w:pStyle w:val="ListParagraph"/>
        <w:ind w:left="360"/>
        <w:rPr>
          <w:rFonts w:ascii="Arial" w:hAnsi="Arial" w:cs="Arial"/>
          <w:color w:val="FF0000"/>
          <w:sz w:val="24"/>
          <w:szCs w:val="24"/>
        </w:rPr>
      </w:pPr>
      <w:r>
        <w:rPr>
          <w:rFonts w:ascii="Arial" w:hAnsi="Arial" w:cs="Arial"/>
          <w:color w:val="FF0000"/>
          <w:sz w:val="24"/>
          <w:szCs w:val="24"/>
        </w:rPr>
        <w:t>Westario included this adjustment in the GA True-up entry as if it had all been allocated to Cost of Power (1588) and used this to bring in the correct portion related to Non-RPP for account 1589.  When the refund was then received in 2018 it was allocated in error to 1589.  This resulted in the amount being overbooked to 1589 and under booked to 1588.  This is why there is an adjustment of $544,654 on the 2018 tab of the GA Analysis workform.  In 2020 when the error was discovered the $544,654 amount was reallocated to all be 1588 in order to be consistent with the way it was treated in the true-up calculation for 2017.</w:t>
      </w:r>
    </w:p>
    <w:p w14:paraId="5A203AF4" w14:textId="77777777" w:rsidR="00CE15EE" w:rsidRPr="00CE15EE" w:rsidRDefault="00CE15EE" w:rsidP="00CE15EE">
      <w:pPr>
        <w:pStyle w:val="ListParagraph"/>
        <w:ind w:left="360"/>
        <w:rPr>
          <w:rFonts w:ascii="Arial" w:hAnsi="Arial" w:cs="Arial"/>
          <w:color w:val="FF0000"/>
          <w:sz w:val="24"/>
          <w:szCs w:val="24"/>
        </w:rPr>
      </w:pPr>
    </w:p>
    <w:p w14:paraId="6412579D" w14:textId="59173EB5" w:rsidR="00923658" w:rsidRDefault="00923658" w:rsidP="00923658">
      <w:pPr>
        <w:pStyle w:val="ListParagraph"/>
        <w:numPr>
          <w:ilvl w:val="0"/>
          <w:numId w:val="21"/>
        </w:numPr>
        <w:rPr>
          <w:rFonts w:ascii="Arial" w:hAnsi="Arial" w:cs="Arial"/>
          <w:sz w:val="24"/>
          <w:szCs w:val="24"/>
        </w:rPr>
      </w:pPr>
      <w:r w:rsidRPr="00923658">
        <w:rPr>
          <w:rFonts w:ascii="Arial" w:hAnsi="Arial" w:cs="Arial"/>
          <w:sz w:val="24"/>
          <w:szCs w:val="24"/>
        </w:rPr>
        <w:t xml:space="preserve">Please explain the flow of the transactions and the series of the journal entries to </w:t>
      </w:r>
      <w:r w:rsidR="00596061">
        <w:rPr>
          <w:rFonts w:ascii="Arial" w:hAnsi="Arial" w:cs="Arial"/>
          <w:sz w:val="24"/>
          <w:szCs w:val="24"/>
        </w:rPr>
        <w:t>demonstrate</w:t>
      </w:r>
      <w:r w:rsidR="00596061" w:rsidRPr="00923658">
        <w:rPr>
          <w:rFonts w:ascii="Arial" w:hAnsi="Arial" w:cs="Arial"/>
          <w:sz w:val="24"/>
          <w:szCs w:val="24"/>
        </w:rPr>
        <w:t xml:space="preserve"> </w:t>
      </w:r>
      <w:r w:rsidRPr="00923658">
        <w:rPr>
          <w:rFonts w:ascii="Arial" w:hAnsi="Arial" w:cs="Arial"/>
          <w:sz w:val="24"/>
          <w:szCs w:val="24"/>
        </w:rPr>
        <w:t xml:space="preserve">why these adjustments are needed. </w:t>
      </w:r>
    </w:p>
    <w:p w14:paraId="38024BD4" w14:textId="77777777" w:rsidR="003D4841" w:rsidRDefault="00CE15EE" w:rsidP="00CE15EE">
      <w:pPr>
        <w:pStyle w:val="ListParagraph"/>
        <w:ind w:left="360"/>
        <w:rPr>
          <w:rFonts w:ascii="Arial" w:hAnsi="Arial" w:cs="Arial"/>
          <w:color w:val="FF0000"/>
          <w:sz w:val="24"/>
          <w:szCs w:val="24"/>
        </w:rPr>
      </w:pPr>
      <w:r>
        <w:rPr>
          <w:rFonts w:ascii="Arial" w:hAnsi="Arial" w:cs="Arial"/>
          <w:color w:val="FF0000"/>
          <w:sz w:val="24"/>
          <w:szCs w:val="24"/>
        </w:rPr>
        <w:t xml:space="preserve">In 2017 Line 148 of the IESO invoice was overstated from what it should have been.  When completing the </w:t>
      </w:r>
      <w:r w:rsidR="003D4841">
        <w:rPr>
          <w:rFonts w:ascii="Arial" w:hAnsi="Arial" w:cs="Arial"/>
          <w:color w:val="FF0000"/>
          <w:sz w:val="24"/>
          <w:szCs w:val="24"/>
        </w:rPr>
        <w:t xml:space="preserve">GA true-up (Adjustment 9 of the GA Analysis workform) an additional true-up line was calculated as credit amount to line 148.  This line was treated as if the Nil had been applied to the GA Expense account and calculated that $185,347 of it should have gone to GA Expense.  This resulted in the true-up including a credit of $185,347 to 1589.  </w:t>
      </w:r>
    </w:p>
    <w:p w14:paraId="6BCD7D31" w14:textId="3C72DAF3" w:rsidR="00CE15EE" w:rsidRDefault="003D4841" w:rsidP="00CE15EE">
      <w:pPr>
        <w:pStyle w:val="ListParagraph"/>
        <w:ind w:left="360"/>
        <w:rPr>
          <w:rFonts w:ascii="Arial" w:hAnsi="Arial" w:cs="Arial"/>
          <w:color w:val="FF0000"/>
          <w:sz w:val="24"/>
          <w:szCs w:val="24"/>
        </w:rPr>
      </w:pPr>
      <w:r>
        <w:rPr>
          <w:rFonts w:ascii="Arial" w:hAnsi="Arial" w:cs="Arial"/>
          <w:color w:val="FF0000"/>
          <w:sz w:val="24"/>
          <w:szCs w:val="24"/>
        </w:rPr>
        <w:t>When the refund was received in 2018 it was all credited to account 1589.  This was inconsistent with the way it was treated in the true-up and would now result in 1589 being overstated by the entire amount of the credit.  Account 1588 was debited in the true-up entry that was booked for the $</w:t>
      </w:r>
      <w:r w:rsidR="000C433E">
        <w:rPr>
          <w:rFonts w:ascii="Arial" w:hAnsi="Arial" w:cs="Arial"/>
          <w:color w:val="FF0000"/>
          <w:sz w:val="24"/>
          <w:szCs w:val="24"/>
        </w:rPr>
        <w:t>185</w:t>
      </w:r>
      <w:r>
        <w:rPr>
          <w:rFonts w:ascii="Arial" w:hAnsi="Arial" w:cs="Arial"/>
          <w:color w:val="FF0000"/>
          <w:sz w:val="24"/>
          <w:szCs w:val="24"/>
        </w:rPr>
        <w:t>,347 that was allocated to 1589 for this invoice error.  Account 1588 should have received a credit of $357,285 related to this invoice correction but since the credit had been allocated to 1589 it was actually reflecting a debit of $</w:t>
      </w:r>
      <w:r w:rsidR="000C433E">
        <w:rPr>
          <w:rFonts w:ascii="Arial" w:hAnsi="Arial" w:cs="Arial"/>
          <w:color w:val="FF0000"/>
          <w:sz w:val="24"/>
          <w:szCs w:val="24"/>
        </w:rPr>
        <w:t>185</w:t>
      </w:r>
      <w:r>
        <w:rPr>
          <w:rFonts w:ascii="Arial" w:hAnsi="Arial" w:cs="Arial"/>
          <w:color w:val="FF0000"/>
          <w:sz w:val="24"/>
          <w:szCs w:val="24"/>
        </w:rPr>
        <w:t>,347 for the portion of credit transferred to 1589.</w:t>
      </w:r>
    </w:p>
    <w:p w14:paraId="5956320D" w14:textId="1E4C8F33" w:rsidR="003D4841" w:rsidRDefault="003D4841" w:rsidP="00CE15EE">
      <w:pPr>
        <w:pStyle w:val="ListParagraph"/>
        <w:ind w:left="360"/>
        <w:rPr>
          <w:rFonts w:ascii="Arial" w:hAnsi="Arial" w:cs="Arial"/>
          <w:color w:val="FF0000"/>
          <w:sz w:val="24"/>
          <w:szCs w:val="24"/>
        </w:rPr>
      </w:pPr>
      <w:r>
        <w:rPr>
          <w:rFonts w:ascii="Arial" w:hAnsi="Arial" w:cs="Arial"/>
          <w:color w:val="FF0000"/>
          <w:sz w:val="24"/>
          <w:szCs w:val="24"/>
        </w:rPr>
        <w:t>In 2020 when this error was discovered the balance was transferred to 1588.  By doing so 1588 had now been debited for $</w:t>
      </w:r>
      <w:r w:rsidR="000C433E">
        <w:rPr>
          <w:rFonts w:ascii="Arial" w:hAnsi="Arial" w:cs="Arial"/>
          <w:color w:val="FF0000"/>
          <w:sz w:val="24"/>
          <w:szCs w:val="24"/>
        </w:rPr>
        <w:t>185</w:t>
      </w:r>
      <w:r>
        <w:rPr>
          <w:rFonts w:ascii="Arial" w:hAnsi="Arial" w:cs="Arial"/>
          <w:color w:val="FF0000"/>
          <w:sz w:val="24"/>
          <w:szCs w:val="24"/>
        </w:rPr>
        <w:t>,347 in the true-up entry to reflect 1589’s portion and it had also been credited for $542,632 in 2020</w:t>
      </w:r>
      <w:r w:rsidR="000C433E">
        <w:rPr>
          <w:rFonts w:ascii="Arial" w:hAnsi="Arial" w:cs="Arial"/>
          <w:color w:val="FF0000"/>
          <w:sz w:val="24"/>
          <w:szCs w:val="24"/>
        </w:rPr>
        <w:t xml:space="preserve"> to end with a net credit of $357,285.</w:t>
      </w:r>
    </w:p>
    <w:p w14:paraId="7A1E57E3" w14:textId="74B3A45B" w:rsidR="000C433E" w:rsidRPr="00CE15EE" w:rsidRDefault="000C433E" w:rsidP="00CE15EE">
      <w:pPr>
        <w:pStyle w:val="ListParagraph"/>
        <w:ind w:left="360"/>
        <w:rPr>
          <w:rFonts w:ascii="Arial" w:hAnsi="Arial" w:cs="Arial"/>
          <w:color w:val="FF0000"/>
          <w:sz w:val="24"/>
          <w:szCs w:val="24"/>
        </w:rPr>
      </w:pPr>
      <w:r>
        <w:rPr>
          <w:rFonts w:ascii="Arial" w:hAnsi="Arial" w:cs="Arial"/>
          <w:color w:val="FF0000"/>
          <w:sz w:val="24"/>
          <w:szCs w:val="24"/>
        </w:rPr>
        <w:t>Account 1589 was credited for $185,347 (included in the 2017 True-up adjustment of $2,075,109). It was then credited in error for an additional $542,631 in 2018.  It was then debited for $542,631 in 2020 to correct this error.</w:t>
      </w:r>
    </w:p>
    <w:p w14:paraId="2EB815F3" w14:textId="77777777" w:rsidR="00923658" w:rsidRDefault="00923658" w:rsidP="00923658">
      <w:pPr>
        <w:rPr>
          <w:rFonts w:ascii="Arial" w:hAnsi="Arial" w:cs="Arial"/>
          <w:sz w:val="24"/>
          <w:szCs w:val="24"/>
        </w:rPr>
      </w:pPr>
    </w:p>
    <w:p w14:paraId="254A613F" w14:textId="77777777" w:rsidR="00510D0F" w:rsidRDefault="00510D0F" w:rsidP="00923658">
      <w:pPr>
        <w:rPr>
          <w:rFonts w:ascii="Arial" w:hAnsi="Arial" w:cs="Arial"/>
          <w:b/>
          <w:bCs/>
          <w:sz w:val="24"/>
          <w:szCs w:val="24"/>
        </w:rPr>
      </w:pPr>
    </w:p>
    <w:p w14:paraId="4F103576" w14:textId="77777777" w:rsidR="00510D0F" w:rsidRDefault="00510D0F" w:rsidP="00923658">
      <w:pPr>
        <w:rPr>
          <w:rFonts w:ascii="Arial" w:hAnsi="Arial" w:cs="Arial"/>
          <w:b/>
          <w:bCs/>
          <w:sz w:val="24"/>
          <w:szCs w:val="24"/>
        </w:rPr>
      </w:pPr>
    </w:p>
    <w:p w14:paraId="12EB1AB2" w14:textId="77777777" w:rsidR="00510D0F" w:rsidRDefault="00510D0F" w:rsidP="00923658">
      <w:pPr>
        <w:rPr>
          <w:rFonts w:ascii="Arial" w:hAnsi="Arial" w:cs="Arial"/>
          <w:b/>
          <w:bCs/>
          <w:sz w:val="24"/>
          <w:szCs w:val="24"/>
        </w:rPr>
      </w:pPr>
    </w:p>
    <w:p w14:paraId="267A3D72" w14:textId="77777777" w:rsidR="00510D0F" w:rsidRDefault="00510D0F" w:rsidP="00923658">
      <w:pPr>
        <w:rPr>
          <w:rFonts w:ascii="Arial" w:hAnsi="Arial" w:cs="Arial"/>
          <w:b/>
          <w:bCs/>
          <w:sz w:val="24"/>
          <w:szCs w:val="24"/>
        </w:rPr>
      </w:pPr>
    </w:p>
    <w:p w14:paraId="5C81FDA8" w14:textId="77777777" w:rsidR="00510D0F" w:rsidRDefault="00510D0F" w:rsidP="00923658">
      <w:pPr>
        <w:rPr>
          <w:rFonts w:ascii="Arial" w:hAnsi="Arial" w:cs="Arial"/>
          <w:b/>
          <w:bCs/>
          <w:sz w:val="24"/>
          <w:szCs w:val="24"/>
        </w:rPr>
      </w:pPr>
    </w:p>
    <w:p w14:paraId="672EE50A" w14:textId="3A940B4B" w:rsidR="00923658" w:rsidRPr="00B83664" w:rsidRDefault="00923658" w:rsidP="00923658">
      <w:pPr>
        <w:rPr>
          <w:rFonts w:ascii="Arial" w:hAnsi="Arial" w:cs="Arial"/>
          <w:b/>
          <w:bCs/>
          <w:sz w:val="24"/>
          <w:szCs w:val="24"/>
        </w:rPr>
      </w:pPr>
      <w:r w:rsidRPr="00B83664">
        <w:rPr>
          <w:rFonts w:ascii="Arial" w:hAnsi="Arial" w:cs="Arial"/>
          <w:b/>
          <w:bCs/>
          <w:sz w:val="24"/>
          <w:szCs w:val="24"/>
        </w:rPr>
        <w:t>Sup-Staff-</w:t>
      </w:r>
      <w:r w:rsidR="00510D0F">
        <w:rPr>
          <w:rFonts w:ascii="Arial" w:hAnsi="Arial" w:cs="Arial"/>
          <w:b/>
          <w:bCs/>
          <w:sz w:val="24"/>
          <w:szCs w:val="24"/>
        </w:rPr>
        <w:t>4</w:t>
      </w:r>
    </w:p>
    <w:p w14:paraId="0D15A1B4" w14:textId="1A459727" w:rsidR="00923658" w:rsidRPr="00B83664" w:rsidRDefault="00923658" w:rsidP="00923658">
      <w:pPr>
        <w:rPr>
          <w:rFonts w:ascii="Arial" w:hAnsi="Arial" w:cs="Arial"/>
          <w:b/>
          <w:bCs/>
          <w:sz w:val="24"/>
          <w:szCs w:val="24"/>
        </w:rPr>
      </w:pPr>
      <w:r w:rsidRPr="00B83664">
        <w:rPr>
          <w:rFonts w:ascii="Arial" w:hAnsi="Arial" w:cs="Arial"/>
          <w:b/>
          <w:bCs/>
          <w:sz w:val="24"/>
          <w:szCs w:val="24"/>
        </w:rPr>
        <w:t xml:space="preserve">Ref: </w:t>
      </w:r>
      <w:r>
        <w:rPr>
          <w:rFonts w:ascii="Arial" w:hAnsi="Arial" w:cs="Arial"/>
          <w:b/>
          <w:bCs/>
          <w:sz w:val="24"/>
          <w:szCs w:val="24"/>
        </w:rPr>
        <w:tab/>
      </w:r>
      <w:r w:rsidRPr="00B83664">
        <w:rPr>
          <w:rFonts w:ascii="Arial" w:hAnsi="Arial" w:cs="Arial"/>
          <w:b/>
          <w:bCs/>
          <w:sz w:val="24"/>
          <w:szCs w:val="24"/>
        </w:rPr>
        <w:t>GA Analysis Workform V3</w:t>
      </w:r>
    </w:p>
    <w:p w14:paraId="11E92D8A" w14:textId="77777777" w:rsidR="00923658" w:rsidRDefault="00923658" w:rsidP="00923658">
      <w:pPr>
        <w:rPr>
          <w:rFonts w:ascii="Arial" w:hAnsi="Arial" w:cs="Arial"/>
          <w:sz w:val="24"/>
          <w:szCs w:val="24"/>
        </w:rPr>
      </w:pPr>
      <w:r>
        <w:rPr>
          <w:rFonts w:ascii="Arial" w:hAnsi="Arial" w:cs="Arial"/>
          <w:sz w:val="24"/>
          <w:szCs w:val="24"/>
        </w:rPr>
        <w:t xml:space="preserve">The “Principal Adjustments” Tab of the updated GA Analysis Workform for Account 1588 has the following adjustments: </w:t>
      </w:r>
    </w:p>
    <w:tbl>
      <w:tblPr>
        <w:tblW w:w="5000" w:type="pct"/>
        <w:tblLook w:val="04A0" w:firstRow="1" w:lastRow="0" w:firstColumn="1" w:lastColumn="0" w:noHBand="0" w:noVBand="1"/>
      </w:tblPr>
      <w:tblGrid>
        <w:gridCol w:w="816"/>
        <w:gridCol w:w="339"/>
        <w:gridCol w:w="5299"/>
        <w:gridCol w:w="1561"/>
        <w:gridCol w:w="1335"/>
      </w:tblGrid>
      <w:tr w:rsidR="00923658" w:rsidRPr="00B83664" w14:paraId="6405D6DF" w14:textId="77777777" w:rsidTr="005B7CF1">
        <w:trPr>
          <w:trHeight w:val="285"/>
        </w:trPr>
        <w:tc>
          <w:tcPr>
            <w:tcW w:w="445" w:type="pct"/>
            <w:tcBorders>
              <w:top w:val="single" w:sz="4" w:space="0" w:color="auto"/>
              <w:left w:val="single" w:sz="4" w:space="0" w:color="auto"/>
              <w:bottom w:val="nil"/>
              <w:right w:val="single" w:sz="4" w:space="0" w:color="auto"/>
            </w:tcBorders>
            <w:shd w:val="clear" w:color="auto" w:fill="auto"/>
            <w:noWrap/>
            <w:vAlign w:val="bottom"/>
            <w:hideMark/>
          </w:tcPr>
          <w:p w14:paraId="3984D4FC" w14:textId="77777777" w:rsidR="00923658" w:rsidRPr="00B83664" w:rsidRDefault="00923658" w:rsidP="005B7CF1">
            <w:pPr>
              <w:spacing w:after="0" w:line="240" w:lineRule="auto"/>
              <w:rPr>
                <w:rFonts w:ascii="Arial" w:eastAsia="Times New Roman" w:hAnsi="Arial" w:cs="Arial"/>
                <w:color w:val="000000"/>
              </w:rPr>
            </w:pPr>
            <w:r w:rsidRPr="00B83664">
              <w:rPr>
                <w:rFonts w:ascii="Arial" w:eastAsia="Times New Roman" w:hAnsi="Arial" w:cs="Arial"/>
                <w:color w:val="000000"/>
              </w:rPr>
              <w:t> </w:t>
            </w:r>
          </w:p>
        </w:tc>
        <w:tc>
          <w:tcPr>
            <w:tcW w:w="4555" w:type="pct"/>
            <w:gridSpan w:val="4"/>
            <w:tcBorders>
              <w:top w:val="single" w:sz="4" w:space="0" w:color="auto"/>
              <w:left w:val="nil"/>
              <w:bottom w:val="single" w:sz="4" w:space="0" w:color="auto"/>
              <w:right w:val="single" w:sz="4" w:space="0" w:color="auto"/>
            </w:tcBorders>
            <w:shd w:val="clear" w:color="auto" w:fill="auto"/>
            <w:noWrap/>
            <w:vAlign w:val="bottom"/>
            <w:hideMark/>
          </w:tcPr>
          <w:p w14:paraId="37EB96D2" w14:textId="77777777" w:rsidR="00923658" w:rsidRPr="00B83664" w:rsidRDefault="00923658" w:rsidP="005B7CF1">
            <w:pPr>
              <w:spacing w:after="0" w:line="240" w:lineRule="auto"/>
              <w:jc w:val="center"/>
              <w:rPr>
                <w:rFonts w:ascii="Arial" w:eastAsia="Times New Roman" w:hAnsi="Arial" w:cs="Arial"/>
                <w:b/>
                <w:bCs/>
                <w:color w:val="000000"/>
                <w:u w:val="single"/>
              </w:rPr>
            </w:pPr>
            <w:r w:rsidRPr="00B83664">
              <w:rPr>
                <w:rFonts w:ascii="Arial" w:eastAsia="Times New Roman" w:hAnsi="Arial" w:cs="Arial"/>
                <w:b/>
                <w:bCs/>
                <w:color w:val="000000"/>
                <w:u w:val="single"/>
              </w:rPr>
              <w:t>Account 1588 - RSVA Power</w:t>
            </w:r>
          </w:p>
        </w:tc>
      </w:tr>
      <w:tr w:rsidR="00923658" w:rsidRPr="00B83664" w14:paraId="06F76524" w14:textId="77777777" w:rsidTr="005B7CF1">
        <w:trPr>
          <w:trHeight w:val="840"/>
        </w:trPr>
        <w:tc>
          <w:tcPr>
            <w:tcW w:w="445" w:type="pct"/>
            <w:tcBorders>
              <w:top w:val="nil"/>
              <w:left w:val="single" w:sz="4" w:space="0" w:color="auto"/>
              <w:bottom w:val="nil"/>
              <w:right w:val="single" w:sz="4" w:space="0" w:color="auto"/>
            </w:tcBorders>
            <w:shd w:val="clear" w:color="auto" w:fill="auto"/>
            <w:noWrap/>
            <w:vAlign w:val="bottom"/>
            <w:hideMark/>
          </w:tcPr>
          <w:p w14:paraId="4F110805" w14:textId="77777777" w:rsidR="00923658" w:rsidRPr="00B83664" w:rsidRDefault="00923658" w:rsidP="005B7CF1">
            <w:pPr>
              <w:spacing w:after="0" w:line="240" w:lineRule="auto"/>
              <w:jc w:val="center"/>
              <w:rPr>
                <w:rFonts w:ascii="Arial" w:eastAsia="Times New Roman" w:hAnsi="Arial" w:cs="Arial"/>
                <w:b/>
                <w:bCs/>
                <w:color w:val="000000"/>
              </w:rPr>
            </w:pPr>
            <w:r w:rsidRPr="00B83664">
              <w:rPr>
                <w:rFonts w:ascii="Arial" w:eastAsia="Times New Roman" w:hAnsi="Arial" w:cs="Arial"/>
                <w:b/>
                <w:bCs/>
                <w:color w:val="000000"/>
              </w:rPr>
              <w:t>Year</w:t>
            </w:r>
          </w:p>
        </w:tc>
        <w:tc>
          <w:tcPr>
            <w:tcW w:w="299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B6D8DF1" w14:textId="77777777" w:rsidR="00923658" w:rsidRPr="00B83664" w:rsidRDefault="00923658" w:rsidP="005B7CF1">
            <w:pPr>
              <w:spacing w:after="0" w:line="240" w:lineRule="auto"/>
              <w:jc w:val="center"/>
              <w:rPr>
                <w:rFonts w:ascii="Arial" w:eastAsia="Times New Roman" w:hAnsi="Arial" w:cs="Arial"/>
                <w:b/>
                <w:bCs/>
                <w:color w:val="000000"/>
              </w:rPr>
            </w:pPr>
            <w:r w:rsidRPr="00B83664">
              <w:rPr>
                <w:rFonts w:ascii="Arial" w:eastAsia="Times New Roman" w:hAnsi="Arial" w:cs="Arial"/>
                <w:b/>
                <w:bCs/>
                <w:color w:val="000000"/>
              </w:rPr>
              <w:t>Adjustment Description</w:t>
            </w:r>
          </w:p>
        </w:tc>
        <w:tc>
          <w:tcPr>
            <w:tcW w:w="843" w:type="pct"/>
            <w:tcBorders>
              <w:top w:val="nil"/>
              <w:left w:val="nil"/>
              <w:bottom w:val="single" w:sz="4" w:space="0" w:color="auto"/>
              <w:right w:val="single" w:sz="4" w:space="0" w:color="auto"/>
            </w:tcBorders>
            <w:shd w:val="clear" w:color="auto" w:fill="auto"/>
            <w:noWrap/>
            <w:vAlign w:val="bottom"/>
            <w:hideMark/>
          </w:tcPr>
          <w:p w14:paraId="14EB467F" w14:textId="77777777" w:rsidR="00923658" w:rsidRPr="00B83664" w:rsidRDefault="00923658" w:rsidP="005B7CF1">
            <w:pPr>
              <w:spacing w:after="0" w:line="240" w:lineRule="auto"/>
              <w:jc w:val="center"/>
              <w:rPr>
                <w:rFonts w:ascii="Arial" w:eastAsia="Times New Roman" w:hAnsi="Arial" w:cs="Arial"/>
                <w:b/>
                <w:bCs/>
                <w:color w:val="000000"/>
              </w:rPr>
            </w:pPr>
            <w:r w:rsidRPr="00B83664">
              <w:rPr>
                <w:rFonts w:ascii="Arial" w:eastAsia="Times New Roman" w:hAnsi="Arial" w:cs="Arial"/>
                <w:b/>
                <w:bCs/>
                <w:color w:val="000000"/>
              </w:rPr>
              <w:t>Amount</w:t>
            </w:r>
          </w:p>
        </w:tc>
        <w:tc>
          <w:tcPr>
            <w:tcW w:w="722" w:type="pct"/>
            <w:tcBorders>
              <w:top w:val="nil"/>
              <w:left w:val="nil"/>
              <w:bottom w:val="single" w:sz="4" w:space="0" w:color="auto"/>
              <w:right w:val="single" w:sz="4" w:space="0" w:color="auto"/>
            </w:tcBorders>
            <w:shd w:val="clear" w:color="auto" w:fill="auto"/>
            <w:vAlign w:val="bottom"/>
            <w:hideMark/>
          </w:tcPr>
          <w:p w14:paraId="20FC37DA" w14:textId="77777777" w:rsidR="00923658" w:rsidRPr="00B83664" w:rsidRDefault="00923658" w:rsidP="005B7CF1">
            <w:pPr>
              <w:spacing w:after="0" w:line="240" w:lineRule="auto"/>
              <w:jc w:val="center"/>
              <w:rPr>
                <w:rFonts w:ascii="Arial" w:eastAsia="Times New Roman" w:hAnsi="Arial" w:cs="Arial"/>
                <w:b/>
                <w:bCs/>
                <w:color w:val="000000"/>
              </w:rPr>
            </w:pPr>
            <w:r w:rsidRPr="00B83664">
              <w:rPr>
                <w:rFonts w:ascii="Arial" w:eastAsia="Times New Roman" w:hAnsi="Arial" w:cs="Arial"/>
                <w:b/>
                <w:bCs/>
                <w:color w:val="000000"/>
              </w:rPr>
              <w:t>Year Recorded in GL</w:t>
            </w:r>
          </w:p>
        </w:tc>
      </w:tr>
      <w:tr w:rsidR="00923658" w:rsidRPr="00B83664" w14:paraId="28704AFC" w14:textId="77777777" w:rsidTr="005B7CF1">
        <w:trPr>
          <w:trHeight w:val="285"/>
        </w:trPr>
        <w:tc>
          <w:tcPr>
            <w:tcW w:w="445" w:type="pct"/>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BEFB95E" w14:textId="77777777" w:rsidR="00923658" w:rsidRPr="00B83664" w:rsidRDefault="00923658" w:rsidP="005B7CF1">
            <w:pPr>
              <w:spacing w:after="0" w:line="240" w:lineRule="auto"/>
              <w:jc w:val="center"/>
              <w:rPr>
                <w:rFonts w:ascii="Arial" w:eastAsia="Times New Roman" w:hAnsi="Arial" w:cs="Arial"/>
                <w:color w:val="000000"/>
              </w:rPr>
            </w:pPr>
            <w:r w:rsidRPr="00B83664">
              <w:rPr>
                <w:rFonts w:ascii="Arial" w:eastAsia="Times New Roman" w:hAnsi="Arial" w:cs="Arial"/>
                <w:color w:val="000000"/>
              </w:rPr>
              <w:t>2019</w:t>
            </w:r>
          </w:p>
        </w:tc>
        <w:tc>
          <w:tcPr>
            <w:tcW w:w="4555"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6A73A32" w14:textId="77777777" w:rsidR="00923658" w:rsidRPr="00B83664" w:rsidRDefault="00923658" w:rsidP="005B7CF1">
            <w:pPr>
              <w:spacing w:after="0" w:line="240" w:lineRule="auto"/>
              <w:rPr>
                <w:rFonts w:ascii="Arial" w:eastAsia="Times New Roman" w:hAnsi="Arial" w:cs="Arial"/>
                <w:i/>
                <w:iCs/>
                <w:color w:val="000000"/>
              </w:rPr>
            </w:pPr>
            <w:r w:rsidRPr="00B83664">
              <w:rPr>
                <w:rFonts w:ascii="Arial" w:eastAsia="Times New Roman" w:hAnsi="Arial" w:cs="Arial"/>
                <w:i/>
                <w:iCs/>
                <w:color w:val="000000"/>
              </w:rPr>
              <w:t xml:space="preserve">Reversals of prior year principal adjustments </w:t>
            </w:r>
          </w:p>
        </w:tc>
      </w:tr>
      <w:tr w:rsidR="00923658" w:rsidRPr="00B83664" w14:paraId="4B30C2AD" w14:textId="77777777" w:rsidTr="005B7CF1">
        <w:trPr>
          <w:trHeight w:val="285"/>
        </w:trPr>
        <w:tc>
          <w:tcPr>
            <w:tcW w:w="445" w:type="pct"/>
            <w:tcBorders>
              <w:top w:val="nil"/>
              <w:left w:val="single" w:sz="4" w:space="0" w:color="auto"/>
              <w:bottom w:val="nil"/>
              <w:right w:val="single" w:sz="4" w:space="0" w:color="auto"/>
            </w:tcBorders>
            <w:shd w:val="clear" w:color="auto" w:fill="auto"/>
            <w:noWrap/>
            <w:vAlign w:val="bottom"/>
            <w:hideMark/>
          </w:tcPr>
          <w:p w14:paraId="76F96F93" w14:textId="77777777" w:rsidR="00923658" w:rsidRPr="00B83664" w:rsidRDefault="00923658" w:rsidP="005B7CF1">
            <w:pPr>
              <w:spacing w:after="0" w:line="240" w:lineRule="auto"/>
              <w:rPr>
                <w:rFonts w:ascii="Arial" w:eastAsia="Times New Roman" w:hAnsi="Arial" w:cs="Arial"/>
                <w:color w:val="000000"/>
              </w:rPr>
            </w:pPr>
            <w:r w:rsidRPr="00B83664">
              <w:rPr>
                <w:rFonts w:ascii="Arial" w:eastAsia="Times New Roman" w:hAnsi="Arial" w:cs="Arial"/>
                <w:color w:val="000000"/>
              </w:rPr>
              <w:t> </w:t>
            </w:r>
          </w:p>
        </w:tc>
        <w:tc>
          <w:tcPr>
            <w:tcW w:w="148" w:type="pct"/>
            <w:tcBorders>
              <w:top w:val="nil"/>
              <w:left w:val="nil"/>
              <w:bottom w:val="single" w:sz="4" w:space="0" w:color="auto"/>
              <w:right w:val="single" w:sz="4" w:space="0" w:color="auto"/>
            </w:tcBorders>
            <w:shd w:val="clear" w:color="auto" w:fill="auto"/>
            <w:noWrap/>
            <w:vAlign w:val="bottom"/>
            <w:hideMark/>
          </w:tcPr>
          <w:p w14:paraId="5A3A45EC" w14:textId="77777777" w:rsidR="00923658" w:rsidRPr="00B83664" w:rsidRDefault="00923658" w:rsidP="005B7CF1">
            <w:pPr>
              <w:spacing w:after="0" w:line="240" w:lineRule="auto"/>
              <w:jc w:val="right"/>
              <w:rPr>
                <w:rFonts w:ascii="Arial" w:eastAsia="Times New Roman" w:hAnsi="Arial" w:cs="Arial"/>
                <w:color w:val="000000"/>
              </w:rPr>
            </w:pPr>
            <w:r w:rsidRPr="00B83664">
              <w:rPr>
                <w:rFonts w:ascii="Arial" w:eastAsia="Times New Roman" w:hAnsi="Arial" w:cs="Arial"/>
                <w:color w:val="000000"/>
              </w:rPr>
              <w:t>1</w:t>
            </w:r>
          </w:p>
        </w:tc>
        <w:tc>
          <w:tcPr>
            <w:tcW w:w="2842" w:type="pct"/>
            <w:tcBorders>
              <w:top w:val="single" w:sz="4" w:space="0" w:color="auto"/>
              <w:left w:val="nil"/>
              <w:bottom w:val="single" w:sz="4" w:space="0" w:color="auto"/>
              <w:right w:val="single" w:sz="4" w:space="0" w:color="000000"/>
            </w:tcBorders>
            <w:shd w:val="clear" w:color="auto" w:fill="auto"/>
            <w:vAlign w:val="bottom"/>
            <w:hideMark/>
          </w:tcPr>
          <w:p w14:paraId="089961C1" w14:textId="77777777" w:rsidR="00923658" w:rsidRPr="00B83664" w:rsidRDefault="00923658" w:rsidP="005B7CF1">
            <w:pPr>
              <w:spacing w:after="0" w:line="240" w:lineRule="auto"/>
              <w:rPr>
                <w:rFonts w:ascii="Arial" w:eastAsia="Times New Roman" w:hAnsi="Arial" w:cs="Arial"/>
                <w:color w:val="000000"/>
              </w:rPr>
            </w:pPr>
            <w:r w:rsidRPr="00B83664">
              <w:rPr>
                <w:rFonts w:ascii="Arial" w:eastAsia="Times New Roman" w:hAnsi="Arial" w:cs="Arial"/>
                <w:color w:val="000000"/>
              </w:rPr>
              <w:t xml:space="preserve">Reversal of CT 148 true-up of GA Charges based on actual RPP volumes </w:t>
            </w:r>
          </w:p>
        </w:tc>
        <w:tc>
          <w:tcPr>
            <w:tcW w:w="843" w:type="pct"/>
            <w:tcBorders>
              <w:top w:val="nil"/>
              <w:left w:val="nil"/>
              <w:bottom w:val="single" w:sz="4" w:space="0" w:color="auto"/>
              <w:right w:val="single" w:sz="4" w:space="0" w:color="auto"/>
            </w:tcBorders>
            <w:shd w:val="clear" w:color="000000" w:fill="EDEDED"/>
            <w:noWrap/>
            <w:vAlign w:val="bottom"/>
            <w:hideMark/>
          </w:tcPr>
          <w:p w14:paraId="7F47D59E" w14:textId="77777777" w:rsidR="00923658" w:rsidRPr="00B83664" w:rsidRDefault="00923658" w:rsidP="005B7CF1">
            <w:pPr>
              <w:spacing w:after="0" w:line="240" w:lineRule="auto"/>
              <w:jc w:val="center"/>
              <w:rPr>
                <w:rFonts w:ascii="Arial" w:eastAsia="Times New Roman" w:hAnsi="Arial" w:cs="Arial"/>
                <w:color w:val="000000"/>
              </w:rPr>
            </w:pPr>
            <w:r w:rsidRPr="00B83664">
              <w:rPr>
                <w:rFonts w:ascii="Arial" w:eastAsia="Times New Roman" w:hAnsi="Arial" w:cs="Arial"/>
                <w:color w:val="000000"/>
              </w:rPr>
              <w:t xml:space="preserve"> (1,601,616)</w:t>
            </w:r>
          </w:p>
        </w:tc>
        <w:tc>
          <w:tcPr>
            <w:tcW w:w="722" w:type="pct"/>
            <w:tcBorders>
              <w:top w:val="nil"/>
              <w:left w:val="nil"/>
              <w:bottom w:val="single" w:sz="4" w:space="0" w:color="auto"/>
              <w:right w:val="single" w:sz="4" w:space="0" w:color="auto"/>
            </w:tcBorders>
            <w:shd w:val="clear" w:color="000000" w:fill="EDEDED"/>
            <w:noWrap/>
            <w:vAlign w:val="bottom"/>
            <w:hideMark/>
          </w:tcPr>
          <w:p w14:paraId="01DB0A8F" w14:textId="77777777" w:rsidR="00923658" w:rsidRPr="00B83664" w:rsidRDefault="00923658" w:rsidP="005B7CF1">
            <w:pPr>
              <w:spacing w:after="0" w:line="240" w:lineRule="auto"/>
              <w:jc w:val="center"/>
              <w:rPr>
                <w:rFonts w:ascii="Arial" w:eastAsia="Times New Roman" w:hAnsi="Arial" w:cs="Arial"/>
                <w:color w:val="000000"/>
              </w:rPr>
            </w:pPr>
            <w:r w:rsidRPr="00B83664">
              <w:rPr>
                <w:rFonts w:ascii="Arial" w:eastAsia="Times New Roman" w:hAnsi="Arial" w:cs="Arial"/>
                <w:color w:val="000000"/>
              </w:rPr>
              <w:t>2019</w:t>
            </w:r>
          </w:p>
        </w:tc>
      </w:tr>
      <w:tr w:rsidR="00923658" w:rsidRPr="00B83664" w14:paraId="185BBC77" w14:textId="77777777" w:rsidTr="005B7CF1">
        <w:trPr>
          <w:trHeight w:val="285"/>
        </w:trPr>
        <w:tc>
          <w:tcPr>
            <w:tcW w:w="445" w:type="pct"/>
            <w:tcBorders>
              <w:top w:val="nil"/>
              <w:left w:val="single" w:sz="4" w:space="0" w:color="auto"/>
              <w:bottom w:val="nil"/>
              <w:right w:val="single" w:sz="4" w:space="0" w:color="auto"/>
            </w:tcBorders>
            <w:shd w:val="clear" w:color="auto" w:fill="auto"/>
            <w:noWrap/>
            <w:vAlign w:val="bottom"/>
            <w:hideMark/>
          </w:tcPr>
          <w:p w14:paraId="28A93F91" w14:textId="77777777" w:rsidR="00923658" w:rsidRPr="00B83664" w:rsidRDefault="00923658" w:rsidP="005B7CF1">
            <w:pPr>
              <w:spacing w:after="0" w:line="240" w:lineRule="auto"/>
              <w:rPr>
                <w:rFonts w:ascii="Arial" w:eastAsia="Times New Roman" w:hAnsi="Arial" w:cs="Arial"/>
                <w:color w:val="000000"/>
              </w:rPr>
            </w:pPr>
            <w:r w:rsidRPr="00B83664">
              <w:rPr>
                <w:rFonts w:ascii="Arial" w:eastAsia="Times New Roman" w:hAnsi="Arial" w:cs="Arial"/>
                <w:color w:val="000000"/>
              </w:rPr>
              <w:t> </w:t>
            </w:r>
          </w:p>
        </w:tc>
        <w:tc>
          <w:tcPr>
            <w:tcW w:w="148" w:type="pct"/>
            <w:tcBorders>
              <w:top w:val="nil"/>
              <w:left w:val="nil"/>
              <w:bottom w:val="single" w:sz="4" w:space="0" w:color="auto"/>
              <w:right w:val="single" w:sz="4" w:space="0" w:color="auto"/>
            </w:tcBorders>
            <w:shd w:val="clear" w:color="auto" w:fill="auto"/>
            <w:noWrap/>
            <w:vAlign w:val="bottom"/>
            <w:hideMark/>
          </w:tcPr>
          <w:p w14:paraId="7FF86A8C" w14:textId="77777777" w:rsidR="00923658" w:rsidRPr="00B83664" w:rsidRDefault="00923658" w:rsidP="005B7CF1">
            <w:pPr>
              <w:spacing w:after="0" w:line="240" w:lineRule="auto"/>
              <w:jc w:val="right"/>
              <w:rPr>
                <w:rFonts w:ascii="Arial" w:eastAsia="Times New Roman" w:hAnsi="Arial" w:cs="Arial"/>
                <w:color w:val="000000"/>
              </w:rPr>
            </w:pPr>
            <w:r w:rsidRPr="00B83664">
              <w:rPr>
                <w:rFonts w:ascii="Arial" w:eastAsia="Times New Roman" w:hAnsi="Arial" w:cs="Arial"/>
                <w:color w:val="000000"/>
              </w:rPr>
              <w:t>2</w:t>
            </w:r>
          </w:p>
        </w:tc>
        <w:tc>
          <w:tcPr>
            <w:tcW w:w="2842" w:type="pct"/>
            <w:tcBorders>
              <w:top w:val="single" w:sz="4" w:space="0" w:color="auto"/>
              <w:left w:val="nil"/>
              <w:bottom w:val="single" w:sz="4" w:space="0" w:color="auto"/>
              <w:right w:val="single" w:sz="4" w:space="0" w:color="auto"/>
            </w:tcBorders>
            <w:shd w:val="clear" w:color="auto" w:fill="auto"/>
            <w:vAlign w:val="bottom"/>
            <w:hideMark/>
          </w:tcPr>
          <w:p w14:paraId="781C8AFF" w14:textId="77777777" w:rsidR="00923658" w:rsidRPr="00B83664" w:rsidRDefault="00923658" w:rsidP="005B7CF1">
            <w:pPr>
              <w:spacing w:after="0" w:line="240" w:lineRule="auto"/>
              <w:rPr>
                <w:rFonts w:ascii="Arial" w:eastAsia="Times New Roman" w:hAnsi="Arial" w:cs="Arial"/>
                <w:color w:val="000000"/>
              </w:rPr>
            </w:pPr>
            <w:r w:rsidRPr="00B83664">
              <w:rPr>
                <w:rFonts w:ascii="Arial" w:eastAsia="Times New Roman" w:hAnsi="Arial" w:cs="Arial"/>
                <w:color w:val="000000"/>
              </w:rPr>
              <w:t>Reversal of CT 1142 true-up based on actuals</w:t>
            </w:r>
          </w:p>
        </w:tc>
        <w:tc>
          <w:tcPr>
            <w:tcW w:w="843" w:type="pct"/>
            <w:tcBorders>
              <w:top w:val="nil"/>
              <w:left w:val="nil"/>
              <w:bottom w:val="single" w:sz="4" w:space="0" w:color="auto"/>
              <w:right w:val="single" w:sz="4" w:space="0" w:color="auto"/>
            </w:tcBorders>
            <w:shd w:val="clear" w:color="000000" w:fill="EDEDED"/>
            <w:noWrap/>
            <w:vAlign w:val="bottom"/>
            <w:hideMark/>
          </w:tcPr>
          <w:p w14:paraId="7A0D4880" w14:textId="77777777" w:rsidR="00923658" w:rsidRPr="00B83664" w:rsidRDefault="00923658" w:rsidP="005B7CF1">
            <w:pPr>
              <w:spacing w:after="0" w:line="240" w:lineRule="auto"/>
              <w:jc w:val="center"/>
              <w:rPr>
                <w:rFonts w:ascii="Arial" w:eastAsia="Times New Roman" w:hAnsi="Arial" w:cs="Arial"/>
                <w:color w:val="000000"/>
              </w:rPr>
            </w:pPr>
            <w:r w:rsidRPr="00B83664">
              <w:rPr>
                <w:rFonts w:ascii="Arial" w:eastAsia="Times New Roman" w:hAnsi="Arial" w:cs="Arial"/>
                <w:color w:val="000000"/>
              </w:rPr>
              <w:t> </w:t>
            </w:r>
          </w:p>
        </w:tc>
        <w:tc>
          <w:tcPr>
            <w:tcW w:w="722" w:type="pct"/>
            <w:tcBorders>
              <w:top w:val="nil"/>
              <w:left w:val="nil"/>
              <w:bottom w:val="single" w:sz="4" w:space="0" w:color="auto"/>
              <w:right w:val="single" w:sz="4" w:space="0" w:color="auto"/>
            </w:tcBorders>
            <w:shd w:val="clear" w:color="000000" w:fill="EDEDED"/>
            <w:noWrap/>
            <w:vAlign w:val="bottom"/>
            <w:hideMark/>
          </w:tcPr>
          <w:p w14:paraId="6AA35E0B" w14:textId="77777777" w:rsidR="00923658" w:rsidRPr="00B83664" w:rsidRDefault="00923658" w:rsidP="005B7CF1">
            <w:pPr>
              <w:spacing w:after="0" w:line="240" w:lineRule="auto"/>
              <w:jc w:val="center"/>
              <w:rPr>
                <w:rFonts w:ascii="Arial" w:eastAsia="Times New Roman" w:hAnsi="Arial" w:cs="Arial"/>
                <w:color w:val="000000"/>
              </w:rPr>
            </w:pPr>
            <w:r w:rsidRPr="00B83664">
              <w:rPr>
                <w:rFonts w:ascii="Arial" w:eastAsia="Times New Roman" w:hAnsi="Arial" w:cs="Arial"/>
                <w:color w:val="000000"/>
              </w:rPr>
              <w:t> </w:t>
            </w:r>
          </w:p>
        </w:tc>
      </w:tr>
      <w:tr w:rsidR="00923658" w:rsidRPr="00B83664" w14:paraId="662CC8CA" w14:textId="77777777" w:rsidTr="005B7CF1">
        <w:trPr>
          <w:trHeight w:val="285"/>
        </w:trPr>
        <w:tc>
          <w:tcPr>
            <w:tcW w:w="445" w:type="pct"/>
            <w:tcBorders>
              <w:top w:val="nil"/>
              <w:left w:val="single" w:sz="4" w:space="0" w:color="auto"/>
              <w:bottom w:val="nil"/>
              <w:right w:val="single" w:sz="4" w:space="0" w:color="auto"/>
            </w:tcBorders>
            <w:shd w:val="clear" w:color="auto" w:fill="auto"/>
            <w:noWrap/>
            <w:vAlign w:val="bottom"/>
            <w:hideMark/>
          </w:tcPr>
          <w:p w14:paraId="1259ED5C" w14:textId="77777777" w:rsidR="00923658" w:rsidRPr="00B83664" w:rsidRDefault="00923658" w:rsidP="005B7CF1">
            <w:pPr>
              <w:spacing w:after="0" w:line="240" w:lineRule="auto"/>
              <w:rPr>
                <w:rFonts w:ascii="Arial" w:eastAsia="Times New Roman" w:hAnsi="Arial" w:cs="Arial"/>
                <w:color w:val="000000"/>
              </w:rPr>
            </w:pPr>
            <w:r w:rsidRPr="00B83664">
              <w:rPr>
                <w:rFonts w:ascii="Arial" w:eastAsia="Times New Roman" w:hAnsi="Arial" w:cs="Arial"/>
                <w:color w:val="000000"/>
              </w:rPr>
              <w:t> </w:t>
            </w:r>
          </w:p>
        </w:tc>
        <w:tc>
          <w:tcPr>
            <w:tcW w:w="148" w:type="pct"/>
            <w:tcBorders>
              <w:top w:val="nil"/>
              <w:left w:val="nil"/>
              <w:bottom w:val="single" w:sz="4" w:space="0" w:color="auto"/>
              <w:right w:val="single" w:sz="4" w:space="0" w:color="auto"/>
            </w:tcBorders>
            <w:shd w:val="clear" w:color="auto" w:fill="auto"/>
            <w:noWrap/>
            <w:vAlign w:val="bottom"/>
            <w:hideMark/>
          </w:tcPr>
          <w:p w14:paraId="1EF3AAE1" w14:textId="77777777" w:rsidR="00923658" w:rsidRPr="00B83664" w:rsidRDefault="00923658" w:rsidP="005B7CF1">
            <w:pPr>
              <w:spacing w:after="0" w:line="240" w:lineRule="auto"/>
              <w:jc w:val="right"/>
              <w:rPr>
                <w:rFonts w:ascii="Arial" w:eastAsia="Times New Roman" w:hAnsi="Arial" w:cs="Arial"/>
                <w:color w:val="000000"/>
              </w:rPr>
            </w:pPr>
            <w:r w:rsidRPr="00B83664">
              <w:rPr>
                <w:rFonts w:ascii="Arial" w:eastAsia="Times New Roman" w:hAnsi="Arial" w:cs="Arial"/>
                <w:color w:val="000000"/>
              </w:rPr>
              <w:t>3</w:t>
            </w:r>
          </w:p>
        </w:tc>
        <w:tc>
          <w:tcPr>
            <w:tcW w:w="2842" w:type="pct"/>
            <w:tcBorders>
              <w:top w:val="single" w:sz="4" w:space="0" w:color="auto"/>
              <w:left w:val="nil"/>
              <w:bottom w:val="single" w:sz="4" w:space="0" w:color="auto"/>
              <w:right w:val="single" w:sz="4" w:space="0" w:color="auto"/>
            </w:tcBorders>
            <w:shd w:val="clear" w:color="auto" w:fill="auto"/>
            <w:vAlign w:val="bottom"/>
            <w:hideMark/>
          </w:tcPr>
          <w:p w14:paraId="04EF4605" w14:textId="77777777" w:rsidR="00923658" w:rsidRPr="00B83664" w:rsidRDefault="00923658" w:rsidP="005B7CF1">
            <w:pPr>
              <w:spacing w:after="0" w:line="240" w:lineRule="auto"/>
              <w:rPr>
                <w:rFonts w:ascii="Arial" w:eastAsia="Times New Roman" w:hAnsi="Arial" w:cs="Arial"/>
                <w:color w:val="000000"/>
              </w:rPr>
            </w:pPr>
            <w:r w:rsidRPr="00B83664">
              <w:rPr>
                <w:rFonts w:ascii="Arial" w:eastAsia="Times New Roman" w:hAnsi="Arial" w:cs="Arial"/>
                <w:color w:val="000000"/>
              </w:rPr>
              <w:t>Reversal of Unbilled to actual revenue differences</w:t>
            </w:r>
          </w:p>
        </w:tc>
        <w:tc>
          <w:tcPr>
            <w:tcW w:w="843" w:type="pct"/>
            <w:tcBorders>
              <w:top w:val="nil"/>
              <w:left w:val="nil"/>
              <w:bottom w:val="single" w:sz="4" w:space="0" w:color="auto"/>
              <w:right w:val="single" w:sz="4" w:space="0" w:color="auto"/>
            </w:tcBorders>
            <w:shd w:val="clear" w:color="000000" w:fill="EDEDED"/>
            <w:noWrap/>
            <w:vAlign w:val="bottom"/>
            <w:hideMark/>
          </w:tcPr>
          <w:p w14:paraId="6A5DDDD8" w14:textId="77777777" w:rsidR="00923658" w:rsidRPr="00B83664" w:rsidRDefault="00923658" w:rsidP="005B7CF1">
            <w:pPr>
              <w:spacing w:after="0" w:line="240" w:lineRule="auto"/>
              <w:jc w:val="center"/>
              <w:rPr>
                <w:rFonts w:ascii="Arial" w:eastAsia="Times New Roman" w:hAnsi="Arial" w:cs="Arial"/>
                <w:color w:val="000000"/>
              </w:rPr>
            </w:pPr>
            <w:r w:rsidRPr="00B83664">
              <w:rPr>
                <w:rFonts w:ascii="Arial" w:eastAsia="Times New Roman" w:hAnsi="Arial" w:cs="Arial"/>
                <w:color w:val="000000"/>
              </w:rPr>
              <w:t xml:space="preserve">      (18,003)</w:t>
            </w:r>
          </w:p>
        </w:tc>
        <w:tc>
          <w:tcPr>
            <w:tcW w:w="722" w:type="pct"/>
            <w:tcBorders>
              <w:top w:val="nil"/>
              <w:left w:val="nil"/>
              <w:bottom w:val="single" w:sz="4" w:space="0" w:color="auto"/>
              <w:right w:val="single" w:sz="4" w:space="0" w:color="auto"/>
            </w:tcBorders>
            <w:shd w:val="clear" w:color="000000" w:fill="EDEDED"/>
            <w:noWrap/>
            <w:vAlign w:val="bottom"/>
            <w:hideMark/>
          </w:tcPr>
          <w:p w14:paraId="2E1491DE" w14:textId="77777777" w:rsidR="00923658" w:rsidRPr="00B83664" w:rsidRDefault="00923658" w:rsidP="005B7CF1">
            <w:pPr>
              <w:spacing w:after="0" w:line="240" w:lineRule="auto"/>
              <w:jc w:val="center"/>
              <w:rPr>
                <w:rFonts w:ascii="Arial" w:eastAsia="Times New Roman" w:hAnsi="Arial" w:cs="Arial"/>
                <w:color w:val="000000"/>
              </w:rPr>
            </w:pPr>
            <w:r w:rsidRPr="00B83664">
              <w:rPr>
                <w:rFonts w:ascii="Arial" w:eastAsia="Times New Roman" w:hAnsi="Arial" w:cs="Arial"/>
                <w:color w:val="000000"/>
              </w:rPr>
              <w:t>2019</w:t>
            </w:r>
          </w:p>
        </w:tc>
      </w:tr>
      <w:tr w:rsidR="00923658" w:rsidRPr="00B83664" w14:paraId="109151C4" w14:textId="77777777" w:rsidTr="005B7CF1">
        <w:trPr>
          <w:trHeight w:val="285"/>
        </w:trPr>
        <w:tc>
          <w:tcPr>
            <w:tcW w:w="445" w:type="pct"/>
            <w:tcBorders>
              <w:top w:val="nil"/>
              <w:left w:val="single" w:sz="4" w:space="0" w:color="auto"/>
              <w:bottom w:val="nil"/>
              <w:right w:val="single" w:sz="4" w:space="0" w:color="auto"/>
            </w:tcBorders>
            <w:shd w:val="clear" w:color="auto" w:fill="auto"/>
            <w:noWrap/>
            <w:vAlign w:val="bottom"/>
            <w:hideMark/>
          </w:tcPr>
          <w:p w14:paraId="5F1FD0BC" w14:textId="77777777" w:rsidR="00923658" w:rsidRPr="00B83664" w:rsidRDefault="00923658" w:rsidP="005B7CF1">
            <w:pPr>
              <w:spacing w:after="0" w:line="240" w:lineRule="auto"/>
              <w:rPr>
                <w:rFonts w:ascii="Arial" w:eastAsia="Times New Roman" w:hAnsi="Arial" w:cs="Arial"/>
                <w:color w:val="000000"/>
              </w:rPr>
            </w:pPr>
            <w:r w:rsidRPr="00B83664">
              <w:rPr>
                <w:rFonts w:ascii="Arial" w:eastAsia="Times New Roman" w:hAnsi="Arial" w:cs="Arial"/>
                <w:color w:val="000000"/>
              </w:rPr>
              <w:t> </w:t>
            </w:r>
          </w:p>
        </w:tc>
        <w:tc>
          <w:tcPr>
            <w:tcW w:w="148" w:type="pct"/>
            <w:tcBorders>
              <w:top w:val="nil"/>
              <w:left w:val="nil"/>
              <w:bottom w:val="single" w:sz="4" w:space="0" w:color="auto"/>
              <w:right w:val="single" w:sz="4" w:space="0" w:color="auto"/>
            </w:tcBorders>
            <w:shd w:val="clear" w:color="auto" w:fill="auto"/>
            <w:noWrap/>
            <w:vAlign w:val="bottom"/>
            <w:hideMark/>
          </w:tcPr>
          <w:p w14:paraId="6297B6F4" w14:textId="77777777" w:rsidR="00923658" w:rsidRPr="00B83664" w:rsidRDefault="00923658" w:rsidP="005B7CF1">
            <w:pPr>
              <w:spacing w:after="0" w:line="240" w:lineRule="auto"/>
              <w:jc w:val="right"/>
              <w:rPr>
                <w:rFonts w:ascii="Arial" w:eastAsia="Times New Roman" w:hAnsi="Arial" w:cs="Arial"/>
                <w:color w:val="000000"/>
              </w:rPr>
            </w:pPr>
            <w:r w:rsidRPr="00B83664">
              <w:rPr>
                <w:rFonts w:ascii="Arial" w:eastAsia="Times New Roman" w:hAnsi="Arial" w:cs="Arial"/>
                <w:color w:val="000000"/>
              </w:rPr>
              <w:t>4</w:t>
            </w:r>
          </w:p>
        </w:tc>
        <w:tc>
          <w:tcPr>
            <w:tcW w:w="2842" w:type="pct"/>
            <w:tcBorders>
              <w:top w:val="single" w:sz="4" w:space="0" w:color="auto"/>
              <w:left w:val="nil"/>
              <w:bottom w:val="single" w:sz="4" w:space="0" w:color="auto"/>
              <w:right w:val="single" w:sz="4" w:space="0" w:color="000000"/>
            </w:tcBorders>
            <w:shd w:val="clear" w:color="000000" w:fill="FFFF00"/>
            <w:vAlign w:val="bottom"/>
            <w:hideMark/>
          </w:tcPr>
          <w:p w14:paraId="715295BD" w14:textId="77777777" w:rsidR="00923658" w:rsidRPr="00B83664" w:rsidRDefault="00923658" w:rsidP="005B7CF1">
            <w:pPr>
              <w:spacing w:after="0" w:line="240" w:lineRule="auto"/>
              <w:rPr>
                <w:rFonts w:ascii="Arial" w:eastAsia="Times New Roman" w:hAnsi="Arial" w:cs="Arial"/>
                <w:color w:val="000000"/>
              </w:rPr>
            </w:pPr>
            <w:r w:rsidRPr="00B83664">
              <w:rPr>
                <w:rFonts w:ascii="Arial" w:eastAsia="Times New Roman" w:hAnsi="Arial" w:cs="Arial"/>
                <w:color w:val="000000"/>
              </w:rPr>
              <w:t>IESO RPP Filing True-up</w:t>
            </w:r>
          </w:p>
        </w:tc>
        <w:tc>
          <w:tcPr>
            <w:tcW w:w="843" w:type="pct"/>
            <w:tcBorders>
              <w:top w:val="nil"/>
              <w:left w:val="nil"/>
              <w:bottom w:val="single" w:sz="4" w:space="0" w:color="auto"/>
              <w:right w:val="single" w:sz="4" w:space="0" w:color="auto"/>
            </w:tcBorders>
            <w:shd w:val="clear" w:color="000000" w:fill="FFFF00"/>
            <w:noWrap/>
            <w:vAlign w:val="bottom"/>
            <w:hideMark/>
          </w:tcPr>
          <w:p w14:paraId="08477178" w14:textId="77777777" w:rsidR="00923658" w:rsidRPr="00B83664" w:rsidRDefault="00923658" w:rsidP="005B7CF1">
            <w:pPr>
              <w:spacing w:after="0" w:line="240" w:lineRule="auto"/>
              <w:jc w:val="center"/>
              <w:rPr>
                <w:rFonts w:ascii="Arial" w:eastAsia="Times New Roman" w:hAnsi="Arial" w:cs="Arial"/>
                <w:color w:val="000000"/>
              </w:rPr>
            </w:pPr>
            <w:r w:rsidRPr="00B83664">
              <w:rPr>
                <w:rFonts w:ascii="Arial" w:eastAsia="Times New Roman" w:hAnsi="Arial" w:cs="Arial"/>
                <w:color w:val="000000"/>
              </w:rPr>
              <w:t xml:space="preserve">      420,212 </w:t>
            </w:r>
          </w:p>
        </w:tc>
        <w:tc>
          <w:tcPr>
            <w:tcW w:w="722" w:type="pct"/>
            <w:tcBorders>
              <w:top w:val="nil"/>
              <w:left w:val="nil"/>
              <w:bottom w:val="single" w:sz="4" w:space="0" w:color="auto"/>
              <w:right w:val="single" w:sz="4" w:space="0" w:color="auto"/>
            </w:tcBorders>
            <w:shd w:val="clear" w:color="000000" w:fill="EDEDED"/>
            <w:noWrap/>
            <w:vAlign w:val="bottom"/>
            <w:hideMark/>
          </w:tcPr>
          <w:p w14:paraId="37D8BB2C" w14:textId="77777777" w:rsidR="00923658" w:rsidRPr="00B83664" w:rsidRDefault="00923658" w:rsidP="005B7CF1">
            <w:pPr>
              <w:spacing w:after="0" w:line="240" w:lineRule="auto"/>
              <w:jc w:val="center"/>
              <w:rPr>
                <w:rFonts w:ascii="Arial" w:eastAsia="Times New Roman" w:hAnsi="Arial" w:cs="Arial"/>
                <w:color w:val="000000"/>
              </w:rPr>
            </w:pPr>
            <w:r w:rsidRPr="00B83664">
              <w:rPr>
                <w:rFonts w:ascii="Arial" w:eastAsia="Times New Roman" w:hAnsi="Arial" w:cs="Arial"/>
                <w:color w:val="000000"/>
              </w:rPr>
              <w:t>2019</w:t>
            </w:r>
          </w:p>
        </w:tc>
      </w:tr>
    </w:tbl>
    <w:p w14:paraId="31FA8A52" w14:textId="77777777" w:rsidR="00923658" w:rsidRDefault="00923658" w:rsidP="00923658">
      <w:pPr>
        <w:rPr>
          <w:rFonts w:ascii="Arial" w:hAnsi="Arial" w:cs="Arial"/>
          <w:sz w:val="24"/>
          <w:szCs w:val="24"/>
        </w:rPr>
      </w:pPr>
    </w:p>
    <w:p w14:paraId="73993584" w14:textId="4B8F7009" w:rsidR="00923658" w:rsidRDefault="00596061" w:rsidP="00923658">
      <w:pPr>
        <w:rPr>
          <w:rFonts w:ascii="Arial" w:hAnsi="Arial" w:cs="Arial"/>
          <w:sz w:val="24"/>
          <w:szCs w:val="24"/>
        </w:rPr>
      </w:pPr>
      <w:r>
        <w:rPr>
          <w:rFonts w:ascii="Arial" w:hAnsi="Arial" w:cs="Arial"/>
          <w:sz w:val="24"/>
          <w:szCs w:val="24"/>
        </w:rPr>
        <w:t>OEB s</w:t>
      </w:r>
      <w:r w:rsidR="00923658">
        <w:rPr>
          <w:rFonts w:ascii="Arial" w:hAnsi="Arial" w:cs="Arial"/>
          <w:sz w:val="24"/>
          <w:szCs w:val="24"/>
        </w:rPr>
        <w:t xml:space="preserve">taff did not find the adjustment of $420,212 in 2018, however, there is a reversal of the adjustment in 2019 as above for $420,212. </w:t>
      </w:r>
    </w:p>
    <w:p w14:paraId="57A6FEF7" w14:textId="626CEAA9" w:rsidR="00923658" w:rsidRDefault="00923658" w:rsidP="0020422F">
      <w:pPr>
        <w:pStyle w:val="ListParagraph"/>
        <w:numPr>
          <w:ilvl w:val="0"/>
          <w:numId w:val="25"/>
        </w:numPr>
        <w:rPr>
          <w:rFonts w:ascii="Arial" w:hAnsi="Arial" w:cs="Arial"/>
          <w:sz w:val="24"/>
          <w:szCs w:val="24"/>
        </w:rPr>
      </w:pPr>
      <w:r w:rsidRPr="0020422F">
        <w:rPr>
          <w:rFonts w:ascii="Arial" w:hAnsi="Arial" w:cs="Arial"/>
          <w:sz w:val="24"/>
          <w:szCs w:val="24"/>
        </w:rPr>
        <w:t>Please explain the adjustment of $420,212.</w:t>
      </w:r>
    </w:p>
    <w:p w14:paraId="07733B60" w14:textId="1AEBDD62" w:rsidR="005F2FF7" w:rsidRPr="005F2FF7" w:rsidRDefault="005F2FF7" w:rsidP="005F2FF7">
      <w:pPr>
        <w:pStyle w:val="ListParagraph"/>
        <w:ind w:left="360"/>
        <w:rPr>
          <w:rFonts w:ascii="Arial" w:hAnsi="Arial" w:cs="Arial"/>
          <w:color w:val="FF0000"/>
          <w:sz w:val="24"/>
          <w:szCs w:val="24"/>
        </w:rPr>
      </w:pPr>
      <w:r>
        <w:rPr>
          <w:rFonts w:ascii="Arial" w:hAnsi="Arial" w:cs="Arial"/>
          <w:color w:val="FF0000"/>
          <w:sz w:val="24"/>
          <w:szCs w:val="24"/>
        </w:rPr>
        <w:t xml:space="preserve">The $420,212 adjustment is a combination of </w:t>
      </w:r>
      <w:r w:rsidR="004B2E17">
        <w:rPr>
          <w:rFonts w:ascii="Arial" w:hAnsi="Arial" w:cs="Arial"/>
          <w:color w:val="FF0000"/>
          <w:sz w:val="24"/>
          <w:szCs w:val="24"/>
        </w:rPr>
        <w:t>the “IESO RPP Filing True-up” lines for 2016, 2017, and 2018.  These amounts are (1,045,254), (1,458,142), and 2,083,184. Which nets out to (420,212).</w:t>
      </w:r>
    </w:p>
    <w:p w14:paraId="3C9026DE" w14:textId="77777777" w:rsidR="00923658" w:rsidRDefault="00923658" w:rsidP="00923658"/>
    <w:p w14:paraId="22152A1A" w14:textId="77777777" w:rsidR="00923658" w:rsidRPr="00923658" w:rsidRDefault="00923658" w:rsidP="00923658">
      <w:pPr>
        <w:autoSpaceDE w:val="0"/>
        <w:autoSpaceDN w:val="0"/>
        <w:adjustRightInd w:val="0"/>
        <w:spacing w:after="0" w:line="240" w:lineRule="auto"/>
        <w:rPr>
          <w:rFonts w:ascii="Arial" w:hAnsi="Arial" w:cs="Arial"/>
          <w:sz w:val="24"/>
          <w:szCs w:val="24"/>
        </w:rPr>
      </w:pPr>
    </w:p>
    <w:sectPr w:rsidR="00923658" w:rsidRPr="009236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29D2" w14:textId="77777777" w:rsidR="008A6403" w:rsidRDefault="008A6403" w:rsidP="008A6403">
      <w:pPr>
        <w:spacing w:after="0" w:line="240" w:lineRule="auto"/>
      </w:pPr>
      <w:r>
        <w:separator/>
      </w:r>
    </w:p>
  </w:endnote>
  <w:endnote w:type="continuationSeparator" w:id="0">
    <w:p w14:paraId="3E300089" w14:textId="77777777" w:rsidR="008A6403" w:rsidRDefault="008A6403" w:rsidP="008A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511359"/>
      <w:docPartObj>
        <w:docPartGallery w:val="Page Numbers (Bottom of Page)"/>
        <w:docPartUnique/>
      </w:docPartObj>
    </w:sdtPr>
    <w:sdtEndPr>
      <w:rPr>
        <w:noProof/>
      </w:rPr>
    </w:sdtEndPr>
    <w:sdtContent>
      <w:p w14:paraId="7A35A70C" w14:textId="2BAF52F9" w:rsidR="00BB0D0D" w:rsidRDefault="00BB0D0D">
        <w:pPr>
          <w:pStyle w:val="Footer"/>
          <w:jc w:val="center"/>
        </w:pPr>
        <w:r>
          <w:fldChar w:fldCharType="begin"/>
        </w:r>
        <w:r>
          <w:instrText xml:space="preserve"> PAGE   \* MERGEFORMAT </w:instrText>
        </w:r>
        <w:r>
          <w:fldChar w:fldCharType="separate"/>
        </w:r>
        <w:r w:rsidR="00CB14DB">
          <w:rPr>
            <w:noProof/>
          </w:rPr>
          <w:t>4</w:t>
        </w:r>
        <w:r>
          <w:rPr>
            <w:noProof/>
          </w:rPr>
          <w:fldChar w:fldCharType="end"/>
        </w:r>
      </w:p>
    </w:sdtContent>
  </w:sdt>
  <w:p w14:paraId="0FDE78DB" w14:textId="77777777" w:rsidR="00BB0D0D" w:rsidRDefault="00BB0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11217" w14:textId="77777777" w:rsidR="008A6403" w:rsidRDefault="008A6403" w:rsidP="008A6403">
      <w:pPr>
        <w:spacing w:after="0" w:line="240" w:lineRule="auto"/>
      </w:pPr>
      <w:r>
        <w:separator/>
      </w:r>
    </w:p>
  </w:footnote>
  <w:footnote w:type="continuationSeparator" w:id="0">
    <w:p w14:paraId="3098A995" w14:textId="77777777" w:rsidR="008A6403" w:rsidRDefault="008A6403" w:rsidP="008A6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89"/>
    <w:multiLevelType w:val="hybridMultilevel"/>
    <w:tmpl w:val="F4D43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560A7"/>
    <w:multiLevelType w:val="hybridMultilevel"/>
    <w:tmpl w:val="9760A5F4"/>
    <w:lvl w:ilvl="0" w:tplc="0C067F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E65534"/>
    <w:multiLevelType w:val="hybridMultilevel"/>
    <w:tmpl w:val="77AC5DE0"/>
    <w:lvl w:ilvl="0" w:tplc="DE2E4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E496A"/>
    <w:multiLevelType w:val="hybridMultilevel"/>
    <w:tmpl w:val="8F1CB7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5D7D1E"/>
    <w:multiLevelType w:val="hybridMultilevel"/>
    <w:tmpl w:val="E61EB6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D3067"/>
    <w:multiLevelType w:val="hybridMultilevel"/>
    <w:tmpl w:val="24D0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930F6"/>
    <w:multiLevelType w:val="hybridMultilevel"/>
    <w:tmpl w:val="BCC2CEB6"/>
    <w:lvl w:ilvl="0" w:tplc="12BE6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97FB0"/>
    <w:multiLevelType w:val="hybridMultilevel"/>
    <w:tmpl w:val="C6205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60CF8"/>
    <w:multiLevelType w:val="hybridMultilevel"/>
    <w:tmpl w:val="E0C0B2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C22455"/>
    <w:multiLevelType w:val="hybridMultilevel"/>
    <w:tmpl w:val="8A06810C"/>
    <w:lvl w:ilvl="0" w:tplc="3E7A6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5E03B8"/>
    <w:multiLevelType w:val="hybridMultilevel"/>
    <w:tmpl w:val="AF70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3D6C4E"/>
    <w:multiLevelType w:val="hybridMultilevel"/>
    <w:tmpl w:val="E61EB6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4C3593"/>
    <w:multiLevelType w:val="hybridMultilevel"/>
    <w:tmpl w:val="BBF4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51CDA"/>
    <w:multiLevelType w:val="hybridMultilevel"/>
    <w:tmpl w:val="A882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70D04"/>
    <w:multiLevelType w:val="hybridMultilevel"/>
    <w:tmpl w:val="ADD2C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14A75"/>
    <w:multiLevelType w:val="hybridMultilevel"/>
    <w:tmpl w:val="29808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233B7"/>
    <w:multiLevelType w:val="hybridMultilevel"/>
    <w:tmpl w:val="41BE7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532D7"/>
    <w:multiLevelType w:val="hybridMultilevel"/>
    <w:tmpl w:val="3DF443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F4102B"/>
    <w:multiLevelType w:val="hybridMultilevel"/>
    <w:tmpl w:val="EF1235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7193F"/>
    <w:multiLevelType w:val="hybridMultilevel"/>
    <w:tmpl w:val="65F2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A62CD"/>
    <w:multiLevelType w:val="hybridMultilevel"/>
    <w:tmpl w:val="1CA6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27A97"/>
    <w:multiLevelType w:val="hybridMultilevel"/>
    <w:tmpl w:val="E61EBBC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06B0D"/>
    <w:multiLevelType w:val="hybridMultilevel"/>
    <w:tmpl w:val="2848DA2C"/>
    <w:lvl w:ilvl="0" w:tplc="4D80AA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2E1E47"/>
    <w:multiLevelType w:val="hybridMultilevel"/>
    <w:tmpl w:val="8F1CB7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CD4E92"/>
    <w:multiLevelType w:val="hybridMultilevel"/>
    <w:tmpl w:val="E09AF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2"/>
  </w:num>
  <w:num w:numId="4">
    <w:abstractNumId w:val="14"/>
  </w:num>
  <w:num w:numId="5">
    <w:abstractNumId w:val="12"/>
  </w:num>
  <w:num w:numId="6">
    <w:abstractNumId w:val="15"/>
  </w:num>
  <w:num w:numId="7">
    <w:abstractNumId w:val="19"/>
  </w:num>
  <w:num w:numId="8">
    <w:abstractNumId w:val="0"/>
  </w:num>
  <w:num w:numId="9">
    <w:abstractNumId w:val="22"/>
  </w:num>
  <w:num w:numId="10">
    <w:abstractNumId w:val="13"/>
  </w:num>
  <w:num w:numId="11">
    <w:abstractNumId w:val="18"/>
  </w:num>
  <w:num w:numId="12">
    <w:abstractNumId w:val="1"/>
  </w:num>
  <w:num w:numId="13">
    <w:abstractNumId w:val="6"/>
  </w:num>
  <w:num w:numId="14">
    <w:abstractNumId w:val="20"/>
  </w:num>
  <w:num w:numId="15">
    <w:abstractNumId w:val="11"/>
  </w:num>
  <w:num w:numId="16">
    <w:abstractNumId w:val="17"/>
  </w:num>
  <w:num w:numId="17">
    <w:abstractNumId w:val="9"/>
  </w:num>
  <w:num w:numId="18">
    <w:abstractNumId w:val="16"/>
  </w:num>
  <w:num w:numId="19">
    <w:abstractNumId w:val="5"/>
  </w:num>
  <w:num w:numId="20">
    <w:abstractNumId w:val="8"/>
  </w:num>
  <w:num w:numId="21">
    <w:abstractNumId w:val="3"/>
  </w:num>
  <w:num w:numId="22">
    <w:abstractNumId w:val="10"/>
  </w:num>
  <w:num w:numId="23">
    <w:abstractNumId w:val="4"/>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8F"/>
    <w:rsid w:val="000302AE"/>
    <w:rsid w:val="0003568C"/>
    <w:rsid w:val="000452DA"/>
    <w:rsid w:val="000479F6"/>
    <w:rsid w:val="000C433E"/>
    <w:rsid w:val="0013616B"/>
    <w:rsid w:val="00162CC1"/>
    <w:rsid w:val="001A37CE"/>
    <w:rsid w:val="001A74B8"/>
    <w:rsid w:val="00202E2B"/>
    <w:rsid w:val="0020422F"/>
    <w:rsid w:val="00221F85"/>
    <w:rsid w:val="00241057"/>
    <w:rsid w:val="0024698F"/>
    <w:rsid w:val="00284D5A"/>
    <w:rsid w:val="00285AF5"/>
    <w:rsid w:val="002A3DCC"/>
    <w:rsid w:val="002C6966"/>
    <w:rsid w:val="00303EC3"/>
    <w:rsid w:val="00362370"/>
    <w:rsid w:val="0038155E"/>
    <w:rsid w:val="00383783"/>
    <w:rsid w:val="003D4841"/>
    <w:rsid w:val="003E75BD"/>
    <w:rsid w:val="00412C2E"/>
    <w:rsid w:val="004B2E17"/>
    <w:rsid w:val="004C3BB7"/>
    <w:rsid w:val="005035E3"/>
    <w:rsid w:val="005079FE"/>
    <w:rsid w:val="00510D0F"/>
    <w:rsid w:val="00517EEF"/>
    <w:rsid w:val="00557EED"/>
    <w:rsid w:val="00585EFC"/>
    <w:rsid w:val="00596061"/>
    <w:rsid w:val="005F0FDC"/>
    <w:rsid w:val="005F2FF7"/>
    <w:rsid w:val="0062053C"/>
    <w:rsid w:val="00702E05"/>
    <w:rsid w:val="007578C4"/>
    <w:rsid w:val="00776699"/>
    <w:rsid w:val="007D6A5B"/>
    <w:rsid w:val="007E03A4"/>
    <w:rsid w:val="00835BD4"/>
    <w:rsid w:val="00892792"/>
    <w:rsid w:val="008A6403"/>
    <w:rsid w:val="008B1F57"/>
    <w:rsid w:val="008B4768"/>
    <w:rsid w:val="008E0388"/>
    <w:rsid w:val="008E7D80"/>
    <w:rsid w:val="00923658"/>
    <w:rsid w:val="00961036"/>
    <w:rsid w:val="009857B8"/>
    <w:rsid w:val="009F5D69"/>
    <w:rsid w:val="00A13F39"/>
    <w:rsid w:val="00A24E71"/>
    <w:rsid w:val="00A250A5"/>
    <w:rsid w:val="00AA7CE4"/>
    <w:rsid w:val="00AC36AC"/>
    <w:rsid w:val="00AE4296"/>
    <w:rsid w:val="00AE7CFF"/>
    <w:rsid w:val="00B432EB"/>
    <w:rsid w:val="00BB0D0D"/>
    <w:rsid w:val="00BF2289"/>
    <w:rsid w:val="00CB14DB"/>
    <w:rsid w:val="00CB162B"/>
    <w:rsid w:val="00CB1F8D"/>
    <w:rsid w:val="00CD0E57"/>
    <w:rsid w:val="00CD4BBF"/>
    <w:rsid w:val="00CE15EE"/>
    <w:rsid w:val="00CF15FE"/>
    <w:rsid w:val="00CF6458"/>
    <w:rsid w:val="00CF7E29"/>
    <w:rsid w:val="00D130BD"/>
    <w:rsid w:val="00D161D7"/>
    <w:rsid w:val="00D43C72"/>
    <w:rsid w:val="00D925A1"/>
    <w:rsid w:val="00DC735E"/>
    <w:rsid w:val="00DF2235"/>
    <w:rsid w:val="00DF5507"/>
    <w:rsid w:val="00E12768"/>
    <w:rsid w:val="00E22909"/>
    <w:rsid w:val="00E8082A"/>
    <w:rsid w:val="00E94D2E"/>
    <w:rsid w:val="00EC6860"/>
    <w:rsid w:val="00F41FCC"/>
    <w:rsid w:val="00F43E75"/>
    <w:rsid w:val="00F55146"/>
    <w:rsid w:val="00F8428F"/>
    <w:rsid w:val="00F87095"/>
    <w:rsid w:val="00FD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0E42"/>
  <w15:chartTrackingRefBased/>
  <w15:docId w15:val="{B0CA5301-B65F-4F57-A370-16E654EB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146"/>
    <w:pPr>
      <w:ind w:left="720"/>
      <w:contextualSpacing/>
    </w:pPr>
  </w:style>
  <w:style w:type="paragraph" w:styleId="FootnoteText">
    <w:name w:val="footnote text"/>
    <w:basedOn w:val="Normal"/>
    <w:link w:val="FootnoteTextChar"/>
    <w:uiPriority w:val="99"/>
    <w:semiHidden/>
    <w:unhideWhenUsed/>
    <w:rsid w:val="008A6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403"/>
    <w:rPr>
      <w:sz w:val="20"/>
      <w:szCs w:val="20"/>
    </w:rPr>
  </w:style>
  <w:style w:type="character" w:styleId="FootnoteReference">
    <w:name w:val="footnote reference"/>
    <w:basedOn w:val="DefaultParagraphFont"/>
    <w:uiPriority w:val="99"/>
    <w:semiHidden/>
    <w:unhideWhenUsed/>
    <w:rsid w:val="008A6403"/>
    <w:rPr>
      <w:vertAlign w:val="superscript"/>
    </w:rPr>
  </w:style>
  <w:style w:type="paragraph" w:styleId="Header">
    <w:name w:val="header"/>
    <w:basedOn w:val="Normal"/>
    <w:link w:val="HeaderChar"/>
    <w:uiPriority w:val="99"/>
    <w:unhideWhenUsed/>
    <w:rsid w:val="00BB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D0D"/>
  </w:style>
  <w:style w:type="paragraph" w:styleId="Footer">
    <w:name w:val="footer"/>
    <w:basedOn w:val="Normal"/>
    <w:link w:val="FooterChar"/>
    <w:uiPriority w:val="99"/>
    <w:unhideWhenUsed/>
    <w:rsid w:val="00BB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D0D"/>
  </w:style>
  <w:style w:type="table" w:styleId="TableGrid">
    <w:name w:val="Table Grid"/>
    <w:basedOn w:val="TableNormal"/>
    <w:uiPriority w:val="39"/>
    <w:rsid w:val="00DF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72"/>
    <w:rPr>
      <w:rFonts w:ascii="Segoe UI" w:hAnsi="Segoe UI" w:cs="Segoe UI"/>
      <w:sz w:val="18"/>
      <w:szCs w:val="18"/>
    </w:rPr>
  </w:style>
  <w:style w:type="character" w:styleId="CommentReference">
    <w:name w:val="annotation reference"/>
    <w:basedOn w:val="DefaultParagraphFont"/>
    <w:uiPriority w:val="99"/>
    <w:semiHidden/>
    <w:unhideWhenUsed/>
    <w:rsid w:val="00596061"/>
    <w:rPr>
      <w:sz w:val="16"/>
      <w:szCs w:val="16"/>
    </w:rPr>
  </w:style>
  <w:style w:type="paragraph" w:styleId="CommentText">
    <w:name w:val="annotation text"/>
    <w:basedOn w:val="Normal"/>
    <w:link w:val="CommentTextChar"/>
    <w:uiPriority w:val="99"/>
    <w:semiHidden/>
    <w:unhideWhenUsed/>
    <w:rsid w:val="00596061"/>
    <w:pPr>
      <w:spacing w:line="240" w:lineRule="auto"/>
    </w:pPr>
    <w:rPr>
      <w:sz w:val="20"/>
      <w:szCs w:val="20"/>
    </w:rPr>
  </w:style>
  <w:style w:type="character" w:customStyle="1" w:styleId="CommentTextChar">
    <w:name w:val="Comment Text Char"/>
    <w:basedOn w:val="DefaultParagraphFont"/>
    <w:link w:val="CommentText"/>
    <w:uiPriority w:val="99"/>
    <w:semiHidden/>
    <w:rsid w:val="00596061"/>
    <w:rPr>
      <w:sz w:val="20"/>
      <w:szCs w:val="20"/>
    </w:rPr>
  </w:style>
  <w:style w:type="paragraph" w:styleId="CommentSubject">
    <w:name w:val="annotation subject"/>
    <w:basedOn w:val="CommentText"/>
    <w:next w:val="CommentText"/>
    <w:link w:val="CommentSubjectChar"/>
    <w:uiPriority w:val="99"/>
    <w:semiHidden/>
    <w:unhideWhenUsed/>
    <w:rsid w:val="00596061"/>
    <w:rPr>
      <w:b/>
      <w:bCs/>
    </w:rPr>
  </w:style>
  <w:style w:type="character" w:customStyle="1" w:styleId="CommentSubjectChar">
    <w:name w:val="Comment Subject Char"/>
    <w:basedOn w:val="CommentTextChar"/>
    <w:link w:val="CommentSubject"/>
    <w:uiPriority w:val="99"/>
    <w:semiHidden/>
    <w:rsid w:val="005960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9375">
      <w:bodyDiv w:val="1"/>
      <w:marLeft w:val="0"/>
      <w:marRight w:val="0"/>
      <w:marTop w:val="0"/>
      <w:marBottom w:val="0"/>
      <w:divBdr>
        <w:top w:val="none" w:sz="0" w:space="0" w:color="auto"/>
        <w:left w:val="none" w:sz="0" w:space="0" w:color="auto"/>
        <w:bottom w:val="none" w:sz="0" w:space="0" w:color="auto"/>
        <w:right w:val="none" w:sz="0" w:space="0" w:color="auto"/>
      </w:divBdr>
    </w:div>
    <w:div w:id="17158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0467-CA72-46B3-90F7-C3851234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dc:creator>
  <cp:keywords/>
  <dc:description/>
  <cp:lastModifiedBy>Kittel, Ethan</cp:lastModifiedBy>
  <cp:revision>4</cp:revision>
  <dcterms:created xsi:type="dcterms:W3CDTF">2020-10-23T12:49:00Z</dcterms:created>
  <dcterms:modified xsi:type="dcterms:W3CDTF">2020-10-23T15:46:00Z</dcterms:modified>
</cp:coreProperties>
</file>