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169D4" w14:textId="141ACFF3" w:rsidR="003832E7" w:rsidRPr="003832E7" w:rsidRDefault="005D2576" w:rsidP="003832E7">
      <w:pPr>
        <w:pStyle w:val="Default"/>
        <w:jc w:val="right"/>
        <w:rPr>
          <w:rFonts w:ascii="Arial" w:hAnsi="Arial" w:cs="Arial"/>
          <w:sz w:val="22"/>
          <w:szCs w:val="22"/>
        </w:rPr>
      </w:pPr>
      <w:r>
        <w:rPr>
          <w:rFonts w:ascii="Arial" w:hAnsi="Arial" w:cs="Arial"/>
          <w:bCs/>
          <w:sz w:val="22"/>
          <w:szCs w:val="22"/>
        </w:rPr>
        <w:t>Hydro One Networks Inc. - Acquired</w:t>
      </w:r>
    </w:p>
    <w:p w14:paraId="3A65CE1F"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6EA14883" w14:textId="3C6BFEF3" w:rsidR="00A07077" w:rsidRPr="00D57E8C" w:rsidRDefault="00623602" w:rsidP="00B069AA">
      <w:pPr>
        <w:pStyle w:val="Default"/>
        <w:jc w:val="right"/>
        <w:rPr>
          <w:rFonts w:ascii="Arial" w:hAnsi="Arial" w:cs="Arial"/>
          <w:sz w:val="22"/>
          <w:szCs w:val="22"/>
        </w:rPr>
      </w:pPr>
      <w:r>
        <w:rPr>
          <w:rFonts w:ascii="Arial" w:hAnsi="Arial" w:cs="Arial"/>
          <w:sz w:val="22"/>
          <w:szCs w:val="22"/>
        </w:rPr>
        <w:t>EB-2020</w:t>
      </w:r>
      <w:r w:rsidR="009D5F4B" w:rsidRPr="00D57E8C">
        <w:rPr>
          <w:rFonts w:ascii="Arial" w:hAnsi="Arial" w:cs="Arial"/>
          <w:sz w:val="22"/>
          <w:szCs w:val="22"/>
        </w:rPr>
        <w:t>-0</w:t>
      </w:r>
      <w:r w:rsidR="00D57E8C" w:rsidRPr="00D57E8C">
        <w:rPr>
          <w:rFonts w:ascii="Arial" w:hAnsi="Arial" w:cs="Arial"/>
          <w:sz w:val="22"/>
          <w:szCs w:val="22"/>
        </w:rPr>
        <w:t>0</w:t>
      </w:r>
      <w:r w:rsidR="005D2576">
        <w:rPr>
          <w:rFonts w:ascii="Arial" w:hAnsi="Arial" w:cs="Arial"/>
          <w:sz w:val="22"/>
          <w:szCs w:val="22"/>
        </w:rPr>
        <w:t>31</w:t>
      </w:r>
    </w:p>
    <w:p w14:paraId="3C67ADD8" w14:textId="77777777" w:rsidR="00A07077" w:rsidRPr="00D57E8C" w:rsidRDefault="00A07077" w:rsidP="00A07077">
      <w:pPr>
        <w:pStyle w:val="Default"/>
        <w:rPr>
          <w:rFonts w:ascii="Arial" w:hAnsi="Arial" w:cs="Arial"/>
          <w:sz w:val="22"/>
          <w:szCs w:val="22"/>
        </w:rPr>
      </w:pPr>
    </w:p>
    <w:p w14:paraId="708512CE" w14:textId="22835CBD" w:rsidR="00A07077" w:rsidRPr="00D57E8C" w:rsidRDefault="005D2576" w:rsidP="00A07077">
      <w:pPr>
        <w:pStyle w:val="Default"/>
        <w:jc w:val="center"/>
        <w:rPr>
          <w:rFonts w:ascii="Arial" w:hAnsi="Arial" w:cs="Arial"/>
          <w:sz w:val="28"/>
          <w:szCs w:val="28"/>
        </w:rPr>
      </w:pPr>
      <w:r>
        <w:rPr>
          <w:rFonts w:ascii="Arial" w:hAnsi="Arial" w:cs="Arial"/>
          <w:b/>
          <w:bCs/>
          <w:sz w:val="28"/>
          <w:szCs w:val="28"/>
        </w:rPr>
        <w:t>Hydro One Networks Inc. - Acquired</w:t>
      </w:r>
    </w:p>
    <w:p w14:paraId="3C2F52C9" w14:textId="2F1DABF5" w:rsidR="00A07077" w:rsidRDefault="00623602" w:rsidP="00A07077">
      <w:pPr>
        <w:pStyle w:val="Default"/>
        <w:jc w:val="center"/>
        <w:rPr>
          <w:rFonts w:ascii="Arial" w:hAnsi="Arial" w:cs="Arial"/>
          <w:b/>
          <w:bCs/>
          <w:sz w:val="28"/>
          <w:szCs w:val="28"/>
        </w:rPr>
      </w:pPr>
      <w:r>
        <w:rPr>
          <w:rFonts w:ascii="Arial" w:hAnsi="Arial" w:cs="Arial"/>
          <w:b/>
          <w:bCs/>
          <w:sz w:val="28"/>
          <w:szCs w:val="28"/>
        </w:rPr>
        <w:t>EB-2020</w:t>
      </w:r>
      <w:r w:rsidR="00B069AA" w:rsidRPr="00D57E8C">
        <w:rPr>
          <w:rFonts w:ascii="Arial" w:hAnsi="Arial" w:cs="Arial"/>
          <w:b/>
          <w:bCs/>
          <w:sz w:val="28"/>
          <w:szCs w:val="28"/>
        </w:rPr>
        <w:t>-0</w:t>
      </w:r>
      <w:r w:rsidR="002D4924">
        <w:rPr>
          <w:rFonts w:ascii="Arial" w:hAnsi="Arial" w:cs="Arial"/>
          <w:b/>
          <w:bCs/>
          <w:sz w:val="28"/>
          <w:szCs w:val="28"/>
        </w:rPr>
        <w:t>0</w:t>
      </w:r>
      <w:r w:rsidR="00DB3E9F">
        <w:rPr>
          <w:rFonts w:ascii="Arial" w:hAnsi="Arial" w:cs="Arial"/>
          <w:b/>
          <w:bCs/>
          <w:sz w:val="28"/>
          <w:szCs w:val="28"/>
        </w:rPr>
        <w:t>31</w:t>
      </w:r>
    </w:p>
    <w:p w14:paraId="056E70ED" w14:textId="77777777" w:rsidR="005D2576" w:rsidRDefault="005D2576" w:rsidP="005D2576">
      <w:pPr>
        <w:contextualSpacing/>
        <w:rPr>
          <w:rFonts w:ascii="Arial" w:hAnsi="Arial" w:cs="Arial"/>
          <w:b/>
          <w:bCs/>
          <w:sz w:val="28"/>
          <w:szCs w:val="28"/>
        </w:rPr>
      </w:pPr>
    </w:p>
    <w:p w14:paraId="20A62EC0" w14:textId="7E680FE3" w:rsidR="005D2576" w:rsidRPr="005D2576" w:rsidRDefault="005D2576" w:rsidP="005D2576">
      <w:pPr>
        <w:contextualSpacing/>
        <w:rPr>
          <w:rFonts w:ascii="Arial" w:hAnsi="Arial" w:cs="Arial"/>
          <w:b/>
          <w:bCs/>
          <w:sz w:val="24"/>
          <w:szCs w:val="24"/>
        </w:rPr>
      </w:pPr>
      <w:r w:rsidRPr="005D2576">
        <w:rPr>
          <w:rFonts w:ascii="Arial" w:hAnsi="Arial" w:cs="Arial"/>
          <w:b/>
          <w:bCs/>
          <w:sz w:val="24"/>
          <w:szCs w:val="24"/>
        </w:rPr>
        <w:t xml:space="preserve">Staff Question – </w:t>
      </w:r>
      <w:r>
        <w:rPr>
          <w:rFonts w:ascii="Arial" w:hAnsi="Arial" w:cs="Arial"/>
          <w:b/>
          <w:bCs/>
          <w:sz w:val="24"/>
          <w:szCs w:val="24"/>
        </w:rPr>
        <w:t>1</w:t>
      </w:r>
    </w:p>
    <w:p w14:paraId="225C30BA" w14:textId="77777777" w:rsidR="005D2576" w:rsidRPr="005D2576" w:rsidRDefault="005D2576" w:rsidP="005D2576">
      <w:pPr>
        <w:contextualSpacing/>
        <w:rPr>
          <w:rFonts w:ascii="Arial" w:hAnsi="Arial" w:cs="Arial"/>
          <w:b/>
          <w:bCs/>
          <w:sz w:val="24"/>
          <w:szCs w:val="24"/>
        </w:rPr>
      </w:pPr>
      <w:r w:rsidRPr="005D2576">
        <w:rPr>
          <w:rFonts w:ascii="Arial" w:hAnsi="Arial" w:cs="Arial"/>
          <w:b/>
          <w:bCs/>
          <w:sz w:val="24"/>
          <w:szCs w:val="24"/>
        </w:rPr>
        <w:t>Ref: Appendix F</w:t>
      </w:r>
    </w:p>
    <w:p w14:paraId="45C61328" w14:textId="77777777" w:rsidR="005D2576" w:rsidRPr="005D2576" w:rsidRDefault="005D2576" w:rsidP="005D2576">
      <w:pPr>
        <w:contextualSpacing/>
        <w:rPr>
          <w:rFonts w:ascii="Arial" w:hAnsi="Arial" w:cs="Arial"/>
          <w:b/>
          <w:bCs/>
          <w:sz w:val="24"/>
          <w:szCs w:val="24"/>
        </w:rPr>
      </w:pPr>
    </w:p>
    <w:p w14:paraId="5AD9B93A" w14:textId="77777777" w:rsidR="005D2576" w:rsidRPr="005D2576" w:rsidRDefault="005D2576" w:rsidP="005D2576">
      <w:pPr>
        <w:contextualSpacing/>
        <w:rPr>
          <w:rFonts w:ascii="Arial" w:hAnsi="Arial" w:cs="Arial"/>
          <w:sz w:val="24"/>
          <w:szCs w:val="24"/>
        </w:rPr>
      </w:pPr>
      <w:r w:rsidRPr="005D2576">
        <w:rPr>
          <w:rFonts w:ascii="Arial" w:hAnsi="Arial" w:cs="Arial"/>
          <w:sz w:val="24"/>
          <w:szCs w:val="24"/>
        </w:rPr>
        <w:t>Per Appendix F, Norfolk Power service area’s January to August 2015 pre-integration transactions for Account 1588 is $1,169,040. Typically, large balances are not expected for Account 1588 as it should only hold the difference between actual and approved line losses. Based on RRR data filed for 2012 to 2014 (as a proxy for 2015), the annual balance in Account 4705 Cost of Power has remained relatively consistent. OEB staff calculates the 2015 pre-integration transactions as a percentage of annual Account 4705 Cost of Power for 2012 to 2014 is in the range of 5% to 6% as shown in the table below. Please explain the large pre-integration transactions for Norfolk Power service area in consideration of line losses.</w:t>
      </w:r>
    </w:p>
    <w:p w14:paraId="6DA3BBC9" w14:textId="77777777" w:rsidR="005D2576" w:rsidRPr="005D2576" w:rsidRDefault="005D2576" w:rsidP="005D2576">
      <w:pPr>
        <w:contextualSpacing/>
        <w:rPr>
          <w:rFonts w:ascii="Arial" w:hAnsi="Arial" w:cs="Arial"/>
          <w:sz w:val="24"/>
          <w:szCs w:val="24"/>
        </w:rPr>
      </w:pPr>
    </w:p>
    <w:tbl>
      <w:tblPr>
        <w:tblW w:w="9475" w:type="dxa"/>
        <w:tblLook w:val="04A0" w:firstRow="1" w:lastRow="0" w:firstColumn="1" w:lastColumn="0" w:noHBand="0" w:noVBand="1"/>
      </w:tblPr>
      <w:tblGrid>
        <w:gridCol w:w="3745"/>
        <w:gridCol w:w="1691"/>
        <w:gridCol w:w="2732"/>
        <w:gridCol w:w="1551"/>
      </w:tblGrid>
      <w:tr w:rsidR="005D2576" w:rsidRPr="005D2576" w14:paraId="2D95AC10" w14:textId="77777777" w:rsidTr="008076B1">
        <w:trPr>
          <w:trHeight w:val="261"/>
        </w:trPr>
        <w:tc>
          <w:tcPr>
            <w:tcW w:w="3745" w:type="dxa"/>
            <w:tcBorders>
              <w:top w:val="single" w:sz="4" w:space="0" w:color="auto"/>
              <w:left w:val="single" w:sz="4" w:space="0" w:color="auto"/>
              <w:bottom w:val="nil"/>
              <w:right w:val="single" w:sz="4" w:space="0" w:color="auto"/>
            </w:tcBorders>
            <w:shd w:val="clear" w:color="auto" w:fill="auto"/>
            <w:noWrap/>
            <w:vAlign w:val="bottom"/>
            <w:hideMark/>
          </w:tcPr>
          <w:p w14:paraId="3D68066E" w14:textId="77777777" w:rsidR="005D2576" w:rsidRPr="005D2576" w:rsidRDefault="005D2576" w:rsidP="008076B1">
            <w:pPr>
              <w:spacing w:after="0" w:line="240" w:lineRule="auto"/>
              <w:rPr>
                <w:rFonts w:ascii="Arial" w:eastAsia="Times New Roman" w:hAnsi="Arial" w:cs="Arial"/>
                <w:color w:val="000000"/>
                <w:sz w:val="24"/>
                <w:szCs w:val="24"/>
              </w:rPr>
            </w:pPr>
            <w:r w:rsidRPr="005D2576">
              <w:rPr>
                <w:rFonts w:ascii="Arial" w:eastAsia="Times New Roman" w:hAnsi="Arial" w:cs="Arial"/>
                <w:color w:val="000000"/>
                <w:sz w:val="24"/>
                <w:szCs w:val="24"/>
              </w:rPr>
              <w:t> </w:t>
            </w:r>
          </w:p>
        </w:tc>
        <w:tc>
          <w:tcPr>
            <w:tcW w:w="1691" w:type="dxa"/>
            <w:tcBorders>
              <w:top w:val="single" w:sz="4" w:space="0" w:color="auto"/>
              <w:left w:val="nil"/>
              <w:bottom w:val="single" w:sz="4" w:space="0" w:color="auto"/>
              <w:right w:val="nil"/>
            </w:tcBorders>
            <w:shd w:val="clear" w:color="auto" w:fill="auto"/>
            <w:noWrap/>
            <w:vAlign w:val="bottom"/>
            <w:hideMark/>
          </w:tcPr>
          <w:p w14:paraId="5ACB7FE7" w14:textId="77777777" w:rsidR="005D2576" w:rsidRPr="005D2576" w:rsidRDefault="005D2576" w:rsidP="008076B1">
            <w:pPr>
              <w:spacing w:after="0" w:line="240" w:lineRule="auto"/>
              <w:jc w:val="center"/>
              <w:rPr>
                <w:rFonts w:ascii="Arial" w:eastAsia="Times New Roman" w:hAnsi="Arial" w:cs="Arial"/>
                <w:b/>
                <w:bCs/>
                <w:color w:val="000000"/>
                <w:sz w:val="24"/>
                <w:szCs w:val="24"/>
              </w:rPr>
            </w:pPr>
            <w:r w:rsidRPr="005D2576">
              <w:rPr>
                <w:rFonts w:ascii="Arial" w:eastAsia="Times New Roman" w:hAnsi="Arial" w:cs="Arial"/>
                <w:b/>
                <w:bCs/>
                <w:color w:val="000000"/>
                <w:sz w:val="24"/>
                <w:szCs w:val="24"/>
              </w:rPr>
              <w:t>2014</w:t>
            </w:r>
          </w:p>
        </w:tc>
        <w:tc>
          <w:tcPr>
            <w:tcW w:w="2732" w:type="dxa"/>
            <w:tcBorders>
              <w:top w:val="single" w:sz="4" w:space="0" w:color="auto"/>
              <w:left w:val="nil"/>
              <w:bottom w:val="single" w:sz="4" w:space="0" w:color="auto"/>
              <w:right w:val="nil"/>
            </w:tcBorders>
            <w:shd w:val="clear" w:color="auto" w:fill="auto"/>
            <w:noWrap/>
            <w:vAlign w:val="bottom"/>
            <w:hideMark/>
          </w:tcPr>
          <w:p w14:paraId="4BF6A7DE" w14:textId="77777777" w:rsidR="005D2576" w:rsidRPr="005D2576" w:rsidRDefault="005D2576" w:rsidP="008076B1">
            <w:pPr>
              <w:spacing w:after="0" w:line="240" w:lineRule="auto"/>
              <w:jc w:val="center"/>
              <w:rPr>
                <w:rFonts w:ascii="Arial" w:eastAsia="Times New Roman" w:hAnsi="Arial" w:cs="Arial"/>
                <w:b/>
                <w:bCs/>
                <w:color w:val="000000"/>
                <w:sz w:val="24"/>
                <w:szCs w:val="24"/>
              </w:rPr>
            </w:pPr>
            <w:r w:rsidRPr="005D2576">
              <w:rPr>
                <w:rFonts w:ascii="Arial" w:eastAsia="Times New Roman" w:hAnsi="Arial" w:cs="Arial"/>
                <w:b/>
                <w:bCs/>
                <w:color w:val="000000"/>
                <w:sz w:val="24"/>
                <w:szCs w:val="24"/>
              </w:rPr>
              <w:t>2013</w:t>
            </w:r>
          </w:p>
        </w:tc>
        <w:tc>
          <w:tcPr>
            <w:tcW w:w="1307" w:type="dxa"/>
            <w:tcBorders>
              <w:top w:val="single" w:sz="4" w:space="0" w:color="auto"/>
              <w:left w:val="nil"/>
              <w:bottom w:val="single" w:sz="4" w:space="0" w:color="auto"/>
              <w:right w:val="single" w:sz="4" w:space="0" w:color="auto"/>
            </w:tcBorders>
            <w:shd w:val="clear" w:color="auto" w:fill="auto"/>
            <w:noWrap/>
            <w:vAlign w:val="bottom"/>
            <w:hideMark/>
          </w:tcPr>
          <w:p w14:paraId="5092DF84" w14:textId="77777777" w:rsidR="005D2576" w:rsidRPr="005D2576" w:rsidRDefault="005D2576" w:rsidP="008076B1">
            <w:pPr>
              <w:spacing w:after="0" w:line="240" w:lineRule="auto"/>
              <w:jc w:val="center"/>
              <w:rPr>
                <w:rFonts w:ascii="Arial" w:eastAsia="Times New Roman" w:hAnsi="Arial" w:cs="Arial"/>
                <w:b/>
                <w:bCs/>
                <w:color w:val="000000"/>
                <w:sz w:val="24"/>
                <w:szCs w:val="24"/>
              </w:rPr>
            </w:pPr>
            <w:r w:rsidRPr="005D2576">
              <w:rPr>
                <w:rFonts w:ascii="Arial" w:eastAsia="Times New Roman" w:hAnsi="Arial" w:cs="Arial"/>
                <w:b/>
                <w:bCs/>
                <w:color w:val="000000"/>
                <w:sz w:val="24"/>
                <w:szCs w:val="24"/>
              </w:rPr>
              <w:t>2012</w:t>
            </w:r>
          </w:p>
        </w:tc>
      </w:tr>
      <w:tr w:rsidR="005D2576" w:rsidRPr="005D2576" w14:paraId="71A3F2DC" w14:textId="77777777" w:rsidTr="008076B1">
        <w:trPr>
          <w:trHeight w:val="261"/>
        </w:trPr>
        <w:tc>
          <w:tcPr>
            <w:tcW w:w="3745" w:type="dxa"/>
            <w:tcBorders>
              <w:top w:val="nil"/>
              <w:left w:val="single" w:sz="4" w:space="0" w:color="auto"/>
              <w:bottom w:val="nil"/>
              <w:right w:val="single" w:sz="4" w:space="0" w:color="auto"/>
            </w:tcBorders>
            <w:shd w:val="clear" w:color="auto" w:fill="auto"/>
            <w:noWrap/>
            <w:vAlign w:val="bottom"/>
            <w:hideMark/>
          </w:tcPr>
          <w:p w14:paraId="61F6A4DF" w14:textId="77777777" w:rsidR="005D2576" w:rsidRPr="005D2576" w:rsidRDefault="005D2576" w:rsidP="008076B1">
            <w:pPr>
              <w:spacing w:after="0" w:line="240" w:lineRule="auto"/>
              <w:rPr>
                <w:rFonts w:ascii="Arial" w:eastAsia="Times New Roman" w:hAnsi="Arial" w:cs="Arial"/>
                <w:color w:val="000000"/>
                <w:sz w:val="24"/>
                <w:szCs w:val="24"/>
              </w:rPr>
            </w:pPr>
            <w:r w:rsidRPr="005D2576">
              <w:rPr>
                <w:rFonts w:ascii="Arial" w:eastAsia="Times New Roman" w:hAnsi="Arial" w:cs="Arial"/>
                <w:color w:val="000000"/>
                <w:sz w:val="24"/>
                <w:szCs w:val="24"/>
              </w:rPr>
              <w:t>Pre-integration transactions 2015</w:t>
            </w:r>
          </w:p>
        </w:tc>
        <w:tc>
          <w:tcPr>
            <w:tcW w:w="1691" w:type="dxa"/>
            <w:tcBorders>
              <w:top w:val="nil"/>
              <w:left w:val="nil"/>
              <w:bottom w:val="nil"/>
              <w:right w:val="nil"/>
            </w:tcBorders>
            <w:shd w:val="clear" w:color="auto" w:fill="auto"/>
            <w:noWrap/>
            <w:vAlign w:val="bottom"/>
            <w:hideMark/>
          </w:tcPr>
          <w:p w14:paraId="4E1FEEA8" w14:textId="77777777" w:rsidR="005D2576" w:rsidRPr="005D2576" w:rsidRDefault="005D2576" w:rsidP="008076B1">
            <w:pPr>
              <w:spacing w:after="0" w:line="240" w:lineRule="auto"/>
              <w:jc w:val="center"/>
              <w:rPr>
                <w:rFonts w:ascii="Arial" w:eastAsia="Times New Roman" w:hAnsi="Arial" w:cs="Arial"/>
                <w:color w:val="000000"/>
                <w:sz w:val="24"/>
                <w:szCs w:val="24"/>
              </w:rPr>
            </w:pPr>
            <w:r w:rsidRPr="005D2576">
              <w:rPr>
                <w:rFonts w:ascii="Arial" w:eastAsia="Times New Roman" w:hAnsi="Arial" w:cs="Arial"/>
                <w:color w:val="000000"/>
                <w:sz w:val="24"/>
                <w:szCs w:val="24"/>
              </w:rPr>
              <w:t xml:space="preserve">$1,169,040 </w:t>
            </w:r>
          </w:p>
        </w:tc>
        <w:tc>
          <w:tcPr>
            <w:tcW w:w="2732" w:type="dxa"/>
            <w:tcBorders>
              <w:top w:val="nil"/>
              <w:left w:val="nil"/>
              <w:bottom w:val="nil"/>
              <w:right w:val="nil"/>
            </w:tcBorders>
            <w:shd w:val="clear" w:color="auto" w:fill="auto"/>
            <w:noWrap/>
            <w:vAlign w:val="bottom"/>
            <w:hideMark/>
          </w:tcPr>
          <w:p w14:paraId="3A136F3C" w14:textId="77777777" w:rsidR="005D2576" w:rsidRPr="005D2576" w:rsidRDefault="005D2576" w:rsidP="008076B1">
            <w:pPr>
              <w:spacing w:after="0" w:line="240" w:lineRule="auto"/>
              <w:jc w:val="center"/>
              <w:rPr>
                <w:rFonts w:ascii="Arial" w:eastAsia="Times New Roman" w:hAnsi="Arial" w:cs="Arial"/>
                <w:color w:val="000000"/>
                <w:sz w:val="24"/>
                <w:szCs w:val="24"/>
              </w:rPr>
            </w:pPr>
            <w:r w:rsidRPr="005D2576">
              <w:rPr>
                <w:rFonts w:ascii="Arial" w:eastAsia="Times New Roman" w:hAnsi="Arial" w:cs="Arial"/>
                <w:color w:val="000000"/>
                <w:sz w:val="24"/>
                <w:szCs w:val="24"/>
              </w:rPr>
              <w:t xml:space="preserve">$1,169,040 </w:t>
            </w:r>
          </w:p>
        </w:tc>
        <w:tc>
          <w:tcPr>
            <w:tcW w:w="1307" w:type="dxa"/>
            <w:tcBorders>
              <w:top w:val="nil"/>
              <w:left w:val="nil"/>
              <w:bottom w:val="nil"/>
              <w:right w:val="single" w:sz="4" w:space="0" w:color="auto"/>
            </w:tcBorders>
            <w:shd w:val="clear" w:color="auto" w:fill="auto"/>
            <w:noWrap/>
            <w:vAlign w:val="bottom"/>
            <w:hideMark/>
          </w:tcPr>
          <w:p w14:paraId="169F2039" w14:textId="77777777" w:rsidR="005D2576" w:rsidRPr="005D2576" w:rsidRDefault="005D2576" w:rsidP="008076B1">
            <w:pPr>
              <w:spacing w:after="0" w:line="240" w:lineRule="auto"/>
              <w:jc w:val="center"/>
              <w:rPr>
                <w:rFonts w:ascii="Arial" w:eastAsia="Times New Roman" w:hAnsi="Arial" w:cs="Arial"/>
                <w:color w:val="000000"/>
                <w:sz w:val="24"/>
                <w:szCs w:val="24"/>
              </w:rPr>
            </w:pPr>
            <w:r w:rsidRPr="005D2576">
              <w:rPr>
                <w:rFonts w:ascii="Arial" w:eastAsia="Times New Roman" w:hAnsi="Arial" w:cs="Arial"/>
                <w:color w:val="000000"/>
                <w:sz w:val="24"/>
                <w:szCs w:val="24"/>
              </w:rPr>
              <w:t xml:space="preserve">$1,169,040 </w:t>
            </w:r>
          </w:p>
        </w:tc>
      </w:tr>
      <w:tr w:rsidR="005D2576" w:rsidRPr="005D2576" w14:paraId="7105ED2C" w14:textId="77777777" w:rsidTr="008076B1">
        <w:trPr>
          <w:trHeight w:val="261"/>
        </w:trPr>
        <w:tc>
          <w:tcPr>
            <w:tcW w:w="3745" w:type="dxa"/>
            <w:tcBorders>
              <w:top w:val="nil"/>
              <w:left w:val="single" w:sz="4" w:space="0" w:color="auto"/>
              <w:bottom w:val="nil"/>
              <w:right w:val="single" w:sz="4" w:space="0" w:color="auto"/>
            </w:tcBorders>
            <w:shd w:val="clear" w:color="auto" w:fill="auto"/>
            <w:noWrap/>
            <w:vAlign w:val="bottom"/>
            <w:hideMark/>
          </w:tcPr>
          <w:p w14:paraId="39A8DF0E" w14:textId="77777777" w:rsidR="005D2576" w:rsidRPr="005D2576" w:rsidRDefault="005D2576" w:rsidP="008076B1">
            <w:pPr>
              <w:spacing w:after="0" w:line="240" w:lineRule="auto"/>
              <w:rPr>
                <w:rFonts w:ascii="Arial" w:eastAsia="Times New Roman" w:hAnsi="Arial" w:cs="Arial"/>
                <w:color w:val="000000"/>
                <w:sz w:val="24"/>
                <w:szCs w:val="24"/>
              </w:rPr>
            </w:pPr>
            <w:r w:rsidRPr="005D2576">
              <w:rPr>
                <w:rFonts w:ascii="Arial" w:eastAsia="Times New Roman" w:hAnsi="Arial" w:cs="Arial"/>
                <w:color w:val="000000"/>
                <w:sz w:val="24"/>
                <w:szCs w:val="24"/>
              </w:rPr>
              <w:t>RRR Account 4705 ($)</w:t>
            </w:r>
          </w:p>
        </w:tc>
        <w:tc>
          <w:tcPr>
            <w:tcW w:w="1691" w:type="dxa"/>
            <w:tcBorders>
              <w:top w:val="nil"/>
              <w:left w:val="nil"/>
              <w:bottom w:val="single" w:sz="4" w:space="0" w:color="auto"/>
              <w:right w:val="nil"/>
            </w:tcBorders>
            <w:shd w:val="clear" w:color="auto" w:fill="auto"/>
            <w:noWrap/>
            <w:vAlign w:val="bottom"/>
            <w:hideMark/>
          </w:tcPr>
          <w:p w14:paraId="1E81DCC0" w14:textId="77777777" w:rsidR="005D2576" w:rsidRPr="005D2576" w:rsidRDefault="005D2576" w:rsidP="008076B1">
            <w:pPr>
              <w:spacing w:after="0" w:line="240" w:lineRule="auto"/>
              <w:jc w:val="center"/>
              <w:rPr>
                <w:rFonts w:ascii="Arial" w:eastAsia="Times New Roman" w:hAnsi="Arial" w:cs="Arial"/>
                <w:color w:val="000000"/>
                <w:sz w:val="24"/>
                <w:szCs w:val="24"/>
              </w:rPr>
            </w:pPr>
            <w:r w:rsidRPr="005D2576">
              <w:rPr>
                <w:rFonts w:ascii="Arial" w:eastAsia="Times New Roman" w:hAnsi="Arial" w:cs="Arial"/>
                <w:color w:val="000000"/>
                <w:sz w:val="24"/>
                <w:szCs w:val="24"/>
              </w:rPr>
              <w:t xml:space="preserve">$23,380,650 </w:t>
            </w:r>
          </w:p>
        </w:tc>
        <w:tc>
          <w:tcPr>
            <w:tcW w:w="2732" w:type="dxa"/>
            <w:tcBorders>
              <w:top w:val="nil"/>
              <w:left w:val="nil"/>
              <w:bottom w:val="single" w:sz="4" w:space="0" w:color="auto"/>
              <w:right w:val="nil"/>
            </w:tcBorders>
            <w:shd w:val="clear" w:color="auto" w:fill="auto"/>
            <w:noWrap/>
            <w:vAlign w:val="bottom"/>
            <w:hideMark/>
          </w:tcPr>
          <w:p w14:paraId="76FE8238" w14:textId="77777777" w:rsidR="005D2576" w:rsidRPr="005D2576" w:rsidRDefault="005D2576" w:rsidP="008076B1">
            <w:pPr>
              <w:spacing w:after="0" w:line="240" w:lineRule="auto"/>
              <w:jc w:val="center"/>
              <w:rPr>
                <w:rFonts w:ascii="Arial" w:eastAsia="Times New Roman" w:hAnsi="Arial" w:cs="Arial"/>
                <w:color w:val="000000"/>
                <w:sz w:val="24"/>
                <w:szCs w:val="24"/>
              </w:rPr>
            </w:pPr>
            <w:r w:rsidRPr="005D2576">
              <w:rPr>
                <w:rFonts w:ascii="Arial" w:eastAsia="Times New Roman" w:hAnsi="Arial" w:cs="Arial"/>
                <w:color w:val="000000"/>
                <w:sz w:val="24"/>
                <w:szCs w:val="24"/>
              </w:rPr>
              <w:t xml:space="preserve">$21,046,137 </w:t>
            </w:r>
          </w:p>
        </w:tc>
        <w:tc>
          <w:tcPr>
            <w:tcW w:w="1307" w:type="dxa"/>
            <w:tcBorders>
              <w:top w:val="nil"/>
              <w:left w:val="nil"/>
              <w:bottom w:val="single" w:sz="4" w:space="0" w:color="auto"/>
              <w:right w:val="single" w:sz="4" w:space="0" w:color="auto"/>
            </w:tcBorders>
            <w:shd w:val="clear" w:color="auto" w:fill="auto"/>
            <w:noWrap/>
            <w:vAlign w:val="bottom"/>
            <w:hideMark/>
          </w:tcPr>
          <w:p w14:paraId="1CD6A1B2" w14:textId="77777777" w:rsidR="005D2576" w:rsidRPr="005D2576" w:rsidRDefault="005D2576" w:rsidP="008076B1">
            <w:pPr>
              <w:spacing w:after="0" w:line="240" w:lineRule="auto"/>
              <w:jc w:val="center"/>
              <w:rPr>
                <w:rFonts w:ascii="Arial" w:eastAsia="Times New Roman" w:hAnsi="Arial" w:cs="Arial"/>
                <w:color w:val="000000"/>
                <w:sz w:val="24"/>
                <w:szCs w:val="24"/>
              </w:rPr>
            </w:pPr>
            <w:r w:rsidRPr="005D2576">
              <w:rPr>
                <w:rFonts w:ascii="Arial" w:eastAsia="Times New Roman" w:hAnsi="Arial" w:cs="Arial"/>
                <w:color w:val="000000"/>
                <w:sz w:val="24"/>
                <w:szCs w:val="24"/>
              </w:rPr>
              <w:t xml:space="preserve">$19,787,946 </w:t>
            </w:r>
          </w:p>
        </w:tc>
      </w:tr>
      <w:tr w:rsidR="005D2576" w:rsidRPr="005D2576" w14:paraId="46240D50" w14:textId="77777777" w:rsidTr="008076B1">
        <w:trPr>
          <w:trHeight w:val="261"/>
        </w:trPr>
        <w:tc>
          <w:tcPr>
            <w:tcW w:w="3745" w:type="dxa"/>
            <w:tcBorders>
              <w:top w:val="nil"/>
              <w:left w:val="single" w:sz="4" w:space="0" w:color="auto"/>
              <w:bottom w:val="single" w:sz="4" w:space="0" w:color="auto"/>
              <w:right w:val="single" w:sz="4" w:space="0" w:color="auto"/>
            </w:tcBorders>
            <w:shd w:val="clear" w:color="auto" w:fill="auto"/>
            <w:noWrap/>
            <w:vAlign w:val="bottom"/>
            <w:hideMark/>
          </w:tcPr>
          <w:p w14:paraId="0B68A414" w14:textId="77777777" w:rsidR="005D2576" w:rsidRPr="005D2576" w:rsidRDefault="005D2576" w:rsidP="008076B1">
            <w:pPr>
              <w:spacing w:after="0" w:line="240" w:lineRule="auto"/>
              <w:rPr>
                <w:rFonts w:ascii="Arial" w:eastAsia="Times New Roman" w:hAnsi="Arial" w:cs="Arial"/>
                <w:color w:val="000000"/>
                <w:sz w:val="24"/>
                <w:szCs w:val="24"/>
              </w:rPr>
            </w:pPr>
            <w:r w:rsidRPr="005D2576">
              <w:rPr>
                <w:rFonts w:ascii="Arial" w:eastAsia="Times New Roman" w:hAnsi="Arial" w:cs="Arial"/>
                <w:color w:val="000000"/>
                <w:sz w:val="24"/>
                <w:szCs w:val="24"/>
              </w:rPr>
              <w:t>Transactions as % of Account 4705</w:t>
            </w:r>
          </w:p>
        </w:tc>
        <w:tc>
          <w:tcPr>
            <w:tcW w:w="1691" w:type="dxa"/>
            <w:tcBorders>
              <w:top w:val="nil"/>
              <w:left w:val="nil"/>
              <w:bottom w:val="single" w:sz="4" w:space="0" w:color="auto"/>
              <w:right w:val="nil"/>
            </w:tcBorders>
            <w:shd w:val="clear" w:color="auto" w:fill="auto"/>
            <w:noWrap/>
            <w:vAlign w:val="bottom"/>
            <w:hideMark/>
          </w:tcPr>
          <w:p w14:paraId="486B46BE" w14:textId="77777777" w:rsidR="005D2576" w:rsidRPr="005D2576" w:rsidRDefault="005D2576" w:rsidP="008076B1">
            <w:pPr>
              <w:spacing w:after="0" w:line="240" w:lineRule="auto"/>
              <w:jc w:val="center"/>
              <w:rPr>
                <w:rFonts w:ascii="Arial" w:eastAsia="Times New Roman" w:hAnsi="Arial" w:cs="Arial"/>
                <w:color w:val="000000"/>
                <w:sz w:val="24"/>
                <w:szCs w:val="24"/>
              </w:rPr>
            </w:pPr>
            <w:r w:rsidRPr="005D2576">
              <w:rPr>
                <w:rFonts w:ascii="Arial" w:eastAsia="Times New Roman" w:hAnsi="Arial" w:cs="Arial"/>
                <w:color w:val="000000"/>
                <w:sz w:val="24"/>
                <w:szCs w:val="24"/>
              </w:rPr>
              <w:t>5.00%</w:t>
            </w:r>
          </w:p>
        </w:tc>
        <w:tc>
          <w:tcPr>
            <w:tcW w:w="2732" w:type="dxa"/>
            <w:tcBorders>
              <w:top w:val="nil"/>
              <w:left w:val="nil"/>
              <w:bottom w:val="single" w:sz="4" w:space="0" w:color="auto"/>
              <w:right w:val="nil"/>
            </w:tcBorders>
            <w:shd w:val="clear" w:color="auto" w:fill="auto"/>
            <w:noWrap/>
            <w:vAlign w:val="bottom"/>
            <w:hideMark/>
          </w:tcPr>
          <w:p w14:paraId="5685B8B2" w14:textId="77777777" w:rsidR="005D2576" w:rsidRPr="005D2576" w:rsidRDefault="005D2576" w:rsidP="008076B1">
            <w:pPr>
              <w:spacing w:after="0" w:line="240" w:lineRule="auto"/>
              <w:jc w:val="center"/>
              <w:rPr>
                <w:rFonts w:ascii="Arial" w:eastAsia="Times New Roman" w:hAnsi="Arial" w:cs="Arial"/>
                <w:color w:val="000000"/>
                <w:sz w:val="24"/>
                <w:szCs w:val="24"/>
              </w:rPr>
            </w:pPr>
            <w:r w:rsidRPr="005D2576">
              <w:rPr>
                <w:rFonts w:ascii="Arial" w:eastAsia="Times New Roman" w:hAnsi="Arial" w:cs="Arial"/>
                <w:color w:val="000000"/>
                <w:sz w:val="24"/>
                <w:szCs w:val="24"/>
              </w:rPr>
              <w:t>5.55%</w:t>
            </w:r>
          </w:p>
        </w:tc>
        <w:tc>
          <w:tcPr>
            <w:tcW w:w="1307" w:type="dxa"/>
            <w:tcBorders>
              <w:top w:val="nil"/>
              <w:left w:val="nil"/>
              <w:bottom w:val="single" w:sz="4" w:space="0" w:color="auto"/>
              <w:right w:val="single" w:sz="4" w:space="0" w:color="auto"/>
            </w:tcBorders>
            <w:shd w:val="clear" w:color="auto" w:fill="auto"/>
            <w:noWrap/>
            <w:vAlign w:val="bottom"/>
            <w:hideMark/>
          </w:tcPr>
          <w:p w14:paraId="630B5E0D" w14:textId="77777777" w:rsidR="005D2576" w:rsidRPr="005D2576" w:rsidRDefault="005D2576" w:rsidP="008076B1">
            <w:pPr>
              <w:spacing w:after="0" w:line="240" w:lineRule="auto"/>
              <w:jc w:val="center"/>
              <w:rPr>
                <w:rFonts w:ascii="Arial" w:eastAsia="Times New Roman" w:hAnsi="Arial" w:cs="Arial"/>
                <w:color w:val="000000"/>
                <w:sz w:val="24"/>
                <w:szCs w:val="24"/>
              </w:rPr>
            </w:pPr>
            <w:r w:rsidRPr="005D2576">
              <w:rPr>
                <w:rFonts w:ascii="Arial" w:eastAsia="Times New Roman" w:hAnsi="Arial" w:cs="Arial"/>
                <w:color w:val="000000"/>
                <w:sz w:val="24"/>
                <w:szCs w:val="24"/>
              </w:rPr>
              <w:t>5.91%</w:t>
            </w:r>
          </w:p>
        </w:tc>
      </w:tr>
    </w:tbl>
    <w:p w14:paraId="701F81D0" w14:textId="77777777" w:rsidR="005D2576" w:rsidRPr="005D2576" w:rsidRDefault="005D2576" w:rsidP="005D2576">
      <w:pPr>
        <w:rPr>
          <w:rFonts w:ascii="Arial" w:hAnsi="Arial" w:cs="Arial"/>
          <w:sz w:val="24"/>
          <w:szCs w:val="24"/>
        </w:rPr>
      </w:pPr>
    </w:p>
    <w:p w14:paraId="03C3FAE8" w14:textId="4D4295DC" w:rsidR="005D2576" w:rsidRPr="005D2576" w:rsidRDefault="005D2576" w:rsidP="005D2576">
      <w:pPr>
        <w:contextualSpacing/>
        <w:rPr>
          <w:rFonts w:ascii="Arial" w:hAnsi="Arial" w:cs="Arial"/>
          <w:b/>
          <w:bCs/>
          <w:sz w:val="24"/>
          <w:szCs w:val="24"/>
        </w:rPr>
      </w:pPr>
      <w:r w:rsidRPr="005D2576">
        <w:rPr>
          <w:rFonts w:ascii="Arial" w:hAnsi="Arial" w:cs="Arial"/>
          <w:b/>
          <w:bCs/>
          <w:sz w:val="24"/>
          <w:szCs w:val="24"/>
        </w:rPr>
        <w:t xml:space="preserve">Staff Question – </w:t>
      </w:r>
      <w:r>
        <w:rPr>
          <w:rFonts w:ascii="Arial" w:hAnsi="Arial" w:cs="Arial"/>
          <w:b/>
          <w:bCs/>
          <w:sz w:val="24"/>
          <w:szCs w:val="24"/>
        </w:rPr>
        <w:t>2</w:t>
      </w:r>
    </w:p>
    <w:p w14:paraId="107D50F4" w14:textId="77777777" w:rsidR="005D2576" w:rsidRPr="005D2576" w:rsidRDefault="005D2576" w:rsidP="005D2576">
      <w:pPr>
        <w:contextualSpacing/>
        <w:rPr>
          <w:rFonts w:ascii="Arial" w:hAnsi="Arial" w:cs="Arial"/>
          <w:b/>
          <w:bCs/>
          <w:sz w:val="24"/>
          <w:szCs w:val="24"/>
        </w:rPr>
      </w:pPr>
      <w:r w:rsidRPr="005D2576">
        <w:rPr>
          <w:rFonts w:ascii="Arial" w:hAnsi="Arial" w:cs="Arial"/>
          <w:b/>
          <w:bCs/>
          <w:sz w:val="24"/>
          <w:szCs w:val="24"/>
        </w:rPr>
        <w:t>Ref: page 20</w:t>
      </w:r>
    </w:p>
    <w:p w14:paraId="32975CBC" w14:textId="77777777" w:rsidR="005D2576" w:rsidRPr="005D2576" w:rsidRDefault="005D2576" w:rsidP="005D2576">
      <w:pPr>
        <w:contextualSpacing/>
        <w:rPr>
          <w:rFonts w:ascii="Arial" w:hAnsi="Arial" w:cs="Arial"/>
          <w:sz w:val="24"/>
          <w:szCs w:val="24"/>
        </w:rPr>
      </w:pPr>
    </w:p>
    <w:p w14:paraId="29C34FDB" w14:textId="0B43C8C6" w:rsidR="005D2576" w:rsidRPr="005D2576" w:rsidRDefault="005D2576" w:rsidP="005D2576">
      <w:pPr>
        <w:rPr>
          <w:rFonts w:ascii="Arial" w:hAnsi="Arial" w:cs="Arial"/>
          <w:sz w:val="24"/>
          <w:szCs w:val="24"/>
        </w:rPr>
      </w:pPr>
      <w:r w:rsidRPr="005D2576">
        <w:rPr>
          <w:rFonts w:ascii="Arial" w:hAnsi="Arial" w:cs="Arial"/>
          <w:sz w:val="24"/>
          <w:szCs w:val="24"/>
        </w:rPr>
        <w:t>With regards to the pre-integration balances for each of the Acquired Utilities, please explain Hydro One’s consideration of the pre-integration balances in the context of the Feb. 21, 2019 accounting guidance</w:t>
      </w:r>
      <w:r w:rsidRPr="005D2576">
        <w:rPr>
          <w:rStyle w:val="FootnoteReference"/>
          <w:rFonts w:ascii="Arial" w:hAnsi="Arial" w:cs="Arial"/>
          <w:sz w:val="24"/>
          <w:szCs w:val="24"/>
        </w:rPr>
        <w:footnoteReference w:id="1"/>
      </w:r>
      <w:r w:rsidRPr="005D2576">
        <w:rPr>
          <w:rFonts w:ascii="Arial" w:hAnsi="Arial" w:cs="Arial"/>
          <w:sz w:val="24"/>
          <w:szCs w:val="24"/>
        </w:rPr>
        <w:t xml:space="preserve"> for commodity accounts. </w:t>
      </w:r>
    </w:p>
    <w:p w14:paraId="604C9D80" w14:textId="77777777" w:rsidR="00DB3E9F" w:rsidRDefault="00DB3E9F" w:rsidP="005D2576">
      <w:pPr>
        <w:contextualSpacing/>
        <w:rPr>
          <w:rFonts w:ascii="Arial" w:hAnsi="Arial" w:cs="Arial"/>
          <w:b/>
          <w:bCs/>
          <w:sz w:val="24"/>
          <w:szCs w:val="24"/>
        </w:rPr>
      </w:pPr>
    </w:p>
    <w:p w14:paraId="095B617C" w14:textId="77777777" w:rsidR="00DB3E9F" w:rsidRDefault="00DB3E9F" w:rsidP="005D2576">
      <w:pPr>
        <w:contextualSpacing/>
        <w:rPr>
          <w:rFonts w:ascii="Arial" w:hAnsi="Arial" w:cs="Arial"/>
          <w:b/>
          <w:bCs/>
          <w:sz w:val="24"/>
          <w:szCs w:val="24"/>
        </w:rPr>
      </w:pPr>
    </w:p>
    <w:p w14:paraId="473146DF" w14:textId="77777777" w:rsidR="00DB3E9F" w:rsidRDefault="00DB3E9F" w:rsidP="005D2576">
      <w:pPr>
        <w:contextualSpacing/>
        <w:rPr>
          <w:rFonts w:ascii="Arial" w:hAnsi="Arial" w:cs="Arial"/>
          <w:b/>
          <w:bCs/>
          <w:sz w:val="24"/>
          <w:szCs w:val="24"/>
        </w:rPr>
      </w:pPr>
    </w:p>
    <w:p w14:paraId="58BFEEE2" w14:textId="77777777" w:rsidR="00DB3E9F" w:rsidRDefault="00DB3E9F" w:rsidP="005D2576">
      <w:pPr>
        <w:contextualSpacing/>
        <w:rPr>
          <w:rFonts w:ascii="Arial" w:hAnsi="Arial" w:cs="Arial"/>
          <w:b/>
          <w:bCs/>
          <w:sz w:val="24"/>
          <w:szCs w:val="24"/>
        </w:rPr>
      </w:pPr>
    </w:p>
    <w:p w14:paraId="61759D49" w14:textId="77777777" w:rsidR="00DB3E9F" w:rsidRDefault="00DB3E9F" w:rsidP="005D2576">
      <w:pPr>
        <w:contextualSpacing/>
        <w:rPr>
          <w:rFonts w:ascii="Arial" w:hAnsi="Arial" w:cs="Arial"/>
          <w:b/>
          <w:bCs/>
          <w:sz w:val="24"/>
          <w:szCs w:val="24"/>
        </w:rPr>
      </w:pPr>
    </w:p>
    <w:p w14:paraId="79D96C9F" w14:textId="77777777" w:rsidR="00DB3E9F" w:rsidRDefault="00DB3E9F" w:rsidP="005D2576">
      <w:pPr>
        <w:contextualSpacing/>
        <w:rPr>
          <w:rFonts w:ascii="Arial" w:hAnsi="Arial" w:cs="Arial"/>
          <w:b/>
          <w:bCs/>
          <w:sz w:val="24"/>
          <w:szCs w:val="24"/>
        </w:rPr>
      </w:pPr>
    </w:p>
    <w:p w14:paraId="44DB5781" w14:textId="781FDFCB" w:rsidR="005D2576" w:rsidRPr="005D2576" w:rsidRDefault="005D2576" w:rsidP="005D2576">
      <w:pPr>
        <w:contextualSpacing/>
        <w:rPr>
          <w:rFonts w:ascii="Arial" w:hAnsi="Arial" w:cs="Arial"/>
          <w:b/>
          <w:bCs/>
          <w:sz w:val="24"/>
          <w:szCs w:val="24"/>
        </w:rPr>
      </w:pPr>
      <w:r w:rsidRPr="005D2576">
        <w:rPr>
          <w:rFonts w:ascii="Arial" w:hAnsi="Arial" w:cs="Arial"/>
          <w:b/>
          <w:bCs/>
          <w:sz w:val="24"/>
          <w:szCs w:val="24"/>
        </w:rPr>
        <w:t xml:space="preserve">Staff Question – </w:t>
      </w:r>
      <w:r w:rsidR="00DB3E9F">
        <w:rPr>
          <w:rFonts w:ascii="Arial" w:hAnsi="Arial" w:cs="Arial"/>
          <w:b/>
          <w:bCs/>
          <w:sz w:val="24"/>
          <w:szCs w:val="24"/>
        </w:rPr>
        <w:t>3</w:t>
      </w:r>
    </w:p>
    <w:p w14:paraId="2DB8CCA0" w14:textId="77777777" w:rsidR="005D2576" w:rsidRPr="005D2576" w:rsidRDefault="005D2576" w:rsidP="005D2576">
      <w:pPr>
        <w:contextualSpacing/>
        <w:rPr>
          <w:rFonts w:ascii="Arial" w:hAnsi="Arial" w:cs="Arial"/>
          <w:b/>
          <w:bCs/>
          <w:sz w:val="24"/>
          <w:szCs w:val="24"/>
        </w:rPr>
      </w:pPr>
      <w:r w:rsidRPr="005D2576">
        <w:rPr>
          <w:rFonts w:ascii="Arial" w:hAnsi="Arial" w:cs="Arial"/>
          <w:b/>
          <w:bCs/>
          <w:sz w:val="24"/>
          <w:szCs w:val="24"/>
        </w:rPr>
        <w:t>Ref: page 19</w:t>
      </w:r>
    </w:p>
    <w:p w14:paraId="258EEB05" w14:textId="77777777" w:rsidR="005D2576" w:rsidRPr="005D2576" w:rsidRDefault="005D2576" w:rsidP="005D2576">
      <w:pPr>
        <w:rPr>
          <w:rFonts w:ascii="Arial" w:hAnsi="Arial" w:cs="Arial"/>
          <w:sz w:val="24"/>
          <w:szCs w:val="24"/>
        </w:rPr>
      </w:pPr>
    </w:p>
    <w:p w14:paraId="76DAF0EF" w14:textId="77777777" w:rsidR="005D2576" w:rsidRPr="005D2576" w:rsidRDefault="005D2576" w:rsidP="005D2576">
      <w:pPr>
        <w:rPr>
          <w:rFonts w:ascii="Arial" w:hAnsi="Arial" w:cs="Arial"/>
          <w:sz w:val="24"/>
          <w:szCs w:val="24"/>
        </w:rPr>
      </w:pPr>
      <w:r w:rsidRPr="005D2576">
        <w:rPr>
          <w:rFonts w:ascii="Arial" w:hAnsi="Arial" w:cs="Arial"/>
          <w:sz w:val="24"/>
          <w:szCs w:val="24"/>
        </w:rPr>
        <w:t xml:space="preserve">Hydro One is requesting disposition of December 31, 2019 Group 1 balances for the Acquired Utilities. </w:t>
      </w:r>
    </w:p>
    <w:p w14:paraId="485A0406" w14:textId="77777777" w:rsidR="005D2576" w:rsidRPr="005D2576" w:rsidRDefault="005D2576" w:rsidP="005D2576">
      <w:pPr>
        <w:pStyle w:val="ListParagraph"/>
        <w:numPr>
          <w:ilvl w:val="0"/>
          <w:numId w:val="28"/>
        </w:numPr>
        <w:spacing w:after="160" w:line="259" w:lineRule="auto"/>
        <w:rPr>
          <w:rFonts w:ascii="Arial" w:hAnsi="Arial" w:cs="Arial"/>
          <w:sz w:val="24"/>
          <w:szCs w:val="24"/>
        </w:rPr>
      </w:pPr>
      <w:r w:rsidRPr="005D2576">
        <w:rPr>
          <w:rFonts w:ascii="Arial" w:hAnsi="Arial" w:cs="Arial"/>
          <w:sz w:val="24"/>
          <w:szCs w:val="24"/>
        </w:rPr>
        <w:t>Please explain if Hydro One is requesting interim or final disposition.</w:t>
      </w:r>
    </w:p>
    <w:p w14:paraId="4059361E" w14:textId="77777777" w:rsidR="005D2576" w:rsidRPr="005D2576" w:rsidRDefault="005D2576" w:rsidP="005D2576">
      <w:pPr>
        <w:pStyle w:val="ListParagraph"/>
        <w:numPr>
          <w:ilvl w:val="0"/>
          <w:numId w:val="28"/>
        </w:numPr>
        <w:spacing w:after="160" w:line="259" w:lineRule="auto"/>
        <w:rPr>
          <w:rFonts w:ascii="Arial" w:hAnsi="Arial" w:cs="Arial"/>
          <w:sz w:val="24"/>
          <w:szCs w:val="24"/>
        </w:rPr>
      </w:pPr>
      <w:r w:rsidRPr="005D2576">
        <w:rPr>
          <w:rFonts w:ascii="Arial" w:hAnsi="Arial" w:cs="Arial"/>
          <w:sz w:val="24"/>
          <w:szCs w:val="24"/>
        </w:rPr>
        <w:t>Please confirm whether Hydro One would be agreeable to an interim disposition, until such time that the December 31, 2019 Group 1 balances for Hydro One Distribution (currently being reviewed in Hydro One Distribution’s 2021 Custom IR Update application</w:t>
      </w:r>
      <w:r w:rsidRPr="005D2576">
        <w:rPr>
          <w:rStyle w:val="FootnoteReference"/>
          <w:rFonts w:ascii="Arial" w:hAnsi="Arial" w:cs="Arial"/>
          <w:sz w:val="24"/>
          <w:szCs w:val="24"/>
        </w:rPr>
        <w:footnoteReference w:id="2"/>
      </w:r>
      <w:r w:rsidRPr="005D2576">
        <w:rPr>
          <w:rFonts w:ascii="Arial" w:hAnsi="Arial" w:cs="Arial"/>
          <w:sz w:val="24"/>
          <w:szCs w:val="24"/>
        </w:rPr>
        <w:t xml:space="preserve">) are approved for disposition on a final basis. </w:t>
      </w:r>
    </w:p>
    <w:p w14:paraId="397DF1DE" w14:textId="77777777" w:rsidR="005D2576" w:rsidRPr="005D2576" w:rsidRDefault="005D2576" w:rsidP="005D2576">
      <w:pPr>
        <w:pStyle w:val="ListParagraph"/>
        <w:numPr>
          <w:ilvl w:val="0"/>
          <w:numId w:val="28"/>
        </w:numPr>
        <w:spacing w:after="160" w:line="259" w:lineRule="auto"/>
        <w:rPr>
          <w:rFonts w:ascii="Arial" w:hAnsi="Arial" w:cs="Arial"/>
          <w:sz w:val="24"/>
          <w:szCs w:val="24"/>
        </w:rPr>
      </w:pPr>
      <w:r w:rsidRPr="005D2576">
        <w:rPr>
          <w:rFonts w:ascii="Arial" w:hAnsi="Arial" w:cs="Arial"/>
          <w:sz w:val="24"/>
          <w:szCs w:val="24"/>
        </w:rPr>
        <w:t xml:space="preserve">Please confirm that Hydro One would update the balances allocated to the Acquired Utilities if the balances approved for disposition (if approved at all) in Hydro One’s 2021 Custom IR Update application change from the amounts presented in the pre-filed evidence. </w:t>
      </w:r>
    </w:p>
    <w:p w14:paraId="4290996B" w14:textId="0431E91E" w:rsidR="00D57E8C" w:rsidRDefault="00D57E8C" w:rsidP="008E6045">
      <w:pPr>
        <w:rPr>
          <w:rFonts w:ascii="Arial" w:hAnsi="Arial" w:cs="Arial"/>
          <w:b/>
          <w:sz w:val="24"/>
          <w:szCs w:val="24"/>
        </w:rPr>
      </w:pPr>
    </w:p>
    <w:p w14:paraId="76E4A799" w14:textId="1F42ED4C" w:rsidR="00DB3E9F" w:rsidRDefault="00DB3E9F" w:rsidP="00DB3E9F">
      <w:pPr>
        <w:contextualSpacing/>
        <w:rPr>
          <w:rFonts w:ascii="Arial" w:hAnsi="Arial" w:cs="Arial"/>
          <w:b/>
          <w:bCs/>
          <w:sz w:val="24"/>
          <w:szCs w:val="24"/>
        </w:rPr>
      </w:pPr>
      <w:r w:rsidRPr="005D2576">
        <w:rPr>
          <w:rFonts w:ascii="Arial" w:hAnsi="Arial" w:cs="Arial"/>
          <w:b/>
          <w:bCs/>
          <w:sz w:val="24"/>
          <w:szCs w:val="24"/>
        </w:rPr>
        <w:t xml:space="preserve">Staff Question – </w:t>
      </w:r>
      <w:r>
        <w:rPr>
          <w:rFonts w:ascii="Arial" w:hAnsi="Arial" w:cs="Arial"/>
          <w:b/>
          <w:bCs/>
          <w:sz w:val="24"/>
          <w:szCs w:val="24"/>
        </w:rPr>
        <w:t>4</w:t>
      </w:r>
    </w:p>
    <w:p w14:paraId="6596431D" w14:textId="74DF3F86" w:rsidR="005C0F3E" w:rsidRPr="005D2576" w:rsidRDefault="005C0F3E" w:rsidP="00DB3E9F">
      <w:pPr>
        <w:contextualSpacing/>
        <w:rPr>
          <w:rFonts w:ascii="Arial" w:hAnsi="Arial" w:cs="Arial"/>
          <w:b/>
          <w:bCs/>
          <w:sz w:val="24"/>
          <w:szCs w:val="24"/>
        </w:rPr>
      </w:pPr>
      <w:r>
        <w:rPr>
          <w:rFonts w:ascii="Arial" w:hAnsi="Arial" w:cs="Arial"/>
          <w:b/>
          <w:bCs/>
          <w:sz w:val="24"/>
          <w:szCs w:val="24"/>
        </w:rPr>
        <w:t>Ref:</w:t>
      </w:r>
      <w:r w:rsidR="00A617E3">
        <w:rPr>
          <w:rFonts w:ascii="Arial" w:hAnsi="Arial" w:cs="Arial"/>
          <w:b/>
          <w:bCs/>
          <w:sz w:val="24"/>
          <w:szCs w:val="24"/>
        </w:rPr>
        <w:t xml:space="preserve"> Rate Generator Tab 3</w:t>
      </w:r>
      <w:r w:rsidR="00085A39">
        <w:rPr>
          <w:rFonts w:ascii="Arial" w:hAnsi="Arial" w:cs="Arial"/>
          <w:b/>
          <w:bCs/>
          <w:sz w:val="24"/>
          <w:szCs w:val="24"/>
        </w:rPr>
        <w:t xml:space="preserve"> and 1595 Wor</w:t>
      </w:r>
      <w:r w:rsidR="002140A8">
        <w:rPr>
          <w:rFonts w:ascii="Arial" w:hAnsi="Arial" w:cs="Arial"/>
          <w:b/>
          <w:bCs/>
          <w:sz w:val="24"/>
          <w:szCs w:val="24"/>
        </w:rPr>
        <w:t>k</w:t>
      </w:r>
      <w:r w:rsidR="00085A39">
        <w:rPr>
          <w:rFonts w:ascii="Arial" w:hAnsi="Arial" w:cs="Arial"/>
          <w:b/>
          <w:bCs/>
          <w:sz w:val="24"/>
          <w:szCs w:val="24"/>
        </w:rPr>
        <w:t>form</w:t>
      </w:r>
    </w:p>
    <w:p w14:paraId="6FFABF20" w14:textId="371D5AC5" w:rsidR="005C0F3E" w:rsidRDefault="005C0F3E" w:rsidP="005C0F3E">
      <w:pPr>
        <w:spacing w:before="100" w:beforeAutospacing="1" w:after="100" w:afterAutospacing="1" w:line="240" w:lineRule="auto"/>
        <w:rPr>
          <w:rFonts w:ascii="Arial" w:hAnsi="Arial" w:cs="Arial"/>
          <w:sz w:val="24"/>
          <w:szCs w:val="24"/>
        </w:rPr>
      </w:pPr>
      <w:r w:rsidRPr="005C0F3E">
        <w:rPr>
          <w:rFonts w:ascii="Arial" w:hAnsi="Arial" w:cs="Arial"/>
          <w:sz w:val="24"/>
          <w:szCs w:val="24"/>
        </w:rPr>
        <w:t xml:space="preserve">In the DVA Continuity Schedule for Haldimand County in tab 3, in 2017, Account 1595 (2017) principal and interest is $50,187 and $155,042. Per the decision and order for Hydro One </w:t>
      </w:r>
      <w:proofErr w:type="spellStart"/>
      <w:r w:rsidRPr="005C0F3E">
        <w:rPr>
          <w:rFonts w:ascii="Arial" w:hAnsi="Arial" w:cs="Arial"/>
          <w:sz w:val="24"/>
          <w:szCs w:val="24"/>
        </w:rPr>
        <w:t>Acquired’s</w:t>
      </w:r>
      <w:proofErr w:type="spellEnd"/>
      <w:r w:rsidRPr="005C0F3E">
        <w:rPr>
          <w:rFonts w:ascii="Arial" w:hAnsi="Arial" w:cs="Arial"/>
          <w:sz w:val="24"/>
          <w:szCs w:val="24"/>
        </w:rPr>
        <w:t xml:space="preserve"> 2017 rate application, total approved Group 1 principal and interest are ($2,989,725) and ($141,025).</w:t>
      </w:r>
      <w:r w:rsidR="00F905FB">
        <w:rPr>
          <w:rFonts w:ascii="Arial" w:hAnsi="Arial" w:cs="Arial"/>
          <w:sz w:val="24"/>
          <w:szCs w:val="24"/>
        </w:rPr>
        <w:t xml:space="preserve"> </w:t>
      </w:r>
    </w:p>
    <w:p w14:paraId="7C3015D3" w14:textId="715E1E08" w:rsidR="00F905FB" w:rsidRDefault="00F905FB" w:rsidP="005C0F3E">
      <w:pPr>
        <w:spacing w:before="100" w:beforeAutospacing="1" w:after="100" w:afterAutospacing="1" w:line="240" w:lineRule="auto"/>
        <w:rPr>
          <w:rFonts w:ascii="Arial" w:hAnsi="Arial" w:cs="Arial"/>
          <w:sz w:val="24"/>
          <w:szCs w:val="24"/>
        </w:rPr>
      </w:pPr>
      <w:r>
        <w:rPr>
          <w:rFonts w:ascii="Arial" w:hAnsi="Arial" w:cs="Arial"/>
          <w:sz w:val="24"/>
          <w:szCs w:val="24"/>
        </w:rPr>
        <w:t xml:space="preserve">In the 1595 Workform Schedule for Haldimand County for 2017, the total principal and interest is </w:t>
      </w:r>
      <w:r w:rsidR="00C62784">
        <w:rPr>
          <w:rFonts w:ascii="Arial" w:hAnsi="Arial" w:cs="Arial"/>
          <w:sz w:val="24"/>
          <w:szCs w:val="24"/>
        </w:rPr>
        <w:t>($3,159,264) and (</w:t>
      </w:r>
      <w:r w:rsidR="002A2CEE">
        <w:rPr>
          <w:rFonts w:ascii="Arial" w:hAnsi="Arial" w:cs="Arial"/>
          <w:sz w:val="24"/>
          <w:szCs w:val="24"/>
        </w:rPr>
        <w:t>$</w:t>
      </w:r>
      <w:r w:rsidR="00C62784">
        <w:rPr>
          <w:rFonts w:ascii="Arial" w:hAnsi="Arial" w:cs="Arial"/>
          <w:sz w:val="24"/>
          <w:szCs w:val="24"/>
        </w:rPr>
        <w:t>155,042).</w:t>
      </w:r>
    </w:p>
    <w:p w14:paraId="303DC36A" w14:textId="35E570DF" w:rsidR="00C62784" w:rsidRDefault="002A2CEE" w:rsidP="00C62784">
      <w:pPr>
        <w:pStyle w:val="ListParagraph"/>
        <w:numPr>
          <w:ilvl w:val="0"/>
          <w:numId w:val="29"/>
        </w:numPr>
        <w:spacing w:before="100" w:beforeAutospacing="1" w:after="100" w:afterAutospacing="1" w:line="240" w:lineRule="auto"/>
        <w:rPr>
          <w:rFonts w:ascii="Arial" w:hAnsi="Arial" w:cs="Arial"/>
          <w:sz w:val="24"/>
          <w:szCs w:val="24"/>
        </w:rPr>
      </w:pPr>
      <w:r>
        <w:rPr>
          <w:rFonts w:ascii="Arial" w:hAnsi="Arial" w:cs="Arial"/>
          <w:sz w:val="24"/>
          <w:szCs w:val="24"/>
        </w:rPr>
        <w:t xml:space="preserve">Please reconcile </w:t>
      </w:r>
      <w:r w:rsidR="005A4B13">
        <w:rPr>
          <w:rFonts w:ascii="Arial" w:hAnsi="Arial" w:cs="Arial"/>
          <w:sz w:val="24"/>
          <w:szCs w:val="24"/>
        </w:rPr>
        <w:t xml:space="preserve">the </w:t>
      </w:r>
      <w:r>
        <w:rPr>
          <w:rFonts w:ascii="Arial" w:hAnsi="Arial" w:cs="Arial"/>
          <w:sz w:val="24"/>
          <w:szCs w:val="24"/>
        </w:rPr>
        <w:t>difference between what was approved in the decision and orde</w:t>
      </w:r>
      <w:r w:rsidR="005A4B13">
        <w:rPr>
          <w:rFonts w:ascii="Arial" w:hAnsi="Arial" w:cs="Arial"/>
          <w:sz w:val="24"/>
          <w:szCs w:val="24"/>
        </w:rPr>
        <w:t xml:space="preserve">r and the entries in Tab 3 of the Rate Generator </w:t>
      </w:r>
      <w:r w:rsidR="00FE52D3">
        <w:rPr>
          <w:rFonts w:ascii="Arial" w:hAnsi="Arial" w:cs="Arial"/>
          <w:sz w:val="24"/>
          <w:szCs w:val="24"/>
        </w:rPr>
        <w:t xml:space="preserve">model </w:t>
      </w:r>
      <w:r w:rsidR="005A4B13">
        <w:rPr>
          <w:rFonts w:ascii="Arial" w:hAnsi="Arial" w:cs="Arial"/>
          <w:sz w:val="24"/>
          <w:szCs w:val="24"/>
        </w:rPr>
        <w:t>for 1595 (2017).</w:t>
      </w:r>
    </w:p>
    <w:p w14:paraId="43DB2D92" w14:textId="3C4DF305" w:rsidR="005A4B13" w:rsidRDefault="005A4B13" w:rsidP="00C62784">
      <w:pPr>
        <w:pStyle w:val="ListParagraph"/>
        <w:numPr>
          <w:ilvl w:val="0"/>
          <w:numId w:val="29"/>
        </w:numPr>
        <w:spacing w:before="100" w:beforeAutospacing="1" w:after="100" w:afterAutospacing="1" w:line="240" w:lineRule="auto"/>
        <w:rPr>
          <w:rFonts w:ascii="Arial" w:hAnsi="Arial" w:cs="Arial"/>
          <w:sz w:val="24"/>
          <w:szCs w:val="24"/>
        </w:rPr>
      </w:pPr>
      <w:r>
        <w:rPr>
          <w:rFonts w:ascii="Arial" w:hAnsi="Arial" w:cs="Arial"/>
          <w:sz w:val="24"/>
          <w:szCs w:val="24"/>
        </w:rPr>
        <w:t xml:space="preserve">Please reconcile the difference </w:t>
      </w:r>
      <w:r w:rsidR="00FE52D3">
        <w:rPr>
          <w:rFonts w:ascii="Arial" w:hAnsi="Arial" w:cs="Arial"/>
          <w:sz w:val="24"/>
          <w:szCs w:val="24"/>
        </w:rPr>
        <w:t xml:space="preserve">between the 1595 Workform Schedule and </w:t>
      </w:r>
      <w:r w:rsidR="004428F5">
        <w:rPr>
          <w:rFonts w:ascii="Arial" w:hAnsi="Arial" w:cs="Arial"/>
          <w:sz w:val="24"/>
          <w:szCs w:val="24"/>
        </w:rPr>
        <w:t>what was approved in the decision and order</w:t>
      </w:r>
      <w:r w:rsidR="00FE52D3">
        <w:rPr>
          <w:rFonts w:ascii="Arial" w:hAnsi="Arial" w:cs="Arial"/>
          <w:sz w:val="24"/>
          <w:szCs w:val="24"/>
        </w:rPr>
        <w:t>.</w:t>
      </w:r>
    </w:p>
    <w:p w14:paraId="1570D81E" w14:textId="10F6F26A" w:rsidR="004428F5" w:rsidRPr="00C62784" w:rsidRDefault="004428F5" w:rsidP="00C62784">
      <w:pPr>
        <w:pStyle w:val="ListParagraph"/>
        <w:numPr>
          <w:ilvl w:val="0"/>
          <w:numId w:val="29"/>
        </w:numPr>
        <w:spacing w:before="100" w:beforeAutospacing="1" w:after="100" w:afterAutospacing="1" w:line="240" w:lineRule="auto"/>
        <w:rPr>
          <w:rFonts w:ascii="Arial" w:hAnsi="Arial" w:cs="Arial"/>
          <w:sz w:val="24"/>
          <w:szCs w:val="24"/>
        </w:rPr>
      </w:pPr>
      <w:r>
        <w:rPr>
          <w:rFonts w:ascii="Arial" w:hAnsi="Arial" w:cs="Arial"/>
          <w:sz w:val="24"/>
          <w:szCs w:val="24"/>
        </w:rPr>
        <w:t>Please update all models if necessary.</w:t>
      </w:r>
    </w:p>
    <w:p w14:paraId="681A5CBC" w14:textId="56647F79" w:rsidR="002B5874" w:rsidRDefault="002B5874" w:rsidP="005C0F3E">
      <w:pPr>
        <w:spacing w:before="100" w:beforeAutospacing="1" w:after="100" w:afterAutospacing="1" w:line="240" w:lineRule="auto"/>
        <w:rPr>
          <w:rFonts w:ascii="Arial" w:hAnsi="Arial" w:cs="Arial"/>
          <w:sz w:val="24"/>
          <w:szCs w:val="24"/>
        </w:rPr>
      </w:pPr>
    </w:p>
    <w:p w14:paraId="687B235D" w14:textId="77777777" w:rsidR="002B5874" w:rsidRPr="005C0F3E" w:rsidRDefault="002B5874" w:rsidP="005C0F3E">
      <w:pPr>
        <w:spacing w:before="100" w:beforeAutospacing="1" w:after="100" w:afterAutospacing="1" w:line="240" w:lineRule="auto"/>
        <w:rPr>
          <w:rFonts w:ascii="Arial" w:hAnsi="Arial" w:cs="Arial"/>
          <w:sz w:val="24"/>
          <w:szCs w:val="24"/>
        </w:rPr>
      </w:pPr>
    </w:p>
    <w:p w14:paraId="09C8C971" w14:textId="77777777" w:rsidR="00DB3E9F" w:rsidRPr="002D056D" w:rsidRDefault="00DB3E9F" w:rsidP="008E6045">
      <w:pPr>
        <w:rPr>
          <w:rFonts w:ascii="Arial" w:hAnsi="Arial" w:cs="Arial"/>
          <w:b/>
          <w:sz w:val="24"/>
          <w:szCs w:val="24"/>
        </w:rPr>
      </w:pPr>
    </w:p>
    <w:sectPr w:rsidR="00DB3E9F" w:rsidRPr="002D056D" w:rsidSect="00EA091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6043E" w14:textId="77777777" w:rsidR="00941A80" w:rsidRDefault="00941A80" w:rsidP="005D2576">
      <w:pPr>
        <w:spacing w:after="0" w:line="240" w:lineRule="auto"/>
      </w:pPr>
      <w:r>
        <w:separator/>
      </w:r>
    </w:p>
  </w:endnote>
  <w:endnote w:type="continuationSeparator" w:id="0">
    <w:p w14:paraId="64C56B60" w14:textId="77777777" w:rsidR="00941A80" w:rsidRDefault="00941A80" w:rsidP="005D2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FED3B" w14:textId="77777777" w:rsidR="00941A80" w:rsidRDefault="00941A80" w:rsidP="005D2576">
      <w:pPr>
        <w:spacing w:after="0" w:line="240" w:lineRule="auto"/>
      </w:pPr>
      <w:r>
        <w:separator/>
      </w:r>
    </w:p>
  </w:footnote>
  <w:footnote w:type="continuationSeparator" w:id="0">
    <w:p w14:paraId="24136DBE" w14:textId="77777777" w:rsidR="00941A80" w:rsidRDefault="00941A80" w:rsidP="005D2576">
      <w:pPr>
        <w:spacing w:after="0" w:line="240" w:lineRule="auto"/>
      </w:pPr>
      <w:r>
        <w:continuationSeparator/>
      </w:r>
    </w:p>
  </w:footnote>
  <w:footnote w:id="1">
    <w:p w14:paraId="2FB4AABD" w14:textId="77777777" w:rsidR="005D2576" w:rsidRDefault="005D2576" w:rsidP="005D2576">
      <w:pPr>
        <w:pStyle w:val="FootnoteText"/>
      </w:pPr>
      <w:r>
        <w:rPr>
          <w:rStyle w:val="FootnoteReference"/>
        </w:rPr>
        <w:footnoteRef/>
      </w:r>
      <w:r>
        <w:t xml:space="preserve"> </w:t>
      </w:r>
      <w:r w:rsidRPr="00F83545">
        <w:t>https://www.oeb.ca/sites/default/files/Accounting-Guidance-Commodity-Accounts-20190221.pdf</w:t>
      </w:r>
    </w:p>
  </w:footnote>
  <w:footnote w:id="2">
    <w:p w14:paraId="4106ED60" w14:textId="77777777" w:rsidR="005D2576" w:rsidRDefault="005D2576" w:rsidP="005D2576">
      <w:pPr>
        <w:pStyle w:val="FootnoteText"/>
      </w:pPr>
      <w:r>
        <w:rPr>
          <w:rStyle w:val="FootnoteReference"/>
        </w:rPr>
        <w:footnoteRef/>
      </w:r>
      <w:r>
        <w:t xml:space="preserve"> EB-2020-0030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0747E0C"/>
    <w:multiLevelType w:val="hybridMultilevel"/>
    <w:tmpl w:val="B914CD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61680EF6"/>
    <w:multiLevelType w:val="hybridMultilevel"/>
    <w:tmpl w:val="5F8846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21"/>
  </w:num>
  <w:num w:numId="4">
    <w:abstractNumId w:val="28"/>
  </w:num>
  <w:num w:numId="5">
    <w:abstractNumId w:val="11"/>
  </w:num>
  <w:num w:numId="6">
    <w:abstractNumId w:val="7"/>
  </w:num>
  <w:num w:numId="7">
    <w:abstractNumId w:val="16"/>
  </w:num>
  <w:num w:numId="8">
    <w:abstractNumId w:val="12"/>
  </w:num>
  <w:num w:numId="9">
    <w:abstractNumId w:val="13"/>
  </w:num>
  <w:num w:numId="10">
    <w:abstractNumId w:val="4"/>
  </w:num>
  <w:num w:numId="11">
    <w:abstractNumId w:val="15"/>
  </w:num>
  <w:num w:numId="12">
    <w:abstractNumId w:val="23"/>
  </w:num>
  <w:num w:numId="13">
    <w:abstractNumId w:val="3"/>
  </w:num>
  <w:num w:numId="14">
    <w:abstractNumId w:val="1"/>
  </w:num>
  <w:num w:numId="15">
    <w:abstractNumId w:val="27"/>
  </w:num>
  <w:num w:numId="16">
    <w:abstractNumId w:val="6"/>
  </w:num>
  <w:num w:numId="17">
    <w:abstractNumId w:val="19"/>
  </w:num>
  <w:num w:numId="18">
    <w:abstractNumId w:val="25"/>
  </w:num>
  <w:num w:numId="19">
    <w:abstractNumId w:val="26"/>
  </w:num>
  <w:num w:numId="20">
    <w:abstractNumId w:val="10"/>
  </w:num>
  <w:num w:numId="21">
    <w:abstractNumId w:val="24"/>
  </w:num>
  <w:num w:numId="22">
    <w:abstractNumId w:val="9"/>
  </w:num>
  <w:num w:numId="23">
    <w:abstractNumId w:val="22"/>
  </w:num>
  <w:num w:numId="24">
    <w:abstractNumId w:val="20"/>
  </w:num>
  <w:num w:numId="25">
    <w:abstractNumId w:val="2"/>
  </w:num>
  <w:num w:numId="26">
    <w:abstractNumId w:val="14"/>
  </w:num>
  <w:num w:numId="27">
    <w:abstractNumId w:val="17"/>
  </w:num>
  <w:num w:numId="28">
    <w:abstractNumId w:val="8"/>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85A39"/>
    <w:rsid w:val="00090160"/>
    <w:rsid w:val="000B3E7E"/>
    <w:rsid w:val="000D223C"/>
    <w:rsid w:val="000E4006"/>
    <w:rsid w:val="000F1E3A"/>
    <w:rsid w:val="00133BE1"/>
    <w:rsid w:val="00164E99"/>
    <w:rsid w:val="00183CC8"/>
    <w:rsid w:val="00187E9B"/>
    <w:rsid w:val="001927C2"/>
    <w:rsid w:val="001A4DCD"/>
    <w:rsid w:val="00203092"/>
    <w:rsid w:val="002140A8"/>
    <w:rsid w:val="002208C0"/>
    <w:rsid w:val="00224C06"/>
    <w:rsid w:val="0025687C"/>
    <w:rsid w:val="00274A48"/>
    <w:rsid w:val="00291CCC"/>
    <w:rsid w:val="002A2CEE"/>
    <w:rsid w:val="002A6415"/>
    <w:rsid w:val="002B5874"/>
    <w:rsid w:val="002B7B7C"/>
    <w:rsid w:val="002C2BF2"/>
    <w:rsid w:val="002C7EF6"/>
    <w:rsid w:val="002D4924"/>
    <w:rsid w:val="002F4756"/>
    <w:rsid w:val="00302509"/>
    <w:rsid w:val="003049C5"/>
    <w:rsid w:val="00340C00"/>
    <w:rsid w:val="003702D1"/>
    <w:rsid w:val="00373FAD"/>
    <w:rsid w:val="003777B5"/>
    <w:rsid w:val="003832E7"/>
    <w:rsid w:val="003A20A0"/>
    <w:rsid w:val="003A58B0"/>
    <w:rsid w:val="00400DFC"/>
    <w:rsid w:val="00412DC6"/>
    <w:rsid w:val="004377B0"/>
    <w:rsid w:val="004428F5"/>
    <w:rsid w:val="00472C81"/>
    <w:rsid w:val="00475032"/>
    <w:rsid w:val="004859EF"/>
    <w:rsid w:val="005164F5"/>
    <w:rsid w:val="0052560F"/>
    <w:rsid w:val="005666F2"/>
    <w:rsid w:val="00572064"/>
    <w:rsid w:val="00584369"/>
    <w:rsid w:val="00587A35"/>
    <w:rsid w:val="005A4B13"/>
    <w:rsid w:val="005C0F3E"/>
    <w:rsid w:val="005D2576"/>
    <w:rsid w:val="005F4693"/>
    <w:rsid w:val="00623602"/>
    <w:rsid w:val="0064279A"/>
    <w:rsid w:val="00651C98"/>
    <w:rsid w:val="006A5D23"/>
    <w:rsid w:val="006E3D58"/>
    <w:rsid w:val="00704EE5"/>
    <w:rsid w:val="007066E2"/>
    <w:rsid w:val="00722640"/>
    <w:rsid w:val="0073197E"/>
    <w:rsid w:val="00746080"/>
    <w:rsid w:val="00772B57"/>
    <w:rsid w:val="00781D04"/>
    <w:rsid w:val="007C2D45"/>
    <w:rsid w:val="007F49EB"/>
    <w:rsid w:val="00805FDA"/>
    <w:rsid w:val="00812C1B"/>
    <w:rsid w:val="00835AD0"/>
    <w:rsid w:val="008747B3"/>
    <w:rsid w:val="008813C3"/>
    <w:rsid w:val="008926F0"/>
    <w:rsid w:val="008964E8"/>
    <w:rsid w:val="008A48F6"/>
    <w:rsid w:val="008E6045"/>
    <w:rsid w:val="0090113B"/>
    <w:rsid w:val="00922010"/>
    <w:rsid w:val="0093258A"/>
    <w:rsid w:val="00941A80"/>
    <w:rsid w:val="0094373C"/>
    <w:rsid w:val="00946DEE"/>
    <w:rsid w:val="00951E2B"/>
    <w:rsid w:val="00952939"/>
    <w:rsid w:val="00961EA0"/>
    <w:rsid w:val="009A5C44"/>
    <w:rsid w:val="009B03AF"/>
    <w:rsid w:val="009C4216"/>
    <w:rsid w:val="009D5F4B"/>
    <w:rsid w:val="009E626E"/>
    <w:rsid w:val="009E7CBF"/>
    <w:rsid w:val="00A07077"/>
    <w:rsid w:val="00A50DD0"/>
    <w:rsid w:val="00A516B0"/>
    <w:rsid w:val="00A5620A"/>
    <w:rsid w:val="00A617E3"/>
    <w:rsid w:val="00AA06D9"/>
    <w:rsid w:val="00AC2406"/>
    <w:rsid w:val="00AD3FCF"/>
    <w:rsid w:val="00B03802"/>
    <w:rsid w:val="00B069AA"/>
    <w:rsid w:val="00B23A36"/>
    <w:rsid w:val="00B25576"/>
    <w:rsid w:val="00B25EF5"/>
    <w:rsid w:val="00B50EB2"/>
    <w:rsid w:val="00B6722A"/>
    <w:rsid w:val="00B82D78"/>
    <w:rsid w:val="00BA434C"/>
    <w:rsid w:val="00BD4F65"/>
    <w:rsid w:val="00C06F9E"/>
    <w:rsid w:val="00C13E6B"/>
    <w:rsid w:val="00C2370B"/>
    <w:rsid w:val="00C624D5"/>
    <w:rsid w:val="00C62784"/>
    <w:rsid w:val="00C848A0"/>
    <w:rsid w:val="00C878C5"/>
    <w:rsid w:val="00C96AEA"/>
    <w:rsid w:val="00CC0B6D"/>
    <w:rsid w:val="00CE1CD3"/>
    <w:rsid w:val="00CE4F01"/>
    <w:rsid w:val="00D55546"/>
    <w:rsid w:val="00D57E8C"/>
    <w:rsid w:val="00D6213C"/>
    <w:rsid w:val="00D647C0"/>
    <w:rsid w:val="00D77694"/>
    <w:rsid w:val="00D77B0F"/>
    <w:rsid w:val="00DB3E9F"/>
    <w:rsid w:val="00DB6B52"/>
    <w:rsid w:val="00DE5488"/>
    <w:rsid w:val="00DE75AC"/>
    <w:rsid w:val="00DF5A52"/>
    <w:rsid w:val="00E17C58"/>
    <w:rsid w:val="00E231C2"/>
    <w:rsid w:val="00E429DA"/>
    <w:rsid w:val="00E62C2A"/>
    <w:rsid w:val="00E8586E"/>
    <w:rsid w:val="00E96A06"/>
    <w:rsid w:val="00EA0919"/>
    <w:rsid w:val="00EB5240"/>
    <w:rsid w:val="00EC0B55"/>
    <w:rsid w:val="00F034BF"/>
    <w:rsid w:val="00F233A3"/>
    <w:rsid w:val="00F23D7A"/>
    <w:rsid w:val="00F26D30"/>
    <w:rsid w:val="00F57152"/>
    <w:rsid w:val="00F7362C"/>
    <w:rsid w:val="00F905FB"/>
    <w:rsid w:val="00F92F61"/>
    <w:rsid w:val="00FB6F10"/>
    <w:rsid w:val="00FC4CF8"/>
    <w:rsid w:val="00FC5DA7"/>
    <w:rsid w:val="00FE52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A291"/>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D2576"/>
    <w:pPr>
      <w:spacing w:after="0" w:line="240" w:lineRule="auto"/>
    </w:pPr>
    <w:rPr>
      <w:rFonts w:ascii="Arial" w:hAnsi="Arial"/>
      <w:sz w:val="20"/>
      <w:szCs w:val="20"/>
      <w:lang w:val="en-US"/>
    </w:rPr>
  </w:style>
  <w:style w:type="character" w:customStyle="1" w:styleId="FootnoteTextChar">
    <w:name w:val="Footnote Text Char"/>
    <w:basedOn w:val="DefaultParagraphFont"/>
    <w:link w:val="FootnoteText"/>
    <w:uiPriority w:val="99"/>
    <w:semiHidden/>
    <w:rsid w:val="005D2576"/>
    <w:rPr>
      <w:rFonts w:ascii="Arial" w:hAnsi="Arial"/>
      <w:sz w:val="20"/>
      <w:szCs w:val="20"/>
      <w:lang w:val="en-US"/>
    </w:rPr>
  </w:style>
  <w:style w:type="character" w:styleId="FootnoteReference">
    <w:name w:val="footnote reference"/>
    <w:basedOn w:val="DefaultParagraphFont"/>
    <w:uiPriority w:val="99"/>
    <w:semiHidden/>
    <w:unhideWhenUsed/>
    <w:rsid w:val="005D25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804617415">
      <w:bodyDiv w:val="1"/>
      <w:marLeft w:val="0"/>
      <w:marRight w:val="0"/>
      <w:marTop w:val="0"/>
      <w:marBottom w:val="0"/>
      <w:divBdr>
        <w:top w:val="none" w:sz="0" w:space="0" w:color="auto"/>
        <w:left w:val="none" w:sz="0" w:space="0" w:color="auto"/>
        <w:bottom w:val="none" w:sz="0" w:space="0" w:color="auto"/>
        <w:right w:val="none" w:sz="0" w:space="0" w:color="auto"/>
      </w:divBdr>
      <w:divsChild>
        <w:div w:id="43141843">
          <w:marLeft w:val="0"/>
          <w:marRight w:val="0"/>
          <w:marTop w:val="0"/>
          <w:marBottom w:val="0"/>
          <w:divBdr>
            <w:top w:val="none" w:sz="0" w:space="0" w:color="auto"/>
            <w:left w:val="none" w:sz="0" w:space="0" w:color="auto"/>
            <w:bottom w:val="none" w:sz="0" w:space="0" w:color="auto"/>
            <w:right w:val="none" w:sz="0" w:space="0" w:color="auto"/>
          </w:divBdr>
          <w:divsChild>
            <w:div w:id="268201665">
              <w:marLeft w:val="0"/>
              <w:marRight w:val="0"/>
              <w:marTop w:val="0"/>
              <w:marBottom w:val="0"/>
              <w:divBdr>
                <w:top w:val="none" w:sz="0" w:space="0" w:color="auto"/>
                <w:left w:val="none" w:sz="0" w:space="0" w:color="auto"/>
                <w:bottom w:val="none" w:sz="0" w:space="0" w:color="auto"/>
                <w:right w:val="none" w:sz="0" w:space="0" w:color="auto"/>
              </w:divBdr>
              <w:divsChild>
                <w:div w:id="1304389383">
                  <w:marLeft w:val="0"/>
                  <w:marRight w:val="0"/>
                  <w:marTop w:val="0"/>
                  <w:marBottom w:val="0"/>
                  <w:divBdr>
                    <w:top w:val="none" w:sz="0" w:space="0" w:color="auto"/>
                    <w:left w:val="none" w:sz="0" w:space="0" w:color="auto"/>
                    <w:bottom w:val="none" w:sz="0" w:space="0" w:color="auto"/>
                    <w:right w:val="none" w:sz="0" w:space="0" w:color="auto"/>
                  </w:divBdr>
                  <w:divsChild>
                    <w:div w:id="1592811008">
                      <w:marLeft w:val="0"/>
                      <w:marRight w:val="0"/>
                      <w:marTop w:val="0"/>
                      <w:marBottom w:val="0"/>
                      <w:divBdr>
                        <w:top w:val="none" w:sz="0" w:space="0" w:color="auto"/>
                        <w:left w:val="none" w:sz="0" w:space="0" w:color="auto"/>
                        <w:bottom w:val="none" w:sz="0" w:space="0" w:color="auto"/>
                        <w:right w:val="none" w:sz="0" w:space="0" w:color="auto"/>
                      </w:divBdr>
                      <w:divsChild>
                        <w:div w:id="968778588">
                          <w:marLeft w:val="0"/>
                          <w:marRight w:val="0"/>
                          <w:marTop w:val="0"/>
                          <w:marBottom w:val="0"/>
                          <w:divBdr>
                            <w:top w:val="none" w:sz="0" w:space="0" w:color="auto"/>
                            <w:left w:val="none" w:sz="0" w:space="0" w:color="auto"/>
                            <w:bottom w:val="none" w:sz="0" w:space="0" w:color="auto"/>
                            <w:right w:val="none" w:sz="0" w:space="0" w:color="auto"/>
                          </w:divBdr>
                          <w:divsChild>
                            <w:div w:id="706951360">
                              <w:marLeft w:val="0"/>
                              <w:marRight w:val="0"/>
                              <w:marTop w:val="0"/>
                              <w:marBottom w:val="0"/>
                              <w:divBdr>
                                <w:top w:val="none" w:sz="0" w:space="0" w:color="auto"/>
                                <w:left w:val="none" w:sz="0" w:space="0" w:color="auto"/>
                                <w:bottom w:val="none" w:sz="0" w:space="0" w:color="auto"/>
                                <w:right w:val="none" w:sz="0" w:space="0" w:color="auto"/>
                              </w:divBdr>
                              <w:divsChild>
                                <w:div w:id="173619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FDEE1-CAE1-4AB2-8972-4CCC4CA03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Kelli Benincasa</cp:lastModifiedBy>
  <cp:revision>7</cp:revision>
  <cp:lastPrinted>2014-09-29T14:43:00Z</cp:lastPrinted>
  <dcterms:created xsi:type="dcterms:W3CDTF">2020-10-16T16:25:00Z</dcterms:created>
  <dcterms:modified xsi:type="dcterms:W3CDTF">2020-10-27T16:07:00Z</dcterms:modified>
</cp:coreProperties>
</file>