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A01499" w14:textId="590B1422" w:rsidR="00D61AF9" w:rsidRDefault="00484335" w:rsidP="00804948">
      <w:pPr>
        <w:jc w:val="center"/>
        <w:rPr>
          <w:rFonts w:ascii="Arial" w:hAnsi="Arial" w:cs="Arial"/>
          <w:b/>
          <w:bCs/>
          <w:sz w:val="28"/>
          <w:szCs w:val="28"/>
        </w:rPr>
      </w:pPr>
      <w:r w:rsidRPr="00804948">
        <w:rPr>
          <w:rFonts w:ascii="Arial" w:hAnsi="Arial" w:cs="Arial"/>
          <w:b/>
          <w:bCs/>
          <w:sz w:val="28"/>
          <w:szCs w:val="28"/>
        </w:rPr>
        <w:t>Festival Hydro</w:t>
      </w:r>
      <w:r w:rsidR="00804948">
        <w:rPr>
          <w:rFonts w:ascii="Arial" w:hAnsi="Arial" w:cs="Arial"/>
          <w:b/>
          <w:bCs/>
          <w:sz w:val="28"/>
          <w:szCs w:val="28"/>
        </w:rPr>
        <w:t xml:space="preserve"> Inc. (Festival Hydro)</w:t>
      </w:r>
    </w:p>
    <w:p w14:paraId="26401AA0" w14:textId="2FDB2CDF" w:rsidR="001C53EC" w:rsidRDefault="001C53EC" w:rsidP="001C53EC">
      <w:pPr>
        <w:jc w:val="center"/>
        <w:rPr>
          <w:rFonts w:ascii="Arial" w:hAnsi="Arial" w:cs="Arial"/>
          <w:b/>
          <w:bCs/>
        </w:rPr>
      </w:pPr>
      <w:r>
        <w:rPr>
          <w:rFonts w:ascii="Arial" w:hAnsi="Arial" w:cs="Arial"/>
          <w:b/>
          <w:bCs/>
        </w:rPr>
        <w:t xml:space="preserve">OEB Staff Questions </w:t>
      </w:r>
    </w:p>
    <w:p w14:paraId="19103359" w14:textId="2D4E0C71" w:rsidR="00804948" w:rsidRDefault="00804948" w:rsidP="00804948">
      <w:pPr>
        <w:jc w:val="center"/>
        <w:rPr>
          <w:rFonts w:ascii="Arial" w:hAnsi="Arial" w:cs="Arial"/>
          <w:b/>
          <w:bCs/>
        </w:rPr>
      </w:pPr>
      <w:r w:rsidRPr="00804948">
        <w:rPr>
          <w:rFonts w:ascii="Arial" w:hAnsi="Arial" w:cs="Arial"/>
          <w:b/>
          <w:bCs/>
        </w:rPr>
        <w:t>2021 IRM</w:t>
      </w:r>
      <w:r>
        <w:rPr>
          <w:rFonts w:ascii="Arial" w:hAnsi="Arial" w:cs="Arial"/>
          <w:b/>
          <w:bCs/>
        </w:rPr>
        <w:t xml:space="preserve"> Application </w:t>
      </w:r>
    </w:p>
    <w:p w14:paraId="430D1E58" w14:textId="3EC9D14A" w:rsidR="00804948" w:rsidRDefault="00804948" w:rsidP="00804948">
      <w:pPr>
        <w:jc w:val="center"/>
        <w:rPr>
          <w:rFonts w:ascii="Arial" w:hAnsi="Arial" w:cs="Arial"/>
          <w:b/>
          <w:bCs/>
        </w:rPr>
      </w:pPr>
      <w:r>
        <w:rPr>
          <w:rFonts w:ascii="Arial" w:hAnsi="Arial" w:cs="Arial"/>
          <w:b/>
          <w:bCs/>
        </w:rPr>
        <w:t>EB-2020-0022</w:t>
      </w:r>
      <w:r>
        <w:rPr>
          <w:rFonts w:ascii="Arial" w:hAnsi="Arial" w:cs="Arial"/>
          <w:b/>
          <w:bCs/>
        </w:rPr>
        <w:tab/>
      </w:r>
    </w:p>
    <w:p w14:paraId="05D214DA" w14:textId="5FA2B195" w:rsidR="00804948" w:rsidRPr="00804948" w:rsidRDefault="00804948" w:rsidP="001C53EC">
      <w:pPr>
        <w:jc w:val="center"/>
        <w:rPr>
          <w:rFonts w:ascii="Arial" w:hAnsi="Arial" w:cs="Arial"/>
          <w:b/>
          <w:bCs/>
        </w:rPr>
      </w:pPr>
      <w:r>
        <w:rPr>
          <w:rFonts w:ascii="Arial" w:hAnsi="Arial" w:cs="Arial"/>
          <w:b/>
          <w:bCs/>
        </w:rPr>
        <w:t>October 2</w:t>
      </w:r>
      <w:r w:rsidR="002E3F51">
        <w:rPr>
          <w:rFonts w:ascii="Arial" w:hAnsi="Arial" w:cs="Arial"/>
          <w:b/>
          <w:bCs/>
        </w:rPr>
        <w:t>2</w:t>
      </w:r>
      <w:r w:rsidRPr="00804948">
        <w:rPr>
          <w:rFonts w:ascii="Arial" w:hAnsi="Arial" w:cs="Arial"/>
          <w:b/>
          <w:bCs/>
          <w:vertAlign w:val="superscript"/>
        </w:rPr>
        <w:t>th</w:t>
      </w:r>
      <w:r>
        <w:rPr>
          <w:rFonts w:ascii="Arial" w:hAnsi="Arial" w:cs="Arial"/>
          <w:b/>
          <w:bCs/>
        </w:rPr>
        <w:t>, 2020</w:t>
      </w:r>
    </w:p>
    <w:p w14:paraId="426CD257" w14:textId="79AC4908" w:rsidR="00B27787" w:rsidRDefault="00B27787" w:rsidP="00B27787">
      <w:pPr>
        <w:rPr>
          <w:rFonts w:ascii="Arial" w:hAnsi="Arial" w:cs="Arial"/>
          <w:color w:val="1F497D"/>
        </w:rPr>
      </w:pPr>
      <w:r>
        <w:rPr>
          <w:rFonts w:ascii="Arial" w:hAnsi="Arial" w:cs="Arial"/>
          <w:color w:val="1F497D"/>
        </w:rPr>
        <w:t xml:space="preserve">*Responses to OEB Staff questions, including supporting documentation, must not include personal information unless filed in accordance with rule 9A of the OEB’s </w:t>
      </w:r>
      <w:r>
        <w:rPr>
          <w:rFonts w:ascii="Arial" w:hAnsi="Arial" w:cs="Arial"/>
          <w:i/>
          <w:iCs/>
          <w:color w:val="1F497D"/>
        </w:rPr>
        <w:t>Rules of Practice and Procedure</w:t>
      </w:r>
      <w:r>
        <w:rPr>
          <w:rFonts w:ascii="Arial" w:hAnsi="Arial" w:cs="Arial"/>
          <w:color w:val="1F497D"/>
        </w:rPr>
        <w:t>.</w:t>
      </w:r>
    </w:p>
    <w:p w14:paraId="1442ECC7" w14:textId="622E7AEC" w:rsidR="00D61AF9" w:rsidRDefault="00D61AF9" w:rsidP="00D61AF9">
      <w:pPr>
        <w:rPr>
          <w:rFonts w:ascii="Arial" w:hAnsi="Arial" w:cs="Arial"/>
          <w:b/>
          <w:bCs/>
          <w:sz w:val="24"/>
          <w:szCs w:val="24"/>
        </w:rPr>
      </w:pPr>
      <w:r>
        <w:rPr>
          <w:rFonts w:ascii="Arial" w:hAnsi="Arial" w:cs="Arial"/>
          <w:b/>
          <w:bCs/>
          <w:sz w:val="24"/>
          <w:szCs w:val="24"/>
        </w:rPr>
        <w:t>OEB Staff-</w:t>
      </w:r>
      <w:r w:rsidR="007A6F1B">
        <w:rPr>
          <w:rFonts w:ascii="Arial" w:hAnsi="Arial" w:cs="Arial"/>
          <w:b/>
          <w:bCs/>
          <w:sz w:val="24"/>
          <w:szCs w:val="24"/>
        </w:rPr>
        <w:t xml:space="preserve"> 1</w:t>
      </w:r>
    </w:p>
    <w:p w14:paraId="54BCF6E1" w14:textId="610AAD29" w:rsidR="00831307" w:rsidRDefault="00D61AF9" w:rsidP="00D61AF9">
      <w:pPr>
        <w:rPr>
          <w:rFonts w:ascii="Arial" w:hAnsi="Arial" w:cs="Arial"/>
          <w:sz w:val="24"/>
          <w:szCs w:val="24"/>
        </w:rPr>
      </w:pPr>
      <w:r>
        <w:rPr>
          <w:rFonts w:ascii="Arial" w:hAnsi="Arial" w:cs="Arial"/>
          <w:b/>
          <w:bCs/>
          <w:sz w:val="24"/>
          <w:szCs w:val="24"/>
        </w:rPr>
        <w:t>Reference:</w:t>
      </w:r>
      <w:r>
        <w:rPr>
          <w:rFonts w:ascii="Arial" w:hAnsi="Arial" w:cs="Arial"/>
          <w:sz w:val="24"/>
          <w:szCs w:val="24"/>
        </w:rPr>
        <w:tab/>
        <w:t>(</w:t>
      </w:r>
      <w:proofErr w:type="spellStart"/>
      <w:r>
        <w:rPr>
          <w:rFonts w:ascii="Arial" w:hAnsi="Arial" w:cs="Arial"/>
          <w:sz w:val="24"/>
          <w:szCs w:val="24"/>
        </w:rPr>
        <w:t>i</w:t>
      </w:r>
      <w:proofErr w:type="spellEnd"/>
      <w:r>
        <w:rPr>
          <w:rFonts w:ascii="Arial" w:hAnsi="Arial" w:cs="Arial"/>
          <w:sz w:val="24"/>
          <w:szCs w:val="24"/>
        </w:rPr>
        <w:t xml:space="preserve">) </w:t>
      </w:r>
      <w:bookmarkStart w:id="0" w:name="_Hlk53756630"/>
      <w:r w:rsidR="00831307" w:rsidRPr="00831307">
        <w:rPr>
          <w:rFonts w:ascii="Arial" w:hAnsi="Arial" w:cs="Arial"/>
          <w:sz w:val="24"/>
          <w:szCs w:val="24"/>
        </w:rPr>
        <w:t>IRM Rate Generator Model</w:t>
      </w:r>
      <w:r w:rsidR="00831307">
        <w:rPr>
          <w:rFonts w:ascii="Arial" w:hAnsi="Arial" w:cs="Arial"/>
          <w:sz w:val="24"/>
          <w:szCs w:val="24"/>
        </w:rPr>
        <w:t xml:space="preserve">, </w:t>
      </w:r>
      <w:r w:rsidR="00831307" w:rsidRPr="00831307">
        <w:rPr>
          <w:rFonts w:ascii="Arial" w:hAnsi="Arial" w:cs="Arial"/>
          <w:sz w:val="24"/>
          <w:szCs w:val="24"/>
        </w:rPr>
        <w:t>Tab 3</w:t>
      </w:r>
      <w:r w:rsidR="009D0D8E">
        <w:rPr>
          <w:rFonts w:ascii="Arial" w:hAnsi="Arial" w:cs="Arial"/>
          <w:sz w:val="24"/>
          <w:szCs w:val="24"/>
        </w:rPr>
        <w:t xml:space="preserve">: </w:t>
      </w:r>
      <w:r w:rsidR="00831307" w:rsidRPr="00831307">
        <w:rPr>
          <w:rFonts w:ascii="Arial" w:hAnsi="Arial" w:cs="Arial"/>
          <w:sz w:val="24"/>
          <w:szCs w:val="24"/>
        </w:rPr>
        <w:t>Continuity Schedule</w:t>
      </w:r>
    </w:p>
    <w:bookmarkEnd w:id="0"/>
    <w:p w14:paraId="2DA517C3" w14:textId="124E617F" w:rsidR="00620715" w:rsidRDefault="00D61AF9" w:rsidP="00484335">
      <w:pPr>
        <w:rPr>
          <w:rFonts w:ascii="Arial" w:hAnsi="Arial" w:cs="Arial"/>
          <w:sz w:val="24"/>
          <w:szCs w:val="24"/>
        </w:rPr>
      </w:pPr>
      <w:r>
        <w:rPr>
          <w:rFonts w:ascii="Arial" w:hAnsi="Arial" w:cs="Arial"/>
          <w:sz w:val="24"/>
          <w:szCs w:val="24"/>
        </w:rPr>
        <w:tab/>
      </w:r>
      <w:r>
        <w:rPr>
          <w:rFonts w:ascii="Arial" w:hAnsi="Arial" w:cs="Arial"/>
          <w:sz w:val="24"/>
          <w:szCs w:val="24"/>
        </w:rPr>
        <w:tab/>
        <w:t xml:space="preserve">(ii) </w:t>
      </w:r>
      <w:r w:rsidR="00831307">
        <w:rPr>
          <w:rFonts w:ascii="Arial" w:hAnsi="Arial" w:cs="Arial"/>
          <w:sz w:val="24"/>
          <w:szCs w:val="24"/>
        </w:rPr>
        <w:t>EB-2019-0035 Decision and Rate Order</w:t>
      </w:r>
      <w:r w:rsidR="00C466EB">
        <w:rPr>
          <w:rFonts w:ascii="Arial" w:hAnsi="Arial" w:cs="Arial"/>
          <w:sz w:val="24"/>
          <w:szCs w:val="24"/>
        </w:rPr>
        <w:t xml:space="preserve"> 20191212, Page 9</w:t>
      </w:r>
    </w:p>
    <w:p w14:paraId="3DDF6E4F" w14:textId="656979C6" w:rsidR="007A3C18" w:rsidRDefault="0084231E" w:rsidP="00484335">
      <w:pPr>
        <w:rPr>
          <w:rFonts w:ascii="Arial" w:hAnsi="Arial" w:cs="Arial"/>
          <w:sz w:val="24"/>
          <w:szCs w:val="24"/>
        </w:rPr>
      </w:pPr>
      <w:r>
        <w:rPr>
          <w:rFonts w:ascii="Arial" w:hAnsi="Arial" w:cs="Arial"/>
          <w:sz w:val="24"/>
          <w:szCs w:val="24"/>
        </w:rPr>
        <w:t xml:space="preserve">Festival Hydro has </w:t>
      </w:r>
      <w:r w:rsidR="00626675">
        <w:rPr>
          <w:rFonts w:ascii="Arial" w:hAnsi="Arial" w:cs="Arial"/>
          <w:sz w:val="24"/>
          <w:szCs w:val="24"/>
        </w:rPr>
        <w:t>reported</w:t>
      </w:r>
      <w:r>
        <w:rPr>
          <w:rFonts w:ascii="Arial" w:hAnsi="Arial" w:cs="Arial"/>
          <w:sz w:val="24"/>
          <w:szCs w:val="24"/>
        </w:rPr>
        <w:t xml:space="preserve"> in Tab 3 of the IRM Model that</w:t>
      </w:r>
      <w:r w:rsidR="00626675">
        <w:rPr>
          <w:rFonts w:ascii="Arial" w:hAnsi="Arial" w:cs="Arial"/>
          <w:sz w:val="24"/>
          <w:szCs w:val="24"/>
        </w:rPr>
        <w:t xml:space="preserve"> the “Principal Disposition during 2020- instructed by OEB” and the “Interest Disposition during 2020- instructed by OEB” in Account 1580</w:t>
      </w:r>
      <w:r w:rsidR="00C565AF">
        <w:rPr>
          <w:rFonts w:ascii="Arial" w:hAnsi="Arial" w:cs="Arial"/>
          <w:sz w:val="24"/>
          <w:szCs w:val="24"/>
        </w:rPr>
        <w:t xml:space="preserve"> RSVA- Wholesale Market Service Charge</w:t>
      </w:r>
      <w:r w:rsidR="00626675">
        <w:rPr>
          <w:rFonts w:ascii="Arial" w:hAnsi="Arial" w:cs="Arial"/>
          <w:sz w:val="24"/>
          <w:szCs w:val="24"/>
        </w:rPr>
        <w:t xml:space="preserve"> in 2020 </w:t>
      </w:r>
      <w:r w:rsidR="00B27787">
        <w:rPr>
          <w:rFonts w:ascii="Arial" w:hAnsi="Arial" w:cs="Arial"/>
          <w:sz w:val="24"/>
          <w:szCs w:val="24"/>
        </w:rPr>
        <w:t xml:space="preserve">was </w:t>
      </w:r>
      <w:r w:rsidR="00626675">
        <w:rPr>
          <w:rFonts w:ascii="Arial" w:hAnsi="Arial" w:cs="Arial"/>
          <w:sz w:val="24"/>
          <w:szCs w:val="24"/>
        </w:rPr>
        <w:t>a</w:t>
      </w:r>
      <w:r w:rsidR="00530AAC">
        <w:rPr>
          <w:rFonts w:ascii="Arial" w:hAnsi="Arial" w:cs="Arial"/>
          <w:sz w:val="24"/>
          <w:szCs w:val="24"/>
        </w:rPr>
        <w:t xml:space="preserve"> credit of</w:t>
      </w:r>
      <w:r w:rsidR="00C565AF">
        <w:rPr>
          <w:rFonts w:ascii="Arial" w:hAnsi="Arial" w:cs="Arial"/>
          <w:sz w:val="24"/>
          <w:szCs w:val="24"/>
        </w:rPr>
        <w:t xml:space="preserve"> </w:t>
      </w:r>
      <w:r w:rsidR="003E45D0">
        <w:rPr>
          <w:rFonts w:ascii="Arial" w:hAnsi="Arial" w:cs="Arial"/>
          <w:sz w:val="24"/>
          <w:szCs w:val="24"/>
        </w:rPr>
        <w:t xml:space="preserve">     </w:t>
      </w:r>
      <w:r w:rsidR="00530AAC">
        <w:rPr>
          <w:rFonts w:ascii="Arial" w:hAnsi="Arial" w:cs="Arial"/>
          <w:sz w:val="24"/>
          <w:szCs w:val="24"/>
        </w:rPr>
        <w:t>$</w:t>
      </w:r>
      <w:r w:rsidR="00530AAC" w:rsidRPr="00530AAC">
        <w:rPr>
          <w:rFonts w:ascii="Arial" w:hAnsi="Arial" w:cs="Arial"/>
          <w:sz w:val="24"/>
          <w:szCs w:val="24"/>
        </w:rPr>
        <w:t>93</w:t>
      </w:r>
      <w:r w:rsidR="00530AAC">
        <w:rPr>
          <w:rFonts w:ascii="Arial" w:hAnsi="Arial" w:cs="Arial"/>
          <w:sz w:val="24"/>
          <w:szCs w:val="24"/>
        </w:rPr>
        <w:t>,</w:t>
      </w:r>
      <w:r w:rsidR="00530AAC" w:rsidRPr="00530AAC">
        <w:rPr>
          <w:rFonts w:ascii="Arial" w:hAnsi="Arial" w:cs="Arial"/>
          <w:sz w:val="24"/>
          <w:szCs w:val="24"/>
        </w:rPr>
        <w:t>033</w:t>
      </w:r>
      <w:r w:rsidR="00530AAC">
        <w:rPr>
          <w:rFonts w:ascii="Arial" w:hAnsi="Arial" w:cs="Arial"/>
          <w:sz w:val="24"/>
          <w:szCs w:val="24"/>
        </w:rPr>
        <w:t xml:space="preserve"> and debit of $</w:t>
      </w:r>
      <w:r w:rsidR="00530AAC" w:rsidRPr="00530AAC">
        <w:rPr>
          <w:rFonts w:ascii="Arial" w:hAnsi="Arial" w:cs="Arial"/>
          <w:sz w:val="24"/>
          <w:szCs w:val="24"/>
        </w:rPr>
        <w:t>3</w:t>
      </w:r>
      <w:r w:rsidR="00530AAC">
        <w:rPr>
          <w:rFonts w:ascii="Arial" w:hAnsi="Arial" w:cs="Arial"/>
          <w:sz w:val="24"/>
          <w:szCs w:val="24"/>
        </w:rPr>
        <w:t>,</w:t>
      </w:r>
      <w:r w:rsidR="00530AAC" w:rsidRPr="00530AAC">
        <w:rPr>
          <w:rFonts w:ascii="Arial" w:hAnsi="Arial" w:cs="Arial"/>
          <w:sz w:val="24"/>
          <w:szCs w:val="24"/>
        </w:rPr>
        <w:t>238</w:t>
      </w:r>
      <w:r w:rsidR="00B27787">
        <w:rPr>
          <w:rFonts w:ascii="Arial" w:hAnsi="Arial" w:cs="Arial"/>
          <w:sz w:val="24"/>
          <w:szCs w:val="24"/>
        </w:rPr>
        <w:t>,</w:t>
      </w:r>
      <w:r w:rsidR="00530AAC">
        <w:rPr>
          <w:rFonts w:ascii="Arial" w:hAnsi="Arial" w:cs="Arial"/>
          <w:sz w:val="24"/>
          <w:szCs w:val="24"/>
        </w:rPr>
        <w:t xml:space="preserve"> respectively. OEB staff notes that </w:t>
      </w:r>
      <w:r w:rsidR="00FB63F7">
        <w:rPr>
          <w:rFonts w:ascii="Arial" w:hAnsi="Arial" w:cs="Arial"/>
          <w:sz w:val="24"/>
          <w:szCs w:val="24"/>
        </w:rPr>
        <w:t>as per the 2019 IRM Decision and Rate Order, the principal and interest disposition in Account 1580 was a credit of $</w:t>
      </w:r>
      <w:r w:rsidR="00FB63F7" w:rsidRPr="00FB63F7">
        <w:rPr>
          <w:rFonts w:ascii="Arial" w:hAnsi="Arial" w:cs="Arial"/>
          <w:sz w:val="24"/>
          <w:szCs w:val="24"/>
        </w:rPr>
        <w:t>101,170</w:t>
      </w:r>
      <w:r w:rsidR="00FB63F7">
        <w:rPr>
          <w:rFonts w:ascii="Arial" w:hAnsi="Arial" w:cs="Arial"/>
          <w:sz w:val="24"/>
          <w:szCs w:val="24"/>
        </w:rPr>
        <w:t xml:space="preserve"> and debit of $2,659</w:t>
      </w:r>
      <w:r w:rsidR="00B27787">
        <w:rPr>
          <w:rFonts w:ascii="Arial" w:hAnsi="Arial" w:cs="Arial"/>
          <w:sz w:val="24"/>
          <w:szCs w:val="24"/>
        </w:rPr>
        <w:t>,</w:t>
      </w:r>
      <w:r w:rsidR="00FB63F7">
        <w:rPr>
          <w:rFonts w:ascii="Arial" w:hAnsi="Arial" w:cs="Arial"/>
          <w:sz w:val="24"/>
          <w:szCs w:val="24"/>
        </w:rPr>
        <w:t xml:space="preserve"> respectively. </w:t>
      </w:r>
    </w:p>
    <w:p w14:paraId="480D2B46" w14:textId="6124E1F1" w:rsidR="003E5055" w:rsidRDefault="003E5055" w:rsidP="00484335">
      <w:pPr>
        <w:rPr>
          <w:rFonts w:ascii="Arial" w:hAnsi="Arial" w:cs="Arial"/>
          <w:sz w:val="24"/>
          <w:szCs w:val="24"/>
        </w:rPr>
      </w:pPr>
      <w:r>
        <w:rPr>
          <w:noProof/>
        </w:rPr>
        <mc:AlternateContent>
          <mc:Choice Requires="wps">
            <w:drawing>
              <wp:anchor distT="0" distB="0" distL="114300" distR="114300" simplePos="0" relativeHeight="251659264" behindDoc="0" locked="0" layoutInCell="1" allowOverlap="1" wp14:anchorId="5A354D25" wp14:editId="660C50DC">
                <wp:simplePos x="0" y="0"/>
                <wp:positionH relativeFrom="column">
                  <wp:posOffset>4724400</wp:posOffset>
                </wp:positionH>
                <wp:positionV relativeFrom="paragraph">
                  <wp:posOffset>924560</wp:posOffset>
                </wp:positionV>
                <wp:extent cx="162560" cy="200660"/>
                <wp:effectExtent l="38100" t="0" r="27940" b="66040"/>
                <wp:wrapNone/>
                <wp:docPr id="2" name="Straight Arrow Connector 2"/>
                <wp:cNvGraphicFramePr/>
                <a:graphic xmlns:a="http://schemas.openxmlformats.org/drawingml/2006/main">
                  <a:graphicData uri="http://schemas.microsoft.com/office/word/2010/wordprocessingShape">
                    <wps:wsp>
                      <wps:cNvCnPr/>
                      <wps:spPr>
                        <a:xfrm flipH="1">
                          <a:off x="0" y="0"/>
                          <a:ext cx="162560" cy="200660"/>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7E6BBFB" id="_x0000_t32" coordsize="21600,21600" o:spt="32" o:oned="t" path="m,l21600,21600e" filled="f">
                <v:path arrowok="t" fillok="f" o:connecttype="none"/>
                <o:lock v:ext="edit" shapetype="t"/>
              </v:shapetype>
              <v:shape id="Straight Arrow Connector 2" o:spid="_x0000_s1026" type="#_x0000_t32" style="position:absolute;margin-left:372pt;margin-top:72.8pt;width:12.8pt;height:15.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" strokecolor="red" strokeweight="1.5pt">
                <v:stroke endarrow="block" joinstyle="miter"/>
              </v:shape>
            </w:pict>
          </mc:Fallback>
        </mc:AlternateContent>
      </w:r>
      <w:r>
        <w:rPr>
          <w:noProof/>
        </w:rPr>
        <mc:AlternateContent>
          <mc:Choice Requires="wps">
            <w:drawing>
              <wp:anchor distT="0" distB="0" distL="114300" distR="114300" simplePos="0" relativeHeight="251661312" behindDoc="0" locked="0" layoutInCell="1" allowOverlap="1" wp14:anchorId="0B21A731" wp14:editId="69B87FD0">
                <wp:simplePos x="0" y="0"/>
                <wp:positionH relativeFrom="column">
                  <wp:posOffset>4202430</wp:posOffset>
                </wp:positionH>
                <wp:positionV relativeFrom="paragraph">
                  <wp:posOffset>923719</wp:posOffset>
                </wp:positionV>
                <wp:extent cx="162560" cy="200660"/>
                <wp:effectExtent l="38100" t="0" r="27940" b="66040"/>
                <wp:wrapNone/>
                <wp:docPr id="3" name="Straight Arrow Connector 3"/>
                <wp:cNvGraphicFramePr/>
                <a:graphic xmlns:a="http://schemas.openxmlformats.org/drawingml/2006/main">
                  <a:graphicData uri="http://schemas.microsoft.com/office/word/2010/wordprocessingShape">
                    <wps:wsp>
                      <wps:cNvCnPr/>
                      <wps:spPr>
                        <a:xfrm flipH="1">
                          <a:off x="0" y="0"/>
                          <a:ext cx="162560" cy="200660"/>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B032FB" id="Straight Arrow Connector 3" o:spid="_x0000_s1026" type="#_x0000_t32" style="position:absolute;margin-left:330.9pt;margin-top:72.75pt;width:12.8pt;height:15.8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" strokecolor="red" strokeweight="1.5pt">
                <v:stroke endarrow="block" joinstyle="miter"/>
              </v:shape>
            </w:pict>
          </mc:Fallback>
        </mc:AlternateContent>
      </w:r>
      <w:r>
        <w:rPr>
          <w:noProof/>
        </w:rPr>
        <w:drawing>
          <wp:inline distT="0" distB="0" distL="0" distR="0" wp14:anchorId="60C97D4D" wp14:editId="570E7723">
            <wp:extent cx="5919815" cy="3174311"/>
            <wp:effectExtent l="19050" t="19050" r="24130" b="266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57141" cy="3194326"/>
                    </a:xfrm>
                    <a:prstGeom prst="rect">
                      <a:avLst/>
                    </a:prstGeom>
                    <a:ln>
                      <a:solidFill>
                        <a:schemeClr val="tx1"/>
                      </a:solidFill>
                    </a:ln>
                  </pic:spPr>
                </pic:pic>
              </a:graphicData>
            </a:graphic>
          </wp:inline>
        </w:drawing>
      </w:r>
    </w:p>
    <w:p w14:paraId="1053AB60" w14:textId="25A2FBE4" w:rsidR="00B87098" w:rsidRDefault="007A3C18" w:rsidP="00B87098">
      <w:pPr>
        <w:pStyle w:val="ListParagraph"/>
        <w:numPr>
          <w:ilvl w:val="0"/>
          <w:numId w:val="7"/>
        </w:numPr>
        <w:rPr>
          <w:rFonts w:ascii="Arial" w:hAnsi="Arial" w:cs="Arial"/>
          <w:sz w:val="24"/>
          <w:szCs w:val="24"/>
        </w:rPr>
      </w:pPr>
      <w:r w:rsidRPr="00B07393">
        <w:rPr>
          <w:rFonts w:ascii="Arial" w:hAnsi="Arial" w:cs="Arial"/>
          <w:sz w:val="24"/>
          <w:szCs w:val="24"/>
        </w:rPr>
        <w:t>Please review</w:t>
      </w:r>
      <w:r w:rsidR="00C565AF" w:rsidRPr="00B07393">
        <w:rPr>
          <w:rFonts w:ascii="Arial" w:hAnsi="Arial" w:cs="Arial"/>
          <w:sz w:val="24"/>
          <w:szCs w:val="24"/>
        </w:rPr>
        <w:t xml:space="preserve"> </w:t>
      </w:r>
      <w:r w:rsidR="00620715" w:rsidRPr="00B07393">
        <w:rPr>
          <w:rFonts w:ascii="Arial" w:hAnsi="Arial" w:cs="Arial"/>
          <w:sz w:val="24"/>
          <w:szCs w:val="24"/>
        </w:rPr>
        <w:t>the Account 1580 RSVA- Wholesale Market Service Charge</w:t>
      </w:r>
      <w:r w:rsidR="00B27787">
        <w:rPr>
          <w:rFonts w:ascii="Arial" w:hAnsi="Arial" w:cs="Arial"/>
          <w:sz w:val="24"/>
          <w:szCs w:val="24"/>
        </w:rPr>
        <w:t xml:space="preserve"> disposition amounts</w:t>
      </w:r>
      <w:r w:rsidR="00620715" w:rsidRPr="00B07393">
        <w:rPr>
          <w:rFonts w:ascii="Arial" w:hAnsi="Arial" w:cs="Arial"/>
          <w:sz w:val="24"/>
          <w:szCs w:val="24"/>
        </w:rPr>
        <w:t xml:space="preserve"> in 2020 and</w:t>
      </w:r>
      <w:r w:rsidRPr="00B07393">
        <w:rPr>
          <w:rFonts w:ascii="Arial" w:hAnsi="Arial" w:cs="Arial"/>
          <w:sz w:val="24"/>
          <w:szCs w:val="24"/>
        </w:rPr>
        <w:t xml:space="preserve"> provide </w:t>
      </w:r>
      <w:r w:rsidR="00C565AF" w:rsidRPr="00B07393">
        <w:rPr>
          <w:rFonts w:ascii="Arial" w:hAnsi="Arial" w:cs="Arial"/>
          <w:sz w:val="24"/>
          <w:szCs w:val="24"/>
        </w:rPr>
        <w:t xml:space="preserve">an </w:t>
      </w:r>
      <w:r w:rsidRPr="00B07393">
        <w:rPr>
          <w:rFonts w:ascii="Arial" w:hAnsi="Arial" w:cs="Arial"/>
          <w:sz w:val="24"/>
          <w:szCs w:val="24"/>
        </w:rPr>
        <w:t xml:space="preserve">explanation for the noted </w:t>
      </w:r>
      <w:r w:rsidRPr="00B07393">
        <w:rPr>
          <w:rFonts w:ascii="Arial" w:hAnsi="Arial" w:cs="Arial"/>
          <w:sz w:val="24"/>
          <w:szCs w:val="24"/>
        </w:rPr>
        <w:lastRenderedPageBreak/>
        <w:t>discrepanc</w:t>
      </w:r>
      <w:r w:rsidR="00B27787">
        <w:rPr>
          <w:rFonts w:ascii="Arial" w:hAnsi="Arial" w:cs="Arial"/>
          <w:sz w:val="24"/>
          <w:szCs w:val="24"/>
        </w:rPr>
        <w:t>ies</w:t>
      </w:r>
      <w:r w:rsidRPr="00B07393">
        <w:rPr>
          <w:rFonts w:ascii="Arial" w:hAnsi="Arial" w:cs="Arial"/>
          <w:sz w:val="24"/>
          <w:szCs w:val="24"/>
        </w:rPr>
        <w:t xml:space="preserve">. OEB staff is of the </w:t>
      </w:r>
      <w:r w:rsidR="00B27787">
        <w:rPr>
          <w:rFonts w:ascii="Arial" w:hAnsi="Arial" w:cs="Arial"/>
          <w:sz w:val="24"/>
          <w:szCs w:val="24"/>
        </w:rPr>
        <w:t>understanding</w:t>
      </w:r>
      <w:r w:rsidR="00B27787" w:rsidRPr="00B07393">
        <w:rPr>
          <w:rFonts w:ascii="Arial" w:hAnsi="Arial" w:cs="Arial"/>
          <w:sz w:val="24"/>
          <w:szCs w:val="24"/>
        </w:rPr>
        <w:t xml:space="preserve"> </w:t>
      </w:r>
      <w:r w:rsidRPr="00B07393">
        <w:rPr>
          <w:rFonts w:ascii="Arial" w:hAnsi="Arial" w:cs="Arial"/>
          <w:sz w:val="24"/>
          <w:szCs w:val="24"/>
        </w:rPr>
        <w:t>that the balances in Account 1580 are being subtracted with sub-account CBR Class B.</w:t>
      </w:r>
    </w:p>
    <w:p w14:paraId="78A62713" w14:textId="77777777" w:rsidR="00B87098" w:rsidRDefault="00B87098" w:rsidP="00B87098">
      <w:pPr>
        <w:pStyle w:val="ListParagraph"/>
        <w:rPr>
          <w:rFonts w:ascii="Arial" w:hAnsi="Arial" w:cs="Arial"/>
          <w:sz w:val="24"/>
          <w:szCs w:val="24"/>
        </w:rPr>
      </w:pPr>
    </w:p>
    <w:p w14:paraId="4E5876A3" w14:textId="46D6485D" w:rsidR="00B87098" w:rsidRPr="00B87098" w:rsidRDefault="00B87098" w:rsidP="00B87098">
      <w:pPr>
        <w:pStyle w:val="ListParagraph"/>
        <w:rPr>
          <w:rFonts w:ascii="Arial" w:hAnsi="Arial" w:cs="Arial"/>
          <w:color w:val="4472C4" w:themeColor="accent1"/>
          <w:sz w:val="24"/>
          <w:szCs w:val="24"/>
        </w:rPr>
      </w:pPr>
      <w:r>
        <w:rPr>
          <w:rFonts w:ascii="Arial" w:hAnsi="Arial" w:cs="Arial"/>
          <w:color w:val="4472C4" w:themeColor="accent1"/>
          <w:sz w:val="24"/>
          <w:szCs w:val="24"/>
        </w:rPr>
        <w:t xml:space="preserve">The RSVA – Wholesale Market Service Change 1580 is the total </w:t>
      </w:r>
      <w:r w:rsidRPr="00B87098">
        <w:rPr>
          <w:rFonts w:ascii="Arial" w:hAnsi="Arial" w:cs="Arial"/>
          <w:color w:val="4472C4" w:themeColor="accent1"/>
          <w:sz w:val="24"/>
          <w:szCs w:val="24"/>
        </w:rPr>
        <w:t>credit of $101,170 and debit of $2,659</w:t>
      </w:r>
      <w:r>
        <w:rPr>
          <w:rFonts w:ascii="Arial" w:hAnsi="Arial" w:cs="Arial"/>
          <w:color w:val="4472C4" w:themeColor="accent1"/>
          <w:sz w:val="24"/>
          <w:szCs w:val="24"/>
        </w:rPr>
        <w:t xml:space="preserve"> subtracting the Variance WMS – Sub-account CBR Class B amount. When adding the two lines on tab-3 continuity schedule the balance equals the total approved disposal from the </w:t>
      </w:r>
      <w:r w:rsidRPr="00B87098">
        <w:rPr>
          <w:rFonts w:ascii="Arial" w:hAnsi="Arial" w:cs="Arial"/>
          <w:color w:val="4472C4" w:themeColor="accent1"/>
          <w:sz w:val="24"/>
          <w:szCs w:val="24"/>
        </w:rPr>
        <w:t>2019 IRM Decision and Rate Order</w:t>
      </w:r>
      <w:r>
        <w:rPr>
          <w:rFonts w:ascii="Arial" w:hAnsi="Arial" w:cs="Arial"/>
          <w:color w:val="4472C4" w:themeColor="accent1"/>
          <w:sz w:val="24"/>
          <w:szCs w:val="24"/>
        </w:rPr>
        <w:t>.</w:t>
      </w:r>
    </w:p>
    <w:p w14:paraId="212BA173" w14:textId="77777777" w:rsidR="00B07393" w:rsidRPr="00B07393" w:rsidRDefault="00B07393" w:rsidP="00B07393">
      <w:pPr>
        <w:pStyle w:val="ListParagraph"/>
        <w:rPr>
          <w:rFonts w:ascii="Arial" w:hAnsi="Arial" w:cs="Arial"/>
          <w:sz w:val="24"/>
          <w:szCs w:val="24"/>
        </w:rPr>
      </w:pPr>
    </w:p>
    <w:p w14:paraId="6AC906FE" w14:textId="074ADE3B" w:rsidR="00D61AF9" w:rsidRDefault="007A3C18" w:rsidP="00B07393">
      <w:pPr>
        <w:pStyle w:val="ListParagraph"/>
        <w:numPr>
          <w:ilvl w:val="0"/>
          <w:numId w:val="7"/>
        </w:numPr>
        <w:rPr>
          <w:rFonts w:ascii="Arial" w:hAnsi="Arial" w:cs="Arial"/>
          <w:sz w:val="24"/>
          <w:szCs w:val="24"/>
        </w:rPr>
      </w:pPr>
      <w:r w:rsidRPr="00B07393">
        <w:rPr>
          <w:rFonts w:ascii="Arial" w:hAnsi="Arial" w:cs="Arial"/>
          <w:sz w:val="24"/>
          <w:szCs w:val="24"/>
        </w:rPr>
        <w:t xml:space="preserve">If required, please make </w:t>
      </w:r>
      <w:r w:rsidR="00B27787">
        <w:rPr>
          <w:rFonts w:ascii="Arial" w:hAnsi="Arial" w:cs="Arial"/>
          <w:sz w:val="24"/>
          <w:szCs w:val="24"/>
        </w:rPr>
        <w:t xml:space="preserve">any </w:t>
      </w:r>
      <w:r w:rsidRPr="00B07393">
        <w:rPr>
          <w:rFonts w:ascii="Arial" w:hAnsi="Arial" w:cs="Arial"/>
          <w:sz w:val="24"/>
          <w:szCs w:val="24"/>
        </w:rPr>
        <w:t>necessary adjustments to the Continuity Schedule in the 2021 IRM Rate Generator Model.</w:t>
      </w:r>
    </w:p>
    <w:p w14:paraId="5E3C25BE" w14:textId="77777777" w:rsidR="00B87098" w:rsidRDefault="00B87098" w:rsidP="00B87098">
      <w:pPr>
        <w:pStyle w:val="ListParagraph"/>
        <w:rPr>
          <w:rFonts w:ascii="Arial" w:hAnsi="Arial" w:cs="Arial"/>
          <w:sz w:val="24"/>
          <w:szCs w:val="24"/>
        </w:rPr>
      </w:pPr>
    </w:p>
    <w:p w14:paraId="54ADC818" w14:textId="16990469" w:rsidR="00B87098" w:rsidRPr="00B87098" w:rsidRDefault="00B87098" w:rsidP="00B87098">
      <w:pPr>
        <w:pStyle w:val="ListParagraph"/>
        <w:rPr>
          <w:rFonts w:ascii="Arial" w:hAnsi="Arial" w:cs="Arial"/>
          <w:color w:val="4472C4" w:themeColor="accent1"/>
          <w:sz w:val="24"/>
          <w:szCs w:val="24"/>
        </w:rPr>
      </w:pPr>
      <w:r>
        <w:rPr>
          <w:rFonts w:ascii="Arial" w:hAnsi="Arial" w:cs="Arial"/>
          <w:color w:val="4472C4" w:themeColor="accent1"/>
          <w:sz w:val="24"/>
          <w:szCs w:val="24"/>
        </w:rPr>
        <w:t>No changes required.</w:t>
      </w:r>
    </w:p>
    <w:p w14:paraId="4F4FF366" w14:textId="77777777" w:rsidR="002B7E64" w:rsidRDefault="002B7E64" w:rsidP="00D61AF9">
      <w:pPr>
        <w:rPr>
          <w:rFonts w:ascii="Arial" w:hAnsi="Arial" w:cs="Arial"/>
          <w:b/>
          <w:bCs/>
          <w:sz w:val="24"/>
          <w:szCs w:val="24"/>
        </w:rPr>
      </w:pPr>
    </w:p>
    <w:p w14:paraId="7D44CD62" w14:textId="04A7C901" w:rsidR="00D61AF9" w:rsidRDefault="00D61AF9" w:rsidP="00D61AF9">
      <w:pPr>
        <w:rPr>
          <w:rFonts w:ascii="Arial" w:hAnsi="Arial" w:cs="Arial"/>
          <w:b/>
          <w:bCs/>
          <w:sz w:val="24"/>
          <w:szCs w:val="24"/>
        </w:rPr>
      </w:pPr>
      <w:r>
        <w:rPr>
          <w:rFonts w:ascii="Arial" w:hAnsi="Arial" w:cs="Arial"/>
          <w:b/>
          <w:bCs/>
          <w:sz w:val="24"/>
          <w:szCs w:val="24"/>
        </w:rPr>
        <w:t>OEB Staff-</w:t>
      </w:r>
      <w:r w:rsidR="007A6F1B">
        <w:rPr>
          <w:rFonts w:ascii="Arial" w:hAnsi="Arial" w:cs="Arial"/>
          <w:b/>
          <w:bCs/>
          <w:sz w:val="24"/>
          <w:szCs w:val="24"/>
        </w:rPr>
        <w:t xml:space="preserve"> 2</w:t>
      </w:r>
    </w:p>
    <w:p w14:paraId="109EB5D1" w14:textId="22E161A4" w:rsidR="008F72A9" w:rsidRDefault="00D61AF9" w:rsidP="00D61AF9">
      <w:pPr>
        <w:rPr>
          <w:rFonts w:ascii="Arial" w:hAnsi="Arial" w:cs="Arial"/>
          <w:sz w:val="24"/>
          <w:szCs w:val="24"/>
        </w:rPr>
      </w:pPr>
      <w:r>
        <w:rPr>
          <w:rFonts w:ascii="Arial" w:hAnsi="Arial" w:cs="Arial"/>
          <w:b/>
          <w:bCs/>
          <w:sz w:val="24"/>
          <w:szCs w:val="24"/>
        </w:rPr>
        <w:t>Reference:</w:t>
      </w:r>
      <w:r>
        <w:rPr>
          <w:rFonts w:ascii="Arial" w:hAnsi="Arial" w:cs="Arial"/>
          <w:sz w:val="24"/>
          <w:szCs w:val="24"/>
        </w:rPr>
        <w:tab/>
        <w:t>(</w:t>
      </w:r>
      <w:proofErr w:type="spellStart"/>
      <w:r>
        <w:rPr>
          <w:rFonts w:ascii="Arial" w:hAnsi="Arial" w:cs="Arial"/>
          <w:sz w:val="24"/>
          <w:szCs w:val="24"/>
        </w:rPr>
        <w:t>i</w:t>
      </w:r>
      <w:proofErr w:type="spellEnd"/>
      <w:r>
        <w:rPr>
          <w:rFonts w:ascii="Arial" w:hAnsi="Arial" w:cs="Arial"/>
          <w:sz w:val="24"/>
          <w:szCs w:val="24"/>
        </w:rPr>
        <w:t xml:space="preserve">) </w:t>
      </w:r>
      <w:r w:rsidR="00831307" w:rsidRPr="00831307">
        <w:rPr>
          <w:rFonts w:ascii="Arial" w:hAnsi="Arial" w:cs="Arial"/>
          <w:sz w:val="24"/>
          <w:szCs w:val="24"/>
        </w:rPr>
        <w:t>IRM Rate Generator Model</w:t>
      </w:r>
      <w:r w:rsidR="00831307">
        <w:rPr>
          <w:rFonts w:ascii="Arial" w:hAnsi="Arial" w:cs="Arial"/>
          <w:sz w:val="24"/>
          <w:szCs w:val="24"/>
        </w:rPr>
        <w:t xml:space="preserve">, </w:t>
      </w:r>
      <w:r w:rsidR="00831307" w:rsidRPr="00831307">
        <w:rPr>
          <w:rFonts w:ascii="Arial" w:hAnsi="Arial" w:cs="Arial"/>
          <w:sz w:val="24"/>
          <w:szCs w:val="24"/>
        </w:rPr>
        <w:t>Tab 3</w:t>
      </w:r>
      <w:r w:rsidR="009D0D8E">
        <w:rPr>
          <w:rFonts w:ascii="Arial" w:hAnsi="Arial" w:cs="Arial"/>
          <w:sz w:val="24"/>
          <w:szCs w:val="24"/>
        </w:rPr>
        <w:t xml:space="preserve">: </w:t>
      </w:r>
      <w:r w:rsidR="00831307" w:rsidRPr="00831307">
        <w:rPr>
          <w:rFonts w:ascii="Arial" w:hAnsi="Arial" w:cs="Arial"/>
          <w:sz w:val="24"/>
          <w:szCs w:val="24"/>
        </w:rPr>
        <w:t>Continuity Schedule</w:t>
      </w:r>
    </w:p>
    <w:p w14:paraId="13A43AA2" w14:textId="749D55EA" w:rsidR="003522B4" w:rsidRDefault="008F72A9" w:rsidP="00D61AF9">
      <w:pPr>
        <w:rPr>
          <w:rFonts w:ascii="Arial" w:hAnsi="Arial" w:cs="Arial"/>
          <w:sz w:val="24"/>
          <w:szCs w:val="24"/>
        </w:rPr>
      </w:pPr>
      <w:r>
        <w:rPr>
          <w:rFonts w:ascii="Arial" w:hAnsi="Arial" w:cs="Arial"/>
          <w:sz w:val="24"/>
          <w:szCs w:val="24"/>
        </w:rPr>
        <w:t>On Tab 3 the “Project</w:t>
      </w:r>
      <w:r w:rsidR="000B4051">
        <w:rPr>
          <w:rFonts w:ascii="Arial" w:hAnsi="Arial" w:cs="Arial"/>
          <w:sz w:val="24"/>
          <w:szCs w:val="24"/>
        </w:rPr>
        <w:t>ed</w:t>
      </w:r>
      <w:r>
        <w:rPr>
          <w:rFonts w:ascii="Arial" w:hAnsi="Arial" w:cs="Arial"/>
          <w:sz w:val="24"/>
          <w:szCs w:val="24"/>
        </w:rPr>
        <w:t xml:space="preserve"> Interest from Jan 1, 2020 to Dec 31, 2020 on Dec 31, 2019 balance adjusted for disposition during 2020”</w:t>
      </w:r>
      <w:r w:rsidR="000B4051">
        <w:rPr>
          <w:rFonts w:ascii="Arial" w:hAnsi="Arial" w:cs="Arial"/>
          <w:sz w:val="24"/>
          <w:szCs w:val="24"/>
        </w:rPr>
        <w:t xml:space="preserve"> (column BQ)</w:t>
      </w:r>
      <w:r>
        <w:rPr>
          <w:rFonts w:ascii="Arial" w:hAnsi="Arial" w:cs="Arial"/>
          <w:sz w:val="24"/>
          <w:szCs w:val="24"/>
        </w:rPr>
        <w:t xml:space="preserve"> for Accounts 1550, 1551, 1580, 1584, 1586</w:t>
      </w:r>
      <w:r w:rsidR="00BD7667">
        <w:rPr>
          <w:rFonts w:ascii="Arial" w:hAnsi="Arial" w:cs="Arial"/>
          <w:sz w:val="24"/>
          <w:szCs w:val="24"/>
        </w:rPr>
        <w:t>, 1588, and 1589</w:t>
      </w:r>
      <w:r w:rsidR="00B27787">
        <w:rPr>
          <w:rFonts w:ascii="Arial" w:hAnsi="Arial" w:cs="Arial"/>
          <w:sz w:val="24"/>
          <w:szCs w:val="24"/>
        </w:rPr>
        <w:t>, amounts</w:t>
      </w:r>
      <w:r w:rsidR="000B4051">
        <w:rPr>
          <w:rFonts w:ascii="Arial" w:hAnsi="Arial" w:cs="Arial"/>
          <w:sz w:val="24"/>
          <w:szCs w:val="24"/>
        </w:rPr>
        <w:t xml:space="preserve"> </w:t>
      </w:r>
      <w:r w:rsidR="009E1C64">
        <w:rPr>
          <w:rFonts w:ascii="Arial" w:hAnsi="Arial" w:cs="Arial"/>
          <w:sz w:val="24"/>
          <w:szCs w:val="24"/>
        </w:rPr>
        <w:t>were</w:t>
      </w:r>
      <w:r w:rsidR="000B4051">
        <w:rPr>
          <w:rFonts w:ascii="Arial" w:hAnsi="Arial" w:cs="Arial"/>
          <w:sz w:val="24"/>
          <w:szCs w:val="24"/>
        </w:rPr>
        <w:t xml:space="preserve"> calculated using the formula</w:t>
      </w:r>
      <w:r w:rsidR="003522B4">
        <w:rPr>
          <w:rFonts w:ascii="Arial" w:hAnsi="Arial" w:cs="Arial"/>
          <w:sz w:val="24"/>
          <w:szCs w:val="24"/>
        </w:rPr>
        <w:t xml:space="preserve">: </w:t>
      </w:r>
    </w:p>
    <w:p w14:paraId="455A577F" w14:textId="1E6A055D" w:rsidR="008F72A9" w:rsidRDefault="000B4051" w:rsidP="00D61AF9">
      <w:pPr>
        <w:rPr>
          <w:rFonts w:ascii="Arial" w:hAnsi="Arial" w:cs="Arial"/>
          <w:sz w:val="24"/>
          <w:szCs w:val="24"/>
        </w:rPr>
      </w:pPr>
      <w:r>
        <w:rPr>
          <w:rFonts w:ascii="Arial" w:hAnsi="Arial" w:cs="Arial"/>
          <w:sz w:val="24"/>
          <w:szCs w:val="24"/>
        </w:rPr>
        <w:t>BQ## = BM##*</w:t>
      </w:r>
      <w:r w:rsidRPr="000B4051">
        <w:rPr>
          <w:rFonts w:ascii="Arial" w:hAnsi="Arial" w:cs="Arial"/>
          <w:sz w:val="24"/>
          <w:szCs w:val="24"/>
        </w:rPr>
        <w:t>((0.0218*(6/12</w:t>
      </w:r>
      <w:proofErr w:type="gramStart"/>
      <w:r w:rsidRPr="000B4051">
        <w:rPr>
          <w:rFonts w:ascii="Arial" w:hAnsi="Arial" w:cs="Arial"/>
          <w:sz w:val="24"/>
          <w:szCs w:val="24"/>
        </w:rPr>
        <w:t>))+(</w:t>
      </w:r>
      <w:proofErr w:type="gramEnd"/>
      <w:r w:rsidRPr="000B4051">
        <w:rPr>
          <w:rFonts w:ascii="Arial" w:hAnsi="Arial" w:cs="Arial"/>
          <w:sz w:val="24"/>
          <w:szCs w:val="24"/>
        </w:rPr>
        <w:t>0.0057*(6/12)))</w:t>
      </w:r>
    </w:p>
    <w:p w14:paraId="74E3CFF2" w14:textId="5FE80EBE" w:rsidR="000B4051" w:rsidRDefault="00D017D0" w:rsidP="00D61AF9">
      <w:pPr>
        <w:rPr>
          <w:rFonts w:ascii="Arial" w:hAnsi="Arial" w:cs="Arial"/>
          <w:sz w:val="24"/>
          <w:szCs w:val="24"/>
        </w:rPr>
      </w:pPr>
      <w:r>
        <w:rPr>
          <w:rFonts w:ascii="Arial" w:hAnsi="Arial" w:cs="Arial"/>
          <w:sz w:val="24"/>
          <w:szCs w:val="24"/>
        </w:rPr>
        <w:t>Typically,</w:t>
      </w:r>
      <w:r w:rsidR="000B4051">
        <w:rPr>
          <w:rFonts w:ascii="Arial" w:hAnsi="Arial" w:cs="Arial"/>
          <w:sz w:val="24"/>
          <w:szCs w:val="24"/>
        </w:rPr>
        <w:t xml:space="preserve"> the</w:t>
      </w:r>
      <w:r>
        <w:rPr>
          <w:rFonts w:ascii="Arial" w:hAnsi="Arial" w:cs="Arial"/>
          <w:sz w:val="24"/>
          <w:szCs w:val="24"/>
        </w:rPr>
        <w:t xml:space="preserve"> projected interest (column BQ) is calculated using the “Closing Principal Balances as of Dec 31, 2019 Adjusted for Disposition during 2020” (column BO)</w:t>
      </w:r>
      <w:r w:rsidR="003522B4">
        <w:rPr>
          <w:rFonts w:ascii="Arial" w:hAnsi="Arial" w:cs="Arial"/>
          <w:sz w:val="24"/>
          <w:szCs w:val="24"/>
        </w:rPr>
        <w:t xml:space="preserve"> instead of the “Principal Disposition during 2020- instructed by OEB” (column BM).</w:t>
      </w:r>
    </w:p>
    <w:p w14:paraId="648A79DF" w14:textId="3101E934" w:rsidR="009E1C64" w:rsidRDefault="009E1C64" w:rsidP="00D61AF9">
      <w:pPr>
        <w:rPr>
          <w:rFonts w:ascii="Arial" w:hAnsi="Arial" w:cs="Arial"/>
          <w:sz w:val="24"/>
          <w:szCs w:val="24"/>
        </w:rPr>
      </w:pPr>
      <w:r>
        <w:rPr>
          <w:noProof/>
        </w:rPr>
        <mc:AlternateContent>
          <mc:Choice Requires="wps">
            <w:drawing>
              <wp:anchor distT="0" distB="0" distL="114300" distR="114300" simplePos="0" relativeHeight="251662336" behindDoc="0" locked="0" layoutInCell="1" allowOverlap="1" wp14:anchorId="315C4D2D" wp14:editId="74CDAE52">
                <wp:simplePos x="0" y="0"/>
                <wp:positionH relativeFrom="column">
                  <wp:posOffset>5500048</wp:posOffset>
                </wp:positionH>
                <wp:positionV relativeFrom="paragraph">
                  <wp:posOffset>699344</wp:posOffset>
                </wp:positionV>
                <wp:extent cx="605894" cy="907576"/>
                <wp:effectExtent l="19050" t="19050" r="22860" b="26035"/>
                <wp:wrapNone/>
                <wp:docPr id="5" name="Rectangle 5"/>
                <wp:cNvGraphicFramePr/>
                <a:graphic xmlns:a="http://schemas.openxmlformats.org/drawingml/2006/main">
                  <a:graphicData uri="http://schemas.microsoft.com/office/word/2010/wordprocessingShape">
                    <wps:wsp>
                      <wps:cNvSpPr/>
                      <wps:spPr>
                        <a:xfrm>
                          <a:off x="0" y="0"/>
                          <a:ext cx="605894" cy="90757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488C41" id="Rectangle 5" o:spid="_x0000_s1026" style="position:absolute;margin-left:433.05pt;margin-top:55.05pt;width:47.7pt;height:71.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" filled="f" strokecolor="red" strokeweight="2.25pt"/>
            </w:pict>
          </mc:Fallback>
        </mc:AlternateContent>
      </w:r>
      <w:r>
        <w:rPr>
          <w:noProof/>
        </w:rPr>
        <w:drawing>
          <wp:inline distT="0" distB="0" distL="0" distR="0" wp14:anchorId="1C1C1082" wp14:editId="7566731F">
            <wp:extent cx="6178202" cy="2811439"/>
            <wp:effectExtent l="19050" t="19050" r="13335" b="273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20551"/>
                    <a:stretch/>
                  </pic:blipFill>
                  <pic:spPr bwMode="auto">
                    <a:xfrm>
                      <a:off x="0" y="0"/>
                      <a:ext cx="6213395" cy="282745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4A2B56B" w14:textId="6398D6FF" w:rsidR="003522B4" w:rsidRDefault="003522B4" w:rsidP="00B07393">
      <w:pPr>
        <w:pStyle w:val="ListParagraph"/>
        <w:numPr>
          <w:ilvl w:val="0"/>
          <w:numId w:val="9"/>
        </w:numPr>
        <w:rPr>
          <w:rFonts w:ascii="Arial" w:hAnsi="Arial" w:cs="Arial"/>
          <w:sz w:val="24"/>
          <w:szCs w:val="24"/>
        </w:rPr>
      </w:pPr>
      <w:r w:rsidRPr="00B07393">
        <w:rPr>
          <w:rFonts w:ascii="Arial" w:hAnsi="Arial" w:cs="Arial"/>
          <w:sz w:val="24"/>
          <w:szCs w:val="24"/>
        </w:rPr>
        <w:lastRenderedPageBreak/>
        <w:t>Please explain why the project</w:t>
      </w:r>
      <w:r w:rsidR="009E1C64">
        <w:rPr>
          <w:rFonts w:ascii="Arial" w:hAnsi="Arial" w:cs="Arial"/>
          <w:sz w:val="24"/>
          <w:szCs w:val="24"/>
        </w:rPr>
        <w:t>ed</w:t>
      </w:r>
      <w:r w:rsidRPr="00B07393">
        <w:rPr>
          <w:rFonts w:ascii="Arial" w:hAnsi="Arial" w:cs="Arial"/>
          <w:sz w:val="24"/>
          <w:szCs w:val="24"/>
        </w:rPr>
        <w:t xml:space="preserve"> interest (column BQ) was calculated using column BM as noted in the above formula instead of column BO.</w:t>
      </w:r>
    </w:p>
    <w:p w14:paraId="0BE9102B" w14:textId="4C055D08" w:rsidR="00B07393" w:rsidRDefault="00B07393" w:rsidP="00B07393">
      <w:pPr>
        <w:pStyle w:val="ListParagraph"/>
        <w:rPr>
          <w:rFonts w:ascii="Arial" w:hAnsi="Arial" w:cs="Arial"/>
          <w:sz w:val="24"/>
          <w:szCs w:val="24"/>
        </w:rPr>
      </w:pPr>
    </w:p>
    <w:p w14:paraId="04CEDA3F" w14:textId="62F28EAA" w:rsidR="006F7025" w:rsidRDefault="006F7025" w:rsidP="00B07393">
      <w:pPr>
        <w:pStyle w:val="ListParagraph"/>
        <w:rPr>
          <w:rFonts w:ascii="Arial" w:hAnsi="Arial" w:cs="Arial"/>
          <w:color w:val="4472C4" w:themeColor="accent1"/>
          <w:sz w:val="24"/>
          <w:szCs w:val="24"/>
        </w:rPr>
      </w:pPr>
      <w:r>
        <w:rPr>
          <w:rFonts w:ascii="Arial" w:hAnsi="Arial" w:cs="Arial"/>
          <w:color w:val="4472C4" w:themeColor="accent1"/>
          <w:sz w:val="24"/>
          <w:szCs w:val="24"/>
        </w:rPr>
        <w:t>Festival used column BM in the formula to calculate the projected interest (column BQ) in error and should have used column BO.</w:t>
      </w:r>
    </w:p>
    <w:p w14:paraId="0B18C1A7" w14:textId="77777777" w:rsidR="006F7025" w:rsidRPr="006F7025" w:rsidRDefault="006F7025" w:rsidP="00B07393">
      <w:pPr>
        <w:pStyle w:val="ListParagraph"/>
        <w:rPr>
          <w:rFonts w:ascii="Arial" w:hAnsi="Arial" w:cs="Arial"/>
          <w:color w:val="4472C4" w:themeColor="accent1"/>
          <w:sz w:val="24"/>
          <w:szCs w:val="24"/>
        </w:rPr>
      </w:pPr>
    </w:p>
    <w:p w14:paraId="5207CF10" w14:textId="1EBD946E" w:rsidR="002B7E64" w:rsidRPr="00A36663" w:rsidRDefault="003522B4" w:rsidP="00B07393">
      <w:pPr>
        <w:pStyle w:val="ListParagraph"/>
        <w:numPr>
          <w:ilvl w:val="0"/>
          <w:numId w:val="9"/>
        </w:numPr>
        <w:rPr>
          <w:rFonts w:ascii="Arial" w:hAnsi="Arial" w:cs="Arial"/>
          <w:b/>
          <w:bCs/>
          <w:sz w:val="24"/>
          <w:szCs w:val="24"/>
        </w:rPr>
      </w:pPr>
      <w:r w:rsidRPr="00B07393">
        <w:rPr>
          <w:rFonts w:ascii="Arial" w:hAnsi="Arial" w:cs="Arial"/>
          <w:sz w:val="24"/>
          <w:szCs w:val="24"/>
        </w:rPr>
        <w:t>If required, please make necessary adjustments to the Continuity Schedule in the 2021 IRM Rate Generator Model.</w:t>
      </w:r>
    </w:p>
    <w:p w14:paraId="69F3F442" w14:textId="2EAEEC9C" w:rsidR="00A36663" w:rsidRPr="006F7025" w:rsidRDefault="00A36663" w:rsidP="00A36663">
      <w:pPr>
        <w:pStyle w:val="ListParagraph"/>
        <w:rPr>
          <w:rFonts w:ascii="Arial" w:hAnsi="Arial" w:cs="Arial"/>
          <w:b/>
          <w:bCs/>
          <w:sz w:val="24"/>
          <w:szCs w:val="24"/>
        </w:rPr>
      </w:pPr>
    </w:p>
    <w:p w14:paraId="76FAF3BA" w14:textId="1113B86D" w:rsidR="006F7025" w:rsidRPr="006F7025" w:rsidRDefault="006F7025" w:rsidP="006F7025">
      <w:pPr>
        <w:pStyle w:val="ListParagraph"/>
        <w:rPr>
          <w:rFonts w:ascii="Arial" w:hAnsi="Arial" w:cs="Arial"/>
          <w:b/>
          <w:bCs/>
          <w:color w:val="4472C4" w:themeColor="accent1"/>
          <w:sz w:val="24"/>
          <w:szCs w:val="24"/>
        </w:rPr>
      </w:pPr>
      <w:r>
        <w:rPr>
          <w:rFonts w:ascii="Arial" w:hAnsi="Arial" w:cs="Arial"/>
          <w:color w:val="4472C4" w:themeColor="accent1"/>
          <w:sz w:val="24"/>
          <w:szCs w:val="24"/>
        </w:rPr>
        <w:t>Festival has corrected the formula used to calculate the projected interest (column BQ) to use column BO instead of BM in the Continuity Schedule of the 2021 IRM Rate Generator Model.</w:t>
      </w:r>
    </w:p>
    <w:p w14:paraId="420ABEEB" w14:textId="77777777" w:rsidR="00B07393" w:rsidRDefault="00B07393" w:rsidP="002B7E64">
      <w:pPr>
        <w:rPr>
          <w:rFonts w:ascii="Arial" w:hAnsi="Arial" w:cs="Arial"/>
          <w:b/>
          <w:bCs/>
          <w:sz w:val="24"/>
          <w:szCs w:val="24"/>
        </w:rPr>
      </w:pPr>
    </w:p>
    <w:p w14:paraId="560304B1" w14:textId="77777777" w:rsidR="00277F24" w:rsidRDefault="00277F24" w:rsidP="00E23675">
      <w:pPr>
        <w:rPr>
          <w:rFonts w:ascii="Arial" w:hAnsi="Arial" w:cs="Arial"/>
          <w:b/>
          <w:bCs/>
          <w:sz w:val="24"/>
          <w:szCs w:val="24"/>
        </w:rPr>
      </w:pPr>
    </w:p>
    <w:p w14:paraId="02AEE94D" w14:textId="5D27AC1F" w:rsidR="00E23675" w:rsidRDefault="00E23675" w:rsidP="00E23675">
      <w:pPr>
        <w:rPr>
          <w:rFonts w:ascii="Arial" w:hAnsi="Arial" w:cs="Arial"/>
          <w:b/>
          <w:bCs/>
          <w:sz w:val="24"/>
          <w:szCs w:val="24"/>
        </w:rPr>
      </w:pPr>
      <w:r>
        <w:rPr>
          <w:rFonts w:ascii="Arial" w:hAnsi="Arial" w:cs="Arial"/>
          <w:b/>
          <w:bCs/>
          <w:sz w:val="24"/>
          <w:szCs w:val="24"/>
        </w:rPr>
        <w:t>OEB Staff-</w:t>
      </w:r>
      <w:r w:rsidR="007A6F1B">
        <w:rPr>
          <w:rFonts w:ascii="Arial" w:hAnsi="Arial" w:cs="Arial"/>
          <w:b/>
          <w:bCs/>
          <w:sz w:val="24"/>
          <w:szCs w:val="24"/>
        </w:rPr>
        <w:t xml:space="preserve"> 3</w:t>
      </w:r>
    </w:p>
    <w:p w14:paraId="5DE86DB0" w14:textId="1E65BDB3" w:rsidR="00E23675" w:rsidRDefault="00E23675" w:rsidP="00E23675">
      <w:pPr>
        <w:rPr>
          <w:rFonts w:ascii="Arial" w:hAnsi="Arial" w:cs="Arial"/>
          <w:sz w:val="24"/>
          <w:szCs w:val="24"/>
        </w:rPr>
      </w:pPr>
      <w:r>
        <w:rPr>
          <w:rFonts w:ascii="Arial" w:hAnsi="Arial" w:cs="Arial"/>
          <w:b/>
          <w:bCs/>
          <w:sz w:val="24"/>
          <w:szCs w:val="24"/>
        </w:rPr>
        <w:t>Reference:</w:t>
      </w:r>
      <w:r>
        <w:rPr>
          <w:rFonts w:ascii="Arial" w:hAnsi="Arial" w:cs="Arial"/>
          <w:sz w:val="24"/>
          <w:szCs w:val="24"/>
        </w:rPr>
        <w:tab/>
        <w:t>(</w:t>
      </w:r>
      <w:proofErr w:type="spellStart"/>
      <w:r>
        <w:rPr>
          <w:rFonts w:ascii="Arial" w:hAnsi="Arial" w:cs="Arial"/>
          <w:sz w:val="24"/>
          <w:szCs w:val="24"/>
        </w:rPr>
        <w:t>i</w:t>
      </w:r>
      <w:proofErr w:type="spellEnd"/>
      <w:r>
        <w:rPr>
          <w:rFonts w:ascii="Arial" w:hAnsi="Arial" w:cs="Arial"/>
          <w:sz w:val="24"/>
          <w:szCs w:val="24"/>
        </w:rPr>
        <w:t xml:space="preserve">) GA Analysis </w:t>
      </w:r>
      <w:proofErr w:type="spellStart"/>
      <w:r>
        <w:rPr>
          <w:rFonts w:ascii="Arial" w:hAnsi="Arial" w:cs="Arial"/>
          <w:sz w:val="24"/>
          <w:szCs w:val="24"/>
        </w:rPr>
        <w:t>Workform</w:t>
      </w:r>
      <w:proofErr w:type="spellEnd"/>
    </w:p>
    <w:p w14:paraId="402B31F7" w14:textId="79E4D9CF" w:rsidR="00E23675" w:rsidRDefault="005C087A" w:rsidP="00E23675">
      <w:pPr>
        <w:rPr>
          <w:rFonts w:ascii="Arial" w:hAnsi="Arial" w:cs="Arial"/>
          <w:sz w:val="24"/>
          <w:szCs w:val="24"/>
        </w:rPr>
      </w:pPr>
      <w:r>
        <w:rPr>
          <w:rFonts w:ascii="Arial" w:hAnsi="Arial" w:cs="Arial"/>
          <w:sz w:val="24"/>
          <w:szCs w:val="24"/>
        </w:rPr>
        <w:t xml:space="preserve">OEB staff notes in the GA Analysis </w:t>
      </w:r>
      <w:proofErr w:type="spellStart"/>
      <w:r>
        <w:rPr>
          <w:rFonts w:ascii="Arial" w:hAnsi="Arial" w:cs="Arial"/>
          <w:sz w:val="24"/>
          <w:szCs w:val="24"/>
        </w:rPr>
        <w:t>Workform</w:t>
      </w:r>
      <w:proofErr w:type="spellEnd"/>
      <w:r>
        <w:rPr>
          <w:rFonts w:ascii="Arial" w:hAnsi="Arial" w:cs="Arial"/>
          <w:sz w:val="24"/>
          <w:szCs w:val="24"/>
        </w:rPr>
        <w:t xml:space="preserve"> that there is no principal adjustment in the current year for Account 1588 and 1589 for the following 3 adjustments:</w:t>
      </w:r>
    </w:p>
    <w:p w14:paraId="29B9CF59" w14:textId="0D7E78C1" w:rsidR="005C087A" w:rsidRDefault="005C087A" w:rsidP="005C087A">
      <w:pPr>
        <w:pStyle w:val="ListParagraph"/>
        <w:numPr>
          <w:ilvl w:val="0"/>
          <w:numId w:val="12"/>
        </w:numPr>
        <w:rPr>
          <w:rFonts w:ascii="Arial" w:hAnsi="Arial" w:cs="Arial"/>
          <w:sz w:val="24"/>
          <w:szCs w:val="24"/>
        </w:rPr>
      </w:pPr>
      <w:r w:rsidRPr="005C087A">
        <w:rPr>
          <w:rFonts w:ascii="Arial" w:hAnsi="Arial" w:cs="Arial"/>
          <w:sz w:val="24"/>
          <w:szCs w:val="24"/>
        </w:rPr>
        <w:t xml:space="preserve">CT 148 true-up of GA Charges based on actual RPP volumes </w:t>
      </w:r>
      <w:r w:rsidRPr="005C087A">
        <w:rPr>
          <w:rFonts w:ascii="Arial" w:hAnsi="Arial" w:cs="Arial"/>
          <w:sz w:val="24"/>
          <w:szCs w:val="24"/>
        </w:rPr>
        <w:tab/>
      </w:r>
      <w:r w:rsidRPr="005C087A">
        <w:rPr>
          <w:rFonts w:ascii="Arial" w:hAnsi="Arial" w:cs="Arial"/>
          <w:sz w:val="24"/>
          <w:szCs w:val="24"/>
        </w:rPr>
        <w:tab/>
      </w:r>
      <w:r w:rsidRPr="005C087A">
        <w:rPr>
          <w:rFonts w:ascii="Arial" w:hAnsi="Arial" w:cs="Arial"/>
          <w:sz w:val="24"/>
          <w:szCs w:val="24"/>
        </w:rPr>
        <w:tab/>
      </w:r>
    </w:p>
    <w:p w14:paraId="49EC3EEB" w14:textId="1EA3D065" w:rsidR="005C087A" w:rsidRPr="005C087A" w:rsidRDefault="005C087A" w:rsidP="005C087A">
      <w:pPr>
        <w:pStyle w:val="ListParagraph"/>
        <w:numPr>
          <w:ilvl w:val="0"/>
          <w:numId w:val="12"/>
        </w:numPr>
        <w:rPr>
          <w:rFonts w:ascii="Arial" w:hAnsi="Arial" w:cs="Arial"/>
          <w:sz w:val="24"/>
          <w:szCs w:val="24"/>
        </w:rPr>
      </w:pPr>
      <w:r w:rsidRPr="005C087A">
        <w:rPr>
          <w:rFonts w:ascii="Arial" w:hAnsi="Arial" w:cs="Arial"/>
          <w:sz w:val="24"/>
          <w:szCs w:val="24"/>
        </w:rPr>
        <w:t>CT 1142 true-up based on actuals</w:t>
      </w:r>
      <w:r w:rsidRPr="005C087A">
        <w:rPr>
          <w:rFonts w:ascii="Arial" w:hAnsi="Arial" w:cs="Arial"/>
          <w:sz w:val="24"/>
          <w:szCs w:val="24"/>
        </w:rPr>
        <w:tab/>
      </w:r>
      <w:r w:rsidRPr="005C087A">
        <w:rPr>
          <w:rFonts w:ascii="Arial" w:hAnsi="Arial" w:cs="Arial"/>
          <w:sz w:val="24"/>
          <w:szCs w:val="24"/>
        </w:rPr>
        <w:tab/>
      </w:r>
      <w:r w:rsidRPr="005C087A">
        <w:rPr>
          <w:rFonts w:ascii="Arial" w:hAnsi="Arial" w:cs="Arial"/>
          <w:sz w:val="24"/>
          <w:szCs w:val="24"/>
        </w:rPr>
        <w:tab/>
      </w:r>
      <w:r w:rsidRPr="005C087A">
        <w:rPr>
          <w:rFonts w:ascii="Arial" w:hAnsi="Arial" w:cs="Arial"/>
          <w:sz w:val="24"/>
          <w:szCs w:val="24"/>
        </w:rPr>
        <w:tab/>
      </w:r>
      <w:r w:rsidRPr="005C087A">
        <w:rPr>
          <w:rFonts w:ascii="Arial" w:hAnsi="Arial" w:cs="Arial"/>
          <w:sz w:val="24"/>
          <w:szCs w:val="24"/>
        </w:rPr>
        <w:tab/>
      </w:r>
      <w:r w:rsidRPr="005C087A">
        <w:rPr>
          <w:rFonts w:ascii="Arial" w:hAnsi="Arial" w:cs="Arial"/>
          <w:sz w:val="24"/>
          <w:szCs w:val="24"/>
        </w:rPr>
        <w:tab/>
      </w:r>
    </w:p>
    <w:p w14:paraId="6B6DEA48" w14:textId="77777777" w:rsidR="00C05C02" w:rsidRDefault="005C087A" w:rsidP="0069429D">
      <w:pPr>
        <w:pStyle w:val="ListParagraph"/>
        <w:numPr>
          <w:ilvl w:val="0"/>
          <w:numId w:val="12"/>
        </w:numPr>
        <w:jc w:val="both"/>
        <w:rPr>
          <w:rFonts w:ascii="Arial" w:hAnsi="Arial" w:cs="Arial"/>
          <w:sz w:val="24"/>
          <w:szCs w:val="24"/>
        </w:rPr>
      </w:pPr>
      <w:r w:rsidRPr="005C087A">
        <w:rPr>
          <w:rFonts w:ascii="Arial" w:hAnsi="Arial" w:cs="Arial"/>
          <w:sz w:val="24"/>
          <w:szCs w:val="24"/>
        </w:rPr>
        <w:t>Unbilled to actual revenue differences</w:t>
      </w:r>
      <w:r w:rsidRPr="005C087A">
        <w:rPr>
          <w:rFonts w:ascii="Arial" w:hAnsi="Arial" w:cs="Arial"/>
          <w:sz w:val="24"/>
          <w:szCs w:val="24"/>
        </w:rPr>
        <w:tab/>
      </w:r>
      <w:r w:rsidRPr="005C087A">
        <w:rPr>
          <w:rFonts w:ascii="Arial" w:hAnsi="Arial" w:cs="Arial"/>
          <w:sz w:val="24"/>
          <w:szCs w:val="24"/>
        </w:rPr>
        <w:tab/>
      </w:r>
      <w:r w:rsidRPr="005C087A">
        <w:rPr>
          <w:rFonts w:ascii="Arial" w:hAnsi="Arial" w:cs="Arial"/>
          <w:sz w:val="24"/>
          <w:szCs w:val="24"/>
        </w:rPr>
        <w:tab/>
      </w:r>
      <w:r w:rsidRPr="005C087A">
        <w:rPr>
          <w:rFonts w:ascii="Arial" w:hAnsi="Arial" w:cs="Arial"/>
          <w:sz w:val="24"/>
          <w:szCs w:val="24"/>
        </w:rPr>
        <w:tab/>
      </w:r>
      <w:r w:rsidRPr="005C087A">
        <w:rPr>
          <w:rFonts w:ascii="Arial" w:hAnsi="Arial" w:cs="Arial"/>
          <w:sz w:val="24"/>
          <w:szCs w:val="24"/>
        </w:rPr>
        <w:tab/>
      </w:r>
      <w:r w:rsidRPr="005C087A">
        <w:rPr>
          <w:rFonts w:ascii="Arial" w:hAnsi="Arial" w:cs="Arial"/>
          <w:sz w:val="24"/>
          <w:szCs w:val="24"/>
        </w:rPr>
        <w:tab/>
      </w:r>
      <w:r w:rsidRPr="005C087A">
        <w:rPr>
          <w:rFonts w:ascii="Arial" w:hAnsi="Arial" w:cs="Arial"/>
          <w:sz w:val="24"/>
          <w:szCs w:val="24"/>
        </w:rPr>
        <w:tab/>
      </w:r>
    </w:p>
    <w:p w14:paraId="3C05FAFB" w14:textId="77777777" w:rsidR="00C05C02" w:rsidRDefault="00C05C02" w:rsidP="00C05C02">
      <w:pPr>
        <w:pStyle w:val="ListParagraph"/>
        <w:jc w:val="both"/>
        <w:rPr>
          <w:rFonts w:ascii="Arial" w:hAnsi="Arial" w:cs="Arial"/>
          <w:sz w:val="24"/>
          <w:szCs w:val="24"/>
        </w:rPr>
      </w:pPr>
    </w:p>
    <w:p w14:paraId="03FD9A29" w14:textId="1EC777AF" w:rsidR="0069429D" w:rsidRDefault="0069429D" w:rsidP="00C05C02">
      <w:pPr>
        <w:pStyle w:val="ListParagraph"/>
        <w:numPr>
          <w:ilvl w:val="0"/>
          <w:numId w:val="13"/>
        </w:numPr>
        <w:jc w:val="both"/>
        <w:rPr>
          <w:rFonts w:ascii="Arial" w:hAnsi="Arial" w:cs="Arial"/>
          <w:sz w:val="24"/>
          <w:szCs w:val="24"/>
        </w:rPr>
      </w:pPr>
      <w:r w:rsidRPr="00C05C02">
        <w:rPr>
          <w:rFonts w:ascii="Arial" w:hAnsi="Arial" w:cs="Arial"/>
          <w:sz w:val="24"/>
          <w:szCs w:val="24"/>
        </w:rPr>
        <w:t>Please confirm that Festival Hydro has recorded these true-ups in the general ledger in 2019</w:t>
      </w:r>
      <w:r w:rsidR="007C5B44">
        <w:rPr>
          <w:rFonts w:ascii="Arial" w:hAnsi="Arial" w:cs="Arial"/>
          <w:sz w:val="24"/>
          <w:szCs w:val="24"/>
        </w:rPr>
        <w:t>, and therefore,</w:t>
      </w:r>
      <w:r w:rsidRPr="00C05C02">
        <w:rPr>
          <w:rFonts w:ascii="Arial" w:hAnsi="Arial" w:cs="Arial"/>
          <w:sz w:val="24"/>
          <w:szCs w:val="24"/>
        </w:rPr>
        <w:t xml:space="preserve"> no principal adjustments are needed in the DVA continuity schedule/ GA Analysis </w:t>
      </w:r>
      <w:proofErr w:type="spellStart"/>
      <w:r w:rsidRPr="00C05C02">
        <w:rPr>
          <w:rFonts w:ascii="Arial" w:hAnsi="Arial" w:cs="Arial"/>
          <w:sz w:val="24"/>
          <w:szCs w:val="24"/>
        </w:rPr>
        <w:t>Workform</w:t>
      </w:r>
      <w:proofErr w:type="spellEnd"/>
      <w:r w:rsidRPr="00C05C02">
        <w:rPr>
          <w:rFonts w:ascii="Arial" w:hAnsi="Arial" w:cs="Arial"/>
          <w:sz w:val="24"/>
          <w:szCs w:val="24"/>
        </w:rPr>
        <w:t>.</w:t>
      </w:r>
    </w:p>
    <w:p w14:paraId="65473CF4" w14:textId="77777777" w:rsidR="00A36663" w:rsidRDefault="00A36663" w:rsidP="00A36663">
      <w:pPr>
        <w:pStyle w:val="ListParagraph"/>
        <w:jc w:val="both"/>
        <w:rPr>
          <w:rFonts w:ascii="Arial" w:hAnsi="Arial" w:cs="Arial"/>
          <w:sz w:val="24"/>
          <w:szCs w:val="24"/>
        </w:rPr>
      </w:pPr>
    </w:p>
    <w:p w14:paraId="67D66E18" w14:textId="4F749842" w:rsidR="006F7025" w:rsidRPr="006F7025" w:rsidRDefault="006F7025" w:rsidP="006F7025">
      <w:pPr>
        <w:pStyle w:val="ListParagraph"/>
        <w:jc w:val="both"/>
        <w:rPr>
          <w:rFonts w:ascii="Arial" w:hAnsi="Arial" w:cs="Arial"/>
          <w:color w:val="4472C4" w:themeColor="accent1"/>
          <w:sz w:val="24"/>
          <w:szCs w:val="24"/>
        </w:rPr>
      </w:pPr>
      <w:r>
        <w:rPr>
          <w:rFonts w:ascii="Arial" w:hAnsi="Arial" w:cs="Arial"/>
          <w:color w:val="4472C4" w:themeColor="accent1"/>
          <w:sz w:val="24"/>
          <w:szCs w:val="24"/>
        </w:rPr>
        <w:t xml:space="preserve">Festival </w:t>
      </w:r>
      <w:r w:rsidR="002C3F92">
        <w:rPr>
          <w:rFonts w:ascii="Arial" w:hAnsi="Arial" w:cs="Arial"/>
          <w:color w:val="4472C4" w:themeColor="accent1"/>
          <w:sz w:val="24"/>
          <w:szCs w:val="24"/>
        </w:rPr>
        <w:t>keeps</w:t>
      </w:r>
      <w:r>
        <w:rPr>
          <w:rFonts w:ascii="Arial" w:hAnsi="Arial" w:cs="Arial"/>
          <w:color w:val="4472C4" w:themeColor="accent1"/>
          <w:sz w:val="24"/>
          <w:szCs w:val="24"/>
        </w:rPr>
        <w:t xml:space="preserve"> the year-end general ledger open </w:t>
      </w:r>
      <w:r w:rsidR="00A658E4">
        <w:rPr>
          <w:rFonts w:ascii="Arial" w:hAnsi="Arial" w:cs="Arial"/>
          <w:color w:val="4472C4" w:themeColor="accent1"/>
          <w:sz w:val="24"/>
          <w:szCs w:val="24"/>
        </w:rPr>
        <w:t>to</w:t>
      </w:r>
      <w:r w:rsidR="002C3F92">
        <w:rPr>
          <w:rFonts w:ascii="Arial" w:hAnsi="Arial" w:cs="Arial"/>
          <w:color w:val="4472C4" w:themeColor="accent1"/>
          <w:sz w:val="24"/>
          <w:szCs w:val="24"/>
        </w:rPr>
        <w:t xml:space="preserve"> record the true-ups and actual revenue for the year and therefore requires no principle adjustments. </w:t>
      </w:r>
    </w:p>
    <w:p w14:paraId="74B3DFD2" w14:textId="77777777" w:rsidR="00837897" w:rsidRPr="005C087A" w:rsidRDefault="00837897" w:rsidP="005C087A">
      <w:pPr>
        <w:jc w:val="both"/>
        <w:rPr>
          <w:rFonts w:ascii="Arial" w:hAnsi="Arial" w:cs="Arial"/>
          <w:sz w:val="24"/>
          <w:szCs w:val="24"/>
        </w:rPr>
      </w:pPr>
    </w:p>
    <w:p w14:paraId="571A98F9" w14:textId="04C16A3C" w:rsidR="002B7E64" w:rsidRDefault="002B7E64" w:rsidP="002B7E64">
      <w:pPr>
        <w:rPr>
          <w:rFonts w:ascii="Arial" w:hAnsi="Arial" w:cs="Arial"/>
          <w:b/>
          <w:bCs/>
          <w:sz w:val="24"/>
          <w:szCs w:val="24"/>
        </w:rPr>
      </w:pPr>
      <w:r w:rsidRPr="00E83895">
        <w:rPr>
          <w:rFonts w:ascii="Arial" w:hAnsi="Arial" w:cs="Arial"/>
          <w:b/>
          <w:bCs/>
          <w:sz w:val="24"/>
          <w:szCs w:val="24"/>
        </w:rPr>
        <w:t>OEB Staff-</w:t>
      </w:r>
      <w:r w:rsidR="007A6F1B" w:rsidRPr="00E83895">
        <w:rPr>
          <w:rFonts w:ascii="Arial" w:hAnsi="Arial" w:cs="Arial"/>
          <w:b/>
          <w:bCs/>
          <w:sz w:val="24"/>
          <w:szCs w:val="24"/>
        </w:rPr>
        <w:t xml:space="preserve"> 4</w:t>
      </w:r>
    </w:p>
    <w:p w14:paraId="29C81E72" w14:textId="565CABE3" w:rsidR="00D61AF9" w:rsidRDefault="002B7E64" w:rsidP="00484335">
      <w:pPr>
        <w:rPr>
          <w:rFonts w:ascii="Arial" w:hAnsi="Arial" w:cs="Arial"/>
          <w:sz w:val="24"/>
          <w:szCs w:val="24"/>
        </w:rPr>
      </w:pPr>
      <w:r>
        <w:rPr>
          <w:rFonts w:ascii="Arial" w:hAnsi="Arial" w:cs="Arial"/>
          <w:b/>
          <w:bCs/>
          <w:sz w:val="24"/>
          <w:szCs w:val="24"/>
        </w:rPr>
        <w:t>Reference:</w:t>
      </w:r>
      <w:r>
        <w:rPr>
          <w:rFonts w:ascii="Arial" w:hAnsi="Arial" w:cs="Arial"/>
          <w:sz w:val="24"/>
          <w:szCs w:val="24"/>
        </w:rPr>
        <w:tab/>
        <w:t>(</w:t>
      </w:r>
      <w:proofErr w:type="spellStart"/>
      <w:r>
        <w:rPr>
          <w:rFonts w:ascii="Arial" w:hAnsi="Arial" w:cs="Arial"/>
          <w:sz w:val="24"/>
          <w:szCs w:val="24"/>
        </w:rPr>
        <w:t>i</w:t>
      </w:r>
      <w:proofErr w:type="spellEnd"/>
      <w:r>
        <w:rPr>
          <w:rFonts w:ascii="Arial" w:hAnsi="Arial" w:cs="Arial"/>
          <w:sz w:val="24"/>
          <w:szCs w:val="24"/>
        </w:rPr>
        <w:t xml:space="preserve">) GA Analysis </w:t>
      </w:r>
      <w:proofErr w:type="spellStart"/>
      <w:r>
        <w:rPr>
          <w:rFonts w:ascii="Arial" w:hAnsi="Arial" w:cs="Arial"/>
          <w:sz w:val="24"/>
          <w:szCs w:val="24"/>
        </w:rPr>
        <w:t>Workform</w:t>
      </w:r>
      <w:proofErr w:type="spellEnd"/>
    </w:p>
    <w:p w14:paraId="29CF4C02" w14:textId="6D3C546C" w:rsidR="002B7E64" w:rsidRPr="00680041" w:rsidRDefault="002B7E64" w:rsidP="00484335">
      <w:pPr>
        <w:rPr>
          <w:rFonts w:ascii="Arial" w:hAnsi="Arial" w:cs="Arial"/>
          <w:sz w:val="24"/>
          <w:szCs w:val="24"/>
        </w:rPr>
      </w:pPr>
      <w:r w:rsidRPr="00680041">
        <w:rPr>
          <w:rFonts w:ascii="Arial" w:hAnsi="Arial" w:cs="Arial"/>
          <w:sz w:val="24"/>
          <w:szCs w:val="24"/>
        </w:rPr>
        <w:t xml:space="preserve">Festival Hydro’s approved loss factor is 1.0291 and the calculated loss factor from the GA Analysis </w:t>
      </w:r>
      <w:proofErr w:type="spellStart"/>
      <w:r w:rsidRPr="00680041">
        <w:rPr>
          <w:rFonts w:ascii="Arial" w:hAnsi="Arial" w:cs="Arial"/>
          <w:sz w:val="24"/>
          <w:szCs w:val="24"/>
        </w:rPr>
        <w:t>Workform</w:t>
      </w:r>
      <w:proofErr w:type="spellEnd"/>
      <w:r w:rsidRPr="00680041">
        <w:rPr>
          <w:rFonts w:ascii="Arial" w:hAnsi="Arial" w:cs="Arial"/>
          <w:sz w:val="24"/>
          <w:szCs w:val="24"/>
        </w:rPr>
        <w:t xml:space="preserve"> is 1.</w:t>
      </w:r>
      <w:r w:rsidR="00680041">
        <w:rPr>
          <w:rFonts w:ascii="Arial" w:hAnsi="Arial" w:cs="Arial"/>
          <w:sz w:val="24"/>
          <w:szCs w:val="24"/>
        </w:rPr>
        <w:t>1025</w:t>
      </w:r>
      <w:r w:rsidRPr="00680041">
        <w:rPr>
          <w:rFonts w:ascii="Arial" w:hAnsi="Arial" w:cs="Arial"/>
          <w:sz w:val="24"/>
          <w:szCs w:val="24"/>
        </w:rPr>
        <w:t xml:space="preserve">, a difference of </w:t>
      </w:r>
      <w:r w:rsidR="00C83354">
        <w:rPr>
          <w:rFonts w:ascii="Arial" w:hAnsi="Arial" w:cs="Arial"/>
          <w:sz w:val="24"/>
          <w:szCs w:val="24"/>
        </w:rPr>
        <w:t>7.13</w:t>
      </w:r>
      <w:r w:rsidRPr="00680041">
        <w:rPr>
          <w:rFonts w:ascii="Arial" w:hAnsi="Arial" w:cs="Arial"/>
          <w:sz w:val="24"/>
          <w:szCs w:val="24"/>
        </w:rPr>
        <w:t xml:space="preserve">%. Please explain the difference and revise the GA Analysis </w:t>
      </w:r>
      <w:proofErr w:type="spellStart"/>
      <w:r w:rsidRPr="00680041">
        <w:rPr>
          <w:rFonts w:ascii="Arial" w:hAnsi="Arial" w:cs="Arial"/>
          <w:sz w:val="24"/>
          <w:szCs w:val="24"/>
        </w:rPr>
        <w:t>Workform</w:t>
      </w:r>
      <w:proofErr w:type="spellEnd"/>
      <w:r w:rsidRPr="00680041">
        <w:rPr>
          <w:rFonts w:ascii="Arial" w:hAnsi="Arial" w:cs="Arial"/>
          <w:sz w:val="24"/>
          <w:szCs w:val="24"/>
        </w:rPr>
        <w:t xml:space="preserve"> as needed.</w:t>
      </w:r>
    </w:p>
    <w:p w14:paraId="70D45B3D" w14:textId="0F03DEB5" w:rsidR="002B7E64" w:rsidRDefault="001A5993" w:rsidP="00484335">
      <w:pPr>
        <w:rPr>
          <w:rFonts w:ascii="Arial" w:hAnsi="Arial" w:cs="Arial"/>
          <w:sz w:val="24"/>
          <w:szCs w:val="24"/>
        </w:rPr>
      </w:pPr>
      <w:r>
        <w:rPr>
          <w:rFonts w:ascii="Arial" w:hAnsi="Arial" w:cs="Arial"/>
          <w:sz w:val="24"/>
          <w:szCs w:val="24"/>
        </w:rPr>
        <w:lastRenderedPageBreak/>
        <w:t>After further review, Festival has determined that the non-RPP 2019 kWh needs to be revised. Festival has submitted a RRR Revision Request to update the GA&gt;50 and Large Use non-RPP kwh. This revision will result in the following:</w:t>
      </w:r>
    </w:p>
    <w:tbl>
      <w:tblPr>
        <w:tblStyle w:val="TableGrid"/>
        <w:tblW w:w="0" w:type="auto"/>
        <w:tblLook w:val="04A0" w:firstRow="1" w:lastRow="0" w:firstColumn="1" w:lastColumn="0" w:noHBand="0" w:noVBand="1"/>
      </w:tblPr>
      <w:tblGrid>
        <w:gridCol w:w="3864"/>
        <w:gridCol w:w="1185"/>
        <w:gridCol w:w="1551"/>
        <w:gridCol w:w="1171"/>
        <w:tblGridChange w:id="1">
          <w:tblGrid>
            <w:gridCol w:w="3864"/>
            <w:gridCol w:w="1185"/>
            <w:gridCol w:w="1551"/>
            <w:gridCol w:w="1171"/>
          </w:tblGrid>
        </w:tblGridChange>
      </w:tblGrid>
      <w:tr w:rsidR="001A5993" w:rsidRPr="001A5993" w14:paraId="0C49A289" w14:textId="77777777" w:rsidTr="00E83895">
        <w:trPr>
          <w:gridAfter w:val="1"/>
          <w:wAfter w:w="1171" w:type="dxa"/>
          <w:trHeight w:val="300"/>
        </w:trPr>
        <w:tc>
          <w:tcPr>
            <w:tcW w:w="5049" w:type="dxa"/>
            <w:gridSpan w:val="2"/>
            <w:noWrap/>
            <w:hideMark/>
          </w:tcPr>
          <w:p w14:paraId="15C9D8A4" w14:textId="77777777" w:rsidR="001A5993" w:rsidRPr="001A5993" w:rsidRDefault="001A5993">
            <w:pPr>
              <w:rPr>
                <w:rFonts w:ascii="Arial" w:hAnsi="Arial" w:cs="Arial"/>
                <w:b/>
                <w:bCs/>
                <w:sz w:val="24"/>
                <w:szCs w:val="24"/>
              </w:rPr>
            </w:pPr>
            <w:r w:rsidRPr="001A5993">
              <w:rPr>
                <w:rFonts w:ascii="Arial" w:hAnsi="Arial" w:cs="Arial"/>
                <w:b/>
                <w:bCs/>
                <w:sz w:val="24"/>
                <w:szCs w:val="24"/>
              </w:rPr>
              <w:t>Year</w:t>
            </w:r>
          </w:p>
        </w:tc>
        <w:tc>
          <w:tcPr>
            <w:tcW w:w="1539" w:type="dxa"/>
            <w:noWrap/>
            <w:hideMark/>
          </w:tcPr>
          <w:p w14:paraId="7B88D800" w14:textId="77777777" w:rsidR="001A5993" w:rsidRPr="001A5993" w:rsidRDefault="001A5993" w:rsidP="001A5993">
            <w:pPr>
              <w:rPr>
                <w:rFonts w:ascii="Arial" w:hAnsi="Arial" w:cs="Arial"/>
                <w:b/>
                <w:bCs/>
                <w:sz w:val="24"/>
                <w:szCs w:val="24"/>
              </w:rPr>
            </w:pPr>
            <w:r w:rsidRPr="001A5993">
              <w:rPr>
                <w:rFonts w:ascii="Arial" w:hAnsi="Arial" w:cs="Arial"/>
                <w:b/>
                <w:bCs/>
                <w:sz w:val="24"/>
                <w:szCs w:val="24"/>
              </w:rPr>
              <w:t>2019</w:t>
            </w:r>
          </w:p>
        </w:tc>
      </w:tr>
      <w:tr w:rsidR="001A5993" w:rsidRPr="001A5993" w14:paraId="4D54B743" w14:textId="77777777" w:rsidTr="00E83895">
        <w:trPr>
          <w:trHeight w:val="300"/>
        </w:trPr>
        <w:tc>
          <w:tcPr>
            <w:tcW w:w="3864" w:type="dxa"/>
            <w:noWrap/>
            <w:hideMark/>
          </w:tcPr>
          <w:p w14:paraId="7FED1A43" w14:textId="77777777" w:rsidR="001A5993" w:rsidRPr="001A5993" w:rsidRDefault="001A5993" w:rsidP="001A5993">
            <w:pPr>
              <w:rPr>
                <w:rFonts w:ascii="Arial" w:hAnsi="Arial" w:cs="Arial"/>
                <w:sz w:val="24"/>
                <w:szCs w:val="24"/>
              </w:rPr>
            </w:pPr>
            <w:r w:rsidRPr="001A5993">
              <w:rPr>
                <w:rFonts w:ascii="Arial" w:hAnsi="Arial" w:cs="Arial"/>
                <w:sz w:val="24"/>
                <w:szCs w:val="24"/>
              </w:rPr>
              <w:t>Total Metered excluding WMP</w:t>
            </w:r>
          </w:p>
        </w:tc>
        <w:tc>
          <w:tcPr>
            <w:tcW w:w="1185" w:type="dxa"/>
            <w:noWrap/>
            <w:hideMark/>
          </w:tcPr>
          <w:p w14:paraId="46157AE5" w14:textId="77777777" w:rsidR="001A5993" w:rsidRPr="001A5993" w:rsidRDefault="001A5993" w:rsidP="00D812C8">
            <w:pPr>
              <w:rPr>
                <w:rFonts w:ascii="Arial" w:hAnsi="Arial" w:cs="Arial"/>
                <w:sz w:val="24"/>
                <w:szCs w:val="24"/>
              </w:rPr>
            </w:pPr>
            <w:r w:rsidRPr="001A5993">
              <w:rPr>
                <w:rFonts w:ascii="Arial" w:hAnsi="Arial" w:cs="Arial"/>
                <w:sz w:val="24"/>
                <w:szCs w:val="24"/>
              </w:rPr>
              <w:t>C = A+B</w:t>
            </w:r>
          </w:p>
        </w:tc>
        <w:tc>
          <w:tcPr>
            <w:tcW w:w="1539" w:type="dxa"/>
            <w:noWrap/>
            <w:hideMark/>
          </w:tcPr>
          <w:p w14:paraId="41187517" w14:textId="3D3BC356" w:rsidR="001A5993" w:rsidRPr="001A5993" w:rsidRDefault="001A5993" w:rsidP="00E83895">
            <w:pPr>
              <w:rPr>
                <w:rFonts w:ascii="Arial" w:hAnsi="Arial" w:cs="Arial"/>
                <w:sz w:val="24"/>
                <w:szCs w:val="24"/>
              </w:rPr>
            </w:pPr>
            <w:r>
              <w:rPr>
                <w:rFonts w:ascii="Arial" w:hAnsi="Arial" w:cs="Arial"/>
                <w:sz w:val="24"/>
                <w:szCs w:val="24"/>
              </w:rPr>
              <w:t>614,306,359</w:t>
            </w:r>
          </w:p>
        </w:tc>
        <w:tc>
          <w:tcPr>
            <w:tcW w:w="1171" w:type="dxa"/>
            <w:noWrap/>
            <w:hideMark/>
          </w:tcPr>
          <w:p w14:paraId="6250BB49" w14:textId="77777777" w:rsidR="001A5993" w:rsidRPr="001A5993" w:rsidRDefault="001A5993" w:rsidP="00E83895">
            <w:pPr>
              <w:rPr>
                <w:rFonts w:ascii="Arial" w:hAnsi="Arial" w:cs="Arial"/>
                <w:sz w:val="24"/>
                <w:szCs w:val="24"/>
              </w:rPr>
            </w:pPr>
            <w:r w:rsidRPr="001A5993">
              <w:rPr>
                <w:rFonts w:ascii="Arial" w:hAnsi="Arial" w:cs="Arial"/>
                <w:sz w:val="24"/>
                <w:szCs w:val="24"/>
              </w:rPr>
              <w:t>kWh</w:t>
            </w:r>
          </w:p>
        </w:tc>
      </w:tr>
      <w:tr w:rsidR="001A5993" w:rsidRPr="001A5993" w14:paraId="15A57744" w14:textId="77777777" w:rsidTr="00E83895">
        <w:trPr>
          <w:trHeight w:val="300"/>
        </w:trPr>
        <w:tc>
          <w:tcPr>
            <w:tcW w:w="3864" w:type="dxa"/>
            <w:noWrap/>
            <w:hideMark/>
          </w:tcPr>
          <w:p w14:paraId="46076D1E" w14:textId="38C1943B" w:rsidR="001A5993" w:rsidRPr="001A5993" w:rsidRDefault="001A5993" w:rsidP="001A5993">
            <w:pPr>
              <w:rPr>
                <w:rFonts w:ascii="Arial" w:hAnsi="Arial" w:cs="Arial"/>
                <w:sz w:val="24"/>
                <w:szCs w:val="24"/>
              </w:rPr>
            </w:pPr>
            <w:r w:rsidRPr="001A5993">
              <w:rPr>
                <w:rFonts w:ascii="Arial" w:hAnsi="Arial" w:cs="Arial"/>
                <w:sz w:val="24"/>
                <w:szCs w:val="24"/>
              </w:rPr>
              <w:t>RPP</w:t>
            </w:r>
          </w:p>
        </w:tc>
        <w:tc>
          <w:tcPr>
            <w:tcW w:w="1185" w:type="dxa"/>
            <w:noWrap/>
            <w:hideMark/>
          </w:tcPr>
          <w:p w14:paraId="25F1E155" w14:textId="77777777" w:rsidR="001A5993" w:rsidRPr="001A5993" w:rsidRDefault="001A5993" w:rsidP="00D812C8">
            <w:pPr>
              <w:rPr>
                <w:rFonts w:ascii="Arial" w:hAnsi="Arial" w:cs="Arial"/>
                <w:sz w:val="24"/>
                <w:szCs w:val="24"/>
              </w:rPr>
            </w:pPr>
            <w:r w:rsidRPr="001A5993">
              <w:rPr>
                <w:rFonts w:ascii="Arial" w:hAnsi="Arial" w:cs="Arial"/>
                <w:sz w:val="24"/>
                <w:szCs w:val="24"/>
              </w:rPr>
              <w:t>A</w:t>
            </w:r>
          </w:p>
        </w:tc>
        <w:tc>
          <w:tcPr>
            <w:tcW w:w="1539" w:type="dxa"/>
            <w:noWrap/>
            <w:hideMark/>
          </w:tcPr>
          <w:p w14:paraId="4B5E2DA7" w14:textId="115D2626" w:rsidR="001A5993" w:rsidRPr="001A5993" w:rsidRDefault="001A5993" w:rsidP="00E83895">
            <w:pPr>
              <w:rPr>
                <w:rFonts w:ascii="Arial" w:hAnsi="Arial" w:cs="Arial"/>
                <w:sz w:val="24"/>
                <w:szCs w:val="24"/>
              </w:rPr>
            </w:pPr>
            <w:r w:rsidRPr="001A5993">
              <w:rPr>
                <w:rFonts w:ascii="Arial" w:hAnsi="Arial" w:cs="Arial"/>
                <w:sz w:val="24"/>
                <w:szCs w:val="24"/>
              </w:rPr>
              <w:t>203,073,047</w:t>
            </w:r>
          </w:p>
        </w:tc>
        <w:tc>
          <w:tcPr>
            <w:tcW w:w="1171" w:type="dxa"/>
            <w:noWrap/>
            <w:hideMark/>
          </w:tcPr>
          <w:p w14:paraId="770A4D36" w14:textId="77777777" w:rsidR="001A5993" w:rsidRPr="001A5993" w:rsidRDefault="001A5993" w:rsidP="00E83895">
            <w:pPr>
              <w:rPr>
                <w:rFonts w:ascii="Arial" w:hAnsi="Arial" w:cs="Arial"/>
                <w:sz w:val="24"/>
                <w:szCs w:val="24"/>
              </w:rPr>
            </w:pPr>
            <w:r w:rsidRPr="001A5993">
              <w:rPr>
                <w:rFonts w:ascii="Arial" w:hAnsi="Arial" w:cs="Arial"/>
                <w:sz w:val="24"/>
                <w:szCs w:val="24"/>
              </w:rPr>
              <w:t>kWh</w:t>
            </w:r>
          </w:p>
        </w:tc>
      </w:tr>
      <w:tr w:rsidR="001A5993" w:rsidRPr="001A5993" w14:paraId="2AB5742B" w14:textId="77777777" w:rsidTr="00E83895">
        <w:trPr>
          <w:trHeight w:val="300"/>
        </w:trPr>
        <w:tc>
          <w:tcPr>
            <w:tcW w:w="3864" w:type="dxa"/>
            <w:noWrap/>
            <w:hideMark/>
          </w:tcPr>
          <w:p w14:paraId="07DD3057" w14:textId="77777777" w:rsidR="001A5993" w:rsidRPr="001A5993" w:rsidRDefault="001A5993" w:rsidP="001A5993">
            <w:pPr>
              <w:rPr>
                <w:rFonts w:ascii="Arial" w:hAnsi="Arial" w:cs="Arial"/>
                <w:sz w:val="24"/>
                <w:szCs w:val="24"/>
              </w:rPr>
            </w:pPr>
            <w:r w:rsidRPr="001A5993">
              <w:rPr>
                <w:rFonts w:ascii="Arial" w:hAnsi="Arial" w:cs="Arial"/>
                <w:sz w:val="24"/>
                <w:szCs w:val="24"/>
              </w:rPr>
              <w:t>Non RPP</w:t>
            </w:r>
          </w:p>
        </w:tc>
        <w:tc>
          <w:tcPr>
            <w:tcW w:w="1185" w:type="dxa"/>
            <w:noWrap/>
            <w:hideMark/>
          </w:tcPr>
          <w:p w14:paraId="4B943BC4" w14:textId="77777777" w:rsidR="001A5993" w:rsidRPr="001A5993" w:rsidRDefault="001A5993" w:rsidP="00D812C8">
            <w:pPr>
              <w:rPr>
                <w:rFonts w:ascii="Arial" w:hAnsi="Arial" w:cs="Arial"/>
                <w:sz w:val="24"/>
                <w:szCs w:val="24"/>
              </w:rPr>
            </w:pPr>
            <w:r w:rsidRPr="001A5993">
              <w:rPr>
                <w:rFonts w:ascii="Arial" w:hAnsi="Arial" w:cs="Arial"/>
                <w:sz w:val="24"/>
                <w:szCs w:val="24"/>
              </w:rPr>
              <w:t>B = D+E</w:t>
            </w:r>
          </w:p>
        </w:tc>
        <w:tc>
          <w:tcPr>
            <w:tcW w:w="1539" w:type="dxa"/>
            <w:noWrap/>
            <w:hideMark/>
          </w:tcPr>
          <w:p w14:paraId="10C5B6F5" w14:textId="6B573573" w:rsidR="001A5993" w:rsidRPr="001A5993" w:rsidRDefault="001A5993" w:rsidP="00E83895">
            <w:pPr>
              <w:rPr>
                <w:rFonts w:ascii="Arial" w:hAnsi="Arial" w:cs="Arial"/>
                <w:sz w:val="24"/>
                <w:szCs w:val="24"/>
              </w:rPr>
            </w:pPr>
            <w:r>
              <w:rPr>
                <w:rFonts w:ascii="Arial" w:hAnsi="Arial" w:cs="Arial"/>
                <w:sz w:val="24"/>
                <w:szCs w:val="24"/>
              </w:rPr>
              <w:t>411,233,312</w:t>
            </w:r>
          </w:p>
        </w:tc>
        <w:tc>
          <w:tcPr>
            <w:tcW w:w="1171" w:type="dxa"/>
            <w:noWrap/>
            <w:hideMark/>
          </w:tcPr>
          <w:p w14:paraId="0C0885F0" w14:textId="77777777" w:rsidR="001A5993" w:rsidRPr="001A5993" w:rsidRDefault="001A5993" w:rsidP="00E83895">
            <w:pPr>
              <w:rPr>
                <w:rFonts w:ascii="Arial" w:hAnsi="Arial" w:cs="Arial"/>
                <w:sz w:val="24"/>
                <w:szCs w:val="24"/>
              </w:rPr>
            </w:pPr>
            <w:r w:rsidRPr="001A5993">
              <w:rPr>
                <w:rFonts w:ascii="Arial" w:hAnsi="Arial" w:cs="Arial"/>
                <w:sz w:val="24"/>
                <w:szCs w:val="24"/>
              </w:rPr>
              <w:t>kWh</w:t>
            </w:r>
          </w:p>
        </w:tc>
      </w:tr>
      <w:tr w:rsidR="001A5993" w:rsidRPr="001A5993" w14:paraId="4DFCDCA7" w14:textId="77777777" w:rsidTr="00E83895">
        <w:trPr>
          <w:trHeight w:val="300"/>
        </w:trPr>
        <w:tc>
          <w:tcPr>
            <w:tcW w:w="3864" w:type="dxa"/>
            <w:noWrap/>
            <w:hideMark/>
          </w:tcPr>
          <w:p w14:paraId="0E36571D" w14:textId="77777777" w:rsidR="001A5993" w:rsidRPr="001A5993" w:rsidRDefault="001A5993" w:rsidP="001A5993">
            <w:pPr>
              <w:rPr>
                <w:rFonts w:ascii="Arial" w:hAnsi="Arial" w:cs="Arial"/>
                <w:sz w:val="24"/>
                <w:szCs w:val="24"/>
              </w:rPr>
            </w:pPr>
            <w:r w:rsidRPr="001A5993">
              <w:rPr>
                <w:rFonts w:ascii="Arial" w:hAnsi="Arial" w:cs="Arial"/>
                <w:sz w:val="24"/>
                <w:szCs w:val="24"/>
              </w:rPr>
              <w:t>Non-RPP Class A</w:t>
            </w:r>
          </w:p>
        </w:tc>
        <w:tc>
          <w:tcPr>
            <w:tcW w:w="1185" w:type="dxa"/>
            <w:noWrap/>
            <w:hideMark/>
          </w:tcPr>
          <w:p w14:paraId="55B89D92" w14:textId="77777777" w:rsidR="001A5993" w:rsidRPr="001A5993" w:rsidRDefault="001A5993" w:rsidP="00D812C8">
            <w:pPr>
              <w:rPr>
                <w:rFonts w:ascii="Arial" w:hAnsi="Arial" w:cs="Arial"/>
                <w:sz w:val="24"/>
                <w:szCs w:val="24"/>
              </w:rPr>
            </w:pPr>
            <w:r w:rsidRPr="001A5993">
              <w:rPr>
                <w:rFonts w:ascii="Arial" w:hAnsi="Arial" w:cs="Arial"/>
                <w:sz w:val="24"/>
                <w:szCs w:val="24"/>
              </w:rPr>
              <w:t>D</w:t>
            </w:r>
          </w:p>
        </w:tc>
        <w:tc>
          <w:tcPr>
            <w:tcW w:w="1539" w:type="dxa"/>
            <w:noWrap/>
            <w:hideMark/>
          </w:tcPr>
          <w:p w14:paraId="2681C00F" w14:textId="236A5EE3" w:rsidR="001A5993" w:rsidRPr="001A5993" w:rsidRDefault="001A5993" w:rsidP="00E83895">
            <w:pPr>
              <w:rPr>
                <w:rFonts w:ascii="Arial" w:hAnsi="Arial" w:cs="Arial"/>
                <w:sz w:val="24"/>
                <w:szCs w:val="24"/>
              </w:rPr>
            </w:pPr>
            <w:r w:rsidRPr="001A5993">
              <w:rPr>
                <w:rFonts w:ascii="Arial" w:hAnsi="Arial" w:cs="Arial"/>
                <w:sz w:val="24"/>
                <w:szCs w:val="24"/>
              </w:rPr>
              <w:t>277,827,791</w:t>
            </w:r>
          </w:p>
        </w:tc>
        <w:tc>
          <w:tcPr>
            <w:tcW w:w="1171" w:type="dxa"/>
            <w:noWrap/>
            <w:hideMark/>
          </w:tcPr>
          <w:p w14:paraId="5AB1C701" w14:textId="77777777" w:rsidR="001A5993" w:rsidRPr="001A5993" w:rsidRDefault="001A5993" w:rsidP="00E83895">
            <w:pPr>
              <w:rPr>
                <w:rFonts w:ascii="Arial" w:hAnsi="Arial" w:cs="Arial"/>
                <w:sz w:val="24"/>
                <w:szCs w:val="24"/>
              </w:rPr>
            </w:pPr>
            <w:r w:rsidRPr="001A5993">
              <w:rPr>
                <w:rFonts w:ascii="Arial" w:hAnsi="Arial" w:cs="Arial"/>
                <w:sz w:val="24"/>
                <w:szCs w:val="24"/>
              </w:rPr>
              <w:t>kWh</w:t>
            </w:r>
          </w:p>
        </w:tc>
      </w:tr>
      <w:tr w:rsidR="001A5993" w:rsidRPr="001A5993" w14:paraId="17D01834" w14:textId="77777777" w:rsidTr="00E83895">
        <w:trPr>
          <w:trHeight w:val="300"/>
        </w:trPr>
        <w:tc>
          <w:tcPr>
            <w:tcW w:w="3864" w:type="dxa"/>
            <w:noWrap/>
            <w:hideMark/>
          </w:tcPr>
          <w:p w14:paraId="78A9D8A4" w14:textId="77777777" w:rsidR="001A5993" w:rsidRPr="001A5993" w:rsidRDefault="001A5993" w:rsidP="001A5993">
            <w:pPr>
              <w:rPr>
                <w:rFonts w:ascii="Arial" w:hAnsi="Arial" w:cs="Arial"/>
                <w:sz w:val="24"/>
                <w:szCs w:val="24"/>
              </w:rPr>
            </w:pPr>
            <w:r w:rsidRPr="001A5993">
              <w:rPr>
                <w:rFonts w:ascii="Arial" w:hAnsi="Arial" w:cs="Arial"/>
                <w:sz w:val="24"/>
                <w:szCs w:val="24"/>
              </w:rPr>
              <w:t>Non-RPP Class B*</w:t>
            </w:r>
          </w:p>
        </w:tc>
        <w:tc>
          <w:tcPr>
            <w:tcW w:w="1185" w:type="dxa"/>
            <w:noWrap/>
            <w:hideMark/>
          </w:tcPr>
          <w:p w14:paraId="26E913F3" w14:textId="77777777" w:rsidR="001A5993" w:rsidRPr="001A5993" w:rsidRDefault="001A5993" w:rsidP="00D812C8">
            <w:pPr>
              <w:rPr>
                <w:rFonts w:ascii="Arial" w:hAnsi="Arial" w:cs="Arial"/>
                <w:sz w:val="24"/>
                <w:szCs w:val="24"/>
              </w:rPr>
            </w:pPr>
            <w:r w:rsidRPr="001A5993">
              <w:rPr>
                <w:rFonts w:ascii="Arial" w:hAnsi="Arial" w:cs="Arial"/>
                <w:sz w:val="24"/>
                <w:szCs w:val="24"/>
              </w:rPr>
              <w:t>E</w:t>
            </w:r>
          </w:p>
        </w:tc>
        <w:tc>
          <w:tcPr>
            <w:tcW w:w="1539" w:type="dxa"/>
            <w:noWrap/>
            <w:hideMark/>
          </w:tcPr>
          <w:p w14:paraId="56AF1B3B" w14:textId="626E1606" w:rsidR="001A5993" w:rsidRPr="001A5993" w:rsidRDefault="001A5993" w:rsidP="00E83895">
            <w:pPr>
              <w:rPr>
                <w:rFonts w:ascii="Arial" w:hAnsi="Arial" w:cs="Arial"/>
                <w:sz w:val="24"/>
                <w:szCs w:val="24"/>
              </w:rPr>
            </w:pPr>
            <w:r w:rsidRPr="001A5993">
              <w:rPr>
                <w:rFonts w:ascii="Arial" w:hAnsi="Arial" w:cs="Arial"/>
                <w:sz w:val="24"/>
                <w:szCs w:val="24"/>
              </w:rPr>
              <w:t>1</w:t>
            </w:r>
            <w:r>
              <w:rPr>
                <w:rFonts w:ascii="Arial" w:hAnsi="Arial" w:cs="Arial"/>
                <w:sz w:val="24"/>
                <w:szCs w:val="24"/>
              </w:rPr>
              <w:t>33,405,521</w:t>
            </w:r>
          </w:p>
        </w:tc>
        <w:tc>
          <w:tcPr>
            <w:tcW w:w="1171" w:type="dxa"/>
            <w:noWrap/>
            <w:hideMark/>
          </w:tcPr>
          <w:p w14:paraId="16B48AFD" w14:textId="77777777" w:rsidR="001A5993" w:rsidRPr="001A5993" w:rsidRDefault="001A5993" w:rsidP="00E83895">
            <w:pPr>
              <w:rPr>
                <w:rFonts w:ascii="Arial" w:hAnsi="Arial" w:cs="Arial"/>
                <w:sz w:val="24"/>
                <w:szCs w:val="24"/>
              </w:rPr>
            </w:pPr>
            <w:r w:rsidRPr="001A5993">
              <w:rPr>
                <w:rFonts w:ascii="Arial" w:hAnsi="Arial" w:cs="Arial"/>
                <w:sz w:val="24"/>
                <w:szCs w:val="24"/>
              </w:rPr>
              <w:t>kWh</w:t>
            </w:r>
          </w:p>
        </w:tc>
      </w:tr>
      <w:tr w:rsidR="001A5993" w:rsidRPr="001A5993" w14:paraId="0F669ABE" w14:textId="77777777" w:rsidTr="001A5993">
        <w:trPr>
          <w:trHeight w:val="300"/>
        </w:trPr>
        <w:tc>
          <w:tcPr>
            <w:tcW w:w="3864" w:type="dxa"/>
            <w:noWrap/>
          </w:tcPr>
          <w:p w14:paraId="7C4A5123" w14:textId="77777777" w:rsidR="001A5993" w:rsidRPr="001A5993" w:rsidRDefault="001A5993" w:rsidP="001A5993">
            <w:pPr>
              <w:jc w:val="center"/>
              <w:rPr>
                <w:rFonts w:ascii="Arial" w:hAnsi="Arial" w:cs="Arial"/>
                <w:sz w:val="24"/>
                <w:szCs w:val="24"/>
              </w:rPr>
            </w:pPr>
          </w:p>
        </w:tc>
        <w:tc>
          <w:tcPr>
            <w:tcW w:w="1185" w:type="dxa"/>
            <w:noWrap/>
          </w:tcPr>
          <w:p w14:paraId="4A17B85B" w14:textId="77777777" w:rsidR="001A5993" w:rsidRPr="001A5993" w:rsidRDefault="001A5993" w:rsidP="001A5993">
            <w:pPr>
              <w:jc w:val="center"/>
              <w:rPr>
                <w:rFonts w:ascii="Arial" w:hAnsi="Arial" w:cs="Arial"/>
                <w:sz w:val="24"/>
                <w:szCs w:val="24"/>
              </w:rPr>
            </w:pPr>
          </w:p>
        </w:tc>
        <w:tc>
          <w:tcPr>
            <w:tcW w:w="1539" w:type="dxa"/>
            <w:noWrap/>
          </w:tcPr>
          <w:p w14:paraId="0B0852A7" w14:textId="77777777" w:rsidR="001A5993" w:rsidRPr="001A5993" w:rsidRDefault="001A5993" w:rsidP="001A5993">
            <w:pPr>
              <w:jc w:val="center"/>
              <w:rPr>
                <w:rFonts w:ascii="Arial" w:hAnsi="Arial" w:cs="Arial"/>
                <w:sz w:val="24"/>
                <w:szCs w:val="24"/>
              </w:rPr>
            </w:pPr>
          </w:p>
        </w:tc>
        <w:tc>
          <w:tcPr>
            <w:tcW w:w="1171" w:type="dxa"/>
            <w:noWrap/>
          </w:tcPr>
          <w:p w14:paraId="5957911B" w14:textId="77777777" w:rsidR="001A5993" w:rsidRPr="001A5993" w:rsidRDefault="001A5993" w:rsidP="001A5993">
            <w:pPr>
              <w:jc w:val="center"/>
              <w:rPr>
                <w:rFonts w:ascii="Arial" w:hAnsi="Arial" w:cs="Arial"/>
                <w:sz w:val="24"/>
                <w:szCs w:val="24"/>
              </w:rPr>
            </w:pPr>
          </w:p>
        </w:tc>
      </w:tr>
      <w:tr w:rsidR="001A5993" w:rsidRPr="001A5993" w14:paraId="1D470ECC" w14:textId="77777777" w:rsidTr="001A5993">
        <w:trPr>
          <w:trHeight w:val="300"/>
        </w:trPr>
        <w:tc>
          <w:tcPr>
            <w:tcW w:w="3864" w:type="dxa"/>
            <w:noWrap/>
          </w:tcPr>
          <w:p w14:paraId="5EDC19F5" w14:textId="734B0A7E" w:rsidR="001A5993" w:rsidRPr="001A5993" w:rsidRDefault="001A5993" w:rsidP="00E83895">
            <w:pPr>
              <w:rPr>
                <w:rFonts w:ascii="Arial" w:hAnsi="Arial" w:cs="Arial"/>
                <w:sz w:val="24"/>
                <w:szCs w:val="24"/>
              </w:rPr>
            </w:pPr>
            <w:r w:rsidRPr="001A5993">
              <w:rPr>
                <w:rFonts w:ascii="Arial" w:hAnsi="Arial" w:cs="Arial"/>
                <w:sz w:val="24"/>
                <w:szCs w:val="24"/>
              </w:rPr>
              <w:t>Non-RPP Class B</w:t>
            </w:r>
            <w:r>
              <w:rPr>
                <w:rFonts w:ascii="Arial" w:hAnsi="Arial" w:cs="Arial"/>
                <w:sz w:val="24"/>
                <w:szCs w:val="24"/>
              </w:rPr>
              <w:t xml:space="preserve"> incl LF</w:t>
            </w:r>
          </w:p>
        </w:tc>
        <w:tc>
          <w:tcPr>
            <w:tcW w:w="1185" w:type="dxa"/>
            <w:noWrap/>
          </w:tcPr>
          <w:p w14:paraId="3CDCADF0" w14:textId="77777777" w:rsidR="001A5993" w:rsidRPr="001A5993" w:rsidRDefault="001A5993" w:rsidP="001A5993">
            <w:pPr>
              <w:jc w:val="center"/>
              <w:rPr>
                <w:rFonts w:ascii="Arial" w:hAnsi="Arial" w:cs="Arial"/>
                <w:sz w:val="24"/>
                <w:szCs w:val="24"/>
              </w:rPr>
            </w:pPr>
          </w:p>
        </w:tc>
        <w:tc>
          <w:tcPr>
            <w:tcW w:w="1539" w:type="dxa"/>
            <w:noWrap/>
          </w:tcPr>
          <w:p w14:paraId="7909932C" w14:textId="3BC5512A" w:rsidR="001A5993" w:rsidRPr="001A5993" w:rsidRDefault="001A5993" w:rsidP="001A5993">
            <w:pPr>
              <w:jc w:val="center"/>
              <w:rPr>
                <w:rFonts w:ascii="Arial" w:hAnsi="Arial" w:cs="Arial"/>
                <w:sz w:val="24"/>
                <w:szCs w:val="24"/>
              </w:rPr>
            </w:pPr>
            <w:r>
              <w:rPr>
                <w:rFonts w:ascii="Arial" w:hAnsi="Arial" w:cs="Arial"/>
                <w:sz w:val="24"/>
                <w:szCs w:val="24"/>
              </w:rPr>
              <w:t>139,007,773</w:t>
            </w:r>
          </w:p>
        </w:tc>
        <w:tc>
          <w:tcPr>
            <w:tcW w:w="1171" w:type="dxa"/>
            <w:noWrap/>
          </w:tcPr>
          <w:p w14:paraId="7F5FE7A8" w14:textId="36D20A16" w:rsidR="001A5993" w:rsidRPr="001A5993" w:rsidRDefault="001A5993" w:rsidP="00E83895">
            <w:pPr>
              <w:rPr>
                <w:rFonts w:ascii="Arial" w:hAnsi="Arial" w:cs="Arial"/>
                <w:sz w:val="24"/>
                <w:szCs w:val="24"/>
              </w:rPr>
            </w:pPr>
            <w:r w:rsidRPr="001A5993">
              <w:rPr>
                <w:rFonts w:ascii="Arial" w:hAnsi="Arial" w:cs="Arial"/>
                <w:sz w:val="24"/>
                <w:szCs w:val="24"/>
              </w:rPr>
              <w:t>kWh</w:t>
            </w:r>
          </w:p>
        </w:tc>
      </w:tr>
      <w:tr w:rsidR="001A5993" w:rsidRPr="001A5993" w14:paraId="0B7445B4" w14:textId="77777777" w:rsidTr="001A5993">
        <w:trPr>
          <w:trHeight w:val="300"/>
        </w:trPr>
        <w:tc>
          <w:tcPr>
            <w:tcW w:w="3864" w:type="dxa"/>
            <w:noWrap/>
          </w:tcPr>
          <w:p w14:paraId="1C871E9E" w14:textId="77777777" w:rsidR="001A5993" w:rsidRPr="001A5993" w:rsidRDefault="001A5993" w:rsidP="001A5993">
            <w:pPr>
              <w:rPr>
                <w:rFonts w:ascii="Arial" w:hAnsi="Arial" w:cs="Arial"/>
                <w:sz w:val="24"/>
                <w:szCs w:val="24"/>
              </w:rPr>
            </w:pPr>
          </w:p>
        </w:tc>
        <w:tc>
          <w:tcPr>
            <w:tcW w:w="1185" w:type="dxa"/>
            <w:noWrap/>
          </w:tcPr>
          <w:p w14:paraId="06AE4FA5" w14:textId="77777777" w:rsidR="001A5993" w:rsidRPr="001A5993" w:rsidRDefault="001A5993" w:rsidP="001A5993">
            <w:pPr>
              <w:jc w:val="center"/>
              <w:rPr>
                <w:rFonts w:ascii="Arial" w:hAnsi="Arial" w:cs="Arial"/>
                <w:sz w:val="24"/>
                <w:szCs w:val="24"/>
              </w:rPr>
            </w:pPr>
          </w:p>
        </w:tc>
        <w:tc>
          <w:tcPr>
            <w:tcW w:w="1539" w:type="dxa"/>
            <w:noWrap/>
          </w:tcPr>
          <w:p w14:paraId="683221EA" w14:textId="77777777" w:rsidR="001A5993" w:rsidRDefault="001A5993" w:rsidP="001A5993">
            <w:pPr>
              <w:jc w:val="center"/>
              <w:rPr>
                <w:rFonts w:ascii="Arial" w:hAnsi="Arial" w:cs="Arial"/>
                <w:sz w:val="24"/>
                <w:szCs w:val="24"/>
              </w:rPr>
            </w:pPr>
          </w:p>
        </w:tc>
        <w:tc>
          <w:tcPr>
            <w:tcW w:w="1171" w:type="dxa"/>
            <w:noWrap/>
          </w:tcPr>
          <w:p w14:paraId="664BF7F4" w14:textId="77777777" w:rsidR="001A5993" w:rsidRPr="001A5993" w:rsidRDefault="001A5993" w:rsidP="001A5993">
            <w:pPr>
              <w:rPr>
                <w:rFonts w:ascii="Arial" w:hAnsi="Arial" w:cs="Arial"/>
                <w:sz w:val="24"/>
                <w:szCs w:val="24"/>
              </w:rPr>
            </w:pPr>
          </w:p>
        </w:tc>
      </w:tr>
      <w:tr w:rsidR="001A5993" w:rsidRPr="001A5993" w14:paraId="1970F588" w14:textId="77777777" w:rsidTr="001A5993">
        <w:trPr>
          <w:trHeight w:val="300"/>
        </w:trPr>
        <w:tc>
          <w:tcPr>
            <w:tcW w:w="3864" w:type="dxa"/>
            <w:noWrap/>
          </w:tcPr>
          <w:p w14:paraId="13C75DB9" w14:textId="21C30520" w:rsidR="001A5993" w:rsidRPr="001A5993" w:rsidRDefault="001A5993" w:rsidP="001A5993">
            <w:pPr>
              <w:rPr>
                <w:rFonts w:ascii="Arial" w:hAnsi="Arial" w:cs="Arial"/>
                <w:sz w:val="24"/>
                <w:szCs w:val="24"/>
              </w:rPr>
            </w:pPr>
            <w:r>
              <w:rPr>
                <w:rFonts w:ascii="Arial" w:hAnsi="Arial" w:cs="Arial"/>
                <w:sz w:val="24"/>
                <w:szCs w:val="24"/>
              </w:rPr>
              <w:t>Calculated Loss Factor</w:t>
            </w:r>
          </w:p>
        </w:tc>
        <w:tc>
          <w:tcPr>
            <w:tcW w:w="1185" w:type="dxa"/>
            <w:noWrap/>
          </w:tcPr>
          <w:p w14:paraId="6263438B" w14:textId="77777777" w:rsidR="001A5993" w:rsidRPr="001A5993" w:rsidRDefault="001A5993" w:rsidP="001A5993">
            <w:pPr>
              <w:jc w:val="center"/>
              <w:rPr>
                <w:rFonts w:ascii="Arial" w:hAnsi="Arial" w:cs="Arial"/>
                <w:sz w:val="24"/>
                <w:szCs w:val="24"/>
              </w:rPr>
            </w:pPr>
          </w:p>
        </w:tc>
        <w:tc>
          <w:tcPr>
            <w:tcW w:w="1539" w:type="dxa"/>
            <w:noWrap/>
          </w:tcPr>
          <w:p w14:paraId="15231453" w14:textId="31C5A605" w:rsidR="001A5993" w:rsidRDefault="001A5993" w:rsidP="001A5993">
            <w:pPr>
              <w:jc w:val="center"/>
              <w:rPr>
                <w:rFonts w:ascii="Arial" w:hAnsi="Arial" w:cs="Arial"/>
                <w:sz w:val="24"/>
                <w:szCs w:val="24"/>
              </w:rPr>
            </w:pPr>
            <w:r>
              <w:rPr>
                <w:rFonts w:ascii="Arial" w:hAnsi="Arial" w:cs="Arial"/>
                <w:sz w:val="24"/>
                <w:szCs w:val="24"/>
              </w:rPr>
              <w:t>1.0420</w:t>
            </w:r>
          </w:p>
        </w:tc>
        <w:tc>
          <w:tcPr>
            <w:tcW w:w="1171" w:type="dxa"/>
            <w:noWrap/>
          </w:tcPr>
          <w:p w14:paraId="7DCF6C0C" w14:textId="77777777" w:rsidR="001A5993" w:rsidRPr="001A5993" w:rsidRDefault="001A5993" w:rsidP="001A5993">
            <w:pPr>
              <w:rPr>
                <w:rFonts w:ascii="Arial" w:hAnsi="Arial" w:cs="Arial"/>
                <w:sz w:val="24"/>
                <w:szCs w:val="24"/>
              </w:rPr>
            </w:pPr>
          </w:p>
        </w:tc>
      </w:tr>
      <w:tr w:rsidR="001A5993" w:rsidRPr="001A5993" w14:paraId="1804EF34" w14:textId="77777777" w:rsidTr="001A5993">
        <w:trPr>
          <w:trHeight w:val="300"/>
        </w:trPr>
        <w:tc>
          <w:tcPr>
            <w:tcW w:w="3864" w:type="dxa"/>
            <w:noWrap/>
          </w:tcPr>
          <w:p w14:paraId="00551774" w14:textId="328A5E07" w:rsidR="001A5993" w:rsidRPr="001A5993" w:rsidRDefault="001A5993" w:rsidP="001A5993">
            <w:pPr>
              <w:rPr>
                <w:rFonts w:ascii="Arial" w:hAnsi="Arial" w:cs="Arial"/>
                <w:sz w:val="24"/>
                <w:szCs w:val="24"/>
              </w:rPr>
            </w:pPr>
            <w:r>
              <w:rPr>
                <w:rFonts w:ascii="Arial" w:hAnsi="Arial" w:cs="Arial"/>
                <w:sz w:val="24"/>
                <w:szCs w:val="24"/>
              </w:rPr>
              <w:t>Approved Loss Factor</w:t>
            </w:r>
          </w:p>
        </w:tc>
        <w:tc>
          <w:tcPr>
            <w:tcW w:w="1185" w:type="dxa"/>
            <w:noWrap/>
          </w:tcPr>
          <w:p w14:paraId="5B7179FB" w14:textId="77777777" w:rsidR="001A5993" w:rsidRPr="001A5993" w:rsidRDefault="001A5993" w:rsidP="001A5993">
            <w:pPr>
              <w:jc w:val="center"/>
              <w:rPr>
                <w:rFonts w:ascii="Arial" w:hAnsi="Arial" w:cs="Arial"/>
                <w:sz w:val="24"/>
                <w:szCs w:val="24"/>
              </w:rPr>
            </w:pPr>
          </w:p>
        </w:tc>
        <w:tc>
          <w:tcPr>
            <w:tcW w:w="1539" w:type="dxa"/>
            <w:noWrap/>
          </w:tcPr>
          <w:p w14:paraId="2B617EE8" w14:textId="49BF899F" w:rsidR="001A5993" w:rsidRDefault="001A5993" w:rsidP="001A5993">
            <w:pPr>
              <w:jc w:val="center"/>
              <w:rPr>
                <w:rFonts w:ascii="Arial" w:hAnsi="Arial" w:cs="Arial"/>
                <w:sz w:val="24"/>
                <w:szCs w:val="24"/>
              </w:rPr>
            </w:pPr>
            <w:r>
              <w:rPr>
                <w:rFonts w:ascii="Arial" w:hAnsi="Arial" w:cs="Arial"/>
                <w:sz w:val="24"/>
                <w:szCs w:val="24"/>
              </w:rPr>
              <w:t>1.0291</w:t>
            </w:r>
          </w:p>
        </w:tc>
        <w:tc>
          <w:tcPr>
            <w:tcW w:w="1171" w:type="dxa"/>
            <w:noWrap/>
          </w:tcPr>
          <w:p w14:paraId="564E61A6" w14:textId="77777777" w:rsidR="001A5993" w:rsidRPr="001A5993" w:rsidRDefault="001A5993" w:rsidP="001A5993">
            <w:pPr>
              <w:rPr>
                <w:rFonts w:ascii="Arial" w:hAnsi="Arial" w:cs="Arial"/>
                <w:sz w:val="24"/>
                <w:szCs w:val="24"/>
              </w:rPr>
            </w:pPr>
          </w:p>
        </w:tc>
      </w:tr>
      <w:tr w:rsidR="001A5993" w:rsidRPr="001A5993" w14:paraId="52F4D098" w14:textId="77777777" w:rsidTr="001A5993">
        <w:trPr>
          <w:trHeight w:val="300"/>
        </w:trPr>
        <w:tc>
          <w:tcPr>
            <w:tcW w:w="3864" w:type="dxa"/>
            <w:noWrap/>
          </w:tcPr>
          <w:p w14:paraId="599CFA54" w14:textId="4808D76E" w:rsidR="001A5993" w:rsidRPr="001A5993" w:rsidRDefault="001A5993" w:rsidP="001A5993">
            <w:pPr>
              <w:rPr>
                <w:rFonts w:ascii="Arial" w:hAnsi="Arial" w:cs="Arial"/>
                <w:sz w:val="24"/>
                <w:szCs w:val="24"/>
              </w:rPr>
            </w:pPr>
            <w:r>
              <w:rPr>
                <w:rFonts w:ascii="Arial" w:hAnsi="Arial" w:cs="Arial"/>
                <w:sz w:val="24"/>
                <w:szCs w:val="24"/>
              </w:rPr>
              <w:t>Difference</w:t>
            </w:r>
          </w:p>
        </w:tc>
        <w:tc>
          <w:tcPr>
            <w:tcW w:w="1185" w:type="dxa"/>
            <w:noWrap/>
          </w:tcPr>
          <w:p w14:paraId="763C54A2" w14:textId="77777777" w:rsidR="001A5993" w:rsidRPr="001A5993" w:rsidRDefault="001A5993" w:rsidP="001A5993">
            <w:pPr>
              <w:jc w:val="center"/>
              <w:rPr>
                <w:rFonts w:ascii="Arial" w:hAnsi="Arial" w:cs="Arial"/>
                <w:sz w:val="24"/>
                <w:szCs w:val="24"/>
              </w:rPr>
            </w:pPr>
          </w:p>
        </w:tc>
        <w:tc>
          <w:tcPr>
            <w:tcW w:w="1539" w:type="dxa"/>
            <w:noWrap/>
          </w:tcPr>
          <w:p w14:paraId="0387CF2E" w14:textId="7754FCF8" w:rsidR="001A5993" w:rsidRDefault="00D812C8" w:rsidP="001A5993">
            <w:pPr>
              <w:jc w:val="center"/>
              <w:rPr>
                <w:rFonts w:ascii="Arial" w:hAnsi="Arial" w:cs="Arial"/>
                <w:sz w:val="24"/>
                <w:szCs w:val="24"/>
              </w:rPr>
            </w:pPr>
            <w:r>
              <w:rPr>
                <w:rFonts w:ascii="Arial" w:hAnsi="Arial" w:cs="Arial"/>
                <w:sz w:val="24"/>
                <w:szCs w:val="24"/>
              </w:rPr>
              <w:t>0.01289</w:t>
            </w:r>
          </w:p>
        </w:tc>
        <w:tc>
          <w:tcPr>
            <w:tcW w:w="1171" w:type="dxa"/>
            <w:noWrap/>
          </w:tcPr>
          <w:p w14:paraId="0C23C2CC" w14:textId="77777777" w:rsidR="001A5993" w:rsidRPr="001A5993" w:rsidRDefault="001A5993" w:rsidP="001A5993">
            <w:pPr>
              <w:rPr>
                <w:rFonts w:ascii="Arial" w:hAnsi="Arial" w:cs="Arial"/>
                <w:sz w:val="24"/>
                <w:szCs w:val="24"/>
              </w:rPr>
            </w:pPr>
          </w:p>
        </w:tc>
      </w:tr>
    </w:tbl>
    <w:p w14:paraId="22837D5A" w14:textId="296CB6FF" w:rsidR="001A5993" w:rsidRDefault="001A5993" w:rsidP="00484335">
      <w:pPr>
        <w:rPr>
          <w:rFonts w:ascii="Arial" w:hAnsi="Arial" w:cs="Arial"/>
          <w:sz w:val="24"/>
          <w:szCs w:val="24"/>
        </w:rPr>
      </w:pPr>
    </w:p>
    <w:p w14:paraId="4AB50B2F" w14:textId="3082512C" w:rsidR="001A5993" w:rsidRPr="00D61AF9" w:rsidRDefault="00D812C8" w:rsidP="00484335">
      <w:pPr>
        <w:rPr>
          <w:rFonts w:ascii="Arial" w:hAnsi="Arial" w:cs="Arial"/>
          <w:sz w:val="24"/>
          <w:szCs w:val="24"/>
        </w:rPr>
      </w:pPr>
      <w:r>
        <w:rPr>
          <w:rFonts w:ascii="Arial" w:hAnsi="Arial" w:cs="Arial"/>
          <w:sz w:val="24"/>
          <w:szCs w:val="24"/>
        </w:rPr>
        <w:t xml:space="preserve">Festival has not attached an updated GA </w:t>
      </w:r>
      <w:proofErr w:type="spellStart"/>
      <w:r>
        <w:rPr>
          <w:rFonts w:ascii="Arial" w:hAnsi="Arial" w:cs="Arial"/>
          <w:sz w:val="24"/>
          <w:szCs w:val="24"/>
        </w:rPr>
        <w:t>Workform</w:t>
      </w:r>
      <w:proofErr w:type="spellEnd"/>
      <w:r>
        <w:rPr>
          <w:rFonts w:ascii="Arial" w:hAnsi="Arial" w:cs="Arial"/>
          <w:sz w:val="24"/>
          <w:szCs w:val="24"/>
        </w:rPr>
        <w:t xml:space="preserve"> as we are unable to update the amounts within the </w:t>
      </w:r>
      <w:proofErr w:type="spellStart"/>
      <w:r>
        <w:rPr>
          <w:rFonts w:ascii="Arial" w:hAnsi="Arial" w:cs="Arial"/>
          <w:sz w:val="24"/>
          <w:szCs w:val="24"/>
        </w:rPr>
        <w:t>workform</w:t>
      </w:r>
      <w:proofErr w:type="spellEnd"/>
      <w:r>
        <w:rPr>
          <w:rFonts w:ascii="Arial" w:hAnsi="Arial" w:cs="Arial"/>
          <w:sz w:val="24"/>
          <w:szCs w:val="24"/>
        </w:rPr>
        <w:t xml:space="preserve">. </w:t>
      </w:r>
      <w:r w:rsidR="00E83895">
        <w:rPr>
          <w:rFonts w:ascii="Arial" w:hAnsi="Arial" w:cs="Arial"/>
          <w:sz w:val="24"/>
          <w:szCs w:val="24"/>
        </w:rPr>
        <w:t xml:space="preserve">In addition, these changes impact tab 4 in the </w:t>
      </w:r>
      <w:r w:rsidR="00E83895">
        <w:rPr>
          <w:rFonts w:ascii="Arial" w:hAnsi="Arial" w:cs="Arial"/>
          <w:color w:val="4472C4" w:themeColor="accent1"/>
          <w:sz w:val="24"/>
          <w:szCs w:val="24"/>
        </w:rPr>
        <w:t>2021 IRM Rate Generator Model</w:t>
      </w:r>
      <w:r w:rsidR="00E83895">
        <w:rPr>
          <w:rFonts w:ascii="Arial" w:hAnsi="Arial" w:cs="Arial"/>
          <w:sz w:val="24"/>
          <w:szCs w:val="24"/>
        </w:rPr>
        <w:t xml:space="preserve">. Festival is also unable to update these numbers within the model.  </w:t>
      </w:r>
    </w:p>
    <w:p w14:paraId="7C71C2F7" w14:textId="0968AA55" w:rsidR="00484335" w:rsidRDefault="00484335" w:rsidP="00484335">
      <w:pPr>
        <w:rPr>
          <w:rFonts w:ascii="Arial" w:hAnsi="Arial" w:cs="Arial"/>
          <w:b/>
          <w:bCs/>
          <w:sz w:val="24"/>
          <w:szCs w:val="24"/>
        </w:rPr>
      </w:pPr>
      <w:r>
        <w:rPr>
          <w:rFonts w:ascii="Arial" w:hAnsi="Arial" w:cs="Arial"/>
          <w:b/>
          <w:bCs/>
          <w:sz w:val="24"/>
          <w:szCs w:val="24"/>
        </w:rPr>
        <w:t>OEB Staff-</w:t>
      </w:r>
      <w:r w:rsidR="007A6F1B">
        <w:rPr>
          <w:rFonts w:ascii="Arial" w:hAnsi="Arial" w:cs="Arial"/>
          <w:b/>
          <w:bCs/>
          <w:sz w:val="24"/>
          <w:szCs w:val="24"/>
        </w:rPr>
        <w:t xml:space="preserve"> 5</w:t>
      </w:r>
    </w:p>
    <w:p w14:paraId="3351697A" w14:textId="77777777" w:rsidR="00484335" w:rsidRPr="00264A2B" w:rsidRDefault="00484335" w:rsidP="00484335">
      <w:pPr>
        <w:rPr>
          <w:rFonts w:ascii="Arial" w:hAnsi="Arial" w:cs="Arial"/>
          <w:sz w:val="24"/>
          <w:szCs w:val="24"/>
        </w:rPr>
      </w:pPr>
      <w:r>
        <w:rPr>
          <w:rFonts w:ascii="Arial" w:hAnsi="Arial" w:cs="Arial"/>
          <w:b/>
          <w:bCs/>
          <w:sz w:val="24"/>
          <w:szCs w:val="24"/>
        </w:rPr>
        <w:t>Reference:</w:t>
      </w:r>
      <w:r>
        <w:rPr>
          <w:rFonts w:ascii="Arial" w:hAnsi="Arial" w:cs="Arial"/>
          <w:sz w:val="24"/>
          <w:szCs w:val="24"/>
        </w:rPr>
        <w:tab/>
        <w:t>EB-2020-0022, Page 7</w:t>
      </w:r>
    </w:p>
    <w:p w14:paraId="55484EF3" w14:textId="48A50B5F" w:rsidR="00484335" w:rsidRDefault="00484335" w:rsidP="00484335">
      <w:pPr>
        <w:rPr>
          <w:rFonts w:ascii="Arial" w:hAnsi="Arial" w:cs="Arial"/>
          <w:sz w:val="24"/>
          <w:szCs w:val="24"/>
        </w:rPr>
      </w:pPr>
      <w:r>
        <w:rPr>
          <w:rFonts w:ascii="Arial" w:hAnsi="Arial" w:cs="Arial"/>
          <w:sz w:val="24"/>
          <w:szCs w:val="24"/>
        </w:rPr>
        <w:t>Festival Hydro notes that it continues to carry a balance of $5,683 from the 2016 LRAMVA disposal and requests this balance be rolled into the approved 2021 1595 sub-account rate rider.</w:t>
      </w:r>
    </w:p>
    <w:p w14:paraId="5209B41E" w14:textId="77777777" w:rsidR="00484335" w:rsidRDefault="00484335" w:rsidP="00484335">
      <w:pPr>
        <w:pStyle w:val="ListParagraph"/>
        <w:numPr>
          <w:ilvl w:val="0"/>
          <w:numId w:val="1"/>
        </w:numPr>
        <w:rPr>
          <w:rFonts w:ascii="Arial" w:hAnsi="Arial" w:cs="Arial"/>
          <w:sz w:val="24"/>
          <w:szCs w:val="24"/>
        </w:rPr>
      </w:pPr>
      <w:r>
        <w:rPr>
          <w:rFonts w:ascii="Arial" w:hAnsi="Arial" w:cs="Arial"/>
          <w:sz w:val="24"/>
          <w:szCs w:val="24"/>
        </w:rPr>
        <w:t>Please confirm that Festival Hydro continues to carry a residual balance of $5,683 from the 2016 disposal that is solely related to the LRAMVA balance.</w:t>
      </w:r>
    </w:p>
    <w:p w14:paraId="594FB5B1" w14:textId="221B6558" w:rsidR="00484335" w:rsidRDefault="00484335" w:rsidP="00484335">
      <w:pPr>
        <w:pStyle w:val="ListParagraph"/>
        <w:rPr>
          <w:rFonts w:ascii="Arial" w:hAnsi="Arial" w:cs="Arial"/>
          <w:color w:val="4472C4" w:themeColor="accent1"/>
          <w:sz w:val="24"/>
          <w:szCs w:val="24"/>
        </w:rPr>
      </w:pPr>
    </w:p>
    <w:p w14:paraId="100BA349" w14:textId="24F5AC93" w:rsidR="000172FA" w:rsidRDefault="000172FA" w:rsidP="00484335">
      <w:pPr>
        <w:pStyle w:val="ListParagraph"/>
        <w:rPr>
          <w:rFonts w:ascii="Arial" w:hAnsi="Arial" w:cs="Arial"/>
          <w:color w:val="4472C4" w:themeColor="accent1"/>
          <w:sz w:val="24"/>
          <w:szCs w:val="24"/>
        </w:rPr>
      </w:pPr>
      <w:r>
        <w:rPr>
          <w:rFonts w:ascii="Arial" w:hAnsi="Arial" w:cs="Arial"/>
          <w:color w:val="4472C4" w:themeColor="accent1"/>
          <w:sz w:val="24"/>
          <w:szCs w:val="24"/>
        </w:rPr>
        <w:t>Festival continues to carry a residual balance of $5,683 from the 2016 disposal that is solely related to LRAMVA balance.</w:t>
      </w:r>
    </w:p>
    <w:p w14:paraId="7FEA4A48" w14:textId="77777777" w:rsidR="000172FA" w:rsidRPr="000172FA" w:rsidRDefault="000172FA" w:rsidP="00484335">
      <w:pPr>
        <w:pStyle w:val="ListParagraph"/>
        <w:rPr>
          <w:rFonts w:ascii="Arial" w:hAnsi="Arial" w:cs="Arial"/>
          <w:color w:val="4472C4" w:themeColor="accent1"/>
          <w:sz w:val="24"/>
          <w:szCs w:val="24"/>
        </w:rPr>
      </w:pPr>
    </w:p>
    <w:p w14:paraId="61FA3C7D" w14:textId="78FA484F" w:rsidR="00484335" w:rsidRDefault="00484335" w:rsidP="00484335">
      <w:pPr>
        <w:pStyle w:val="ListParagraph"/>
        <w:numPr>
          <w:ilvl w:val="0"/>
          <w:numId w:val="1"/>
        </w:numPr>
        <w:rPr>
          <w:rFonts w:ascii="Arial" w:hAnsi="Arial" w:cs="Arial"/>
          <w:sz w:val="24"/>
          <w:szCs w:val="24"/>
        </w:rPr>
      </w:pPr>
      <w:r w:rsidRPr="00B74E2E">
        <w:rPr>
          <w:rFonts w:ascii="Arial" w:hAnsi="Arial" w:cs="Arial"/>
          <w:sz w:val="24"/>
          <w:szCs w:val="24"/>
        </w:rPr>
        <w:t xml:space="preserve">Please discuss why Festival Hydro believes it is appropriate to transfer a residual balance from </w:t>
      </w:r>
      <w:r>
        <w:rPr>
          <w:rFonts w:ascii="Arial" w:hAnsi="Arial" w:cs="Arial"/>
          <w:sz w:val="24"/>
          <w:szCs w:val="24"/>
        </w:rPr>
        <w:t xml:space="preserve">the </w:t>
      </w:r>
      <w:r w:rsidRPr="00B74E2E">
        <w:rPr>
          <w:rFonts w:ascii="Arial" w:hAnsi="Arial" w:cs="Arial"/>
          <w:sz w:val="24"/>
          <w:szCs w:val="24"/>
        </w:rPr>
        <w:t>1595 (2016) sub-account to the 1595 (202</w:t>
      </w:r>
      <w:r>
        <w:rPr>
          <w:rFonts w:ascii="Arial" w:hAnsi="Arial" w:cs="Arial"/>
          <w:sz w:val="24"/>
          <w:szCs w:val="24"/>
        </w:rPr>
        <w:t>1</w:t>
      </w:r>
      <w:r w:rsidRPr="00B74E2E">
        <w:rPr>
          <w:rFonts w:ascii="Arial" w:hAnsi="Arial" w:cs="Arial"/>
          <w:sz w:val="24"/>
          <w:szCs w:val="24"/>
        </w:rPr>
        <w:t>) sub-account, considering the residual balance is related to the 2016 vintage year and should only be cleared once</w:t>
      </w:r>
      <w:r w:rsidR="007C5B44">
        <w:rPr>
          <w:rFonts w:ascii="Arial" w:hAnsi="Arial" w:cs="Arial"/>
          <w:sz w:val="24"/>
          <w:szCs w:val="24"/>
        </w:rPr>
        <w:t xml:space="preserve"> on a final basis</w:t>
      </w:r>
      <w:r w:rsidRPr="00B74E2E">
        <w:rPr>
          <w:rFonts w:ascii="Arial" w:hAnsi="Arial" w:cs="Arial"/>
          <w:sz w:val="24"/>
          <w:szCs w:val="24"/>
        </w:rPr>
        <w:t>.</w:t>
      </w:r>
    </w:p>
    <w:p w14:paraId="34B4FF94" w14:textId="77777777" w:rsidR="00A36663" w:rsidRDefault="00A36663" w:rsidP="00A36663">
      <w:pPr>
        <w:pStyle w:val="ListParagraph"/>
        <w:rPr>
          <w:rFonts w:ascii="Arial" w:hAnsi="Arial" w:cs="Arial"/>
          <w:sz w:val="24"/>
          <w:szCs w:val="24"/>
        </w:rPr>
      </w:pPr>
    </w:p>
    <w:p w14:paraId="3C767428" w14:textId="0D74C999" w:rsidR="00277F24" w:rsidRPr="00A658E4" w:rsidRDefault="000172FA" w:rsidP="00A658E4">
      <w:pPr>
        <w:pStyle w:val="ListParagraph"/>
        <w:rPr>
          <w:rFonts w:ascii="Arial" w:hAnsi="Arial" w:cs="Arial"/>
          <w:color w:val="4472C4" w:themeColor="accent1"/>
          <w:sz w:val="24"/>
          <w:szCs w:val="24"/>
        </w:rPr>
      </w:pPr>
      <w:r>
        <w:rPr>
          <w:rFonts w:ascii="Arial" w:hAnsi="Arial" w:cs="Arial"/>
          <w:color w:val="4472C4" w:themeColor="accent1"/>
          <w:sz w:val="24"/>
          <w:szCs w:val="24"/>
        </w:rPr>
        <w:t xml:space="preserve">The 1586 2016 </w:t>
      </w:r>
      <w:r w:rsidR="00A658E4">
        <w:rPr>
          <w:rFonts w:ascii="Arial" w:hAnsi="Arial" w:cs="Arial"/>
          <w:color w:val="4472C4" w:themeColor="accent1"/>
          <w:sz w:val="24"/>
          <w:szCs w:val="24"/>
        </w:rPr>
        <w:t xml:space="preserve">LRAMVA disposal (2018 </w:t>
      </w:r>
      <w:r w:rsidR="006F1D32">
        <w:rPr>
          <w:rFonts w:ascii="Arial" w:hAnsi="Arial" w:cs="Arial"/>
          <w:color w:val="4472C4" w:themeColor="accent1"/>
          <w:sz w:val="24"/>
          <w:szCs w:val="24"/>
        </w:rPr>
        <w:t>rate year d</w:t>
      </w:r>
      <w:r w:rsidR="00A658E4">
        <w:rPr>
          <w:rFonts w:ascii="Arial" w:hAnsi="Arial" w:cs="Arial"/>
          <w:color w:val="4472C4" w:themeColor="accent1"/>
          <w:sz w:val="24"/>
          <w:szCs w:val="24"/>
        </w:rPr>
        <w:t xml:space="preserve">isposition) completed billing in February 2019 and </w:t>
      </w:r>
      <w:r w:rsidR="006F1D32">
        <w:rPr>
          <w:rFonts w:ascii="Arial" w:hAnsi="Arial" w:cs="Arial"/>
          <w:color w:val="4472C4" w:themeColor="accent1"/>
          <w:sz w:val="24"/>
          <w:szCs w:val="24"/>
        </w:rPr>
        <w:t xml:space="preserve">as the balance remaining in the account was not recovered through the 2018 approved LRAMVA rate, and the 2019 GL balances have been </w:t>
      </w:r>
      <w:r w:rsidR="006F1D32">
        <w:rPr>
          <w:rFonts w:ascii="Arial" w:hAnsi="Arial" w:cs="Arial"/>
          <w:color w:val="4472C4" w:themeColor="accent1"/>
          <w:sz w:val="24"/>
          <w:szCs w:val="24"/>
        </w:rPr>
        <w:lastRenderedPageBreak/>
        <w:t>audited, Festival is now requesting the residual balance be transferred into 1595 (2021) sub-account to be disposed of in the 2022 rate year rate rider.</w:t>
      </w:r>
    </w:p>
    <w:p w14:paraId="3504C18E" w14:textId="77777777" w:rsidR="00277F24" w:rsidRDefault="00277F24" w:rsidP="00484335">
      <w:pPr>
        <w:rPr>
          <w:rFonts w:ascii="Arial" w:hAnsi="Arial" w:cs="Arial"/>
          <w:b/>
          <w:bCs/>
          <w:sz w:val="24"/>
          <w:szCs w:val="24"/>
        </w:rPr>
      </w:pPr>
    </w:p>
    <w:p w14:paraId="15F1203C" w14:textId="2752F81A" w:rsidR="00484335" w:rsidRDefault="00484335" w:rsidP="00484335">
      <w:pPr>
        <w:rPr>
          <w:rFonts w:ascii="Arial" w:hAnsi="Arial" w:cs="Arial"/>
          <w:b/>
          <w:bCs/>
          <w:sz w:val="24"/>
          <w:szCs w:val="24"/>
        </w:rPr>
      </w:pPr>
      <w:r>
        <w:rPr>
          <w:rFonts w:ascii="Arial" w:hAnsi="Arial" w:cs="Arial"/>
          <w:b/>
          <w:bCs/>
          <w:sz w:val="24"/>
          <w:szCs w:val="24"/>
        </w:rPr>
        <w:t>OEB Staff-</w:t>
      </w:r>
      <w:r w:rsidR="007A6F1B">
        <w:rPr>
          <w:rFonts w:ascii="Arial" w:hAnsi="Arial" w:cs="Arial"/>
          <w:b/>
          <w:bCs/>
          <w:sz w:val="24"/>
          <w:szCs w:val="24"/>
        </w:rPr>
        <w:t xml:space="preserve"> 6</w:t>
      </w:r>
    </w:p>
    <w:p w14:paraId="5E6E5B50" w14:textId="77777777" w:rsidR="00484335" w:rsidRDefault="00484335" w:rsidP="00484335">
      <w:pPr>
        <w:rPr>
          <w:rFonts w:ascii="Arial" w:hAnsi="Arial" w:cs="Arial"/>
          <w:sz w:val="24"/>
          <w:szCs w:val="24"/>
        </w:rPr>
      </w:pPr>
      <w:r>
        <w:rPr>
          <w:rFonts w:ascii="Arial" w:hAnsi="Arial" w:cs="Arial"/>
          <w:b/>
          <w:bCs/>
          <w:sz w:val="24"/>
          <w:szCs w:val="24"/>
        </w:rPr>
        <w:t>Reference:</w:t>
      </w:r>
      <w:r>
        <w:rPr>
          <w:rFonts w:ascii="Arial" w:hAnsi="Arial" w:cs="Arial"/>
          <w:sz w:val="24"/>
          <w:szCs w:val="24"/>
        </w:rPr>
        <w:tab/>
        <w:t>(</w:t>
      </w:r>
      <w:proofErr w:type="spellStart"/>
      <w:r>
        <w:rPr>
          <w:rFonts w:ascii="Arial" w:hAnsi="Arial" w:cs="Arial"/>
          <w:sz w:val="24"/>
          <w:szCs w:val="24"/>
        </w:rPr>
        <w:t>i</w:t>
      </w:r>
      <w:proofErr w:type="spellEnd"/>
      <w:r>
        <w:rPr>
          <w:rFonts w:ascii="Arial" w:hAnsi="Arial" w:cs="Arial"/>
          <w:sz w:val="24"/>
          <w:szCs w:val="24"/>
        </w:rPr>
        <w:t xml:space="preserve">) LRAMVA </w:t>
      </w:r>
      <w:proofErr w:type="spellStart"/>
      <w:r>
        <w:rPr>
          <w:rFonts w:ascii="Arial" w:hAnsi="Arial" w:cs="Arial"/>
          <w:sz w:val="24"/>
          <w:szCs w:val="24"/>
        </w:rPr>
        <w:t>Workform</w:t>
      </w:r>
      <w:proofErr w:type="spellEnd"/>
      <w:r>
        <w:rPr>
          <w:rFonts w:ascii="Arial" w:hAnsi="Arial" w:cs="Arial"/>
          <w:sz w:val="24"/>
          <w:szCs w:val="24"/>
        </w:rPr>
        <w:t>, Tab 5</w:t>
      </w:r>
    </w:p>
    <w:p w14:paraId="4AB1EAC6" w14:textId="77777777" w:rsidR="00484335" w:rsidRDefault="00484335" w:rsidP="00484335">
      <w:pPr>
        <w:rPr>
          <w:rFonts w:ascii="Arial" w:hAnsi="Arial" w:cs="Arial"/>
          <w:sz w:val="24"/>
          <w:szCs w:val="24"/>
        </w:rPr>
      </w:pPr>
      <w:r>
        <w:rPr>
          <w:rFonts w:ascii="Arial" w:hAnsi="Arial" w:cs="Arial"/>
          <w:sz w:val="24"/>
          <w:szCs w:val="24"/>
        </w:rPr>
        <w:t xml:space="preserve">An LRAMVA balance adjustment to the 2017 savings for the Retrofit program and LRAMVA balance adjustments to the 2018 savings from the Save on Energy Small Business, and Business Refrigeration Local programs are being sought. </w:t>
      </w:r>
    </w:p>
    <w:p w14:paraId="2688782F" w14:textId="7FB39925" w:rsidR="00484335" w:rsidRDefault="00484335" w:rsidP="00484335">
      <w:pPr>
        <w:pStyle w:val="ListParagraph"/>
        <w:numPr>
          <w:ilvl w:val="0"/>
          <w:numId w:val="2"/>
        </w:numPr>
        <w:rPr>
          <w:rFonts w:ascii="Arial" w:hAnsi="Arial" w:cs="Arial"/>
          <w:sz w:val="24"/>
          <w:szCs w:val="24"/>
        </w:rPr>
      </w:pPr>
      <w:r>
        <w:rPr>
          <w:rFonts w:ascii="Arial" w:hAnsi="Arial" w:cs="Arial"/>
          <w:sz w:val="24"/>
          <w:szCs w:val="24"/>
        </w:rPr>
        <w:t>Please identify the source documentation for these LRAMVA balance adjustments. If this documentation was not submitted as part of the initial application submission, please provide a copy.</w:t>
      </w:r>
    </w:p>
    <w:p w14:paraId="28070EF6" w14:textId="77777777" w:rsidR="0072238E" w:rsidRDefault="0072238E" w:rsidP="0072238E">
      <w:pPr>
        <w:pStyle w:val="ListParagraph"/>
        <w:rPr>
          <w:rFonts w:ascii="Arial" w:hAnsi="Arial" w:cs="Arial"/>
          <w:sz w:val="24"/>
          <w:szCs w:val="24"/>
        </w:rPr>
      </w:pPr>
    </w:p>
    <w:p w14:paraId="5A833827" w14:textId="77777777" w:rsidR="0072238E" w:rsidRPr="0072238E" w:rsidRDefault="0072238E" w:rsidP="0072238E">
      <w:pPr>
        <w:pStyle w:val="ListParagraph"/>
        <w:numPr>
          <w:ilvl w:val="0"/>
          <w:numId w:val="14"/>
        </w:numPr>
        <w:rPr>
          <w:rFonts w:ascii="Arial" w:hAnsi="Arial" w:cs="Arial"/>
          <w:color w:val="4472C4" w:themeColor="accent1"/>
          <w:sz w:val="24"/>
          <w:szCs w:val="24"/>
        </w:rPr>
      </w:pPr>
      <w:r w:rsidRPr="0072238E">
        <w:rPr>
          <w:rFonts w:ascii="Arial" w:hAnsi="Arial" w:cs="Arial"/>
          <w:color w:val="4472C4" w:themeColor="accent1"/>
          <w:sz w:val="24"/>
          <w:szCs w:val="24"/>
        </w:rPr>
        <w:t>2017 adjustment to Retrofit program</w:t>
      </w:r>
    </w:p>
    <w:p w14:paraId="770E1FBC" w14:textId="5942B322" w:rsidR="0072238E" w:rsidRPr="0072238E" w:rsidRDefault="0072238E" w:rsidP="0072238E">
      <w:pPr>
        <w:ind w:left="360"/>
        <w:rPr>
          <w:rFonts w:ascii="Arial" w:hAnsi="Arial" w:cs="Arial"/>
          <w:color w:val="4472C4" w:themeColor="accent1"/>
          <w:sz w:val="24"/>
          <w:szCs w:val="24"/>
        </w:rPr>
      </w:pPr>
      <w:r w:rsidRPr="0072238E">
        <w:rPr>
          <w:rFonts w:ascii="Arial" w:hAnsi="Arial" w:cs="Arial"/>
          <w:color w:val="4472C4" w:themeColor="accent1"/>
          <w:sz w:val="24"/>
          <w:szCs w:val="24"/>
        </w:rPr>
        <w:t>The OEB had questions about the allocation of streetlight savings in Festival</w:t>
      </w:r>
      <w:r>
        <w:rPr>
          <w:rFonts w:ascii="Arial" w:hAnsi="Arial" w:cs="Arial"/>
          <w:color w:val="4472C4" w:themeColor="accent1"/>
          <w:sz w:val="24"/>
          <w:szCs w:val="24"/>
        </w:rPr>
        <w:t>’s</w:t>
      </w:r>
      <w:r w:rsidRPr="0072238E">
        <w:rPr>
          <w:rFonts w:ascii="Arial" w:hAnsi="Arial" w:cs="Arial"/>
          <w:color w:val="4472C4" w:themeColor="accent1"/>
          <w:sz w:val="24"/>
          <w:szCs w:val="24"/>
        </w:rPr>
        <w:t xml:space="preserve"> </w:t>
      </w:r>
      <w:r>
        <w:rPr>
          <w:rFonts w:ascii="Arial" w:hAnsi="Arial" w:cs="Arial"/>
          <w:color w:val="4472C4" w:themeColor="accent1"/>
          <w:sz w:val="24"/>
          <w:szCs w:val="24"/>
        </w:rPr>
        <w:t xml:space="preserve">2020 IRM </w:t>
      </w:r>
      <w:r w:rsidRPr="0072238E">
        <w:rPr>
          <w:rFonts w:ascii="Arial" w:hAnsi="Arial" w:cs="Arial"/>
          <w:color w:val="4472C4" w:themeColor="accent1"/>
          <w:sz w:val="24"/>
          <w:szCs w:val="24"/>
        </w:rPr>
        <w:t>submission (EB-2019-0035).  Based on</w:t>
      </w:r>
      <w:r>
        <w:rPr>
          <w:rFonts w:ascii="Arial" w:hAnsi="Arial" w:cs="Arial"/>
          <w:color w:val="4472C4" w:themeColor="accent1"/>
          <w:sz w:val="24"/>
          <w:szCs w:val="24"/>
        </w:rPr>
        <w:t xml:space="preserve"> the</w:t>
      </w:r>
      <w:r w:rsidRPr="0072238E">
        <w:rPr>
          <w:rFonts w:ascii="Arial" w:hAnsi="Arial" w:cs="Arial"/>
          <w:color w:val="4472C4" w:themeColor="accent1"/>
          <w:sz w:val="24"/>
          <w:szCs w:val="24"/>
        </w:rPr>
        <w:t xml:space="preserve"> OEB</w:t>
      </w:r>
      <w:r>
        <w:rPr>
          <w:rFonts w:ascii="Arial" w:hAnsi="Arial" w:cs="Arial"/>
          <w:color w:val="4472C4" w:themeColor="accent1"/>
          <w:sz w:val="24"/>
          <w:szCs w:val="24"/>
        </w:rPr>
        <w:t>’s</w:t>
      </w:r>
      <w:r w:rsidRPr="0072238E">
        <w:rPr>
          <w:rFonts w:ascii="Arial" w:hAnsi="Arial" w:cs="Arial"/>
          <w:color w:val="4472C4" w:themeColor="accent1"/>
          <w:sz w:val="24"/>
          <w:szCs w:val="24"/>
        </w:rPr>
        <w:t xml:space="preserve"> direction last year this adjustment was added in the revised </w:t>
      </w:r>
      <w:r>
        <w:rPr>
          <w:rFonts w:ascii="Arial" w:hAnsi="Arial" w:cs="Arial"/>
          <w:color w:val="4472C4" w:themeColor="accent1"/>
          <w:sz w:val="24"/>
          <w:szCs w:val="24"/>
        </w:rPr>
        <w:t xml:space="preserve">LRAMVA </w:t>
      </w:r>
      <w:proofErr w:type="spellStart"/>
      <w:r w:rsidRPr="0072238E">
        <w:rPr>
          <w:rFonts w:ascii="Arial" w:hAnsi="Arial" w:cs="Arial"/>
          <w:color w:val="4472C4" w:themeColor="accent1"/>
          <w:sz w:val="24"/>
          <w:szCs w:val="24"/>
        </w:rPr>
        <w:t>workform</w:t>
      </w:r>
      <w:proofErr w:type="spellEnd"/>
      <w:r w:rsidRPr="0072238E">
        <w:rPr>
          <w:rFonts w:ascii="Arial" w:hAnsi="Arial" w:cs="Arial"/>
          <w:color w:val="4472C4" w:themeColor="accent1"/>
          <w:sz w:val="24"/>
          <w:szCs w:val="24"/>
        </w:rPr>
        <w:t xml:space="preserve"> submitted and approved.  Please refer to Festival responses to Staff Question 9 in </w:t>
      </w:r>
      <w:r>
        <w:rPr>
          <w:rFonts w:ascii="Arial" w:hAnsi="Arial" w:cs="Arial"/>
          <w:color w:val="4472C4" w:themeColor="accent1"/>
          <w:sz w:val="24"/>
          <w:szCs w:val="24"/>
        </w:rPr>
        <w:t>the 2020 IRM</w:t>
      </w:r>
      <w:r w:rsidRPr="0072238E">
        <w:rPr>
          <w:rFonts w:ascii="Arial" w:hAnsi="Arial" w:cs="Arial"/>
          <w:color w:val="4472C4" w:themeColor="accent1"/>
          <w:sz w:val="24"/>
          <w:szCs w:val="24"/>
        </w:rPr>
        <w:t xml:space="preserve"> submission.</w:t>
      </w:r>
    </w:p>
    <w:p w14:paraId="73E45AE4" w14:textId="77777777" w:rsidR="0072238E" w:rsidRPr="0072238E" w:rsidRDefault="0072238E" w:rsidP="0072238E">
      <w:pPr>
        <w:pStyle w:val="ListParagraph"/>
        <w:numPr>
          <w:ilvl w:val="0"/>
          <w:numId w:val="14"/>
        </w:numPr>
        <w:rPr>
          <w:rFonts w:ascii="Arial" w:hAnsi="Arial" w:cs="Arial"/>
          <w:color w:val="4472C4" w:themeColor="accent1"/>
          <w:sz w:val="24"/>
          <w:szCs w:val="24"/>
        </w:rPr>
      </w:pPr>
      <w:r w:rsidRPr="0072238E">
        <w:rPr>
          <w:rFonts w:ascii="Arial" w:hAnsi="Arial" w:cs="Arial"/>
          <w:color w:val="4472C4" w:themeColor="accent1"/>
          <w:sz w:val="24"/>
          <w:szCs w:val="24"/>
        </w:rPr>
        <w:t>2018 adjustment to Small Business Lighting program</w:t>
      </w:r>
    </w:p>
    <w:p w14:paraId="5C777D23" w14:textId="4F48C27B" w:rsidR="00484335" w:rsidRPr="0072238E" w:rsidRDefault="0072238E" w:rsidP="0072238E">
      <w:pPr>
        <w:ind w:left="360"/>
        <w:rPr>
          <w:rFonts w:ascii="Arial" w:hAnsi="Arial" w:cs="Arial"/>
          <w:color w:val="4472C4" w:themeColor="accent1"/>
          <w:sz w:val="24"/>
          <w:szCs w:val="24"/>
        </w:rPr>
      </w:pPr>
      <w:r>
        <w:rPr>
          <w:rFonts w:ascii="Arial" w:hAnsi="Arial" w:cs="Arial"/>
          <w:color w:val="4472C4" w:themeColor="accent1"/>
          <w:sz w:val="24"/>
          <w:szCs w:val="24"/>
        </w:rPr>
        <w:t>Festival has</w:t>
      </w:r>
      <w:r w:rsidRPr="0072238E">
        <w:rPr>
          <w:rFonts w:ascii="Arial" w:hAnsi="Arial" w:cs="Arial"/>
          <w:color w:val="4472C4" w:themeColor="accent1"/>
          <w:sz w:val="24"/>
          <w:szCs w:val="24"/>
        </w:rPr>
        <w:t xml:space="preserve"> reviewed the 2018 SBL and BRI true-ups and discovered that some of these applications were sorted incorrectly.  There were some projects completed in 2019 and were incorrectly included as 2018 true-ups.  A revised 2021 LRAMVA </w:t>
      </w:r>
      <w:proofErr w:type="spellStart"/>
      <w:r w:rsidRPr="0072238E">
        <w:rPr>
          <w:rFonts w:ascii="Arial" w:hAnsi="Arial" w:cs="Arial"/>
          <w:color w:val="4472C4" w:themeColor="accent1"/>
          <w:sz w:val="24"/>
          <w:szCs w:val="24"/>
        </w:rPr>
        <w:t>Workform</w:t>
      </w:r>
      <w:proofErr w:type="spellEnd"/>
      <w:r w:rsidRPr="0072238E">
        <w:rPr>
          <w:rFonts w:ascii="Arial" w:hAnsi="Arial" w:cs="Arial"/>
          <w:color w:val="4472C4" w:themeColor="accent1"/>
          <w:sz w:val="24"/>
          <w:szCs w:val="24"/>
        </w:rPr>
        <w:t xml:space="preserve"> is attached.  The 2018 true-ups have been removed and the 2019 savings have been updated.</w:t>
      </w:r>
    </w:p>
    <w:p w14:paraId="6F088E4A" w14:textId="5484ABDD" w:rsidR="00484335" w:rsidRDefault="00484335" w:rsidP="00484335">
      <w:pPr>
        <w:rPr>
          <w:rFonts w:ascii="Arial" w:hAnsi="Arial" w:cs="Arial"/>
          <w:b/>
          <w:bCs/>
          <w:sz w:val="24"/>
          <w:szCs w:val="24"/>
        </w:rPr>
      </w:pPr>
      <w:r>
        <w:rPr>
          <w:rFonts w:ascii="Arial" w:hAnsi="Arial" w:cs="Arial"/>
          <w:b/>
          <w:bCs/>
          <w:sz w:val="24"/>
          <w:szCs w:val="24"/>
        </w:rPr>
        <w:t>OEB Staff-</w:t>
      </w:r>
      <w:r w:rsidR="007A6F1B">
        <w:rPr>
          <w:rFonts w:ascii="Arial" w:hAnsi="Arial" w:cs="Arial"/>
          <w:b/>
          <w:bCs/>
          <w:sz w:val="24"/>
          <w:szCs w:val="24"/>
        </w:rPr>
        <w:t xml:space="preserve"> 7</w:t>
      </w:r>
    </w:p>
    <w:p w14:paraId="3647A046" w14:textId="77777777" w:rsidR="00484335" w:rsidRDefault="00484335" w:rsidP="00484335">
      <w:pPr>
        <w:rPr>
          <w:rFonts w:ascii="Arial" w:hAnsi="Arial" w:cs="Arial"/>
          <w:sz w:val="24"/>
          <w:szCs w:val="24"/>
        </w:rPr>
      </w:pPr>
      <w:r>
        <w:rPr>
          <w:rFonts w:ascii="Arial" w:hAnsi="Arial" w:cs="Arial"/>
          <w:b/>
          <w:bCs/>
          <w:sz w:val="24"/>
          <w:szCs w:val="24"/>
        </w:rPr>
        <w:t>Reference:</w:t>
      </w:r>
      <w:r>
        <w:rPr>
          <w:rFonts w:ascii="Arial" w:hAnsi="Arial" w:cs="Arial"/>
          <w:b/>
          <w:bCs/>
          <w:sz w:val="24"/>
          <w:szCs w:val="24"/>
        </w:rPr>
        <w:tab/>
      </w: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 xml:space="preserve">) LRAMVA </w:t>
      </w:r>
      <w:proofErr w:type="spellStart"/>
      <w:r>
        <w:rPr>
          <w:rFonts w:ascii="Arial" w:hAnsi="Arial" w:cs="Arial"/>
          <w:sz w:val="24"/>
          <w:szCs w:val="24"/>
        </w:rPr>
        <w:t>Workform</w:t>
      </w:r>
      <w:proofErr w:type="spellEnd"/>
      <w:r>
        <w:rPr>
          <w:rFonts w:ascii="Arial" w:hAnsi="Arial" w:cs="Arial"/>
          <w:sz w:val="24"/>
          <w:szCs w:val="24"/>
        </w:rPr>
        <w:t>, Tab 5</w:t>
      </w:r>
    </w:p>
    <w:p w14:paraId="74DC6CC7" w14:textId="77777777" w:rsidR="00484335" w:rsidRDefault="00484335" w:rsidP="00484335">
      <w:pPr>
        <w:rPr>
          <w:rFonts w:ascii="Arial" w:hAnsi="Arial" w:cs="Arial"/>
          <w:sz w:val="24"/>
          <w:szCs w:val="24"/>
        </w:rPr>
      </w:pPr>
      <w:r>
        <w:rPr>
          <w:rFonts w:ascii="Arial" w:hAnsi="Arial" w:cs="Arial"/>
          <w:sz w:val="24"/>
          <w:szCs w:val="24"/>
        </w:rPr>
        <w:t>Festival Hydro is claiming a 2018 LRAMVA balance for the Save on Energy Coupon program, including the Instant Discount program. The electricity savings for this program could not be reconciled to the submitted IESO LDC CDM Program Results, IESO Participation and Cost, or project-level savings reports.</w:t>
      </w:r>
    </w:p>
    <w:p w14:paraId="4745F5D8" w14:textId="3559BEA1" w:rsidR="00484335" w:rsidRDefault="00484335" w:rsidP="00484335">
      <w:pPr>
        <w:pStyle w:val="ListParagraph"/>
        <w:numPr>
          <w:ilvl w:val="0"/>
          <w:numId w:val="3"/>
        </w:numPr>
        <w:rPr>
          <w:rFonts w:ascii="Arial" w:hAnsi="Arial" w:cs="Arial"/>
          <w:sz w:val="24"/>
          <w:szCs w:val="24"/>
        </w:rPr>
      </w:pPr>
      <w:r>
        <w:rPr>
          <w:rFonts w:ascii="Arial" w:hAnsi="Arial" w:cs="Arial"/>
          <w:sz w:val="24"/>
          <w:szCs w:val="24"/>
        </w:rPr>
        <w:t>Please explain the calculations used to arrive at the 2018 LRAMVA balances for the Save on Energy Coupon program, including the Instant Discount program. In the response, please identify the source documentation of all input values.</w:t>
      </w:r>
    </w:p>
    <w:p w14:paraId="4EF2E713" w14:textId="77777777" w:rsidR="0072238E" w:rsidRDefault="0072238E" w:rsidP="0072238E">
      <w:pPr>
        <w:pStyle w:val="ListParagraph"/>
        <w:rPr>
          <w:rFonts w:ascii="Arial" w:hAnsi="Arial" w:cs="Arial"/>
          <w:sz w:val="24"/>
          <w:szCs w:val="24"/>
        </w:rPr>
      </w:pPr>
    </w:p>
    <w:p w14:paraId="1C3C4DA6" w14:textId="51A5E502" w:rsidR="0072238E" w:rsidRPr="0072238E" w:rsidRDefault="0072238E" w:rsidP="0072238E">
      <w:pPr>
        <w:pStyle w:val="ListParagraph"/>
        <w:rPr>
          <w:rFonts w:ascii="Arial" w:hAnsi="Arial" w:cs="Arial"/>
          <w:color w:val="4472C4" w:themeColor="accent1"/>
          <w:sz w:val="24"/>
          <w:szCs w:val="24"/>
        </w:rPr>
      </w:pPr>
      <w:r w:rsidRPr="0072238E">
        <w:rPr>
          <w:rFonts w:ascii="Arial" w:hAnsi="Arial" w:cs="Arial"/>
          <w:color w:val="4472C4" w:themeColor="accent1"/>
          <w:sz w:val="24"/>
          <w:szCs w:val="24"/>
        </w:rPr>
        <w:t xml:space="preserve">The electricity savings were obtained from the April 2019 Participation &amp; Cost report attached.  Please note that these values were the same in the </w:t>
      </w:r>
      <w:proofErr w:type="spellStart"/>
      <w:r w:rsidRPr="0072238E">
        <w:rPr>
          <w:rFonts w:ascii="Arial" w:hAnsi="Arial" w:cs="Arial"/>
          <w:color w:val="4472C4" w:themeColor="accent1"/>
          <w:sz w:val="24"/>
          <w:szCs w:val="24"/>
        </w:rPr>
        <w:t>workform</w:t>
      </w:r>
      <w:proofErr w:type="spellEnd"/>
      <w:r w:rsidRPr="0072238E">
        <w:rPr>
          <w:rFonts w:ascii="Arial" w:hAnsi="Arial" w:cs="Arial"/>
          <w:color w:val="4472C4" w:themeColor="accent1"/>
          <w:sz w:val="24"/>
          <w:szCs w:val="24"/>
        </w:rPr>
        <w:t xml:space="preserve"> submitted and approved last year.</w:t>
      </w:r>
    </w:p>
    <w:p w14:paraId="61F53A81" w14:textId="77777777" w:rsidR="00484335" w:rsidRDefault="00484335" w:rsidP="00484335">
      <w:pPr>
        <w:rPr>
          <w:rFonts w:ascii="Arial" w:hAnsi="Arial" w:cs="Arial"/>
          <w:sz w:val="24"/>
          <w:szCs w:val="24"/>
        </w:rPr>
      </w:pPr>
    </w:p>
    <w:p w14:paraId="17D25B4E" w14:textId="51C08623" w:rsidR="00484335" w:rsidRDefault="00484335" w:rsidP="00484335">
      <w:pPr>
        <w:rPr>
          <w:rFonts w:ascii="Arial" w:hAnsi="Arial" w:cs="Arial"/>
          <w:b/>
          <w:bCs/>
          <w:sz w:val="24"/>
          <w:szCs w:val="24"/>
        </w:rPr>
      </w:pPr>
      <w:r>
        <w:rPr>
          <w:rFonts w:ascii="Arial" w:hAnsi="Arial" w:cs="Arial"/>
          <w:b/>
          <w:bCs/>
          <w:sz w:val="24"/>
          <w:szCs w:val="24"/>
        </w:rPr>
        <w:t>OEB Staff-</w:t>
      </w:r>
      <w:r w:rsidR="007A6F1B">
        <w:rPr>
          <w:rFonts w:ascii="Arial" w:hAnsi="Arial" w:cs="Arial"/>
          <w:b/>
          <w:bCs/>
          <w:sz w:val="24"/>
          <w:szCs w:val="24"/>
        </w:rPr>
        <w:t xml:space="preserve"> 8</w:t>
      </w:r>
    </w:p>
    <w:p w14:paraId="7C057D26" w14:textId="77777777" w:rsidR="00484335" w:rsidRDefault="00484335" w:rsidP="00484335">
      <w:pPr>
        <w:rPr>
          <w:rFonts w:ascii="Arial" w:hAnsi="Arial" w:cs="Arial"/>
          <w:sz w:val="24"/>
          <w:szCs w:val="24"/>
        </w:rPr>
      </w:pPr>
      <w:r>
        <w:rPr>
          <w:rFonts w:ascii="Arial" w:hAnsi="Arial" w:cs="Arial"/>
          <w:b/>
          <w:bCs/>
          <w:sz w:val="24"/>
          <w:szCs w:val="24"/>
        </w:rPr>
        <w:t>Reference:</w:t>
      </w:r>
      <w:r>
        <w:rPr>
          <w:rFonts w:ascii="Arial" w:hAnsi="Arial" w:cs="Arial"/>
          <w:b/>
          <w:bCs/>
          <w:sz w:val="24"/>
          <w:szCs w:val="24"/>
        </w:rPr>
        <w:tab/>
      </w: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 xml:space="preserve">) LRAMVA </w:t>
      </w:r>
      <w:proofErr w:type="spellStart"/>
      <w:r>
        <w:rPr>
          <w:rFonts w:ascii="Arial" w:hAnsi="Arial" w:cs="Arial"/>
          <w:sz w:val="24"/>
          <w:szCs w:val="24"/>
        </w:rPr>
        <w:t>Workform</w:t>
      </w:r>
      <w:proofErr w:type="spellEnd"/>
      <w:r>
        <w:rPr>
          <w:rFonts w:ascii="Arial" w:hAnsi="Arial" w:cs="Arial"/>
          <w:sz w:val="24"/>
          <w:szCs w:val="24"/>
        </w:rPr>
        <w:t>, Tab 5</w:t>
      </w:r>
    </w:p>
    <w:p w14:paraId="799F1562" w14:textId="77777777" w:rsidR="00484335" w:rsidRDefault="00484335" w:rsidP="00484335">
      <w:pPr>
        <w:rPr>
          <w:rFonts w:ascii="Arial" w:hAnsi="Arial" w:cs="Arial"/>
          <w:sz w:val="24"/>
          <w:szCs w:val="24"/>
        </w:rPr>
      </w:pPr>
      <w:r>
        <w:rPr>
          <w:rFonts w:ascii="Arial" w:hAnsi="Arial" w:cs="Arial"/>
          <w:sz w:val="24"/>
          <w:szCs w:val="24"/>
        </w:rPr>
        <w:tab/>
      </w:r>
      <w:r>
        <w:rPr>
          <w:rFonts w:ascii="Arial" w:hAnsi="Arial" w:cs="Arial"/>
          <w:sz w:val="24"/>
          <w:szCs w:val="24"/>
        </w:rPr>
        <w:tab/>
        <w:t>(ii) IESO Savings Persistence Report</w:t>
      </w:r>
    </w:p>
    <w:p w14:paraId="67045719" w14:textId="77777777" w:rsidR="00484335" w:rsidRDefault="00484335" w:rsidP="00484335">
      <w:pPr>
        <w:rPr>
          <w:rFonts w:ascii="Arial" w:hAnsi="Arial" w:cs="Arial"/>
          <w:sz w:val="24"/>
          <w:szCs w:val="24"/>
        </w:rPr>
      </w:pPr>
      <w:r>
        <w:rPr>
          <w:rFonts w:ascii="Arial" w:hAnsi="Arial" w:cs="Arial"/>
          <w:sz w:val="24"/>
          <w:szCs w:val="24"/>
        </w:rPr>
        <w:t xml:space="preserve">The electricity savings persisting from 2015 claimed on Tab 5 of the LRAMVA </w:t>
      </w:r>
      <w:proofErr w:type="spellStart"/>
      <w:r>
        <w:rPr>
          <w:rFonts w:ascii="Arial" w:hAnsi="Arial" w:cs="Arial"/>
          <w:sz w:val="24"/>
          <w:szCs w:val="24"/>
        </w:rPr>
        <w:t>Workform</w:t>
      </w:r>
      <w:proofErr w:type="spellEnd"/>
      <w:r>
        <w:rPr>
          <w:rFonts w:ascii="Arial" w:hAnsi="Arial" w:cs="Arial"/>
          <w:sz w:val="24"/>
          <w:szCs w:val="24"/>
        </w:rPr>
        <w:t xml:space="preserve"> could not be reconciled to the submitted IESO Savings Persistence Report.</w:t>
      </w:r>
    </w:p>
    <w:p w14:paraId="2C8E35B9" w14:textId="601EC052" w:rsidR="00484335" w:rsidRDefault="00484335" w:rsidP="00484335">
      <w:pPr>
        <w:pStyle w:val="ListParagraph"/>
        <w:numPr>
          <w:ilvl w:val="0"/>
          <w:numId w:val="4"/>
        </w:numPr>
        <w:rPr>
          <w:rFonts w:ascii="Arial" w:hAnsi="Arial" w:cs="Arial"/>
          <w:sz w:val="24"/>
          <w:szCs w:val="24"/>
        </w:rPr>
      </w:pPr>
      <w:r>
        <w:rPr>
          <w:rFonts w:ascii="Arial" w:hAnsi="Arial" w:cs="Arial"/>
          <w:sz w:val="24"/>
          <w:szCs w:val="24"/>
        </w:rPr>
        <w:t>Please provide the details and calculations used to arrive at the 2015 persisting electricity savings. In the response, please confirm the source documentation of the claimed electricity savings persisting from 2015.</w:t>
      </w:r>
    </w:p>
    <w:p w14:paraId="16C4ED39" w14:textId="77777777" w:rsidR="0072238E" w:rsidRPr="004A1411" w:rsidRDefault="0072238E" w:rsidP="0072238E">
      <w:pPr>
        <w:pStyle w:val="ListParagraph"/>
        <w:rPr>
          <w:rFonts w:ascii="Arial" w:hAnsi="Arial" w:cs="Arial"/>
          <w:sz w:val="24"/>
          <w:szCs w:val="24"/>
        </w:rPr>
      </w:pPr>
    </w:p>
    <w:p w14:paraId="66AFB34D" w14:textId="38961A5F" w:rsidR="00484335" w:rsidRPr="0072238E" w:rsidRDefault="0072238E" w:rsidP="0072238E">
      <w:pPr>
        <w:pStyle w:val="ListParagraph"/>
        <w:jc w:val="both"/>
        <w:rPr>
          <w:rFonts w:ascii="Arial" w:hAnsi="Arial" w:cs="Arial"/>
          <w:color w:val="4472C4" w:themeColor="accent1"/>
          <w:sz w:val="24"/>
          <w:szCs w:val="24"/>
        </w:rPr>
      </w:pPr>
      <w:r w:rsidRPr="0072238E">
        <w:rPr>
          <w:rFonts w:ascii="Arial" w:hAnsi="Arial" w:cs="Arial"/>
          <w:color w:val="4472C4" w:themeColor="accent1"/>
          <w:sz w:val="24"/>
          <w:szCs w:val="24"/>
        </w:rPr>
        <w:t xml:space="preserve">These values were first introduced in </w:t>
      </w:r>
      <w:r>
        <w:rPr>
          <w:rFonts w:ascii="Arial" w:hAnsi="Arial" w:cs="Arial"/>
          <w:color w:val="4472C4" w:themeColor="accent1"/>
          <w:sz w:val="24"/>
          <w:szCs w:val="24"/>
        </w:rPr>
        <w:t>Festivals</w:t>
      </w:r>
      <w:r w:rsidRPr="0072238E">
        <w:rPr>
          <w:rFonts w:ascii="Arial" w:hAnsi="Arial" w:cs="Arial"/>
          <w:color w:val="4472C4" w:themeColor="accent1"/>
          <w:sz w:val="24"/>
          <w:szCs w:val="24"/>
        </w:rPr>
        <w:t xml:space="preserve"> 2018 IRM filing.  The format of the </w:t>
      </w:r>
      <w:proofErr w:type="spellStart"/>
      <w:r w:rsidRPr="0072238E">
        <w:rPr>
          <w:rFonts w:ascii="Arial" w:hAnsi="Arial" w:cs="Arial"/>
          <w:color w:val="4472C4" w:themeColor="accent1"/>
          <w:sz w:val="24"/>
          <w:szCs w:val="24"/>
        </w:rPr>
        <w:t>workform</w:t>
      </w:r>
      <w:proofErr w:type="spellEnd"/>
      <w:r w:rsidRPr="0072238E">
        <w:rPr>
          <w:rFonts w:ascii="Arial" w:hAnsi="Arial" w:cs="Arial"/>
          <w:color w:val="4472C4" w:themeColor="accent1"/>
          <w:sz w:val="24"/>
          <w:szCs w:val="24"/>
        </w:rPr>
        <w:t xml:space="preserve"> changed at that time and introduced this approach to calculating the effect of persisting energy savings in future years.  The persisting savings tab has values by program by year starting from persistence of 2015 projects in 2016.  </w:t>
      </w:r>
      <w:r>
        <w:rPr>
          <w:rFonts w:ascii="Arial" w:hAnsi="Arial" w:cs="Arial"/>
          <w:color w:val="4472C4" w:themeColor="accent1"/>
          <w:sz w:val="24"/>
          <w:szCs w:val="24"/>
        </w:rPr>
        <w:t>Festival</w:t>
      </w:r>
      <w:r w:rsidRPr="0072238E">
        <w:rPr>
          <w:rFonts w:ascii="Arial" w:hAnsi="Arial" w:cs="Arial"/>
          <w:color w:val="4472C4" w:themeColor="accent1"/>
          <w:sz w:val="24"/>
          <w:szCs w:val="24"/>
        </w:rPr>
        <w:t xml:space="preserve"> believe</w:t>
      </w:r>
      <w:r>
        <w:rPr>
          <w:rFonts w:ascii="Arial" w:hAnsi="Arial" w:cs="Arial"/>
          <w:color w:val="4472C4" w:themeColor="accent1"/>
          <w:sz w:val="24"/>
          <w:szCs w:val="24"/>
        </w:rPr>
        <w:t>s</w:t>
      </w:r>
      <w:r w:rsidRPr="0072238E">
        <w:rPr>
          <w:rFonts w:ascii="Arial" w:hAnsi="Arial" w:cs="Arial"/>
          <w:color w:val="4472C4" w:themeColor="accent1"/>
          <w:sz w:val="24"/>
          <w:szCs w:val="24"/>
        </w:rPr>
        <w:t xml:space="preserve"> that this information was provided in a stand-alone Persistence report from the IESO but </w:t>
      </w:r>
      <w:r>
        <w:rPr>
          <w:rFonts w:ascii="Arial" w:hAnsi="Arial" w:cs="Arial"/>
          <w:color w:val="4472C4" w:themeColor="accent1"/>
          <w:sz w:val="24"/>
          <w:szCs w:val="24"/>
        </w:rPr>
        <w:t>are</w:t>
      </w:r>
      <w:r w:rsidRPr="0072238E">
        <w:rPr>
          <w:rFonts w:ascii="Arial" w:hAnsi="Arial" w:cs="Arial"/>
          <w:color w:val="4472C4" w:themeColor="accent1"/>
          <w:sz w:val="24"/>
          <w:szCs w:val="24"/>
        </w:rPr>
        <w:t xml:space="preserve"> unable to locate that as a separate document in any of our records. </w:t>
      </w:r>
      <w:r>
        <w:rPr>
          <w:rFonts w:ascii="Arial" w:hAnsi="Arial" w:cs="Arial"/>
          <w:color w:val="4472C4" w:themeColor="accent1"/>
          <w:sz w:val="24"/>
          <w:szCs w:val="24"/>
        </w:rPr>
        <w:t xml:space="preserve">Festival has provided the </w:t>
      </w:r>
      <w:r w:rsidRPr="0072238E">
        <w:rPr>
          <w:rFonts w:ascii="Arial" w:hAnsi="Arial" w:cs="Arial"/>
          <w:color w:val="4472C4" w:themeColor="accent1"/>
          <w:sz w:val="24"/>
          <w:szCs w:val="24"/>
        </w:rPr>
        <w:t>2018 IRM submission for reference.</w:t>
      </w:r>
    </w:p>
    <w:p w14:paraId="7D7E7A8B" w14:textId="230728E5" w:rsidR="00484335" w:rsidRDefault="00484335" w:rsidP="00484335">
      <w:pPr>
        <w:rPr>
          <w:rFonts w:ascii="Arial" w:hAnsi="Arial" w:cs="Arial"/>
          <w:b/>
          <w:bCs/>
          <w:sz w:val="24"/>
          <w:szCs w:val="24"/>
        </w:rPr>
      </w:pPr>
      <w:r>
        <w:rPr>
          <w:rFonts w:ascii="Arial" w:hAnsi="Arial" w:cs="Arial"/>
          <w:b/>
          <w:bCs/>
          <w:sz w:val="24"/>
          <w:szCs w:val="24"/>
        </w:rPr>
        <w:t>OEB Staff-</w:t>
      </w:r>
      <w:r w:rsidR="007A6F1B">
        <w:rPr>
          <w:rFonts w:ascii="Arial" w:hAnsi="Arial" w:cs="Arial"/>
          <w:b/>
          <w:bCs/>
          <w:sz w:val="24"/>
          <w:szCs w:val="24"/>
        </w:rPr>
        <w:t xml:space="preserve"> 9</w:t>
      </w:r>
    </w:p>
    <w:p w14:paraId="78302413" w14:textId="270DBF2C" w:rsidR="00642792" w:rsidRDefault="00484335" w:rsidP="00510CA7">
      <w:pPr>
        <w:rPr>
          <w:rFonts w:ascii="Arial" w:hAnsi="Arial" w:cs="Arial"/>
          <w:sz w:val="24"/>
          <w:szCs w:val="24"/>
        </w:rPr>
      </w:pPr>
      <w:r w:rsidRPr="00510CA7">
        <w:rPr>
          <w:rFonts w:ascii="Arial" w:hAnsi="Arial" w:cs="Arial"/>
          <w:sz w:val="24"/>
          <w:szCs w:val="24"/>
        </w:rPr>
        <w:t>Please provide</w:t>
      </w:r>
      <w:r w:rsidR="00032E14">
        <w:rPr>
          <w:rFonts w:ascii="Arial" w:hAnsi="Arial" w:cs="Arial"/>
          <w:sz w:val="24"/>
          <w:szCs w:val="24"/>
        </w:rPr>
        <w:t xml:space="preserve"> an</w:t>
      </w:r>
      <w:r w:rsidRPr="00510CA7">
        <w:rPr>
          <w:rFonts w:ascii="Arial" w:hAnsi="Arial" w:cs="Arial"/>
          <w:sz w:val="24"/>
          <w:szCs w:val="24"/>
        </w:rPr>
        <w:t xml:space="preserve"> updated IRM Model Rate Generator</w:t>
      </w:r>
      <w:r w:rsidR="00032E14">
        <w:rPr>
          <w:rFonts w:ascii="Arial" w:hAnsi="Arial" w:cs="Arial"/>
          <w:sz w:val="24"/>
          <w:szCs w:val="24"/>
        </w:rPr>
        <w:t xml:space="preserve"> model</w:t>
      </w:r>
      <w:r w:rsidRPr="00510CA7">
        <w:rPr>
          <w:rFonts w:ascii="Arial" w:hAnsi="Arial" w:cs="Arial"/>
          <w:sz w:val="24"/>
          <w:szCs w:val="24"/>
        </w:rPr>
        <w:t xml:space="preserve"> and LRAMVA </w:t>
      </w:r>
      <w:proofErr w:type="spellStart"/>
      <w:r w:rsidRPr="00510CA7">
        <w:rPr>
          <w:rFonts w:ascii="Arial" w:hAnsi="Arial" w:cs="Arial"/>
          <w:sz w:val="24"/>
          <w:szCs w:val="24"/>
        </w:rPr>
        <w:t>Workform</w:t>
      </w:r>
      <w:proofErr w:type="spellEnd"/>
      <w:r w:rsidR="00032E14">
        <w:rPr>
          <w:rFonts w:ascii="Arial" w:hAnsi="Arial" w:cs="Arial"/>
          <w:sz w:val="24"/>
          <w:szCs w:val="24"/>
        </w:rPr>
        <w:t>,</w:t>
      </w:r>
      <w:r w:rsidRPr="00510CA7">
        <w:rPr>
          <w:rFonts w:ascii="Arial" w:hAnsi="Arial" w:cs="Arial"/>
          <w:sz w:val="24"/>
          <w:szCs w:val="24"/>
        </w:rPr>
        <w:t xml:space="preserve"> reflecting any changes required in response to OEB Staff </w:t>
      </w:r>
      <w:r w:rsidR="00032E14">
        <w:rPr>
          <w:rFonts w:ascii="Arial" w:hAnsi="Arial" w:cs="Arial"/>
          <w:sz w:val="24"/>
          <w:szCs w:val="24"/>
        </w:rPr>
        <w:t>questions</w:t>
      </w:r>
      <w:r w:rsidRPr="00510CA7">
        <w:rPr>
          <w:rFonts w:ascii="Arial" w:hAnsi="Arial" w:cs="Arial"/>
          <w:sz w:val="24"/>
          <w:szCs w:val="24"/>
        </w:rPr>
        <w:t xml:space="preserve">. Please </w:t>
      </w:r>
      <w:r w:rsidR="00032E14">
        <w:rPr>
          <w:rFonts w:ascii="Arial" w:hAnsi="Arial" w:cs="Arial"/>
          <w:sz w:val="24"/>
          <w:szCs w:val="24"/>
        </w:rPr>
        <w:t>record</w:t>
      </w:r>
      <w:r w:rsidR="00032E14" w:rsidRPr="00510CA7">
        <w:rPr>
          <w:rFonts w:ascii="Arial" w:hAnsi="Arial" w:cs="Arial"/>
          <w:sz w:val="24"/>
          <w:szCs w:val="24"/>
        </w:rPr>
        <w:t xml:space="preserve"> </w:t>
      </w:r>
      <w:r w:rsidRPr="00510CA7">
        <w:rPr>
          <w:rFonts w:ascii="Arial" w:hAnsi="Arial" w:cs="Arial"/>
          <w:sz w:val="24"/>
          <w:szCs w:val="24"/>
        </w:rPr>
        <w:t xml:space="preserve">all changes in Tab 1-a of the LRAMVA </w:t>
      </w:r>
      <w:proofErr w:type="spellStart"/>
      <w:r w:rsidR="00510CA7">
        <w:rPr>
          <w:rFonts w:ascii="Arial" w:hAnsi="Arial" w:cs="Arial"/>
          <w:sz w:val="24"/>
          <w:szCs w:val="24"/>
        </w:rPr>
        <w:t>W</w:t>
      </w:r>
      <w:r w:rsidRPr="00510CA7">
        <w:rPr>
          <w:rFonts w:ascii="Arial" w:hAnsi="Arial" w:cs="Arial"/>
          <w:sz w:val="24"/>
          <w:szCs w:val="24"/>
        </w:rPr>
        <w:t>orkform</w:t>
      </w:r>
      <w:proofErr w:type="spellEnd"/>
      <w:r w:rsidRPr="00510CA7">
        <w:rPr>
          <w:rFonts w:ascii="Arial" w:hAnsi="Arial" w:cs="Arial"/>
          <w:sz w:val="24"/>
          <w:szCs w:val="24"/>
        </w:rPr>
        <w:t>.</w:t>
      </w:r>
    </w:p>
    <w:p w14:paraId="556BC649" w14:textId="5466A5D5" w:rsidR="00F4349D" w:rsidRPr="00F4349D" w:rsidRDefault="00F4349D" w:rsidP="00510CA7">
      <w:pPr>
        <w:rPr>
          <w:rFonts w:ascii="Arial" w:hAnsi="Arial" w:cs="Arial"/>
          <w:color w:val="4472C4" w:themeColor="accent1"/>
          <w:sz w:val="24"/>
          <w:szCs w:val="24"/>
        </w:rPr>
      </w:pPr>
      <w:r>
        <w:rPr>
          <w:rFonts w:ascii="Arial" w:hAnsi="Arial" w:cs="Arial"/>
          <w:color w:val="4472C4" w:themeColor="accent1"/>
          <w:sz w:val="24"/>
          <w:szCs w:val="24"/>
        </w:rPr>
        <w:t xml:space="preserve">Festival has provided updated LRAMVA </w:t>
      </w:r>
      <w:proofErr w:type="spellStart"/>
      <w:r>
        <w:rPr>
          <w:rFonts w:ascii="Arial" w:hAnsi="Arial" w:cs="Arial"/>
          <w:color w:val="4472C4" w:themeColor="accent1"/>
          <w:sz w:val="24"/>
          <w:szCs w:val="24"/>
        </w:rPr>
        <w:t>workform</w:t>
      </w:r>
      <w:proofErr w:type="spellEnd"/>
      <w:r>
        <w:rPr>
          <w:rFonts w:ascii="Arial" w:hAnsi="Arial" w:cs="Arial"/>
          <w:color w:val="4472C4" w:themeColor="accent1"/>
          <w:sz w:val="24"/>
          <w:szCs w:val="24"/>
        </w:rPr>
        <w:t>, additional LRAM supporting documentation, and Rate Generator model which also includes the change to Festivals stretch factor group from 4 to 3 based on the 2019 Benchmarking Report.</w:t>
      </w:r>
    </w:p>
    <w:sectPr w:rsidR="00F4349D" w:rsidRPr="00F4349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57A0B" w14:textId="77777777" w:rsidR="00804948" w:rsidRDefault="00804948" w:rsidP="00804948">
      <w:pPr>
        <w:spacing w:after="0" w:line="240" w:lineRule="auto"/>
      </w:pPr>
      <w:r>
        <w:separator/>
      </w:r>
    </w:p>
  </w:endnote>
  <w:endnote w:type="continuationSeparator" w:id="0">
    <w:p w14:paraId="444D88A9" w14:textId="77777777" w:rsidR="00804948" w:rsidRDefault="00804948" w:rsidP="00804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FE3A0" w14:textId="77777777" w:rsidR="00804948" w:rsidRDefault="00804948" w:rsidP="00804948">
      <w:pPr>
        <w:spacing w:after="0" w:line="240" w:lineRule="auto"/>
      </w:pPr>
      <w:r>
        <w:separator/>
      </w:r>
    </w:p>
  </w:footnote>
  <w:footnote w:type="continuationSeparator" w:id="0">
    <w:p w14:paraId="02340C3F" w14:textId="77777777" w:rsidR="00804948" w:rsidRDefault="00804948" w:rsidP="00804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FDBBC" w14:textId="381389C4" w:rsidR="00804948" w:rsidRDefault="00804948">
    <w:pPr>
      <w:pStyle w:val="Header"/>
      <w:jc w:val="right"/>
      <w:rPr>
        <w:rFonts w:ascii="Arial" w:hAnsi="Arial" w:cs="Arial"/>
        <w:sz w:val="20"/>
        <w:szCs w:val="20"/>
      </w:rPr>
    </w:pPr>
    <w:r w:rsidRPr="001C53EC">
      <w:rPr>
        <w:rFonts w:ascii="Arial" w:hAnsi="Arial" w:cs="Arial"/>
        <w:sz w:val="20"/>
        <w:szCs w:val="20"/>
      </w:rPr>
      <w:t>Festival Hydro Inc.</w:t>
    </w:r>
  </w:p>
  <w:p w14:paraId="57106105" w14:textId="3E8857DF" w:rsidR="00804948" w:rsidRPr="001C53EC" w:rsidRDefault="00804948">
    <w:pPr>
      <w:pStyle w:val="Header"/>
      <w:jc w:val="right"/>
      <w:rPr>
        <w:rFonts w:ascii="Arial" w:hAnsi="Arial" w:cs="Arial"/>
        <w:sz w:val="20"/>
        <w:szCs w:val="20"/>
      </w:rPr>
    </w:pPr>
    <w:r w:rsidRPr="001C53EC">
      <w:rPr>
        <w:rFonts w:ascii="Arial" w:hAnsi="Arial" w:cs="Arial"/>
        <w:sz w:val="20"/>
        <w:szCs w:val="20"/>
      </w:rPr>
      <w:t>EB-2020-0022</w:t>
    </w:r>
  </w:p>
  <w:sdt>
    <w:sdtPr>
      <w:rPr>
        <w:rFonts w:ascii="Arial" w:hAnsi="Arial" w:cs="Arial"/>
        <w:sz w:val="20"/>
        <w:szCs w:val="20"/>
      </w:rPr>
      <w:id w:val="-1318336367"/>
      <w:docPartObj>
        <w:docPartGallery w:val="Page Numbers (Top of Page)"/>
        <w:docPartUnique/>
      </w:docPartObj>
    </w:sdtPr>
    <w:sdtEndPr/>
    <w:sdtContent>
      <w:p w14:paraId="0D456C7B" w14:textId="3B5F6E1F" w:rsidR="00804948" w:rsidRPr="001C53EC" w:rsidRDefault="00804948">
        <w:pPr>
          <w:pStyle w:val="Header"/>
          <w:jc w:val="right"/>
          <w:rPr>
            <w:rFonts w:ascii="Arial" w:hAnsi="Arial" w:cs="Arial"/>
            <w:sz w:val="20"/>
            <w:szCs w:val="20"/>
          </w:rPr>
        </w:pPr>
        <w:r w:rsidRPr="001C53EC">
          <w:rPr>
            <w:rFonts w:ascii="Arial" w:hAnsi="Arial" w:cs="Arial"/>
            <w:sz w:val="20"/>
            <w:szCs w:val="20"/>
          </w:rPr>
          <w:t xml:space="preserve">Page </w:t>
        </w:r>
        <w:r w:rsidRPr="001C53EC">
          <w:rPr>
            <w:rFonts w:ascii="Arial" w:hAnsi="Arial" w:cs="Arial"/>
            <w:b/>
            <w:bCs/>
            <w:sz w:val="20"/>
            <w:szCs w:val="20"/>
          </w:rPr>
          <w:fldChar w:fldCharType="begin"/>
        </w:r>
        <w:r w:rsidRPr="001C53EC">
          <w:rPr>
            <w:rFonts w:ascii="Arial" w:hAnsi="Arial" w:cs="Arial"/>
            <w:b/>
            <w:bCs/>
            <w:sz w:val="20"/>
            <w:szCs w:val="20"/>
          </w:rPr>
          <w:instrText xml:space="preserve"> PAGE </w:instrText>
        </w:r>
        <w:r w:rsidRPr="001C53EC">
          <w:rPr>
            <w:rFonts w:ascii="Arial" w:hAnsi="Arial" w:cs="Arial"/>
            <w:b/>
            <w:bCs/>
            <w:sz w:val="20"/>
            <w:szCs w:val="20"/>
          </w:rPr>
          <w:fldChar w:fldCharType="separate"/>
        </w:r>
        <w:r w:rsidRPr="001C53EC">
          <w:rPr>
            <w:rFonts w:ascii="Arial" w:hAnsi="Arial" w:cs="Arial"/>
            <w:b/>
            <w:bCs/>
            <w:noProof/>
            <w:sz w:val="20"/>
            <w:szCs w:val="20"/>
          </w:rPr>
          <w:t>2</w:t>
        </w:r>
        <w:r w:rsidRPr="001C53EC">
          <w:rPr>
            <w:rFonts w:ascii="Arial" w:hAnsi="Arial" w:cs="Arial"/>
            <w:b/>
            <w:bCs/>
            <w:sz w:val="20"/>
            <w:szCs w:val="20"/>
          </w:rPr>
          <w:fldChar w:fldCharType="end"/>
        </w:r>
        <w:r w:rsidRPr="001C53EC">
          <w:rPr>
            <w:rFonts w:ascii="Arial" w:hAnsi="Arial" w:cs="Arial"/>
            <w:sz w:val="20"/>
            <w:szCs w:val="20"/>
          </w:rPr>
          <w:t xml:space="preserve"> of </w:t>
        </w:r>
        <w:r w:rsidRPr="001C53EC">
          <w:rPr>
            <w:rFonts w:ascii="Arial" w:hAnsi="Arial" w:cs="Arial"/>
            <w:b/>
            <w:bCs/>
            <w:sz w:val="20"/>
            <w:szCs w:val="20"/>
          </w:rPr>
          <w:fldChar w:fldCharType="begin"/>
        </w:r>
        <w:r w:rsidRPr="001C53EC">
          <w:rPr>
            <w:rFonts w:ascii="Arial" w:hAnsi="Arial" w:cs="Arial"/>
            <w:b/>
            <w:bCs/>
            <w:sz w:val="20"/>
            <w:szCs w:val="20"/>
          </w:rPr>
          <w:instrText xml:space="preserve"> NUMPAGES  </w:instrText>
        </w:r>
        <w:r w:rsidRPr="001C53EC">
          <w:rPr>
            <w:rFonts w:ascii="Arial" w:hAnsi="Arial" w:cs="Arial"/>
            <w:b/>
            <w:bCs/>
            <w:sz w:val="20"/>
            <w:szCs w:val="20"/>
          </w:rPr>
          <w:fldChar w:fldCharType="separate"/>
        </w:r>
        <w:r w:rsidRPr="001C53EC">
          <w:rPr>
            <w:rFonts w:ascii="Arial" w:hAnsi="Arial" w:cs="Arial"/>
            <w:b/>
            <w:bCs/>
            <w:noProof/>
            <w:sz w:val="20"/>
            <w:szCs w:val="20"/>
          </w:rPr>
          <w:t>2</w:t>
        </w:r>
        <w:r w:rsidRPr="001C53EC">
          <w:rPr>
            <w:rFonts w:ascii="Arial" w:hAnsi="Arial" w:cs="Arial"/>
            <w:b/>
            <w:bCs/>
            <w:sz w:val="20"/>
            <w:szCs w:val="20"/>
          </w:rPr>
          <w:fldChar w:fldCharType="end"/>
        </w:r>
      </w:p>
    </w:sdtContent>
  </w:sdt>
  <w:p w14:paraId="7A0B18CB" w14:textId="77777777" w:rsidR="00804948" w:rsidRPr="001C53EC" w:rsidRDefault="00804948" w:rsidP="0080494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D7F60DF"/>
    <w:multiLevelType w:val="hybridMultilevel"/>
    <w:tmpl w:val="2DA42EA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8D3BD9"/>
    <w:multiLevelType w:val="hybridMultilevel"/>
    <w:tmpl w:val="E0CCA602"/>
    <w:lvl w:ilvl="0" w:tplc="2E445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2251C"/>
    <w:multiLevelType w:val="hybridMultilevel"/>
    <w:tmpl w:val="B68218B0"/>
    <w:lvl w:ilvl="0" w:tplc="5734B6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571C3"/>
    <w:multiLevelType w:val="hybridMultilevel"/>
    <w:tmpl w:val="3AF08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87EFC"/>
    <w:multiLevelType w:val="hybridMultilevel"/>
    <w:tmpl w:val="96D02E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355A6"/>
    <w:multiLevelType w:val="hybridMultilevel"/>
    <w:tmpl w:val="5B2286DE"/>
    <w:lvl w:ilvl="0" w:tplc="B680E3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F90324"/>
    <w:multiLevelType w:val="hybridMultilevel"/>
    <w:tmpl w:val="E0DE3C82"/>
    <w:lvl w:ilvl="0" w:tplc="B680E3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161068"/>
    <w:multiLevelType w:val="hybridMultilevel"/>
    <w:tmpl w:val="71E4D5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152A0A"/>
    <w:multiLevelType w:val="hybridMultilevel"/>
    <w:tmpl w:val="646E2B7E"/>
    <w:lvl w:ilvl="0" w:tplc="02DAC45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9D4376"/>
    <w:multiLevelType w:val="hybridMultilevel"/>
    <w:tmpl w:val="67AEFB1C"/>
    <w:lvl w:ilvl="0" w:tplc="EC809C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08649F"/>
    <w:multiLevelType w:val="hybridMultilevel"/>
    <w:tmpl w:val="6D84F0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A54BA1"/>
    <w:multiLevelType w:val="hybridMultilevel"/>
    <w:tmpl w:val="2CE0E3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CB1A2C"/>
    <w:multiLevelType w:val="hybridMultilevel"/>
    <w:tmpl w:val="14BE3764"/>
    <w:lvl w:ilvl="0" w:tplc="B680E3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DE7BC1"/>
    <w:multiLevelType w:val="hybridMultilevel"/>
    <w:tmpl w:val="E60E6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6"/>
  </w:num>
  <w:num w:numId="4">
    <w:abstractNumId w:val="5"/>
  </w:num>
  <w:num w:numId="5">
    <w:abstractNumId w:val="2"/>
  </w:num>
  <w:num w:numId="6">
    <w:abstractNumId w:val="0"/>
  </w:num>
  <w:num w:numId="7">
    <w:abstractNumId w:val="3"/>
  </w:num>
  <w:num w:numId="8">
    <w:abstractNumId w:val="10"/>
  </w:num>
  <w:num w:numId="9">
    <w:abstractNumId w:val="8"/>
  </w:num>
  <w:num w:numId="10">
    <w:abstractNumId w:val="7"/>
  </w:num>
  <w:num w:numId="11">
    <w:abstractNumId w:val="11"/>
  </w:num>
  <w:num w:numId="12">
    <w:abstractNumId w:val="1"/>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35"/>
    <w:rsid w:val="000172FA"/>
    <w:rsid w:val="00032E14"/>
    <w:rsid w:val="000B4051"/>
    <w:rsid w:val="000D64E8"/>
    <w:rsid w:val="001A5993"/>
    <w:rsid w:val="001C53EC"/>
    <w:rsid w:val="00277F24"/>
    <w:rsid w:val="002B7E64"/>
    <w:rsid w:val="002C3F92"/>
    <w:rsid w:val="002E3F51"/>
    <w:rsid w:val="003522B4"/>
    <w:rsid w:val="00354A58"/>
    <w:rsid w:val="003E45D0"/>
    <w:rsid w:val="003E5055"/>
    <w:rsid w:val="00484335"/>
    <w:rsid w:val="00495E1A"/>
    <w:rsid w:val="00510CA7"/>
    <w:rsid w:val="00530AAC"/>
    <w:rsid w:val="00531C27"/>
    <w:rsid w:val="005B35A9"/>
    <w:rsid w:val="005C087A"/>
    <w:rsid w:val="005C503E"/>
    <w:rsid w:val="00620715"/>
    <w:rsid w:val="00626675"/>
    <w:rsid w:val="00642792"/>
    <w:rsid w:val="00680041"/>
    <w:rsid w:val="0069429D"/>
    <w:rsid w:val="006F1D32"/>
    <w:rsid w:val="006F7025"/>
    <w:rsid w:val="0072238E"/>
    <w:rsid w:val="007A3C18"/>
    <w:rsid w:val="007A6F1B"/>
    <w:rsid w:val="007A7B8B"/>
    <w:rsid w:val="007C5B44"/>
    <w:rsid w:val="00804948"/>
    <w:rsid w:val="00831307"/>
    <w:rsid w:val="00837897"/>
    <w:rsid w:val="0084231E"/>
    <w:rsid w:val="008F72A9"/>
    <w:rsid w:val="00907C18"/>
    <w:rsid w:val="00961656"/>
    <w:rsid w:val="009C3383"/>
    <w:rsid w:val="009D0D8E"/>
    <w:rsid w:val="009E1C64"/>
    <w:rsid w:val="00A03771"/>
    <w:rsid w:val="00A36663"/>
    <w:rsid w:val="00A658E4"/>
    <w:rsid w:val="00B07393"/>
    <w:rsid w:val="00B27787"/>
    <w:rsid w:val="00B87098"/>
    <w:rsid w:val="00BD7667"/>
    <w:rsid w:val="00C05C02"/>
    <w:rsid w:val="00C466EB"/>
    <w:rsid w:val="00C565AF"/>
    <w:rsid w:val="00C83354"/>
    <w:rsid w:val="00D017D0"/>
    <w:rsid w:val="00D61AF9"/>
    <w:rsid w:val="00D80234"/>
    <w:rsid w:val="00D812C8"/>
    <w:rsid w:val="00DC49D6"/>
    <w:rsid w:val="00E23675"/>
    <w:rsid w:val="00E32265"/>
    <w:rsid w:val="00E52679"/>
    <w:rsid w:val="00E83895"/>
    <w:rsid w:val="00F31676"/>
    <w:rsid w:val="00F4349D"/>
    <w:rsid w:val="00FB6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66135"/>
  <w15:chartTrackingRefBased/>
  <w15:docId w15:val="{7AFB7D7D-84F7-488C-90D4-038AAC5B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33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335"/>
    <w:pPr>
      <w:ind w:left="720"/>
      <w:contextualSpacing/>
    </w:pPr>
  </w:style>
  <w:style w:type="character" w:styleId="CommentReference">
    <w:name w:val="annotation reference"/>
    <w:basedOn w:val="DefaultParagraphFont"/>
    <w:uiPriority w:val="99"/>
    <w:semiHidden/>
    <w:unhideWhenUsed/>
    <w:rsid w:val="00484335"/>
    <w:rPr>
      <w:sz w:val="16"/>
      <w:szCs w:val="16"/>
    </w:rPr>
  </w:style>
  <w:style w:type="paragraph" w:styleId="CommentText">
    <w:name w:val="annotation text"/>
    <w:basedOn w:val="Normal"/>
    <w:link w:val="CommentTextChar"/>
    <w:uiPriority w:val="99"/>
    <w:semiHidden/>
    <w:unhideWhenUsed/>
    <w:rsid w:val="00484335"/>
    <w:pPr>
      <w:spacing w:line="240" w:lineRule="auto"/>
    </w:pPr>
    <w:rPr>
      <w:sz w:val="20"/>
      <w:szCs w:val="20"/>
    </w:rPr>
  </w:style>
  <w:style w:type="character" w:customStyle="1" w:styleId="CommentTextChar">
    <w:name w:val="Comment Text Char"/>
    <w:basedOn w:val="DefaultParagraphFont"/>
    <w:link w:val="CommentText"/>
    <w:uiPriority w:val="99"/>
    <w:semiHidden/>
    <w:rsid w:val="00484335"/>
    <w:rPr>
      <w:sz w:val="20"/>
      <w:szCs w:val="20"/>
    </w:rPr>
  </w:style>
  <w:style w:type="paragraph" w:styleId="BalloonText">
    <w:name w:val="Balloon Text"/>
    <w:basedOn w:val="Normal"/>
    <w:link w:val="BalloonTextChar"/>
    <w:uiPriority w:val="99"/>
    <w:semiHidden/>
    <w:unhideWhenUsed/>
    <w:rsid w:val="00484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33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B35A9"/>
    <w:rPr>
      <w:b/>
      <w:bCs/>
    </w:rPr>
  </w:style>
  <w:style w:type="character" w:customStyle="1" w:styleId="CommentSubjectChar">
    <w:name w:val="Comment Subject Char"/>
    <w:basedOn w:val="CommentTextChar"/>
    <w:link w:val="CommentSubject"/>
    <w:uiPriority w:val="99"/>
    <w:semiHidden/>
    <w:rsid w:val="005B35A9"/>
    <w:rPr>
      <w:b/>
      <w:bCs/>
      <w:sz w:val="20"/>
      <w:szCs w:val="20"/>
    </w:rPr>
  </w:style>
  <w:style w:type="paragraph" w:customStyle="1" w:styleId="Default">
    <w:name w:val="Default"/>
    <w:rsid w:val="007A3C1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04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948"/>
  </w:style>
  <w:style w:type="paragraph" w:styleId="Footer">
    <w:name w:val="footer"/>
    <w:basedOn w:val="Normal"/>
    <w:link w:val="FooterChar"/>
    <w:uiPriority w:val="99"/>
    <w:unhideWhenUsed/>
    <w:rsid w:val="00804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948"/>
  </w:style>
  <w:style w:type="table" w:styleId="TableGrid">
    <w:name w:val="Table Grid"/>
    <w:basedOn w:val="TableNormal"/>
    <w:uiPriority w:val="39"/>
    <w:rsid w:val="001A5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42962">
      <w:bodyDiv w:val="1"/>
      <w:marLeft w:val="0"/>
      <w:marRight w:val="0"/>
      <w:marTop w:val="0"/>
      <w:marBottom w:val="0"/>
      <w:divBdr>
        <w:top w:val="none" w:sz="0" w:space="0" w:color="auto"/>
        <w:left w:val="none" w:sz="0" w:space="0" w:color="auto"/>
        <w:bottom w:val="none" w:sz="0" w:space="0" w:color="auto"/>
        <w:right w:val="none" w:sz="0" w:space="0" w:color="auto"/>
      </w:divBdr>
    </w:div>
    <w:div w:id="249510288">
      <w:bodyDiv w:val="1"/>
      <w:marLeft w:val="0"/>
      <w:marRight w:val="0"/>
      <w:marTop w:val="0"/>
      <w:marBottom w:val="0"/>
      <w:divBdr>
        <w:top w:val="none" w:sz="0" w:space="0" w:color="auto"/>
        <w:left w:val="none" w:sz="0" w:space="0" w:color="auto"/>
        <w:bottom w:val="none" w:sz="0" w:space="0" w:color="auto"/>
        <w:right w:val="none" w:sz="0" w:space="0" w:color="auto"/>
      </w:divBdr>
    </w:div>
    <w:div w:id="279536171">
      <w:bodyDiv w:val="1"/>
      <w:marLeft w:val="0"/>
      <w:marRight w:val="0"/>
      <w:marTop w:val="0"/>
      <w:marBottom w:val="0"/>
      <w:divBdr>
        <w:top w:val="none" w:sz="0" w:space="0" w:color="auto"/>
        <w:left w:val="none" w:sz="0" w:space="0" w:color="auto"/>
        <w:bottom w:val="none" w:sz="0" w:space="0" w:color="auto"/>
        <w:right w:val="none" w:sz="0" w:space="0" w:color="auto"/>
      </w:divBdr>
    </w:div>
    <w:div w:id="433676011">
      <w:bodyDiv w:val="1"/>
      <w:marLeft w:val="0"/>
      <w:marRight w:val="0"/>
      <w:marTop w:val="0"/>
      <w:marBottom w:val="0"/>
      <w:divBdr>
        <w:top w:val="none" w:sz="0" w:space="0" w:color="auto"/>
        <w:left w:val="none" w:sz="0" w:space="0" w:color="auto"/>
        <w:bottom w:val="none" w:sz="0" w:space="0" w:color="auto"/>
        <w:right w:val="none" w:sz="0" w:space="0" w:color="auto"/>
      </w:divBdr>
    </w:div>
    <w:div w:id="606473185">
      <w:bodyDiv w:val="1"/>
      <w:marLeft w:val="0"/>
      <w:marRight w:val="0"/>
      <w:marTop w:val="0"/>
      <w:marBottom w:val="0"/>
      <w:divBdr>
        <w:top w:val="none" w:sz="0" w:space="0" w:color="auto"/>
        <w:left w:val="none" w:sz="0" w:space="0" w:color="auto"/>
        <w:bottom w:val="none" w:sz="0" w:space="0" w:color="auto"/>
        <w:right w:val="none" w:sz="0" w:space="0" w:color="auto"/>
      </w:divBdr>
    </w:div>
    <w:div w:id="787049973">
      <w:bodyDiv w:val="1"/>
      <w:marLeft w:val="0"/>
      <w:marRight w:val="0"/>
      <w:marTop w:val="0"/>
      <w:marBottom w:val="0"/>
      <w:divBdr>
        <w:top w:val="none" w:sz="0" w:space="0" w:color="auto"/>
        <w:left w:val="none" w:sz="0" w:space="0" w:color="auto"/>
        <w:bottom w:val="none" w:sz="0" w:space="0" w:color="auto"/>
        <w:right w:val="none" w:sz="0" w:space="0" w:color="auto"/>
      </w:divBdr>
    </w:div>
    <w:div w:id="1029919421">
      <w:bodyDiv w:val="1"/>
      <w:marLeft w:val="0"/>
      <w:marRight w:val="0"/>
      <w:marTop w:val="0"/>
      <w:marBottom w:val="0"/>
      <w:divBdr>
        <w:top w:val="none" w:sz="0" w:space="0" w:color="auto"/>
        <w:left w:val="none" w:sz="0" w:space="0" w:color="auto"/>
        <w:bottom w:val="none" w:sz="0" w:space="0" w:color="auto"/>
        <w:right w:val="none" w:sz="0" w:space="0" w:color="auto"/>
      </w:divBdr>
    </w:div>
    <w:div w:id="1307710470">
      <w:bodyDiv w:val="1"/>
      <w:marLeft w:val="0"/>
      <w:marRight w:val="0"/>
      <w:marTop w:val="0"/>
      <w:marBottom w:val="0"/>
      <w:divBdr>
        <w:top w:val="none" w:sz="0" w:space="0" w:color="auto"/>
        <w:left w:val="none" w:sz="0" w:space="0" w:color="auto"/>
        <w:bottom w:val="none" w:sz="0" w:space="0" w:color="auto"/>
        <w:right w:val="none" w:sz="0" w:space="0" w:color="auto"/>
      </w:divBdr>
    </w:div>
    <w:div w:id="1867522248">
      <w:bodyDiv w:val="1"/>
      <w:marLeft w:val="0"/>
      <w:marRight w:val="0"/>
      <w:marTop w:val="0"/>
      <w:marBottom w:val="0"/>
      <w:divBdr>
        <w:top w:val="none" w:sz="0" w:space="0" w:color="auto"/>
        <w:left w:val="none" w:sz="0" w:space="0" w:color="auto"/>
        <w:bottom w:val="none" w:sz="0" w:space="0" w:color="auto"/>
        <w:right w:val="none" w:sz="0" w:space="0" w:color="auto"/>
      </w:divBdr>
    </w:div>
    <w:div w:id="1904411629">
      <w:bodyDiv w:val="1"/>
      <w:marLeft w:val="0"/>
      <w:marRight w:val="0"/>
      <w:marTop w:val="0"/>
      <w:marBottom w:val="0"/>
      <w:divBdr>
        <w:top w:val="none" w:sz="0" w:space="0" w:color="auto"/>
        <w:left w:val="none" w:sz="0" w:space="0" w:color="auto"/>
        <w:bottom w:val="none" w:sz="0" w:space="0" w:color="auto"/>
        <w:right w:val="none" w:sz="0" w:space="0" w:color="auto"/>
      </w:divBdr>
    </w:div>
    <w:div w:id="213714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D63DC-32B3-4D70-87C5-286F17C73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Di Ilio</dc:creator>
  <cp:keywords/>
  <dc:description/>
  <cp:lastModifiedBy>Erin Smith</cp:lastModifiedBy>
  <cp:revision>2</cp:revision>
  <dcterms:created xsi:type="dcterms:W3CDTF">2020-11-03T17:24:00Z</dcterms:created>
  <dcterms:modified xsi:type="dcterms:W3CDTF">2020-11-03T17:24:00Z</dcterms:modified>
</cp:coreProperties>
</file>