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454D3" w14:textId="77777777" w:rsidR="00DD2FDE" w:rsidRPr="00D354AC" w:rsidRDefault="00DD2FDE" w:rsidP="00DD2F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lang w:val="en-CA"/>
        </w:rPr>
      </w:pPr>
      <w:bookmarkStart w:id="0" w:name="_GoBack"/>
      <w:bookmarkEnd w:id="0"/>
      <w:r w:rsidRPr="00D354AC">
        <w:rPr>
          <w:rFonts w:cstheme="minorHAnsi"/>
          <w:b/>
          <w:bCs/>
          <w:color w:val="000000"/>
          <w:sz w:val="28"/>
          <w:lang w:val="en-CA"/>
        </w:rPr>
        <w:t>Oakville Hydro Electricity Distribution Inc. (Oakville Hydro)</w:t>
      </w:r>
    </w:p>
    <w:p w14:paraId="49D719F0" w14:textId="77777777" w:rsidR="00DD2FDE" w:rsidRPr="00D354AC" w:rsidRDefault="00DD2FDE" w:rsidP="00DD2F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lang w:val="en-CA"/>
        </w:rPr>
      </w:pPr>
      <w:r w:rsidRPr="00D354AC">
        <w:rPr>
          <w:rFonts w:cstheme="minorHAnsi"/>
          <w:b/>
          <w:bCs/>
          <w:color w:val="000000"/>
          <w:sz w:val="28"/>
          <w:lang w:val="en-CA"/>
        </w:rPr>
        <w:t>EB-2020-0045</w:t>
      </w:r>
    </w:p>
    <w:p w14:paraId="5C0AEC9E" w14:textId="77777777" w:rsidR="00DD2FDE" w:rsidRPr="00D354AC" w:rsidRDefault="00DD2FDE" w:rsidP="00DD2FDE">
      <w:pPr>
        <w:spacing w:line="240" w:lineRule="auto"/>
        <w:jc w:val="center"/>
        <w:rPr>
          <w:rFonts w:cstheme="minorHAnsi"/>
          <w:b/>
          <w:bCs/>
          <w:sz w:val="28"/>
        </w:rPr>
      </w:pPr>
      <w:r w:rsidRPr="00D354AC">
        <w:rPr>
          <w:rFonts w:cstheme="minorHAnsi"/>
          <w:b/>
          <w:bCs/>
          <w:sz w:val="28"/>
        </w:rPr>
        <w:t>Round#3 Follow up Questions</w:t>
      </w:r>
    </w:p>
    <w:p w14:paraId="2A2460D6" w14:textId="77777777" w:rsidR="00DD2FDE" w:rsidRPr="00D354AC" w:rsidRDefault="00DD2FDE" w:rsidP="00DD2FDE">
      <w:pPr>
        <w:spacing w:line="240" w:lineRule="auto"/>
        <w:jc w:val="center"/>
        <w:rPr>
          <w:rFonts w:cstheme="minorHAnsi"/>
          <w:b/>
          <w:bCs/>
          <w:sz w:val="28"/>
        </w:rPr>
      </w:pPr>
      <w:r w:rsidRPr="00D354AC">
        <w:rPr>
          <w:rFonts w:cstheme="minorHAnsi"/>
          <w:b/>
          <w:bCs/>
          <w:sz w:val="28"/>
        </w:rPr>
        <w:t xml:space="preserve">November </w:t>
      </w:r>
      <w:r w:rsidR="002352AF" w:rsidRPr="00D354AC">
        <w:rPr>
          <w:rFonts w:cstheme="minorHAnsi"/>
          <w:b/>
          <w:bCs/>
          <w:sz w:val="28"/>
        </w:rPr>
        <w:t>3</w:t>
      </w:r>
      <w:r w:rsidRPr="00D354AC">
        <w:rPr>
          <w:rFonts w:cstheme="minorHAnsi"/>
          <w:b/>
          <w:bCs/>
          <w:sz w:val="28"/>
        </w:rPr>
        <w:t>, 2020</w:t>
      </w:r>
    </w:p>
    <w:p w14:paraId="50A3B9BF" w14:textId="77777777" w:rsidR="00DD2FDE" w:rsidRPr="00D354AC" w:rsidRDefault="00DD2FDE" w:rsidP="004D59ED">
      <w:pPr>
        <w:spacing w:after="0" w:line="240" w:lineRule="auto"/>
        <w:jc w:val="both"/>
        <w:rPr>
          <w:rFonts w:cstheme="minorHAnsi"/>
        </w:rPr>
      </w:pPr>
      <w:r w:rsidRPr="00D354AC">
        <w:rPr>
          <w:rFonts w:cstheme="minorHAnsi"/>
          <w:lang w:val="en-CA"/>
        </w:rPr>
        <w:t xml:space="preserve">*Responses to interrogatories, including supporting documentation, must not include personal information unless filed in accordance with rule 9A of the OEB’s </w:t>
      </w:r>
      <w:r w:rsidRPr="00D354AC">
        <w:rPr>
          <w:rFonts w:cstheme="minorHAnsi"/>
          <w:i/>
          <w:iCs/>
          <w:lang w:val="en-CA"/>
        </w:rPr>
        <w:t>Rules of Practice and Procedure</w:t>
      </w:r>
      <w:r w:rsidRPr="00D354AC">
        <w:rPr>
          <w:rFonts w:cstheme="minorHAnsi"/>
          <w:lang w:val="en-CA"/>
        </w:rPr>
        <w:t>.</w:t>
      </w:r>
    </w:p>
    <w:p w14:paraId="3419C395" w14:textId="77777777" w:rsidR="006535CD" w:rsidRPr="00D354AC" w:rsidRDefault="006535CD" w:rsidP="004D59ED">
      <w:pPr>
        <w:spacing w:line="240" w:lineRule="auto"/>
        <w:contextualSpacing/>
        <w:jc w:val="both"/>
        <w:rPr>
          <w:rFonts w:cstheme="minorHAnsi"/>
          <w:b/>
          <w:bCs/>
        </w:rPr>
      </w:pPr>
    </w:p>
    <w:p w14:paraId="5B70F3E2" w14:textId="77777777" w:rsidR="00DD2FDE" w:rsidRPr="00D354AC" w:rsidRDefault="00DD2FDE" w:rsidP="004D59ED">
      <w:pPr>
        <w:spacing w:line="276" w:lineRule="auto"/>
        <w:contextualSpacing/>
        <w:jc w:val="both"/>
        <w:rPr>
          <w:rFonts w:cstheme="minorHAnsi"/>
          <w:b/>
          <w:bCs/>
          <w:sz w:val="24"/>
        </w:rPr>
      </w:pPr>
      <w:r w:rsidRPr="00D354AC">
        <w:rPr>
          <w:rFonts w:cstheme="minorHAnsi"/>
          <w:b/>
          <w:bCs/>
          <w:sz w:val="24"/>
        </w:rPr>
        <w:t>Follow-up Question</w:t>
      </w:r>
      <w:r w:rsidR="00283713" w:rsidRPr="00D354AC">
        <w:rPr>
          <w:rFonts w:cstheme="minorHAnsi"/>
          <w:b/>
          <w:bCs/>
          <w:sz w:val="24"/>
        </w:rPr>
        <w:t xml:space="preserve"> #</w:t>
      </w:r>
      <w:r w:rsidRPr="00D354AC">
        <w:rPr>
          <w:rFonts w:cstheme="minorHAnsi"/>
          <w:b/>
          <w:bCs/>
          <w:sz w:val="24"/>
        </w:rPr>
        <w:t>1</w:t>
      </w:r>
    </w:p>
    <w:p w14:paraId="17490D41" w14:textId="77777777" w:rsidR="00283713" w:rsidRPr="00D354AC" w:rsidRDefault="00283713" w:rsidP="004D59ED">
      <w:pPr>
        <w:spacing w:after="0" w:line="276" w:lineRule="auto"/>
        <w:contextualSpacing/>
        <w:jc w:val="both"/>
        <w:rPr>
          <w:rFonts w:cstheme="minorHAnsi"/>
          <w:b/>
          <w:bCs/>
          <w:sz w:val="24"/>
        </w:rPr>
      </w:pPr>
      <w:r w:rsidRPr="00D354AC">
        <w:rPr>
          <w:rFonts w:cstheme="minorHAnsi"/>
          <w:b/>
          <w:bCs/>
          <w:sz w:val="24"/>
        </w:rPr>
        <w:t>Ref: Follow-up Question #4</w:t>
      </w:r>
    </w:p>
    <w:p w14:paraId="688E3C85" w14:textId="77777777" w:rsidR="00283713" w:rsidRPr="00D354AC" w:rsidRDefault="00283713" w:rsidP="004D59ED">
      <w:pPr>
        <w:spacing w:after="0" w:line="276" w:lineRule="auto"/>
        <w:jc w:val="both"/>
        <w:rPr>
          <w:rFonts w:cstheme="minorHAnsi"/>
          <w:b/>
          <w:bCs/>
        </w:rPr>
      </w:pPr>
    </w:p>
    <w:p w14:paraId="33B4A637" w14:textId="77777777" w:rsidR="00C77DFB" w:rsidRPr="00D354AC" w:rsidRDefault="00C77DFB" w:rsidP="004D59ED">
      <w:pPr>
        <w:spacing w:after="0" w:line="276" w:lineRule="auto"/>
        <w:jc w:val="both"/>
        <w:rPr>
          <w:rFonts w:cstheme="minorHAnsi"/>
        </w:rPr>
      </w:pPr>
      <w:r w:rsidRPr="00D354AC">
        <w:rPr>
          <w:rFonts w:cstheme="minorHAnsi"/>
        </w:rPr>
        <w:t>In the November 2</w:t>
      </w:r>
      <w:r w:rsidRPr="00D354AC">
        <w:rPr>
          <w:rFonts w:cstheme="minorHAnsi"/>
          <w:vertAlign w:val="superscript"/>
        </w:rPr>
        <w:t>nd</w:t>
      </w:r>
      <w:r w:rsidRPr="00D354AC">
        <w:rPr>
          <w:rFonts w:cstheme="minorHAnsi"/>
        </w:rPr>
        <w:t xml:space="preserve"> response, Oakville Hydro stated in Follow-up Question #4 that another GA </w:t>
      </w:r>
      <w:proofErr w:type="spellStart"/>
      <w:r w:rsidRPr="00D354AC">
        <w:rPr>
          <w:rFonts w:cstheme="minorHAnsi"/>
        </w:rPr>
        <w:t>Workform</w:t>
      </w:r>
      <w:proofErr w:type="spellEnd"/>
      <w:r w:rsidRPr="00D354AC">
        <w:rPr>
          <w:rFonts w:cstheme="minorHAnsi"/>
        </w:rPr>
        <w:t xml:space="preserve"> and DVA continuity schedule will be filed separately. </w:t>
      </w:r>
      <w:r w:rsidR="005503A2" w:rsidRPr="00D354AC">
        <w:rPr>
          <w:rFonts w:cstheme="minorHAnsi"/>
        </w:rPr>
        <w:t xml:space="preserve">Please submit the two </w:t>
      </w:r>
      <w:r w:rsidR="00283713" w:rsidRPr="00D354AC">
        <w:rPr>
          <w:rFonts w:cstheme="minorHAnsi"/>
        </w:rPr>
        <w:t>attachments</w:t>
      </w:r>
      <w:r w:rsidR="005503A2" w:rsidRPr="00D354AC">
        <w:rPr>
          <w:rFonts w:cstheme="minorHAnsi"/>
        </w:rPr>
        <w:t>.</w:t>
      </w:r>
    </w:p>
    <w:p w14:paraId="34595509" w14:textId="77777777" w:rsidR="00D354AC" w:rsidRPr="00D354AC" w:rsidRDefault="00D354AC" w:rsidP="004D59ED">
      <w:pPr>
        <w:pStyle w:val="BodyText"/>
        <w:spacing w:after="160" w:line="252" w:lineRule="auto"/>
        <w:contextualSpacing/>
        <w:jc w:val="both"/>
        <w:rPr>
          <w:rFonts w:asciiTheme="minorHAnsi" w:hAnsiTheme="minorHAnsi" w:cstheme="minorHAnsi"/>
          <w:b/>
          <w:color w:val="BD2025"/>
        </w:rPr>
      </w:pPr>
      <w:r w:rsidRPr="00D354AC">
        <w:rPr>
          <w:rFonts w:asciiTheme="minorHAnsi" w:hAnsiTheme="minorHAnsi" w:cstheme="minorHAnsi"/>
          <w:b/>
          <w:color w:val="BD2025"/>
        </w:rPr>
        <w:t xml:space="preserve">Response: </w:t>
      </w:r>
    </w:p>
    <w:p w14:paraId="622017EE" w14:textId="77777777" w:rsidR="00C77DFB" w:rsidRPr="0063764A" w:rsidRDefault="0063764A" w:rsidP="004D59ED">
      <w:pPr>
        <w:jc w:val="both"/>
        <w:rPr>
          <w:rFonts w:cstheme="minorHAnsi"/>
        </w:rPr>
      </w:pPr>
      <w:r w:rsidRPr="0063764A">
        <w:rPr>
          <w:rFonts w:cstheme="minorHAnsi"/>
        </w:rPr>
        <w:t>Oakville Hydro</w:t>
      </w:r>
      <w:r>
        <w:rPr>
          <w:rFonts w:cstheme="minorHAnsi"/>
        </w:rPr>
        <w:t xml:space="preserve"> will submit the updated GA </w:t>
      </w:r>
      <w:proofErr w:type="spellStart"/>
      <w:r>
        <w:rPr>
          <w:rFonts w:cstheme="minorHAnsi"/>
        </w:rPr>
        <w:t>workform</w:t>
      </w:r>
      <w:proofErr w:type="spellEnd"/>
      <w:r>
        <w:rPr>
          <w:rFonts w:cstheme="minorHAnsi"/>
        </w:rPr>
        <w:t xml:space="preserve"> and DVA continuity schedule along with this response.</w:t>
      </w:r>
    </w:p>
    <w:p w14:paraId="0442E141" w14:textId="77777777" w:rsidR="00C77DFB" w:rsidRPr="00D354AC" w:rsidRDefault="00C77DFB" w:rsidP="004D59ED">
      <w:pPr>
        <w:spacing w:after="0" w:line="276" w:lineRule="auto"/>
        <w:jc w:val="both"/>
        <w:rPr>
          <w:rFonts w:cstheme="minorHAnsi"/>
          <w:b/>
          <w:bCs/>
          <w:sz w:val="24"/>
        </w:rPr>
      </w:pPr>
      <w:r w:rsidRPr="00D354AC">
        <w:rPr>
          <w:rFonts w:cstheme="minorHAnsi"/>
          <w:b/>
          <w:bCs/>
          <w:sz w:val="24"/>
        </w:rPr>
        <w:t>Follow-up Question</w:t>
      </w:r>
      <w:r w:rsidR="00283713" w:rsidRPr="00D354AC">
        <w:rPr>
          <w:rFonts w:cstheme="minorHAnsi"/>
          <w:b/>
          <w:bCs/>
          <w:sz w:val="24"/>
        </w:rPr>
        <w:t xml:space="preserve"> #2</w:t>
      </w:r>
    </w:p>
    <w:p w14:paraId="14C81B49" w14:textId="77777777" w:rsidR="00C77DFB" w:rsidRPr="00D354AC" w:rsidRDefault="00C77DFB" w:rsidP="004D59ED">
      <w:pPr>
        <w:jc w:val="both"/>
        <w:rPr>
          <w:rFonts w:cstheme="minorHAnsi"/>
          <w:b/>
          <w:bCs/>
          <w:sz w:val="24"/>
        </w:rPr>
      </w:pPr>
      <w:r w:rsidRPr="00D354AC">
        <w:rPr>
          <w:rFonts w:cstheme="minorHAnsi"/>
          <w:b/>
          <w:bCs/>
          <w:sz w:val="24"/>
        </w:rPr>
        <w:t>Ref: Follow-up Question #4</w:t>
      </w:r>
    </w:p>
    <w:p w14:paraId="5BCB7A7D" w14:textId="77777777" w:rsidR="00C77DFB" w:rsidRPr="00D354AC" w:rsidRDefault="00C77DFB" w:rsidP="004D59ED">
      <w:pPr>
        <w:spacing w:after="0" w:line="276" w:lineRule="auto"/>
        <w:jc w:val="both"/>
        <w:rPr>
          <w:rFonts w:cstheme="minorHAnsi"/>
        </w:rPr>
      </w:pPr>
      <w:r w:rsidRPr="00D354AC">
        <w:rPr>
          <w:rFonts w:cstheme="minorHAnsi"/>
        </w:rPr>
        <w:t>In response to follow-up question #4, it states that “The variance between the general ledger balances and the balances in the DVA Continuity Schedule is now equal to the 2019 principal adjustments made for the 2019 year-end only (i.e. no reversals pertaining to 2018) and the amount pertaining to Class A in the 2018 Account 1589 balances.” Please confirm that this means the Class A GA balance for 2018 is still included in the 2019 balance in the general ledger. If not, please explain further. Please also explain how the 2018 Class A GA balance is treated in the general ledger in 2019 and whether it is included or excluded in the 2019 transactions in the DVA Continuity Schedule.</w:t>
      </w:r>
    </w:p>
    <w:p w14:paraId="2826E561" w14:textId="77777777" w:rsidR="00D354AC" w:rsidRPr="00D354AC" w:rsidRDefault="00D354AC" w:rsidP="004D59ED">
      <w:pPr>
        <w:pStyle w:val="BodyText"/>
        <w:spacing w:after="160" w:line="252" w:lineRule="auto"/>
        <w:contextualSpacing/>
        <w:jc w:val="both"/>
        <w:rPr>
          <w:rFonts w:asciiTheme="minorHAnsi" w:hAnsiTheme="minorHAnsi" w:cstheme="minorHAnsi"/>
          <w:b/>
          <w:color w:val="BD2025"/>
        </w:rPr>
      </w:pPr>
      <w:r w:rsidRPr="00D354AC">
        <w:rPr>
          <w:rFonts w:asciiTheme="minorHAnsi" w:hAnsiTheme="minorHAnsi" w:cstheme="minorHAnsi"/>
          <w:b/>
          <w:color w:val="BD2025"/>
        </w:rPr>
        <w:t xml:space="preserve">Response: </w:t>
      </w:r>
    </w:p>
    <w:p w14:paraId="773A7727" w14:textId="77777777" w:rsidR="004D59ED" w:rsidRDefault="00D354AC" w:rsidP="004D59ED">
      <w:pPr>
        <w:jc w:val="both"/>
        <w:rPr>
          <w:rFonts w:cstheme="minorHAnsi"/>
          <w:bCs/>
        </w:rPr>
      </w:pPr>
      <w:r w:rsidRPr="00D354AC">
        <w:rPr>
          <w:rFonts w:cstheme="minorHAnsi"/>
          <w:bCs/>
        </w:rPr>
        <w:t xml:space="preserve">Oakville Hydro confirms that </w:t>
      </w:r>
      <w:r>
        <w:rPr>
          <w:rFonts w:cstheme="minorHAnsi"/>
          <w:bCs/>
        </w:rPr>
        <w:t>Cl</w:t>
      </w:r>
      <w:r w:rsidR="00AA64EE">
        <w:rPr>
          <w:rFonts w:cstheme="minorHAnsi"/>
          <w:bCs/>
        </w:rPr>
        <w:t>ass A GA balance for 2018 is</w:t>
      </w:r>
      <w:r>
        <w:rPr>
          <w:rFonts w:cstheme="minorHAnsi"/>
          <w:bCs/>
        </w:rPr>
        <w:t xml:space="preserve"> included in the </w:t>
      </w:r>
      <w:r w:rsidR="00591ADC">
        <w:rPr>
          <w:rFonts w:cstheme="minorHAnsi"/>
          <w:bCs/>
        </w:rPr>
        <w:t>2019 balance in the general ledger.</w:t>
      </w:r>
      <w:r w:rsidR="00691A45">
        <w:rPr>
          <w:rFonts w:cstheme="minorHAnsi"/>
          <w:bCs/>
        </w:rPr>
        <w:t xml:space="preserve"> The Class A GA balance</w:t>
      </w:r>
      <w:r w:rsidR="004D59ED">
        <w:rPr>
          <w:rFonts w:cstheme="minorHAnsi"/>
          <w:bCs/>
        </w:rPr>
        <w:t>s</w:t>
      </w:r>
      <w:r w:rsidR="00691A45">
        <w:rPr>
          <w:rFonts w:cstheme="minorHAnsi"/>
          <w:bCs/>
        </w:rPr>
        <w:t xml:space="preserve"> for 2018 and 2019 have</w:t>
      </w:r>
      <w:r w:rsidR="007128C9">
        <w:rPr>
          <w:rFonts w:cstheme="minorHAnsi"/>
          <w:bCs/>
        </w:rPr>
        <w:t xml:space="preserve"> been included in </w:t>
      </w:r>
      <w:r w:rsidR="00691A45">
        <w:rPr>
          <w:rFonts w:cstheme="minorHAnsi"/>
          <w:bCs/>
        </w:rPr>
        <w:t xml:space="preserve">2018 and 2019 transactions in the DVA Continuity Schedule </w:t>
      </w:r>
      <w:r w:rsidR="007128C9">
        <w:rPr>
          <w:rFonts w:cstheme="minorHAnsi"/>
          <w:bCs/>
        </w:rPr>
        <w:t xml:space="preserve">and the Class A GA balance for 2018 and 2019 have been removed from Account 1589 balance </w:t>
      </w:r>
      <w:r w:rsidR="00691A45">
        <w:rPr>
          <w:rFonts w:cstheme="minorHAnsi"/>
          <w:bCs/>
        </w:rPr>
        <w:t>as permanent adjustment</w:t>
      </w:r>
      <w:r w:rsidR="00A911E6">
        <w:rPr>
          <w:rFonts w:cstheme="minorHAnsi"/>
          <w:bCs/>
        </w:rPr>
        <w:t>s and they are</w:t>
      </w:r>
      <w:r w:rsidR="00691A45">
        <w:rPr>
          <w:rFonts w:cstheme="minorHAnsi"/>
          <w:bCs/>
        </w:rPr>
        <w:t xml:space="preserve"> not reversed.</w:t>
      </w:r>
    </w:p>
    <w:p w14:paraId="18FA06DC" w14:textId="77777777" w:rsidR="004D59ED" w:rsidRDefault="004D59ED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4AE5EAC8" w14:textId="77777777" w:rsidR="00283713" w:rsidRPr="00D354AC" w:rsidRDefault="00283713" w:rsidP="004D59ED">
      <w:pPr>
        <w:spacing w:line="240" w:lineRule="auto"/>
        <w:ind w:left="720" w:hanging="720"/>
        <w:contextualSpacing/>
        <w:jc w:val="both"/>
        <w:rPr>
          <w:rFonts w:cstheme="minorHAnsi"/>
          <w:b/>
          <w:bCs/>
          <w:sz w:val="24"/>
        </w:rPr>
      </w:pPr>
      <w:r w:rsidRPr="00D354AC">
        <w:rPr>
          <w:rFonts w:cstheme="minorHAnsi"/>
          <w:b/>
          <w:bCs/>
          <w:sz w:val="24"/>
        </w:rPr>
        <w:lastRenderedPageBreak/>
        <w:t>Follow-up Question #3</w:t>
      </w:r>
    </w:p>
    <w:p w14:paraId="716CD1B8" w14:textId="77777777" w:rsidR="005B2BAA" w:rsidRPr="00D354AC" w:rsidRDefault="00DD2FDE" w:rsidP="004D59ED">
      <w:pPr>
        <w:spacing w:line="240" w:lineRule="auto"/>
        <w:ind w:left="720" w:hanging="720"/>
        <w:contextualSpacing/>
        <w:jc w:val="both"/>
        <w:rPr>
          <w:rFonts w:cstheme="minorHAnsi"/>
          <w:b/>
          <w:bCs/>
          <w:sz w:val="24"/>
        </w:rPr>
      </w:pPr>
      <w:r w:rsidRPr="00D354AC">
        <w:rPr>
          <w:rFonts w:cstheme="minorHAnsi"/>
          <w:b/>
          <w:bCs/>
          <w:sz w:val="24"/>
        </w:rPr>
        <w:t xml:space="preserve">Ref: </w:t>
      </w:r>
      <w:r w:rsidR="005A13F2" w:rsidRPr="00D354AC">
        <w:rPr>
          <w:rFonts w:cstheme="minorHAnsi"/>
          <w:b/>
          <w:bCs/>
          <w:sz w:val="24"/>
        </w:rPr>
        <w:tab/>
      </w:r>
      <w:r w:rsidR="005B2BAA" w:rsidRPr="00D354AC">
        <w:rPr>
          <w:rFonts w:cstheme="minorHAnsi"/>
          <w:b/>
          <w:bCs/>
          <w:sz w:val="24"/>
        </w:rPr>
        <w:t xml:space="preserve">Manager’s Summary, </w:t>
      </w:r>
      <w:r w:rsidRPr="00D354AC">
        <w:rPr>
          <w:rFonts w:cstheme="minorHAnsi"/>
          <w:b/>
          <w:bCs/>
          <w:sz w:val="24"/>
        </w:rPr>
        <w:t xml:space="preserve">Table 4, Rate Rider 1 to Dispose of a Portion of Account 1588, </w:t>
      </w:r>
      <w:r w:rsidR="005B2BAA" w:rsidRPr="00D354AC">
        <w:rPr>
          <w:rFonts w:cstheme="minorHAnsi"/>
          <w:b/>
          <w:bCs/>
          <w:sz w:val="24"/>
        </w:rPr>
        <w:t xml:space="preserve">page 6 of </w:t>
      </w:r>
      <w:r w:rsidRPr="00D354AC">
        <w:rPr>
          <w:rFonts w:cstheme="minorHAnsi"/>
          <w:b/>
          <w:bCs/>
          <w:sz w:val="24"/>
        </w:rPr>
        <w:t>14</w:t>
      </w:r>
    </w:p>
    <w:p w14:paraId="76B68297" w14:textId="77777777" w:rsidR="005A13F2" w:rsidRPr="00D354AC" w:rsidRDefault="005A13F2" w:rsidP="004D59ED">
      <w:pPr>
        <w:spacing w:line="240" w:lineRule="auto"/>
        <w:contextualSpacing/>
        <w:jc w:val="both"/>
        <w:rPr>
          <w:rFonts w:cstheme="minorHAnsi"/>
          <w:b/>
          <w:bCs/>
          <w:sz w:val="24"/>
        </w:rPr>
      </w:pPr>
      <w:r w:rsidRPr="00D354AC">
        <w:rPr>
          <w:rFonts w:cstheme="minorHAnsi"/>
          <w:b/>
          <w:bCs/>
          <w:sz w:val="24"/>
        </w:rPr>
        <w:t xml:space="preserve">Ref: </w:t>
      </w:r>
      <w:r w:rsidRPr="00D354AC">
        <w:rPr>
          <w:rFonts w:cstheme="minorHAnsi"/>
          <w:b/>
          <w:bCs/>
          <w:sz w:val="24"/>
        </w:rPr>
        <w:tab/>
        <w:t>Tab 4 – Continuity Schedule</w:t>
      </w:r>
    </w:p>
    <w:p w14:paraId="52BCD9B5" w14:textId="77777777" w:rsidR="005A13F2" w:rsidRPr="00D354AC" w:rsidRDefault="005A13F2" w:rsidP="004D59ED">
      <w:pPr>
        <w:spacing w:line="240" w:lineRule="auto"/>
        <w:contextualSpacing/>
        <w:jc w:val="both"/>
        <w:rPr>
          <w:rFonts w:cstheme="minorHAnsi"/>
          <w:b/>
          <w:bCs/>
        </w:rPr>
      </w:pPr>
    </w:p>
    <w:p w14:paraId="31F8E286" w14:textId="77777777" w:rsidR="00DD2FDE" w:rsidRPr="00D354AC" w:rsidRDefault="005A13F2" w:rsidP="004D59ED">
      <w:pPr>
        <w:jc w:val="both"/>
        <w:rPr>
          <w:rFonts w:cstheme="minorHAnsi"/>
        </w:rPr>
      </w:pPr>
      <w:r w:rsidRPr="00D354AC">
        <w:rPr>
          <w:rFonts w:cstheme="minorHAnsi"/>
          <w:noProof/>
          <w:lang w:val="en-CA" w:eastAsia="en-CA"/>
        </w:rPr>
        <w:drawing>
          <wp:inline distT="0" distB="0" distL="0" distR="0" wp14:anchorId="4CFC712B" wp14:editId="0B8E4B20">
            <wp:extent cx="6511050" cy="1218735"/>
            <wp:effectExtent l="19050" t="19050" r="23495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7280" cy="12199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170C7E" w14:textId="77777777" w:rsidR="00E5309F" w:rsidRPr="00D354AC" w:rsidRDefault="005B2BAA" w:rsidP="004D59ED">
      <w:pPr>
        <w:jc w:val="both"/>
        <w:rPr>
          <w:rFonts w:cstheme="minorHAnsi"/>
        </w:rPr>
      </w:pPr>
      <w:r w:rsidRPr="00D354AC">
        <w:rPr>
          <w:rFonts w:cstheme="minorHAnsi"/>
        </w:rPr>
        <w:t xml:space="preserve">OEB Staff notes that Oakville Hydro </w:t>
      </w:r>
      <w:r w:rsidR="00DD2FDE" w:rsidRPr="00D354AC">
        <w:rPr>
          <w:rFonts w:cstheme="minorHAnsi"/>
        </w:rPr>
        <w:t>provided the</w:t>
      </w:r>
      <w:r w:rsidRPr="00D354AC">
        <w:rPr>
          <w:rFonts w:cstheme="minorHAnsi"/>
        </w:rPr>
        <w:t xml:space="preserve"> rate rider</w:t>
      </w:r>
      <w:r w:rsidR="00DD2FDE" w:rsidRPr="00D354AC">
        <w:rPr>
          <w:rFonts w:cstheme="minorHAnsi"/>
        </w:rPr>
        <w:t xml:space="preserve"> calculation</w:t>
      </w:r>
      <w:r w:rsidR="00FE3DAC" w:rsidRPr="00D354AC">
        <w:rPr>
          <w:rFonts w:cstheme="minorHAnsi"/>
        </w:rPr>
        <w:t>s</w:t>
      </w:r>
      <w:r w:rsidR="00F31EBC" w:rsidRPr="00D354AC">
        <w:rPr>
          <w:rFonts w:cstheme="minorHAnsi"/>
        </w:rPr>
        <w:t xml:space="preserve"> to dispose portion of account 1588</w:t>
      </w:r>
      <w:r w:rsidRPr="00D354AC">
        <w:rPr>
          <w:rFonts w:cstheme="minorHAnsi"/>
        </w:rPr>
        <w:t xml:space="preserve"> using the </w:t>
      </w:r>
      <w:r w:rsidR="00DD2FDE" w:rsidRPr="00D354AC">
        <w:rPr>
          <w:rFonts w:cstheme="minorHAnsi"/>
        </w:rPr>
        <w:t xml:space="preserve">billing determinants </w:t>
      </w:r>
      <w:r w:rsidR="005E0DAF" w:rsidRPr="00D354AC">
        <w:rPr>
          <w:rFonts w:cstheme="minorHAnsi"/>
        </w:rPr>
        <w:t>from</w:t>
      </w:r>
      <w:r w:rsidR="006535CD" w:rsidRPr="00D354AC">
        <w:rPr>
          <w:rFonts w:cstheme="minorHAnsi"/>
        </w:rPr>
        <w:t xml:space="preserve"> Tab 4, “Total Metered kWh” (Column C) rather than “Total Metered kWh less WMP [if applicable]” (Column I).</w:t>
      </w:r>
    </w:p>
    <w:p w14:paraId="73470122" w14:textId="77777777" w:rsidR="006535CD" w:rsidRDefault="006535CD" w:rsidP="004D59ED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D354AC">
        <w:rPr>
          <w:rFonts w:cstheme="minorHAnsi"/>
        </w:rPr>
        <w:t>Please re</w:t>
      </w:r>
      <w:r w:rsidR="00283713" w:rsidRPr="00D354AC">
        <w:rPr>
          <w:rFonts w:cstheme="minorHAnsi"/>
        </w:rPr>
        <w:t>-</w:t>
      </w:r>
      <w:r w:rsidRPr="00D354AC">
        <w:rPr>
          <w:rFonts w:cstheme="minorHAnsi"/>
        </w:rPr>
        <w:t>calculate the rate rider</w:t>
      </w:r>
      <w:r w:rsidR="00C8796F" w:rsidRPr="00D354AC">
        <w:rPr>
          <w:rFonts w:cstheme="minorHAnsi"/>
        </w:rPr>
        <w:t>s</w:t>
      </w:r>
      <w:r w:rsidRPr="00D354AC">
        <w:rPr>
          <w:rFonts w:cstheme="minorHAnsi"/>
        </w:rPr>
        <w:t xml:space="preserve"> using Column I data.</w:t>
      </w:r>
    </w:p>
    <w:p w14:paraId="06035A82" w14:textId="77777777" w:rsidR="00A911E6" w:rsidRPr="00D354AC" w:rsidRDefault="00A911E6" w:rsidP="004D59ED">
      <w:pPr>
        <w:pStyle w:val="BodyText"/>
        <w:spacing w:after="160" w:line="252" w:lineRule="auto"/>
        <w:ind w:left="720"/>
        <w:contextualSpacing/>
        <w:jc w:val="both"/>
        <w:rPr>
          <w:rFonts w:asciiTheme="minorHAnsi" w:hAnsiTheme="minorHAnsi" w:cstheme="minorHAnsi"/>
          <w:b/>
          <w:color w:val="BD2025"/>
        </w:rPr>
      </w:pPr>
      <w:r w:rsidRPr="00D354AC">
        <w:rPr>
          <w:rFonts w:asciiTheme="minorHAnsi" w:hAnsiTheme="minorHAnsi" w:cstheme="minorHAnsi"/>
          <w:b/>
          <w:color w:val="BD2025"/>
        </w:rPr>
        <w:t xml:space="preserve">Response: </w:t>
      </w:r>
    </w:p>
    <w:p w14:paraId="49B3E918" w14:textId="347D045B" w:rsidR="00A911E6" w:rsidRPr="00D354AC" w:rsidRDefault="000B48F5" w:rsidP="004D59ED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Oakville Hydro update</w:t>
      </w:r>
      <w:r w:rsidR="003136A0">
        <w:rPr>
          <w:rFonts w:cstheme="minorHAnsi"/>
        </w:rPr>
        <w:t>d</w:t>
      </w:r>
      <w:r>
        <w:rPr>
          <w:rFonts w:cstheme="minorHAnsi"/>
        </w:rPr>
        <w:t xml:space="preserve"> the rate rider calculations to dispose portion of account 1588 by using the billing determinants from Tab4 Column I “Total Metered kWh less WMP (if applicable)”.</w:t>
      </w:r>
    </w:p>
    <w:p w14:paraId="16021C95" w14:textId="77777777" w:rsidR="006535CD" w:rsidRDefault="006535CD" w:rsidP="004D59ED">
      <w:pPr>
        <w:jc w:val="both"/>
        <w:rPr>
          <w:rFonts w:cstheme="minorHAnsi"/>
        </w:rPr>
      </w:pPr>
    </w:p>
    <w:p w14:paraId="6A0F31F4" w14:textId="77777777" w:rsidR="000B48F5" w:rsidRPr="00D354AC" w:rsidRDefault="000B48F5" w:rsidP="004D59ED">
      <w:pPr>
        <w:ind w:left="720"/>
        <w:jc w:val="both"/>
        <w:rPr>
          <w:rFonts w:cstheme="minorHAnsi"/>
        </w:rPr>
      </w:pPr>
      <w:r w:rsidRPr="000B48F5">
        <w:rPr>
          <w:noProof/>
          <w:lang w:val="en-CA" w:eastAsia="en-CA"/>
        </w:rPr>
        <w:drawing>
          <wp:inline distT="0" distB="0" distL="0" distR="0" wp14:anchorId="6CE4CF8E" wp14:editId="20FB7EFD">
            <wp:extent cx="5619750" cy="3276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C55D3" w14:textId="77777777" w:rsidR="006535CD" w:rsidRPr="00D354AC" w:rsidRDefault="006535CD" w:rsidP="004D59ED">
      <w:pPr>
        <w:jc w:val="both"/>
        <w:rPr>
          <w:rFonts w:cstheme="minorHAnsi"/>
        </w:rPr>
      </w:pPr>
    </w:p>
    <w:p w14:paraId="627566FA" w14:textId="77777777" w:rsidR="006535CD" w:rsidRPr="00D354AC" w:rsidRDefault="006535CD" w:rsidP="004D59ED">
      <w:pPr>
        <w:jc w:val="both"/>
        <w:rPr>
          <w:rFonts w:cstheme="minorHAnsi"/>
        </w:rPr>
      </w:pPr>
    </w:p>
    <w:sectPr w:rsidR="006535CD" w:rsidRPr="00D35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71CB"/>
    <w:multiLevelType w:val="hybridMultilevel"/>
    <w:tmpl w:val="5D9460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AA"/>
    <w:rsid w:val="000B48F5"/>
    <w:rsid w:val="00172AA5"/>
    <w:rsid w:val="002352AF"/>
    <w:rsid w:val="00283713"/>
    <w:rsid w:val="003136A0"/>
    <w:rsid w:val="003C6E59"/>
    <w:rsid w:val="00452818"/>
    <w:rsid w:val="004D59ED"/>
    <w:rsid w:val="005503A2"/>
    <w:rsid w:val="00591ADC"/>
    <w:rsid w:val="005A13F2"/>
    <w:rsid w:val="005B2BAA"/>
    <w:rsid w:val="005E0DAF"/>
    <w:rsid w:val="0063764A"/>
    <w:rsid w:val="006535CD"/>
    <w:rsid w:val="00691A45"/>
    <w:rsid w:val="007128C9"/>
    <w:rsid w:val="00A911E6"/>
    <w:rsid w:val="00AA64EE"/>
    <w:rsid w:val="00B7486A"/>
    <w:rsid w:val="00B95E29"/>
    <w:rsid w:val="00C77DFB"/>
    <w:rsid w:val="00C8796F"/>
    <w:rsid w:val="00D354AC"/>
    <w:rsid w:val="00D96FD8"/>
    <w:rsid w:val="00DD2FDE"/>
    <w:rsid w:val="00E5309F"/>
    <w:rsid w:val="00F31EBC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213A"/>
  <w15:chartTrackingRefBased/>
  <w15:docId w15:val="{4555F1E0-3101-4D71-95D6-526D8CBD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5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5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354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5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Wong</dc:creator>
  <cp:keywords/>
  <dc:description/>
  <cp:lastModifiedBy>Christiane Wong</cp:lastModifiedBy>
  <cp:revision>2</cp:revision>
  <dcterms:created xsi:type="dcterms:W3CDTF">2020-11-04T12:16:00Z</dcterms:created>
  <dcterms:modified xsi:type="dcterms:W3CDTF">2020-11-04T12:16:00Z</dcterms:modified>
</cp:coreProperties>
</file>