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23" w:rsidRPr="002B3D88" w:rsidRDefault="00612023" w:rsidP="00612023">
      <w:pPr>
        <w:spacing w:after="0" w:line="360" w:lineRule="auto"/>
        <w:jc w:val="center"/>
        <w:rPr>
          <w:rFonts w:ascii="Arial" w:hAnsi="Arial" w:cs="Arial"/>
          <w:b/>
          <w:sz w:val="20"/>
          <w:szCs w:val="20"/>
        </w:rPr>
      </w:pPr>
      <w:bookmarkStart w:id="0" w:name="_GoBack"/>
      <w:bookmarkEnd w:id="0"/>
      <w:r w:rsidRPr="002B3D88">
        <w:rPr>
          <w:rFonts w:ascii="Arial" w:hAnsi="Arial" w:cs="Arial"/>
          <w:b/>
          <w:sz w:val="20"/>
          <w:szCs w:val="20"/>
        </w:rPr>
        <w:t>Draft</w:t>
      </w:r>
      <w:r w:rsidRPr="002B3D88">
        <w:rPr>
          <w:rFonts w:ascii="Arial" w:hAnsi="Arial" w:cs="Arial"/>
          <w:b/>
          <w:spacing w:val="22"/>
          <w:sz w:val="20"/>
          <w:szCs w:val="20"/>
        </w:rPr>
        <w:t xml:space="preserve"> </w:t>
      </w:r>
      <w:r w:rsidRPr="002B3D88">
        <w:rPr>
          <w:rFonts w:ascii="Arial" w:hAnsi="Arial" w:cs="Arial"/>
          <w:b/>
          <w:sz w:val="20"/>
          <w:szCs w:val="20"/>
        </w:rPr>
        <w:t>Accounting</w:t>
      </w:r>
      <w:r w:rsidRPr="002B3D88">
        <w:rPr>
          <w:rFonts w:ascii="Arial" w:hAnsi="Arial" w:cs="Arial"/>
          <w:b/>
          <w:spacing w:val="20"/>
          <w:sz w:val="20"/>
          <w:szCs w:val="20"/>
        </w:rPr>
        <w:t xml:space="preserve"> </w:t>
      </w:r>
      <w:r w:rsidRPr="002B3D88">
        <w:rPr>
          <w:rFonts w:ascii="Arial" w:hAnsi="Arial" w:cs="Arial"/>
          <w:b/>
          <w:sz w:val="20"/>
          <w:szCs w:val="20"/>
        </w:rPr>
        <w:t>Order</w:t>
      </w:r>
      <w:r w:rsidRPr="002B3D88">
        <w:rPr>
          <w:rFonts w:ascii="Arial" w:hAnsi="Arial" w:cs="Arial"/>
          <w:b/>
          <w:spacing w:val="22"/>
          <w:sz w:val="20"/>
          <w:szCs w:val="20"/>
        </w:rPr>
        <w:t xml:space="preserve"> </w:t>
      </w:r>
    </w:p>
    <w:p w:rsidR="00612023" w:rsidRPr="003400F1" w:rsidRDefault="00612023" w:rsidP="00612023">
      <w:pPr>
        <w:spacing w:after="0" w:line="360" w:lineRule="auto"/>
        <w:jc w:val="center"/>
        <w:rPr>
          <w:rFonts w:ascii="Arial" w:hAnsi="Arial" w:cs="Arial"/>
          <w:b/>
          <w:sz w:val="20"/>
          <w:szCs w:val="20"/>
        </w:rPr>
      </w:pPr>
      <w:r w:rsidRPr="002B3D88">
        <w:rPr>
          <w:rFonts w:ascii="Arial" w:hAnsi="Arial" w:cs="Arial"/>
          <w:b/>
          <w:sz w:val="20"/>
          <w:szCs w:val="20"/>
        </w:rPr>
        <w:t>Account 1508 Other Regulatory Assets</w:t>
      </w:r>
      <w:r>
        <w:rPr>
          <w:rFonts w:ascii="Arial" w:hAnsi="Arial" w:cs="Arial"/>
          <w:b/>
          <w:sz w:val="20"/>
          <w:szCs w:val="20"/>
        </w:rPr>
        <w:t xml:space="preserve"> - </w:t>
      </w:r>
      <w:r w:rsidRPr="002B3D88">
        <w:rPr>
          <w:rFonts w:ascii="Arial" w:hAnsi="Arial" w:cs="Arial"/>
          <w:b/>
          <w:sz w:val="20"/>
          <w:szCs w:val="20"/>
        </w:rPr>
        <w:t xml:space="preserve">Sub-account </w:t>
      </w:r>
      <w:r>
        <w:rPr>
          <w:rFonts w:ascii="Arial" w:hAnsi="Arial" w:cs="Arial"/>
          <w:b/>
          <w:sz w:val="20"/>
          <w:szCs w:val="20"/>
        </w:rPr>
        <w:t>Rate Year Alignment Revenue Refund</w:t>
      </w:r>
    </w:p>
    <w:p w:rsidR="00612023" w:rsidRDefault="00612023" w:rsidP="00612023">
      <w:pPr>
        <w:autoSpaceDE w:val="0"/>
        <w:autoSpaceDN w:val="0"/>
        <w:adjustRightInd w:val="0"/>
        <w:spacing w:after="0" w:line="360" w:lineRule="auto"/>
        <w:rPr>
          <w:rFonts w:ascii="Arial" w:eastAsiaTheme="minorHAnsi" w:hAnsi="Arial" w:cs="Arial"/>
          <w:color w:val="000000"/>
          <w:sz w:val="20"/>
          <w:szCs w:val="20"/>
        </w:rPr>
      </w:pPr>
    </w:p>
    <w:p w:rsidR="004A4725" w:rsidRDefault="00D450C6" w:rsidP="00612023">
      <w:pPr>
        <w:autoSpaceDE w:val="0"/>
        <w:autoSpaceDN w:val="0"/>
        <w:adjustRightInd w:val="0"/>
        <w:spacing w:after="0" w:line="360" w:lineRule="auto"/>
        <w:rPr>
          <w:rFonts w:ascii="Arial" w:eastAsiaTheme="minorHAnsi" w:hAnsi="Arial" w:cs="Arial"/>
          <w:color w:val="000000"/>
          <w:sz w:val="20"/>
          <w:szCs w:val="20"/>
        </w:rPr>
      </w:pPr>
      <w:r>
        <w:rPr>
          <w:rFonts w:ascii="Arial" w:eastAsiaTheme="minorHAnsi" w:hAnsi="Arial" w:cs="Arial"/>
          <w:color w:val="000000"/>
          <w:sz w:val="20"/>
          <w:szCs w:val="20"/>
        </w:rPr>
        <w:t xml:space="preserve">Elexicon Energy Inc. shall establish a </w:t>
      </w:r>
      <w:r w:rsidR="00612023">
        <w:rPr>
          <w:rFonts w:ascii="Arial" w:eastAsiaTheme="minorHAnsi" w:hAnsi="Arial" w:cs="Arial"/>
          <w:color w:val="000000"/>
          <w:sz w:val="20"/>
          <w:szCs w:val="20"/>
        </w:rPr>
        <w:t>new Account 1508 sub-account for the Rate Year Alignment Revenue Refund</w:t>
      </w:r>
      <w:r>
        <w:rPr>
          <w:rFonts w:ascii="Arial" w:eastAsiaTheme="minorHAnsi" w:hAnsi="Arial" w:cs="Arial"/>
          <w:color w:val="000000"/>
          <w:sz w:val="20"/>
          <w:szCs w:val="20"/>
        </w:rPr>
        <w:t>, effective January 1, 2021 for its Veridian Rate Zone</w:t>
      </w:r>
      <w:r w:rsidR="00612023">
        <w:rPr>
          <w:rFonts w:ascii="Arial" w:eastAsiaTheme="minorHAnsi" w:hAnsi="Arial" w:cs="Arial"/>
          <w:color w:val="000000"/>
          <w:sz w:val="20"/>
          <w:szCs w:val="20"/>
        </w:rPr>
        <w:t>.   Th</w:t>
      </w:r>
      <w:r>
        <w:rPr>
          <w:rFonts w:ascii="Arial" w:eastAsiaTheme="minorHAnsi" w:hAnsi="Arial" w:cs="Arial"/>
          <w:color w:val="000000"/>
          <w:sz w:val="20"/>
          <w:szCs w:val="20"/>
        </w:rPr>
        <w:t xml:space="preserve">is </w:t>
      </w:r>
      <w:r w:rsidR="00612023">
        <w:rPr>
          <w:rFonts w:ascii="Arial" w:eastAsiaTheme="minorHAnsi" w:hAnsi="Arial" w:cs="Arial"/>
          <w:color w:val="000000"/>
          <w:sz w:val="20"/>
          <w:szCs w:val="20"/>
        </w:rPr>
        <w:t xml:space="preserve">sub-account </w:t>
      </w:r>
      <w:r>
        <w:rPr>
          <w:rFonts w:ascii="Arial" w:eastAsiaTheme="minorHAnsi" w:hAnsi="Arial" w:cs="Arial"/>
          <w:color w:val="000000"/>
          <w:sz w:val="20"/>
          <w:szCs w:val="20"/>
        </w:rPr>
        <w:t xml:space="preserve">will record the </w:t>
      </w:r>
      <w:r w:rsidR="00612023">
        <w:rPr>
          <w:rFonts w:ascii="Arial" w:eastAsiaTheme="minorHAnsi" w:hAnsi="Arial" w:cs="Arial"/>
          <w:color w:val="000000"/>
          <w:sz w:val="20"/>
          <w:szCs w:val="20"/>
        </w:rPr>
        <w:t>financial impacts</w:t>
      </w:r>
      <w:r>
        <w:rPr>
          <w:rFonts w:ascii="Arial" w:eastAsiaTheme="minorHAnsi" w:hAnsi="Arial" w:cs="Arial"/>
          <w:color w:val="000000"/>
          <w:sz w:val="20"/>
          <w:szCs w:val="20"/>
        </w:rPr>
        <w:t xml:space="preserve"> from the incremental 2021 distribution rate increase</w:t>
      </w:r>
      <w:r w:rsidR="00612023">
        <w:rPr>
          <w:rFonts w:ascii="Arial" w:eastAsiaTheme="minorHAnsi" w:hAnsi="Arial" w:cs="Arial"/>
          <w:color w:val="000000"/>
          <w:sz w:val="20"/>
          <w:szCs w:val="20"/>
        </w:rPr>
        <w:t xml:space="preserve"> </w:t>
      </w:r>
      <w:r w:rsidR="00A15A55">
        <w:rPr>
          <w:rFonts w:ascii="Arial" w:eastAsiaTheme="minorHAnsi" w:hAnsi="Arial" w:cs="Arial"/>
          <w:color w:val="000000"/>
          <w:sz w:val="20"/>
          <w:szCs w:val="20"/>
        </w:rPr>
        <w:t>for</w:t>
      </w:r>
      <w:r w:rsidR="00612023">
        <w:rPr>
          <w:rFonts w:ascii="Arial" w:eastAsiaTheme="minorHAnsi" w:hAnsi="Arial" w:cs="Arial"/>
          <w:color w:val="000000"/>
          <w:sz w:val="20"/>
          <w:szCs w:val="20"/>
        </w:rPr>
        <w:t xml:space="preserve"> Veridian Rate Zone customers </w:t>
      </w:r>
      <w:r>
        <w:rPr>
          <w:rFonts w:ascii="Arial" w:eastAsiaTheme="minorHAnsi" w:hAnsi="Arial" w:cs="Arial"/>
          <w:color w:val="000000"/>
          <w:sz w:val="20"/>
          <w:szCs w:val="20"/>
        </w:rPr>
        <w:t>from the</w:t>
      </w:r>
      <w:r w:rsidR="00A15A55">
        <w:rPr>
          <w:rFonts w:ascii="Arial" w:eastAsiaTheme="minorHAnsi" w:hAnsi="Arial" w:cs="Arial"/>
          <w:color w:val="000000"/>
          <w:sz w:val="20"/>
          <w:szCs w:val="20"/>
        </w:rPr>
        <w:t xml:space="preserve"> alignment of </w:t>
      </w:r>
      <w:r w:rsidR="004A4725">
        <w:rPr>
          <w:rFonts w:ascii="Arial" w:eastAsiaTheme="minorHAnsi" w:hAnsi="Arial" w:cs="Arial"/>
          <w:color w:val="000000"/>
          <w:sz w:val="20"/>
          <w:szCs w:val="20"/>
        </w:rPr>
        <w:t xml:space="preserve">the </w:t>
      </w:r>
      <w:r w:rsidR="00A15A55">
        <w:rPr>
          <w:rFonts w:ascii="Arial" w:eastAsiaTheme="minorHAnsi" w:hAnsi="Arial" w:cs="Arial"/>
          <w:color w:val="000000"/>
          <w:sz w:val="20"/>
          <w:szCs w:val="20"/>
        </w:rPr>
        <w:t xml:space="preserve">rate year </w:t>
      </w:r>
      <w:r w:rsidR="004A4725">
        <w:rPr>
          <w:rFonts w:ascii="Arial" w:eastAsiaTheme="minorHAnsi" w:hAnsi="Arial" w:cs="Arial"/>
          <w:color w:val="000000"/>
          <w:sz w:val="20"/>
          <w:szCs w:val="20"/>
        </w:rPr>
        <w:t xml:space="preserve">from </w:t>
      </w:r>
      <w:r w:rsidR="00A15A55">
        <w:rPr>
          <w:rFonts w:ascii="Arial" w:eastAsiaTheme="minorHAnsi" w:hAnsi="Arial" w:cs="Arial"/>
          <w:color w:val="000000"/>
          <w:sz w:val="20"/>
          <w:szCs w:val="20"/>
        </w:rPr>
        <w:t>May 1</w:t>
      </w:r>
      <w:r w:rsidR="004A4725">
        <w:rPr>
          <w:rFonts w:ascii="Arial" w:eastAsiaTheme="minorHAnsi" w:hAnsi="Arial" w:cs="Arial"/>
          <w:color w:val="000000"/>
          <w:sz w:val="20"/>
          <w:szCs w:val="20"/>
        </w:rPr>
        <w:t>, 2021</w:t>
      </w:r>
      <w:r w:rsidR="00A15A55">
        <w:rPr>
          <w:rFonts w:ascii="Arial" w:eastAsiaTheme="minorHAnsi" w:hAnsi="Arial" w:cs="Arial"/>
          <w:color w:val="000000"/>
          <w:sz w:val="20"/>
          <w:szCs w:val="20"/>
        </w:rPr>
        <w:t>, to January 1</w:t>
      </w:r>
      <w:r w:rsidR="004A4725">
        <w:rPr>
          <w:rFonts w:ascii="Arial" w:eastAsiaTheme="minorHAnsi" w:hAnsi="Arial" w:cs="Arial"/>
          <w:color w:val="000000"/>
          <w:sz w:val="20"/>
          <w:szCs w:val="20"/>
        </w:rPr>
        <w:t>, 2021</w:t>
      </w:r>
      <w:r w:rsidR="00A15A55">
        <w:rPr>
          <w:rFonts w:ascii="Arial" w:eastAsiaTheme="minorHAnsi" w:hAnsi="Arial" w:cs="Arial"/>
          <w:color w:val="000000"/>
          <w:sz w:val="20"/>
          <w:szCs w:val="20"/>
        </w:rPr>
        <w:t>.</w:t>
      </w:r>
      <w:r>
        <w:rPr>
          <w:rFonts w:ascii="Arial" w:eastAsiaTheme="minorHAnsi" w:hAnsi="Arial" w:cs="Arial"/>
          <w:color w:val="000000"/>
          <w:sz w:val="20"/>
          <w:szCs w:val="20"/>
        </w:rPr>
        <w:t xml:space="preserve">   </w:t>
      </w:r>
      <w:r w:rsidR="00A15A55">
        <w:rPr>
          <w:rFonts w:ascii="Arial" w:eastAsiaTheme="minorHAnsi" w:hAnsi="Arial" w:cs="Arial"/>
          <w:color w:val="000000"/>
          <w:sz w:val="20"/>
          <w:szCs w:val="20"/>
        </w:rPr>
        <w:t xml:space="preserve"> </w:t>
      </w:r>
      <w:r w:rsidR="00A30186">
        <w:rPr>
          <w:rFonts w:ascii="Arial" w:eastAsiaTheme="minorHAnsi" w:hAnsi="Arial" w:cs="Arial"/>
          <w:color w:val="000000"/>
          <w:sz w:val="20"/>
          <w:szCs w:val="20"/>
        </w:rPr>
        <w:t xml:space="preserve">Actual incremental distribution revenues will be recorded in the sub-account as incurred from January 1, 2021 to April 30, 2021.  </w:t>
      </w:r>
      <w:r w:rsidR="00A15A55">
        <w:rPr>
          <w:rFonts w:ascii="Arial" w:eastAsiaTheme="minorHAnsi" w:hAnsi="Arial" w:cs="Arial"/>
          <w:color w:val="000000"/>
          <w:sz w:val="20"/>
          <w:szCs w:val="20"/>
        </w:rPr>
        <w:t xml:space="preserve">  </w:t>
      </w:r>
    </w:p>
    <w:p w:rsidR="004A4725" w:rsidRDefault="004A4725" w:rsidP="00612023">
      <w:pPr>
        <w:autoSpaceDE w:val="0"/>
        <w:autoSpaceDN w:val="0"/>
        <w:adjustRightInd w:val="0"/>
        <w:spacing w:after="0" w:line="360" w:lineRule="auto"/>
        <w:rPr>
          <w:rFonts w:ascii="Arial" w:eastAsiaTheme="minorHAnsi" w:hAnsi="Arial" w:cs="Arial"/>
          <w:color w:val="000000"/>
          <w:sz w:val="20"/>
          <w:szCs w:val="20"/>
        </w:rPr>
      </w:pPr>
    </w:p>
    <w:p w:rsidR="00D450C6" w:rsidRDefault="00612023" w:rsidP="00612023">
      <w:pPr>
        <w:autoSpaceDE w:val="0"/>
        <w:autoSpaceDN w:val="0"/>
        <w:adjustRightInd w:val="0"/>
        <w:spacing w:after="0" w:line="360" w:lineRule="auto"/>
        <w:rPr>
          <w:rFonts w:ascii="Arial" w:eastAsiaTheme="minorHAnsi" w:hAnsi="Arial" w:cs="Arial"/>
          <w:color w:val="000000"/>
          <w:sz w:val="20"/>
          <w:szCs w:val="20"/>
        </w:rPr>
      </w:pPr>
      <w:r w:rsidRPr="006D333C">
        <w:rPr>
          <w:rFonts w:ascii="Arial" w:eastAsiaTheme="minorHAnsi" w:hAnsi="Arial" w:cs="Arial"/>
          <w:color w:val="000000"/>
          <w:sz w:val="20"/>
          <w:szCs w:val="20"/>
        </w:rPr>
        <w:t xml:space="preserve">Upon implementation of the </w:t>
      </w:r>
      <w:r>
        <w:rPr>
          <w:rFonts w:ascii="Arial" w:eastAsiaTheme="minorHAnsi" w:hAnsi="Arial" w:cs="Arial"/>
          <w:color w:val="000000"/>
          <w:sz w:val="20"/>
          <w:szCs w:val="20"/>
        </w:rPr>
        <w:t xml:space="preserve">Rate Year Alignment Rate Riders </w:t>
      </w:r>
      <w:r w:rsidR="00A30186">
        <w:rPr>
          <w:rFonts w:ascii="Arial" w:eastAsiaTheme="minorHAnsi" w:hAnsi="Arial" w:cs="Arial"/>
          <w:color w:val="000000"/>
          <w:sz w:val="20"/>
          <w:szCs w:val="20"/>
        </w:rPr>
        <w:t xml:space="preserve">(effective January 1, 2021 to April 30, 2021) </w:t>
      </w:r>
      <w:r>
        <w:rPr>
          <w:rFonts w:ascii="Arial" w:eastAsiaTheme="minorHAnsi" w:hAnsi="Arial" w:cs="Arial"/>
          <w:color w:val="000000"/>
          <w:sz w:val="20"/>
          <w:szCs w:val="20"/>
        </w:rPr>
        <w:t>th</w:t>
      </w:r>
      <w:r w:rsidRPr="006D333C">
        <w:rPr>
          <w:rFonts w:ascii="Arial" w:eastAsiaTheme="minorHAnsi" w:hAnsi="Arial" w:cs="Arial"/>
          <w:color w:val="000000"/>
          <w:sz w:val="20"/>
          <w:szCs w:val="20"/>
        </w:rPr>
        <w:t xml:space="preserve">at </w:t>
      </w:r>
      <w:r>
        <w:rPr>
          <w:rFonts w:ascii="Arial" w:eastAsiaTheme="minorHAnsi" w:hAnsi="Arial" w:cs="Arial"/>
          <w:color w:val="000000"/>
          <w:sz w:val="20"/>
          <w:szCs w:val="20"/>
        </w:rPr>
        <w:t>are</w:t>
      </w:r>
      <w:r w:rsidRPr="006D333C">
        <w:rPr>
          <w:rFonts w:ascii="Arial" w:eastAsiaTheme="minorHAnsi" w:hAnsi="Arial" w:cs="Arial"/>
          <w:color w:val="000000"/>
          <w:sz w:val="20"/>
          <w:szCs w:val="20"/>
        </w:rPr>
        <w:t xml:space="preserve"> calculated from the </w:t>
      </w:r>
      <w:r>
        <w:rPr>
          <w:rFonts w:ascii="Arial" w:eastAsiaTheme="minorHAnsi" w:hAnsi="Arial" w:cs="Arial"/>
          <w:color w:val="000000"/>
          <w:sz w:val="20"/>
          <w:szCs w:val="20"/>
        </w:rPr>
        <w:t>Rate Year Alignment Rate Rider Model</w:t>
      </w:r>
      <w:r w:rsidRPr="006D333C">
        <w:rPr>
          <w:rFonts w:ascii="Arial" w:eastAsiaTheme="minorHAnsi" w:hAnsi="Arial" w:cs="Arial"/>
          <w:color w:val="000000"/>
          <w:sz w:val="20"/>
          <w:szCs w:val="20"/>
        </w:rPr>
        <w:t xml:space="preserve">, the rate rider transactions will be recorded in the same </w:t>
      </w:r>
      <w:r>
        <w:rPr>
          <w:rFonts w:ascii="Arial" w:eastAsiaTheme="minorHAnsi" w:hAnsi="Arial" w:cs="Arial"/>
          <w:color w:val="000000"/>
          <w:sz w:val="20"/>
          <w:szCs w:val="20"/>
        </w:rPr>
        <w:t>Rate Year Alignment Revenue Refund</w:t>
      </w:r>
      <w:r w:rsidRPr="006D333C">
        <w:rPr>
          <w:rFonts w:ascii="Arial" w:eastAsiaTheme="minorHAnsi" w:hAnsi="Arial" w:cs="Arial"/>
          <w:color w:val="000000"/>
          <w:sz w:val="20"/>
          <w:szCs w:val="20"/>
        </w:rPr>
        <w:t xml:space="preserve"> Sub-account. This will draw down the accumulated balance of </w:t>
      </w:r>
      <w:r>
        <w:rPr>
          <w:rFonts w:ascii="Arial" w:eastAsiaTheme="minorHAnsi" w:hAnsi="Arial" w:cs="Arial"/>
          <w:color w:val="000000"/>
          <w:sz w:val="20"/>
          <w:szCs w:val="20"/>
        </w:rPr>
        <w:t xml:space="preserve">the </w:t>
      </w:r>
      <w:r w:rsidRPr="006D333C">
        <w:rPr>
          <w:rFonts w:ascii="Arial" w:eastAsiaTheme="minorHAnsi" w:hAnsi="Arial" w:cs="Arial"/>
          <w:color w:val="000000"/>
          <w:sz w:val="20"/>
          <w:szCs w:val="20"/>
        </w:rPr>
        <w:t xml:space="preserve">actual </w:t>
      </w:r>
      <w:r>
        <w:rPr>
          <w:rFonts w:ascii="Arial" w:eastAsiaTheme="minorHAnsi" w:hAnsi="Arial" w:cs="Arial"/>
          <w:color w:val="000000"/>
          <w:sz w:val="20"/>
          <w:szCs w:val="20"/>
        </w:rPr>
        <w:t>incremental 2021 distribution rate increase for the period January 1, 2021 to April 30, 2021.</w:t>
      </w:r>
      <w:r w:rsidRPr="006D333C">
        <w:rPr>
          <w:rFonts w:ascii="Arial" w:eastAsiaTheme="minorHAnsi" w:hAnsi="Arial" w:cs="Arial"/>
          <w:color w:val="000000"/>
          <w:sz w:val="20"/>
          <w:szCs w:val="20"/>
        </w:rPr>
        <w:t xml:space="preserve"> </w:t>
      </w:r>
    </w:p>
    <w:p w:rsidR="00D450C6" w:rsidRDefault="00D450C6" w:rsidP="00612023">
      <w:pPr>
        <w:autoSpaceDE w:val="0"/>
        <w:autoSpaceDN w:val="0"/>
        <w:adjustRightInd w:val="0"/>
        <w:spacing w:after="0" w:line="360" w:lineRule="auto"/>
        <w:rPr>
          <w:rFonts w:ascii="Arial" w:eastAsiaTheme="minorHAnsi" w:hAnsi="Arial" w:cs="Arial"/>
          <w:color w:val="000000"/>
          <w:sz w:val="20"/>
          <w:szCs w:val="20"/>
        </w:rPr>
      </w:pPr>
    </w:p>
    <w:p w:rsidR="00612023" w:rsidRPr="006D333C" w:rsidRDefault="00612023" w:rsidP="00612023">
      <w:pPr>
        <w:autoSpaceDE w:val="0"/>
        <w:autoSpaceDN w:val="0"/>
        <w:adjustRightInd w:val="0"/>
        <w:spacing w:after="0" w:line="360" w:lineRule="auto"/>
        <w:rPr>
          <w:rFonts w:ascii="Arial" w:eastAsiaTheme="minorHAnsi" w:hAnsi="Arial" w:cs="Arial"/>
          <w:color w:val="000000"/>
          <w:sz w:val="20"/>
          <w:szCs w:val="20"/>
        </w:rPr>
      </w:pPr>
      <w:r w:rsidRPr="006D333C">
        <w:rPr>
          <w:rFonts w:ascii="Arial" w:eastAsiaTheme="minorHAnsi" w:hAnsi="Arial" w:cs="Arial"/>
          <w:color w:val="000000"/>
          <w:sz w:val="20"/>
          <w:szCs w:val="20"/>
        </w:rPr>
        <w:t xml:space="preserve">Any residual balance after the expiry of the rate riders should be requested for final disposition in a future rate application (cost of service or IRM), once the balance has been audited in accordance with normal deferral and variance account disposition practices. If disposition is approved, the residual balance in the </w:t>
      </w:r>
      <w:r>
        <w:rPr>
          <w:rFonts w:ascii="Arial" w:eastAsiaTheme="minorHAnsi" w:hAnsi="Arial" w:cs="Arial"/>
          <w:color w:val="000000"/>
          <w:sz w:val="20"/>
          <w:szCs w:val="20"/>
        </w:rPr>
        <w:t>Rate Year Alignment Re</w:t>
      </w:r>
      <w:r w:rsidRPr="006D333C">
        <w:rPr>
          <w:rFonts w:ascii="Arial" w:eastAsiaTheme="minorHAnsi" w:hAnsi="Arial" w:cs="Arial"/>
          <w:color w:val="000000"/>
          <w:sz w:val="20"/>
          <w:szCs w:val="20"/>
        </w:rPr>
        <w:t>venue</w:t>
      </w:r>
      <w:r>
        <w:rPr>
          <w:rFonts w:ascii="Arial" w:eastAsiaTheme="minorHAnsi" w:hAnsi="Arial" w:cs="Arial"/>
          <w:color w:val="000000"/>
          <w:sz w:val="20"/>
          <w:szCs w:val="20"/>
        </w:rPr>
        <w:t xml:space="preserve"> Refund</w:t>
      </w:r>
      <w:r w:rsidRPr="006D333C">
        <w:rPr>
          <w:rFonts w:ascii="Arial" w:eastAsiaTheme="minorHAnsi" w:hAnsi="Arial" w:cs="Arial"/>
          <w:color w:val="000000"/>
          <w:sz w:val="20"/>
          <w:szCs w:val="20"/>
        </w:rPr>
        <w:t xml:space="preserve"> Sub-account should be disposed proportionately by customer class and the residual balance will be transferred to Account 1595. </w:t>
      </w:r>
    </w:p>
    <w:p w:rsidR="00612023" w:rsidRPr="00C445FD" w:rsidRDefault="00612023" w:rsidP="00612023">
      <w:pPr>
        <w:adjustRightInd w:val="0"/>
        <w:spacing w:before="240" w:line="360" w:lineRule="auto"/>
        <w:rPr>
          <w:rFonts w:ascii="Arial" w:eastAsiaTheme="minorHAnsi" w:hAnsi="Arial" w:cs="Arial"/>
          <w:color w:val="000000"/>
          <w:sz w:val="20"/>
          <w:szCs w:val="20"/>
        </w:rPr>
      </w:pPr>
      <w:r w:rsidRPr="00C445FD">
        <w:rPr>
          <w:rFonts w:ascii="Arial" w:eastAsiaTheme="minorHAnsi" w:hAnsi="Arial" w:cs="Arial"/>
          <w:color w:val="000000"/>
          <w:sz w:val="20"/>
          <w:szCs w:val="20"/>
        </w:rPr>
        <w:t xml:space="preserve">The </w:t>
      </w:r>
      <w:r>
        <w:rPr>
          <w:rFonts w:ascii="Arial" w:eastAsiaTheme="minorHAnsi" w:hAnsi="Arial" w:cs="Arial"/>
          <w:color w:val="000000"/>
          <w:sz w:val="20"/>
          <w:szCs w:val="20"/>
        </w:rPr>
        <w:t>Rate Year Alignment Rate Rider</w:t>
      </w:r>
      <w:r w:rsidRPr="00C445FD">
        <w:rPr>
          <w:rFonts w:ascii="Arial" w:eastAsiaTheme="minorHAnsi" w:hAnsi="Arial" w:cs="Arial"/>
          <w:color w:val="000000"/>
          <w:sz w:val="20"/>
          <w:szCs w:val="20"/>
        </w:rPr>
        <w:t xml:space="preserve"> Model does not take carrying charges into account when calculating rate riders so as not to complicate the model for an immaterial carrying charge amount. </w:t>
      </w:r>
      <w:r>
        <w:rPr>
          <w:rFonts w:ascii="Arial" w:eastAsiaTheme="minorHAnsi" w:hAnsi="Arial" w:cs="Arial"/>
          <w:color w:val="000000"/>
          <w:sz w:val="20"/>
          <w:szCs w:val="20"/>
        </w:rPr>
        <w:t xml:space="preserve">Carrying charges </w:t>
      </w:r>
      <w:r w:rsidRPr="00C445FD">
        <w:rPr>
          <w:rFonts w:ascii="Arial" w:eastAsiaTheme="minorHAnsi" w:hAnsi="Arial" w:cs="Arial"/>
          <w:color w:val="000000"/>
          <w:sz w:val="20"/>
          <w:szCs w:val="20"/>
        </w:rPr>
        <w:t>will apply to the Rate Year Alignment Revenue Refund Sub-account</w:t>
      </w:r>
      <w:r>
        <w:rPr>
          <w:rFonts w:ascii="Arial" w:eastAsiaTheme="minorHAnsi" w:hAnsi="Arial" w:cs="Arial"/>
          <w:color w:val="000000"/>
          <w:sz w:val="20"/>
          <w:szCs w:val="20"/>
        </w:rPr>
        <w:t xml:space="preserve"> at the OEB’s prescribed interest rates</w:t>
      </w:r>
      <w:r w:rsidRPr="00C445FD">
        <w:rPr>
          <w:rFonts w:ascii="Arial" w:eastAsiaTheme="minorHAnsi" w:hAnsi="Arial" w:cs="Arial"/>
          <w:color w:val="000000"/>
          <w:sz w:val="20"/>
          <w:szCs w:val="20"/>
        </w:rPr>
        <w:t>.</w:t>
      </w:r>
    </w:p>
    <w:p w:rsidR="00612023" w:rsidRPr="002B3D88" w:rsidRDefault="00612023" w:rsidP="00612023">
      <w:pPr>
        <w:adjustRightInd w:val="0"/>
        <w:spacing w:line="360" w:lineRule="auto"/>
        <w:rPr>
          <w:rFonts w:ascii="Arial" w:eastAsiaTheme="minorHAnsi" w:hAnsi="Arial" w:cs="Arial"/>
          <w:color w:val="000000"/>
          <w:sz w:val="20"/>
          <w:szCs w:val="20"/>
        </w:rPr>
      </w:pPr>
      <w:r w:rsidRPr="00C445FD">
        <w:rPr>
          <w:rFonts w:ascii="Arial" w:eastAsiaTheme="minorHAnsi" w:hAnsi="Arial" w:cs="Arial"/>
          <w:color w:val="000000"/>
          <w:sz w:val="20"/>
          <w:szCs w:val="20"/>
        </w:rPr>
        <w:t xml:space="preserve">The accounting method will ensure that the total amount collected from the Rate Year Alignment rate riders will offset the sum of (i) the amount collected from the incremental 2021 </w:t>
      </w:r>
      <w:r>
        <w:rPr>
          <w:rFonts w:ascii="Arial" w:eastAsiaTheme="minorHAnsi" w:hAnsi="Arial" w:cs="Arial"/>
          <w:color w:val="000000"/>
          <w:sz w:val="20"/>
          <w:szCs w:val="20"/>
        </w:rPr>
        <w:t xml:space="preserve">distribution </w:t>
      </w:r>
      <w:r w:rsidRPr="00C445FD">
        <w:rPr>
          <w:rFonts w:ascii="Arial" w:eastAsiaTheme="minorHAnsi" w:hAnsi="Arial" w:cs="Arial"/>
          <w:color w:val="000000"/>
          <w:sz w:val="20"/>
          <w:szCs w:val="20"/>
        </w:rPr>
        <w:t>rate increase for the period January 1, 2021 to April 30, 2021 and the associated carrying charges.  It also ensures that the net journal entries recorded will result in the s</w:t>
      </w:r>
      <w:r>
        <w:rPr>
          <w:rFonts w:ascii="Arial" w:eastAsiaTheme="minorHAnsi" w:hAnsi="Arial" w:cs="Arial"/>
          <w:color w:val="000000"/>
          <w:sz w:val="20"/>
          <w:szCs w:val="20"/>
        </w:rPr>
        <w:t>imilar</w:t>
      </w:r>
      <w:r w:rsidRPr="00C445FD">
        <w:rPr>
          <w:rFonts w:ascii="Arial" w:eastAsiaTheme="minorHAnsi" w:hAnsi="Arial" w:cs="Arial"/>
          <w:color w:val="000000"/>
          <w:sz w:val="20"/>
          <w:szCs w:val="20"/>
        </w:rPr>
        <w:t xml:space="preserve"> revenue balances </w:t>
      </w:r>
      <w:r>
        <w:rPr>
          <w:rFonts w:ascii="Arial" w:eastAsiaTheme="minorHAnsi" w:hAnsi="Arial" w:cs="Arial"/>
          <w:color w:val="000000"/>
          <w:sz w:val="20"/>
          <w:szCs w:val="20"/>
        </w:rPr>
        <w:t>as if</w:t>
      </w:r>
      <w:r w:rsidRPr="00C445FD">
        <w:rPr>
          <w:rFonts w:ascii="Arial" w:eastAsiaTheme="minorHAnsi" w:hAnsi="Arial" w:cs="Arial"/>
          <w:color w:val="000000"/>
          <w:sz w:val="20"/>
          <w:szCs w:val="20"/>
        </w:rPr>
        <w:t xml:space="preserve"> the rate year alignment had not occurred and rate implementation had not been advanced to </w:t>
      </w:r>
      <w:r>
        <w:rPr>
          <w:rFonts w:ascii="Arial" w:eastAsiaTheme="minorHAnsi" w:hAnsi="Arial" w:cs="Arial"/>
          <w:color w:val="000000"/>
          <w:sz w:val="20"/>
          <w:szCs w:val="20"/>
        </w:rPr>
        <w:t xml:space="preserve">align with </w:t>
      </w:r>
      <w:r w:rsidRPr="00C445FD">
        <w:rPr>
          <w:rFonts w:ascii="Arial" w:eastAsiaTheme="minorHAnsi" w:hAnsi="Arial" w:cs="Arial"/>
          <w:color w:val="000000"/>
          <w:sz w:val="20"/>
          <w:szCs w:val="20"/>
        </w:rPr>
        <w:t>January 1, 2021.</w:t>
      </w:r>
      <w:r>
        <w:rPr>
          <w:rFonts w:ascii="Arial" w:eastAsiaTheme="minorHAnsi" w:hAnsi="Arial" w:cs="Arial"/>
          <w:color w:val="000000"/>
          <w:sz w:val="20"/>
          <w:szCs w:val="20"/>
        </w:rPr>
        <w:t xml:space="preserve">  </w:t>
      </w:r>
      <w:r w:rsidRPr="002B3D88">
        <w:rPr>
          <w:rFonts w:ascii="Arial" w:eastAsiaTheme="minorHAnsi" w:hAnsi="Arial" w:cs="Arial"/>
          <w:color w:val="000000"/>
          <w:sz w:val="20"/>
          <w:szCs w:val="20"/>
        </w:rPr>
        <w:t xml:space="preserve"> </w:t>
      </w:r>
    </w:p>
    <w:p w:rsidR="00612023" w:rsidRPr="002B3D88" w:rsidRDefault="00612023" w:rsidP="00612023">
      <w:pPr>
        <w:adjustRightInd w:val="0"/>
        <w:spacing w:before="240" w:line="360" w:lineRule="auto"/>
        <w:rPr>
          <w:rFonts w:ascii="Arial" w:eastAsiaTheme="minorHAnsi" w:hAnsi="Arial" w:cs="Arial"/>
          <w:color w:val="000000"/>
          <w:sz w:val="20"/>
          <w:szCs w:val="20"/>
          <w:u w:val="single"/>
        </w:rPr>
      </w:pPr>
      <w:r w:rsidRPr="002B3D88">
        <w:rPr>
          <w:rFonts w:ascii="Arial" w:eastAsiaTheme="minorHAnsi" w:hAnsi="Arial" w:cs="Arial"/>
          <w:color w:val="000000"/>
          <w:sz w:val="20"/>
          <w:szCs w:val="20"/>
          <w:u w:val="single"/>
        </w:rPr>
        <w:t xml:space="preserve">Sample journal entries to be recorded in the account are: </w:t>
      </w:r>
    </w:p>
    <w:p w:rsidR="00612023" w:rsidRDefault="00612023" w:rsidP="00612023">
      <w:pPr>
        <w:pStyle w:val="ListParagraph"/>
        <w:numPr>
          <w:ilvl w:val="0"/>
          <w:numId w:val="1"/>
        </w:numPr>
        <w:autoSpaceDE w:val="0"/>
        <w:autoSpaceDN w:val="0"/>
        <w:adjustRightInd w:val="0"/>
        <w:spacing w:after="0" w:line="240" w:lineRule="auto"/>
        <w:contextualSpacing w:val="0"/>
        <w:rPr>
          <w:rFonts w:ascii="Arial" w:eastAsiaTheme="minorHAnsi" w:hAnsi="Arial" w:cs="Arial"/>
          <w:color w:val="000000"/>
          <w:sz w:val="20"/>
          <w:szCs w:val="20"/>
        </w:rPr>
      </w:pPr>
      <w:r>
        <w:rPr>
          <w:rFonts w:ascii="Arial" w:eastAsiaTheme="minorHAnsi" w:hAnsi="Arial" w:cs="Arial"/>
          <w:color w:val="000000"/>
          <w:sz w:val="20"/>
          <w:szCs w:val="20"/>
        </w:rPr>
        <w:t xml:space="preserve">DR Account </w:t>
      </w:r>
      <w:r w:rsidRPr="002B3D88">
        <w:rPr>
          <w:rFonts w:ascii="Arial" w:eastAsiaTheme="minorHAnsi" w:hAnsi="Arial" w:cs="Arial"/>
          <w:color w:val="000000"/>
          <w:sz w:val="20"/>
          <w:szCs w:val="20"/>
        </w:rPr>
        <w:t>4</w:t>
      </w:r>
      <w:r>
        <w:rPr>
          <w:rFonts w:ascii="Arial" w:eastAsiaTheme="minorHAnsi" w:hAnsi="Arial" w:cs="Arial"/>
          <w:color w:val="000000"/>
          <w:sz w:val="20"/>
          <w:szCs w:val="20"/>
        </w:rPr>
        <w:t>080</w:t>
      </w:r>
      <w:r w:rsidRPr="002B3D88">
        <w:rPr>
          <w:rFonts w:ascii="Arial" w:eastAsiaTheme="minorHAnsi" w:hAnsi="Arial" w:cs="Arial"/>
          <w:color w:val="000000"/>
          <w:sz w:val="20"/>
          <w:szCs w:val="20"/>
        </w:rPr>
        <w:t xml:space="preserve"> </w:t>
      </w:r>
      <w:r>
        <w:rPr>
          <w:rFonts w:ascii="Arial" w:eastAsiaTheme="minorHAnsi" w:hAnsi="Arial" w:cs="Arial"/>
          <w:color w:val="000000"/>
          <w:sz w:val="20"/>
          <w:szCs w:val="20"/>
        </w:rPr>
        <w:t>Distribution Reve</w:t>
      </w:r>
      <w:r w:rsidRPr="002B3D88">
        <w:rPr>
          <w:rFonts w:ascii="Arial" w:eastAsiaTheme="minorHAnsi" w:hAnsi="Arial" w:cs="Arial"/>
          <w:color w:val="000000"/>
          <w:sz w:val="20"/>
          <w:szCs w:val="20"/>
        </w:rPr>
        <w:t>nue</w:t>
      </w:r>
    </w:p>
    <w:p w:rsidR="00612023" w:rsidRPr="00FC5F6F" w:rsidRDefault="00612023" w:rsidP="00612023">
      <w:pPr>
        <w:pStyle w:val="ListParagraph"/>
        <w:autoSpaceDE w:val="0"/>
        <w:autoSpaceDN w:val="0"/>
        <w:adjustRightInd w:val="0"/>
        <w:spacing w:after="0" w:line="240" w:lineRule="auto"/>
        <w:ind w:left="1440"/>
        <w:contextualSpacing w:val="0"/>
        <w:rPr>
          <w:rFonts w:ascii="Arial" w:eastAsiaTheme="minorHAnsi" w:hAnsi="Arial" w:cs="Arial"/>
          <w:color w:val="000000"/>
          <w:sz w:val="20"/>
          <w:szCs w:val="20"/>
        </w:rPr>
      </w:pPr>
      <w:r w:rsidRPr="00FC5F6F">
        <w:rPr>
          <w:rFonts w:ascii="Arial" w:eastAsiaTheme="minorHAnsi" w:hAnsi="Arial" w:cs="Arial"/>
          <w:color w:val="000000"/>
          <w:sz w:val="20"/>
          <w:szCs w:val="20"/>
        </w:rPr>
        <w:t xml:space="preserve">CR Account 1508 Other Regulatory Assets, Sub-account Rate Year Alignment Revenue Refund - Principal  </w:t>
      </w:r>
    </w:p>
    <w:p w:rsidR="00612023" w:rsidRDefault="00612023" w:rsidP="00612023">
      <w:pPr>
        <w:adjustRightInd w:val="0"/>
        <w:rPr>
          <w:rFonts w:ascii="Arial" w:eastAsiaTheme="minorHAnsi" w:hAnsi="Arial" w:cs="Arial"/>
          <w:b/>
          <w:i/>
          <w:iCs/>
          <w:color w:val="000000"/>
          <w:sz w:val="20"/>
          <w:szCs w:val="20"/>
        </w:rPr>
      </w:pPr>
      <w:r w:rsidRPr="002B3D88">
        <w:rPr>
          <w:rFonts w:ascii="Arial" w:eastAsiaTheme="minorHAnsi" w:hAnsi="Arial" w:cs="Arial"/>
          <w:b/>
          <w:i/>
          <w:iCs/>
          <w:color w:val="000000"/>
          <w:sz w:val="20"/>
          <w:szCs w:val="20"/>
        </w:rPr>
        <w:t xml:space="preserve">To record the </w:t>
      </w:r>
      <w:r>
        <w:rPr>
          <w:rFonts w:ascii="Arial" w:eastAsiaTheme="minorHAnsi" w:hAnsi="Arial" w:cs="Arial"/>
          <w:b/>
          <w:i/>
          <w:iCs/>
          <w:color w:val="000000"/>
          <w:sz w:val="20"/>
          <w:szCs w:val="20"/>
        </w:rPr>
        <w:t>monthly revenue collected from January – April 2021 (billed plus unbilled) associated with the incremental 2021 distribution rate increase</w:t>
      </w:r>
      <w:r w:rsidRPr="002B3D88">
        <w:rPr>
          <w:rFonts w:ascii="Arial" w:eastAsiaTheme="minorHAnsi" w:hAnsi="Arial" w:cs="Arial"/>
          <w:b/>
          <w:i/>
          <w:iCs/>
          <w:color w:val="000000"/>
          <w:sz w:val="20"/>
          <w:szCs w:val="20"/>
        </w:rPr>
        <w:t xml:space="preserve">. </w:t>
      </w:r>
    </w:p>
    <w:p w:rsidR="00612023" w:rsidRPr="001A0DD9" w:rsidRDefault="00612023" w:rsidP="00612023">
      <w:pPr>
        <w:pStyle w:val="ListParagraph"/>
        <w:numPr>
          <w:ilvl w:val="0"/>
          <w:numId w:val="1"/>
        </w:numPr>
        <w:adjustRightInd w:val="0"/>
        <w:rPr>
          <w:rFonts w:ascii="Arial" w:eastAsiaTheme="minorHAnsi" w:hAnsi="Arial" w:cs="Arial"/>
          <w:b/>
          <w:color w:val="000000"/>
          <w:sz w:val="20"/>
          <w:szCs w:val="20"/>
        </w:rPr>
      </w:pPr>
      <w:r>
        <w:rPr>
          <w:rFonts w:ascii="Arial" w:eastAsiaTheme="minorHAnsi" w:hAnsi="Arial" w:cs="Arial"/>
          <w:color w:val="000000"/>
          <w:sz w:val="20"/>
          <w:szCs w:val="20"/>
        </w:rPr>
        <w:lastRenderedPageBreak/>
        <w:t xml:space="preserve">DR </w:t>
      </w:r>
      <w:r w:rsidRPr="00FC5F6F">
        <w:rPr>
          <w:rFonts w:ascii="Arial" w:eastAsiaTheme="minorHAnsi" w:hAnsi="Arial" w:cs="Arial"/>
          <w:color w:val="000000"/>
          <w:sz w:val="20"/>
          <w:szCs w:val="20"/>
        </w:rPr>
        <w:t xml:space="preserve">Account 1508 Other Regulatory Assets, Sub-account Rate Year Alignment Revenue Refund </w:t>
      </w:r>
      <w:r>
        <w:rPr>
          <w:rFonts w:ascii="Arial" w:eastAsiaTheme="minorHAnsi" w:hAnsi="Arial" w:cs="Arial"/>
          <w:color w:val="000000"/>
          <w:sz w:val="20"/>
          <w:szCs w:val="20"/>
        </w:rPr>
        <w:t>–</w:t>
      </w:r>
      <w:r w:rsidRPr="00FC5F6F">
        <w:rPr>
          <w:rFonts w:ascii="Arial" w:eastAsiaTheme="minorHAnsi" w:hAnsi="Arial" w:cs="Arial"/>
          <w:color w:val="000000"/>
          <w:sz w:val="20"/>
          <w:szCs w:val="20"/>
        </w:rPr>
        <w:t xml:space="preserve"> Princip</w:t>
      </w:r>
      <w:r>
        <w:rPr>
          <w:rFonts w:ascii="Arial" w:eastAsiaTheme="minorHAnsi" w:hAnsi="Arial" w:cs="Arial"/>
          <w:color w:val="000000"/>
          <w:sz w:val="20"/>
          <w:szCs w:val="20"/>
        </w:rPr>
        <w:t>al</w:t>
      </w:r>
    </w:p>
    <w:p w:rsidR="00612023" w:rsidRDefault="00612023" w:rsidP="00612023">
      <w:pPr>
        <w:pStyle w:val="ListParagraph"/>
        <w:adjustRightInd w:val="0"/>
        <w:spacing w:after="0"/>
        <w:ind w:left="1440"/>
        <w:rPr>
          <w:rFonts w:ascii="Arial" w:eastAsiaTheme="minorHAnsi" w:hAnsi="Arial" w:cs="Arial"/>
          <w:color w:val="000000"/>
          <w:sz w:val="20"/>
          <w:szCs w:val="20"/>
        </w:rPr>
      </w:pPr>
      <w:r>
        <w:rPr>
          <w:rFonts w:ascii="Arial" w:eastAsiaTheme="minorHAnsi" w:hAnsi="Arial" w:cs="Arial"/>
          <w:color w:val="000000"/>
          <w:sz w:val="20"/>
          <w:szCs w:val="20"/>
        </w:rPr>
        <w:t>CR Account 1100 – Accounts Receivable</w:t>
      </w:r>
    </w:p>
    <w:p w:rsidR="00612023" w:rsidRPr="000F729E" w:rsidRDefault="00612023" w:rsidP="00612023">
      <w:pPr>
        <w:adjustRightInd w:val="0"/>
        <w:spacing w:after="0"/>
        <w:rPr>
          <w:rFonts w:ascii="Arial" w:eastAsiaTheme="minorHAnsi" w:hAnsi="Arial" w:cs="Arial"/>
          <w:b/>
          <w:i/>
          <w:color w:val="000000"/>
          <w:sz w:val="20"/>
          <w:szCs w:val="20"/>
        </w:rPr>
      </w:pPr>
      <w:r w:rsidRPr="000F729E">
        <w:rPr>
          <w:rFonts w:ascii="Arial" w:eastAsiaTheme="minorHAnsi" w:hAnsi="Arial" w:cs="Arial"/>
          <w:b/>
          <w:i/>
          <w:color w:val="000000"/>
          <w:sz w:val="20"/>
          <w:szCs w:val="20"/>
        </w:rPr>
        <w:t>To record rate riders for Rate Year Alignment Revenue Refund to customers</w:t>
      </w:r>
    </w:p>
    <w:p w:rsidR="00612023" w:rsidRPr="001A0DD9" w:rsidRDefault="00612023" w:rsidP="00612023">
      <w:pPr>
        <w:adjustRightInd w:val="0"/>
        <w:rPr>
          <w:rFonts w:ascii="Arial" w:eastAsiaTheme="minorHAnsi" w:hAnsi="Arial" w:cs="Arial"/>
          <w:b/>
          <w:color w:val="000000"/>
          <w:sz w:val="20"/>
          <w:szCs w:val="20"/>
        </w:rPr>
      </w:pPr>
      <w:r w:rsidRPr="001A0DD9">
        <w:rPr>
          <w:rFonts w:ascii="Arial" w:eastAsiaTheme="minorHAnsi" w:hAnsi="Arial" w:cs="Arial"/>
          <w:color w:val="000000"/>
          <w:sz w:val="20"/>
          <w:szCs w:val="20"/>
        </w:rPr>
        <w:t xml:space="preserve">  </w:t>
      </w:r>
    </w:p>
    <w:p w:rsidR="00612023" w:rsidRDefault="00612023" w:rsidP="00612023">
      <w:pPr>
        <w:pStyle w:val="ListParagraph"/>
        <w:numPr>
          <w:ilvl w:val="0"/>
          <w:numId w:val="1"/>
        </w:numPr>
        <w:autoSpaceDE w:val="0"/>
        <w:autoSpaceDN w:val="0"/>
        <w:adjustRightInd w:val="0"/>
        <w:spacing w:after="0" w:line="240" w:lineRule="auto"/>
        <w:contextualSpacing w:val="0"/>
        <w:rPr>
          <w:rFonts w:ascii="Arial" w:eastAsiaTheme="minorHAnsi" w:hAnsi="Arial" w:cs="Arial"/>
          <w:color w:val="000000"/>
          <w:sz w:val="20"/>
          <w:szCs w:val="20"/>
        </w:rPr>
      </w:pPr>
      <w:r>
        <w:rPr>
          <w:rFonts w:ascii="Arial" w:eastAsiaTheme="minorHAnsi" w:hAnsi="Arial" w:cs="Arial"/>
          <w:color w:val="000000"/>
          <w:sz w:val="20"/>
          <w:szCs w:val="20"/>
        </w:rPr>
        <w:t>D</w:t>
      </w:r>
      <w:r w:rsidRPr="002B3D88">
        <w:rPr>
          <w:rFonts w:ascii="Arial" w:eastAsiaTheme="minorHAnsi" w:hAnsi="Arial" w:cs="Arial"/>
          <w:color w:val="000000"/>
          <w:sz w:val="20"/>
          <w:szCs w:val="20"/>
        </w:rPr>
        <w:t>R</w:t>
      </w:r>
      <w:r>
        <w:rPr>
          <w:rFonts w:ascii="Arial" w:eastAsiaTheme="minorHAnsi" w:hAnsi="Arial" w:cs="Arial"/>
          <w:color w:val="000000"/>
          <w:sz w:val="20"/>
          <w:szCs w:val="20"/>
        </w:rPr>
        <w:t>/CR</w:t>
      </w:r>
      <w:r w:rsidRPr="002B3D88">
        <w:rPr>
          <w:rFonts w:ascii="Arial" w:eastAsiaTheme="minorHAnsi" w:hAnsi="Arial" w:cs="Arial"/>
          <w:color w:val="000000"/>
          <w:sz w:val="20"/>
          <w:szCs w:val="20"/>
        </w:rPr>
        <w:t xml:space="preserve"> Account </w:t>
      </w:r>
      <w:r>
        <w:rPr>
          <w:rFonts w:ascii="Arial" w:eastAsiaTheme="minorHAnsi" w:hAnsi="Arial" w:cs="Arial"/>
          <w:color w:val="000000"/>
          <w:sz w:val="20"/>
          <w:szCs w:val="20"/>
        </w:rPr>
        <w:t>6035 Interest Expense/</w:t>
      </w:r>
      <w:r w:rsidRPr="002B3D88">
        <w:rPr>
          <w:rFonts w:ascii="Arial" w:eastAsiaTheme="minorHAnsi" w:hAnsi="Arial" w:cs="Arial"/>
          <w:color w:val="000000"/>
          <w:sz w:val="20"/>
          <w:szCs w:val="20"/>
        </w:rPr>
        <w:t>4405 Interest Income</w:t>
      </w:r>
    </w:p>
    <w:p w:rsidR="00612023" w:rsidRPr="002B3D88" w:rsidRDefault="00612023" w:rsidP="00612023">
      <w:pPr>
        <w:pStyle w:val="ListParagraph"/>
        <w:autoSpaceDE w:val="0"/>
        <w:autoSpaceDN w:val="0"/>
        <w:adjustRightInd w:val="0"/>
        <w:spacing w:after="0" w:line="240" w:lineRule="auto"/>
        <w:ind w:left="1440"/>
        <w:contextualSpacing w:val="0"/>
        <w:rPr>
          <w:rFonts w:ascii="Arial" w:eastAsiaTheme="minorHAnsi" w:hAnsi="Arial" w:cs="Arial"/>
          <w:color w:val="000000"/>
          <w:sz w:val="20"/>
          <w:szCs w:val="20"/>
        </w:rPr>
      </w:pPr>
      <w:r>
        <w:rPr>
          <w:rFonts w:ascii="Arial" w:eastAsiaTheme="minorHAnsi" w:hAnsi="Arial" w:cs="Arial"/>
          <w:color w:val="000000"/>
          <w:sz w:val="20"/>
          <w:szCs w:val="20"/>
        </w:rPr>
        <w:t>C</w:t>
      </w:r>
      <w:r w:rsidRPr="002B3D88">
        <w:rPr>
          <w:rFonts w:ascii="Arial" w:eastAsiaTheme="minorHAnsi" w:hAnsi="Arial" w:cs="Arial"/>
          <w:color w:val="000000"/>
          <w:sz w:val="20"/>
          <w:szCs w:val="20"/>
        </w:rPr>
        <w:t>R</w:t>
      </w:r>
      <w:r>
        <w:rPr>
          <w:rFonts w:ascii="Arial" w:eastAsiaTheme="minorHAnsi" w:hAnsi="Arial" w:cs="Arial"/>
          <w:color w:val="000000"/>
          <w:sz w:val="20"/>
          <w:szCs w:val="20"/>
        </w:rPr>
        <w:t>/DR</w:t>
      </w:r>
      <w:r w:rsidRPr="002B3D88">
        <w:rPr>
          <w:rFonts w:ascii="Arial" w:eastAsiaTheme="minorHAnsi" w:hAnsi="Arial" w:cs="Arial"/>
          <w:color w:val="000000"/>
          <w:sz w:val="20"/>
          <w:szCs w:val="20"/>
        </w:rPr>
        <w:t xml:space="preserve"> Account 1508 Other Regulatory Assets, Sub-Account </w:t>
      </w:r>
      <w:r>
        <w:rPr>
          <w:rFonts w:ascii="Arial" w:eastAsiaTheme="minorHAnsi" w:hAnsi="Arial" w:cs="Arial"/>
          <w:color w:val="000000"/>
          <w:sz w:val="20"/>
          <w:szCs w:val="20"/>
        </w:rPr>
        <w:t xml:space="preserve">Rate Year Alignment Revenue Refund - </w:t>
      </w:r>
      <w:r w:rsidRPr="002B3D88">
        <w:rPr>
          <w:rFonts w:ascii="Arial" w:eastAsiaTheme="minorHAnsi" w:hAnsi="Arial" w:cs="Arial"/>
          <w:color w:val="000000"/>
          <w:sz w:val="20"/>
          <w:szCs w:val="20"/>
        </w:rPr>
        <w:t xml:space="preserve">Carrying Charges </w:t>
      </w:r>
    </w:p>
    <w:p w:rsidR="00612023" w:rsidRPr="000F729E" w:rsidRDefault="00612023" w:rsidP="00612023">
      <w:pPr>
        <w:adjustRightInd w:val="0"/>
        <w:rPr>
          <w:rFonts w:ascii="Arial" w:eastAsia="Arial" w:hAnsi="Arial" w:cs="Arial"/>
          <w:b/>
          <w:i/>
          <w:sz w:val="20"/>
          <w:szCs w:val="20"/>
        </w:rPr>
      </w:pPr>
      <w:r w:rsidRPr="000F729E">
        <w:rPr>
          <w:rFonts w:ascii="Arial" w:eastAsiaTheme="minorHAnsi" w:hAnsi="Arial" w:cs="Arial"/>
          <w:b/>
          <w:i/>
          <w:iCs/>
          <w:color w:val="000000"/>
          <w:sz w:val="20"/>
          <w:szCs w:val="20"/>
        </w:rPr>
        <w:t xml:space="preserve">To record carrying charges on the principal balance in the sub-account </w:t>
      </w:r>
      <w:r w:rsidRPr="000F729E">
        <w:rPr>
          <w:rFonts w:ascii="Arial" w:eastAsiaTheme="minorHAnsi" w:hAnsi="Arial" w:cs="Arial"/>
          <w:b/>
          <w:i/>
          <w:color w:val="000000"/>
          <w:sz w:val="20"/>
          <w:szCs w:val="20"/>
        </w:rPr>
        <w:t>Rate Year Alignment Revenue Refund - Principal</w:t>
      </w:r>
      <w:r w:rsidRPr="000F729E">
        <w:rPr>
          <w:rFonts w:ascii="Arial" w:eastAsiaTheme="minorHAnsi" w:hAnsi="Arial" w:cs="Arial"/>
          <w:b/>
          <w:i/>
          <w:iCs/>
          <w:color w:val="000000"/>
          <w:sz w:val="20"/>
          <w:szCs w:val="20"/>
        </w:rPr>
        <w:t>.</w:t>
      </w:r>
    </w:p>
    <w:p w:rsidR="00690978" w:rsidRDefault="00690978"/>
    <w:sectPr w:rsidR="00690978" w:rsidSect="002A7749">
      <w:headerReference w:type="default" r:id="rId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8C" w:rsidRDefault="00A30186">
      <w:pPr>
        <w:spacing w:after="0" w:line="240" w:lineRule="auto"/>
      </w:pPr>
      <w:r>
        <w:separator/>
      </w:r>
    </w:p>
  </w:endnote>
  <w:endnote w:type="continuationSeparator" w:id="0">
    <w:p w:rsidR="00E10B8C" w:rsidRDefault="00A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8C" w:rsidRDefault="00A30186">
      <w:pPr>
        <w:spacing w:after="0" w:line="240" w:lineRule="auto"/>
      </w:pPr>
      <w:r>
        <w:separator/>
      </w:r>
    </w:p>
  </w:footnote>
  <w:footnote w:type="continuationSeparator" w:id="0">
    <w:p w:rsidR="00E10B8C" w:rsidRDefault="00A30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AF" w:rsidRPr="00650B6A" w:rsidRDefault="00740F61" w:rsidP="00650B6A">
    <w:pPr>
      <w:tabs>
        <w:tab w:val="center" w:pos="4320"/>
        <w:tab w:val="right" w:pos="8640"/>
      </w:tabs>
      <w:spacing w:after="0"/>
      <w:rPr>
        <w:rFonts w:ascii="Arial" w:eastAsia="Calibri" w:hAnsi="Arial" w:cs="Arial"/>
        <w:sz w:val="16"/>
      </w:rPr>
    </w:pPr>
    <w:r>
      <w:rPr>
        <w:rFonts w:ascii="Arial" w:eastAsia="Calibri" w:hAnsi="Arial" w:cs="Arial"/>
        <w:sz w:val="16"/>
      </w:rPr>
      <w:tab/>
    </w:r>
    <w:r>
      <w:rPr>
        <w:rFonts w:ascii="Arial" w:eastAsia="Calibri" w:hAnsi="Arial" w:cs="Arial"/>
        <w:sz w:val="16"/>
      </w:rPr>
      <w:tab/>
      <w:t>Elexicon Energy -Veridian</w:t>
    </w:r>
    <w:r w:rsidRPr="00650B6A">
      <w:rPr>
        <w:rFonts w:ascii="Arial" w:eastAsia="Calibri" w:hAnsi="Arial" w:cs="Arial"/>
        <w:sz w:val="16"/>
      </w:rPr>
      <w:t xml:space="preserve"> Rate Zone </w:t>
    </w:r>
  </w:p>
  <w:p w:rsidR="002B6BAF" w:rsidRPr="00650B6A" w:rsidRDefault="00740F61" w:rsidP="00650B6A">
    <w:pPr>
      <w:tabs>
        <w:tab w:val="center" w:pos="4320"/>
        <w:tab w:val="right" w:pos="8640"/>
      </w:tabs>
      <w:spacing w:after="0"/>
      <w:rPr>
        <w:rFonts w:ascii="Arial" w:eastAsia="Calibri" w:hAnsi="Arial" w:cs="Arial"/>
        <w:sz w:val="16"/>
      </w:rPr>
    </w:pPr>
    <w:r w:rsidRPr="00650B6A">
      <w:rPr>
        <w:rFonts w:ascii="Arial" w:eastAsia="Calibri" w:hAnsi="Arial" w:cs="Arial"/>
        <w:sz w:val="16"/>
      </w:rPr>
      <w:tab/>
    </w:r>
    <w:r w:rsidRPr="00650B6A">
      <w:rPr>
        <w:rFonts w:ascii="Arial" w:eastAsia="Calibri" w:hAnsi="Arial" w:cs="Arial"/>
        <w:sz w:val="16"/>
      </w:rPr>
      <w:tab/>
    </w:r>
    <w:r>
      <w:rPr>
        <w:rFonts w:ascii="Arial" w:eastAsia="Calibri" w:hAnsi="Arial" w:cs="Arial"/>
        <w:sz w:val="16"/>
      </w:rPr>
      <w:t>EB-2020-</w:t>
    </w:r>
    <w:r w:rsidRPr="00650B6A">
      <w:rPr>
        <w:rFonts w:ascii="Arial" w:eastAsia="Calibri" w:hAnsi="Arial" w:cs="Arial"/>
        <w:sz w:val="16"/>
      </w:rPr>
      <w:t>0</w:t>
    </w:r>
    <w:r w:rsidRPr="00365BFD">
      <w:rPr>
        <w:rFonts w:ascii="Arial" w:eastAsia="Calibri" w:hAnsi="Arial" w:cs="Arial"/>
        <w:sz w:val="16"/>
      </w:rPr>
      <w:t>01</w:t>
    </w:r>
    <w:r>
      <w:rPr>
        <w:rFonts w:ascii="Arial" w:eastAsia="Calibri" w:hAnsi="Arial" w:cs="Arial"/>
        <w:sz w:val="16"/>
      </w:rPr>
      <w:t>3</w:t>
    </w:r>
  </w:p>
  <w:p w:rsidR="002B6BAF" w:rsidRPr="00650B6A" w:rsidRDefault="00740F61" w:rsidP="00650B6A">
    <w:pPr>
      <w:tabs>
        <w:tab w:val="center" w:pos="4320"/>
        <w:tab w:val="right" w:pos="8640"/>
      </w:tabs>
      <w:spacing w:after="0"/>
      <w:rPr>
        <w:rFonts w:ascii="Arial" w:eastAsia="Calibri" w:hAnsi="Arial" w:cs="Arial"/>
        <w:sz w:val="16"/>
      </w:rPr>
    </w:pPr>
    <w:r>
      <w:rPr>
        <w:rFonts w:ascii="Arial" w:eastAsia="Calibri" w:hAnsi="Arial" w:cs="Arial"/>
        <w:sz w:val="16"/>
      </w:rPr>
      <w:tab/>
    </w:r>
    <w:r>
      <w:rPr>
        <w:rFonts w:ascii="Arial" w:eastAsia="Calibri" w:hAnsi="Arial" w:cs="Arial"/>
        <w:sz w:val="16"/>
      </w:rPr>
      <w:tab/>
      <w:t>Appendix H</w:t>
    </w:r>
  </w:p>
  <w:p w:rsidR="002B6BAF" w:rsidRPr="00650B6A" w:rsidRDefault="00740F61" w:rsidP="00650B6A">
    <w:pPr>
      <w:tabs>
        <w:tab w:val="center" w:pos="4320"/>
        <w:tab w:val="right" w:pos="8640"/>
      </w:tabs>
      <w:spacing w:after="0"/>
      <w:rPr>
        <w:rFonts w:ascii="Arial" w:eastAsia="Calibri" w:hAnsi="Arial" w:cs="Arial"/>
        <w:sz w:val="16"/>
      </w:rPr>
    </w:pPr>
    <w:r w:rsidRPr="00650B6A">
      <w:rPr>
        <w:rFonts w:ascii="Arial" w:eastAsia="Calibri" w:hAnsi="Arial" w:cs="Arial"/>
        <w:sz w:val="16"/>
      </w:rPr>
      <w:tab/>
    </w:r>
    <w:r w:rsidRPr="00650B6A">
      <w:rPr>
        <w:rFonts w:ascii="Arial" w:eastAsia="Calibri" w:hAnsi="Arial" w:cs="Arial"/>
        <w:sz w:val="16"/>
      </w:rPr>
      <w:tab/>
      <w:t xml:space="preserve">Page </w:t>
    </w:r>
    <w:r w:rsidRPr="00650B6A">
      <w:rPr>
        <w:rFonts w:ascii="Arial" w:eastAsia="Calibri" w:hAnsi="Arial" w:cs="Arial"/>
        <w:sz w:val="16"/>
      </w:rPr>
      <w:fldChar w:fldCharType="begin"/>
    </w:r>
    <w:r w:rsidRPr="00650B6A">
      <w:rPr>
        <w:rFonts w:ascii="Arial" w:eastAsia="Calibri" w:hAnsi="Arial" w:cs="Arial"/>
        <w:sz w:val="16"/>
      </w:rPr>
      <w:instrText xml:space="preserve"> PAGE  \* Arabic  \* MERGEFORMAT </w:instrText>
    </w:r>
    <w:r w:rsidRPr="00650B6A">
      <w:rPr>
        <w:rFonts w:ascii="Arial" w:eastAsia="Calibri" w:hAnsi="Arial" w:cs="Arial"/>
        <w:sz w:val="16"/>
      </w:rPr>
      <w:fldChar w:fldCharType="separate"/>
    </w:r>
    <w:r w:rsidR="009A52D5">
      <w:rPr>
        <w:rFonts w:ascii="Arial" w:eastAsia="Calibri" w:hAnsi="Arial" w:cs="Arial"/>
        <w:noProof/>
        <w:sz w:val="16"/>
      </w:rPr>
      <w:t>1</w:t>
    </w:r>
    <w:r w:rsidRPr="00650B6A">
      <w:rPr>
        <w:rFonts w:ascii="Arial" w:eastAsia="Calibri" w:hAnsi="Arial" w:cs="Arial"/>
        <w:sz w:val="16"/>
      </w:rPr>
      <w:fldChar w:fldCharType="end"/>
    </w:r>
    <w:r w:rsidRPr="00650B6A">
      <w:rPr>
        <w:rFonts w:ascii="Arial" w:eastAsia="Calibri" w:hAnsi="Arial" w:cs="Arial"/>
        <w:sz w:val="16"/>
      </w:rPr>
      <w:t xml:space="preserve"> of </w:t>
    </w:r>
    <w:r w:rsidRPr="00650B6A">
      <w:rPr>
        <w:rFonts w:ascii="Arial" w:eastAsia="Calibri" w:hAnsi="Arial" w:cs="Arial"/>
        <w:sz w:val="16"/>
      </w:rPr>
      <w:fldChar w:fldCharType="begin"/>
    </w:r>
    <w:r w:rsidRPr="00650B6A">
      <w:rPr>
        <w:rFonts w:ascii="Arial" w:eastAsia="Calibri" w:hAnsi="Arial" w:cs="Arial"/>
        <w:sz w:val="16"/>
      </w:rPr>
      <w:instrText xml:space="preserve"> NUMPAGES  \* Arabic  \* MERGEFORMAT </w:instrText>
    </w:r>
    <w:r w:rsidRPr="00650B6A">
      <w:rPr>
        <w:rFonts w:ascii="Arial" w:eastAsia="Calibri" w:hAnsi="Arial" w:cs="Arial"/>
        <w:sz w:val="16"/>
      </w:rPr>
      <w:fldChar w:fldCharType="separate"/>
    </w:r>
    <w:r w:rsidR="009A52D5">
      <w:rPr>
        <w:rFonts w:ascii="Arial" w:eastAsia="Calibri" w:hAnsi="Arial" w:cs="Arial"/>
        <w:noProof/>
        <w:sz w:val="16"/>
      </w:rPr>
      <w:t>2</w:t>
    </w:r>
    <w:r w:rsidRPr="00650B6A">
      <w:rPr>
        <w:rFonts w:ascii="Arial" w:eastAsia="Calibri" w:hAnsi="Arial" w:cs="Arial"/>
        <w:sz w:val="16"/>
      </w:rPr>
      <w:fldChar w:fldCharType="end"/>
    </w:r>
  </w:p>
  <w:p w:rsidR="002B6BAF" w:rsidRPr="00650B6A" w:rsidRDefault="00740F61" w:rsidP="00650B6A">
    <w:pPr>
      <w:tabs>
        <w:tab w:val="center" w:pos="4320"/>
        <w:tab w:val="right" w:pos="8640"/>
      </w:tabs>
      <w:spacing w:after="0" w:line="240" w:lineRule="auto"/>
      <w:jc w:val="right"/>
      <w:rPr>
        <w:rFonts w:ascii="Arial" w:eastAsia="Calibri" w:hAnsi="Arial" w:cs="Arial"/>
        <w:sz w:val="16"/>
      </w:rPr>
    </w:pPr>
    <w:r>
      <w:rPr>
        <w:rFonts w:ascii="Calibri" w:eastAsia="Calibri" w:hAnsi="Calibri" w:cs="Times New Roman"/>
        <w:noProof/>
      </w:rPr>
      <w:drawing>
        <wp:inline distT="0" distB="0" distL="0" distR="0" wp14:anchorId="4C9A2D6C" wp14:editId="51CD66B8">
          <wp:extent cx="5943600" cy="5772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005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5772150"/>
                  </a:xfrm>
                  <a:prstGeom prst="rect">
                    <a:avLst/>
                  </a:prstGeom>
                  <a:noFill/>
                  <a:ln>
                    <a:noFill/>
                  </a:ln>
                </pic:spPr>
              </pic:pic>
            </a:graphicData>
          </a:graphic>
        </wp:inline>
      </w:drawing>
    </w:r>
  </w:p>
  <w:p w:rsidR="002B6BAF" w:rsidRDefault="009A5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61A61"/>
    <w:multiLevelType w:val="hybridMultilevel"/>
    <w:tmpl w:val="C36EF632"/>
    <w:lvl w:ilvl="0" w:tplc="80D60286">
      <w:start w:val="1"/>
      <w:numFmt w:val="decimal"/>
      <w:lvlText w:val="%1)"/>
      <w:lvlJc w:val="left"/>
      <w:pPr>
        <w:ind w:left="720" w:hanging="360"/>
      </w:pPr>
      <w:rPr>
        <w:b w:val="0"/>
      </w:rPr>
    </w:lvl>
    <w:lvl w:ilvl="1" w:tplc="4E44F454">
      <w:start w:val="1"/>
      <w:numFmt w:val="lowerLetter"/>
      <w:lvlText w:val="%2."/>
      <w:lvlJc w:val="left"/>
      <w:pPr>
        <w:ind w:left="1440" w:hanging="360"/>
      </w:pPr>
    </w:lvl>
    <w:lvl w:ilvl="2" w:tplc="BF62CDF6">
      <w:start w:val="1"/>
      <w:numFmt w:val="lowerRoman"/>
      <w:lvlText w:val="%3."/>
      <w:lvlJc w:val="right"/>
      <w:pPr>
        <w:ind w:left="2160" w:hanging="180"/>
      </w:pPr>
    </w:lvl>
    <w:lvl w:ilvl="3" w:tplc="04C2D7CA">
      <w:start w:val="1"/>
      <w:numFmt w:val="decimal"/>
      <w:lvlText w:val="%4."/>
      <w:lvlJc w:val="left"/>
      <w:pPr>
        <w:ind w:left="2880" w:hanging="360"/>
      </w:pPr>
    </w:lvl>
    <w:lvl w:ilvl="4" w:tplc="F4840A12">
      <w:start w:val="1"/>
      <w:numFmt w:val="lowerLetter"/>
      <w:lvlText w:val="%5."/>
      <w:lvlJc w:val="left"/>
      <w:pPr>
        <w:ind w:left="3600" w:hanging="360"/>
      </w:pPr>
    </w:lvl>
    <w:lvl w:ilvl="5" w:tplc="A9FA4BF6">
      <w:start w:val="1"/>
      <w:numFmt w:val="lowerRoman"/>
      <w:lvlText w:val="%6."/>
      <w:lvlJc w:val="right"/>
      <w:pPr>
        <w:ind w:left="4320" w:hanging="180"/>
      </w:pPr>
    </w:lvl>
    <w:lvl w:ilvl="6" w:tplc="7FBA8942">
      <w:start w:val="1"/>
      <w:numFmt w:val="decimal"/>
      <w:lvlText w:val="%7."/>
      <w:lvlJc w:val="left"/>
      <w:pPr>
        <w:ind w:left="5040" w:hanging="360"/>
      </w:pPr>
    </w:lvl>
    <w:lvl w:ilvl="7" w:tplc="342A99AE">
      <w:start w:val="1"/>
      <w:numFmt w:val="lowerLetter"/>
      <w:lvlText w:val="%8."/>
      <w:lvlJc w:val="left"/>
      <w:pPr>
        <w:ind w:left="5760" w:hanging="360"/>
      </w:pPr>
    </w:lvl>
    <w:lvl w:ilvl="8" w:tplc="477A79D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23"/>
    <w:rsid w:val="00481D0A"/>
    <w:rsid w:val="004A4725"/>
    <w:rsid w:val="00612023"/>
    <w:rsid w:val="00690978"/>
    <w:rsid w:val="00740F61"/>
    <w:rsid w:val="009A52D5"/>
    <w:rsid w:val="00A15A55"/>
    <w:rsid w:val="00A30186"/>
    <w:rsid w:val="00CA4954"/>
    <w:rsid w:val="00D450C6"/>
    <w:rsid w:val="00E1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2023"/>
    <w:pPr>
      <w:ind w:left="720"/>
      <w:contextualSpacing/>
    </w:pPr>
  </w:style>
  <w:style w:type="paragraph" w:styleId="Header">
    <w:name w:val="header"/>
    <w:basedOn w:val="Normal"/>
    <w:link w:val="HeaderChar"/>
    <w:uiPriority w:val="99"/>
    <w:unhideWhenUsed/>
    <w:rsid w:val="0061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23"/>
    <w:rPr>
      <w:rFonts w:eastAsiaTheme="minorEastAsia"/>
    </w:rPr>
  </w:style>
  <w:style w:type="character" w:styleId="LineNumber">
    <w:name w:val="line number"/>
    <w:basedOn w:val="DefaultParagraphFont"/>
    <w:uiPriority w:val="99"/>
    <w:semiHidden/>
    <w:unhideWhenUsed/>
    <w:rsid w:val="00612023"/>
  </w:style>
  <w:style w:type="paragraph" w:styleId="BalloonText">
    <w:name w:val="Balloon Text"/>
    <w:basedOn w:val="Normal"/>
    <w:link w:val="BalloonTextChar"/>
    <w:uiPriority w:val="99"/>
    <w:semiHidden/>
    <w:unhideWhenUsed/>
    <w:rsid w:val="00A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A5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2023"/>
    <w:pPr>
      <w:ind w:left="720"/>
      <w:contextualSpacing/>
    </w:pPr>
  </w:style>
  <w:style w:type="paragraph" w:styleId="Header">
    <w:name w:val="header"/>
    <w:basedOn w:val="Normal"/>
    <w:link w:val="HeaderChar"/>
    <w:uiPriority w:val="99"/>
    <w:unhideWhenUsed/>
    <w:rsid w:val="0061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23"/>
    <w:rPr>
      <w:rFonts w:eastAsiaTheme="minorEastAsia"/>
    </w:rPr>
  </w:style>
  <w:style w:type="character" w:styleId="LineNumber">
    <w:name w:val="line number"/>
    <w:basedOn w:val="DefaultParagraphFont"/>
    <w:uiPriority w:val="99"/>
    <w:semiHidden/>
    <w:unhideWhenUsed/>
    <w:rsid w:val="00612023"/>
  </w:style>
  <w:style w:type="paragraph" w:styleId="BalloonText">
    <w:name w:val="Balloon Text"/>
    <w:basedOn w:val="Normal"/>
    <w:link w:val="BalloonTextChar"/>
    <w:uiPriority w:val="99"/>
    <w:semiHidden/>
    <w:unhideWhenUsed/>
    <w:rsid w:val="00A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A5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Reffle</dc:creator>
  <cp:lastModifiedBy>Cindy Perrin</cp:lastModifiedBy>
  <cp:revision>2</cp:revision>
  <dcterms:created xsi:type="dcterms:W3CDTF">2020-11-05T23:00:00Z</dcterms:created>
  <dcterms:modified xsi:type="dcterms:W3CDTF">2020-11-05T23:00:00Z</dcterms:modified>
</cp:coreProperties>
</file>