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A01499" w14:textId="590B1422" w:rsidR="00D61AF9" w:rsidRDefault="00484335" w:rsidP="00804948">
      <w:pPr>
        <w:jc w:val="center"/>
        <w:rPr>
          <w:rFonts w:ascii="Arial" w:hAnsi="Arial" w:cs="Arial"/>
          <w:b/>
          <w:bCs/>
          <w:sz w:val="28"/>
          <w:szCs w:val="28"/>
        </w:rPr>
      </w:pPr>
      <w:r w:rsidRPr="00804948">
        <w:rPr>
          <w:rFonts w:ascii="Arial" w:hAnsi="Arial" w:cs="Arial"/>
          <w:b/>
          <w:bCs/>
          <w:sz w:val="28"/>
          <w:szCs w:val="28"/>
        </w:rPr>
        <w:t>Festival Hydro</w:t>
      </w:r>
      <w:r w:rsidR="00804948">
        <w:rPr>
          <w:rFonts w:ascii="Arial" w:hAnsi="Arial" w:cs="Arial"/>
          <w:b/>
          <w:bCs/>
          <w:sz w:val="28"/>
          <w:szCs w:val="28"/>
        </w:rPr>
        <w:t xml:space="preserve"> Inc. (Festival Hydro)</w:t>
      </w:r>
    </w:p>
    <w:p w14:paraId="26401AA0" w14:textId="12EBB261" w:rsidR="001C53EC" w:rsidRDefault="001C53EC" w:rsidP="001C53EC">
      <w:pPr>
        <w:jc w:val="center"/>
        <w:rPr>
          <w:rFonts w:ascii="Arial" w:hAnsi="Arial" w:cs="Arial"/>
          <w:b/>
          <w:bCs/>
        </w:rPr>
      </w:pPr>
      <w:r>
        <w:rPr>
          <w:rFonts w:ascii="Arial" w:hAnsi="Arial" w:cs="Arial"/>
          <w:b/>
          <w:bCs/>
        </w:rPr>
        <w:t>OEB Staff Questions</w:t>
      </w:r>
      <w:r w:rsidR="00082993">
        <w:rPr>
          <w:rFonts w:ascii="Arial" w:hAnsi="Arial" w:cs="Arial"/>
          <w:b/>
          <w:bCs/>
        </w:rPr>
        <w:t>- Round 2</w:t>
      </w:r>
      <w:r>
        <w:rPr>
          <w:rFonts w:ascii="Arial" w:hAnsi="Arial" w:cs="Arial"/>
          <w:b/>
          <w:bCs/>
        </w:rPr>
        <w:t xml:space="preserve"> </w:t>
      </w:r>
    </w:p>
    <w:p w14:paraId="19103359" w14:textId="2D4E0C71" w:rsidR="00804948" w:rsidRDefault="00804948" w:rsidP="00804948">
      <w:pPr>
        <w:jc w:val="center"/>
        <w:rPr>
          <w:rFonts w:ascii="Arial" w:hAnsi="Arial" w:cs="Arial"/>
          <w:b/>
          <w:bCs/>
        </w:rPr>
      </w:pPr>
      <w:r w:rsidRPr="00804948">
        <w:rPr>
          <w:rFonts w:ascii="Arial" w:hAnsi="Arial" w:cs="Arial"/>
          <w:b/>
          <w:bCs/>
        </w:rPr>
        <w:t>2021 IRM</w:t>
      </w:r>
      <w:r>
        <w:rPr>
          <w:rFonts w:ascii="Arial" w:hAnsi="Arial" w:cs="Arial"/>
          <w:b/>
          <w:bCs/>
        </w:rPr>
        <w:t xml:space="preserve"> Application </w:t>
      </w:r>
    </w:p>
    <w:p w14:paraId="430D1E58" w14:textId="3EC9D14A" w:rsidR="00804948" w:rsidRDefault="00804948" w:rsidP="00804948">
      <w:pPr>
        <w:jc w:val="center"/>
        <w:rPr>
          <w:rFonts w:ascii="Arial" w:hAnsi="Arial" w:cs="Arial"/>
          <w:b/>
          <w:bCs/>
        </w:rPr>
      </w:pPr>
      <w:r>
        <w:rPr>
          <w:rFonts w:ascii="Arial" w:hAnsi="Arial" w:cs="Arial"/>
          <w:b/>
          <w:bCs/>
        </w:rPr>
        <w:t>EB-2020-0022</w:t>
      </w:r>
      <w:r>
        <w:rPr>
          <w:rFonts w:ascii="Arial" w:hAnsi="Arial" w:cs="Arial"/>
          <w:b/>
          <w:bCs/>
        </w:rPr>
        <w:tab/>
      </w:r>
    </w:p>
    <w:p w14:paraId="05D214DA" w14:textId="53F462C4" w:rsidR="00804948" w:rsidRPr="00804948" w:rsidRDefault="00DA7B8B" w:rsidP="001C53EC">
      <w:pPr>
        <w:jc w:val="center"/>
        <w:rPr>
          <w:rFonts w:ascii="Arial" w:hAnsi="Arial" w:cs="Arial"/>
          <w:b/>
          <w:bCs/>
        </w:rPr>
      </w:pPr>
      <w:r>
        <w:rPr>
          <w:rFonts w:ascii="Arial" w:hAnsi="Arial" w:cs="Arial"/>
          <w:b/>
          <w:bCs/>
        </w:rPr>
        <w:t>November 11</w:t>
      </w:r>
      <w:r w:rsidR="00804948" w:rsidRPr="00804948">
        <w:rPr>
          <w:rFonts w:ascii="Arial" w:hAnsi="Arial" w:cs="Arial"/>
          <w:b/>
          <w:bCs/>
          <w:vertAlign w:val="superscript"/>
        </w:rPr>
        <w:t>th</w:t>
      </w:r>
      <w:r w:rsidR="00804948">
        <w:rPr>
          <w:rFonts w:ascii="Arial" w:hAnsi="Arial" w:cs="Arial"/>
          <w:b/>
          <w:bCs/>
        </w:rPr>
        <w:t>, 2020</w:t>
      </w:r>
    </w:p>
    <w:p w14:paraId="6F3F2EDD" w14:textId="2A51C133" w:rsidR="00480594" w:rsidRPr="00480594" w:rsidRDefault="00480594" w:rsidP="00480594">
      <w:pPr>
        <w:autoSpaceDE w:val="0"/>
        <w:autoSpaceDN w:val="0"/>
        <w:adjustRightInd w:val="0"/>
        <w:spacing w:after="0" w:line="240" w:lineRule="auto"/>
        <w:rPr>
          <w:rFonts w:ascii="Arial" w:eastAsia="Times New Roman" w:hAnsi="Arial" w:cs="Arial"/>
          <w:sz w:val="24"/>
          <w:szCs w:val="24"/>
          <w:lang w:val="en-CA"/>
        </w:rPr>
      </w:pPr>
      <w:bookmarkStart w:id="0" w:name="_Hlk55806661"/>
      <w:r w:rsidRPr="00480594">
        <w:rPr>
          <w:rFonts w:ascii="Arial" w:eastAsia="Times New Roman" w:hAnsi="Arial" w:cs="Arial"/>
          <w:sz w:val="24"/>
          <w:szCs w:val="24"/>
          <w:lang w:val="en-CA"/>
        </w:rPr>
        <w:t xml:space="preserve">Please note, </w:t>
      </w:r>
      <w:r w:rsidR="001F76C4">
        <w:rPr>
          <w:rFonts w:ascii="Arial" w:eastAsia="Times New Roman" w:hAnsi="Arial" w:cs="Arial"/>
          <w:sz w:val="24"/>
          <w:szCs w:val="24"/>
          <w:lang w:val="en-CA"/>
        </w:rPr>
        <w:t>Festival Hydro</w:t>
      </w:r>
      <w:r w:rsidRPr="00480594">
        <w:rPr>
          <w:rFonts w:ascii="Arial" w:eastAsia="Times New Roman" w:hAnsi="Arial" w:cs="Arial"/>
          <w:sz w:val="24"/>
          <w:szCs w:val="24"/>
          <w:lang w:val="en-CA"/>
        </w:rPr>
        <w:t xml:space="preserve"> is responsible for ensuring that all documents it files with the OEB, including responses to OEB staff questions and any other supporting documentation, do not include personal information (as that phrase is defined in the </w:t>
      </w:r>
      <w:r w:rsidRPr="00480594">
        <w:rPr>
          <w:rFonts w:ascii="Arial" w:eastAsia="Times New Roman" w:hAnsi="Arial" w:cs="Arial"/>
          <w:i/>
          <w:iCs/>
          <w:sz w:val="24"/>
          <w:szCs w:val="24"/>
          <w:lang w:val="en-CA"/>
        </w:rPr>
        <w:t>Freedom of Information and Protection of Privacy Act</w:t>
      </w:r>
      <w:r w:rsidRPr="00480594">
        <w:rPr>
          <w:rFonts w:ascii="Arial" w:eastAsia="Times New Roman" w:hAnsi="Arial" w:cs="Arial"/>
          <w:sz w:val="24"/>
          <w:szCs w:val="24"/>
          <w:lang w:val="en-CA"/>
        </w:rPr>
        <w:t xml:space="preserve">), unless filed in accordance with rule 9A of the OEB’s </w:t>
      </w:r>
      <w:r w:rsidRPr="00480594">
        <w:rPr>
          <w:rFonts w:ascii="Arial" w:eastAsia="Times New Roman" w:hAnsi="Arial" w:cs="Arial"/>
          <w:i/>
          <w:iCs/>
          <w:sz w:val="24"/>
          <w:szCs w:val="24"/>
          <w:lang w:val="en-CA"/>
        </w:rPr>
        <w:t>Rules of Practice and Procedure</w:t>
      </w:r>
      <w:r w:rsidRPr="00480594">
        <w:rPr>
          <w:rFonts w:ascii="Arial" w:eastAsia="Times New Roman" w:hAnsi="Arial" w:cs="Arial"/>
          <w:sz w:val="24"/>
          <w:szCs w:val="24"/>
          <w:lang w:val="en-CA"/>
        </w:rPr>
        <w:t>.</w:t>
      </w:r>
    </w:p>
    <w:bookmarkEnd w:id="0"/>
    <w:p w14:paraId="367DD374" w14:textId="77777777" w:rsidR="00480594" w:rsidRDefault="00480594" w:rsidP="00B27787">
      <w:pPr>
        <w:rPr>
          <w:rFonts w:ascii="Arial" w:hAnsi="Arial" w:cs="Arial"/>
          <w:color w:val="1F497D"/>
        </w:rPr>
      </w:pPr>
    </w:p>
    <w:p w14:paraId="1442ECC7" w14:textId="590D45B6" w:rsidR="00D61AF9" w:rsidRDefault="00D61AF9" w:rsidP="00D61AF9">
      <w:pPr>
        <w:rPr>
          <w:rFonts w:ascii="Arial" w:hAnsi="Arial" w:cs="Arial"/>
          <w:b/>
          <w:bCs/>
          <w:sz w:val="24"/>
          <w:szCs w:val="24"/>
        </w:rPr>
      </w:pPr>
      <w:r>
        <w:rPr>
          <w:rFonts w:ascii="Arial" w:hAnsi="Arial" w:cs="Arial"/>
          <w:b/>
          <w:bCs/>
          <w:sz w:val="24"/>
          <w:szCs w:val="24"/>
        </w:rPr>
        <w:t>OEB Staff-</w:t>
      </w:r>
      <w:r w:rsidR="007A6F1B">
        <w:rPr>
          <w:rFonts w:ascii="Arial" w:hAnsi="Arial" w:cs="Arial"/>
          <w:b/>
          <w:bCs/>
          <w:sz w:val="24"/>
          <w:szCs w:val="24"/>
        </w:rPr>
        <w:t xml:space="preserve"> 1</w:t>
      </w:r>
      <w:r w:rsidR="001F76C4">
        <w:rPr>
          <w:rFonts w:ascii="Arial" w:hAnsi="Arial" w:cs="Arial"/>
          <w:b/>
          <w:bCs/>
          <w:sz w:val="24"/>
          <w:szCs w:val="24"/>
        </w:rPr>
        <w:t>0</w:t>
      </w:r>
    </w:p>
    <w:p w14:paraId="54BCF6E1" w14:textId="15037560" w:rsidR="00831307" w:rsidRDefault="00D61AF9" w:rsidP="00D61AF9">
      <w:pPr>
        <w:rPr>
          <w:rFonts w:ascii="Arial" w:hAnsi="Arial" w:cs="Arial"/>
          <w:sz w:val="24"/>
          <w:szCs w:val="24"/>
        </w:rPr>
      </w:pPr>
      <w:r>
        <w:rPr>
          <w:rFonts w:ascii="Arial" w:hAnsi="Arial" w:cs="Arial"/>
          <w:b/>
          <w:bCs/>
          <w:sz w:val="24"/>
          <w:szCs w:val="24"/>
        </w:rPr>
        <w:t>Reference:</w:t>
      </w:r>
      <w:r>
        <w:rPr>
          <w:rFonts w:ascii="Arial" w:hAnsi="Arial" w:cs="Arial"/>
          <w:sz w:val="24"/>
          <w:szCs w:val="24"/>
        </w:rPr>
        <w:tab/>
        <w:t>(</w:t>
      </w:r>
      <w:proofErr w:type="spellStart"/>
      <w:r>
        <w:rPr>
          <w:rFonts w:ascii="Arial" w:hAnsi="Arial" w:cs="Arial"/>
          <w:sz w:val="24"/>
          <w:szCs w:val="24"/>
        </w:rPr>
        <w:t>i</w:t>
      </w:r>
      <w:proofErr w:type="spellEnd"/>
      <w:r>
        <w:rPr>
          <w:rFonts w:ascii="Arial" w:hAnsi="Arial" w:cs="Arial"/>
          <w:sz w:val="24"/>
          <w:szCs w:val="24"/>
        </w:rPr>
        <w:t xml:space="preserve">) </w:t>
      </w:r>
      <w:bookmarkStart w:id="1" w:name="_Hlk53756630"/>
      <w:r w:rsidR="00831307" w:rsidRPr="00831307">
        <w:rPr>
          <w:rFonts w:ascii="Arial" w:hAnsi="Arial" w:cs="Arial"/>
          <w:sz w:val="24"/>
          <w:szCs w:val="24"/>
        </w:rPr>
        <w:t>IRM Rate Generator Model</w:t>
      </w:r>
      <w:r w:rsidR="00831307">
        <w:rPr>
          <w:rFonts w:ascii="Arial" w:hAnsi="Arial" w:cs="Arial"/>
          <w:sz w:val="24"/>
          <w:szCs w:val="24"/>
        </w:rPr>
        <w:t xml:space="preserve">, </w:t>
      </w:r>
      <w:r w:rsidR="00831307" w:rsidRPr="00831307">
        <w:rPr>
          <w:rFonts w:ascii="Arial" w:hAnsi="Arial" w:cs="Arial"/>
          <w:sz w:val="24"/>
          <w:szCs w:val="24"/>
        </w:rPr>
        <w:t xml:space="preserve">Tab </w:t>
      </w:r>
      <w:r w:rsidR="00082993">
        <w:rPr>
          <w:rFonts w:ascii="Arial" w:hAnsi="Arial" w:cs="Arial"/>
          <w:sz w:val="24"/>
          <w:szCs w:val="24"/>
        </w:rPr>
        <w:t>4</w:t>
      </w:r>
      <w:r w:rsidR="009D0D8E">
        <w:rPr>
          <w:rFonts w:ascii="Arial" w:hAnsi="Arial" w:cs="Arial"/>
          <w:sz w:val="24"/>
          <w:szCs w:val="24"/>
        </w:rPr>
        <w:t xml:space="preserve">: </w:t>
      </w:r>
      <w:r w:rsidR="00082993">
        <w:rPr>
          <w:rFonts w:ascii="Arial" w:hAnsi="Arial" w:cs="Arial"/>
          <w:sz w:val="24"/>
          <w:szCs w:val="24"/>
        </w:rPr>
        <w:t>Billing Det. for Def-Var</w:t>
      </w:r>
    </w:p>
    <w:p w14:paraId="40BAA510" w14:textId="505A9756" w:rsidR="00252272" w:rsidRDefault="00252272" w:rsidP="00D61AF9">
      <w:pPr>
        <w:rPr>
          <w:rFonts w:ascii="Arial" w:hAnsi="Arial" w:cs="Arial"/>
          <w:sz w:val="24"/>
          <w:szCs w:val="24"/>
        </w:rPr>
      </w:pPr>
      <w:r>
        <w:rPr>
          <w:rFonts w:ascii="Arial" w:hAnsi="Arial" w:cs="Arial"/>
          <w:sz w:val="24"/>
          <w:szCs w:val="24"/>
        </w:rPr>
        <w:tab/>
      </w:r>
      <w:r>
        <w:rPr>
          <w:rFonts w:ascii="Arial" w:hAnsi="Arial" w:cs="Arial"/>
          <w:sz w:val="24"/>
          <w:szCs w:val="24"/>
        </w:rPr>
        <w:tab/>
        <w:t xml:space="preserve">(ii) </w:t>
      </w:r>
      <w:r w:rsidRPr="00831307">
        <w:rPr>
          <w:rFonts w:ascii="Arial" w:hAnsi="Arial" w:cs="Arial"/>
          <w:sz w:val="24"/>
          <w:szCs w:val="24"/>
        </w:rPr>
        <w:t>IRM Rate Generator Model</w:t>
      </w:r>
      <w:r>
        <w:rPr>
          <w:rFonts w:ascii="Arial" w:hAnsi="Arial" w:cs="Arial"/>
          <w:sz w:val="24"/>
          <w:szCs w:val="24"/>
        </w:rPr>
        <w:t xml:space="preserve">, </w:t>
      </w:r>
      <w:r w:rsidRPr="00831307">
        <w:rPr>
          <w:rFonts w:ascii="Arial" w:hAnsi="Arial" w:cs="Arial"/>
          <w:sz w:val="24"/>
          <w:szCs w:val="24"/>
        </w:rPr>
        <w:t xml:space="preserve">Tab </w:t>
      </w:r>
      <w:r>
        <w:rPr>
          <w:rFonts w:ascii="Arial" w:hAnsi="Arial" w:cs="Arial"/>
          <w:sz w:val="24"/>
          <w:szCs w:val="24"/>
        </w:rPr>
        <w:t>6: Class A Consumption Data</w:t>
      </w:r>
    </w:p>
    <w:bookmarkEnd w:id="1"/>
    <w:p w14:paraId="480D2B46" w14:textId="7C57992C" w:rsidR="003E5055" w:rsidRDefault="00D61AF9" w:rsidP="00484335">
      <w:pPr>
        <w:rPr>
          <w:rFonts w:ascii="Arial" w:hAnsi="Arial" w:cs="Arial"/>
          <w:sz w:val="24"/>
          <w:szCs w:val="24"/>
        </w:rPr>
      </w:pPr>
      <w:r>
        <w:rPr>
          <w:rFonts w:ascii="Arial" w:hAnsi="Arial" w:cs="Arial"/>
          <w:sz w:val="24"/>
          <w:szCs w:val="24"/>
        </w:rPr>
        <w:tab/>
      </w:r>
      <w:r>
        <w:rPr>
          <w:rFonts w:ascii="Arial" w:hAnsi="Arial" w:cs="Arial"/>
          <w:sz w:val="24"/>
          <w:szCs w:val="24"/>
        </w:rPr>
        <w:tab/>
        <w:t>(ii</w:t>
      </w:r>
      <w:r w:rsidR="00252272">
        <w:rPr>
          <w:rFonts w:ascii="Arial" w:hAnsi="Arial" w:cs="Arial"/>
          <w:sz w:val="24"/>
          <w:szCs w:val="24"/>
        </w:rPr>
        <w:t>i</w:t>
      </w:r>
      <w:r>
        <w:rPr>
          <w:rFonts w:ascii="Arial" w:hAnsi="Arial" w:cs="Arial"/>
          <w:sz w:val="24"/>
          <w:szCs w:val="24"/>
        </w:rPr>
        <w:t xml:space="preserve">) </w:t>
      </w:r>
      <w:r w:rsidR="00082993">
        <w:rPr>
          <w:rFonts w:ascii="Arial" w:hAnsi="Arial" w:cs="Arial"/>
          <w:sz w:val="24"/>
          <w:szCs w:val="24"/>
        </w:rPr>
        <w:t>Staff Question Response to OEB Staff</w:t>
      </w:r>
      <w:r w:rsidR="000868DA">
        <w:rPr>
          <w:rFonts w:ascii="Arial" w:hAnsi="Arial" w:cs="Arial"/>
          <w:sz w:val="24"/>
          <w:szCs w:val="24"/>
        </w:rPr>
        <w:t>-4</w:t>
      </w:r>
    </w:p>
    <w:p w14:paraId="323AD6E0" w14:textId="77777777" w:rsidR="00D864D7" w:rsidRDefault="00D864D7" w:rsidP="00484335">
      <w:pPr>
        <w:rPr>
          <w:rFonts w:ascii="Arial" w:hAnsi="Arial" w:cs="Arial"/>
          <w:sz w:val="24"/>
          <w:szCs w:val="24"/>
        </w:rPr>
      </w:pPr>
    </w:p>
    <w:p w14:paraId="46CB799C" w14:textId="6D38300E" w:rsidR="000868DA" w:rsidRDefault="000868DA" w:rsidP="00484335">
      <w:pPr>
        <w:rPr>
          <w:rFonts w:ascii="Arial" w:hAnsi="Arial" w:cs="Arial"/>
          <w:sz w:val="24"/>
          <w:szCs w:val="24"/>
        </w:rPr>
      </w:pPr>
      <w:r>
        <w:rPr>
          <w:rFonts w:ascii="Arial" w:hAnsi="Arial" w:cs="Arial"/>
          <w:sz w:val="24"/>
          <w:szCs w:val="24"/>
        </w:rPr>
        <w:t>In response to OEB-Staff 4</w:t>
      </w:r>
      <w:r w:rsidR="008D4C73">
        <w:rPr>
          <w:rFonts w:ascii="Arial" w:hAnsi="Arial" w:cs="Arial"/>
          <w:sz w:val="24"/>
          <w:szCs w:val="24"/>
        </w:rPr>
        <w:t xml:space="preserve">, Festival </w:t>
      </w:r>
      <w:r w:rsidR="00D97E17">
        <w:rPr>
          <w:rFonts w:ascii="Arial" w:hAnsi="Arial" w:cs="Arial"/>
          <w:sz w:val="24"/>
          <w:szCs w:val="24"/>
        </w:rPr>
        <w:t>stated that it has submitted a RRR Revision Request to update the G</w:t>
      </w:r>
      <w:r w:rsidR="00480594">
        <w:rPr>
          <w:rFonts w:ascii="Arial" w:hAnsi="Arial" w:cs="Arial"/>
          <w:sz w:val="24"/>
          <w:szCs w:val="24"/>
        </w:rPr>
        <w:t>S</w:t>
      </w:r>
      <w:r w:rsidR="00D97E17">
        <w:rPr>
          <w:rFonts w:ascii="Arial" w:hAnsi="Arial" w:cs="Arial"/>
          <w:sz w:val="24"/>
          <w:szCs w:val="24"/>
        </w:rPr>
        <w:t xml:space="preserve">&gt;50 and Large Use non-RPP kwh. </w:t>
      </w:r>
      <w:r w:rsidR="00252272">
        <w:rPr>
          <w:rFonts w:ascii="Arial" w:hAnsi="Arial" w:cs="Arial"/>
          <w:sz w:val="24"/>
          <w:szCs w:val="24"/>
        </w:rPr>
        <w:t>Festival further states that those changes impact tab 4 of the 2021 IRM Rate Generator Model but it was unable to make those updates to the model.</w:t>
      </w:r>
    </w:p>
    <w:p w14:paraId="26DF5F5F" w14:textId="3B4F3324" w:rsidR="000868DA" w:rsidRDefault="00252272" w:rsidP="00484335">
      <w:pPr>
        <w:rPr>
          <w:rFonts w:ascii="Arial" w:hAnsi="Arial" w:cs="Arial"/>
          <w:sz w:val="24"/>
          <w:szCs w:val="24"/>
        </w:rPr>
      </w:pPr>
      <w:r>
        <w:rPr>
          <w:noProof/>
        </w:rPr>
        <w:drawing>
          <wp:inline distT="0" distB="0" distL="0" distR="0" wp14:anchorId="6869C64A" wp14:editId="4F5A1218">
            <wp:extent cx="5943600" cy="831963"/>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831963"/>
                    </a:xfrm>
                    <a:prstGeom prst="rect">
                      <a:avLst/>
                    </a:prstGeom>
                  </pic:spPr>
                </pic:pic>
              </a:graphicData>
            </a:graphic>
          </wp:inline>
        </w:drawing>
      </w:r>
    </w:p>
    <w:p w14:paraId="65BBB944" w14:textId="79853B0B" w:rsidR="006E3B95" w:rsidRPr="005E54EF" w:rsidRDefault="006E3B95" w:rsidP="005E54EF">
      <w:pPr>
        <w:ind w:left="360"/>
        <w:rPr>
          <w:rFonts w:ascii="Arial" w:hAnsi="Arial" w:cs="Arial"/>
          <w:sz w:val="24"/>
          <w:szCs w:val="24"/>
        </w:rPr>
      </w:pPr>
      <w:r>
        <w:rPr>
          <w:rFonts w:ascii="Arial" w:hAnsi="Arial" w:cs="Arial"/>
          <w:sz w:val="24"/>
          <w:szCs w:val="24"/>
        </w:rPr>
        <w:t xml:space="preserve">a) Please summarize the changes to be made in the table above, including the consumption data by rate class, </w:t>
      </w:r>
      <w:r w:rsidR="002A74DB">
        <w:rPr>
          <w:rFonts w:ascii="Arial" w:hAnsi="Arial" w:cs="Arial"/>
          <w:sz w:val="24"/>
          <w:szCs w:val="24"/>
        </w:rPr>
        <w:t>that are</w:t>
      </w:r>
      <w:r>
        <w:rPr>
          <w:rFonts w:ascii="Arial" w:hAnsi="Arial" w:cs="Arial"/>
          <w:sz w:val="24"/>
          <w:szCs w:val="24"/>
        </w:rPr>
        <w:t xml:space="preserve"> affected by the RRR Revision Request for OEB staff to update in the model.</w:t>
      </w:r>
    </w:p>
    <w:p w14:paraId="212BA173" w14:textId="57F1A569" w:rsidR="00B07393" w:rsidRDefault="00660691" w:rsidP="005E54EF">
      <w:pPr>
        <w:spacing w:after="0"/>
        <w:ind w:left="360"/>
        <w:rPr>
          <w:rFonts w:ascii="Arial" w:hAnsi="Arial" w:cs="Arial"/>
          <w:color w:val="4472C4" w:themeColor="accent1"/>
          <w:sz w:val="24"/>
          <w:szCs w:val="24"/>
        </w:rPr>
      </w:pPr>
      <w:r>
        <w:rPr>
          <w:rFonts w:ascii="Arial" w:hAnsi="Arial" w:cs="Arial"/>
          <w:color w:val="4472C4" w:themeColor="accent1"/>
          <w:sz w:val="24"/>
          <w:szCs w:val="24"/>
        </w:rPr>
        <w:t>On tab 4 of the rate generator model the following amounts need to be updated with revised RRR submitted by Festival.</w:t>
      </w:r>
    </w:p>
    <w:p w14:paraId="6C639D03" w14:textId="448B5D32" w:rsidR="00660691" w:rsidRDefault="00660691" w:rsidP="005E54EF">
      <w:pPr>
        <w:spacing w:after="0"/>
        <w:ind w:left="360"/>
        <w:rPr>
          <w:rFonts w:ascii="Arial" w:hAnsi="Arial" w:cs="Arial"/>
          <w:color w:val="4472C4" w:themeColor="accent1"/>
          <w:sz w:val="24"/>
          <w:szCs w:val="24"/>
        </w:rPr>
      </w:pPr>
    </w:p>
    <w:p w14:paraId="31833097" w14:textId="61502360" w:rsidR="00660691" w:rsidRPr="00660691" w:rsidRDefault="00660691" w:rsidP="005E54EF">
      <w:pPr>
        <w:spacing w:after="0"/>
        <w:ind w:left="360"/>
        <w:rPr>
          <w:rFonts w:ascii="Arial" w:hAnsi="Arial" w:cs="Arial"/>
          <w:b/>
          <w:bCs/>
          <w:color w:val="4472C4" w:themeColor="accent1"/>
          <w:sz w:val="24"/>
          <w:szCs w:val="24"/>
          <w:u w:val="single"/>
        </w:rPr>
      </w:pPr>
      <w:r w:rsidRPr="00660691">
        <w:rPr>
          <w:rFonts w:ascii="Arial" w:hAnsi="Arial" w:cs="Arial"/>
          <w:b/>
          <w:bCs/>
          <w:color w:val="4472C4" w:themeColor="accent1"/>
          <w:sz w:val="24"/>
          <w:szCs w:val="24"/>
          <w:u w:val="single"/>
        </w:rPr>
        <w:t>Total Metered kWh</w:t>
      </w:r>
    </w:p>
    <w:tbl>
      <w:tblPr>
        <w:tblStyle w:val="TableGrid"/>
        <w:tblW w:w="9175" w:type="dxa"/>
        <w:tblInd w:w="360" w:type="dxa"/>
        <w:tblLook w:val="04A0" w:firstRow="1" w:lastRow="0" w:firstColumn="1" w:lastColumn="0" w:noHBand="0" w:noVBand="1"/>
      </w:tblPr>
      <w:tblGrid>
        <w:gridCol w:w="3685"/>
        <w:gridCol w:w="2700"/>
        <w:gridCol w:w="2790"/>
      </w:tblGrid>
      <w:tr w:rsidR="00660691" w14:paraId="46D33212" w14:textId="77777777" w:rsidTr="00660691">
        <w:tc>
          <w:tcPr>
            <w:tcW w:w="3685" w:type="dxa"/>
          </w:tcPr>
          <w:p w14:paraId="7FA5A922" w14:textId="77777777" w:rsidR="00660691" w:rsidRDefault="00660691" w:rsidP="00660691">
            <w:pPr>
              <w:ind w:left="360"/>
              <w:rPr>
                <w:rFonts w:ascii="Arial" w:hAnsi="Arial" w:cs="Arial"/>
                <w:color w:val="4472C4" w:themeColor="accent1"/>
                <w:sz w:val="24"/>
                <w:szCs w:val="24"/>
              </w:rPr>
            </w:pPr>
          </w:p>
        </w:tc>
        <w:tc>
          <w:tcPr>
            <w:tcW w:w="2700" w:type="dxa"/>
          </w:tcPr>
          <w:p w14:paraId="1156686D" w14:textId="79800944" w:rsidR="00660691" w:rsidRDefault="00660691" w:rsidP="005E54EF">
            <w:pPr>
              <w:rPr>
                <w:rFonts w:ascii="Arial" w:hAnsi="Arial" w:cs="Arial"/>
                <w:color w:val="4472C4" w:themeColor="accent1"/>
                <w:sz w:val="24"/>
                <w:szCs w:val="24"/>
              </w:rPr>
            </w:pPr>
            <w:r>
              <w:rPr>
                <w:rFonts w:ascii="Arial" w:hAnsi="Arial" w:cs="Arial"/>
                <w:color w:val="4472C4" w:themeColor="accent1"/>
                <w:sz w:val="24"/>
                <w:szCs w:val="24"/>
              </w:rPr>
              <w:t>Original RRR Reported</w:t>
            </w:r>
          </w:p>
        </w:tc>
        <w:tc>
          <w:tcPr>
            <w:tcW w:w="2790" w:type="dxa"/>
          </w:tcPr>
          <w:p w14:paraId="3AF0E6CE" w14:textId="47084C47" w:rsidR="00660691" w:rsidRDefault="00660691" w:rsidP="005E54EF">
            <w:pPr>
              <w:rPr>
                <w:rFonts w:ascii="Arial" w:hAnsi="Arial" w:cs="Arial"/>
                <w:color w:val="4472C4" w:themeColor="accent1"/>
                <w:sz w:val="24"/>
                <w:szCs w:val="24"/>
              </w:rPr>
            </w:pPr>
            <w:r>
              <w:rPr>
                <w:rFonts w:ascii="Arial" w:hAnsi="Arial" w:cs="Arial"/>
                <w:color w:val="4472C4" w:themeColor="accent1"/>
                <w:sz w:val="24"/>
                <w:szCs w:val="24"/>
              </w:rPr>
              <w:t>Revised RRR Reported</w:t>
            </w:r>
          </w:p>
        </w:tc>
      </w:tr>
      <w:tr w:rsidR="00660691" w14:paraId="33B587B2" w14:textId="77777777" w:rsidTr="00660691">
        <w:tc>
          <w:tcPr>
            <w:tcW w:w="3685" w:type="dxa"/>
          </w:tcPr>
          <w:p w14:paraId="12CB2A26" w14:textId="2658EB9A" w:rsidR="00660691" w:rsidRDefault="00660691" w:rsidP="00660691">
            <w:pPr>
              <w:jc w:val="both"/>
              <w:rPr>
                <w:rFonts w:ascii="Arial" w:hAnsi="Arial" w:cs="Arial"/>
                <w:color w:val="4472C4" w:themeColor="accent1"/>
                <w:sz w:val="24"/>
                <w:szCs w:val="24"/>
              </w:rPr>
            </w:pPr>
            <w:r>
              <w:rPr>
                <w:rFonts w:ascii="Arial" w:hAnsi="Arial" w:cs="Arial"/>
                <w:color w:val="4472C4" w:themeColor="accent1"/>
                <w:sz w:val="24"/>
                <w:szCs w:val="24"/>
              </w:rPr>
              <w:t>General Service 50 to 4,999 kW Service Classification</w:t>
            </w:r>
          </w:p>
        </w:tc>
        <w:tc>
          <w:tcPr>
            <w:tcW w:w="2700" w:type="dxa"/>
          </w:tcPr>
          <w:p w14:paraId="171CB838" w14:textId="765457B5" w:rsidR="00660691" w:rsidRDefault="00660691" w:rsidP="005E54EF">
            <w:pPr>
              <w:rPr>
                <w:rFonts w:ascii="Arial" w:hAnsi="Arial" w:cs="Arial"/>
                <w:color w:val="4472C4" w:themeColor="accent1"/>
                <w:sz w:val="24"/>
                <w:szCs w:val="24"/>
              </w:rPr>
            </w:pPr>
            <w:r>
              <w:rPr>
                <w:rFonts w:ascii="Arial" w:hAnsi="Arial" w:cs="Arial"/>
                <w:color w:val="4472C4" w:themeColor="accent1"/>
                <w:sz w:val="24"/>
                <w:szCs w:val="24"/>
              </w:rPr>
              <w:t>373,140,804</w:t>
            </w:r>
          </w:p>
        </w:tc>
        <w:tc>
          <w:tcPr>
            <w:tcW w:w="2790" w:type="dxa"/>
          </w:tcPr>
          <w:p w14:paraId="43D3E99A" w14:textId="29B40416" w:rsidR="00660691" w:rsidRDefault="00660691" w:rsidP="005E54EF">
            <w:pPr>
              <w:rPr>
                <w:rFonts w:ascii="Arial" w:hAnsi="Arial" w:cs="Arial"/>
                <w:color w:val="4472C4" w:themeColor="accent1"/>
                <w:sz w:val="24"/>
                <w:szCs w:val="24"/>
              </w:rPr>
            </w:pPr>
            <w:r>
              <w:rPr>
                <w:rFonts w:ascii="Arial" w:hAnsi="Arial" w:cs="Arial"/>
                <w:color w:val="4472C4" w:themeColor="accent1"/>
                <w:sz w:val="24"/>
                <w:szCs w:val="24"/>
              </w:rPr>
              <w:t>379,872,624</w:t>
            </w:r>
          </w:p>
        </w:tc>
      </w:tr>
      <w:tr w:rsidR="00660691" w14:paraId="26438130" w14:textId="77777777" w:rsidTr="00660691">
        <w:tc>
          <w:tcPr>
            <w:tcW w:w="3685" w:type="dxa"/>
          </w:tcPr>
          <w:p w14:paraId="56238DD5" w14:textId="23D51AF1" w:rsidR="00660691" w:rsidRDefault="00660691" w:rsidP="005E54EF">
            <w:pPr>
              <w:rPr>
                <w:rFonts w:ascii="Arial" w:hAnsi="Arial" w:cs="Arial"/>
                <w:color w:val="4472C4" w:themeColor="accent1"/>
                <w:sz w:val="24"/>
                <w:szCs w:val="24"/>
              </w:rPr>
            </w:pPr>
            <w:r>
              <w:rPr>
                <w:rFonts w:ascii="Arial" w:hAnsi="Arial" w:cs="Arial"/>
                <w:color w:val="4472C4" w:themeColor="accent1"/>
                <w:sz w:val="24"/>
                <w:szCs w:val="24"/>
              </w:rPr>
              <w:t>Large Use Service Classification</w:t>
            </w:r>
          </w:p>
        </w:tc>
        <w:tc>
          <w:tcPr>
            <w:tcW w:w="2700" w:type="dxa"/>
          </w:tcPr>
          <w:p w14:paraId="2D04F9E0" w14:textId="3B2F96D5" w:rsidR="00660691" w:rsidRDefault="00660691" w:rsidP="005E54EF">
            <w:pPr>
              <w:rPr>
                <w:rFonts w:ascii="Arial" w:hAnsi="Arial" w:cs="Arial"/>
                <w:color w:val="4472C4" w:themeColor="accent1"/>
                <w:sz w:val="24"/>
                <w:szCs w:val="24"/>
              </w:rPr>
            </w:pPr>
            <w:r>
              <w:rPr>
                <w:rFonts w:ascii="Arial" w:hAnsi="Arial" w:cs="Arial"/>
                <w:color w:val="4472C4" w:themeColor="accent1"/>
                <w:sz w:val="24"/>
                <w:szCs w:val="24"/>
              </w:rPr>
              <w:t>27,987,048</w:t>
            </w:r>
          </w:p>
        </w:tc>
        <w:tc>
          <w:tcPr>
            <w:tcW w:w="2790" w:type="dxa"/>
          </w:tcPr>
          <w:p w14:paraId="32F2C385" w14:textId="73E3A926" w:rsidR="00660691" w:rsidRDefault="00660691" w:rsidP="005E54EF">
            <w:pPr>
              <w:rPr>
                <w:rFonts w:ascii="Arial" w:hAnsi="Arial" w:cs="Arial"/>
                <w:color w:val="4472C4" w:themeColor="accent1"/>
                <w:sz w:val="24"/>
                <w:szCs w:val="24"/>
              </w:rPr>
            </w:pPr>
            <w:r>
              <w:rPr>
                <w:rFonts w:ascii="Arial" w:hAnsi="Arial" w:cs="Arial"/>
                <w:color w:val="4472C4" w:themeColor="accent1"/>
                <w:sz w:val="24"/>
                <w:szCs w:val="24"/>
              </w:rPr>
              <w:t>28,573,717</w:t>
            </w:r>
          </w:p>
        </w:tc>
      </w:tr>
    </w:tbl>
    <w:p w14:paraId="28818B95" w14:textId="545D1213" w:rsidR="00660691" w:rsidRPr="00660691" w:rsidRDefault="00660691" w:rsidP="00660691">
      <w:pPr>
        <w:spacing w:after="0"/>
        <w:ind w:left="360"/>
        <w:rPr>
          <w:rFonts w:ascii="Arial" w:hAnsi="Arial" w:cs="Arial"/>
          <w:b/>
          <w:bCs/>
          <w:color w:val="4472C4" w:themeColor="accent1"/>
          <w:sz w:val="24"/>
          <w:szCs w:val="24"/>
          <w:u w:val="single"/>
        </w:rPr>
      </w:pPr>
      <w:r w:rsidRPr="00660691">
        <w:rPr>
          <w:rFonts w:ascii="Arial" w:hAnsi="Arial" w:cs="Arial"/>
          <w:b/>
          <w:bCs/>
          <w:color w:val="4472C4" w:themeColor="accent1"/>
          <w:sz w:val="24"/>
          <w:szCs w:val="24"/>
          <w:u w:val="single"/>
        </w:rPr>
        <w:lastRenderedPageBreak/>
        <w:t>Metered kWh</w:t>
      </w:r>
      <w:r>
        <w:rPr>
          <w:rFonts w:ascii="Arial" w:hAnsi="Arial" w:cs="Arial"/>
          <w:b/>
          <w:bCs/>
          <w:color w:val="4472C4" w:themeColor="accent1"/>
          <w:sz w:val="24"/>
          <w:szCs w:val="24"/>
          <w:u w:val="single"/>
        </w:rPr>
        <w:t xml:space="preserve"> for Non-RPP Customers (excluding WMP)</w:t>
      </w:r>
    </w:p>
    <w:tbl>
      <w:tblPr>
        <w:tblStyle w:val="TableGrid"/>
        <w:tblW w:w="9175" w:type="dxa"/>
        <w:tblInd w:w="360" w:type="dxa"/>
        <w:tblLook w:val="04A0" w:firstRow="1" w:lastRow="0" w:firstColumn="1" w:lastColumn="0" w:noHBand="0" w:noVBand="1"/>
      </w:tblPr>
      <w:tblGrid>
        <w:gridCol w:w="3685"/>
        <w:gridCol w:w="2700"/>
        <w:gridCol w:w="2790"/>
      </w:tblGrid>
      <w:tr w:rsidR="00660691" w14:paraId="39B9911C" w14:textId="77777777" w:rsidTr="00832338">
        <w:tc>
          <w:tcPr>
            <w:tcW w:w="3685" w:type="dxa"/>
          </w:tcPr>
          <w:p w14:paraId="0CD4AEB2" w14:textId="77777777" w:rsidR="00660691" w:rsidRDefault="00660691" w:rsidP="00832338">
            <w:pPr>
              <w:ind w:left="360"/>
              <w:rPr>
                <w:rFonts w:ascii="Arial" w:hAnsi="Arial" w:cs="Arial"/>
                <w:color w:val="4472C4" w:themeColor="accent1"/>
                <w:sz w:val="24"/>
                <w:szCs w:val="24"/>
              </w:rPr>
            </w:pPr>
          </w:p>
        </w:tc>
        <w:tc>
          <w:tcPr>
            <w:tcW w:w="2700" w:type="dxa"/>
          </w:tcPr>
          <w:p w14:paraId="563E94CA" w14:textId="77777777" w:rsidR="00660691" w:rsidRDefault="00660691" w:rsidP="00832338">
            <w:pPr>
              <w:rPr>
                <w:rFonts w:ascii="Arial" w:hAnsi="Arial" w:cs="Arial"/>
                <w:color w:val="4472C4" w:themeColor="accent1"/>
                <w:sz w:val="24"/>
                <w:szCs w:val="24"/>
              </w:rPr>
            </w:pPr>
            <w:r>
              <w:rPr>
                <w:rFonts w:ascii="Arial" w:hAnsi="Arial" w:cs="Arial"/>
                <w:color w:val="4472C4" w:themeColor="accent1"/>
                <w:sz w:val="24"/>
                <w:szCs w:val="24"/>
              </w:rPr>
              <w:t>Original RRR Reported</w:t>
            </w:r>
          </w:p>
        </w:tc>
        <w:tc>
          <w:tcPr>
            <w:tcW w:w="2790" w:type="dxa"/>
          </w:tcPr>
          <w:p w14:paraId="39DEF714" w14:textId="77777777" w:rsidR="00660691" w:rsidRDefault="00660691" w:rsidP="00832338">
            <w:pPr>
              <w:rPr>
                <w:rFonts w:ascii="Arial" w:hAnsi="Arial" w:cs="Arial"/>
                <w:color w:val="4472C4" w:themeColor="accent1"/>
                <w:sz w:val="24"/>
                <w:szCs w:val="24"/>
              </w:rPr>
            </w:pPr>
            <w:r>
              <w:rPr>
                <w:rFonts w:ascii="Arial" w:hAnsi="Arial" w:cs="Arial"/>
                <w:color w:val="4472C4" w:themeColor="accent1"/>
                <w:sz w:val="24"/>
                <w:szCs w:val="24"/>
              </w:rPr>
              <w:t>Revised RRR Reported</w:t>
            </w:r>
          </w:p>
        </w:tc>
      </w:tr>
      <w:tr w:rsidR="00660691" w14:paraId="7B2B6EFA" w14:textId="77777777" w:rsidTr="00832338">
        <w:tc>
          <w:tcPr>
            <w:tcW w:w="3685" w:type="dxa"/>
          </w:tcPr>
          <w:p w14:paraId="1F00A6A8" w14:textId="77777777" w:rsidR="00660691" w:rsidRDefault="00660691" w:rsidP="00832338">
            <w:pPr>
              <w:jc w:val="both"/>
              <w:rPr>
                <w:rFonts w:ascii="Arial" w:hAnsi="Arial" w:cs="Arial"/>
                <w:color w:val="4472C4" w:themeColor="accent1"/>
                <w:sz w:val="24"/>
                <w:szCs w:val="24"/>
              </w:rPr>
            </w:pPr>
            <w:r>
              <w:rPr>
                <w:rFonts w:ascii="Arial" w:hAnsi="Arial" w:cs="Arial"/>
                <w:color w:val="4472C4" w:themeColor="accent1"/>
                <w:sz w:val="24"/>
                <w:szCs w:val="24"/>
              </w:rPr>
              <w:t>General Service 50 to 4,999 kW Service Classification</w:t>
            </w:r>
          </w:p>
        </w:tc>
        <w:tc>
          <w:tcPr>
            <w:tcW w:w="2700" w:type="dxa"/>
          </w:tcPr>
          <w:p w14:paraId="77063972" w14:textId="3ECA1FC4" w:rsidR="00660691" w:rsidRDefault="00660691" w:rsidP="00832338">
            <w:pPr>
              <w:rPr>
                <w:rFonts w:ascii="Arial" w:hAnsi="Arial" w:cs="Arial"/>
                <w:color w:val="4472C4" w:themeColor="accent1"/>
                <w:sz w:val="24"/>
                <w:szCs w:val="24"/>
              </w:rPr>
            </w:pPr>
            <w:r>
              <w:rPr>
                <w:rFonts w:ascii="Arial" w:hAnsi="Arial" w:cs="Arial"/>
                <w:color w:val="4472C4" w:themeColor="accent1"/>
                <w:sz w:val="24"/>
                <w:szCs w:val="24"/>
              </w:rPr>
              <w:t>3</w:t>
            </w:r>
            <w:r>
              <w:rPr>
                <w:rFonts w:ascii="Arial" w:hAnsi="Arial" w:cs="Arial"/>
                <w:color w:val="4472C4" w:themeColor="accent1"/>
                <w:sz w:val="24"/>
                <w:szCs w:val="24"/>
              </w:rPr>
              <w:t>53,960,503</w:t>
            </w:r>
          </w:p>
        </w:tc>
        <w:tc>
          <w:tcPr>
            <w:tcW w:w="2790" w:type="dxa"/>
          </w:tcPr>
          <w:p w14:paraId="44D6B004" w14:textId="6863A382" w:rsidR="00660691" w:rsidRDefault="00660691" w:rsidP="00832338">
            <w:pPr>
              <w:rPr>
                <w:rFonts w:ascii="Arial" w:hAnsi="Arial" w:cs="Arial"/>
                <w:color w:val="4472C4" w:themeColor="accent1"/>
                <w:sz w:val="24"/>
                <w:szCs w:val="24"/>
              </w:rPr>
            </w:pPr>
            <w:r>
              <w:rPr>
                <w:rFonts w:ascii="Arial" w:hAnsi="Arial" w:cs="Arial"/>
                <w:color w:val="4472C4" w:themeColor="accent1"/>
                <w:sz w:val="24"/>
                <w:szCs w:val="24"/>
              </w:rPr>
              <w:t>3</w:t>
            </w:r>
            <w:r w:rsidR="00B24138">
              <w:rPr>
                <w:rFonts w:ascii="Arial" w:hAnsi="Arial" w:cs="Arial"/>
                <w:color w:val="4472C4" w:themeColor="accent1"/>
                <w:sz w:val="24"/>
                <w:szCs w:val="24"/>
              </w:rPr>
              <w:t>60,692,322</w:t>
            </w:r>
          </w:p>
        </w:tc>
      </w:tr>
      <w:tr w:rsidR="00660691" w14:paraId="21239D46" w14:textId="77777777" w:rsidTr="00832338">
        <w:tc>
          <w:tcPr>
            <w:tcW w:w="3685" w:type="dxa"/>
          </w:tcPr>
          <w:p w14:paraId="4C4D71BE" w14:textId="77777777" w:rsidR="00660691" w:rsidRDefault="00660691" w:rsidP="00832338">
            <w:pPr>
              <w:rPr>
                <w:rFonts w:ascii="Arial" w:hAnsi="Arial" w:cs="Arial"/>
                <w:color w:val="4472C4" w:themeColor="accent1"/>
                <w:sz w:val="24"/>
                <w:szCs w:val="24"/>
              </w:rPr>
            </w:pPr>
            <w:r>
              <w:rPr>
                <w:rFonts w:ascii="Arial" w:hAnsi="Arial" w:cs="Arial"/>
                <w:color w:val="4472C4" w:themeColor="accent1"/>
                <w:sz w:val="24"/>
                <w:szCs w:val="24"/>
              </w:rPr>
              <w:t>Large Use Service Classification</w:t>
            </w:r>
          </w:p>
        </w:tc>
        <w:tc>
          <w:tcPr>
            <w:tcW w:w="2700" w:type="dxa"/>
          </w:tcPr>
          <w:p w14:paraId="521168DA" w14:textId="2B55A8AE" w:rsidR="00660691" w:rsidRDefault="00660691" w:rsidP="00832338">
            <w:pPr>
              <w:rPr>
                <w:rFonts w:ascii="Arial" w:hAnsi="Arial" w:cs="Arial"/>
                <w:color w:val="4472C4" w:themeColor="accent1"/>
                <w:sz w:val="24"/>
                <w:szCs w:val="24"/>
              </w:rPr>
            </w:pPr>
            <w:r>
              <w:rPr>
                <w:rFonts w:ascii="Arial" w:hAnsi="Arial" w:cs="Arial"/>
                <w:color w:val="4472C4" w:themeColor="accent1"/>
                <w:sz w:val="24"/>
                <w:szCs w:val="24"/>
              </w:rPr>
              <w:t>27,</w:t>
            </w:r>
            <w:r>
              <w:rPr>
                <w:rFonts w:ascii="Arial" w:hAnsi="Arial" w:cs="Arial"/>
                <w:color w:val="4472C4" w:themeColor="accent1"/>
                <w:sz w:val="24"/>
                <w:szCs w:val="24"/>
              </w:rPr>
              <w:t>158,410</w:t>
            </w:r>
          </w:p>
        </w:tc>
        <w:tc>
          <w:tcPr>
            <w:tcW w:w="2790" w:type="dxa"/>
          </w:tcPr>
          <w:p w14:paraId="00F06371" w14:textId="17DFAC98" w:rsidR="00660691" w:rsidRDefault="00660691" w:rsidP="00832338">
            <w:pPr>
              <w:rPr>
                <w:rFonts w:ascii="Arial" w:hAnsi="Arial" w:cs="Arial"/>
                <w:color w:val="4472C4" w:themeColor="accent1"/>
                <w:sz w:val="24"/>
                <w:szCs w:val="24"/>
              </w:rPr>
            </w:pPr>
            <w:r>
              <w:rPr>
                <w:rFonts w:ascii="Arial" w:hAnsi="Arial" w:cs="Arial"/>
                <w:color w:val="4472C4" w:themeColor="accent1"/>
                <w:sz w:val="24"/>
                <w:szCs w:val="24"/>
              </w:rPr>
              <w:t>2</w:t>
            </w:r>
            <w:r w:rsidR="00B24138">
              <w:rPr>
                <w:rFonts w:ascii="Arial" w:hAnsi="Arial" w:cs="Arial"/>
                <w:color w:val="4472C4" w:themeColor="accent1"/>
                <w:sz w:val="24"/>
                <w:szCs w:val="24"/>
              </w:rPr>
              <w:t>7,745,078</w:t>
            </w:r>
          </w:p>
        </w:tc>
      </w:tr>
    </w:tbl>
    <w:p w14:paraId="11BD5C10" w14:textId="7AECF963" w:rsidR="00660691" w:rsidRDefault="00660691" w:rsidP="005E54EF">
      <w:pPr>
        <w:ind w:left="360"/>
        <w:rPr>
          <w:rFonts w:ascii="Arial" w:hAnsi="Arial" w:cs="Arial"/>
          <w:sz w:val="24"/>
          <w:szCs w:val="24"/>
        </w:rPr>
      </w:pPr>
    </w:p>
    <w:p w14:paraId="702857AD" w14:textId="2BC8E049" w:rsidR="00B24138" w:rsidRPr="00B24138" w:rsidRDefault="00B24138" w:rsidP="005E54EF">
      <w:pPr>
        <w:ind w:left="360"/>
        <w:rPr>
          <w:rFonts w:ascii="Arial" w:hAnsi="Arial" w:cs="Arial"/>
          <w:color w:val="4472C4" w:themeColor="accent1"/>
          <w:sz w:val="24"/>
          <w:szCs w:val="24"/>
        </w:rPr>
      </w:pPr>
      <w:r w:rsidRPr="00B24138">
        <w:rPr>
          <w:rFonts w:ascii="Arial" w:hAnsi="Arial" w:cs="Arial"/>
          <w:color w:val="4472C4" w:themeColor="accent1"/>
          <w:sz w:val="24"/>
          <w:szCs w:val="24"/>
        </w:rPr>
        <w:t xml:space="preserve">Festival has attached an updated version of the rate generator model with updates on tab 4 for the revised 1568 LRAM Variance Account Class Allocation ($ amounts) based on the revised LRAM </w:t>
      </w:r>
      <w:proofErr w:type="spellStart"/>
      <w:r w:rsidRPr="00B24138">
        <w:rPr>
          <w:rFonts w:ascii="Arial" w:hAnsi="Arial" w:cs="Arial"/>
          <w:color w:val="4472C4" w:themeColor="accent1"/>
          <w:sz w:val="24"/>
          <w:szCs w:val="24"/>
        </w:rPr>
        <w:t>workform</w:t>
      </w:r>
      <w:proofErr w:type="spellEnd"/>
      <w:r w:rsidRPr="00B24138">
        <w:rPr>
          <w:rFonts w:ascii="Arial" w:hAnsi="Arial" w:cs="Arial"/>
          <w:color w:val="4472C4" w:themeColor="accent1"/>
          <w:sz w:val="24"/>
          <w:szCs w:val="24"/>
        </w:rPr>
        <w:t xml:space="preserve"> submitted with the OEB initial question responses on Nov 3</w:t>
      </w:r>
      <w:r w:rsidRPr="00B24138">
        <w:rPr>
          <w:rFonts w:ascii="Arial" w:hAnsi="Arial" w:cs="Arial"/>
          <w:color w:val="4472C4" w:themeColor="accent1"/>
          <w:sz w:val="24"/>
          <w:szCs w:val="24"/>
          <w:vertAlign w:val="superscript"/>
        </w:rPr>
        <w:t>rd</w:t>
      </w:r>
      <w:r w:rsidRPr="00B24138">
        <w:rPr>
          <w:rFonts w:ascii="Arial" w:hAnsi="Arial" w:cs="Arial"/>
          <w:color w:val="4472C4" w:themeColor="accent1"/>
          <w:sz w:val="24"/>
          <w:szCs w:val="24"/>
        </w:rPr>
        <w:t xml:space="preserve"> 2020.</w:t>
      </w:r>
    </w:p>
    <w:p w14:paraId="6AC906FE" w14:textId="7203AAD3" w:rsidR="00D61AF9" w:rsidRDefault="006E3B95" w:rsidP="005E54EF">
      <w:pPr>
        <w:ind w:left="360"/>
        <w:rPr>
          <w:rFonts w:ascii="Arial" w:hAnsi="Arial" w:cs="Arial"/>
          <w:sz w:val="24"/>
          <w:szCs w:val="24"/>
        </w:rPr>
      </w:pPr>
      <w:r>
        <w:rPr>
          <w:rFonts w:ascii="Arial" w:hAnsi="Arial" w:cs="Arial"/>
          <w:sz w:val="24"/>
          <w:szCs w:val="24"/>
        </w:rPr>
        <w:t xml:space="preserve">b) </w:t>
      </w:r>
      <w:r w:rsidR="00252272" w:rsidRPr="005E54EF">
        <w:rPr>
          <w:rFonts w:ascii="Arial" w:hAnsi="Arial" w:cs="Arial"/>
          <w:sz w:val="24"/>
          <w:szCs w:val="24"/>
        </w:rPr>
        <w:t xml:space="preserve">Please confirm that no changes need to be made to tab 6 of the </w:t>
      </w:r>
      <w:proofErr w:type="gramStart"/>
      <w:r w:rsidR="00252272" w:rsidRPr="005E54EF">
        <w:rPr>
          <w:rFonts w:ascii="Arial" w:hAnsi="Arial" w:cs="Arial"/>
          <w:sz w:val="24"/>
          <w:szCs w:val="24"/>
        </w:rPr>
        <w:t>model</w:t>
      </w:r>
      <w:proofErr w:type="gramEnd"/>
      <w:r w:rsidR="00480594" w:rsidRPr="005E54EF">
        <w:rPr>
          <w:rFonts w:ascii="Arial" w:hAnsi="Arial" w:cs="Arial"/>
          <w:sz w:val="24"/>
          <w:szCs w:val="24"/>
        </w:rPr>
        <w:t xml:space="preserve"> (</w:t>
      </w:r>
      <w:r w:rsidR="000E54D9" w:rsidRPr="005E54EF">
        <w:rPr>
          <w:rFonts w:ascii="Arial" w:hAnsi="Arial" w:cs="Arial"/>
          <w:sz w:val="24"/>
          <w:szCs w:val="24"/>
        </w:rPr>
        <w:t>c</w:t>
      </w:r>
      <w:r w:rsidR="00480594" w:rsidRPr="005E54EF">
        <w:rPr>
          <w:rFonts w:ascii="Arial" w:hAnsi="Arial" w:cs="Arial"/>
          <w:sz w:val="24"/>
          <w:szCs w:val="24"/>
        </w:rPr>
        <w:t>lass A consumption)</w:t>
      </w:r>
      <w:r w:rsidR="00252272" w:rsidRPr="005E54EF">
        <w:rPr>
          <w:rFonts w:ascii="Arial" w:hAnsi="Arial" w:cs="Arial"/>
          <w:sz w:val="24"/>
          <w:szCs w:val="24"/>
        </w:rPr>
        <w:t xml:space="preserve"> </w:t>
      </w:r>
      <w:r w:rsidR="00C166CE" w:rsidRPr="005E54EF">
        <w:rPr>
          <w:rFonts w:ascii="Arial" w:hAnsi="Arial" w:cs="Arial"/>
          <w:sz w:val="24"/>
          <w:szCs w:val="24"/>
        </w:rPr>
        <w:t>as a result of the</w:t>
      </w:r>
      <w:r w:rsidR="00252272" w:rsidRPr="005E54EF">
        <w:rPr>
          <w:rFonts w:ascii="Arial" w:hAnsi="Arial" w:cs="Arial"/>
          <w:sz w:val="24"/>
          <w:szCs w:val="24"/>
        </w:rPr>
        <w:t xml:space="preserve"> </w:t>
      </w:r>
      <w:r w:rsidR="00C166CE" w:rsidRPr="005E54EF">
        <w:rPr>
          <w:rFonts w:ascii="Arial" w:hAnsi="Arial" w:cs="Arial"/>
          <w:sz w:val="24"/>
          <w:szCs w:val="24"/>
        </w:rPr>
        <w:t>RRR revision.</w:t>
      </w:r>
    </w:p>
    <w:p w14:paraId="0B8CCD4B" w14:textId="50B20B67" w:rsidR="00275580" w:rsidRPr="00275580" w:rsidRDefault="00275580" w:rsidP="005E54EF">
      <w:pPr>
        <w:ind w:left="360"/>
        <w:rPr>
          <w:rFonts w:ascii="Arial" w:hAnsi="Arial" w:cs="Arial"/>
          <w:color w:val="4472C4" w:themeColor="accent1"/>
          <w:sz w:val="24"/>
          <w:szCs w:val="24"/>
        </w:rPr>
      </w:pPr>
      <w:r>
        <w:rPr>
          <w:rFonts w:ascii="Arial" w:hAnsi="Arial" w:cs="Arial"/>
          <w:color w:val="4472C4" w:themeColor="accent1"/>
          <w:sz w:val="24"/>
          <w:szCs w:val="24"/>
        </w:rPr>
        <w:t>Festival confirms there are no changes to tab 6 of the model for Class A consumption.</w:t>
      </w:r>
    </w:p>
    <w:p w14:paraId="78302413" w14:textId="43742D2D" w:rsidR="00642792" w:rsidRPr="00510CA7" w:rsidRDefault="00642792" w:rsidP="00510CA7">
      <w:pPr>
        <w:rPr>
          <w:rFonts w:ascii="Arial" w:hAnsi="Arial" w:cs="Arial"/>
          <w:sz w:val="24"/>
          <w:szCs w:val="24"/>
        </w:rPr>
      </w:pPr>
    </w:p>
    <w:sectPr w:rsidR="00642792" w:rsidRPr="00510CA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857A0B" w14:textId="77777777" w:rsidR="00804948" w:rsidRDefault="00804948" w:rsidP="00804948">
      <w:pPr>
        <w:spacing w:after="0" w:line="240" w:lineRule="auto"/>
      </w:pPr>
      <w:r>
        <w:separator/>
      </w:r>
    </w:p>
  </w:endnote>
  <w:endnote w:type="continuationSeparator" w:id="0">
    <w:p w14:paraId="444D88A9" w14:textId="77777777" w:rsidR="00804948" w:rsidRDefault="00804948" w:rsidP="00804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6FE3A0" w14:textId="77777777" w:rsidR="00804948" w:rsidRDefault="00804948" w:rsidP="00804948">
      <w:pPr>
        <w:spacing w:after="0" w:line="240" w:lineRule="auto"/>
      </w:pPr>
      <w:r>
        <w:separator/>
      </w:r>
    </w:p>
  </w:footnote>
  <w:footnote w:type="continuationSeparator" w:id="0">
    <w:p w14:paraId="02340C3F" w14:textId="77777777" w:rsidR="00804948" w:rsidRDefault="00804948" w:rsidP="008049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FDBBC" w14:textId="381389C4" w:rsidR="00804948" w:rsidRDefault="00804948">
    <w:pPr>
      <w:pStyle w:val="Header"/>
      <w:jc w:val="right"/>
      <w:rPr>
        <w:rFonts w:ascii="Arial" w:hAnsi="Arial" w:cs="Arial"/>
        <w:sz w:val="20"/>
        <w:szCs w:val="20"/>
      </w:rPr>
    </w:pPr>
    <w:r w:rsidRPr="001C53EC">
      <w:rPr>
        <w:rFonts w:ascii="Arial" w:hAnsi="Arial" w:cs="Arial"/>
        <w:sz w:val="20"/>
        <w:szCs w:val="20"/>
      </w:rPr>
      <w:t>Festival Hydro Inc.</w:t>
    </w:r>
  </w:p>
  <w:p w14:paraId="57106105" w14:textId="3E8857DF" w:rsidR="00804948" w:rsidRPr="001C53EC" w:rsidRDefault="00804948">
    <w:pPr>
      <w:pStyle w:val="Header"/>
      <w:jc w:val="right"/>
      <w:rPr>
        <w:rFonts w:ascii="Arial" w:hAnsi="Arial" w:cs="Arial"/>
        <w:sz w:val="20"/>
        <w:szCs w:val="20"/>
      </w:rPr>
    </w:pPr>
    <w:r w:rsidRPr="001C53EC">
      <w:rPr>
        <w:rFonts w:ascii="Arial" w:hAnsi="Arial" w:cs="Arial"/>
        <w:sz w:val="20"/>
        <w:szCs w:val="20"/>
      </w:rPr>
      <w:t>EB-2020-0022</w:t>
    </w:r>
  </w:p>
  <w:sdt>
    <w:sdtPr>
      <w:rPr>
        <w:rFonts w:ascii="Arial" w:hAnsi="Arial" w:cs="Arial"/>
        <w:sz w:val="20"/>
        <w:szCs w:val="20"/>
      </w:rPr>
      <w:id w:val="-1318336367"/>
      <w:docPartObj>
        <w:docPartGallery w:val="Page Numbers (Top of Page)"/>
        <w:docPartUnique/>
      </w:docPartObj>
    </w:sdtPr>
    <w:sdtEndPr/>
    <w:sdtContent>
      <w:p w14:paraId="0D456C7B" w14:textId="3B5F6E1F" w:rsidR="00804948" w:rsidRPr="001C53EC" w:rsidRDefault="00804948">
        <w:pPr>
          <w:pStyle w:val="Header"/>
          <w:jc w:val="right"/>
          <w:rPr>
            <w:rFonts w:ascii="Arial" w:hAnsi="Arial" w:cs="Arial"/>
            <w:sz w:val="20"/>
            <w:szCs w:val="20"/>
          </w:rPr>
        </w:pPr>
        <w:r w:rsidRPr="001C53EC">
          <w:rPr>
            <w:rFonts w:ascii="Arial" w:hAnsi="Arial" w:cs="Arial"/>
            <w:sz w:val="20"/>
            <w:szCs w:val="20"/>
          </w:rPr>
          <w:t xml:space="preserve">Page </w:t>
        </w:r>
        <w:r w:rsidRPr="001C53EC">
          <w:rPr>
            <w:rFonts w:ascii="Arial" w:hAnsi="Arial" w:cs="Arial"/>
            <w:b/>
            <w:bCs/>
            <w:sz w:val="20"/>
            <w:szCs w:val="20"/>
          </w:rPr>
          <w:fldChar w:fldCharType="begin"/>
        </w:r>
        <w:r w:rsidRPr="001C53EC">
          <w:rPr>
            <w:rFonts w:ascii="Arial" w:hAnsi="Arial" w:cs="Arial"/>
            <w:b/>
            <w:bCs/>
            <w:sz w:val="20"/>
            <w:szCs w:val="20"/>
          </w:rPr>
          <w:instrText xml:space="preserve"> PAGE </w:instrText>
        </w:r>
        <w:r w:rsidRPr="001C53EC">
          <w:rPr>
            <w:rFonts w:ascii="Arial" w:hAnsi="Arial" w:cs="Arial"/>
            <w:b/>
            <w:bCs/>
            <w:sz w:val="20"/>
            <w:szCs w:val="20"/>
          </w:rPr>
          <w:fldChar w:fldCharType="separate"/>
        </w:r>
        <w:r w:rsidRPr="001C53EC">
          <w:rPr>
            <w:rFonts w:ascii="Arial" w:hAnsi="Arial" w:cs="Arial"/>
            <w:b/>
            <w:bCs/>
            <w:noProof/>
            <w:sz w:val="20"/>
            <w:szCs w:val="20"/>
          </w:rPr>
          <w:t>2</w:t>
        </w:r>
        <w:r w:rsidRPr="001C53EC">
          <w:rPr>
            <w:rFonts w:ascii="Arial" w:hAnsi="Arial" w:cs="Arial"/>
            <w:b/>
            <w:bCs/>
            <w:sz w:val="20"/>
            <w:szCs w:val="20"/>
          </w:rPr>
          <w:fldChar w:fldCharType="end"/>
        </w:r>
        <w:r w:rsidRPr="001C53EC">
          <w:rPr>
            <w:rFonts w:ascii="Arial" w:hAnsi="Arial" w:cs="Arial"/>
            <w:sz w:val="20"/>
            <w:szCs w:val="20"/>
          </w:rPr>
          <w:t xml:space="preserve"> of </w:t>
        </w:r>
        <w:r w:rsidRPr="001C53EC">
          <w:rPr>
            <w:rFonts w:ascii="Arial" w:hAnsi="Arial" w:cs="Arial"/>
            <w:b/>
            <w:bCs/>
            <w:sz w:val="20"/>
            <w:szCs w:val="20"/>
          </w:rPr>
          <w:fldChar w:fldCharType="begin"/>
        </w:r>
        <w:r w:rsidRPr="001C53EC">
          <w:rPr>
            <w:rFonts w:ascii="Arial" w:hAnsi="Arial" w:cs="Arial"/>
            <w:b/>
            <w:bCs/>
            <w:sz w:val="20"/>
            <w:szCs w:val="20"/>
          </w:rPr>
          <w:instrText xml:space="preserve"> NUMPAGES  </w:instrText>
        </w:r>
        <w:r w:rsidRPr="001C53EC">
          <w:rPr>
            <w:rFonts w:ascii="Arial" w:hAnsi="Arial" w:cs="Arial"/>
            <w:b/>
            <w:bCs/>
            <w:sz w:val="20"/>
            <w:szCs w:val="20"/>
          </w:rPr>
          <w:fldChar w:fldCharType="separate"/>
        </w:r>
        <w:r w:rsidRPr="001C53EC">
          <w:rPr>
            <w:rFonts w:ascii="Arial" w:hAnsi="Arial" w:cs="Arial"/>
            <w:b/>
            <w:bCs/>
            <w:noProof/>
            <w:sz w:val="20"/>
            <w:szCs w:val="20"/>
          </w:rPr>
          <w:t>2</w:t>
        </w:r>
        <w:r w:rsidRPr="001C53EC">
          <w:rPr>
            <w:rFonts w:ascii="Arial" w:hAnsi="Arial" w:cs="Arial"/>
            <w:b/>
            <w:bCs/>
            <w:sz w:val="20"/>
            <w:szCs w:val="20"/>
          </w:rPr>
          <w:fldChar w:fldCharType="end"/>
        </w:r>
      </w:p>
    </w:sdtContent>
  </w:sdt>
  <w:p w14:paraId="7A0B18CB" w14:textId="77777777" w:rsidR="00804948" w:rsidRPr="001C53EC" w:rsidRDefault="00804948" w:rsidP="0080494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D7F60DF"/>
    <w:multiLevelType w:val="hybridMultilevel"/>
    <w:tmpl w:val="2DA42EA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8D3BD9"/>
    <w:multiLevelType w:val="hybridMultilevel"/>
    <w:tmpl w:val="E0CCA602"/>
    <w:lvl w:ilvl="0" w:tplc="2E4454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2251C"/>
    <w:multiLevelType w:val="hybridMultilevel"/>
    <w:tmpl w:val="B68218B0"/>
    <w:lvl w:ilvl="0" w:tplc="5734B6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571C3"/>
    <w:multiLevelType w:val="hybridMultilevel"/>
    <w:tmpl w:val="3AF081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E87EFC"/>
    <w:multiLevelType w:val="hybridMultilevel"/>
    <w:tmpl w:val="96D02E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6355A6"/>
    <w:multiLevelType w:val="hybridMultilevel"/>
    <w:tmpl w:val="5B2286DE"/>
    <w:lvl w:ilvl="0" w:tplc="B680E3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F90324"/>
    <w:multiLevelType w:val="hybridMultilevel"/>
    <w:tmpl w:val="E0DE3C82"/>
    <w:lvl w:ilvl="0" w:tplc="B680E3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161068"/>
    <w:multiLevelType w:val="hybridMultilevel"/>
    <w:tmpl w:val="71E4D5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152A0A"/>
    <w:multiLevelType w:val="hybridMultilevel"/>
    <w:tmpl w:val="646E2B7E"/>
    <w:lvl w:ilvl="0" w:tplc="02DAC458">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9D4376"/>
    <w:multiLevelType w:val="hybridMultilevel"/>
    <w:tmpl w:val="67AEFB1C"/>
    <w:lvl w:ilvl="0" w:tplc="EC809C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08649F"/>
    <w:multiLevelType w:val="hybridMultilevel"/>
    <w:tmpl w:val="6D84F0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A54BA1"/>
    <w:multiLevelType w:val="hybridMultilevel"/>
    <w:tmpl w:val="2CE0E3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CB1A2C"/>
    <w:multiLevelType w:val="hybridMultilevel"/>
    <w:tmpl w:val="14BE3764"/>
    <w:lvl w:ilvl="0" w:tplc="B680E3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2"/>
  </w:num>
  <w:num w:numId="3">
    <w:abstractNumId w:val="6"/>
  </w:num>
  <w:num w:numId="4">
    <w:abstractNumId w:val="5"/>
  </w:num>
  <w:num w:numId="5">
    <w:abstractNumId w:val="2"/>
  </w:num>
  <w:num w:numId="6">
    <w:abstractNumId w:val="0"/>
  </w:num>
  <w:num w:numId="7">
    <w:abstractNumId w:val="3"/>
  </w:num>
  <w:num w:numId="8">
    <w:abstractNumId w:val="10"/>
  </w:num>
  <w:num w:numId="9">
    <w:abstractNumId w:val="8"/>
  </w:num>
  <w:num w:numId="10">
    <w:abstractNumId w:val="7"/>
  </w:num>
  <w:num w:numId="11">
    <w:abstractNumId w:val="11"/>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335"/>
    <w:rsid w:val="00032E14"/>
    <w:rsid w:val="00082993"/>
    <w:rsid w:val="000868DA"/>
    <w:rsid w:val="000B4051"/>
    <w:rsid w:val="000D64E8"/>
    <w:rsid w:val="000E54D9"/>
    <w:rsid w:val="001C53EC"/>
    <w:rsid w:val="001F76C4"/>
    <w:rsid w:val="00252272"/>
    <w:rsid w:val="00275580"/>
    <w:rsid w:val="00277F24"/>
    <w:rsid w:val="002A74DB"/>
    <w:rsid w:val="002B75E5"/>
    <w:rsid w:val="002B7E64"/>
    <w:rsid w:val="002E3F51"/>
    <w:rsid w:val="003522B4"/>
    <w:rsid w:val="00354A58"/>
    <w:rsid w:val="003E45D0"/>
    <w:rsid w:val="003E5055"/>
    <w:rsid w:val="00480594"/>
    <w:rsid w:val="00484335"/>
    <w:rsid w:val="00510CA7"/>
    <w:rsid w:val="00530AAC"/>
    <w:rsid w:val="00531C27"/>
    <w:rsid w:val="005B35A9"/>
    <w:rsid w:val="005C087A"/>
    <w:rsid w:val="005C503E"/>
    <w:rsid w:val="005E54EF"/>
    <w:rsid w:val="00620715"/>
    <w:rsid w:val="00626675"/>
    <w:rsid w:val="00642792"/>
    <w:rsid w:val="00660691"/>
    <w:rsid w:val="00680041"/>
    <w:rsid w:val="0069429D"/>
    <w:rsid w:val="006E3B95"/>
    <w:rsid w:val="007A3C18"/>
    <w:rsid w:val="007A6F1B"/>
    <w:rsid w:val="007A7B8B"/>
    <w:rsid w:val="007C5B44"/>
    <w:rsid w:val="00804948"/>
    <w:rsid w:val="00831307"/>
    <w:rsid w:val="00837897"/>
    <w:rsid w:val="0084231E"/>
    <w:rsid w:val="00875879"/>
    <w:rsid w:val="008D4C73"/>
    <w:rsid w:val="008F72A9"/>
    <w:rsid w:val="00907C18"/>
    <w:rsid w:val="00961656"/>
    <w:rsid w:val="009D0D8E"/>
    <w:rsid w:val="009E1C64"/>
    <w:rsid w:val="00A03771"/>
    <w:rsid w:val="00B07393"/>
    <w:rsid w:val="00B24138"/>
    <w:rsid w:val="00B27787"/>
    <w:rsid w:val="00B71721"/>
    <w:rsid w:val="00BD7667"/>
    <w:rsid w:val="00C05C02"/>
    <w:rsid w:val="00C166CE"/>
    <w:rsid w:val="00C466EB"/>
    <w:rsid w:val="00C565AF"/>
    <w:rsid w:val="00C82C9C"/>
    <w:rsid w:val="00C83354"/>
    <w:rsid w:val="00C9555C"/>
    <w:rsid w:val="00D017D0"/>
    <w:rsid w:val="00D61AF9"/>
    <w:rsid w:val="00D80234"/>
    <w:rsid w:val="00D864D7"/>
    <w:rsid w:val="00D97E17"/>
    <w:rsid w:val="00DA7B8B"/>
    <w:rsid w:val="00DC49D6"/>
    <w:rsid w:val="00E23675"/>
    <w:rsid w:val="00E32265"/>
    <w:rsid w:val="00E52679"/>
    <w:rsid w:val="00F31676"/>
    <w:rsid w:val="00FB6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66135"/>
  <w15:chartTrackingRefBased/>
  <w15:docId w15:val="{7AFB7D7D-84F7-488C-90D4-038AAC5BB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3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4335"/>
    <w:pPr>
      <w:ind w:left="720"/>
      <w:contextualSpacing/>
    </w:pPr>
  </w:style>
  <w:style w:type="character" w:styleId="CommentReference">
    <w:name w:val="annotation reference"/>
    <w:basedOn w:val="DefaultParagraphFont"/>
    <w:uiPriority w:val="99"/>
    <w:semiHidden/>
    <w:unhideWhenUsed/>
    <w:rsid w:val="00484335"/>
    <w:rPr>
      <w:sz w:val="16"/>
      <w:szCs w:val="16"/>
    </w:rPr>
  </w:style>
  <w:style w:type="paragraph" w:styleId="CommentText">
    <w:name w:val="annotation text"/>
    <w:basedOn w:val="Normal"/>
    <w:link w:val="CommentTextChar"/>
    <w:uiPriority w:val="99"/>
    <w:semiHidden/>
    <w:unhideWhenUsed/>
    <w:rsid w:val="00484335"/>
    <w:pPr>
      <w:spacing w:line="240" w:lineRule="auto"/>
    </w:pPr>
    <w:rPr>
      <w:sz w:val="20"/>
      <w:szCs w:val="20"/>
    </w:rPr>
  </w:style>
  <w:style w:type="character" w:customStyle="1" w:styleId="CommentTextChar">
    <w:name w:val="Comment Text Char"/>
    <w:basedOn w:val="DefaultParagraphFont"/>
    <w:link w:val="CommentText"/>
    <w:uiPriority w:val="99"/>
    <w:semiHidden/>
    <w:rsid w:val="00484335"/>
    <w:rPr>
      <w:sz w:val="20"/>
      <w:szCs w:val="20"/>
    </w:rPr>
  </w:style>
  <w:style w:type="paragraph" w:styleId="BalloonText">
    <w:name w:val="Balloon Text"/>
    <w:basedOn w:val="Normal"/>
    <w:link w:val="BalloonTextChar"/>
    <w:uiPriority w:val="99"/>
    <w:semiHidden/>
    <w:unhideWhenUsed/>
    <w:rsid w:val="004843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33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B35A9"/>
    <w:rPr>
      <w:b/>
      <w:bCs/>
    </w:rPr>
  </w:style>
  <w:style w:type="character" w:customStyle="1" w:styleId="CommentSubjectChar">
    <w:name w:val="Comment Subject Char"/>
    <w:basedOn w:val="CommentTextChar"/>
    <w:link w:val="CommentSubject"/>
    <w:uiPriority w:val="99"/>
    <w:semiHidden/>
    <w:rsid w:val="005B35A9"/>
    <w:rPr>
      <w:b/>
      <w:bCs/>
      <w:sz w:val="20"/>
      <w:szCs w:val="20"/>
    </w:rPr>
  </w:style>
  <w:style w:type="paragraph" w:customStyle="1" w:styleId="Default">
    <w:name w:val="Default"/>
    <w:rsid w:val="007A3C18"/>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8049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4948"/>
  </w:style>
  <w:style w:type="paragraph" w:styleId="Footer">
    <w:name w:val="footer"/>
    <w:basedOn w:val="Normal"/>
    <w:link w:val="FooterChar"/>
    <w:uiPriority w:val="99"/>
    <w:unhideWhenUsed/>
    <w:rsid w:val="008049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4948"/>
  </w:style>
  <w:style w:type="table" w:styleId="TableGrid">
    <w:name w:val="Table Grid"/>
    <w:basedOn w:val="TableNormal"/>
    <w:uiPriority w:val="39"/>
    <w:rsid w:val="006606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042962">
      <w:bodyDiv w:val="1"/>
      <w:marLeft w:val="0"/>
      <w:marRight w:val="0"/>
      <w:marTop w:val="0"/>
      <w:marBottom w:val="0"/>
      <w:divBdr>
        <w:top w:val="none" w:sz="0" w:space="0" w:color="auto"/>
        <w:left w:val="none" w:sz="0" w:space="0" w:color="auto"/>
        <w:bottom w:val="none" w:sz="0" w:space="0" w:color="auto"/>
        <w:right w:val="none" w:sz="0" w:space="0" w:color="auto"/>
      </w:divBdr>
    </w:div>
    <w:div w:id="249510288">
      <w:bodyDiv w:val="1"/>
      <w:marLeft w:val="0"/>
      <w:marRight w:val="0"/>
      <w:marTop w:val="0"/>
      <w:marBottom w:val="0"/>
      <w:divBdr>
        <w:top w:val="none" w:sz="0" w:space="0" w:color="auto"/>
        <w:left w:val="none" w:sz="0" w:space="0" w:color="auto"/>
        <w:bottom w:val="none" w:sz="0" w:space="0" w:color="auto"/>
        <w:right w:val="none" w:sz="0" w:space="0" w:color="auto"/>
      </w:divBdr>
    </w:div>
    <w:div w:id="279536171">
      <w:bodyDiv w:val="1"/>
      <w:marLeft w:val="0"/>
      <w:marRight w:val="0"/>
      <w:marTop w:val="0"/>
      <w:marBottom w:val="0"/>
      <w:divBdr>
        <w:top w:val="none" w:sz="0" w:space="0" w:color="auto"/>
        <w:left w:val="none" w:sz="0" w:space="0" w:color="auto"/>
        <w:bottom w:val="none" w:sz="0" w:space="0" w:color="auto"/>
        <w:right w:val="none" w:sz="0" w:space="0" w:color="auto"/>
      </w:divBdr>
    </w:div>
    <w:div w:id="433676011">
      <w:bodyDiv w:val="1"/>
      <w:marLeft w:val="0"/>
      <w:marRight w:val="0"/>
      <w:marTop w:val="0"/>
      <w:marBottom w:val="0"/>
      <w:divBdr>
        <w:top w:val="none" w:sz="0" w:space="0" w:color="auto"/>
        <w:left w:val="none" w:sz="0" w:space="0" w:color="auto"/>
        <w:bottom w:val="none" w:sz="0" w:space="0" w:color="auto"/>
        <w:right w:val="none" w:sz="0" w:space="0" w:color="auto"/>
      </w:divBdr>
    </w:div>
    <w:div w:id="606473185">
      <w:bodyDiv w:val="1"/>
      <w:marLeft w:val="0"/>
      <w:marRight w:val="0"/>
      <w:marTop w:val="0"/>
      <w:marBottom w:val="0"/>
      <w:divBdr>
        <w:top w:val="none" w:sz="0" w:space="0" w:color="auto"/>
        <w:left w:val="none" w:sz="0" w:space="0" w:color="auto"/>
        <w:bottom w:val="none" w:sz="0" w:space="0" w:color="auto"/>
        <w:right w:val="none" w:sz="0" w:space="0" w:color="auto"/>
      </w:divBdr>
    </w:div>
    <w:div w:id="1307710470">
      <w:bodyDiv w:val="1"/>
      <w:marLeft w:val="0"/>
      <w:marRight w:val="0"/>
      <w:marTop w:val="0"/>
      <w:marBottom w:val="0"/>
      <w:divBdr>
        <w:top w:val="none" w:sz="0" w:space="0" w:color="auto"/>
        <w:left w:val="none" w:sz="0" w:space="0" w:color="auto"/>
        <w:bottom w:val="none" w:sz="0" w:space="0" w:color="auto"/>
        <w:right w:val="none" w:sz="0" w:space="0" w:color="auto"/>
      </w:divBdr>
    </w:div>
    <w:div w:id="1867522248">
      <w:bodyDiv w:val="1"/>
      <w:marLeft w:val="0"/>
      <w:marRight w:val="0"/>
      <w:marTop w:val="0"/>
      <w:marBottom w:val="0"/>
      <w:divBdr>
        <w:top w:val="none" w:sz="0" w:space="0" w:color="auto"/>
        <w:left w:val="none" w:sz="0" w:space="0" w:color="auto"/>
        <w:bottom w:val="none" w:sz="0" w:space="0" w:color="auto"/>
        <w:right w:val="none" w:sz="0" w:space="0" w:color="auto"/>
      </w:divBdr>
    </w:div>
    <w:div w:id="1904411629">
      <w:bodyDiv w:val="1"/>
      <w:marLeft w:val="0"/>
      <w:marRight w:val="0"/>
      <w:marTop w:val="0"/>
      <w:marBottom w:val="0"/>
      <w:divBdr>
        <w:top w:val="none" w:sz="0" w:space="0" w:color="auto"/>
        <w:left w:val="none" w:sz="0" w:space="0" w:color="auto"/>
        <w:bottom w:val="none" w:sz="0" w:space="0" w:color="auto"/>
        <w:right w:val="none" w:sz="0" w:space="0" w:color="auto"/>
      </w:divBdr>
    </w:div>
    <w:div w:id="2137142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00A351-93E0-48F3-8F4F-98BA8B278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331</Words>
  <Characters>1890</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ONTARIO ENERGY BOARD</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Di Ilio</dc:creator>
  <cp:keywords/>
  <dc:description/>
  <cp:lastModifiedBy>Erin Smith</cp:lastModifiedBy>
  <cp:revision>2</cp:revision>
  <dcterms:created xsi:type="dcterms:W3CDTF">2020-11-12T18:58:00Z</dcterms:created>
  <dcterms:modified xsi:type="dcterms:W3CDTF">2020-11-12T18:58:00Z</dcterms:modified>
</cp:coreProperties>
</file>