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A8B79D" w14:textId="2CDA90C2" w:rsidR="003832E7" w:rsidRPr="003832E7" w:rsidRDefault="0067303C" w:rsidP="003832E7">
      <w:pPr>
        <w:pStyle w:val="Default"/>
        <w:jc w:val="right"/>
        <w:rPr>
          <w:rFonts w:ascii="Arial" w:hAnsi="Arial" w:cs="Arial"/>
          <w:sz w:val="22"/>
          <w:szCs w:val="22"/>
        </w:rPr>
      </w:pPr>
      <w:r w:rsidRPr="0067303C">
        <w:rPr>
          <w:rFonts w:ascii="Arial" w:hAnsi="Arial" w:cs="Arial"/>
          <w:sz w:val="22"/>
          <w:szCs w:val="22"/>
        </w:rPr>
        <w:t>Hydro Hawkesbury</w:t>
      </w:r>
      <w:r w:rsidR="009F29EB">
        <w:rPr>
          <w:rFonts w:ascii="Arial" w:hAnsi="Arial" w:cs="Arial"/>
          <w:sz w:val="22"/>
          <w:szCs w:val="22"/>
        </w:rPr>
        <w:t xml:space="preserve"> Inc.</w:t>
      </w:r>
    </w:p>
    <w:p w14:paraId="5498C7DE" w14:textId="77777777" w:rsidR="00A07077" w:rsidRPr="00D57E8C" w:rsidRDefault="008A48F6" w:rsidP="00A07077">
      <w:pPr>
        <w:pStyle w:val="Default"/>
        <w:jc w:val="right"/>
        <w:rPr>
          <w:rFonts w:ascii="Arial" w:hAnsi="Arial" w:cs="Arial"/>
          <w:sz w:val="22"/>
          <w:szCs w:val="22"/>
        </w:rPr>
      </w:pPr>
      <w:r w:rsidRPr="00D57E8C">
        <w:rPr>
          <w:rFonts w:ascii="Arial" w:hAnsi="Arial" w:cs="Arial"/>
          <w:sz w:val="22"/>
          <w:szCs w:val="22"/>
        </w:rPr>
        <w:t>OEB</w:t>
      </w:r>
      <w:r w:rsidR="00A07077" w:rsidRPr="00D57E8C">
        <w:rPr>
          <w:rFonts w:ascii="Arial" w:hAnsi="Arial" w:cs="Arial"/>
          <w:sz w:val="22"/>
          <w:szCs w:val="22"/>
        </w:rPr>
        <w:t xml:space="preserve"> Staff </w:t>
      </w:r>
      <w:r w:rsidR="008813C3" w:rsidRPr="00D57E8C">
        <w:rPr>
          <w:rFonts w:ascii="Arial" w:hAnsi="Arial" w:cs="Arial"/>
          <w:sz w:val="22"/>
          <w:szCs w:val="22"/>
        </w:rPr>
        <w:t>Questions</w:t>
      </w:r>
    </w:p>
    <w:p w14:paraId="04387495" w14:textId="477B6A40" w:rsidR="00A07077" w:rsidRPr="00D57E8C" w:rsidRDefault="00623602" w:rsidP="00B069AA">
      <w:pPr>
        <w:pStyle w:val="Default"/>
        <w:jc w:val="right"/>
        <w:rPr>
          <w:rFonts w:ascii="Arial" w:hAnsi="Arial" w:cs="Arial"/>
          <w:sz w:val="22"/>
          <w:szCs w:val="22"/>
        </w:rPr>
      </w:pPr>
      <w:r>
        <w:rPr>
          <w:rFonts w:ascii="Arial" w:hAnsi="Arial" w:cs="Arial"/>
          <w:sz w:val="22"/>
          <w:szCs w:val="22"/>
        </w:rPr>
        <w:t>EB-2020</w:t>
      </w:r>
      <w:r w:rsidR="009D5F4B" w:rsidRPr="00D57E8C">
        <w:rPr>
          <w:rFonts w:ascii="Arial" w:hAnsi="Arial" w:cs="Arial"/>
          <w:sz w:val="22"/>
          <w:szCs w:val="22"/>
        </w:rPr>
        <w:t>-0</w:t>
      </w:r>
      <w:r w:rsidR="00D57E8C" w:rsidRPr="00D57E8C">
        <w:rPr>
          <w:rFonts w:ascii="Arial" w:hAnsi="Arial" w:cs="Arial"/>
          <w:sz w:val="22"/>
          <w:szCs w:val="22"/>
        </w:rPr>
        <w:t>0</w:t>
      </w:r>
      <w:r w:rsidR="0067303C">
        <w:rPr>
          <w:rFonts w:ascii="Arial" w:hAnsi="Arial" w:cs="Arial"/>
          <w:sz w:val="22"/>
          <w:szCs w:val="22"/>
        </w:rPr>
        <w:t>29</w:t>
      </w:r>
    </w:p>
    <w:p w14:paraId="04DD1EF2" w14:textId="77777777" w:rsidR="00A07077" w:rsidRPr="00D57E8C" w:rsidRDefault="00A07077" w:rsidP="00A07077">
      <w:pPr>
        <w:pStyle w:val="Default"/>
        <w:rPr>
          <w:rFonts w:ascii="Arial" w:hAnsi="Arial" w:cs="Arial"/>
          <w:sz w:val="22"/>
          <w:szCs w:val="22"/>
        </w:rPr>
      </w:pPr>
    </w:p>
    <w:p w14:paraId="02327E31" w14:textId="77777777" w:rsidR="00C92692" w:rsidRDefault="00C92692" w:rsidP="00A07077">
      <w:pPr>
        <w:pStyle w:val="Default"/>
        <w:jc w:val="center"/>
        <w:rPr>
          <w:rFonts w:ascii="Arial" w:hAnsi="Arial" w:cs="Arial"/>
          <w:b/>
          <w:bCs/>
          <w:sz w:val="28"/>
          <w:szCs w:val="28"/>
        </w:rPr>
      </w:pPr>
    </w:p>
    <w:p w14:paraId="31F8E0D6" w14:textId="575F6856" w:rsidR="00A07077" w:rsidRPr="0067303C" w:rsidRDefault="0067303C" w:rsidP="00A07077">
      <w:pPr>
        <w:pStyle w:val="Default"/>
        <w:jc w:val="center"/>
        <w:rPr>
          <w:rFonts w:ascii="Arial" w:hAnsi="Arial" w:cs="Arial"/>
          <w:b/>
          <w:bCs/>
          <w:sz w:val="28"/>
          <w:szCs w:val="28"/>
        </w:rPr>
      </w:pPr>
      <w:r w:rsidRPr="0067303C">
        <w:rPr>
          <w:rFonts w:ascii="Arial" w:hAnsi="Arial" w:cs="Arial"/>
          <w:b/>
          <w:bCs/>
          <w:sz w:val="28"/>
          <w:szCs w:val="28"/>
        </w:rPr>
        <w:t>Hydro Hawkesbury Inc.</w:t>
      </w:r>
    </w:p>
    <w:p w14:paraId="33D6510D" w14:textId="0C4ACC32" w:rsidR="00A07077" w:rsidRDefault="00623602" w:rsidP="00A07077">
      <w:pPr>
        <w:pStyle w:val="Default"/>
        <w:jc w:val="center"/>
        <w:rPr>
          <w:rFonts w:ascii="Arial" w:hAnsi="Arial" w:cs="Arial"/>
          <w:b/>
          <w:bCs/>
          <w:sz w:val="28"/>
          <w:szCs w:val="28"/>
        </w:rPr>
      </w:pPr>
      <w:r>
        <w:rPr>
          <w:rFonts w:ascii="Arial" w:hAnsi="Arial" w:cs="Arial"/>
          <w:b/>
          <w:bCs/>
          <w:sz w:val="28"/>
          <w:szCs w:val="28"/>
        </w:rPr>
        <w:t>EB-2020</w:t>
      </w:r>
      <w:r w:rsidR="00B069AA" w:rsidRPr="00D57E8C">
        <w:rPr>
          <w:rFonts w:ascii="Arial" w:hAnsi="Arial" w:cs="Arial"/>
          <w:b/>
          <w:bCs/>
          <w:sz w:val="28"/>
          <w:szCs w:val="28"/>
        </w:rPr>
        <w:t>-0</w:t>
      </w:r>
      <w:r w:rsidR="002D4924">
        <w:rPr>
          <w:rFonts w:ascii="Arial" w:hAnsi="Arial" w:cs="Arial"/>
          <w:b/>
          <w:bCs/>
          <w:sz w:val="28"/>
          <w:szCs w:val="28"/>
        </w:rPr>
        <w:t>0</w:t>
      </w:r>
      <w:r w:rsidR="0067303C">
        <w:rPr>
          <w:rFonts w:ascii="Arial" w:hAnsi="Arial" w:cs="Arial"/>
          <w:b/>
          <w:bCs/>
          <w:sz w:val="28"/>
          <w:szCs w:val="28"/>
        </w:rPr>
        <w:t>29</w:t>
      </w:r>
    </w:p>
    <w:p w14:paraId="63C86BE8" w14:textId="77777777" w:rsidR="00511EC2" w:rsidRDefault="00511EC2" w:rsidP="00511EC2">
      <w:pPr>
        <w:spacing w:after="0" w:line="240" w:lineRule="auto"/>
        <w:rPr>
          <w:rFonts w:ascii="Arial" w:eastAsia="Calibri" w:hAnsi="Arial" w:cs="Arial"/>
          <w:lang w:val="en-US"/>
        </w:rPr>
      </w:pPr>
    </w:p>
    <w:p w14:paraId="43718E59" w14:textId="416E52DF" w:rsidR="007E4106" w:rsidRDefault="00C859E5" w:rsidP="007E4106">
      <w:pPr>
        <w:autoSpaceDE w:val="0"/>
        <w:autoSpaceDN w:val="0"/>
        <w:adjustRightInd w:val="0"/>
        <w:spacing w:after="0"/>
        <w:rPr>
          <w:rFonts w:ascii="Arial" w:eastAsia="Calibri" w:hAnsi="Arial" w:cs="Arial"/>
          <w:sz w:val="24"/>
          <w:szCs w:val="24"/>
          <w:lang w:val="en-US"/>
        </w:rPr>
      </w:pPr>
      <w:r>
        <w:rPr>
          <w:rFonts w:ascii="Arial" w:eastAsia="Calibri" w:hAnsi="Arial" w:cs="Arial"/>
          <w:sz w:val="24"/>
          <w:szCs w:val="24"/>
          <w:lang w:val="en-US"/>
        </w:rPr>
        <w:t>Applicants</w:t>
      </w:r>
      <w:r w:rsidRPr="00C859E5">
        <w:rPr>
          <w:rFonts w:ascii="Arial" w:eastAsia="Calibri" w:hAnsi="Arial" w:cs="Arial"/>
          <w:sz w:val="24"/>
          <w:szCs w:val="24"/>
          <w:lang w:val="en-US"/>
        </w:rPr>
        <w:t xml:space="preserve"> are responsible for ensuring that all documents filed with the OEB, including responses to OEB staff questions and other supporting documentation, do not include personal information (as that phrase is defined in the </w:t>
      </w:r>
      <w:r w:rsidRPr="00C859E5">
        <w:rPr>
          <w:rFonts w:ascii="Arial" w:eastAsia="Calibri" w:hAnsi="Arial" w:cs="Arial"/>
          <w:i/>
          <w:iCs/>
          <w:sz w:val="24"/>
          <w:szCs w:val="24"/>
          <w:lang w:val="en-US"/>
        </w:rPr>
        <w:t>Freedom of Information and Protection of Privacy Act</w:t>
      </w:r>
      <w:r w:rsidRPr="00C859E5">
        <w:rPr>
          <w:rFonts w:ascii="Arial" w:eastAsia="Calibri" w:hAnsi="Arial" w:cs="Arial"/>
          <w:sz w:val="24"/>
          <w:szCs w:val="24"/>
          <w:lang w:val="en-US"/>
        </w:rPr>
        <w:t xml:space="preserve">), unless filed in accordance with rule 9A of the OEB’s </w:t>
      </w:r>
      <w:r w:rsidRPr="00C859E5">
        <w:rPr>
          <w:rFonts w:ascii="Arial" w:eastAsia="Calibri" w:hAnsi="Arial" w:cs="Arial"/>
          <w:i/>
          <w:iCs/>
          <w:sz w:val="24"/>
          <w:szCs w:val="24"/>
          <w:lang w:val="en-US"/>
        </w:rPr>
        <w:t>Rules of Practice and Procedure</w:t>
      </w:r>
      <w:r w:rsidRPr="00C859E5">
        <w:rPr>
          <w:rFonts w:ascii="Arial" w:eastAsia="Calibri" w:hAnsi="Arial" w:cs="Arial"/>
          <w:sz w:val="24"/>
          <w:szCs w:val="24"/>
          <w:lang w:val="en-US"/>
        </w:rPr>
        <w:t>.</w:t>
      </w:r>
    </w:p>
    <w:p w14:paraId="6F1B8551" w14:textId="77777777" w:rsidR="00A31531" w:rsidRDefault="00A31531" w:rsidP="007E4106">
      <w:pPr>
        <w:autoSpaceDE w:val="0"/>
        <w:autoSpaceDN w:val="0"/>
        <w:adjustRightInd w:val="0"/>
        <w:spacing w:after="0"/>
        <w:rPr>
          <w:rFonts w:ascii="Arial" w:eastAsia="Calibri" w:hAnsi="Arial" w:cs="Arial"/>
          <w:sz w:val="24"/>
          <w:szCs w:val="24"/>
          <w:lang w:val="en-US"/>
        </w:rPr>
      </w:pPr>
    </w:p>
    <w:p w14:paraId="5BAA9E5C" w14:textId="77777777" w:rsidR="00A350EF" w:rsidRDefault="00A350EF" w:rsidP="00A350EF">
      <w:pPr>
        <w:pStyle w:val="Heading2"/>
      </w:pPr>
      <w:r>
        <w:t>Staff Question-1</w:t>
      </w:r>
    </w:p>
    <w:p w14:paraId="5267CB2E" w14:textId="24936010" w:rsidR="003A4C61" w:rsidRPr="008879A9" w:rsidRDefault="003A4C61" w:rsidP="003A4C61">
      <w:pPr>
        <w:pStyle w:val="NoSpacing"/>
        <w:rPr>
          <w:rFonts w:ascii="Arial" w:hAnsi="Arial" w:cs="Arial"/>
          <w:sz w:val="24"/>
          <w:szCs w:val="24"/>
        </w:rPr>
      </w:pPr>
      <w:r w:rsidRPr="008879A9">
        <w:rPr>
          <w:rFonts w:ascii="Arial" w:hAnsi="Arial" w:cs="Arial"/>
          <w:sz w:val="24"/>
          <w:szCs w:val="24"/>
        </w:rPr>
        <w:t>Ref:</w:t>
      </w:r>
      <w:r w:rsidRPr="008879A9">
        <w:rPr>
          <w:rFonts w:ascii="Arial" w:hAnsi="Arial" w:cs="Arial"/>
          <w:sz w:val="24"/>
          <w:szCs w:val="24"/>
        </w:rPr>
        <w:tab/>
        <w:t>Tab 1 of the Rate Generator Model (Nov 1</w:t>
      </w:r>
      <w:r w:rsidR="0077487B">
        <w:rPr>
          <w:rFonts w:ascii="Arial" w:hAnsi="Arial" w:cs="Arial"/>
          <w:sz w:val="24"/>
          <w:szCs w:val="24"/>
        </w:rPr>
        <w:t>8</w:t>
      </w:r>
      <w:r w:rsidRPr="008879A9">
        <w:rPr>
          <w:rFonts w:ascii="Arial" w:hAnsi="Arial" w:cs="Arial"/>
          <w:sz w:val="24"/>
          <w:szCs w:val="24"/>
        </w:rPr>
        <w:t>, 2020) – attached</w:t>
      </w:r>
    </w:p>
    <w:p w14:paraId="113DDAE3" w14:textId="44C96677" w:rsidR="008879A9" w:rsidRPr="008879A9" w:rsidRDefault="008879A9" w:rsidP="003A4C61">
      <w:pPr>
        <w:pStyle w:val="NoSpacing"/>
        <w:rPr>
          <w:rFonts w:ascii="Arial" w:hAnsi="Arial" w:cs="Arial"/>
          <w:sz w:val="24"/>
          <w:szCs w:val="24"/>
        </w:rPr>
      </w:pPr>
      <w:r w:rsidRPr="008879A9">
        <w:rPr>
          <w:rFonts w:ascii="Arial" w:hAnsi="Arial" w:cs="Arial"/>
          <w:sz w:val="24"/>
          <w:szCs w:val="24"/>
        </w:rPr>
        <w:tab/>
        <w:t>EB-2019-0042, Decision and Rate Order, page 9</w:t>
      </w:r>
    </w:p>
    <w:p w14:paraId="273853C6" w14:textId="77777777" w:rsidR="008879A9" w:rsidRPr="008879A9" w:rsidRDefault="008879A9" w:rsidP="008879A9">
      <w:pPr>
        <w:pStyle w:val="NoSpacing"/>
        <w:rPr>
          <w:rFonts w:ascii="Arial" w:hAnsi="Arial" w:cs="Arial"/>
          <w:sz w:val="24"/>
          <w:szCs w:val="24"/>
        </w:rPr>
      </w:pPr>
    </w:p>
    <w:p w14:paraId="1B517904" w14:textId="35E780F3" w:rsidR="003A4C61" w:rsidRPr="008879A9" w:rsidRDefault="008879A9" w:rsidP="00A350EF">
      <w:pPr>
        <w:rPr>
          <w:rFonts w:ascii="Arial" w:hAnsi="Arial" w:cs="Arial"/>
          <w:sz w:val="24"/>
          <w:szCs w:val="24"/>
        </w:rPr>
      </w:pPr>
      <w:r w:rsidRPr="008879A9">
        <w:rPr>
          <w:rFonts w:ascii="Arial" w:hAnsi="Arial" w:cs="Arial"/>
          <w:sz w:val="24"/>
          <w:szCs w:val="24"/>
        </w:rPr>
        <w:t>In the 2020 rate proceeding, the OEB approved the interim disposition of the remaining 2018 Group 1 account balances, exclusive of Accounts 1588 and 1589. Furthermore, the OEB accept</w:t>
      </w:r>
      <w:r>
        <w:rPr>
          <w:rFonts w:ascii="Arial" w:hAnsi="Arial" w:cs="Arial"/>
          <w:sz w:val="24"/>
          <w:szCs w:val="24"/>
        </w:rPr>
        <w:t>ed</w:t>
      </w:r>
      <w:r w:rsidRPr="008879A9">
        <w:rPr>
          <w:rFonts w:ascii="Arial" w:hAnsi="Arial" w:cs="Arial"/>
          <w:sz w:val="24"/>
          <w:szCs w:val="24"/>
        </w:rPr>
        <w:t xml:space="preserve"> Hydro Hawkesbury’s request to keep the disposition of its 2017 Group 1 balances interim and not to dispose of the 2018 balances in Accounts 1588 and 1589 at this time.</w:t>
      </w:r>
    </w:p>
    <w:p w14:paraId="52F10A44" w14:textId="16A4C35C" w:rsidR="003A4C61" w:rsidRDefault="003A4C61" w:rsidP="00A350EF">
      <w:pPr>
        <w:pStyle w:val="ListParagraph"/>
        <w:numPr>
          <w:ilvl w:val="0"/>
          <w:numId w:val="1"/>
        </w:numPr>
        <w:rPr>
          <w:rFonts w:ascii="Arial" w:hAnsi="Arial" w:cs="Arial"/>
          <w:bCs/>
          <w:sz w:val="24"/>
          <w:szCs w:val="24"/>
        </w:rPr>
      </w:pPr>
      <w:r w:rsidRPr="008879A9">
        <w:rPr>
          <w:rFonts w:ascii="Arial" w:hAnsi="Arial" w:cs="Arial"/>
          <w:bCs/>
          <w:sz w:val="24"/>
          <w:szCs w:val="24"/>
        </w:rPr>
        <w:t xml:space="preserve">For the remaining </w:t>
      </w:r>
      <w:r w:rsidR="008879A9" w:rsidRPr="008879A9">
        <w:rPr>
          <w:rFonts w:ascii="Arial" w:hAnsi="Arial" w:cs="Arial"/>
          <w:bCs/>
          <w:sz w:val="24"/>
          <w:szCs w:val="24"/>
        </w:rPr>
        <w:t>2017 and 2018</w:t>
      </w:r>
      <w:r w:rsidR="008879A9">
        <w:rPr>
          <w:rFonts w:ascii="Arial" w:hAnsi="Arial" w:cs="Arial"/>
          <w:bCs/>
          <w:sz w:val="24"/>
          <w:szCs w:val="24"/>
        </w:rPr>
        <w:t xml:space="preserve"> Group 1 </w:t>
      </w:r>
      <w:r w:rsidRPr="008879A9">
        <w:rPr>
          <w:rFonts w:ascii="Arial" w:hAnsi="Arial" w:cs="Arial"/>
          <w:bCs/>
          <w:sz w:val="24"/>
          <w:szCs w:val="24"/>
        </w:rPr>
        <w:t xml:space="preserve">DVA balances </w:t>
      </w:r>
      <w:r w:rsidR="008879A9">
        <w:rPr>
          <w:rFonts w:ascii="Arial" w:hAnsi="Arial" w:cs="Arial"/>
          <w:bCs/>
          <w:sz w:val="24"/>
          <w:szCs w:val="24"/>
        </w:rPr>
        <w:t xml:space="preserve">(exclusive of </w:t>
      </w:r>
      <w:r w:rsidR="005F7062">
        <w:rPr>
          <w:rFonts w:ascii="Arial" w:hAnsi="Arial" w:cs="Arial"/>
          <w:bCs/>
          <w:sz w:val="24"/>
          <w:szCs w:val="24"/>
        </w:rPr>
        <w:t xml:space="preserve">Accounts </w:t>
      </w:r>
      <w:r w:rsidR="008879A9">
        <w:rPr>
          <w:rFonts w:ascii="Arial" w:hAnsi="Arial" w:cs="Arial"/>
          <w:bCs/>
          <w:sz w:val="24"/>
          <w:szCs w:val="24"/>
        </w:rPr>
        <w:t xml:space="preserve">1588 and 1589) </w:t>
      </w:r>
      <w:r w:rsidRPr="008879A9">
        <w:rPr>
          <w:rFonts w:ascii="Arial" w:hAnsi="Arial" w:cs="Arial"/>
          <w:bCs/>
          <w:sz w:val="24"/>
          <w:szCs w:val="24"/>
        </w:rPr>
        <w:t>that were approved on an interim basis, please</w:t>
      </w:r>
      <w:r>
        <w:rPr>
          <w:rFonts w:ascii="Arial" w:hAnsi="Arial" w:cs="Arial"/>
          <w:bCs/>
          <w:sz w:val="24"/>
          <w:szCs w:val="24"/>
        </w:rPr>
        <w:t xml:space="preserve"> confirm there were no changes in those balances. If confirmed, please revise the se</w:t>
      </w:r>
      <w:r w:rsidR="008879A9">
        <w:rPr>
          <w:rFonts w:ascii="Arial" w:hAnsi="Arial" w:cs="Arial"/>
          <w:bCs/>
          <w:sz w:val="24"/>
          <w:szCs w:val="24"/>
        </w:rPr>
        <w:t>le</w:t>
      </w:r>
      <w:r>
        <w:rPr>
          <w:rFonts w:ascii="Arial" w:hAnsi="Arial" w:cs="Arial"/>
          <w:bCs/>
          <w:sz w:val="24"/>
          <w:szCs w:val="24"/>
        </w:rPr>
        <w:t xml:space="preserve">ction in Question 3 </w:t>
      </w:r>
      <w:r w:rsidR="008879A9">
        <w:rPr>
          <w:rFonts w:ascii="Arial" w:hAnsi="Arial" w:cs="Arial"/>
          <w:bCs/>
          <w:sz w:val="24"/>
          <w:szCs w:val="24"/>
        </w:rPr>
        <w:t xml:space="preserve">b. </w:t>
      </w:r>
      <w:proofErr w:type="spellStart"/>
      <w:r w:rsidR="008879A9">
        <w:rPr>
          <w:rFonts w:ascii="Arial" w:hAnsi="Arial" w:cs="Arial"/>
          <w:bCs/>
          <w:sz w:val="24"/>
          <w:szCs w:val="24"/>
        </w:rPr>
        <w:t>i</w:t>
      </w:r>
      <w:proofErr w:type="spellEnd"/>
      <w:r w:rsidR="008879A9">
        <w:rPr>
          <w:rFonts w:ascii="Arial" w:hAnsi="Arial" w:cs="Arial"/>
          <w:bCs/>
          <w:sz w:val="24"/>
          <w:szCs w:val="24"/>
        </w:rPr>
        <w:t xml:space="preserve">) </w:t>
      </w:r>
      <w:r>
        <w:rPr>
          <w:rFonts w:ascii="Arial" w:hAnsi="Arial" w:cs="Arial"/>
          <w:bCs/>
          <w:sz w:val="24"/>
          <w:szCs w:val="24"/>
        </w:rPr>
        <w:t>from “2016” to “2017”.</w:t>
      </w:r>
    </w:p>
    <w:p w14:paraId="4E880181" w14:textId="77777777" w:rsidR="003A4C61" w:rsidRDefault="003A4C61" w:rsidP="003A4C61">
      <w:pPr>
        <w:pStyle w:val="ListParagraph"/>
        <w:rPr>
          <w:rFonts w:ascii="Arial" w:hAnsi="Arial" w:cs="Arial"/>
          <w:bCs/>
          <w:sz w:val="24"/>
          <w:szCs w:val="24"/>
        </w:rPr>
      </w:pPr>
    </w:p>
    <w:p w14:paraId="3D9732B7" w14:textId="32DB191C" w:rsidR="00A350EF" w:rsidRDefault="00A350EF" w:rsidP="00A350EF">
      <w:pPr>
        <w:pStyle w:val="ListParagraph"/>
        <w:numPr>
          <w:ilvl w:val="0"/>
          <w:numId w:val="1"/>
        </w:numPr>
        <w:rPr>
          <w:rFonts w:ascii="Arial" w:hAnsi="Arial" w:cs="Arial"/>
          <w:bCs/>
          <w:sz w:val="24"/>
          <w:szCs w:val="24"/>
        </w:rPr>
      </w:pPr>
      <w:r w:rsidRPr="00634286">
        <w:rPr>
          <w:rFonts w:ascii="Arial" w:hAnsi="Arial" w:cs="Arial"/>
          <w:bCs/>
          <w:sz w:val="24"/>
          <w:szCs w:val="24"/>
        </w:rPr>
        <w:t xml:space="preserve">Please confirm </w:t>
      </w:r>
      <w:r>
        <w:rPr>
          <w:rFonts w:ascii="Arial" w:hAnsi="Arial" w:cs="Arial"/>
          <w:bCs/>
          <w:sz w:val="24"/>
          <w:szCs w:val="24"/>
        </w:rPr>
        <w:t xml:space="preserve">whether the earliest vintage year in which there is a balance in Account 1595 is “2017”. If </w:t>
      </w:r>
      <w:r w:rsidR="003A4C61">
        <w:rPr>
          <w:rFonts w:ascii="Arial" w:hAnsi="Arial" w:cs="Arial"/>
          <w:bCs/>
          <w:sz w:val="24"/>
          <w:szCs w:val="24"/>
        </w:rPr>
        <w:t>confirmed,</w:t>
      </w:r>
      <w:r>
        <w:rPr>
          <w:rFonts w:ascii="Arial" w:hAnsi="Arial" w:cs="Arial"/>
          <w:bCs/>
          <w:sz w:val="24"/>
          <w:szCs w:val="24"/>
        </w:rPr>
        <w:t xml:space="preserve"> please revise the</w:t>
      </w:r>
      <w:r w:rsidRPr="00634286">
        <w:rPr>
          <w:rFonts w:ascii="Arial" w:hAnsi="Arial" w:cs="Arial"/>
          <w:bCs/>
          <w:sz w:val="24"/>
          <w:szCs w:val="24"/>
        </w:rPr>
        <w:t xml:space="preserve"> </w:t>
      </w:r>
      <w:r w:rsidR="003A4C61">
        <w:rPr>
          <w:rFonts w:ascii="Arial" w:hAnsi="Arial" w:cs="Arial"/>
          <w:bCs/>
          <w:sz w:val="24"/>
          <w:szCs w:val="24"/>
        </w:rPr>
        <w:t xml:space="preserve">selection </w:t>
      </w:r>
      <w:r>
        <w:rPr>
          <w:rFonts w:ascii="Arial" w:hAnsi="Arial" w:cs="Arial"/>
          <w:bCs/>
          <w:sz w:val="24"/>
          <w:szCs w:val="24"/>
        </w:rPr>
        <w:t>in</w:t>
      </w:r>
      <w:r w:rsidRPr="00634286">
        <w:rPr>
          <w:rFonts w:ascii="Arial" w:hAnsi="Arial" w:cs="Arial"/>
          <w:bCs/>
          <w:sz w:val="24"/>
          <w:szCs w:val="24"/>
        </w:rPr>
        <w:t xml:space="preserve"> Question 4</w:t>
      </w:r>
      <w:r w:rsidR="003A4C61">
        <w:rPr>
          <w:rFonts w:ascii="Arial" w:hAnsi="Arial" w:cs="Arial"/>
          <w:bCs/>
          <w:sz w:val="24"/>
          <w:szCs w:val="24"/>
        </w:rPr>
        <w:t xml:space="preserve"> from “2018” to “2017”</w:t>
      </w:r>
      <w:r w:rsidRPr="00634286">
        <w:rPr>
          <w:rFonts w:ascii="Arial" w:hAnsi="Arial" w:cs="Arial"/>
          <w:bCs/>
          <w:sz w:val="24"/>
          <w:szCs w:val="24"/>
        </w:rPr>
        <w:t xml:space="preserve">. </w:t>
      </w:r>
    </w:p>
    <w:p w14:paraId="6C815E56" w14:textId="77777777" w:rsidR="00A350EF" w:rsidRDefault="00A350EF" w:rsidP="008879A9">
      <w:pPr>
        <w:pStyle w:val="NoSpacing"/>
      </w:pPr>
    </w:p>
    <w:p w14:paraId="6F58A256" w14:textId="191E88DB" w:rsidR="00564126" w:rsidRDefault="00564126" w:rsidP="00564126">
      <w:pPr>
        <w:pStyle w:val="Heading2"/>
        <w:rPr>
          <w:b w:val="0"/>
        </w:rPr>
      </w:pPr>
      <w:r>
        <w:t>Staff Question-</w:t>
      </w:r>
      <w:r w:rsidR="008879A9">
        <w:t>2</w:t>
      </w:r>
    </w:p>
    <w:p w14:paraId="36589FB3" w14:textId="77777777" w:rsidR="00564126" w:rsidRPr="00E54054" w:rsidRDefault="00564126" w:rsidP="00564126">
      <w:pPr>
        <w:rPr>
          <w:rFonts w:ascii="Arial" w:hAnsi="Arial" w:cs="Arial"/>
          <w:bCs/>
          <w:sz w:val="24"/>
          <w:szCs w:val="24"/>
        </w:rPr>
      </w:pPr>
      <w:r w:rsidRPr="00E54054">
        <w:rPr>
          <w:rFonts w:ascii="Arial" w:hAnsi="Arial" w:cs="Arial"/>
          <w:bCs/>
          <w:sz w:val="24"/>
          <w:szCs w:val="24"/>
        </w:rPr>
        <w:t>Ref:</w:t>
      </w:r>
      <w:r w:rsidRPr="00E54054">
        <w:rPr>
          <w:rFonts w:ascii="Arial" w:hAnsi="Arial" w:cs="Arial"/>
          <w:bCs/>
          <w:sz w:val="24"/>
          <w:szCs w:val="24"/>
        </w:rPr>
        <w:tab/>
      </w:r>
      <w:r w:rsidRPr="00E54054">
        <w:rPr>
          <w:rFonts w:ascii="Arial" w:hAnsi="Arial" w:cs="Arial"/>
          <w:sz w:val="24"/>
          <w:szCs w:val="24"/>
        </w:rPr>
        <w:t>Application, pages 17-18</w:t>
      </w:r>
    </w:p>
    <w:p w14:paraId="00F36395" w14:textId="77777777" w:rsidR="00564126" w:rsidRPr="00E54054" w:rsidRDefault="00564126" w:rsidP="00564126">
      <w:pPr>
        <w:rPr>
          <w:rFonts w:ascii="Arial" w:hAnsi="Arial" w:cs="Arial"/>
          <w:sz w:val="24"/>
          <w:szCs w:val="24"/>
        </w:rPr>
      </w:pPr>
      <w:r w:rsidRPr="00E54054">
        <w:rPr>
          <w:rFonts w:ascii="Arial" w:hAnsi="Arial" w:cs="Arial"/>
          <w:sz w:val="24"/>
          <w:szCs w:val="24"/>
        </w:rPr>
        <w:t xml:space="preserve">At the above reference, Hydro Hawkesbury confirms that it </w:t>
      </w:r>
      <w:proofErr w:type="gramStart"/>
      <w:r w:rsidRPr="00E54054">
        <w:rPr>
          <w:rFonts w:ascii="Arial" w:hAnsi="Arial" w:cs="Arial"/>
          <w:sz w:val="24"/>
          <w:szCs w:val="24"/>
        </w:rPr>
        <w:t>is in compliance with</w:t>
      </w:r>
      <w:proofErr w:type="gramEnd"/>
      <w:r w:rsidRPr="00E54054">
        <w:rPr>
          <w:rFonts w:ascii="Arial" w:hAnsi="Arial" w:cs="Arial"/>
          <w:sz w:val="24"/>
          <w:szCs w:val="24"/>
        </w:rPr>
        <w:t xml:space="preserve"> the OEB’s February 21, 2019 accounting guidance related to Accounts 1588 and 1589. OEB staff noticed significant adjustments were booked in 2018 and 2019. </w:t>
      </w:r>
    </w:p>
    <w:p w14:paraId="143FFE88" w14:textId="77777777" w:rsidR="00564126" w:rsidRDefault="00564126" w:rsidP="00564126">
      <w:pPr>
        <w:pStyle w:val="ListParagraph"/>
        <w:numPr>
          <w:ilvl w:val="0"/>
          <w:numId w:val="10"/>
        </w:numPr>
        <w:spacing w:after="160"/>
        <w:rPr>
          <w:rFonts w:ascii="Arial" w:hAnsi="Arial" w:cs="Arial"/>
          <w:sz w:val="24"/>
          <w:szCs w:val="24"/>
        </w:rPr>
      </w:pPr>
      <w:r w:rsidRPr="00E54054">
        <w:rPr>
          <w:rFonts w:ascii="Arial" w:hAnsi="Arial" w:cs="Arial"/>
          <w:sz w:val="24"/>
          <w:szCs w:val="24"/>
        </w:rPr>
        <w:t xml:space="preserve">Please explain the nature of the changes that led to these substantial adjustments made to </w:t>
      </w:r>
      <w:r>
        <w:rPr>
          <w:rFonts w:ascii="Arial" w:hAnsi="Arial" w:cs="Arial"/>
          <w:sz w:val="24"/>
          <w:szCs w:val="24"/>
        </w:rPr>
        <w:t>A</w:t>
      </w:r>
      <w:r w:rsidRPr="00E54054">
        <w:rPr>
          <w:rFonts w:ascii="Arial" w:hAnsi="Arial" w:cs="Arial"/>
          <w:sz w:val="24"/>
          <w:szCs w:val="24"/>
        </w:rPr>
        <w:t>ccounts 1588 and 1589.</w:t>
      </w:r>
    </w:p>
    <w:p w14:paraId="7614721C" w14:textId="77777777" w:rsidR="00564126" w:rsidRPr="00E54054" w:rsidRDefault="00564126" w:rsidP="00564126">
      <w:pPr>
        <w:pStyle w:val="ListParagraph"/>
        <w:spacing w:after="160"/>
        <w:rPr>
          <w:rFonts w:ascii="Arial" w:hAnsi="Arial" w:cs="Arial"/>
          <w:sz w:val="24"/>
          <w:szCs w:val="24"/>
        </w:rPr>
      </w:pPr>
    </w:p>
    <w:p w14:paraId="096A8530" w14:textId="77777777" w:rsidR="00564126" w:rsidRPr="00E54054" w:rsidRDefault="00564126" w:rsidP="00564126">
      <w:pPr>
        <w:pStyle w:val="ListParagraph"/>
        <w:numPr>
          <w:ilvl w:val="0"/>
          <w:numId w:val="10"/>
        </w:numPr>
        <w:spacing w:after="160"/>
        <w:rPr>
          <w:rFonts w:ascii="Arial" w:hAnsi="Arial" w:cs="Arial"/>
          <w:sz w:val="24"/>
          <w:szCs w:val="24"/>
        </w:rPr>
      </w:pPr>
      <w:r w:rsidRPr="00E54054">
        <w:rPr>
          <w:rFonts w:ascii="Arial" w:hAnsi="Arial" w:cs="Arial"/>
          <w:sz w:val="24"/>
          <w:szCs w:val="24"/>
        </w:rPr>
        <w:t>As a result of confirming that it has implemented the OEB’s February 21, 2019</w:t>
      </w:r>
    </w:p>
    <w:p w14:paraId="5684389C" w14:textId="77777777" w:rsidR="00564126" w:rsidRPr="00E54054" w:rsidRDefault="00564126" w:rsidP="00564126">
      <w:pPr>
        <w:pStyle w:val="ListParagraph"/>
        <w:rPr>
          <w:rFonts w:ascii="Arial" w:hAnsi="Arial" w:cs="Arial"/>
          <w:sz w:val="24"/>
          <w:szCs w:val="24"/>
        </w:rPr>
      </w:pPr>
      <w:r w:rsidRPr="00E54054">
        <w:rPr>
          <w:rFonts w:ascii="Arial" w:hAnsi="Arial" w:cs="Arial"/>
          <w:sz w:val="24"/>
          <w:szCs w:val="24"/>
        </w:rPr>
        <w:t>accounting guidance, please confirm whether Hydro Hawkesbury is seeking final</w:t>
      </w:r>
    </w:p>
    <w:p w14:paraId="2CED87AA" w14:textId="0A115029" w:rsidR="00564126" w:rsidRPr="00E54054" w:rsidRDefault="00564126" w:rsidP="00002C41">
      <w:pPr>
        <w:pStyle w:val="ListParagraph"/>
        <w:rPr>
          <w:rFonts w:ascii="Arial" w:hAnsi="Arial" w:cs="Arial"/>
          <w:sz w:val="24"/>
          <w:szCs w:val="24"/>
        </w:rPr>
      </w:pPr>
      <w:r w:rsidRPr="00E54054">
        <w:rPr>
          <w:rFonts w:ascii="Arial" w:hAnsi="Arial" w:cs="Arial"/>
          <w:sz w:val="24"/>
          <w:szCs w:val="24"/>
        </w:rPr>
        <w:t xml:space="preserve">disposition of its 2017 </w:t>
      </w:r>
      <w:r w:rsidR="005F7062">
        <w:rPr>
          <w:rFonts w:ascii="Arial" w:hAnsi="Arial" w:cs="Arial"/>
          <w:sz w:val="24"/>
          <w:szCs w:val="24"/>
        </w:rPr>
        <w:t xml:space="preserve">and 2018 Group 1 DVA account balances </w:t>
      </w:r>
      <w:r w:rsidR="00002C41" w:rsidRPr="00E54054">
        <w:rPr>
          <w:rFonts w:ascii="Arial" w:hAnsi="Arial" w:cs="Arial"/>
          <w:sz w:val="24"/>
          <w:szCs w:val="24"/>
        </w:rPr>
        <w:t>as part of the current proceeding.</w:t>
      </w:r>
      <w:r w:rsidR="00002C41">
        <w:rPr>
          <w:rFonts w:ascii="Arial" w:hAnsi="Arial" w:cs="Arial"/>
          <w:sz w:val="24"/>
          <w:szCs w:val="24"/>
        </w:rPr>
        <w:t xml:space="preserve"> </w:t>
      </w:r>
    </w:p>
    <w:p w14:paraId="2F7A6079" w14:textId="77777777" w:rsidR="00564126" w:rsidRPr="0085350E" w:rsidRDefault="00564126" w:rsidP="00564126">
      <w:pPr>
        <w:pStyle w:val="ListParagraph"/>
        <w:spacing w:after="0"/>
        <w:rPr>
          <w:rFonts w:ascii="Arial" w:eastAsia="Times New Roman" w:hAnsi="Arial" w:cs="Arial"/>
          <w:sz w:val="24"/>
          <w:szCs w:val="24"/>
          <w:lang w:val="en-US"/>
        </w:rPr>
      </w:pPr>
    </w:p>
    <w:p w14:paraId="04D3C206" w14:textId="0AD69284" w:rsidR="00564126" w:rsidRPr="00E54054" w:rsidRDefault="00564126" w:rsidP="00564126">
      <w:pPr>
        <w:pStyle w:val="ListParagraph"/>
        <w:numPr>
          <w:ilvl w:val="0"/>
          <w:numId w:val="10"/>
        </w:numPr>
        <w:spacing w:after="0"/>
        <w:rPr>
          <w:rFonts w:ascii="Arial" w:eastAsia="Times New Roman" w:hAnsi="Arial" w:cs="Arial"/>
          <w:sz w:val="24"/>
          <w:szCs w:val="24"/>
          <w:lang w:val="en-US"/>
        </w:rPr>
      </w:pPr>
      <w:r w:rsidRPr="00E54054">
        <w:rPr>
          <w:rFonts w:ascii="Arial" w:eastAsia="Times New Roman" w:hAnsi="Arial" w:cs="Arial"/>
          <w:sz w:val="24"/>
          <w:szCs w:val="24"/>
        </w:rPr>
        <w:t xml:space="preserve">Please confirm whether Hydro Hawkesbury is requesting final disposition </w:t>
      </w:r>
      <w:r w:rsidR="005F7062">
        <w:rPr>
          <w:rFonts w:ascii="Arial" w:eastAsia="Times New Roman" w:hAnsi="Arial" w:cs="Arial"/>
          <w:sz w:val="24"/>
          <w:szCs w:val="24"/>
        </w:rPr>
        <w:t xml:space="preserve">of its </w:t>
      </w:r>
      <w:r w:rsidR="00002C41">
        <w:rPr>
          <w:rFonts w:ascii="Arial" w:eastAsia="Times New Roman" w:hAnsi="Arial" w:cs="Arial"/>
          <w:sz w:val="24"/>
          <w:szCs w:val="24"/>
        </w:rPr>
        <w:t xml:space="preserve">2019 Group 1 DVA </w:t>
      </w:r>
      <w:r>
        <w:rPr>
          <w:rFonts w:ascii="Arial" w:eastAsia="Times New Roman" w:hAnsi="Arial" w:cs="Arial"/>
          <w:sz w:val="24"/>
          <w:szCs w:val="24"/>
        </w:rPr>
        <w:t xml:space="preserve">account </w:t>
      </w:r>
      <w:r w:rsidRPr="00E54054">
        <w:rPr>
          <w:rFonts w:ascii="Arial" w:eastAsia="Times New Roman" w:hAnsi="Arial" w:cs="Arial"/>
          <w:sz w:val="24"/>
          <w:szCs w:val="24"/>
        </w:rPr>
        <w:t xml:space="preserve">balances in the </w:t>
      </w:r>
      <w:r w:rsidRPr="00E54054">
        <w:rPr>
          <w:rFonts w:ascii="Arial" w:hAnsi="Arial" w:cs="Arial"/>
          <w:sz w:val="24"/>
          <w:szCs w:val="24"/>
        </w:rPr>
        <w:t xml:space="preserve">current </w:t>
      </w:r>
      <w:r w:rsidRPr="00E54054">
        <w:rPr>
          <w:rFonts w:ascii="Arial" w:eastAsia="Times New Roman" w:hAnsi="Arial" w:cs="Arial"/>
          <w:sz w:val="24"/>
          <w:szCs w:val="24"/>
        </w:rPr>
        <w:t>proceeding</w:t>
      </w:r>
      <w:r>
        <w:rPr>
          <w:rFonts w:ascii="Arial" w:eastAsia="Times New Roman" w:hAnsi="Arial" w:cs="Arial"/>
          <w:sz w:val="24"/>
          <w:szCs w:val="24"/>
        </w:rPr>
        <w:t>.</w:t>
      </w:r>
    </w:p>
    <w:p w14:paraId="15EE683B" w14:textId="190CA7EA" w:rsidR="00002C41" w:rsidRDefault="00002C41" w:rsidP="00002C41">
      <w:pPr>
        <w:rPr>
          <w:rFonts w:ascii="Arial" w:hAnsi="Arial" w:cs="Arial"/>
          <w:bCs/>
          <w:sz w:val="24"/>
          <w:szCs w:val="24"/>
        </w:rPr>
      </w:pPr>
    </w:p>
    <w:p w14:paraId="76216F61" w14:textId="77777777" w:rsidR="00002C41" w:rsidRDefault="00002C41" w:rsidP="00002C41">
      <w:pPr>
        <w:pStyle w:val="Heading2"/>
        <w:rPr>
          <w:b w:val="0"/>
        </w:rPr>
      </w:pPr>
      <w:r>
        <w:t>Staff Question-3</w:t>
      </w:r>
    </w:p>
    <w:p w14:paraId="313E270E" w14:textId="4E0C47C8" w:rsidR="00002C41" w:rsidRPr="005F7062" w:rsidRDefault="00002C41" w:rsidP="005F7062">
      <w:pPr>
        <w:pStyle w:val="NoSpacing"/>
        <w:rPr>
          <w:rFonts w:ascii="Arial" w:hAnsi="Arial" w:cs="Arial"/>
          <w:sz w:val="24"/>
          <w:szCs w:val="24"/>
        </w:rPr>
      </w:pPr>
      <w:r w:rsidRPr="005F7062">
        <w:rPr>
          <w:rFonts w:ascii="Arial" w:hAnsi="Arial" w:cs="Arial"/>
          <w:sz w:val="24"/>
          <w:szCs w:val="24"/>
        </w:rPr>
        <w:t>Ref:</w:t>
      </w:r>
      <w:r w:rsidRPr="005F7062">
        <w:rPr>
          <w:rFonts w:ascii="Arial" w:hAnsi="Arial" w:cs="Arial"/>
          <w:sz w:val="24"/>
          <w:szCs w:val="24"/>
        </w:rPr>
        <w:tab/>
        <w:t xml:space="preserve">HHI Response to OEB incomplete letter </w:t>
      </w:r>
    </w:p>
    <w:p w14:paraId="482A9D1F" w14:textId="3022F2C4" w:rsidR="00002C41" w:rsidRPr="005F7062" w:rsidRDefault="00002C41" w:rsidP="005F7062">
      <w:pPr>
        <w:pStyle w:val="NoSpacing"/>
        <w:rPr>
          <w:rFonts w:ascii="Arial" w:hAnsi="Arial" w:cs="Arial"/>
          <w:sz w:val="24"/>
          <w:szCs w:val="24"/>
        </w:rPr>
      </w:pPr>
      <w:r w:rsidRPr="005F7062">
        <w:rPr>
          <w:rFonts w:ascii="Arial" w:hAnsi="Arial" w:cs="Arial"/>
          <w:sz w:val="24"/>
          <w:szCs w:val="24"/>
        </w:rPr>
        <w:tab/>
      </w:r>
      <w:r w:rsidR="006A6FB8" w:rsidRPr="005F7062">
        <w:rPr>
          <w:rFonts w:ascii="Arial" w:hAnsi="Arial" w:cs="Arial"/>
          <w:sz w:val="24"/>
          <w:szCs w:val="24"/>
        </w:rPr>
        <w:t>Excel attachment, “Impact of new methodology”</w:t>
      </w:r>
    </w:p>
    <w:p w14:paraId="47C81D46" w14:textId="77777777" w:rsidR="005F7062" w:rsidRPr="005F7062" w:rsidRDefault="005F7062" w:rsidP="005F7062">
      <w:pPr>
        <w:pStyle w:val="NoSpacing"/>
        <w:rPr>
          <w:rFonts w:ascii="Arial" w:hAnsi="Arial" w:cs="Arial"/>
          <w:sz w:val="24"/>
          <w:szCs w:val="24"/>
        </w:rPr>
      </w:pPr>
    </w:p>
    <w:p w14:paraId="7A4619D2" w14:textId="1B09DC2B" w:rsidR="00002C41" w:rsidRPr="00A61DC9" w:rsidRDefault="00002C41" w:rsidP="00A61DC9">
      <w:pPr>
        <w:rPr>
          <w:rFonts w:ascii="Arial" w:hAnsi="Arial" w:cs="Arial"/>
          <w:sz w:val="24"/>
          <w:szCs w:val="24"/>
        </w:rPr>
      </w:pPr>
      <w:r w:rsidRPr="005F7062">
        <w:rPr>
          <w:rFonts w:ascii="Arial" w:hAnsi="Arial" w:cs="Arial"/>
          <w:sz w:val="24"/>
          <w:szCs w:val="24"/>
        </w:rPr>
        <w:t>At page 4 of the incomplete letter, the OEB noted that Hawkesbury Hydro did not provide a</w:t>
      </w:r>
      <w:r w:rsidRPr="00A61DC9">
        <w:rPr>
          <w:rFonts w:ascii="Arial" w:hAnsi="Arial" w:cs="Arial"/>
          <w:sz w:val="24"/>
          <w:szCs w:val="24"/>
        </w:rPr>
        <w:t xml:space="preserve">n explanation of variances between RRR and the Group 1 account balances for Accounts 1588 and 1589 in its Application. </w:t>
      </w:r>
      <w:r w:rsidR="005F7062">
        <w:rPr>
          <w:rFonts w:ascii="Arial" w:hAnsi="Arial" w:cs="Arial"/>
          <w:sz w:val="24"/>
          <w:szCs w:val="24"/>
        </w:rPr>
        <w:t xml:space="preserve">At page 6 of the incomplete letter, </w:t>
      </w:r>
      <w:r w:rsidR="006A6FB8" w:rsidRPr="00A61DC9">
        <w:rPr>
          <w:rFonts w:ascii="Arial" w:hAnsi="Arial" w:cs="Arial"/>
          <w:sz w:val="24"/>
          <w:szCs w:val="24"/>
        </w:rPr>
        <w:t>Hydro Hawkesbury was to report back on the findings of its analysis as part of its next IRM application, including the details of this internal review related to the significant balance in Account 1588.</w:t>
      </w:r>
    </w:p>
    <w:p w14:paraId="002D3FD8" w14:textId="23FF36DF" w:rsidR="00DF35B6" w:rsidRDefault="00002C41" w:rsidP="00A61DC9">
      <w:pPr>
        <w:pStyle w:val="TableParagraph"/>
        <w:spacing w:line="276" w:lineRule="auto"/>
        <w:ind w:left="0" w:right="222"/>
        <w:rPr>
          <w:sz w:val="24"/>
          <w:szCs w:val="24"/>
        </w:rPr>
      </w:pPr>
      <w:r w:rsidRPr="00A61DC9">
        <w:rPr>
          <w:sz w:val="24"/>
          <w:szCs w:val="24"/>
        </w:rPr>
        <w:t xml:space="preserve">In response, Hydro Hawkesbury stated that it recalculated its variances for 2017, 2018 and 2019 with the new OEB methodology based on the February 21, 2019 accounting guidance. Based on this new methodology, there was a reduction </w:t>
      </w:r>
      <w:r w:rsidR="00FF28C0">
        <w:rPr>
          <w:sz w:val="24"/>
          <w:szCs w:val="24"/>
        </w:rPr>
        <w:t xml:space="preserve">in the principal balance </w:t>
      </w:r>
      <w:r w:rsidRPr="00A61DC9">
        <w:rPr>
          <w:sz w:val="24"/>
          <w:szCs w:val="24"/>
        </w:rPr>
        <w:t>of $507,638 and</w:t>
      </w:r>
      <w:r w:rsidR="00FF28C0">
        <w:rPr>
          <w:sz w:val="24"/>
          <w:szCs w:val="24"/>
        </w:rPr>
        <w:t xml:space="preserve"> in carrying charges of</w:t>
      </w:r>
      <w:r w:rsidRPr="00A61DC9">
        <w:rPr>
          <w:sz w:val="24"/>
          <w:szCs w:val="24"/>
        </w:rPr>
        <w:t xml:space="preserve"> $6,107 in </w:t>
      </w:r>
      <w:r w:rsidR="005F7062">
        <w:rPr>
          <w:sz w:val="24"/>
          <w:szCs w:val="24"/>
        </w:rPr>
        <w:t>A</w:t>
      </w:r>
      <w:r w:rsidRPr="00A61DC9">
        <w:rPr>
          <w:sz w:val="24"/>
          <w:szCs w:val="24"/>
        </w:rPr>
        <w:t>ccount 1588.</w:t>
      </w:r>
      <w:r w:rsidR="00FF28C0">
        <w:rPr>
          <w:sz w:val="24"/>
          <w:szCs w:val="24"/>
        </w:rPr>
        <w:t xml:space="preserve"> Furthermore, Hydro Hawkesbury noted:</w:t>
      </w:r>
      <w:r w:rsidRPr="00A61DC9">
        <w:rPr>
          <w:sz w:val="24"/>
          <w:szCs w:val="24"/>
        </w:rPr>
        <w:t xml:space="preserve"> </w:t>
      </w:r>
    </w:p>
    <w:p w14:paraId="37E330CB" w14:textId="3A8245F2" w:rsidR="00DF35B6" w:rsidRPr="005F7062" w:rsidRDefault="00002C41" w:rsidP="00933151">
      <w:pPr>
        <w:pStyle w:val="TableParagraph"/>
        <w:numPr>
          <w:ilvl w:val="0"/>
          <w:numId w:val="18"/>
        </w:numPr>
        <w:spacing w:line="276" w:lineRule="auto"/>
        <w:ind w:right="222"/>
        <w:rPr>
          <w:sz w:val="24"/>
          <w:szCs w:val="24"/>
        </w:rPr>
      </w:pPr>
      <w:r w:rsidRPr="005F7062">
        <w:rPr>
          <w:sz w:val="24"/>
          <w:szCs w:val="24"/>
        </w:rPr>
        <w:t xml:space="preserve">A reclassification of $202,427 between </w:t>
      </w:r>
      <w:r w:rsidR="00EA5E13">
        <w:rPr>
          <w:sz w:val="24"/>
          <w:szCs w:val="24"/>
        </w:rPr>
        <w:t xml:space="preserve">Accounts </w:t>
      </w:r>
      <w:r w:rsidRPr="005F7062">
        <w:rPr>
          <w:sz w:val="24"/>
          <w:szCs w:val="24"/>
        </w:rPr>
        <w:t xml:space="preserve">1588 and 1589 has also been eliminated. </w:t>
      </w:r>
    </w:p>
    <w:p w14:paraId="7AC05D9C" w14:textId="46EBBC03" w:rsidR="00DF35B6" w:rsidRDefault="00002C41" w:rsidP="00DF35B6">
      <w:pPr>
        <w:pStyle w:val="TableParagraph"/>
        <w:numPr>
          <w:ilvl w:val="0"/>
          <w:numId w:val="18"/>
        </w:numPr>
        <w:spacing w:line="276" w:lineRule="auto"/>
        <w:ind w:right="222"/>
        <w:rPr>
          <w:sz w:val="24"/>
          <w:szCs w:val="24"/>
        </w:rPr>
      </w:pPr>
      <w:r w:rsidRPr="00A61DC9">
        <w:rPr>
          <w:sz w:val="24"/>
          <w:szCs w:val="24"/>
        </w:rPr>
        <w:t xml:space="preserve">For </w:t>
      </w:r>
      <w:r w:rsidR="00EA5E13">
        <w:rPr>
          <w:sz w:val="24"/>
          <w:szCs w:val="24"/>
        </w:rPr>
        <w:t>A</w:t>
      </w:r>
      <w:r w:rsidRPr="00A61DC9">
        <w:rPr>
          <w:sz w:val="24"/>
          <w:szCs w:val="24"/>
        </w:rPr>
        <w:t>ccount 1589, the</w:t>
      </w:r>
      <w:r w:rsidR="00FF28C0">
        <w:rPr>
          <w:sz w:val="24"/>
          <w:szCs w:val="24"/>
        </w:rPr>
        <w:t>re</w:t>
      </w:r>
      <w:r w:rsidRPr="00A61DC9">
        <w:rPr>
          <w:sz w:val="24"/>
          <w:szCs w:val="24"/>
        </w:rPr>
        <w:t xml:space="preserve"> was an increase of $652,878 in</w:t>
      </w:r>
      <w:r w:rsidR="00FF28C0">
        <w:rPr>
          <w:sz w:val="24"/>
          <w:szCs w:val="24"/>
        </w:rPr>
        <w:t xml:space="preserve"> the</w:t>
      </w:r>
      <w:r w:rsidRPr="00A61DC9">
        <w:rPr>
          <w:sz w:val="24"/>
          <w:szCs w:val="24"/>
        </w:rPr>
        <w:t xml:space="preserve"> principal</w:t>
      </w:r>
      <w:r w:rsidR="00FF28C0">
        <w:rPr>
          <w:sz w:val="24"/>
          <w:szCs w:val="24"/>
        </w:rPr>
        <w:t xml:space="preserve"> balance</w:t>
      </w:r>
      <w:r w:rsidRPr="00A61DC9">
        <w:rPr>
          <w:sz w:val="24"/>
          <w:szCs w:val="24"/>
        </w:rPr>
        <w:t xml:space="preserve"> and $23,533 in carrying charges. </w:t>
      </w:r>
    </w:p>
    <w:p w14:paraId="12E525C6" w14:textId="3147BAD7" w:rsidR="00002C41" w:rsidRPr="00A61DC9" w:rsidRDefault="00002C41" w:rsidP="00DF35B6">
      <w:pPr>
        <w:pStyle w:val="TableParagraph"/>
        <w:numPr>
          <w:ilvl w:val="0"/>
          <w:numId w:val="18"/>
        </w:numPr>
        <w:spacing w:line="276" w:lineRule="auto"/>
        <w:ind w:right="222"/>
        <w:rPr>
          <w:sz w:val="24"/>
          <w:szCs w:val="24"/>
        </w:rPr>
      </w:pPr>
      <w:r w:rsidRPr="00A61DC9">
        <w:rPr>
          <w:sz w:val="24"/>
          <w:szCs w:val="24"/>
        </w:rPr>
        <w:t xml:space="preserve">Those amounts correspond to the differences in column BW of </w:t>
      </w:r>
      <w:r w:rsidR="00FF28C0">
        <w:rPr>
          <w:sz w:val="24"/>
          <w:szCs w:val="24"/>
        </w:rPr>
        <w:t xml:space="preserve">Tab </w:t>
      </w:r>
      <w:r w:rsidRPr="00A61DC9">
        <w:rPr>
          <w:sz w:val="24"/>
          <w:szCs w:val="24"/>
        </w:rPr>
        <w:t>3</w:t>
      </w:r>
      <w:r w:rsidR="00FF28C0">
        <w:rPr>
          <w:sz w:val="24"/>
          <w:szCs w:val="24"/>
        </w:rPr>
        <w:t xml:space="preserve"> of the</w:t>
      </w:r>
      <w:r w:rsidRPr="00A61DC9">
        <w:rPr>
          <w:sz w:val="24"/>
          <w:szCs w:val="24"/>
        </w:rPr>
        <w:t xml:space="preserve"> Continuity Schedule in the IRM Rate Generator for </w:t>
      </w:r>
      <w:r w:rsidR="005F7062">
        <w:rPr>
          <w:sz w:val="24"/>
          <w:szCs w:val="24"/>
        </w:rPr>
        <w:t>A</w:t>
      </w:r>
      <w:r w:rsidRPr="00A61DC9">
        <w:rPr>
          <w:sz w:val="24"/>
          <w:szCs w:val="24"/>
        </w:rPr>
        <w:t>ccounts 1588 and 1589.</w:t>
      </w:r>
    </w:p>
    <w:p w14:paraId="734400F1" w14:textId="77777777" w:rsidR="00002C41" w:rsidRPr="00A61DC9" w:rsidRDefault="00002C41" w:rsidP="00A61DC9">
      <w:pPr>
        <w:pStyle w:val="TableParagraph"/>
        <w:spacing w:line="276" w:lineRule="auto"/>
        <w:ind w:right="222"/>
        <w:rPr>
          <w:sz w:val="24"/>
          <w:szCs w:val="24"/>
        </w:rPr>
      </w:pPr>
    </w:p>
    <w:p w14:paraId="0133141C" w14:textId="1B2D1FEF" w:rsidR="006A6FB8" w:rsidRPr="00A61DC9" w:rsidRDefault="006A6FB8" w:rsidP="007A08AD">
      <w:pPr>
        <w:rPr>
          <w:rFonts w:ascii="Arial" w:hAnsi="Arial" w:cs="Arial"/>
          <w:bCs/>
          <w:sz w:val="24"/>
          <w:szCs w:val="24"/>
        </w:rPr>
      </w:pPr>
      <w:r w:rsidRPr="00A61DC9">
        <w:rPr>
          <w:rFonts w:ascii="Arial" w:hAnsi="Arial" w:cs="Arial"/>
          <w:sz w:val="24"/>
          <w:szCs w:val="24"/>
        </w:rPr>
        <w:t>Hydro Hawkesbury</w:t>
      </w:r>
      <w:r w:rsidRPr="00A61DC9">
        <w:rPr>
          <w:rFonts w:ascii="Arial" w:hAnsi="Arial" w:cs="Arial"/>
          <w:bCs/>
          <w:sz w:val="24"/>
          <w:szCs w:val="24"/>
        </w:rPr>
        <w:t xml:space="preserve"> filed an excel attachment, “Impact of new methodology” to show </w:t>
      </w:r>
      <w:r w:rsidR="005F7062">
        <w:rPr>
          <w:rFonts w:ascii="Arial" w:hAnsi="Arial" w:cs="Arial"/>
          <w:bCs/>
          <w:sz w:val="24"/>
          <w:szCs w:val="24"/>
        </w:rPr>
        <w:t xml:space="preserve">how the </w:t>
      </w:r>
      <w:r w:rsidRPr="00A61DC9">
        <w:rPr>
          <w:rFonts w:ascii="Arial" w:hAnsi="Arial" w:cs="Arial"/>
          <w:sz w:val="24"/>
          <w:szCs w:val="24"/>
        </w:rPr>
        <w:t>reclassification of $202,427 between Accounts 1588 and 1589</w:t>
      </w:r>
      <w:r w:rsidR="005F7062">
        <w:rPr>
          <w:rFonts w:ascii="Arial" w:hAnsi="Arial" w:cs="Arial"/>
          <w:sz w:val="24"/>
          <w:szCs w:val="24"/>
        </w:rPr>
        <w:t xml:space="preserve"> was quantified.</w:t>
      </w:r>
    </w:p>
    <w:p w14:paraId="44AE6DD7" w14:textId="70E3DC78" w:rsidR="0077601D" w:rsidRPr="0077601D" w:rsidRDefault="0077601D" w:rsidP="007A08AD">
      <w:pPr>
        <w:pStyle w:val="NoSpacing"/>
        <w:spacing w:line="276" w:lineRule="auto"/>
        <w:rPr>
          <w:rFonts w:ascii="Arial" w:hAnsi="Arial" w:cs="Arial"/>
          <w:sz w:val="24"/>
          <w:szCs w:val="24"/>
        </w:rPr>
      </w:pPr>
      <w:r w:rsidRPr="0077601D">
        <w:rPr>
          <w:rFonts w:ascii="Arial" w:hAnsi="Arial" w:cs="Arial"/>
          <w:sz w:val="24"/>
          <w:szCs w:val="24"/>
        </w:rPr>
        <w:t xml:space="preserve">An extract of the </w:t>
      </w:r>
      <w:r w:rsidR="00144F40" w:rsidRPr="00A61DC9">
        <w:rPr>
          <w:rFonts w:ascii="Arial" w:hAnsi="Arial" w:cs="Arial"/>
          <w:bCs/>
          <w:sz w:val="24"/>
          <w:szCs w:val="24"/>
        </w:rPr>
        <w:t xml:space="preserve">“Impact of new methodology” </w:t>
      </w:r>
      <w:r w:rsidR="00144F40">
        <w:rPr>
          <w:rFonts w:ascii="Arial" w:hAnsi="Arial" w:cs="Arial"/>
          <w:bCs/>
          <w:sz w:val="24"/>
          <w:szCs w:val="24"/>
        </w:rPr>
        <w:t xml:space="preserve">excel spreadsheet </w:t>
      </w:r>
      <w:r w:rsidRPr="0077601D">
        <w:rPr>
          <w:rFonts w:ascii="Arial" w:hAnsi="Arial" w:cs="Arial"/>
          <w:sz w:val="24"/>
          <w:szCs w:val="24"/>
        </w:rPr>
        <w:t xml:space="preserve">are provided for reference. OEB staff </w:t>
      </w:r>
      <w:r w:rsidR="00144F40">
        <w:rPr>
          <w:rFonts w:ascii="Arial" w:hAnsi="Arial" w:cs="Arial"/>
          <w:sz w:val="24"/>
          <w:szCs w:val="24"/>
        </w:rPr>
        <w:t>understands that the</w:t>
      </w:r>
      <w:r w:rsidRPr="0077601D">
        <w:rPr>
          <w:rFonts w:ascii="Arial" w:hAnsi="Arial" w:cs="Arial"/>
          <w:sz w:val="24"/>
          <w:szCs w:val="24"/>
        </w:rPr>
        <w:t xml:space="preserve"> values under the “Differences” row</w:t>
      </w:r>
      <w:r w:rsidR="00144F40">
        <w:rPr>
          <w:rFonts w:ascii="Arial" w:hAnsi="Arial" w:cs="Arial"/>
          <w:sz w:val="24"/>
          <w:szCs w:val="24"/>
        </w:rPr>
        <w:t xml:space="preserve"> refer</w:t>
      </w:r>
      <w:r w:rsidRPr="0077601D">
        <w:rPr>
          <w:rFonts w:ascii="Arial" w:hAnsi="Arial" w:cs="Arial"/>
          <w:sz w:val="24"/>
          <w:szCs w:val="24"/>
        </w:rPr>
        <w:t xml:space="preserve"> to the principal adjustments for 2017, 2018 and 2019. </w:t>
      </w:r>
    </w:p>
    <w:p w14:paraId="4CD20918" w14:textId="30B3CA4B" w:rsidR="0077601D" w:rsidRPr="0077601D" w:rsidRDefault="0077601D" w:rsidP="00A61DC9">
      <w:pPr>
        <w:pStyle w:val="NoSpacing"/>
        <w:rPr>
          <w:rFonts w:ascii="Arial" w:hAnsi="Arial" w:cs="Arial"/>
          <w:sz w:val="24"/>
          <w:szCs w:val="24"/>
        </w:rPr>
      </w:pPr>
    </w:p>
    <w:p w14:paraId="7C645A49" w14:textId="0EFB5961" w:rsidR="0077601D" w:rsidRDefault="0077601D" w:rsidP="00A61DC9">
      <w:pPr>
        <w:pStyle w:val="NoSpacing"/>
        <w:rPr>
          <w:rFonts w:ascii="Arial" w:hAnsi="Arial" w:cs="Arial"/>
          <w:sz w:val="24"/>
          <w:szCs w:val="24"/>
        </w:rPr>
      </w:pPr>
    </w:p>
    <w:p w14:paraId="5BA0849A" w14:textId="380BE1C9" w:rsidR="0077601D" w:rsidRDefault="0077601D" w:rsidP="00A61DC9">
      <w:pPr>
        <w:pStyle w:val="NoSpacing"/>
        <w:rPr>
          <w:rFonts w:ascii="Arial" w:hAnsi="Arial" w:cs="Arial"/>
          <w:sz w:val="24"/>
          <w:szCs w:val="24"/>
        </w:rPr>
      </w:pPr>
    </w:p>
    <w:p w14:paraId="3B78AC87" w14:textId="19B1BAE9" w:rsidR="0077601D" w:rsidRPr="0077601D" w:rsidRDefault="0077601D" w:rsidP="00A61DC9">
      <w:pPr>
        <w:pStyle w:val="NoSpacing"/>
        <w:rPr>
          <w:rFonts w:ascii="Arial" w:hAnsi="Arial" w:cs="Arial"/>
          <w:sz w:val="24"/>
          <w:szCs w:val="24"/>
        </w:rPr>
      </w:pPr>
      <w:r>
        <w:rPr>
          <w:rFonts w:ascii="Arial" w:hAnsi="Arial" w:cs="Arial"/>
          <w:sz w:val="24"/>
          <w:szCs w:val="24"/>
        </w:rPr>
        <w:lastRenderedPageBreak/>
        <w:t>Principal adjustments:</w:t>
      </w:r>
    </w:p>
    <w:p w14:paraId="32299016" w14:textId="531B50B6" w:rsidR="0077601D" w:rsidRDefault="0077601D" w:rsidP="00A61DC9">
      <w:pPr>
        <w:pStyle w:val="NoSpacing"/>
      </w:pPr>
      <w:r>
        <w:rPr>
          <w:noProof/>
        </w:rPr>
        <w:drawing>
          <wp:inline distT="0" distB="0" distL="0" distR="0" wp14:anchorId="495464E4" wp14:editId="44643DE3">
            <wp:extent cx="4540693" cy="2750127"/>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562081" cy="2763081"/>
                    </a:xfrm>
                    <a:prstGeom prst="rect">
                      <a:avLst/>
                    </a:prstGeom>
                  </pic:spPr>
                </pic:pic>
              </a:graphicData>
            </a:graphic>
          </wp:inline>
        </w:drawing>
      </w:r>
    </w:p>
    <w:p w14:paraId="59F435F3" w14:textId="535E563C" w:rsidR="0077601D" w:rsidRDefault="0077601D" w:rsidP="00A61DC9">
      <w:pPr>
        <w:pStyle w:val="NoSpacing"/>
      </w:pPr>
    </w:p>
    <w:p w14:paraId="651F2F56" w14:textId="25159B44" w:rsidR="0077601D" w:rsidRDefault="0077601D" w:rsidP="00A61DC9">
      <w:pPr>
        <w:pStyle w:val="NoSpacing"/>
      </w:pPr>
    </w:p>
    <w:p w14:paraId="67344765" w14:textId="1313169F" w:rsidR="0077601D" w:rsidRDefault="0077601D" w:rsidP="007A08AD">
      <w:pPr>
        <w:pStyle w:val="NoSpacing"/>
        <w:spacing w:line="276" w:lineRule="auto"/>
        <w:rPr>
          <w:rFonts w:ascii="Arial" w:hAnsi="Arial" w:cs="Arial"/>
          <w:sz w:val="24"/>
          <w:szCs w:val="24"/>
        </w:rPr>
      </w:pPr>
      <w:r w:rsidRPr="0077601D">
        <w:rPr>
          <w:rFonts w:ascii="Arial" w:hAnsi="Arial" w:cs="Arial"/>
          <w:sz w:val="24"/>
          <w:szCs w:val="24"/>
        </w:rPr>
        <w:t xml:space="preserve">The total </w:t>
      </w:r>
      <w:r>
        <w:rPr>
          <w:rFonts w:ascii="Arial" w:hAnsi="Arial" w:cs="Arial"/>
          <w:sz w:val="24"/>
          <w:szCs w:val="24"/>
        </w:rPr>
        <w:t xml:space="preserve">2017-2019 principal adjustment </w:t>
      </w:r>
      <w:r w:rsidRPr="0077601D">
        <w:rPr>
          <w:rFonts w:ascii="Arial" w:hAnsi="Arial" w:cs="Arial"/>
          <w:sz w:val="24"/>
          <w:szCs w:val="24"/>
        </w:rPr>
        <w:t xml:space="preserve">amount (inclusive of interest) is a credit </w:t>
      </w:r>
      <w:r>
        <w:rPr>
          <w:rFonts w:ascii="Arial" w:hAnsi="Arial" w:cs="Arial"/>
          <w:sz w:val="24"/>
          <w:szCs w:val="24"/>
        </w:rPr>
        <w:t xml:space="preserve">balance </w:t>
      </w:r>
      <w:r w:rsidRPr="0077601D">
        <w:rPr>
          <w:rFonts w:ascii="Arial" w:hAnsi="Arial" w:cs="Arial"/>
          <w:sz w:val="24"/>
          <w:szCs w:val="24"/>
        </w:rPr>
        <w:t xml:space="preserve">of $513,744, </w:t>
      </w:r>
      <w:r w:rsidR="00677FC2">
        <w:rPr>
          <w:rFonts w:ascii="Arial" w:hAnsi="Arial" w:cs="Arial"/>
          <w:sz w:val="24"/>
          <w:szCs w:val="24"/>
        </w:rPr>
        <w:t xml:space="preserve">and </w:t>
      </w:r>
      <w:r>
        <w:rPr>
          <w:rFonts w:ascii="Arial" w:hAnsi="Arial" w:cs="Arial"/>
          <w:sz w:val="24"/>
          <w:szCs w:val="24"/>
        </w:rPr>
        <w:t>the</w:t>
      </w:r>
      <w:r w:rsidRPr="0077601D">
        <w:rPr>
          <w:rFonts w:ascii="Arial" w:hAnsi="Arial" w:cs="Arial"/>
          <w:sz w:val="24"/>
          <w:szCs w:val="24"/>
        </w:rPr>
        <w:t xml:space="preserve"> reclassification of </w:t>
      </w:r>
      <w:r w:rsidRPr="005F7062">
        <w:rPr>
          <w:rFonts w:ascii="Arial" w:hAnsi="Arial" w:cs="Arial"/>
          <w:sz w:val="24"/>
          <w:szCs w:val="24"/>
        </w:rPr>
        <w:t xml:space="preserve">$202,427 </w:t>
      </w:r>
      <w:r w:rsidR="00C519B3">
        <w:rPr>
          <w:rFonts w:ascii="Arial" w:hAnsi="Arial" w:cs="Arial"/>
          <w:sz w:val="24"/>
          <w:szCs w:val="24"/>
        </w:rPr>
        <w:t xml:space="preserve">is shown to be calculated based on </w:t>
      </w:r>
      <w:r w:rsidR="00677FC2">
        <w:rPr>
          <w:rFonts w:ascii="Arial" w:hAnsi="Arial" w:cs="Arial"/>
          <w:sz w:val="24"/>
          <w:szCs w:val="24"/>
        </w:rPr>
        <w:t xml:space="preserve">the difference between </w:t>
      </w:r>
      <w:r w:rsidR="008A55B3">
        <w:rPr>
          <w:rFonts w:ascii="Arial" w:hAnsi="Arial" w:cs="Arial"/>
          <w:sz w:val="24"/>
          <w:szCs w:val="24"/>
        </w:rPr>
        <w:t>(</w:t>
      </w:r>
      <w:r w:rsidR="00677FC2">
        <w:rPr>
          <w:rFonts w:ascii="Arial" w:hAnsi="Arial" w:cs="Arial"/>
          <w:sz w:val="24"/>
          <w:szCs w:val="24"/>
        </w:rPr>
        <w:t>$716,171</w:t>
      </w:r>
      <w:r w:rsidR="008A55B3">
        <w:rPr>
          <w:rFonts w:ascii="Arial" w:hAnsi="Arial" w:cs="Arial"/>
          <w:sz w:val="24"/>
          <w:szCs w:val="24"/>
        </w:rPr>
        <w:t>)</w:t>
      </w:r>
      <w:r w:rsidR="00677FC2">
        <w:rPr>
          <w:rFonts w:ascii="Arial" w:hAnsi="Arial" w:cs="Arial"/>
          <w:sz w:val="24"/>
          <w:szCs w:val="24"/>
        </w:rPr>
        <w:t xml:space="preserve"> and </w:t>
      </w:r>
      <w:r w:rsidR="008A55B3">
        <w:rPr>
          <w:rFonts w:ascii="Arial" w:hAnsi="Arial" w:cs="Arial"/>
          <w:sz w:val="24"/>
          <w:szCs w:val="24"/>
        </w:rPr>
        <w:t>(</w:t>
      </w:r>
      <w:r w:rsidR="00677FC2">
        <w:rPr>
          <w:rFonts w:ascii="Arial" w:hAnsi="Arial" w:cs="Arial"/>
          <w:sz w:val="24"/>
          <w:szCs w:val="24"/>
        </w:rPr>
        <w:t>$513,744</w:t>
      </w:r>
      <w:r w:rsidR="008A55B3">
        <w:rPr>
          <w:rFonts w:ascii="Arial" w:hAnsi="Arial" w:cs="Arial"/>
          <w:sz w:val="24"/>
          <w:szCs w:val="24"/>
        </w:rPr>
        <w:t>)</w:t>
      </w:r>
      <w:r w:rsidR="00677FC2">
        <w:rPr>
          <w:rFonts w:ascii="Arial" w:hAnsi="Arial" w:cs="Arial"/>
          <w:sz w:val="24"/>
          <w:szCs w:val="24"/>
        </w:rPr>
        <w:t>.</w:t>
      </w:r>
    </w:p>
    <w:p w14:paraId="4FE90B9B" w14:textId="77777777" w:rsidR="00677FC2" w:rsidRDefault="00677FC2" w:rsidP="00A61DC9">
      <w:pPr>
        <w:pStyle w:val="NoSpacing"/>
        <w:rPr>
          <w:rFonts w:ascii="Arial" w:hAnsi="Arial" w:cs="Arial"/>
          <w:sz w:val="24"/>
          <w:szCs w:val="24"/>
        </w:rPr>
      </w:pPr>
    </w:p>
    <w:p w14:paraId="48F23580" w14:textId="12FF4CDC" w:rsidR="0077601D" w:rsidRDefault="0077601D" w:rsidP="00A61DC9">
      <w:pPr>
        <w:pStyle w:val="NoSpacing"/>
      </w:pPr>
      <w:r>
        <w:rPr>
          <w:noProof/>
        </w:rPr>
        <w:drawing>
          <wp:inline distT="0" distB="0" distL="0" distR="0" wp14:anchorId="7DBA8289" wp14:editId="156888C2">
            <wp:extent cx="4476444" cy="2729865"/>
            <wp:effectExtent l="0" t="0" r="63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506530" cy="2748212"/>
                    </a:xfrm>
                    <a:prstGeom prst="rect">
                      <a:avLst/>
                    </a:prstGeom>
                  </pic:spPr>
                </pic:pic>
              </a:graphicData>
            </a:graphic>
          </wp:inline>
        </w:drawing>
      </w:r>
    </w:p>
    <w:p w14:paraId="422AC15A" w14:textId="77777777" w:rsidR="0077601D" w:rsidRPr="00C519B3" w:rsidRDefault="0077601D" w:rsidP="00A61DC9">
      <w:pPr>
        <w:pStyle w:val="NoSpacing"/>
        <w:rPr>
          <w:rFonts w:ascii="Arial" w:hAnsi="Arial" w:cs="Arial"/>
          <w:sz w:val="24"/>
          <w:szCs w:val="24"/>
        </w:rPr>
      </w:pPr>
    </w:p>
    <w:p w14:paraId="5AEF55FB" w14:textId="77777777" w:rsidR="00C519B3" w:rsidRPr="00C519B3" w:rsidRDefault="00C519B3" w:rsidP="00C519B3">
      <w:pPr>
        <w:pStyle w:val="ListParagraph"/>
        <w:spacing w:after="160" w:line="259" w:lineRule="auto"/>
        <w:ind w:left="1080"/>
        <w:rPr>
          <w:rFonts w:ascii="Arial" w:hAnsi="Arial" w:cs="Arial"/>
          <w:sz w:val="24"/>
          <w:szCs w:val="24"/>
        </w:rPr>
      </w:pPr>
    </w:p>
    <w:p w14:paraId="0084FFAD" w14:textId="4DD1DD58" w:rsidR="00F243F1" w:rsidRDefault="00F243F1" w:rsidP="008F39A7">
      <w:pPr>
        <w:pStyle w:val="ListParagraph"/>
        <w:numPr>
          <w:ilvl w:val="0"/>
          <w:numId w:val="12"/>
        </w:numPr>
        <w:rPr>
          <w:rFonts w:ascii="Arial" w:hAnsi="Arial" w:cs="Arial"/>
          <w:bCs/>
          <w:sz w:val="24"/>
          <w:szCs w:val="24"/>
        </w:rPr>
      </w:pPr>
      <w:r>
        <w:rPr>
          <w:rFonts w:ascii="Arial" w:hAnsi="Arial" w:cs="Arial"/>
          <w:bCs/>
          <w:sz w:val="24"/>
          <w:szCs w:val="24"/>
        </w:rPr>
        <w:t xml:space="preserve">Please clarify what is meant when a reclassification of </w:t>
      </w:r>
      <w:r w:rsidRPr="005F7062">
        <w:rPr>
          <w:rFonts w:ascii="Arial" w:hAnsi="Arial" w:cs="Arial"/>
          <w:sz w:val="24"/>
          <w:szCs w:val="24"/>
        </w:rPr>
        <w:t>$202,427</w:t>
      </w:r>
      <w:r>
        <w:rPr>
          <w:rFonts w:ascii="Arial" w:hAnsi="Arial" w:cs="Arial"/>
          <w:sz w:val="24"/>
          <w:szCs w:val="24"/>
        </w:rPr>
        <w:t xml:space="preserve"> is eliminated.</w:t>
      </w:r>
    </w:p>
    <w:p w14:paraId="48BCA1E1" w14:textId="77777777" w:rsidR="00F243F1" w:rsidRPr="00F243F1" w:rsidRDefault="00F243F1" w:rsidP="00F243F1">
      <w:pPr>
        <w:pStyle w:val="ListParagraph"/>
        <w:ind w:left="1080"/>
        <w:rPr>
          <w:rFonts w:ascii="Arial" w:hAnsi="Arial" w:cs="Arial"/>
          <w:bCs/>
          <w:sz w:val="24"/>
          <w:szCs w:val="24"/>
        </w:rPr>
      </w:pPr>
    </w:p>
    <w:p w14:paraId="2B659983" w14:textId="6D2A0815" w:rsidR="00AF5734" w:rsidRPr="00C519B3" w:rsidRDefault="00AF5734" w:rsidP="008F39A7">
      <w:pPr>
        <w:pStyle w:val="ListParagraph"/>
        <w:numPr>
          <w:ilvl w:val="0"/>
          <w:numId w:val="12"/>
        </w:numPr>
        <w:rPr>
          <w:rFonts w:ascii="Arial" w:hAnsi="Arial" w:cs="Arial"/>
          <w:bCs/>
          <w:sz w:val="24"/>
          <w:szCs w:val="24"/>
        </w:rPr>
      </w:pPr>
      <w:r w:rsidRPr="00C519B3">
        <w:rPr>
          <w:rFonts w:ascii="Arial" w:hAnsi="Arial" w:cs="Arial"/>
          <w:sz w:val="24"/>
          <w:szCs w:val="24"/>
        </w:rPr>
        <w:t>What are</w:t>
      </w:r>
      <w:r>
        <w:rPr>
          <w:rFonts w:ascii="Arial" w:hAnsi="Arial" w:cs="Arial"/>
          <w:sz w:val="24"/>
          <w:szCs w:val="24"/>
        </w:rPr>
        <w:t xml:space="preserve"> the key reasons </w:t>
      </w:r>
      <w:r w:rsidR="00677FC2">
        <w:rPr>
          <w:rFonts w:ascii="Arial" w:hAnsi="Arial" w:cs="Arial"/>
          <w:sz w:val="24"/>
          <w:szCs w:val="24"/>
        </w:rPr>
        <w:t>for the change in</w:t>
      </w:r>
      <w:r>
        <w:rPr>
          <w:rFonts w:ascii="Arial" w:hAnsi="Arial" w:cs="Arial"/>
          <w:sz w:val="24"/>
          <w:szCs w:val="24"/>
        </w:rPr>
        <w:t xml:space="preserve"> </w:t>
      </w:r>
      <w:r w:rsidR="00677FC2">
        <w:rPr>
          <w:rFonts w:ascii="Arial" w:hAnsi="Arial" w:cs="Arial"/>
          <w:sz w:val="24"/>
          <w:szCs w:val="24"/>
        </w:rPr>
        <w:t xml:space="preserve">2017, 2018 and 2019 </w:t>
      </w:r>
      <w:r>
        <w:rPr>
          <w:rFonts w:ascii="Arial" w:hAnsi="Arial" w:cs="Arial"/>
          <w:sz w:val="24"/>
          <w:szCs w:val="24"/>
        </w:rPr>
        <w:t xml:space="preserve">transactions </w:t>
      </w:r>
      <w:r w:rsidR="0077601D">
        <w:rPr>
          <w:rFonts w:ascii="Arial" w:hAnsi="Arial" w:cs="Arial"/>
          <w:sz w:val="24"/>
          <w:szCs w:val="24"/>
        </w:rPr>
        <w:t xml:space="preserve">as a </w:t>
      </w:r>
      <w:r>
        <w:rPr>
          <w:rFonts w:ascii="Arial" w:hAnsi="Arial" w:cs="Arial"/>
          <w:sz w:val="24"/>
          <w:szCs w:val="24"/>
        </w:rPr>
        <w:t xml:space="preserve">result </w:t>
      </w:r>
      <w:r w:rsidR="0077601D">
        <w:rPr>
          <w:rFonts w:ascii="Arial" w:hAnsi="Arial" w:cs="Arial"/>
          <w:sz w:val="24"/>
          <w:szCs w:val="24"/>
        </w:rPr>
        <w:t>of</w:t>
      </w:r>
      <w:r>
        <w:rPr>
          <w:rFonts w:ascii="Arial" w:hAnsi="Arial" w:cs="Arial"/>
          <w:sz w:val="24"/>
          <w:szCs w:val="24"/>
        </w:rPr>
        <w:t xml:space="preserve"> </w:t>
      </w:r>
      <w:r w:rsidR="00677FC2">
        <w:rPr>
          <w:rFonts w:ascii="Arial" w:hAnsi="Arial" w:cs="Arial"/>
          <w:sz w:val="24"/>
          <w:szCs w:val="24"/>
        </w:rPr>
        <w:t>the</w:t>
      </w:r>
      <w:r w:rsidR="0077601D">
        <w:rPr>
          <w:rFonts w:ascii="Arial" w:hAnsi="Arial" w:cs="Arial"/>
          <w:sz w:val="24"/>
          <w:szCs w:val="24"/>
        </w:rPr>
        <w:t xml:space="preserve"> implement</w:t>
      </w:r>
      <w:r w:rsidR="00677FC2">
        <w:rPr>
          <w:rFonts w:ascii="Arial" w:hAnsi="Arial" w:cs="Arial"/>
          <w:sz w:val="24"/>
          <w:szCs w:val="24"/>
        </w:rPr>
        <w:t>ation of</w:t>
      </w:r>
      <w:r w:rsidR="0077601D">
        <w:rPr>
          <w:rFonts w:ascii="Arial" w:hAnsi="Arial" w:cs="Arial"/>
          <w:sz w:val="24"/>
          <w:szCs w:val="24"/>
        </w:rPr>
        <w:t xml:space="preserve"> the OEB</w:t>
      </w:r>
      <w:r>
        <w:rPr>
          <w:rFonts w:ascii="Arial" w:hAnsi="Arial" w:cs="Arial"/>
          <w:sz w:val="24"/>
          <w:szCs w:val="24"/>
        </w:rPr>
        <w:t xml:space="preserve"> accounting </w:t>
      </w:r>
      <w:r w:rsidR="0077601D">
        <w:rPr>
          <w:rFonts w:ascii="Arial" w:hAnsi="Arial" w:cs="Arial"/>
          <w:sz w:val="24"/>
          <w:szCs w:val="24"/>
        </w:rPr>
        <w:t>guidance?</w:t>
      </w:r>
    </w:p>
    <w:p w14:paraId="59762BF8" w14:textId="77777777" w:rsidR="00C519B3" w:rsidRPr="00C519B3" w:rsidRDefault="00C519B3" w:rsidP="00C519B3">
      <w:pPr>
        <w:pStyle w:val="ListParagraph"/>
        <w:rPr>
          <w:rFonts w:ascii="Arial" w:hAnsi="Arial" w:cs="Arial"/>
          <w:bCs/>
          <w:sz w:val="24"/>
          <w:szCs w:val="24"/>
        </w:rPr>
      </w:pPr>
    </w:p>
    <w:p w14:paraId="3C2CFADC" w14:textId="5E0CAD6D" w:rsidR="008F39A7" w:rsidRPr="007A08AD" w:rsidRDefault="00C519B3" w:rsidP="007A08AD">
      <w:pPr>
        <w:pStyle w:val="ListParagraph"/>
        <w:numPr>
          <w:ilvl w:val="0"/>
          <w:numId w:val="12"/>
        </w:numPr>
        <w:rPr>
          <w:rFonts w:ascii="Arial" w:hAnsi="Arial" w:cs="Arial"/>
          <w:sz w:val="24"/>
          <w:szCs w:val="24"/>
        </w:rPr>
      </w:pPr>
      <w:r w:rsidRPr="005F2F7F">
        <w:rPr>
          <w:rFonts w:ascii="Arial" w:hAnsi="Arial" w:cs="Arial"/>
          <w:bCs/>
          <w:sz w:val="24"/>
          <w:szCs w:val="24"/>
        </w:rPr>
        <w:t xml:space="preserve">Please </w:t>
      </w:r>
      <w:r w:rsidR="00F05800" w:rsidRPr="005F2F7F">
        <w:rPr>
          <w:rFonts w:ascii="Arial" w:hAnsi="Arial" w:cs="Arial"/>
          <w:bCs/>
          <w:sz w:val="24"/>
          <w:szCs w:val="24"/>
        </w:rPr>
        <w:t>confirm</w:t>
      </w:r>
      <w:r w:rsidRPr="005F2F7F">
        <w:rPr>
          <w:rFonts w:ascii="Arial" w:hAnsi="Arial" w:cs="Arial"/>
          <w:bCs/>
          <w:sz w:val="24"/>
          <w:szCs w:val="24"/>
        </w:rPr>
        <w:t xml:space="preserve"> </w:t>
      </w:r>
      <w:r w:rsidR="003D211D">
        <w:rPr>
          <w:rFonts w:ascii="Arial" w:hAnsi="Arial" w:cs="Arial"/>
          <w:bCs/>
          <w:sz w:val="24"/>
          <w:szCs w:val="24"/>
        </w:rPr>
        <w:t xml:space="preserve">whether </w:t>
      </w:r>
      <w:r w:rsidR="005D54CA">
        <w:rPr>
          <w:rFonts w:ascii="Arial" w:hAnsi="Arial" w:cs="Arial"/>
          <w:bCs/>
          <w:sz w:val="24"/>
          <w:szCs w:val="24"/>
        </w:rPr>
        <w:t>an</w:t>
      </w:r>
      <w:r w:rsidRPr="005F2F7F">
        <w:rPr>
          <w:rFonts w:ascii="Arial" w:hAnsi="Arial" w:cs="Arial"/>
          <w:bCs/>
          <w:sz w:val="24"/>
          <w:szCs w:val="24"/>
        </w:rPr>
        <w:t xml:space="preserve"> amendment to RRR 2.1.7 for Account</w:t>
      </w:r>
      <w:r w:rsidR="00AE1950">
        <w:rPr>
          <w:rFonts w:ascii="Arial" w:hAnsi="Arial" w:cs="Arial"/>
          <w:bCs/>
          <w:sz w:val="24"/>
          <w:szCs w:val="24"/>
        </w:rPr>
        <w:t>s</w:t>
      </w:r>
      <w:r w:rsidRPr="005F2F7F">
        <w:rPr>
          <w:rFonts w:ascii="Arial" w:hAnsi="Arial" w:cs="Arial"/>
          <w:bCs/>
          <w:sz w:val="24"/>
          <w:szCs w:val="24"/>
        </w:rPr>
        <w:t xml:space="preserve"> 1588 and 1589 </w:t>
      </w:r>
      <w:r w:rsidR="003D211D">
        <w:rPr>
          <w:rFonts w:ascii="Arial" w:hAnsi="Arial" w:cs="Arial"/>
          <w:bCs/>
          <w:sz w:val="24"/>
          <w:szCs w:val="24"/>
        </w:rPr>
        <w:t xml:space="preserve">in the DVA Continuity Schedule is required in order </w:t>
      </w:r>
      <w:r w:rsidRPr="005F2F7F">
        <w:rPr>
          <w:rFonts w:ascii="Arial" w:hAnsi="Arial" w:cs="Arial"/>
          <w:bCs/>
          <w:sz w:val="24"/>
          <w:szCs w:val="24"/>
        </w:rPr>
        <w:t xml:space="preserve">to reflect the elimination of the </w:t>
      </w:r>
      <w:r w:rsidRPr="005F2F7F">
        <w:rPr>
          <w:rFonts w:ascii="Arial" w:hAnsi="Arial" w:cs="Arial"/>
          <w:sz w:val="24"/>
          <w:szCs w:val="24"/>
        </w:rPr>
        <w:t xml:space="preserve">$202,427 </w:t>
      </w:r>
      <w:r w:rsidRPr="007A08AD">
        <w:rPr>
          <w:rFonts w:ascii="Arial" w:hAnsi="Arial" w:cs="Arial"/>
          <w:sz w:val="24"/>
          <w:szCs w:val="24"/>
        </w:rPr>
        <w:t>reclassification</w:t>
      </w:r>
      <w:r w:rsidR="00F05800" w:rsidRPr="007A08AD">
        <w:rPr>
          <w:rFonts w:ascii="Arial" w:hAnsi="Arial" w:cs="Arial"/>
          <w:sz w:val="24"/>
          <w:szCs w:val="24"/>
        </w:rPr>
        <w:t xml:space="preserve"> amount</w:t>
      </w:r>
      <w:r w:rsidRPr="007A08AD">
        <w:rPr>
          <w:rFonts w:ascii="Arial" w:hAnsi="Arial" w:cs="Arial"/>
          <w:sz w:val="24"/>
          <w:szCs w:val="24"/>
        </w:rPr>
        <w:t>.</w:t>
      </w:r>
      <w:r w:rsidR="003D211D">
        <w:rPr>
          <w:rFonts w:ascii="Arial" w:hAnsi="Arial" w:cs="Arial"/>
          <w:sz w:val="24"/>
          <w:szCs w:val="24"/>
        </w:rPr>
        <w:t xml:space="preserve"> If yes, please confirm what change is required and OEB staff </w:t>
      </w:r>
      <w:r w:rsidR="005D54CA">
        <w:rPr>
          <w:rFonts w:ascii="Arial" w:hAnsi="Arial" w:cs="Arial"/>
          <w:sz w:val="24"/>
          <w:szCs w:val="24"/>
        </w:rPr>
        <w:t>can</w:t>
      </w:r>
      <w:r w:rsidR="003D211D">
        <w:rPr>
          <w:rFonts w:ascii="Arial" w:hAnsi="Arial" w:cs="Arial"/>
          <w:sz w:val="24"/>
          <w:szCs w:val="24"/>
        </w:rPr>
        <w:t xml:space="preserve"> assist </w:t>
      </w:r>
      <w:r w:rsidR="00AA6F0C">
        <w:rPr>
          <w:rFonts w:ascii="Arial" w:hAnsi="Arial" w:cs="Arial"/>
          <w:sz w:val="24"/>
          <w:szCs w:val="24"/>
        </w:rPr>
        <w:t xml:space="preserve">in </w:t>
      </w:r>
      <w:r w:rsidR="003D211D">
        <w:rPr>
          <w:rFonts w:ascii="Arial" w:hAnsi="Arial" w:cs="Arial"/>
          <w:sz w:val="24"/>
          <w:szCs w:val="24"/>
        </w:rPr>
        <w:t xml:space="preserve">correcting the RRR 2.1.7 balances. </w:t>
      </w:r>
    </w:p>
    <w:p w14:paraId="57602229" w14:textId="77777777" w:rsidR="00400587" w:rsidRPr="00C519B3" w:rsidRDefault="00400587" w:rsidP="007A08AD">
      <w:pPr>
        <w:pStyle w:val="ListParagraph"/>
        <w:ind w:left="1080"/>
        <w:rPr>
          <w:rFonts w:ascii="Arial" w:hAnsi="Arial" w:cs="Arial"/>
          <w:bCs/>
          <w:sz w:val="24"/>
          <w:szCs w:val="24"/>
        </w:rPr>
      </w:pPr>
    </w:p>
    <w:p w14:paraId="087CDC64" w14:textId="77777777" w:rsidR="00F05800" w:rsidRPr="008F39A7" w:rsidRDefault="00F05800" w:rsidP="008F39A7">
      <w:pPr>
        <w:pStyle w:val="ListParagraph"/>
        <w:ind w:left="1080"/>
        <w:rPr>
          <w:rFonts w:ascii="Arial" w:hAnsi="Arial" w:cs="Arial"/>
          <w:bCs/>
          <w:sz w:val="24"/>
          <w:szCs w:val="24"/>
        </w:rPr>
      </w:pPr>
    </w:p>
    <w:p w14:paraId="3A5799F1" w14:textId="678D4751" w:rsidR="00A350EF" w:rsidRDefault="00A350EF" w:rsidP="00A350EF">
      <w:pPr>
        <w:pStyle w:val="Heading2"/>
        <w:rPr>
          <w:b w:val="0"/>
        </w:rPr>
      </w:pPr>
      <w:r>
        <w:t>Staff Question-</w:t>
      </w:r>
      <w:r w:rsidR="006A6FB8">
        <w:t>4</w:t>
      </w:r>
    </w:p>
    <w:p w14:paraId="4DB97A7B" w14:textId="77777777" w:rsidR="00A350EF" w:rsidRPr="002104AF" w:rsidRDefault="00A350EF" w:rsidP="00A350EF">
      <w:pPr>
        <w:rPr>
          <w:rFonts w:ascii="Arial" w:hAnsi="Arial" w:cs="Arial"/>
          <w:bCs/>
          <w:sz w:val="24"/>
          <w:szCs w:val="24"/>
        </w:rPr>
      </w:pPr>
      <w:r w:rsidRPr="002104AF">
        <w:rPr>
          <w:rFonts w:ascii="Arial" w:hAnsi="Arial" w:cs="Arial"/>
          <w:bCs/>
          <w:sz w:val="24"/>
          <w:szCs w:val="24"/>
        </w:rPr>
        <w:t>Ref:</w:t>
      </w:r>
      <w:r w:rsidRPr="002104AF">
        <w:rPr>
          <w:rFonts w:ascii="Arial" w:hAnsi="Arial" w:cs="Arial"/>
          <w:bCs/>
          <w:sz w:val="24"/>
          <w:szCs w:val="24"/>
        </w:rPr>
        <w:tab/>
        <w:t xml:space="preserve">Application, </w:t>
      </w:r>
      <w:r w:rsidRPr="002104AF">
        <w:rPr>
          <w:rFonts w:ascii="Arial" w:hAnsi="Arial" w:cs="Arial"/>
          <w:sz w:val="24"/>
          <w:szCs w:val="24"/>
        </w:rPr>
        <w:t>page 18</w:t>
      </w:r>
    </w:p>
    <w:p w14:paraId="5F9CA8E8" w14:textId="77777777" w:rsidR="00A350EF" w:rsidRDefault="00A350EF" w:rsidP="00A350EF">
      <w:pPr>
        <w:rPr>
          <w:rFonts w:ascii="Arial" w:hAnsi="Arial" w:cs="Arial"/>
          <w:sz w:val="24"/>
          <w:szCs w:val="24"/>
        </w:rPr>
      </w:pPr>
      <w:r w:rsidRPr="002104AF">
        <w:rPr>
          <w:rFonts w:ascii="Arial" w:hAnsi="Arial" w:cs="Arial"/>
          <w:sz w:val="24"/>
          <w:szCs w:val="24"/>
        </w:rPr>
        <w:t xml:space="preserve">Typically, large balances are not expected for Account 1588 as it should only hold the variance between commodity costs based on actual line losses and commodity revenues calculated using values for line losses approved by the OEB in the utility’s last rebasing application. </w:t>
      </w:r>
    </w:p>
    <w:p w14:paraId="1808BF86" w14:textId="77777777" w:rsidR="00A350EF" w:rsidRPr="002104AF" w:rsidRDefault="00A350EF" w:rsidP="00A350EF">
      <w:pPr>
        <w:rPr>
          <w:rFonts w:ascii="Arial" w:hAnsi="Arial" w:cs="Arial"/>
          <w:sz w:val="24"/>
          <w:szCs w:val="24"/>
        </w:rPr>
      </w:pPr>
      <w:r w:rsidRPr="002104AF">
        <w:rPr>
          <w:rFonts w:ascii="Arial" w:hAnsi="Arial" w:cs="Arial"/>
          <w:sz w:val="24"/>
          <w:szCs w:val="24"/>
        </w:rPr>
        <w:t>Based on RRR data filed for Hawkesbury Hydro for Account 4705 Cost of Power, OEB staff calculate</w:t>
      </w:r>
      <w:r>
        <w:rPr>
          <w:rFonts w:ascii="Arial" w:hAnsi="Arial" w:cs="Arial"/>
          <w:sz w:val="24"/>
          <w:szCs w:val="24"/>
        </w:rPr>
        <w:t>d, in the table below,</w:t>
      </w:r>
      <w:r w:rsidRPr="002104AF">
        <w:rPr>
          <w:rFonts w:ascii="Arial" w:hAnsi="Arial" w:cs="Arial"/>
          <w:sz w:val="24"/>
          <w:szCs w:val="24"/>
        </w:rPr>
        <w:t xml:space="preserve"> the annual net activity (i.e. transactions plus principal adjustments) from the DVA Continuity Schedule as a percentage of annual Account 4705 to be as follows:</w:t>
      </w:r>
    </w:p>
    <w:p w14:paraId="22A83918" w14:textId="77777777" w:rsidR="00A350EF" w:rsidRPr="002104AF" w:rsidRDefault="00A350EF" w:rsidP="00A350EF">
      <w:pPr>
        <w:rPr>
          <w:rFonts w:ascii="Arial" w:hAnsi="Arial" w:cs="Arial"/>
          <w:sz w:val="24"/>
          <w:szCs w:val="24"/>
        </w:rPr>
      </w:pPr>
      <w:r w:rsidRPr="002104AF">
        <w:rPr>
          <w:rFonts w:ascii="Arial" w:hAnsi="Arial" w:cs="Arial"/>
          <w:noProof/>
          <w:sz w:val="24"/>
          <w:szCs w:val="24"/>
        </w:rPr>
        <w:drawing>
          <wp:inline distT="0" distB="0" distL="0" distR="0" wp14:anchorId="0A39E5A3" wp14:editId="6A2B5BE1">
            <wp:extent cx="5147945" cy="136779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47945" cy="1367790"/>
                    </a:xfrm>
                    <a:prstGeom prst="rect">
                      <a:avLst/>
                    </a:prstGeom>
                    <a:noFill/>
                    <a:ln>
                      <a:noFill/>
                    </a:ln>
                  </pic:spPr>
                </pic:pic>
              </a:graphicData>
            </a:graphic>
          </wp:inline>
        </w:drawing>
      </w:r>
    </w:p>
    <w:p w14:paraId="2AA31726" w14:textId="61ECA64C" w:rsidR="00A350EF" w:rsidRPr="002104AF" w:rsidRDefault="00A350EF" w:rsidP="00A350EF">
      <w:pPr>
        <w:pStyle w:val="ListParagraph"/>
        <w:numPr>
          <w:ilvl w:val="0"/>
          <w:numId w:val="9"/>
        </w:numPr>
        <w:spacing w:after="160"/>
        <w:rPr>
          <w:rFonts w:ascii="Arial" w:hAnsi="Arial" w:cs="Arial"/>
          <w:sz w:val="24"/>
          <w:szCs w:val="24"/>
        </w:rPr>
      </w:pPr>
      <w:r w:rsidRPr="002104AF">
        <w:rPr>
          <w:rFonts w:ascii="Arial" w:hAnsi="Arial" w:cs="Arial"/>
          <w:sz w:val="24"/>
          <w:szCs w:val="24"/>
        </w:rPr>
        <w:t>Please confirm this calculation or</w:t>
      </w:r>
      <w:r w:rsidR="007F00BC">
        <w:rPr>
          <w:rFonts w:ascii="Arial" w:hAnsi="Arial" w:cs="Arial"/>
          <w:sz w:val="24"/>
          <w:szCs w:val="24"/>
        </w:rPr>
        <w:t>, if necessary,</w:t>
      </w:r>
      <w:r w:rsidRPr="002104AF">
        <w:rPr>
          <w:rFonts w:ascii="Arial" w:hAnsi="Arial" w:cs="Arial"/>
          <w:sz w:val="24"/>
          <w:szCs w:val="24"/>
        </w:rPr>
        <w:t xml:space="preserve"> provide a revised calculation.</w:t>
      </w:r>
    </w:p>
    <w:p w14:paraId="4DBBE6F1" w14:textId="77777777" w:rsidR="00A350EF" w:rsidRPr="002104AF" w:rsidRDefault="00A350EF" w:rsidP="00A350EF">
      <w:pPr>
        <w:pStyle w:val="ListParagraph"/>
        <w:rPr>
          <w:rFonts w:ascii="Arial" w:hAnsi="Arial" w:cs="Arial"/>
          <w:sz w:val="24"/>
          <w:szCs w:val="24"/>
        </w:rPr>
      </w:pPr>
    </w:p>
    <w:p w14:paraId="3C979919" w14:textId="4E2F5353" w:rsidR="00A350EF" w:rsidRPr="002104AF" w:rsidRDefault="00A350EF" w:rsidP="00A350EF">
      <w:pPr>
        <w:pStyle w:val="ListParagraph"/>
        <w:numPr>
          <w:ilvl w:val="0"/>
          <w:numId w:val="9"/>
        </w:numPr>
        <w:rPr>
          <w:rFonts w:ascii="Arial" w:hAnsi="Arial" w:cs="Arial"/>
          <w:sz w:val="24"/>
          <w:szCs w:val="24"/>
        </w:rPr>
      </w:pPr>
      <w:r w:rsidRPr="002104AF">
        <w:rPr>
          <w:rFonts w:ascii="Arial" w:hAnsi="Arial" w:cs="Arial"/>
          <w:sz w:val="24"/>
          <w:szCs w:val="24"/>
        </w:rPr>
        <w:t>For year(s) where the percentage is greater than +/-1%, please provide an explanation as to why the</w:t>
      </w:r>
      <w:r w:rsidR="007F00BC">
        <w:rPr>
          <w:rFonts w:ascii="Arial" w:hAnsi="Arial" w:cs="Arial"/>
          <w:sz w:val="24"/>
          <w:szCs w:val="24"/>
        </w:rPr>
        <w:t xml:space="preserve"> sum of the transactions in</w:t>
      </w:r>
      <w:r w:rsidRPr="002104AF">
        <w:rPr>
          <w:rFonts w:ascii="Arial" w:hAnsi="Arial" w:cs="Arial"/>
          <w:sz w:val="24"/>
          <w:szCs w:val="24"/>
        </w:rPr>
        <w:t xml:space="preserve"> Account 1588 </w:t>
      </w:r>
      <w:r w:rsidR="00CF6C24">
        <w:rPr>
          <w:rFonts w:ascii="Arial" w:hAnsi="Arial" w:cs="Arial"/>
          <w:sz w:val="24"/>
          <w:szCs w:val="24"/>
        </w:rPr>
        <w:t>is</w:t>
      </w:r>
      <w:r w:rsidR="007F00BC">
        <w:rPr>
          <w:rFonts w:ascii="Arial" w:hAnsi="Arial" w:cs="Arial"/>
          <w:sz w:val="24"/>
          <w:szCs w:val="24"/>
        </w:rPr>
        <w:t xml:space="preserve"> relatively large</w:t>
      </w:r>
      <w:r w:rsidRPr="002104AF">
        <w:rPr>
          <w:rFonts w:ascii="Arial" w:hAnsi="Arial" w:cs="Arial"/>
          <w:sz w:val="24"/>
          <w:szCs w:val="24"/>
        </w:rPr>
        <w:t>.</w:t>
      </w:r>
    </w:p>
    <w:p w14:paraId="1ED91CFD" w14:textId="77777777" w:rsidR="00A350EF" w:rsidRPr="002104AF" w:rsidRDefault="00A350EF" w:rsidP="00A350EF">
      <w:pPr>
        <w:pStyle w:val="NoSpacing"/>
      </w:pPr>
    </w:p>
    <w:p w14:paraId="15AB220D" w14:textId="3E21BE17" w:rsidR="00A350EF" w:rsidRDefault="00A350EF" w:rsidP="00A350EF">
      <w:pPr>
        <w:pStyle w:val="Heading2"/>
        <w:rPr>
          <w:szCs w:val="24"/>
        </w:rPr>
      </w:pPr>
      <w:r w:rsidRPr="00E54054">
        <w:rPr>
          <w:szCs w:val="24"/>
        </w:rPr>
        <w:t>Staff Question-</w:t>
      </w:r>
      <w:r w:rsidR="006A6FB8">
        <w:rPr>
          <w:szCs w:val="24"/>
        </w:rPr>
        <w:t>5</w:t>
      </w:r>
    </w:p>
    <w:p w14:paraId="6145F735" w14:textId="77777777" w:rsidR="00A350EF" w:rsidRPr="00A31531" w:rsidRDefault="00A350EF" w:rsidP="00A350EF">
      <w:pPr>
        <w:pStyle w:val="NoSpacing"/>
        <w:rPr>
          <w:rFonts w:ascii="Arial" w:hAnsi="Arial" w:cs="Arial"/>
          <w:sz w:val="24"/>
          <w:szCs w:val="24"/>
        </w:rPr>
      </w:pPr>
      <w:r w:rsidRPr="00A31531">
        <w:rPr>
          <w:rFonts w:ascii="Arial" w:hAnsi="Arial" w:cs="Arial"/>
          <w:sz w:val="24"/>
          <w:szCs w:val="24"/>
        </w:rPr>
        <w:t>Ref:</w:t>
      </w:r>
      <w:r w:rsidRPr="00A31531">
        <w:rPr>
          <w:rFonts w:ascii="Arial" w:hAnsi="Arial" w:cs="Arial"/>
          <w:sz w:val="24"/>
          <w:szCs w:val="24"/>
        </w:rPr>
        <w:tab/>
        <w:t>Application, pages 17-18</w:t>
      </w:r>
    </w:p>
    <w:p w14:paraId="542985B8" w14:textId="77777777" w:rsidR="00A350EF" w:rsidRPr="00A31531" w:rsidRDefault="00A350EF" w:rsidP="00A350EF">
      <w:pPr>
        <w:pStyle w:val="NoSpacing"/>
        <w:ind w:firstLine="720"/>
        <w:rPr>
          <w:rFonts w:ascii="Arial" w:hAnsi="Arial" w:cs="Arial"/>
          <w:sz w:val="24"/>
          <w:szCs w:val="24"/>
        </w:rPr>
      </w:pPr>
      <w:r w:rsidRPr="00A31531">
        <w:rPr>
          <w:rFonts w:ascii="Arial" w:hAnsi="Arial" w:cs="Arial"/>
          <w:sz w:val="24"/>
          <w:szCs w:val="24"/>
        </w:rPr>
        <w:t xml:space="preserve">GA Analysis </w:t>
      </w:r>
      <w:proofErr w:type="spellStart"/>
      <w:r w:rsidRPr="00A31531">
        <w:rPr>
          <w:rFonts w:ascii="Arial" w:hAnsi="Arial" w:cs="Arial"/>
          <w:sz w:val="24"/>
          <w:szCs w:val="24"/>
        </w:rPr>
        <w:t>Workform</w:t>
      </w:r>
      <w:proofErr w:type="spellEnd"/>
      <w:r>
        <w:rPr>
          <w:rFonts w:ascii="Arial" w:hAnsi="Arial" w:cs="Arial"/>
          <w:sz w:val="24"/>
          <w:szCs w:val="24"/>
        </w:rPr>
        <w:t xml:space="preserve"> </w:t>
      </w:r>
    </w:p>
    <w:p w14:paraId="57FBB909" w14:textId="77777777" w:rsidR="00A350EF" w:rsidRPr="00A31531" w:rsidRDefault="00A350EF" w:rsidP="00A350EF">
      <w:pPr>
        <w:pStyle w:val="NoSpacing"/>
        <w:rPr>
          <w:rFonts w:ascii="Arial" w:hAnsi="Arial" w:cs="Arial"/>
          <w:sz w:val="24"/>
          <w:szCs w:val="24"/>
        </w:rPr>
      </w:pPr>
      <w:r w:rsidRPr="00A31531">
        <w:rPr>
          <w:rFonts w:ascii="Arial" w:hAnsi="Arial" w:cs="Arial"/>
          <w:sz w:val="24"/>
          <w:szCs w:val="24"/>
        </w:rPr>
        <w:tab/>
      </w:r>
    </w:p>
    <w:p w14:paraId="6EF67C43" w14:textId="77777777" w:rsidR="00A350EF" w:rsidRPr="00D91AE1" w:rsidRDefault="00A350EF" w:rsidP="00A350EF">
      <w:pPr>
        <w:rPr>
          <w:rFonts w:ascii="Arial" w:hAnsi="Arial" w:cs="Arial"/>
          <w:sz w:val="24"/>
          <w:szCs w:val="24"/>
        </w:rPr>
      </w:pPr>
      <w:r w:rsidRPr="00D91AE1">
        <w:rPr>
          <w:rFonts w:ascii="Arial" w:hAnsi="Arial" w:cs="Arial"/>
          <w:sz w:val="24"/>
          <w:szCs w:val="24"/>
        </w:rPr>
        <w:t xml:space="preserve">The following explanation was provided at Note 4 of the GA Analysis </w:t>
      </w:r>
      <w:proofErr w:type="spellStart"/>
      <w:r w:rsidRPr="00D91AE1">
        <w:rPr>
          <w:rFonts w:ascii="Arial" w:hAnsi="Arial" w:cs="Arial"/>
          <w:sz w:val="24"/>
          <w:szCs w:val="24"/>
        </w:rPr>
        <w:t>Workform</w:t>
      </w:r>
      <w:proofErr w:type="spellEnd"/>
      <w:r w:rsidRPr="00D91AE1">
        <w:rPr>
          <w:rFonts w:ascii="Arial" w:hAnsi="Arial" w:cs="Arial"/>
          <w:sz w:val="24"/>
          <w:szCs w:val="24"/>
        </w:rPr>
        <w:t>:</w:t>
      </w:r>
    </w:p>
    <w:p w14:paraId="010A090F" w14:textId="6B60AEA7" w:rsidR="00A350EF" w:rsidRPr="00D91AE1" w:rsidRDefault="00F036A7" w:rsidP="00A350EF">
      <w:pPr>
        <w:ind w:left="360"/>
        <w:rPr>
          <w:rFonts w:ascii="Arial" w:hAnsi="Arial" w:cs="Arial"/>
          <w:bCs/>
          <w:sz w:val="24"/>
          <w:szCs w:val="24"/>
        </w:rPr>
      </w:pPr>
      <w:r>
        <w:rPr>
          <w:rFonts w:ascii="Arial" w:hAnsi="Arial" w:cs="Arial"/>
          <w:bCs/>
          <w:sz w:val="24"/>
          <w:szCs w:val="24"/>
        </w:rPr>
        <w:lastRenderedPageBreak/>
        <w:t>“</w:t>
      </w:r>
      <w:r w:rsidR="00A350EF" w:rsidRPr="00D91AE1">
        <w:rPr>
          <w:rFonts w:ascii="Arial" w:hAnsi="Arial" w:cs="Arial"/>
          <w:bCs/>
          <w:sz w:val="24"/>
          <w:szCs w:val="24"/>
        </w:rPr>
        <w:t>With the new method, recalculations have made remade</w:t>
      </w:r>
      <w:r>
        <w:rPr>
          <w:rFonts w:ascii="Arial" w:hAnsi="Arial" w:cs="Arial"/>
          <w:bCs/>
          <w:sz w:val="24"/>
          <w:szCs w:val="24"/>
        </w:rPr>
        <w:t xml:space="preserve"> [sic]</w:t>
      </w:r>
      <w:r w:rsidR="00A350EF" w:rsidRPr="00D91AE1">
        <w:rPr>
          <w:rFonts w:ascii="Arial" w:hAnsi="Arial" w:cs="Arial"/>
          <w:bCs/>
          <w:sz w:val="24"/>
          <w:szCs w:val="24"/>
        </w:rPr>
        <w:t xml:space="preserve"> for 2017, 2018 and 2019. Because the previous method was different, there is a shift between RPP and non-RPP. The numbers at the top of this spreadsheet are the numbers originally submitted. Because there was a change between RPP and non-RPP, this has an impact on the loss factor. The numbers at the top of this spreadsheet are protected. We are unable to change them.</w:t>
      </w:r>
      <w:r>
        <w:rPr>
          <w:rFonts w:ascii="Arial" w:hAnsi="Arial" w:cs="Arial"/>
          <w:bCs/>
          <w:sz w:val="24"/>
          <w:szCs w:val="24"/>
        </w:rPr>
        <w:t>”</w:t>
      </w:r>
    </w:p>
    <w:p w14:paraId="790A3B85" w14:textId="57DD5920" w:rsidR="00A350EF" w:rsidRDefault="00A350EF" w:rsidP="008F39A7">
      <w:pPr>
        <w:pStyle w:val="ListParagraph"/>
        <w:numPr>
          <w:ilvl w:val="0"/>
          <w:numId w:val="19"/>
        </w:numPr>
        <w:ind w:left="720"/>
        <w:rPr>
          <w:rFonts w:ascii="Arial" w:hAnsi="Arial" w:cs="Arial"/>
          <w:sz w:val="24"/>
          <w:szCs w:val="24"/>
        </w:rPr>
      </w:pPr>
      <w:r w:rsidRPr="00D91AE1">
        <w:rPr>
          <w:rFonts w:ascii="Arial" w:hAnsi="Arial" w:cs="Arial"/>
          <w:sz w:val="24"/>
          <w:szCs w:val="24"/>
        </w:rPr>
        <w:t>Based on Note 4 above, please describe the impact on the loss factor</w:t>
      </w:r>
      <w:r w:rsidRPr="00693EDD">
        <w:rPr>
          <w:rFonts w:ascii="Arial" w:hAnsi="Arial" w:cs="Arial"/>
          <w:sz w:val="24"/>
          <w:szCs w:val="24"/>
        </w:rPr>
        <w:t xml:space="preserve"> due to the reallocations between RPP and non-RPP</w:t>
      </w:r>
      <w:r>
        <w:rPr>
          <w:rFonts w:ascii="Arial" w:hAnsi="Arial" w:cs="Arial"/>
          <w:sz w:val="24"/>
          <w:szCs w:val="24"/>
        </w:rPr>
        <w:t>.</w:t>
      </w:r>
      <w:r w:rsidR="00DF35B6">
        <w:rPr>
          <w:rFonts w:ascii="Arial" w:hAnsi="Arial" w:cs="Arial"/>
          <w:sz w:val="24"/>
          <w:szCs w:val="24"/>
        </w:rPr>
        <w:t xml:space="preserve"> If the impacts are not demonstrated in the responses to Staff Question-6 b) and c), please discuss what has changed and why.</w:t>
      </w:r>
    </w:p>
    <w:p w14:paraId="189A4A91" w14:textId="77777777" w:rsidR="00A350EF" w:rsidRDefault="00A350EF" w:rsidP="00A350EF">
      <w:pPr>
        <w:pStyle w:val="ListParagraph"/>
        <w:spacing w:after="160"/>
        <w:rPr>
          <w:rFonts w:ascii="Arial" w:hAnsi="Arial" w:cs="Arial"/>
          <w:sz w:val="24"/>
          <w:szCs w:val="24"/>
        </w:rPr>
      </w:pPr>
    </w:p>
    <w:p w14:paraId="722B553E" w14:textId="089C7B56" w:rsidR="00A350EF" w:rsidRPr="00233B1C" w:rsidRDefault="00A350EF" w:rsidP="008F39A7">
      <w:pPr>
        <w:pStyle w:val="ListParagraph"/>
        <w:numPr>
          <w:ilvl w:val="0"/>
          <w:numId w:val="19"/>
        </w:numPr>
        <w:spacing w:after="160"/>
        <w:ind w:left="720"/>
        <w:rPr>
          <w:rFonts w:ascii="Arial" w:hAnsi="Arial" w:cs="Arial"/>
          <w:sz w:val="24"/>
          <w:szCs w:val="24"/>
        </w:rPr>
      </w:pPr>
      <w:r>
        <w:rPr>
          <w:rFonts w:ascii="Arial" w:hAnsi="Arial" w:cs="Arial"/>
          <w:sz w:val="24"/>
          <w:szCs w:val="24"/>
        </w:rPr>
        <w:t xml:space="preserve">The Application states: </w:t>
      </w:r>
      <w:r w:rsidRPr="00233B1C">
        <w:rPr>
          <w:rFonts w:ascii="Arial" w:hAnsi="Arial" w:cs="Arial"/>
          <w:sz w:val="24"/>
          <w:szCs w:val="24"/>
        </w:rPr>
        <w:t>“With the previous methodology, HHI was using its revenues and dividing them with the applicable RPP/TOU rates to obtain the number of kWh.</w:t>
      </w:r>
      <w:r w:rsidR="00F036A7">
        <w:rPr>
          <w:rFonts w:ascii="Arial" w:hAnsi="Arial" w:cs="Arial"/>
          <w:sz w:val="24"/>
          <w:szCs w:val="24"/>
        </w:rPr>
        <w:t>”</w:t>
      </w:r>
      <w:r w:rsidRPr="00233B1C">
        <w:rPr>
          <w:rFonts w:ascii="Arial" w:hAnsi="Arial" w:cs="Arial"/>
          <w:sz w:val="24"/>
          <w:szCs w:val="24"/>
        </w:rPr>
        <w:t xml:space="preserve"> Please explain what is used now to obtain the number of kWh.</w:t>
      </w:r>
    </w:p>
    <w:p w14:paraId="0372310D" w14:textId="77777777" w:rsidR="00A350EF" w:rsidRPr="00E54054" w:rsidRDefault="00A350EF" w:rsidP="00A350EF">
      <w:pPr>
        <w:pStyle w:val="ListParagraph"/>
        <w:numPr>
          <w:ilvl w:val="0"/>
          <w:numId w:val="11"/>
        </w:numPr>
        <w:spacing w:after="160"/>
        <w:ind w:left="1530" w:hanging="810"/>
        <w:rPr>
          <w:rFonts w:ascii="Arial" w:hAnsi="Arial" w:cs="Arial"/>
          <w:sz w:val="24"/>
          <w:szCs w:val="24"/>
        </w:rPr>
      </w:pPr>
      <w:r w:rsidRPr="00E54054">
        <w:rPr>
          <w:rFonts w:ascii="Arial" w:hAnsi="Arial" w:cs="Arial"/>
          <w:sz w:val="24"/>
          <w:szCs w:val="24"/>
        </w:rPr>
        <w:t xml:space="preserve">Please explain </w:t>
      </w:r>
      <w:r>
        <w:rPr>
          <w:rFonts w:ascii="Arial" w:hAnsi="Arial" w:cs="Arial"/>
          <w:sz w:val="24"/>
          <w:szCs w:val="24"/>
        </w:rPr>
        <w:t>whether</w:t>
      </w:r>
      <w:r w:rsidRPr="00E54054">
        <w:rPr>
          <w:rFonts w:ascii="Arial" w:hAnsi="Arial" w:cs="Arial"/>
          <w:sz w:val="24"/>
          <w:szCs w:val="24"/>
        </w:rPr>
        <w:t xml:space="preserve"> </w:t>
      </w:r>
      <w:r w:rsidRPr="00E54054">
        <w:rPr>
          <w:rFonts w:ascii="Arial" w:eastAsia="Times New Roman" w:hAnsi="Arial" w:cs="Arial"/>
          <w:sz w:val="24"/>
          <w:szCs w:val="24"/>
        </w:rPr>
        <w:t>Hydro Hawkesbury</w:t>
      </w:r>
      <w:r>
        <w:rPr>
          <w:rFonts w:ascii="Arial" w:eastAsia="Times New Roman" w:hAnsi="Arial" w:cs="Arial"/>
          <w:sz w:val="24"/>
          <w:szCs w:val="24"/>
        </w:rPr>
        <w:t>’s</w:t>
      </w:r>
      <w:r w:rsidRPr="00E54054">
        <w:rPr>
          <w:rFonts w:ascii="Arial" w:eastAsia="Times New Roman" w:hAnsi="Arial" w:cs="Arial"/>
          <w:sz w:val="24"/>
          <w:szCs w:val="24"/>
        </w:rPr>
        <w:t xml:space="preserve"> </w:t>
      </w:r>
      <w:r w:rsidRPr="00E54054">
        <w:rPr>
          <w:rFonts w:ascii="Arial" w:hAnsi="Arial" w:cs="Arial"/>
          <w:sz w:val="24"/>
          <w:szCs w:val="24"/>
        </w:rPr>
        <w:t>systems can determine calendarized consumption.</w:t>
      </w:r>
    </w:p>
    <w:p w14:paraId="4ED06736" w14:textId="77777777" w:rsidR="00A350EF" w:rsidRPr="00E54054" w:rsidRDefault="00A350EF" w:rsidP="00A350EF">
      <w:pPr>
        <w:pStyle w:val="ListParagraph"/>
        <w:ind w:hanging="360"/>
        <w:rPr>
          <w:rFonts w:ascii="Arial" w:hAnsi="Arial" w:cs="Arial"/>
          <w:sz w:val="24"/>
          <w:szCs w:val="24"/>
        </w:rPr>
      </w:pPr>
    </w:p>
    <w:p w14:paraId="33305D22" w14:textId="76344018" w:rsidR="00B733E1" w:rsidRDefault="00A350EF" w:rsidP="008F39A7">
      <w:pPr>
        <w:pStyle w:val="ListParagraph"/>
        <w:numPr>
          <w:ilvl w:val="0"/>
          <w:numId w:val="19"/>
        </w:numPr>
        <w:spacing w:after="160"/>
        <w:ind w:left="720"/>
        <w:rPr>
          <w:rFonts w:ascii="Arial" w:hAnsi="Arial" w:cs="Arial"/>
          <w:sz w:val="24"/>
          <w:szCs w:val="24"/>
        </w:rPr>
      </w:pPr>
      <w:r>
        <w:rPr>
          <w:rFonts w:ascii="Arial" w:hAnsi="Arial" w:cs="Arial"/>
          <w:sz w:val="24"/>
          <w:szCs w:val="24"/>
        </w:rPr>
        <w:t>The Application further states:</w:t>
      </w:r>
      <w:r w:rsidRPr="00E54054">
        <w:rPr>
          <w:rFonts w:ascii="Arial" w:hAnsi="Arial" w:cs="Arial"/>
          <w:sz w:val="24"/>
          <w:szCs w:val="24"/>
        </w:rPr>
        <w:t xml:space="preserve"> “Class A and embedded generators clients were not considered with the previous methodology. IESO did a review of HHI’s process and methodology a few years ago. They agreed with the way HHI was making its calculations</w:t>
      </w:r>
      <w:r w:rsidR="008A55B3">
        <w:rPr>
          <w:rFonts w:ascii="Arial" w:hAnsi="Arial" w:cs="Arial"/>
          <w:sz w:val="24"/>
          <w:szCs w:val="24"/>
        </w:rPr>
        <w:t>.</w:t>
      </w:r>
      <w:r w:rsidRPr="00E54054">
        <w:rPr>
          <w:rFonts w:ascii="Arial" w:hAnsi="Arial" w:cs="Arial"/>
          <w:sz w:val="24"/>
          <w:szCs w:val="24"/>
        </w:rPr>
        <w:t xml:space="preserve">” </w:t>
      </w:r>
    </w:p>
    <w:p w14:paraId="2C1451E5" w14:textId="1454216E" w:rsidR="00A350EF" w:rsidRDefault="00A350EF" w:rsidP="00B733E1">
      <w:pPr>
        <w:pStyle w:val="ListParagraph"/>
        <w:numPr>
          <w:ilvl w:val="0"/>
          <w:numId w:val="20"/>
        </w:numPr>
        <w:spacing w:after="160"/>
        <w:rPr>
          <w:rFonts w:ascii="Arial" w:hAnsi="Arial" w:cs="Arial"/>
          <w:sz w:val="24"/>
          <w:szCs w:val="24"/>
        </w:rPr>
      </w:pPr>
      <w:r w:rsidRPr="00E54054">
        <w:rPr>
          <w:rFonts w:ascii="Arial" w:hAnsi="Arial" w:cs="Arial"/>
          <w:sz w:val="24"/>
          <w:szCs w:val="24"/>
        </w:rPr>
        <w:t xml:space="preserve">Please confirm if the statement above means that </w:t>
      </w:r>
      <w:r w:rsidRPr="002104AF">
        <w:rPr>
          <w:rFonts w:ascii="Arial" w:hAnsi="Arial" w:cs="Arial"/>
          <w:sz w:val="24"/>
          <w:szCs w:val="24"/>
        </w:rPr>
        <w:t xml:space="preserve">Hawkesbury Hydro </w:t>
      </w:r>
      <w:r w:rsidRPr="00E54054">
        <w:rPr>
          <w:rFonts w:ascii="Arial" w:hAnsi="Arial" w:cs="Arial"/>
          <w:sz w:val="24"/>
          <w:szCs w:val="24"/>
        </w:rPr>
        <w:t xml:space="preserve">did not </w:t>
      </w:r>
      <w:r w:rsidR="00F036A7">
        <w:rPr>
          <w:rFonts w:ascii="Arial" w:hAnsi="Arial" w:cs="Arial"/>
          <w:sz w:val="24"/>
          <w:szCs w:val="24"/>
        </w:rPr>
        <w:t xml:space="preserve">previously </w:t>
      </w:r>
      <w:r w:rsidRPr="00E54054">
        <w:rPr>
          <w:rFonts w:ascii="Arial" w:hAnsi="Arial" w:cs="Arial"/>
          <w:sz w:val="24"/>
          <w:szCs w:val="24"/>
        </w:rPr>
        <w:t xml:space="preserve">report Class A and embedded consumption to the IESO accurately. </w:t>
      </w:r>
    </w:p>
    <w:p w14:paraId="01963328" w14:textId="5A6C00EE" w:rsidR="00A350EF" w:rsidRDefault="00A350EF" w:rsidP="00B733E1">
      <w:pPr>
        <w:pStyle w:val="ListParagraph"/>
        <w:numPr>
          <w:ilvl w:val="0"/>
          <w:numId w:val="20"/>
        </w:numPr>
        <w:spacing w:after="160"/>
        <w:rPr>
          <w:rFonts w:ascii="Arial" w:hAnsi="Arial" w:cs="Arial"/>
          <w:sz w:val="24"/>
          <w:szCs w:val="24"/>
        </w:rPr>
      </w:pPr>
      <w:r w:rsidRPr="00B733E1">
        <w:rPr>
          <w:rFonts w:ascii="Arial" w:hAnsi="Arial" w:cs="Arial"/>
          <w:sz w:val="24"/>
          <w:szCs w:val="24"/>
        </w:rPr>
        <w:t>If the answer to question c) is yes, please explain what the impact of this issue was and confirm whether it has been resolved with the IESO.</w:t>
      </w:r>
    </w:p>
    <w:p w14:paraId="3CB680C8" w14:textId="76D622FF" w:rsidR="00B733E1" w:rsidRPr="00B733E1" w:rsidRDefault="00B733E1" w:rsidP="00B733E1">
      <w:pPr>
        <w:pStyle w:val="ListParagraph"/>
        <w:numPr>
          <w:ilvl w:val="0"/>
          <w:numId w:val="20"/>
        </w:numPr>
        <w:spacing w:after="160"/>
        <w:rPr>
          <w:rFonts w:ascii="Arial" w:hAnsi="Arial" w:cs="Arial"/>
          <w:sz w:val="24"/>
          <w:szCs w:val="24"/>
        </w:rPr>
      </w:pPr>
      <w:r w:rsidRPr="00B733E1">
        <w:rPr>
          <w:rFonts w:ascii="Arial" w:hAnsi="Arial" w:cs="Arial"/>
          <w:sz w:val="24"/>
          <w:szCs w:val="24"/>
        </w:rPr>
        <w:t>If the answer to question c) is no, please explain what the issue is with the previous methodology.</w:t>
      </w:r>
    </w:p>
    <w:p w14:paraId="7C6CA0C5" w14:textId="77777777" w:rsidR="00B733E1" w:rsidRPr="00B733E1" w:rsidRDefault="00B733E1" w:rsidP="00B733E1">
      <w:pPr>
        <w:pStyle w:val="ListParagraph"/>
        <w:spacing w:after="160"/>
        <w:ind w:left="1440"/>
        <w:rPr>
          <w:rFonts w:ascii="Arial" w:hAnsi="Arial" w:cs="Arial"/>
          <w:sz w:val="24"/>
          <w:szCs w:val="24"/>
        </w:rPr>
      </w:pPr>
    </w:p>
    <w:p w14:paraId="7A35454B" w14:textId="7BDA8DED" w:rsidR="00A350EF" w:rsidRPr="00B733E1" w:rsidRDefault="00A350EF" w:rsidP="00B733E1">
      <w:pPr>
        <w:pStyle w:val="ListParagraph"/>
        <w:numPr>
          <w:ilvl w:val="0"/>
          <w:numId w:val="19"/>
        </w:numPr>
        <w:spacing w:after="160"/>
        <w:ind w:left="810" w:hanging="450"/>
        <w:rPr>
          <w:rFonts w:ascii="Arial" w:hAnsi="Arial" w:cs="Arial"/>
          <w:sz w:val="24"/>
          <w:szCs w:val="24"/>
        </w:rPr>
      </w:pPr>
      <w:r w:rsidRPr="00B733E1">
        <w:rPr>
          <w:rFonts w:ascii="Arial" w:hAnsi="Arial" w:cs="Arial"/>
          <w:sz w:val="24"/>
          <w:szCs w:val="24"/>
        </w:rPr>
        <w:t>Hawkesbury Hydro indicates that “energy purchases were also treated differently under the previous methodology</w:t>
      </w:r>
      <w:r w:rsidR="003A604A">
        <w:rPr>
          <w:rFonts w:ascii="Arial" w:hAnsi="Arial" w:cs="Arial"/>
          <w:sz w:val="24"/>
          <w:szCs w:val="24"/>
        </w:rPr>
        <w:t>.</w:t>
      </w:r>
      <w:r w:rsidRPr="00B733E1">
        <w:rPr>
          <w:rFonts w:ascii="Arial" w:hAnsi="Arial" w:cs="Arial"/>
          <w:sz w:val="24"/>
          <w:szCs w:val="24"/>
        </w:rPr>
        <w:t>” Please explain how it was different.</w:t>
      </w:r>
    </w:p>
    <w:p w14:paraId="365D5302" w14:textId="77777777" w:rsidR="00A350EF" w:rsidRDefault="00A350EF" w:rsidP="00A350EF">
      <w:pPr>
        <w:rPr>
          <w:rFonts w:ascii="Arial" w:hAnsi="Arial" w:cs="Arial"/>
          <w:sz w:val="24"/>
          <w:szCs w:val="24"/>
        </w:rPr>
      </w:pPr>
    </w:p>
    <w:p w14:paraId="1156E912" w14:textId="4DCD0831" w:rsidR="00A350EF" w:rsidRDefault="00A350EF" w:rsidP="00A350EF">
      <w:pPr>
        <w:pStyle w:val="Heading2"/>
        <w:rPr>
          <w:szCs w:val="24"/>
        </w:rPr>
      </w:pPr>
      <w:r w:rsidRPr="00E54054">
        <w:rPr>
          <w:szCs w:val="24"/>
        </w:rPr>
        <w:t>Staff Question-</w:t>
      </w:r>
      <w:r w:rsidR="006A6FB8">
        <w:rPr>
          <w:szCs w:val="24"/>
        </w:rPr>
        <w:t>6</w:t>
      </w:r>
    </w:p>
    <w:p w14:paraId="4E3801A6" w14:textId="77777777" w:rsidR="00A350EF" w:rsidRPr="00E54054" w:rsidRDefault="00A350EF" w:rsidP="00A350EF">
      <w:pPr>
        <w:pStyle w:val="NoSpacing"/>
        <w:rPr>
          <w:rFonts w:ascii="Arial" w:hAnsi="Arial" w:cs="Arial"/>
          <w:sz w:val="24"/>
          <w:szCs w:val="24"/>
        </w:rPr>
      </w:pPr>
      <w:r w:rsidRPr="00E54054">
        <w:rPr>
          <w:rFonts w:ascii="Arial" w:hAnsi="Arial" w:cs="Arial"/>
          <w:sz w:val="24"/>
          <w:szCs w:val="24"/>
        </w:rPr>
        <w:t>Ref:</w:t>
      </w:r>
      <w:r w:rsidRPr="00E54054">
        <w:rPr>
          <w:rFonts w:ascii="Arial" w:hAnsi="Arial" w:cs="Arial"/>
          <w:sz w:val="24"/>
          <w:szCs w:val="24"/>
        </w:rPr>
        <w:tab/>
        <w:t xml:space="preserve">GA Analysis </w:t>
      </w:r>
      <w:proofErr w:type="spellStart"/>
      <w:r w:rsidRPr="00E54054">
        <w:rPr>
          <w:rFonts w:ascii="Arial" w:hAnsi="Arial" w:cs="Arial"/>
          <w:sz w:val="24"/>
          <w:szCs w:val="24"/>
        </w:rPr>
        <w:t>Workform</w:t>
      </w:r>
      <w:proofErr w:type="spellEnd"/>
      <w:r>
        <w:rPr>
          <w:rFonts w:ascii="Arial" w:hAnsi="Arial" w:cs="Arial"/>
          <w:sz w:val="24"/>
          <w:szCs w:val="24"/>
        </w:rPr>
        <w:t>, Tabs 2017, 2018 and 2019</w:t>
      </w:r>
    </w:p>
    <w:p w14:paraId="55A41A4A" w14:textId="77777777" w:rsidR="00A350EF" w:rsidRPr="00E54054" w:rsidRDefault="00A350EF" w:rsidP="00A350EF">
      <w:pPr>
        <w:pStyle w:val="NoSpacing"/>
        <w:rPr>
          <w:rFonts w:ascii="Arial" w:hAnsi="Arial" w:cs="Arial"/>
          <w:sz w:val="24"/>
          <w:szCs w:val="24"/>
        </w:rPr>
      </w:pPr>
      <w:r w:rsidRPr="00E54054">
        <w:rPr>
          <w:rFonts w:ascii="Arial" w:hAnsi="Arial" w:cs="Arial"/>
          <w:sz w:val="24"/>
          <w:szCs w:val="24"/>
        </w:rPr>
        <w:tab/>
        <w:t xml:space="preserve">GA Analysis </w:t>
      </w:r>
      <w:proofErr w:type="spellStart"/>
      <w:r w:rsidRPr="00E54054">
        <w:rPr>
          <w:rFonts w:ascii="Arial" w:hAnsi="Arial" w:cs="Arial"/>
          <w:sz w:val="24"/>
          <w:szCs w:val="24"/>
        </w:rPr>
        <w:t>Workforms</w:t>
      </w:r>
      <w:proofErr w:type="spellEnd"/>
      <w:r w:rsidRPr="00E54054">
        <w:rPr>
          <w:rFonts w:ascii="Arial" w:hAnsi="Arial" w:cs="Arial"/>
          <w:sz w:val="24"/>
          <w:szCs w:val="24"/>
        </w:rPr>
        <w:t xml:space="preserve"> – filed in 2019 and 2020 IRM proceedings</w:t>
      </w:r>
    </w:p>
    <w:p w14:paraId="139172AF" w14:textId="77777777" w:rsidR="00A350EF" w:rsidRPr="00E54054" w:rsidRDefault="00A350EF" w:rsidP="00A350EF">
      <w:pPr>
        <w:pStyle w:val="NoSpacing"/>
        <w:rPr>
          <w:rFonts w:ascii="Arial" w:hAnsi="Arial" w:cs="Arial"/>
          <w:sz w:val="24"/>
          <w:szCs w:val="24"/>
        </w:rPr>
      </w:pPr>
      <w:r w:rsidRPr="00E54054">
        <w:rPr>
          <w:rFonts w:ascii="Arial" w:hAnsi="Arial" w:cs="Arial"/>
          <w:sz w:val="24"/>
          <w:szCs w:val="24"/>
        </w:rPr>
        <w:tab/>
        <w:t>EB-2019-0042, Response to OEB Staff Questions (Oct 25, 2019), Question 9</w:t>
      </w:r>
    </w:p>
    <w:p w14:paraId="4DE96955" w14:textId="77777777" w:rsidR="00A350EF" w:rsidRDefault="00A350EF" w:rsidP="00A350EF">
      <w:pPr>
        <w:pStyle w:val="NoSpacing"/>
      </w:pPr>
    </w:p>
    <w:p w14:paraId="0E7ABFD8" w14:textId="4C8C472C" w:rsidR="00A350EF" w:rsidRPr="007E29D2" w:rsidRDefault="00A350EF" w:rsidP="00A350EF">
      <w:pPr>
        <w:rPr>
          <w:rFonts w:ascii="Arial" w:hAnsi="Arial" w:cs="Arial"/>
          <w:b/>
          <w:bCs/>
          <w:sz w:val="24"/>
          <w:szCs w:val="24"/>
        </w:rPr>
      </w:pPr>
      <w:r>
        <w:rPr>
          <w:rFonts w:ascii="Arial" w:hAnsi="Arial" w:cs="Arial"/>
          <w:bCs/>
          <w:sz w:val="24"/>
          <w:szCs w:val="24"/>
        </w:rPr>
        <w:t xml:space="preserve">In the GA </w:t>
      </w:r>
      <w:r w:rsidRPr="00E54054">
        <w:rPr>
          <w:rFonts w:ascii="Arial" w:hAnsi="Arial" w:cs="Arial"/>
          <w:sz w:val="24"/>
          <w:szCs w:val="24"/>
        </w:rPr>
        <w:t xml:space="preserve">Analysis </w:t>
      </w:r>
      <w:proofErr w:type="spellStart"/>
      <w:r w:rsidRPr="00E54054">
        <w:rPr>
          <w:rFonts w:ascii="Arial" w:hAnsi="Arial" w:cs="Arial"/>
          <w:sz w:val="24"/>
          <w:szCs w:val="24"/>
        </w:rPr>
        <w:t>Workform</w:t>
      </w:r>
      <w:proofErr w:type="spellEnd"/>
      <w:r>
        <w:rPr>
          <w:rFonts w:ascii="Arial" w:hAnsi="Arial" w:cs="Arial"/>
          <w:sz w:val="24"/>
          <w:szCs w:val="24"/>
        </w:rPr>
        <w:t xml:space="preserve"> submitted in this proceeding, the approved loss factors for 2017, 2018 and 2019 were not provided. There also appears to be changes in billed </w:t>
      </w:r>
      <w:r>
        <w:rPr>
          <w:rFonts w:ascii="Arial" w:hAnsi="Arial" w:cs="Arial"/>
          <w:sz w:val="24"/>
          <w:szCs w:val="24"/>
        </w:rPr>
        <w:lastRenderedPageBreak/>
        <w:t xml:space="preserve">kWh for non-RPP (class B) in the GA Analysis </w:t>
      </w:r>
      <w:proofErr w:type="spellStart"/>
      <w:r>
        <w:rPr>
          <w:rFonts w:ascii="Arial" w:hAnsi="Arial" w:cs="Arial"/>
          <w:sz w:val="24"/>
          <w:szCs w:val="24"/>
        </w:rPr>
        <w:t>Workforms</w:t>
      </w:r>
      <w:proofErr w:type="spellEnd"/>
      <w:r>
        <w:rPr>
          <w:rFonts w:ascii="Arial" w:hAnsi="Arial" w:cs="Arial"/>
          <w:sz w:val="24"/>
          <w:szCs w:val="24"/>
        </w:rPr>
        <w:t xml:space="preserve"> filed </w:t>
      </w:r>
      <w:r w:rsidR="00F036A7">
        <w:rPr>
          <w:rFonts w:ascii="Arial" w:hAnsi="Arial" w:cs="Arial"/>
          <w:sz w:val="24"/>
          <w:szCs w:val="24"/>
        </w:rPr>
        <w:t>between</w:t>
      </w:r>
      <w:r>
        <w:rPr>
          <w:rFonts w:ascii="Arial" w:hAnsi="Arial" w:cs="Arial"/>
          <w:sz w:val="24"/>
          <w:szCs w:val="24"/>
        </w:rPr>
        <w:t xml:space="preserve"> the current and prior proceedings.</w:t>
      </w:r>
    </w:p>
    <w:p w14:paraId="161E6C68" w14:textId="77777777" w:rsidR="00A350EF" w:rsidRPr="00233B1C" w:rsidRDefault="00A350EF" w:rsidP="00A350EF">
      <w:pPr>
        <w:pStyle w:val="ListParagraph"/>
        <w:numPr>
          <w:ilvl w:val="0"/>
          <w:numId w:val="15"/>
        </w:numPr>
        <w:rPr>
          <w:rFonts w:ascii="Arial" w:hAnsi="Arial" w:cs="Arial"/>
          <w:bCs/>
          <w:sz w:val="24"/>
          <w:szCs w:val="24"/>
        </w:rPr>
      </w:pPr>
      <w:r w:rsidRPr="00233B1C">
        <w:rPr>
          <w:rFonts w:ascii="Arial" w:hAnsi="Arial" w:cs="Arial"/>
          <w:bCs/>
          <w:sz w:val="24"/>
          <w:szCs w:val="24"/>
        </w:rPr>
        <w:t xml:space="preserve">Please provide the approved loss factors for secondary metered customers &lt;5,000 kW in </w:t>
      </w:r>
      <w:r>
        <w:rPr>
          <w:rFonts w:ascii="Arial" w:hAnsi="Arial" w:cs="Arial"/>
          <w:bCs/>
          <w:sz w:val="24"/>
          <w:szCs w:val="24"/>
        </w:rPr>
        <w:t xml:space="preserve">all tabs of the </w:t>
      </w:r>
      <w:r w:rsidRPr="00233B1C">
        <w:rPr>
          <w:rFonts w:ascii="Arial" w:hAnsi="Arial" w:cs="Arial"/>
          <w:bCs/>
          <w:sz w:val="24"/>
          <w:szCs w:val="24"/>
        </w:rPr>
        <w:t xml:space="preserve">GA </w:t>
      </w:r>
      <w:r w:rsidRPr="00233B1C">
        <w:rPr>
          <w:rFonts w:ascii="Arial" w:hAnsi="Arial" w:cs="Arial"/>
          <w:sz w:val="24"/>
          <w:szCs w:val="24"/>
        </w:rPr>
        <w:t xml:space="preserve">Analysis </w:t>
      </w:r>
      <w:proofErr w:type="spellStart"/>
      <w:r w:rsidRPr="00233B1C">
        <w:rPr>
          <w:rFonts w:ascii="Arial" w:hAnsi="Arial" w:cs="Arial"/>
          <w:sz w:val="24"/>
          <w:szCs w:val="24"/>
        </w:rPr>
        <w:t>Workform</w:t>
      </w:r>
      <w:proofErr w:type="spellEnd"/>
      <w:r w:rsidRPr="00233B1C">
        <w:rPr>
          <w:rFonts w:ascii="Arial" w:hAnsi="Arial" w:cs="Arial"/>
          <w:sz w:val="24"/>
          <w:szCs w:val="24"/>
        </w:rPr>
        <w:t xml:space="preserve">. </w:t>
      </w:r>
    </w:p>
    <w:p w14:paraId="28318855" w14:textId="77777777" w:rsidR="00A350EF" w:rsidRDefault="00A350EF" w:rsidP="00A350EF">
      <w:pPr>
        <w:pStyle w:val="ListParagraph"/>
        <w:rPr>
          <w:rFonts w:ascii="Arial" w:hAnsi="Arial" w:cs="Arial"/>
          <w:sz w:val="24"/>
          <w:szCs w:val="24"/>
        </w:rPr>
      </w:pPr>
    </w:p>
    <w:p w14:paraId="0F47E159" w14:textId="77777777" w:rsidR="00A350EF" w:rsidRPr="00597463" w:rsidRDefault="00A350EF" w:rsidP="00A350EF">
      <w:pPr>
        <w:pStyle w:val="ListParagraph"/>
        <w:numPr>
          <w:ilvl w:val="0"/>
          <w:numId w:val="15"/>
        </w:numPr>
        <w:rPr>
          <w:rFonts w:ascii="Arial" w:hAnsi="Arial" w:cs="Arial"/>
          <w:sz w:val="24"/>
          <w:szCs w:val="24"/>
        </w:rPr>
      </w:pPr>
      <w:r>
        <w:rPr>
          <w:rFonts w:ascii="Arial" w:hAnsi="Arial" w:cs="Arial"/>
          <w:sz w:val="24"/>
          <w:szCs w:val="24"/>
        </w:rPr>
        <w:t>OEB staff compiled the following table to show 2017 billed consumption for non-RPP class B customers and the calculated loss factor:</w:t>
      </w:r>
    </w:p>
    <w:tbl>
      <w:tblPr>
        <w:tblStyle w:val="TableGrid"/>
        <w:tblW w:w="9630" w:type="dxa"/>
        <w:tblInd w:w="355" w:type="dxa"/>
        <w:tblLook w:val="04A0" w:firstRow="1" w:lastRow="0" w:firstColumn="1" w:lastColumn="0" w:noHBand="0" w:noVBand="1"/>
      </w:tblPr>
      <w:tblGrid>
        <w:gridCol w:w="3600"/>
        <w:gridCol w:w="900"/>
        <w:gridCol w:w="2610"/>
        <w:gridCol w:w="2520"/>
      </w:tblGrid>
      <w:tr w:rsidR="00A350EF" w:rsidRPr="000E366C" w14:paraId="5E4D8245" w14:textId="77777777" w:rsidTr="002B4F62">
        <w:tc>
          <w:tcPr>
            <w:tcW w:w="3600" w:type="dxa"/>
          </w:tcPr>
          <w:p w14:paraId="539CDD36" w14:textId="77777777" w:rsidR="00A350EF" w:rsidRPr="00105D73" w:rsidRDefault="00A350EF" w:rsidP="002B4F62">
            <w:pPr>
              <w:jc w:val="center"/>
              <w:rPr>
                <w:rFonts w:ascii="Arial" w:hAnsi="Arial" w:cs="Arial"/>
                <w:b/>
              </w:rPr>
            </w:pPr>
            <w:r w:rsidRPr="00105D73">
              <w:rPr>
                <w:rFonts w:ascii="Arial" w:hAnsi="Arial" w:cs="Arial"/>
                <w:b/>
              </w:rPr>
              <w:t>Tab 2017 GA</w:t>
            </w:r>
          </w:p>
        </w:tc>
        <w:tc>
          <w:tcPr>
            <w:tcW w:w="900" w:type="dxa"/>
          </w:tcPr>
          <w:p w14:paraId="43DF3E34" w14:textId="77777777" w:rsidR="00A350EF" w:rsidRPr="00105D73" w:rsidRDefault="00A350EF" w:rsidP="002B4F62">
            <w:pPr>
              <w:jc w:val="center"/>
              <w:rPr>
                <w:rFonts w:ascii="Arial" w:hAnsi="Arial" w:cs="Arial"/>
                <w:b/>
              </w:rPr>
            </w:pPr>
          </w:p>
        </w:tc>
        <w:tc>
          <w:tcPr>
            <w:tcW w:w="5130" w:type="dxa"/>
            <w:gridSpan w:val="2"/>
          </w:tcPr>
          <w:p w14:paraId="666225B5" w14:textId="77777777" w:rsidR="00A350EF" w:rsidRPr="00105D73" w:rsidRDefault="00A350EF" w:rsidP="002B4F62">
            <w:pPr>
              <w:jc w:val="center"/>
              <w:rPr>
                <w:rFonts w:ascii="Arial" w:hAnsi="Arial" w:cs="Arial"/>
                <w:b/>
              </w:rPr>
            </w:pPr>
            <w:r w:rsidRPr="00105D73">
              <w:rPr>
                <w:rFonts w:ascii="Arial" w:hAnsi="Arial" w:cs="Arial"/>
                <w:b/>
              </w:rPr>
              <w:t>2017</w:t>
            </w:r>
          </w:p>
        </w:tc>
      </w:tr>
      <w:tr w:rsidR="00A350EF" w:rsidRPr="000E366C" w14:paraId="458847A6" w14:textId="77777777" w:rsidTr="002B4F62">
        <w:trPr>
          <w:trHeight w:val="872"/>
        </w:trPr>
        <w:tc>
          <w:tcPr>
            <w:tcW w:w="3600" w:type="dxa"/>
          </w:tcPr>
          <w:p w14:paraId="5E8B7206" w14:textId="77777777" w:rsidR="00A350EF" w:rsidRPr="000E366C" w:rsidRDefault="00A350EF" w:rsidP="002B4F62">
            <w:pPr>
              <w:rPr>
                <w:rFonts w:ascii="Arial" w:hAnsi="Arial" w:cs="Arial"/>
                <w:bCs/>
              </w:rPr>
            </w:pPr>
          </w:p>
        </w:tc>
        <w:tc>
          <w:tcPr>
            <w:tcW w:w="900" w:type="dxa"/>
          </w:tcPr>
          <w:p w14:paraId="26A22BAB" w14:textId="77777777" w:rsidR="00A350EF" w:rsidRPr="0059445B" w:rsidRDefault="00A350EF" w:rsidP="002B4F62">
            <w:pPr>
              <w:jc w:val="center"/>
              <w:rPr>
                <w:rFonts w:ascii="Arial" w:hAnsi="Arial" w:cs="Arial"/>
                <w:bCs/>
              </w:rPr>
            </w:pPr>
            <w:r w:rsidRPr="0059445B">
              <w:rPr>
                <w:rFonts w:ascii="Arial" w:hAnsi="Arial" w:cs="Arial"/>
                <w:bCs/>
              </w:rPr>
              <w:t>Line</w:t>
            </w:r>
          </w:p>
        </w:tc>
        <w:tc>
          <w:tcPr>
            <w:tcW w:w="2610" w:type="dxa"/>
          </w:tcPr>
          <w:p w14:paraId="367210A5" w14:textId="77777777" w:rsidR="00A350EF" w:rsidRPr="0059445B" w:rsidRDefault="00A350EF" w:rsidP="002B4F62">
            <w:pPr>
              <w:jc w:val="center"/>
              <w:rPr>
                <w:rFonts w:ascii="Arial" w:hAnsi="Arial" w:cs="Arial"/>
                <w:bCs/>
              </w:rPr>
            </w:pPr>
            <w:r w:rsidRPr="0059445B">
              <w:rPr>
                <w:rFonts w:ascii="Arial" w:hAnsi="Arial" w:cs="Arial"/>
                <w:bCs/>
              </w:rPr>
              <w:t xml:space="preserve">“Previous” GA </w:t>
            </w:r>
            <w:proofErr w:type="spellStart"/>
            <w:r w:rsidRPr="0059445B">
              <w:rPr>
                <w:rFonts w:ascii="Arial" w:hAnsi="Arial" w:cs="Arial"/>
                <w:bCs/>
              </w:rPr>
              <w:t>Workform</w:t>
            </w:r>
            <w:proofErr w:type="spellEnd"/>
            <w:r w:rsidRPr="0059445B">
              <w:rPr>
                <w:rFonts w:ascii="Arial" w:hAnsi="Arial" w:cs="Arial"/>
                <w:bCs/>
              </w:rPr>
              <w:t xml:space="preserve"> filed in 2019 IRM proceeding (kWh)</w:t>
            </w:r>
          </w:p>
          <w:p w14:paraId="50F55565" w14:textId="77777777" w:rsidR="00A350EF" w:rsidRPr="0059445B" w:rsidRDefault="00A350EF" w:rsidP="002B4F62">
            <w:pPr>
              <w:jc w:val="center"/>
              <w:rPr>
                <w:rFonts w:ascii="Arial" w:hAnsi="Arial" w:cs="Arial"/>
                <w:bCs/>
              </w:rPr>
            </w:pPr>
            <w:r w:rsidRPr="0059445B">
              <w:rPr>
                <w:rFonts w:ascii="Arial" w:hAnsi="Arial" w:cs="Arial"/>
                <w:bCs/>
              </w:rPr>
              <w:t>Col. 1</w:t>
            </w:r>
          </w:p>
        </w:tc>
        <w:tc>
          <w:tcPr>
            <w:tcW w:w="2520" w:type="dxa"/>
          </w:tcPr>
          <w:p w14:paraId="6ED9DA28" w14:textId="77777777" w:rsidR="00A350EF" w:rsidRPr="0059445B" w:rsidRDefault="00A350EF" w:rsidP="002B4F62">
            <w:pPr>
              <w:jc w:val="center"/>
              <w:rPr>
                <w:rFonts w:ascii="Arial" w:hAnsi="Arial" w:cs="Arial"/>
                <w:bCs/>
              </w:rPr>
            </w:pPr>
            <w:r w:rsidRPr="0059445B">
              <w:rPr>
                <w:rFonts w:ascii="Arial" w:hAnsi="Arial" w:cs="Arial"/>
                <w:bCs/>
              </w:rPr>
              <w:t xml:space="preserve">“Updated” GA </w:t>
            </w:r>
            <w:proofErr w:type="spellStart"/>
            <w:r w:rsidRPr="0059445B">
              <w:rPr>
                <w:rFonts w:ascii="Arial" w:hAnsi="Arial" w:cs="Arial"/>
                <w:bCs/>
              </w:rPr>
              <w:t>Workform</w:t>
            </w:r>
            <w:proofErr w:type="spellEnd"/>
            <w:r w:rsidRPr="0059445B">
              <w:rPr>
                <w:rFonts w:ascii="Arial" w:hAnsi="Arial" w:cs="Arial"/>
                <w:bCs/>
              </w:rPr>
              <w:t xml:space="preserve"> filed in 2021 IRM proceeding (kWh)</w:t>
            </w:r>
          </w:p>
          <w:p w14:paraId="369321E6" w14:textId="77777777" w:rsidR="00A350EF" w:rsidRPr="0059445B" w:rsidRDefault="00A350EF" w:rsidP="002B4F62">
            <w:pPr>
              <w:jc w:val="center"/>
              <w:rPr>
                <w:rFonts w:ascii="Arial" w:hAnsi="Arial" w:cs="Arial"/>
                <w:bCs/>
              </w:rPr>
            </w:pPr>
            <w:r w:rsidRPr="0059445B">
              <w:rPr>
                <w:rFonts w:ascii="Arial" w:hAnsi="Arial" w:cs="Arial"/>
                <w:bCs/>
              </w:rPr>
              <w:t>Col. 2</w:t>
            </w:r>
          </w:p>
        </w:tc>
      </w:tr>
      <w:tr w:rsidR="00A350EF" w:rsidRPr="000E366C" w14:paraId="4FD12EEE" w14:textId="77777777" w:rsidTr="002B4F62">
        <w:trPr>
          <w:trHeight w:val="620"/>
        </w:trPr>
        <w:tc>
          <w:tcPr>
            <w:tcW w:w="3600" w:type="dxa"/>
            <w:vAlign w:val="center"/>
          </w:tcPr>
          <w:p w14:paraId="18319601" w14:textId="77777777" w:rsidR="00A350EF" w:rsidRPr="000E366C" w:rsidRDefault="00A350EF" w:rsidP="002B4F62">
            <w:pPr>
              <w:rPr>
                <w:rFonts w:ascii="Arial" w:hAnsi="Arial" w:cs="Arial"/>
                <w:bCs/>
              </w:rPr>
            </w:pPr>
            <w:r w:rsidRPr="000E366C">
              <w:rPr>
                <w:rFonts w:ascii="Arial" w:hAnsi="Arial" w:cs="Arial"/>
                <w:bCs/>
              </w:rPr>
              <w:t xml:space="preserve">Billed kWh for non-RPP class B, including loss adjustment </w:t>
            </w:r>
          </w:p>
        </w:tc>
        <w:tc>
          <w:tcPr>
            <w:tcW w:w="900" w:type="dxa"/>
          </w:tcPr>
          <w:p w14:paraId="41547104" w14:textId="77777777" w:rsidR="00A350EF" w:rsidRPr="0059445B" w:rsidRDefault="00A350EF" w:rsidP="002B4F62">
            <w:pPr>
              <w:jc w:val="center"/>
              <w:rPr>
                <w:rFonts w:ascii="Arial" w:hAnsi="Arial" w:cs="Arial"/>
                <w:bCs/>
              </w:rPr>
            </w:pPr>
            <w:r w:rsidRPr="0059445B">
              <w:rPr>
                <w:rFonts w:ascii="Arial" w:hAnsi="Arial" w:cs="Arial"/>
                <w:bCs/>
              </w:rPr>
              <w:t>A</w:t>
            </w:r>
          </w:p>
        </w:tc>
        <w:tc>
          <w:tcPr>
            <w:tcW w:w="2610" w:type="dxa"/>
            <w:vAlign w:val="center"/>
          </w:tcPr>
          <w:p w14:paraId="5F807952" w14:textId="77777777" w:rsidR="00A350EF" w:rsidRPr="0059445B" w:rsidRDefault="00A350EF" w:rsidP="002B4F62">
            <w:pPr>
              <w:jc w:val="center"/>
              <w:rPr>
                <w:rFonts w:ascii="Arial" w:hAnsi="Arial" w:cs="Arial"/>
                <w:bCs/>
              </w:rPr>
            </w:pPr>
            <w:r w:rsidRPr="0059445B">
              <w:rPr>
                <w:rFonts w:ascii="Arial" w:hAnsi="Arial" w:cs="Arial"/>
                <w:bCs/>
              </w:rPr>
              <w:t>76,122,606</w:t>
            </w:r>
          </w:p>
        </w:tc>
        <w:tc>
          <w:tcPr>
            <w:tcW w:w="2520" w:type="dxa"/>
            <w:vAlign w:val="center"/>
          </w:tcPr>
          <w:p w14:paraId="5EBB3AF2" w14:textId="77777777" w:rsidR="00A350EF" w:rsidRPr="0059445B" w:rsidRDefault="00A350EF" w:rsidP="002B4F62">
            <w:pPr>
              <w:jc w:val="center"/>
              <w:rPr>
                <w:rFonts w:ascii="Arial" w:hAnsi="Arial" w:cs="Arial"/>
                <w:bCs/>
              </w:rPr>
            </w:pPr>
            <w:r w:rsidRPr="0059445B">
              <w:rPr>
                <w:rFonts w:ascii="Arial" w:hAnsi="Arial" w:cs="Arial"/>
                <w:bCs/>
              </w:rPr>
              <w:t>77,369,799</w:t>
            </w:r>
          </w:p>
        </w:tc>
      </w:tr>
      <w:tr w:rsidR="00A350EF" w:rsidRPr="000E366C" w14:paraId="3F6E4065" w14:textId="77777777" w:rsidTr="002B4F62">
        <w:trPr>
          <w:trHeight w:val="620"/>
        </w:trPr>
        <w:tc>
          <w:tcPr>
            <w:tcW w:w="3600" w:type="dxa"/>
            <w:vAlign w:val="center"/>
          </w:tcPr>
          <w:p w14:paraId="27023236" w14:textId="77777777" w:rsidR="00A350EF" w:rsidRDefault="00A350EF" w:rsidP="002B4F62">
            <w:pPr>
              <w:rPr>
                <w:rFonts w:ascii="Arial" w:hAnsi="Arial" w:cs="Arial"/>
                <w:bCs/>
              </w:rPr>
            </w:pPr>
            <w:r w:rsidRPr="000E366C">
              <w:rPr>
                <w:rFonts w:ascii="Arial" w:hAnsi="Arial" w:cs="Arial"/>
                <w:bCs/>
              </w:rPr>
              <w:t xml:space="preserve">Actual kWh for non-RPP class B </w:t>
            </w:r>
          </w:p>
          <w:p w14:paraId="1A4CFB9D" w14:textId="77777777" w:rsidR="00A350EF" w:rsidRPr="000E366C" w:rsidRDefault="00A350EF" w:rsidP="002B4F62">
            <w:pPr>
              <w:rPr>
                <w:rFonts w:ascii="Arial" w:hAnsi="Arial" w:cs="Arial"/>
                <w:bCs/>
              </w:rPr>
            </w:pPr>
          </w:p>
        </w:tc>
        <w:tc>
          <w:tcPr>
            <w:tcW w:w="900" w:type="dxa"/>
          </w:tcPr>
          <w:p w14:paraId="165D8024" w14:textId="77777777" w:rsidR="00A350EF" w:rsidRPr="0059445B" w:rsidRDefault="00A350EF" w:rsidP="002B4F62">
            <w:pPr>
              <w:jc w:val="center"/>
              <w:rPr>
                <w:rFonts w:ascii="Arial" w:hAnsi="Arial" w:cs="Arial"/>
                <w:bCs/>
              </w:rPr>
            </w:pPr>
            <w:r w:rsidRPr="0059445B">
              <w:rPr>
                <w:rFonts w:ascii="Arial" w:hAnsi="Arial" w:cs="Arial"/>
                <w:bCs/>
              </w:rPr>
              <w:t>B</w:t>
            </w:r>
          </w:p>
        </w:tc>
        <w:tc>
          <w:tcPr>
            <w:tcW w:w="2610" w:type="dxa"/>
            <w:vAlign w:val="center"/>
          </w:tcPr>
          <w:p w14:paraId="1C09B135" w14:textId="77777777" w:rsidR="00A350EF" w:rsidRPr="0059445B" w:rsidRDefault="00A350EF" w:rsidP="002B4F62">
            <w:pPr>
              <w:jc w:val="center"/>
              <w:rPr>
                <w:rFonts w:ascii="Arial" w:hAnsi="Arial" w:cs="Arial"/>
                <w:bCs/>
              </w:rPr>
            </w:pPr>
            <w:r w:rsidRPr="0059445B">
              <w:rPr>
                <w:rFonts w:ascii="Arial" w:hAnsi="Arial" w:cs="Arial"/>
                <w:bCs/>
              </w:rPr>
              <w:t>72,037,036</w:t>
            </w:r>
          </w:p>
        </w:tc>
        <w:tc>
          <w:tcPr>
            <w:tcW w:w="2520" w:type="dxa"/>
            <w:vAlign w:val="center"/>
          </w:tcPr>
          <w:p w14:paraId="3AE006B6" w14:textId="77777777" w:rsidR="00A350EF" w:rsidRPr="0059445B" w:rsidRDefault="00A350EF" w:rsidP="002B4F62">
            <w:pPr>
              <w:jc w:val="center"/>
              <w:rPr>
                <w:rFonts w:ascii="Arial" w:hAnsi="Arial" w:cs="Arial"/>
                <w:bCs/>
              </w:rPr>
            </w:pPr>
            <w:r w:rsidRPr="0059445B">
              <w:rPr>
                <w:rFonts w:ascii="Arial" w:hAnsi="Arial" w:cs="Arial"/>
                <w:bCs/>
              </w:rPr>
              <w:t>72,037,036</w:t>
            </w:r>
          </w:p>
        </w:tc>
      </w:tr>
      <w:tr w:rsidR="00A350EF" w:rsidRPr="000E366C" w14:paraId="18F2BEC2" w14:textId="77777777" w:rsidTr="002B4F62">
        <w:trPr>
          <w:trHeight w:val="350"/>
        </w:trPr>
        <w:tc>
          <w:tcPr>
            <w:tcW w:w="3600" w:type="dxa"/>
            <w:vAlign w:val="center"/>
          </w:tcPr>
          <w:p w14:paraId="03A93916" w14:textId="77777777" w:rsidR="00A350EF" w:rsidRPr="000E366C" w:rsidRDefault="00A350EF" w:rsidP="002B4F62">
            <w:pPr>
              <w:rPr>
                <w:rFonts w:ascii="Arial" w:hAnsi="Arial" w:cs="Arial"/>
                <w:bCs/>
              </w:rPr>
            </w:pPr>
            <w:r w:rsidRPr="000E366C">
              <w:rPr>
                <w:rFonts w:ascii="Arial" w:hAnsi="Arial" w:cs="Arial"/>
                <w:bCs/>
              </w:rPr>
              <w:t xml:space="preserve">Calculated loss factor </w:t>
            </w:r>
            <w:r w:rsidRPr="008951B5">
              <w:rPr>
                <w:rFonts w:ascii="Arial" w:hAnsi="Arial" w:cs="Arial"/>
                <w:bCs/>
              </w:rPr>
              <w:t>– A / B</w:t>
            </w:r>
          </w:p>
        </w:tc>
        <w:tc>
          <w:tcPr>
            <w:tcW w:w="900" w:type="dxa"/>
          </w:tcPr>
          <w:p w14:paraId="0DFFC508" w14:textId="77777777" w:rsidR="00A350EF" w:rsidRDefault="00A350EF" w:rsidP="002B4F62">
            <w:pPr>
              <w:jc w:val="center"/>
              <w:rPr>
                <w:rFonts w:ascii="Arial" w:hAnsi="Arial" w:cs="Arial"/>
                <w:bCs/>
              </w:rPr>
            </w:pPr>
          </w:p>
        </w:tc>
        <w:tc>
          <w:tcPr>
            <w:tcW w:w="2610" w:type="dxa"/>
            <w:vAlign w:val="center"/>
          </w:tcPr>
          <w:p w14:paraId="283674B0" w14:textId="77777777" w:rsidR="00A350EF" w:rsidRPr="000E366C" w:rsidRDefault="00A350EF" w:rsidP="002B4F62">
            <w:pPr>
              <w:jc w:val="center"/>
              <w:rPr>
                <w:rFonts w:ascii="Arial" w:hAnsi="Arial" w:cs="Arial"/>
                <w:bCs/>
              </w:rPr>
            </w:pPr>
            <w:r>
              <w:rPr>
                <w:rFonts w:ascii="Arial" w:hAnsi="Arial" w:cs="Arial"/>
                <w:bCs/>
              </w:rPr>
              <w:t>1.0567</w:t>
            </w:r>
          </w:p>
        </w:tc>
        <w:tc>
          <w:tcPr>
            <w:tcW w:w="2520" w:type="dxa"/>
            <w:vAlign w:val="center"/>
          </w:tcPr>
          <w:p w14:paraId="4C2740EE" w14:textId="77777777" w:rsidR="00A350EF" w:rsidRPr="000E366C" w:rsidRDefault="00A350EF" w:rsidP="002B4F62">
            <w:pPr>
              <w:jc w:val="center"/>
              <w:rPr>
                <w:rFonts w:ascii="Arial" w:hAnsi="Arial" w:cs="Arial"/>
                <w:bCs/>
              </w:rPr>
            </w:pPr>
            <w:r>
              <w:rPr>
                <w:rFonts w:ascii="Arial" w:hAnsi="Arial" w:cs="Arial"/>
                <w:bCs/>
              </w:rPr>
              <w:t>1.074</w:t>
            </w:r>
          </w:p>
        </w:tc>
      </w:tr>
    </w:tbl>
    <w:p w14:paraId="338CD937" w14:textId="77777777" w:rsidR="00A350EF" w:rsidRPr="009D52DD" w:rsidRDefault="00A350EF" w:rsidP="00A350EF">
      <w:pPr>
        <w:rPr>
          <w:rFonts w:ascii="Arial" w:hAnsi="Arial" w:cs="Arial"/>
          <w:bCs/>
          <w:sz w:val="24"/>
          <w:szCs w:val="24"/>
        </w:rPr>
      </w:pPr>
    </w:p>
    <w:p w14:paraId="3D75EA6C" w14:textId="77777777" w:rsidR="00A350EF" w:rsidRPr="007E29D2" w:rsidRDefault="00A350EF" w:rsidP="00A350EF">
      <w:pPr>
        <w:pStyle w:val="ListParagraph"/>
        <w:numPr>
          <w:ilvl w:val="0"/>
          <w:numId w:val="13"/>
        </w:numPr>
        <w:ind w:hanging="450"/>
        <w:rPr>
          <w:rFonts w:ascii="Arial" w:hAnsi="Arial" w:cs="Arial"/>
          <w:bCs/>
          <w:sz w:val="24"/>
          <w:szCs w:val="24"/>
        </w:rPr>
      </w:pPr>
      <w:r w:rsidRPr="009D52DD">
        <w:rPr>
          <w:rFonts w:ascii="Arial" w:hAnsi="Arial" w:cs="Arial"/>
          <w:bCs/>
          <w:sz w:val="24"/>
          <w:szCs w:val="24"/>
        </w:rPr>
        <w:t xml:space="preserve">At </w:t>
      </w:r>
      <w:r>
        <w:rPr>
          <w:rFonts w:ascii="Arial" w:hAnsi="Arial" w:cs="Arial"/>
          <w:bCs/>
          <w:sz w:val="24"/>
          <w:szCs w:val="24"/>
        </w:rPr>
        <w:t>L</w:t>
      </w:r>
      <w:r w:rsidRPr="009D52DD">
        <w:rPr>
          <w:rFonts w:ascii="Arial" w:hAnsi="Arial" w:cs="Arial"/>
          <w:bCs/>
          <w:sz w:val="24"/>
          <w:szCs w:val="24"/>
        </w:rPr>
        <w:t xml:space="preserve">ine A, </w:t>
      </w:r>
      <w:r w:rsidRPr="007E29D2">
        <w:rPr>
          <w:rFonts w:ascii="Arial" w:hAnsi="Arial" w:cs="Arial"/>
          <w:bCs/>
          <w:sz w:val="24"/>
          <w:szCs w:val="24"/>
        </w:rPr>
        <w:t>Column</w:t>
      </w:r>
      <w:r>
        <w:rPr>
          <w:rFonts w:ascii="Arial" w:hAnsi="Arial" w:cs="Arial"/>
          <w:bCs/>
          <w:sz w:val="24"/>
          <w:szCs w:val="24"/>
        </w:rPr>
        <w:t>s 1 and</w:t>
      </w:r>
      <w:r w:rsidRPr="007E29D2">
        <w:rPr>
          <w:rFonts w:ascii="Arial" w:hAnsi="Arial" w:cs="Arial"/>
          <w:bCs/>
          <w:sz w:val="24"/>
          <w:szCs w:val="24"/>
        </w:rPr>
        <w:t xml:space="preserve"> 2, please explain why billed consumption for non-RPP class B customers increased from 76,122,606 kWh to 77,369,799 kWh</w:t>
      </w:r>
      <w:r w:rsidRPr="00882706">
        <w:rPr>
          <w:rFonts w:ascii="Arial" w:hAnsi="Arial" w:cs="Arial"/>
          <w:bCs/>
          <w:sz w:val="24"/>
          <w:szCs w:val="24"/>
        </w:rPr>
        <w:t xml:space="preserve"> </w:t>
      </w:r>
      <w:r w:rsidRPr="007E29D2">
        <w:rPr>
          <w:rFonts w:ascii="Arial" w:hAnsi="Arial" w:cs="Arial"/>
          <w:bCs/>
          <w:sz w:val="24"/>
          <w:szCs w:val="24"/>
        </w:rPr>
        <w:t xml:space="preserve">in 2017. </w:t>
      </w:r>
    </w:p>
    <w:p w14:paraId="6FAF0A19" w14:textId="77777777" w:rsidR="00A350EF" w:rsidRDefault="00A350EF" w:rsidP="00A350EF">
      <w:pPr>
        <w:pStyle w:val="ListParagraph"/>
        <w:autoSpaceDE w:val="0"/>
        <w:autoSpaceDN w:val="0"/>
        <w:adjustRightInd w:val="0"/>
        <w:spacing w:after="0"/>
        <w:ind w:left="1440"/>
        <w:rPr>
          <w:rFonts w:ascii="Arial" w:hAnsi="Arial" w:cs="Arial"/>
          <w:bCs/>
          <w:sz w:val="24"/>
          <w:szCs w:val="24"/>
        </w:rPr>
      </w:pPr>
    </w:p>
    <w:p w14:paraId="29234B42" w14:textId="04FBED56" w:rsidR="00A350EF" w:rsidRPr="00566A01" w:rsidRDefault="00A350EF" w:rsidP="00A350EF">
      <w:pPr>
        <w:pStyle w:val="ListParagraph"/>
        <w:numPr>
          <w:ilvl w:val="0"/>
          <w:numId w:val="13"/>
        </w:numPr>
        <w:autoSpaceDE w:val="0"/>
        <w:autoSpaceDN w:val="0"/>
        <w:adjustRightInd w:val="0"/>
        <w:spacing w:after="0"/>
        <w:ind w:hanging="450"/>
        <w:rPr>
          <w:rFonts w:ascii="Arial" w:hAnsi="Arial" w:cs="Arial"/>
          <w:bCs/>
          <w:sz w:val="24"/>
          <w:szCs w:val="24"/>
        </w:rPr>
      </w:pPr>
      <w:r w:rsidRPr="00566A01">
        <w:rPr>
          <w:rFonts w:ascii="Arial" w:hAnsi="Arial" w:cs="Arial"/>
          <w:bCs/>
          <w:sz w:val="24"/>
          <w:szCs w:val="24"/>
        </w:rPr>
        <w:t xml:space="preserve">If the updated figures </w:t>
      </w:r>
      <w:r>
        <w:rPr>
          <w:rFonts w:ascii="Arial" w:hAnsi="Arial" w:cs="Arial"/>
          <w:bCs/>
          <w:sz w:val="24"/>
          <w:szCs w:val="24"/>
        </w:rPr>
        <w:t>in Column 2</w:t>
      </w:r>
      <w:r w:rsidRPr="00566A01">
        <w:rPr>
          <w:rFonts w:ascii="Arial" w:hAnsi="Arial" w:cs="Arial"/>
          <w:bCs/>
          <w:sz w:val="24"/>
          <w:szCs w:val="24"/>
        </w:rPr>
        <w:t xml:space="preserve"> </w:t>
      </w:r>
      <w:r>
        <w:rPr>
          <w:rFonts w:ascii="Arial" w:hAnsi="Arial" w:cs="Arial"/>
          <w:bCs/>
          <w:sz w:val="24"/>
          <w:szCs w:val="24"/>
        </w:rPr>
        <w:t>are</w:t>
      </w:r>
      <w:r w:rsidRPr="00566A01">
        <w:rPr>
          <w:rFonts w:ascii="Arial" w:hAnsi="Arial" w:cs="Arial"/>
          <w:bCs/>
          <w:sz w:val="24"/>
          <w:szCs w:val="24"/>
        </w:rPr>
        <w:t xml:space="preserve"> correct, please </w:t>
      </w:r>
      <w:r w:rsidRPr="00566A01">
        <w:rPr>
          <w:rFonts w:ascii="Arial" w:hAnsi="Arial" w:cs="Arial"/>
          <w:bCs/>
          <w:sz w:val="24"/>
          <w:szCs w:val="24"/>
          <w:lang w:val="en-US"/>
        </w:rPr>
        <w:t xml:space="preserve">provide the supporting analysis to explain how the calculated loss factor of 1.074 is reasonable compared to the approved loss factor </w:t>
      </w:r>
      <w:r>
        <w:rPr>
          <w:rFonts w:ascii="Arial" w:hAnsi="Arial" w:cs="Arial"/>
          <w:bCs/>
          <w:sz w:val="24"/>
          <w:szCs w:val="24"/>
          <w:lang w:val="en-US"/>
        </w:rPr>
        <w:t xml:space="preserve">of </w:t>
      </w:r>
      <w:r w:rsidRPr="00566A01">
        <w:rPr>
          <w:rFonts w:ascii="Arial" w:hAnsi="Arial" w:cs="Arial"/>
          <w:bCs/>
          <w:sz w:val="24"/>
          <w:szCs w:val="24"/>
          <w:lang w:val="en-US"/>
        </w:rPr>
        <w:t>1.0541.</w:t>
      </w:r>
    </w:p>
    <w:p w14:paraId="4A0AE54A" w14:textId="77777777" w:rsidR="00A350EF" w:rsidRPr="00566A01" w:rsidRDefault="00A350EF" w:rsidP="00A350EF">
      <w:pPr>
        <w:pStyle w:val="ListParagraph"/>
        <w:ind w:left="1440"/>
        <w:rPr>
          <w:rFonts w:ascii="Arial" w:hAnsi="Arial" w:cs="Arial"/>
          <w:bCs/>
          <w:sz w:val="24"/>
          <w:szCs w:val="24"/>
        </w:rPr>
      </w:pPr>
      <w:bookmarkStart w:id="0" w:name="_GoBack"/>
      <w:bookmarkEnd w:id="0"/>
    </w:p>
    <w:p w14:paraId="1F0B1835" w14:textId="77777777" w:rsidR="00A350EF" w:rsidRDefault="00A350EF" w:rsidP="00A350EF">
      <w:pPr>
        <w:pStyle w:val="ListParagraph"/>
        <w:numPr>
          <w:ilvl w:val="0"/>
          <w:numId w:val="15"/>
        </w:numPr>
        <w:rPr>
          <w:rFonts w:ascii="Arial" w:hAnsi="Arial" w:cs="Arial"/>
          <w:sz w:val="24"/>
          <w:szCs w:val="24"/>
        </w:rPr>
      </w:pPr>
      <w:r>
        <w:rPr>
          <w:rFonts w:ascii="Arial" w:hAnsi="Arial" w:cs="Arial"/>
          <w:sz w:val="24"/>
          <w:szCs w:val="24"/>
        </w:rPr>
        <w:t>OEB staff compiled the following table to show 2018 billed consumption for non-RPP class B customers</w:t>
      </w:r>
      <w:r w:rsidRPr="00625C82">
        <w:rPr>
          <w:rFonts w:ascii="Arial" w:hAnsi="Arial" w:cs="Arial"/>
          <w:sz w:val="24"/>
          <w:szCs w:val="24"/>
        </w:rPr>
        <w:t xml:space="preserve"> </w:t>
      </w:r>
      <w:r>
        <w:rPr>
          <w:rFonts w:ascii="Arial" w:hAnsi="Arial" w:cs="Arial"/>
          <w:sz w:val="24"/>
          <w:szCs w:val="24"/>
        </w:rPr>
        <w:t>and the calculated loss factor:</w:t>
      </w:r>
    </w:p>
    <w:tbl>
      <w:tblPr>
        <w:tblStyle w:val="TableGrid"/>
        <w:tblW w:w="9630" w:type="dxa"/>
        <w:tblInd w:w="355" w:type="dxa"/>
        <w:tblLook w:val="04A0" w:firstRow="1" w:lastRow="0" w:firstColumn="1" w:lastColumn="0" w:noHBand="0" w:noVBand="1"/>
      </w:tblPr>
      <w:tblGrid>
        <w:gridCol w:w="3600"/>
        <w:gridCol w:w="990"/>
        <w:gridCol w:w="2430"/>
        <w:gridCol w:w="2610"/>
      </w:tblGrid>
      <w:tr w:rsidR="00A350EF" w:rsidRPr="000E366C" w14:paraId="14D16DF3" w14:textId="77777777" w:rsidTr="002B4F62">
        <w:tc>
          <w:tcPr>
            <w:tcW w:w="3600" w:type="dxa"/>
          </w:tcPr>
          <w:p w14:paraId="07AC784F" w14:textId="77777777" w:rsidR="00A350EF" w:rsidRPr="00105D73" w:rsidRDefault="00A350EF" w:rsidP="002B4F62">
            <w:pPr>
              <w:jc w:val="center"/>
              <w:rPr>
                <w:rFonts w:ascii="Arial" w:hAnsi="Arial" w:cs="Arial"/>
                <w:b/>
              </w:rPr>
            </w:pPr>
            <w:r w:rsidRPr="00105D73">
              <w:rPr>
                <w:rFonts w:ascii="Arial" w:hAnsi="Arial" w:cs="Arial"/>
                <w:b/>
              </w:rPr>
              <w:t>Tab 2018 GA</w:t>
            </w:r>
          </w:p>
        </w:tc>
        <w:tc>
          <w:tcPr>
            <w:tcW w:w="990" w:type="dxa"/>
          </w:tcPr>
          <w:p w14:paraId="7E901403" w14:textId="77777777" w:rsidR="00A350EF" w:rsidRPr="00105D73" w:rsidRDefault="00A350EF" w:rsidP="002B4F62">
            <w:pPr>
              <w:jc w:val="center"/>
              <w:rPr>
                <w:rFonts w:ascii="Arial" w:hAnsi="Arial" w:cs="Arial"/>
                <w:b/>
              </w:rPr>
            </w:pPr>
          </w:p>
        </w:tc>
        <w:tc>
          <w:tcPr>
            <w:tcW w:w="5040" w:type="dxa"/>
            <w:gridSpan w:val="2"/>
          </w:tcPr>
          <w:p w14:paraId="785CA275" w14:textId="77777777" w:rsidR="00A350EF" w:rsidRPr="00105D73" w:rsidRDefault="00A350EF" w:rsidP="002B4F62">
            <w:pPr>
              <w:jc w:val="center"/>
              <w:rPr>
                <w:rFonts w:ascii="Arial" w:hAnsi="Arial" w:cs="Arial"/>
                <w:b/>
              </w:rPr>
            </w:pPr>
            <w:r w:rsidRPr="00105D73">
              <w:rPr>
                <w:rFonts w:ascii="Arial" w:hAnsi="Arial" w:cs="Arial"/>
                <w:b/>
              </w:rPr>
              <w:t>2018</w:t>
            </w:r>
          </w:p>
        </w:tc>
      </w:tr>
      <w:tr w:rsidR="00A350EF" w:rsidRPr="000E366C" w14:paraId="7A5A13BE" w14:textId="77777777" w:rsidTr="002B4F62">
        <w:tc>
          <w:tcPr>
            <w:tcW w:w="3600" w:type="dxa"/>
          </w:tcPr>
          <w:p w14:paraId="4173B81A" w14:textId="77777777" w:rsidR="00A350EF" w:rsidRPr="000E366C" w:rsidRDefault="00A350EF" w:rsidP="002B4F62">
            <w:pPr>
              <w:rPr>
                <w:rFonts w:ascii="Arial" w:hAnsi="Arial" w:cs="Arial"/>
                <w:bCs/>
              </w:rPr>
            </w:pPr>
          </w:p>
        </w:tc>
        <w:tc>
          <w:tcPr>
            <w:tcW w:w="990" w:type="dxa"/>
          </w:tcPr>
          <w:p w14:paraId="0F6A9976" w14:textId="77777777" w:rsidR="00A350EF" w:rsidRPr="0059445B" w:rsidRDefault="00A350EF" w:rsidP="002B4F62">
            <w:pPr>
              <w:jc w:val="center"/>
              <w:rPr>
                <w:rFonts w:ascii="Arial" w:hAnsi="Arial" w:cs="Arial"/>
                <w:bCs/>
              </w:rPr>
            </w:pPr>
            <w:r w:rsidRPr="0059445B">
              <w:rPr>
                <w:rFonts w:ascii="Arial" w:hAnsi="Arial" w:cs="Arial"/>
                <w:bCs/>
              </w:rPr>
              <w:t>Line</w:t>
            </w:r>
          </w:p>
        </w:tc>
        <w:tc>
          <w:tcPr>
            <w:tcW w:w="2430" w:type="dxa"/>
          </w:tcPr>
          <w:p w14:paraId="078DF972" w14:textId="77777777" w:rsidR="00A350EF" w:rsidRPr="0059445B" w:rsidRDefault="00A350EF" w:rsidP="002B4F62">
            <w:pPr>
              <w:jc w:val="center"/>
              <w:rPr>
                <w:rFonts w:ascii="Arial" w:hAnsi="Arial" w:cs="Arial"/>
                <w:bCs/>
              </w:rPr>
            </w:pPr>
            <w:r w:rsidRPr="0059445B">
              <w:rPr>
                <w:rFonts w:ascii="Arial" w:hAnsi="Arial" w:cs="Arial"/>
                <w:bCs/>
              </w:rPr>
              <w:t xml:space="preserve">“Previous” GA </w:t>
            </w:r>
            <w:proofErr w:type="spellStart"/>
            <w:r w:rsidRPr="0059445B">
              <w:rPr>
                <w:rFonts w:ascii="Arial" w:hAnsi="Arial" w:cs="Arial"/>
                <w:bCs/>
              </w:rPr>
              <w:t>Workform</w:t>
            </w:r>
            <w:proofErr w:type="spellEnd"/>
            <w:r w:rsidRPr="0059445B">
              <w:rPr>
                <w:rFonts w:ascii="Arial" w:hAnsi="Arial" w:cs="Arial"/>
                <w:bCs/>
              </w:rPr>
              <w:t xml:space="preserve"> filed in 2020 IRM proceeding (kWh)</w:t>
            </w:r>
          </w:p>
          <w:p w14:paraId="6CA73904" w14:textId="77777777" w:rsidR="00A350EF" w:rsidRPr="0059445B" w:rsidRDefault="00A350EF" w:rsidP="002B4F62">
            <w:pPr>
              <w:jc w:val="center"/>
              <w:rPr>
                <w:rFonts w:ascii="Arial" w:hAnsi="Arial" w:cs="Arial"/>
                <w:bCs/>
              </w:rPr>
            </w:pPr>
            <w:r w:rsidRPr="0059445B">
              <w:rPr>
                <w:rFonts w:ascii="Arial" w:hAnsi="Arial" w:cs="Arial"/>
                <w:bCs/>
              </w:rPr>
              <w:t>Col. 1</w:t>
            </w:r>
          </w:p>
        </w:tc>
        <w:tc>
          <w:tcPr>
            <w:tcW w:w="2610" w:type="dxa"/>
          </w:tcPr>
          <w:p w14:paraId="66434DE7" w14:textId="77777777" w:rsidR="00A350EF" w:rsidRPr="0059445B" w:rsidRDefault="00A350EF" w:rsidP="002B4F62">
            <w:pPr>
              <w:jc w:val="center"/>
              <w:rPr>
                <w:rFonts w:ascii="Arial" w:hAnsi="Arial" w:cs="Arial"/>
                <w:bCs/>
              </w:rPr>
            </w:pPr>
            <w:r w:rsidRPr="0059445B">
              <w:rPr>
                <w:rFonts w:ascii="Arial" w:hAnsi="Arial" w:cs="Arial"/>
                <w:bCs/>
              </w:rPr>
              <w:t xml:space="preserve">“Updated” GA </w:t>
            </w:r>
            <w:proofErr w:type="spellStart"/>
            <w:r w:rsidRPr="0059445B">
              <w:rPr>
                <w:rFonts w:ascii="Arial" w:hAnsi="Arial" w:cs="Arial"/>
                <w:bCs/>
              </w:rPr>
              <w:t>Workform</w:t>
            </w:r>
            <w:proofErr w:type="spellEnd"/>
            <w:r w:rsidRPr="0059445B">
              <w:rPr>
                <w:rFonts w:ascii="Arial" w:hAnsi="Arial" w:cs="Arial"/>
                <w:bCs/>
              </w:rPr>
              <w:t xml:space="preserve"> filed in 2021 IRM proceeding (kWh)</w:t>
            </w:r>
          </w:p>
          <w:p w14:paraId="3F109612" w14:textId="77777777" w:rsidR="00A350EF" w:rsidRPr="0059445B" w:rsidRDefault="00A350EF" w:rsidP="002B4F62">
            <w:pPr>
              <w:jc w:val="center"/>
              <w:rPr>
                <w:rFonts w:ascii="Arial" w:hAnsi="Arial" w:cs="Arial"/>
                <w:bCs/>
              </w:rPr>
            </w:pPr>
            <w:r w:rsidRPr="0059445B">
              <w:rPr>
                <w:rFonts w:ascii="Arial" w:hAnsi="Arial" w:cs="Arial"/>
                <w:bCs/>
              </w:rPr>
              <w:t>Col. 2</w:t>
            </w:r>
          </w:p>
        </w:tc>
      </w:tr>
      <w:tr w:rsidR="00A350EF" w:rsidRPr="000E366C" w14:paraId="3CC63234" w14:textId="77777777" w:rsidTr="002B4F62">
        <w:trPr>
          <w:trHeight w:val="620"/>
        </w:trPr>
        <w:tc>
          <w:tcPr>
            <w:tcW w:w="3600" w:type="dxa"/>
            <w:vAlign w:val="center"/>
          </w:tcPr>
          <w:p w14:paraId="6CB44CBE" w14:textId="77777777" w:rsidR="00A350EF" w:rsidRPr="000E366C" w:rsidRDefault="00A350EF" w:rsidP="002B4F62">
            <w:pPr>
              <w:rPr>
                <w:rFonts w:ascii="Arial" w:hAnsi="Arial" w:cs="Arial"/>
                <w:bCs/>
              </w:rPr>
            </w:pPr>
            <w:r w:rsidRPr="000E366C">
              <w:rPr>
                <w:rFonts w:ascii="Arial" w:hAnsi="Arial" w:cs="Arial"/>
                <w:bCs/>
              </w:rPr>
              <w:t xml:space="preserve">Billed kWh for non-RPP class B, including loss adjustment </w:t>
            </w:r>
          </w:p>
        </w:tc>
        <w:tc>
          <w:tcPr>
            <w:tcW w:w="990" w:type="dxa"/>
          </w:tcPr>
          <w:p w14:paraId="5BF10471" w14:textId="77777777" w:rsidR="00A350EF" w:rsidRPr="0059445B" w:rsidRDefault="00A350EF" w:rsidP="002B4F62">
            <w:pPr>
              <w:jc w:val="center"/>
              <w:rPr>
                <w:rFonts w:ascii="Arial" w:hAnsi="Arial" w:cs="Arial"/>
                <w:bCs/>
              </w:rPr>
            </w:pPr>
            <w:r w:rsidRPr="0059445B">
              <w:rPr>
                <w:rFonts w:ascii="Arial" w:hAnsi="Arial" w:cs="Arial"/>
                <w:bCs/>
              </w:rPr>
              <w:t>A</w:t>
            </w:r>
          </w:p>
        </w:tc>
        <w:tc>
          <w:tcPr>
            <w:tcW w:w="2430" w:type="dxa"/>
            <w:vAlign w:val="center"/>
          </w:tcPr>
          <w:p w14:paraId="484440C9" w14:textId="77777777" w:rsidR="00A350EF" w:rsidRPr="0059445B" w:rsidRDefault="00A350EF" w:rsidP="002B4F62">
            <w:pPr>
              <w:jc w:val="center"/>
              <w:rPr>
                <w:rFonts w:ascii="Arial" w:hAnsi="Arial" w:cs="Arial"/>
                <w:bCs/>
              </w:rPr>
            </w:pPr>
            <w:r w:rsidRPr="0059445B">
              <w:rPr>
                <w:rFonts w:ascii="Arial" w:hAnsi="Arial" w:cs="Arial"/>
                <w:bCs/>
              </w:rPr>
              <w:t>69,699,047</w:t>
            </w:r>
          </w:p>
        </w:tc>
        <w:tc>
          <w:tcPr>
            <w:tcW w:w="2610" w:type="dxa"/>
            <w:vAlign w:val="center"/>
          </w:tcPr>
          <w:p w14:paraId="7D7641C6" w14:textId="77777777" w:rsidR="00A350EF" w:rsidRPr="0059445B" w:rsidRDefault="00A350EF" w:rsidP="002B4F62">
            <w:pPr>
              <w:jc w:val="center"/>
              <w:rPr>
                <w:rFonts w:ascii="Arial" w:hAnsi="Arial" w:cs="Arial"/>
                <w:bCs/>
              </w:rPr>
            </w:pPr>
            <w:r w:rsidRPr="0059445B">
              <w:rPr>
                <w:rFonts w:ascii="Arial" w:hAnsi="Arial" w:cs="Arial"/>
                <w:bCs/>
              </w:rPr>
              <w:t>69,416,007</w:t>
            </w:r>
          </w:p>
        </w:tc>
      </w:tr>
      <w:tr w:rsidR="00A350EF" w:rsidRPr="000E366C" w14:paraId="76DE6035" w14:textId="77777777" w:rsidTr="002B4F62">
        <w:trPr>
          <w:trHeight w:val="620"/>
        </w:trPr>
        <w:tc>
          <w:tcPr>
            <w:tcW w:w="3600" w:type="dxa"/>
            <w:vAlign w:val="center"/>
          </w:tcPr>
          <w:p w14:paraId="1A80D6AD" w14:textId="77777777" w:rsidR="00A350EF" w:rsidRDefault="00A350EF" w:rsidP="002B4F62">
            <w:pPr>
              <w:rPr>
                <w:rFonts w:ascii="Arial" w:hAnsi="Arial" w:cs="Arial"/>
                <w:bCs/>
              </w:rPr>
            </w:pPr>
            <w:r w:rsidRPr="000E366C">
              <w:rPr>
                <w:rFonts w:ascii="Arial" w:hAnsi="Arial" w:cs="Arial"/>
                <w:bCs/>
              </w:rPr>
              <w:t xml:space="preserve">Actual kWh for non-RPP class B </w:t>
            </w:r>
          </w:p>
          <w:p w14:paraId="5BB85FE5" w14:textId="77777777" w:rsidR="00A350EF" w:rsidRPr="000E366C" w:rsidRDefault="00A350EF" w:rsidP="002B4F62">
            <w:pPr>
              <w:rPr>
                <w:rFonts w:ascii="Arial" w:hAnsi="Arial" w:cs="Arial"/>
                <w:bCs/>
              </w:rPr>
            </w:pPr>
          </w:p>
        </w:tc>
        <w:tc>
          <w:tcPr>
            <w:tcW w:w="990" w:type="dxa"/>
          </w:tcPr>
          <w:p w14:paraId="4B43C51C" w14:textId="77777777" w:rsidR="00A350EF" w:rsidRPr="0059445B" w:rsidRDefault="00A350EF" w:rsidP="002B4F62">
            <w:pPr>
              <w:jc w:val="center"/>
              <w:rPr>
                <w:rFonts w:ascii="Arial" w:hAnsi="Arial" w:cs="Arial"/>
                <w:bCs/>
              </w:rPr>
            </w:pPr>
            <w:r w:rsidRPr="0059445B">
              <w:rPr>
                <w:rFonts w:ascii="Arial" w:hAnsi="Arial" w:cs="Arial"/>
                <w:bCs/>
              </w:rPr>
              <w:t>B</w:t>
            </w:r>
          </w:p>
        </w:tc>
        <w:tc>
          <w:tcPr>
            <w:tcW w:w="2430" w:type="dxa"/>
            <w:vAlign w:val="center"/>
          </w:tcPr>
          <w:p w14:paraId="01ED92C0" w14:textId="77777777" w:rsidR="00A350EF" w:rsidRPr="0059445B" w:rsidRDefault="00A350EF" w:rsidP="002B4F62">
            <w:pPr>
              <w:jc w:val="center"/>
              <w:rPr>
                <w:rFonts w:ascii="Arial" w:hAnsi="Arial" w:cs="Arial"/>
                <w:bCs/>
              </w:rPr>
            </w:pPr>
            <w:r w:rsidRPr="0059445B">
              <w:rPr>
                <w:rFonts w:ascii="Arial" w:hAnsi="Arial" w:cs="Arial"/>
                <w:bCs/>
              </w:rPr>
              <w:t>66,297,565</w:t>
            </w:r>
          </w:p>
        </w:tc>
        <w:tc>
          <w:tcPr>
            <w:tcW w:w="2610" w:type="dxa"/>
            <w:vAlign w:val="center"/>
          </w:tcPr>
          <w:p w14:paraId="12237F7C" w14:textId="77777777" w:rsidR="00A350EF" w:rsidRPr="0059445B" w:rsidRDefault="00A350EF" w:rsidP="002B4F62">
            <w:pPr>
              <w:jc w:val="center"/>
              <w:rPr>
                <w:rFonts w:ascii="Arial" w:hAnsi="Arial" w:cs="Arial"/>
                <w:bCs/>
              </w:rPr>
            </w:pPr>
            <w:r w:rsidRPr="0059445B">
              <w:rPr>
                <w:rFonts w:ascii="Arial" w:hAnsi="Arial" w:cs="Arial"/>
                <w:bCs/>
              </w:rPr>
              <w:t>64,652,489</w:t>
            </w:r>
          </w:p>
        </w:tc>
      </w:tr>
      <w:tr w:rsidR="00A350EF" w:rsidRPr="000E366C" w14:paraId="207957E0" w14:textId="77777777" w:rsidTr="002B4F62">
        <w:trPr>
          <w:trHeight w:val="332"/>
        </w:trPr>
        <w:tc>
          <w:tcPr>
            <w:tcW w:w="3600" w:type="dxa"/>
            <w:vAlign w:val="center"/>
          </w:tcPr>
          <w:p w14:paraId="4C1DCFE2" w14:textId="77777777" w:rsidR="00A350EF" w:rsidRPr="000E366C" w:rsidRDefault="00A350EF" w:rsidP="002B4F62">
            <w:pPr>
              <w:rPr>
                <w:rFonts w:ascii="Arial" w:hAnsi="Arial" w:cs="Arial"/>
                <w:bCs/>
              </w:rPr>
            </w:pPr>
            <w:r>
              <w:rPr>
                <w:rFonts w:ascii="Arial" w:hAnsi="Arial" w:cs="Arial"/>
                <w:bCs/>
              </w:rPr>
              <w:t>Class A volumes</w:t>
            </w:r>
          </w:p>
        </w:tc>
        <w:tc>
          <w:tcPr>
            <w:tcW w:w="990" w:type="dxa"/>
          </w:tcPr>
          <w:p w14:paraId="2EBCEA0B" w14:textId="77777777" w:rsidR="00A350EF" w:rsidRPr="0059445B" w:rsidRDefault="00A350EF" w:rsidP="002B4F62">
            <w:pPr>
              <w:jc w:val="center"/>
              <w:rPr>
                <w:rFonts w:ascii="Arial" w:hAnsi="Arial" w:cs="Arial"/>
                <w:bCs/>
              </w:rPr>
            </w:pPr>
            <w:r w:rsidRPr="0059445B">
              <w:rPr>
                <w:rFonts w:ascii="Arial" w:hAnsi="Arial" w:cs="Arial"/>
                <w:bCs/>
              </w:rPr>
              <w:t>C</w:t>
            </w:r>
          </w:p>
        </w:tc>
        <w:tc>
          <w:tcPr>
            <w:tcW w:w="2430" w:type="dxa"/>
            <w:vAlign w:val="center"/>
          </w:tcPr>
          <w:p w14:paraId="206B72C7" w14:textId="77777777" w:rsidR="00A350EF" w:rsidRPr="0059445B" w:rsidRDefault="00A350EF" w:rsidP="002B4F62">
            <w:pPr>
              <w:jc w:val="center"/>
              <w:rPr>
                <w:rFonts w:ascii="Arial" w:hAnsi="Arial" w:cs="Arial"/>
                <w:bCs/>
              </w:rPr>
            </w:pPr>
            <w:r w:rsidRPr="0059445B">
              <w:rPr>
                <w:rFonts w:ascii="Arial" w:hAnsi="Arial" w:cs="Arial"/>
                <w:bCs/>
              </w:rPr>
              <w:t>13,396,041 *</w:t>
            </w:r>
          </w:p>
        </w:tc>
        <w:tc>
          <w:tcPr>
            <w:tcW w:w="2610" w:type="dxa"/>
            <w:vAlign w:val="center"/>
          </w:tcPr>
          <w:p w14:paraId="551EFA68" w14:textId="77777777" w:rsidR="00A350EF" w:rsidRPr="0059445B" w:rsidRDefault="00A350EF" w:rsidP="002B4F62">
            <w:pPr>
              <w:jc w:val="center"/>
              <w:rPr>
                <w:rFonts w:ascii="Arial" w:hAnsi="Arial" w:cs="Arial"/>
                <w:bCs/>
              </w:rPr>
            </w:pPr>
            <w:r w:rsidRPr="0059445B">
              <w:rPr>
                <w:rFonts w:ascii="Arial" w:hAnsi="Arial" w:cs="Arial"/>
                <w:bCs/>
              </w:rPr>
              <w:t>15,041,117</w:t>
            </w:r>
          </w:p>
        </w:tc>
      </w:tr>
      <w:tr w:rsidR="00A350EF" w:rsidRPr="000E366C" w14:paraId="7184186A" w14:textId="77777777" w:rsidTr="002B4F62">
        <w:trPr>
          <w:trHeight w:val="440"/>
        </w:trPr>
        <w:tc>
          <w:tcPr>
            <w:tcW w:w="3600" w:type="dxa"/>
            <w:vAlign w:val="center"/>
          </w:tcPr>
          <w:p w14:paraId="6A2CFC06" w14:textId="77777777" w:rsidR="00A350EF" w:rsidRPr="000E366C" w:rsidRDefault="00A350EF" w:rsidP="002B4F62">
            <w:pPr>
              <w:rPr>
                <w:rFonts w:ascii="Arial" w:hAnsi="Arial" w:cs="Arial"/>
                <w:bCs/>
              </w:rPr>
            </w:pPr>
            <w:r w:rsidRPr="000E366C">
              <w:rPr>
                <w:rFonts w:ascii="Arial" w:hAnsi="Arial" w:cs="Arial"/>
                <w:bCs/>
              </w:rPr>
              <w:t xml:space="preserve">Calculated loss factor </w:t>
            </w:r>
            <w:r w:rsidRPr="008951B5">
              <w:rPr>
                <w:rFonts w:ascii="Arial" w:hAnsi="Arial" w:cs="Arial"/>
                <w:bCs/>
              </w:rPr>
              <w:t>– A / B</w:t>
            </w:r>
          </w:p>
        </w:tc>
        <w:tc>
          <w:tcPr>
            <w:tcW w:w="990" w:type="dxa"/>
          </w:tcPr>
          <w:p w14:paraId="5ACD4F3D" w14:textId="77777777" w:rsidR="00A350EF" w:rsidRDefault="00A350EF" w:rsidP="002B4F62">
            <w:pPr>
              <w:jc w:val="center"/>
              <w:rPr>
                <w:rFonts w:ascii="Arial" w:hAnsi="Arial" w:cs="Arial"/>
                <w:bCs/>
              </w:rPr>
            </w:pPr>
          </w:p>
        </w:tc>
        <w:tc>
          <w:tcPr>
            <w:tcW w:w="2430" w:type="dxa"/>
            <w:vAlign w:val="center"/>
          </w:tcPr>
          <w:p w14:paraId="1165C7EE" w14:textId="77777777" w:rsidR="00A350EF" w:rsidRPr="000E366C" w:rsidRDefault="00A350EF" w:rsidP="002B4F62">
            <w:pPr>
              <w:jc w:val="center"/>
              <w:rPr>
                <w:rFonts w:ascii="Arial" w:hAnsi="Arial" w:cs="Arial"/>
                <w:bCs/>
              </w:rPr>
            </w:pPr>
            <w:r>
              <w:rPr>
                <w:rFonts w:ascii="Arial" w:hAnsi="Arial" w:cs="Arial"/>
                <w:bCs/>
              </w:rPr>
              <w:t>1.051</w:t>
            </w:r>
          </w:p>
        </w:tc>
        <w:tc>
          <w:tcPr>
            <w:tcW w:w="2610" w:type="dxa"/>
            <w:vAlign w:val="center"/>
          </w:tcPr>
          <w:p w14:paraId="08B3B71A" w14:textId="77777777" w:rsidR="00A350EF" w:rsidRPr="000E366C" w:rsidRDefault="00A350EF" w:rsidP="002B4F62">
            <w:pPr>
              <w:jc w:val="center"/>
              <w:rPr>
                <w:rFonts w:ascii="Arial" w:hAnsi="Arial" w:cs="Arial"/>
                <w:bCs/>
              </w:rPr>
            </w:pPr>
            <w:r>
              <w:rPr>
                <w:rFonts w:ascii="Arial" w:hAnsi="Arial" w:cs="Arial"/>
                <w:bCs/>
              </w:rPr>
              <w:t>1.074</w:t>
            </w:r>
          </w:p>
        </w:tc>
      </w:tr>
    </w:tbl>
    <w:p w14:paraId="73A98EA5" w14:textId="77777777" w:rsidR="00A350EF" w:rsidRPr="00566A01" w:rsidRDefault="00A350EF" w:rsidP="00A350EF">
      <w:pPr>
        <w:pStyle w:val="ListParagraph"/>
        <w:rPr>
          <w:rFonts w:ascii="Arial" w:hAnsi="Arial" w:cs="Arial"/>
          <w:bCs/>
          <w:sz w:val="20"/>
          <w:szCs w:val="20"/>
        </w:rPr>
      </w:pPr>
      <w:r w:rsidRPr="00566A01">
        <w:rPr>
          <w:rFonts w:ascii="Arial" w:hAnsi="Arial" w:cs="Arial"/>
          <w:bCs/>
          <w:sz w:val="20"/>
          <w:szCs w:val="20"/>
        </w:rPr>
        <w:lastRenderedPageBreak/>
        <w:t xml:space="preserve">* revised </w:t>
      </w:r>
      <w:r>
        <w:rPr>
          <w:rFonts w:ascii="Arial" w:hAnsi="Arial" w:cs="Arial"/>
          <w:bCs/>
          <w:sz w:val="20"/>
          <w:szCs w:val="20"/>
        </w:rPr>
        <w:t>in</w:t>
      </w:r>
      <w:r w:rsidRPr="00566A01">
        <w:rPr>
          <w:rFonts w:ascii="Arial" w:hAnsi="Arial" w:cs="Arial"/>
          <w:bCs/>
          <w:sz w:val="20"/>
          <w:szCs w:val="20"/>
        </w:rPr>
        <w:t xml:space="preserve"> </w:t>
      </w:r>
      <w:r w:rsidRPr="00566A01">
        <w:rPr>
          <w:rFonts w:ascii="Arial" w:hAnsi="Arial" w:cs="Arial"/>
          <w:sz w:val="20"/>
          <w:szCs w:val="20"/>
        </w:rPr>
        <w:t xml:space="preserve">Response to OEB Staff </w:t>
      </w:r>
      <w:r w:rsidRPr="00566A01">
        <w:rPr>
          <w:rFonts w:ascii="Arial" w:hAnsi="Arial" w:cs="Arial"/>
          <w:bCs/>
          <w:sz w:val="20"/>
          <w:szCs w:val="20"/>
        </w:rPr>
        <w:t xml:space="preserve">Question </w:t>
      </w:r>
      <w:r>
        <w:rPr>
          <w:rFonts w:ascii="Arial" w:hAnsi="Arial" w:cs="Arial"/>
          <w:bCs/>
          <w:sz w:val="20"/>
          <w:szCs w:val="20"/>
        </w:rPr>
        <w:t>#</w:t>
      </w:r>
      <w:r w:rsidRPr="00566A01">
        <w:rPr>
          <w:rFonts w:ascii="Arial" w:hAnsi="Arial" w:cs="Arial"/>
          <w:bCs/>
          <w:sz w:val="20"/>
          <w:szCs w:val="20"/>
        </w:rPr>
        <w:t>9 in 2020 IRM staff questions</w:t>
      </w:r>
    </w:p>
    <w:p w14:paraId="4AD23EC3" w14:textId="77777777" w:rsidR="00A350EF" w:rsidRPr="009D52DD" w:rsidRDefault="00A350EF" w:rsidP="00A350EF">
      <w:pPr>
        <w:pStyle w:val="ListParagraph"/>
        <w:rPr>
          <w:rFonts w:ascii="Arial" w:hAnsi="Arial" w:cs="Arial"/>
          <w:bCs/>
          <w:sz w:val="24"/>
          <w:szCs w:val="24"/>
        </w:rPr>
      </w:pPr>
    </w:p>
    <w:p w14:paraId="7EBE8B30" w14:textId="77777777" w:rsidR="00A350EF" w:rsidRPr="00A31531" w:rsidRDefault="00A350EF" w:rsidP="00A350EF">
      <w:pPr>
        <w:pStyle w:val="ListParagraph"/>
        <w:numPr>
          <w:ilvl w:val="0"/>
          <w:numId w:val="14"/>
        </w:numPr>
        <w:rPr>
          <w:rFonts w:ascii="Arial" w:hAnsi="Arial" w:cs="Arial"/>
          <w:bCs/>
          <w:sz w:val="24"/>
          <w:szCs w:val="24"/>
        </w:rPr>
      </w:pPr>
      <w:r w:rsidRPr="00A31531">
        <w:rPr>
          <w:rFonts w:ascii="Arial" w:hAnsi="Arial" w:cs="Arial"/>
          <w:bCs/>
          <w:sz w:val="24"/>
          <w:szCs w:val="24"/>
        </w:rPr>
        <w:t>At Line A, Column</w:t>
      </w:r>
      <w:r>
        <w:rPr>
          <w:rFonts w:ascii="Arial" w:hAnsi="Arial" w:cs="Arial"/>
          <w:bCs/>
          <w:sz w:val="24"/>
          <w:szCs w:val="24"/>
        </w:rPr>
        <w:t>s 1 and</w:t>
      </w:r>
      <w:r w:rsidRPr="00A31531">
        <w:rPr>
          <w:rFonts w:ascii="Arial" w:hAnsi="Arial" w:cs="Arial"/>
          <w:bCs/>
          <w:sz w:val="24"/>
          <w:szCs w:val="24"/>
        </w:rPr>
        <w:t xml:space="preserve"> 2, please explain why the billed consumption for non-RPP class B customers decreased from 69,699,047 kWh to 69,416,007 kWh</w:t>
      </w:r>
      <w:r>
        <w:rPr>
          <w:rFonts w:ascii="Arial" w:hAnsi="Arial" w:cs="Arial"/>
          <w:bCs/>
          <w:sz w:val="24"/>
          <w:szCs w:val="24"/>
        </w:rPr>
        <w:t xml:space="preserve"> in 2018</w:t>
      </w:r>
      <w:r w:rsidRPr="00A31531">
        <w:rPr>
          <w:rFonts w:ascii="Arial" w:hAnsi="Arial" w:cs="Arial"/>
          <w:bCs/>
          <w:sz w:val="24"/>
          <w:szCs w:val="24"/>
        </w:rPr>
        <w:t xml:space="preserve">. </w:t>
      </w:r>
    </w:p>
    <w:p w14:paraId="6EEEB429" w14:textId="77777777" w:rsidR="00A350EF" w:rsidRDefault="00A350EF" w:rsidP="00A350EF">
      <w:pPr>
        <w:pStyle w:val="ListParagraph"/>
        <w:ind w:left="1440"/>
        <w:rPr>
          <w:rFonts w:ascii="Arial" w:hAnsi="Arial" w:cs="Arial"/>
          <w:bCs/>
          <w:sz w:val="24"/>
          <w:szCs w:val="24"/>
        </w:rPr>
      </w:pPr>
    </w:p>
    <w:p w14:paraId="56826F52" w14:textId="77777777" w:rsidR="00A350EF" w:rsidRPr="00A31531" w:rsidRDefault="00A350EF" w:rsidP="00A350EF">
      <w:pPr>
        <w:pStyle w:val="ListParagraph"/>
        <w:numPr>
          <w:ilvl w:val="0"/>
          <w:numId w:val="14"/>
        </w:numPr>
        <w:rPr>
          <w:rFonts w:ascii="Arial" w:hAnsi="Arial" w:cs="Arial"/>
          <w:bCs/>
          <w:sz w:val="24"/>
          <w:szCs w:val="24"/>
        </w:rPr>
      </w:pPr>
      <w:r w:rsidRPr="00A31531">
        <w:rPr>
          <w:rFonts w:ascii="Arial" w:hAnsi="Arial" w:cs="Arial"/>
          <w:bCs/>
          <w:sz w:val="24"/>
          <w:szCs w:val="24"/>
        </w:rPr>
        <w:t xml:space="preserve">At Line C, Column 2, please confirm accuracy of the Class A volumes of 15,041,117 kWh </w:t>
      </w:r>
      <w:r>
        <w:rPr>
          <w:rFonts w:ascii="Arial" w:hAnsi="Arial" w:cs="Arial"/>
          <w:bCs/>
          <w:sz w:val="24"/>
          <w:szCs w:val="24"/>
        </w:rPr>
        <w:t xml:space="preserve">in the GA Analysis </w:t>
      </w:r>
      <w:proofErr w:type="spellStart"/>
      <w:r>
        <w:rPr>
          <w:rFonts w:ascii="Arial" w:hAnsi="Arial" w:cs="Arial"/>
          <w:bCs/>
          <w:sz w:val="24"/>
          <w:szCs w:val="24"/>
        </w:rPr>
        <w:t>Workform</w:t>
      </w:r>
      <w:proofErr w:type="spellEnd"/>
      <w:r>
        <w:rPr>
          <w:rFonts w:ascii="Arial" w:hAnsi="Arial" w:cs="Arial"/>
          <w:bCs/>
          <w:sz w:val="24"/>
          <w:szCs w:val="24"/>
        </w:rPr>
        <w:t xml:space="preserve"> submitted in this proceeding. </w:t>
      </w:r>
      <w:r w:rsidRPr="00A31531">
        <w:rPr>
          <w:rFonts w:ascii="Arial" w:hAnsi="Arial" w:cs="Arial"/>
          <w:bCs/>
          <w:sz w:val="24"/>
          <w:szCs w:val="24"/>
        </w:rPr>
        <w:t xml:space="preserve"> </w:t>
      </w:r>
    </w:p>
    <w:p w14:paraId="64F58251" w14:textId="77777777" w:rsidR="00A350EF" w:rsidRPr="00A31531" w:rsidRDefault="00A350EF" w:rsidP="00A350EF">
      <w:pPr>
        <w:pStyle w:val="ListParagraph"/>
        <w:ind w:left="1440"/>
        <w:rPr>
          <w:rFonts w:ascii="Arial" w:hAnsi="Arial" w:cs="Arial"/>
          <w:bCs/>
          <w:sz w:val="24"/>
          <w:szCs w:val="24"/>
        </w:rPr>
      </w:pPr>
    </w:p>
    <w:p w14:paraId="39953BFC" w14:textId="45ACF992" w:rsidR="00A350EF" w:rsidRPr="003174DE" w:rsidRDefault="00A350EF" w:rsidP="00A350EF">
      <w:pPr>
        <w:pStyle w:val="ListParagraph"/>
        <w:numPr>
          <w:ilvl w:val="0"/>
          <w:numId w:val="15"/>
        </w:numPr>
        <w:spacing w:after="0"/>
        <w:rPr>
          <w:rFonts w:ascii="Arial" w:eastAsia="Times New Roman" w:hAnsi="Arial" w:cs="Arial"/>
          <w:bCs/>
          <w:color w:val="000000"/>
          <w:sz w:val="24"/>
          <w:szCs w:val="24"/>
          <w:lang w:val="en-US"/>
        </w:rPr>
      </w:pPr>
      <w:r w:rsidRPr="00A31531">
        <w:rPr>
          <w:rFonts w:ascii="Arial" w:hAnsi="Arial" w:cs="Arial"/>
          <w:bCs/>
          <w:sz w:val="24"/>
          <w:szCs w:val="24"/>
        </w:rPr>
        <w:t xml:space="preserve">In the 2019 GA Tab, it appears that the difference between the calculated and approved loss factor is </w:t>
      </w:r>
      <w:r>
        <w:rPr>
          <w:rFonts w:ascii="Arial" w:hAnsi="Arial" w:cs="Arial"/>
          <w:bCs/>
          <w:sz w:val="24"/>
          <w:szCs w:val="24"/>
        </w:rPr>
        <w:t>greater</w:t>
      </w:r>
      <w:r w:rsidRPr="00A31531">
        <w:rPr>
          <w:rFonts w:ascii="Arial" w:hAnsi="Arial" w:cs="Arial"/>
          <w:bCs/>
          <w:sz w:val="24"/>
          <w:szCs w:val="24"/>
        </w:rPr>
        <w:t xml:space="preserve"> than 1% (i.e. </w:t>
      </w:r>
      <w:r w:rsidRPr="00A31531">
        <w:rPr>
          <w:rFonts w:ascii="Arial" w:eastAsia="Times New Roman" w:hAnsi="Arial" w:cs="Arial"/>
          <w:bCs/>
          <w:color w:val="000000"/>
          <w:sz w:val="24"/>
          <w:szCs w:val="24"/>
          <w:lang w:val="en-US"/>
        </w:rPr>
        <w:t xml:space="preserve">1.0632 – 1.0509). Please </w:t>
      </w:r>
      <w:r w:rsidRPr="00A31531">
        <w:rPr>
          <w:rFonts w:ascii="Arial" w:hAnsi="Arial" w:cs="Arial"/>
          <w:bCs/>
          <w:sz w:val="24"/>
          <w:szCs w:val="24"/>
          <w:lang w:val="en-US"/>
        </w:rPr>
        <w:t>provide the supporting analysis to</w:t>
      </w:r>
      <w:r w:rsidRPr="00566A01">
        <w:rPr>
          <w:rFonts w:ascii="Arial" w:hAnsi="Arial" w:cs="Arial"/>
          <w:bCs/>
          <w:sz w:val="24"/>
          <w:szCs w:val="24"/>
          <w:lang w:val="en-US"/>
        </w:rPr>
        <w:t xml:space="preserve"> explain how the calculated loss factor</w:t>
      </w:r>
      <w:r>
        <w:rPr>
          <w:rFonts w:ascii="Arial" w:hAnsi="Arial" w:cs="Arial"/>
          <w:bCs/>
          <w:sz w:val="24"/>
          <w:szCs w:val="24"/>
          <w:lang w:val="en-US"/>
        </w:rPr>
        <w:t xml:space="preserve"> of </w:t>
      </w:r>
      <w:r w:rsidRPr="003174DE">
        <w:rPr>
          <w:rFonts w:ascii="Arial" w:eastAsia="Times New Roman" w:hAnsi="Arial" w:cs="Arial"/>
          <w:bCs/>
          <w:color w:val="000000"/>
          <w:sz w:val="24"/>
          <w:szCs w:val="24"/>
          <w:lang w:val="en-US"/>
        </w:rPr>
        <w:t xml:space="preserve">1.0632 </w:t>
      </w:r>
      <w:r>
        <w:rPr>
          <w:rFonts w:ascii="Arial" w:hAnsi="Arial" w:cs="Arial"/>
          <w:bCs/>
          <w:sz w:val="24"/>
          <w:szCs w:val="24"/>
          <w:lang w:val="en-US"/>
        </w:rPr>
        <w:t xml:space="preserve">is </w:t>
      </w:r>
      <w:r w:rsidRPr="00566A01">
        <w:rPr>
          <w:rFonts w:ascii="Arial" w:hAnsi="Arial" w:cs="Arial"/>
          <w:bCs/>
          <w:sz w:val="24"/>
          <w:szCs w:val="24"/>
          <w:lang w:val="en-US"/>
        </w:rPr>
        <w:t xml:space="preserve">reasonable compared to the approved loss factor </w:t>
      </w:r>
      <w:r>
        <w:rPr>
          <w:rFonts w:ascii="Arial" w:hAnsi="Arial" w:cs="Arial"/>
          <w:bCs/>
          <w:sz w:val="24"/>
          <w:szCs w:val="24"/>
          <w:lang w:val="en-US"/>
        </w:rPr>
        <w:t xml:space="preserve">of </w:t>
      </w:r>
      <w:r w:rsidRPr="00566A01">
        <w:rPr>
          <w:rFonts w:ascii="Arial" w:hAnsi="Arial" w:cs="Arial"/>
          <w:bCs/>
          <w:sz w:val="24"/>
          <w:szCs w:val="24"/>
          <w:lang w:val="en-US"/>
        </w:rPr>
        <w:t>1.05</w:t>
      </w:r>
      <w:r>
        <w:rPr>
          <w:rFonts w:ascii="Arial" w:hAnsi="Arial" w:cs="Arial"/>
          <w:bCs/>
          <w:sz w:val="24"/>
          <w:szCs w:val="24"/>
          <w:lang w:val="en-US"/>
        </w:rPr>
        <w:t>09.</w:t>
      </w:r>
    </w:p>
    <w:p w14:paraId="2D2B153B" w14:textId="77777777" w:rsidR="00A350EF" w:rsidRDefault="00A350EF" w:rsidP="00A350EF">
      <w:pPr>
        <w:pStyle w:val="ListParagraph"/>
        <w:rPr>
          <w:rFonts w:ascii="Arial" w:hAnsi="Arial" w:cs="Arial"/>
          <w:bCs/>
          <w:sz w:val="24"/>
          <w:szCs w:val="24"/>
        </w:rPr>
      </w:pPr>
    </w:p>
    <w:p w14:paraId="68DA3460" w14:textId="7486B904" w:rsidR="00A350EF" w:rsidRPr="00105D73" w:rsidRDefault="00A350EF" w:rsidP="00A350EF">
      <w:pPr>
        <w:pStyle w:val="ListParagraph"/>
        <w:numPr>
          <w:ilvl w:val="0"/>
          <w:numId w:val="15"/>
        </w:numPr>
        <w:rPr>
          <w:rFonts w:ascii="Arial" w:hAnsi="Arial" w:cs="Arial"/>
          <w:bCs/>
          <w:sz w:val="24"/>
          <w:szCs w:val="24"/>
        </w:rPr>
      </w:pPr>
      <w:r>
        <w:rPr>
          <w:rFonts w:ascii="Arial" w:hAnsi="Arial" w:cs="Arial"/>
          <w:bCs/>
          <w:sz w:val="24"/>
          <w:szCs w:val="24"/>
        </w:rPr>
        <w:t xml:space="preserve">If any of the response(s) above require an amendment to </w:t>
      </w:r>
      <w:r w:rsidR="003D211D">
        <w:rPr>
          <w:rFonts w:ascii="Arial" w:hAnsi="Arial" w:cs="Arial"/>
          <w:bCs/>
          <w:sz w:val="24"/>
          <w:szCs w:val="24"/>
        </w:rPr>
        <w:t xml:space="preserve">the GA </w:t>
      </w:r>
      <w:proofErr w:type="spellStart"/>
      <w:r w:rsidR="003D211D">
        <w:rPr>
          <w:rFonts w:ascii="Arial" w:hAnsi="Arial" w:cs="Arial"/>
          <w:bCs/>
          <w:sz w:val="24"/>
          <w:szCs w:val="24"/>
        </w:rPr>
        <w:t>Workform</w:t>
      </w:r>
      <w:proofErr w:type="spellEnd"/>
      <w:r w:rsidR="003D211D">
        <w:rPr>
          <w:rFonts w:ascii="Arial" w:hAnsi="Arial" w:cs="Arial"/>
          <w:bCs/>
          <w:sz w:val="24"/>
          <w:szCs w:val="24"/>
        </w:rPr>
        <w:t xml:space="preserve"> or the Rate Generator Model</w:t>
      </w:r>
      <w:r>
        <w:rPr>
          <w:rFonts w:ascii="Arial" w:hAnsi="Arial" w:cs="Arial"/>
          <w:bCs/>
          <w:sz w:val="24"/>
          <w:szCs w:val="24"/>
        </w:rPr>
        <w:t>,</w:t>
      </w:r>
      <w:r w:rsidRPr="00105D73">
        <w:rPr>
          <w:rFonts w:ascii="Arial" w:hAnsi="Arial" w:cs="Arial"/>
          <w:bCs/>
          <w:sz w:val="24"/>
          <w:szCs w:val="24"/>
        </w:rPr>
        <w:t xml:space="preserve"> please </w:t>
      </w:r>
      <w:r w:rsidR="002A5846">
        <w:rPr>
          <w:rFonts w:ascii="Arial" w:hAnsi="Arial" w:cs="Arial"/>
          <w:bCs/>
          <w:sz w:val="24"/>
          <w:szCs w:val="24"/>
        </w:rPr>
        <w:t>indicate the change(s) required. Please</w:t>
      </w:r>
      <w:r>
        <w:rPr>
          <w:rFonts w:ascii="Arial" w:hAnsi="Arial" w:cs="Arial"/>
          <w:bCs/>
          <w:sz w:val="24"/>
          <w:szCs w:val="24"/>
        </w:rPr>
        <w:t xml:space="preserve"> </w:t>
      </w:r>
      <w:r w:rsidR="003D211D">
        <w:rPr>
          <w:rFonts w:ascii="Arial" w:hAnsi="Arial" w:cs="Arial"/>
          <w:bCs/>
          <w:sz w:val="24"/>
          <w:szCs w:val="24"/>
        </w:rPr>
        <w:t xml:space="preserve">confirm the changes needed, as OEB staff </w:t>
      </w:r>
      <w:r w:rsidR="005D54CA">
        <w:rPr>
          <w:rFonts w:ascii="Arial" w:hAnsi="Arial" w:cs="Arial"/>
          <w:bCs/>
          <w:sz w:val="24"/>
          <w:szCs w:val="24"/>
        </w:rPr>
        <w:t>can</w:t>
      </w:r>
      <w:r w:rsidR="003D211D">
        <w:rPr>
          <w:rFonts w:ascii="Arial" w:hAnsi="Arial" w:cs="Arial"/>
          <w:bCs/>
          <w:sz w:val="24"/>
          <w:szCs w:val="24"/>
        </w:rPr>
        <w:t xml:space="preserve"> assist </w:t>
      </w:r>
      <w:r w:rsidR="005D54CA">
        <w:rPr>
          <w:rFonts w:ascii="Arial" w:hAnsi="Arial" w:cs="Arial"/>
          <w:bCs/>
          <w:sz w:val="24"/>
          <w:szCs w:val="24"/>
        </w:rPr>
        <w:t>with any required revisions to</w:t>
      </w:r>
      <w:r w:rsidR="003D211D">
        <w:rPr>
          <w:rFonts w:ascii="Arial" w:hAnsi="Arial" w:cs="Arial"/>
          <w:bCs/>
          <w:sz w:val="24"/>
          <w:szCs w:val="24"/>
        </w:rPr>
        <w:t xml:space="preserve"> ensur</w:t>
      </w:r>
      <w:r w:rsidR="005D54CA">
        <w:rPr>
          <w:rFonts w:ascii="Arial" w:hAnsi="Arial" w:cs="Arial"/>
          <w:bCs/>
          <w:sz w:val="24"/>
          <w:szCs w:val="24"/>
        </w:rPr>
        <w:t>e</w:t>
      </w:r>
      <w:r w:rsidR="003D211D">
        <w:rPr>
          <w:rFonts w:ascii="Arial" w:hAnsi="Arial" w:cs="Arial"/>
          <w:bCs/>
          <w:sz w:val="24"/>
          <w:szCs w:val="24"/>
        </w:rPr>
        <w:t xml:space="preserve"> the records are accurate. </w:t>
      </w:r>
    </w:p>
    <w:p w14:paraId="16182CB5" w14:textId="77777777" w:rsidR="00A350EF" w:rsidRDefault="00A350EF" w:rsidP="00A350EF">
      <w:pPr>
        <w:pStyle w:val="NoSpacing"/>
      </w:pPr>
    </w:p>
    <w:p w14:paraId="179B3A71" w14:textId="5D232011" w:rsidR="003A4C61" w:rsidRDefault="003A4C61" w:rsidP="003A4C61">
      <w:pPr>
        <w:pStyle w:val="Heading2"/>
        <w:rPr>
          <w:b w:val="0"/>
        </w:rPr>
      </w:pPr>
      <w:r>
        <w:t>Staff Question-</w:t>
      </w:r>
      <w:r w:rsidR="006A6FB8">
        <w:t>7</w:t>
      </w:r>
    </w:p>
    <w:p w14:paraId="391DBA39" w14:textId="77777777" w:rsidR="003A4C61" w:rsidRPr="007E4106" w:rsidRDefault="003A4C61" w:rsidP="003A4C61">
      <w:pPr>
        <w:pStyle w:val="NoSpacing"/>
        <w:spacing w:line="276" w:lineRule="auto"/>
        <w:rPr>
          <w:rFonts w:ascii="Arial" w:hAnsi="Arial" w:cs="Arial"/>
          <w:sz w:val="24"/>
          <w:szCs w:val="24"/>
        </w:rPr>
      </w:pPr>
      <w:r w:rsidRPr="007E4106">
        <w:rPr>
          <w:rFonts w:ascii="Arial" w:hAnsi="Arial" w:cs="Arial"/>
          <w:sz w:val="24"/>
          <w:szCs w:val="24"/>
        </w:rPr>
        <w:t>Ref:</w:t>
      </w:r>
      <w:r w:rsidRPr="007E4106">
        <w:rPr>
          <w:rFonts w:ascii="Arial" w:hAnsi="Arial" w:cs="Arial"/>
          <w:sz w:val="24"/>
          <w:szCs w:val="24"/>
        </w:rPr>
        <w:tab/>
        <w:t>Application, page 24</w:t>
      </w:r>
      <w:r>
        <w:rPr>
          <w:rFonts w:ascii="Arial" w:hAnsi="Arial" w:cs="Arial"/>
          <w:sz w:val="24"/>
          <w:szCs w:val="24"/>
        </w:rPr>
        <w:t xml:space="preserve">, and LRAMVA </w:t>
      </w:r>
      <w:proofErr w:type="spellStart"/>
      <w:r>
        <w:rPr>
          <w:rFonts w:ascii="Arial" w:hAnsi="Arial" w:cs="Arial"/>
          <w:sz w:val="24"/>
          <w:szCs w:val="24"/>
        </w:rPr>
        <w:t>Workform</w:t>
      </w:r>
      <w:proofErr w:type="spellEnd"/>
    </w:p>
    <w:p w14:paraId="447DE6E3" w14:textId="1397ED6C" w:rsidR="003A4C61" w:rsidRDefault="003A4C61" w:rsidP="003A4C61">
      <w:pPr>
        <w:pStyle w:val="NoSpacing"/>
        <w:spacing w:line="276" w:lineRule="auto"/>
        <w:rPr>
          <w:rFonts w:ascii="Arial" w:hAnsi="Arial" w:cs="Arial"/>
          <w:sz w:val="24"/>
          <w:szCs w:val="24"/>
        </w:rPr>
      </w:pPr>
      <w:r w:rsidRPr="007E4106">
        <w:rPr>
          <w:rFonts w:ascii="Arial" w:hAnsi="Arial" w:cs="Arial"/>
          <w:sz w:val="24"/>
          <w:szCs w:val="24"/>
        </w:rPr>
        <w:tab/>
        <w:t>Tabs 3 and 4 of the Rate Generator Model (Nov 1</w:t>
      </w:r>
      <w:r w:rsidR="0077487B">
        <w:rPr>
          <w:rFonts w:ascii="Arial" w:hAnsi="Arial" w:cs="Arial"/>
          <w:sz w:val="24"/>
          <w:szCs w:val="24"/>
        </w:rPr>
        <w:t>8</w:t>
      </w:r>
      <w:r w:rsidRPr="007E4106">
        <w:rPr>
          <w:rFonts w:ascii="Arial" w:hAnsi="Arial" w:cs="Arial"/>
          <w:sz w:val="24"/>
          <w:szCs w:val="24"/>
        </w:rPr>
        <w:t>, 2020)</w:t>
      </w:r>
      <w:r>
        <w:rPr>
          <w:rFonts w:ascii="Arial" w:hAnsi="Arial" w:cs="Arial"/>
          <w:sz w:val="24"/>
          <w:szCs w:val="24"/>
        </w:rPr>
        <w:t xml:space="preserve"> – attached</w:t>
      </w:r>
    </w:p>
    <w:p w14:paraId="2D0F6590" w14:textId="77777777" w:rsidR="003A4C61" w:rsidRDefault="003A4C61" w:rsidP="003A4C61">
      <w:pPr>
        <w:pStyle w:val="NoSpacing"/>
        <w:rPr>
          <w:rFonts w:ascii="Arial" w:hAnsi="Arial" w:cs="Arial"/>
          <w:sz w:val="24"/>
          <w:szCs w:val="24"/>
        </w:rPr>
      </w:pPr>
      <w:r>
        <w:rPr>
          <w:rFonts w:ascii="Arial" w:hAnsi="Arial" w:cs="Arial"/>
          <w:sz w:val="24"/>
          <w:szCs w:val="24"/>
        </w:rPr>
        <w:tab/>
      </w:r>
      <w:r w:rsidRPr="00E24119">
        <w:rPr>
          <w:rFonts w:ascii="Arial" w:hAnsi="Arial" w:cs="Arial"/>
          <w:sz w:val="24"/>
          <w:szCs w:val="24"/>
        </w:rPr>
        <w:t xml:space="preserve">EB-2017-0048, </w:t>
      </w:r>
      <w:r>
        <w:rPr>
          <w:rFonts w:ascii="Arial" w:hAnsi="Arial" w:cs="Arial"/>
          <w:sz w:val="24"/>
          <w:szCs w:val="24"/>
        </w:rPr>
        <w:t>2018 DVA Continuity Schedule, Tab 6</w:t>
      </w:r>
    </w:p>
    <w:p w14:paraId="42B809A6" w14:textId="77777777" w:rsidR="003A4C61" w:rsidRPr="007E4106" w:rsidRDefault="003A4C61" w:rsidP="003A4C61">
      <w:pPr>
        <w:pStyle w:val="NoSpacing"/>
        <w:spacing w:line="276" w:lineRule="auto"/>
        <w:rPr>
          <w:rFonts w:ascii="Arial" w:hAnsi="Arial" w:cs="Arial"/>
          <w:sz w:val="24"/>
          <w:szCs w:val="24"/>
        </w:rPr>
      </w:pPr>
    </w:p>
    <w:p w14:paraId="2956F1F5" w14:textId="77777777" w:rsidR="003A4C61" w:rsidRDefault="003A4C61" w:rsidP="003A4C61">
      <w:pPr>
        <w:rPr>
          <w:rFonts w:ascii="Arial" w:hAnsi="Arial" w:cs="Arial"/>
          <w:sz w:val="24"/>
          <w:szCs w:val="24"/>
        </w:rPr>
      </w:pPr>
      <w:r>
        <w:rPr>
          <w:rFonts w:ascii="Arial" w:hAnsi="Arial" w:cs="Arial"/>
          <w:sz w:val="24"/>
          <w:szCs w:val="24"/>
        </w:rPr>
        <w:t xml:space="preserve">In the LRAMVA </w:t>
      </w:r>
      <w:proofErr w:type="spellStart"/>
      <w:r>
        <w:rPr>
          <w:rFonts w:ascii="Arial" w:hAnsi="Arial" w:cs="Arial"/>
          <w:sz w:val="24"/>
          <w:szCs w:val="24"/>
        </w:rPr>
        <w:t>Workform</w:t>
      </w:r>
      <w:proofErr w:type="spellEnd"/>
      <w:r>
        <w:rPr>
          <w:rFonts w:ascii="Arial" w:hAnsi="Arial" w:cs="Arial"/>
          <w:sz w:val="24"/>
          <w:szCs w:val="24"/>
        </w:rPr>
        <w:t>,</w:t>
      </w:r>
      <w:r w:rsidRPr="007E4106">
        <w:rPr>
          <w:rFonts w:ascii="Arial" w:hAnsi="Arial" w:cs="Arial"/>
          <w:bCs/>
          <w:sz w:val="24"/>
          <w:szCs w:val="24"/>
        </w:rPr>
        <w:t xml:space="preserve"> Hydro Hawkesbury</w:t>
      </w:r>
      <w:r>
        <w:rPr>
          <w:rFonts w:ascii="Arial" w:hAnsi="Arial" w:cs="Arial"/>
          <w:bCs/>
          <w:sz w:val="24"/>
          <w:szCs w:val="24"/>
        </w:rPr>
        <w:t xml:space="preserve"> </w:t>
      </w:r>
      <w:r>
        <w:rPr>
          <w:rFonts w:ascii="Arial" w:hAnsi="Arial" w:cs="Arial"/>
          <w:sz w:val="24"/>
          <w:szCs w:val="24"/>
        </w:rPr>
        <w:t xml:space="preserve">calculated a credit balance of $749 comprised of incremental 2017 and 2018 lost revenues. However, </w:t>
      </w:r>
      <w:r w:rsidRPr="007E4106">
        <w:rPr>
          <w:rFonts w:ascii="Arial" w:hAnsi="Arial" w:cs="Arial"/>
          <w:bCs/>
          <w:sz w:val="24"/>
          <w:szCs w:val="24"/>
        </w:rPr>
        <w:t>Hydro Hawkesbury</w:t>
      </w:r>
      <w:r>
        <w:rPr>
          <w:rFonts w:ascii="Arial" w:hAnsi="Arial" w:cs="Arial"/>
          <w:bCs/>
          <w:sz w:val="24"/>
          <w:szCs w:val="24"/>
        </w:rPr>
        <w:t xml:space="preserve"> is requesting </w:t>
      </w:r>
      <w:r w:rsidRPr="007E4106">
        <w:rPr>
          <w:rFonts w:ascii="Arial" w:hAnsi="Arial" w:cs="Arial"/>
          <w:bCs/>
          <w:sz w:val="24"/>
          <w:szCs w:val="24"/>
        </w:rPr>
        <w:t>dispos</w:t>
      </w:r>
      <w:r>
        <w:rPr>
          <w:rFonts w:ascii="Arial" w:hAnsi="Arial" w:cs="Arial"/>
          <w:bCs/>
          <w:sz w:val="24"/>
          <w:szCs w:val="24"/>
        </w:rPr>
        <w:t>ition of</w:t>
      </w:r>
      <w:r w:rsidRPr="007E4106">
        <w:rPr>
          <w:rFonts w:ascii="Arial" w:hAnsi="Arial" w:cs="Arial"/>
          <w:bCs/>
          <w:sz w:val="24"/>
          <w:szCs w:val="24"/>
        </w:rPr>
        <w:t xml:space="preserve"> a </w:t>
      </w:r>
      <w:r>
        <w:rPr>
          <w:rFonts w:ascii="Arial" w:hAnsi="Arial" w:cs="Arial"/>
          <w:bCs/>
          <w:sz w:val="24"/>
          <w:szCs w:val="24"/>
        </w:rPr>
        <w:t xml:space="preserve">total LRAMVA </w:t>
      </w:r>
      <w:r w:rsidRPr="007E4106">
        <w:rPr>
          <w:rFonts w:ascii="Arial" w:hAnsi="Arial" w:cs="Arial"/>
          <w:bCs/>
          <w:sz w:val="24"/>
          <w:szCs w:val="24"/>
        </w:rPr>
        <w:t xml:space="preserve">credit balance of </w:t>
      </w:r>
      <w:bookmarkStart w:id="1" w:name="_Hlk56064910"/>
      <w:r w:rsidRPr="007E4106">
        <w:rPr>
          <w:rFonts w:ascii="Arial" w:hAnsi="Arial" w:cs="Arial"/>
          <w:bCs/>
          <w:sz w:val="24"/>
          <w:szCs w:val="24"/>
        </w:rPr>
        <w:t>$6,288</w:t>
      </w:r>
      <w:r>
        <w:rPr>
          <w:rFonts w:ascii="Arial" w:hAnsi="Arial" w:cs="Arial"/>
          <w:sz w:val="24"/>
          <w:szCs w:val="24"/>
        </w:rPr>
        <w:t xml:space="preserve"> </w:t>
      </w:r>
      <w:bookmarkEnd w:id="1"/>
      <w:r>
        <w:rPr>
          <w:rFonts w:ascii="Arial" w:hAnsi="Arial" w:cs="Arial"/>
          <w:sz w:val="24"/>
          <w:szCs w:val="24"/>
        </w:rPr>
        <w:t xml:space="preserve">based on the December 31, 2020 balance for Account 1568 in the DVA Continuity Schedule. </w:t>
      </w:r>
    </w:p>
    <w:p w14:paraId="00336982" w14:textId="7A9CF210" w:rsidR="00F601A3" w:rsidRDefault="00F601A3" w:rsidP="00F601A3">
      <w:pPr>
        <w:pStyle w:val="ListParagraph"/>
        <w:rPr>
          <w:rFonts w:ascii="Arial" w:hAnsi="Arial" w:cs="Arial"/>
          <w:sz w:val="24"/>
          <w:szCs w:val="24"/>
        </w:rPr>
      </w:pPr>
    </w:p>
    <w:p w14:paraId="078D16E1" w14:textId="5A254916" w:rsidR="003A4C61" w:rsidRPr="0085350E" w:rsidRDefault="003A4C61" w:rsidP="003A4C61">
      <w:pPr>
        <w:pStyle w:val="ListParagraph"/>
        <w:numPr>
          <w:ilvl w:val="0"/>
          <w:numId w:val="5"/>
        </w:numPr>
        <w:rPr>
          <w:rFonts w:ascii="Arial" w:hAnsi="Arial" w:cs="Arial"/>
          <w:sz w:val="24"/>
          <w:szCs w:val="24"/>
        </w:rPr>
      </w:pPr>
      <w:r>
        <w:rPr>
          <w:rFonts w:ascii="Arial" w:hAnsi="Arial" w:cs="Arial"/>
          <w:sz w:val="24"/>
          <w:szCs w:val="24"/>
        </w:rPr>
        <w:t>Please confirm</w:t>
      </w:r>
      <w:r>
        <w:rPr>
          <w:rFonts w:ascii="Arial" w:hAnsi="Arial" w:cs="Arial"/>
          <w:bCs/>
          <w:sz w:val="24"/>
          <w:szCs w:val="24"/>
        </w:rPr>
        <w:t xml:space="preserve"> that the LRAMVA debit balance of $7,860 was disposed of in the 2018 COS proceeding</w:t>
      </w:r>
      <w:r w:rsidR="00F036A7">
        <w:rPr>
          <w:rFonts w:ascii="Arial" w:hAnsi="Arial" w:cs="Arial"/>
          <w:bCs/>
          <w:sz w:val="24"/>
          <w:szCs w:val="24"/>
        </w:rPr>
        <w:t xml:space="preserve"> or </w:t>
      </w:r>
      <w:r>
        <w:rPr>
          <w:rFonts w:ascii="Arial" w:hAnsi="Arial" w:cs="Arial"/>
          <w:bCs/>
          <w:sz w:val="24"/>
          <w:szCs w:val="24"/>
        </w:rPr>
        <w:t>clarify if this is not the case</w:t>
      </w:r>
      <w:r w:rsidR="00725B81">
        <w:rPr>
          <w:rFonts w:ascii="Arial" w:hAnsi="Arial" w:cs="Arial"/>
          <w:bCs/>
          <w:sz w:val="24"/>
          <w:szCs w:val="24"/>
        </w:rPr>
        <w:t xml:space="preserve">. </w:t>
      </w:r>
    </w:p>
    <w:p w14:paraId="5094E7AC" w14:textId="77777777" w:rsidR="003A4C61" w:rsidRDefault="003A4C61" w:rsidP="003A4C61">
      <w:pPr>
        <w:pStyle w:val="ListParagraph"/>
        <w:rPr>
          <w:rFonts w:ascii="Arial" w:hAnsi="Arial" w:cs="Arial"/>
          <w:sz w:val="24"/>
          <w:szCs w:val="24"/>
        </w:rPr>
      </w:pPr>
    </w:p>
    <w:p w14:paraId="7B88A3F9" w14:textId="1B3D78D8" w:rsidR="003A4C61" w:rsidRPr="00E0406C" w:rsidRDefault="008A55B3" w:rsidP="003A4C61">
      <w:pPr>
        <w:pStyle w:val="ListParagraph"/>
        <w:numPr>
          <w:ilvl w:val="0"/>
          <w:numId w:val="5"/>
        </w:numPr>
        <w:rPr>
          <w:rFonts w:ascii="Arial" w:hAnsi="Arial" w:cs="Arial"/>
          <w:sz w:val="24"/>
          <w:szCs w:val="24"/>
        </w:rPr>
      </w:pPr>
      <w:r>
        <w:rPr>
          <w:rFonts w:ascii="Arial" w:hAnsi="Arial" w:cs="Arial"/>
          <w:sz w:val="24"/>
          <w:szCs w:val="24"/>
        </w:rPr>
        <w:t>P</w:t>
      </w:r>
      <w:r w:rsidR="003A4C61">
        <w:rPr>
          <w:rFonts w:ascii="Arial" w:hAnsi="Arial" w:cs="Arial"/>
          <w:sz w:val="24"/>
          <w:szCs w:val="24"/>
        </w:rPr>
        <w:t xml:space="preserve">lease confirm that </w:t>
      </w:r>
      <w:r w:rsidR="003A4C61" w:rsidRPr="007E4106">
        <w:rPr>
          <w:rFonts w:ascii="Arial" w:hAnsi="Arial" w:cs="Arial"/>
          <w:bCs/>
          <w:sz w:val="24"/>
          <w:szCs w:val="24"/>
        </w:rPr>
        <w:t>Hydro Hawkesbury</w:t>
      </w:r>
      <w:r w:rsidR="003A4C61">
        <w:rPr>
          <w:rFonts w:ascii="Arial" w:hAnsi="Arial" w:cs="Arial"/>
          <w:bCs/>
          <w:sz w:val="24"/>
          <w:szCs w:val="24"/>
        </w:rPr>
        <w:t xml:space="preserve"> relied on the 2019 Participation &amp; Cost (P&amp;C) Report. If yes, please confirm that the net savings for 2018 are consistent with the reported results on the 2019 P&amp;C Report.  </w:t>
      </w:r>
    </w:p>
    <w:p w14:paraId="0F0EA586" w14:textId="77777777" w:rsidR="00E0406C" w:rsidRPr="00E0406C" w:rsidRDefault="00E0406C" w:rsidP="00E0406C">
      <w:pPr>
        <w:pStyle w:val="ListParagraph"/>
        <w:rPr>
          <w:rFonts w:ascii="Arial" w:hAnsi="Arial" w:cs="Arial"/>
          <w:sz w:val="24"/>
          <w:szCs w:val="24"/>
        </w:rPr>
      </w:pPr>
    </w:p>
    <w:p w14:paraId="08336CC3" w14:textId="0724DB4F" w:rsidR="00E0406C" w:rsidRDefault="00E0406C" w:rsidP="00E0406C">
      <w:pPr>
        <w:pStyle w:val="ListParagraph"/>
        <w:numPr>
          <w:ilvl w:val="0"/>
          <w:numId w:val="5"/>
        </w:numPr>
        <w:rPr>
          <w:rFonts w:ascii="Arial" w:hAnsi="Arial" w:cs="Arial"/>
          <w:sz w:val="24"/>
          <w:szCs w:val="24"/>
        </w:rPr>
      </w:pPr>
      <w:r>
        <w:rPr>
          <w:rFonts w:ascii="Arial" w:hAnsi="Arial" w:cs="Arial"/>
          <w:sz w:val="24"/>
          <w:szCs w:val="24"/>
        </w:rPr>
        <w:t xml:space="preserve">Please confirm whether </w:t>
      </w:r>
      <w:r w:rsidRPr="007E4106">
        <w:rPr>
          <w:rFonts w:ascii="Arial" w:hAnsi="Arial" w:cs="Arial"/>
          <w:bCs/>
          <w:sz w:val="24"/>
          <w:szCs w:val="24"/>
        </w:rPr>
        <w:t>Hydro Hawkesbury</w:t>
      </w:r>
      <w:r>
        <w:rPr>
          <w:rFonts w:ascii="Arial" w:hAnsi="Arial" w:cs="Arial"/>
          <w:sz w:val="24"/>
          <w:szCs w:val="24"/>
        </w:rPr>
        <w:t xml:space="preserve"> agrees to update Tab 4 of the Rate Generator Model to reflect the disposition of a </w:t>
      </w:r>
      <w:r w:rsidRPr="007E4106">
        <w:rPr>
          <w:rFonts w:ascii="Arial" w:hAnsi="Arial" w:cs="Arial"/>
          <w:sz w:val="24"/>
          <w:szCs w:val="24"/>
        </w:rPr>
        <w:t>credit</w:t>
      </w:r>
      <w:r>
        <w:rPr>
          <w:rFonts w:ascii="Arial" w:hAnsi="Arial" w:cs="Arial"/>
          <w:sz w:val="24"/>
          <w:szCs w:val="24"/>
        </w:rPr>
        <w:t xml:space="preserve"> balance of </w:t>
      </w:r>
      <w:r w:rsidRPr="007E4106">
        <w:rPr>
          <w:rFonts w:ascii="Arial" w:hAnsi="Arial" w:cs="Arial"/>
          <w:sz w:val="24"/>
          <w:szCs w:val="24"/>
        </w:rPr>
        <w:t>$</w:t>
      </w:r>
      <w:r>
        <w:rPr>
          <w:rFonts w:ascii="Arial" w:hAnsi="Arial" w:cs="Arial"/>
          <w:sz w:val="24"/>
          <w:szCs w:val="24"/>
        </w:rPr>
        <w:t xml:space="preserve">749 based on the rate class allocations calculated in the LRAMVA </w:t>
      </w:r>
      <w:proofErr w:type="spellStart"/>
      <w:r>
        <w:rPr>
          <w:rFonts w:ascii="Arial" w:hAnsi="Arial" w:cs="Arial"/>
          <w:sz w:val="24"/>
          <w:szCs w:val="24"/>
        </w:rPr>
        <w:t>Workform</w:t>
      </w:r>
      <w:proofErr w:type="spellEnd"/>
      <w:r>
        <w:rPr>
          <w:rFonts w:ascii="Arial" w:hAnsi="Arial" w:cs="Arial"/>
          <w:sz w:val="24"/>
          <w:szCs w:val="24"/>
        </w:rPr>
        <w:t xml:space="preserve">. If yes, please </w:t>
      </w:r>
      <w:r w:rsidR="002A5846">
        <w:rPr>
          <w:rFonts w:ascii="Arial" w:hAnsi="Arial" w:cs="Arial"/>
          <w:sz w:val="24"/>
          <w:szCs w:val="24"/>
        </w:rPr>
        <w:lastRenderedPageBreak/>
        <w:t xml:space="preserve">revise </w:t>
      </w:r>
      <w:r>
        <w:rPr>
          <w:rFonts w:ascii="Arial" w:hAnsi="Arial" w:cs="Arial"/>
          <w:sz w:val="24"/>
          <w:szCs w:val="24"/>
        </w:rPr>
        <w:t xml:space="preserve">the correct rate class amounts </w:t>
      </w:r>
      <w:r w:rsidR="002A5846">
        <w:rPr>
          <w:rFonts w:ascii="Arial" w:hAnsi="Arial" w:cs="Arial"/>
          <w:sz w:val="24"/>
          <w:szCs w:val="24"/>
        </w:rPr>
        <w:t xml:space="preserve">in Tab 4 based on </w:t>
      </w:r>
      <w:r>
        <w:rPr>
          <w:rFonts w:ascii="Arial" w:hAnsi="Arial" w:cs="Arial"/>
          <w:sz w:val="24"/>
          <w:szCs w:val="24"/>
        </w:rPr>
        <w:t xml:space="preserve">Tab 1 </w:t>
      </w:r>
      <w:r w:rsidR="002A5846">
        <w:rPr>
          <w:rFonts w:ascii="Arial" w:hAnsi="Arial" w:cs="Arial"/>
          <w:sz w:val="24"/>
          <w:szCs w:val="24"/>
        </w:rPr>
        <w:t xml:space="preserve">(Table 1-a) </w:t>
      </w:r>
      <w:r>
        <w:rPr>
          <w:rFonts w:ascii="Arial" w:hAnsi="Arial" w:cs="Arial"/>
          <w:sz w:val="24"/>
          <w:szCs w:val="24"/>
        </w:rPr>
        <w:t xml:space="preserve">of the LRAMVA </w:t>
      </w:r>
      <w:proofErr w:type="spellStart"/>
      <w:r>
        <w:rPr>
          <w:rFonts w:ascii="Arial" w:hAnsi="Arial" w:cs="Arial"/>
          <w:sz w:val="24"/>
          <w:szCs w:val="24"/>
        </w:rPr>
        <w:t>Workform</w:t>
      </w:r>
      <w:proofErr w:type="spellEnd"/>
      <w:r>
        <w:rPr>
          <w:rFonts w:ascii="Arial" w:hAnsi="Arial" w:cs="Arial"/>
          <w:sz w:val="24"/>
          <w:szCs w:val="24"/>
        </w:rPr>
        <w:t>.</w:t>
      </w:r>
      <w:r w:rsidR="006B04AA">
        <w:rPr>
          <w:rFonts w:ascii="Arial" w:hAnsi="Arial" w:cs="Arial"/>
          <w:sz w:val="24"/>
          <w:szCs w:val="24"/>
        </w:rPr>
        <w:t xml:space="preserve"> If not, please discuss. </w:t>
      </w:r>
    </w:p>
    <w:p w14:paraId="44077647" w14:textId="0D0EB49C" w:rsidR="003A4C61" w:rsidRDefault="003A4C61" w:rsidP="003A4C61"/>
    <w:p w14:paraId="53B45C98" w14:textId="2CB7C2AE" w:rsidR="003A4C61" w:rsidRDefault="003A4C61" w:rsidP="003A4C61">
      <w:pPr>
        <w:pStyle w:val="Heading2"/>
        <w:rPr>
          <w:b w:val="0"/>
        </w:rPr>
      </w:pPr>
      <w:r>
        <w:t>Staff Question-</w:t>
      </w:r>
      <w:r w:rsidR="006A6FB8">
        <w:t>8</w:t>
      </w:r>
    </w:p>
    <w:p w14:paraId="49512423" w14:textId="1F293322" w:rsidR="003A4C61" w:rsidRDefault="003A4C61" w:rsidP="003A4C61">
      <w:pPr>
        <w:pStyle w:val="NoSpacing"/>
        <w:rPr>
          <w:rFonts w:ascii="Arial" w:hAnsi="Arial" w:cs="Arial"/>
          <w:sz w:val="24"/>
          <w:szCs w:val="24"/>
        </w:rPr>
      </w:pPr>
      <w:r w:rsidRPr="00D0268A">
        <w:rPr>
          <w:rFonts w:ascii="Arial" w:hAnsi="Arial" w:cs="Arial"/>
          <w:sz w:val="24"/>
          <w:szCs w:val="24"/>
        </w:rPr>
        <w:t>Ref:</w:t>
      </w:r>
      <w:r w:rsidRPr="00D0268A">
        <w:rPr>
          <w:rFonts w:ascii="Arial" w:hAnsi="Arial" w:cs="Arial"/>
          <w:sz w:val="24"/>
          <w:szCs w:val="24"/>
        </w:rPr>
        <w:tab/>
      </w:r>
      <w:r w:rsidRPr="00A31531">
        <w:rPr>
          <w:rFonts w:ascii="Arial" w:hAnsi="Arial" w:cs="Arial"/>
          <w:bCs/>
          <w:sz w:val="24"/>
          <w:szCs w:val="24"/>
        </w:rPr>
        <w:t>Tab</w:t>
      </w:r>
      <w:r>
        <w:rPr>
          <w:rFonts w:ascii="Arial" w:hAnsi="Arial" w:cs="Arial"/>
          <w:bCs/>
          <w:sz w:val="24"/>
          <w:szCs w:val="24"/>
        </w:rPr>
        <w:t>s</w:t>
      </w:r>
      <w:r w:rsidRPr="00A31531">
        <w:rPr>
          <w:rFonts w:ascii="Arial" w:hAnsi="Arial" w:cs="Arial"/>
          <w:bCs/>
          <w:sz w:val="24"/>
          <w:szCs w:val="24"/>
        </w:rPr>
        <w:t xml:space="preserve"> 6</w:t>
      </w:r>
      <w:r>
        <w:rPr>
          <w:rFonts w:ascii="Arial" w:hAnsi="Arial" w:cs="Arial"/>
          <w:bCs/>
          <w:sz w:val="24"/>
          <w:szCs w:val="24"/>
        </w:rPr>
        <w:t xml:space="preserve">, </w:t>
      </w:r>
      <w:r w:rsidRPr="00D0268A">
        <w:rPr>
          <w:rFonts w:ascii="Arial" w:hAnsi="Arial" w:cs="Arial"/>
          <w:sz w:val="24"/>
          <w:szCs w:val="24"/>
        </w:rPr>
        <w:t>6.1a</w:t>
      </w:r>
      <w:r>
        <w:rPr>
          <w:rFonts w:ascii="Arial" w:hAnsi="Arial" w:cs="Arial"/>
          <w:sz w:val="24"/>
          <w:szCs w:val="24"/>
        </w:rPr>
        <w:t xml:space="preserve"> and </w:t>
      </w:r>
      <w:r w:rsidRPr="00D0268A">
        <w:rPr>
          <w:rFonts w:ascii="Arial" w:hAnsi="Arial" w:cs="Arial"/>
          <w:sz w:val="24"/>
          <w:szCs w:val="24"/>
        </w:rPr>
        <w:t>6.2a</w:t>
      </w:r>
      <w:r w:rsidRPr="007E4106">
        <w:rPr>
          <w:rFonts w:ascii="Arial" w:hAnsi="Arial" w:cs="Arial"/>
          <w:sz w:val="24"/>
          <w:szCs w:val="24"/>
        </w:rPr>
        <w:t xml:space="preserve"> </w:t>
      </w:r>
      <w:r>
        <w:rPr>
          <w:rFonts w:ascii="Arial" w:hAnsi="Arial" w:cs="Arial"/>
          <w:sz w:val="24"/>
          <w:szCs w:val="24"/>
        </w:rPr>
        <w:t xml:space="preserve">of </w:t>
      </w:r>
      <w:r w:rsidRPr="007E4106">
        <w:rPr>
          <w:rFonts w:ascii="Arial" w:hAnsi="Arial" w:cs="Arial"/>
          <w:sz w:val="24"/>
          <w:szCs w:val="24"/>
        </w:rPr>
        <w:t>Rate Generator Model (Nov 1</w:t>
      </w:r>
      <w:r w:rsidR="0077487B">
        <w:rPr>
          <w:rFonts w:ascii="Arial" w:hAnsi="Arial" w:cs="Arial"/>
          <w:sz w:val="24"/>
          <w:szCs w:val="24"/>
        </w:rPr>
        <w:t>8</w:t>
      </w:r>
      <w:r w:rsidRPr="007E4106">
        <w:rPr>
          <w:rFonts w:ascii="Arial" w:hAnsi="Arial" w:cs="Arial"/>
          <w:sz w:val="24"/>
          <w:szCs w:val="24"/>
        </w:rPr>
        <w:t>, 2020)</w:t>
      </w:r>
      <w:r>
        <w:rPr>
          <w:rFonts w:ascii="Arial" w:hAnsi="Arial" w:cs="Arial"/>
          <w:sz w:val="24"/>
          <w:szCs w:val="24"/>
        </w:rPr>
        <w:t xml:space="preserve"> – attached </w:t>
      </w:r>
    </w:p>
    <w:p w14:paraId="48E4224A" w14:textId="77777777" w:rsidR="003A4C61" w:rsidRPr="00D0268A" w:rsidRDefault="003A4C61" w:rsidP="003A4C61">
      <w:pPr>
        <w:pStyle w:val="NoSpacing"/>
        <w:rPr>
          <w:rFonts w:ascii="Arial" w:hAnsi="Arial" w:cs="Arial"/>
          <w:sz w:val="24"/>
          <w:szCs w:val="24"/>
        </w:rPr>
      </w:pPr>
      <w:r>
        <w:rPr>
          <w:rFonts w:ascii="Arial" w:hAnsi="Arial" w:cs="Arial"/>
          <w:sz w:val="24"/>
          <w:szCs w:val="24"/>
        </w:rPr>
        <w:tab/>
        <w:t xml:space="preserve">GA Analysis </w:t>
      </w:r>
      <w:proofErr w:type="spellStart"/>
      <w:r>
        <w:rPr>
          <w:rFonts w:ascii="Arial" w:hAnsi="Arial" w:cs="Arial"/>
          <w:sz w:val="24"/>
          <w:szCs w:val="24"/>
        </w:rPr>
        <w:t>Workform</w:t>
      </w:r>
      <w:proofErr w:type="spellEnd"/>
      <w:r>
        <w:rPr>
          <w:rFonts w:ascii="Arial" w:hAnsi="Arial" w:cs="Arial"/>
          <w:sz w:val="24"/>
          <w:szCs w:val="24"/>
        </w:rPr>
        <w:t>, Tab 2019</w:t>
      </w:r>
    </w:p>
    <w:p w14:paraId="730446F9" w14:textId="77777777" w:rsidR="003A4C61" w:rsidRPr="00D0268A" w:rsidRDefault="003A4C61" w:rsidP="003A4C61">
      <w:pPr>
        <w:pStyle w:val="NoSpacing"/>
        <w:rPr>
          <w:rFonts w:ascii="Arial" w:hAnsi="Arial" w:cs="Arial"/>
          <w:sz w:val="24"/>
          <w:szCs w:val="24"/>
        </w:rPr>
      </w:pPr>
    </w:p>
    <w:p w14:paraId="0623B359" w14:textId="77777777" w:rsidR="003A4C61" w:rsidRPr="005C2507" w:rsidRDefault="003A4C61" w:rsidP="003A4C61">
      <w:pPr>
        <w:rPr>
          <w:rFonts w:ascii="Arial" w:hAnsi="Arial" w:cs="Arial"/>
          <w:bCs/>
          <w:sz w:val="24"/>
          <w:szCs w:val="24"/>
        </w:rPr>
      </w:pPr>
      <w:r>
        <w:rPr>
          <w:rFonts w:ascii="Arial" w:hAnsi="Arial" w:cs="Arial"/>
          <w:bCs/>
          <w:sz w:val="24"/>
          <w:szCs w:val="24"/>
        </w:rPr>
        <w:t xml:space="preserve">OEB staff enabled the macros in </w:t>
      </w:r>
      <w:r w:rsidRPr="00D0268A">
        <w:rPr>
          <w:rFonts w:ascii="Arial" w:hAnsi="Arial" w:cs="Arial"/>
          <w:bCs/>
          <w:sz w:val="24"/>
          <w:szCs w:val="24"/>
        </w:rPr>
        <w:t>Tab</w:t>
      </w:r>
      <w:r>
        <w:rPr>
          <w:rFonts w:ascii="Arial" w:hAnsi="Arial" w:cs="Arial"/>
          <w:bCs/>
          <w:sz w:val="24"/>
          <w:szCs w:val="24"/>
        </w:rPr>
        <w:t xml:space="preserve"> 6 of the </w:t>
      </w:r>
      <w:r w:rsidRPr="007E4106">
        <w:rPr>
          <w:rFonts w:ascii="Arial" w:hAnsi="Arial" w:cs="Arial"/>
          <w:sz w:val="24"/>
          <w:szCs w:val="24"/>
        </w:rPr>
        <w:t xml:space="preserve">Rate Generator Model </w:t>
      </w:r>
      <w:r>
        <w:rPr>
          <w:rFonts w:ascii="Arial" w:hAnsi="Arial" w:cs="Arial"/>
          <w:bCs/>
          <w:sz w:val="24"/>
          <w:szCs w:val="24"/>
        </w:rPr>
        <w:t xml:space="preserve">to generate a table with columns for 2017 and 2018. As a complete version of this table was not generated in the Rate Generator Model filed by the utility, 2017 and 2018 data </w:t>
      </w:r>
      <w:proofErr w:type="gramStart"/>
      <w:r>
        <w:rPr>
          <w:rFonts w:ascii="Arial" w:hAnsi="Arial" w:cs="Arial"/>
          <w:bCs/>
          <w:sz w:val="24"/>
          <w:szCs w:val="24"/>
        </w:rPr>
        <w:t>was</w:t>
      </w:r>
      <w:proofErr w:type="gramEnd"/>
      <w:r>
        <w:rPr>
          <w:rFonts w:ascii="Arial" w:hAnsi="Arial" w:cs="Arial"/>
          <w:bCs/>
          <w:sz w:val="24"/>
          <w:szCs w:val="24"/>
        </w:rPr>
        <w:t xml:space="preserve"> not provided.</w:t>
      </w:r>
    </w:p>
    <w:p w14:paraId="22A41E99" w14:textId="77777777" w:rsidR="003A4C61" w:rsidRDefault="003A4C61" w:rsidP="003A4C61">
      <w:pPr>
        <w:pStyle w:val="ListParagraph"/>
        <w:numPr>
          <w:ilvl w:val="0"/>
          <w:numId w:val="3"/>
        </w:numPr>
        <w:rPr>
          <w:rFonts w:ascii="Arial" w:hAnsi="Arial" w:cs="Arial"/>
          <w:bCs/>
          <w:sz w:val="24"/>
          <w:szCs w:val="24"/>
        </w:rPr>
      </w:pPr>
      <w:r>
        <w:rPr>
          <w:rFonts w:ascii="Arial" w:hAnsi="Arial" w:cs="Arial"/>
          <w:bCs/>
          <w:sz w:val="24"/>
          <w:szCs w:val="24"/>
        </w:rPr>
        <w:t>In Tab 6</w:t>
      </w:r>
      <w:r w:rsidRPr="00A455A7">
        <w:rPr>
          <w:rFonts w:ascii="Arial" w:hAnsi="Arial" w:cs="Arial"/>
          <w:sz w:val="24"/>
          <w:szCs w:val="24"/>
        </w:rPr>
        <w:t xml:space="preserve"> </w:t>
      </w:r>
      <w:r>
        <w:rPr>
          <w:rFonts w:ascii="Arial" w:hAnsi="Arial" w:cs="Arial"/>
          <w:sz w:val="24"/>
          <w:szCs w:val="24"/>
        </w:rPr>
        <w:t xml:space="preserve">of the </w:t>
      </w:r>
      <w:r w:rsidRPr="007E4106">
        <w:rPr>
          <w:rFonts w:ascii="Arial" w:hAnsi="Arial" w:cs="Arial"/>
          <w:sz w:val="24"/>
          <w:szCs w:val="24"/>
        </w:rPr>
        <w:t>Rate Generator Model</w:t>
      </w:r>
      <w:r>
        <w:rPr>
          <w:rFonts w:ascii="Arial" w:hAnsi="Arial" w:cs="Arial"/>
          <w:bCs/>
          <w:sz w:val="24"/>
          <w:szCs w:val="24"/>
        </w:rPr>
        <w:t>, p</w:t>
      </w:r>
      <w:r w:rsidRPr="005C2507">
        <w:rPr>
          <w:rFonts w:ascii="Arial" w:hAnsi="Arial" w:cs="Arial"/>
          <w:bCs/>
          <w:sz w:val="24"/>
          <w:szCs w:val="24"/>
        </w:rPr>
        <w:t xml:space="preserve">lease </w:t>
      </w:r>
      <w:r>
        <w:rPr>
          <w:rFonts w:ascii="Arial" w:hAnsi="Arial" w:cs="Arial"/>
          <w:bCs/>
          <w:sz w:val="24"/>
          <w:szCs w:val="24"/>
        </w:rPr>
        <w:t>provide</w:t>
      </w:r>
      <w:r w:rsidRPr="005C2507">
        <w:rPr>
          <w:rFonts w:ascii="Arial" w:hAnsi="Arial" w:cs="Arial"/>
          <w:bCs/>
          <w:sz w:val="24"/>
          <w:szCs w:val="24"/>
        </w:rPr>
        <w:t xml:space="preserve"> the 2017 and 2018 </w:t>
      </w:r>
      <w:r>
        <w:rPr>
          <w:rFonts w:ascii="Arial" w:hAnsi="Arial" w:cs="Arial"/>
          <w:bCs/>
          <w:sz w:val="24"/>
          <w:szCs w:val="24"/>
        </w:rPr>
        <w:t xml:space="preserve">data </w:t>
      </w:r>
      <w:r w:rsidRPr="005C2507">
        <w:rPr>
          <w:rFonts w:ascii="Arial" w:hAnsi="Arial" w:cs="Arial"/>
          <w:bCs/>
          <w:sz w:val="24"/>
          <w:szCs w:val="24"/>
        </w:rPr>
        <w:t>in Tables 3a and 3b</w:t>
      </w:r>
      <w:r>
        <w:rPr>
          <w:rFonts w:ascii="Arial" w:hAnsi="Arial" w:cs="Arial"/>
          <w:bCs/>
          <w:sz w:val="24"/>
          <w:szCs w:val="24"/>
        </w:rPr>
        <w:t>.</w:t>
      </w:r>
    </w:p>
    <w:p w14:paraId="0D368F14" w14:textId="77777777" w:rsidR="003A4C61" w:rsidRDefault="003A4C61" w:rsidP="003A4C61">
      <w:pPr>
        <w:pStyle w:val="ListParagraph"/>
        <w:rPr>
          <w:rFonts w:ascii="Arial" w:hAnsi="Arial" w:cs="Arial"/>
          <w:bCs/>
          <w:sz w:val="24"/>
          <w:szCs w:val="24"/>
        </w:rPr>
      </w:pPr>
    </w:p>
    <w:p w14:paraId="011BAE4A" w14:textId="66FBA217" w:rsidR="003A4C61" w:rsidRDefault="008F39A7" w:rsidP="003A4C61">
      <w:pPr>
        <w:pStyle w:val="ListParagraph"/>
        <w:numPr>
          <w:ilvl w:val="0"/>
          <w:numId w:val="3"/>
        </w:numPr>
        <w:rPr>
          <w:rFonts w:ascii="Arial" w:hAnsi="Arial" w:cs="Arial"/>
          <w:bCs/>
          <w:sz w:val="24"/>
          <w:szCs w:val="24"/>
        </w:rPr>
      </w:pPr>
      <w:r>
        <w:rPr>
          <w:rFonts w:ascii="Arial" w:hAnsi="Arial" w:cs="Arial"/>
          <w:bCs/>
          <w:sz w:val="24"/>
          <w:szCs w:val="24"/>
        </w:rPr>
        <w:t>Based on the response to Staff Question 6-c ii), p</w:t>
      </w:r>
      <w:r w:rsidR="003A4C61" w:rsidRPr="005C2507">
        <w:rPr>
          <w:rFonts w:ascii="Arial" w:hAnsi="Arial" w:cs="Arial"/>
          <w:bCs/>
          <w:sz w:val="24"/>
          <w:szCs w:val="24"/>
        </w:rPr>
        <w:t xml:space="preserve">lease </w:t>
      </w:r>
      <w:r w:rsidR="003A4C61">
        <w:rPr>
          <w:rFonts w:ascii="Arial" w:hAnsi="Arial" w:cs="Arial"/>
          <w:bCs/>
          <w:sz w:val="24"/>
          <w:szCs w:val="24"/>
        </w:rPr>
        <w:t xml:space="preserve">reconcile the difference between </w:t>
      </w:r>
      <w:r w:rsidR="003A4C61" w:rsidRPr="005C2507">
        <w:rPr>
          <w:rFonts w:ascii="Arial" w:hAnsi="Arial" w:cs="Arial"/>
          <w:bCs/>
          <w:sz w:val="24"/>
          <w:szCs w:val="24"/>
        </w:rPr>
        <w:t xml:space="preserve">the 2019 Class A volumes of </w:t>
      </w:r>
      <w:r w:rsidR="003A4C61" w:rsidRPr="005C2507">
        <w:rPr>
          <w:rFonts w:ascii="Arial" w:eastAsia="Times New Roman" w:hAnsi="Arial" w:cs="Arial"/>
          <w:color w:val="000000"/>
          <w:sz w:val="24"/>
          <w:szCs w:val="24"/>
          <w:lang w:val="en-US"/>
        </w:rPr>
        <w:t xml:space="preserve">11,544,609 </w:t>
      </w:r>
      <w:r w:rsidR="003A4C61" w:rsidRPr="005C2507">
        <w:rPr>
          <w:rFonts w:ascii="Arial" w:eastAsia="Times New Roman" w:hAnsi="Arial" w:cs="Arial"/>
          <w:sz w:val="24"/>
          <w:szCs w:val="24"/>
          <w:lang w:val="en-US"/>
        </w:rPr>
        <w:t>kWh</w:t>
      </w:r>
      <w:r w:rsidR="003A4C61" w:rsidRPr="005C2507">
        <w:rPr>
          <w:rFonts w:ascii="Arial" w:hAnsi="Arial" w:cs="Arial"/>
          <w:bCs/>
          <w:sz w:val="24"/>
          <w:szCs w:val="24"/>
        </w:rPr>
        <w:t xml:space="preserve"> (</w:t>
      </w:r>
      <w:r w:rsidR="003A4C61">
        <w:rPr>
          <w:rFonts w:ascii="Arial" w:hAnsi="Arial" w:cs="Arial"/>
          <w:bCs/>
          <w:sz w:val="24"/>
          <w:szCs w:val="24"/>
        </w:rPr>
        <w:t>in</w:t>
      </w:r>
      <w:r w:rsidR="003A4C61" w:rsidRPr="005C2507">
        <w:rPr>
          <w:rFonts w:ascii="Arial" w:hAnsi="Arial" w:cs="Arial"/>
          <w:bCs/>
          <w:sz w:val="24"/>
          <w:szCs w:val="24"/>
        </w:rPr>
        <w:t xml:space="preserve"> Tab 6 of Rate Generator</w:t>
      </w:r>
      <w:r w:rsidR="003A4C61">
        <w:rPr>
          <w:rFonts w:ascii="Arial" w:hAnsi="Arial" w:cs="Arial"/>
          <w:bCs/>
          <w:sz w:val="24"/>
          <w:szCs w:val="24"/>
        </w:rPr>
        <w:t xml:space="preserve"> Model</w:t>
      </w:r>
      <w:r w:rsidR="003A4C61" w:rsidRPr="005C2507">
        <w:rPr>
          <w:rFonts w:ascii="Arial" w:hAnsi="Arial" w:cs="Arial"/>
          <w:bCs/>
          <w:sz w:val="24"/>
          <w:szCs w:val="24"/>
        </w:rPr>
        <w:t>)</w:t>
      </w:r>
      <w:r w:rsidR="003A4C61">
        <w:rPr>
          <w:rFonts w:ascii="Arial" w:hAnsi="Arial" w:cs="Arial"/>
          <w:bCs/>
          <w:sz w:val="24"/>
          <w:szCs w:val="24"/>
        </w:rPr>
        <w:t xml:space="preserve"> and</w:t>
      </w:r>
      <w:r w:rsidR="003A4C61" w:rsidRPr="005C2507">
        <w:rPr>
          <w:rFonts w:ascii="Arial" w:hAnsi="Arial" w:cs="Arial"/>
          <w:bCs/>
          <w:sz w:val="24"/>
          <w:szCs w:val="24"/>
        </w:rPr>
        <w:t xml:space="preserve"> </w:t>
      </w:r>
      <w:r w:rsidR="003A4C61" w:rsidRPr="005C2507">
        <w:rPr>
          <w:rFonts w:ascii="Arial" w:eastAsia="Times New Roman" w:hAnsi="Arial" w:cs="Arial"/>
          <w:sz w:val="24"/>
          <w:szCs w:val="24"/>
          <w:lang w:val="en-US"/>
        </w:rPr>
        <w:t>13,264,976 kWh</w:t>
      </w:r>
      <w:r w:rsidR="003A4C61" w:rsidRPr="005C2507">
        <w:rPr>
          <w:rFonts w:ascii="Arial" w:hAnsi="Arial" w:cs="Arial"/>
          <w:bCs/>
          <w:sz w:val="24"/>
          <w:szCs w:val="24"/>
        </w:rPr>
        <w:t xml:space="preserve"> (</w:t>
      </w:r>
      <w:r w:rsidR="003A4C61">
        <w:rPr>
          <w:rFonts w:ascii="Arial" w:hAnsi="Arial" w:cs="Arial"/>
          <w:bCs/>
          <w:sz w:val="24"/>
          <w:szCs w:val="24"/>
        </w:rPr>
        <w:t>in</w:t>
      </w:r>
      <w:r w:rsidR="003A4C61" w:rsidRPr="005C2507">
        <w:rPr>
          <w:rFonts w:ascii="Arial" w:hAnsi="Arial" w:cs="Arial"/>
          <w:bCs/>
          <w:sz w:val="24"/>
          <w:szCs w:val="24"/>
        </w:rPr>
        <w:t xml:space="preserve"> Tab </w:t>
      </w:r>
      <w:r w:rsidR="003A4C61">
        <w:rPr>
          <w:rFonts w:ascii="Arial" w:hAnsi="Arial" w:cs="Arial"/>
          <w:bCs/>
          <w:sz w:val="24"/>
          <w:szCs w:val="24"/>
        </w:rPr>
        <w:t>“</w:t>
      </w:r>
      <w:r w:rsidR="003A4C61" w:rsidRPr="005C2507">
        <w:rPr>
          <w:rFonts w:ascii="Arial" w:hAnsi="Arial" w:cs="Arial"/>
          <w:bCs/>
          <w:sz w:val="24"/>
          <w:szCs w:val="24"/>
        </w:rPr>
        <w:t xml:space="preserve">2019 </w:t>
      </w:r>
      <w:r w:rsidR="003A4C61">
        <w:rPr>
          <w:rFonts w:ascii="Arial" w:hAnsi="Arial" w:cs="Arial"/>
          <w:bCs/>
          <w:sz w:val="24"/>
          <w:szCs w:val="24"/>
        </w:rPr>
        <w:t xml:space="preserve">GA” </w:t>
      </w:r>
      <w:r w:rsidR="003A4C61" w:rsidRPr="005C2507">
        <w:rPr>
          <w:rFonts w:ascii="Arial" w:hAnsi="Arial" w:cs="Arial"/>
          <w:bCs/>
          <w:sz w:val="24"/>
          <w:szCs w:val="24"/>
        </w:rPr>
        <w:t xml:space="preserve">of the GA Analysis </w:t>
      </w:r>
      <w:proofErr w:type="spellStart"/>
      <w:r w:rsidR="003A4C61" w:rsidRPr="005C2507">
        <w:rPr>
          <w:rFonts w:ascii="Arial" w:hAnsi="Arial" w:cs="Arial"/>
          <w:bCs/>
          <w:sz w:val="24"/>
          <w:szCs w:val="24"/>
        </w:rPr>
        <w:t>Workform</w:t>
      </w:r>
      <w:proofErr w:type="spellEnd"/>
      <w:r w:rsidR="003A4C61" w:rsidRPr="005C2507">
        <w:rPr>
          <w:rFonts w:ascii="Arial" w:hAnsi="Arial" w:cs="Arial"/>
          <w:bCs/>
          <w:sz w:val="24"/>
          <w:szCs w:val="24"/>
        </w:rPr>
        <w:t>)</w:t>
      </w:r>
      <w:r w:rsidR="003A4C61">
        <w:rPr>
          <w:rFonts w:ascii="Arial" w:hAnsi="Arial" w:cs="Arial"/>
          <w:bCs/>
          <w:sz w:val="24"/>
          <w:szCs w:val="24"/>
        </w:rPr>
        <w:t xml:space="preserve">. </w:t>
      </w:r>
    </w:p>
    <w:p w14:paraId="1DF9ECF4" w14:textId="77777777" w:rsidR="003A4C61" w:rsidRDefault="003A4C61" w:rsidP="003A4C61">
      <w:pPr>
        <w:pStyle w:val="ListParagraph"/>
        <w:rPr>
          <w:rFonts w:ascii="Arial" w:hAnsi="Arial" w:cs="Arial"/>
          <w:bCs/>
          <w:sz w:val="24"/>
          <w:szCs w:val="24"/>
        </w:rPr>
      </w:pPr>
    </w:p>
    <w:p w14:paraId="18041C98" w14:textId="77777777" w:rsidR="003A4C61" w:rsidRDefault="003A4C61" w:rsidP="003A4C61">
      <w:pPr>
        <w:pStyle w:val="ListParagraph"/>
        <w:numPr>
          <w:ilvl w:val="0"/>
          <w:numId w:val="3"/>
        </w:numPr>
        <w:rPr>
          <w:rFonts w:ascii="Arial" w:hAnsi="Arial" w:cs="Arial"/>
          <w:bCs/>
          <w:sz w:val="24"/>
          <w:szCs w:val="24"/>
        </w:rPr>
      </w:pPr>
      <w:r w:rsidRPr="00D9746D">
        <w:rPr>
          <w:rFonts w:ascii="Arial" w:hAnsi="Arial" w:cs="Arial"/>
          <w:bCs/>
          <w:sz w:val="24"/>
          <w:szCs w:val="24"/>
        </w:rPr>
        <w:t xml:space="preserve">Please </w:t>
      </w:r>
      <w:r>
        <w:rPr>
          <w:rFonts w:ascii="Arial" w:hAnsi="Arial" w:cs="Arial"/>
          <w:bCs/>
          <w:sz w:val="24"/>
          <w:szCs w:val="24"/>
        </w:rPr>
        <w:t xml:space="preserve">provide </w:t>
      </w:r>
      <w:r w:rsidRPr="00D9746D">
        <w:rPr>
          <w:rFonts w:ascii="Arial" w:hAnsi="Arial" w:cs="Arial"/>
          <w:bCs/>
          <w:sz w:val="24"/>
          <w:szCs w:val="24"/>
        </w:rPr>
        <w:t xml:space="preserve">the 2017 and 2018 </w:t>
      </w:r>
      <w:r>
        <w:rPr>
          <w:rFonts w:ascii="Arial" w:hAnsi="Arial" w:cs="Arial"/>
          <w:bCs/>
          <w:sz w:val="24"/>
          <w:szCs w:val="24"/>
        </w:rPr>
        <w:t>volumes</w:t>
      </w:r>
      <w:r w:rsidRPr="00D9746D">
        <w:rPr>
          <w:rFonts w:ascii="Arial" w:hAnsi="Arial" w:cs="Arial"/>
          <w:bCs/>
          <w:sz w:val="24"/>
          <w:szCs w:val="24"/>
        </w:rPr>
        <w:t xml:space="preserve"> in Tab 6.1a (pertaining to total non-RPP consumption, less WMP) and in Tab 6.2a (pertaining to total metered consumption, less WMP). </w:t>
      </w:r>
    </w:p>
    <w:p w14:paraId="70C9AAED" w14:textId="77777777" w:rsidR="003A4C61" w:rsidRPr="00932B8A" w:rsidRDefault="003A4C61" w:rsidP="003A4C61">
      <w:pPr>
        <w:pStyle w:val="ListParagraph"/>
        <w:rPr>
          <w:rFonts w:ascii="Arial" w:hAnsi="Arial" w:cs="Arial"/>
          <w:bCs/>
          <w:sz w:val="24"/>
          <w:szCs w:val="24"/>
        </w:rPr>
      </w:pPr>
    </w:p>
    <w:p w14:paraId="12DB8A33" w14:textId="42865F0B" w:rsidR="003A4C61" w:rsidRDefault="003A4C61" w:rsidP="003A4C61">
      <w:pPr>
        <w:pStyle w:val="Heading2"/>
        <w:rPr>
          <w:b w:val="0"/>
        </w:rPr>
      </w:pPr>
      <w:r>
        <w:t>Staff Question-</w:t>
      </w:r>
      <w:r w:rsidR="006A6FB8">
        <w:t>9</w:t>
      </w:r>
    </w:p>
    <w:p w14:paraId="0B518C4A" w14:textId="0790F4FB" w:rsidR="003A4C61" w:rsidRPr="004361A9" w:rsidRDefault="003A4C61" w:rsidP="003A4C61">
      <w:pPr>
        <w:pStyle w:val="NoSpacing"/>
        <w:rPr>
          <w:rFonts w:ascii="Arial" w:hAnsi="Arial" w:cs="Arial"/>
          <w:sz w:val="24"/>
          <w:szCs w:val="24"/>
        </w:rPr>
      </w:pPr>
      <w:r w:rsidRPr="004361A9">
        <w:rPr>
          <w:rFonts w:ascii="Arial" w:hAnsi="Arial" w:cs="Arial"/>
          <w:sz w:val="24"/>
          <w:szCs w:val="24"/>
        </w:rPr>
        <w:t>Ref:</w:t>
      </w:r>
      <w:r w:rsidRPr="004361A9">
        <w:rPr>
          <w:rFonts w:ascii="Arial" w:hAnsi="Arial" w:cs="Arial"/>
          <w:sz w:val="24"/>
          <w:szCs w:val="24"/>
        </w:rPr>
        <w:tab/>
        <w:t xml:space="preserve">Tabs 8 and 9 </w:t>
      </w:r>
      <w:r>
        <w:rPr>
          <w:rFonts w:ascii="Arial" w:hAnsi="Arial" w:cs="Arial"/>
          <w:sz w:val="24"/>
          <w:szCs w:val="24"/>
        </w:rPr>
        <w:t xml:space="preserve">of </w:t>
      </w:r>
      <w:r w:rsidRPr="004361A9">
        <w:rPr>
          <w:rFonts w:ascii="Arial" w:hAnsi="Arial" w:cs="Arial"/>
          <w:sz w:val="24"/>
          <w:szCs w:val="24"/>
        </w:rPr>
        <w:t>Rate Generator Model (Nov 1</w:t>
      </w:r>
      <w:r w:rsidR="0077487B">
        <w:rPr>
          <w:rFonts w:ascii="Arial" w:hAnsi="Arial" w:cs="Arial"/>
          <w:sz w:val="24"/>
          <w:szCs w:val="24"/>
        </w:rPr>
        <w:t>8</w:t>
      </w:r>
      <w:r w:rsidRPr="004361A9">
        <w:rPr>
          <w:rFonts w:ascii="Arial" w:hAnsi="Arial" w:cs="Arial"/>
          <w:sz w:val="24"/>
          <w:szCs w:val="24"/>
        </w:rPr>
        <w:t>, 2020)</w:t>
      </w:r>
      <w:r>
        <w:rPr>
          <w:rFonts w:ascii="Arial" w:hAnsi="Arial" w:cs="Arial"/>
          <w:sz w:val="24"/>
          <w:szCs w:val="24"/>
        </w:rPr>
        <w:t xml:space="preserve"> – attached</w:t>
      </w:r>
    </w:p>
    <w:p w14:paraId="527FAA7B" w14:textId="4D49AE55" w:rsidR="003A4C61" w:rsidRPr="004361A9" w:rsidRDefault="003A4C61" w:rsidP="003A4C61">
      <w:pPr>
        <w:pStyle w:val="NoSpacing"/>
        <w:rPr>
          <w:rFonts w:ascii="Arial" w:hAnsi="Arial" w:cs="Arial"/>
          <w:sz w:val="24"/>
          <w:szCs w:val="24"/>
        </w:rPr>
      </w:pPr>
      <w:r w:rsidRPr="004361A9">
        <w:rPr>
          <w:rFonts w:ascii="Arial" w:hAnsi="Arial" w:cs="Arial"/>
          <w:sz w:val="24"/>
          <w:szCs w:val="24"/>
        </w:rPr>
        <w:tab/>
        <w:t xml:space="preserve">EB-2017-0048, PILS </w:t>
      </w:r>
      <w:proofErr w:type="spellStart"/>
      <w:r>
        <w:rPr>
          <w:rFonts w:ascii="Arial" w:hAnsi="Arial" w:cs="Arial"/>
          <w:sz w:val="24"/>
          <w:szCs w:val="24"/>
        </w:rPr>
        <w:t>W</w:t>
      </w:r>
      <w:r w:rsidRPr="004361A9">
        <w:rPr>
          <w:rFonts w:ascii="Arial" w:hAnsi="Arial" w:cs="Arial"/>
          <w:sz w:val="24"/>
          <w:szCs w:val="24"/>
        </w:rPr>
        <w:t>orkform</w:t>
      </w:r>
      <w:proofErr w:type="spellEnd"/>
      <w:r w:rsidRPr="004361A9">
        <w:rPr>
          <w:rFonts w:ascii="Arial" w:hAnsi="Arial" w:cs="Arial"/>
          <w:sz w:val="24"/>
          <w:szCs w:val="24"/>
        </w:rPr>
        <w:t xml:space="preserve">, Tab </w:t>
      </w:r>
      <w:r>
        <w:rPr>
          <w:rFonts w:ascii="Arial" w:hAnsi="Arial" w:cs="Arial"/>
          <w:sz w:val="24"/>
          <w:szCs w:val="24"/>
        </w:rPr>
        <w:t>“</w:t>
      </w:r>
      <w:r w:rsidR="008A55B3">
        <w:rPr>
          <w:rFonts w:ascii="Arial" w:hAnsi="Arial" w:cs="Arial"/>
          <w:sz w:val="24"/>
          <w:szCs w:val="24"/>
        </w:rPr>
        <w:t>T</w:t>
      </w:r>
      <w:r w:rsidRPr="004361A9">
        <w:rPr>
          <w:rFonts w:ascii="Arial" w:hAnsi="Arial" w:cs="Arial"/>
          <w:sz w:val="24"/>
          <w:szCs w:val="24"/>
        </w:rPr>
        <w:t>0 PILs, Tax Provision</w:t>
      </w:r>
      <w:r>
        <w:rPr>
          <w:rFonts w:ascii="Arial" w:hAnsi="Arial" w:cs="Arial"/>
          <w:sz w:val="24"/>
          <w:szCs w:val="24"/>
        </w:rPr>
        <w:t>”</w:t>
      </w:r>
    </w:p>
    <w:p w14:paraId="06BC01FC" w14:textId="77777777" w:rsidR="003A4C61" w:rsidRPr="004361A9" w:rsidRDefault="003A4C61" w:rsidP="003A4C61">
      <w:pPr>
        <w:pStyle w:val="NoSpacing"/>
        <w:rPr>
          <w:rFonts w:ascii="Arial" w:hAnsi="Arial" w:cs="Arial"/>
          <w:sz w:val="24"/>
          <w:szCs w:val="24"/>
        </w:rPr>
      </w:pPr>
    </w:p>
    <w:p w14:paraId="75A4D717" w14:textId="77777777" w:rsidR="003A4C61" w:rsidRDefault="003A4C61" w:rsidP="003A4C61">
      <w:pPr>
        <w:rPr>
          <w:rFonts w:ascii="Arial" w:hAnsi="Arial" w:cs="Arial"/>
          <w:bCs/>
          <w:sz w:val="24"/>
          <w:szCs w:val="24"/>
        </w:rPr>
      </w:pPr>
      <w:r w:rsidRPr="004361A9">
        <w:rPr>
          <w:rFonts w:ascii="Arial" w:hAnsi="Arial" w:cs="Arial"/>
          <w:sz w:val="24"/>
          <w:szCs w:val="24"/>
        </w:rPr>
        <w:t>Hydro Hawkesbury calculated a tax sharing credit amount of $117 based on t</w:t>
      </w:r>
      <w:r>
        <w:rPr>
          <w:rFonts w:ascii="Arial" w:hAnsi="Arial" w:cs="Arial"/>
          <w:sz w:val="24"/>
          <w:szCs w:val="24"/>
        </w:rPr>
        <w:t xml:space="preserve">he decrease in the combined effective tax rate from 12.5% in 2018 to 12.2% in 2021. </w:t>
      </w:r>
    </w:p>
    <w:p w14:paraId="4FDC968C" w14:textId="77777777" w:rsidR="003A4C61" w:rsidRDefault="003A4C61" w:rsidP="003A4C61">
      <w:pPr>
        <w:pStyle w:val="ListParagraph"/>
        <w:numPr>
          <w:ilvl w:val="0"/>
          <w:numId w:val="8"/>
        </w:numPr>
        <w:rPr>
          <w:rFonts w:ascii="Arial" w:hAnsi="Arial" w:cs="Arial"/>
          <w:bCs/>
          <w:sz w:val="24"/>
          <w:szCs w:val="24"/>
        </w:rPr>
      </w:pPr>
      <w:r>
        <w:rPr>
          <w:rFonts w:ascii="Arial" w:hAnsi="Arial" w:cs="Arial"/>
          <w:bCs/>
          <w:sz w:val="24"/>
          <w:szCs w:val="24"/>
        </w:rPr>
        <w:t xml:space="preserve">Please explain the rationale for using an effective tax rate of 12.5% in 2018, </w:t>
      </w:r>
      <w:r>
        <w:rPr>
          <w:rFonts w:ascii="Arial" w:hAnsi="Arial" w:cs="Arial"/>
          <w:sz w:val="24"/>
          <w:szCs w:val="24"/>
        </w:rPr>
        <w:t xml:space="preserve">when the approved effective tax rate was 15% </w:t>
      </w:r>
      <w:r>
        <w:rPr>
          <w:rFonts w:ascii="Arial" w:hAnsi="Arial" w:cs="Arial"/>
          <w:bCs/>
          <w:sz w:val="24"/>
          <w:szCs w:val="24"/>
        </w:rPr>
        <w:t xml:space="preserve">in the 2018 PILs </w:t>
      </w:r>
      <w:proofErr w:type="spellStart"/>
      <w:r>
        <w:rPr>
          <w:rFonts w:ascii="Arial" w:hAnsi="Arial" w:cs="Arial"/>
          <w:bCs/>
          <w:sz w:val="24"/>
          <w:szCs w:val="24"/>
        </w:rPr>
        <w:t>Workform</w:t>
      </w:r>
      <w:proofErr w:type="spellEnd"/>
      <w:r>
        <w:rPr>
          <w:rFonts w:ascii="Arial" w:hAnsi="Arial" w:cs="Arial"/>
          <w:sz w:val="24"/>
          <w:szCs w:val="24"/>
        </w:rPr>
        <w:t>.</w:t>
      </w:r>
    </w:p>
    <w:p w14:paraId="5C88692D" w14:textId="77777777" w:rsidR="003A4C61" w:rsidRDefault="003A4C61" w:rsidP="003A4C61">
      <w:pPr>
        <w:pStyle w:val="ListParagraph"/>
        <w:rPr>
          <w:rFonts w:ascii="Arial" w:hAnsi="Arial" w:cs="Arial"/>
          <w:bCs/>
          <w:sz w:val="24"/>
          <w:szCs w:val="24"/>
        </w:rPr>
      </w:pPr>
    </w:p>
    <w:p w14:paraId="7837C7E6" w14:textId="77777777" w:rsidR="003A4C61" w:rsidRPr="004361A9" w:rsidRDefault="003A4C61" w:rsidP="003A4C61">
      <w:pPr>
        <w:pStyle w:val="ListParagraph"/>
        <w:numPr>
          <w:ilvl w:val="0"/>
          <w:numId w:val="8"/>
        </w:numPr>
        <w:rPr>
          <w:rFonts w:ascii="Arial" w:hAnsi="Arial" w:cs="Arial"/>
          <w:bCs/>
          <w:sz w:val="24"/>
          <w:szCs w:val="24"/>
        </w:rPr>
      </w:pPr>
      <w:r>
        <w:rPr>
          <w:rFonts w:ascii="Arial" w:hAnsi="Arial" w:cs="Arial"/>
          <w:bCs/>
          <w:sz w:val="24"/>
          <w:szCs w:val="24"/>
        </w:rPr>
        <w:t xml:space="preserve">Please confirm </w:t>
      </w:r>
      <w:r>
        <w:rPr>
          <w:rFonts w:ascii="Arial" w:hAnsi="Arial" w:cs="Arial"/>
          <w:sz w:val="24"/>
          <w:szCs w:val="24"/>
        </w:rPr>
        <w:t xml:space="preserve">whether </w:t>
      </w:r>
      <w:r w:rsidRPr="007E4106">
        <w:rPr>
          <w:rFonts w:ascii="Arial" w:hAnsi="Arial" w:cs="Arial"/>
          <w:bCs/>
          <w:sz w:val="24"/>
          <w:szCs w:val="24"/>
        </w:rPr>
        <w:t>Hydro Hawkesbury</w:t>
      </w:r>
      <w:r>
        <w:rPr>
          <w:rFonts w:ascii="Arial" w:hAnsi="Arial" w:cs="Arial"/>
          <w:sz w:val="24"/>
          <w:szCs w:val="24"/>
        </w:rPr>
        <w:t xml:space="preserve"> agrees to update the 2018 effective tax rate to 15% in Tab 8 </w:t>
      </w:r>
      <w:r>
        <w:rPr>
          <w:rFonts w:ascii="Arial" w:hAnsi="Arial" w:cs="Arial"/>
          <w:bCs/>
          <w:sz w:val="24"/>
          <w:szCs w:val="24"/>
        </w:rPr>
        <w:t>of the Rate Generator Model</w:t>
      </w:r>
      <w:r>
        <w:rPr>
          <w:rFonts w:ascii="Arial" w:hAnsi="Arial" w:cs="Arial"/>
          <w:sz w:val="24"/>
          <w:szCs w:val="24"/>
        </w:rPr>
        <w:t>. If yes, please confirm the revised tax sharing amount.</w:t>
      </w:r>
    </w:p>
    <w:p w14:paraId="0EFCB99E" w14:textId="77777777" w:rsidR="003A4C61" w:rsidRDefault="003A4C61" w:rsidP="003A4C61">
      <w:pPr>
        <w:pStyle w:val="ListParagraph"/>
        <w:rPr>
          <w:rFonts w:ascii="Arial" w:hAnsi="Arial" w:cs="Arial"/>
          <w:bCs/>
          <w:sz w:val="24"/>
          <w:szCs w:val="24"/>
        </w:rPr>
      </w:pPr>
    </w:p>
    <w:p w14:paraId="1069AE01" w14:textId="77777777" w:rsidR="003A4C61" w:rsidRPr="00A71960" w:rsidRDefault="003A4C61" w:rsidP="003A4C61">
      <w:pPr>
        <w:pStyle w:val="ListParagraph"/>
        <w:numPr>
          <w:ilvl w:val="0"/>
          <w:numId w:val="8"/>
        </w:numPr>
        <w:rPr>
          <w:rFonts w:ascii="Arial" w:hAnsi="Arial" w:cs="Arial"/>
          <w:bCs/>
          <w:sz w:val="24"/>
          <w:szCs w:val="24"/>
        </w:rPr>
      </w:pPr>
      <w:r>
        <w:rPr>
          <w:rFonts w:ascii="Arial" w:hAnsi="Arial" w:cs="Arial"/>
          <w:bCs/>
          <w:sz w:val="24"/>
          <w:szCs w:val="24"/>
        </w:rPr>
        <w:t>Please provide the requested data in columns C through H in Tab 9</w:t>
      </w:r>
      <w:r w:rsidRPr="00D9746D">
        <w:rPr>
          <w:rFonts w:ascii="Arial" w:hAnsi="Arial" w:cs="Arial"/>
          <w:bCs/>
          <w:sz w:val="24"/>
          <w:szCs w:val="24"/>
        </w:rPr>
        <w:t xml:space="preserve"> </w:t>
      </w:r>
      <w:r>
        <w:rPr>
          <w:rFonts w:ascii="Arial" w:hAnsi="Arial" w:cs="Arial"/>
          <w:bCs/>
          <w:sz w:val="24"/>
          <w:szCs w:val="24"/>
        </w:rPr>
        <w:t>of the Rate Generator Model.</w:t>
      </w:r>
    </w:p>
    <w:p w14:paraId="41451A67" w14:textId="77777777" w:rsidR="003A4C61" w:rsidRDefault="003A4C61" w:rsidP="003A4C61">
      <w:pPr>
        <w:pStyle w:val="NoSpacing"/>
      </w:pPr>
    </w:p>
    <w:p w14:paraId="41E8346E" w14:textId="37F90250" w:rsidR="003A4C61" w:rsidRDefault="003A4C61" w:rsidP="003A4C61">
      <w:pPr>
        <w:pStyle w:val="Heading2"/>
      </w:pPr>
      <w:r>
        <w:lastRenderedPageBreak/>
        <w:t>Staff Question-1</w:t>
      </w:r>
      <w:r w:rsidR="006A6FB8">
        <w:t>0</w:t>
      </w:r>
    </w:p>
    <w:p w14:paraId="463690ED" w14:textId="73695E46" w:rsidR="003A4C61" w:rsidRPr="00E24119" w:rsidRDefault="003A4C61" w:rsidP="003A4C61">
      <w:pPr>
        <w:pStyle w:val="NoSpacing"/>
        <w:rPr>
          <w:rFonts w:ascii="Arial" w:hAnsi="Arial" w:cs="Arial"/>
          <w:sz w:val="24"/>
          <w:szCs w:val="24"/>
        </w:rPr>
      </w:pPr>
      <w:r w:rsidRPr="00E24119">
        <w:rPr>
          <w:rFonts w:ascii="Arial" w:hAnsi="Arial" w:cs="Arial"/>
          <w:sz w:val="24"/>
          <w:szCs w:val="24"/>
        </w:rPr>
        <w:t>Ref:</w:t>
      </w:r>
      <w:r w:rsidRPr="00E24119">
        <w:rPr>
          <w:rFonts w:ascii="Arial" w:hAnsi="Arial" w:cs="Arial"/>
          <w:sz w:val="24"/>
          <w:szCs w:val="24"/>
        </w:rPr>
        <w:tab/>
        <w:t>Tab 3 of the Rate Generator Model (Nov 1</w:t>
      </w:r>
      <w:r w:rsidR="0077487B">
        <w:rPr>
          <w:rFonts w:ascii="Arial" w:hAnsi="Arial" w:cs="Arial"/>
          <w:sz w:val="24"/>
          <w:szCs w:val="24"/>
        </w:rPr>
        <w:t>8</w:t>
      </w:r>
      <w:r w:rsidRPr="00E24119">
        <w:rPr>
          <w:rFonts w:ascii="Arial" w:hAnsi="Arial" w:cs="Arial"/>
          <w:sz w:val="24"/>
          <w:szCs w:val="24"/>
        </w:rPr>
        <w:t>, 2020)</w:t>
      </w:r>
      <w:r>
        <w:rPr>
          <w:rFonts w:ascii="Arial" w:hAnsi="Arial" w:cs="Arial"/>
          <w:sz w:val="24"/>
          <w:szCs w:val="24"/>
        </w:rPr>
        <w:t xml:space="preserve"> – attached</w:t>
      </w:r>
    </w:p>
    <w:p w14:paraId="3662AD7D" w14:textId="77777777" w:rsidR="003A4C61" w:rsidRPr="00E24119" w:rsidRDefault="003A4C61" w:rsidP="003A4C61">
      <w:pPr>
        <w:pStyle w:val="NoSpacing"/>
        <w:rPr>
          <w:rFonts w:ascii="Arial" w:hAnsi="Arial" w:cs="Arial"/>
          <w:sz w:val="24"/>
          <w:szCs w:val="24"/>
        </w:rPr>
      </w:pPr>
    </w:p>
    <w:p w14:paraId="02A662A4" w14:textId="77777777" w:rsidR="003A4C61" w:rsidRPr="00047A5E" w:rsidRDefault="003A4C61" w:rsidP="003A4C61">
      <w:pPr>
        <w:rPr>
          <w:rFonts w:ascii="Arial" w:hAnsi="Arial" w:cs="Arial"/>
          <w:bCs/>
          <w:sz w:val="24"/>
          <w:szCs w:val="24"/>
        </w:rPr>
      </w:pPr>
      <w:r w:rsidRPr="00E24119">
        <w:rPr>
          <w:rFonts w:ascii="Arial" w:hAnsi="Arial" w:cs="Arial"/>
          <w:bCs/>
          <w:sz w:val="24"/>
          <w:szCs w:val="24"/>
        </w:rPr>
        <w:t>In Tab 3 of the Rate Generator Model, there are principal adjustments to Account 1595 (pre-2014 and</w:t>
      </w:r>
      <w:r>
        <w:rPr>
          <w:rFonts w:ascii="Arial" w:hAnsi="Arial" w:cs="Arial"/>
          <w:bCs/>
          <w:sz w:val="24"/>
          <w:szCs w:val="24"/>
        </w:rPr>
        <w:t xml:space="preserve"> 2015) balances</w:t>
      </w:r>
      <w:r w:rsidRPr="00485578">
        <w:rPr>
          <w:rFonts w:ascii="Arial" w:hAnsi="Arial" w:cs="Arial"/>
          <w:bCs/>
          <w:sz w:val="24"/>
          <w:szCs w:val="24"/>
        </w:rPr>
        <w:t xml:space="preserve"> </w:t>
      </w:r>
      <w:r>
        <w:rPr>
          <w:rFonts w:ascii="Arial" w:hAnsi="Arial" w:cs="Arial"/>
          <w:bCs/>
          <w:sz w:val="24"/>
          <w:szCs w:val="24"/>
        </w:rPr>
        <w:t>in the 2018 rate year.</w:t>
      </w:r>
    </w:p>
    <w:p w14:paraId="4422D2F8" w14:textId="77777777" w:rsidR="003A4C61" w:rsidRDefault="003A4C61" w:rsidP="003A4C61">
      <w:pPr>
        <w:pStyle w:val="ListParagraph"/>
        <w:numPr>
          <w:ilvl w:val="0"/>
          <w:numId w:val="17"/>
        </w:numPr>
        <w:rPr>
          <w:rFonts w:ascii="Arial" w:hAnsi="Arial" w:cs="Arial"/>
          <w:bCs/>
          <w:sz w:val="24"/>
          <w:szCs w:val="24"/>
        </w:rPr>
      </w:pPr>
      <w:r>
        <w:rPr>
          <w:rFonts w:ascii="Arial" w:hAnsi="Arial" w:cs="Arial"/>
          <w:bCs/>
          <w:sz w:val="24"/>
          <w:szCs w:val="24"/>
        </w:rPr>
        <w:t xml:space="preserve">Please explain why </w:t>
      </w:r>
      <w:r w:rsidRPr="007E4106">
        <w:rPr>
          <w:rFonts w:ascii="Arial" w:hAnsi="Arial" w:cs="Arial"/>
          <w:bCs/>
          <w:sz w:val="24"/>
          <w:szCs w:val="24"/>
        </w:rPr>
        <w:t>Hydro Hawkesbury</w:t>
      </w:r>
      <w:r>
        <w:rPr>
          <w:rFonts w:ascii="Arial" w:hAnsi="Arial" w:cs="Arial"/>
          <w:bCs/>
          <w:sz w:val="24"/>
          <w:szCs w:val="24"/>
        </w:rPr>
        <w:t xml:space="preserve"> reflected the draw-down of Account 1595 balances in the principal adjustment column in the 2018 rate year.</w:t>
      </w:r>
      <w:r w:rsidRPr="001915EC">
        <w:rPr>
          <w:rFonts w:ascii="Arial" w:hAnsi="Arial" w:cs="Arial"/>
          <w:bCs/>
          <w:sz w:val="24"/>
          <w:szCs w:val="24"/>
        </w:rPr>
        <w:t xml:space="preserve"> </w:t>
      </w:r>
    </w:p>
    <w:p w14:paraId="07044014" w14:textId="77777777" w:rsidR="003A4C61" w:rsidRPr="008365B5" w:rsidRDefault="003A4C61" w:rsidP="003A4C61">
      <w:pPr>
        <w:pStyle w:val="ListParagraph"/>
        <w:rPr>
          <w:rFonts w:ascii="Arial" w:hAnsi="Arial" w:cs="Arial"/>
          <w:bCs/>
          <w:sz w:val="24"/>
          <w:szCs w:val="24"/>
        </w:rPr>
      </w:pPr>
    </w:p>
    <w:p w14:paraId="491AEA6D" w14:textId="77777777" w:rsidR="003A4C61" w:rsidRPr="00634286" w:rsidRDefault="003A4C61" w:rsidP="003A4C61">
      <w:pPr>
        <w:pStyle w:val="ListParagraph"/>
        <w:numPr>
          <w:ilvl w:val="0"/>
          <w:numId w:val="17"/>
        </w:numPr>
        <w:rPr>
          <w:rFonts w:ascii="Arial" w:hAnsi="Arial" w:cs="Arial"/>
          <w:bCs/>
          <w:sz w:val="24"/>
          <w:szCs w:val="24"/>
        </w:rPr>
      </w:pPr>
      <w:r>
        <w:rPr>
          <w:rFonts w:ascii="Arial" w:hAnsi="Arial" w:cs="Arial"/>
          <w:bCs/>
          <w:sz w:val="24"/>
          <w:szCs w:val="24"/>
        </w:rPr>
        <w:t>P</w:t>
      </w:r>
      <w:r w:rsidRPr="00634286">
        <w:rPr>
          <w:rFonts w:ascii="Arial" w:hAnsi="Arial" w:cs="Arial"/>
          <w:bCs/>
          <w:sz w:val="24"/>
          <w:szCs w:val="24"/>
        </w:rPr>
        <w:t>lease reflect the draw-down of Account 1595 (pre-2014 and 2015) balances in the transactions column of the applicable rate year(s) in the DVA Continuity Schedule</w:t>
      </w:r>
      <w:r>
        <w:rPr>
          <w:rFonts w:ascii="Arial" w:hAnsi="Arial" w:cs="Arial"/>
          <w:bCs/>
          <w:sz w:val="24"/>
          <w:szCs w:val="24"/>
        </w:rPr>
        <w:t>, as appropriate</w:t>
      </w:r>
      <w:r w:rsidRPr="00634286">
        <w:rPr>
          <w:rFonts w:ascii="Arial" w:hAnsi="Arial" w:cs="Arial"/>
          <w:bCs/>
          <w:sz w:val="24"/>
          <w:szCs w:val="24"/>
        </w:rPr>
        <w:t xml:space="preserve">. </w:t>
      </w:r>
    </w:p>
    <w:p w14:paraId="6CDEEBA8" w14:textId="4C425A01" w:rsidR="003A4C61" w:rsidRDefault="003A4C61" w:rsidP="003A4C61">
      <w:pPr>
        <w:rPr>
          <w:rFonts w:ascii="Arial" w:hAnsi="Arial" w:cs="Arial"/>
          <w:b/>
          <w:sz w:val="24"/>
          <w:szCs w:val="24"/>
        </w:rPr>
      </w:pPr>
    </w:p>
    <w:p w14:paraId="7DFBC134" w14:textId="2883C16A" w:rsidR="00A31531" w:rsidRDefault="00A31531" w:rsidP="00A31531">
      <w:pPr>
        <w:pStyle w:val="Heading2"/>
        <w:rPr>
          <w:b w:val="0"/>
        </w:rPr>
      </w:pPr>
      <w:r>
        <w:t>Staff Question-</w:t>
      </w:r>
      <w:r w:rsidR="00A61DC9">
        <w:t>1</w:t>
      </w:r>
      <w:r w:rsidR="006B04AA">
        <w:t>1</w:t>
      </w:r>
    </w:p>
    <w:p w14:paraId="5023E43D" w14:textId="7717A9B8" w:rsidR="00A31531" w:rsidRDefault="00A31531" w:rsidP="00A31531">
      <w:pPr>
        <w:rPr>
          <w:rFonts w:ascii="Arial" w:hAnsi="Arial" w:cs="Arial"/>
          <w:bCs/>
          <w:sz w:val="24"/>
          <w:szCs w:val="24"/>
        </w:rPr>
      </w:pPr>
      <w:r>
        <w:rPr>
          <w:rFonts w:ascii="Arial" w:hAnsi="Arial" w:cs="Arial"/>
          <w:bCs/>
          <w:sz w:val="24"/>
          <w:szCs w:val="24"/>
        </w:rPr>
        <w:t>Ref:</w:t>
      </w:r>
      <w:r>
        <w:rPr>
          <w:rFonts w:ascii="Arial" w:hAnsi="Arial" w:cs="Arial"/>
          <w:bCs/>
          <w:sz w:val="24"/>
          <w:szCs w:val="24"/>
        </w:rPr>
        <w:tab/>
        <w:t>Tab</w:t>
      </w:r>
      <w:r w:rsidR="00165DEF">
        <w:rPr>
          <w:rFonts w:ascii="Arial" w:hAnsi="Arial" w:cs="Arial"/>
          <w:bCs/>
          <w:sz w:val="24"/>
          <w:szCs w:val="24"/>
        </w:rPr>
        <w:t xml:space="preserve"> </w:t>
      </w:r>
      <w:r>
        <w:rPr>
          <w:rFonts w:ascii="Arial" w:hAnsi="Arial" w:cs="Arial"/>
          <w:bCs/>
          <w:sz w:val="24"/>
          <w:szCs w:val="24"/>
        </w:rPr>
        <w:t>20 of Rate Generator Model (Nov 1</w:t>
      </w:r>
      <w:r w:rsidR="0077487B">
        <w:rPr>
          <w:rFonts w:ascii="Arial" w:hAnsi="Arial" w:cs="Arial"/>
          <w:bCs/>
          <w:sz w:val="24"/>
          <w:szCs w:val="24"/>
        </w:rPr>
        <w:t>8</w:t>
      </w:r>
      <w:r>
        <w:rPr>
          <w:rFonts w:ascii="Arial" w:hAnsi="Arial" w:cs="Arial"/>
          <w:bCs/>
          <w:sz w:val="24"/>
          <w:szCs w:val="24"/>
        </w:rPr>
        <w:t>, 2020)</w:t>
      </w:r>
      <w:r w:rsidR="008951B5">
        <w:rPr>
          <w:rFonts w:ascii="Arial" w:hAnsi="Arial" w:cs="Arial"/>
          <w:bCs/>
          <w:sz w:val="24"/>
          <w:szCs w:val="24"/>
        </w:rPr>
        <w:t xml:space="preserve"> </w:t>
      </w:r>
      <w:r w:rsidR="008951B5">
        <w:rPr>
          <w:rFonts w:ascii="Arial" w:hAnsi="Arial" w:cs="Arial"/>
          <w:sz w:val="24"/>
          <w:szCs w:val="24"/>
        </w:rPr>
        <w:t>– attached</w:t>
      </w:r>
    </w:p>
    <w:p w14:paraId="0BF7DF91" w14:textId="383F55D2" w:rsidR="00A31531" w:rsidRDefault="00A31531" w:rsidP="00A31531">
      <w:pPr>
        <w:rPr>
          <w:rFonts w:ascii="Arial" w:hAnsi="Arial" w:cs="Arial"/>
          <w:b/>
          <w:sz w:val="24"/>
          <w:szCs w:val="24"/>
        </w:rPr>
      </w:pPr>
      <w:r w:rsidRPr="00C84594">
        <w:rPr>
          <w:rFonts w:ascii="Arial" w:hAnsi="Arial" w:cs="Arial"/>
          <w:sz w:val="24"/>
          <w:szCs w:val="24"/>
        </w:rPr>
        <w:t xml:space="preserve">RTSR </w:t>
      </w:r>
      <w:r>
        <w:rPr>
          <w:rFonts w:ascii="Arial" w:hAnsi="Arial" w:cs="Arial"/>
          <w:sz w:val="24"/>
          <w:szCs w:val="24"/>
        </w:rPr>
        <w:t xml:space="preserve">– network charges have increased by more than 4% for certain customer classes, specifically </w:t>
      </w:r>
      <w:r w:rsidR="000127A0">
        <w:rPr>
          <w:rFonts w:ascii="Arial" w:hAnsi="Arial" w:cs="Arial"/>
          <w:sz w:val="24"/>
          <w:szCs w:val="24"/>
        </w:rPr>
        <w:t xml:space="preserve">for </w:t>
      </w:r>
      <w:r w:rsidR="00EE1486">
        <w:rPr>
          <w:rFonts w:ascii="Arial" w:hAnsi="Arial" w:cs="Arial"/>
          <w:sz w:val="24"/>
          <w:szCs w:val="24"/>
        </w:rPr>
        <w:t>R</w:t>
      </w:r>
      <w:r>
        <w:rPr>
          <w:rFonts w:ascii="Arial" w:hAnsi="Arial" w:cs="Arial"/>
          <w:sz w:val="24"/>
          <w:szCs w:val="24"/>
        </w:rPr>
        <w:t xml:space="preserve">esidential, GS&lt;50 kW, Unmetered Scattered Load. As </w:t>
      </w:r>
      <w:r w:rsidR="00D91AE1">
        <w:rPr>
          <w:rFonts w:ascii="Arial" w:hAnsi="Arial" w:cs="Arial"/>
          <w:sz w:val="24"/>
          <w:szCs w:val="24"/>
        </w:rPr>
        <w:t>noted in</w:t>
      </w:r>
      <w:r>
        <w:rPr>
          <w:rFonts w:ascii="Arial" w:hAnsi="Arial" w:cs="Arial"/>
          <w:sz w:val="24"/>
          <w:szCs w:val="24"/>
        </w:rPr>
        <w:t xml:space="preserve"> Tab 20 of the </w:t>
      </w:r>
      <w:r>
        <w:rPr>
          <w:rFonts w:ascii="Arial" w:hAnsi="Arial" w:cs="Arial"/>
          <w:bCs/>
          <w:sz w:val="24"/>
          <w:szCs w:val="24"/>
        </w:rPr>
        <w:t>Rate Generator Model, an explanation is required in the Manager’s Summary</w:t>
      </w:r>
      <w:r w:rsidR="000127A0">
        <w:rPr>
          <w:rFonts w:ascii="Arial" w:hAnsi="Arial" w:cs="Arial"/>
          <w:bCs/>
          <w:sz w:val="24"/>
          <w:szCs w:val="24"/>
        </w:rPr>
        <w:t xml:space="preserve"> if the change in RTSR charges is more than 4%</w:t>
      </w:r>
      <w:r>
        <w:rPr>
          <w:rFonts w:ascii="Arial" w:hAnsi="Arial" w:cs="Arial"/>
          <w:bCs/>
          <w:sz w:val="24"/>
          <w:szCs w:val="24"/>
        </w:rPr>
        <w:t xml:space="preserve">. </w:t>
      </w:r>
    </w:p>
    <w:p w14:paraId="3F486444" w14:textId="7FC9B6B1" w:rsidR="00A31531" w:rsidRDefault="00564126" w:rsidP="00642F14">
      <w:pPr>
        <w:pStyle w:val="ListParagraph"/>
        <w:numPr>
          <w:ilvl w:val="0"/>
          <w:numId w:val="2"/>
        </w:numPr>
        <w:spacing w:after="160"/>
        <w:rPr>
          <w:rFonts w:ascii="Arial" w:hAnsi="Arial" w:cs="Arial"/>
          <w:sz w:val="24"/>
          <w:szCs w:val="24"/>
        </w:rPr>
      </w:pPr>
      <w:r>
        <w:rPr>
          <w:rFonts w:ascii="Arial" w:hAnsi="Arial" w:cs="Arial"/>
          <w:sz w:val="24"/>
          <w:szCs w:val="24"/>
        </w:rPr>
        <w:t>P</w:t>
      </w:r>
      <w:r w:rsidR="00A31531" w:rsidRPr="00C84594">
        <w:rPr>
          <w:rFonts w:ascii="Arial" w:hAnsi="Arial" w:cs="Arial"/>
          <w:sz w:val="24"/>
          <w:szCs w:val="24"/>
        </w:rPr>
        <w:t xml:space="preserve">lease </w:t>
      </w:r>
      <w:r w:rsidR="00A31531" w:rsidRPr="003D4C22">
        <w:rPr>
          <w:rFonts w:ascii="Arial" w:hAnsi="Arial" w:cs="Arial"/>
          <w:sz w:val="24"/>
          <w:szCs w:val="24"/>
        </w:rPr>
        <w:t>discuss whether the</w:t>
      </w:r>
      <w:r w:rsidR="009C60E7">
        <w:rPr>
          <w:rFonts w:ascii="Arial" w:hAnsi="Arial" w:cs="Arial"/>
          <w:sz w:val="24"/>
          <w:szCs w:val="24"/>
        </w:rPr>
        <w:t xml:space="preserve"> increase from</w:t>
      </w:r>
      <w:r w:rsidR="003D4C22" w:rsidRPr="003D4C22">
        <w:rPr>
          <w:rFonts w:ascii="Arial" w:hAnsi="Arial" w:cs="Arial"/>
          <w:sz w:val="24"/>
          <w:szCs w:val="24"/>
        </w:rPr>
        <w:t xml:space="preserve"> </w:t>
      </w:r>
      <w:r w:rsidR="00A31531" w:rsidRPr="003D4C22">
        <w:rPr>
          <w:rFonts w:ascii="Arial" w:hAnsi="Arial" w:cs="Arial"/>
          <w:sz w:val="24"/>
          <w:szCs w:val="24"/>
        </w:rPr>
        <w:t xml:space="preserve">RTSR – network </w:t>
      </w:r>
      <w:r w:rsidR="00EE1486">
        <w:rPr>
          <w:rFonts w:ascii="Arial" w:hAnsi="Arial" w:cs="Arial"/>
          <w:sz w:val="24"/>
          <w:szCs w:val="24"/>
        </w:rPr>
        <w:t>charges</w:t>
      </w:r>
      <w:r w:rsidR="00A31531" w:rsidRPr="003D4C22">
        <w:rPr>
          <w:rFonts w:ascii="Arial" w:hAnsi="Arial" w:cs="Arial"/>
          <w:sz w:val="24"/>
          <w:szCs w:val="24"/>
        </w:rPr>
        <w:t xml:space="preserve"> for the above-noted customer classes are mainly attributable to the update in 2020 UTRs effective December 17, 2019 (EB-2019-0043). </w:t>
      </w:r>
      <w:r w:rsidR="003D4C22" w:rsidRPr="003D4C22">
        <w:rPr>
          <w:rFonts w:ascii="Arial" w:hAnsi="Arial" w:cs="Arial"/>
          <w:sz w:val="24"/>
          <w:szCs w:val="24"/>
        </w:rPr>
        <w:t xml:space="preserve">If there are other factors, please discuss. </w:t>
      </w:r>
    </w:p>
    <w:p w14:paraId="71A515BB" w14:textId="77777777" w:rsidR="002E26F0" w:rsidRPr="003D4C22" w:rsidRDefault="002E26F0" w:rsidP="002E26F0">
      <w:pPr>
        <w:pStyle w:val="ListParagraph"/>
        <w:spacing w:after="160"/>
        <w:rPr>
          <w:rFonts w:ascii="Arial" w:hAnsi="Arial" w:cs="Arial"/>
          <w:sz w:val="24"/>
          <w:szCs w:val="24"/>
        </w:rPr>
      </w:pPr>
    </w:p>
    <w:p w14:paraId="22D81BC0" w14:textId="44CE1393" w:rsidR="0015290C" w:rsidRDefault="0015290C" w:rsidP="0015290C">
      <w:pPr>
        <w:pStyle w:val="Heading2"/>
        <w:rPr>
          <w:b w:val="0"/>
        </w:rPr>
      </w:pPr>
      <w:r>
        <w:t>Staff Question-</w:t>
      </w:r>
      <w:r w:rsidR="00C9304D">
        <w:t>1</w:t>
      </w:r>
      <w:r w:rsidR="006B04AA">
        <w:t>2</w:t>
      </w:r>
    </w:p>
    <w:p w14:paraId="4E9974B6" w14:textId="600485C1" w:rsidR="0015290C" w:rsidRPr="0015290C" w:rsidRDefault="0015290C" w:rsidP="0015290C">
      <w:pPr>
        <w:autoSpaceDE w:val="0"/>
        <w:autoSpaceDN w:val="0"/>
        <w:adjustRightInd w:val="0"/>
        <w:spacing w:after="0"/>
        <w:rPr>
          <w:rFonts w:ascii="Arial" w:hAnsi="Arial" w:cs="Arial"/>
          <w:sz w:val="24"/>
          <w:szCs w:val="24"/>
          <w:lang w:val="en-US"/>
        </w:rPr>
      </w:pPr>
      <w:r w:rsidRPr="0015290C">
        <w:rPr>
          <w:rFonts w:ascii="Arial" w:hAnsi="Arial" w:cs="Arial"/>
          <w:sz w:val="24"/>
          <w:szCs w:val="24"/>
          <w:lang w:val="en-US"/>
        </w:rPr>
        <w:t>Ref: All models filed with 2021 IRM application</w:t>
      </w:r>
    </w:p>
    <w:p w14:paraId="742F6BB8" w14:textId="77777777" w:rsidR="0015290C" w:rsidRPr="0015290C" w:rsidRDefault="0015290C" w:rsidP="0015290C">
      <w:pPr>
        <w:autoSpaceDE w:val="0"/>
        <w:autoSpaceDN w:val="0"/>
        <w:adjustRightInd w:val="0"/>
        <w:spacing w:after="0"/>
        <w:rPr>
          <w:rFonts w:ascii="Arial" w:hAnsi="Arial" w:cs="Arial"/>
          <w:sz w:val="24"/>
          <w:szCs w:val="24"/>
          <w:lang w:val="en-US"/>
        </w:rPr>
      </w:pPr>
    </w:p>
    <w:p w14:paraId="07AF63AC" w14:textId="4FCC2DAA" w:rsidR="003A4C61" w:rsidRPr="00A350EF" w:rsidRDefault="003A4C61" w:rsidP="003A4C61">
      <w:pPr>
        <w:pStyle w:val="ListParagraph"/>
        <w:numPr>
          <w:ilvl w:val="0"/>
          <w:numId w:val="7"/>
        </w:numPr>
        <w:autoSpaceDE w:val="0"/>
        <w:autoSpaceDN w:val="0"/>
        <w:adjustRightInd w:val="0"/>
        <w:spacing w:after="0"/>
        <w:rPr>
          <w:rFonts w:ascii="Arial" w:hAnsi="Arial" w:cs="Arial"/>
          <w:sz w:val="24"/>
          <w:szCs w:val="24"/>
          <w:lang w:val="en-US"/>
        </w:rPr>
      </w:pPr>
      <w:r w:rsidRPr="00A350EF">
        <w:rPr>
          <w:rFonts w:ascii="Arial" w:hAnsi="Arial" w:cs="Arial"/>
          <w:sz w:val="24"/>
          <w:szCs w:val="24"/>
          <w:lang w:val="en-US"/>
        </w:rPr>
        <w:t xml:space="preserve">Based on Hydro Hawkesbury’s responses to the above questions, please re-file all applicable models </w:t>
      </w:r>
      <w:r w:rsidR="007A7600">
        <w:rPr>
          <w:rFonts w:ascii="Arial" w:hAnsi="Arial" w:cs="Arial"/>
          <w:sz w:val="24"/>
          <w:szCs w:val="24"/>
          <w:lang w:val="en-US"/>
        </w:rPr>
        <w:t xml:space="preserve">(for example, Rate Generator Model, GA </w:t>
      </w:r>
      <w:proofErr w:type="spellStart"/>
      <w:r w:rsidR="007A7600">
        <w:rPr>
          <w:rFonts w:ascii="Arial" w:hAnsi="Arial" w:cs="Arial"/>
          <w:sz w:val="24"/>
          <w:szCs w:val="24"/>
          <w:lang w:val="en-US"/>
        </w:rPr>
        <w:t>Workform</w:t>
      </w:r>
      <w:proofErr w:type="spellEnd"/>
      <w:r w:rsidR="007A7600">
        <w:rPr>
          <w:rFonts w:ascii="Arial" w:hAnsi="Arial" w:cs="Arial"/>
          <w:sz w:val="24"/>
          <w:szCs w:val="24"/>
          <w:lang w:val="en-US"/>
        </w:rPr>
        <w:t xml:space="preserve"> and LRAMVA </w:t>
      </w:r>
      <w:proofErr w:type="spellStart"/>
      <w:r w:rsidR="007A7600">
        <w:rPr>
          <w:rFonts w:ascii="Arial" w:hAnsi="Arial" w:cs="Arial"/>
          <w:sz w:val="24"/>
          <w:szCs w:val="24"/>
          <w:lang w:val="en-US"/>
        </w:rPr>
        <w:t>Workform</w:t>
      </w:r>
      <w:proofErr w:type="spellEnd"/>
      <w:r w:rsidR="007A7600">
        <w:rPr>
          <w:rFonts w:ascii="Arial" w:hAnsi="Arial" w:cs="Arial"/>
          <w:sz w:val="24"/>
          <w:szCs w:val="24"/>
          <w:lang w:val="en-US"/>
        </w:rPr>
        <w:t xml:space="preserve"> as applicable) </w:t>
      </w:r>
      <w:r w:rsidRPr="00A350EF">
        <w:rPr>
          <w:rFonts w:ascii="Arial" w:hAnsi="Arial" w:cs="Arial"/>
          <w:sz w:val="24"/>
          <w:szCs w:val="24"/>
          <w:lang w:val="en-US"/>
        </w:rPr>
        <w:t>to reflect the updates.</w:t>
      </w:r>
      <w:r>
        <w:rPr>
          <w:rFonts w:ascii="Arial" w:hAnsi="Arial" w:cs="Arial"/>
          <w:sz w:val="24"/>
          <w:szCs w:val="24"/>
          <w:lang w:val="en-US"/>
        </w:rPr>
        <w:t xml:space="preserve"> </w:t>
      </w:r>
      <w:r w:rsidRPr="00A350EF">
        <w:rPr>
          <w:rFonts w:ascii="Arial" w:hAnsi="Arial" w:cs="Arial"/>
          <w:sz w:val="24"/>
          <w:szCs w:val="24"/>
          <w:lang w:val="en-US"/>
        </w:rPr>
        <w:t xml:space="preserve">In the re-filed version of the </w:t>
      </w:r>
      <w:r>
        <w:rPr>
          <w:rFonts w:ascii="Arial" w:hAnsi="Arial" w:cs="Arial"/>
          <w:sz w:val="24"/>
          <w:szCs w:val="24"/>
          <w:lang w:val="en-US"/>
        </w:rPr>
        <w:t>Rate Generator Model in particular, please run through all tabs (tabs 1 to 20) to ensure that the rate riders are generate</w:t>
      </w:r>
      <w:r w:rsidR="004F34DB">
        <w:rPr>
          <w:rFonts w:ascii="Arial" w:hAnsi="Arial" w:cs="Arial"/>
          <w:sz w:val="24"/>
          <w:szCs w:val="24"/>
          <w:lang w:val="en-US"/>
        </w:rPr>
        <w:t>d</w:t>
      </w:r>
      <w:r>
        <w:rPr>
          <w:rFonts w:ascii="Arial" w:hAnsi="Arial" w:cs="Arial"/>
          <w:sz w:val="24"/>
          <w:szCs w:val="24"/>
          <w:lang w:val="en-US"/>
        </w:rPr>
        <w:t xml:space="preserve"> properly. </w:t>
      </w:r>
    </w:p>
    <w:p w14:paraId="6E8F70F5" w14:textId="77777777" w:rsidR="003A4C61" w:rsidRPr="00A350EF" w:rsidRDefault="003A4C61" w:rsidP="003A4C61">
      <w:pPr>
        <w:pStyle w:val="ListParagraph"/>
        <w:rPr>
          <w:rFonts w:ascii="Arial" w:hAnsi="Arial" w:cs="Arial"/>
          <w:sz w:val="24"/>
          <w:szCs w:val="24"/>
          <w:lang w:val="en-US"/>
        </w:rPr>
      </w:pPr>
    </w:p>
    <w:p w14:paraId="5D62F5B5" w14:textId="7A0D2EED" w:rsidR="00576C37" w:rsidRPr="00390B8C" w:rsidRDefault="000E366C" w:rsidP="00665071">
      <w:pPr>
        <w:pStyle w:val="ListParagraph"/>
        <w:numPr>
          <w:ilvl w:val="0"/>
          <w:numId w:val="7"/>
        </w:numPr>
        <w:autoSpaceDE w:val="0"/>
        <w:autoSpaceDN w:val="0"/>
        <w:adjustRightInd w:val="0"/>
        <w:spacing w:after="0"/>
        <w:rPr>
          <w:rFonts w:ascii="Arial" w:hAnsi="Arial" w:cs="Arial"/>
          <w:bCs/>
          <w:sz w:val="24"/>
          <w:szCs w:val="24"/>
        </w:rPr>
      </w:pPr>
      <w:r w:rsidRPr="00390B8C">
        <w:rPr>
          <w:rFonts w:ascii="Arial" w:hAnsi="Arial" w:cs="Arial"/>
          <w:sz w:val="24"/>
          <w:szCs w:val="24"/>
          <w:lang w:val="en-US"/>
        </w:rPr>
        <w:t>Please file the 2017 Final Verified Results Report and 2019 P&amp;C</w:t>
      </w:r>
      <w:r w:rsidR="009217B6" w:rsidRPr="00390B8C">
        <w:rPr>
          <w:rFonts w:ascii="Arial" w:hAnsi="Arial" w:cs="Arial"/>
          <w:sz w:val="24"/>
          <w:szCs w:val="24"/>
          <w:lang w:val="en-US"/>
        </w:rPr>
        <w:t xml:space="preserve"> </w:t>
      </w:r>
      <w:r w:rsidRPr="00390B8C">
        <w:rPr>
          <w:rFonts w:ascii="Arial" w:hAnsi="Arial" w:cs="Arial"/>
          <w:sz w:val="24"/>
          <w:szCs w:val="24"/>
          <w:lang w:val="en-US"/>
        </w:rPr>
        <w:t xml:space="preserve">Report </w:t>
      </w:r>
      <w:r w:rsidR="009217B6" w:rsidRPr="00390B8C">
        <w:rPr>
          <w:rFonts w:ascii="Arial" w:hAnsi="Arial" w:cs="Arial"/>
          <w:sz w:val="24"/>
          <w:szCs w:val="24"/>
          <w:lang w:val="en-US"/>
        </w:rPr>
        <w:t>as provided by the IESO to</w:t>
      </w:r>
      <w:r w:rsidRPr="00390B8C">
        <w:rPr>
          <w:rFonts w:ascii="Arial" w:hAnsi="Arial" w:cs="Arial"/>
          <w:sz w:val="24"/>
          <w:szCs w:val="24"/>
          <w:lang w:val="en-US"/>
        </w:rPr>
        <w:t xml:space="preserve"> support Hydro Hawkesbury’s LRAMVA application.</w:t>
      </w:r>
      <w:r w:rsidR="00DF52AF" w:rsidRPr="00390B8C">
        <w:rPr>
          <w:rFonts w:ascii="Arial" w:hAnsi="Arial" w:cs="Arial"/>
          <w:sz w:val="24"/>
          <w:szCs w:val="24"/>
          <w:lang w:val="en-US"/>
        </w:rPr>
        <w:t xml:space="preserve"> </w:t>
      </w:r>
    </w:p>
    <w:sectPr w:rsidR="00576C37" w:rsidRPr="00390B8C" w:rsidSect="00EA0919">
      <w:footerReference w:type="default" r:id="rId11"/>
      <w:pgSz w:w="12240" w:h="15840" w:code="1"/>
      <w:pgMar w:top="1440" w:right="1440" w:bottom="1440"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98A2D1" w14:textId="77777777" w:rsidR="008951B5" w:rsidRDefault="008951B5" w:rsidP="000B51B8">
      <w:pPr>
        <w:spacing w:after="0" w:line="240" w:lineRule="auto"/>
      </w:pPr>
      <w:r>
        <w:separator/>
      </w:r>
    </w:p>
  </w:endnote>
  <w:endnote w:type="continuationSeparator" w:id="0">
    <w:p w14:paraId="451BE419" w14:textId="77777777" w:rsidR="008951B5" w:rsidRDefault="008951B5" w:rsidP="000B51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3306526"/>
      <w:docPartObj>
        <w:docPartGallery w:val="Page Numbers (Bottom of Page)"/>
        <w:docPartUnique/>
      </w:docPartObj>
    </w:sdtPr>
    <w:sdtEndPr/>
    <w:sdtContent>
      <w:sdt>
        <w:sdtPr>
          <w:id w:val="-1769616900"/>
          <w:docPartObj>
            <w:docPartGallery w:val="Page Numbers (Top of Page)"/>
            <w:docPartUnique/>
          </w:docPartObj>
        </w:sdtPr>
        <w:sdtEndPr/>
        <w:sdtContent>
          <w:p w14:paraId="2B3C23BC" w14:textId="02A71384" w:rsidR="008951B5" w:rsidRDefault="008951B5">
            <w:pPr>
              <w:pStyle w:val="Footer"/>
              <w:jc w:val="right"/>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9DFA8C2" w14:textId="77777777" w:rsidR="008951B5" w:rsidRDefault="00895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406702" w14:textId="77777777" w:rsidR="008951B5" w:rsidRDefault="008951B5" w:rsidP="000B51B8">
      <w:pPr>
        <w:spacing w:after="0" w:line="240" w:lineRule="auto"/>
      </w:pPr>
      <w:r>
        <w:separator/>
      </w:r>
    </w:p>
  </w:footnote>
  <w:footnote w:type="continuationSeparator" w:id="0">
    <w:p w14:paraId="0DBE9BA4" w14:textId="77777777" w:rsidR="008951B5" w:rsidRDefault="008951B5" w:rsidP="000B51B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7940E4"/>
    <w:multiLevelType w:val="hybridMultilevel"/>
    <w:tmpl w:val="AD343A86"/>
    <w:lvl w:ilvl="0" w:tplc="10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DB19F9"/>
    <w:multiLevelType w:val="hybridMultilevel"/>
    <w:tmpl w:val="811ECB0A"/>
    <w:lvl w:ilvl="0" w:tplc="11483A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FF82E6A"/>
    <w:multiLevelType w:val="hybridMultilevel"/>
    <w:tmpl w:val="CFF6C11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555C7A"/>
    <w:multiLevelType w:val="hybridMultilevel"/>
    <w:tmpl w:val="3CC6CEC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FA62C63"/>
    <w:multiLevelType w:val="hybridMultilevel"/>
    <w:tmpl w:val="811ECB0A"/>
    <w:lvl w:ilvl="0" w:tplc="11483AB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1E970FB"/>
    <w:multiLevelType w:val="hybridMultilevel"/>
    <w:tmpl w:val="B1A479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767A00"/>
    <w:multiLevelType w:val="hybridMultilevel"/>
    <w:tmpl w:val="077A2E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C5421FA"/>
    <w:multiLevelType w:val="hybridMultilevel"/>
    <w:tmpl w:val="90024956"/>
    <w:lvl w:ilvl="0" w:tplc="04090017">
      <w:start w:val="1"/>
      <w:numFmt w:val="lowerLetter"/>
      <w:lvlText w:val="%1)"/>
      <w:lvlJc w:val="left"/>
      <w:pPr>
        <w:ind w:left="720" w:hanging="360"/>
      </w:pPr>
      <w:rPr>
        <w:rFonts w:hint="default"/>
      </w:rPr>
    </w:lvl>
    <w:lvl w:ilvl="1" w:tplc="ED00B650">
      <w:start w:val="1"/>
      <w:numFmt w:val="lowerRoman"/>
      <w:lvlText w:val="%2."/>
      <w:lvlJc w:val="left"/>
      <w:pPr>
        <w:ind w:left="1440" w:hanging="360"/>
      </w:pPr>
      <w:rPr>
        <w:rFonts w:ascii="Arial" w:eastAsiaTheme="minorHAnsi" w:hAnsi="Arial" w:cstheme="minorBidi"/>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E40555"/>
    <w:multiLevelType w:val="hybridMultilevel"/>
    <w:tmpl w:val="438220FA"/>
    <w:lvl w:ilvl="0" w:tplc="27BEFE1C">
      <w:start w:val="9"/>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9" w15:restartNumberingAfterBreak="0">
    <w:nsid w:val="3E49341C"/>
    <w:multiLevelType w:val="hybridMultilevel"/>
    <w:tmpl w:val="3CC6CEC2"/>
    <w:lvl w:ilvl="0" w:tplc="04090017">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40D325A4"/>
    <w:multiLevelType w:val="hybridMultilevel"/>
    <w:tmpl w:val="90D00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3ED180E"/>
    <w:multiLevelType w:val="hybridMultilevel"/>
    <w:tmpl w:val="E37CA4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DA459A7"/>
    <w:multiLevelType w:val="hybridMultilevel"/>
    <w:tmpl w:val="604A749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4B2FA8"/>
    <w:multiLevelType w:val="hybridMultilevel"/>
    <w:tmpl w:val="1478B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FDC7138"/>
    <w:multiLevelType w:val="hybridMultilevel"/>
    <w:tmpl w:val="441C75C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CD80B72"/>
    <w:multiLevelType w:val="hybridMultilevel"/>
    <w:tmpl w:val="22128A76"/>
    <w:lvl w:ilvl="0" w:tplc="CE6CAA06">
      <w:start w:val="1"/>
      <w:numFmt w:val="lowerRoman"/>
      <w:lvlText w:val="%1."/>
      <w:lvlJc w:val="left"/>
      <w:pPr>
        <w:ind w:left="1440" w:hanging="72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BA3A26"/>
    <w:multiLevelType w:val="hybridMultilevel"/>
    <w:tmpl w:val="520061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CA11B3D"/>
    <w:multiLevelType w:val="hybridMultilevel"/>
    <w:tmpl w:val="762608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6A1916"/>
    <w:multiLevelType w:val="hybridMultilevel"/>
    <w:tmpl w:val="B1A4793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5308E1"/>
    <w:multiLevelType w:val="hybridMultilevel"/>
    <w:tmpl w:val="AABEE12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8"/>
  </w:num>
  <w:num w:numId="2">
    <w:abstractNumId w:val="0"/>
  </w:num>
  <w:num w:numId="3">
    <w:abstractNumId w:val="16"/>
  </w:num>
  <w:num w:numId="4">
    <w:abstractNumId w:val="2"/>
  </w:num>
  <w:num w:numId="5">
    <w:abstractNumId w:val="6"/>
  </w:num>
  <w:num w:numId="6">
    <w:abstractNumId w:val="17"/>
  </w:num>
  <w:num w:numId="7">
    <w:abstractNumId w:val="19"/>
  </w:num>
  <w:num w:numId="8">
    <w:abstractNumId w:val="14"/>
  </w:num>
  <w:num w:numId="9">
    <w:abstractNumId w:val="12"/>
  </w:num>
  <w:num w:numId="10">
    <w:abstractNumId w:val="7"/>
  </w:num>
  <w:num w:numId="11">
    <w:abstractNumId w:val="8"/>
  </w:num>
  <w:num w:numId="12">
    <w:abstractNumId w:val="3"/>
  </w:num>
  <w:num w:numId="13">
    <w:abstractNumId w:val="1"/>
  </w:num>
  <w:num w:numId="14">
    <w:abstractNumId w:val="4"/>
  </w:num>
  <w:num w:numId="15">
    <w:abstractNumId w:val="11"/>
  </w:num>
  <w:num w:numId="16">
    <w:abstractNumId w:val="13"/>
  </w:num>
  <w:num w:numId="17">
    <w:abstractNumId w:val="5"/>
  </w:num>
  <w:num w:numId="18">
    <w:abstractNumId w:val="10"/>
  </w:num>
  <w:num w:numId="19">
    <w:abstractNumId w:val="9"/>
  </w:num>
  <w:num w:numId="20">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B6B52"/>
    <w:rsid w:val="00002C41"/>
    <w:rsid w:val="000127A0"/>
    <w:rsid w:val="000304FD"/>
    <w:rsid w:val="0003073C"/>
    <w:rsid w:val="00035337"/>
    <w:rsid w:val="00047599"/>
    <w:rsid w:val="00047A5E"/>
    <w:rsid w:val="00054071"/>
    <w:rsid w:val="0006126D"/>
    <w:rsid w:val="00063FEA"/>
    <w:rsid w:val="000654C1"/>
    <w:rsid w:val="00066D19"/>
    <w:rsid w:val="00067F57"/>
    <w:rsid w:val="00071BEC"/>
    <w:rsid w:val="00074514"/>
    <w:rsid w:val="00081F6D"/>
    <w:rsid w:val="000832D4"/>
    <w:rsid w:val="00090160"/>
    <w:rsid w:val="000A0C16"/>
    <w:rsid w:val="000B3E7E"/>
    <w:rsid w:val="000B51B8"/>
    <w:rsid w:val="000D223C"/>
    <w:rsid w:val="000E366C"/>
    <w:rsid w:val="000E4006"/>
    <w:rsid w:val="000F1E3A"/>
    <w:rsid w:val="000F2D35"/>
    <w:rsid w:val="000F5182"/>
    <w:rsid w:val="001027FD"/>
    <w:rsid w:val="00105D73"/>
    <w:rsid w:val="00110B55"/>
    <w:rsid w:val="00121369"/>
    <w:rsid w:val="0013061F"/>
    <w:rsid w:val="00133BE1"/>
    <w:rsid w:val="001407FF"/>
    <w:rsid w:val="00144F40"/>
    <w:rsid w:val="0015290C"/>
    <w:rsid w:val="00164E99"/>
    <w:rsid w:val="00165DEF"/>
    <w:rsid w:val="00183CC8"/>
    <w:rsid w:val="00187E9B"/>
    <w:rsid w:val="001915EC"/>
    <w:rsid w:val="001927C2"/>
    <w:rsid w:val="001A1567"/>
    <w:rsid w:val="001A4DCD"/>
    <w:rsid w:val="001A7FA8"/>
    <w:rsid w:val="001F608C"/>
    <w:rsid w:val="00203092"/>
    <w:rsid w:val="00205CBE"/>
    <w:rsid w:val="002104AF"/>
    <w:rsid w:val="00217602"/>
    <w:rsid w:val="002208C0"/>
    <w:rsid w:val="00224C06"/>
    <w:rsid w:val="00227F0F"/>
    <w:rsid w:val="00233B1C"/>
    <w:rsid w:val="00245D2B"/>
    <w:rsid w:val="0025687C"/>
    <w:rsid w:val="00274A48"/>
    <w:rsid w:val="002862D3"/>
    <w:rsid w:val="00291CCC"/>
    <w:rsid w:val="002A5846"/>
    <w:rsid w:val="002A6415"/>
    <w:rsid w:val="002B7B7C"/>
    <w:rsid w:val="002C2BF2"/>
    <w:rsid w:val="002C7EF6"/>
    <w:rsid w:val="002D4924"/>
    <w:rsid w:val="002E26F0"/>
    <w:rsid w:val="002F4756"/>
    <w:rsid w:val="00300D0B"/>
    <w:rsid w:val="00302509"/>
    <w:rsid w:val="003049C5"/>
    <w:rsid w:val="003174DE"/>
    <w:rsid w:val="00332507"/>
    <w:rsid w:val="00333954"/>
    <w:rsid w:val="00340C00"/>
    <w:rsid w:val="00345565"/>
    <w:rsid w:val="003702D1"/>
    <w:rsid w:val="00373FAD"/>
    <w:rsid w:val="003777B5"/>
    <w:rsid w:val="003832E7"/>
    <w:rsid w:val="00390B8C"/>
    <w:rsid w:val="003A20A0"/>
    <w:rsid w:val="003A4C61"/>
    <w:rsid w:val="003A58B0"/>
    <w:rsid w:val="003A604A"/>
    <w:rsid w:val="003C449E"/>
    <w:rsid w:val="003D211D"/>
    <w:rsid w:val="003D4C22"/>
    <w:rsid w:val="003D6B4A"/>
    <w:rsid w:val="003F2753"/>
    <w:rsid w:val="00400587"/>
    <w:rsid w:val="00400DFC"/>
    <w:rsid w:val="00412DC6"/>
    <w:rsid w:val="00425009"/>
    <w:rsid w:val="00430D9D"/>
    <w:rsid w:val="00435A71"/>
    <w:rsid w:val="004361A9"/>
    <w:rsid w:val="004377B0"/>
    <w:rsid w:val="00440250"/>
    <w:rsid w:val="00440E00"/>
    <w:rsid w:val="004430B2"/>
    <w:rsid w:val="00460083"/>
    <w:rsid w:val="004719E6"/>
    <w:rsid w:val="00472C81"/>
    <w:rsid w:val="00475032"/>
    <w:rsid w:val="00485578"/>
    <w:rsid w:val="004859EF"/>
    <w:rsid w:val="004C28BE"/>
    <w:rsid w:val="004C6DA7"/>
    <w:rsid w:val="004F34DB"/>
    <w:rsid w:val="004F4DAD"/>
    <w:rsid w:val="00506CF3"/>
    <w:rsid w:val="00511EC2"/>
    <w:rsid w:val="005164F5"/>
    <w:rsid w:val="0052560F"/>
    <w:rsid w:val="00533EA1"/>
    <w:rsid w:val="00543167"/>
    <w:rsid w:val="0055145B"/>
    <w:rsid w:val="005563E5"/>
    <w:rsid w:val="00564126"/>
    <w:rsid w:val="005666F2"/>
    <w:rsid w:val="00566A01"/>
    <w:rsid w:val="00572064"/>
    <w:rsid w:val="00576C37"/>
    <w:rsid w:val="00581257"/>
    <w:rsid w:val="00584369"/>
    <w:rsid w:val="00587A35"/>
    <w:rsid w:val="0059445B"/>
    <w:rsid w:val="00597463"/>
    <w:rsid w:val="005A4099"/>
    <w:rsid w:val="005A7215"/>
    <w:rsid w:val="005B0BF4"/>
    <w:rsid w:val="005B3F9D"/>
    <w:rsid w:val="005C2507"/>
    <w:rsid w:val="005D54CA"/>
    <w:rsid w:val="005F2F7F"/>
    <w:rsid w:val="005F4693"/>
    <w:rsid w:val="005F63EA"/>
    <w:rsid w:val="005F7062"/>
    <w:rsid w:val="005F7461"/>
    <w:rsid w:val="00601C41"/>
    <w:rsid w:val="006027D6"/>
    <w:rsid w:val="00602ED4"/>
    <w:rsid w:val="00615EFD"/>
    <w:rsid w:val="00621982"/>
    <w:rsid w:val="00623602"/>
    <w:rsid w:val="00625C82"/>
    <w:rsid w:val="00634286"/>
    <w:rsid w:val="0064279A"/>
    <w:rsid w:val="00642F14"/>
    <w:rsid w:val="00651C98"/>
    <w:rsid w:val="00655826"/>
    <w:rsid w:val="006633AF"/>
    <w:rsid w:val="0067303C"/>
    <w:rsid w:val="00677FC2"/>
    <w:rsid w:val="00693EDD"/>
    <w:rsid w:val="006951B2"/>
    <w:rsid w:val="006952D2"/>
    <w:rsid w:val="006A15F1"/>
    <w:rsid w:val="006A5844"/>
    <w:rsid w:val="006A5D23"/>
    <w:rsid w:val="006A6FB8"/>
    <w:rsid w:val="006B04AA"/>
    <w:rsid w:val="006E3D58"/>
    <w:rsid w:val="006E524A"/>
    <w:rsid w:val="00704EE5"/>
    <w:rsid w:val="007066E2"/>
    <w:rsid w:val="00707CE1"/>
    <w:rsid w:val="00722640"/>
    <w:rsid w:val="00725B81"/>
    <w:rsid w:val="0073197E"/>
    <w:rsid w:val="00746080"/>
    <w:rsid w:val="00772B57"/>
    <w:rsid w:val="0077328C"/>
    <w:rsid w:val="0077487B"/>
    <w:rsid w:val="0077601D"/>
    <w:rsid w:val="00781D04"/>
    <w:rsid w:val="00785122"/>
    <w:rsid w:val="00795A21"/>
    <w:rsid w:val="007A08AD"/>
    <w:rsid w:val="007A7600"/>
    <w:rsid w:val="007C2D45"/>
    <w:rsid w:val="007C42FA"/>
    <w:rsid w:val="007C76A0"/>
    <w:rsid w:val="007D3512"/>
    <w:rsid w:val="007E29D2"/>
    <w:rsid w:val="007E4106"/>
    <w:rsid w:val="007F00BC"/>
    <w:rsid w:val="007F49EB"/>
    <w:rsid w:val="00805FDA"/>
    <w:rsid w:val="00812C1B"/>
    <w:rsid w:val="00815431"/>
    <w:rsid w:val="00835AD0"/>
    <w:rsid w:val="008365B5"/>
    <w:rsid w:val="0085350E"/>
    <w:rsid w:val="008747B3"/>
    <w:rsid w:val="008813C3"/>
    <w:rsid w:val="00882706"/>
    <w:rsid w:val="008879A9"/>
    <w:rsid w:val="008926F0"/>
    <w:rsid w:val="008951B5"/>
    <w:rsid w:val="008964E8"/>
    <w:rsid w:val="008A48F6"/>
    <w:rsid w:val="008A55B3"/>
    <w:rsid w:val="008E1157"/>
    <w:rsid w:val="008E48E7"/>
    <w:rsid w:val="008E6045"/>
    <w:rsid w:val="008F0FDF"/>
    <w:rsid w:val="008F31A8"/>
    <w:rsid w:val="008F39A7"/>
    <w:rsid w:val="0090113B"/>
    <w:rsid w:val="0090623B"/>
    <w:rsid w:val="009217B6"/>
    <w:rsid w:val="009224E8"/>
    <w:rsid w:val="0093258A"/>
    <w:rsid w:val="00932B8A"/>
    <w:rsid w:val="00937D21"/>
    <w:rsid w:val="0094373C"/>
    <w:rsid w:val="00944152"/>
    <w:rsid w:val="00944F8F"/>
    <w:rsid w:val="00946DEE"/>
    <w:rsid w:val="00951E2B"/>
    <w:rsid w:val="00952939"/>
    <w:rsid w:val="00961EA0"/>
    <w:rsid w:val="00985DF1"/>
    <w:rsid w:val="009A5A1A"/>
    <w:rsid w:val="009A5C44"/>
    <w:rsid w:val="009B03AF"/>
    <w:rsid w:val="009C32E5"/>
    <w:rsid w:val="009C4216"/>
    <w:rsid w:val="009C60E7"/>
    <w:rsid w:val="009D4EE4"/>
    <w:rsid w:val="009D52DD"/>
    <w:rsid w:val="009D5F4B"/>
    <w:rsid w:val="009E3929"/>
    <w:rsid w:val="009E626E"/>
    <w:rsid w:val="009E7CBF"/>
    <w:rsid w:val="009F29EB"/>
    <w:rsid w:val="009F3656"/>
    <w:rsid w:val="00A00C55"/>
    <w:rsid w:val="00A032C0"/>
    <w:rsid w:val="00A0343B"/>
    <w:rsid w:val="00A07077"/>
    <w:rsid w:val="00A302F1"/>
    <w:rsid w:val="00A31531"/>
    <w:rsid w:val="00A339DA"/>
    <w:rsid w:val="00A350EF"/>
    <w:rsid w:val="00A44C3A"/>
    <w:rsid w:val="00A455A7"/>
    <w:rsid w:val="00A50DD0"/>
    <w:rsid w:val="00A516B0"/>
    <w:rsid w:val="00A55039"/>
    <w:rsid w:val="00A5620A"/>
    <w:rsid w:val="00A61DC9"/>
    <w:rsid w:val="00A67801"/>
    <w:rsid w:val="00A71960"/>
    <w:rsid w:val="00A76C4A"/>
    <w:rsid w:val="00A80646"/>
    <w:rsid w:val="00A9447A"/>
    <w:rsid w:val="00AA06D9"/>
    <w:rsid w:val="00AA6F0C"/>
    <w:rsid w:val="00AC2406"/>
    <w:rsid w:val="00AD3FCF"/>
    <w:rsid w:val="00AE1950"/>
    <w:rsid w:val="00AF5734"/>
    <w:rsid w:val="00AF7D91"/>
    <w:rsid w:val="00B03802"/>
    <w:rsid w:val="00B066BB"/>
    <w:rsid w:val="00B069AA"/>
    <w:rsid w:val="00B15E17"/>
    <w:rsid w:val="00B23A36"/>
    <w:rsid w:val="00B25576"/>
    <w:rsid w:val="00B25EF5"/>
    <w:rsid w:val="00B50EB2"/>
    <w:rsid w:val="00B6722A"/>
    <w:rsid w:val="00B72E14"/>
    <w:rsid w:val="00B733E1"/>
    <w:rsid w:val="00B82D78"/>
    <w:rsid w:val="00B847B8"/>
    <w:rsid w:val="00B91F55"/>
    <w:rsid w:val="00BA434C"/>
    <w:rsid w:val="00BD1154"/>
    <w:rsid w:val="00BD3329"/>
    <w:rsid w:val="00BD4E79"/>
    <w:rsid w:val="00BD4F65"/>
    <w:rsid w:val="00C06F9E"/>
    <w:rsid w:val="00C13E6B"/>
    <w:rsid w:val="00C2370B"/>
    <w:rsid w:val="00C519B3"/>
    <w:rsid w:val="00C624D5"/>
    <w:rsid w:val="00C67FD9"/>
    <w:rsid w:val="00C7146E"/>
    <w:rsid w:val="00C81962"/>
    <w:rsid w:val="00C82A60"/>
    <w:rsid w:val="00C848A0"/>
    <w:rsid w:val="00C859E5"/>
    <w:rsid w:val="00C878C5"/>
    <w:rsid w:val="00C92692"/>
    <w:rsid w:val="00C9304D"/>
    <w:rsid w:val="00C93E0F"/>
    <w:rsid w:val="00C96AEA"/>
    <w:rsid w:val="00CC01AA"/>
    <w:rsid w:val="00CC0B6D"/>
    <w:rsid w:val="00CD1373"/>
    <w:rsid w:val="00CE1CD3"/>
    <w:rsid w:val="00CE4F01"/>
    <w:rsid w:val="00CF6C24"/>
    <w:rsid w:val="00D00F35"/>
    <w:rsid w:val="00D0268A"/>
    <w:rsid w:val="00D30F16"/>
    <w:rsid w:val="00D55546"/>
    <w:rsid w:val="00D57E8C"/>
    <w:rsid w:val="00D6213C"/>
    <w:rsid w:val="00D647C0"/>
    <w:rsid w:val="00D675DF"/>
    <w:rsid w:val="00D73CFE"/>
    <w:rsid w:val="00D77694"/>
    <w:rsid w:val="00D7795A"/>
    <w:rsid w:val="00D77B0F"/>
    <w:rsid w:val="00D91AE1"/>
    <w:rsid w:val="00D9746D"/>
    <w:rsid w:val="00DB6B52"/>
    <w:rsid w:val="00DE1D5E"/>
    <w:rsid w:val="00DE3D14"/>
    <w:rsid w:val="00DE5488"/>
    <w:rsid w:val="00DE75AC"/>
    <w:rsid w:val="00DF35B6"/>
    <w:rsid w:val="00DF52AF"/>
    <w:rsid w:val="00DF5A52"/>
    <w:rsid w:val="00E01120"/>
    <w:rsid w:val="00E0406C"/>
    <w:rsid w:val="00E04FC9"/>
    <w:rsid w:val="00E067D5"/>
    <w:rsid w:val="00E17C58"/>
    <w:rsid w:val="00E231C2"/>
    <w:rsid w:val="00E24119"/>
    <w:rsid w:val="00E31A19"/>
    <w:rsid w:val="00E429DA"/>
    <w:rsid w:val="00E54054"/>
    <w:rsid w:val="00E616AB"/>
    <w:rsid w:val="00E62C2A"/>
    <w:rsid w:val="00E8586E"/>
    <w:rsid w:val="00E91AC1"/>
    <w:rsid w:val="00E955A9"/>
    <w:rsid w:val="00E96A06"/>
    <w:rsid w:val="00EA0919"/>
    <w:rsid w:val="00EA5E13"/>
    <w:rsid w:val="00EB5240"/>
    <w:rsid w:val="00EC0B55"/>
    <w:rsid w:val="00EE1486"/>
    <w:rsid w:val="00F0207B"/>
    <w:rsid w:val="00F034BF"/>
    <w:rsid w:val="00F036A7"/>
    <w:rsid w:val="00F05800"/>
    <w:rsid w:val="00F21FC8"/>
    <w:rsid w:val="00F233A3"/>
    <w:rsid w:val="00F23D7A"/>
    <w:rsid w:val="00F243F1"/>
    <w:rsid w:val="00F26D30"/>
    <w:rsid w:val="00F30AB3"/>
    <w:rsid w:val="00F54D84"/>
    <w:rsid w:val="00F57152"/>
    <w:rsid w:val="00F601A3"/>
    <w:rsid w:val="00F7362C"/>
    <w:rsid w:val="00F92F61"/>
    <w:rsid w:val="00F9454A"/>
    <w:rsid w:val="00FB45AE"/>
    <w:rsid w:val="00FB6F10"/>
    <w:rsid w:val="00FC4CF8"/>
    <w:rsid w:val="00FC5DA7"/>
    <w:rsid w:val="00FD5B59"/>
    <w:rsid w:val="00FE1055"/>
    <w:rsid w:val="00FF28C0"/>
    <w:rsid w:val="00FF4E1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C68ED5"/>
  <w15:docId w15:val="{9B140FE6-257D-48D2-A8C2-31077FD8A9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67303C"/>
    <w:pPr>
      <w:keepNext/>
      <w:keepLines/>
      <w:spacing w:before="40" w:after="0"/>
      <w:outlineLvl w:val="1"/>
    </w:pPr>
    <w:rPr>
      <w:rFonts w:ascii="Arial" w:eastAsiaTheme="majorEastAsia" w:hAnsi="Arial" w:cstheme="majorBidi"/>
      <w:b/>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2064"/>
    <w:pPr>
      <w:ind w:left="720"/>
      <w:contextualSpacing/>
    </w:pPr>
  </w:style>
  <w:style w:type="paragraph" w:customStyle="1" w:styleId="Default">
    <w:name w:val="Default"/>
    <w:rsid w:val="00A07077"/>
    <w:pPr>
      <w:autoSpaceDE w:val="0"/>
      <w:autoSpaceDN w:val="0"/>
      <w:adjustRightInd w:val="0"/>
      <w:spacing w:after="0" w:line="240" w:lineRule="auto"/>
    </w:pPr>
    <w:rPr>
      <w:rFonts w:ascii="Calibri" w:hAnsi="Calibri" w:cs="Calibri"/>
      <w:color w:val="000000"/>
      <w:sz w:val="24"/>
      <w:szCs w:val="24"/>
    </w:rPr>
  </w:style>
  <w:style w:type="paragraph" w:styleId="BalloonText">
    <w:name w:val="Balloon Text"/>
    <w:basedOn w:val="Normal"/>
    <w:link w:val="BalloonTextChar"/>
    <w:uiPriority w:val="99"/>
    <w:semiHidden/>
    <w:unhideWhenUsed/>
    <w:rsid w:val="003702D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02D1"/>
    <w:rPr>
      <w:rFonts w:ascii="Tahoma" w:hAnsi="Tahoma" w:cs="Tahoma"/>
      <w:sz w:val="16"/>
      <w:szCs w:val="16"/>
    </w:rPr>
  </w:style>
  <w:style w:type="paragraph" w:styleId="Footer">
    <w:name w:val="footer"/>
    <w:basedOn w:val="Normal"/>
    <w:link w:val="FooterChar"/>
    <w:uiPriority w:val="99"/>
    <w:rsid w:val="00B82D78"/>
    <w:pPr>
      <w:tabs>
        <w:tab w:val="center" w:pos="4320"/>
        <w:tab w:val="right" w:pos="8640"/>
      </w:tabs>
      <w:spacing w:after="0" w:line="240" w:lineRule="auto"/>
    </w:pPr>
    <w:rPr>
      <w:rFonts w:ascii="Times New Roman" w:eastAsia="Times New Roman" w:hAnsi="Times New Roman" w:cs="Times New Roman"/>
      <w:sz w:val="24"/>
      <w:szCs w:val="24"/>
      <w:lang w:val="en-US"/>
    </w:rPr>
  </w:style>
  <w:style w:type="character" w:customStyle="1" w:styleId="FooterChar">
    <w:name w:val="Footer Char"/>
    <w:basedOn w:val="DefaultParagraphFont"/>
    <w:link w:val="Footer"/>
    <w:uiPriority w:val="99"/>
    <w:rsid w:val="00B82D78"/>
    <w:rPr>
      <w:rFonts w:ascii="Times New Roman" w:eastAsia="Times New Roman" w:hAnsi="Times New Roman" w:cs="Times New Roman"/>
      <w:sz w:val="24"/>
      <w:szCs w:val="24"/>
      <w:lang w:val="en-US"/>
    </w:rPr>
  </w:style>
  <w:style w:type="paragraph" w:styleId="Caption">
    <w:name w:val="caption"/>
    <w:basedOn w:val="Normal"/>
    <w:next w:val="Normal"/>
    <w:qFormat/>
    <w:rsid w:val="00B82D78"/>
    <w:pPr>
      <w:widowControl w:val="0"/>
      <w:autoSpaceDE w:val="0"/>
      <w:autoSpaceDN w:val="0"/>
      <w:adjustRightInd w:val="0"/>
      <w:spacing w:after="0" w:line="240" w:lineRule="auto"/>
      <w:jc w:val="right"/>
    </w:pPr>
    <w:rPr>
      <w:rFonts w:ascii="Arial" w:eastAsia="Times New Roman" w:hAnsi="Arial" w:cs="Arial"/>
      <w:b/>
      <w:bCs/>
      <w:sz w:val="24"/>
      <w:szCs w:val="24"/>
      <w:lang w:val="en-GB"/>
    </w:rPr>
  </w:style>
  <w:style w:type="character" w:styleId="CommentReference">
    <w:name w:val="annotation reference"/>
    <w:basedOn w:val="DefaultParagraphFont"/>
    <w:uiPriority w:val="99"/>
    <w:semiHidden/>
    <w:unhideWhenUsed/>
    <w:rsid w:val="00F92F61"/>
    <w:rPr>
      <w:sz w:val="16"/>
      <w:szCs w:val="16"/>
    </w:rPr>
  </w:style>
  <w:style w:type="paragraph" w:styleId="CommentText">
    <w:name w:val="annotation text"/>
    <w:basedOn w:val="Normal"/>
    <w:link w:val="CommentTextChar"/>
    <w:uiPriority w:val="99"/>
    <w:semiHidden/>
    <w:unhideWhenUsed/>
    <w:rsid w:val="00F92F61"/>
    <w:pPr>
      <w:spacing w:line="240" w:lineRule="auto"/>
    </w:pPr>
    <w:rPr>
      <w:sz w:val="20"/>
      <w:szCs w:val="20"/>
    </w:rPr>
  </w:style>
  <w:style w:type="character" w:customStyle="1" w:styleId="CommentTextChar">
    <w:name w:val="Comment Text Char"/>
    <w:basedOn w:val="DefaultParagraphFont"/>
    <w:link w:val="CommentText"/>
    <w:uiPriority w:val="99"/>
    <w:semiHidden/>
    <w:rsid w:val="00F92F61"/>
    <w:rPr>
      <w:sz w:val="20"/>
      <w:szCs w:val="20"/>
    </w:rPr>
  </w:style>
  <w:style w:type="paragraph" w:styleId="CommentSubject">
    <w:name w:val="annotation subject"/>
    <w:basedOn w:val="CommentText"/>
    <w:next w:val="CommentText"/>
    <w:link w:val="CommentSubjectChar"/>
    <w:uiPriority w:val="99"/>
    <w:semiHidden/>
    <w:unhideWhenUsed/>
    <w:rsid w:val="00F92F61"/>
    <w:rPr>
      <w:b/>
      <w:bCs/>
    </w:rPr>
  </w:style>
  <w:style w:type="character" w:customStyle="1" w:styleId="CommentSubjectChar">
    <w:name w:val="Comment Subject Char"/>
    <w:basedOn w:val="CommentTextChar"/>
    <w:link w:val="CommentSubject"/>
    <w:uiPriority w:val="99"/>
    <w:semiHidden/>
    <w:rsid w:val="00F92F61"/>
    <w:rPr>
      <w:b/>
      <w:bCs/>
      <w:sz w:val="20"/>
      <w:szCs w:val="20"/>
    </w:rPr>
  </w:style>
  <w:style w:type="table" w:styleId="TableGrid">
    <w:name w:val="Table Grid"/>
    <w:basedOn w:val="TableNormal"/>
    <w:uiPriority w:val="59"/>
    <w:rsid w:val="00DE75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7303C"/>
    <w:rPr>
      <w:rFonts w:ascii="Arial" w:eastAsiaTheme="majorEastAsia" w:hAnsi="Arial" w:cstheme="majorBidi"/>
      <w:b/>
      <w:sz w:val="24"/>
      <w:szCs w:val="26"/>
    </w:rPr>
  </w:style>
  <w:style w:type="paragraph" w:styleId="Header">
    <w:name w:val="header"/>
    <w:basedOn w:val="Normal"/>
    <w:link w:val="HeaderChar"/>
    <w:uiPriority w:val="99"/>
    <w:unhideWhenUsed/>
    <w:rsid w:val="000B51B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B51B8"/>
  </w:style>
  <w:style w:type="paragraph" w:styleId="NoSpacing">
    <w:name w:val="No Spacing"/>
    <w:uiPriority w:val="1"/>
    <w:qFormat/>
    <w:rsid w:val="007E4106"/>
    <w:pPr>
      <w:spacing w:after="0" w:line="240" w:lineRule="auto"/>
    </w:pPr>
  </w:style>
  <w:style w:type="paragraph" w:customStyle="1" w:styleId="TableParagraph">
    <w:name w:val="Table Paragraph"/>
    <w:basedOn w:val="Normal"/>
    <w:uiPriority w:val="1"/>
    <w:qFormat/>
    <w:rsid w:val="005B3F9D"/>
    <w:pPr>
      <w:widowControl w:val="0"/>
      <w:autoSpaceDE w:val="0"/>
      <w:autoSpaceDN w:val="0"/>
      <w:spacing w:after="0" w:line="240" w:lineRule="auto"/>
      <w:ind w:left="103"/>
    </w:pPr>
    <w:rPr>
      <w:rFonts w:ascii="Arial" w:eastAsia="Arial" w:hAnsi="Arial" w:cs="Aria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54598">
      <w:bodyDiv w:val="1"/>
      <w:marLeft w:val="0"/>
      <w:marRight w:val="0"/>
      <w:marTop w:val="0"/>
      <w:marBottom w:val="0"/>
      <w:divBdr>
        <w:top w:val="none" w:sz="0" w:space="0" w:color="auto"/>
        <w:left w:val="none" w:sz="0" w:space="0" w:color="auto"/>
        <w:bottom w:val="none" w:sz="0" w:space="0" w:color="auto"/>
        <w:right w:val="none" w:sz="0" w:space="0" w:color="auto"/>
      </w:divBdr>
    </w:div>
    <w:div w:id="102191230">
      <w:bodyDiv w:val="1"/>
      <w:marLeft w:val="0"/>
      <w:marRight w:val="0"/>
      <w:marTop w:val="0"/>
      <w:marBottom w:val="0"/>
      <w:divBdr>
        <w:top w:val="none" w:sz="0" w:space="0" w:color="auto"/>
        <w:left w:val="none" w:sz="0" w:space="0" w:color="auto"/>
        <w:bottom w:val="none" w:sz="0" w:space="0" w:color="auto"/>
        <w:right w:val="none" w:sz="0" w:space="0" w:color="auto"/>
      </w:divBdr>
    </w:div>
    <w:div w:id="171998331">
      <w:bodyDiv w:val="1"/>
      <w:marLeft w:val="0"/>
      <w:marRight w:val="0"/>
      <w:marTop w:val="0"/>
      <w:marBottom w:val="0"/>
      <w:divBdr>
        <w:top w:val="none" w:sz="0" w:space="0" w:color="auto"/>
        <w:left w:val="none" w:sz="0" w:space="0" w:color="auto"/>
        <w:bottom w:val="none" w:sz="0" w:space="0" w:color="auto"/>
        <w:right w:val="none" w:sz="0" w:space="0" w:color="auto"/>
      </w:divBdr>
      <w:divsChild>
        <w:div w:id="1005666305">
          <w:marLeft w:val="0"/>
          <w:marRight w:val="0"/>
          <w:marTop w:val="0"/>
          <w:marBottom w:val="0"/>
          <w:divBdr>
            <w:top w:val="none" w:sz="0" w:space="0" w:color="auto"/>
            <w:left w:val="none" w:sz="0" w:space="0" w:color="auto"/>
            <w:bottom w:val="none" w:sz="0" w:space="0" w:color="auto"/>
            <w:right w:val="none" w:sz="0" w:space="0" w:color="auto"/>
          </w:divBdr>
        </w:div>
      </w:divsChild>
    </w:div>
    <w:div w:id="182327156">
      <w:bodyDiv w:val="1"/>
      <w:marLeft w:val="0"/>
      <w:marRight w:val="0"/>
      <w:marTop w:val="0"/>
      <w:marBottom w:val="0"/>
      <w:divBdr>
        <w:top w:val="none" w:sz="0" w:space="0" w:color="auto"/>
        <w:left w:val="none" w:sz="0" w:space="0" w:color="auto"/>
        <w:bottom w:val="none" w:sz="0" w:space="0" w:color="auto"/>
        <w:right w:val="none" w:sz="0" w:space="0" w:color="auto"/>
      </w:divBdr>
    </w:div>
    <w:div w:id="569655314">
      <w:bodyDiv w:val="1"/>
      <w:marLeft w:val="0"/>
      <w:marRight w:val="0"/>
      <w:marTop w:val="0"/>
      <w:marBottom w:val="0"/>
      <w:divBdr>
        <w:top w:val="none" w:sz="0" w:space="0" w:color="auto"/>
        <w:left w:val="none" w:sz="0" w:space="0" w:color="auto"/>
        <w:bottom w:val="none" w:sz="0" w:space="0" w:color="auto"/>
        <w:right w:val="none" w:sz="0" w:space="0" w:color="auto"/>
      </w:divBdr>
    </w:div>
    <w:div w:id="869807324">
      <w:bodyDiv w:val="1"/>
      <w:marLeft w:val="0"/>
      <w:marRight w:val="0"/>
      <w:marTop w:val="0"/>
      <w:marBottom w:val="0"/>
      <w:divBdr>
        <w:top w:val="none" w:sz="0" w:space="0" w:color="auto"/>
        <w:left w:val="none" w:sz="0" w:space="0" w:color="auto"/>
        <w:bottom w:val="none" w:sz="0" w:space="0" w:color="auto"/>
        <w:right w:val="none" w:sz="0" w:space="0" w:color="auto"/>
      </w:divBdr>
    </w:div>
    <w:div w:id="954020338">
      <w:bodyDiv w:val="1"/>
      <w:marLeft w:val="0"/>
      <w:marRight w:val="0"/>
      <w:marTop w:val="0"/>
      <w:marBottom w:val="0"/>
      <w:divBdr>
        <w:top w:val="none" w:sz="0" w:space="0" w:color="auto"/>
        <w:left w:val="none" w:sz="0" w:space="0" w:color="auto"/>
        <w:bottom w:val="none" w:sz="0" w:space="0" w:color="auto"/>
        <w:right w:val="none" w:sz="0" w:space="0" w:color="auto"/>
      </w:divBdr>
    </w:div>
    <w:div w:id="1024943771">
      <w:bodyDiv w:val="1"/>
      <w:marLeft w:val="0"/>
      <w:marRight w:val="0"/>
      <w:marTop w:val="0"/>
      <w:marBottom w:val="0"/>
      <w:divBdr>
        <w:top w:val="none" w:sz="0" w:space="0" w:color="auto"/>
        <w:left w:val="none" w:sz="0" w:space="0" w:color="auto"/>
        <w:bottom w:val="none" w:sz="0" w:space="0" w:color="auto"/>
        <w:right w:val="none" w:sz="0" w:space="0" w:color="auto"/>
      </w:divBdr>
    </w:div>
    <w:div w:id="1362974875">
      <w:bodyDiv w:val="1"/>
      <w:marLeft w:val="0"/>
      <w:marRight w:val="0"/>
      <w:marTop w:val="0"/>
      <w:marBottom w:val="0"/>
      <w:divBdr>
        <w:top w:val="none" w:sz="0" w:space="0" w:color="auto"/>
        <w:left w:val="none" w:sz="0" w:space="0" w:color="auto"/>
        <w:bottom w:val="none" w:sz="0" w:space="0" w:color="auto"/>
        <w:right w:val="none" w:sz="0" w:space="0" w:color="auto"/>
      </w:divBdr>
    </w:div>
    <w:div w:id="1493526646">
      <w:bodyDiv w:val="1"/>
      <w:marLeft w:val="0"/>
      <w:marRight w:val="0"/>
      <w:marTop w:val="0"/>
      <w:marBottom w:val="0"/>
      <w:divBdr>
        <w:top w:val="none" w:sz="0" w:space="0" w:color="auto"/>
        <w:left w:val="none" w:sz="0" w:space="0" w:color="auto"/>
        <w:bottom w:val="none" w:sz="0" w:space="0" w:color="auto"/>
        <w:right w:val="none" w:sz="0" w:space="0" w:color="auto"/>
      </w:divBdr>
    </w:div>
    <w:div w:id="1642030245">
      <w:bodyDiv w:val="1"/>
      <w:marLeft w:val="0"/>
      <w:marRight w:val="0"/>
      <w:marTop w:val="0"/>
      <w:marBottom w:val="0"/>
      <w:divBdr>
        <w:top w:val="none" w:sz="0" w:space="0" w:color="auto"/>
        <w:left w:val="none" w:sz="0" w:space="0" w:color="auto"/>
        <w:bottom w:val="none" w:sz="0" w:space="0" w:color="auto"/>
        <w:right w:val="none" w:sz="0" w:space="0" w:color="auto"/>
      </w:divBdr>
    </w:div>
    <w:div w:id="1731683372">
      <w:bodyDiv w:val="1"/>
      <w:marLeft w:val="0"/>
      <w:marRight w:val="0"/>
      <w:marTop w:val="0"/>
      <w:marBottom w:val="0"/>
      <w:divBdr>
        <w:top w:val="none" w:sz="0" w:space="0" w:color="auto"/>
        <w:left w:val="none" w:sz="0" w:space="0" w:color="auto"/>
        <w:bottom w:val="none" w:sz="0" w:space="0" w:color="auto"/>
        <w:right w:val="none" w:sz="0" w:space="0" w:color="auto"/>
      </w:divBdr>
    </w:div>
    <w:div w:id="17647594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6F74ED-BFEE-4A2F-9AF1-F55F3C355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9</Pages>
  <Words>2226</Words>
  <Characters>12691</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OEB</Company>
  <LinksUpToDate>false</LinksUpToDate>
  <CharactersWithSpaces>14888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abramoma</dc:creator>
  <cp:lastModifiedBy>Judy But</cp:lastModifiedBy>
  <cp:revision>5</cp:revision>
  <cp:lastPrinted>2014-09-29T14:43:00Z</cp:lastPrinted>
  <dcterms:created xsi:type="dcterms:W3CDTF">2020-11-18T16:05:00Z</dcterms:created>
  <dcterms:modified xsi:type="dcterms:W3CDTF">2020-11-18T16:44:00Z</dcterms:modified>
</cp:coreProperties>
</file>