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327E31" w14:textId="77777777" w:rsidR="00C92692" w:rsidRDefault="00C92692" w:rsidP="00A07077">
      <w:pPr>
        <w:pStyle w:val="Default"/>
        <w:jc w:val="center"/>
        <w:rPr>
          <w:rFonts w:ascii="Arial" w:hAnsi="Arial" w:cs="Arial"/>
          <w:b/>
          <w:bCs/>
          <w:sz w:val="28"/>
          <w:szCs w:val="28"/>
        </w:rPr>
      </w:pPr>
    </w:p>
    <w:p w14:paraId="31F8E0D6" w14:textId="575F6856" w:rsidR="00A07077" w:rsidRPr="0067303C" w:rsidRDefault="0067303C" w:rsidP="00A07077">
      <w:pPr>
        <w:pStyle w:val="Default"/>
        <w:jc w:val="center"/>
        <w:rPr>
          <w:rFonts w:ascii="Arial" w:hAnsi="Arial" w:cs="Arial"/>
          <w:b/>
          <w:bCs/>
          <w:sz w:val="28"/>
          <w:szCs w:val="28"/>
        </w:rPr>
      </w:pPr>
      <w:r w:rsidRPr="0067303C">
        <w:rPr>
          <w:rFonts w:ascii="Arial" w:hAnsi="Arial" w:cs="Arial"/>
          <w:b/>
          <w:bCs/>
          <w:sz w:val="28"/>
          <w:szCs w:val="28"/>
        </w:rPr>
        <w:t>Hydro Hawkesbury Inc.</w:t>
      </w:r>
    </w:p>
    <w:p w14:paraId="33D6510D" w14:textId="0C4ACC32" w:rsidR="00A07077" w:rsidRDefault="00623602" w:rsidP="00A07077">
      <w:pPr>
        <w:pStyle w:val="Default"/>
        <w:jc w:val="center"/>
        <w:rPr>
          <w:rFonts w:ascii="Arial" w:hAnsi="Arial" w:cs="Arial"/>
          <w:b/>
          <w:bCs/>
          <w:sz w:val="28"/>
          <w:szCs w:val="28"/>
        </w:rPr>
      </w:pPr>
      <w:r>
        <w:rPr>
          <w:rFonts w:ascii="Arial" w:hAnsi="Arial" w:cs="Arial"/>
          <w:b/>
          <w:bCs/>
          <w:sz w:val="28"/>
          <w:szCs w:val="28"/>
        </w:rPr>
        <w:t>EB-2020</w:t>
      </w:r>
      <w:r w:rsidR="00B069AA" w:rsidRPr="00D57E8C">
        <w:rPr>
          <w:rFonts w:ascii="Arial" w:hAnsi="Arial" w:cs="Arial"/>
          <w:b/>
          <w:bCs/>
          <w:sz w:val="28"/>
          <w:szCs w:val="28"/>
        </w:rPr>
        <w:t>-0</w:t>
      </w:r>
      <w:r w:rsidR="002D4924">
        <w:rPr>
          <w:rFonts w:ascii="Arial" w:hAnsi="Arial" w:cs="Arial"/>
          <w:b/>
          <w:bCs/>
          <w:sz w:val="28"/>
          <w:szCs w:val="28"/>
        </w:rPr>
        <w:t>0</w:t>
      </w:r>
      <w:r w:rsidR="0067303C">
        <w:rPr>
          <w:rFonts w:ascii="Arial" w:hAnsi="Arial" w:cs="Arial"/>
          <w:b/>
          <w:bCs/>
          <w:sz w:val="28"/>
          <w:szCs w:val="28"/>
        </w:rPr>
        <w:t>29</w:t>
      </w:r>
    </w:p>
    <w:p w14:paraId="63C86BE8" w14:textId="77777777" w:rsidR="00511EC2" w:rsidRDefault="00511EC2" w:rsidP="00511EC2">
      <w:pPr>
        <w:spacing w:after="0" w:line="240" w:lineRule="auto"/>
        <w:rPr>
          <w:rFonts w:ascii="Arial" w:eastAsia="Calibri" w:hAnsi="Arial" w:cs="Arial"/>
          <w:lang w:val="en-US"/>
        </w:rPr>
      </w:pPr>
    </w:p>
    <w:p w14:paraId="5BAA9E5C" w14:textId="35396AE5" w:rsidR="00A350EF" w:rsidRDefault="00A350EF" w:rsidP="00A350EF">
      <w:pPr>
        <w:pStyle w:val="Heading2"/>
      </w:pPr>
      <w:r>
        <w:t>Staff Question-1</w:t>
      </w:r>
    </w:p>
    <w:p w14:paraId="5267CB2E" w14:textId="24936010" w:rsidR="003A4C61" w:rsidRPr="008879A9" w:rsidRDefault="003A4C61" w:rsidP="003A4C61">
      <w:pPr>
        <w:pStyle w:val="NoSpacing"/>
        <w:rPr>
          <w:rFonts w:ascii="Arial" w:hAnsi="Arial" w:cs="Arial"/>
          <w:sz w:val="24"/>
          <w:szCs w:val="24"/>
        </w:rPr>
      </w:pPr>
      <w:r w:rsidRPr="008879A9">
        <w:rPr>
          <w:rFonts w:ascii="Arial" w:hAnsi="Arial" w:cs="Arial"/>
          <w:sz w:val="24"/>
          <w:szCs w:val="24"/>
        </w:rPr>
        <w:t>Ref:</w:t>
      </w:r>
      <w:r w:rsidRPr="008879A9">
        <w:rPr>
          <w:rFonts w:ascii="Arial" w:hAnsi="Arial" w:cs="Arial"/>
          <w:sz w:val="24"/>
          <w:szCs w:val="24"/>
        </w:rPr>
        <w:tab/>
        <w:t>Tab 1 of the Rate Generator Model (Nov 1</w:t>
      </w:r>
      <w:r w:rsidR="0077487B">
        <w:rPr>
          <w:rFonts w:ascii="Arial" w:hAnsi="Arial" w:cs="Arial"/>
          <w:sz w:val="24"/>
          <w:szCs w:val="24"/>
        </w:rPr>
        <w:t>8</w:t>
      </w:r>
      <w:r w:rsidRPr="008879A9">
        <w:rPr>
          <w:rFonts w:ascii="Arial" w:hAnsi="Arial" w:cs="Arial"/>
          <w:sz w:val="24"/>
          <w:szCs w:val="24"/>
        </w:rPr>
        <w:t>, 2020) – attached</w:t>
      </w:r>
    </w:p>
    <w:p w14:paraId="113DDAE3" w14:textId="44C96677" w:rsidR="008879A9" w:rsidRPr="008879A9" w:rsidRDefault="008879A9" w:rsidP="003A4C61">
      <w:pPr>
        <w:pStyle w:val="NoSpacing"/>
        <w:rPr>
          <w:rFonts w:ascii="Arial" w:hAnsi="Arial" w:cs="Arial"/>
          <w:sz w:val="24"/>
          <w:szCs w:val="24"/>
        </w:rPr>
      </w:pPr>
      <w:r w:rsidRPr="008879A9">
        <w:rPr>
          <w:rFonts w:ascii="Arial" w:hAnsi="Arial" w:cs="Arial"/>
          <w:sz w:val="24"/>
          <w:szCs w:val="24"/>
        </w:rPr>
        <w:tab/>
        <w:t>EB-2019-0042, Decision and Rate Order, page 9</w:t>
      </w:r>
    </w:p>
    <w:p w14:paraId="273853C6" w14:textId="77777777" w:rsidR="008879A9" w:rsidRPr="008879A9" w:rsidRDefault="008879A9" w:rsidP="008879A9">
      <w:pPr>
        <w:pStyle w:val="NoSpacing"/>
        <w:rPr>
          <w:rFonts w:ascii="Arial" w:hAnsi="Arial" w:cs="Arial"/>
          <w:sz w:val="24"/>
          <w:szCs w:val="24"/>
        </w:rPr>
      </w:pPr>
    </w:p>
    <w:p w14:paraId="1B517904" w14:textId="35E780F3" w:rsidR="003A4C61" w:rsidRPr="008879A9" w:rsidRDefault="008879A9" w:rsidP="00A350EF">
      <w:pPr>
        <w:rPr>
          <w:rFonts w:ascii="Arial" w:hAnsi="Arial" w:cs="Arial"/>
          <w:sz w:val="24"/>
          <w:szCs w:val="24"/>
        </w:rPr>
      </w:pPr>
      <w:r w:rsidRPr="008879A9">
        <w:rPr>
          <w:rFonts w:ascii="Arial" w:hAnsi="Arial" w:cs="Arial"/>
          <w:sz w:val="24"/>
          <w:szCs w:val="24"/>
        </w:rPr>
        <w:t>In the 2020 rate proceeding, the OEB approved the interim disposition of the remaining 2018 Group 1 account balances, exclusive of Accounts 1588 and 1589. Furthermore, the OEB accept</w:t>
      </w:r>
      <w:r>
        <w:rPr>
          <w:rFonts w:ascii="Arial" w:hAnsi="Arial" w:cs="Arial"/>
          <w:sz w:val="24"/>
          <w:szCs w:val="24"/>
        </w:rPr>
        <w:t>ed</w:t>
      </w:r>
      <w:r w:rsidRPr="008879A9">
        <w:rPr>
          <w:rFonts w:ascii="Arial" w:hAnsi="Arial" w:cs="Arial"/>
          <w:sz w:val="24"/>
          <w:szCs w:val="24"/>
        </w:rPr>
        <w:t xml:space="preserve"> Hydro Hawkesbury’s request to keep the disposition of its 2017 Group 1 balances interim and not to dispose of the 2018 balances in Accounts 1588 and 1589 at this time.</w:t>
      </w:r>
    </w:p>
    <w:p w14:paraId="52F10A44" w14:textId="2BD967C1" w:rsidR="003A4C61" w:rsidRDefault="003A4C61" w:rsidP="00A350EF">
      <w:pPr>
        <w:pStyle w:val="ListParagraph"/>
        <w:numPr>
          <w:ilvl w:val="0"/>
          <w:numId w:val="1"/>
        </w:numPr>
        <w:rPr>
          <w:rFonts w:ascii="Arial" w:hAnsi="Arial" w:cs="Arial"/>
          <w:bCs/>
          <w:sz w:val="24"/>
          <w:szCs w:val="24"/>
        </w:rPr>
      </w:pPr>
      <w:r w:rsidRPr="008879A9">
        <w:rPr>
          <w:rFonts w:ascii="Arial" w:hAnsi="Arial" w:cs="Arial"/>
          <w:bCs/>
          <w:sz w:val="24"/>
          <w:szCs w:val="24"/>
        </w:rPr>
        <w:t xml:space="preserve">For the remaining </w:t>
      </w:r>
      <w:r w:rsidR="008879A9" w:rsidRPr="008879A9">
        <w:rPr>
          <w:rFonts w:ascii="Arial" w:hAnsi="Arial" w:cs="Arial"/>
          <w:bCs/>
          <w:sz w:val="24"/>
          <w:szCs w:val="24"/>
        </w:rPr>
        <w:t>2017 and 2018</w:t>
      </w:r>
      <w:r w:rsidR="008879A9">
        <w:rPr>
          <w:rFonts w:ascii="Arial" w:hAnsi="Arial" w:cs="Arial"/>
          <w:bCs/>
          <w:sz w:val="24"/>
          <w:szCs w:val="24"/>
        </w:rPr>
        <w:t xml:space="preserve"> Group 1 </w:t>
      </w:r>
      <w:r w:rsidRPr="008879A9">
        <w:rPr>
          <w:rFonts w:ascii="Arial" w:hAnsi="Arial" w:cs="Arial"/>
          <w:bCs/>
          <w:sz w:val="24"/>
          <w:szCs w:val="24"/>
        </w:rPr>
        <w:t xml:space="preserve">DVA balances </w:t>
      </w:r>
      <w:r w:rsidR="008879A9">
        <w:rPr>
          <w:rFonts w:ascii="Arial" w:hAnsi="Arial" w:cs="Arial"/>
          <w:bCs/>
          <w:sz w:val="24"/>
          <w:szCs w:val="24"/>
        </w:rPr>
        <w:t xml:space="preserve">(exclusive of </w:t>
      </w:r>
      <w:r w:rsidR="005F7062">
        <w:rPr>
          <w:rFonts w:ascii="Arial" w:hAnsi="Arial" w:cs="Arial"/>
          <w:bCs/>
          <w:sz w:val="24"/>
          <w:szCs w:val="24"/>
        </w:rPr>
        <w:t xml:space="preserve">Accounts </w:t>
      </w:r>
      <w:r w:rsidR="008879A9">
        <w:rPr>
          <w:rFonts w:ascii="Arial" w:hAnsi="Arial" w:cs="Arial"/>
          <w:bCs/>
          <w:sz w:val="24"/>
          <w:szCs w:val="24"/>
        </w:rPr>
        <w:t xml:space="preserve">1588 and 1589) </w:t>
      </w:r>
      <w:r w:rsidRPr="008879A9">
        <w:rPr>
          <w:rFonts w:ascii="Arial" w:hAnsi="Arial" w:cs="Arial"/>
          <w:bCs/>
          <w:sz w:val="24"/>
          <w:szCs w:val="24"/>
        </w:rPr>
        <w:t>that were approved on an interim basis, please</w:t>
      </w:r>
      <w:r>
        <w:rPr>
          <w:rFonts w:ascii="Arial" w:hAnsi="Arial" w:cs="Arial"/>
          <w:bCs/>
          <w:sz w:val="24"/>
          <w:szCs w:val="24"/>
        </w:rPr>
        <w:t xml:space="preserve"> confirm there were no changes in those balances. If confirmed, please revise the se</w:t>
      </w:r>
      <w:r w:rsidR="008879A9">
        <w:rPr>
          <w:rFonts w:ascii="Arial" w:hAnsi="Arial" w:cs="Arial"/>
          <w:bCs/>
          <w:sz w:val="24"/>
          <w:szCs w:val="24"/>
        </w:rPr>
        <w:t>le</w:t>
      </w:r>
      <w:r>
        <w:rPr>
          <w:rFonts w:ascii="Arial" w:hAnsi="Arial" w:cs="Arial"/>
          <w:bCs/>
          <w:sz w:val="24"/>
          <w:szCs w:val="24"/>
        </w:rPr>
        <w:t xml:space="preserve">ction in Question 3 </w:t>
      </w:r>
      <w:r w:rsidR="008879A9">
        <w:rPr>
          <w:rFonts w:ascii="Arial" w:hAnsi="Arial" w:cs="Arial"/>
          <w:bCs/>
          <w:sz w:val="24"/>
          <w:szCs w:val="24"/>
        </w:rPr>
        <w:t xml:space="preserve">b. i) </w:t>
      </w:r>
      <w:r>
        <w:rPr>
          <w:rFonts w:ascii="Arial" w:hAnsi="Arial" w:cs="Arial"/>
          <w:bCs/>
          <w:sz w:val="24"/>
          <w:szCs w:val="24"/>
        </w:rPr>
        <w:t>from “2016” to “2017”.</w:t>
      </w:r>
    </w:p>
    <w:p w14:paraId="4E880181" w14:textId="79A78B73" w:rsidR="003A4C61" w:rsidRPr="00CA2FBD" w:rsidRDefault="007A12C3" w:rsidP="00942D12">
      <w:pPr>
        <w:ind w:left="720"/>
        <w:rPr>
          <w:rFonts w:ascii="Arial" w:hAnsi="Arial" w:cs="Arial"/>
          <w:bCs/>
          <w:color w:val="0070C0"/>
          <w:sz w:val="24"/>
          <w:szCs w:val="24"/>
        </w:rPr>
      </w:pPr>
      <w:r w:rsidRPr="007A12C3">
        <w:rPr>
          <w:rFonts w:ascii="Arial" w:hAnsi="Arial" w:cs="Arial"/>
          <w:b/>
          <w:color w:val="0070C0"/>
          <w:sz w:val="24"/>
          <w:szCs w:val="24"/>
        </w:rPr>
        <w:t>HHI Response:</w:t>
      </w:r>
      <w:r w:rsidR="00942D12">
        <w:rPr>
          <w:rFonts w:ascii="Arial" w:hAnsi="Arial" w:cs="Arial"/>
          <w:b/>
          <w:color w:val="0070C0"/>
          <w:sz w:val="24"/>
          <w:szCs w:val="24"/>
        </w:rPr>
        <w:t xml:space="preserve"> </w:t>
      </w:r>
      <w:r w:rsidR="001F695A" w:rsidRPr="00CA2FBD">
        <w:rPr>
          <w:rFonts w:ascii="Arial" w:hAnsi="Arial" w:cs="Arial"/>
          <w:bCs/>
          <w:color w:val="0070C0"/>
          <w:sz w:val="24"/>
          <w:szCs w:val="24"/>
        </w:rPr>
        <w:t xml:space="preserve">No changes have been made to Group 1 DVA balances </w:t>
      </w:r>
      <w:r w:rsidR="006C4FA2" w:rsidRPr="00CA2FBD">
        <w:rPr>
          <w:rFonts w:ascii="Arial" w:hAnsi="Arial" w:cs="Arial"/>
          <w:bCs/>
          <w:color w:val="0070C0"/>
          <w:sz w:val="24"/>
          <w:szCs w:val="24"/>
        </w:rPr>
        <w:t>(exclusive of Accounts 1588 and 1589) that were approved on an interim basis.</w:t>
      </w:r>
      <w:r w:rsidR="00F6524E">
        <w:rPr>
          <w:rFonts w:ascii="Arial" w:hAnsi="Arial" w:cs="Arial"/>
          <w:bCs/>
          <w:color w:val="0070C0"/>
          <w:sz w:val="24"/>
          <w:szCs w:val="24"/>
        </w:rPr>
        <w:t xml:space="preserve"> </w:t>
      </w:r>
      <w:r w:rsidR="00B92CB2">
        <w:rPr>
          <w:rFonts w:ascii="Arial" w:hAnsi="Arial" w:cs="Arial"/>
          <w:bCs/>
          <w:color w:val="0070C0"/>
          <w:sz w:val="24"/>
          <w:szCs w:val="24"/>
        </w:rPr>
        <w:t xml:space="preserve">Answer to </w:t>
      </w:r>
      <w:r w:rsidR="00F6524E">
        <w:rPr>
          <w:rFonts w:ascii="Arial" w:hAnsi="Arial" w:cs="Arial"/>
          <w:bCs/>
          <w:color w:val="0070C0"/>
          <w:sz w:val="24"/>
          <w:szCs w:val="24"/>
        </w:rPr>
        <w:t xml:space="preserve">Question </w:t>
      </w:r>
      <w:r w:rsidR="00BE38D8">
        <w:rPr>
          <w:rFonts w:ascii="Arial" w:hAnsi="Arial" w:cs="Arial"/>
          <w:bCs/>
          <w:color w:val="0070C0"/>
          <w:sz w:val="24"/>
          <w:szCs w:val="24"/>
        </w:rPr>
        <w:t>3 b. i) changed from “2016” to “2017”.</w:t>
      </w:r>
    </w:p>
    <w:p w14:paraId="1AF57803" w14:textId="77777777" w:rsidR="001F695A" w:rsidRDefault="001F695A" w:rsidP="003A4C61">
      <w:pPr>
        <w:pStyle w:val="ListParagraph"/>
        <w:rPr>
          <w:rFonts w:ascii="Arial" w:hAnsi="Arial" w:cs="Arial"/>
          <w:bCs/>
          <w:sz w:val="24"/>
          <w:szCs w:val="24"/>
        </w:rPr>
      </w:pPr>
    </w:p>
    <w:p w14:paraId="3D9732B7" w14:textId="32DB191C" w:rsidR="00A350EF" w:rsidRDefault="00A350EF" w:rsidP="00A350EF">
      <w:pPr>
        <w:pStyle w:val="ListParagraph"/>
        <w:numPr>
          <w:ilvl w:val="0"/>
          <w:numId w:val="1"/>
        </w:numPr>
        <w:rPr>
          <w:rFonts w:ascii="Arial" w:hAnsi="Arial" w:cs="Arial"/>
          <w:bCs/>
          <w:sz w:val="24"/>
          <w:szCs w:val="24"/>
        </w:rPr>
      </w:pPr>
      <w:r w:rsidRPr="00634286">
        <w:rPr>
          <w:rFonts w:ascii="Arial" w:hAnsi="Arial" w:cs="Arial"/>
          <w:bCs/>
          <w:sz w:val="24"/>
          <w:szCs w:val="24"/>
        </w:rPr>
        <w:t xml:space="preserve">Please confirm </w:t>
      </w:r>
      <w:r>
        <w:rPr>
          <w:rFonts w:ascii="Arial" w:hAnsi="Arial" w:cs="Arial"/>
          <w:bCs/>
          <w:sz w:val="24"/>
          <w:szCs w:val="24"/>
        </w:rPr>
        <w:t xml:space="preserve">whether the earliest vintage year in which there is a balance in Account 1595 is “2017”. If </w:t>
      </w:r>
      <w:r w:rsidR="003A4C61">
        <w:rPr>
          <w:rFonts w:ascii="Arial" w:hAnsi="Arial" w:cs="Arial"/>
          <w:bCs/>
          <w:sz w:val="24"/>
          <w:szCs w:val="24"/>
        </w:rPr>
        <w:t>confirmed,</w:t>
      </w:r>
      <w:r>
        <w:rPr>
          <w:rFonts w:ascii="Arial" w:hAnsi="Arial" w:cs="Arial"/>
          <w:bCs/>
          <w:sz w:val="24"/>
          <w:szCs w:val="24"/>
        </w:rPr>
        <w:t xml:space="preserve"> please revise the</w:t>
      </w:r>
      <w:r w:rsidRPr="00634286">
        <w:rPr>
          <w:rFonts w:ascii="Arial" w:hAnsi="Arial" w:cs="Arial"/>
          <w:bCs/>
          <w:sz w:val="24"/>
          <w:szCs w:val="24"/>
        </w:rPr>
        <w:t xml:space="preserve"> </w:t>
      </w:r>
      <w:r w:rsidR="003A4C61">
        <w:rPr>
          <w:rFonts w:ascii="Arial" w:hAnsi="Arial" w:cs="Arial"/>
          <w:bCs/>
          <w:sz w:val="24"/>
          <w:szCs w:val="24"/>
        </w:rPr>
        <w:t xml:space="preserve">selection </w:t>
      </w:r>
      <w:r>
        <w:rPr>
          <w:rFonts w:ascii="Arial" w:hAnsi="Arial" w:cs="Arial"/>
          <w:bCs/>
          <w:sz w:val="24"/>
          <w:szCs w:val="24"/>
        </w:rPr>
        <w:t>in</w:t>
      </w:r>
      <w:r w:rsidRPr="00634286">
        <w:rPr>
          <w:rFonts w:ascii="Arial" w:hAnsi="Arial" w:cs="Arial"/>
          <w:bCs/>
          <w:sz w:val="24"/>
          <w:szCs w:val="24"/>
        </w:rPr>
        <w:t xml:space="preserve"> Question 4</w:t>
      </w:r>
      <w:r w:rsidR="003A4C61">
        <w:rPr>
          <w:rFonts w:ascii="Arial" w:hAnsi="Arial" w:cs="Arial"/>
          <w:bCs/>
          <w:sz w:val="24"/>
          <w:szCs w:val="24"/>
        </w:rPr>
        <w:t xml:space="preserve"> from “2018” to “2017”</w:t>
      </w:r>
      <w:r w:rsidRPr="00634286">
        <w:rPr>
          <w:rFonts w:ascii="Arial" w:hAnsi="Arial" w:cs="Arial"/>
          <w:bCs/>
          <w:sz w:val="24"/>
          <w:szCs w:val="24"/>
        </w:rPr>
        <w:t xml:space="preserve">. </w:t>
      </w:r>
    </w:p>
    <w:p w14:paraId="12FF8AEF" w14:textId="0F0DE649" w:rsidR="00462A7C" w:rsidRPr="007A12C3" w:rsidRDefault="007A12C3" w:rsidP="007A12C3">
      <w:pPr>
        <w:ind w:left="720"/>
        <w:rPr>
          <w:rFonts w:ascii="Arial" w:hAnsi="Arial" w:cs="Arial"/>
          <w:b/>
          <w:color w:val="0070C0"/>
          <w:sz w:val="24"/>
          <w:szCs w:val="24"/>
        </w:rPr>
      </w:pPr>
      <w:r w:rsidRPr="007A12C3">
        <w:rPr>
          <w:rFonts w:ascii="Arial" w:hAnsi="Arial" w:cs="Arial"/>
          <w:b/>
          <w:color w:val="0070C0"/>
          <w:sz w:val="24"/>
          <w:szCs w:val="24"/>
        </w:rPr>
        <w:t>HHI Response:</w:t>
      </w:r>
      <w:r w:rsidR="00942D12">
        <w:rPr>
          <w:rFonts w:ascii="Arial" w:hAnsi="Arial" w:cs="Arial"/>
          <w:b/>
          <w:color w:val="0070C0"/>
          <w:sz w:val="24"/>
          <w:szCs w:val="24"/>
        </w:rPr>
        <w:t xml:space="preserve"> </w:t>
      </w:r>
      <w:r w:rsidR="00462A7C">
        <w:rPr>
          <w:rFonts w:ascii="Arial" w:hAnsi="Arial" w:cs="Arial"/>
          <w:bCs/>
          <w:color w:val="0070C0"/>
          <w:sz w:val="24"/>
          <w:szCs w:val="24"/>
        </w:rPr>
        <w:t xml:space="preserve">The earliest </w:t>
      </w:r>
      <w:r w:rsidR="00EF5D3B">
        <w:rPr>
          <w:rFonts w:ascii="Arial" w:hAnsi="Arial" w:cs="Arial"/>
          <w:bCs/>
          <w:color w:val="0070C0"/>
          <w:sz w:val="24"/>
          <w:szCs w:val="24"/>
        </w:rPr>
        <w:t>vintage year in which there is a balance in Account 1595 is “</w:t>
      </w:r>
      <w:r w:rsidR="00BB2953">
        <w:rPr>
          <w:rFonts w:ascii="Arial" w:hAnsi="Arial" w:cs="Arial"/>
          <w:bCs/>
          <w:color w:val="0070C0"/>
          <w:sz w:val="24"/>
          <w:szCs w:val="24"/>
        </w:rPr>
        <w:t>2016”. Those amounts were approved in 2018.</w:t>
      </w:r>
      <w:r w:rsidR="004574B1">
        <w:rPr>
          <w:rFonts w:ascii="Arial" w:hAnsi="Arial" w:cs="Arial"/>
          <w:bCs/>
          <w:color w:val="0070C0"/>
          <w:sz w:val="24"/>
          <w:szCs w:val="24"/>
        </w:rPr>
        <w:t xml:space="preserve"> </w:t>
      </w:r>
      <w:r w:rsidR="00B92CB2">
        <w:rPr>
          <w:rFonts w:ascii="Arial" w:hAnsi="Arial" w:cs="Arial"/>
          <w:bCs/>
          <w:color w:val="0070C0"/>
          <w:sz w:val="24"/>
          <w:szCs w:val="24"/>
        </w:rPr>
        <w:t>Answer to Question</w:t>
      </w:r>
      <w:r w:rsidR="00C73349">
        <w:rPr>
          <w:rFonts w:ascii="Arial" w:hAnsi="Arial" w:cs="Arial"/>
          <w:bCs/>
          <w:color w:val="0070C0"/>
          <w:sz w:val="24"/>
          <w:szCs w:val="24"/>
        </w:rPr>
        <w:t xml:space="preserve"> 4 changed from “2018” to “2016”. “2018” was the year in which </w:t>
      </w:r>
      <w:r w:rsidR="00E92FA9">
        <w:rPr>
          <w:rFonts w:ascii="Arial" w:hAnsi="Arial" w:cs="Arial"/>
          <w:bCs/>
          <w:color w:val="0070C0"/>
          <w:sz w:val="24"/>
          <w:szCs w:val="24"/>
        </w:rPr>
        <w:t>they were transferred to Account 1595.</w:t>
      </w:r>
    </w:p>
    <w:p w14:paraId="6C815E56" w14:textId="77777777" w:rsidR="00A350EF" w:rsidRDefault="00A350EF" w:rsidP="008879A9">
      <w:pPr>
        <w:pStyle w:val="NoSpacing"/>
      </w:pPr>
    </w:p>
    <w:p w14:paraId="60EC15D6" w14:textId="77777777" w:rsidR="003E74DC" w:rsidRDefault="003E74DC">
      <w:pPr>
        <w:rPr>
          <w:rFonts w:ascii="Arial" w:eastAsiaTheme="majorEastAsia" w:hAnsi="Arial" w:cstheme="majorBidi"/>
          <w:b/>
          <w:sz w:val="24"/>
          <w:szCs w:val="26"/>
          <w:lang w:val="fr-CA"/>
        </w:rPr>
      </w:pPr>
      <w:r>
        <w:rPr>
          <w:lang w:val="fr-CA"/>
        </w:rPr>
        <w:br w:type="page"/>
      </w:r>
    </w:p>
    <w:p w14:paraId="6F58A256" w14:textId="705AA801" w:rsidR="00564126" w:rsidRPr="00BA6E5D" w:rsidRDefault="00564126" w:rsidP="00564126">
      <w:pPr>
        <w:pStyle w:val="Heading2"/>
        <w:rPr>
          <w:b w:val="0"/>
          <w:lang w:val="fr-CA"/>
        </w:rPr>
      </w:pPr>
      <w:r w:rsidRPr="00BA6E5D">
        <w:rPr>
          <w:lang w:val="fr-CA"/>
        </w:rPr>
        <w:lastRenderedPageBreak/>
        <w:t>Staff Question-</w:t>
      </w:r>
      <w:r w:rsidR="008879A9" w:rsidRPr="00BA6E5D">
        <w:rPr>
          <w:lang w:val="fr-CA"/>
        </w:rPr>
        <w:t>2</w:t>
      </w:r>
    </w:p>
    <w:p w14:paraId="36589FB3" w14:textId="77777777" w:rsidR="00564126" w:rsidRPr="00BA6E5D" w:rsidRDefault="00564126" w:rsidP="00564126">
      <w:pPr>
        <w:rPr>
          <w:rFonts w:ascii="Arial" w:hAnsi="Arial" w:cs="Arial"/>
          <w:bCs/>
          <w:sz w:val="24"/>
          <w:szCs w:val="24"/>
          <w:lang w:val="fr-CA"/>
        </w:rPr>
      </w:pPr>
      <w:proofErr w:type="spellStart"/>
      <w:r w:rsidRPr="00BA6E5D">
        <w:rPr>
          <w:rFonts w:ascii="Arial" w:hAnsi="Arial" w:cs="Arial"/>
          <w:bCs/>
          <w:sz w:val="24"/>
          <w:szCs w:val="24"/>
          <w:lang w:val="fr-CA"/>
        </w:rPr>
        <w:t>Ref</w:t>
      </w:r>
      <w:proofErr w:type="spellEnd"/>
      <w:r w:rsidRPr="00BA6E5D">
        <w:rPr>
          <w:rFonts w:ascii="Arial" w:hAnsi="Arial" w:cs="Arial"/>
          <w:bCs/>
          <w:sz w:val="24"/>
          <w:szCs w:val="24"/>
          <w:lang w:val="fr-CA"/>
        </w:rPr>
        <w:t>:</w:t>
      </w:r>
      <w:r w:rsidRPr="00BA6E5D">
        <w:rPr>
          <w:rFonts w:ascii="Arial" w:hAnsi="Arial" w:cs="Arial"/>
          <w:bCs/>
          <w:sz w:val="24"/>
          <w:szCs w:val="24"/>
          <w:lang w:val="fr-CA"/>
        </w:rPr>
        <w:tab/>
      </w:r>
      <w:r w:rsidRPr="00BA6E5D">
        <w:rPr>
          <w:rFonts w:ascii="Arial" w:hAnsi="Arial" w:cs="Arial"/>
          <w:sz w:val="24"/>
          <w:szCs w:val="24"/>
          <w:lang w:val="fr-CA"/>
        </w:rPr>
        <w:t>Application, pages 17-18</w:t>
      </w:r>
    </w:p>
    <w:p w14:paraId="00F36395" w14:textId="77777777" w:rsidR="00564126" w:rsidRPr="00E54054" w:rsidRDefault="00564126" w:rsidP="00564126">
      <w:pPr>
        <w:rPr>
          <w:rFonts w:ascii="Arial" w:hAnsi="Arial" w:cs="Arial"/>
          <w:sz w:val="24"/>
          <w:szCs w:val="24"/>
        </w:rPr>
      </w:pPr>
      <w:r w:rsidRPr="00E54054">
        <w:rPr>
          <w:rFonts w:ascii="Arial" w:hAnsi="Arial" w:cs="Arial"/>
          <w:sz w:val="24"/>
          <w:szCs w:val="24"/>
        </w:rPr>
        <w:t xml:space="preserve">At the above reference, Hydro Hawkesbury confirms that it </w:t>
      </w:r>
      <w:proofErr w:type="gramStart"/>
      <w:r w:rsidRPr="00E54054">
        <w:rPr>
          <w:rFonts w:ascii="Arial" w:hAnsi="Arial" w:cs="Arial"/>
          <w:sz w:val="24"/>
          <w:szCs w:val="24"/>
        </w:rPr>
        <w:t>is in compliance with</w:t>
      </w:r>
      <w:proofErr w:type="gramEnd"/>
      <w:r w:rsidRPr="00E54054">
        <w:rPr>
          <w:rFonts w:ascii="Arial" w:hAnsi="Arial" w:cs="Arial"/>
          <w:sz w:val="24"/>
          <w:szCs w:val="24"/>
        </w:rPr>
        <w:t xml:space="preserve"> the OEB’s February 21, 2019 accounting guidance related to Accounts 1588 and 1589. OEB staff noticed significant adjustments were booked in 2018 and 2019. </w:t>
      </w:r>
    </w:p>
    <w:p w14:paraId="143FFE88" w14:textId="0A361B86" w:rsidR="00564126" w:rsidRDefault="00564126" w:rsidP="00564126">
      <w:pPr>
        <w:pStyle w:val="ListParagraph"/>
        <w:numPr>
          <w:ilvl w:val="0"/>
          <w:numId w:val="10"/>
        </w:numPr>
        <w:spacing w:after="160"/>
        <w:rPr>
          <w:rFonts w:ascii="Arial" w:hAnsi="Arial" w:cs="Arial"/>
          <w:sz w:val="24"/>
          <w:szCs w:val="24"/>
        </w:rPr>
      </w:pPr>
      <w:r w:rsidRPr="00E54054">
        <w:rPr>
          <w:rFonts w:ascii="Arial" w:hAnsi="Arial" w:cs="Arial"/>
          <w:sz w:val="24"/>
          <w:szCs w:val="24"/>
        </w:rPr>
        <w:t xml:space="preserve">Please explain the nature of the changes that led to these substantial adjustments made to </w:t>
      </w:r>
      <w:r>
        <w:rPr>
          <w:rFonts w:ascii="Arial" w:hAnsi="Arial" w:cs="Arial"/>
          <w:sz w:val="24"/>
          <w:szCs w:val="24"/>
        </w:rPr>
        <w:t>A</w:t>
      </w:r>
      <w:r w:rsidRPr="00E54054">
        <w:rPr>
          <w:rFonts w:ascii="Arial" w:hAnsi="Arial" w:cs="Arial"/>
          <w:sz w:val="24"/>
          <w:szCs w:val="24"/>
        </w:rPr>
        <w:t>ccounts 1588 and 1589.</w:t>
      </w:r>
    </w:p>
    <w:p w14:paraId="7BE07643" w14:textId="77777777" w:rsidR="00BA6E5D" w:rsidRDefault="007A12C3" w:rsidP="00BA6E5D">
      <w:pPr>
        <w:ind w:left="360"/>
        <w:rPr>
          <w:rFonts w:ascii="Arial" w:hAnsi="Arial" w:cs="Arial"/>
          <w:bCs/>
          <w:color w:val="0070C0"/>
          <w:sz w:val="24"/>
          <w:szCs w:val="24"/>
        </w:rPr>
      </w:pPr>
      <w:r w:rsidRPr="007A12C3">
        <w:rPr>
          <w:rFonts w:ascii="Arial" w:hAnsi="Arial" w:cs="Arial"/>
          <w:b/>
          <w:color w:val="0070C0"/>
          <w:sz w:val="24"/>
          <w:szCs w:val="24"/>
        </w:rPr>
        <w:t>HHI Response:</w:t>
      </w:r>
      <w:r w:rsidR="00537AD9">
        <w:rPr>
          <w:rFonts w:ascii="Arial" w:hAnsi="Arial" w:cs="Arial"/>
          <w:b/>
          <w:color w:val="0070C0"/>
          <w:sz w:val="24"/>
          <w:szCs w:val="24"/>
        </w:rPr>
        <w:t xml:space="preserve"> </w:t>
      </w:r>
      <w:r w:rsidR="00847EA8">
        <w:rPr>
          <w:rFonts w:ascii="Arial" w:hAnsi="Arial" w:cs="Arial"/>
          <w:bCs/>
          <w:color w:val="0070C0"/>
          <w:sz w:val="24"/>
          <w:szCs w:val="24"/>
        </w:rPr>
        <w:t xml:space="preserve">The </w:t>
      </w:r>
      <w:r w:rsidR="00ED308E">
        <w:rPr>
          <w:rFonts w:ascii="Arial" w:hAnsi="Arial" w:cs="Arial"/>
          <w:bCs/>
          <w:color w:val="0070C0"/>
          <w:sz w:val="24"/>
          <w:szCs w:val="24"/>
        </w:rPr>
        <w:t xml:space="preserve">most significant difference </w:t>
      </w:r>
      <w:r w:rsidR="00BA6E5D">
        <w:rPr>
          <w:rFonts w:ascii="Arial" w:hAnsi="Arial" w:cs="Arial"/>
          <w:bCs/>
          <w:color w:val="0070C0"/>
          <w:sz w:val="24"/>
          <w:szCs w:val="24"/>
        </w:rPr>
        <w:t>wa</w:t>
      </w:r>
      <w:r w:rsidR="00ED308E">
        <w:rPr>
          <w:rFonts w:ascii="Arial" w:hAnsi="Arial" w:cs="Arial"/>
          <w:bCs/>
          <w:color w:val="0070C0"/>
          <w:sz w:val="24"/>
          <w:szCs w:val="24"/>
        </w:rPr>
        <w:t>s for account 1589 in 2018</w:t>
      </w:r>
      <w:r w:rsidR="00BA6E5D">
        <w:rPr>
          <w:rFonts w:ascii="Arial" w:hAnsi="Arial" w:cs="Arial"/>
          <w:bCs/>
          <w:color w:val="0070C0"/>
          <w:sz w:val="24"/>
          <w:szCs w:val="24"/>
        </w:rPr>
        <w:t>, for which the d</w:t>
      </w:r>
      <w:r w:rsidR="00ED308E">
        <w:rPr>
          <w:rFonts w:ascii="Arial" w:hAnsi="Arial" w:cs="Arial"/>
          <w:bCs/>
          <w:color w:val="0070C0"/>
          <w:sz w:val="24"/>
          <w:szCs w:val="24"/>
        </w:rPr>
        <w:t>ifference is $1.</w:t>
      </w:r>
      <w:r w:rsidR="002242AF">
        <w:rPr>
          <w:rFonts w:ascii="Arial" w:hAnsi="Arial" w:cs="Arial"/>
          <w:bCs/>
          <w:color w:val="0070C0"/>
          <w:sz w:val="24"/>
          <w:szCs w:val="24"/>
        </w:rPr>
        <w:t>3</w:t>
      </w:r>
      <w:r w:rsidR="00ED308E">
        <w:rPr>
          <w:rFonts w:ascii="Arial" w:hAnsi="Arial" w:cs="Arial"/>
          <w:bCs/>
          <w:color w:val="0070C0"/>
          <w:sz w:val="24"/>
          <w:szCs w:val="24"/>
        </w:rPr>
        <w:t xml:space="preserve">M. </w:t>
      </w:r>
      <w:r w:rsidR="00BA6E5D">
        <w:rPr>
          <w:rFonts w:ascii="Arial" w:hAnsi="Arial" w:cs="Arial"/>
          <w:bCs/>
          <w:color w:val="0070C0"/>
          <w:sz w:val="24"/>
          <w:szCs w:val="24"/>
        </w:rPr>
        <w:t>Under</w:t>
      </w:r>
      <w:r w:rsidR="00312C68">
        <w:rPr>
          <w:rFonts w:ascii="Arial" w:hAnsi="Arial" w:cs="Arial"/>
          <w:bCs/>
          <w:color w:val="0070C0"/>
          <w:sz w:val="24"/>
          <w:szCs w:val="24"/>
        </w:rPr>
        <w:t xml:space="preserve"> the old method, t</w:t>
      </w:r>
      <w:r w:rsidR="003C1DE0">
        <w:rPr>
          <w:rFonts w:ascii="Arial" w:hAnsi="Arial" w:cs="Arial"/>
          <w:bCs/>
          <w:color w:val="0070C0"/>
          <w:sz w:val="24"/>
          <w:szCs w:val="24"/>
        </w:rPr>
        <w:t xml:space="preserve">he GA charged </w:t>
      </w:r>
      <w:r w:rsidR="009A781E">
        <w:rPr>
          <w:rFonts w:ascii="Arial" w:hAnsi="Arial" w:cs="Arial"/>
          <w:bCs/>
          <w:color w:val="0070C0"/>
          <w:sz w:val="24"/>
          <w:szCs w:val="24"/>
        </w:rPr>
        <w:t xml:space="preserve">to non-RPP clients </w:t>
      </w:r>
      <w:r w:rsidR="009326CF">
        <w:rPr>
          <w:rFonts w:ascii="Arial" w:hAnsi="Arial" w:cs="Arial"/>
          <w:bCs/>
          <w:color w:val="0070C0"/>
          <w:sz w:val="24"/>
          <w:szCs w:val="24"/>
        </w:rPr>
        <w:t xml:space="preserve">for December 2017 </w:t>
      </w:r>
      <w:r w:rsidR="00BA6E5D">
        <w:rPr>
          <w:rFonts w:ascii="Arial" w:hAnsi="Arial" w:cs="Arial"/>
          <w:bCs/>
          <w:color w:val="0070C0"/>
          <w:sz w:val="24"/>
          <w:szCs w:val="24"/>
        </w:rPr>
        <w:t>was</w:t>
      </w:r>
      <w:r w:rsidR="009326CF">
        <w:rPr>
          <w:rFonts w:ascii="Arial" w:hAnsi="Arial" w:cs="Arial"/>
          <w:bCs/>
          <w:color w:val="0070C0"/>
          <w:sz w:val="24"/>
          <w:szCs w:val="24"/>
        </w:rPr>
        <w:t xml:space="preserve"> not </w:t>
      </w:r>
      <w:r w:rsidR="00BA6E5D">
        <w:rPr>
          <w:rFonts w:ascii="Arial" w:hAnsi="Arial" w:cs="Arial"/>
          <w:bCs/>
          <w:color w:val="0070C0"/>
          <w:sz w:val="24"/>
          <w:szCs w:val="24"/>
        </w:rPr>
        <w:t>factored</w:t>
      </w:r>
      <w:r w:rsidR="009326CF">
        <w:rPr>
          <w:rFonts w:ascii="Arial" w:hAnsi="Arial" w:cs="Arial"/>
          <w:bCs/>
          <w:color w:val="0070C0"/>
          <w:sz w:val="24"/>
          <w:szCs w:val="24"/>
        </w:rPr>
        <w:t xml:space="preserve"> in the unbilled revenue for 2017. </w:t>
      </w:r>
      <w:r w:rsidR="00BA6E5D">
        <w:rPr>
          <w:rFonts w:ascii="Arial" w:hAnsi="Arial" w:cs="Arial"/>
          <w:bCs/>
          <w:color w:val="0070C0"/>
          <w:sz w:val="24"/>
          <w:szCs w:val="24"/>
        </w:rPr>
        <w:t>Instead</w:t>
      </w:r>
      <w:r w:rsidR="009326CF">
        <w:rPr>
          <w:rFonts w:ascii="Arial" w:hAnsi="Arial" w:cs="Arial"/>
          <w:bCs/>
          <w:color w:val="0070C0"/>
          <w:sz w:val="24"/>
          <w:szCs w:val="24"/>
        </w:rPr>
        <w:t xml:space="preserve">, it was </w:t>
      </w:r>
      <w:r w:rsidR="00BA6E5D">
        <w:rPr>
          <w:rFonts w:ascii="Arial" w:hAnsi="Arial" w:cs="Arial"/>
          <w:bCs/>
          <w:color w:val="0070C0"/>
          <w:sz w:val="24"/>
          <w:szCs w:val="24"/>
        </w:rPr>
        <w:t xml:space="preserve">factored in </w:t>
      </w:r>
      <w:r w:rsidR="009326CF">
        <w:rPr>
          <w:rFonts w:ascii="Arial" w:hAnsi="Arial" w:cs="Arial"/>
          <w:bCs/>
          <w:color w:val="0070C0"/>
          <w:sz w:val="24"/>
          <w:szCs w:val="24"/>
        </w:rPr>
        <w:t>2</w:t>
      </w:r>
      <w:r w:rsidR="001B3506">
        <w:rPr>
          <w:rFonts w:ascii="Arial" w:hAnsi="Arial" w:cs="Arial"/>
          <w:bCs/>
          <w:color w:val="0070C0"/>
          <w:sz w:val="24"/>
          <w:szCs w:val="24"/>
        </w:rPr>
        <w:t xml:space="preserve">018. </w:t>
      </w:r>
    </w:p>
    <w:p w14:paraId="58CA907C" w14:textId="22DC6376" w:rsidR="007A12C3" w:rsidRPr="001D0A17" w:rsidRDefault="001B3506" w:rsidP="00BA6E5D">
      <w:pPr>
        <w:ind w:left="360"/>
        <w:rPr>
          <w:rFonts w:ascii="Arial" w:hAnsi="Arial" w:cs="Arial"/>
          <w:bCs/>
          <w:color w:val="0070C0"/>
          <w:sz w:val="24"/>
          <w:szCs w:val="24"/>
        </w:rPr>
      </w:pPr>
      <w:r>
        <w:rPr>
          <w:rFonts w:ascii="Arial" w:hAnsi="Arial" w:cs="Arial"/>
          <w:bCs/>
          <w:color w:val="0070C0"/>
          <w:sz w:val="24"/>
          <w:szCs w:val="24"/>
        </w:rPr>
        <w:t>At the end of 2018</w:t>
      </w:r>
      <w:r w:rsidR="00BA6E5D">
        <w:rPr>
          <w:rFonts w:ascii="Arial" w:hAnsi="Arial" w:cs="Arial"/>
          <w:bCs/>
          <w:color w:val="0070C0"/>
          <w:sz w:val="24"/>
          <w:szCs w:val="24"/>
        </w:rPr>
        <w:t>,</w:t>
      </w:r>
      <w:r>
        <w:rPr>
          <w:rFonts w:ascii="Arial" w:hAnsi="Arial" w:cs="Arial"/>
          <w:bCs/>
          <w:color w:val="0070C0"/>
          <w:sz w:val="24"/>
          <w:szCs w:val="24"/>
        </w:rPr>
        <w:t xml:space="preserve"> the amount for December was considered in the unbilled revenue. </w:t>
      </w:r>
      <w:r w:rsidR="00E71DB3">
        <w:rPr>
          <w:rFonts w:ascii="Arial" w:hAnsi="Arial" w:cs="Arial"/>
          <w:bCs/>
          <w:color w:val="0070C0"/>
          <w:sz w:val="24"/>
          <w:szCs w:val="24"/>
        </w:rPr>
        <w:t xml:space="preserve">The amount from December 2017 was $500,575. </w:t>
      </w:r>
      <w:r w:rsidR="00F349D5">
        <w:rPr>
          <w:rFonts w:ascii="Arial" w:hAnsi="Arial" w:cs="Arial"/>
          <w:bCs/>
          <w:color w:val="0070C0"/>
          <w:sz w:val="24"/>
          <w:szCs w:val="24"/>
        </w:rPr>
        <w:t>In previous years, there w</w:t>
      </w:r>
      <w:r w:rsidR="00BA6E5D">
        <w:rPr>
          <w:rFonts w:ascii="Arial" w:hAnsi="Arial" w:cs="Arial"/>
          <w:bCs/>
          <w:color w:val="0070C0"/>
          <w:sz w:val="24"/>
          <w:szCs w:val="24"/>
        </w:rPr>
        <w:t>ere</w:t>
      </w:r>
      <w:r w:rsidR="00F349D5">
        <w:rPr>
          <w:rFonts w:ascii="Arial" w:hAnsi="Arial" w:cs="Arial"/>
          <w:bCs/>
          <w:color w:val="0070C0"/>
          <w:sz w:val="24"/>
          <w:szCs w:val="24"/>
        </w:rPr>
        <w:t xml:space="preserve"> always 12 charges every year. </w:t>
      </w:r>
      <w:r w:rsidR="00181DCF">
        <w:rPr>
          <w:rFonts w:ascii="Arial" w:hAnsi="Arial" w:cs="Arial"/>
          <w:bCs/>
          <w:color w:val="0070C0"/>
          <w:sz w:val="24"/>
          <w:szCs w:val="24"/>
        </w:rPr>
        <w:t>The GA paid to H</w:t>
      </w:r>
      <w:r w:rsidR="00181DCF" w:rsidRPr="001D0A17">
        <w:rPr>
          <w:rFonts w:ascii="Arial" w:hAnsi="Arial" w:cs="Arial"/>
          <w:bCs/>
          <w:color w:val="0070C0"/>
          <w:sz w:val="24"/>
          <w:szCs w:val="24"/>
        </w:rPr>
        <w:t>yd</w:t>
      </w:r>
      <w:r w:rsidR="003D4735" w:rsidRPr="001D0A17">
        <w:rPr>
          <w:rFonts w:ascii="Arial" w:hAnsi="Arial" w:cs="Arial"/>
          <w:bCs/>
          <w:color w:val="0070C0"/>
          <w:sz w:val="24"/>
          <w:szCs w:val="24"/>
        </w:rPr>
        <w:t xml:space="preserve">ro One and IESO for RPP clients for December 2017 </w:t>
      </w:r>
      <w:r w:rsidR="00BA6E5D">
        <w:rPr>
          <w:rFonts w:ascii="Arial" w:hAnsi="Arial" w:cs="Arial"/>
          <w:bCs/>
          <w:color w:val="0070C0"/>
          <w:sz w:val="24"/>
          <w:szCs w:val="24"/>
        </w:rPr>
        <w:t>was</w:t>
      </w:r>
      <w:r w:rsidR="003D4735" w:rsidRPr="001D0A17">
        <w:rPr>
          <w:rFonts w:ascii="Arial" w:hAnsi="Arial" w:cs="Arial"/>
          <w:bCs/>
          <w:color w:val="0070C0"/>
          <w:sz w:val="24"/>
          <w:szCs w:val="24"/>
        </w:rPr>
        <w:t xml:space="preserve"> considered </w:t>
      </w:r>
      <w:r w:rsidR="00312C68" w:rsidRPr="001D0A17">
        <w:rPr>
          <w:rFonts w:ascii="Arial" w:hAnsi="Arial" w:cs="Arial"/>
          <w:bCs/>
          <w:color w:val="0070C0"/>
          <w:sz w:val="24"/>
          <w:szCs w:val="24"/>
        </w:rPr>
        <w:t>in 2018 for $714,</w:t>
      </w:r>
      <w:r w:rsidR="00A72DEB" w:rsidRPr="001D0A17">
        <w:rPr>
          <w:rFonts w:ascii="Arial" w:hAnsi="Arial" w:cs="Arial"/>
          <w:bCs/>
          <w:color w:val="0070C0"/>
          <w:sz w:val="24"/>
          <w:szCs w:val="24"/>
        </w:rPr>
        <w:t>966.</w:t>
      </w:r>
      <w:r w:rsidR="00114874" w:rsidRPr="001D0A17">
        <w:rPr>
          <w:rFonts w:ascii="Arial" w:hAnsi="Arial" w:cs="Arial"/>
          <w:bCs/>
          <w:color w:val="0070C0"/>
          <w:sz w:val="24"/>
          <w:szCs w:val="24"/>
        </w:rPr>
        <w:t xml:space="preserve"> Those 2 amounts total $</w:t>
      </w:r>
      <w:r w:rsidR="00CB011F" w:rsidRPr="001D0A17">
        <w:rPr>
          <w:rFonts w:ascii="Arial" w:hAnsi="Arial" w:cs="Arial"/>
          <w:bCs/>
          <w:color w:val="0070C0"/>
          <w:sz w:val="24"/>
          <w:szCs w:val="24"/>
        </w:rPr>
        <w:t xml:space="preserve">1,215,541. </w:t>
      </w:r>
    </w:p>
    <w:p w14:paraId="5E1A1EB4" w14:textId="0EA68F4B" w:rsidR="00014EAC" w:rsidRDefault="00C45A60" w:rsidP="00BA6E5D">
      <w:pPr>
        <w:ind w:left="360"/>
        <w:rPr>
          <w:rFonts w:ascii="Arial" w:hAnsi="Arial" w:cs="Arial"/>
          <w:bCs/>
          <w:color w:val="0070C0"/>
          <w:sz w:val="24"/>
          <w:szCs w:val="24"/>
        </w:rPr>
      </w:pPr>
      <w:r w:rsidRPr="001D0A17">
        <w:rPr>
          <w:rFonts w:ascii="Arial" w:hAnsi="Arial" w:cs="Arial"/>
          <w:bCs/>
          <w:color w:val="0070C0"/>
          <w:sz w:val="24"/>
          <w:szCs w:val="24"/>
        </w:rPr>
        <w:t xml:space="preserve">In the reports HHI was using, </w:t>
      </w:r>
      <w:r w:rsidR="000F1022" w:rsidRPr="001D0A17">
        <w:rPr>
          <w:rFonts w:ascii="Arial" w:hAnsi="Arial" w:cs="Arial"/>
          <w:bCs/>
          <w:color w:val="0070C0"/>
          <w:sz w:val="24"/>
          <w:szCs w:val="24"/>
        </w:rPr>
        <w:t xml:space="preserve">Class A and retailer clients were not all </w:t>
      </w:r>
      <w:r w:rsidR="00BA6E5D">
        <w:rPr>
          <w:rFonts w:ascii="Arial" w:hAnsi="Arial" w:cs="Arial"/>
          <w:bCs/>
          <w:color w:val="0070C0"/>
          <w:sz w:val="24"/>
          <w:szCs w:val="24"/>
        </w:rPr>
        <w:t>adequate</w:t>
      </w:r>
      <w:r w:rsidR="000F1022" w:rsidRPr="001D0A17">
        <w:rPr>
          <w:rFonts w:ascii="Arial" w:hAnsi="Arial" w:cs="Arial"/>
          <w:bCs/>
          <w:color w:val="0070C0"/>
          <w:sz w:val="24"/>
          <w:szCs w:val="24"/>
        </w:rPr>
        <w:t>ly ide</w:t>
      </w:r>
      <w:r w:rsidR="000F1022">
        <w:rPr>
          <w:rFonts w:ascii="Arial" w:hAnsi="Arial" w:cs="Arial"/>
          <w:bCs/>
          <w:color w:val="0070C0"/>
          <w:sz w:val="24"/>
          <w:szCs w:val="24"/>
        </w:rPr>
        <w:t xml:space="preserve">ntified. </w:t>
      </w:r>
      <w:r w:rsidR="001041D6">
        <w:rPr>
          <w:rFonts w:ascii="Arial" w:hAnsi="Arial" w:cs="Arial"/>
          <w:bCs/>
          <w:color w:val="0070C0"/>
          <w:sz w:val="24"/>
          <w:szCs w:val="24"/>
        </w:rPr>
        <w:t xml:space="preserve">A review was done following your questions. </w:t>
      </w:r>
      <w:r w:rsidR="006D0556">
        <w:rPr>
          <w:rFonts w:ascii="Arial" w:hAnsi="Arial" w:cs="Arial"/>
          <w:bCs/>
          <w:color w:val="0070C0"/>
          <w:sz w:val="24"/>
          <w:szCs w:val="24"/>
        </w:rPr>
        <w:t xml:space="preserve">Although the total </w:t>
      </w:r>
      <w:r w:rsidR="00BA6E5D">
        <w:rPr>
          <w:rFonts w:ascii="Arial" w:hAnsi="Arial" w:cs="Arial"/>
          <w:bCs/>
          <w:color w:val="0070C0"/>
          <w:sz w:val="24"/>
          <w:szCs w:val="24"/>
        </w:rPr>
        <w:t>kWh</w:t>
      </w:r>
      <w:r w:rsidR="006D0556">
        <w:rPr>
          <w:rFonts w:ascii="Arial" w:hAnsi="Arial" w:cs="Arial"/>
          <w:bCs/>
          <w:color w:val="0070C0"/>
          <w:sz w:val="24"/>
          <w:szCs w:val="24"/>
        </w:rPr>
        <w:t xml:space="preserve"> declared w</w:t>
      </w:r>
      <w:r w:rsidR="00BA6E5D">
        <w:rPr>
          <w:rFonts w:ascii="Arial" w:hAnsi="Arial" w:cs="Arial"/>
          <w:bCs/>
          <w:color w:val="0070C0"/>
          <w:sz w:val="24"/>
          <w:szCs w:val="24"/>
        </w:rPr>
        <w:t>as</w:t>
      </w:r>
      <w:r w:rsidR="006D0556">
        <w:rPr>
          <w:rFonts w:ascii="Arial" w:hAnsi="Arial" w:cs="Arial"/>
          <w:bCs/>
          <w:color w:val="0070C0"/>
          <w:sz w:val="24"/>
          <w:szCs w:val="24"/>
        </w:rPr>
        <w:t xml:space="preserve"> correct, reclassifications have been made between </w:t>
      </w:r>
      <w:r w:rsidR="00266E3C">
        <w:rPr>
          <w:rFonts w:ascii="Arial" w:hAnsi="Arial" w:cs="Arial"/>
          <w:bCs/>
          <w:color w:val="0070C0"/>
          <w:sz w:val="24"/>
          <w:szCs w:val="24"/>
        </w:rPr>
        <w:t>RPP, Non-RPP Class A</w:t>
      </w:r>
      <w:r w:rsidR="00BA6E5D">
        <w:rPr>
          <w:rFonts w:ascii="Arial" w:hAnsi="Arial" w:cs="Arial"/>
          <w:bCs/>
          <w:color w:val="0070C0"/>
          <w:sz w:val="24"/>
          <w:szCs w:val="24"/>
        </w:rPr>
        <w:t>,</w:t>
      </w:r>
      <w:r w:rsidR="00266E3C">
        <w:rPr>
          <w:rFonts w:ascii="Arial" w:hAnsi="Arial" w:cs="Arial"/>
          <w:bCs/>
          <w:color w:val="0070C0"/>
          <w:sz w:val="24"/>
          <w:szCs w:val="24"/>
        </w:rPr>
        <w:t xml:space="preserve"> and Non-RPP Class B. </w:t>
      </w:r>
    </w:p>
    <w:p w14:paraId="36DCE779" w14:textId="2D12BC81" w:rsidR="001D0A17" w:rsidRPr="001D0A17" w:rsidRDefault="001D0A17" w:rsidP="00BA6E5D">
      <w:pPr>
        <w:ind w:left="360"/>
        <w:rPr>
          <w:rFonts w:ascii="Arial" w:hAnsi="Arial" w:cs="Arial"/>
          <w:color w:val="0070C0"/>
          <w:sz w:val="24"/>
          <w:szCs w:val="24"/>
        </w:rPr>
      </w:pPr>
      <w:r w:rsidRPr="001D0A17">
        <w:rPr>
          <w:rFonts w:ascii="Arial" w:hAnsi="Arial" w:cs="Arial"/>
          <w:color w:val="0070C0"/>
          <w:sz w:val="24"/>
          <w:szCs w:val="24"/>
        </w:rPr>
        <w:t xml:space="preserve">The new form looks at </w:t>
      </w:r>
      <w:r w:rsidR="00BA6E5D">
        <w:rPr>
          <w:rFonts w:ascii="Arial" w:hAnsi="Arial" w:cs="Arial"/>
          <w:color w:val="0070C0"/>
          <w:sz w:val="24"/>
          <w:szCs w:val="24"/>
        </w:rPr>
        <w:t>kWh</w:t>
      </w:r>
      <w:r w:rsidRPr="001D0A17">
        <w:rPr>
          <w:rFonts w:ascii="Arial" w:hAnsi="Arial" w:cs="Arial"/>
          <w:color w:val="0070C0"/>
          <w:sz w:val="24"/>
          <w:szCs w:val="24"/>
        </w:rPr>
        <w:t xml:space="preserve">, </w:t>
      </w:r>
      <w:r w:rsidR="00BA6E5D">
        <w:rPr>
          <w:rFonts w:ascii="Arial" w:hAnsi="Arial" w:cs="Arial"/>
          <w:color w:val="0070C0"/>
          <w:sz w:val="24"/>
          <w:szCs w:val="24"/>
        </w:rPr>
        <w:t>RPP</w:t>
      </w:r>
      <w:r w:rsidRPr="001D0A17">
        <w:rPr>
          <w:rFonts w:ascii="Arial" w:hAnsi="Arial" w:cs="Arial"/>
          <w:color w:val="0070C0"/>
          <w:sz w:val="24"/>
          <w:szCs w:val="24"/>
        </w:rPr>
        <w:t xml:space="preserve"> cos of power</w:t>
      </w:r>
      <w:r w:rsidR="00BA6E5D">
        <w:rPr>
          <w:rFonts w:ascii="Arial" w:hAnsi="Arial" w:cs="Arial"/>
          <w:color w:val="0070C0"/>
          <w:sz w:val="24"/>
          <w:szCs w:val="24"/>
        </w:rPr>
        <w:t>,</w:t>
      </w:r>
      <w:r w:rsidRPr="001D0A17">
        <w:rPr>
          <w:rFonts w:ascii="Arial" w:hAnsi="Arial" w:cs="Arial"/>
          <w:color w:val="0070C0"/>
          <w:sz w:val="24"/>
          <w:szCs w:val="24"/>
        </w:rPr>
        <w:t xml:space="preserve"> and non</w:t>
      </w:r>
      <w:r w:rsidR="00BA6E5D">
        <w:rPr>
          <w:rFonts w:ascii="Arial" w:hAnsi="Arial" w:cs="Arial"/>
          <w:color w:val="0070C0"/>
          <w:sz w:val="24"/>
          <w:szCs w:val="24"/>
        </w:rPr>
        <w:t>-RPP</w:t>
      </w:r>
      <w:r w:rsidRPr="001D0A17">
        <w:rPr>
          <w:rFonts w:ascii="Arial" w:hAnsi="Arial" w:cs="Arial"/>
          <w:color w:val="0070C0"/>
          <w:sz w:val="24"/>
          <w:szCs w:val="24"/>
        </w:rPr>
        <w:t xml:space="preserve"> cost of power VS dollar figures before</w:t>
      </w:r>
      <w:r w:rsidR="00BA6E5D">
        <w:rPr>
          <w:rFonts w:ascii="Arial" w:hAnsi="Arial" w:cs="Arial"/>
          <w:color w:val="0070C0"/>
          <w:sz w:val="24"/>
          <w:szCs w:val="24"/>
        </w:rPr>
        <w:t>.</w:t>
      </w:r>
    </w:p>
    <w:p w14:paraId="53A8DA6F" w14:textId="372D3D50" w:rsidR="001D0A17" w:rsidRPr="001D0A17" w:rsidRDefault="001D0A17" w:rsidP="00BA6E5D">
      <w:pPr>
        <w:ind w:left="360"/>
        <w:rPr>
          <w:rFonts w:ascii="Arial" w:hAnsi="Arial" w:cs="Arial"/>
          <w:color w:val="0070C0"/>
          <w:sz w:val="24"/>
          <w:szCs w:val="24"/>
        </w:rPr>
      </w:pPr>
      <w:r w:rsidRPr="001D0A17">
        <w:rPr>
          <w:rFonts w:ascii="Arial" w:hAnsi="Arial" w:cs="Arial"/>
          <w:color w:val="0070C0"/>
          <w:sz w:val="24"/>
          <w:szCs w:val="24"/>
        </w:rPr>
        <w:t xml:space="preserve">The </w:t>
      </w:r>
      <w:r w:rsidR="00BA6E5D">
        <w:rPr>
          <w:rFonts w:ascii="Arial" w:hAnsi="Arial" w:cs="Arial"/>
          <w:color w:val="0070C0"/>
          <w:sz w:val="24"/>
          <w:szCs w:val="24"/>
        </w:rPr>
        <w:t>r</w:t>
      </w:r>
      <w:r w:rsidRPr="001D0A17">
        <w:rPr>
          <w:rFonts w:ascii="Arial" w:hAnsi="Arial" w:cs="Arial"/>
          <w:color w:val="0070C0"/>
          <w:sz w:val="24"/>
          <w:szCs w:val="24"/>
        </w:rPr>
        <w:t>etailer’s stats we</w:t>
      </w:r>
      <w:r w:rsidR="00BA6E5D">
        <w:rPr>
          <w:rFonts w:ascii="Arial" w:hAnsi="Arial" w:cs="Arial"/>
          <w:color w:val="0070C0"/>
          <w:sz w:val="24"/>
          <w:szCs w:val="24"/>
        </w:rPr>
        <w:t>re</w:t>
      </w:r>
      <w:r w:rsidRPr="001D0A17">
        <w:rPr>
          <w:rFonts w:ascii="Arial" w:hAnsi="Arial" w:cs="Arial"/>
          <w:color w:val="0070C0"/>
          <w:sz w:val="24"/>
          <w:szCs w:val="24"/>
        </w:rPr>
        <w:t xml:space="preserve"> accounted for at year</w:t>
      </w:r>
      <w:r w:rsidR="00BA6E5D">
        <w:rPr>
          <w:rFonts w:ascii="Arial" w:hAnsi="Arial" w:cs="Arial"/>
          <w:color w:val="0070C0"/>
          <w:sz w:val="24"/>
          <w:szCs w:val="24"/>
        </w:rPr>
        <w:t>-</w:t>
      </w:r>
      <w:r w:rsidRPr="001D0A17">
        <w:rPr>
          <w:rFonts w:ascii="Arial" w:hAnsi="Arial" w:cs="Arial"/>
          <w:color w:val="0070C0"/>
          <w:sz w:val="24"/>
          <w:szCs w:val="24"/>
        </w:rPr>
        <w:t xml:space="preserve">end only.   Now it is done </w:t>
      </w:r>
      <w:r w:rsidR="00BA6E5D">
        <w:rPr>
          <w:rFonts w:ascii="Arial" w:hAnsi="Arial" w:cs="Arial"/>
          <w:color w:val="0070C0"/>
          <w:sz w:val="24"/>
          <w:szCs w:val="24"/>
        </w:rPr>
        <w:t>monthly</w:t>
      </w:r>
      <w:r w:rsidRPr="001D0A17">
        <w:rPr>
          <w:rFonts w:ascii="Arial" w:hAnsi="Arial" w:cs="Arial"/>
          <w:color w:val="0070C0"/>
          <w:sz w:val="24"/>
          <w:szCs w:val="24"/>
        </w:rPr>
        <w:t>.</w:t>
      </w:r>
    </w:p>
    <w:p w14:paraId="0FD0A720" w14:textId="66F12B3C" w:rsidR="001D0A17" w:rsidRPr="001D0A17" w:rsidRDefault="00BA6E5D" w:rsidP="00BA6E5D">
      <w:pPr>
        <w:ind w:left="360"/>
        <w:rPr>
          <w:rFonts w:ascii="Arial" w:hAnsi="Arial" w:cs="Arial"/>
          <w:color w:val="0070C0"/>
          <w:sz w:val="24"/>
          <w:szCs w:val="24"/>
        </w:rPr>
      </w:pPr>
      <w:r>
        <w:rPr>
          <w:rFonts w:ascii="Arial" w:hAnsi="Arial" w:cs="Arial"/>
          <w:color w:val="0070C0"/>
          <w:sz w:val="24"/>
          <w:szCs w:val="24"/>
        </w:rPr>
        <w:t xml:space="preserve">The process below shows how HHI determines </w:t>
      </w:r>
      <w:r w:rsidR="001D0A17" w:rsidRPr="001D0A17">
        <w:rPr>
          <w:rFonts w:ascii="Arial" w:hAnsi="Arial" w:cs="Arial"/>
          <w:color w:val="0070C0"/>
          <w:sz w:val="24"/>
          <w:szCs w:val="24"/>
        </w:rPr>
        <w:t xml:space="preserve">the </w:t>
      </w:r>
      <w:r>
        <w:rPr>
          <w:rFonts w:ascii="Arial" w:hAnsi="Arial" w:cs="Arial"/>
          <w:color w:val="0070C0"/>
          <w:sz w:val="24"/>
          <w:szCs w:val="24"/>
        </w:rPr>
        <w:t>kWh</w:t>
      </w:r>
      <w:r w:rsidR="001D0A17" w:rsidRPr="001D0A17">
        <w:rPr>
          <w:rFonts w:ascii="Arial" w:hAnsi="Arial" w:cs="Arial"/>
          <w:color w:val="0070C0"/>
          <w:sz w:val="24"/>
          <w:szCs w:val="24"/>
        </w:rPr>
        <w:t xml:space="preserve"> for non</w:t>
      </w:r>
      <w:r>
        <w:rPr>
          <w:rFonts w:ascii="Arial" w:hAnsi="Arial" w:cs="Arial"/>
          <w:color w:val="0070C0"/>
          <w:sz w:val="24"/>
          <w:szCs w:val="24"/>
        </w:rPr>
        <w:t>-</w:t>
      </w:r>
      <w:proofErr w:type="gramStart"/>
      <w:r>
        <w:rPr>
          <w:rFonts w:ascii="Arial" w:hAnsi="Arial" w:cs="Arial"/>
          <w:color w:val="0070C0"/>
          <w:sz w:val="24"/>
          <w:szCs w:val="24"/>
        </w:rPr>
        <w:t>RPP</w:t>
      </w:r>
      <w:r w:rsidR="001D0A17" w:rsidRPr="001D0A17">
        <w:rPr>
          <w:rFonts w:ascii="Arial" w:hAnsi="Arial" w:cs="Arial"/>
          <w:color w:val="0070C0"/>
          <w:sz w:val="24"/>
          <w:szCs w:val="24"/>
        </w:rPr>
        <w:t>(</w:t>
      </w:r>
      <w:proofErr w:type="gramEnd"/>
      <w:r w:rsidR="001D0A17" w:rsidRPr="001D0A17">
        <w:rPr>
          <w:rFonts w:ascii="Arial" w:hAnsi="Arial" w:cs="Arial"/>
          <w:color w:val="0070C0"/>
          <w:sz w:val="24"/>
          <w:szCs w:val="24"/>
        </w:rPr>
        <w:t xml:space="preserve">GA applicable). All </w:t>
      </w:r>
      <w:r>
        <w:rPr>
          <w:rFonts w:ascii="Arial" w:hAnsi="Arial" w:cs="Arial"/>
          <w:color w:val="0070C0"/>
          <w:sz w:val="24"/>
          <w:szCs w:val="24"/>
        </w:rPr>
        <w:t>kWh</w:t>
      </w:r>
      <w:r w:rsidR="001D0A17" w:rsidRPr="001D0A17">
        <w:rPr>
          <w:rFonts w:ascii="Arial" w:hAnsi="Arial" w:cs="Arial"/>
          <w:color w:val="0070C0"/>
          <w:sz w:val="24"/>
          <w:szCs w:val="24"/>
        </w:rPr>
        <w:t xml:space="preserve">’s are from </w:t>
      </w:r>
      <w:r>
        <w:rPr>
          <w:rFonts w:ascii="Arial" w:hAnsi="Arial" w:cs="Arial"/>
          <w:color w:val="0070C0"/>
          <w:sz w:val="24"/>
          <w:szCs w:val="24"/>
        </w:rPr>
        <w:t>HHI’s</w:t>
      </w:r>
      <w:r w:rsidR="001D0A17" w:rsidRPr="001D0A17">
        <w:rPr>
          <w:rFonts w:ascii="Arial" w:hAnsi="Arial" w:cs="Arial"/>
          <w:color w:val="0070C0"/>
          <w:sz w:val="24"/>
          <w:szCs w:val="24"/>
        </w:rPr>
        <w:t xml:space="preserve"> CIS and pulled under a stats maintenance </w:t>
      </w:r>
      <w:proofErr w:type="gramStart"/>
      <w:r w:rsidR="001D0A17" w:rsidRPr="001D0A17">
        <w:rPr>
          <w:rFonts w:ascii="Arial" w:hAnsi="Arial" w:cs="Arial"/>
          <w:color w:val="0070C0"/>
          <w:sz w:val="24"/>
          <w:szCs w:val="24"/>
        </w:rPr>
        <w:t>program</w:t>
      </w:r>
      <w:r>
        <w:rPr>
          <w:rFonts w:ascii="Arial" w:hAnsi="Arial" w:cs="Arial"/>
          <w:color w:val="0070C0"/>
          <w:sz w:val="24"/>
          <w:szCs w:val="24"/>
        </w:rPr>
        <w:t>,</w:t>
      </w:r>
      <w:r w:rsidR="001D0A17" w:rsidRPr="001D0A17">
        <w:rPr>
          <w:rFonts w:ascii="Arial" w:hAnsi="Arial" w:cs="Arial"/>
          <w:color w:val="0070C0"/>
          <w:sz w:val="24"/>
          <w:szCs w:val="24"/>
        </w:rPr>
        <w:t xml:space="preserve"> and</w:t>
      </w:r>
      <w:proofErr w:type="gramEnd"/>
      <w:r w:rsidR="001D0A17" w:rsidRPr="001D0A17">
        <w:rPr>
          <w:rFonts w:ascii="Arial" w:hAnsi="Arial" w:cs="Arial"/>
          <w:color w:val="0070C0"/>
          <w:sz w:val="24"/>
          <w:szCs w:val="24"/>
        </w:rPr>
        <w:t xml:space="preserve"> exported to a pivot table.</w:t>
      </w:r>
    </w:p>
    <w:p w14:paraId="52A81F16" w14:textId="26CA295C" w:rsidR="001D0A17" w:rsidRPr="001D0A17" w:rsidRDefault="001D0A17" w:rsidP="001D0A17">
      <w:pPr>
        <w:pStyle w:val="ListParagraph"/>
        <w:numPr>
          <w:ilvl w:val="0"/>
          <w:numId w:val="21"/>
        </w:numPr>
        <w:spacing w:after="0" w:line="240" w:lineRule="auto"/>
        <w:contextualSpacing w:val="0"/>
        <w:rPr>
          <w:rFonts w:ascii="Arial" w:eastAsia="Times New Roman" w:hAnsi="Arial" w:cs="Arial"/>
          <w:color w:val="0070C0"/>
          <w:sz w:val="24"/>
          <w:szCs w:val="24"/>
        </w:rPr>
      </w:pPr>
      <w:r w:rsidRPr="001D0A17">
        <w:rPr>
          <w:rFonts w:ascii="Arial" w:eastAsia="Times New Roman" w:hAnsi="Arial" w:cs="Arial"/>
          <w:color w:val="0070C0"/>
          <w:sz w:val="24"/>
          <w:szCs w:val="24"/>
        </w:rPr>
        <w:t xml:space="preserve">I </w:t>
      </w:r>
      <w:proofErr w:type="gramStart"/>
      <w:r w:rsidRPr="001D0A17">
        <w:rPr>
          <w:rFonts w:ascii="Arial" w:eastAsia="Times New Roman" w:hAnsi="Arial" w:cs="Arial"/>
          <w:color w:val="0070C0"/>
          <w:sz w:val="24"/>
          <w:szCs w:val="24"/>
        </w:rPr>
        <w:t>get</w:t>
      </w:r>
      <w:r w:rsidR="00BA6E5D">
        <w:rPr>
          <w:rFonts w:ascii="Arial" w:eastAsia="Times New Roman" w:hAnsi="Arial" w:cs="Arial"/>
          <w:color w:val="0070C0"/>
          <w:sz w:val="24"/>
          <w:szCs w:val="24"/>
        </w:rPr>
        <w:t>s</w:t>
      </w:r>
      <w:proofErr w:type="gramEnd"/>
      <w:r w:rsidRPr="001D0A17">
        <w:rPr>
          <w:rFonts w:ascii="Arial" w:eastAsia="Times New Roman" w:hAnsi="Arial" w:cs="Arial"/>
          <w:color w:val="0070C0"/>
          <w:sz w:val="24"/>
          <w:szCs w:val="24"/>
        </w:rPr>
        <w:t xml:space="preserve"> all the </w:t>
      </w:r>
      <w:r w:rsidR="00BA6E5D">
        <w:rPr>
          <w:rFonts w:ascii="Arial" w:eastAsia="Times New Roman" w:hAnsi="Arial" w:cs="Arial"/>
          <w:color w:val="0070C0"/>
          <w:sz w:val="24"/>
          <w:szCs w:val="24"/>
        </w:rPr>
        <w:t>kWh</w:t>
      </w:r>
      <w:r w:rsidRPr="001D0A17">
        <w:rPr>
          <w:rFonts w:ascii="Arial" w:eastAsia="Times New Roman" w:hAnsi="Arial" w:cs="Arial"/>
          <w:color w:val="0070C0"/>
          <w:sz w:val="24"/>
          <w:szCs w:val="24"/>
        </w:rPr>
        <w:t xml:space="preserve"> sold for a month (with and without line loss)</w:t>
      </w:r>
    </w:p>
    <w:p w14:paraId="16BD6C22" w14:textId="1C833FB8" w:rsidR="001D0A17" w:rsidRPr="001D0A17" w:rsidRDefault="001D0A17" w:rsidP="001D0A17">
      <w:pPr>
        <w:pStyle w:val="ListParagraph"/>
        <w:numPr>
          <w:ilvl w:val="0"/>
          <w:numId w:val="21"/>
        </w:numPr>
        <w:spacing w:after="0" w:line="240" w:lineRule="auto"/>
        <w:contextualSpacing w:val="0"/>
        <w:rPr>
          <w:rFonts w:ascii="Arial" w:eastAsia="Times New Roman" w:hAnsi="Arial" w:cs="Arial"/>
          <w:color w:val="0070C0"/>
          <w:sz w:val="24"/>
          <w:szCs w:val="24"/>
        </w:rPr>
      </w:pPr>
      <w:r w:rsidRPr="001D0A17">
        <w:rPr>
          <w:rFonts w:ascii="Arial" w:eastAsia="Times New Roman" w:hAnsi="Arial" w:cs="Arial"/>
          <w:color w:val="0070C0"/>
          <w:sz w:val="24"/>
          <w:szCs w:val="24"/>
        </w:rPr>
        <w:t xml:space="preserve">I then pull only the customer classes that </w:t>
      </w:r>
      <w:r w:rsidR="00BA6E5D">
        <w:rPr>
          <w:rFonts w:ascii="Arial" w:eastAsia="Times New Roman" w:hAnsi="Arial" w:cs="Arial"/>
          <w:color w:val="0070C0"/>
          <w:sz w:val="24"/>
          <w:szCs w:val="24"/>
        </w:rPr>
        <w:t>gener</w:t>
      </w:r>
      <w:r w:rsidRPr="001D0A17">
        <w:rPr>
          <w:rFonts w:ascii="Arial" w:eastAsia="Times New Roman" w:hAnsi="Arial" w:cs="Arial"/>
          <w:color w:val="0070C0"/>
          <w:sz w:val="24"/>
          <w:szCs w:val="24"/>
        </w:rPr>
        <w:t>ally are on RPP.</w:t>
      </w:r>
    </w:p>
    <w:p w14:paraId="7BE9FF5B" w14:textId="7C7685EC" w:rsidR="001D0A17" w:rsidRPr="001D0A17" w:rsidRDefault="00BA6E5D" w:rsidP="001D0A17">
      <w:pPr>
        <w:pStyle w:val="ListParagraph"/>
        <w:numPr>
          <w:ilvl w:val="0"/>
          <w:numId w:val="21"/>
        </w:numPr>
        <w:spacing w:after="0" w:line="240" w:lineRule="auto"/>
        <w:contextualSpacing w:val="0"/>
        <w:rPr>
          <w:rFonts w:ascii="Arial" w:eastAsia="Times New Roman" w:hAnsi="Arial" w:cs="Arial"/>
          <w:color w:val="0070C0"/>
          <w:sz w:val="24"/>
          <w:szCs w:val="24"/>
        </w:rPr>
      </w:pPr>
      <w:r>
        <w:rPr>
          <w:rFonts w:ascii="Arial" w:eastAsia="Times New Roman" w:hAnsi="Arial" w:cs="Arial"/>
          <w:color w:val="0070C0"/>
          <w:sz w:val="24"/>
          <w:szCs w:val="24"/>
        </w:rPr>
        <w:t>T</w:t>
      </w:r>
      <w:r w:rsidR="001D0A17" w:rsidRPr="001D0A17">
        <w:rPr>
          <w:rFonts w:ascii="Arial" w:eastAsia="Times New Roman" w:hAnsi="Arial" w:cs="Arial"/>
          <w:color w:val="0070C0"/>
          <w:sz w:val="24"/>
          <w:szCs w:val="24"/>
        </w:rPr>
        <w:t xml:space="preserve">o get the RPP </w:t>
      </w:r>
      <w:r>
        <w:rPr>
          <w:rFonts w:ascii="Arial" w:eastAsia="Times New Roman" w:hAnsi="Arial" w:cs="Arial"/>
          <w:color w:val="0070C0"/>
          <w:sz w:val="24"/>
          <w:szCs w:val="24"/>
        </w:rPr>
        <w:t>kWh</w:t>
      </w:r>
      <w:r w:rsidR="001D0A17" w:rsidRPr="001D0A17">
        <w:rPr>
          <w:rFonts w:ascii="Arial" w:eastAsia="Times New Roman" w:hAnsi="Arial" w:cs="Arial"/>
          <w:color w:val="0070C0"/>
          <w:sz w:val="24"/>
          <w:szCs w:val="24"/>
        </w:rPr>
        <w:t xml:space="preserve"> only (since some of those RPP identified customers are with retailers), I remove the </w:t>
      </w:r>
      <w:r>
        <w:rPr>
          <w:rFonts w:ascii="Arial" w:eastAsia="Times New Roman" w:hAnsi="Arial" w:cs="Arial"/>
          <w:color w:val="0070C0"/>
          <w:sz w:val="24"/>
          <w:szCs w:val="24"/>
        </w:rPr>
        <w:t>kWh</w:t>
      </w:r>
      <w:r w:rsidR="001D0A17" w:rsidRPr="001D0A17">
        <w:rPr>
          <w:rFonts w:ascii="Arial" w:eastAsia="Times New Roman" w:hAnsi="Arial" w:cs="Arial"/>
          <w:color w:val="0070C0"/>
          <w:sz w:val="24"/>
          <w:szCs w:val="24"/>
        </w:rPr>
        <w:t xml:space="preserve"> sold by retailers with </w:t>
      </w:r>
      <w:r>
        <w:rPr>
          <w:rFonts w:ascii="Arial" w:eastAsia="Times New Roman" w:hAnsi="Arial" w:cs="Arial"/>
          <w:color w:val="0070C0"/>
          <w:sz w:val="24"/>
          <w:szCs w:val="24"/>
        </w:rPr>
        <w:t>two</w:t>
      </w:r>
      <w:r w:rsidR="001D0A17" w:rsidRPr="001D0A17">
        <w:rPr>
          <w:rFonts w:ascii="Arial" w:eastAsia="Times New Roman" w:hAnsi="Arial" w:cs="Arial"/>
          <w:color w:val="0070C0"/>
          <w:sz w:val="24"/>
          <w:szCs w:val="24"/>
        </w:rPr>
        <w:t xml:space="preserve"> reports that must match. </w:t>
      </w:r>
      <w:proofErr w:type="gramStart"/>
      <w:r w:rsidR="001D0A17" w:rsidRPr="001D0A17">
        <w:rPr>
          <w:rFonts w:ascii="Arial" w:eastAsia="Times New Roman" w:hAnsi="Arial" w:cs="Arial"/>
          <w:color w:val="0070C0"/>
          <w:sz w:val="24"/>
          <w:szCs w:val="24"/>
        </w:rPr>
        <w:t>( a</w:t>
      </w:r>
      <w:proofErr w:type="gramEnd"/>
      <w:r w:rsidR="001D0A17" w:rsidRPr="001D0A17">
        <w:rPr>
          <w:rFonts w:ascii="Arial" w:eastAsia="Times New Roman" w:hAnsi="Arial" w:cs="Arial"/>
          <w:color w:val="0070C0"/>
          <w:sz w:val="24"/>
          <w:szCs w:val="24"/>
        </w:rPr>
        <w:t xml:space="preserve"> report showing the GA </w:t>
      </w:r>
      <w:r>
        <w:rPr>
          <w:rFonts w:ascii="Arial" w:eastAsia="Times New Roman" w:hAnsi="Arial" w:cs="Arial"/>
          <w:color w:val="0070C0"/>
          <w:sz w:val="24"/>
          <w:szCs w:val="24"/>
        </w:rPr>
        <w:t>kWh</w:t>
      </w:r>
      <w:r w:rsidR="001D0A17" w:rsidRPr="001D0A17">
        <w:rPr>
          <w:rFonts w:ascii="Arial" w:eastAsia="Times New Roman" w:hAnsi="Arial" w:cs="Arial"/>
          <w:color w:val="0070C0"/>
          <w:sz w:val="24"/>
          <w:szCs w:val="24"/>
        </w:rPr>
        <w:t xml:space="preserve"> charges for GA to retailers and a COP </w:t>
      </w:r>
      <w:r>
        <w:rPr>
          <w:rFonts w:ascii="Arial" w:eastAsia="Times New Roman" w:hAnsi="Arial" w:cs="Arial"/>
          <w:color w:val="0070C0"/>
          <w:sz w:val="24"/>
          <w:szCs w:val="24"/>
        </w:rPr>
        <w:t>kWh</w:t>
      </w:r>
      <w:r w:rsidR="001D0A17" w:rsidRPr="001D0A17">
        <w:rPr>
          <w:rFonts w:ascii="Arial" w:eastAsia="Times New Roman" w:hAnsi="Arial" w:cs="Arial"/>
          <w:color w:val="0070C0"/>
          <w:sz w:val="24"/>
          <w:szCs w:val="24"/>
        </w:rPr>
        <w:t xml:space="preserve"> to retailers).</w:t>
      </w:r>
    </w:p>
    <w:p w14:paraId="5AF6504D" w14:textId="3849CD36" w:rsidR="001D0A17" w:rsidRPr="001D0A17" w:rsidRDefault="001D0A17" w:rsidP="001D0A17">
      <w:pPr>
        <w:pStyle w:val="ListParagraph"/>
        <w:numPr>
          <w:ilvl w:val="0"/>
          <w:numId w:val="21"/>
        </w:numPr>
        <w:spacing w:after="0" w:line="240" w:lineRule="auto"/>
        <w:contextualSpacing w:val="0"/>
        <w:rPr>
          <w:rFonts w:ascii="Arial" w:eastAsia="Times New Roman" w:hAnsi="Arial" w:cs="Arial"/>
          <w:color w:val="0070C0"/>
          <w:sz w:val="24"/>
          <w:szCs w:val="24"/>
        </w:rPr>
      </w:pPr>
      <w:r w:rsidRPr="001D0A17">
        <w:rPr>
          <w:rFonts w:ascii="Arial" w:eastAsia="Times New Roman" w:hAnsi="Arial" w:cs="Arial"/>
          <w:color w:val="0070C0"/>
          <w:sz w:val="24"/>
          <w:szCs w:val="24"/>
        </w:rPr>
        <w:t xml:space="preserve">Once these retailer’s </w:t>
      </w:r>
      <w:r w:rsidR="00BA6E5D">
        <w:rPr>
          <w:rFonts w:ascii="Arial" w:eastAsia="Times New Roman" w:hAnsi="Arial" w:cs="Arial"/>
          <w:color w:val="0070C0"/>
          <w:sz w:val="24"/>
          <w:szCs w:val="24"/>
        </w:rPr>
        <w:t>kWh</w:t>
      </w:r>
      <w:r w:rsidRPr="001D0A17">
        <w:rPr>
          <w:rFonts w:ascii="Arial" w:eastAsia="Times New Roman" w:hAnsi="Arial" w:cs="Arial"/>
          <w:color w:val="0070C0"/>
          <w:sz w:val="24"/>
          <w:szCs w:val="24"/>
        </w:rPr>
        <w:t>’s are accounted for</w:t>
      </w:r>
      <w:r w:rsidR="00BA6E5D">
        <w:rPr>
          <w:rFonts w:ascii="Arial" w:eastAsia="Times New Roman" w:hAnsi="Arial" w:cs="Arial"/>
          <w:color w:val="0070C0"/>
          <w:sz w:val="24"/>
          <w:szCs w:val="24"/>
        </w:rPr>
        <w:t>,</w:t>
      </w:r>
      <w:r w:rsidRPr="001D0A17">
        <w:rPr>
          <w:rFonts w:ascii="Arial" w:eastAsia="Times New Roman" w:hAnsi="Arial" w:cs="Arial"/>
          <w:color w:val="0070C0"/>
          <w:sz w:val="24"/>
          <w:szCs w:val="24"/>
        </w:rPr>
        <w:t xml:space="preserve"> I deduct this from the RPP </w:t>
      </w:r>
      <w:r w:rsidR="00BA6E5D">
        <w:rPr>
          <w:rFonts w:ascii="Arial" w:eastAsia="Times New Roman" w:hAnsi="Arial" w:cs="Arial"/>
          <w:color w:val="0070C0"/>
          <w:sz w:val="24"/>
          <w:szCs w:val="24"/>
        </w:rPr>
        <w:t>kWh</w:t>
      </w:r>
      <w:r w:rsidRPr="001D0A17">
        <w:rPr>
          <w:rFonts w:ascii="Arial" w:eastAsia="Times New Roman" w:hAnsi="Arial" w:cs="Arial"/>
          <w:color w:val="0070C0"/>
          <w:sz w:val="24"/>
          <w:szCs w:val="24"/>
        </w:rPr>
        <w:t xml:space="preserve">.  This result is the total RPP customers </w:t>
      </w:r>
      <w:r w:rsidR="00BA6E5D">
        <w:rPr>
          <w:rFonts w:ascii="Arial" w:eastAsia="Times New Roman" w:hAnsi="Arial" w:cs="Arial"/>
          <w:color w:val="0070C0"/>
          <w:sz w:val="24"/>
          <w:szCs w:val="24"/>
        </w:rPr>
        <w:t>kWh</w:t>
      </w:r>
      <w:r w:rsidRPr="001D0A17">
        <w:rPr>
          <w:rFonts w:ascii="Arial" w:eastAsia="Times New Roman" w:hAnsi="Arial" w:cs="Arial"/>
          <w:color w:val="0070C0"/>
          <w:sz w:val="24"/>
          <w:szCs w:val="24"/>
        </w:rPr>
        <w:t xml:space="preserve"> sold.</w:t>
      </w:r>
    </w:p>
    <w:p w14:paraId="367378C2" w14:textId="1A95736A" w:rsidR="001D0A17" w:rsidRPr="001D0A17" w:rsidRDefault="001D0A17" w:rsidP="001D0A17">
      <w:pPr>
        <w:pStyle w:val="ListParagraph"/>
        <w:numPr>
          <w:ilvl w:val="0"/>
          <w:numId w:val="21"/>
        </w:numPr>
        <w:spacing w:after="0" w:line="240" w:lineRule="auto"/>
        <w:contextualSpacing w:val="0"/>
        <w:rPr>
          <w:rFonts w:ascii="Arial" w:eastAsia="Times New Roman" w:hAnsi="Arial" w:cs="Arial"/>
          <w:color w:val="0070C0"/>
          <w:sz w:val="24"/>
          <w:szCs w:val="24"/>
        </w:rPr>
      </w:pPr>
      <w:r w:rsidRPr="001D0A17">
        <w:rPr>
          <w:rFonts w:ascii="Arial" w:eastAsia="Times New Roman" w:hAnsi="Arial" w:cs="Arial"/>
          <w:color w:val="0070C0"/>
          <w:sz w:val="24"/>
          <w:szCs w:val="24"/>
        </w:rPr>
        <w:lastRenderedPageBreak/>
        <w:t xml:space="preserve">To get the </w:t>
      </w:r>
      <w:r w:rsidR="00BA6E5D">
        <w:rPr>
          <w:rFonts w:ascii="Arial" w:eastAsia="Times New Roman" w:hAnsi="Arial" w:cs="Arial"/>
          <w:color w:val="0070C0"/>
          <w:sz w:val="24"/>
          <w:szCs w:val="24"/>
        </w:rPr>
        <w:t>non-</w:t>
      </w:r>
      <w:r w:rsidRPr="001D0A17">
        <w:rPr>
          <w:rFonts w:ascii="Arial" w:eastAsia="Times New Roman" w:hAnsi="Arial" w:cs="Arial"/>
          <w:color w:val="0070C0"/>
          <w:sz w:val="24"/>
          <w:szCs w:val="24"/>
        </w:rPr>
        <w:t xml:space="preserve">RPP </w:t>
      </w:r>
      <w:r w:rsidR="00BA6E5D">
        <w:rPr>
          <w:rFonts w:ascii="Arial" w:eastAsia="Times New Roman" w:hAnsi="Arial" w:cs="Arial"/>
          <w:color w:val="0070C0"/>
          <w:sz w:val="24"/>
          <w:szCs w:val="24"/>
        </w:rPr>
        <w:t>kWh</w:t>
      </w:r>
      <w:r w:rsidRPr="001D0A17">
        <w:rPr>
          <w:rFonts w:ascii="Arial" w:eastAsia="Times New Roman" w:hAnsi="Arial" w:cs="Arial"/>
          <w:color w:val="0070C0"/>
          <w:sz w:val="24"/>
          <w:szCs w:val="24"/>
        </w:rPr>
        <w:t xml:space="preserve">.   I take all </w:t>
      </w:r>
      <w:r w:rsidR="00BA6E5D">
        <w:rPr>
          <w:rFonts w:ascii="Arial" w:eastAsia="Times New Roman" w:hAnsi="Arial" w:cs="Arial"/>
          <w:color w:val="0070C0"/>
          <w:sz w:val="24"/>
          <w:szCs w:val="24"/>
        </w:rPr>
        <w:t>kWh</w:t>
      </w:r>
      <w:r w:rsidRPr="001D0A17">
        <w:rPr>
          <w:rFonts w:ascii="Arial" w:eastAsia="Times New Roman" w:hAnsi="Arial" w:cs="Arial"/>
          <w:color w:val="0070C0"/>
          <w:sz w:val="24"/>
          <w:szCs w:val="24"/>
        </w:rPr>
        <w:t xml:space="preserve"> </w:t>
      </w:r>
      <w:r w:rsidR="00BA6E5D">
        <w:rPr>
          <w:rFonts w:ascii="Arial" w:eastAsia="Times New Roman" w:hAnsi="Arial" w:cs="Arial"/>
          <w:color w:val="0070C0"/>
          <w:sz w:val="24"/>
          <w:szCs w:val="24"/>
        </w:rPr>
        <w:t xml:space="preserve">to </w:t>
      </w:r>
      <w:r w:rsidRPr="001D0A17">
        <w:rPr>
          <w:rFonts w:ascii="Arial" w:eastAsia="Times New Roman" w:hAnsi="Arial" w:cs="Arial"/>
          <w:color w:val="0070C0"/>
          <w:sz w:val="24"/>
          <w:szCs w:val="24"/>
        </w:rPr>
        <w:t xml:space="preserve">remove the RPP which are net of </w:t>
      </w:r>
      <w:r w:rsidR="003E74DC" w:rsidRPr="001D0A17">
        <w:rPr>
          <w:rFonts w:ascii="Arial" w:eastAsia="Times New Roman" w:hAnsi="Arial" w:cs="Arial"/>
          <w:color w:val="0070C0"/>
          <w:sz w:val="24"/>
          <w:szCs w:val="24"/>
        </w:rPr>
        <w:t>retailer’s</w:t>
      </w:r>
      <w:r w:rsidRPr="001D0A17">
        <w:rPr>
          <w:rFonts w:ascii="Arial" w:eastAsia="Times New Roman" w:hAnsi="Arial" w:cs="Arial"/>
          <w:color w:val="0070C0"/>
          <w:sz w:val="24"/>
          <w:szCs w:val="24"/>
        </w:rPr>
        <w:t xml:space="preserve"> </w:t>
      </w:r>
      <w:r w:rsidR="00BA6E5D" w:rsidRPr="001D0A17">
        <w:rPr>
          <w:rFonts w:ascii="Arial" w:eastAsia="Times New Roman" w:hAnsi="Arial" w:cs="Arial"/>
          <w:color w:val="0070C0"/>
          <w:sz w:val="24"/>
          <w:szCs w:val="24"/>
        </w:rPr>
        <w:t>kW</w:t>
      </w:r>
      <w:r w:rsidRPr="001D0A17">
        <w:rPr>
          <w:rFonts w:ascii="Arial" w:eastAsia="Times New Roman" w:hAnsi="Arial" w:cs="Arial"/>
          <w:color w:val="0070C0"/>
          <w:sz w:val="24"/>
          <w:szCs w:val="24"/>
        </w:rPr>
        <w:t xml:space="preserve">’s, deduct the Class A </w:t>
      </w:r>
      <w:r w:rsidR="00BA6E5D">
        <w:rPr>
          <w:rFonts w:ascii="Arial" w:eastAsia="Times New Roman" w:hAnsi="Arial" w:cs="Arial"/>
          <w:color w:val="0070C0"/>
          <w:sz w:val="24"/>
          <w:szCs w:val="24"/>
        </w:rPr>
        <w:t>kWh,</w:t>
      </w:r>
      <w:r w:rsidRPr="001D0A17">
        <w:rPr>
          <w:rFonts w:ascii="Arial" w:eastAsia="Times New Roman" w:hAnsi="Arial" w:cs="Arial"/>
          <w:color w:val="0070C0"/>
          <w:sz w:val="24"/>
          <w:szCs w:val="24"/>
        </w:rPr>
        <w:t xml:space="preserve"> and obtain the Non</w:t>
      </w:r>
      <w:r w:rsidR="00BA6E5D">
        <w:rPr>
          <w:rFonts w:ascii="Arial" w:eastAsia="Times New Roman" w:hAnsi="Arial" w:cs="Arial"/>
          <w:color w:val="0070C0"/>
          <w:sz w:val="24"/>
          <w:szCs w:val="24"/>
        </w:rPr>
        <w:t>-</w:t>
      </w:r>
      <w:r w:rsidRPr="001D0A17">
        <w:rPr>
          <w:rFonts w:ascii="Arial" w:eastAsia="Times New Roman" w:hAnsi="Arial" w:cs="Arial"/>
          <w:color w:val="0070C0"/>
          <w:sz w:val="24"/>
          <w:szCs w:val="24"/>
        </w:rPr>
        <w:t xml:space="preserve">RPP </w:t>
      </w:r>
      <w:r w:rsidR="00BA6E5D">
        <w:rPr>
          <w:rFonts w:ascii="Arial" w:eastAsia="Times New Roman" w:hAnsi="Arial" w:cs="Arial"/>
          <w:color w:val="0070C0"/>
          <w:sz w:val="24"/>
          <w:szCs w:val="24"/>
        </w:rPr>
        <w:t>kWh</w:t>
      </w:r>
    </w:p>
    <w:p w14:paraId="06EC7BB4" w14:textId="77777777" w:rsidR="001D0A17" w:rsidRPr="001D0A17" w:rsidRDefault="001D0A17" w:rsidP="001D0A17">
      <w:pPr>
        <w:pStyle w:val="ListParagraph"/>
        <w:ind w:left="1440"/>
        <w:rPr>
          <w:rFonts w:ascii="Arial" w:hAnsi="Arial" w:cs="Arial"/>
          <w:color w:val="0070C0"/>
          <w:sz w:val="24"/>
          <w:szCs w:val="24"/>
        </w:rPr>
      </w:pPr>
    </w:p>
    <w:p w14:paraId="395257F9" w14:textId="4A37F0C5" w:rsidR="001D0A17" w:rsidRPr="001D0A17" w:rsidRDefault="001D0A17" w:rsidP="00BA6E5D">
      <w:pPr>
        <w:ind w:left="360"/>
        <w:rPr>
          <w:rFonts w:ascii="Arial" w:hAnsi="Arial" w:cs="Arial"/>
          <w:color w:val="0070C0"/>
          <w:sz w:val="24"/>
          <w:szCs w:val="24"/>
          <w:lang w:val="en-US"/>
        </w:rPr>
      </w:pPr>
      <w:r w:rsidRPr="001D0A17">
        <w:rPr>
          <w:rFonts w:ascii="Arial" w:hAnsi="Arial" w:cs="Arial"/>
          <w:color w:val="0070C0"/>
          <w:sz w:val="24"/>
          <w:szCs w:val="24"/>
        </w:rPr>
        <w:t xml:space="preserve">Our new way to account for Retailers </w:t>
      </w:r>
      <w:r w:rsidR="00BA6E5D">
        <w:rPr>
          <w:rFonts w:ascii="Arial" w:hAnsi="Arial" w:cs="Arial"/>
          <w:color w:val="0070C0"/>
          <w:sz w:val="24"/>
          <w:szCs w:val="24"/>
        </w:rPr>
        <w:t>kWh</w:t>
      </w:r>
      <w:r w:rsidRPr="001D0A17">
        <w:rPr>
          <w:rFonts w:ascii="Arial" w:hAnsi="Arial" w:cs="Arial"/>
          <w:color w:val="0070C0"/>
          <w:sz w:val="24"/>
          <w:szCs w:val="24"/>
        </w:rPr>
        <w:t xml:space="preserve"> is more accurate with </w:t>
      </w:r>
      <w:r w:rsidR="00BA6E5D">
        <w:rPr>
          <w:rFonts w:ascii="Arial" w:hAnsi="Arial" w:cs="Arial"/>
          <w:color w:val="0070C0"/>
          <w:sz w:val="24"/>
          <w:szCs w:val="24"/>
        </w:rPr>
        <w:t>how</w:t>
      </w:r>
      <w:r w:rsidRPr="001D0A17">
        <w:rPr>
          <w:rFonts w:ascii="Arial" w:hAnsi="Arial" w:cs="Arial"/>
          <w:color w:val="0070C0"/>
          <w:sz w:val="24"/>
          <w:szCs w:val="24"/>
        </w:rPr>
        <w:t xml:space="preserve"> we are now gathering the information.   Information sent to Judy Dec 1 and the response: the process to determine the non-RPP </w:t>
      </w:r>
      <w:r w:rsidR="00BA6E5D">
        <w:rPr>
          <w:rFonts w:ascii="Arial" w:hAnsi="Arial" w:cs="Arial"/>
          <w:color w:val="0070C0"/>
          <w:sz w:val="24"/>
          <w:szCs w:val="24"/>
        </w:rPr>
        <w:t>kWh</w:t>
      </w:r>
      <w:r w:rsidRPr="001D0A17">
        <w:rPr>
          <w:rFonts w:ascii="Arial" w:hAnsi="Arial" w:cs="Arial"/>
          <w:color w:val="0070C0"/>
          <w:sz w:val="24"/>
          <w:szCs w:val="24"/>
        </w:rPr>
        <w:t xml:space="preserve"> seems reasonable.</w:t>
      </w:r>
    </w:p>
    <w:p w14:paraId="2705AC0C" w14:textId="5E18EFD8" w:rsidR="001D0A17" w:rsidRPr="001D0A17" w:rsidRDefault="001D0A17" w:rsidP="00BA6E5D">
      <w:pPr>
        <w:ind w:left="360"/>
        <w:rPr>
          <w:rFonts w:ascii="Arial" w:hAnsi="Arial" w:cs="Arial"/>
          <w:color w:val="0070C0"/>
          <w:sz w:val="24"/>
          <w:szCs w:val="24"/>
        </w:rPr>
      </w:pPr>
      <w:r w:rsidRPr="001D0A17">
        <w:rPr>
          <w:rFonts w:ascii="Arial" w:hAnsi="Arial" w:cs="Arial"/>
          <w:color w:val="0070C0"/>
          <w:sz w:val="24"/>
          <w:szCs w:val="24"/>
        </w:rPr>
        <w:t xml:space="preserve">For that reason, even if the total </w:t>
      </w:r>
      <w:r w:rsidR="00BA6E5D">
        <w:rPr>
          <w:rFonts w:ascii="Arial" w:hAnsi="Arial" w:cs="Arial"/>
          <w:color w:val="0070C0"/>
          <w:sz w:val="24"/>
          <w:szCs w:val="24"/>
        </w:rPr>
        <w:t>kWh</w:t>
      </w:r>
      <w:r w:rsidRPr="001D0A17">
        <w:rPr>
          <w:rFonts w:ascii="Arial" w:hAnsi="Arial" w:cs="Arial"/>
          <w:color w:val="0070C0"/>
          <w:sz w:val="24"/>
          <w:szCs w:val="24"/>
        </w:rPr>
        <w:t xml:space="preserve"> reported in 2017,2018,2019 may have some discrepancies in </w:t>
      </w:r>
      <w:r w:rsidR="00BA6E5D">
        <w:rPr>
          <w:rFonts w:ascii="Arial" w:hAnsi="Arial" w:cs="Arial"/>
          <w:color w:val="0070C0"/>
          <w:sz w:val="24"/>
          <w:szCs w:val="24"/>
        </w:rPr>
        <w:t>kWh</w:t>
      </w:r>
      <w:r w:rsidRPr="001D0A17">
        <w:rPr>
          <w:rFonts w:ascii="Arial" w:hAnsi="Arial" w:cs="Arial"/>
          <w:color w:val="0070C0"/>
          <w:sz w:val="24"/>
          <w:szCs w:val="24"/>
        </w:rPr>
        <w:t xml:space="preserve"> for retailers (removed from RPP and added to non </w:t>
      </w:r>
      <w:r w:rsidR="00BA6E5D">
        <w:rPr>
          <w:rFonts w:ascii="Arial" w:hAnsi="Arial" w:cs="Arial"/>
          <w:color w:val="0070C0"/>
          <w:sz w:val="24"/>
          <w:szCs w:val="24"/>
        </w:rPr>
        <w:t>RPP</w:t>
      </w:r>
      <w:r w:rsidRPr="001D0A17">
        <w:rPr>
          <w:rFonts w:ascii="Arial" w:hAnsi="Arial" w:cs="Arial"/>
          <w:color w:val="0070C0"/>
          <w:sz w:val="24"/>
          <w:szCs w:val="24"/>
        </w:rPr>
        <w:t xml:space="preserve">).  Remember that the total </w:t>
      </w:r>
      <w:r w:rsidR="00BA6E5D">
        <w:rPr>
          <w:rFonts w:ascii="Arial" w:hAnsi="Arial" w:cs="Arial"/>
          <w:color w:val="0070C0"/>
          <w:sz w:val="24"/>
          <w:szCs w:val="24"/>
        </w:rPr>
        <w:t>kWh</w:t>
      </w:r>
      <w:r w:rsidRPr="001D0A17">
        <w:rPr>
          <w:rFonts w:ascii="Arial" w:hAnsi="Arial" w:cs="Arial"/>
          <w:color w:val="0070C0"/>
          <w:sz w:val="24"/>
          <w:szCs w:val="24"/>
        </w:rPr>
        <w:t xml:space="preserve"> reported for those years with and without loss is accurate.  Furthermore, as an internal verification process, HHI every month will verify that bills produced are accurate.   Our billing department will input some data from customers bills in a spreadsheet to match the exact amount of the customer invoice.   This process is done for a few accounts by billing batches for the following customer classes. R-TOU, C-TOU, Unmetered, Sentinels and customers on TCP. Obviously, </w:t>
      </w:r>
      <w:r w:rsidR="00BA6E5D">
        <w:rPr>
          <w:rFonts w:ascii="Arial" w:hAnsi="Arial" w:cs="Arial"/>
          <w:color w:val="0070C0"/>
          <w:sz w:val="24"/>
          <w:szCs w:val="24"/>
        </w:rPr>
        <w:t>kWh</w:t>
      </w:r>
      <w:r w:rsidRPr="001D0A17">
        <w:rPr>
          <w:rFonts w:ascii="Arial" w:hAnsi="Arial" w:cs="Arial"/>
          <w:color w:val="0070C0"/>
          <w:sz w:val="24"/>
          <w:szCs w:val="24"/>
        </w:rPr>
        <w:t xml:space="preserve"> being the main driven factor to bill the customers, if the loss factor (in the spreadsheeted or in our CIS) is different, we will identify immediately the discrepancy.</w:t>
      </w:r>
    </w:p>
    <w:p w14:paraId="7614721C" w14:textId="77777777" w:rsidR="00564126" w:rsidRPr="00E54054" w:rsidRDefault="00564126" w:rsidP="00564126">
      <w:pPr>
        <w:pStyle w:val="ListParagraph"/>
        <w:spacing w:after="160"/>
        <w:rPr>
          <w:rFonts w:ascii="Arial" w:hAnsi="Arial" w:cs="Arial"/>
          <w:sz w:val="24"/>
          <w:szCs w:val="24"/>
        </w:rPr>
      </w:pPr>
    </w:p>
    <w:p w14:paraId="096A8530" w14:textId="77777777" w:rsidR="00564126" w:rsidRPr="00E54054" w:rsidRDefault="00564126" w:rsidP="00564126">
      <w:pPr>
        <w:pStyle w:val="ListParagraph"/>
        <w:numPr>
          <w:ilvl w:val="0"/>
          <w:numId w:val="10"/>
        </w:numPr>
        <w:spacing w:after="160"/>
        <w:rPr>
          <w:rFonts w:ascii="Arial" w:hAnsi="Arial" w:cs="Arial"/>
          <w:sz w:val="24"/>
          <w:szCs w:val="24"/>
        </w:rPr>
      </w:pPr>
      <w:r w:rsidRPr="00E54054">
        <w:rPr>
          <w:rFonts w:ascii="Arial" w:hAnsi="Arial" w:cs="Arial"/>
          <w:sz w:val="24"/>
          <w:szCs w:val="24"/>
        </w:rPr>
        <w:t>As a result of confirming that it has implemented the OEB’s February 21, 2019</w:t>
      </w:r>
    </w:p>
    <w:p w14:paraId="5684389C" w14:textId="77777777" w:rsidR="00564126" w:rsidRPr="00E54054" w:rsidRDefault="00564126" w:rsidP="00564126">
      <w:pPr>
        <w:pStyle w:val="ListParagraph"/>
        <w:rPr>
          <w:rFonts w:ascii="Arial" w:hAnsi="Arial" w:cs="Arial"/>
          <w:sz w:val="24"/>
          <w:szCs w:val="24"/>
        </w:rPr>
      </w:pPr>
      <w:r w:rsidRPr="00E54054">
        <w:rPr>
          <w:rFonts w:ascii="Arial" w:hAnsi="Arial" w:cs="Arial"/>
          <w:sz w:val="24"/>
          <w:szCs w:val="24"/>
        </w:rPr>
        <w:t>accounting guidance, please confirm whether Hydro Hawkesbury is seeking final</w:t>
      </w:r>
    </w:p>
    <w:p w14:paraId="2CED87AA" w14:textId="59D22702" w:rsidR="00564126" w:rsidRDefault="00564126" w:rsidP="00002C41">
      <w:pPr>
        <w:pStyle w:val="ListParagraph"/>
        <w:rPr>
          <w:rFonts w:ascii="Arial" w:hAnsi="Arial" w:cs="Arial"/>
          <w:sz w:val="24"/>
          <w:szCs w:val="24"/>
        </w:rPr>
      </w:pPr>
      <w:r w:rsidRPr="00E54054">
        <w:rPr>
          <w:rFonts w:ascii="Arial" w:hAnsi="Arial" w:cs="Arial"/>
          <w:sz w:val="24"/>
          <w:szCs w:val="24"/>
        </w:rPr>
        <w:t xml:space="preserve">disposition of its 2017 </w:t>
      </w:r>
      <w:r w:rsidR="005F7062">
        <w:rPr>
          <w:rFonts w:ascii="Arial" w:hAnsi="Arial" w:cs="Arial"/>
          <w:sz w:val="24"/>
          <w:szCs w:val="24"/>
        </w:rPr>
        <w:t xml:space="preserve">and 2018 Group 1 DVA account balances </w:t>
      </w:r>
      <w:r w:rsidR="00002C41" w:rsidRPr="00E54054">
        <w:rPr>
          <w:rFonts w:ascii="Arial" w:hAnsi="Arial" w:cs="Arial"/>
          <w:sz w:val="24"/>
          <w:szCs w:val="24"/>
        </w:rPr>
        <w:t>as part of the current proceeding.</w:t>
      </w:r>
      <w:r w:rsidR="00002C41">
        <w:rPr>
          <w:rFonts w:ascii="Arial" w:hAnsi="Arial" w:cs="Arial"/>
          <w:sz w:val="24"/>
          <w:szCs w:val="24"/>
        </w:rPr>
        <w:t xml:space="preserve"> </w:t>
      </w:r>
    </w:p>
    <w:p w14:paraId="6E2F56F5" w14:textId="43CCE2DC" w:rsidR="007A12C3" w:rsidRPr="00E54054" w:rsidRDefault="007A12C3" w:rsidP="008D4C1D">
      <w:pPr>
        <w:ind w:left="720"/>
        <w:rPr>
          <w:rFonts w:ascii="Arial" w:hAnsi="Arial" w:cs="Arial"/>
          <w:sz w:val="24"/>
          <w:szCs w:val="24"/>
        </w:rPr>
      </w:pPr>
      <w:r w:rsidRPr="007A12C3">
        <w:rPr>
          <w:rFonts w:ascii="Arial" w:hAnsi="Arial" w:cs="Arial"/>
          <w:b/>
          <w:color w:val="0070C0"/>
          <w:sz w:val="24"/>
          <w:szCs w:val="24"/>
        </w:rPr>
        <w:t>HHI Response:</w:t>
      </w:r>
      <w:r w:rsidR="007E6A02">
        <w:rPr>
          <w:rFonts w:ascii="Arial" w:hAnsi="Arial" w:cs="Arial"/>
          <w:b/>
          <w:color w:val="0070C0"/>
          <w:sz w:val="24"/>
          <w:szCs w:val="24"/>
        </w:rPr>
        <w:t xml:space="preserve"> </w:t>
      </w:r>
      <w:proofErr w:type="gramStart"/>
      <w:r w:rsidR="003C77C0">
        <w:rPr>
          <w:rFonts w:ascii="Arial" w:hAnsi="Arial" w:cs="Arial"/>
          <w:bCs/>
          <w:color w:val="0070C0"/>
          <w:sz w:val="24"/>
          <w:szCs w:val="24"/>
        </w:rPr>
        <w:t>Yes</w:t>
      </w:r>
      <w:proofErr w:type="gramEnd"/>
      <w:r w:rsidR="003C77C0">
        <w:rPr>
          <w:rFonts w:ascii="Arial" w:hAnsi="Arial" w:cs="Arial"/>
          <w:bCs/>
          <w:color w:val="0070C0"/>
          <w:sz w:val="24"/>
          <w:szCs w:val="24"/>
        </w:rPr>
        <w:t xml:space="preserve"> Hydro Hawkesbury is seeking </w:t>
      </w:r>
      <w:r w:rsidR="00C60CD3">
        <w:rPr>
          <w:rFonts w:ascii="Arial" w:hAnsi="Arial" w:cs="Arial"/>
          <w:bCs/>
          <w:color w:val="0070C0"/>
          <w:sz w:val="24"/>
          <w:szCs w:val="24"/>
        </w:rPr>
        <w:t xml:space="preserve">final </w:t>
      </w:r>
      <w:r w:rsidR="003C77C0">
        <w:rPr>
          <w:rFonts w:ascii="Arial" w:hAnsi="Arial" w:cs="Arial"/>
          <w:bCs/>
          <w:color w:val="0070C0"/>
          <w:sz w:val="24"/>
          <w:szCs w:val="24"/>
        </w:rPr>
        <w:t>dispos</w:t>
      </w:r>
      <w:r w:rsidR="00C60CD3">
        <w:rPr>
          <w:rFonts w:ascii="Arial" w:hAnsi="Arial" w:cs="Arial"/>
          <w:bCs/>
          <w:color w:val="0070C0"/>
          <w:sz w:val="24"/>
          <w:szCs w:val="24"/>
        </w:rPr>
        <w:t xml:space="preserve">ition of its 2017 and 2018 Group 1 DVA account balances as part of the </w:t>
      </w:r>
      <w:r w:rsidR="008D4C1D">
        <w:rPr>
          <w:rFonts w:ascii="Arial" w:hAnsi="Arial" w:cs="Arial"/>
          <w:bCs/>
          <w:color w:val="0070C0"/>
          <w:sz w:val="24"/>
          <w:szCs w:val="24"/>
        </w:rPr>
        <w:t>current proceeding.</w:t>
      </w:r>
    </w:p>
    <w:p w14:paraId="2F7A6079" w14:textId="77777777" w:rsidR="00564126" w:rsidRPr="0085350E" w:rsidRDefault="00564126" w:rsidP="00564126">
      <w:pPr>
        <w:pStyle w:val="ListParagraph"/>
        <w:spacing w:after="0"/>
        <w:rPr>
          <w:rFonts w:ascii="Arial" w:eastAsia="Times New Roman" w:hAnsi="Arial" w:cs="Arial"/>
          <w:sz w:val="24"/>
          <w:szCs w:val="24"/>
          <w:lang w:val="en-US"/>
        </w:rPr>
      </w:pPr>
    </w:p>
    <w:p w14:paraId="3C12DC08" w14:textId="101E29B3" w:rsidR="007A12C3" w:rsidRPr="007A12C3" w:rsidRDefault="00564126" w:rsidP="007A12C3">
      <w:pPr>
        <w:pStyle w:val="ListParagraph"/>
        <w:numPr>
          <w:ilvl w:val="0"/>
          <w:numId w:val="10"/>
        </w:numPr>
        <w:spacing w:after="160"/>
        <w:rPr>
          <w:rFonts w:ascii="Arial" w:hAnsi="Arial" w:cs="Arial"/>
          <w:sz w:val="24"/>
          <w:szCs w:val="24"/>
        </w:rPr>
      </w:pPr>
      <w:r w:rsidRPr="007A12C3">
        <w:rPr>
          <w:rFonts w:ascii="Arial" w:hAnsi="Arial" w:cs="Arial"/>
          <w:sz w:val="24"/>
          <w:szCs w:val="24"/>
        </w:rPr>
        <w:t xml:space="preserve">Please confirm whether Hydro Hawkesbury is requesting final disposition </w:t>
      </w:r>
      <w:r w:rsidR="005F7062" w:rsidRPr="007A12C3">
        <w:rPr>
          <w:rFonts w:ascii="Arial" w:hAnsi="Arial" w:cs="Arial"/>
          <w:sz w:val="24"/>
          <w:szCs w:val="24"/>
        </w:rPr>
        <w:t xml:space="preserve">of its </w:t>
      </w:r>
      <w:r w:rsidR="00002C41" w:rsidRPr="007A12C3">
        <w:rPr>
          <w:rFonts w:ascii="Arial" w:hAnsi="Arial" w:cs="Arial"/>
          <w:sz w:val="24"/>
          <w:szCs w:val="24"/>
        </w:rPr>
        <w:t xml:space="preserve">2019 Group 1 DVA </w:t>
      </w:r>
      <w:r w:rsidRPr="007A12C3">
        <w:rPr>
          <w:rFonts w:ascii="Arial" w:hAnsi="Arial" w:cs="Arial"/>
          <w:sz w:val="24"/>
          <w:szCs w:val="24"/>
        </w:rPr>
        <w:t xml:space="preserve">account balances in the </w:t>
      </w:r>
      <w:r w:rsidRPr="00E54054">
        <w:rPr>
          <w:rFonts w:ascii="Arial" w:hAnsi="Arial" w:cs="Arial"/>
          <w:sz w:val="24"/>
          <w:szCs w:val="24"/>
        </w:rPr>
        <w:t xml:space="preserve">current </w:t>
      </w:r>
      <w:r w:rsidRPr="007A12C3">
        <w:rPr>
          <w:rFonts w:ascii="Arial" w:hAnsi="Arial" w:cs="Arial"/>
          <w:sz w:val="24"/>
          <w:szCs w:val="24"/>
        </w:rPr>
        <w:t>proceeding.</w:t>
      </w:r>
    </w:p>
    <w:p w14:paraId="2206DB11" w14:textId="416E9262" w:rsidR="00980BBC" w:rsidRDefault="007A12C3" w:rsidP="008D4C1D">
      <w:pPr>
        <w:ind w:left="720"/>
        <w:rPr>
          <w:rFonts w:ascii="Arial" w:hAnsi="Arial" w:cs="Arial"/>
          <w:sz w:val="24"/>
          <w:szCs w:val="24"/>
        </w:rPr>
      </w:pPr>
      <w:r w:rsidRPr="007A12C3">
        <w:rPr>
          <w:rFonts w:ascii="Arial" w:hAnsi="Arial" w:cs="Arial"/>
          <w:b/>
          <w:color w:val="0070C0"/>
          <w:sz w:val="24"/>
          <w:szCs w:val="24"/>
        </w:rPr>
        <w:t>HHI Response:</w:t>
      </w:r>
      <w:r w:rsidR="008D4C1D">
        <w:rPr>
          <w:rFonts w:ascii="Arial" w:hAnsi="Arial" w:cs="Arial"/>
          <w:b/>
          <w:color w:val="0070C0"/>
          <w:sz w:val="24"/>
          <w:szCs w:val="24"/>
        </w:rPr>
        <w:t xml:space="preserve"> </w:t>
      </w:r>
      <w:proofErr w:type="gramStart"/>
      <w:r w:rsidR="008D4C1D">
        <w:rPr>
          <w:rFonts w:ascii="Arial" w:hAnsi="Arial" w:cs="Arial"/>
          <w:bCs/>
          <w:color w:val="0070C0"/>
          <w:sz w:val="24"/>
          <w:szCs w:val="24"/>
        </w:rPr>
        <w:t>Yes</w:t>
      </w:r>
      <w:proofErr w:type="gramEnd"/>
      <w:r w:rsidR="008D4C1D">
        <w:rPr>
          <w:rFonts w:ascii="Arial" w:hAnsi="Arial" w:cs="Arial"/>
          <w:bCs/>
          <w:color w:val="0070C0"/>
          <w:sz w:val="24"/>
          <w:szCs w:val="24"/>
        </w:rPr>
        <w:t xml:space="preserve"> Hydro Hawkesbury is </w:t>
      </w:r>
      <w:r w:rsidR="00B77367">
        <w:rPr>
          <w:rFonts w:ascii="Arial" w:hAnsi="Arial" w:cs="Arial"/>
          <w:bCs/>
          <w:color w:val="0070C0"/>
          <w:sz w:val="24"/>
          <w:szCs w:val="24"/>
        </w:rPr>
        <w:t>request</w:t>
      </w:r>
      <w:r w:rsidR="008D4C1D">
        <w:rPr>
          <w:rFonts w:ascii="Arial" w:hAnsi="Arial" w:cs="Arial"/>
          <w:bCs/>
          <w:color w:val="0070C0"/>
          <w:sz w:val="24"/>
          <w:szCs w:val="24"/>
        </w:rPr>
        <w:t>ing final disposition of its 201</w:t>
      </w:r>
      <w:r w:rsidR="00B77367">
        <w:rPr>
          <w:rFonts w:ascii="Arial" w:hAnsi="Arial" w:cs="Arial"/>
          <w:bCs/>
          <w:color w:val="0070C0"/>
          <w:sz w:val="24"/>
          <w:szCs w:val="24"/>
        </w:rPr>
        <w:t>9</w:t>
      </w:r>
      <w:r w:rsidR="008D4C1D">
        <w:rPr>
          <w:rFonts w:ascii="Arial" w:hAnsi="Arial" w:cs="Arial"/>
          <w:bCs/>
          <w:color w:val="0070C0"/>
          <w:sz w:val="24"/>
          <w:szCs w:val="24"/>
        </w:rPr>
        <w:t xml:space="preserve"> Group 1 DVA account balances </w:t>
      </w:r>
      <w:r w:rsidR="00B77367">
        <w:rPr>
          <w:rFonts w:ascii="Arial" w:hAnsi="Arial" w:cs="Arial"/>
          <w:bCs/>
          <w:color w:val="0070C0"/>
          <w:sz w:val="24"/>
          <w:szCs w:val="24"/>
        </w:rPr>
        <w:t>in</w:t>
      </w:r>
      <w:r w:rsidR="008D4C1D">
        <w:rPr>
          <w:rFonts w:ascii="Arial" w:hAnsi="Arial" w:cs="Arial"/>
          <w:bCs/>
          <w:color w:val="0070C0"/>
          <w:sz w:val="24"/>
          <w:szCs w:val="24"/>
        </w:rPr>
        <w:t xml:space="preserve"> the current proceeding.</w:t>
      </w:r>
    </w:p>
    <w:p w14:paraId="5803ED3D" w14:textId="077602B7" w:rsidR="007A12C3" w:rsidRDefault="007A12C3">
      <w:pPr>
        <w:rPr>
          <w:rFonts w:ascii="Arial" w:eastAsiaTheme="majorEastAsia" w:hAnsi="Arial" w:cstheme="majorBidi"/>
          <w:b/>
          <w:sz w:val="24"/>
          <w:szCs w:val="26"/>
        </w:rPr>
      </w:pPr>
    </w:p>
    <w:p w14:paraId="76216F61" w14:textId="23019B6C" w:rsidR="00002C41" w:rsidRDefault="00002C41" w:rsidP="00002C41">
      <w:pPr>
        <w:pStyle w:val="Heading2"/>
        <w:rPr>
          <w:b w:val="0"/>
        </w:rPr>
      </w:pPr>
      <w:r>
        <w:t>Staff Question-3</w:t>
      </w:r>
    </w:p>
    <w:p w14:paraId="313E270E" w14:textId="4E0C47C8" w:rsidR="00002C41" w:rsidRPr="005F7062" w:rsidRDefault="00002C41" w:rsidP="005F7062">
      <w:pPr>
        <w:pStyle w:val="NoSpacing"/>
        <w:rPr>
          <w:rFonts w:ascii="Arial" w:hAnsi="Arial" w:cs="Arial"/>
          <w:sz w:val="24"/>
          <w:szCs w:val="24"/>
        </w:rPr>
      </w:pPr>
      <w:r w:rsidRPr="005F7062">
        <w:rPr>
          <w:rFonts w:ascii="Arial" w:hAnsi="Arial" w:cs="Arial"/>
          <w:sz w:val="24"/>
          <w:szCs w:val="24"/>
        </w:rPr>
        <w:t>Ref:</w:t>
      </w:r>
      <w:r w:rsidRPr="005F7062">
        <w:rPr>
          <w:rFonts w:ascii="Arial" w:hAnsi="Arial" w:cs="Arial"/>
          <w:sz w:val="24"/>
          <w:szCs w:val="24"/>
        </w:rPr>
        <w:tab/>
        <w:t xml:space="preserve">HHI Response to OEB incomplete letter </w:t>
      </w:r>
    </w:p>
    <w:p w14:paraId="482A9D1F" w14:textId="3022F2C4" w:rsidR="00002C41" w:rsidRPr="005F7062" w:rsidRDefault="00002C41" w:rsidP="005F7062">
      <w:pPr>
        <w:pStyle w:val="NoSpacing"/>
        <w:rPr>
          <w:rFonts w:ascii="Arial" w:hAnsi="Arial" w:cs="Arial"/>
          <w:sz w:val="24"/>
          <w:szCs w:val="24"/>
        </w:rPr>
      </w:pPr>
      <w:r w:rsidRPr="005F7062">
        <w:rPr>
          <w:rFonts w:ascii="Arial" w:hAnsi="Arial" w:cs="Arial"/>
          <w:sz w:val="24"/>
          <w:szCs w:val="24"/>
        </w:rPr>
        <w:tab/>
      </w:r>
      <w:r w:rsidR="006A6FB8" w:rsidRPr="005F7062">
        <w:rPr>
          <w:rFonts w:ascii="Arial" w:hAnsi="Arial" w:cs="Arial"/>
          <w:sz w:val="24"/>
          <w:szCs w:val="24"/>
        </w:rPr>
        <w:t>Excel attachment, “Impact of new methodology”</w:t>
      </w:r>
    </w:p>
    <w:p w14:paraId="47C81D46" w14:textId="77777777" w:rsidR="005F7062" w:rsidRPr="005F7062" w:rsidRDefault="005F7062" w:rsidP="005F7062">
      <w:pPr>
        <w:pStyle w:val="NoSpacing"/>
        <w:rPr>
          <w:rFonts w:ascii="Arial" w:hAnsi="Arial" w:cs="Arial"/>
          <w:sz w:val="24"/>
          <w:szCs w:val="24"/>
        </w:rPr>
      </w:pPr>
    </w:p>
    <w:p w14:paraId="7A4619D2" w14:textId="1B09DC2B" w:rsidR="00002C41" w:rsidRPr="00A61DC9" w:rsidRDefault="00002C41" w:rsidP="00A61DC9">
      <w:pPr>
        <w:rPr>
          <w:rFonts w:ascii="Arial" w:hAnsi="Arial" w:cs="Arial"/>
          <w:sz w:val="24"/>
          <w:szCs w:val="24"/>
        </w:rPr>
      </w:pPr>
      <w:r w:rsidRPr="005F7062">
        <w:rPr>
          <w:rFonts w:ascii="Arial" w:hAnsi="Arial" w:cs="Arial"/>
          <w:sz w:val="24"/>
          <w:szCs w:val="24"/>
        </w:rPr>
        <w:lastRenderedPageBreak/>
        <w:t>At page 4 of the incomplete letter, the OEB noted that Hawkesbury Hydro did not provide a</w:t>
      </w:r>
      <w:r w:rsidRPr="00A61DC9">
        <w:rPr>
          <w:rFonts w:ascii="Arial" w:hAnsi="Arial" w:cs="Arial"/>
          <w:sz w:val="24"/>
          <w:szCs w:val="24"/>
        </w:rPr>
        <w:t xml:space="preserve">n explanation of variances between RRR and the Group 1 account balances for Accounts 1588 and 1589 in its Application. </w:t>
      </w:r>
      <w:r w:rsidR="005F7062">
        <w:rPr>
          <w:rFonts w:ascii="Arial" w:hAnsi="Arial" w:cs="Arial"/>
          <w:sz w:val="24"/>
          <w:szCs w:val="24"/>
        </w:rPr>
        <w:t xml:space="preserve">At page 6 of the incomplete letter, </w:t>
      </w:r>
      <w:r w:rsidR="006A6FB8" w:rsidRPr="00A61DC9">
        <w:rPr>
          <w:rFonts w:ascii="Arial" w:hAnsi="Arial" w:cs="Arial"/>
          <w:sz w:val="24"/>
          <w:szCs w:val="24"/>
        </w:rPr>
        <w:t>Hydro Hawkesbury was to report back on the findings of its analysis as part of its next IRM application, including the details of this internal review related to the significant balance in Account 1588.</w:t>
      </w:r>
    </w:p>
    <w:p w14:paraId="002D3FD8" w14:textId="23FF36DF" w:rsidR="00DF35B6" w:rsidRDefault="00002C41" w:rsidP="00A61DC9">
      <w:pPr>
        <w:pStyle w:val="TableParagraph"/>
        <w:spacing w:line="276" w:lineRule="auto"/>
        <w:ind w:left="0" w:right="222"/>
        <w:rPr>
          <w:sz w:val="24"/>
          <w:szCs w:val="24"/>
        </w:rPr>
      </w:pPr>
      <w:r w:rsidRPr="00A61DC9">
        <w:rPr>
          <w:sz w:val="24"/>
          <w:szCs w:val="24"/>
        </w:rPr>
        <w:t xml:space="preserve">In response, Hydro Hawkesbury stated that it recalculated its variances for 2017, 2018 and 2019 with the new OEB methodology based on the February 21, 2019 accounting guidance. Based on this new methodology, there was a reduction </w:t>
      </w:r>
      <w:r w:rsidR="00FF28C0">
        <w:rPr>
          <w:sz w:val="24"/>
          <w:szCs w:val="24"/>
        </w:rPr>
        <w:t xml:space="preserve">in the principal balance </w:t>
      </w:r>
      <w:r w:rsidRPr="00A61DC9">
        <w:rPr>
          <w:sz w:val="24"/>
          <w:szCs w:val="24"/>
        </w:rPr>
        <w:t>of $507,638 and</w:t>
      </w:r>
      <w:r w:rsidR="00FF28C0">
        <w:rPr>
          <w:sz w:val="24"/>
          <w:szCs w:val="24"/>
        </w:rPr>
        <w:t xml:space="preserve"> in carrying charges of</w:t>
      </w:r>
      <w:r w:rsidRPr="00A61DC9">
        <w:rPr>
          <w:sz w:val="24"/>
          <w:szCs w:val="24"/>
        </w:rPr>
        <w:t xml:space="preserve"> $6,107 in </w:t>
      </w:r>
      <w:r w:rsidR="005F7062">
        <w:rPr>
          <w:sz w:val="24"/>
          <w:szCs w:val="24"/>
        </w:rPr>
        <w:t>A</w:t>
      </w:r>
      <w:r w:rsidRPr="00A61DC9">
        <w:rPr>
          <w:sz w:val="24"/>
          <w:szCs w:val="24"/>
        </w:rPr>
        <w:t>ccount 1588.</w:t>
      </w:r>
      <w:r w:rsidR="00FF28C0">
        <w:rPr>
          <w:sz w:val="24"/>
          <w:szCs w:val="24"/>
        </w:rPr>
        <w:t xml:space="preserve"> Furthermore, Hydro Hawkesbury noted:</w:t>
      </w:r>
      <w:r w:rsidRPr="00A61DC9">
        <w:rPr>
          <w:sz w:val="24"/>
          <w:szCs w:val="24"/>
        </w:rPr>
        <w:t xml:space="preserve"> </w:t>
      </w:r>
    </w:p>
    <w:p w14:paraId="37E330CB" w14:textId="3A8245F2" w:rsidR="00DF35B6" w:rsidRPr="005F7062" w:rsidRDefault="00002C41" w:rsidP="00933151">
      <w:pPr>
        <w:pStyle w:val="TableParagraph"/>
        <w:numPr>
          <w:ilvl w:val="0"/>
          <w:numId w:val="18"/>
        </w:numPr>
        <w:spacing w:line="276" w:lineRule="auto"/>
        <w:ind w:right="222"/>
        <w:rPr>
          <w:sz w:val="24"/>
          <w:szCs w:val="24"/>
        </w:rPr>
      </w:pPr>
      <w:r w:rsidRPr="005F7062">
        <w:rPr>
          <w:sz w:val="24"/>
          <w:szCs w:val="24"/>
        </w:rPr>
        <w:t xml:space="preserve">A reclassification of $202,427 between </w:t>
      </w:r>
      <w:r w:rsidR="00EA5E13">
        <w:rPr>
          <w:sz w:val="24"/>
          <w:szCs w:val="24"/>
        </w:rPr>
        <w:t xml:space="preserve">Accounts </w:t>
      </w:r>
      <w:r w:rsidRPr="005F7062">
        <w:rPr>
          <w:sz w:val="24"/>
          <w:szCs w:val="24"/>
        </w:rPr>
        <w:t xml:space="preserve">1588 and 1589 has also been eliminated. </w:t>
      </w:r>
    </w:p>
    <w:p w14:paraId="7AC05D9C" w14:textId="46EBBC03" w:rsidR="00DF35B6" w:rsidRDefault="00002C41" w:rsidP="00DF35B6">
      <w:pPr>
        <w:pStyle w:val="TableParagraph"/>
        <w:numPr>
          <w:ilvl w:val="0"/>
          <w:numId w:val="18"/>
        </w:numPr>
        <w:spacing w:line="276" w:lineRule="auto"/>
        <w:ind w:right="222"/>
        <w:rPr>
          <w:sz w:val="24"/>
          <w:szCs w:val="24"/>
        </w:rPr>
      </w:pPr>
      <w:r w:rsidRPr="00A61DC9">
        <w:rPr>
          <w:sz w:val="24"/>
          <w:szCs w:val="24"/>
        </w:rPr>
        <w:t xml:space="preserve">For </w:t>
      </w:r>
      <w:r w:rsidR="00EA5E13">
        <w:rPr>
          <w:sz w:val="24"/>
          <w:szCs w:val="24"/>
        </w:rPr>
        <w:t>A</w:t>
      </w:r>
      <w:r w:rsidRPr="00A61DC9">
        <w:rPr>
          <w:sz w:val="24"/>
          <w:szCs w:val="24"/>
        </w:rPr>
        <w:t>ccount 1589, the</w:t>
      </w:r>
      <w:r w:rsidR="00FF28C0">
        <w:rPr>
          <w:sz w:val="24"/>
          <w:szCs w:val="24"/>
        </w:rPr>
        <w:t>re</w:t>
      </w:r>
      <w:r w:rsidRPr="00A61DC9">
        <w:rPr>
          <w:sz w:val="24"/>
          <w:szCs w:val="24"/>
        </w:rPr>
        <w:t xml:space="preserve"> was an increase of $652,878 in</w:t>
      </w:r>
      <w:r w:rsidR="00FF28C0">
        <w:rPr>
          <w:sz w:val="24"/>
          <w:szCs w:val="24"/>
        </w:rPr>
        <w:t xml:space="preserve"> the</w:t>
      </w:r>
      <w:r w:rsidRPr="00A61DC9">
        <w:rPr>
          <w:sz w:val="24"/>
          <w:szCs w:val="24"/>
        </w:rPr>
        <w:t xml:space="preserve"> principal</w:t>
      </w:r>
      <w:r w:rsidR="00FF28C0">
        <w:rPr>
          <w:sz w:val="24"/>
          <w:szCs w:val="24"/>
        </w:rPr>
        <w:t xml:space="preserve"> balance</w:t>
      </w:r>
      <w:r w:rsidRPr="00A61DC9">
        <w:rPr>
          <w:sz w:val="24"/>
          <w:szCs w:val="24"/>
        </w:rPr>
        <w:t xml:space="preserve"> and $23,533 in carrying charges. </w:t>
      </w:r>
    </w:p>
    <w:p w14:paraId="12E525C6" w14:textId="3147BAD7" w:rsidR="00002C41" w:rsidRPr="00A61DC9" w:rsidRDefault="00002C41" w:rsidP="00DF35B6">
      <w:pPr>
        <w:pStyle w:val="TableParagraph"/>
        <w:numPr>
          <w:ilvl w:val="0"/>
          <w:numId w:val="18"/>
        </w:numPr>
        <w:spacing w:line="276" w:lineRule="auto"/>
        <w:ind w:right="222"/>
        <w:rPr>
          <w:sz w:val="24"/>
          <w:szCs w:val="24"/>
        </w:rPr>
      </w:pPr>
      <w:r w:rsidRPr="00A61DC9">
        <w:rPr>
          <w:sz w:val="24"/>
          <w:szCs w:val="24"/>
        </w:rPr>
        <w:t xml:space="preserve">Those amounts correspond to the differences in column BW of </w:t>
      </w:r>
      <w:r w:rsidR="00FF28C0">
        <w:rPr>
          <w:sz w:val="24"/>
          <w:szCs w:val="24"/>
        </w:rPr>
        <w:t xml:space="preserve">Tab </w:t>
      </w:r>
      <w:r w:rsidRPr="00A61DC9">
        <w:rPr>
          <w:sz w:val="24"/>
          <w:szCs w:val="24"/>
        </w:rPr>
        <w:t>3</w:t>
      </w:r>
      <w:r w:rsidR="00FF28C0">
        <w:rPr>
          <w:sz w:val="24"/>
          <w:szCs w:val="24"/>
        </w:rPr>
        <w:t xml:space="preserve"> of the</w:t>
      </w:r>
      <w:r w:rsidRPr="00A61DC9">
        <w:rPr>
          <w:sz w:val="24"/>
          <w:szCs w:val="24"/>
        </w:rPr>
        <w:t xml:space="preserve"> Continuity Schedule in the IRM Rate Generator for </w:t>
      </w:r>
      <w:r w:rsidR="005F7062">
        <w:rPr>
          <w:sz w:val="24"/>
          <w:szCs w:val="24"/>
        </w:rPr>
        <w:t>A</w:t>
      </w:r>
      <w:r w:rsidRPr="00A61DC9">
        <w:rPr>
          <w:sz w:val="24"/>
          <w:szCs w:val="24"/>
        </w:rPr>
        <w:t>ccounts 1588 and 1589.</w:t>
      </w:r>
    </w:p>
    <w:p w14:paraId="734400F1" w14:textId="77777777" w:rsidR="00002C41" w:rsidRPr="00A61DC9" w:rsidRDefault="00002C41" w:rsidP="00A61DC9">
      <w:pPr>
        <w:pStyle w:val="TableParagraph"/>
        <w:spacing w:line="276" w:lineRule="auto"/>
        <w:ind w:right="222"/>
        <w:rPr>
          <w:sz w:val="24"/>
          <w:szCs w:val="24"/>
        </w:rPr>
      </w:pPr>
    </w:p>
    <w:p w14:paraId="0133141C" w14:textId="1B2D1FEF" w:rsidR="006A6FB8" w:rsidRPr="00A61DC9" w:rsidRDefault="006A6FB8" w:rsidP="007A08AD">
      <w:pPr>
        <w:rPr>
          <w:rFonts w:ascii="Arial" w:hAnsi="Arial" w:cs="Arial"/>
          <w:bCs/>
          <w:sz w:val="24"/>
          <w:szCs w:val="24"/>
        </w:rPr>
      </w:pPr>
      <w:r w:rsidRPr="00A61DC9">
        <w:rPr>
          <w:rFonts w:ascii="Arial" w:hAnsi="Arial" w:cs="Arial"/>
          <w:sz w:val="24"/>
          <w:szCs w:val="24"/>
        </w:rPr>
        <w:t>Hydro Hawkesbury</w:t>
      </w:r>
      <w:r w:rsidRPr="00A61DC9">
        <w:rPr>
          <w:rFonts w:ascii="Arial" w:hAnsi="Arial" w:cs="Arial"/>
          <w:bCs/>
          <w:sz w:val="24"/>
          <w:szCs w:val="24"/>
        </w:rPr>
        <w:t xml:space="preserve"> filed an excel attachment, “Impact of new methodology” to show </w:t>
      </w:r>
      <w:r w:rsidR="005F7062">
        <w:rPr>
          <w:rFonts w:ascii="Arial" w:hAnsi="Arial" w:cs="Arial"/>
          <w:bCs/>
          <w:sz w:val="24"/>
          <w:szCs w:val="24"/>
        </w:rPr>
        <w:t xml:space="preserve">how the </w:t>
      </w:r>
      <w:r w:rsidRPr="00A61DC9">
        <w:rPr>
          <w:rFonts w:ascii="Arial" w:hAnsi="Arial" w:cs="Arial"/>
          <w:sz w:val="24"/>
          <w:szCs w:val="24"/>
        </w:rPr>
        <w:t>reclassification of $202,427 between Accounts 1588 and 1589</w:t>
      </w:r>
      <w:r w:rsidR="005F7062">
        <w:rPr>
          <w:rFonts w:ascii="Arial" w:hAnsi="Arial" w:cs="Arial"/>
          <w:sz w:val="24"/>
          <w:szCs w:val="24"/>
        </w:rPr>
        <w:t xml:space="preserve"> was quantified.</w:t>
      </w:r>
    </w:p>
    <w:p w14:paraId="44AE6DD7" w14:textId="70E3DC78" w:rsidR="0077601D" w:rsidRPr="0077601D" w:rsidRDefault="0077601D" w:rsidP="007A08AD">
      <w:pPr>
        <w:pStyle w:val="NoSpacing"/>
        <w:spacing w:line="276" w:lineRule="auto"/>
        <w:rPr>
          <w:rFonts w:ascii="Arial" w:hAnsi="Arial" w:cs="Arial"/>
          <w:sz w:val="24"/>
          <w:szCs w:val="24"/>
        </w:rPr>
      </w:pPr>
      <w:r w:rsidRPr="0077601D">
        <w:rPr>
          <w:rFonts w:ascii="Arial" w:hAnsi="Arial" w:cs="Arial"/>
          <w:sz w:val="24"/>
          <w:szCs w:val="24"/>
        </w:rPr>
        <w:t xml:space="preserve">An extract of the </w:t>
      </w:r>
      <w:r w:rsidR="00144F40" w:rsidRPr="00A61DC9">
        <w:rPr>
          <w:rFonts w:ascii="Arial" w:hAnsi="Arial" w:cs="Arial"/>
          <w:bCs/>
          <w:sz w:val="24"/>
          <w:szCs w:val="24"/>
        </w:rPr>
        <w:t xml:space="preserve">“Impact of new methodology” </w:t>
      </w:r>
      <w:r w:rsidR="00144F40">
        <w:rPr>
          <w:rFonts w:ascii="Arial" w:hAnsi="Arial" w:cs="Arial"/>
          <w:bCs/>
          <w:sz w:val="24"/>
          <w:szCs w:val="24"/>
        </w:rPr>
        <w:t xml:space="preserve">excel spreadsheet </w:t>
      </w:r>
      <w:r w:rsidRPr="0077601D">
        <w:rPr>
          <w:rFonts w:ascii="Arial" w:hAnsi="Arial" w:cs="Arial"/>
          <w:sz w:val="24"/>
          <w:szCs w:val="24"/>
        </w:rPr>
        <w:t xml:space="preserve">are provided for reference. OEB staff </w:t>
      </w:r>
      <w:r w:rsidR="00144F40">
        <w:rPr>
          <w:rFonts w:ascii="Arial" w:hAnsi="Arial" w:cs="Arial"/>
          <w:sz w:val="24"/>
          <w:szCs w:val="24"/>
        </w:rPr>
        <w:t>understands that the</w:t>
      </w:r>
      <w:r w:rsidRPr="0077601D">
        <w:rPr>
          <w:rFonts w:ascii="Arial" w:hAnsi="Arial" w:cs="Arial"/>
          <w:sz w:val="24"/>
          <w:szCs w:val="24"/>
        </w:rPr>
        <w:t xml:space="preserve"> values under the “Differences” row</w:t>
      </w:r>
      <w:r w:rsidR="00144F40">
        <w:rPr>
          <w:rFonts w:ascii="Arial" w:hAnsi="Arial" w:cs="Arial"/>
          <w:sz w:val="24"/>
          <w:szCs w:val="24"/>
        </w:rPr>
        <w:t xml:space="preserve"> refer</w:t>
      </w:r>
      <w:r w:rsidRPr="0077601D">
        <w:rPr>
          <w:rFonts w:ascii="Arial" w:hAnsi="Arial" w:cs="Arial"/>
          <w:sz w:val="24"/>
          <w:szCs w:val="24"/>
        </w:rPr>
        <w:t xml:space="preserve"> to the principal adjustments for 2017, 2018 and 2019. </w:t>
      </w:r>
    </w:p>
    <w:p w14:paraId="4CD20918" w14:textId="30B3CA4B" w:rsidR="0077601D" w:rsidRPr="0077601D" w:rsidRDefault="0077601D" w:rsidP="00A61DC9">
      <w:pPr>
        <w:pStyle w:val="NoSpacing"/>
        <w:rPr>
          <w:rFonts w:ascii="Arial" w:hAnsi="Arial" w:cs="Arial"/>
          <w:sz w:val="24"/>
          <w:szCs w:val="24"/>
        </w:rPr>
      </w:pPr>
    </w:p>
    <w:p w14:paraId="7C645A49" w14:textId="0EFB5961" w:rsidR="0077601D" w:rsidRDefault="0077601D" w:rsidP="00A61DC9">
      <w:pPr>
        <w:pStyle w:val="NoSpacing"/>
        <w:rPr>
          <w:rFonts w:ascii="Arial" w:hAnsi="Arial" w:cs="Arial"/>
          <w:sz w:val="24"/>
          <w:szCs w:val="24"/>
        </w:rPr>
      </w:pPr>
    </w:p>
    <w:p w14:paraId="5BA0849A" w14:textId="380BE1C9" w:rsidR="0077601D" w:rsidRDefault="0077601D" w:rsidP="00A61DC9">
      <w:pPr>
        <w:pStyle w:val="NoSpacing"/>
        <w:rPr>
          <w:rFonts w:ascii="Arial" w:hAnsi="Arial" w:cs="Arial"/>
          <w:sz w:val="24"/>
          <w:szCs w:val="24"/>
        </w:rPr>
      </w:pPr>
    </w:p>
    <w:p w14:paraId="3B78AC87" w14:textId="19B1BAE9" w:rsidR="0077601D" w:rsidRPr="0077601D" w:rsidRDefault="0077601D" w:rsidP="00A61DC9">
      <w:pPr>
        <w:pStyle w:val="NoSpacing"/>
        <w:rPr>
          <w:rFonts w:ascii="Arial" w:hAnsi="Arial" w:cs="Arial"/>
          <w:sz w:val="24"/>
          <w:szCs w:val="24"/>
        </w:rPr>
      </w:pPr>
      <w:r>
        <w:rPr>
          <w:rFonts w:ascii="Arial" w:hAnsi="Arial" w:cs="Arial"/>
          <w:sz w:val="24"/>
          <w:szCs w:val="24"/>
        </w:rPr>
        <w:t>Principal adjustments:</w:t>
      </w:r>
    </w:p>
    <w:p w14:paraId="32299016" w14:textId="531B50B6" w:rsidR="0077601D" w:rsidRDefault="0077601D" w:rsidP="00BA6E5D">
      <w:pPr>
        <w:pStyle w:val="NoSpacing"/>
        <w:jc w:val="center"/>
      </w:pPr>
      <w:r>
        <w:rPr>
          <w:noProof/>
        </w:rPr>
        <w:lastRenderedPageBreak/>
        <w:drawing>
          <wp:inline distT="0" distB="0" distL="0" distR="0" wp14:anchorId="495464E4" wp14:editId="44643DE3">
            <wp:extent cx="4540693" cy="27501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62081" cy="2763081"/>
                    </a:xfrm>
                    <a:prstGeom prst="rect">
                      <a:avLst/>
                    </a:prstGeom>
                  </pic:spPr>
                </pic:pic>
              </a:graphicData>
            </a:graphic>
          </wp:inline>
        </w:drawing>
      </w:r>
    </w:p>
    <w:p w14:paraId="59F435F3" w14:textId="535E563C" w:rsidR="0077601D" w:rsidRDefault="0077601D" w:rsidP="00A61DC9">
      <w:pPr>
        <w:pStyle w:val="NoSpacing"/>
      </w:pPr>
    </w:p>
    <w:p w14:paraId="651F2F56" w14:textId="25159B44" w:rsidR="0077601D" w:rsidRDefault="0077601D" w:rsidP="00A61DC9">
      <w:pPr>
        <w:pStyle w:val="NoSpacing"/>
      </w:pPr>
    </w:p>
    <w:p w14:paraId="67344765" w14:textId="1313169F" w:rsidR="0077601D" w:rsidRDefault="0077601D" w:rsidP="007A08AD">
      <w:pPr>
        <w:pStyle w:val="NoSpacing"/>
        <w:spacing w:line="276" w:lineRule="auto"/>
        <w:rPr>
          <w:rFonts w:ascii="Arial" w:hAnsi="Arial" w:cs="Arial"/>
          <w:sz w:val="24"/>
          <w:szCs w:val="24"/>
        </w:rPr>
      </w:pPr>
      <w:r w:rsidRPr="0077601D">
        <w:rPr>
          <w:rFonts w:ascii="Arial" w:hAnsi="Arial" w:cs="Arial"/>
          <w:sz w:val="24"/>
          <w:szCs w:val="24"/>
        </w:rPr>
        <w:t xml:space="preserve">The total </w:t>
      </w:r>
      <w:r>
        <w:rPr>
          <w:rFonts w:ascii="Arial" w:hAnsi="Arial" w:cs="Arial"/>
          <w:sz w:val="24"/>
          <w:szCs w:val="24"/>
        </w:rPr>
        <w:t xml:space="preserve">2017-2019 principal adjustment </w:t>
      </w:r>
      <w:r w:rsidRPr="0077601D">
        <w:rPr>
          <w:rFonts w:ascii="Arial" w:hAnsi="Arial" w:cs="Arial"/>
          <w:sz w:val="24"/>
          <w:szCs w:val="24"/>
        </w:rPr>
        <w:t xml:space="preserve">amount (inclusive of interest) is a credit </w:t>
      </w:r>
      <w:r>
        <w:rPr>
          <w:rFonts w:ascii="Arial" w:hAnsi="Arial" w:cs="Arial"/>
          <w:sz w:val="24"/>
          <w:szCs w:val="24"/>
        </w:rPr>
        <w:t xml:space="preserve">balance </w:t>
      </w:r>
      <w:r w:rsidRPr="0077601D">
        <w:rPr>
          <w:rFonts w:ascii="Arial" w:hAnsi="Arial" w:cs="Arial"/>
          <w:sz w:val="24"/>
          <w:szCs w:val="24"/>
        </w:rPr>
        <w:t xml:space="preserve">of $513,744, </w:t>
      </w:r>
      <w:r w:rsidR="00677FC2">
        <w:rPr>
          <w:rFonts w:ascii="Arial" w:hAnsi="Arial" w:cs="Arial"/>
          <w:sz w:val="24"/>
          <w:szCs w:val="24"/>
        </w:rPr>
        <w:t xml:space="preserve">and </w:t>
      </w:r>
      <w:r>
        <w:rPr>
          <w:rFonts w:ascii="Arial" w:hAnsi="Arial" w:cs="Arial"/>
          <w:sz w:val="24"/>
          <w:szCs w:val="24"/>
        </w:rPr>
        <w:t>the</w:t>
      </w:r>
      <w:r w:rsidRPr="0077601D">
        <w:rPr>
          <w:rFonts w:ascii="Arial" w:hAnsi="Arial" w:cs="Arial"/>
          <w:sz w:val="24"/>
          <w:szCs w:val="24"/>
        </w:rPr>
        <w:t xml:space="preserve"> reclassification of </w:t>
      </w:r>
      <w:r w:rsidRPr="005F7062">
        <w:rPr>
          <w:rFonts w:ascii="Arial" w:hAnsi="Arial" w:cs="Arial"/>
          <w:sz w:val="24"/>
          <w:szCs w:val="24"/>
        </w:rPr>
        <w:t xml:space="preserve">$202,427 </w:t>
      </w:r>
      <w:r w:rsidR="00C519B3">
        <w:rPr>
          <w:rFonts w:ascii="Arial" w:hAnsi="Arial" w:cs="Arial"/>
          <w:sz w:val="24"/>
          <w:szCs w:val="24"/>
        </w:rPr>
        <w:t xml:space="preserve">is shown to be calculated based on </w:t>
      </w:r>
      <w:r w:rsidR="00677FC2">
        <w:rPr>
          <w:rFonts w:ascii="Arial" w:hAnsi="Arial" w:cs="Arial"/>
          <w:sz w:val="24"/>
          <w:szCs w:val="24"/>
        </w:rPr>
        <w:t xml:space="preserve">the difference between </w:t>
      </w:r>
      <w:r w:rsidR="008A55B3">
        <w:rPr>
          <w:rFonts w:ascii="Arial" w:hAnsi="Arial" w:cs="Arial"/>
          <w:sz w:val="24"/>
          <w:szCs w:val="24"/>
        </w:rPr>
        <w:t>(</w:t>
      </w:r>
      <w:r w:rsidR="00677FC2">
        <w:rPr>
          <w:rFonts w:ascii="Arial" w:hAnsi="Arial" w:cs="Arial"/>
          <w:sz w:val="24"/>
          <w:szCs w:val="24"/>
        </w:rPr>
        <w:t>$716,171</w:t>
      </w:r>
      <w:r w:rsidR="008A55B3">
        <w:rPr>
          <w:rFonts w:ascii="Arial" w:hAnsi="Arial" w:cs="Arial"/>
          <w:sz w:val="24"/>
          <w:szCs w:val="24"/>
        </w:rPr>
        <w:t>)</w:t>
      </w:r>
      <w:r w:rsidR="00677FC2">
        <w:rPr>
          <w:rFonts w:ascii="Arial" w:hAnsi="Arial" w:cs="Arial"/>
          <w:sz w:val="24"/>
          <w:szCs w:val="24"/>
        </w:rPr>
        <w:t xml:space="preserve"> and </w:t>
      </w:r>
      <w:r w:rsidR="008A55B3">
        <w:rPr>
          <w:rFonts w:ascii="Arial" w:hAnsi="Arial" w:cs="Arial"/>
          <w:sz w:val="24"/>
          <w:szCs w:val="24"/>
        </w:rPr>
        <w:t>(</w:t>
      </w:r>
      <w:r w:rsidR="00677FC2">
        <w:rPr>
          <w:rFonts w:ascii="Arial" w:hAnsi="Arial" w:cs="Arial"/>
          <w:sz w:val="24"/>
          <w:szCs w:val="24"/>
        </w:rPr>
        <w:t>$513,744</w:t>
      </w:r>
      <w:r w:rsidR="008A55B3">
        <w:rPr>
          <w:rFonts w:ascii="Arial" w:hAnsi="Arial" w:cs="Arial"/>
          <w:sz w:val="24"/>
          <w:szCs w:val="24"/>
        </w:rPr>
        <w:t>)</w:t>
      </w:r>
      <w:r w:rsidR="00677FC2">
        <w:rPr>
          <w:rFonts w:ascii="Arial" w:hAnsi="Arial" w:cs="Arial"/>
          <w:sz w:val="24"/>
          <w:szCs w:val="24"/>
        </w:rPr>
        <w:t>.</w:t>
      </w:r>
    </w:p>
    <w:p w14:paraId="4FE90B9B" w14:textId="77777777" w:rsidR="00677FC2" w:rsidRDefault="00677FC2" w:rsidP="00A61DC9">
      <w:pPr>
        <w:pStyle w:val="NoSpacing"/>
        <w:rPr>
          <w:rFonts w:ascii="Arial" w:hAnsi="Arial" w:cs="Arial"/>
          <w:sz w:val="24"/>
          <w:szCs w:val="24"/>
        </w:rPr>
      </w:pPr>
    </w:p>
    <w:p w14:paraId="48F23580" w14:textId="12FF4CDC" w:rsidR="0077601D" w:rsidRDefault="0077601D" w:rsidP="00BA6E5D">
      <w:pPr>
        <w:pStyle w:val="NoSpacing"/>
        <w:jc w:val="center"/>
      </w:pPr>
      <w:r>
        <w:rPr>
          <w:noProof/>
        </w:rPr>
        <w:drawing>
          <wp:inline distT="0" distB="0" distL="0" distR="0" wp14:anchorId="7DBA8289" wp14:editId="156888C2">
            <wp:extent cx="4476444" cy="2729865"/>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06530" cy="2748212"/>
                    </a:xfrm>
                    <a:prstGeom prst="rect">
                      <a:avLst/>
                    </a:prstGeom>
                  </pic:spPr>
                </pic:pic>
              </a:graphicData>
            </a:graphic>
          </wp:inline>
        </w:drawing>
      </w:r>
    </w:p>
    <w:p w14:paraId="422AC15A" w14:textId="77777777" w:rsidR="0077601D" w:rsidRPr="00C519B3" w:rsidRDefault="0077601D" w:rsidP="00A61DC9">
      <w:pPr>
        <w:pStyle w:val="NoSpacing"/>
        <w:rPr>
          <w:rFonts w:ascii="Arial" w:hAnsi="Arial" w:cs="Arial"/>
          <w:sz w:val="24"/>
          <w:szCs w:val="24"/>
        </w:rPr>
      </w:pPr>
    </w:p>
    <w:p w14:paraId="5AEF55FB" w14:textId="77777777" w:rsidR="00C519B3" w:rsidRPr="00C519B3" w:rsidRDefault="00C519B3" w:rsidP="00C519B3">
      <w:pPr>
        <w:pStyle w:val="ListParagraph"/>
        <w:spacing w:after="160" w:line="259" w:lineRule="auto"/>
        <w:ind w:left="1080"/>
        <w:rPr>
          <w:rFonts w:ascii="Arial" w:hAnsi="Arial" w:cs="Arial"/>
          <w:sz w:val="24"/>
          <w:szCs w:val="24"/>
        </w:rPr>
      </w:pPr>
    </w:p>
    <w:p w14:paraId="0084FFAD" w14:textId="18A8905B" w:rsidR="00F243F1" w:rsidRPr="007A12C3" w:rsidRDefault="00F243F1" w:rsidP="008F39A7">
      <w:pPr>
        <w:pStyle w:val="ListParagraph"/>
        <w:numPr>
          <w:ilvl w:val="0"/>
          <w:numId w:val="12"/>
        </w:numPr>
        <w:rPr>
          <w:rFonts w:ascii="Arial" w:hAnsi="Arial" w:cs="Arial"/>
          <w:bCs/>
          <w:sz w:val="24"/>
          <w:szCs w:val="24"/>
        </w:rPr>
      </w:pPr>
      <w:r>
        <w:rPr>
          <w:rFonts w:ascii="Arial" w:hAnsi="Arial" w:cs="Arial"/>
          <w:bCs/>
          <w:sz w:val="24"/>
          <w:szCs w:val="24"/>
        </w:rPr>
        <w:t xml:space="preserve">Please clarify what is meant when a reclassification of </w:t>
      </w:r>
      <w:r w:rsidRPr="005F7062">
        <w:rPr>
          <w:rFonts w:ascii="Arial" w:hAnsi="Arial" w:cs="Arial"/>
          <w:sz w:val="24"/>
          <w:szCs w:val="24"/>
        </w:rPr>
        <w:t>$202,427</w:t>
      </w:r>
      <w:r>
        <w:rPr>
          <w:rFonts w:ascii="Arial" w:hAnsi="Arial" w:cs="Arial"/>
          <w:sz w:val="24"/>
          <w:szCs w:val="24"/>
        </w:rPr>
        <w:t xml:space="preserve"> is eliminated.</w:t>
      </w:r>
    </w:p>
    <w:p w14:paraId="053AA4BF" w14:textId="29C5D3E1" w:rsidR="00433DE5" w:rsidRDefault="007A12C3" w:rsidP="004860EA">
      <w:pPr>
        <w:ind w:left="1080"/>
        <w:rPr>
          <w:rFonts w:ascii="Arial" w:hAnsi="Arial" w:cs="Arial"/>
          <w:bCs/>
          <w:color w:val="0070C0"/>
          <w:sz w:val="24"/>
          <w:szCs w:val="24"/>
        </w:rPr>
      </w:pPr>
      <w:r w:rsidRPr="007A12C3">
        <w:rPr>
          <w:rFonts w:ascii="Arial" w:hAnsi="Arial" w:cs="Arial"/>
          <w:b/>
          <w:color w:val="0070C0"/>
          <w:sz w:val="24"/>
          <w:szCs w:val="24"/>
        </w:rPr>
        <w:t>HHI Response:</w:t>
      </w:r>
      <w:r w:rsidR="004860EA" w:rsidRPr="0018074A">
        <w:rPr>
          <w:rFonts w:ascii="Arial" w:hAnsi="Arial" w:cs="Arial"/>
          <w:bCs/>
          <w:color w:val="0070C0"/>
          <w:sz w:val="24"/>
          <w:szCs w:val="24"/>
        </w:rPr>
        <w:t xml:space="preserve"> </w:t>
      </w:r>
      <w:r w:rsidR="0018074A" w:rsidRPr="0018074A">
        <w:rPr>
          <w:rFonts w:ascii="Arial" w:hAnsi="Arial" w:cs="Arial"/>
          <w:bCs/>
          <w:color w:val="0070C0"/>
          <w:sz w:val="24"/>
          <w:szCs w:val="24"/>
        </w:rPr>
        <w:t xml:space="preserve">HHI </w:t>
      </w:r>
      <w:r w:rsidR="00B73EEE">
        <w:rPr>
          <w:rFonts w:ascii="Arial" w:hAnsi="Arial" w:cs="Arial"/>
          <w:bCs/>
          <w:color w:val="0070C0"/>
          <w:sz w:val="24"/>
          <w:szCs w:val="24"/>
        </w:rPr>
        <w:t xml:space="preserve">initially </w:t>
      </w:r>
      <w:r w:rsidR="0018074A" w:rsidRPr="0018074A">
        <w:rPr>
          <w:rFonts w:ascii="Arial" w:hAnsi="Arial" w:cs="Arial"/>
          <w:bCs/>
          <w:color w:val="0070C0"/>
          <w:sz w:val="24"/>
          <w:szCs w:val="24"/>
        </w:rPr>
        <w:t xml:space="preserve">calculated </w:t>
      </w:r>
      <w:r w:rsidR="00B73EEE">
        <w:rPr>
          <w:rFonts w:ascii="Arial" w:hAnsi="Arial" w:cs="Arial"/>
          <w:bCs/>
          <w:color w:val="0070C0"/>
          <w:sz w:val="24"/>
          <w:szCs w:val="24"/>
        </w:rPr>
        <w:t>the variances</w:t>
      </w:r>
      <w:r w:rsidR="00F94634">
        <w:rPr>
          <w:rFonts w:ascii="Arial" w:hAnsi="Arial" w:cs="Arial"/>
          <w:bCs/>
          <w:color w:val="0070C0"/>
          <w:sz w:val="24"/>
          <w:szCs w:val="24"/>
        </w:rPr>
        <w:t xml:space="preserve"> for account 1589 with the method they had been using </w:t>
      </w:r>
      <w:r w:rsidR="00BA6E5D">
        <w:rPr>
          <w:rFonts w:ascii="Arial" w:hAnsi="Arial" w:cs="Arial"/>
          <w:bCs/>
          <w:color w:val="0070C0"/>
          <w:sz w:val="24"/>
          <w:szCs w:val="24"/>
        </w:rPr>
        <w:t>historically</w:t>
      </w:r>
      <w:r w:rsidR="00837E34">
        <w:rPr>
          <w:rFonts w:ascii="Arial" w:hAnsi="Arial" w:cs="Arial"/>
          <w:bCs/>
          <w:color w:val="0070C0"/>
          <w:sz w:val="24"/>
          <w:szCs w:val="24"/>
        </w:rPr>
        <w:t xml:space="preserve">. The result was different than the amount calculated with the GA Analysis </w:t>
      </w:r>
      <w:r w:rsidR="00293340">
        <w:rPr>
          <w:rFonts w:ascii="Arial" w:hAnsi="Arial" w:cs="Arial"/>
          <w:bCs/>
          <w:color w:val="0070C0"/>
          <w:sz w:val="24"/>
          <w:szCs w:val="24"/>
        </w:rPr>
        <w:t>Workform</w:t>
      </w:r>
      <w:r w:rsidR="00432092">
        <w:rPr>
          <w:rFonts w:ascii="Arial" w:hAnsi="Arial" w:cs="Arial"/>
          <w:bCs/>
          <w:color w:val="0070C0"/>
          <w:sz w:val="24"/>
          <w:szCs w:val="24"/>
        </w:rPr>
        <w:t xml:space="preserve">. HHI decided to adjust </w:t>
      </w:r>
      <w:r w:rsidR="00432092">
        <w:rPr>
          <w:rFonts w:ascii="Arial" w:hAnsi="Arial" w:cs="Arial"/>
          <w:bCs/>
          <w:color w:val="0070C0"/>
          <w:sz w:val="24"/>
          <w:szCs w:val="24"/>
        </w:rPr>
        <w:lastRenderedPageBreak/>
        <w:t xml:space="preserve">account 1589 </w:t>
      </w:r>
      <w:r w:rsidR="00B43875">
        <w:rPr>
          <w:rFonts w:ascii="Arial" w:hAnsi="Arial" w:cs="Arial"/>
          <w:bCs/>
          <w:color w:val="0070C0"/>
          <w:sz w:val="24"/>
          <w:szCs w:val="24"/>
        </w:rPr>
        <w:t xml:space="preserve">to balance with the GA Analysis </w:t>
      </w:r>
      <w:r w:rsidR="00940CA6">
        <w:rPr>
          <w:rFonts w:ascii="Arial" w:hAnsi="Arial" w:cs="Arial"/>
          <w:bCs/>
          <w:color w:val="0070C0"/>
          <w:sz w:val="24"/>
          <w:szCs w:val="24"/>
        </w:rPr>
        <w:t>Workform</w:t>
      </w:r>
      <w:r w:rsidR="00B43875">
        <w:rPr>
          <w:rFonts w:ascii="Arial" w:hAnsi="Arial" w:cs="Arial"/>
          <w:bCs/>
          <w:color w:val="0070C0"/>
          <w:sz w:val="24"/>
          <w:szCs w:val="24"/>
        </w:rPr>
        <w:t xml:space="preserve"> and sent the difference </w:t>
      </w:r>
      <w:r w:rsidR="00433DE5">
        <w:rPr>
          <w:rFonts w:ascii="Arial" w:hAnsi="Arial" w:cs="Arial"/>
          <w:bCs/>
          <w:color w:val="0070C0"/>
          <w:sz w:val="24"/>
          <w:szCs w:val="24"/>
        </w:rPr>
        <w:t xml:space="preserve">to account 1588. </w:t>
      </w:r>
    </w:p>
    <w:p w14:paraId="536D8F97" w14:textId="5FA1052B" w:rsidR="00927201" w:rsidRDefault="00433DE5" w:rsidP="004860EA">
      <w:pPr>
        <w:ind w:left="1080"/>
        <w:rPr>
          <w:rFonts w:ascii="Arial" w:hAnsi="Arial" w:cs="Arial"/>
          <w:sz w:val="24"/>
          <w:szCs w:val="24"/>
        </w:rPr>
      </w:pPr>
      <w:r>
        <w:rPr>
          <w:rFonts w:ascii="Arial" w:hAnsi="Arial" w:cs="Arial"/>
          <w:bCs/>
          <w:color w:val="0070C0"/>
          <w:sz w:val="24"/>
          <w:szCs w:val="24"/>
        </w:rPr>
        <w:t>When HHI redid its calculation with the new OEB Model</w:t>
      </w:r>
      <w:r w:rsidR="004938D6">
        <w:rPr>
          <w:rFonts w:ascii="Arial" w:hAnsi="Arial" w:cs="Arial"/>
          <w:bCs/>
          <w:color w:val="0070C0"/>
          <w:sz w:val="24"/>
          <w:szCs w:val="24"/>
        </w:rPr>
        <w:t xml:space="preserve">, the numbers from the models were used. </w:t>
      </w:r>
      <w:r w:rsidR="00FD3380">
        <w:rPr>
          <w:rFonts w:ascii="Arial" w:hAnsi="Arial" w:cs="Arial"/>
          <w:bCs/>
          <w:color w:val="0070C0"/>
          <w:sz w:val="24"/>
          <w:szCs w:val="24"/>
        </w:rPr>
        <w:t xml:space="preserve">No adjustments </w:t>
      </w:r>
      <w:r w:rsidR="00886938">
        <w:rPr>
          <w:rFonts w:ascii="Arial" w:hAnsi="Arial" w:cs="Arial"/>
          <w:bCs/>
          <w:color w:val="0070C0"/>
          <w:sz w:val="24"/>
          <w:szCs w:val="24"/>
        </w:rPr>
        <w:t xml:space="preserve">were made </w:t>
      </w:r>
      <w:r w:rsidR="00FD3380">
        <w:rPr>
          <w:rFonts w:ascii="Arial" w:hAnsi="Arial" w:cs="Arial"/>
          <w:bCs/>
          <w:color w:val="0070C0"/>
          <w:sz w:val="24"/>
          <w:szCs w:val="24"/>
        </w:rPr>
        <w:t xml:space="preserve">between </w:t>
      </w:r>
      <w:r w:rsidR="00886938">
        <w:rPr>
          <w:rFonts w:ascii="Arial" w:hAnsi="Arial" w:cs="Arial"/>
          <w:bCs/>
          <w:color w:val="0070C0"/>
          <w:sz w:val="24"/>
          <w:szCs w:val="24"/>
        </w:rPr>
        <w:t>1588 and 1589.</w:t>
      </w:r>
    </w:p>
    <w:p w14:paraId="48BCA1E1" w14:textId="77777777" w:rsidR="00F243F1" w:rsidRPr="00F243F1" w:rsidRDefault="00F243F1" w:rsidP="00F243F1">
      <w:pPr>
        <w:pStyle w:val="ListParagraph"/>
        <w:ind w:left="1080"/>
        <w:rPr>
          <w:rFonts w:ascii="Arial" w:hAnsi="Arial" w:cs="Arial"/>
          <w:bCs/>
          <w:sz w:val="24"/>
          <w:szCs w:val="24"/>
        </w:rPr>
      </w:pPr>
    </w:p>
    <w:p w14:paraId="2B659983" w14:textId="75244E7D" w:rsidR="00AF5734" w:rsidRPr="007A12C3" w:rsidRDefault="00AF5734" w:rsidP="008F39A7">
      <w:pPr>
        <w:pStyle w:val="ListParagraph"/>
        <w:numPr>
          <w:ilvl w:val="0"/>
          <w:numId w:val="12"/>
        </w:numPr>
        <w:rPr>
          <w:rFonts w:ascii="Arial" w:hAnsi="Arial" w:cs="Arial"/>
          <w:bCs/>
          <w:sz w:val="24"/>
          <w:szCs w:val="24"/>
        </w:rPr>
      </w:pPr>
      <w:r w:rsidRPr="00C519B3">
        <w:rPr>
          <w:rFonts w:ascii="Arial" w:hAnsi="Arial" w:cs="Arial"/>
          <w:sz w:val="24"/>
          <w:szCs w:val="24"/>
        </w:rPr>
        <w:t>What are</w:t>
      </w:r>
      <w:r>
        <w:rPr>
          <w:rFonts w:ascii="Arial" w:hAnsi="Arial" w:cs="Arial"/>
          <w:sz w:val="24"/>
          <w:szCs w:val="24"/>
        </w:rPr>
        <w:t xml:space="preserve"> the key reasons </w:t>
      </w:r>
      <w:r w:rsidR="00677FC2">
        <w:rPr>
          <w:rFonts w:ascii="Arial" w:hAnsi="Arial" w:cs="Arial"/>
          <w:sz w:val="24"/>
          <w:szCs w:val="24"/>
        </w:rPr>
        <w:t>for the change in</w:t>
      </w:r>
      <w:r>
        <w:rPr>
          <w:rFonts w:ascii="Arial" w:hAnsi="Arial" w:cs="Arial"/>
          <w:sz w:val="24"/>
          <w:szCs w:val="24"/>
        </w:rPr>
        <w:t xml:space="preserve"> </w:t>
      </w:r>
      <w:r w:rsidR="00677FC2">
        <w:rPr>
          <w:rFonts w:ascii="Arial" w:hAnsi="Arial" w:cs="Arial"/>
          <w:sz w:val="24"/>
          <w:szCs w:val="24"/>
        </w:rPr>
        <w:t xml:space="preserve">2017, 2018 and 2019 </w:t>
      </w:r>
      <w:r>
        <w:rPr>
          <w:rFonts w:ascii="Arial" w:hAnsi="Arial" w:cs="Arial"/>
          <w:sz w:val="24"/>
          <w:szCs w:val="24"/>
        </w:rPr>
        <w:t xml:space="preserve">transactions </w:t>
      </w:r>
      <w:r w:rsidR="0077601D">
        <w:rPr>
          <w:rFonts w:ascii="Arial" w:hAnsi="Arial" w:cs="Arial"/>
          <w:sz w:val="24"/>
          <w:szCs w:val="24"/>
        </w:rPr>
        <w:t xml:space="preserve">as a </w:t>
      </w:r>
      <w:r>
        <w:rPr>
          <w:rFonts w:ascii="Arial" w:hAnsi="Arial" w:cs="Arial"/>
          <w:sz w:val="24"/>
          <w:szCs w:val="24"/>
        </w:rPr>
        <w:t xml:space="preserve">result </w:t>
      </w:r>
      <w:r w:rsidR="0077601D">
        <w:rPr>
          <w:rFonts w:ascii="Arial" w:hAnsi="Arial" w:cs="Arial"/>
          <w:sz w:val="24"/>
          <w:szCs w:val="24"/>
        </w:rPr>
        <w:t>of</w:t>
      </w:r>
      <w:r>
        <w:rPr>
          <w:rFonts w:ascii="Arial" w:hAnsi="Arial" w:cs="Arial"/>
          <w:sz w:val="24"/>
          <w:szCs w:val="24"/>
        </w:rPr>
        <w:t xml:space="preserve"> </w:t>
      </w:r>
      <w:r w:rsidR="00677FC2">
        <w:rPr>
          <w:rFonts w:ascii="Arial" w:hAnsi="Arial" w:cs="Arial"/>
          <w:sz w:val="24"/>
          <w:szCs w:val="24"/>
        </w:rPr>
        <w:t>the</w:t>
      </w:r>
      <w:r w:rsidR="0077601D">
        <w:rPr>
          <w:rFonts w:ascii="Arial" w:hAnsi="Arial" w:cs="Arial"/>
          <w:sz w:val="24"/>
          <w:szCs w:val="24"/>
        </w:rPr>
        <w:t xml:space="preserve"> implement</w:t>
      </w:r>
      <w:r w:rsidR="00677FC2">
        <w:rPr>
          <w:rFonts w:ascii="Arial" w:hAnsi="Arial" w:cs="Arial"/>
          <w:sz w:val="24"/>
          <w:szCs w:val="24"/>
        </w:rPr>
        <w:t>ation of</w:t>
      </w:r>
      <w:r w:rsidR="0077601D">
        <w:rPr>
          <w:rFonts w:ascii="Arial" w:hAnsi="Arial" w:cs="Arial"/>
          <w:sz w:val="24"/>
          <w:szCs w:val="24"/>
        </w:rPr>
        <w:t xml:space="preserve"> the OEB</w:t>
      </w:r>
      <w:r>
        <w:rPr>
          <w:rFonts w:ascii="Arial" w:hAnsi="Arial" w:cs="Arial"/>
          <w:sz w:val="24"/>
          <w:szCs w:val="24"/>
        </w:rPr>
        <w:t xml:space="preserve"> accounting </w:t>
      </w:r>
      <w:r w:rsidR="0077601D">
        <w:rPr>
          <w:rFonts w:ascii="Arial" w:hAnsi="Arial" w:cs="Arial"/>
          <w:sz w:val="24"/>
          <w:szCs w:val="24"/>
        </w:rPr>
        <w:t>guidance?</w:t>
      </w:r>
    </w:p>
    <w:p w14:paraId="4EAB23C0" w14:textId="26AB259C" w:rsidR="00927201" w:rsidRPr="007A12C3" w:rsidRDefault="007A12C3" w:rsidP="007A12C3">
      <w:pPr>
        <w:ind w:left="1080"/>
        <w:rPr>
          <w:rFonts w:ascii="Arial" w:hAnsi="Arial" w:cs="Arial"/>
          <w:b/>
          <w:color w:val="0070C0"/>
          <w:sz w:val="24"/>
          <w:szCs w:val="24"/>
        </w:rPr>
      </w:pPr>
      <w:r w:rsidRPr="007A12C3">
        <w:rPr>
          <w:rFonts w:ascii="Arial" w:hAnsi="Arial" w:cs="Arial"/>
          <w:b/>
          <w:color w:val="0070C0"/>
          <w:sz w:val="24"/>
          <w:szCs w:val="24"/>
        </w:rPr>
        <w:t>HHI Response:</w:t>
      </w:r>
      <w:r w:rsidR="0065564B" w:rsidRPr="005F1D13">
        <w:rPr>
          <w:rFonts w:ascii="Arial" w:hAnsi="Arial" w:cs="Arial"/>
          <w:bCs/>
          <w:color w:val="0070C0"/>
          <w:sz w:val="24"/>
          <w:szCs w:val="24"/>
        </w:rPr>
        <w:t xml:space="preserve"> </w:t>
      </w:r>
      <w:r w:rsidR="002B214D" w:rsidRPr="005F1D13">
        <w:rPr>
          <w:rFonts w:ascii="Arial" w:hAnsi="Arial" w:cs="Arial"/>
          <w:bCs/>
          <w:color w:val="0070C0"/>
          <w:sz w:val="24"/>
          <w:szCs w:val="24"/>
        </w:rPr>
        <w:t>See answers to questions 2a).</w:t>
      </w:r>
      <w:r w:rsidR="005F1D13">
        <w:rPr>
          <w:rFonts w:ascii="Arial" w:hAnsi="Arial" w:cs="Arial"/>
          <w:bCs/>
          <w:color w:val="0070C0"/>
          <w:sz w:val="24"/>
          <w:szCs w:val="24"/>
        </w:rPr>
        <w:t xml:space="preserve"> D</w:t>
      </w:r>
      <w:r w:rsidR="00D80846">
        <w:rPr>
          <w:rFonts w:ascii="Arial" w:hAnsi="Arial" w:cs="Arial"/>
          <w:bCs/>
          <w:color w:val="0070C0"/>
          <w:sz w:val="24"/>
          <w:szCs w:val="24"/>
        </w:rPr>
        <w:t xml:space="preserve">etails about differences </w:t>
      </w:r>
      <w:r w:rsidR="00BA6E5D">
        <w:rPr>
          <w:rFonts w:ascii="Arial" w:hAnsi="Arial" w:cs="Arial"/>
          <w:bCs/>
          <w:color w:val="0070C0"/>
          <w:sz w:val="24"/>
          <w:szCs w:val="24"/>
        </w:rPr>
        <w:t>are</w:t>
      </w:r>
      <w:r w:rsidR="00D80846">
        <w:rPr>
          <w:rFonts w:ascii="Arial" w:hAnsi="Arial" w:cs="Arial"/>
          <w:bCs/>
          <w:color w:val="0070C0"/>
          <w:sz w:val="24"/>
          <w:szCs w:val="24"/>
        </w:rPr>
        <w:t xml:space="preserve"> provided.</w:t>
      </w:r>
    </w:p>
    <w:p w14:paraId="59762BF8" w14:textId="77777777" w:rsidR="00C519B3" w:rsidRPr="00C519B3" w:rsidRDefault="00C519B3" w:rsidP="00C519B3">
      <w:pPr>
        <w:pStyle w:val="ListParagraph"/>
        <w:rPr>
          <w:rFonts w:ascii="Arial" w:hAnsi="Arial" w:cs="Arial"/>
          <w:bCs/>
          <w:sz w:val="24"/>
          <w:szCs w:val="24"/>
        </w:rPr>
      </w:pPr>
    </w:p>
    <w:p w14:paraId="3C2CFADC" w14:textId="492BE820" w:rsidR="008F39A7" w:rsidRDefault="00C519B3" w:rsidP="007A08AD">
      <w:pPr>
        <w:pStyle w:val="ListParagraph"/>
        <w:numPr>
          <w:ilvl w:val="0"/>
          <w:numId w:val="12"/>
        </w:numPr>
        <w:rPr>
          <w:rFonts w:ascii="Arial" w:hAnsi="Arial" w:cs="Arial"/>
          <w:sz w:val="24"/>
          <w:szCs w:val="24"/>
        </w:rPr>
      </w:pPr>
      <w:r w:rsidRPr="005F2F7F">
        <w:rPr>
          <w:rFonts w:ascii="Arial" w:hAnsi="Arial" w:cs="Arial"/>
          <w:bCs/>
          <w:sz w:val="24"/>
          <w:szCs w:val="24"/>
        </w:rPr>
        <w:t xml:space="preserve">Please </w:t>
      </w:r>
      <w:r w:rsidR="00F05800" w:rsidRPr="005F2F7F">
        <w:rPr>
          <w:rFonts w:ascii="Arial" w:hAnsi="Arial" w:cs="Arial"/>
          <w:bCs/>
          <w:sz w:val="24"/>
          <w:szCs w:val="24"/>
        </w:rPr>
        <w:t>confirm</w:t>
      </w:r>
      <w:r w:rsidRPr="005F2F7F">
        <w:rPr>
          <w:rFonts w:ascii="Arial" w:hAnsi="Arial" w:cs="Arial"/>
          <w:bCs/>
          <w:sz w:val="24"/>
          <w:szCs w:val="24"/>
        </w:rPr>
        <w:t xml:space="preserve"> </w:t>
      </w:r>
      <w:r w:rsidR="003D211D">
        <w:rPr>
          <w:rFonts w:ascii="Arial" w:hAnsi="Arial" w:cs="Arial"/>
          <w:bCs/>
          <w:sz w:val="24"/>
          <w:szCs w:val="24"/>
        </w:rPr>
        <w:t xml:space="preserve">whether </w:t>
      </w:r>
      <w:r w:rsidR="005D54CA">
        <w:rPr>
          <w:rFonts w:ascii="Arial" w:hAnsi="Arial" w:cs="Arial"/>
          <w:bCs/>
          <w:sz w:val="24"/>
          <w:szCs w:val="24"/>
        </w:rPr>
        <w:t>an</w:t>
      </w:r>
      <w:r w:rsidRPr="005F2F7F">
        <w:rPr>
          <w:rFonts w:ascii="Arial" w:hAnsi="Arial" w:cs="Arial"/>
          <w:bCs/>
          <w:sz w:val="24"/>
          <w:szCs w:val="24"/>
        </w:rPr>
        <w:t xml:space="preserve"> amendment to RRR 2.1.7 for Account</w:t>
      </w:r>
      <w:r w:rsidR="00AE1950">
        <w:rPr>
          <w:rFonts w:ascii="Arial" w:hAnsi="Arial" w:cs="Arial"/>
          <w:bCs/>
          <w:sz w:val="24"/>
          <w:szCs w:val="24"/>
        </w:rPr>
        <w:t>s</w:t>
      </w:r>
      <w:r w:rsidRPr="005F2F7F">
        <w:rPr>
          <w:rFonts w:ascii="Arial" w:hAnsi="Arial" w:cs="Arial"/>
          <w:bCs/>
          <w:sz w:val="24"/>
          <w:szCs w:val="24"/>
        </w:rPr>
        <w:t xml:space="preserve"> 1588 and 1589 </w:t>
      </w:r>
      <w:r w:rsidR="003D211D">
        <w:rPr>
          <w:rFonts w:ascii="Arial" w:hAnsi="Arial" w:cs="Arial"/>
          <w:bCs/>
          <w:sz w:val="24"/>
          <w:szCs w:val="24"/>
        </w:rPr>
        <w:t xml:space="preserve">in the DVA Continuity Schedule is required in order </w:t>
      </w:r>
      <w:r w:rsidRPr="005F2F7F">
        <w:rPr>
          <w:rFonts w:ascii="Arial" w:hAnsi="Arial" w:cs="Arial"/>
          <w:bCs/>
          <w:sz w:val="24"/>
          <w:szCs w:val="24"/>
        </w:rPr>
        <w:t xml:space="preserve">to reflect the elimination of the </w:t>
      </w:r>
      <w:r w:rsidRPr="005F2F7F">
        <w:rPr>
          <w:rFonts w:ascii="Arial" w:hAnsi="Arial" w:cs="Arial"/>
          <w:sz w:val="24"/>
          <w:szCs w:val="24"/>
        </w:rPr>
        <w:t xml:space="preserve">$202,427 </w:t>
      </w:r>
      <w:r w:rsidRPr="007A08AD">
        <w:rPr>
          <w:rFonts w:ascii="Arial" w:hAnsi="Arial" w:cs="Arial"/>
          <w:sz w:val="24"/>
          <w:szCs w:val="24"/>
        </w:rPr>
        <w:t>reclassification</w:t>
      </w:r>
      <w:r w:rsidR="00F05800" w:rsidRPr="007A08AD">
        <w:rPr>
          <w:rFonts w:ascii="Arial" w:hAnsi="Arial" w:cs="Arial"/>
          <w:sz w:val="24"/>
          <w:szCs w:val="24"/>
        </w:rPr>
        <w:t xml:space="preserve"> amount</w:t>
      </w:r>
      <w:r w:rsidRPr="007A08AD">
        <w:rPr>
          <w:rFonts w:ascii="Arial" w:hAnsi="Arial" w:cs="Arial"/>
          <w:sz w:val="24"/>
          <w:szCs w:val="24"/>
        </w:rPr>
        <w:t>.</w:t>
      </w:r>
      <w:r w:rsidR="003D211D">
        <w:rPr>
          <w:rFonts w:ascii="Arial" w:hAnsi="Arial" w:cs="Arial"/>
          <w:sz w:val="24"/>
          <w:szCs w:val="24"/>
        </w:rPr>
        <w:t xml:space="preserve"> If yes, please confirm what change is required and OEB staff </w:t>
      </w:r>
      <w:r w:rsidR="005D54CA">
        <w:rPr>
          <w:rFonts w:ascii="Arial" w:hAnsi="Arial" w:cs="Arial"/>
          <w:sz w:val="24"/>
          <w:szCs w:val="24"/>
        </w:rPr>
        <w:t>can</w:t>
      </w:r>
      <w:r w:rsidR="003D211D">
        <w:rPr>
          <w:rFonts w:ascii="Arial" w:hAnsi="Arial" w:cs="Arial"/>
          <w:sz w:val="24"/>
          <w:szCs w:val="24"/>
        </w:rPr>
        <w:t xml:space="preserve"> assist </w:t>
      </w:r>
      <w:r w:rsidR="00AA6F0C">
        <w:rPr>
          <w:rFonts w:ascii="Arial" w:hAnsi="Arial" w:cs="Arial"/>
          <w:sz w:val="24"/>
          <w:szCs w:val="24"/>
        </w:rPr>
        <w:t xml:space="preserve">in </w:t>
      </w:r>
      <w:r w:rsidR="003D211D">
        <w:rPr>
          <w:rFonts w:ascii="Arial" w:hAnsi="Arial" w:cs="Arial"/>
          <w:sz w:val="24"/>
          <w:szCs w:val="24"/>
        </w:rPr>
        <w:t xml:space="preserve">correcting the RRR 2.1.7 balances. </w:t>
      </w:r>
    </w:p>
    <w:p w14:paraId="62CC5C9C" w14:textId="0A6E5A73" w:rsidR="00927201" w:rsidRDefault="007A12C3" w:rsidP="00F63ABA">
      <w:pPr>
        <w:ind w:left="1080"/>
        <w:rPr>
          <w:rFonts w:ascii="Arial" w:hAnsi="Arial" w:cs="Arial"/>
          <w:sz w:val="24"/>
          <w:szCs w:val="24"/>
        </w:rPr>
      </w:pPr>
      <w:r w:rsidRPr="007A12C3">
        <w:rPr>
          <w:rFonts w:ascii="Arial" w:hAnsi="Arial" w:cs="Arial"/>
          <w:b/>
          <w:color w:val="0070C0"/>
          <w:sz w:val="24"/>
          <w:szCs w:val="24"/>
        </w:rPr>
        <w:t>HHI Response:</w:t>
      </w:r>
      <w:r w:rsidR="00F63ABA">
        <w:rPr>
          <w:rFonts w:ascii="Arial" w:hAnsi="Arial" w:cs="Arial"/>
          <w:b/>
          <w:color w:val="0070C0"/>
          <w:sz w:val="24"/>
          <w:szCs w:val="24"/>
        </w:rPr>
        <w:t xml:space="preserve"> </w:t>
      </w:r>
      <w:r w:rsidR="0072245D">
        <w:rPr>
          <w:rFonts w:ascii="Arial" w:hAnsi="Arial" w:cs="Arial"/>
          <w:bCs/>
          <w:color w:val="0070C0"/>
          <w:sz w:val="24"/>
          <w:szCs w:val="24"/>
        </w:rPr>
        <w:t>HHI thinks a</w:t>
      </w:r>
      <w:r w:rsidR="00F63ABA">
        <w:rPr>
          <w:rFonts w:ascii="Arial" w:hAnsi="Arial" w:cs="Arial"/>
          <w:bCs/>
          <w:color w:val="0070C0"/>
          <w:sz w:val="24"/>
          <w:szCs w:val="24"/>
        </w:rPr>
        <w:t xml:space="preserve">n amendment to RRR 2.1.7 should be made </w:t>
      </w:r>
      <w:r w:rsidR="0072245D">
        <w:rPr>
          <w:rFonts w:ascii="Arial" w:hAnsi="Arial" w:cs="Arial"/>
          <w:bCs/>
          <w:color w:val="0070C0"/>
          <w:sz w:val="24"/>
          <w:szCs w:val="24"/>
        </w:rPr>
        <w:t>for accounts 1588 and 1589 to reflect</w:t>
      </w:r>
      <w:r w:rsidR="00F62726">
        <w:rPr>
          <w:rFonts w:ascii="Arial" w:hAnsi="Arial" w:cs="Arial"/>
          <w:bCs/>
          <w:color w:val="0070C0"/>
          <w:sz w:val="24"/>
          <w:szCs w:val="24"/>
        </w:rPr>
        <w:t xml:space="preserve"> the new numbers obtained with the new OEB methodology. </w:t>
      </w:r>
      <w:r w:rsidR="005210BD">
        <w:rPr>
          <w:rFonts w:ascii="Arial" w:hAnsi="Arial" w:cs="Arial"/>
          <w:bCs/>
          <w:color w:val="0070C0"/>
          <w:sz w:val="24"/>
          <w:szCs w:val="24"/>
        </w:rPr>
        <w:t xml:space="preserve">HHI </w:t>
      </w:r>
      <w:r w:rsidR="00BA6E5D">
        <w:rPr>
          <w:rFonts w:ascii="Arial" w:hAnsi="Arial" w:cs="Arial"/>
          <w:bCs/>
          <w:color w:val="0070C0"/>
          <w:sz w:val="24"/>
          <w:szCs w:val="24"/>
        </w:rPr>
        <w:t>needs guidance on</w:t>
      </w:r>
      <w:r w:rsidR="005210BD">
        <w:rPr>
          <w:rFonts w:ascii="Arial" w:hAnsi="Arial" w:cs="Arial"/>
          <w:bCs/>
          <w:color w:val="0070C0"/>
          <w:sz w:val="24"/>
          <w:szCs w:val="24"/>
        </w:rPr>
        <w:t xml:space="preserve"> where to put the difference between the old and the </w:t>
      </w:r>
      <w:r w:rsidR="00BA6E5D">
        <w:rPr>
          <w:rFonts w:ascii="Arial" w:hAnsi="Arial" w:cs="Arial"/>
          <w:bCs/>
          <w:color w:val="0070C0"/>
          <w:sz w:val="24"/>
          <w:szCs w:val="24"/>
        </w:rPr>
        <w:t>latest</w:t>
      </w:r>
      <w:r w:rsidR="005210BD">
        <w:rPr>
          <w:rFonts w:ascii="Arial" w:hAnsi="Arial" w:cs="Arial"/>
          <w:bCs/>
          <w:color w:val="0070C0"/>
          <w:sz w:val="24"/>
          <w:szCs w:val="24"/>
        </w:rPr>
        <w:t xml:space="preserve"> methodology</w:t>
      </w:r>
      <w:r w:rsidR="000951A2">
        <w:rPr>
          <w:rFonts w:ascii="Arial" w:hAnsi="Arial" w:cs="Arial"/>
          <w:bCs/>
          <w:color w:val="0070C0"/>
          <w:sz w:val="24"/>
          <w:szCs w:val="24"/>
        </w:rPr>
        <w:t xml:space="preserve"> and </w:t>
      </w:r>
      <w:r w:rsidR="00BA6E5D">
        <w:rPr>
          <w:rFonts w:ascii="Arial" w:hAnsi="Arial" w:cs="Arial"/>
          <w:bCs/>
          <w:color w:val="0070C0"/>
          <w:sz w:val="24"/>
          <w:szCs w:val="24"/>
        </w:rPr>
        <w:t>asks</w:t>
      </w:r>
      <w:r w:rsidR="000951A2">
        <w:rPr>
          <w:rFonts w:ascii="Arial" w:hAnsi="Arial" w:cs="Arial"/>
          <w:bCs/>
          <w:color w:val="0070C0"/>
          <w:sz w:val="24"/>
          <w:szCs w:val="24"/>
        </w:rPr>
        <w:t xml:space="preserve"> </w:t>
      </w:r>
      <w:r w:rsidR="00BA6E5D">
        <w:rPr>
          <w:rFonts w:ascii="Arial" w:hAnsi="Arial" w:cs="Arial"/>
          <w:bCs/>
          <w:color w:val="0070C0"/>
          <w:sz w:val="24"/>
          <w:szCs w:val="24"/>
        </w:rPr>
        <w:t xml:space="preserve">the OEB </w:t>
      </w:r>
      <w:r w:rsidR="000951A2">
        <w:rPr>
          <w:rFonts w:ascii="Arial" w:hAnsi="Arial" w:cs="Arial"/>
          <w:bCs/>
          <w:color w:val="0070C0"/>
          <w:sz w:val="24"/>
          <w:szCs w:val="24"/>
        </w:rPr>
        <w:t xml:space="preserve">for </w:t>
      </w:r>
      <w:r w:rsidR="00BA6E5D">
        <w:rPr>
          <w:rFonts w:ascii="Arial" w:hAnsi="Arial" w:cs="Arial"/>
          <w:bCs/>
          <w:color w:val="0070C0"/>
          <w:sz w:val="24"/>
          <w:szCs w:val="24"/>
        </w:rPr>
        <w:t>advice</w:t>
      </w:r>
      <w:r w:rsidR="000951A2">
        <w:rPr>
          <w:rFonts w:ascii="Arial" w:hAnsi="Arial" w:cs="Arial"/>
          <w:bCs/>
          <w:color w:val="0070C0"/>
          <w:sz w:val="24"/>
          <w:szCs w:val="24"/>
        </w:rPr>
        <w:t>.</w:t>
      </w:r>
    </w:p>
    <w:p w14:paraId="57602229" w14:textId="77777777" w:rsidR="00400587" w:rsidRPr="00C519B3" w:rsidRDefault="00400587" w:rsidP="007A08AD">
      <w:pPr>
        <w:pStyle w:val="ListParagraph"/>
        <w:ind w:left="1080"/>
        <w:rPr>
          <w:rFonts w:ascii="Arial" w:hAnsi="Arial" w:cs="Arial"/>
          <w:bCs/>
          <w:sz w:val="24"/>
          <w:szCs w:val="24"/>
        </w:rPr>
      </w:pPr>
    </w:p>
    <w:p w14:paraId="3A5799F1" w14:textId="160E7CA7" w:rsidR="00A350EF" w:rsidRDefault="00A350EF" w:rsidP="00A350EF">
      <w:pPr>
        <w:pStyle w:val="Heading2"/>
        <w:rPr>
          <w:b w:val="0"/>
        </w:rPr>
      </w:pPr>
      <w:r>
        <w:t>Staff Question-</w:t>
      </w:r>
      <w:r w:rsidR="006A6FB8">
        <w:t>4</w:t>
      </w:r>
    </w:p>
    <w:p w14:paraId="4DB97A7B" w14:textId="77777777" w:rsidR="00A350EF" w:rsidRPr="002104AF" w:rsidRDefault="00A350EF" w:rsidP="00A350EF">
      <w:pPr>
        <w:rPr>
          <w:rFonts w:ascii="Arial" w:hAnsi="Arial" w:cs="Arial"/>
          <w:bCs/>
          <w:sz w:val="24"/>
          <w:szCs w:val="24"/>
        </w:rPr>
      </w:pPr>
      <w:r w:rsidRPr="002104AF">
        <w:rPr>
          <w:rFonts w:ascii="Arial" w:hAnsi="Arial" w:cs="Arial"/>
          <w:bCs/>
          <w:sz w:val="24"/>
          <w:szCs w:val="24"/>
        </w:rPr>
        <w:t>Ref:</w:t>
      </w:r>
      <w:r w:rsidRPr="002104AF">
        <w:rPr>
          <w:rFonts w:ascii="Arial" w:hAnsi="Arial" w:cs="Arial"/>
          <w:bCs/>
          <w:sz w:val="24"/>
          <w:szCs w:val="24"/>
        </w:rPr>
        <w:tab/>
        <w:t xml:space="preserve">Application, </w:t>
      </w:r>
      <w:r w:rsidRPr="002104AF">
        <w:rPr>
          <w:rFonts w:ascii="Arial" w:hAnsi="Arial" w:cs="Arial"/>
          <w:sz w:val="24"/>
          <w:szCs w:val="24"/>
        </w:rPr>
        <w:t>page 18</w:t>
      </w:r>
    </w:p>
    <w:p w14:paraId="5F9CA8E8" w14:textId="77777777" w:rsidR="00A350EF" w:rsidRDefault="00A350EF" w:rsidP="00A350EF">
      <w:pPr>
        <w:rPr>
          <w:rFonts w:ascii="Arial" w:hAnsi="Arial" w:cs="Arial"/>
          <w:sz w:val="24"/>
          <w:szCs w:val="24"/>
        </w:rPr>
      </w:pPr>
      <w:r w:rsidRPr="002104AF">
        <w:rPr>
          <w:rFonts w:ascii="Arial" w:hAnsi="Arial" w:cs="Arial"/>
          <w:sz w:val="24"/>
          <w:szCs w:val="24"/>
        </w:rPr>
        <w:t xml:space="preserve">Typically, large balances are not expected for Account 1588 as it should only hold the variance between commodity costs based on actual line losses and commodity revenues calculated using values for line losses approved by the OEB in the utility’s last rebasing application. </w:t>
      </w:r>
    </w:p>
    <w:p w14:paraId="1808BF86" w14:textId="77777777" w:rsidR="00A350EF" w:rsidRPr="002104AF" w:rsidRDefault="00A350EF" w:rsidP="00A350EF">
      <w:pPr>
        <w:rPr>
          <w:rFonts w:ascii="Arial" w:hAnsi="Arial" w:cs="Arial"/>
          <w:sz w:val="24"/>
          <w:szCs w:val="24"/>
        </w:rPr>
      </w:pPr>
      <w:r w:rsidRPr="002104AF">
        <w:rPr>
          <w:rFonts w:ascii="Arial" w:hAnsi="Arial" w:cs="Arial"/>
          <w:sz w:val="24"/>
          <w:szCs w:val="24"/>
        </w:rPr>
        <w:t>Based on RRR data filed for Hawkesbury Hydro for Account 4705 Cost of Power, OEB staff calculate</w:t>
      </w:r>
      <w:r>
        <w:rPr>
          <w:rFonts w:ascii="Arial" w:hAnsi="Arial" w:cs="Arial"/>
          <w:sz w:val="24"/>
          <w:szCs w:val="24"/>
        </w:rPr>
        <w:t>d, in the table below,</w:t>
      </w:r>
      <w:r w:rsidRPr="002104AF">
        <w:rPr>
          <w:rFonts w:ascii="Arial" w:hAnsi="Arial" w:cs="Arial"/>
          <w:sz w:val="24"/>
          <w:szCs w:val="24"/>
        </w:rPr>
        <w:t xml:space="preserve"> the annual net activity (</w:t>
      </w:r>
      <w:proofErr w:type="gramStart"/>
      <w:r w:rsidRPr="002104AF">
        <w:rPr>
          <w:rFonts w:ascii="Arial" w:hAnsi="Arial" w:cs="Arial"/>
          <w:sz w:val="24"/>
          <w:szCs w:val="24"/>
        </w:rPr>
        <w:t>i.e.</w:t>
      </w:r>
      <w:proofErr w:type="gramEnd"/>
      <w:r w:rsidRPr="002104AF">
        <w:rPr>
          <w:rFonts w:ascii="Arial" w:hAnsi="Arial" w:cs="Arial"/>
          <w:sz w:val="24"/>
          <w:szCs w:val="24"/>
        </w:rPr>
        <w:t xml:space="preserve"> transactions plus principal adjustments) from the DVA Continuity Schedule as a percentage of annual Account 4705 to be as follows:</w:t>
      </w:r>
    </w:p>
    <w:p w14:paraId="22A83918" w14:textId="77777777" w:rsidR="00A350EF" w:rsidRPr="002104AF" w:rsidRDefault="00A350EF" w:rsidP="00A350EF">
      <w:pPr>
        <w:rPr>
          <w:rFonts w:ascii="Arial" w:hAnsi="Arial" w:cs="Arial"/>
          <w:sz w:val="24"/>
          <w:szCs w:val="24"/>
        </w:rPr>
      </w:pPr>
      <w:r w:rsidRPr="002104AF">
        <w:rPr>
          <w:rFonts w:ascii="Arial" w:hAnsi="Arial" w:cs="Arial"/>
          <w:noProof/>
          <w:sz w:val="24"/>
          <w:szCs w:val="24"/>
        </w:rPr>
        <w:lastRenderedPageBreak/>
        <w:drawing>
          <wp:inline distT="0" distB="0" distL="0" distR="0" wp14:anchorId="0A39E5A3" wp14:editId="6A2B5BE1">
            <wp:extent cx="5147945" cy="13677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47945" cy="1367790"/>
                    </a:xfrm>
                    <a:prstGeom prst="rect">
                      <a:avLst/>
                    </a:prstGeom>
                    <a:noFill/>
                    <a:ln>
                      <a:noFill/>
                    </a:ln>
                  </pic:spPr>
                </pic:pic>
              </a:graphicData>
            </a:graphic>
          </wp:inline>
        </w:drawing>
      </w:r>
    </w:p>
    <w:p w14:paraId="2AA31726" w14:textId="0902F5BA" w:rsidR="00A350EF" w:rsidRDefault="00A350EF" w:rsidP="00A350EF">
      <w:pPr>
        <w:pStyle w:val="ListParagraph"/>
        <w:numPr>
          <w:ilvl w:val="0"/>
          <w:numId w:val="9"/>
        </w:numPr>
        <w:spacing w:after="160"/>
        <w:rPr>
          <w:rFonts w:ascii="Arial" w:hAnsi="Arial" w:cs="Arial"/>
          <w:sz w:val="24"/>
          <w:szCs w:val="24"/>
        </w:rPr>
      </w:pPr>
      <w:r w:rsidRPr="002104AF">
        <w:rPr>
          <w:rFonts w:ascii="Arial" w:hAnsi="Arial" w:cs="Arial"/>
          <w:sz w:val="24"/>
          <w:szCs w:val="24"/>
        </w:rPr>
        <w:t>Please confirm this calculation or</w:t>
      </w:r>
      <w:r w:rsidR="007F00BC">
        <w:rPr>
          <w:rFonts w:ascii="Arial" w:hAnsi="Arial" w:cs="Arial"/>
          <w:sz w:val="24"/>
          <w:szCs w:val="24"/>
        </w:rPr>
        <w:t>, if necessary,</w:t>
      </w:r>
      <w:r w:rsidRPr="002104AF">
        <w:rPr>
          <w:rFonts w:ascii="Arial" w:hAnsi="Arial" w:cs="Arial"/>
          <w:sz w:val="24"/>
          <w:szCs w:val="24"/>
        </w:rPr>
        <w:t xml:space="preserve"> provide a revised calculation.</w:t>
      </w:r>
    </w:p>
    <w:p w14:paraId="5509B798" w14:textId="11A73E88" w:rsidR="00927201" w:rsidRPr="00E03032" w:rsidRDefault="007A12C3" w:rsidP="009F7519">
      <w:pPr>
        <w:ind w:left="720"/>
        <w:rPr>
          <w:rFonts w:ascii="Arial" w:hAnsi="Arial" w:cs="Arial"/>
          <w:bCs/>
          <w:color w:val="0070C0"/>
          <w:sz w:val="24"/>
          <w:szCs w:val="24"/>
          <w:lang w:val="en-US"/>
        </w:rPr>
      </w:pPr>
      <w:r w:rsidRPr="007A12C3">
        <w:rPr>
          <w:rFonts w:ascii="Arial" w:hAnsi="Arial" w:cs="Arial"/>
          <w:b/>
          <w:color w:val="0070C0"/>
          <w:sz w:val="24"/>
          <w:szCs w:val="24"/>
        </w:rPr>
        <w:t>HHI Response:</w:t>
      </w:r>
      <w:r w:rsidR="00E240E8" w:rsidRPr="006D2D8C">
        <w:rPr>
          <w:rFonts w:ascii="Arial" w:hAnsi="Arial" w:cs="Arial"/>
          <w:bCs/>
          <w:color w:val="0070C0"/>
          <w:sz w:val="24"/>
          <w:szCs w:val="24"/>
        </w:rPr>
        <w:t xml:space="preserve"> </w:t>
      </w:r>
      <w:r w:rsidR="006D2D8C">
        <w:rPr>
          <w:rFonts w:ascii="Arial" w:hAnsi="Arial" w:cs="Arial"/>
          <w:bCs/>
          <w:color w:val="0070C0"/>
          <w:sz w:val="24"/>
          <w:szCs w:val="24"/>
        </w:rPr>
        <w:t xml:space="preserve">As mentioned in answer to question 2a), </w:t>
      </w:r>
      <w:r w:rsidR="00FD7AA7">
        <w:rPr>
          <w:rFonts w:ascii="Arial" w:hAnsi="Arial" w:cs="Arial"/>
          <w:bCs/>
          <w:color w:val="0070C0"/>
          <w:sz w:val="24"/>
          <w:szCs w:val="24"/>
        </w:rPr>
        <w:t xml:space="preserve">certain Class A and retailer clients were improperly classified. </w:t>
      </w:r>
    </w:p>
    <w:p w14:paraId="5199A787" w14:textId="176328A7" w:rsidR="007A12C3" w:rsidRDefault="00CF260C" w:rsidP="004B6035">
      <w:pPr>
        <w:ind w:left="720"/>
        <w:rPr>
          <w:rFonts w:ascii="Arial" w:hAnsi="Arial" w:cs="Arial"/>
          <w:bCs/>
          <w:color w:val="0070C0"/>
          <w:sz w:val="24"/>
          <w:szCs w:val="24"/>
        </w:rPr>
      </w:pPr>
      <w:r w:rsidRPr="00E03032">
        <w:rPr>
          <w:rFonts w:ascii="Arial" w:hAnsi="Arial" w:cs="Arial"/>
          <w:bCs/>
          <w:color w:val="0070C0"/>
          <w:sz w:val="24"/>
          <w:szCs w:val="24"/>
        </w:rPr>
        <w:t>For 2019</w:t>
      </w:r>
      <w:r w:rsidR="00E03032">
        <w:rPr>
          <w:rFonts w:ascii="Arial" w:hAnsi="Arial" w:cs="Arial"/>
          <w:bCs/>
          <w:color w:val="0070C0"/>
          <w:sz w:val="24"/>
          <w:szCs w:val="24"/>
        </w:rPr>
        <w:t xml:space="preserve"> </w:t>
      </w:r>
      <w:r w:rsidR="00B74763">
        <w:rPr>
          <w:rFonts w:ascii="Arial" w:hAnsi="Arial" w:cs="Arial"/>
          <w:bCs/>
          <w:color w:val="0070C0"/>
          <w:sz w:val="24"/>
          <w:szCs w:val="24"/>
        </w:rPr>
        <w:t xml:space="preserve">2 differences were noted while reviewing the data to answer these questions. </w:t>
      </w:r>
      <w:r w:rsidR="007B698B">
        <w:rPr>
          <w:rFonts w:ascii="Arial" w:hAnsi="Arial" w:cs="Arial"/>
          <w:bCs/>
          <w:color w:val="0070C0"/>
          <w:sz w:val="24"/>
          <w:szCs w:val="24"/>
        </w:rPr>
        <w:t xml:space="preserve">In August 2019, the original </w:t>
      </w:r>
      <w:r w:rsidR="0049306B">
        <w:rPr>
          <w:rFonts w:ascii="Arial" w:hAnsi="Arial" w:cs="Arial"/>
          <w:bCs/>
          <w:color w:val="0070C0"/>
          <w:sz w:val="24"/>
          <w:szCs w:val="24"/>
        </w:rPr>
        <w:t xml:space="preserve">settlement AQEW was entered incorrectly as 10,467,010 </w:t>
      </w:r>
      <w:r w:rsidR="00BA6E5D">
        <w:rPr>
          <w:rFonts w:ascii="Arial" w:hAnsi="Arial" w:cs="Arial"/>
          <w:bCs/>
          <w:color w:val="0070C0"/>
          <w:sz w:val="24"/>
          <w:szCs w:val="24"/>
        </w:rPr>
        <w:t>kWh</w:t>
      </w:r>
      <w:r w:rsidR="009B775F">
        <w:rPr>
          <w:rFonts w:ascii="Arial" w:hAnsi="Arial" w:cs="Arial"/>
          <w:bCs/>
          <w:color w:val="0070C0"/>
          <w:sz w:val="24"/>
          <w:szCs w:val="24"/>
        </w:rPr>
        <w:t xml:space="preserve"> </w:t>
      </w:r>
      <w:r w:rsidR="0049306B">
        <w:rPr>
          <w:rFonts w:ascii="Arial" w:hAnsi="Arial" w:cs="Arial"/>
          <w:bCs/>
          <w:color w:val="0070C0"/>
          <w:sz w:val="24"/>
          <w:szCs w:val="24"/>
        </w:rPr>
        <w:t xml:space="preserve">instead of </w:t>
      </w:r>
      <w:r w:rsidR="009B775F">
        <w:rPr>
          <w:rFonts w:ascii="Arial" w:hAnsi="Arial" w:cs="Arial"/>
          <w:bCs/>
          <w:color w:val="0070C0"/>
          <w:sz w:val="24"/>
          <w:szCs w:val="24"/>
        </w:rPr>
        <w:t xml:space="preserve">11,450,638 </w:t>
      </w:r>
      <w:r w:rsidR="00BA6E5D">
        <w:rPr>
          <w:rFonts w:ascii="Arial" w:hAnsi="Arial" w:cs="Arial"/>
          <w:bCs/>
          <w:color w:val="0070C0"/>
          <w:sz w:val="24"/>
          <w:szCs w:val="24"/>
        </w:rPr>
        <w:t>kWh</w:t>
      </w:r>
      <w:r w:rsidR="009B775F">
        <w:rPr>
          <w:rFonts w:ascii="Arial" w:hAnsi="Arial" w:cs="Arial"/>
          <w:bCs/>
          <w:color w:val="0070C0"/>
          <w:sz w:val="24"/>
          <w:szCs w:val="24"/>
        </w:rPr>
        <w:t>.</w:t>
      </w:r>
      <w:r w:rsidR="00681D94">
        <w:rPr>
          <w:rFonts w:ascii="Arial" w:hAnsi="Arial" w:cs="Arial"/>
          <w:bCs/>
          <w:color w:val="0070C0"/>
          <w:sz w:val="24"/>
          <w:szCs w:val="24"/>
        </w:rPr>
        <w:t xml:space="preserve"> This error affected </w:t>
      </w:r>
      <w:r w:rsidR="00407485">
        <w:rPr>
          <w:rFonts w:ascii="Arial" w:hAnsi="Arial" w:cs="Arial"/>
          <w:bCs/>
          <w:color w:val="0070C0"/>
          <w:sz w:val="24"/>
          <w:szCs w:val="24"/>
        </w:rPr>
        <w:t xml:space="preserve">the wholesale </w:t>
      </w:r>
      <w:r w:rsidR="00BA6E5D">
        <w:rPr>
          <w:rFonts w:ascii="Arial" w:hAnsi="Arial" w:cs="Arial"/>
          <w:bCs/>
          <w:color w:val="0070C0"/>
          <w:sz w:val="24"/>
          <w:szCs w:val="24"/>
        </w:rPr>
        <w:t>kWh</w:t>
      </w:r>
      <w:r w:rsidR="00407485">
        <w:rPr>
          <w:rFonts w:ascii="Arial" w:hAnsi="Arial" w:cs="Arial"/>
          <w:bCs/>
          <w:color w:val="0070C0"/>
          <w:sz w:val="24"/>
          <w:szCs w:val="24"/>
        </w:rPr>
        <w:t xml:space="preserve"> purchased (RPP and non-RPP) in the settlement form</w:t>
      </w:r>
      <w:r w:rsidR="003B0393">
        <w:rPr>
          <w:rFonts w:ascii="Arial" w:hAnsi="Arial" w:cs="Arial"/>
          <w:bCs/>
          <w:color w:val="0070C0"/>
          <w:sz w:val="24"/>
          <w:szCs w:val="24"/>
        </w:rPr>
        <w:t xml:space="preserve"> which in turn affected the COP for RPP and non-RPP</w:t>
      </w:r>
      <w:r w:rsidR="000D5809">
        <w:rPr>
          <w:rFonts w:ascii="Arial" w:hAnsi="Arial" w:cs="Arial"/>
          <w:bCs/>
          <w:color w:val="0070C0"/>
          <w:sz w:val="24"/>
          <w:szCs w:val="24"/>
        </w:rPr>
        <w:t>.</w:t>
      </w:r>
      <w:r w:rsidR="009B775F">
        <w:rPr>
          <w:rFonts w:ascii="Arial" w:hAnsi="Arial" w:cs="Arial"/>
          <w:bCs/>
          <w:color w:val="0070C0"/>
          <w:sz w:val="24"/>
          <w:szCs w:val="24"/>
        </w:rPr>
        <w:t xml:space="preserve"> </w:t>
      </w:r>
      <w:r w:rsidR="00411835">
        <w:rPr>
          <w:rFonts w:ascii="Arial" w:hAnsi="Arial" w:cs="Arial"/>
          <w:bCs/>
          <w:color w:val="0070C0"/>
          <w:sz w:val="24"/>
          <w:szCs w:val="24"/>
        </w:rPr>
        <w:t>In</w:t>
      </w:r>
      <w:r w:rsidR="00411835" w:rsidRPr="00411835">
        <w:rPr>
          <w:rFonts w:ascii="Arial" w:hAnsi="Arial" w:cs="Arial"/>
          <w:bCs/>
          <w:color w:val="0070C0"/>
          <w:sz w:val="24"/>
          <w:szCs w:val="24"/>
        </w:rPr>
        <w:t xml:space="preserve"> </w:t>
      </w:r>
      <w:r w:rsidR="00411835">
        <w:rPr>
          <w:rFonts w:ascii="Arial" w:hAnsi="Arial" w:cs="Arial"/>
          <w:bCs/>
          <w:color w:val="0070C0"/>
          <w:sz w:val="24"/>
          <w:szCs w:val="24"/>
        </w:rPr>
        <w:t>September 2019, the original settlement AQEW was entered incorrectly as 9,084,</w:t>
      </w:r>
      <w:r w:rsidR="00AA28D9">
        <w:rPr>
          <w:rFonts w:ascii="Arial" w:hAnsi="Arial" w:cs="Arial"/>
          <w:bCs/>
          <w:color w:val="0070C0"/>
          <w:sz w:val="24"/>
          <w:szCs w:val="24"/>
        </w:rPr>
        <w:t>484</w:t>
      </w:r>
      <w:r w:rsidR="00411835">
        <w:rPr>
          <w:rFonts w:ascii="Arial" w:hAnsi="Arial" w:cs="Arial"/>
          <w:bCs/>
          <w:color w:val="0070C0"/>
          <w:sz w:val="24"/>
          <w:szCs w:val="24"/>
        </w:rPr>
        <w:t xml:space="preserve"> </w:t>
      </w:r>
      <w:r w:rsidR="00BA6E5D">
        <w:rPr>
          <w:rFonts w:ascii="Arial" w:hAnsi="Arial" w:cs="Arial"/>
          <w:bCs/>
          <w:color w:val="0070C0"/>
          <w:sz w:val="24"/>
          <w:szCs w:val="24"/>
        </w:rPr>
        <w:t>kWh</w:t>
      </w:r>
      <w:r w:rsidR="00411835">
        <w:rPr>
          <w:rFonts w:ascii="Arial" w:hAnsi="Arial" w:cs="Arial"/>
          <w:bCs/>
          <w:color w:val="0070C0"/>
          <w:sz w:val="24"/>
          <w:szCs w:val="24"/>
        </w:rPr>
        <w:t xml:space="preserve"> instead of </w:t>
      </w:r>
      <w:r w:rsidR="00AA28D9">
        <w:rPr>
          <w:rFonts w:ascii="Arial" w:hAnsi="Arial" w:cs="Arial"/>
          <w:bCs/>
          <w:color w:val="0070C0"/>
          <w:sz w:val="24"/>
          <w:szCs w:val="24"/>
        </w:rPr>
        <w:t>9</w:t>
      </w:r>
      <w:r w:rsidR="00411835">
        <w:rPr>
          <w:rFonts w:ascii="Arial" w:hAnsi="Arial" w:cs="Arial"/>
          <w:bCs/>
          <w:color w:val="0070C0"/>
          <w:sz w:val="24"/>
          <w:szCs w:val="24"/>
        </w:rPr>
        <w:t>,</w:t>
      </w:r>
      <w:r w:rsidR="00AA28D9">
        <w:rPr>
          <w:rFonts w:ascii="Arial" w:hAnsi="Arial" w:cs="Arial"/>
          <w:bCs/>
          <w:color w:val="0070C0"/>
          <w:sz w:val="24"/>
          <w:szCs w:val="24"/>
        </w:rPr>
        <w:t>951</w:t>
      </w:r>
      <w:r w:rsidR="00411835">
        <w:rPr>
          <w:rFonts w:ascii="Arial" w:hAnsi="Arial" w:cs="Arial"/>
          <w:bCs/>
          <w:color w:val="0070C0"/>
          <w:sz w:val="24"/>
          <w:szCs w:val="24"/>
        </w:rPr>
        <w:t>,</w:t>
      </w:r>
      <w:r w:rsidR="00AA28D9">
        <w:rPr>
          <w:rFonts w:ascii="Arial" w:hAnsi="Arial" w:cs="Arial"/>
          <w:bCs/>
          <w:color w:val="0070C0"/>
          <w:sz w:val="24"/>
          <w:szCs w:val="24"/>
        </w:rPr>
        <w:t>129</w:t>
      </w:r>
      <w:r w:rsidR="00411835">
        <w:rPr>
          <w:rFonts w:ascii="Arial" w:hAnsi="Arial" w:cs="Arial"/>
          <w:bCs/>
          <w:color w:val="0070C0"/>
          <w:sz w:val="24"/>
          <w:szCs w:val="24"/>
        </w:rPr>
        <w:t xml:space="preserve"> </w:t>
      </w:r>
      <w:r w:rsidR="00BA6E5D">
        <w:rPr>
          <w:rFonts w:ascii="Arial" w:hAnsi="Arial" w:cs="Arial"/>
          <w:bCs/>
          <w:color w:val="0070C0"/>
          <w:sz w:val="24"/>
          <w:szCs w:val="24"/>
        </w:rPr>
        <w:t>kWh</w:t>
      </w:r>
      <w:r w:rsidR="00411835">
        <w:rPr>
          <w:rFonts w:ascii="Arial" w:hAnsi="Arial" w:cs="Arial"/>
          <w:bCs/>
          <w:color w:val="0070C0"/>
          <w:sz w:val="24"/>
          <w:szCs w:val="24"/>
        </w:rPr>
        <w:t>.</w:t>
      </w:r>
      <w:r w:rsidR="00AA28D9">
        <w:rPr>
          <w:rFonts w:ascii="Arial" w:hAnsi="Arial" w:cs="Arial"/>
          <w:bCs/>
          <w:color w:val="0070C0"/>
          <w:sz w:val="24"/>
          <w:szCs w:val="24"/>
        </w:rPr>
        <w:t xml:space="preserve"> </w:t>
      </w:r>
      <w:r w:rsidR="005179E7">
        <w:rPr>
          <w:rFonts w:ascii="Arial" w:hAnsi="Arial" w:cs="Arial"/>
          <w:bCs/>
          <w:color w:val="0070C0"/>
          <w:sz w:val="24"/>
          <w:szCs w:val="24"/>
        </w:rPr>
        <w:t>Th</w:t>
      </w:r>
      <w:r w:rsidR="00B0539C">
        <w:rPr>
          <w:rFonts w:ascii="Arial" w:hAnsi="Arial" w:cs="Arial"/>
          <w:bCs/>
          <w:color w:val="0070C0"/>
          <w:sz w:val="24"/>
          <w:szCs w:val="24"/>
        </w:rPr>
        <w:t>e</w:t>
      </w:r>
      <w:r w:rsidR="005179E7">
        <w:rPr>
          <w:rFonts w:ascii="Arial" w:hAnsi="Arial" w:cs="Arial"/>
          <w:bCs/>
          <w:color w:val="0070C0"/>
          <w:sz w:val="24"/>
          <w:szCs w:val="24"/>
        </w:rPr>
        <w:t>s</w:t>
      </w:r>
      <w:r w:rsidR="00B0539C">
        <w:rPr>
          <w:rFonts w:ascii="Arial" w:hAnsi="Arial" w:cs="Arial"/>
          <w:bCs/>
          <w:color w:val="0070C0"/>
          <w:sz w:val="24"/>
          <w:szCs w:val="24"/>
        </w:rPr>
        <w:t>e</w:t>
      </w:r>
      <w:r w:rsidR="005179E7">
        <w:rPr>
          <w:rFonts w:ascii="Arial" w:hAnsi="Arial" w:cs="Arial"/>
          <w:bCs/>
          <w:color w:val="0070C0"/>
          <w:sz w:val="24"/>
          <w:szCs w:val="24"/>
        </w:rPr>
        <w:t xml:space="preserve"> resulted </w:t>
      </w:r>
      <w:r w:rsidR="00574F48">
        <w:rPr>
          <w:rFonts w:ascii="Arial" w:hAnsi="Arial" w:cs="Arial"/>
          <w:bCs/>
          <w:color w:val="0070C0"/>
          <w:sz w:val="24"/>
          <w:szCs w:val="24"/>
        </w:rPr>
        <w:t>in positive differences of $45,853 and $36,897</w:t>
      </w:r>
      <w:r w:rsidR="0057138C">
        <w:rPr>
          <w:rFonts w:ascii="Arial" w:hAnsi="Arial" w:cs="Arial"/>
          <w:bCs/>
          <w:color w:val="0070C0"/>
          <w:sz w:val="24"/>
          <w:szCs w:val="24"/>
        </w:rPr>
        <w:t xml:space="preserve">. </w:t>
      </w:r>
    </w:p>
    <w:p w14:paraId="2C39AD57" w14:textId="59AA8A36" w:rsidR="009F7519" w:rsidRDefault="009F7519" w:rsidP="009F7519">
      <w:pPr>
        <w:ind w:left="720"/>
        <w:rPr>
          <w:rFonts w:ascii="Arial" w:hAnsi="Arial" w:cs="Arial"/>
          <w:bCs/>
          <w:color w:val="0070C0"/>
          <w:sz w:val="24"/>
          <w:szCs w:val="24"/>
        </w:rPr>
      </w:pPr>
      <w:r>
        <w:rPr>
          <w:rFonts w:ascii="Arial" w:hAnsi="Arial" w:cs="Arial"/>
          <w:bCs/>
          <w:color w:val="0070C0"/>
          <w:sz w:val="24"/>
          <w:szCs w:val="24"/>
        </w:rPr>
        <w:t>HHI review</w:t>
      </w:r>
      <w:r w:rsidR="00F10B25">
        <w:rPr>
          <w:rFonts w:ascii="Arial" w:hAnsi="Arial" w:cs="Arial"/>
          <w:bCs/>
          <w:color w:val="0070C0"/>
          <w:sz w:val="24"/>
          <w:szCs w:val="24"/>
        </w:rPr>
        <w:t>ed</w:t>
      </w:r>
      <w:r>
        <w:rPr>
          <w:rFonts w:ascii="Arial" w:hAnsi="Arial" w:cs="Arial"/>
          <w:bCs/>
          <w:color w:val="0070C0"/>
          <w:sz w:val="24"/>
          <w:szCs w:val="24"/>
        </w:rPr>
        <w:t xml:space="preserve"> the models from 2017 to 2019 to </w:t>
      </w:r>
      <w:r w:rsidR="00F10B25">
        <w:rPr>
          <w:rFonts w:ascii="Arial" w:hAnsi="Arial" w:cs="Arial"/>
          <w:bCs/>
          <w:color w:val="0070C0"/>
          <w:sz w:val="24"/>
          <w:szCs w:val="24"/>
        </w:rPr>
        <w:t>reflect</w:t>
      </w:r>
      <w:r>
        <w:rPr>
          <w:rFonts w:ascii="Arial" w:hAnsi="Arial" w:cs="Arial"/>
          <w:bCs/>
          <w:color w:val="0070C0"/>
          <w:sz w:val="24"/>
          <w:szCs w:val="24"/>
        </w:rPr>
        <w:t xml:space="preserve"> these corrections. HHI agrees with the balances for account 4705 from 2017 to 2019. The net activity in Account 1588 is now: 2019 – (44,820), 2018 – (86,329) and 2017 – (42,672).</w:t>
      </w:r>
    </w:p>
    <w:p w14:paraId="3BBBBDF2" w14:textId="2BE4ABBD" w:rsidR="009F7519" w:rsidRDefault="009F7519" w:rsidP="009F7519">
      <w:pPr>
        <w:ind w:left="720"/>
        <w:rPr>
          <w:rFonts w:ascii="Arial" w:hAnsi="Arial" w:cs="Arial"/>
          <w:bCs/>
          <w:color w:val="0070C0"/>
          <w:sz w:val="24"/>
          <w:szCs w:val="24"/>
          <w:lang w:val="en-US"/>
        </w:rPr>
      </w:pPr>
      <w:r w:rsidRPr="000833E2">
        <w:rPr>
          <w:rFonts w:ascii="Arial" w:hAnsi="Arial" w:cs="Arial"/>
          <w:bCs/>
          <w:color w:val="0070C0"/>
          <w:sz w:val="24"/>
          <w:szCs w:val="24"/>
        </w:rPr>
        <w:t xml:space="preserve">HHI is not sure where the cumulative balances are coming for. Therefore, we </w:t>
      </w:r>
      <w:proofErr w:type="gramStart"/>
      <w:r w:rsidRPr="000833E2">
        <w:rPr>
          <w:rFonts w:ascii="Arial" w:hAnsi="Arial" w:cs="Arial"/>
          <w:bCs/>
          <w:color w:val="0070C0"/>
          <w:sz w:val="24"/>
          <w:szCs w:val="24"/>
        </w:rPr>
        <w:t>can</w:t>
      </w:r>
      <w:r w:rsidRPr="000833E2">
        <w:rPr>
          <w:rFonts w:ascii="Arial" w:hAnsi="Arial" w:cs="Arial"/>
          <w:bCs/>
          <w:color w:val="0070C0"/>
          <w:sz w:val="24"/>
          <w:szCs w:val="24"/>
          <w:lang w:val="en-US"/>
        </w:rPr>
        <w:t>’t</w:t>
      </w:r>
      <w:proofErr w:type="gramEnd"/>
      <w:r w:rsidRPr="000833E2">
        <w:rPr>
          <w:rFonts w:ascii="Arial" w:hAnsi="Arial" w:cs="Arial"/>
          <w:bCs/>
          <w:color w:val="0070C0"/>
          <w:sz w:val="24"/>
          <w:szCs w:val="24"/>
          <w:lang w:val="en-US"/>
        </w:rPr>
        <w:t xml:space="preserve"> confirm the cumulative balances.</w:t>
      </w:r>
      <w:r w:rsidRPr="00E03032">
        <w:rPr>
          <w:rFonts w:ascii="Arial" w:hAnsi="Arial" w:cs="Arial"/>
          <w:bCs/>
          <w:color w:val="0070C0"/>
          <w:sz w:val="24"/>
          <w:szCs w:val="24"/>
          <w:lang w:val="en-US"/>
        </w:rPr>
        <w:t xml:space="preserve"> </w:t>
      </w:r>
    </w:p>
    <w:p w14:paraId="7E9D2A74" w14:textId="77777777" w:rsidR="000E41AD" w:rsidRPr="00E03032" w:rsidRDefault="000E41AD" w:rsidP="009F7519">
      <w:pPr>
        <w:ind w:left="720"/>
        <w:rPr>
          <w:rFonts w:ascii="Arial" w:hAnsi="Arial" w:cs="Arial"/>
          <w:bCs/>
          <w:color w:val="0070C0"/>
          <w:sz w:val="24"/>
          <w:szCs w:val="24"/>
          <w:lang w:val="en-US"/>
        </w:rPr>
      </w:pPr>
    </w:p>
    <w:p w14:paraId="3C979919" w14:textId="51BAB74F" w:rsidR="00A350EF" w:rsidRDefault="00A350EF" w:rsidP="00A350EF">
      <w:pPr>
        <w:pStyle w:val="ListParagraph"/>
        <w:numPr>
          <w:ilvl w:val="0"/>
          <w:numId w:val="9"/>
        </w:numPr>
        <w:rPr>
          <w:rFonts w:ascii="Arial" w:hAnsi="Arial" w:cs="Arial"/>
          <w:sz w:val="24"/>
          <w:szCs w:val="24"/>
        </w:rPr>
      </w:pPr>
      <w:r w:rsidRPr="002104AF">
        <w:rPr>
          <w:rFonts w:ascii="Arial" w:hAnsi="Arial" w:cs="Arial"/>
          <w:sz w:val="24"/>
          <w:szCs w:val="24"/>
        </w:rPr>
        <w:t>For year(s) where the percentage is greater than +/-1%, please provide an explanation as to why the</w:t>
      </w:r>
      <w:r w:rsidR="007F00BC">
        <w:rPr>
          <w:rFonts w:ascii="Arial" w:hAnsi="Arial" w:cs="Arial"/>
          <w:sz w:val="24"/>
          <w:szCs w:val="24"/>
        </w:rPr>
        <w:t xml:space="preserve"> sum of the transactions in</w:t>
      </w:r>
      <w:r w:rsidRPr="002104AF">
        <w:rPr>
          <w:rFonts w:ascii="Arial" w:hAnsi="Arial" w:cs="Arial"/>
          <w:sz w:val="24"/>
          <w:szCs w:val="24"/>
        </w:rPr>
        <w:t xml:space="preserve"> Account 1588 </w:t>
      </w:r>
      <w:r w:rsidR="00CF6C24">
        <w:rPr>
          <w:rFonts w:ascii="Arial" w:hAnsi="Arial" w:cs="Arial"/>
          <w:sz w:val="24"/>
          <w:szCs w:val="24"/>
        </w:rPr>
        <w:t>is</w:t>
      </w:r>
      <w:r w:rsidR="007F00BC">
        <w:rPr>
          <w:rFonts w:ascii="Arial" w:hAnsi="Arial" w:cs="Arial"/>
          <w:sz w:val="24"/>
          <w:szCs w:val="24"/>
        </w:rPr>
        <w:t xml:space="preserve"> relatively large</w:t>
      </w:r>
      <w:r w:rsidRPr="002104AF">
        <w:rPr>
          <w:rFonts w:ascii="Arial" w:hAnsi="Arial" w:cs="Arial"/>
          <w:sz w:val="24"/>
          <w:szCs w:val="24"/>
        </w:rPr>
        <w:t>.</w:t>
      </w:r>
    </w:p>
    <w:p w14:paraId="66BA16D8" w14:textId="77777777" w:rsidR="00B85407" w:rsidRDefault="007A12C3" w:rsidP="0014547C">
      <w:pPr>
        <w:ind w:left="720"/>
        <w:rPr>
          <w:rFonts w:ascii="Arial" w:hAnsi="Arial" w:cs="Arial"/>
          <w:bCs/>
          <w:color w:val="0070C0"/>
          <w:sz w:val="24"/>
          <w:szCs w:val="24"/>
          <w:lang w:val="en-US"/>
        </w:rPr>
      </w:pPr>
      <w:r w:rsidRPr="00952B72">
        <w:rPr>
          <w:rFonts w:ascii="Arial" w:hAnsi="Arial" w:cs="Arial"/>
          <w:b/>
          <w:color w:val="0070C0"/>
          <w:sz w:val="24"/>
          <w:szCs w:val="24"/>
          <w:lang w:val="en-US"/>
        </w:rPr>
        <w:t>HHI Response:</w:t>
      </w:r>
      <w:r w:rsidR="0014547C" w:rsidRPr="00952B72">
        <w:rPr>
          <w:rFonts w:ascii="Arial" w:hAnsi="Arial" w:cs="Arial"/>
          <w:b/>
          <w:color w:val="0070C0"/>
          <w:sz w:val="24"/>
          <w:szCs w:val="24"/>
          <w:lang w:val="en-US"/>
        </w:rPr>
        <w:t xml:space="preserve"> </w:t>
      </w:r>
      <w:r w:rsidR="00952B72" w:rsidRPr="00952B72">
        <w:rPr>
          <w:rFonts w:ascii="Arial" w:hAnsi="Arial" w:cs="Arial"/>
          <w:bCs/>
          <w:color w:val="0070C0"/>
          <w:sz w:val="24"/>
          <w:szCs w:val="24"/>
          <w:lang w:val="en-US"/>
        </w:rPr>
        <w:t xml:space="preserve">For </w:t>
      </w:r>
      <w:r w:rsidR="00C04250">
        <w:rPr>
          <w:rFonts w:ascii="Arial" w:hAnsi="Arial" w:cs="Arial"/>
          <w:bCs/>
          <w:color w:val="0070C0"/>
          <w:sz w:val="24"/>
          <w:szCs w:val="24"/>
          <w:lang w:val="en-US"/>
        </w:rPr>
        <w:t xml:space="preserve">2017, </w:t>
      </w:r>
      <w:r w:rsidR="002979E9">
        <w:rPr>
          <w:rFonts w:ascii="Arial" w:hAnsi="Arial" w:cs="Arial"/>
          <w:bCs/>
          <w:color w:val="0070C0"/>
          <w:sz w:val="24"/>
          <w:szCs w:val="24"/>
          <w:lang w:val="en-US"/>
        </w:rPr>
        <w:t xml:space="preserve">9 of the 12 months </w:t>
      </w:r>
      <w:r w:rsidR="00696AE3">
        <w:rPr>
          <w:rFonts w:ascii="Arial" w:hAnsi="Arial" w:cs="Arial"/>
          <w:bCs/>
          <w:color w:val="0070C0"/>
          <w:sz w:val="24"/>
          <w:szCs w:val="24"/>
          <w:lang w:val="en-US"/>
        </w:rPr>
        <w:t>are above 1%</w:t>
      </w:r>
      <w:r w:rsidR="00732885">
        <w:rPr>
          <w:rFonts w:ascii="Arial" w:hAnsi="Arial" w:cs="Arial"/>
          <w:bCs/>
          <w:color w:val="0070C0"/>
          <w:sz w:val="24"/>
          <w:szCs w:val="24"/>
          <w:lang w:val="en-US"/>
        </w:rPr>
        <w:t xml:space="preserve"> (positive or negative). In total,</w:t>
      </w:r>
      <w:r w:rsidR="00A87883">
        <w:rPr>
          <w:rFonts w:ascii="Arial" w:hAnsi="Arial" w:cs="Arial"/>
          <w:bCs/>
          <w:color w:val="0070C0"/>
          <w:sz w:val="24"/>
          <w:szCs w:val="24"/>
          <w:lang w:val="en-US"/>
        </w:rPr>
        <w:t xml:space="preserve"> the % is below 1%. </w:t>
      </w:r>
    </w:p>
    <w:p w14:paraId="00B6198A" w14:textId="5A115A17" w:rsidR="00696AE3" w:rsidRDefault="00941F3C" w:rsidP="0014547C">
      <w:pPr>
        <w:ind w:left="720"/>
        <w:rPr>
          <w:rFonts w:ascii="Arial" w:hAnsi="Arial" w:cs="Arial"/>
          <w:bCs/>
          <w:color w:val="0070C0"/>
          <w:sz w:val="24"/>
          <w:szCs w:val="24"/>
          <w:lang w:val="en-US"/>
        </w:rPr>
      </w:pPr>
      <w:r>
        <w:rPr>
          <w:rFonts w:ascii="Arial" w:hAnsi="Arial" w:cs="Arial"/>
          <w:bCs/>
          <w:color w:val="0070C0"/>
          <w:sz w:val="24"/>
          <w:szCs w:val="24"/>
          <w:lang w:val="en-US"/>
        </w:rPr>
        <w:t>For 2018, there are 9</w:t>
      </w:r>
      <w:r w:rsidR="00770E23">
        <w:rPr>
          <w:rFonts w:ascii="Arial" w:hAnsi="Arial" w:cs="Arial"/>
          <w:bCs/>
          <w:color w:val="0070C0"/>
          <w:sz w:val="24"/>
          <w:szCs w:val="24"/>
          <w:lang w:val="en-US"/>
        </w:rPr>
        <w:t xml:space="preserve"> months above 1%</w:t>
      </w:r>
      <w:r w:rsidR="00996F38">
        <w:rPr>
          <w:rFonts w:ascii="Arial" w:hAnsi="Arial" w:cs="Arial"/>
          <w:bCs/>
          <w:color w:val="0070C0"/>
          <w:sz w:val="24"/>
          <w:szCs w:val="24"/>
          <w:lang w:val="en-US"/>
        </w:rPr>
        <w:t>, plus 1 at 0.95% and 1 at 0.99%</w:t>
      </w:r>
      <w:r w:rsidR="00770E23">
        <w:rPr>
          <w:rFonts w:ascii="Arial" w:hAnsi="Arial" w:cs="Arial"/>
          <w:bCs/>
          <w:color w:val="0070C0"/>
          <w:sz w:val="24"/>
          <w:szCs w:val="24"/>
          <w:lang w:val="en-US"/>
        </w:rPr>
        <w:t xml:space="preserve">. </w:t>
      </w:r>
      <w:r w:rsidR="00732885">
        <w:rPr>
          <w:rFonts w:ascii="Arial" w:hAnsi="Arial" w:cs="Arial"/>
          <w:bCs/>
          <w:color w:val="0070C0"/>
          <w:sz w:val="24"/>
          <w:szCs w:val="24"/>
          <w:lang w:val="en-US"/>
        </w:rPr>
        <w:t xml:space="preserve"> </w:t>
      </w:r>
    </w:p>
    <w:p w14:paraId="70D523C6" w14:textId="0203BBDE" w:rsidR="00A57790" w:rsidRDefault="00B85407" w:rsidP="00A57790">
      <w:pPr>
        <w:ind w:left="720"/>
        <w:rPr>
          <w:rFonts w:ascii="Arial" w:hAnsi="Arial" w:cs="Arial"/>
          <w:bCs/>
          <w:color w:val="0070C0"/>
          <w:sz w:val="24"/>
          <w:szCs w:val="24"/>
          <w:lang w:val="en-US"/>
        </w:rPr>
      </w:pPr>
      <w:r>
        <w:rPr>
          <w:rFonts w:ascii="Arial" w:hAnsi="Arial" w:cs="Arial"/>
          <w:bCs/>
          <w:color w:val="0070C0"/>
          <w:sz w:val="24"/>
          <w:szCs w:val="24"/>
          <w:lang w:val="en-US"/>
        </w:rPr>
        <w:t xml:space="preserve">For </w:t>
      </w:r>
      <w:r w:rsidR="00952B72" w:rsidRPr="00952B72">
        <w:rPr>
          <w:rFonts w:ascii="Arial" w:hAnsi="Arial" w:cs="Arial"/>
          <w:bCs/>
          <w:color w:val="0070C0"/>
          <w:sz w:val="24"/>
          <w:szCs w:val="24"/>
          <w:lang w:val="en-US"/>
        </w:rPr>
        <w:t xml:space="preserve">2019, </w:t>
      </w:r>
      <w:r w:rsidR="00C75C56">
        <w:rPr>
          <w:rFonts w:ascii="Arial" w:hAnsi="Arial" w:cs="Arial"/>
          <w:bCs/>
          <w:color w:val="0070C0"/>
          <w:sz w:val="24"/>
          <w:szCs w:val="24"/>
          <w:lang w:val="en-US"/>
        </w:rPr>
        <w:t xml:space="preserve">there is only 1 month </w:t>
      </w:r>
      <w:r w:rsidR="00A57790">
        <w:rPr>
          <w:rFonts w:ascii="Arial" w:hAnsi="Arial" w:cs="Arial"/>
          <w:bCs/>
          <w:color w:val="0070C0"/>
          <w:sz w:val="24"/>
          <w:szCs w:val="24"/>
          <w:lang w:val="en-US"/>
        </w:rPr>
        <w:t>above 1%.</w:t>
      </w:r>
    </w:p>
    <w:p w14:paraId="7BC54E3D" w14:textId="5121C977" w:rsidR="007A12C3" w:rsidRDefault="00CA5329" w:rsidP="00DF6BCE">
      <w:pPr>
        <w:ind w:left="720"/>
        <w:rPr>
          <w:rFonts w:ascii="Arial" w:hAnsi="Arial" w:cs="Arial"/>
          <w:bCs/>
          <w:color w:val="0070C0"/>
          <w:sz w:val="24"/>
          <w:szCs w:val="24"/>
          <w:lang w:val="en-US"/>
        </w:rPr>
      </w:pPr>
      <w:r w:rsidRPr="00682158">
        <w:rPr>
          <w:rFonts w:ascii="Arial" w:hAnsi="Arial" w:cs="Arial"/>
          <w:bCs/>
          <w:color w:val="0070C0"/>
          <w:sz w:val="24"/>
          <w:szCs w:val="24"/>
          <w:lang w:val="en-US"/>
        </w:rPr>
        <w:t xml:space="preserve">2017 to 2019 have been recalculated </w:t>
      </w:r>
      <w:r w:rsidR="00A3412D" w:rsidRPr="00682158">
        <w:rPr>
          <w:rFonts w:ascii="Arial" w:hAnsi="Arial" w:cs="Arial"/>
          <w:bCs/>
          <w:color w:val="0070C0"/>
          <w:sz w:val="24"/>
          <w:szCs w:val="24"/>
          <w:lang w:val="en-US"/>
        </w:rPr>
        <w:t>using the same method</w:t>
      </w:r>
      <w:r w:rsidR="00DF6BCE" w:rsidRPr="00682158">
        <w:rPr>
          <w:rFonts w:ascii="Arial" w:hAnsi="Arial" w:cs="Arial"/>
          <w:bCs/>
          <w:color w:val="0070C0"/>
          <w:sz w:val="24"/>
          <w:szCs w:val="24"/>
          <w:lang w:val="en-US"/>
        </w:rPr>
        <w:t>.</w:t>
      </w:r>
      <w:r w:rsidR="009A7A93" w:rsidRPr="00682158">
        <w:rPr>
          <w:rFonts w:ascii="Arial" w:hAnsi="Arial" w:cs="Arial"/>
          <w:bCs/>
          <w:color w:val="0070C0"/>
          <w:sz w:val="24"/>
          <w:szCs w:val="24"/>
          <w:lang w:val="en-US"/>
        </w:rPr>
        <w:t xml:space="preserve"> HHI </w:t>
      </w:r>
      <w:proofErr w:type="gramStart"/>
      <w:r w:rsidR="009A7A93" w:rsidRPr="00682158">
        <w:rPr>
          <w:rFonts w:ascii="Arial" w:hAnsi="Arial" w:cs="Arial"/>
          <w:bCs/>
          <w:color w:val="0070C0"/>
          <w:sz w:val="24"/>
          <w:szCs w:val="24"/>
          <w:lang w:val="en-US"/>
        </w:rPr>
        <w:t>can’t</w:t>
      </w:r>
      <w:proofErr w:type="gramEnd"/>
      <w:r w:rsidR="009A7A93" w:rsidRPr="00682158">
        <w:rPr>
          <w:rFonts w:ascii="Arial" w:hAnsi="Arial" w:cs="Arial"/>
          <w:bCs/>
          <w:color w:val="0070C0"/>
          <w:sz w:val="24"/>
          <w:szCs w:val="24"/>
          <w:lang w:val="en-US"/>
        </w:rPr>
        <w:t xml:space="preserve"> explain why </w:t>
      </w:r>
      <w:r w:rsidR="0099229C" w:rsidRPr="00682158">
        <w:rPr>
          <w:rFonts w:ascii="Arial" w:hAnsi="Arial" w:cs="Arial"/>
          <w:bCs/>
          <w:color w:val="0070C0"/>
          <w:sz w:val="24"/>
          <w:szCs w:val="24"/>
          <w:lang w:val="en-US"/>
        </w:rPr>
        <w:t>the 2018 total is a bit above 1%.</w:t>
      </w:r>
    </w:p>
    <w:p w14:paraId="183ABDBD" w14:textId="77777777" w:rsidR="00230184" w:rsidRPr="00952B72" w:rsidRDefault="00230184" w:rsidP="00DF6BCE">
      <w:pPr>
        <w:ind w:left="720"/>
        <w:rPr>
          <w:rFonts w:ascii="Arial" w:eastAsiaTheme="majorEastAsia" w:hAnsi="Arial" w:cstheme="majorBidi"/>
          <w:b/>
          <w:sz w:val="24"/>
          <w:szCs w:val="24"/>
          <w:lang w:val="en-US"/>
        </w:rPr>
      </w:pPr>
    </w:p>
    <w:p w14:paraId="15AB220D" w14:textId="212337C4" w:rsidR="00A350EF" w:rsidRPr="00BA6E5D" w:rsidRDefault="00A350EF" w:rsidP="00A350EF">
      <w:pPr>
        <w:pStyle w:val="Heading2"/>
        <w:rPr>
          <w:szCs w:val="24"/>
          <w:lang w:val="fr-CA"/>
        </w:rPr>
      </w:pPr>
      <w:r w:rsidRPr="00BA6E5D">
        <w:rPr>
          <w:szCs w:val="24"/>
          <w:lang w:val="fr-CA"/>
        </w:rPr>
        <w:t>Staff Question-</w:t>
      </w:r>
      <w:r w:rsidR="006A6FB8" w:rsidRPr="00BA6E5D">
        <w:rPr>
          <w:szCs w:val="24"/>
          <w:lang w:val="fr-CA"/>
        </w:rPr>
        <w:t>5</w:t>
      </w:r>
    </w:p>
    <w:p w14:paraId="6145F735" w14:textId="77777777" w:rsidR="00A350EF" w:rsidRPr="00BA6E5D" w:rsidRDefault="00A350EF" w:rsidP="00A350EF">
      <w:pPr>
        <w:pStyle w:val="NoSpacing"/>
        <w:rPr>
          <w:rFonts w:ascii="Arial" w:hAnsi="Arial" w:cs="Arial"/>
          <w:sz w:val="24"/>
          <w:szCs w:val="24"/>
          <w:lang w:val="fr-CA"/>
        </w:rPr>
      </w:pPr>
      <w:proofErr w:type="spellStart"/>
      <w:r w:rsidRPr="00BA6E5D">
        <w:rPr>
          <w:rFonts w:ascii="Arial" w:hAnsi="Arial" w:cs="Arial"/>
          <w:sz w:val="24"/>
          <w:szCs w:val="24"/>
          <w:lang w:val="fr-CA"/>
        </w:rPr>
        <w:t>Ref</w:t>
      </w:r>
      <w:proofErr w:type="spellEnd"/>
      <w:r w:rsidRPr="00BA6E5D">
        <w:rPr>
          <w:rFonts w:ascii="Arial" w:hAnsi="Arial" w:cs="Arial"/>
          <w:sz w:val="24"/>
          <w:szCs w:val="24"/>
          <w:lang w:val="fr-CA"/>
        </w:rPr>
        <w:t>:</w:t>
      </w:r>
      <w:r w:rsidRPr="00BA6E5D">
        <w:rPr>
          <w:rFonts w:ascii="Arial" w:hAnsi="Arial" w:cs="Arial"/>
          <w:sz w:val="24"/>
          <w:szCs w:val="24"/>
          <w:lang w:val="fr-CA"/>
        </w:rPr>
        <w:tab/>
        <w:t>Application, pages 17-18</w:t>
      </w:r>
    </w:p>
    <w:p w14:paraId="542985B8" w14:textId="77777777" w:rsidR="00A350EF" w:rsidRPr="00A31531" w:rsidRDefault="00A350EF" w:rsidP="00A350EF">
      <w:pPr>
        <w:pStyle w:val="NoSpacing"/>
        <w:ind w:firstLine="720"/>
        <w:rPr>
          <w:rFonts w:ascii="Arial" w:hAnsi="Arial" w:cs="Arial"/>
          <w:sz w:val="24"/>
          <w:szCs w:val="24"/>
        </w:rPr>
      </w:pPr>
      <w:r w:rsidRPr="00A31531">
        <w:rPr>
          <w:rFonts w:ascii="Arial" w:hAnsi="Arial" w:cs="Arial"/>
          <w:sz w:val="24"/>
          <w:szCs w:val="24"/>
        </w:rPr>
        <w:t>GA Analysis Workform</w:t>
      </w:r>
      <w:r>
        <w:rPr>
          <w:rFonts w:ascii="Arial" w:hAnsi="Arial" w:cs="Arial"/>
          <w:sz w:val="24"/>
          <w:szCs w:val="24"/>
        </w:rPr>
        <w:t xml:space="preserve"> </w:t>
      </w:r>
    </w:p>
    <w:p w14:paraId="57FBB909" w14:textId="77777777" w:rsidR="00A350EF" w:rsidRPr="00A31531" w:rsidRDefault="00A350EF" w:rsidP="00A350EF">
      <w:pPr>
        <w:pStyle w:val="NoSpacing"/>
        <w:rPr>
          <w:rFonts w:ascii="Arial" w:hAnsi="Arial" w:cs="Arial"/>
          <w:sz w:val="24"/>
          <w:szCs w:val="24"/>
        </w:rPr>
      </w:pPr>
      <w:r w:rsidRPr="00A31531">
        <w:rPr>
          <w:rFonts w:ascii="Arial" w:hAnsi="Arial" w:cs="Arial"/>
          <w:sz w:val="24"/>
          <w:szCs w:val="24"/>
        </w:rPr>
        <w:tab/>
      </w:r>
    </w:p>
    <w:p w14:paraId="6EF67C43" w14:textId="77777777" w:rsidR="00A350EF" w:rsidRPr="00D91AE1" w:rsidRDefault="00A350EF" w:rsidP="00A350EF">
      <w:pPr>
        <w:rPr>
          <w:rFonts w:ascii="Arial" w:hAnsi="Arial" w:cs="Arial"/>
          <w:sz w:val="24"/>
          <w:szCs w:val="24"/>
        </w:rPr>
      </w:pPr>
      <w:r w:rsidRPr="00D91AE1">
        <w:rPr>
          <w:rFonts w:ascii="Arial" w:hAnsi="Arial" w:cs="Arial"/>
          <w:sz w:val="24"/>
          <w:szCs w:val="24"/>
        </w:rPr>
        <w:t>The following explanation was provided at Note 4 of the GA Analysis Workform:</w:t>
      </w:r>
    </w:p>
    <w:p w14:paraId="010A090F" w14:textId="6B60AEA7" w:rsidR="00A350EF" w:rsidRPr="00D91AE1" w:rsidRDefault="00F036A7" w:rsidP="00A350EF">
      <w:pPr>
        <w:ind w:left="360"/>
        <w:rPr>
          <w:rFonts w:ascii="Arial" w:hAnsi="Arial" w:cs="Arial"/>
          <w:bCs/>
          <w:sz w:val="24"/>
          <w:szCs w:val="24"/>
        </w:rPr>
      </w:pPr>
      <w:r>
        <w:rPr>
          <w:rFonts w:ascii="Arial" w:hAnsi="Arial" w:cs="Arial"/>
          <w:bCs/>
          <w:sz w:val="24"/>
          <w:szCs w:val="24"/>
        </w:rPr>
        <w:t>“</w:t>
      </w:r>
      <w:r w:rsidR="00A350EF" w:rsidRPr="00D91AE1">
        <w:rPr>
          <w:rFonts w:ascii="Arial" w:hAnsi="Arial" w:cs="Arial"/>
          <w:bCs/>
          <w:sz w:val="24"/>
          <w:szCs w:val="24"/>
        </w:rPr>
        <w:t>With the new method, recalculations have made remade</w:t>
      </w:r>
      <w:r>
        <w:rPr>
          <w:rFonts w:ascii="Arial" w:hAnsi="Arial" w:cs="Arial"/>
          <w:bCs/>
          <w:sz w:val="24"/>
          <w:szCs w:val="24"/>
        </w:rPr>
        <w:t xml:space="preserve"> [sic]</w:t>
      </w:r>
      <w:r w:rsidR="00A350EF" w:rsidRPr="00D91AE1">
        <w:rPr>
          <w:rFonts w:ascii="Arial" w:hAnsi="Arial" w:cs="Arial"/>
          <w:bCs/>
          <w:sz w:val="24"/>
          <w:szCs w:val="24"/>
        </w:rPr>
        <w:t xml:space="preserve"> for 2017, 2018 and 2019. Because the previous method was different, there is a shift between RPP and non-RPP. The numbers at the top of this spreadsheet are the numbers originally submitted. Because there was a change between RPP and non-RPP, this has an impact on the loss factor. The numbers at the top of this spreadsheet are protected. We are unable to change them.</w:t>
      </w:r>
      <w:r>
        <w:rPr>
          <w:rFonts w:ascii="Arial" w:hAnsi="Arial" w:cs="Arial"/>
          <w:bCs/>
          <w:sz w:val="24"/>
          <w:szCs w:val="24"/>
        </w:rPr>
        <w:t>”</w:t>
      </w:r>
    </w:p>
    <w:p w14:paraId="790A3B85" w14:textId="429CDA89" w:rsidR="00A350EF" w:rsidRDefault="00A350EF" w:rsidP="008F39A7">
      <w:pPr>
        <w:pStyle w:val="ListParagraph"/>
        <w:numPr>
          <w:ilvl w:val="0"/>
          <w:numId w:val="19"/>
        </w:numPr>
        <w:ind w:left="720"/>
        <w:rPr>
          <w:rFonts w:ascii="Arial" w:hAnsi="Arial" w:cs="Arial"/>
          <w:sz w:val="24"/>
          <w:szCs w:val="24"/>
        </w:rPr>
      </w:pPr>
      <w:r w:rsidRPr="00D91AE1">
        <w:rPr>
          <w:rFonts w:ascii="Arial" w:hAnsi="Arial" w:cs="Arial"/>
          <w:sz w:val="24"/>
          <w:szCs w:val="24"/>
        </w:rPr>
        <w:t>Based on Note 4 above, please describe the impact on the loss factor</w:t>
      </w:r>
      <w:r w:rsidRPr="00693EDD">
        <w:rPr>
          <w:rFonts w:ascii="Arial" w:hAnsi="Arial" w:cs="Arial"/>
          <w:sz w:val="24"/>
          <w:szCs w:val="24"/>
        </w:rPr>
        <w:t xml:space="preserve"> due to the reallocations between RPP and non-RPP</w:t>
      </w:r>
      <w:r>
        <w:rPr>
          <w:rFonts w:ascii="Arial" w:hAnsi="Arial" w:cs="Arial"/>
          <w:sz w:val="24"/>
          <w:szCs w:val="24"/>
        </w:rPr>
        <w:t>.</w:t>
      </w:r>
      <w:r w:rsidR="00DF35B6">
        <w:rPr>
          <w:rFonts w:ascii="Arial" w:hAnsi="Arial" w:cs="Arial"/>
          <w:sz w:val="24"/>
          <w:szCs w:val="24"/>
        </w:rPr>
        <w:t xml:space="preserve"> If the impacts are not demonstrated in the responses to Staff Question-6 b) and c), please discuss what has changed and why.</w:t>
      </w:r>
    </w:p>
    <w:p w14:paraId="22CC5D50" w14:textId="06F75597" w:rsidR="006F0A05" w:rsidRDefault="007A12C3" w:rsidP="000D5809">
      <w:pPr>
        <w:ind w:left="720"/>
        <w:rPr>
          <w:rFonts w:ascii="Arial" w:hAnsi="Arial" w:cs="Arial"/>
          <w:bCs/>
          <w:color w:val="0070C0"/>
          <w:sz w:val="24"/>
          <w:szCs w:val="24"/>
          <w:lang w:val="en-US"/>
        </w:rPr>
      </w:pPr>
      <w:r w:rsidRPr="001C3512">
        <w:rPr>
          <w:rFonts w:ascii="Arial" w:hAnsi="Arial" w:cs="Arial"/>
          <w:b/>
          <w:color w:val="0070C0"/>
          <w:sz w:val="24"/>
          <w:szCs w:val="24"/>
          <w:lang w:val="en-US"/>
        </w:rPr>
        <w:t>HHI Response:</w:t>
      </w:r>
      <w:r w:rsidR="000D5809" w:rsidRPr="001C3512">
        <w:rPr>
          <w:rFonts w:ascii="Arial" w:hAnsi="Arial" w:cs="Arial"/>
          <w:b/>
          <w:color w:val="0070C0"/>
          <w:sz w:val="24"/>
          <w:szCs w:val="24"/>
          <w:lang w:val="en-US"/>
        </w:rPr>
        <w:t xml:space="preserve"> </w:t>
      </w:r>
      <w:r w:rsidR="00513AC0">
        <w:rPr>
          <w:rFonts w:ascii="Arial" w:hAnsi="Arial" w:cs="Arial"/>
          <w:bCs/>
          <w:color w:val="0070C0"/>
          <w:sz w:val="24"/>
          <w:szCs w:val="24"/>
          <w:lang w:val="en-US"/>
        </w:rPr>
        <w:t xml:space="preserve">See answer to question 2a) </w:t>
      </w:r>
      <w:r w:rsidR="00D641C9">
        <w:rPr>
          <w:rFonts w:ascii="Arial" w:hAnsi="Arial" w:cs="Arial"/>
          <w:bCs/>
          <w:color w:val="0070C0"/>
          <w:sz w:val="24"/>
          <w:szCs w:val="24"/>
          <w:lang w:val="en-US"/>
        </w:rPr>
        <w:t>for explanations of changes made</w:t>
      </w:r>
      <w:r w:rsidR="00993A9D">
        <w:rPr>
          <w:rFonts w:ascii="Arial" w:hAnsi="Arial" w:cs="Arial"/>
          <w:bCs/>
          <w:color w:val="0070C0"/>
          <w:sz w:val="24"/>
          <w:szCs w:val="24"/>
          <w:lang w:val="en-US"/>
        </w:rPr>
        <w:t xml:space="preserve">. </w:t>
      </w:r>
      <w:r w:rsidR="00E16523">
        <w:rPr>
          <w:rFonts w:ascii="Arial" w:hAnsi="Arial" w:cs="Arial"/>
          <w:bCs/>
          <w:color w:val="0070C0"/>
          <w:sz w:val="24"/>
          <w:szCs w:val="24"/>
          <w:lang w:val="en-US"/>
        </w:rPr>
        <w:t>GA Analysis Workform has been updated</w:t>
      </w:r>
      <w:r w:rsidR="001B5932">
        <w:rPr>
          <w:rFonts w:ascii="Arial" w:hAnsi="Arial" w:cs="Arial"/>
          <w:bCs/>
          <w:color w:val="0070C0"/>
          <w:sz w:val="24"/>
          <w:szCs w:val="24"/>
          <w:lang w:val="en-US"/>
        </w:rPr>
        <w:t xml:space="preserve">. The only information not updated is in the protected section at the top. </w:t>
      </w:r>
      <w:r w:rsidR="00EF2810">
        <w:rPr>
          <w:rFonts w:ascii="Arial" w:hAnsi="Arial" w:cs="Arial"/>
          <w:bCs/>
          <w:color w:val="0070C0"/>
          <w:sz w:val="24"/>
          <w:szCs w:val="24"/>
          <w:lang w:val="en-US"/>
        </w:rPr>
        <w:t xml:space="preserve">Total </w:t>
      </w:r>
      <w:r w:rsidR="00BA6E5D">
        <w:rPr>
          <w:rFonts w:ascii="Arial" w:hAnsi="Arial" w:cs="Arial"/>
          <w:bCs/>
          <w:color w:val="0070C0"/>
          <w:sz w:val="24"/>
          <w:szCs w:val="24"/>
          <w:lang w:val="en-US"/>
        </w:rPr>
        <w:t>kWh</w:t>
      </w:r>
      <w:r w:rsidR="00EF2810">
        <w:rPr>
          <w:rFonts w:ascii="Arial" w:hAnsi="Arial" w:cs="Arial"/>
          <w:bCs/>
          <w:color w:val="0070C0"/>
          <w:sz w:val="24"/>
          <w:szCs w:val="24"/>
          <w:lang w:val="en-US"/>
        </w:rPr>
        <w:t xml:space="preserve"> </w:t>
      </w:r>
      <w:proofErr w:type="gramStart"/>
      <w:r w:rsidR="00EF2810">
        <w:rPr>
          <w:rFonts w:ascii="Arial" w:hAnsi="Arial" w:cs="Arial"/>
          <w:bCs/>
          <w:color w:val="0070C0"/>
          <w:sz w:val="24"/>
          <w:szCs w:val="24"/>
          <w:lang w:val="en-US"/>
        </w:rPr>
        <w:t>are</w:t>
      </w:r>
      <w:proofErr w:type="gramEnd"/>
      <w:r w:rsidR="00EF2810">
        <w:rPr>
          <w:rFonts w:ascii="Arial" w:hAnsi="Arial" w:cs="Arial"/>
          <w:bCs/>
          <w:color w:val="0070C0"/>
          <w:sz w:val="24"/>
          <w:szCs w:val="24"/>
          <w:lang w:val="en-US"/>
        </w:rPr>
        <w:t xml:space="preserve"> correct</w:t>
      </w:r>
      <w:r w:rsidR="00BA6E5D">
        <w:rPr>
          <w:rFonts w:ascii="Arial" w:hAnsi="Arial" w:cs="Arial"/>
          <w:bCs/>
          <w:color w:val="0070C0"/>
          <w:sz w:val="24"/>
          <w:szCs w:val="24"/>
          <w:lang w:val="en-US"/>
        </w:rPr>
        <w:t>,</w:t>
      </w:r>
      <w:r w:rsidR="00EF2810">
        <w:rPr>
          <w:rFonts w:ascii="Arial" w:hAnsi="Arial" w:cs="Arial"/>
          <w:bCs/>
          <w:color w:val="0070C0"/>
          <w:sz w:val="24"/>
          <w:szCs w:val="24"/>
          <w:lang w:val="en-US"/>
        </w:rPr>
        <w:t xml:space="preserve"> but reclassifications need to be made between RPP, Non-</w:t>
      </w:r>
      <w:r w:rsidR="002A58D4">
        <w:rPr>
          <w:rFonts w:ascii="Arial" w:hAnsi="Arial" w:cs="Arial"/>
          <w:bCs/>
          <w:color w:val="0070C0"/>
          <w:sz w:val="24"/>
          <w:szCs w:val="24"/>
          <w:lang w:val="en-US"/>
        </w:rPr>
        <w:t>RPP Class A</w:t>
      </w:r>
      <w:r w:rsidR="00BA6E5D">
        <w:rPr>
          <w:rFonts w:ascii="Arial" w:hAnsi="Arial" w:cs="Arial"/>
          <w:bCs/>
          <w:color w:val="0070C0"/>
          <w:sz w:val="24"/>
          <w:szCs w:val="24"/>
          <w:lang w:val="en-US"/>
        </w:rPr>
        <w:t>,</w:t>
      </w:r>
      <w:r w:rsidR="002A58D4">
        <w:rPr>
          <w:rFonts w:ascii="Arial" w:hAnsi="Arial" w:cs="Arial"/>
          <w:bCs/>
          <w:color w:val="0070C0"/>
          <w:sz w:val="24"/>
          <w:szCs w:val="24"/>
          <w:lang w:val="en-US"/>
        </w:rPr>
        <w:t xml:space="preserve"> and Non-RPP Class B.</w:t>
      </w:r>
    </w:p>
    <w:tbl>
      <w:tblPr>
        <w:tblW w:w="9360" w:type="dxa"/>
        <w:tblLayout w:type="fixed"/>
        <w:tblLook w:val="04A0" w:firstRow="1" w:lastRow="0" w:firstColumn="1" w:lastColumn="0" w:noHBand="0" w:noVBand="1"/>
      </w:tblPr>
      <w:tblGrid>
        <w:gridCol w:w="2677"/>
        <w:gridCol w:w="1296"/>
        <w:gridCol w:w="110"/>
        <w:gridCol w:w="13"/>
        <w:gridCol w:w="44"/>
        <w:gridCol w:w="1240"/>
        <w:gridCol w:w="71"/>
        <w:gridCol w:w="80"/>
        <w:gridCol w:w="49"/>
        <w:gridCol w:w="970"/>
        <w:gridCol w:w="200"/>
        <w:gridCol w:w="36"/>
        <w:gridCol w:w="206"/>
        <w:gridCol w:w="30"/>
        <w:gridCol w:w="206"/>
        <w:gridCol w:w="30"/>
        <w:gridCol w:w="206"/>
        <w:gridCol w:w="30"/>
        <w:gridCol w:w="206"/>
        <w:gridCol w:w="30"/>
        <w:gridCol w:w="206"/>
        <w:gridCol w:w="16"/>
        <w:gridCol w:w="14"/>
        <w:gridCol w:w="206"/>
        <w:gridCol w:w="16"/>
        <w:gridCol w:w="18"/>
        <w:gridCol w:w="194"/>
        <w:gridCol w:w="12"/>
        <w:gridCol w:w="23"/>
        <w:gridCol w:w="19"/>
        <w:gridCol w:w="198"/>
        <w:gridCol w:w="8"/>
        <w:gridCol w:w="228"/>
        <w:gridCol w:w="236"/>
        <w:gridCol w:w="236"/>
      </w:tblGrid>
      <w:tr w:rsidR="005B3349" w:rsidRPr="00FC2D79" w14:paraId="3140CB2A" w14:textId="77777777" w:rsidTr="005B3349">
        <w:trPr>
          <w:gridAfter w:val="13"/>
          <w:wAfter w:w="1408" w:type="dxa"/>
          <w:trHeight w:val="276"/>
        </w:trPr>
        <w:tc>
          <w:tcPr>
            <w:tcW w:w="2677" w:type="dxa"/>
            <w:tcBorders>
              <w:top w:val="nil"/>
              <w:left w:val="nil"/>
              <w:bottom w:val="nil"/>
              <w:right w:val="nil"/>
            </w:tcBorders>
            <w:shd w:val="clear" w:color="auto" w:fill="auto"/>
            <w:noWrap/>
            <w:vAlign w:val="bottom"/>
            <w:hideMark/>
          </w:tcPr>
          <w:p w14:paraId="630E1471" w14:textId="77777777" w:rsidR="00FC2D79" w:rsidRDefault="00FC2D79" w:rsidP="00FC2D79">
            <w:pPr>
              <w:spacing w:after="0" w:line="240" w:lineRule="auto"/>
              <w:rPr>
                <w:rFonts w:ascii="Times New Roman" w:eastAsia="Times New Roman" w:hAnsi="Times New Roman" w:cs="Times New Roman"/>
                <w:sz w:val="24"/>
                <w:szCs w:val="24"/>
                <w:lang w:val="en-US"/>
              </w:rPr>
            </w:pPr>
          </w:p>
          <w:p w14:paraId="4B3BF8B2" w14:textId="3E3AD500" w:rsidR="00A26170" w:rsidRPr="00FC2D79" w:rsidRDefault="00A26170" w:rsidP="00FC2D79">
            <w:pPr>
              <w:spacing w:after="0" w:line="240" w:lineRule="auto"/>
              <w:rPr>
                <w:rFonts w:ascii="Times New Roman" w:eastAsia="Times New Roman" w:hAnsi="Times New Roman" w:cs="Times New Roman"/>
                <w:sz w:val="24"/>
                <w:szCs w:val="24"/>
                <w:lang w:val="en-US"/>
              </w:rPr>
            </w:pPr>
          </w:p>
        </w:tc>
        <w:tc>
          <w:tcPr>
            <w:tcW w:w="1296" w:type="dxa"/>
            <w:tcBorders>
              <w:top w:val="nil"/>
              <w:left w:val="nil"/>
              <w:bottom w:val="nil"/>
              <w:right w:val="nil"/>
            </w:tcBorders>
            <w:shd w:val="clear" w:color="auto" w:fill="auto"/>
            <w:noWrap/>
            <w:vAlign w:val="bottom"/>
            <w:hideMark/>
          </w:tcPr>
          <w:p w14:paraId="56C0AFE3" w14:textId="77777777" w:rsidR="00FC2D79" w:rsidRPr="00FC2D79" w:rsidRDefault="00FC2D79" w:rsidP="00FC2D79">
            <w:pPr>
              <w:spacing w:after="0" w:line="240" w:lineRule="auto"/>
              <w:rPr>
                <w:rFonts w:ascii="Times New Roman" w:eastAsia="Times New Roman" w:hAnsi="Times New Roman" w:cs="Times New Roman"/>
                <w:sz w:val="20"/>
                <w:szCs w:val="20"/>
                <w:lang w:val="en-US"/>
              </w:rPr>
            </w:pPr>
          </w:p>
        </w:tc>
        <w:tc>
          <w:tcPr>
            <w:tcW w:w="1407" w:type="dxa"/>
            <w:gridSpan w:val="4"/>
            <w:tcBorders>
              <w:top w:val="nil"/>
              <w:left w:val="nil"/>
              <w:bottom w:val="nil"/>
              <w:right w:val="nil"/>
            </w:tcBorders>
            <w:shd w:val="clear" w:color="auto" w:fill="auto"/>
            <w:noWrap/>
            <w:vAlign w:val="bottom"/>
            <w:hideMark/>
          </w:tcPr>
          <w:p w14:paraId="39286E88" w14:textId="77777777" w:rsidR="00FC2D79" w:rsidRPr="00FC2D79" w:rsidRDefault="00FC2D79" w:rsidP="00FC2D79">
            <w:pPr>
              <w:spacing w:after="0" w:line="240" w:lineRule="auto"/>
              <w:rPr>
                <w:rFonts w:ascii="Times New Roman" w:eastAsia="Times New Roman" w:hAnsi="Times New Roman" w:cs="Times New Roman"/>
                <w:sz w:val="20"/>
                <w:szCs w:val="20"/>
                <w:lang w:val="en-US"/>
              </w:rPr>
            </w:pPr>
          </w:p>
        </w:tc>
        <w:tc>
          <w:tcPr>
            <w:tcW w:w="2572" w:type="dxa"/>
            <w:gridSpan w:val="16"/>
            <w:tcBorders>
              <w:top w:val="nil"/>
              <w:left w:val="nil"/>
              <w:bottom w:val="nil"/>
              <w:right w:val="nil"/>
            </w:tcBorders>
            <w:shd w:val="clear" w:color="auto" w:fill="auto"/>
            <w:noWrap/>
            <w:vAlign w:val="bottom"/>
            <w:hideMark/>
          </w:tcPr>
          <w:p w14:paraId="5F2533CB" w14:textId="77777777" w:rsidR="00FC2D79" w:rsidRPr="00FC2D79" w:rsidRDefault="00FC2D79" w:rsidP="00FC2D79">
            <w:pPr>
              <w:spacing w:after="0" w:line="240" w:lineRule="auto"/>
              <w:rPr>
                <w:rFonts w:ascii="Times New Roman" w:eastAsia="Times New Roman" w:hAnsi="Times New Roman" w:cs="Times New Roman"/>
                <w:sz w:val="20"/>
                <w:szCs w:val="20"/>
                <w:lang w:val="en-US"/>
              </w:rPr>
            </w:pPr>
          </w:p>
        </w:tc>
      </w:tr>
      <w:tr w:rsidR="00FC2D79" w:rsidRPr="00FC2D79" w14:paraId="553E76AD" w14:textId="77777777" w:rsidTr="005B3349">
        <w:trPr>
          <w:gridAfter w:val="13"/>
          <w:wAfter w:w="1408" w:type="dxa"/>
          <w:trHeight w:val="288"/>
        </w:trPr>
        <w:tc>
          <w:tcPr>
            <w:tcW w:w="2677" w:type="dxa"/>
            <w:tcBorders>
              <w:top w:val="nil"/>
              <w:left w:val="nil"/>
              <w:bottom w:val="nil"/>
              <w:right w:val="nil"/>
            </w:tcBorders>
            <w:shd w:val="clear" w:color="auto" w:fill="auto"/>
            <w:noWrap/>
            <w:vAlign w:val="bottom"/>
            <w:hideMark/>
          </w:tcPr>
          <w:p w14:paraId="1DBECAA0" w14:textId="77777777" w:rsidR="00FC2D79" w:rsidRPr="00FC2D79" w:rsidRDefault="00FC2D79" w:rsidP="00FC2D79">
            <w:pPr>
              <w:spacing w:after="0" w:line="240" w:lineRule="auto"/>
              <w:rPr>
                <w:rFonts w:ascii="Times New Roman" w:eastAsia="Times New Roman" w:hAnsi="Times New Roman" w:cs="Times New Roman"/>
                <w:sz w:val="20"/>
                <w:szCs w:val="20"/>
                <w:lang w:val="en-US"/>
              </w:rPr>
            </w:pPr>
          </w:p>
        </w:tc>
        <w:tc>
          <w:tcPr>
            <w:tcW w:w="5275" w:type="dxa"/>
            <w:gridSpan w:val="21"/>
            <w:tcBorders>
              <w:top w:val="single" w:sz="12" w:space="0" w:color="0070C0"/>
              <w:left w:val="single" w:sz="12" w:space="0" w:color="0070C0"/>
              <w:bottom w:val="single" w:sz="12" w:space="0" w:color="0070C0"/>
              <w:right w:val="single" w:sz="12" w:space="0" w:color="0070C0"/>
            </w:tcBorders>
            <w:shd w:val="clear" w:color="auto" w:fill="auto"/>
            <w:vAlign w:val="bottom"/>
            <w:hideMark/>
          </w:tcPr>
          <w:p w14:paraId="3B7010BA" w14:textId="77777777" w:rsidR="00FC2D79" w:rsidRPr="00FC2D79" w:rsidRDefault="00FC2D79" w:rsidP="00FC2D79">
            <w:pPr>
              <w:spacing w:after="0" w:line="240" w:lineRule="auto"/>
              <w:jc w:val="center"/>
              <w:rPr>
                <w:rFonts w:ascii="Arial" w:eastAsia="Times New Roman" w:hAnsi="Arial" w:cs="Arial"/>
                <w:color w:val="0070C0"/>
                <w:sz w:val="20"/>
                <w:szCs w:val="20"/>
                <w:lang w:val="en-US"/>
              </w:rPr>
            </w:pPr>
            <w:r w:rsidRPr="00FC2D79">
              <w:rPr>
                <w:rFonts w:ascii="Arial" w:eastAsia="Times New Roman" w:hAnsi="Arial" w:cs="Arial"/>
                <w:color w:val="0070C0"/>
                <w:sz w:val="20"/>
                <w:szCs w:val="20"/>
                <w:lang w:val="en-US"/>
              </w:rPr>
              <w:t>2017</w:t>
            </w:r>
          </w:p>
        </w:tc>
      </w:tr>
      <w:tr w:rsidR="005B3349" w:rsidRPr="00FC2D79" w14:paraId="0FAAF09B" w14:textId="77777777" w:rsidTr="005B3349">
        <w:trPr>
          <w:gridAfter w:val="13"/>
          <w:wAfter w:w="1408" w:type="dxa"/>
          <w:trHeight w:val="276"/>
        </w:trPr>
        <w:tc>
          <w:tcPr>
            <w:tcW w:w="2677" w:type="dxa"/>
            <w:tcBorders>
              <w:top w:val="nil"/>
              <w:left w:val="nil"/>
              <w:bottom w:val="nil"/>
              <w:right w:val="nil"/>
            </w:tcBorders>
            <w:shd w:val="clear" w:color="auto" w:fill="auto"/>
            <w:vAlign w:val="bottom"/>
            <w:hideMark/>
          </w:tcPr>
          <w:p w14:paraId="585BB326" w14:textId="77777777" w:rsidR="00FC2D79" w:rsidRPr="00FC2D79" w:rsidRDefault="00FC2D79" w:rsidP="00FC2D79">
            <w:pPr>
              <w:spacing w:after="0" w:line="240" w:lineRule="auto"/>
              <w:jc w:val="center"/>
              <w:rPr>
                <w:rFonts w:ascii="Arial" w:eastAsia="Times New Roman" w:hAnsi="Arial" w:cs="Arial"/>
                <w:color w:val="0070C0"/>
                <w:sz w:val="20"/>
                <w:szCs w:val="20"/>
                <w:lang w:val="en-US"/>
              </w:rPr>
            </w:pPr>
          </w:p>
        </w:tc>
        <w:tc>
          <w:tcPr>
            <w:tcW w:w="1296" w:type="dxa"/>
            <w:tcBorders>
              <w:top w:val="nil"/>
              <w:left w:val="nil"/>
              <w:bottom w:val="nil"/>
              <w:right w:val="nil"/>
            </w:tcBorders>
            <w:shd w:val="clear" w:color="auto" w:fill="auto"/>
            <w:vAlign w:val="bottom"/>
            <w:hideMark/>
          </w:tcPr>
          <w:p w14:paraId="50F48CA6" w14:textId="77777777" w:rsidR="00FC2D79" w:rsidRPr="00FC2D79" w:rsidRDefault="00FC2D79" w:rsidP="00FC2D79">
            <w:pPr>
              <w:spacing w:after="0" w:line="240" w:lineRule="auto"/>
              <w:jc w:val="center"/>
              <w:rPr>
                <w:rFonts w:ascii="Arial" w:eastAsia="Times New Roman" w:hAnsi="Arial" w:cs="Arial"/>
                <w:b/>
                <w:bCs/>
                <w:color w:val="0070C0"/>
                <w:sz w:val="20"/>
                <w:szCs w:val="20"/>
                <w:lang w:val="en-US"/>
              </w:rPr>
            </w:pPr>
            <w:r w:rsidRPr="00FC2D79">
              <w:rPr>
                <w:rFonts w:ascii="Arial" w:eastAsia="Times New Roman" w:hAnsi="Arial" w:cs="Arial"/>
                <w:b/>
                <w:bCs/>
                <w:color w:val="0070C0"/>
                <w:sz w:val="20"/>
                <w:szCs w:val="20"/>
                <w:lang w:val="en-US"/>
              </w:rPr>
              <w:t>Actual</w:t>
            </w:r>
          </w:p>
        </w:tc>
        <w:tc>
          <w:tcPr>
            <w:tcW w:w="1407" w:type="dxa"/>
            <w:gridSpan w:val="4"/>
            <w:tcBorders>
              <w:top w:val="nil"/>
              <w:left w:val="nil"/>
              <w:bottom w:val="nil"/>
              <w:right w:val="nil"/>
            </w:tcBorders>
            <w:shd w:val="clear" w:color="auto" w:fill="auto"/>
            <w:vAlign w:val="bottom"/>
            <w:hideMark/>
          </w:tcPr>
          <w:p w14:paraId="50C49FF5" w14:textId="77777777" w:rsidR="00FC2D79" w:rsidRPr="00FC2D79" w:rsidRDefault="00FC2D79" w:rsidP="00FC2D79">
            <w:pPr>
              <w:spacing w:after="0" w:line="240" w:lineRule="auto"/>
              <w:jc w:val="center"/>
              <w:rPr>
                <w:rFonts w:ascii="Arial" w:eastAsia="Times New Roman" w:hAnsi="Arial" w:cs="Arial"/>
                <w:b/>
                <w:bCs/>
                <w:color w:val="0070C0"/>
                <w:sz w:val="20"/>
                <w:szCs w:val="20"/>
                <w:lang w:val="en-US"/>
              </w:rPr>
            </w:pPr>
            <w:r w:rsidRPr="00FC2D79">
              <w:rPr>
                <w:rFonts w:ascii="Arial" w:eastAsia="Times New Roman" w:hAnsi="Arial" w:cs="Arial"/>
                <w:b/>
                <w:bCs/>
                <w:color w:val="0070C0"/>
                <w:sz w:val="20"/>
                <w:szCs w:val="20"/>
                <w:lang w:val="en-US"/>
              </w:rPr>
              <w:t>Should be</w:t>
            </w:r>
          </w:p>
        </w:tc>
        <w:tc>
          <w:tcPr>
            <w:tcW w:w="2572" w:type="dxa"/>
            <w:gridSpan w:val="16"/>
            <w:tcBorders>
              <w:top w:val="nil"/>
              <w:left w:val="nil"/>
              <w:bottom w:val="nil"/>
              <w:right w:val="nil"/>
            </w:tcBorders>
            <w:shd w:val="clear" w:color="auto" w:fill="auto"/>
            <w:vAlign w:val="bottom"/>
            <w:hideMark/>
          </w:tcPr>
          <w:p w14:paraId="22396A2C" w14:textId="77777777" w:rsidR="00FC2D79" w:rsidRPr="00FC2D79" w:rsidRDefault="00FC2D79" w:rsidP="00FC2D79">
            <w:pPr>
              <w:spacing w:after="0" w:line="240" w:lineRule="auto"/>
              <w:jc w:val="center"/>
              <w:rPr>
                <w:rFonts w:ascii="Arial" w:eastAsia="Times New Roman" w:hAnsi="Arial" w:cs="Arial"/>
                <w:b/>
                <w:bCs/>
                <w:color w:val="0070C0"/>
                <w:sz w:val="20"/>
                <w:szCs w:val="20"/>
                <w:lang w:val="en-US"/>
              </w:rPr>
            </w:pPr>
            <w:r w:rsidRPr="00FC2D79">
              <w:rPr>
                <w:rFonts w:ascii="Arial" w:eastAsia="Times New Roman" w:hAnsi="Arial" w:cs="Arial"/>
                <w:b/>
                <w:bCs/>
                <w:color w:val="0070C0"/>
                <w:sz w:val="20"/>
                <w:szCs w:val="20"/>
                <w:lang w:val="en-US"/>
              </w:rPr>
              <w:t>Difference</w:t>
            </w:r>
          </w:p>
        </w:tc>
      </w:tr>
      <w:tr w:rsidR="005B3349" w:rsidRPr="00FC2D79" w14:paraId="0CEB665F" w14:textId="77777777" w:rsidTr="005B3349">
        <w:trPr>
          <w:gridAfter w:val="13"/>
          <w:wAfter w:w="1408" w:type="dxa"/>
          <w:trHeight w:val="264"/>
        </w:trPr>
        <w:tc>
          <w:tcPr>
            <w:tcW w:w="2677" w:type="dxa"/>
            <w:tcBorders>
              <w:top w:val="nil"/>
              <w:left w:val="nil"/>
              <w:bottom w:val="nil"/>
              <w:right w:val="nil"/>
            </w:tcBorders>
            <w:shd w:val="clear" w:color="auto" w:fill="auto"/>
            <w:noWrap/>
            <w:vAlign w:val="bottom"/>
            <w:hideMark/>
          </w:tcPr>
          <w:p w14:paraId="2BDD1CE3" w14:textId="77777777" w:rsidR="00FC2D79" w:rsidRPr="00FC2D79" w:rsidRDefault="00FC2D79" w:rsidP="00FC2D79">
            <w:pPr>
              <w:spacing w:after="0" w:line="240" w:lineRule="auto"/>
              <w:jc w:val="center"/>
              <w:rPr>
                <w:rFonts w:ascii="Arial" w:eastAsia="Times New Roman" w:hAnsi="Arial" w:cs="Arial"/>
                <w:b/>
                <w:bCs/>
                <w:color w:val="0070C0"/>
                <w:sz w:val="20"/>
                <w:szCs w:val="20"/>
                <w:lang w:val="en-US"/>
              </w:rPr>
            </w:pPr>
          </w:p>
        </w:tc>
        <w:tc>
          <w:tcPr>
            <w:tcW w:w="1296" w:type="dxa"/>
            <w:tcBorders>
              <w:top w:val="nil"/>
              <w:left w:val="nil"/>
              <w:bottom w:val="nil"/>
              <w:right w:val="nil"/>
            </w:tcBorders>
            <w:shd w:val="clear" w:color="auto" w:fill="auto"/>
            <w:noWrap/>
            <w:vAlign w:val="bottom"/>
            <w:hideMark/>
          </w:tcPr>
          <w:p w14:paraId="5CA9FB3E" w14:textId="77777777" w:rsidR="00FC2D79" w:rsidRPr="00FC2D79" w:rsidRDefault="00FC2D79" w:rsidP="00FC2D79">
            <w:pPr>
              <w:spacing w:after="0" w:line="240" w:lineRule="auto"/>
              <w:rPr>
                <w:rFonts w:ascii="Times New Roman" w:eastAsia="Times New Roman" w:hAnsi="Times New Roman" w:cs="Times New Roman"/>
                <w:sz w:val="20"/>
                <w:szCs w:val="20"/>
                <w:lang w:val="en-US"/>
              </w:rPr>
            </w:pPr>
          </w:p>
        </w:tc>
        <w:tc>
          <w:tcPr>
            <w:tcW w:w="1407" w:type="dxa"/>
            <w:gridSpan w:val="4"/>
            <w:tcBorders>
              <w:top w:val="nil"/>
              <w:left w:val="nil"/>
              <w:bottom w:val="nil"/>
              <w:right w:val="nil"/>
            </w:tcBorders>
            <w:shd w:val="clear" w:color="auto" w:fill="auto"/>
            <w:noWrap/>
            <w:vAlign w:val="bottom"/>
            <w:hideMark/>
          </w:tcPr>
          <w:p w14:paraId="00185E02" w14:textId="77777777" w:rsidR="00FC2D79" w:rsidRPr="00FC2D79" w:rsidRDefault="00FC2D79" w:rsidP="00FC2D79">
            <w:pPr>
              <w:spacing w:after="0" w:line="240" w:lineRule="auto"/>
              <w:rPr>
                <w:rFonts w:ascii="Times New Roman" w:eastAsia="Times New Roman" w:hAnsi="Times New Roman" w:cs="Times New Roman"/>
                <w:sz w:val="20"/>
                <w:szCs w:val="20"/>
                <w:lang w:val="en-US"/>
              </w:rPr>
            </w:pPr>
          </w:p>
        </w:tc>
        <w:tc>
          <w:tcPr>
            <w:tcW w:w="2572" w:type="dxa"/>
            <w:gridSpan w:val="16"/>
            <w:tcBorders>
              <w:top w:val="nil"/>
              <w:left w:val="nil"/>
              <w:bottom w:val="nil"/>
              <w:right w:val="nil"/>
            </w:tcBorders>
            <w:shd w:val="clear" w:color="auto" w:fill="auto"/>
            <w:noWrap/>
            <w:vAlign w:val="bottom"/>
            <w:hideMark/>
          </w:tcPr>
          <w:p w14:paraId="41DB1618" w14:textId="77777777" w:rsidR="00FC2D79" w:rsidRPr="00FC2D79" w:rsidRDefault="00FC2D79" w:rsidP="00FC2D79">
            <w:pPr>
              <w:spacing w:after="0" w:line="240" w:lineRule="auto"/>
              <w:rPr>
                <w:rFonts w:ascii="Times New Roman" w:eastAsia="Times New Roman" w:hAnsi="Times New Roman" w:cs="Times New Roman"/>
                <w:sz w:val="20"/>
                <w:szCs w:val="20"/>
                <w:lang w:val="en-US"/>
              </w:rPr>
            </w:pPr>
          </w:p>
        </w:tc>
      </w:tr>
      <w:tr w:rsidR="005B3349" w:rsidRPr="00FC2D79" w14:paraId="7B035750" w14:textId="77777777" w:rsidTr="005B3349">
        <w:trPr>
          <w:gridAfter w:val="13"/>
          <w:wAfter w:w="1408" w:type="dxa"/>
          <w:trHeight w:val="264"/>
        </w:trPr>
        <w:tc>
          <w:tcPr>
            <w:tcW w:w="3973" w:type="dxa"/>
            <w:gridSpan w:val="2"/>
            <w:tcBorders>
              <w:top w:val="nil"/>
              <w:left w:val="nil"/>
              <w:bottom w:val="nil"/>
              <w:right w:val="nil"/>
            </w:tcBorders>
            <w:shd w:val="clear" w:color="auto" w:fill="auto"/>
            <w:noWrap/>
            <w:vAlign w:val="bottom"/>
            <w:hideMark/>
          </w:tcPr>
          <w:p w14:paraId="3DC30ED9" w14:textId="77777777" w:rsidR="00FC2D79" w:rsidRPr="00FC2D79" w:rsidRDefault="00FC2D79" w:rsidP="00FC2D79">
            <w:pPr>
              <w:spacing w:after="0" w:line="240" w:lineRule="auto"/>
              <w:rPr>
                <w:rFonts w:ascii="Arial" w:eastAsia="Times New Roman" w:hAnsi="Arial" w:cs="Arial"/>
                <w:b/>
                <w:bCs/>
                <w:color w:val="0070C0"/>
                <w:sz w:val="20"/>
                <w:szCs w:val="20"/>
                <w:lang w:val="en-US"/>
              </w:rPr>
            </w:pPr>
            <w:r w:rsidRPr="00FC2D79">
              <w:rPr>
                <w:rFonts w:ascii="Arial" w:eastAsia="Times New Roman" w:hAnsi="Arial" w:cs="Arial"/>
                <w:b/>
                <w:bCs/>
                <w:color w:val="0070C0"/>
                <w:sz w:val="20"/>
                <w:szCs w:val="20"/>
                <w:lang w:val="en-US"/>
              </w:rPr>
              <w:t>Consumption data excluding for loss factor</w:t>
            </w:r>
          </w:p>
        </w:tc>
        <w:tc>
          <w:tcPr>
            <w:tcW w:w="1407" w:type="dxa"/>
            <w:gridSpan w:val="4"/>
            <w:tcBorders>
              <w:top w:val="nil"/>
              <w:left w:val="nil"/>
              <w:bottom w:val="nil"/>
              <w:right w:val="nil"/>
            </w:tcBorders>
            <w:shd w:val="clear" w:color="auto" w:fill="auto"/>
            <w:noWrap/>
            <w:vAlign w:val="bottom"/>
            <w:hideMark/>
          </w:tcPr>
          <w:p w14:paraId="7F1D677B" w14:textId="77777777" w:rsidR="00FC2D79" w:rsidRPr="00FC2D79" w:rsidRDefault="00FC2D79" w:rsidP="00FC2D79">
            <w:pPr>
              <w:spacing w:after="0" w:line="240" w:lineRule="auto"/>
              <w:rPr>
                <w:rFonts w:ascii="Arial" w:eastAsia="Times New Roman" w:hAnsi="Arial" w:cs="Arial"/>
                <w:b/>
                <w:bCs/>
                <w:color w:val="0070C0"/>
                <w:sz w:val="20"/>
                <w:szCs w:val="20"/>
                <w:lang w:val="en-US"/>
              </w:rPr>
            </w:pPr>
          </w:p>
        </w:tc>
        <w:tc>
          <w:tcPr>
            <w:tcW w:w="2572" w:type="dxa"/>
            <w:gridSpan w:val="16"/>
            <w:tcBorders>
              <w:top w:val="nil"/>
              <w:left w:val="nil"/>
              <w:bottom w:val="nil"/>
              <w:right w:val="nil"/>
            </w:tcBorders>
            <w:shd w:val="clear" w:color="auto" w:fill="auto"/>
            <w:noWrap/>
            <w:vAlign w:val="bottom"/>
            <w:hideMark/>
          </w:tcPr>
          <w:p w14:paraId="2617D2EB" w14:textId="77777777" w:rsidR="00FC2D79" w:rsidRPr="00FC2D79" w:rsidRDefault="00FC2D79" w:rsidP="00FC2D79">
            <w:pPr>
              <w:spacing w:after="0" w:line="240" w:lineRule="auto"/>
              <w:rPr>
                <w:rFonts w:ascii="Times New Roman" w:eastAsia="Times New Roman" w:hAnsi="Times New Roman" w:cs="Times New Roman"/>
                <w:sz w:val="20"/>
                <w:szCs w:val="20"/>
                <w:lang w:val="en-US"/>
              </w:rPr>
            </w:pPr>
          </w:p>
        </w:tc>
      </w:tr>
      <w:tr w:rsidR="005B3349" w:rsidRPr="00FC2D79" w14:paraId="3CFA1745" w14:textId="77777777" w:rsidTr="005B3349">
        <w:trPr>
          <w:gridAfter w:val="13"/>
          <w:wAfter w:w="1408" w:type="dxa"/>
          <w:trHeight w:val="264"/>
        </w:trPr>
        <w:tc>
          <w:tcPr>
            <w:tcW w:w="2677" w:type="dxa"/>
            <w:tcBorders>
              <w:top w:val="nil"/>
              <w:left w:val="nil"/>
              <w:bottom w:val="nil"/>
              <w:right w:val="nil"/>
            </w:tcBorders>
            <w:shd w:val="clear" w:color="auto" w:fill="auto"/>
            <w:noWrap/>
            <w:vAlign w:val="bottom"/>
            <w:hideMark/>
          </w:tcPr>
          <w:p w14:paraId="4A397F04" w14:textId="77777777" w:rsidR="00FC2D79" w:rsidRPr="00FC2D79" w:rsidRDefault="00FC2D79" w:rsidP="00FC2D79">
            <w:pPr>
              <w:spacing w:after="0" w:line="240" w:lineRule="auto"/>
              <w:rPr>
                <w:rFonts w:ascii="Times New Roman" w:eastAsia="Times New Roman" w:hAnsi="Times New Roman" w:cs="Times New Roman"/>
                <w:sz w:val="20"/>
                <w:szCs w:val="20"/>
                <w:lang w:val="en-US"/>
              </w:rPr>
            </w:pPr>
          </w:p>
        </w:tc>
        <w:tc>
          <w:tcPr>
            <w:tcW w:w="1296" w:type="dxa"/>
            <w:tcBorders>
              <w:top w:val="nil"/>
              <w:left w:val="nil"/>
              <w:bottom w:val="nil"/>
              <w:right w:val="nil"/>
            </w:tcBorders>
            <w:shd w:val="clear" w:color="auto" w:fill="auto"/>
            <w:noWrap/>
            <w:vAlign w:val="bottom"/>
            <w:hideMark/>
          </w:tcPr>
          <w:p w14:paraId="1ACA861C" w14:textId="77777777" w:rsidR="00FC2D79" w:rsidRPr="00FC2D79" w:rsidRDefault="00FC2D79" w:rsidP="00FC2D79">
            <w:pPr>
              <w:spacing w:after="0" w:line="240" w:lineRule="auto"/>
              <w:rPr>
                <w:rFonts w:ascii="Times New Roman" w:eastAsia="Times New Roman" w:hAnsi="Times New Roman" w:cs="Times New Roman"/>
                <w:sz w:val="20"/>
                <w:szCs w:val="20"/>
                <w:lang w:val="en-US"/>
              </w:rPr>
            </w:pPr>
          </w:p>
        </w:tc>
        <w:tc>
          <w:tcPr>
            <w:tcW w:w="1407" w:type="dxa"/>
            <w:gridSpan w:val="4"/>
            <w:tcBorders>
              <w:top w:val="nil"/>
              <w:left w:val="nil"/>
              <w:bottom w:val="nil"/>
              <w:right w:val="nil"/>
            </w:tcBorders>
            <w:shd w:val="clear" w:color="auto" w:fill="auto"/>
            <w:noWrap/>
            <w:vAlign w:val="bottom"/>
            <w:hideMark/>
          </w:tcPr>
          <w:p w14:paraId="6687A8DA" w14:textId="77777777" w:rsidR="00FC2D79" w:rsidRPr="00FC2D79" w:rsidRDefault="00FC2D79" w:rsidP="00FC2D79">
            <w:pPr>
              <w:spacing w:after="0" w:line="240" w:lineRule="auto"/>
              <w:rPr>
                <w:rFonts w:ascii="Times New Roman" w:eastAsia="Times New Roman" w:hAnsi="Times New Roman" w:cs="Times New Roman"/>
                <w:sz w:val="20"/>
                <w:szCs w:val="20"/>
                <w:lang w:val="en-US"/>
              </w:rPr>
            </w:pPr>
          </w:p>
        </w:tc>
        <w:tc>
          <w:tcPr>
            <w:tcW w:w="2572" w:type="dxa"/>
            <w:gridSpan w:val="16"/>
            <w:tcBorders>
              <w:top w:val="nil"/>
              <w:left w:val="nil"/>
              <w:bottom w:val="nil"/>
              <w:right w:val="nil"/>
            </w:tcBorders>
            <w:shd w:val="clear" w:color="auto" w:fill="auto"/>
            <w:noWrap/>
            <w:vAlign w:val="bottom"/>
            <w:hideMark/>
          </w:tcPr>
          <w:p w14:paraId="7D659460" w14:textId="77777777" w:rsidR="00FC2D79" w:rsidRPr="00FC2D79" w:rsidRDefault="00FC2D79" w:rsidP="00FC2D79">
            <w:pPr>
              <w:spacing w:after="0" w:line="240" w:lineRule="auto"/>
              <w:rPr>
                <w:rFonts w:ascii="Times New Roman" w:eastAsia="Times New Roman" w:hAnsi="Times New Roman" w:cs="Times New Roman"/>
                <w:sz w:val="20"/>
                <w:szCs w:val="20"/>
                <w:lang w:val="en-US"/>
              </w:rPr>
            </w:pPr>
          </w:p>
        </w:tc>
      </w:tr>
      <w:tr w:rsidR="005B3349" w:rsidRPr="00FC2D79" w14:paraId="7CF3AD42" w14:textId="77777777" w:rsidTr="005B3349">
        <w:trPr>
          <w:gridAfter w:val="13"/>
          <w:wAfter w:w="1408" w:type="dxa"/>
          <w:trHeight w:val="264"/>
        </w:trPr>
        <w:tc>
          <w:tcPr>
            <w:tcW w:w="2677" w:type="dxa"/>
            <w:tcBorders>
              <w:top w:val="nil"/>
              <w:left w:val="nil"/>
              <w:bottom w:val="nil"/>
              <w:right w:val="nil"/>
            </w:tcBorders>
            <w:shd w:val="clear" w:color="auto" w:fill="auto"/>
            <w:noWrap/>
            <w:vAlign w:val="bottom"/>
            <w:hideMark/>
          </w:tcPr>
          <w:p w14:paraId="615B7739" w14:textId="77777777" w:rsidR="00FC2D79" w:rsidRPr="00FC2D79" w:rsidRDefault="00FC2D79" w:rsidP="00FC2D79">
            <w:pPr>
              <w:spacing w:after="0" w:line="240" w:lineRule="auto"/>
              <w:rPr>
                <w:rFonts w:ascii="Arial" w:eastAsia="Times New Roman" w:hAnsi="Arial" w:cs="Arial"/>
                <w:color w:val="0070C0"/>
                <w:sz w:val="20"/>
                <w:szCs w:val="20"/>
                <w:lang w:val="en-US"/>
              </w:rPr>
            </w:pPr>
            <w:r w:rsidRPr="00FC2D79">
              <w:rPr>
                <w:rFonts w:ascii="Arial" w:eastAsia="Times New Roman" w:hAnsi="Arial" w:cs="Arial"/>
                <w:color w:val="0070C0"/>
                <w:sz w:val="20"/>
                <w:szCs w:val="20"/>
                <w:lang w:val="en-US"/>
              </w:rPr>
              <w:t>RPP</w:t>
            </w:r>
          </w:p>
        </w:tc>
        <w:tc>
          <w:tcPr>
            <w:tcW w:w="1406" w:type="dxa"/>
            <w:gridSpan w:val="2"/>
            <w:tcBorders>
              <w:top w:val="nil"/>
              <w:left w:val="nil"/>
              <w:bottom w:val="nil"/>
              <w:right w:val="nil"/>
            </w:tcBorders>
            <w:shd w:val="clear" w:color="auto" w:fill="auto"/>
            <w:noWrap/>
            <w:vAlign w:val="bottom"/>
            <w:hideMark/>
          </w:tcPr>
          <w:p w14:paraId="0CF9B8A7" w14:textId="77777777" w:rsidR="00FC2D79" w:rsidRPr="00FC2D79" w:rsidRDefault="00FC2D79" w:rsidP="00FC2D79">
            <w:pPr>
              <w:spacing w:after="0" w:line="240" w:lineRule="auto"/>
              <w:rPr>
                <w:rFonts w:ascii="Arial" w:eastAsia="Times New Roman" w:hAnsi="Arial" w:cs="Arial"/>
                <w:color w:val="0070C0"/>
                <w:sz w:val="20"/>
                <w:szCs w:val="20"/>
                <w:lang w:val="en-US"/>
              </w:rPr>
            </w:pPr>
            <w:r w:rsidRPr="00FC2D79">
              <w:rPr>
                <w:rFonts w:ascii="Arial" w:eastAsia="Times New Roman" w:hAnsi="Arial" w:cs="Arial"/>
                <w:color w:val="0070C0"/>
                <w:sz w:val="20"/>
                <w:szCs w:val="20"/>
                <w:lang w:val="en-US"/>
              </w:rPr>
              <w:t xml:space="preserve">   60,851,387 </w:t>
            </w:r>
          </w:p>
        </w:tc>
        <w:tc>
          <w:tcPr>
            <w:tcW w:w="1448" w:type="dxa"/>
            <w:gridSpan w:val="5"/>
            <w:tcBorders>
              <w:top w:val="nil"/>
              <w:left w:val="nil"/>
              <w:bottom w:val="nil"/>
              <w:right w:val="nil"/>
            </w:tcBorders>
            <w:shd w:val="clear" w:color="auto" w:fill="auto"/>
            <w:noWrap/>
            <w:vAlign w:val="bottom"/>
            <w:hideMark/>
          </w:tcPr>
          <w:p w14:paraId="632D8435" w14:textId="77777777" w:rsidR="00FC2D79" w:rsidRPr="00FC2D79" w:rsidRDefault="00FC2D79" w:rsidP="00FC2D79">
            <w:pPr>
              <w:spacing w:after="0" w:line="240" w:lineRule="auto"/>
              <w:rPr>
                <w:rFonts w:ascii="Arial" w:eastAsia="Times New Roman" w:hAnsi="Arial" w:cs="Arial"/>
                <w:color w:val="0070C0"/>
                <w:sz w:val="20"/>
                <w:szCs w:val="20"/>
                <w:lang w:val="en-US"/>
              </w:rPr>
            </w:pPr>
            <w:r w:rsidRPr="00FC2D79">
              <w:rPr>
                <w:rFonts w:ascii="Arial" w:eastAsia="Times New Roman" w:hAnsi="Arial" w:cs="Arial"/>
                <w:color w:val="0070C0"/>
                <w:sz w:val="20"/>
                <w:szCs w:val="20"/>
                <w:lang w:val="en-US"/>
              </w:rPr>
              <w:t xml:space="preserve">   60,774,021 </w:t>
            </w:r>
          </w:p>
        </w:tc>
        <w:tc>
          <w:tcPr>
            <w:tcW w:w="2421" w:type="dxa"/>
            <w:gridSpan w:val="14"/>
            <w:tcBorders>
              <w:top w:val="nil"/>
              <w:left w:val="nil"/>
              <w:bottom w:val="nil"/>
              <w:right w:val="nil"/>
            </w:tcBorders>
            <w:shd w:val="clear" w:color="auto" w:fill="auto"/>
            <w:noWrap/>
            <w:vAlign w:val="bottom"/>
            <w:hideMark/>
          </w:tcPr>
          <w:p w14:paraId="6435BF2A" w14:textId="77777777" w:rsidR="00FC2D79" w:rsidRPr="00FC2D79" w:rsidRDefault="00FC2D79" w:rsidP="00FC2D79">
            <w:pPr>
              <w:spacing w:after="0" w:line="240" w:lineRule="auto"/>
              <w:rPr>
                <w:rFonts w:ascii="Arial" w:eastAsia="Times New Roman" w:hAnsi="Arial" w:cs="Arial"/>
                <w:color w:val="0070C0"/>
                <w:sz w:val="20"/>
                <w:szCs w:val="20"/>
                <w:lang w:val="en-US"/>
              </w:rPr>
            </w:pPr>
            <w:r w:rsidRPr="00FC2D79">
              <w:rPr>
                <w:rFonts w:ascii="Arial" w:eastAsia="Times New Roman" w:hAnsi="Arial" w:cs="Arial"/>
                <w:color w:val="0070C0"/>
                <w:sz w:val="20"/>
                <w:szCs w:val="20"/>
                <w:lang w:val="en-US"/>
              </w:rPr>
              <w:t xml:space="preserve">     (77,366)</w:t>
            </w:r>
          </w:p>
        </w:tc>
      </w:tr>
      <w:tr w:rsidR="005B3349" w:rsidRPr="00FC2D79" w14:paraId="098151E5" w14:textId="77777777" w:rsidTr="005B3349">
        <w:trPr>
          <w:gridAfter w:val="13"/>
          <w:wAfter w:w="1408" w:type="dxa"/>
          <w:trHeight w:val="264"/>
        </w:trPr>
        <w:tc>
          <w:tcPr>
            <w:tcW w:w="2677" w:type="dxa"/>
            <w:tcBorders>
              <w:top w:val="nil"/>
              <w:left w:val="nil"/>
              <w:bottom w:val="nil"/>
              <w:right w:val="nil"/>
            </w:tcBorders>
            <w:shd w:val="clear" w:color="auto" w:fill="auto"/>
            <w:noWrap/>
            <w:vAlign w:val="bottom"/>
            <w:hideMark/>
          </w:tcPr>
          <w:p w14:paraId="2B4AB89C" w14:textId="77777777" w:rsidR="00FC2D79" w:rsidRPr="00FC2D79" w:rsidRDefault="00FC2D79" w:rsidP="00FC2D79">
            <w:pPr>
              <w:spacing w:after="0" w:line="240" w:lineRule="auto"/>
              <w:rPr>
                <w:rFonts w:ascii="Arial" w:eastAsia="Times New Roman" w:hAnsi="Arial" w:cs="Arial"/>
                <w:color w:val="0070C0"/>
                <w:sz w:val="20"/>
                <w:szCs w:val="20"/>
                <w:lang w:val="en-US"/>
              </w:rPr>
            </w:pPr>
            <w:r w:rsidRPr="00FC2D79">
              <w:rPr>
                <w:rFonts w:ascii="Arial" w:eastAsia="Times New Roman" w:hAnsi="Arial" w:cs="Arial"/>
                <w:color w:val="0070C0"/>
                <w:sz w:val="20"/>
                <w:szCs w:val="20"/>
                <w:lang w:val="en-US"/>
              </w:rPr>
              <w:t>Non-RPP Class A</w:t>
            </w:r>
          </w:p>
        </w:tc>
        <w:tc>
          <w:tcPr>
            <w:tcW w:w="1406" w:type="dxa"/>
            <w:gridSpan w:val="2"/>
            <w:tcBorders>
              <w:top w:val="nil"/>
              <w:left w:val="nil"/>
              <w:bottom w:val="nil"/>
              <w:right w:val="nil"/>
            </w:tcBorders>
            <w:shd w:val="clear" w:color="auto" w:fill="auto"/>
            <w:noWrap/>
            <w:vAlign w:val="bottom"/>
            <w:hideMark/>
          </w:tcPr>
          <w:p w14:paraId="6C99076B" w14:textId="77777777" w:rsidR="00FC2D79" w:rsidRPr="00FC2D79" w:rsidRDefault="00FC2D79" w:rsidP="00FC2D79">
            <w:pPr>
              <w:spacing w:after="0" w:line="240" w:lineRule="auto"/>
              <w:rPr>
                <w:rFonts w:ascii="Arial" w:eastAsia="Times New Roman" w:hAnsi="Arial" w:cs="Arial"/>
                <w:color w:val="0070C0"/>
                <w:sz w:val="20"/>
                <w:szCs w:val="20"/>
                <w:lang w:val="en-US"/>
              </w:rPr>
            </w:pPr>
            <w:r w:rsidRPr="00FC2D79">
              <w:rPr>
                <w:rFonts w:ascii="Arial" w:eastAsia="Times New Roman" w:hAnsi="Arial" w:cs="Arial"/>
                <w:color w:val="0070C0"/>
                <w:sz w:val="20"/>
                <w:szCs w:val="20"/>
                <w:lang w:val="en-US"/>
              </w:rPr>
              <w:t xml:space="preserve">     6,068,662 </w:t>
            </w:r>
          </w:p>
        </w:tc>
        <w:tc>
          <w:tcPr>
            <w:tcW w:w="1448" w:type="dxa"/>
            <w:gridSpan w:val="5"/>
            <w:tcBorders>
              <w:top w:val="nil"/>
              <w:left w:val="nil"/>
              <w:bottom w:val="nil"/>
              <w:right w:val="nil"/>
            </w:tcBorders>
            <w:shd w:val="clear" w:color="auto" w:fill="auto"/>
            <w:noWrap/>
            <w:vAlign w:val="bottom"/>
            <w:hideMark/>
          </w:tcPr>
          <w:p w14:paraId="45BE9067" w14:textId="77777777" w:rsidR="00FC2D79" w:rsidRPr="00FC2D79" w:rsidRDefault="00FC2D79" w:rsidP="00FC2D79">
            <w:pPr>
              <w:spacing w:after="0" w:line="240" w:lineRule="auto"/>
              <w:rPr>
                <w:rFonts w:ascii="Arial" w:eastAsia="Times New Roman" w:hAnsi="Arial" w:cs="Arial"/>
                <w:color w:val="0070C0"/>
                <w:sz w:val="20"/>
                <w:szCs w:val="20"/>
                <w:lang w:val="en-US"/>
              </w:rPr>
            </w:pPr>
            <w:r w:rsidRPr="00FC2D79">
              <w:rPr>
                <w:rFonts w:ascii="Arial" w:eastAsia="Times New Roman" w:hAnsi="Arial" w:cs="Arial"/>
                <w:color w:val="0070C0"/>
                <w:sz w:val="20"/>
                <w:szCs w:val="20"/>
                <w:lang w:val="en-US"/>
              </w:rPr>
              <w:t xml:space="preserve">     5,757,197 </w:t>
            </w:r>
          </w:p>
        </w:tc>
        <w:tc>
          <w:tcPr>
            <w:tcW w:w="2421" w:type="dxa"/>
            <w:gridSpan w:val="14"/>
            <w:tcBorders>
              <w:top w:val="nil"/>
              <w:left w:val="nil"/>
              <w:bottom w:val="nil"/>
              <w:right w:val="nil"/>
            </w:tcBorders>
            <w:shd w:val="clear" w:color="auto" w:fill="auto"/>
            <w:noWrap/>
            <w:vAlign w:val="bottom"/>
            <w:hideMark/>
          </w:tcPr>
          <w:p w14:paraId="3AB69510" w14:textId="77777777" w:rsidR="00FC2D79" w:rsidRPr="00FC2D79" w:rsidRDefault="00FC2D79" w:rsidP="00FC2D79">
            <w:pPr>
              <w:spacing w:after="0" w:line="240" w:lineRule="auto"/>
              <w:rPr>
                <w:rFonts w:ascii="Arial" w:eastAsia="Times New Roman" w:hAnsi="Arial" w:cs="Arial"/>
                <w:color w:val="0070C0"/>
                <w:sz w:val="20"/>
                <w:szCs w:val="20"/>
                <w:lang w:val="en-US"/>
              </w:rPr>
            </w:pPr>
            <w:r w:rsidRPr="00FC2D79">
              <w:rPr>
                <w:rFonts w:ascii="Arial" w:eastAsia="Times New Roman" w:hAnsi="Arial" w:cs="Arial"/>
                <w:color w:val="0070C0"/>
                <w:sz w:val="20"/>
                <w:szCs w:val="20"/>
                <w:lang w:val="en-US"/>
              </w:rPr>
              <w:t xml:space="preserve">   (311,465)</w:t>
            </w:r>
          </w:p>
        </w:tc>
      </w:tr>
      <w:tr w:rsidR="005B3349" w:rsidRPr="00FC2D79" w14:paraId="0EED970B" w14:textId="77777777" w:rsidTr="005B3349">
        <w:trPr>
          <w:gridAfter w:val="13"/>
          <w:wAfter w:w="1408" w:type="dxa"/>
          <w:trHeight w:val="264"/>
        </w:trPr>
        <w:tc>
          <w:tcPr>
            <w:tcW w:w="2677" w:type="dxa"/>
            <w:tcBorders>
              <w:top w:val="nil"/>
              <w:left w:val="nil"/>
              <w:bottom w:val="nil"/>
              <w:right w:val="nil"/>
            </w:tcBorders>
            <w:shd w:val="clear" w:color="auto" w:fill="auto"/>
            <w:noWrap/>
            <w:vAlign w:val="bottom"/>
            <w:hideMark/>
          </w:tcPr>
          <w:p w14:paraId="412F71D1" w14:textId="77777777" w:rsidR="00FC2D79" w:rsidRPr="00FC2D79" w:rsidRDefault="00FC2D79" w:rsidP="00FC2D79">
            <w:pPr>
              <w:spacing w:after="0" w:line="240" w:lineRule="auto"/>
              <w:rPr>
                <w:rFonts w:ascii="Arial" w:eastAsia="Times New Roman" w:hAnsi="Arial" w:cs="Arial"/>
                <w:color w:val="0070C0"/>
                <w:sz w:val="20"/>
                <w:szCs w:val="20"/>
                <w:lang w:val="en-US"/>
              </w:rPr>
            </w:pPr>
            <w:r w:rsidRPr="00FC2D79">
              <w:rPr>
                <w:rFonts w:ascii="Arial" w:eastAsia="Times New Roman" w:hAnsi="Arial" w:cs="Arial"/>
                <w:color w:val="0070C0"/>
                <w:sz w:val="20"/>
                <w:szCs w:val="20"/>
                <w:lang w:val="en-US"/>
              </w:rPr>
              <w:t>Non-RPP Class B</w:t>
            </w:r>
          </w:p>
        </w:tc>
        <w:tc>
          <w:tcPr>
            <w:tcW w:w="1406" w:type="dxa"/>
            <w:gridSpan w:val="2"/>
            <w:tcBorders>
              <w:top w:val="nil"/>
              <w:left w:val="nil"/>
              <w:bottom w:val="nil"/>
              <w:right w:val="nil"/>
            </w:tcBorders>
            <w:shd w:val="clear" w:color="auto" w:fill="auto"/>
            <w:noWrap/>
            <w:vAlign w:val="bottom"/>
            <w:hideMark/>
          </w:tcPr>
          <w:p w14:paraId="542E3E89" w14:textId="77777777" w:rsidR="00FC2D79" w:rsidRPr="00FC2D79" w:rsidRDefault="00FC2D79" w:rsidP="00FC2D79">
            <w:pPr>
              <w:spacing w:after="0" w:line="240" w:lineRule="auto"/>
              <w:rPr>
                <w:rFonts w:ascii="Arial" w:eastAsia="Times New Roman" w:hAnsi="Arial" w:cs="Arial"/>
                <w:color w:val="0070C0"/>
                <w:sz w:val="20"/>
                <w:szCs w:val="20"/>
                <w:lang w:val="en-US"/>
              </w:rPr>
            </w:pPr>
            <w:r w:rsidRPr="00FC2D79">
              <w:rPr>
                <w:rFonts w:ascii="Arial" w:eastAsia="Times New Roman" w:hAnsi="Arial" w:cs="Arial"/>
                <w:color w:val="0070C0"/>
                <w:sz w:val="20"/>
                <w:szCs w:val="20"/>
                <w:lang w:val="en-US"/>
              </w:rPr>
              <w:t xml:space="preserve">   72,037,036 </w:t>
            </w:r>
          </w:p>
        </w:tc>
        <w:tc>
          <w:tcPr>
            <w:tcW w:w="1448" w:type="dxa"/>
            <w:gridSpan w:val="5"/>
            <w:tcBorders>
              <w:top w:val="nil"/>
              <w:left w:val="nil"/>
              <w:bottom w:val="nil"/>
              <w:right w:val="nil"/>
            </w:tcBorders>
            <w:shd w:val="clear" w:color="auto" w:fill="auto"/>
            <w:noWrap/>
            <w:vAlign w:val="bottom"/>
            <w:hideMark/>
          </w:tcPr>
          <w:p w14:paraId="0D21DEEC" w14:textId="77777777" w:rsidR="00FC2D79" w:rsidRPr="00FC2D79" w:rsidRDefault="00FC2D79" w:rsidP="00FC2D79">
            <w:pPr>
              <w:spacing w:after="0" w:line="240" w:lineRule="auto"/>
              <w:rPr>
                <w:rFonts w:ascii="Arial" w:eastAsia="Times New Roman" w:hAnsi="Arial" w:cs="Arial"/>
                <w:color w:val="0070C0"/>
                <w:sz w:val="20"/>
                <w:szCs w:val="20"/>
                <w:lang w:val="en-US"/>
              </w:rPr>
            </w:pPr>
            <w:r w:rsidRPr="00FC2D79">
              <w:rPr>
                <w:rFonts w:ascii="Arial" w:eastAsia="Times New Roman" w:hAnsi="Arial" w:cs="Arial"/>
                <w:color w:val="0070C0"/>
                <w:sz w:val="20"/>
                <w:szCs w:val="20"/>
                <w:lang w:val="en-US"/>
              </w:rPr>
              <w:t xml:space="preserve">   72,425,867 </w:t>
            </w:r>
          </w:p>
        </w:tc>
        <w:tc>
          <w:tcPr>
            <w:tcW w:w="2421" w:type="dxa"/>
            <w:gridSpan w:val="14"/>
            <w:tcBorders>
              <w:top w:val="nil"/>
              <w:left w:val="nil"/>
              <w:bottom w:val="nil"/>
              <w:right w:val="nil"/>
            </w:tcBorders>
            <w:shd w:val="clear" w:color="auto" w:fill="auto"/>
            <w:noWrap/>
            <w:vAlign w:val="bottom"/>
            <w:hideMark/>
          </w:tcPr>
          <w:p w14:paraId="6771AC58" w14:textId="77777777" w:rsidR="00FC2D79" w:rsidRPr="00FC2D79" w:rsidRDefault="00FC2D79" w:rsidP="00FC2D79">
            <w:pPr>
              <w:spacing w:after="0" w:line="240" w:lineRule="auto"/>
              <w:rPr>
                <w:rFonts w:ascii="Arial" w:eastAsia="Times New Roman" w:hAnsi="Arial" w:cs="Arial"/>
                <w:color w:val="0070C0"/>
                <w:sz w:val="20"/>
                <w:szCs w:val="20"/>
                <w:lang w:val="en-US"/>
              </w:rPr>
            </w:pPr>
            <w:r w:rsidRPr="00FC2D79">
              <w:rPr>
                <w:rFonts w:ascii="Arial" w:eastAsia="Times New Roman" w:hAnsi="Arial" w:cs="Arial"/>
                <w:color w:val="0070C0"/>
                <w:sz w:val="20"/>
                <w:szCs w:val="20"/>
                <w:lang w:val="en-US"/>
              </w:rPr>
              <w:t xml:space="preserve">     388,831 </w:t>
            </w:r>
          </w:p>
        </w:tc>
      </w:tr>
      <w:tr w:rsidR="005B3349" w:rsidRPr="00FC2D79" w14:paraId="2B16F620" w14:textId="77777777" w:rsidTr="005B3349">
        <w:trPr>
          <w:gridAfter w:val="13"/>
          <w:wAfter w:w="1408" w:type="dxa"/>
          <w:trHeight w:val="264"/>
        </w:trPr>
        <w:tc>
          <w:tcPr>
            <w:tcW w:w="2677" w:type="dxa"/>
            <w:tcBorders>
              <w:top w:val="nil"/>
              <w:left w:val="nil"/>
              <w:bottom w:val="nil"/>
              <w:right w:val="nil"/>
            </w:tcBorders>
            <w:shd w:val="clear" w:color="auto" w:fill="auto"/>
            <w:noWrap/>
            <w:vAlign w:val="bottom"/>
            <w:hideMark/>
          </w:tcPr>
          <w:p w14:paraId="4BC84A20" w14:textId="77777777" w:rsidR="00FC2D79" w:rsidRPr="00FC2D79" w:rsidRDefault="00FC2D79" w:rsidP="00FC2D79">
            <w:pPr>
              <w:spacing w:after="0" w:line="240" w:lineRule="auto"/>
              <w:rPr>
                <w:rFonts w:ascii="Arial" w:eastAsia="Times New Roman" w:hAnsi="Arial" w:cs="Arial"/>
                <w:color w:val="0070C0"/>
                <w:sz w:val="20"/>
                <w:szCs w:val="20"/>
                <w:lang w:val="en-US"/>
              </w:rPr>
            </w:pPr>
          </w:p>
        </w:tc>
        <w:tc>
          <w:tcPr>
            <w:tcW w:w="1406" w:type="dxa"/>
            <w:gridSpan w:val="2"/>
            <w:tcBorders>
              <w:top w:val="nil"/>
              <w:left w:val="nil"/>
              <w:bottom w:val="nil"/>
              <w:right w:val="nil"/>
            </w:tcBorders>
            <w:shd w:val="clear" w:color="auto" w:fill="auto"/>
            <w:noWrap/>
            <w:vAlign w:val="bottom"/>
            <w:hideMark/>
          </w:tcPr>
          <w:p w14:paraId="5DD09241" w14:textId="77777777" w:rsidR="00FC2D79" w:rsidRPr="00FC2D79" w:rsidRDefault="00FC2D79" w:rsidP="00FC2D79">
            <w:pPr>
              <w:spacing w:after="0" w:line="240" w:lineRule="auto"/>
              <w:rPr>
                <w:rFonts w:ascii="Times New Roman" w:eastAsia="Times New Roman" w:hAnsi="Times New Roman" w:cs="Times New Roman"/>
                <w:sz w:val="20"/>
                <w:szCs w:val="20"/>
                <w:lang w:val="en-US"/>
              </w:rPr>
            </w:pPr>
          </w:p>
        </w:tc>
        <w:tc>
          <w:tcPr>
            <w:tcW w:w="1448" w:type="dxa"/>
            <w:gridSpan w:val="5"/>
            <w:tcBorders>
              <w:top w:val="nil"/>
              <w:left w:val="nil"/>
              <w:bottom w:val="nil"/>
              <w:right w:val="nil"/>
            </w:tcBorders>
            <w:shd w:val="clear" w:color="auto" w:fill="auto"/>
            <w:noWrap/>
            <w:vAlign w:val="bottom"/>
            <w:hideMark/>
          </w:tcPr>
          <w:p w14:paraId="25879F48" w14:textId="77777777" w:rsidR="00FC2D79" w:rsidRPr="00FC2D79" w:rsidRDefault="00FC2D79" w:rsidP="00FC2D79">
            <w:pPr>
              <w:spacing w:after="0" w:line="240" w:lineRule="auto"/>
              <w:rPr>
                <w:rFonts w:ascii="Times New Roman" w:eastAsia="Times New Roman" w:hAnsi="Times New Roman" w:cs="Times New Roman"/>
                <w:sz w:val="20"/>
                <w:szCs w:val="20"/>
                <w:lang w:val="en-US"/>
              </w:rPr>
            </w:pPr>
          </w:p>
        </w:tc>
        <w:tc>
          <w:tcPr>
            <w:tcW w:w="2421" w:type="dxa"/>
            <w:gridSpan w:val="14"/>
            <w:tcBorders>
              <w:top w:val="nil"/>
              <w:left w:val="nil"/>
              <w:bottom w:val="nil"/>
              <w:right w:val="nil"/>
            </w:tcBorders>
            <w:shd w:val="clear" w:color="auto" w:fill="auto"/>
            <w:noWrap/>
            <w:vAlign w:val="bottom"/>
            <w:hideMark/>
          </w:tcPr>
          <w:p w14:paraId="5EF65490" w14:textId="77777777" w:rsidR="00FC2D79" w:rsidRPr="00FC2D79" w:rsidRDefault="00FC2D79" w:rsidP="00FC2D79">
            <w:pPr>
              <w:spacing w:after="0" w:line="240" w:lineRule="auto"/>
              <w:rPr>
                <w:rFonts w:ascii="Times New Roman" w:eastAsia="Times New Roman" w:hAnsi="Times New Roman" w:cs="Times New Roman"/>
                <w:sz w:val="20"/>
                <w:szCs w:val="20"/>
                <w:lang w:val="en-US"/>
              </w:rPr>
            </w:pPr>
          </w:p>
        </w:tc>
      </w:tr>
      <w:tr w:rsidR="005B3349" w:rsidRPr="00FC2D79" w14:paraId="161CA128" w14:textId="77777777" w:rsidTr="005B3349">
        <w:trPr>
          <w:gridAfter w:val="13"/>
          <w:wAfter w:w="1408" w:type="dxa"/>
          <w:trHeight w:val="276"/>
        </w:trPr>
        <w:tc>
          <w:tcPr>
            <w:tcW w:w="2677" w:type="dxa"/>
            <w:tcBorders>
              <w:top w:val="nil"/>
              <w:left w:val="nil"/>
              <w:bottom w:val="nil"/>
              <w:right w:val="nil"/>
            </w:tcBorders>
            <w:shd w:val="clear" w:color="auto" w:fill="auto"/>
            <w:noWrap/>
            <w:vAlign w:val="bottom"/>
            <w:hideMark/>
          </w:tcPr>
          <w:p w14:paraId="2AECECFD" w14:textId="77777777" w:rsidR="00FC2D79" w:rsidRPr="00FC2D79" w:rsidRDefault="00FC2D79" w:rsidP="00FC2D79">
            <w:pPr>
              <w:spacing w:after="0" w:line="240" w:lineRule="auto"/>
              <w:rPr>
                <w:rFonts w:ascii="Arial" w:eastAsia="Times New Roman" w:hAnsi="Arial" w:cs="Arial"/>
                <w:color w:val="0070C0"/>
                <w:sz w:val="20"/>
                <w:szCs w:val="20"/>
                <w:lang w:val="en-US"/>
              </w:rPr>
            </w:pPr>
            <w:r w:rsidRPr="00FC2D79">
              <w:rPr>
                <w:rFonts w:ascii="Arial" w:eastAsia="Times New Roman" w:hAnsi="Arial" w:cs="Arial"/>
                <w:color w:val="0070C0"/>
                <w:sz w:val="20"/>
                <w:szCs w:val="20"/>
                <w:lang w:val="en-US"/>
              </w:rPr>
              <w:t>Total metered excluding WMP</w:t>
            </w:r>
          </w:p>
        </w:tc>
        <w:tc>
          <w:tcPr>
            <w:tcW w:w="1406" w:type="dxa"/>
            <w:gridSpan w:val="2"/>
            <w:tcBorders>
              <w:top w:val="single" w:sz="4" w:space="0" w:color="0070C0"/>
              <w:left w:val="nil"/>
              <w:bottom w:val="double" w:sz="6" w:space="0" w:color="0070C0"/>
              <w:right w:val="nil"/>
            </w:tcBorders>
            <w:shd w:val="clear" w:color="auto" w:fill="auto"/>
            <w:noWrap/>
            <w:vAlign w:val="bottom"/>
            <w:hideMark/>
          </w:tcPr>
          <w:p w14:paraId="5E4C64B3" w14:textId="77777777" w:rsidR="00FC2D79" w:rsidRPr="00FC2D79" w:rsidRDefault="00FC2D79" w:rsidP="00FC2D79">
            <w:pPr>
              <w:spacing w:after="0" w:line="240" w:lineRule="auto"/>
              <w:rPr>
                <w:rFonts w:ascii="Arial" w:eastAsia="Times New Roman" w:hAnsi="Arial" w:cs="Arial"/>
                <w:color w:val="0070C0"/>
                <w:sz w:val="20"/>
                <w:szCs w:val="20"/>
                <w:lang w:val="en-US"/>
              </w:rPr>
            </w:pPr>
            <w:r w:rsidRPr="00FC2D79">
              <w:rPr>
                <w:rFonts w:ascii="Arial" w:eastAsia="Times New Roman" w:hAnsi="Arial" w:cs="Arial"/>
                <w:color w:val="0070C0"/>
                <w:sz w:val="20"/>
                <w:szCs w:val="20"/>
                <w:lang w:val="en-US"/>
              </w:rPr>
              <w:t xml:space="preserve"> 138,957,085 </w:t>
            </w:r>
          </w:p>
        </w:tc>
        <w:tc>
          <w:tcPr>
            <w:tcW w:w="1448" w:type="dxa"/>
            <w:gridSpan w:val="5"/>
            <w:tcBorders>
              <w:top w:val="single" w:sz="4" w:space="0" w:color="0070C0"/>
              <w:left w:val="nil"/>
              <w:bottom w:val="double" w:sz="6" w:space="0" w:color="0070C0"/>
              <w:right w:val="nil"/>
            </w:tcBorders>
            <w:shd w:val="clear" w:color="auto" w:fill="auto"/>
            <w:noWrap/>
            <w:vAlign w:val="bottom"/>
            <w:hideMark/>
          </w:tcPr>
          <w:p w14:paraId="33C0091C" w14:textId="77777777" w:rsidR="00FC2D79" w:rsidRPr="00FC2D79" w:rsidRDefault="00FC2D79" w:rsidP="00FC2D79">
            <w:pPr>
              <w:spacing w:after="0" w:line="240" w:lineRule="auto"/>
              <w:rPr>
                <w:rFonts w:ascii="Arial" w:eastAsia="Times New Roman" w:hAnsi="Arial" w:cs="Arial"/>
                <w:color w:val="0070C0"/>
                <w:sz w:val="20"/>
                <w:szCs w:val="20"/>
                <w:lang w:val="en-US"/>
              </w:rPr>
            </w:pPr>
            <w:r w:rsidRPr="00FC2D79">
              <w:rPr>
                <w:rFonts w:ascii="Arial" w:eastAsia="Times New Roman" w:hAnsi="Arial" w:cs="Arial"/>
                <w:color w:val="0070C0"/>
                <w:sz w:val="20"/>
                <w:szCs w:val="20"/>
                <w:lang w:val="en-US"/>
              </w:rPr>
              <w:t xml:space="preserve"> 138,957,085 </w:t>
            </w:r>
          </w:p>
        </w:tc>
        <w:tc>
          <w:tcPr>
            <w:tcW w:w="2421" w:type="dxa"/>
            <w:gridSpan w:val="14"/>
            <w:tcBorders>
              <w:top w:val="single" w:sz="4" w:space="0" w:color="0070C0"/>
              <w:left w:val="nil"/>
              <w:bottom w:val="double" w:sz="6" w:space="0" w:color="0070C0"/>
              <w:right w:val="nil"/>
            </w:tcBorders>
            <w:shd w:val="clear" w:color="auto" w:fill="auto"/>
            <w:noWrap/>
            <w:vAlign w:val="bottom"/>
            <w:hideMark/>
          </w:tcPr>
          <w:p w14:paraId="692A4818" w14:textId="77777777" w:rsidR="00FC2D79" w:rsidRPr="00FC2D79" w:rsidRDefault="00FC2D79" w:rsidP="00FC2D79">
            <w:pPr>
              <w:spacing w:after="0" w:line="240" w:lineRule="auto"/>
              <w:rPr>
                <w:rFonts w:ascii="Arial" w:eastAsia="Times New Roman" w:hAnsi="Arial" w:cs="Arial"/>
                <w:color w:val="0070C0"/>
                <w:sz w:val="20"/>
                <w:szCs w:val="20"/>
                <w:lang w:val="en-US"/>
              </w:rPr>
            </w:pPr>
            <w:r w:rsidRPr="00FC2D79">
              <w:rPr>
                <w:rFonts w:ascii="Arial" w:eastAsia="Times New Roman" w:hAnsi="Arial" w:cs="Arial"/>
                <w:color w:val="0070C0"/>
                <w:sz w:val="20"/>
                <w:szCs w:val="20"/>
                <w:lang w:val="en-US"/>
              </w:rPr>
              <w:t xml:space="preserve">             -   </w:t>
            </w:r>
          </w:p>
        </w:tc>
      </w:tr>
      <w:tr w:rsidR="005B3349" w:rsidRPr="00FC2D79" w14:paraId="16B10F29" w14:textId="77777777" w:rsidTr="005B3349">
        <w:trPr>
          <w:gridAfter w:val="13"/>
          <w:wAfter w:w="1408" w:type="dxa"/>
          <w:trHeight w:val="276"/>
        </w:trPr>
        <w:tc>
          <w:tcPr>
            <w:tcW w:w="2677" w:type="dxa"/>
            <w:tcBorders>
              <w:top w:val="nil"/>
              <w:left w:val="nil"/>
              <w:bottom w:val="nil"/>
              <w:right w:val="nil"/>
            </w:tcBorders>
            <w:shd w:val="clear" w:color="auto" w:fill="auto"/>
            <w:noWrap/>
            <w:vAlign w:val="bottom"/>
            <w:hideMark/>
          </w:tcPr>
          <w:p w14:paraId="635F263D" w14:textId="77777777" w:rsidR="00FC2D79" w:rsidRPr="00FC2D79" w:rsidRDefault="00FC2D79" w:rsidP="00FC2D79">
            <w:pPr>
              <w:spacing w:after="0" w:line="240" w:lineRule="auto"/>
              <w:rPr>
                <w:rFonts w:ascii="Arial" w:eastAsia="Times New Roman" w:hAnsi="Arial" w:cs="Arial"/>
                <w:color w:val="0070C0"/>
                <w:sz w:val="20"/>
                <w:szCs w:val="20"/>
                <w:lang w:val="en-US"/>
              </w:rPr>
            </w:pPr>
          </w:p>
        </w:tc>
        <w:tc>
          <w:tcPr>
            <w:tcW w:w="1406" w:type="dxa"/>
            <w:gridSpan w:val="2"/>
            <w:tcBorders>
              <w:top w:val="nil"/>
              <w:left w:val="nil"/>
              <w:bottom w:val="nil"/>
              <w:right w:val="nil"/>
            </w:tcBorders>
            <w:shd w:val="clear" w:color="auto" w:fill="auto"/>
            <w:noWrap/>
            <w:vAlign w:val="bottom"/>
            <w:hideMark/>
          </w:tcPr>
          <w:p w14:paraId="544AE087" w14:textId="77777777" w:rsidR="00FC2D79" w:rsidRPr="00FC2D79" w:rsidRDefault="00FC2D79" w:rsidP="00FC2D79">
            <w:pPr>
              <w:spacing w:after="0" w:line="240" w:lineRule="auto"/>
              <w:rPr>
                <w:rFonts w:ascii="Times New Roman" w:eastAsia="Times New Roman" w:hAnsi="Times New Roman" w:cs="Times New Roman"/>
                <w:sz w:val="20"/>
                <w:szCs w:val="20"/>
                <w:lang w:val="en-US"/>
              </w:rPr>
            </w:pPr>
          </w:p>
        </w:tc>
        <w:tc>
          <w:tcPr>
            <w:tcW w:w="1297" w:type="dxa"/>
            <w:gridSpan w:val="3"/>
            <w:tcBorders>
              <w:top w:val="nil"/>
              <w:left w:val="nil"/>
              <w:bottom w:val="nil"/>
              <w:right w:val="nil"/>
            </w:tcBorders>
            <w:shd w:val="clear" w:color="auto" w:fill="auto"/>
            <w:noWrap/>
            <w:vAlign w:val="bottom"/>
            <w:hideMark/>
          </w:tcPr>
          <w:p w14:paraId="57948A3C" w14:textId="77777777" w:rsidR="00FC2D79" w:rsidRPr="00FC2D79" w:rsidRDefault="00FC2D79" w:rsidP="00FC2D79">
            <w:pPr>
              <w:spacing w:after="0" w:line="240" w:lineRule="auto"/>
              <w:rPr>
                <w:rFonts w:ascii="Times New Roman" w:eastAsia="Times New Roman" w:hAnsi="Times New Roman" w:cs="Times New Roman"/>
                <w:sz w:val="20"/>
                <w:szCs w:val="20"/>
                <w:lang w:val="en-US"/>
              </w:rPr>
            </w:pPr>
          </w:p>
        </w:tc>
        <w:tc>
          <w:tcPr>
            <w:tcW w:w="2572" w:type="dxa"/>
            <w:gridSpan w:val="16"/>
            <w:tcBorders>
              <w:top w:val="nil"/>
              <w:left w:val="nil"/>
              <w:bottom w:val="nil"/>
              <w:right w:val="nil"/>
            </w:tcBorders>
            <w:shd w:val="clear" w:color="auto" w:fill="auto"/>
            <w:noWrap/>
            <w:vAlign w:val="bottom"/>
            <w:hideMark/>
          </w:tcPr>
          <w:p w14:paraId="78880EEA" w14:textId="77777777" w:rsidR="00FC2D79" w:rsidRPr="00FC2D79" w:rsidRDefault="00FC2D79" w:rsidP="00FC2D79">
            <w:pPr>
              <w:spacing w:after="0" w:line="240" w:lineRule="auto"/>
              <w:rPr>
                <w:rFonts w:ascii="Times New Roman" w:eastAsia="Times New Roman" w:hAnsi="Times New Roman" w:cs="Times New Roman"/>
                <w:sz w:val="20"/>
                <w:szCs w:val="20"/>
                <w:lang w:val="en-US"/>
              </w:rPr>
            </w:pPr>
          </w:p>
        </w:tc>
      </w:tr>
      <w:tr w:rsidR="005B3349" w:rsidRPr="00CA2074" w14:paraId="27F7047D" w14:textId="77777777" w:rsidTr="005B3349">
        <w:trPr>
          <w:gridAfter w:val="8"/>
          <w:wAfter w:w="960" w:type="dxa"/>
          <w:trHeight w:val="276"/>
        </w:trPr>
        <w:tc>
          <w:tcPr>
            <w:tcW w:w="2677" w:type="dxa"/>
            <w:tcBorders>
              <w:top w:val="nil"/>
              <w:left w:val="nil"/>
              <w:bottom w:val="nil"/>
              <w:right w:val="nil"/>
            </w:tcBorders>
            <w:shd w:val="clear" w:color="auto" w:fill="auto"/>
            <w:noWrap/>
            <w:vAlign w:val="bottom"/>
            <w:hideMark/>
          </w:tcPr>
          <w:p w14:paraId="27C9EB52" w14:textId="77777777" w:rsidR="00CA2074" w:rsidRPr="00CA2074" w:rsidRDefault="00CA2074" w:rsidP="00CA2074">
            <w:pPr>
              <w:spacing w:after="0" w:line="240" w:lineRule="auto"/>
              <w:rPr>
                <w:rFonts w:ascii="Times New Roman" w:eastAsia="Times New Roman" w:hAnsi="Times New Roman" w:cs="Times New Roman"/>
                <w:sz w:val="24"/>
                <w:szCs w:val="24"/>
                <w:lang w:val="en-US"/>
              </w:rPr>
            </w:pPr>
          </w:p>
        </w:tc>
        <w:tc>
          <w:tcPr>
            <w:tcW w:w="1296" w:type="dxa"/>
            <w:tcBorders>
              <w:top w:val="nil"/>
              <w:left w:val="nil"/>
              <w:bottom w:val="nil"/>
              <w:right w:val="nil"/>
            </w:tcBorders>
            <w:shd w:val="clear" w:color="auto" w:fill="auto"/>
            <w:noWrap/>
            <w:vAlign w:val="bottom"/>
            <w:hideMark/>
          </w:tcPr>
          <w:p w14:paraId="0855608A" w14:textId="77777777" w:rsidR="00CA2074" w:rsidRPr="00CA2074" w:rsidRDefault="00CA2074" w:rsidP="00CA2074">
            <w:pPr>
              <w:spacing w:after="0" w:line="240" w:lineRule="auto"/>
              <w:rPr>
                <w:rFonts w:ascii="Times New Roman" w:eastAsia="Times New Roman" w:hAnsi="Times New Roman" w:cs="Times New Roman"/>
                <w:sz w:val="20"/>
                <w:szCs w:val="20"/>
                <w:lang w:val="en-US"/>
              </w:rPr>
            </w:pPr>
          </w:p>
        </w:tc>
        <w:tc>
          <w:tcPr>
            <w:tcW w:w="1407" w:type="dxa"/>
            <w:gridSpan w:val="4"/>
            <w:tcBorders>
              <w:top w:val="nil"/>
              <w:left w:val="nil"/>
              <w:bottom w:val="nil"/>
              <w:right w:val="nil"/>
            </w:tcBorders>
            <w:shd w:val="clear" w:color="auto" w:fill="auto"/>
            <w:noWrap/>
            <w:vAlign w:val="bottom"/>
            <w:hideMark/>
          </w:tcPr>
          <w:p w14:paraId="4E654701" w14:textId="77777777" w:rsidR="00CA2074" w:rsidRPr="00CA2074" w:rsidRDefault="00CA2074" w:rsidP="00CA2074">
            <w:pPr>
              <w:spacing w:after="0" w:line="240" w:lineRule="auto"/>
              <w:rPr>
                <w:rFonts w:ascii="Times New Roman" w:eastAsia="Times New Roman" w:hAnsi="Times New Roman" w:cs="Times New Roman"/>
                <w:sz w:val="20"/>
                <w:szCs w:val="20"/>
                <w:lang w:val="en-US"/>
              </w:rPr>
            </w:pPr>
          </w:p>
        </w:tc>
        <w:tc>
          <w:tcPr>
            <w:tcW w:w="3020" w:type="dxa"/>
            <w:gridSpan w:val="21"/>
            <w:tcBorders>
              <w:top w:val="nil"/>
              <w:left w:val="nil"/>
              <w:bottom w:val="nil"/>
              <w:right w:val="nil"/>
            </w:tcBorders>
            <w:shd w:val="clear" w:color="auto" w:fill="auto"/>
            <w:noWrap/>
            <w:vAlign w:val="bottom"/>
            <w:hideMark/>
          </w:tcPr>
          <w:p w14:paraId="1E61C609" w14:textId="77777777" w:rsidR="00CA2074" w:rsidRPr="00CA2074" w:rsidRDefault="00CA2074" w:rsidP="00CA2074">
            <w:pPr>
              <w:spacing w:after="0" w:line="240" w:lineRule="auto"/>
              <w:rPr>
                <w:rFonts w:ascii="Times New Roman" w:eastAsia="Times New Roman" w:hAnsi="Times New Roman" w:cs="Times New Roman"/>
                <w:sz w:val="20"/>
                <w:szCs w:val="20"/>
                <w:lang w:val="en-US"/>
              </w:rPr>
            </w:pPr>
          </w:p>
        </w:tc>
      </w:tr>
      <w:tr w:rsidR="00CA2074" w:rsidRPr="00CA2074" w14:paraId="5E1313B0" w14:textId="77777777" w:rsidTr="005B3349">
        <w:trPr>
          <w:gridAfter w:val="8"/>
          <w:wAfter w:w="960" w:type="dxa"/>
          <w:trHeight w:val="288"/>
        </w:trPr>
        <w:tc>
          <w:tcPr>
            <w:tcW w:w="2677" w:type="dxa"/>
            <w:tcBorders>
              <w:top w:val="nil"/>
              <w:left w:val="nil"/>
              <w:bottom w:val="nil"/>
              <w:right w:val="nil"/>
            </w:tcBorders>
            <w:shd w:val="clear" w:color="auto" w:fill="auto"/>
            <w:noWrap/>
            <w:vAlign w:val="bottom"/>
            <w:hideMark/>
          </w:tcPr>
          <w:p w14:paraId="4A73F23F" w14:textId="77777777" w:rsidR="00CA2074" w:rsidRPr="00CA2074" w:rsidRDefault="00CA2074" w:rsidP="00CA2074">
            <w:pPr>
              <w:spacing w:after="0" w:line="240" w:lineRule="auto"/>
              <w:rPr>
                <w:rFonts w:ascii="Times New Roman" w:eastAsia="Times New Roman" w:hAnsi="Times New Roman" w:cs="Times New Roman"/>
                <w:sz w:val="20"/>
                <w:szCs w:val="20"/>
                <w:lang w:val="en-US"/>
              </w:rPr>
            </w:pPr>
          </w:p>
        </w:tc>
        <w:tc>
          <w:tcPr>
            <w:tcW w:w="5723" w:type="dxa"/>
            <w:gridSpan w:val="26"/>
            <w:tcBorders>
              <w:top w:val="single" w:sz="12" w:space="0" w:color="0070C0"/>
              <w:left w:val="single" w:sz="12" w:space="0" w:color="0070C0"/>
              <w:bottom w:val="single" w:sz="12" w:space="0" w:color="0070C0"/>
              <w:right w:val="single" w:sz="12" w:space="0" w:color="0070C0"/>
            </w:tcBorders>
            <w:shd w:val="clear" w:color="auto" w:fill="auto"/>
            <w:vAlign w:val="bottom"/>
            <w:hideMark/>
          </w:tcPr>
          <w:p w14:paraId="5D2135A0" w14:textId="77777777" w:rsidR="00CA2074" w:rsidRPr="00CA2074" w:rsidRDefault="00CA2074" w:rsidP="00CA2074">
            <w:pPr>
              <w:spacing w:after="0" w:line="240" w:lineRule="auto"/>
              <w:jc w:val="center"/>
              <w:rPr>
                <w:rFonts w:ascii="Arial" w:eastAsia="Times New Roman" w:hAnsi="Arial" w:cs="Arial"/>
                <w:color w:val="0070C0"/>
                <w:sz w:val="20"/>
                <w:szCs w:val="20"/>
                <w:lang w:val="en-US"/>
              </w:rPr>
            </w:pPr>
            <w:r w:rsidRPr="00CA2074">
              <w:rPr>
                <w:rFonts w:ascii="Arial" w:eastAsia="Times New Roman" w:hAnsi="Arial" w:cs="Arial"/>
                <w:color w:val="0070C0"/>
                <w:sz w:val="20"/>
                <w:szCs w:val="20"/>
                <w:lang w:val="en-US"/>
              </w:rPr>
              <w:t>2018</w:t>
            </w:r>
          </w:p>
        </w:tc>
      </w:tr>
      <w:tr w:rsidR="005B3349" w:rsidRPr="00CA2074" w14:paraId="20863023" w14:textId="77777777" w:rsidTr="005B3349">
        <w:trPr>
          <w:gridAfter w:val="8"/>
          <w:wAfter w:w="960" w:type="dxa"/>
          <w:trHeight w:val="276"/>
        </w:trPr>
        <w:tc>
          <w:tcPr>
            <w:tcW w:w="2677" w:type="dxa"/>
            <w:tcBorders>
              <w:top w:val="nil"/>
              <w:left w:val="nil"/>
              <w:bottom w:val="nil"/>
              <w:right w:val="nil"/>
            </w:tcBorders>
            <w:shd w:val="clear" w:color="auto" w:fill="auto"/>
            <w:vAlign w:val="bottom"/>
            <w:hideMark/>
          </w:tcPr>
          <w:p w14:paraId="1CE73B9A" w14:textId="77777777" w:rsidR="00CA2074" w:rsidRPr="00CA2074" w:rsidRDefault="00CA2074" w:rsidP="00CA2074">
            <w:pPr>
              <w:spacing w:after="0" w:line="240" w:lineRule="auto"/>
              <w:jc w:val="center"/>
              <w:rPr>
                <w:rFonts w:ascii="Arial" w:eastAsia="Times New Roman" w:hAnsi="Arial" w:cs="Arial"/>
                <w:color w:val="0070C0"/>
                <w:sz w:val="20"/>
                <w:szCs w:val="20"/>
                <w:lang w:val="en-US"/>
              </w:rPr>
            </w:pPr>
          </w:p>
        </w:tc>
        <w:tc>
          <w:tcPr>
            <w:tcW w:w="1296" w:type="dxa"/>
            <w:tcBorders>
              <w:top w:val="nil"/>
              <w:left w:val="nil"/>
              <w:bottom w:val="nil"/>
              <w:right w:val="nil"/>
            </w:tcBorders>
            <w:shd w:val="clear" w:color="auto" w:fill="auto"/>
            <w:vAlign w:val="bottom"/>
            <w:hideMark/>
          </w:tcPr>
          <w:p w14:paraId="6DE655AA" w14:textId="77777777" w:rsidR="00CA2074" w:rsidRPr="00CA2074" w:rsidRDefault="00CA2074" w:rsidP="00CA2074">
            <w:pPr>
              <w:spacing w:after="0" w:line="240" w:lineRule="auto"/>
              <w:jc w:val="center"/>
              <w:rPr>
                <w:rFonts w:ascii="Arial" w:eastAsia="Times New Roman" w:hAnsi="Arial" w:cs="Arial"/>
                <w:b/>
                <w:bCs/>
                <w:color w:val="0070C0"/>
                <w:sz w:val="20"/>
                <w:szCs w:val="20"/>
                <w:lang w:val="en-US"/>
              </w:rPr>
            </w:pPr>
            <w:r w:rsidRPr="00CA2074">
              <w:rPr>
                <w:rFonts w:ascii="Arial" w:eastAsia="Times New Roman" w:hAnsi="Arial" w:cs="Arial"/>
                <w:b/>
                <w:bCs/>
                <w:color w:val="0070C0"/>
                <w:sz w:val="20"/>
                <w:szCs w:val="20"/>
                <w:lang w:val="en-US"/>
              </w:rPr>
              <w:t>Actual</w:t>
            </w:r>
          </w:p>
        </w:tc>
        <w:tc>
          <w:tcPr>
            <w:tcW w:w="1407" w:type="dxa"/>
            <w:gridSpan w:val="4"/>
            <w:tcBorders>
              <w:top w:val="nil"/>
              <w:left w:val="nil"/>
              <w:bottom w:val="nil"/>
              <w:right w:val="nil"/>
            </w:tcBorders>
            <w:shd w:val="clear" w:color="auto" w:fill="auto"/>
            <w:vAlign w:val="bottom"/>
            <w:hideMark/>
          </w:tcPr>
          <w:p w14:paraId="387148FA" w14:textId="77777777" w:rsidR="00CA2074" w:rsidRPr="00CA2074" w:rsidRDefault="00CA2074" w:rsidP="00CA2074">
            <w:pPr>
              <w:spacing w:after="0" w:line="240" w:lineRule="auto"/>
              <w:jc w:val="center"/>
              <w:rPr>
                <w:rFonts w:ascii="Arial" w:eastAsia="Times New Roman" w:hAnsi="Arial" w:cs="Arial"/>
                <w:b/>
                <w:bCs/>
                <w:color w:val="0070C0"/>
                <w:sz w:val="20"/>
                <w:szCs w:val="20"/>
                <w:lang w:val="en-US"/>
              </w:rPr>
            </w:pPr>
            <w:r w:rsidRPr="00CA2074">
              <w:rPr>
                <w:rFonts w:ascii="Arial" w:eastAsia="Times New Roman" w:hAnsi="Arial" w:cs="Arial"/>
                <w:b/>
                <w:bCs/>
                <w:color w:val="0070C0"/>
                <w:sz w:val="20"/>
                <w:szCs w:val="20"/>
                <w:lang w:val="en-US"/>
              </w:rPr>
              <w:t>Should be</w:t>
            </w:r>
          </w:p>
        </w:tc>
        <w:tc>
          <w:tcPr>
            <w:tcW w:w="3020" w:type="dxa"/>
            <w:gridSpan w:val="21"/>
            <w:tcBorders>
              <w:top w:val="nil"/>
              <w:left w:val="nil"/>
              <w:bottom w:val="nil"/>
              <w:right w:val="nil"/>
            </w:tcBorders>
            <w:shd w:val="clear" w:color="auto" w:fill="auto"/>
            <w:vAlign w:val="bottom"/>
            <w:hideMark/>
          </w:tcPr>
          <w:p w14:paraId="6D098026" w14:textId="77777777" w:rsidR="00CA2074" w:rsidRPr="00CA2074" w:rsidRDefault="00CA2074" w:rsidP="00CA2074">
            <w:pPr>
              <w:spacing w:after="0" w:line="240" w:lineRule="auto"/>
              <w:jc w:val="center"/>
              <w:rPr>
                <w:rFonts w:ascii="Arial" w:eastAsia="Times New Roman" w:hAnsi="Arial" w:cs="Arial"/>
                <w:b/>
                <w:bCs/>
                <w:color w:val="0070C0"/>
                <w:sz w:val="20"/>
                <w:szCs w:val="20"/>
                <w:lang w:val="en-US"/>
              </w:rPr>
            </w:pPr>
            <w:r w:rsidRPr="00CA2074">
              <w:rPr>
                <w:rFonts w:ascii="Arial" w:eastAsia="Times New Roman" w:hAnsi="Arial" w:cs="Arial"/>
                <w:b/>
                <w:bCs/>
                <w:color w:val="0070C0"/>
                <w:sz w:val="20"/>
                <w:szCs w:val="20"/>
                <w:lang w:val="en-US"/>
              </w:rPr>
              <w:t>Difference</w:t>
            </w:r>
          </w:p>
        </w:tc>
      </w:tr>
      <w:tr w:rsidR="005B3349" w:rsidRPr="00CA2074" w14:paraId="00F2DEF0" w14:textId="77777777" w:rsidTr="005B3349">
        <w:trPr>
          <w:gridAfter w:val="8"/>
          <w:wAfter w:w="960" w:type="dxa"/>
          <w:trHeight w:val="264"/>
        </w:trPr>
        <w:tc>
          <w:tcPr>
            <w:tcW w:w="2677" w:type="dxa"/>
            <w:tcBorders>
              <w:top w:val="nil"/>
              <w:left w:val="nil"/>
              <w:bottom w:val="nil"/>
              <w:right w:val="nil"/>
            </w:tcBorders>
            <w:shd w:val="clear" w:color="auto" w:fill="auto"/>
            <w:noWrap/>
            <w:vAlign w:val="bottom"/>
            <w:hideMark/>
          </w:tcPr>
          <w:p w14:paraId="56F16BC8" w14:textId="77777777" w:rsidR="00CA2074" w:rsidRPr="00CA2074" w:rsidRDefault="00CA2074" w:rsidP="00CA2074">
            <w:pPr>
              <w:spacing w:after="0" w:line="240" w:lineRule="auto"/>
              <w:jc w:val="center"/>
              <w:rPr>
                <w:rFonts w:ascii="Arial" w:eastAsia="Times New Roman" w:hAnsi="Arial" w:cs="Arial"/>
                <w:b/>
                <w:bCs/>
                <w:color w:val="0070C0"/>
                <w:sz w:val="20"/>
                <w:szCs w:val="20"/>
                <w:lang w:val="en-US"/>
              </w:rPr>
            </w:pPr>
          </w:p>
        </w:tc>
        <w:tc>
          <w:tcPr>
            <w:tcW w:w="1296" w:type="dxa"/>
            <w:tcBorders>
              <w:top w:val="nil"/>
              <w:left w:val="nil"/>
              <w:bottom w:val="nil"/>
              <w:right w:val="nil"/>
            </w:tcBorders>
            <w:shd w:val="clear" w:color="auto" w:fill="auto"/>
            <w:noWrap/>
            <w:vAlign w:val="bottom"/>
            <w:hideMark/>
          </w:tcPr>
          <w:p w14:paraId="06C0B2EC" w14:textId="77777777" w:rsidR="00CA2074" w:rsidRPr="00CA2074" w:rsidRDefault="00CA2074" w:rsidP="00CA2074">
            <w:pPr>
              <w:spacing w:after="0" w:line="240" w:lineRule="auto"/>
              <w:rPr>
                <w:rFonts w:ascii="Times New Roman" w:eastAsia="Times New Roman" w:hAnsi="Times New Roman" w:cs="Times New Roman"/>
                <w:sz w:val="20"/>
                <w:szCs w:val="20"/>
                <w:lang w:val="en-US"/>
              </w:rPr>
            </w:pPr>
          </w:p>
        </w:tc>
        <w:tc>
          <w:tcPr>
            <w:tcW w:w="1407" w:type="dxa"/>
            <w:gridSpan w:val="4"/>
            <w:tcBorders>
              <w:top w:val="nil"/>
              <w:left w:val="nil"/>
              <w:bottom w:val="nil"/>
              <w:right w:val="nil"/>
            </w:tcBorders>
            <w:shd w:val="clear" w:color="auto" w:fill="auto"/>
            <w:noWrap/>
            <w:vAlign w:val="bottom"/>
            <w:hideMark/>
          </w:tcPr>
          <w:p w14:paraId="299CC45A" w14:textId="77777777" w:rsidR="00CA2074" w:rsidRPr="00CA2074" w:rsidRDefault="00CA2074" w:rsidP="00CA2074">
            <w:pPr>
              <w:spacing w:after="0" w:line="240" w:lineRule="auto"/>
              <w:rPr>
                <w:rFonts w:ascii="Times New Roman" w:eastAsia="Times New Roman" w:hAnsi="Times New Roman" w:cs="Times New Roman"/>
                <w:sz w:val="20"/>
                <w:szCs w:val="20"/>
                <w:lang w:val="en-US"/>
              </w:rPr>
            </w:pPr>
          </w:p>
        </w:tc>
        <w:tc>
          <w:tcPr>
            <w:tcW w:w="3020" w:type="dxa"/>
            <w:gridSpan w:val="21"/>
            <w:tcBorders>
              <w:top w:val="nil"/>
              <w:left w:val="nil"/>
              <w:bottom w:val="nil"/>
              <w:right w:val="nil"/>
            </w:tcBorders>
            <w:shd w:val="clear" w:color="auto" w:fill="auto"/>
            <w:noWrap/>
            <w:vAlign w:val="bottom"/>
            <w:hideMark/>
          </w:tcPr>
          <w:p w14:paraId="7E258882" w14:textId="77777777" w:rsidR="00CA2074" w:rsidRPr="00CA2074" w:rsidRDefault="00CA2074" w:rsidP="00CA2074">
            <w:pPr>
              <w:spacing w:after="0" w:line="240" w:lineRule="auto"/>
              <w:rPr>
                <w:rFonts w:ascii="Times New Roman" w:eastAsia="Times New Roman" w:hAnsi="Times New Roman" w:cs="Times New Roman"/>
                <w:sz w:val="20"/>
                <w:szCs w:val="20"/>
                <w:lang w:val="en-US"/>
              </w:rPr>
            </w:pPr>
          </w:p>
        </w:tc>
      </w:tr>
      <w:tr w:rsidR="00CA2074" w:rsidRPr="00CA2074" w14:paraId="0C343B99" w14:textId="77777777" w:rsidTr="005B3349">
        <w:trPr>
          <w:trHeight w:val="264"/>
        </w:trPr>
        <w:tc>
          <w:tcPr>
            <w:tcW w:w="8888" w:type="dxa"/>
            <w:gridSpan w:val="33"/>
            <w:tcBorders>
              <w:top w:val="nil"/>
              <w:left w:val="nil"/>
              <w:bottom w:val="nil"/>
              <w:right w:val="nil"/>
            </w:tcBorders>
            <w:shd w:val="clear" w:color="auto" w:fill="auto"/>
            <w:noWrap/>
            <w:vAlign w:val="bottom"/>
            <w:hideMark/>
          </w:tcPr>
          <w:p w14:paraId="005F4C79" w14:textId="77777777" w:rsidR="00CA2074" w:rsidRPr="00CA2074" w:rsidRDefault="00CA2074" w:rsidP="00CA2074">
            <w:pPr>
              <w:spacing w:after="0" w:line="240" w:lineRule="auto"/>
              <w:rPr>
                <w:rFonts w:ascii="Arial" w:eastAsia="Times New Roman" w:hAnsi="Arial" w:cs="Arial"/>
                <w:b/>
                <w:bCs/>
                <w:color w:val="0070C0"/>
                <w:sz w:val="20"/>
                <w:szCs w:val="20"/>
                <w:lang w:val="en-US"/>
              </w:rPr>
            </w:pPr>
            <w:r w:rsidRPr="00CA2074">
              <w:rPr>
                <w:rFonts w:ascii="Arial" w:eastAsia="Times New Roman" w:hAnsi="Arial" w:cs="Arial"/>
                <w:b/>
                <w:bCs/>
                <w:color w:val="0070C0"/>
                <w:sz w:val="20"/>
                <w:szCs w:val="20"/>
                <w:lang w:val="en-US"/>
              </w:rPr>
              <w:t>Consumption data excluding for loss factor</w:t>
            </w:r>
          </w:p>
        </w:tc>
        <w:tc>
          <w:tcPr>
            <w:tcW w:w="236" w:type="dxa"/>
            <w:tcBorders>
              <w:top w:val="nil"/>
              <w:left w:val="nil"/>
              <w:bottom w:val="nil"/>
              <w:right w:val="nil"/>
            </w:tcBorders>
            <w:shd w:val="clear" w:color="auto" w:fill="auto"/>
            <w:noWrap/>
            <w:vAlign w:val="bottom"/>
            <w:hideMark/>
          </w:tcPr>
          <w:p w14:paraId="630562AC" w14:textId="77777777" w:rsidR="00CA2074" w:rsidRPr="00CA2074" w:rsidRDefault="00CA2074" w:rsidP="00CA2074">
            <w:pPr>
              <w:spacing w:after="0" w:line="240" w:lineRule="auto"/>
              <w:rPr>
                <w:rFonts w:ascii="Arial" w:eastAsia="Times New Roman" w:hAnsi="Arial" w:cs="Arial"/>
                <w:b/>
                <w:bCs/>
                <w:color w:val="0070C0"/>
                <w:sz w:val="20"/>
                <w:szCs w:val="20"/>
                <w:lang w:val="en-US"/>
              </w:rPr>
            </w:pPr>
          </w:p>
        </w:tc>
        <w:tc>
          <w:tcPr>
            <w:tcW w:w="236" w:type="dxa"/>
            <w:tcBorders>
              <w:top w:val="nil"/>
              <w:left w:val="nil"/>
              <w:bottom w:val="nil"/>
              <w:right w:val="nil"/>
            </w:tcBorders>
            <w:shd w:val="clear" w:color="auto" w:fill="auto"/>
            <w:noWrap/>
            <w:vAlign w:val="bottom"/>
            <w:hideMark/>
          </w:tcPr>
          <w:p w14:paraId="60A745F9" w14:textId="77777777" w:rsidR="00CA2074" w:rsidRPr="00CA2074" w:rsidRDefault="00CA2074" w:rsidP="00CA2074">
            <w:pPr>
              <w:spacing w:after="0" w:line="240" w:lineRule="auto"/>
              <w:rPr>
                <w:rFonts w:ascii="Times New Roman" w:eastAsia="Times New Roman" w:hAnsi="Times New Roman" w:cs="Times New Roman"/>
                <w:sz w:val="20"/>
                <w:szCs w:val="20"/>
                <w:lang w:val="en-US"/>
              </w:rPr>
            </w:pPr>
          </w:p>
        </w:tc>
      </w:tr>
      <w:tr w:rsidR="005B3349" w:rsidRPr="00CA2074" w14:paraId="27879AC3" w14:textId="77777777" w:rsidTr="005B3349">
        <w:trPr>
          <w:trHeight w:val="264"/>
        </w:trPr>
        <w:tc>
          <w:tcPr>
            <w:tcW w:w="2677" w:type="dxa"/>
            <w:tcBorders>
              <w:top w:val="nil"/>
              <w:left w:val="nil"/>
              <w:bottom w:val="nil"/>
              <w:right w:val="nil"/>
            </w:tcBorders>
            <w:shd w:val="clear" w:color="auto" w:fill="auto"/>
            <w:noWrap/>
            <w:vAlign w:val="bottom"/>
            <w:hideMark/>
          </w:tcPr>
          <w:p w14:paraId="4ADF23C3" w14:textId="77777777" w:rsidR="00CA2074" w:rsidRPr="00CA2074" w:rsidRDefault="00CA2074" w:rsidP="00CA2074">
            <w:pPr>
              <w:spacing w:after="0" w:line="240" w:lineRule="auto"/>
              <w:rPr>
                <w:rFonts w:ascii="Times New Roman" w:eastAsia="Times New Roman" w:hAnsi="Times New Roman" w:cs="Times New Roman"/>
                <w:sz w:val="20"/>
                <w:szCs w:val="20"/>
                <w:lang w:val="en-US"/>
              </w:rPr>
            </w:pPr>
          </w:p>
        </w:tc>
        <w:tc>
          <w:tcPr>
            <w:tcW w:w="1296" w:type="dxa"/>
            <w:tcBorders>
              <w:top w:val="nil"/>
              <w:left w:val="nil"/>
              <w:bottom w:val="nil"/>
              <w:right w:val="nil"/>
            </w:tcBorders>
            <w:shd w:val="clear" w:color="auto" w:fill="auto"/>
            <w:noWrap/>
            <w:vAlign w:val="bottom"/>
            <w:hideMark/>
          </w:tcPr>
          <w:p w14:paraId="6D6BDF1B" w14:textId="77777777" w:rsidR="00CA2074" w:rsidRPr="00CA2074" w:rsidRDefault="00CA2074" w:rsidP="00CA2074">
            <w:pPr>
              <w:spacing w:after="0" w:line="240" w:lineRule="auto"/>
              <w:rPr>
                <w:rFonts w:ascii="Times New Roman" w:eastAsia="Times New Roman" w:hAnsi="Times New Roman" w:cs="Times New Roman"/>
                <w:sz w:val="20"/>
                <w:szCs w:val="20"/>
                <w:lang w:val="en-US"/>
              </w:rPr>
            </w:pPr>
          </w:p>
        </w:tc>
        <w:tc>
          <w:tcPr>
            <w:tcW w:w="1407" w:type="dxa"/>
            <w:gridSpan w:val="4"/>
            <w:tcBorders>
              <w:top w:val="nil"/>
              <w:left w:val="nil"/>
              <w:bottom w:val="nil"/>
              <w:right w:val="nil"/>
            </w:tcBorders>
            <w:shd w:val="clear" w:color="auto" w:fill="auto"/>
            <w:noWrap/>
            <w:vAlign w:val="bottom"/>
            <w:hideMark/>
          </w:tcPr>
          <w:p w14:paraId="5E5B04E5" w14:textId="77777777" w:rsidR="00CA2074" w:rsidRPr="00CA2074" w:rsidRDefault="00CA2074" w:rsidP="00CA2074">
            <w:pPr>
              <w:spacing w:after="0" w:line="240" w:lineRule="auto"/>
              <w:rPr>
                <w:rFonts w:ascii="Times New Roman" w:eastAsia="Times New Roman" w:hAnsi="Times New Roman" w:cs="Times New Roman"/>
                <w:sz w:val="20"/>
                <w:szCs w:val="20"/>
                <w:lang w:val="en-US"/>
              </w:rPr>
            </w:pPr>
          </w:p>
        </w:tc>
        <w:tc>
          <w:tcPr>
            <w:tcW w:w="3020" w:type="dxa"/>
            <w:gridSpan w:val="21"/>
            <w:tcBorders>
              <w:top w:val="nil"/>
              <w:left w:val="nil"/>
              <w:bottom w:val="nil"/>
              <w:right w:val="nil"/>
            </w:tcBorders>
            <w:shd w:val="clear" w:color="auto" w:fill="auto"/>
            <w:noWrap/>
            <w:vAlign w:val="bottom"/>
            <w:hideMark/>
          </w:tcPr>
          <w:p w14:paraId="64D7A938" w14:textId="77777777" w:rsidR="00CA2074" w:rsidRPr="00CA2074" w:rsidRDefault="00CA2074" w:rsidP="00CA2074">
            <w:pPr>
              <w:spacing w:after="0" w:line="240" w:lineRule="auto"/>
              <w:rPr>
                <w:rFonts w:ascii="Times New Roman" w:eastAsia="Times New Roman" w:hAnsi="Times New Roman" w:cs="Times New Roman"/>
                <w:sz w:val="20"/>
                <w:szCs w:val="20"/>
                <w:lang w:val="en-US"/>
              </w:rPr>
            </w:pPr>
          </w:p>
        </w:tc>
        <w:tc>
          <w:tcPr>
            <w:tcW w:w="252" w:type="dxa"/>
            <w:gridSpan w:val="4"/>
            <w:vAlign w:val="center"/>
            <w:hideMark/>
          </w:tcPr>
          <w:p w14:paraId="4083B5FD" w14:textId="77777777" w:rsidR="00CA2074" w:rsidRPr="00CA2074" w:rsidRDefault="00CA2074" w:rsidP="00CA2074">
            <w:pPr>
              <w:spacing w:after="0" w:line="240" w:lineRule="auto"/>
              <w:rPr>
                <w:rFonts w:ascii="Times New Roman" w:eastAsia="Times New Roman" w:hAnsi="Times New Roman" w:cs="Times New Roman"/>
                <w:sz w:val="20"/>
                <w:szCs w:val="20"/>
                <w:lang w:val="en-US"/>
              </w:rPr>
            </w:pPr>
          </w:p>
        </w:tc>
        <w:tc>
          <w:tcPr>
            <w:tcW w:w="236" w:type="dxa"/>
            <w:gridSpan w:val="2"/>
            <w:vAlign w:val="center"/>
            <w:hideMark/>
          </w:tcPr>
          <w:p w14:paraId="17E9934A" w14:textId="77777777" w:rsidR="00CA2074" w:rsidRPr="00CA2074" w:rsidRDefault="00CA2074" w:rsidP="00CA2074">
            <w:pPr>
              <w:spacing w:after="0" w:line="240" w:lineRule="auto"/>
              <w:rPr>
                <w:rFonts w:ascii="Times New Roman" w:eastAsia="Times New Roman" w:hAnsi="Times New Roman" w:cs="Times New Roman"/>
                <w:sz w:val="20"/>
                <w:szCs w:val="20"/>
                <w:lang w:val="en-US"/>
              </w:rPr>
            </w:pPr>
          </w:p>
        </w:tc>
        <w:tc>
          <w:tcPr>
            <w:tcW w:w="236" w:type="dxa"/>
            <w:vAlign w:val="center"/>
            <w:hideMark/>
          </w:tcPr>
          <w:p w14:paraId="76C43254" w14:textId="77777777" w:rsidR="00CA2074" w:rsidRPr="00CA2074" w:rsidRDefault="00CA2074" w:rsidP="00CA2074">
            <w:pPr>
              <w:spacing w:after="0" w:line="240" w:lineRule="auto"/>
              <w:rPr>
                <w:rFonts w:ascii="Times New Roman" w:eastAsia="Times New Roman" w:hAnsi="Times New Roman" w:cs="Times New Roman"/>
                <w:sz w:val="20"/>
                <w:szCs w:val="20"/>
                <w:lang w:val="en-US"/>
              </w:rPr>
            </w:pPr>
          </w:p>
        </w:tc>
        <w:tc>
          <w:tcPr>
            <w:tcW w:w="236" w:type="dxa"/>
            <w:vAlign w:val="center"/>
            <w:hideMark/>
          </w:tcPr>
          <w:p w14:paraId="5FCBC669" w14:textId="77777777" w:rsidR="00CA2074" w:rsidRPr="00CA2074" w:rsidRDefault="00CA2074" w:rsidP="00CA2074">
            <w:pPr>
              <w:spacing w:after="0" w:line="240" w:lineRule="auto"/>
              <w:rPr>
                <w:rFonts w:ascii="Times New Roman" w:eastAsia="Times New Roman" w:hAnsi="Times New Roman" w:cs="Times New Roman"/>
                <w:sz w:val="20"/>
                <w:szCs w:val="20"/>
                <w:lang w:val="en-US"/>
              </w:rPr>
            </w:pPr>
          </w:p>
        </w:tc>
      </w:tr>
      <w:tr w:rsidR="005B3349" w:rsidRPr="00CA2074" w14:paraId="521F0E9E" w14:textId="77777777" w:rsidTr="005B3349">
        <w:trPr>
          <w:trHeight w:val="264"/>
        </w:trPr>
        <w:tc>
          <w:tcPr>
            <w:tcW w:w="2677" w:type="dxa"/>
            <w:tcBorders>
              <w:top w:val="nil"/>
              <w:left w:val="nil"/>
              <w:bottom w:val="nil"/>
              <w:right w:val="nil"/>
            </w:tcBorders>
            <w:shd w:val="clear" w:color="auto" w:fill="auto"/>
            <w:noWrap/>
            <w:vAlign w:val="bottom"/>
            <w:hideMark/>
          </w:tcPr>
          <w:p w14:paraId="184904E8" w14:textId="77777777" w:rsidR="00CA2074" w:rsidRPr="00CA2074" w:rsidRDefault="00CA2074" w:rsidP="00CA2074">
            <w:pPr>
              <w:spacing w:after="0" w:line="240" w:lineRule="auto"/>
              <w:rPr>
                <w:rFonts w:ascii="Arial" w:eastAsia="Times New Roman" w:hAnsi="Arial" w:cs="Arial"/>
                <w:color w:val="0070C0"/>
                <w:sz w:val="20"/>
                <w:szCs w:val="20"/>
                <w:lang w:val="en-US"/>
              </w:rPr>
            </w:pPr>
            <w:r w:rsidRPr="00CA2074">
              <w:rPr>
                <w:rFonts w:ascii="Arial" w:eastAsia="Times New Roman" w:hAnsi="Arial" w:cs="Arial"/>
                <w:color w:val="0070C0"/>
                <w:sz w:val="20"/>
                <w:szCs w:val="20"/>
                <w:lang w:val="en-US"/>
              </w:rPr>
              <w:t>RPP</w:t>
            </w:r>
          </w:p>
        </w:tc>
        <w:tc>
          <w:tcPr>
            <w:tcW w:w="1419" w:type="dxa"/>
            <w:gridSpan w:val="3"/>
            <w:tcBorders>
              <w:top w:val="nil"/>
              <w:left w:val="nil"/>
              <w:bottom w:val="nil"/>
              <w:right w:val="nil"/>
            </w:tcBorders>
            <w:shd w:val="clear" w:color="auto" w:fill="auto"/>
            <w:noWrap/>
            <w:vAlign w:val="bottom"/>
            <w:hideMark/>
          </w:tcPr>
          <w:p w14:paraId="444DF87F" w14:textId="77777777" w:rsidR="00CA2074" w:rsidRPr="00CA2074" w:rsidRDefault="00CA2074" w:rsidP="00CA2074">
            <w:pPr>
              <w:spacing w:after="0" w:line="240" w:lineRule="auto"/>
              <w:rPr>
                <w:rFonts w:ascii="Arial" w:eastAsia="Times New Roman" w:hAnsi="Arial" w:cs="Arial"/>
                <w:color w:val="0070C0"/>
                <w:sz w:val="20"/>
                <w:szCs w:val="20"/>
                <w:lang w:val="en-US"/>
              </w:rPr>
            </w:pPr>
            <w:r w:rsidRPr="00CA2074">
              <w:rPr>
                <w:rFonts w:ascii="Arial" w:eastAsia="Times New Roman" w:hAnsi="Arial" w:cs="Arial"/>
                <w:color w:val="0070C0"/>
                <w:sz w:val="20"/>
                <w:szCs w:val="20"/>
                <w:lang w:val="en-US"/>
              </w:rPr>
              <w:t xml:space="preserve">   64,445,530 </w:t>
            </w:r>
          </w:p>
        </w:tc>
        <w:tc>
          <w:tcPr>
            <w:tcW w:w="1355" w:type="dxa"/>
            <w:gridSpan w:val="3"/>
            <w:tcBorders>
              <w:top w:val="nil"/>
              <w:left w:val="nil"/>
              <w:bottom w:val="nil"/>
              <w:right w:val="nil"/>
            </w:tcBorders>
            <w:shd w:val="clear" w:color="auto" w:fill="auto"/>
            <w:noWrap/>
            <w:vAlign w:val="bottom"/>
            <w:hideMark/>
          </w:tcPr>
          <w:p w14:paraId="7E42ED29" w14:textId="77777777" w:rsidR="00CA2074" w:rsidRPr="00CA2074" w:rsidRDefault="00CA2074" w:rsidP="00CA2074">
            <w:pPr>
              <w:spacing w:after="0" w:line="240" w:lineRule="auto"/>
              <w:rPr>
                <w:rFonts w:ascii="Arial" w:eastAsia="Times New Roman" w:hAnsi="Arial" w:cs="Arial"/>
                <w:color w:val="0070C0"/>
                <w:sz w:val="20"/>
                <w:szCs w:val="20"/>
                <w:lang w:val="en-US"/>
              </w:rPr>
            </w:pPr>
            <w:r w:rsidRPr="00CA2074">
              <w:rPr>
                <w:rFonts w:ascii="Arial" w:eastAsia="Times New Roman" w:hAnsi="Arial" w:cs="Arial"/>
                <w:color w:val="0070C0"/>
                <w:sz w:val="20"/>
                <w:szCs w:val="20"/>
                <w:lang w:val="en-US"/>
              </w:rPr>
              <w:t xml:space="preserve">   64,481,561 </w:t>
            </w:r>
          </w:p>
        </w:tc>
        <w:tc>
          <w:tcPr>
            <w:tcW w:w="2949" w:type="dxa"/>
            <w:gridSpan w:val="20"/>
            <w:tcBorders>
              <w:top w:val="nil"/>
              <w:left w:val="nil"/>
              <w:bottom w:val="nil"/>
              <w:right w:val="nil"/>
            </w:tcBorders>
            <w:shd w:val="clear" w:color="auto" w:fill="auto"/>
            <w:noWrap/>
            <w:vAlign w:val="bottom"/>
            <w:hideMark/>
          </w:tcPr>
          <w:p w14:paraId="6891339B" w14:textId="77777777" w:rsidR="00CA2074" w:rsidRPr="00CA2074" w:rsidRDefault="00CA2074" w:rsidP="00CA2074">
            <w:pPr>
              <w:spacing w:after="0" w:line="240" w:lineRule="auto"/>
              <w:rPr>
                <w:rFonts w:ascii="Arial" w:eastAsia="Times New Roman" w:hAnsi="Arial" w:cs="Arial"/>
                <w:color w:val="0070C0"/>
                <w:sz w:val="20"/>
                <w:szCs w:val="20"/>
                <w:lang w:val="en-US"/>
              </w:rPr>
            </w:pPr>
            <w:r w:rsidRPr="00CA2074">
              <w:rPr>
                <w:rFonts w:ascii="Arial" w:eastAsia="Times New Roman" w:hAnsi="Arial" w:cs="Arial"/>
                <w:color w:val="0070C0"/>
                <w:sz w:val="20"/>
                <w:szCs w:val="20"/>
                <w:lang w:val="en-US"/>
              </w:rPr>
              <w:t xml:space="preserve">           36,031 </w:t>
            </w:r>
          </w:p>
        </w:tc>
        <w:tc>
          <w:tcPr>
            <w:tcW w:w="252" w:type="dxa"/>
            <w:gridSpan w:val="4"/>
            <w:vAlign w:val="center"/>
            <w:hideMark/>
          </w:tcPr>
          <w:p w14:paraId="2575A8F0" w14:textId="77777777" w:rsidR="00CA2074" w:rsidRPr="00CA2074" w:rsidRDefault="00CA2074" w:rsidP="00CA2074">
            <w:pPr>
              <w:spacing w:after="0" w:line="240" w:lineRule="auto"/>
              <w:rPr>
                <w:rFonts w:ascii="Times New Roman" w:eastAsia="Times New Roman" w:hAnsi="Times New Roman" w:cs="Times New Roman"/>
                <w:sz w:val="20"/>
                <w:szCs w:val="20"/>
                <w:lang w:val="en-US"/>
              </w:rPr>
            </w:pPr>
          </w:p>
        </w:tc>
        <w:tc>
          <w:tcPr>
            <w:tcW w:w="236" w:type="dxa"/>
            <w:gridSpan w:val="2"/>
            <w:vAlign w:val="center"/>
            <w:hideMark/>
          </w:tcPr>
          <w:p w14:paraId="2DDEBAAF" w14:textId="77777777" w:rsidR="00CA2074" w:rsidRPr="00CA2074" w:rsidRDefault="00CA2074" w:rsidP="00CA2074">
            <w:pPr>
              <w:spacing w:after="0" w:line="240" w:lineRule="auto"/>
              <w:rPr>
                <w:rFonts w:ascii="Times New Roman" w:eastAsia="Times New Roman" w:hAnsi="Times New Roman" w:cs="Times New Roman"/>
                <w:sz w:val="20"/>
                <w:szCs w:val="20"/>
                <w:lang w:val="en-US"/>
              </w:rPr>
            </w:pPr>
          </w:p>
        </w:tc>
        <w:tc>
          <w:tcPr>
            <w:tcW w:w="236" w:type="dxa"/>
            <w:vAlign w:val="center"/>
            <w:hideMark/>
          </w:tcPr>
          <w:p w14:paraId="54AC8797" w14:textId="77777777" w:rsidR="00CA2074" w:rsidRPr="00CA2074" w:rsidRDefault="00CA2074" w:rsidP="00CA2074">
            <w:pPr>
              <w:spacing w:after="0" w:line="240" w:lineRule="auto"/>
              <w:rPr>
                <w:rFonts w:ascii="Times New Roman" w:eastAsia="Times New Roman" w:hAnsi="Times New Roman" w:cs="Times New Roman"/>
                <w:sz w:val="20"/>
                <w:szCs w:val="20"/>
                <w:lang w:val="en-US"/>
              </w:rPr>
            </w:pPr>
          </w:p>
        </w:tc>
        <w:tc>
          <w:tcPr>
            <w:tcW w:w="236" w:type="dxa"/>
            <w:vAlign w:val="center"/>
            <w:hideMark/>
          </w:tcPr>
          <w:p w14:paraId="79DA98A6" w14:textId="77777777" w:rsidR="00CA2074" w:rsidRPr="00CA2074" w:rsidRDefault="00CA2074" w:rsidP="00CA2074">
            <w:pPr>
              <w:spacing w:after="0" w:line="240" w:lineRule="auto"/>
              <w:rPr>
                <w:rFonts w:ascii="Times New Roman" w:eastAsia="Times New Roman" w:hAnsi="Times New Roman" w:cs="Times New Roman"/>
                <w:sz w:val="20"/>
                <w:szCs w:val="20"/>
                <w:lang w:val="en-US"/>
              </w:rPr>
            </w:pPr>
          </w:p>
        </w:tc>
      </w:tr>
      <w:tr w:rsidR="005B3349" w:rsidRPr="00CA2074" w14:paraId="39F7F332" w14:textId="77777777" w:rsidTr="005B3349">
        <w:trPr>
          <w:trHeight w:val="264"/>
        </w:trPr>
        <w:tc>
          <w:tcPr>
            <w:tcW w:w="2677" w:type="dxa"/>
            <w:tcBorders>
              <w:top w:val="nil"/>
              <w:left w:val="nil"/>
              <w:bottom w:val="nil"/>
              <w:right w:val="nil"/>
            </w:tcBorders>
            <w:shd w:val="clear" w:color="auto" w:fill="auto"/>
            <w:noWrap/>
            <w:vAlign w:val="bottom"/>
            <w:hideMark/>
          </w:tcPr>
          <w:p w14:paraId="0C80960C" w14:textId="77777777" w:rsidR="00CA2074" w:rsidRPr="00CA2074" w:rsidRDefault="00CA2074" w:rsidP="00CA2074">
            <w:pPr>
              <w:spacing w:after="0" w:line="240" w:lineRule="auto"/>
              <w:rPr>
                <w:rFonts w:ascii="Arial" w:eastAsia="Times New Roman" w:hAnsi="Arial" w:cs="Arial"/>
                <w:color w:val="0070C0"/>
                <w:sz w:val="20"/>
                <w:szCs w:val="20"/>
                <w:lang w:val="en-US"/>
              </w:rPr>
            </w:pPr>
            <w:r w:rsidRPr="00CA2074">
              <w:rPr>
                <w:rFonts w:ascii="Arial" w:eastAsia="Times New Roman" w:hAnsi="Arial" w:cs="Arial"/>
                <w:color w:val="0070C0"/>
                <w:sz w:val="20"/>
                <w:szCs w:val="20"/>
                <w:lang w:val="en-US"/>
              </w:rPr>
              <w:t>Non-RPP Class A</w:t>
            </w:r>
          </w:p>
        </w:tc>
        <w:tc>
          <w:tcPr>
            <w:tcW w:w="1419" w:type="dxa"/>
            <w:gridSpan w:val="3"/>
            <w:tcBorders>
              <w:top w:val="nil"/>
              <w:left w:val="nil"/>
              <w:bottom w:val="nil"/>
              <w:right w:val="nil"/>
            </w:tcBorders>
            <w:shd w:val="clear" w:color="auto" w:fill="auto"/>
            <w:noWrap/>
            <w:vAlign w:val="bottom"/>
            <w:hideMark/>
          </w:tcPr>
          <w:p w14:paraId="3C090B3F" w14:textId="77777777" w:rsidR="00CA2074" w:rsidRPr="00CA2074" w:rsidRDefault="00CA2074" w:rsidP="00CA2074">
            <w:pPr>
              <w:spacing w:after="0" w:line="240" w:lineRule="auto"/>
              <w:rPr>
                <w:rFonts w:ascii="Arial" w:eastAsia="Times New Roman" w:hAnsi="Arial" w:cs="Arial"/>
                <w:color w:val="0070C0"/>
                <w:sz w:val="20"/>
                <w:szCs w:val="20"/>
                <w:lang w:val="en-US"/>
              </w:rPr>
            </w:pPr>
            <w:r w:rsidRPr="00CA2074">
              <w:rPr>
                <w:rFonts w:ascii="Arial" w:eastAsia="Times New Roman" w:hAnsi="Arial" w:cs="Arial"/>
                <w:color w:val="0070C0"/>
                <w:sz w:val="20"/>
                <w:szCs w:val="20"/>
                <w:lang w:val="en-US"/>
              </w:rPr>
              <w:t xml:space="preserve">   15,041,117 </w:t>
            </w:r>
          </w:p>
        </w:tc>
        <w:tc>
          <w:tcPr>
            <w:tcW w:w="1355" w:type="dxa"/>
            <w:gridSpan w:val="3"/>
            <w:tcBorders>
              <w:top w:val="nil"/>
              <w:left w:val="nil"/>
              <w:bottom w:val="nil"/>
              <w:right w:val="nil"/>
            </w:tcBorders>
            <w:shd w:val="clear" w:color="auto" w:fill="auto"/>
            <w:noWrap/>
            <w:vAlign w:val="bottom"/>
            <w:hideMark/>
          </w:tcPr>
          <w:p w14:paraId="42015544" w14:textId="77777777" w:rsidR="00CA2074" w:rsidRPr="00CA2074" w:rsidRDefault="00CA2074" w:rsidP="00CA2074">
            <w:pPr>
              <w:spacing w:after="0" w:line="240" w:lineRule="auto"/>
              <w:rPr>
                <w:rFonts w:ascii="Arial" w:eastAsia="Times New Roman" w:hAnsi="Arial" w:cs="Arial"/>
                <w:color w:val="0070C0"/>
                <w:sz w:val="20"/>
                <w:szCs w:val="20"/>
                <w:lang w:val="en-US"/>
              </w:rPr>
            </w:pPr>
            <w:r w:rsidRPr="00CA2074">
              <w:rPr>
                <w:rFonts w:ascii="Arial" w:eastAsia="Times New Roman" w:hAnsi="Arial" w:cs="Arial"/>
                <w:color w:val="0070C0"/>
                <w:sz w:val="20"/>
                <w:szCs w:val="20"/>
                <w:lang w:val="en-US"/>
              </w:rPr>
              <w:t xml:space="preserve">   13,396,041 </w:t>
            </w:r>
          </w:p>
        </w:tc>
        <w:tc>
          <w:tcPr>
            <w:tcW w:w="2949" w:type="dxa"/>
            <w:gridSpan w:val="20"/>
            <w:tcBorders>
              <w:top w:val="nil"/>
              <w:left w:val="nil"/>
              <w:bottom w:val="nil"/>
              <w:right w:val="nil"/>
            </w:tcBorders>
            <w:shd w:val="clear" w:color="auto" w:fill="auto"/>
            <w:noWrap/>
            <w:vAlign w:val="bottom"/>
            <w:hideMark/>
          </w:tcPr>
          <w:p w14:paraId="4830E253" w14:textId="77777777" w:rsidR="00CA2074" w:rsidRPr="00CA2074" w:rsidRDefault="00CA2074" w:rsidP="00CA2074">
            <w:pPr>
              <w:spacing w:after="0" w:line="240" w:lineRule="auto"/>
              <w:rPr>
                <w:rFonts w:ascii="Arial" w:eastAsia="Times New Roman" w:hAnsi="Arial" w:cs="Arial"/>
                <w:color w:val="0070C0"/>
                <w:sz w:val="20"/>
                <w:szCs w:val="20"/>
                <w:lang w:val="en-US"/>
              </w:rPr>
            </w:pPr>
            <w:r w:rsidRPr="00CA2074">
              <w:rPr>
                <w:rFonts w:ascii="Arial" w:eastAsia="Times New Roman" w:hAnsi="Arial" w:cs="Arial"/>
                <w:color w:val="0070C0"/>
                <w:sz w:val="20"/>
                <w:szCs w:val="20"/>
                <w:lang w:val="en-US"/>
              </w:rPr>
              <w:t xml:space="preserve">     (1,645,076)</w:t>
            </w:r>
          </w:p>
        </w:tc>
        <w:tc>
          <w:tcPr>
            <w:tcW w:w="252" w:type="dxa"/>
            <w:gridSpan w:val="4"/>
            <w:vAlign w:val="center"/>
            <w:hideMark/>
          </w:tcPr>
          <w:p w14:paraId="16677514" w14:textId="77777777" w:rsidR="00CA2074" w:rsidRPr="00CA2074" w:rsidRDefault="00CA2074" w:rsidP="00CA2074">
            <w:pPr>
              <w:spacing w:after="0" w:line="240" w:lineRule="auto"/>
              <w:rPr>
                <w:rFonts w:ascii="Times New Roman" w:eastAsia="Times New Roman" w:hAnsi="Times New Roman" w:cs="Times New Roman"/>
                <w:sz w:val="20"/>
                <w:szCs w:val="20"/>
                <w:lang w:val="en-US"/>
              </w:rPr>
            </w:pPr>
          </w:p>
        </w:tc>
        <w:tc>
          <w:tcPr>
            <w:tcW w:w="236" w:type="dxa"/>
            <w:gridSpan w:val="2"/>
            <w:vAlign w:val="center"/>
            <w:hideMark/>
          </w:tcPr>
          <w:p w14:paraId="1A033B76" w14:textId="77777777" w:rsidR="00CA2074" w:rsidRPr="00CA2074" w:rsidRDefault="00CA2074" w:rsidP="00CA2074">
            <w:pPr>
              <w:spacing w:after="0" w:line="240" w:lineRule="auto"/>
              <w:rPr>
                <w:rFonts w:ascii="Times New Roman" w:eastAsia="Times New Roman" w:hAnsi="Times New Roman" w:cs="Times New Roman"/>
                <w:sz w:val="20"/>
                <w:szCs w:val="20"/>
                <w:lang w:val="en-US"/>
              </w:rPr>
            </w:pPr>
          </w:p>
        </w:tc>
        <w:tc>
          <w:tcPr>
            <w:tcW w:w="236" w:type="dxa"/>
            <w:vAlign w:val="center"/>
            <w:hideMark/>
          </w:tcPr>
          <w:p w14:paraId="090CE461" w14:textId="77777777" w:rsidR="00CA2074" w:rsidRPr="00CA2074" w:rsidRDefault="00CA2074" w:rsidP="00CA2074">
            <w:pPr>
              <w:spacing w:after="0" w:line="240" w:lineRule="auto"/>
              <w:rPr>
                <w:rFonts w:ascii="Times New Roman" w:eastAsia="Times New Roman" w:hAnsi="Times New Roman" w:cs="Times New Roman"/>
                <w:sz w:val="20"/>
                <w:szCs w:val="20"/>
                <w:lang w:val="en-US"/>
              </w:rPr>
            </w:pPr>
          </w:p>
        </w:tc>
        <w:tc>
          <w:tcPr>
            <w:tcW w:w="236" w:type="dxa"/>
            <w:vAlign w:val="center"/>
            <w:hideMark/>
          </w:tcPr>
          <w:p w14:paraId="4EA20DCB" w14:textId="77777777" w:rsidR="00CA2074" w:rsidRPr="00CA2074" w:rsidRDefault="00CA2074" w:rsidP="00CA2074">
            <w:pPr>
              <w:spacing w:after="0" w:line="240" w:lineRule="auto"/>
              <w:rPr>
                <w:rFonts w:ascii="Times New Roman" w:eastAsia="Times New Roman" w:hAnsi="Times New Roman" w:cs="Times New Roman"/>
                <w:sz w:val="20"/>
                <w:szCs w:val="20"/>
                <w:lang w:val="en-US"/>
              </w:rPr>
            </w:pPr>
          </w:p>
        </w:tc>
      </w:tr>
      <w:tr w:rsidR="005B3349" w:rsidRPr="00CA2074" w14:paraId="36305C04" w14:textId="77777777" w:rsidTr="005B3349">
        <w:trPr>
          <w:trHeight w:val="264"/>
        </w:trPr>
        <w:tc>
          <w:tcPr>
            <w:tcW w:w="2677" w:type="dxa"/>
            <w:tcBorders>
              <w:top w:val="nil"/>
              <w:left w:val="nil"/>
              <w:bottom w:val="nil"/>
              <w:right w:val="nil"/>
            </w:tcBorders>
            <w:shd w:val="clear" w:color="auto" w:fill="auto"/>
            <w:noWrap/>
            <w:vAlign w:val="bottom"/>
            <w:hideMark/>
          </w:tcPr>
          <w:p w14:paraId="7839A5D2" w14:textId="77777777" w:rsidR="00CA2074" w:rsidRPr="00CA2074" w:rsidRDefault="00CA2074" w:rsidP="00CA2074">
            <w:pPr>
              <w:spacing w:after="0" w:line="240" w:lineRule="auto"/>
              <w:rPr>
                <w:rFonts w:ascii="Arial" w:eastAsia="Times New Roman" w:hAnsi="Arial" w:cs="Arial"/>
                <w:color w:val="0070C0"/>
                <w:sz w:val="20"/>
                <w:szCs w:val="20"/>
                <w:lang w:val="en-US"/>
              </w:rPr>
            </w:pPr>
            <w:r w:rsidRPr="00CA2074">
              <w:rPr>
                <w:rFonts w:ascii="Arial" w:eastAsia="Times New Roman" w:hAnsi="Arial" w:cs="Arial"/>
                <w:color w:val="0070C0"/>
                <w:sz w:val="20"/>
                <w:szCs w:val="20"/>
                <w:lang w:val="en-US"/>
              </w:rPr>
              <w:t>Non-RPP Class B</w:t>
            </w:r>
          </w:p>
        </w:tc>
        <w:tc>
          <w:tcPr>
            <w:tcW w:w="1419" w:type="dxa"/>
            <w:gridSpan w:val="3"/>
            <w:tcBorders>
              <w:top w:val="nil"/>
              <w:left w:val="nil"/>
              <w:bottom w:val="nil"/>
              <w:right w:val="nil"/>
            </w:tcBorders>
            <w:shd w:val="clear" w:color="auto" w:fill="auto"/>
            <w:noWrap/>
            <w:vAlign w:val="bottom"/>
            <w:hideMark/>
          </w:tcPr>
          <w:p w14:paraId="569B4F44" w14:textId="77777777" w:rsidR="00CA2074" w:rsidRPr="00CA2074" w:rsidRDefault="00CA2074" w:rsidP="00CA2074">
            <w:pPr>
              <w:spacing w:after="0" w:line="240" w:lineRule="auto"/>
              <w:rPr>
                <w:rFonts w:ascii="Arial" w:eastAsia="Times New Roman" w:hAnsi="Arial" w:cs="Arial"/>
                <w:color w:val="0070C0"/>
                <w:sz w:val="20"/>
                <w:szCs w:val="20"/>
                <w:lang w:val="en-US"/>
              </w:rPr>
            </w:pPr>
            <w:r w:rsidRPr="00CA2074">
              <w:rPr>
                <w:rFonts w:ascii="Arial" w:eastAsia="Times New Roman" w:hAnsi="Arial" w:cs="Arial"/>
                <w:color w:val="0070C0"/>
                <w:sz w:val="20"/>
                <w:szCs w:val="20"/>
                <w:lang w:val="en-US"/>
              </w:rPr>
              <w:t xml:space="preserve">   64,652,489 </w:t>
            </w:r>
          </w:p>
        </w:tc>
        <w:tc>
          <w:tcPr>
            <w:tcW w:w="1355" w:type="dxa"/>
            <w:gridSpan w:val="3"/>
            <w:tcBorders>
              <w:top w:val="nil"/>
              <w:left w:val="nil"/>
              <w:bottom w:val="nil"/>
              <w:right w:val="nil"/>
            </w:tcBorders>
            <w:shd w:val="clear" w:color="auto" w:fill="auto"/>
            <w:noWrap/>
            <w:vAlign w:val="bottom"/>
            <w:hideMark/>
          </w:tcPr>
          <w:p w14:paraId="1F3CC5C9" w14:textId="77777777" w:rsidR="00CA2074" w:rsidRPr="00CA2074" w:rsidRDefault="00CA2074" w:rsidP="00CA2074">
            <w:pPr>
              <w:spacing w:after="0" w:line="240" w:lineRule="auto"/>
              <w:rPr>
                <w:rFonts w:ascii="Arial" w:eastAsia="Times New Roman" w:hAnsi="Arial" w:cs="Arial"/>
                <w:color w:val="0070C0"/>
                <w:sz w:val="20"/>
                <w:szCs w:val="20"/>
                <w:lang w:val="en-US"/>
              </w:rPr>
            </w:pPr>
            <w:r w:rsidRPr="00CA2074">
              <w:rPr>
                <w:rFonts w:ascii="Arial" w:eastAsia="Times New Roman" w:hAnsi="Arial" w:cs="Arial"/>
                <w:color w:val="0070C0"/>
                <w:sz w:val="20"/>
                <w:szCs w:val="20"/>
                <w:lang w:val="en-US"/>
              </w:rPr>
              <w:t xml:space="preserve">   66,261,534 </w:t>
            </w:r>
          </w:p>
        </w:tc>
        <w:tc>
          <w:tcPr>
            <w:tcW w:w="2949" w:type="dxa"/>
            <w:gridSpan w:val="20"/>
            <w:tcBorders>
              <w:top w:val="nil"/>
              <w:left w:val="nil"/>
              <w:bottom w:val="nil"/>
              <w:right w:val="nil"/>
            </w:tcBorders>
            <w:shd w:val="clear" w:color="auto" w:fill="auto"/>
            <w:noWrap/>
            <w:vAlign w:val="bottom"/>
            <w:hideMark/>
          </w:tcPr>
          <w:p w14:paraId="797C80F0" w14:textId="77777777" w:rsidR="00CA2074" w:rsidRPr="00CA2074" w:rsidRDefault="00CA2074" w:rsidP="00CA2074">
            <w:pPr>
              <w:spacing w:after="0" w:line="240" w:lineRule="auto"/>
              <w:rPr>
                <w:rFonts w:ascii="Arial" w:eastAsia="Times New Roman" w:hAnsi="Arial" w:cs="Arial"/>
                <w:color w:val="0070C0"/>
                <w:sz w:val="20"/>
                <w:szCs w:val="20"/>
                <w:lang w:val="en-US"/>
              </w:rPr>
            </w:pPr>
            <w:r w:rsidRPr="00CA2074">
              <w:rPr>
                <w:rFonts w:ascii="Arial" w:eastAsia="Times New Roman" w:hAnsi="Arial" w:cs="Arial"/>
                <w:color w:val="0070C0"/>
                <w:sz w:val="20"/>
                <w:szCs w:val="20"/>
                <w:lang w:val="en-US"/>
              </w:rPr>
              <w:t xml:space="preserve">      1,609,045 </w:t>
            </w:r>
          </w:p>
        </w:tc>
        <w:tc>
          <w:tcPr>
            <w:tcW w:w="252" w:type="dxa"/>
            <w:gridSpan w:val="4"/>
            <w:vAlign w:val="center"/>
            <w:hideMark/>
          </w:tcPr>
          <w:p w14:paraId="386B7DFC" w14:textId="77777777" w:rsidR="00CA2074" w:rsidRPr="00CA2074" w:rsidRDefault="00CA2074" w:rsidP="00CA2074">
            <w:pPr>
              <w:spacing w:after="0" w:line="240" w:lineRule="auto"/>
              <w:rPr>
                <w:rFonts w:ascii="Times New Roman" w:eastAsia="Times New Roman" w:hAnsi="Times New Roman" w:cs="Times New Roman"/>
                <w:sz w:val="20"/>
                <w:szCs w:val="20"/>
                <w:lang w:val="en-US"/>
              </w:rPr>
            </w:pPr>
          </w:p>
        </w:tc>
        <w:tc>
          <w:tcPr>
            <w:tcW w:w="236" w:type="dxa"/>
            <w:gridSpan w:val="2"/>
            <w:vAlign w:val="center"/>
            <w:hideMark/>
          </w:tcPr>
          <w:p w14:paraId="0ECCFDB3" w14:textId="77777777" w:rsidR="00CA2074" w:rsidRPr="00CA2074" w:rsidRDefault="00CA2074" w:rsidP="00CA2074">
            <w:pPr>
              <w:spacing w:after="0" w:line="240" w:lineRule="auto"/>
              <w:rPr>
                <w:rFonts w:ascii="Times New Roman" w:eastAsia="Times New Roman" w:hAnsi="Times New Roman" w:cs="Times New Roman"/>
                <w:sz w:val="20"/>
                <w:szCs w:val="20"/>
                <w:lang w:val="en-US"/>
              </w:rPr>
            </w:pPr>
          </w:p>
        </w:tc>
        <w:tc>
          <w:tcPr>
            <w:tcW w:w="236" w:type="dxa"/>
            <w:vAlign w:val="center"/>
            <w:hideMark/>
          </w:tcPr>
          <w:p w14:paraId="692D64A3" w14:textId="77777777" w:rsidR="00CA2074" w:rsidRPr="00CA2074" w:rsidRDefault="00CA2074" w:rsidP="00CA2074">
            <w:pPr>
              <w:spacing w:after="0" w:line="240" w:lineRule="auto"/>
              <w:rPr>
                <w:rFonts w:ascii="Times New Roman" w:eastAsia="Times New Roman" w:hAnsi="Times New Roman" w:cs="Times New Roman"/>
                <w:sz w:val="20"/>
                <w:szCs w:val="20"/>
                <w:lang w:val="en-US"/>
              </w:rPr>
            </w:pPr>
          </w:p>
        </w:tc>
        <w:tc>
          <w:tcPr>
            <w:tcW w:w="236" w:type="dxa"/>
            <w:vAlign w:val="center"/>
            <w:hideMark/>
          </w:tcPr>
          <w:p w14:paraId="0D7AAC4A" w14:textId="77777777" w:rsidR="00CA2074" w:rsidRPr="00CA2074" w:rsidRDefault="00CA2074" w:rsidP="00CA2074">
            <w:pPr>
              <w:spacing w:after="0" w:line="240" w:lineRule="auto"/>
              <w:rPr>
                <w:rFonts w:ascii="Times New Roman" w:eastAsia="Times New Roman" w:hAnsi="Times New Roman" w:cs="Times New Roman"/>
                <w:sz w:val="20"/>
                <w:szCs w:val="20"/>
                <w:lang w:val="en-US"/>
              </w:rPr>
            </w:pPr>
          </w:p>
        </w:tc>
      </w:tr>
      <w:tr w:rsidR="005B3349" w:rsidRPr="00CA2074" w14:paraId="05B6A54E" w14:textId="77777777" w:rsidTr="005B3349">
        <w:trPr>
          <w:trHeight w:val="264"/>
        </w:trPr>
        <w:tc>
          <w:tcPr>
            <w:tcW w:w="2677" w:type="dxa"/>
            <w:tcBorders>
              <w:top w:val="nil"/>
              <w:left w:val="nil"/>
              <w:bottom w:val="nil"/>
              <w:right w:val="nil"/>
            </w:tcBorders>
            <w:shd w:val="clear" w:color="auto" w:fill="auto"/>
            <w:noWrap/>
            <w:vAlign w:val="bottom"/>
            <w:hideMark/>
          </w:tcPr>
          <w:p w14:paraId="7846C3B7" w14:textId="77777777" w:rsidR="00CA2074" w:rsidRPr="00CA2074" w:rsidRDefault="00CA2074" w:rsidP="00CA2074">
            <w:pPr>
              <w:spacing w:after="0" w:line="240" w:lineRule="auto"/>
              <w:rPr>
                <w:rFonts w:ascii="Arial" w:eastAsia="Times New Roman" w:hAnsi="Arial" w:cs="Arial"/>
                <w:color w:val="0070C0"/>
                <w:sz w:val="20"/>
                <w:szCs w:val="20"/>
                <w:lang w:val="en-US"/>
              </w:rPr>
            </w:pPr>
          </w:p>
        </w:tc>
        <w:tc>
          <w:tcPr>
            <w:tcW w:w="1419" w:type="dxa"/>
            <w:gridSpan w:val="3"/>
            <w:tcBorders>
              <w:top w:val="nil"/>
              <w:left w:val="nil"/>
              <w:bottom w:val="nil"/>
              <w:right w:val="nil"/>
            </w:tcBorders>
            <w:shd w:val="clear" w:color="auto" w:fill="auto"/>
            <w:noWrap/>
            <w:vAlign w:val="bottom"/>
            <w:hideMark/>
          </w:tcPr>
          <w:p w14:paraId="4DCF4182" w14:textId="77777777" w:rsidR="00CA2074" w:rsidRPr="00CA2074" w:rsidRDefault="00CA2074" w:rsidP="00CA2074">
            <w:pPr>
              <w:spacing w:after="0" w:line="240" w:lineRule="auto"/>
              <w:rPr>
                <w:rFonts w:ascii="Times New Roman" w:eastAsia="Times New Roman" w:hAnsi="Times New Roman" w:cs="Times New Roman"/>
                <w:sz w:val="20"/>
                <w:szCs w:val="20"/>
                <w:lang w:val="en-US"/>
              </w:rPr>
            </w:pPr>
          </w:p>
        </w:tc>
        <w:tc>
          <w:tcPr>
            <w:tcW w:w="1355" w:type="dxa"/>
            <w:gridSpan w:val="3"/>
            <w:tcBorders>
              <w:top w:val="nil"/>
              <w:left w:val="nil"/>
              <w:bottom w:val="nil"/>
              <w:right w:val="nil"/>
            </w:tcBorders>
            <w:shd w:val="clear" w:color="auto" w:fill="auto"/>
            <w:noWrap/>
            <w:vAlign w:val="bottom"/>
            <w:hideMark/>
          </w:tcPr>
          <w:p w14:paraId="23110626" w14:textId="77777777" w:rsidR="00CA2074" w:rsidRPr="00CA2074" w:rsidRDefault="00CA2074" w:rsidP="00CA2074">
            <w:pPr>
              <w:spacing w:after="0" w:line="240" w:lineRule="auto"/>
              <w:rPr>
                <w:rFonts w:ascii="Times New Roman" w:eastAsia="Times New Roman" w:hAnsi="Times New Roman" w:cs="Times New Roman"/>
                <w:sz w:val="20"/>
                <w:szCs w:val="20"/>
                <w:lang w:val="en-US"/>
              </w:rPr>
            </w:pPr>
          </w:p>
        </w:tc>
        <w:tc>
          <w:tcPr>
            <w:tcW w:w="2949" w:type="dxa"/>
            <w:gridSpan w:val="20"/>
            <w:tcBorders>
              <w:top w:val="nil"/>
              <w:left w:val="nil"/>
              <w:bottom w:val="nil"/>
              <w:right w:val="nil"/>
            </w:tcBorders>
            <w:shd w:val="clear" w:color="auto" w:fill="auto"/>
            <w:noWrap/>
            <w:vAlign w:val="bottom"/>
            <w:hideMark/>
          </w:tcPr>
          <w:p w14:paraId="5F25A530" w14:textId="77777777" w:rsidR="00CA2074" w:rsidRPr="00CA2074" w:rsidRDefault="00CA2074" w:rsidP="00CA2074">
            <w:pPr>
              <w:spacing w:after="0" w:line="240" w:lineRule="auto"/>
              <w:rPr>
                <w:rFonts w:ascii="Times New Roman" w:eastAsia="Times New Roman" w:hAnsi="Times New Roman" w:cs="Times New Roman"/>
                <w:sz w:val="20"/>
                <w:szCs w:val="20"/>
                <w:lang w:val="en-US"/>
              </w:rPr>
            </w:pPr>
          </w:p>
        </w:tc>
        <w:tc>
          <w:tcPr>
            <w:tcW w:w="252" w:type="dxa"/>
            <w:gridSpan w:val="4"/>
            <w:vAlign w:val="center"/>
            <w:hideMark/>
          </w:tcPr>
          <w:p w14:paraId="423F03EB" w14:textId="77777777" w:rsidR="00CA2074" w:rsidRPr="00CA2074" w:rsidRDefault="00CA2074" w:rsidP="00CA2074">
            <w:pPr>
              <w:spacing w:after="0" w:line="240" w:lineRule="auto"/>
              <w:rPr>
                <w:rFonts w:ascii="Times New Roman" w:eastAsia="Times New Roman" w:hAnsi="Times New Roman" w:cs="Times New Roman"/>
                <w:sz w:val="20"/>
                <w:szCs w:val="20"/>
                <w:lang w:val="en-US"/>
              </w:rPr>
            </w:pPr>
          </w:p>
        </w:tc>
        <w:tc>
          <w:tcPr>
            <w:tcW w:w="236" w:type="dxa"/>
            <w:gridSpan w:val="2"/>
            <w:vAlign w:val="center"/>
            <w:hideMark/>
          </w:tcPr>
          <w:p w14:paraId="06863447" w14:textId="77777777" w:rsidR="00CA2074" w:rsidRPr="00CA2074" w:rsidRDefault="00CA2074" w:rsidP="00CA2074">
            <w:pPr>
              <w:spacing w:after="0" w:line="240" w:lineRule="auto"/>
              <w:rPr>
                <w:rFonts w:ascii="Times New Roman" w:eastAsia="Times New Roman" w:hAnsi="Times New Roman" w:cs="Times New Roman"/>
                <w:sz w:val="20"/>
                <w:szCs w:val="20"/>
                <w:lang w:val="en-US"/>
              </w:rPr>
            </w:pPr>
          </w:p>
        </w:tc>
        <w:tc>
          <w:tcPr>
            <w:tcW w:w="236" w:type="dxa"/>
            <w:vAlign w:val="center"/>
            <w:hideMark/>
          </w:tcPr>
          <w:p w14:paraId="65903C77" w14:textId="77777777" w:rsidR="00CA2074" w:rsidRPr="00CA2074" w:rsidRDefault="00CA2074" w:rsidP="00CA2074">
            <w:pPr>
              <w:spacing w:after="0" w:line="240" w:lineRule="auto"/>
              <w:rPr>
                <w:rFonts w:ascii="Times New Roman" w:eastAsia="Times New Roman" w:hAnsi="Times New Roman" w:cs="Times New Roman"/>
                <w:sz w:val="20"/>
                <w:szCs w:val="20"/>
                <w:lang w:val="en-US"/>
              </w:rPr>
            </w:pPr>
          </w:p>
        </w:tc>
        <w:tc>
          <w:tcPr>
            <w:tcW w:w="236" w:type="dxa"/>
            <w:vAlign w:val="center"/>
            <w:hideMark/>
          </w:tcPr>
          <w:p w14:paraId="696C95AB" w14:textId="77777777" w:rsidR="00CA2074" w:rsidRPr="00CA2074" w:rsidRDefault="00CA2074" w:rsidP="00CA2074">
            <w:pPr>
              <w:spacing w:after="0" w:line="240" w:lineRule="auto"/>
              <w:rPr>
                <w:rFonts w:ascii="Times New Roman" w:eastAsia="Times New Roman" w:hAnsi="Times New Roman" w:cs="Times New Roman"/>
                <w:sz w:val="20"/>
                <w:szCs w:val="20"/>
                <w:lang w:val="en-US"/>
              </w:rPr>
            </w:pPr>
          </w:p>
        </w:tc>
      </w:tr>
      <w:tr w:rsidR="005B3349" w:rsidRPr="00CA2074" w14:paraId="587F8EFD" w14:textId="77777777" w:rsidTr="005B3349">
        <w:trPr>
          <w:trHeight w:val="276"/>
        </w:trPr>
        <w:tc>
          <w:tcPr>
            <w:tcW w:w="2677" w:type="dxa"/>
            <w:tcBorders>
              <w:top w:val="nil"/>
              <w:left w:val="nil"/>
              <w:bottom w:val="nil"/>
              <w:right w:val="nil"/>
            </w:tcBorders>
            <w:shd w:val="clear" w:color="auto" w:fill="auto"/>
            <w:noWrap/>
            <w:vAlign w:val="bottom"/>
            <w:hideMark/>
          </w:tcPr>
          <w:p w14:paraId="4AF04F31" w14:textId="77777777" w:rsidR="00CA2074" w:rsidRPr="00CA2074" w:rsidRDefault="00CA2074" w:rsidP="00CA2074">
            <w:pPr>
              <w:spacing w:after="0" w:line="240" w:lineRule="auto"/>
              <w:rPr>
                <w:rFonts w:ascii="Arial" w:eastAsia="Times New Roman" w:hAnsi="Arial" w:cs="Arial"/>
                <w:color w:val="0070C0"/>
                <w:sz w:val="20"/>
                <w:szCs w:val="20"/>
                <w:lang w:val="en-US"/>
              </w:rPr>
            </w:pPr>
            <w:r w:rsidRPr="00CA2074">
              <w:rPr>
                <w:rFonts w:ascii="Arial" w:eastAsia="Times New Roman" w:hAnsi="Arial" w:cs="Arial"/>
                <w:color w:val="0070C0"/>
                <w:sz w:val="20"/>
                <w:szCs w:val="20"/>
                <w:lang w:val="en-US"/>
              </w:rPr>
              <w:t>Total metered excluding WMP</w:t>
            </w:r>
          </w:p>
        </w:tc>
        <w:tc>
          <w:tcPr>
            <w:tcW w:w="1419" w:type="dxa"/>
            <w:gridSpan w:val="3"/>
            <w:tcBorders>
              <w:top w:val="single" w:sz="4" w:space="0" w:color="0070C0"/>
              <w:left w:val="nil"/>
              <w:bottom w:val="double" w:sz="6" w:space="0" w:color="0070C0"/>
              <w:right w:val="nil"/>
            </w:tcBorders>
            <w:shd w:val="clear" w:color="auto" w:fill="auto"/>
            <w:noWrap/>
            <w:vAlign w:val="bottom"/>
            <w:hideMark/>
          </w:tcPr>
          <w:p w14:paraId="001AEAF0" w14:textId="77777777" w:rsidR="00CA2074" w:rsidRPr="00CA2074" w:rsidRDefault="00CA2074" w:rsidP="00CA2074">
            <w:pPr>
              <w:spacing w:after="0" w:line="240" w:lineRule="auto"/>
              <w:rPr>
                <w:rFonts w:ascii="Arial" w:eastAsia="Times New Roman" w:hAnsi="Arial" w:cs="Arial"/>
                <w:color w:val="0070C0"/>
                <w:sz w:val="20"/>
                <w:szCs w:val="20"/>
                <w:lang w:val="en-US"/>
              </w:rPr>
            </w:pPr>
            <w:r w:rsidRPr="00CA2074">
              <w:rPr>
                <w:rFonts w:ascii="Arial" w:eastAsia="Times New Roman" w:hAnsi="Arial" w:cs="Arial"/>
                <w:color w:val="0070C0"/>
                <w:sz w:val="20"/>
                <w:szCs w:val="20"/>
                <w:lang w:val="en-US"/>
              </w:rPr>
              <w:t xml:space="preserve"> 144,139,136 </w:t>
            </w:r>
          </w:p>
        </w:tc>
        <w:tc>
          <w:tcPr>
            <w:tcW w:w="1355" w:type="dxa"/>
            <w:gridSpan w:val="3"/>
            <w:tcBorders>
              <w:top w:val="single" w:sz="4" w:space="0" w:color="0070C0"/>
              <w:left w:val="nil"/>
              <w:bottom w:val="double" w:sz="6" w:space="0" w:color="0070C0"/>
              <w:right w:val="nil"/>
            </w:tcBorders>
            <w:shd w:val="clear" w:color="auto" w:fill="auto"/>
            <w:noWrap/>
            <w:vAlign w:val="bottom"/>
            <w:hideMark/>
          </w:tcPr>
          <w:p w14:paraId="23B3AE63" w14:textId="77777777" w:rsidR="00CA2074" w:rsidRPr="00CA2074" w:rsidRDefault="00CA2074" w:rsidP="00CA2074">
            <w:pPr>
              <w:spacing w:after="0" w:line="240" w:lineRule="auto"/>
              <w:rPr>
                <w:rFonts w:ascii="Arial" w:eastAsia="Times New Roman" w:hAnsi="Arial" w:cs="Arial"/>
                <w:color w:val="0070C0"/>
                <w:sz w:val="20"/>
                <w:szCs w:val="20"/>
                <w:lang w:val="en-US"/>
              </w:rPr>
            </w:pPr>
            <w:r w:rsidRPr="00CA2074">
              <w:rPr>
                <w:rFonts w:ascii="Arial" w:eastAsia="Times New Roman" w:hAnsi="Arial" w:cs="Arial"/>
                <w:color w:val="0070C0"/>
                <w:sz w:val="20"/>
                <w:szCs w:val="20"/>
                <w:lang w:val="en-US"/>
              </w:rPr>
              <w:t xml:space="preserve"> 144,139,136 </w:t>
            </w:r>
          </w:p>
        </w:tc>
        <w:tc>
          <w:tcPr>
            <w:tcW w:w="2949" w:type="dxa"/>
            <w:gridSpan w:val="20"/>
            <w:tcBorders>
              <w:top w:val="single" w:sz="4" w:space="0" w:color="0070C0"/>
              <w:left w:val="nil"/>
              <w:bottom w:val="double" w:sz="6" w:space="0" w:color="0070C0"/>
              <w:right w:val="nil"/>
            </w:tcBorders>
            <w:shd w:val="clear" w:color="auto" w:fill="auto"/>
            <w:noWrap/>
            <w:vAlign w:val="bottom"/>
            <w:hideMark/>
          </w:tcPr>
          <w:p w14:paraId="3F35E475" w14:textId="77777777" w:rsidR="00CA2074" w:rsidRPr="00CA2074" w:rsidRDefault="00CA2074" w:rsidP="00CA2074">
            <w:pPr>
              <w:spacing w:after="0" w:line="240" w:lineRule="auto"/>
              <w:rPr>
                <w:rFonts w:ascii="Arial" w:eastAsia="Times New Roman" w:hAnsi="Arial" w:cs="Arial"/>
                <w:color w:val="0070C0"/>
                <w:sz w:val="20"/>
                <w:szCs w:val="20"/>
                <w:lang w:val="en-US"/>
              </w:rPr>
            </w:pPr>
            <w:r w:rsidRPr="00CA2074">
              <w:rPr>
                <w:rFonts w:ascii="Arial" w:eastAsia="Times New Roman" w:hAnsi="Arial" w:cs="Arial"/>
                <w:color w:val="0070C0"/>
                <w:sz w:val="20"/>
                <w:szCs w:val="20"/>
                <w:lang w:val="en-US"/>
              </w:rPr>
              <w:t xml:space="preserve">                  -   </w:t>
            </w:r>
          </w:p>
        </w:tc>
        <w:tc>
          <w:tcPr>
            <w:tcW w:w="252" w:type="dxa"/>
            <w:gridSpan w:val="4"/>
            <w:vAlign w:val="center"/>
            <w:hideMark/>
          </w:tcPr>
          <w:p w14:paraId="118A323A" w14:textId="77777777" w:rsidR="00CA2074" w:rsidRPr="00CA2074" w:rsidRDefault="00CA2074" w:rsidP="00CA2074">
            <w:pPr>
              <w:spacing w:after="0" w:line="240" w:lineRule="auto"/>
              <w:rPr>
                <w:rFonts w:ascii="Times New Roman" w:eastAsia="Times New Roman" w:hAnsi="Times New Roman" w:cs="Times New Roman"/>
                <w:sz w:val="20"/>
                <w:szCs w:val="20"/>
                <w:lang w:val="en-US"/>
              </w:rPr>
            </w:pPr>
          </w:p>
        </w:tc>
        <w:tc>
          <w:tcPr>
            <w:tcW w:w="236" w:type="dxa"/>
            <w:gridSpan w:val="2"/>
            <w:vAlign w:val="center"/>
            <w:hideMark/>
          </w:tcPr>
          <w:p w14:paraId="7DB586C0" w14:textId="77777777" w:rsidR="00CA2074" w:rsidRPr="00CA2074" w:rsidRDefault="00CA2074" w:rsidP="00CA2074">
            <w:pPr>
              <w:spacing w:after="0" w:line="240" w:lineRule="auto"/>
              <w:rPr>
                <w:rFonts w:ascii="Times New Roman" w:eastAsia="Times New Roman" w:hAnsi="Times New Roman" w:cs="Times New Roman"/>
                <w:sz w:val="20"/>
                <w:szCs w:val="20"/>
                <w:lang w:val="en-US"/>
              </w:rPr>
            </w:pPr>
          </w:p>
        </w:tc>
        <w:tc>
          <w:tcPr>
            <w:tcW w:w="236" w:type="dxa"/>
            <w:vAlign w:val="center"/>
            <w:hideMark/>
          </w:tcPr>
          <w:p w14:paraId="37FF6FFB" w14:textId="77777777" w:rsidR="00CA2074" w:rsidRPr="00CA2074" w:rsidRDefault="00CA2074" w:rsidP="00CA2074">
            <w:pPr>
              <w:spacing w:after="0" w:line="240" w:lineRule="auto"/>
              <w:rPr>
                <w:rFonts w:ascii="Times New Roman" w:eastAsia="Times New Roman" w:hAnsi="Times New Roman" w:cs="Times New Roman"/>
                <w:sz w:val="20"/>
                <w:szCs w:val="20"/>
                <w:lang w:val="en-US"/>
              </w:rPr>
            </w:pPr>
          </w:p>
        </w:tc>
        <w:tc>
          <w:tcPr>
            <w:tcW w:w="236" w:type="dxa"/>
            <w:vAlign w:val="center"/>
            <w:hideMark/>
          </w:tcPr>
          <w:p w14:paraId="5D77D051" w14:textId="77777777" w:rsidR="00CA2074" w:rsidRPr="00CA2074" w:rsidRDefault="00CA2074" w:rsidP="00CA2074">
            <w:pPr>
              <w:spacing w:after="0" w:line="240" w:lineRule="auto"/>
              <w:rPr>
                <w:rFonts w:ascii="Times New Roman" w:eastAsia="Times New Roman" w:hAnsi="Times New Roman" w:cs="Times New Roman"/>
                <w:sz w:val="20"/>
                <w:szCs w:val="20"/>
                <w:lang w:val="en-US"/>
              </w:rPr>
            </w:pPr>
          </w:p>
        </w:tc>
      </w:tr>
      <w:tr w:rsidR="005B3349" w:rsidRPr="00CA2074" w14:paraId="053E5E05" w14:textId="77777777" w:rsidTr="005B3349">
        <w:trPr>
          <w:trHeight w:val="276"/>
        </w:trPr>
        <w:tc>
          <w:tcPr>
            <w:tcW w:w="2677" w:type="dxa"/>
            <w:tcBorders>
              <w:top w:val="nil"/>
              <w:left w:val="nil"/>
              <w:bottom w:val="nil"/>
              <w:right w:val="nil"/>
            </w:tcBorders>
            <w:shd w:val="clear" w:color="auto" w:fill="auto"/>
            <w:noWrap/>
            <w:vAlign w:val="bottom"/>
            <w:hideMark/>
          </w:tcPr>
          <w:p w14:paraId="309D5867" w14:textId="77777777" w:rsidR="00CA2074" w:rsidRPr="00CA2074" w:rsidRDefault="00CA2074" w:rsidP="00CA2074">
            <w:pPr>
              <w:spacing w:after="0" w:line="240" w:lineRule="auto"/>
              <w:rPr>
                <w:rFonts w:ascii="Arial" w:eastAsia="Times New Roman" w:hAnsi="Arial" w:cs="Arial"/>
                <w:color w:val="0070C0"/>
                <w:sz w:val="20"/>
                <w:szCs w:val="20"/>
                <w:lang w:val="en-US"/>
              </w:rPr>
            </w:pPr>
          </w:p>
        </w:tc>
        <w:tc>
          <w:tcPr>
            <w:tcW w:w="1296" w:type="dxa"/>
            <w:tcBorders>
              <w:top w:val="nil"/>
              <w:left w:val="nil"/>
              <w:bottom w:val="nil"/>
              <w:right w:val="nil"/>
            </w:tcBorders>
            <w:shd w:val="clear" w:color="auto" w:fill="auto"/>
            <w:noWrap/>
            <w:vAlign w:val="bottom"/>
            <w:hideMark/>
          </w:tcPr>
          <w:p w14:paraId="1F552EC1" w14:textId="77777777" w:rsidR="00CA2074" w:rsidRPr="00CA2074" w:rsidRDefault="00CA2074" w:rsidP="00CA2074">
            <w:pPr>
              <w:spacing w:after="0" w:line="240" w:lineRule="auto"/>
              <w:rPr>
                <w:rFonts w:ascii="Times New Roman" w:eastAsia="Times New Roman" w:hAnsi="Times New Roman" w:cs="Times New Roman"/>
                <w:sz w:val="20"/>
                <w:szCs w:val="20"/>
                <w:lang w:val="en-US"/>
              </w:rPr>
            </w:pPr>
          </w:p>
        </w:tc>
        <w:tc>
          <w:tcPr>
            <w:tcW w:w="1407" w:type="dxa"/>
            <w:gridSpan w:val="4"/>
            <w:tcBorders>
              <w:top w:val="nil"/>
              <w:left w:val="nil"/>
              <w:bottom w:val="nil"/>
              <w:right w:val="nil"/>
            </w:tcBorders>
            <w:shd w:val="clear" w:color="auto" w:fill="auto"/>
            <w:noWrap/>
            <w:vAlign w:val="bottom"/>
            <w:hideMark/>
          </w:tcPr>
          <w:p w14:paraId="21EF5298" w14:textId="77777777" w:rsidR="00CA2074" w:rsidRPr="00CA2074" w:rsidRDefault="00CA2074" w:rsidP="00CA2074">
            <w:pPr>
              <w:spacing w:after="0" w:line="240" w:lineRule="auto"/>
              <w:rPr>
                <w:rFonts w:ascii="Times New Roman" w:eastAsia="Times New Roman" w:hAnsi="Times New Roman" w:cs="Times New Roman"/>
                <w:sz w:val="20"/>
                <w:szCs w:val="20"/>
                <w:lang w:val="en-US"/>
              </w:rPr>
            </w:pPr>
          </w:p>
        </w:tc>
        <w:tc>
          <w:tcPr>
            <w:tcW w:w="3020" w:type="dxa"/>
            <w:gridSpan w:val="21"/>
            <w:tcBorders>
              <w:top w:val="nil"/>
              <w:left w:val="nil"/>
              <w:bottom w:val="nil"/>
              <w:right w:val="nil"/>
            </w:tcBorders>
            <w:shd w:val="clear" w:color="auto" w:fill="auto"/>
            <w:noWrap/>
            <w:vAlign w:val="bottom"/>
            <w:hideMark/>
          </w:tcPr>
          <w:p w14:paraId="754058B3" w14:textId="77777777" w:rsidR="00CA2074" w:rsidRPr="00CA2074" w:rsidRDefault="00CA2074" w:rsidP="00CA2074">
            <w:pPr>
              <w:spacing w:after="0" w:line="240" w:lineRule="auto"/>
              <w:rPr>
                <w:rFonts w:ascii="Times New Roman" w:eastAsia="Times New Roman" w:hAnsi="Times New Roman" w:cs="Times New Roman"/>
                <w:sz w:val="20"/>
                <w:szCs w:val="20"/>
                <w:lang w:val="en-US"/>
              </w:rPr>
            </w:pPr>
          </w:p>
        </w:tc>
        <w:tc>
          <w:tcPr>
            <w:tcW w:w="252" w:type="dxa"/>
            <w:gridSpan w:val="4"/>
            <w:vAlign w:val="center"/>
            <w:hideMark/>
          </w:tcPr>
          <w:p w14:paraId="4097AFCE" w14:textId="77777777" w:rsidR="00CA2074" w:rsidRPr="00CA2074" w:rsidRDefault="00CA2074" w:rsidP="00CA2074">
            <w:pPr>
              <w:spacing w:after="0" w:line="240" w:lineRule="auto"/>
              <w:rPr>
                <w:rFonts w:ascii="Times New Roman" w:eastAsia="Times New Roman" w:hAnsi="Times New Roman" w:cs="Times New Roman"/>
                <w:sz w:val="20"/>
                <w:szCs w:val="20"/>
                <w:lang w:val="en-US"/>
              </w:rPr>
            </w:pPr>
          </w:p>
        </w:tc>
        <w:tc>
          <w:tcPr>
            <w:tcW w:w="236" w:type="dxa"/>
            <w:gridSpan w:val="2"/>
            <w:vAlign w:val="center"/>
            <w:hideMark/>
          </w:tcPr>
          <w:p w14:paraId="16405784" w14:textId="77777777" w:rsidR="00CA2074" w:rsidRPr="00CA2074" w:rsidRDefault="00CA2074" w:rsidP="00CA2074">
            <w:pPr>
              <w:spacing w:after="0" w:line="240" w:lineRule="auto"/>
              <w:rPr>
                <w:rFonts w:ascii="Times New Roman" w:eastAsia="Times New Roman" w:hAnsi="Times New Roman" w:cs="Times New Roman"/>
                <w:sz w:val="20"/>
                <w:szCs w:val="20"/>
                <w:lang w:val="en-US"/>
              </w:rPr>
            </w:pPr>
          </w:p>
        </w:tc>
        <w:tc>
          <w:tcPr>
            <w:tcW w:w="236" w:type="dxa"/>
            <w:vAlign w:val="center"/>
            <w:hideMark/>
          </w:tcPr>
          <w:p w14:paraId="3D6A2916" w14:textId="77777777" w:rsidR="00CA2074" w:rsidRPr="00CA2074" w:rsidRDefault="00CA2074" w:rsidP="00CA2074">
            <w:pPr>
              <w:spacing w:after="0" w:line="240" w:lineRule="auto"/>
              <w:rPr>
                <w:rFonts w:ascii="Times New Roman" w:eastAsia="Times New Roman" w:hAnsi="Times New Roman" w:cs="Times New Roman"/>
                <w:sz w:val="20"/>
                <w:szCs w:val="20"/>
                <w:lang w:val="en-US"/>
              </w:rPr>
            </w:pPr>
          </w:p>
        </w:tc>
        <w:tc>
          <w:tcPr>
            <w:tcW w:w="236" w:type="dxa"/>
            <w:vAlign w:val="center"/>
            <w:hideMark/>
          </w:tcPr>
          <w:p w14:paraId="2CB70B6F" w14:textId="77777777" w:rsidR="00CA2074" w:rsidRPr="00CA2074" w:rsidRDefault="00CA2074" w:rsidP="00CA2074">
            <w:pPr>
              <w:spacing w:after="0" w:line="240" w:lineRule="auto"/>
              <w:rPr>
                <w:rFonts w:ascii="Times New Roman" w:eastAsia="Times New Roman" w:hAnsi="Times New Roman" w:cs="Times New Roman"/>
                <w:sz w:val="20"/>
                <w:szCs w:val="20"/>
                <w:lang w:val="en-US"/>
              </w:rPr>
            </w:pPr>
          </w:p>
        </w:tc>
      </w:tr>
      <w:tr w:rsidR="005B3349" w:rsidRPr="00CA2074" w14:paraId="2EA2018D" w14:textId="77777777" w:rsidTr="005B3349">
        <w:trPr>
          <w:gridAfter w:val="25"/>
          <w:wAfter w:w="2810" w:type="dxa"/>
          <w:trHeight w:val="276"/>
        </w:trPr>
        <w:tc>
          <w:tcPr>
            <w:tcW w:w="2677" w:type="dxa"/>
            <w:tcBorders>
              <w:top w:val="nil"/>
              <w:left w:val="nil"/>
              <w:bottom w:val="nil"/>
              <w:right w:val="nil"/>
            </w:tcBorders>
            <w:shd w:val="clear" w:color="auto" w:fill="auto"/>
            <w:noWrap/>
            <w:vAlign w:val="bottom"/>
            <w:hideMark/>
          </w:tcPr>
          <w:p w14:paraId="7059E6C0" w14:textId="77777777" w:rsidR="00CA2074" w:rsidRPr="00CA2074" w:rsidRDefault="00CA2074" w:rsidP="00CA2074">
            <w:pPr>
              <w:spacing w:after="0" w:line="240" w:lineRule="auto"/>
              <w:rPr>
                <w:rFonts w:ascii="Times New Roman" w:eastAsia="Times New Roman" w:hAnsi="Times New Roman" w:cs="Times New Roman"/>
                <w:sz w:val="24"/>
                <w:szCs w:val="24"/>
                <w:lang w:val="en-US"/>
              </w:rPr>
            </w:pPr>
          </w:p>
        </w:tc>
        <w:tc>
          <w:tcPr>
            <w:tcW w:w="1296" w:type="dxa"/>
            <w:tcBorders>
              <w:top w:val="nil"/>
              <w:left w:val="nil"/>
              <w:bottom w:val="nil"/>
              <w:right w:val="nil"/>
            </w:tcBorders>
            <w:shd w:val="clear" w:color="auto" w:fill="auto"/>
            <w:noWrap/>
            <w:vAlign w:val="bottom"/>
            <w:hideMark/>
          </w:tcPr>
          <w:p w14:paraId="43F6511B" w14:textId="77777777" w:rsidR="00CA2074" w:rsidRPr="00CA2074" w:rsidRDefault="00CA2074" w:rsidP="00CA2074">
            <w:pPr>
              <w:spacing w:after="0" w:line="240" w:lineRule="auto"/>
              <w:rPr>
                <w:rFonts w:ascii="Times New Roman" w:eastAsia="Times New Roman" w:hAnsi="Times New Roman" w:cs="Times New Roman"/>
                <w:sz w:val="20"/>
                <w:szCs w:val="20"/>
                <w:lang w:val="en-US"/>
              </w:rPr>
            </w:pPr>
          </w:p>
        </w:tc>
        <w:tc>
          <w:tcPr>
            <w:tcW w:w="1407" w:type="dxa"/>
            <w:gridSpan w:val="4"/>
            <w:tcBorders>
              <w:top w:val="nil"/>
              <w:left w:val="nil"/>
              <w:bottom w:val="nil"/>
              <w:right w:val="nil"/>
            </w:tcBorders>
            <w:shd w:val="clear" w:color="auto" w:fill="auto"/>
            <w:noWrap/>
            <w:vAlign w:val="bottom"/>
            <w:hideMark/>
          </w:tcPr>
          <w:p w14:paraId="5B924E4D" w14:textId="77777777" w:rsidR="00CA2074" w:rsidRPr="00CA2074" w:rsidRDefault="00CA2074" w:rsidP="00CA2074">
            <w:pPr>
              <w:spacing w:after="0" w:line="240" w:lineRule="auto"/>
              <w:rPr>
                <w:rFonts w:ascii="Times New Roman" w:eastAsia="Times New Roman" w:hAnsi="Times New Roman" w:cs="Times New Roman"/>
                <w:sz w:val="20"/>
                <w:szCs w:val="20"/>
                <w:lang w:val="en-US"/>
              </w:rPr>
            </w:pPr>
          </w:p>
        </w:tc>
        <w:tc>
          <w:tcPr>
            <w:tcW w:w="1170" w:type="dxa"/>
            <w:gridSpan w:val="4"/>
            <w:tcBorders>
              <w:top w:val="nil"/>
              <w:left w:val="nil"/>
              <w:bottom w:val="nil"/>
              <w:right w:val="nil"/>
            </w:tcBorders>
            <w:shd w:val="clear" w:color="auto" w:fill="auto"/>
            <w:noWrap/>
            <w:vAlign w:val="bottom"/>
            <w:hideMark/>
          </w:tcPr>
          <w:p w14:paraId="16D2C37B" w14:textId="77777777" w:rsidR="00CA2074" w:rsidRPr="00CA2074" w:rsidRDefault="00CA2074" w:rsidP="00CA2074">
            <w:pPr>
              <w:spacing w:after="0" w:line="240" w:lineRule="auto"/>
              <w:rPr>
                <w:rFonts w:ascii="Times New Roman" w:eastAsia="Times New Roman" w:hAnsi="Times New Roman" w:cs="Times New Roman"/>
                <w:sz w:val="20"/>
                <w:szCs w:val="20"/>
                <w:lang w:val="en-US"/>
              </w:rPr>
            </w:pPr>
          </w:p>
        </w:tc>
      </w:tr>
      <w:tr w:rsidR="00CA2074" w:rsidRPr="00CA2074" w14:paraId="042D381D" w14:textId="77777777" w:rsidTr="005B3349">
        <w:trPr>
          <w:gridAfter w:val="25"/>
          <w:wAfter w:w="2810" w:type="dxa"/>
          <w:trHeight w:val="288"/>
        </w:trPr>
        <w:tc>
          <w:tcPr>
            <w:tcW w:w="2677" w:type="dxa"/>
            <w:tcBorders>
              <w:top w:val="nil"/>
              <w:left w:val="nil"/>
              <w:bottom w:val="nil"/>
              <w:right w:val="nil"/>
            </w:tcBorders>
            <w:shd w:val="clear" w:color="auto" w:fill="auto"/>
            <w:noWrap/>
            <w:vAlign w:val="bottom"/>
            <w:hideMark/>
          </w:tcPr>
          <w:p w14:paraId="18225D16" w14:textId="77777777" w:rsidR="00CA2074" w:rsidRPr="00CA2074" w:rsidRDefault="00CA2074" w:rsidP="00CA2074">
            <w:pPr>
              <w:spacing w:after="0" w:line="240" w:lineRule="auto"/>
              <w:rPr>
                <w:rFonts w:ascii="Times New Roman" w:eastAsia="Times New Roman" w:hAnsi="Times New Roman" w:cs="Times New Roman"/>
                <w:sz w:val="20"/>
                <w:szCs w:val="20"/>
                <w:lang w:val="en-US"/>
              </w:rPr>
            </w:pPr>
          </w:p>
        </w:tc>
        <w:tc>
          <w:tcPr>
            <w:tcW w:w="3873" w:type="dxa"/>
            <w:gridSpan w:val="9"/>
            <w:tcBorders>
              <w:top w:val="single" w:sz="12" w:space="0" w:color="0070C0"/>
              <w:left w:val="single" w:sz="12" w:space="0" w:color="0070C0"/>
              <w:bottom w:val="single" w:sz="12" w:space="0" w:color="0070C0"/>
              <w:right w:val="single" w:sz="12" w:space="0" w:color="0070C0"/>
            </w:tcBorders>
            <w:shd w:val="clear" w:color="auto" w:fill="auto"/>
            <w:vAlign w:val="bottom"/>
            <w:hideMark/>
          </w:tcPr>
          <w:p w14:paraId="7959C6D1" w14:textId="77777777" w:rsidR="00CA2074" w:rsidRPr="00CA2074" w:rsidRDefault="00CA2074" w:rsidP="00CA2074">
            <w:pPr>
              <w:spacing w:after="0" w:line="240" w:lineRule="auto"/>
              <w:jc w:val="center"/>
              <w:rPr>
                <w:rFonts w:ascii="Arial" w:eastAsia="Times New Roman" w:hAnsi="Arial" w:cs="Arial"/>
                <w:color w:val="0070C0"/>
                <w:sz w:val="20"/>
                <w:szCs w:val="20"/>
                <w:lang w:val="en-US"/>
              </w:rPr>
            </w:pPr>
            <w:r w:rsidRPr="00CA2074">
              <w:rPr>
                <w:rFonts w:ascii="Arial" w:eastAsia="Times New Roman" w:hAnsi="Arial" w:cs="Arial"/>
                <w:color w:val="0070C0"/>
                <w:sz w:val="20"/>
                <w:szCs w:val="20"/>
                <w:lang w:val="en-US"/>
              </w:rPr>
              <w:t>2019</w:t>
            </w:r>
          </w:p>
        </w:tc>
      </w:tr>
      <w:tr w:rsidR="005B3349" w:rsidRPr="00CA2074" w14:paraId="2B0B7870" w14:textId="77777777" w:rsidTr="005B3349">
        <w:trPr>
          <w:gridAfter w:val="25"/>
          <w:wAfter w:w="2810" w:type="dxa"/>
          <w:trHeight w:val="276"/>
        </w:trPr>
        <w:tc>
          <w:tcPr>
            <w:tcW w:w="2677" w:type="dxa"/>
            <w:tcBorders>
              <w:top w:val="nil"/>
              <w:left w:val="nil"/>
              <w:bottom w:val="nil"/>
              <w:right w:val="nil"/>
            </w:tcBorders>
            <w:shd w:val="clear" w:color="auto" w:fill="auto"/>
            <w:vAlign w:val="bottom"/>
            <w:hideMark/>
          </w:tcPr>
          <w:p w14:paraId="55CE717F" w14:textId="77777777" w:rsidR="00CA2074" w:rsidRPr="00CA2074" w:rsidRDefault="00CA2074" w:rsidP="00CA2074">
            <w:pPr>
              <w:spacing w:after="0" w:line="240" w:lineRule="auto"/>
              <w:jc w:val="center"/>
              <w:rPr>
                <w:rFonts w:ascii="Arial" w:eastAsia="Times New Roman" w:hAnsi="Arial" w:cs="Arial"/>
                <w:color w:val="0070C0"/>
                <w:sz w:val="20"/>
                <w:szCs w:val="20"/>
                <w:lang w:val="en-US"/>
              </w:rPr>
            </w:pPr>
          </w:p>
        </w:tc>
        <w:tc>
          <w:tcPr>
            <w:tcW w:w="1296" w:type="dxa"/>
            <w:tcBorders>
              <w:top w:val="nil"/>
              <w:left w:val="nil"/>
              <w:bottom w:val="nil"/>
              <w:right w:val="nil"/>
            </w:tcBorders>
            <w:shd w:val="clear" w:color="auto" w:fill="auto"/>
            <w:vAlign w:val="bottom"/>
            <w:hideMark/>
          </w:tcPr>
          <w:p w14:paraId="6BE5017B" w14:textId="77777777" w:rsidR="00CA2074" w:rsidRPr="00CA2074" w:rsidRDefault="00CA2074" w:rsidP="00CA2074">
            <w:pPr>
              <w:spacing w:after="0" w:line="240" w:lineRule="auto"/>
              <w:jc w:val="center"/>
              <w:rPr>
                <w:rFonts w:ascii="Arial" w:eastAsia="Times New Roman" w:hAnsi="Arial" w:cs="Arial"/>
                <w:b/>
                <w:bCs/>
                <w:color w:val="0070C0"/>
                <w:sz w:val="20"/>
                <w:szCs w:val="20"/>
                <w:lang w:val="en-US"/>
              </w:rPr>
            </w:pPr>
            <w:r w:rsidRPr="00CA2074">
              <w:rPr>
                <w:rFonts w:ascii="Arial" w:eastAsia="Times New Roman" w:hAnsi="Arial" w:cs="Arial"/>
                <w:b/>
                <w:bCs/>
                <w:color w:val="0070C0"/>
                <w:sz w:val="20"/>
                <w:szCs w:val="20"/>
                <w:lang w:val="en-US"/>
              </w:rPr>
              <w:t>Actual</w:t>
            </w:r>
          </w:p>
        </w:tc>
        <w:tc>
          <w:tcPr>
            <w:tcW w:w="1407" w:type="dxa"/>
            <w:gridSpan w:val="4"/>
            <w:tcBorders>
              <w:top w:val="nil"/>
              <w:left w:val="nil"/>
              <w:bottom w:val="nil"/>
              <w:right w:val="nil"/>
            </w:tcBorders>
            <w:shd w:val="clear" w:color="auto" w:fill="auto"/>
            <w:vAlign w:val="bottom"/>
            <w:hideMark/>
          </w:tcPr>
          <w:p w14:paraId="4B76BE8C" w14:textId="77777777" w:rsidR="00CA2074" w:rsidRPr="00CA2074" w:rsidRDefault="00CA2074" w:rsidP="00CA2074">
            <w:pPr>
              <w:spacing w:after="0" w:line="240" w:lineRule="auto"/>
              <w:jc w:val="center"/>
              <w:rPr>
                <w:rFonts w:ascii="Arial" w:eastAsia="Times New Roman" w:hAnsi="Arial" w:cs="Arial"/>
                <w:b/>
                <w:bCs/>
                <w:color w:val="0070C0"/>
                <w:sz w:val="20"/>
                <w:szCs w:val="20"/>
                <w:lang w:val="en-US"/>
              </w:rPr>
            </w:pPr>
            <w:r w:rsidRPr="00CA2074">
              <w:rPr>
                <w:rFonts w:ascii="Arial" w:eastAsia="Times New Roman" w:hAnsi="Arial" w:cs="Arial"/>
                <w:b/>
                <w:bCs/>
                <w:color w:val="0070C0"/>
                <w:sz w:val="20"/>
                <w:szCs w:val="20"/>
                <w:lang w:val="en-US"/>
              </w:rPr>
              <w:t>Should be</w:t>
            </w:r>
          </w:p>
        </w:tc>
        <w:tc>
          <w:tcPr>
            <w:tcW w:w="1170" w:type="dxa"/>
            <w:gridSpan w:val="4"/>
            <w:tcBorders>
              <w:top w:val="nil"/>
              <w:left w:val="nil"/>
              <w:bottom w:val="nil"/>
              <w:right w:val="nil"/>
            </w:tcBorders>
            <w:shd w:val="clear" w:color="auto" w:fill="auto"/>
            <w:vAlign w:val="bottom"/>
            <w:hideMark/>
          </w:tcPr>
          <w:p w14:paraId="2578EC3C" w14:textId="77777777" w:rsidR="00CA2074" w:rsidRPr="00CA2074" w:rsidRDefault="00CA2074" w:rsidP="00CA2074">
            <w:pPr>
              <w:spacing w:after="0" w:line="240" w:lineRule="auto"/>
              <w:jc w:val="center"/>
              <w:rPr>
                <w:rFonts w:ascii="Arial" w:eastAsia="Times New Roman" w:hAnsi="Arial" w:cs="Arial"/>
                <w:b/>
                <w:bCs/>
                <w:color w:val="0070C0"/>
                <w:sz w:val="20"/>
                <w:szCs w:val="20"/>
                <w:lang w:val="en-US"/>
              </w:rPr>
            </w:pPr>
            <w:r w:rsidRPr="00CA2074">
              <w:rPr>
                <w:rFonts w:ascii="Arial" w:eastAsia="Times New Roman" w:hAnsi="Arial" w:cs="Arial"/>
                <w:b/>
                <w:bCs/>
                <w:color w:val="0070C0"/>
                <w:sz w:val="20"/>
                <w:szCs w:val="20"/>
                <w:lang w:val="en-US"/>
              </w:rPr>
              <w:t>Difference</w:t>
            </w:r>
          </w:p>
        </w:tc>
      </w:tr>
      <w:tr w:rsidR="005B3349" w:rsidRPr="00CA2074" w14:paraId="26D54BA7" w14:textId="77777777" w:rsidTr="005B3349">
        <w:trPr>
          <w:gridAfter w:val="25"/>
          <w:wAfter w:w="2810" w:type="dxa"/>
          <w:trHeight w:val="264"/>
        </w:trPr>
        <w:tc>
          <w:tcPr>
            <w:tcW w:w="2677" w:type="dxa"/>
            <w:tcBorders>
              <w:top w:val="nil"/>
              <w:left w:val="nil"/>
              <w:bottom w:val="nil"/>
              <w:right w:val="nil"/>
            </w:tcBorders>
            <w:shd w:val="clear" w:color="auto" w:fill="auto"/>
            <w:noWrap/>
            <w:vAlign w:val="bottom"/>
            <w:hideMark/>
          </w:tcPr>
          <w:p w14:paraId="721834D4" w14:textId="77777777" w:rsidR="00CA2074" w:rsidRPr="00CA2074" w:rsidRDefault="00CA2074" w:rsidP="00CA2074">
            <w:pPr>
              <w:spacing w:after="0" w:line="240" w:lineRule="auto"/>
              <w:jc w:val="center"/>
              <w:rPr>
                <w:rFonts w:ascii="Arial" w:eastAsia="Times New Roman" w:hAnsi="Arial" w:cs="Arial"/>
                <w:b/>
                <w:bCs/>
                <w:color w:val="0070C0"/>
                <w:sz w:val="20"/>
                <w:szCs w:val="20"/>
                <w:lang w:val="en-US"/>
              </w:rPr>
            </w:pPr>
          </w:p>
        </w:tc>
        <w:tc>
          <w:tcPr>
            <w:tcW w:w="1296" w:type="dxa"/>
            <w:tcBorders>
              <w:top w:val="nil"/>
              <w:left w:val="nil"/>
              <w:bottom w:val="nil"/>
              <w:right w:val="nil"/>
            </w:tcBorders>
            <w:shd w:val="clear" w:color="auto" w:fill="auto"/>
            <w:noWrap/>
            <w:vAlign w:val="bottom"/>
            <w:hideMark/>
          </w:tcPr>
          <w:p w14:paraId="25AFA88C" w14:textId="77777777" w:rsidR="00CA2074" w:rsidRPr="00CA2074" w:rsidRDefault="00CA2074" w:rsidP="00CA2074">
            <w:pPr>
              <w:spacing w:after="0" w:line="240" w:lineRule="auto"/>
              <w:rPr>
                <w:rFonts w:ascii="Times New Roman" w:eastAsia="Times New Roman" w:hAnsi="Times New Roman" w:cs="Times New Roman"/>
                <w:sz w:val="20"/>
                <w:szCs w:val="20"/>
                <w:lang w:val="en-US"/>
              </w:rPr>
            </w:pPr>
          </w:p>
        </w:tc>
        <w:tc>
          <w:tcPr>
            <w:tcW w:w="1407" w:type="dxa"/>
            <w:gridSpan w:val="4"/>
            <w:tcBorders>
              <w:top w:val="nil"/>
              <w:left w:val="nil"/>
              <w:bottom w:val="nil"/>
              <w:right w:val="nil"/>
            </w:tcBorders>
            <w:shd w:val="clear" w:color="auto" w:fill="auto"/>
            <w:noWrap/>
            <w:vAlign w:val="bottom"/>
            <w:hideMark/>
          </w:tcPr>
          <w:p w14:paraId="5EE1BC54" w14:textId="77777777" w:rsidR="00CA2074" w:rsidRPr="00CA2074" w:rsidRDefault="00CA2074" w:rsidP="00CA2074">
            <w:pPr>
              <w:spacing w:after="0" w:line="240" w:lineRule="auto"/>
              <w:rPr>
                <w:rFonts w:ascii="Times New Roman" w:eastAsia="Times New Roman" w:hAnsi="Times New Roman" w:cs="Times New Roman"/>
                <w:sz w:val="20"/>
                <w:szCs w:val="20"/>
                <w:lang w:val="en-US"/>
              </w:rPr>
            </w:pPr>
          </w:p>
        </w:tc>
        <w:tc>
          <w:tcPr>
            <w:tcW w:w="1170" w:type="dxa"/>
            <w:gridSpan w:val="4"/>
            <w:tcBorders>
              <w:top w:val="nil"/>
              <w:left w:val="nil"/>
              <w:bottom w:val="nil"/>
              <w:right w:val="nil"/>
            </w:tcBorders>
            <w:shd w:val="clear" w:color="auto" w:fill="auto"/>
            <w:noWrap/>
            <w:vAlign w:val="bottom"/>
            <w:hideMark/>
          </w:tcPr>
          <w:p w14:paraId="1502C892" w14:textId="77777777" w:rsidR="00CA2074" w:rsidRPr="00CA2074" w:rsidRDefault="00CA2074" w:rsidP="00CA2074">
            <w:pPr>
              <w:spacing w:after="0" w:line="240" w:lineRule="auto"/>
              <w:rPr>
                <w:rFonts w:ascii="Times New Roman" w:eastAsia="Times New Roman" w:hAnsi="Times New Roman" w:cs="Times New Roman"/>
                <w:sz w:val="20"/>
                <w:szCs w:val="20"/>
                <w:lang w:val="en-US"/>
              </w:rPr>
            </w:pPr>
          </w:p>
        </w:tc>
      </w:tr>
      <w:tr w:rsidR="00CA2074" w:rsidRPr="00CA2074" w14:paraId="0D2DC327" w14:textId="77777777" w:rsidTr="005B3349">
        <w:trPr>
          <w:gridAfter w:val="6"/>
          <w:wAfter w:w="925" w:type="dxa"/>
          <w:trHeight w:val="264"/>
        </w:trPr>
        <w:tc>
          <w:tcPr>
            <w:tcW w:w="7952" w:type="dxa"/>
            <w:gridSpan w:val="22"/>
            <w:tcBorders>
              <w:top w:val="nil"/>
              <w:left w:val="nil"/>
              <w:bottom w:val="nil"/>
              <w:right w:val="nil"/>
            </w:tcBorders>
            <w:shd w:val="clear" w:color="auto" w:fill="auto"/>
            <w:noWrap/>
            <w:vAlign w:val="bottom"/>
            <w:hideMark/>
          </w:tcPr>
          <w:p w14:paraId="5FC40B80" w14:textId="77777777" w:rsidR="00CA2074" w:rsidRPr="00CA2074" w:rsidRDefault="00CA2074" w:rsidP="00CA2074">
            <w:pPr>
              <w:spacing w:after="0" w:line="240" w:lineRule="auto"/>
              <w:rPr>
                <w:rFonts w:ascii="Arial" w:eastAsia="Times New Roman" w:hAnsi="Arial" w:cs="Arial"/>
                <w:b/>
                <w:bCs/>
                <w:color w:val="0070C0"/>
                <w:sz w:val="20"/>
                <w:szCs w:val="20"/>
                <w:lang w:val="en-US"/>
              </w:rPr>
            </w:pPr>
            <w:r w:rsidRPr="00CA2074">
              <w:rPr>
                <w:rFonts w:ascii="Arial" w:eastAsia="Times New Roman" w:hAnsi="Arial" w:cs="Arial"/>
                <w:b/>
                <w:bCs/>
                <w:color w:val="0070C0"/>
                <w:sz w:val="20"/>
                <w:szCs w:val="20"/>
                <w:lang w:val="en-US"/>
              </w:rPr>
              <w:t>Consumption data excluding for loss factor</w:t>
            </w:r>
          </w:p>
        </w:tc>
        <w:tc>
          <w:tcPr>
            <w:tcW w:w="236" w:type="dxa"/>
            <w:gridSpan w:val="3"/>
            <w:tcBorders>
              <w:top w:val="nil"/>
              <w:left w:val="nil"/>
              <w:bottom w:val="nil"/>
              <w:right w:val="nil"/>
            </w:tcBorders>
            <w:shd w:val="clear" w:color="auto" w:fill="auto"/>
            <w:noWrap/>
            <w:vAlign w:val="bottom"/>
            <w:hideMark/>
          </w:tcPr>
          <w:p w14:paraId="7EFA126D" w14:textId="77777777" w:rsidR="00CA2074" w:rsidRPr="00CA2074" w:rsidRDefault="00CA2074" w:rsidP="00CA2074">
            <w:pPr>
              <w:spacing w:after="0" w:line="240" w:lineRule="auto"/>
              <w:rPr>
                <w:rFonts w:ascii="Arial" w:eastAsia="Times New Roman" w:hAnsi="Arial" w:cs="Arial"/>
                <w:b/>
                <w:bCs/>
                <w:color w:val="0070C0"/>
                <w:sz w:val="20"/>
                <w:szCs w:val="20"/>
                <w:lang w:val="en-US"/>
              </w:rPr>
            </w:pPr>
          </w:p>
        </w:tc>
        <w:tc>
          <w:tcPr>
            <w:tcW w:w="247" w:type="dxa"/>
            <w:gridSpan w:val="4"/>
            <w:tcBorders>
              <w:top w:val="nil"/>
              <w:left w:val="nil"/>
              <w:bottom w:val="nil"/>
              <w:right w:val="nil"/>
            </w:tcBorders>
            <w:shd w:val="clear" w:color="auto" w:fill="auto"/>
            <w:noWrap/>
            <w:vAlign w:val="bottom"/>
            <w:hideMark/>
          </w:tcPr>
          <w:p w14:paraId="5AA1D323" w14:textId="77777777" w:rsidR="00CA2074" w:rsidRPr="00CA2074" w:rsidRDefault="00CA2074" w:rsidP="00CA2074">
            <w:pPr>
              <w:spacing w:after="0" w:line="240" w:lineRule="auto"/>
              <w:rPr>
                <w:rFonts w:ascii="Times New Roman" w:eastAsia="Times New Roman" w:hAnsi="Times New Roman" w:cs="Times New Roman"/>
                <w:sz w:val="20"/>
                <w:szCs w:val="20"/>
                <w:lang w:val="en-US"/>
              </w:rPr>
            </w:pPr>
          </w:p>
        </w:tc>
      </w:tr>
      <w:tr w:rsidR="005B3349" w:rsidRPr="00CA2074" w14:paraId="537FBEFC" w14:textId="77777777" w:rsidTr="005B3349">
        <w:trPr>
          <w:gridAfter w:val="5"/>
          <w:wAfter w:w="906" w:type="dxa"/>
          <w:trHeight w:val="264"/>
        </w:trPr>
        <w:tc>
          <w:tcPr>
            <w:tcW w:w="2677" w:type="dxa"/>
            <w:tcBorders>
              <w:top w:val="nil"/>
              <w:left w:val="nil"/>
              <w:bottom w:val="nil"/>
              <w:right w:val="nil"/>
            </w:tcBorders>
            <w:shd w:val="clear" w:color="auto" w:fill="auto"/>
            <w:noWrap/>
            <w:vAlign w:val="bottom"/>
            <w:hideMark/>
          </w:tcPr>
          <w:p w14:paraId="2FA4760D" w14:textId="77777777" w:rsidR="00CA2074" w:rsidRPr="00CA2074" w:rsidRDefault="00CA2074" w:rsidP="00CA2074">
            <w:pPr>
              <w:spacing w:after="0" w:line="240" w:lineRule="auto"/>
              <w:rPr>
                <w:rFonts w:ascii="Times New Roman" w:eastAsia="Times New Roman" w:hAnsi="Times New Roman" w:cs="Times New Roman"/>
                <w:sz w:val="20"/>
                <w:szCs w:val="20"/>
                <w:lang w:val="en-US"/>
              </w:rPr>
            </w:pPr>
          </w:p>
        </w:tc>
        <w:tc>
          <w:tcPr>
            <w:tcW w:w="1296" w:type="dxa"/>
            <w:tcBorders>
              <w:top w:val="nil"/>
              <w:left w:val="nil"/>
              <w:bottom w:val="nil"/>
              <w:right w:val="nil"/>
            </w:tcBorders>
            <w:shd w:val="clear" w:color="auto" w:fill="auto"/>
            <w:noWrap/>
            <w:vAlign w:val="bottom"/>
            <w:hideMark/>
          </w:tcPr>
          <w:p w14:paraId="5351A41E" w14:textId="77777777" w:rsidR="00CA2074" w:rsidRPr="00CA2074" w:rsidRDefault="00CA2074" w:rsidP="00CA2074">
            <w:pPr>
              <w:spacing w:after="0" w:line="240" w:lineRule="auto"/>
              <w:rPr>
                <w:rFonts w:ascii="Times New Roman" w:eastAsia="Times New Roman" w:hAnsi="Times New Roman" w:cs="Times New Roman"/>
                <w:sz w:val="20"/>
                <w:szCs w:val="20"/>
                <w:lang w:val="en-US"/>
              </w:rPr>
            </w:pPr>
          </w:p>
        </w:tc>
        <w:tc>
          <w:tcPr>
            <w:tcW w:w="1407" w:type="dxa"/>
            <w:gridSpan w:val="4"/>
            <w:tcBorders>
              <w:top w:val="nil"/>
              <w:left w:val="nil"/>
              <w:bottom w:val="nil"/>
              <w:right w:val="nil"/>
            </w:tcBorders>
            <w:shd w:val="clear" w:color="auto" w:fill="auto"/>
            <w:noWrap/>
            <w:vAlign w:val="bottom"/>
            <w:hideMark/>
          </w:tcPr>
          <w:p w14:paraId="7E11F31A" w14:textId="77777777" w:rsidR="00CA2074" w:rsidRPr="00CA2074" w:rsidRDefault="00CA2074" w:rsidP="00CA2074">
            <w:pPr>
              <w:spacing w:after="0" w:line="240" w:lineRule="auto"/>
              <w:rPr>
                <w:rFonts w:ascii="Times New Roman" w:eastAsia="Times New Roman" w:hAnsi="Times New Roman" w:cs="Times New Roman"/>
                <w:sz w:val="20"/>
                <w:szCs w:val="20"/>
                <w:lang w:val="en-US"/>
              </w:rPr>
            </w:pPr>
          </w:p>
        </w:tc>
        <w:tc>
          <w:tcPr>
            <w:tcW w:w="1170" w:type="dxa"/>
            <w:gridSpan w:val="4"/>
            <w:tcBorders>
              <w:top w:val="nil"/>
              <w:left w:val="nil"/>
              <w:bottom w:val="nil"/>
              <w:right w:val="nil"/>
            </w:tcBorders>
            <w:shd w:val="clear" w:color="auto" w:fill="auto"/>
            <w:noWrap/>
            <w:vAlign w:val="bottom"/>
            <w:hideMark/>
          </w:tcPr>
          <w:p w14:paraId="11A83558" w14:textId="77777777" w:rsidR="00CA2074" w:rsidRPr="00CA2074" w:rsidRDefault="00CA2074" w:rsidP="00CA2074">
            <w:pPr>
              <w:spacing w:after="0" w:line="240" w:lineRule="auto"/>
              <w:rPr>
                <w:rFonts w:ascii="Times New Roman" w:eastAsia="Times New Roman" w:hAnsi="Times New Roman" w:cs="Times New Roman"/>
                <w:sz w:val="20"/>
                <w:szCs w:val="20"/>
                <w:lang w:val="en-US"/>
              </w:rPr>
            </w:pPr>
          </w:p>
        </w:tc>
        <w:tc>
          <w:tcPr>
            <w:tcW w:w="236" w:type="dxa"/>
            <w:gridSpan w:val="2"/>
            <w:vAlign w:val="center"/>
            <w:hideMark/>
          </w:tcPr>
          <w:p w14:paraId="7D131F0C" w14:textId="77777777" w:rsidR="00CA2074" w:rsidRPr="00CA2074" w:rsidRDefault="00CA2074" w:rsidP="00CA2074">
            <w:pPr>
              <w:spacing w:after="0" w:line="240" w:lineRule="auto"/>
              <w:rPr>
                <w:rFonts w:ascii="Times New Roman" w:eastAsia="Times New Roman" w:hAnsi="Times New Roman" w:cs="Times New Roman"/>
                <w:sz w:val="20"/>
                <w:szCs w:val="20"/>
                <w:lang w:val="en-US"/>
              </w:rPr>
            </w:pPr>
          </w:p>
        </w:tc>
        <w:tc>
          <w:tcPr>
            <w:tcW w:w="236" w:type="dxa"/>
            <w:gridSpan w:val="2"/>
            <w:vAlign w:val="center"/>
            <w:hideMark/>
          </w:tcPr>
          <w:p w14:paraId="619B0465" w14:textId="77777777" w:rsidR="00CA2074" w:rsidRPr="00CA2074" w:rsidRDefault="00CA2074" w:rsidP="00CA2074">
            <w:pPr>
              <w:spacing w:after="0" w:line="240" w:lineRule="auto"/>
              <w:rPr>
                <w:rFonts w:ascii="Times New Roman" w:eastAsia="Times New Roman" w:hAnsi="Times New Roman" w:cs="Times New Roman"/>
                <w:sz w:val="20"/>
                <w:szCs w:val="20"/>
                <w:lang w:val="en-US"/>
              </w:rPr>
            </w:pPr>
          </w:p>
        </w:tc>
        <w:tc>
          <w:tcPr>
            <w:tcW w:w="236" w:type="dxa"/>
            <w:gridSpan w:val="2"/>
            <w:vAlign w:val="center"/>
            <w:hideMark/>
          </w:tcPr>
          <w:p w14:paraId="13048C68" w14:textId="77777777" w:rsidR="00CA2074" w:rsidRPr="00CA2074" w:rsidRDefault="00CA2074" w:rsidP="00CA2074">
            <w:pPr>
              <w:spacing w:after="0" w:line="240" w:lineRule="auto"/>
              <w:rPr>
                <w:rFonts w:ascii="Times New Roman" w:eastAsia="Times New Roman" w:hAnsi="Times New Roman" w:cs="Times New Roman"/>
                <w:sz w:val="20"/>
                <w:szCs w:val="20"/>
                <w:lang w:val="en-US"/>
              </w:rPr>
            </w:pPr>
          </w:p>
        </w:tc>
        <w:tc>
          <w:tcPr>
            <w:tcW w:w="236" w:type="dxa"/>
            <w:gridSpan w:val="2"/>
            <w:vAlign w:val="center"/>
            <w:hideMark/>
          </w:tcPr>
          <w:p w14:paraId="308B32F8" w14:textId="77777777" w:rsidR="00CA2074" w:rsidRPr="00CA2074" w:rsidRDefault="00CA2074" w:rsidP="00CA2074">
            <w:pPr>
              <w:spacing w:after="0" w:line="240" w:lineRule="auto"/>
              <w:rPr>
                <w:rFonts w:ascii="Times New Roman" w:eastAsia="Times New Roman" w:hAnsi="Times New Roman" w:cs="Times New Roman"/>
                <w:sz w:val="20"/>
                <w:szCs w:val="20"/>
                <w:lang w:val="en-US"/>
              </w:rPr>
            </w:pPr>
          </w:p>
        </w:tc>
        <w:tc>
          <w:tcPr>
            <w:tcW w:w="236" w:type="dxa"/>
            <w:gridSpan w:val="2"/>
            <w:vAlign w:val="center"/>
            <w:hideMark/>
          </w:tcPr>
          <w:p w14:paraId="672F2EFB" w14:textId="77777777" w:rsidR="00CA2074" w:rsidRPr="00CA2074" w:rsidRDefault="00CA2074" w:rsidP="00CA2074">
            <w:pPr>
              <w:spacing w:after="0" w:line="240" w:lineRule="auto"/>
              <w:rPr>
                <w:rFonts w:ascii="Times New Roman" w:eastAsia="Times New Roman" w:hAnsi="Times New Roman" w:cs="Times New Roman"/>
                <w:sz w:val="20"/>
                <w:szCs w:val="20"/>
                <w:lang w:val="en-US"/>
              </w:rPr>
            </w:pPr>
          </w:p>
        </w:tc>
        <w:tc>
          <w:tcPr>
            <w:tcW w:w="236" w:type="dxa"/>
            <w:gridSpan w:val="3"/>
            <w:vAlign w:val="center"/>
            <w:hideMark/>
          </w:tcPr>
          <w:p w14:paraId="182A39B0" w14:textId="77777777" w:rsidR="00CA2074" w:rsidRPr="00CA2074" w:rsidRDefault="00CA2074" w:rsidP="00CA2074">
            <w:pPr>
              <w:spacing w:after="0" w:line="240" w:lineRule="auto"/>
              <w:rPr>
                <w:rFonts w:ascii="Times New Roman" w:eastAsia="Times New Roman" w:hAnsi="Times New Roman" w:cs="Times New Roman"/>
                <w:sz w:val="20"/>
                <w:szCs w:val="20"/>
                <w:lang w:val="en-US"/>
              </w:rPr>
            </w:pPr>
          </w:p>
        </w:tc>
        <w:tc>
          <w:tcPr>
            <w:tcW w:w="240" w:type="dxa"/>
            <w:gridSpan w:val="3"/>
            <w:vAlign w:val="center"/>
            <w:hideMark/>
          </w:tcPr>
          <w:p w14:paraId="26F3DAFF" w14:textId="77777777" w:rsidR="00CA2074" w:rsidRPr="00CA2074" w:rsidRDefault="00CA2074" w:rsidP="00CA2074">
            <w:pPr>
              <w:spacing w:after="0" w:line="240" w:lineRule="auto"/>
              <w:rPr>
                <w:rFonts w:ascii="Times New Roman" w:eastAsia="Times New Roman" w:hAnsi="Times New Roman" w:cs="Times New Roman"/>
                <w:sz w:val="20"/>
                <w:szCs w:val="20"/>
                <w:lang w:val="en-US"/>
              </w:rPr>
            </w:pPr>
          </w:p>
        </w:tc>
        <w:tc>
          <w:tcPr>
            <w:tcW w:w="248" w:type="dxa"/>
            <w:gridSpan w:val="4"/>
            <w:vAlign w:val="center"/>
            <w:hideMark/>
          </w:tcPr>
          <w:p w14:paraId="74253C1B" w14:textId="77777777" w:rsidR="00CA2074" w:rsidRPr="00CA2074" w:rsidRDefault="00CA2074" w:rsidP="00CA2074">
            <w:pPr>
              <w:spacing w:after="0" w:line="240" w:lineRule="auto"/>
              <w:rPr>
                <w:rFonts w:ascii="Times New Roman" w:eastAsia="Times New Roman" w:hAnsi="Times New Roman" w:cs="Times New Roman"/>
                <w:sz w:val="20"/>
                <w:szCs w:val="20"/>
                <w:lang w:val="en-US"/>
              </w:rPr>
            </w:pPr>
          </w:p>
        </w:tc>
      </w:tr>
      <w:tr w:rsidR="005B3349" w:rsidRPr="00CA2074" w14:paraId="12A2410A" w14:textId="77777777" w:rsidTr="005B3349">
        <w:trPr>
          <w:gridAfter w:val="3"/>
          <w:wAfter w:w="700" w:type="dxa"/>
          <w:trHeight w:val="264"/>
        </w:trPr>
        <w:tc>
          <w:tcPr>
            <w:tcW w:w="2677" w:type="dxa"/>
            <w:tcBorders>
              <w:top w:val="nil"/>
              <w:left w:val="nil"/>
              <w:bottom w:val="nil"/>
              <w:right w:val="nil"/>
            </w:tcBorders>
            <w:shd w:val="clear" w:color="auto" w:fill="auto"/>
            <w:noWrap/>
            <w:vAlign w:val="bottom"/>
            <w:hideMark/>
          </w:tcPr>
          <w:p w14:paraId="66CEA808" w14:textId="77777777" w:rsidR="00CA2074" w:rsidRPr="00CA2074" w:rsidRDefault="00CA2074" w:rsidP="00CA2074">
            <w:pPr>
              <w:spacing w:after="0" w:line="240" w:lineRule="auto"/>
              <w:rPr>
                <w:rFonts w:ascii="Arial" w:eastAsia="Times New Roman" w:hAnsi="Arial" w:cs="Arial"/>
                <w:color w:val="0070C0"/>
                <w:sz w:val="20"/>
                <w:szCs w:val="20"/>
                <w:lang w:val="en-US"/>
              </w:rPr>
            </w:pPr>
            <w:r w:rsidRPr="00CA2074">
              <w:rPr>
                <w:rFonts w:ascii="Arial" w:eastAsia="Times New Roman" w:hAnsi="Arial" w:cs="Arial"/>
                <w:color w:val="0070C0"/>
                <w:sz w:val="20"/>
                <w:szCs w:val="20"/>
                <w:lang w:val="en-US"/>
              </w:rPr>
              <w:t>RPP</w:t>
            </w:r>
          </w:p>
        </w:tc>
        <w:tc>
          <w:tcPr>
            <w:tcW w:w="1463" w:type="dxa"/>
            <w:gridSpan w:val="4"/>
            <w:tcBorders>
              <w:top w:val="nil"/>
              <w:left w:val="nil"/>
              <w:bottom w:val="nil"/>
              <w:right w:val="nil"/>
            </w:tcBorders>
            <w:shd w:val="clear" w:color="auto" w:fill="auto"/>
            <w:noWrap/>
            <w:vAlign w:val="bottom"/>
            <w:hideMark/>
          </w:tcPr>
          <w:p w14:paraId="2111169F" w14:textId="77777777" w:rsidR="00CA2074" w:rsidRPr="00CA2074" w:rsidRDefault="00CA2074" w:rsidP="00CA2074">
            <w:pPr>
              <w:spacing w:after="0" w:line="240" w:lineRule="auto"/>
              <w:rPr>
                <w:rFonts w:ascii="Arial" w:eastAsia="Times New Roman" w:hAnsi="Arial" w:cs="Arial"/>
                <w:color w:val="0070C0"/>
                <w:sz w:val="20"/>
                <w:szCs w:val="20"/>
                <w:lang w:val="en-US"/>
              </w:rPr>
            </w:pPr>
            <w:r w:rsidRPr="00CA2074">
              <w:rPr>
                <w:rFonts w:ascii="Arial" w:eastAsia="Times New Roman" w:hAnsi="Arial" w:cs="Arial"/>
                <w:color w:val="0070C0"/>
                <w:sz w:val="20"/>
                <w:szCs w:val="20"/>
                <w:lang w:val="en-US"/>
              </w:rPr>
              <w:t xml:space="preserve">   63,970,070 </w:t>
            </w:r>
          </w:p>
        </w:tc>
        <w:tc>
          <w:tcPr>
            <w:tcW w:w="1440" w:type="dxa"/>
            <w:gridSpan w:val="4"/>
            <w:tcBorders>
              <w:top w:val="nil"/>
              <w:left w:val="nil"/>
              <w:bottom w:val="nil"/>
              <w:right w:val="nil"/>
            </w:tcBorders>
            <w:shd w:val="clear" w:color="auto" w:fill="auto"/>
            <w:noWrap/>
            <w:vAlign w:val="bottom"/>
            <w:hideMark/>
          </w:tcPr>
          <w:p w14:paraId="279D91D4" w14:textId="77777777" w:rsidR="00CA2074" w:rsidRPr="00CA2074" w:rsidRDefault="00CA2074" w:rsidP="00CA2074">
            <w:pPr>
              <w:spacing w:after="0" w:line="240" w:lineRule="auto"/>
              <w:rPr>
                <w:rFonts w:ascii="Arial" w:eastAsia="Times New Roman" w:hAnsi="Arial" w:cs="Arial"/>
                <w:color w:val="0070C0"/>
                <w:sz w:val="20"/>
                <w:szCs w:val="20"/>
                <w:lang w:val="en-US"/>
              </w:rPr>
            </w:pPr>
            <w:r w:rsidRPr="00CA2074">
              <w:rPr>
                <w:rFonts w:ascii="Arial" w:eastAsia="Times New Roman" w:hAnsi="Arial" w:cs="Arial"/>
                <w:color w:val="0070C0"/>
                <w:sz w:val="20"/>
                <w:szCs w:val="20"/>
                <w:lang w:val="en-US"/>
              </w:rPr>
              <w:t xml:space="preserve">   63,942,468 </w:t>
            </w:r>
          </w:p>
        </w:tc>
        <w:tc>
          <w:tcPr>
            <w:tcW w:w="1170" w:type="dxa"/>
            <w:gridSpan w:val="2"/>
            <w:tcBorders>
              <w:top w:val="nil"/>
              <w:left w:val="nil"/>
              <w:bottom w:val="nil"/>
              <w:right w:val="nil"/>
            </w:tcBorders>
            <w:shd w:val="clear" w:color="auto" w:fill="auto"/>
            <w:noWrap/>
            <w:vAlign w:val="bottom"/>
            <w:hideMark/>
          </w:tcPr>
          <w:p w14:paraId="62F0311A" w14:textId="77777777" w:rsidR="00CA2074" w:rsidRPr="00CA2074" w:rsidRDefault="00CA2074" w:rsidP="005B3349">
            <w:pPr>
              <w:spacing w:after="0" w:line="240" w:lineRule="auto"/>
              <w:ind w:right="-585"/>
              <w:rPr>
                <w:rFonts w:ascii="Arial" w:eastAsia="Times New Roman" w:hAnsi="Arial" w:cs="Arial"/>
                <w:color w:val="0070C0"/>
                <w:sz w:val="20"/>
                <w:szCs w:val="20"/>
                <w:lang w:val="en-US"/>
              </w:rPr>
            </w:pPr>
            <w:r w:rsidRPr="00CA2074">
              <w:rPr>
                <w:rFonts w:ascii="Arial" w:eastAsia="Times New Roman" w:hAnsi="Arial" w:cs="Arial"/>
                <w:color w:val="0070C0"/>
                <w:sz w:val="20"/>
                <w:szCs w:val="20"/>
                <w:lang w:val="en-US"/>
              </w:rPr>
              <w:t xml:space="preserve">     (27,602)</w:t>
            </w:r>
          </w:p>
        </w:tc>
        <w:tc>
          <w:tcPr>
            <w:tcW w:w="242" w:type="dxa"/>
            <w:gridSpan w:val="2"/>
            <w:vAlign w:val="center"/>
            <w:hideMark/>
          </w:tcPr>
          <w:p w14:paraId="3398B067" w14:textId="77777777" w:rsidR="00CA2074" w:rsidRPr="00CA2074" w:rsidRDefault="00CA2074" w:rsidP="00CA2074">
            <w:pPr>
              <w:spacing w:after="0" w:line="240" w:lineRule="auto"/>
              <w:rPr>
                <w:rFonts w:ascii="Times New Roman" w:eastAsia="Times New Roman" w:hAnsi="Times New Roman" w:cs="Times New Roman"/>
                <w:sz w:val="20"/>
                <w:szCs w:val="20"/>
                <w:lang w:val="en-US"/>
              </w:rPr>
            </w:pPr>
          </w:p>
        </w:tc>
        <w:tc>
          <w:tcPr>
            <w:tcW w:w="236" w:type="dxa"/>
            <w:gridSpan w:val="2"/>
            <w:vAlign w:val="center"/>
            <w:hideMark/>
          </w:tcPr>
          <w:p w14:paraId="03B41FDC" w14:textId="77777777" w:rsidR="00CA2074" w:rsidRPr="00CA2074" w:rsidRDefault="00CA2074" w:rsidP="00CA2074">
            <w:pPr>
              <w:spacing w:after="0" w:line="240" w:lineRule="auto"/>
              <w:rPr>
                <w:rFonts w:ascii="Times New Roman" w:eastAsia="Times New Roman" w:hAnsi="Times New Roman" w:cs="Times New Roman"/>
                <w:sz w:val="20"/>
                <w:szCs w:val="20"/>
                <w:lang w:val="en-US"/>
              </w:rPr>
            </w:pPr>
          </w:p>
        </w:tc>
        <w:tc>
          <w:tcPr>
            <w:tcW w:w="236" w:type="dxa"/>
            <w:gridSpan w:val="2"/>
            <w:vAlign w:val="center"/>
            <w:hideMark/>
          </w:tcPr>
          <w:p w14:paraId="3036F67E" w14:textId="77777777" w:rsidR="00CA2074" w:rsidRPr="00CA2074" w:rsidRDefault="00CA2074" w:rsidP="00CA2074">
            <w:pPr>
              <w:spacing w:after="0" w:line="240" w:lineRule="auto"/>
              <w:rPr>
                <w:rFonts w:ascii="Times New Roman" w:eastAsia="Times New Roman" w:hAnsi="Times New Roman" w:cs="Times New Roman"/>
                <w:sz w:val="20"/>
                <w:szCs w:val="20"/>
                <w:lang w:val="en-US"/>
              </w:rPr>
            </w:pPr>
          </w:p>
        </w:tc>
        <w:tc>
          <w:tcPr>
            <w:tcW w:w="236" w:type="dxa"/>
            <w:gridSpan w:val="2"/>
            <w:vAlign w:val="center"/>
            <w:hideMark/>
          </w:tcPr>
          <w:p w14:paraId="479B02C2" w14:textId="77777777" w:rsidR="00CA2074" w:rsidRPr="00CA2074" w:rsidRDefault="00CA2074" w:rsidP="00CA2074">
            <w:pPr>
              <w:spacing w:after="0" w:line="240" w:lineRule="auto"/>
              <w:rPr>
                <w:rFonts w:ascii="Times New Roman" w:eastAsia="Times New Roman" w:hAnsi="Times New Roman" w:cs="Times New Roman"/>
                <w:sz w:val="20"/>
                <w:szCs w:val="20"/>
                <w:lang w:val="en-US"/>
              </w:rPr>
            </w:pPr>
          </w:p>
        </w:tc>
        <w:tc>
          <w:tcPr>
            <w:tcW w:w="236" w:type="dxa"/>
            <w:gridSpan w:val="2"/>
            <w:vAlign w:val="center"/>
            <w:hideMark/>
          </w:tcPr>
          <w:p w14:paraId="20C5B527" w14:textId="77777777" w:rsidR="00CA2074" w:rsidRPr="00CA2074" w:rsidRDefault="00CA2074" w:rsidP="00CA2074">
            <w:pPr>
              <w:spacing w:after="0" w:line="240" w:lineRule="auto"/>
              <w:rPr>
                <w:rFonts w:ascii="Times New Roman" w:eastAsia="Times New Roman" w:hAnsi="Times New Roman" w:cs="Times New Roman"/>
                <w:sz w:val="20"/>
                <w:szCs w:val="20"/>
                <w:lang w:val="en-US"/>
              </w:rPr>
            </w:pPr>
          </w:p>
        </w:tc>
        <w:tc>
          <w:tcPr>
            <w:tcW w:w="236" w:type="dxa"/>
            <w:gridSpan w:val="3"/>
            <w:vAlign w:val="center"/>
            <w:hideMark/>
          </w:tcPr>
          <w:p w14:paraId="5BC3697D" w14:textId="77777777" w:rsidR="00CA2074" w:rsidRPr="00CA2074" w:rsidRDefault="00CA2074" w:rsidP="00CA2074">
            <w:pPr>
              <w:spacing w:after="0" w:line="240" w:lineRule="auto"/>
              <w:rPr>
                <w:rFonts w:ascii="Times New Roman" w:eastAsia="Times New Roman" w:hAnsi="Times New Roman" w:cs="Times New Roman"/>
                <w:sz w:val="20"/>
                <w:szCs w:val="20"/>
                <w:lang w:val="en-US"/>
              </w:rPr>
            </w:pPr>
          </w:p>
        </w:tc>
        <w:tc>
          <w:tcPr>
            <w:tcW w:w="240" w:type="dxa"/>
            <w:gridSpan w:val="4"/>
            <w:vAlign w:val="center"/>
            <w:hideMark/>
          </w:tcPr>
          <w:p w14:paraId="72B2D5D2" w14:textId="77777777" w:rsidR="00CA2074" w:rsidRPr="00CA2074" w:rsidRDefault="00CA2074" w:rsidP="00CA2074">
            <w:pPr>
              <w:spacing w:after="0" w:line="240" w:lineRule="auto"/>
              <w:rPr>
                <w:rFonts w:ascii="Times New Roman" w:eastAsia="Times New Roman" w:hAnsi="Times New Roman" w:cs="Times New Roman"/>
                <w:sz w:val="20"/>
                <w:szCs w:val="20"/>
                <w:lang w:val="en-US"/>
              </w:rPr>
            </w:pPr>
          </w:p>
        </w:tc>
        <w:tc>
          <w:tcPr>
            <w:tcW w:w="248" w:type="dxa"/>
            <w:gridSpan w:val="4"/>
            <w:vAlign w:val="center"/>
            <w:hideMark/>
          </w:tcPr>
          <w:p w14:paraId="51C1CB54" w14:textId="77777777" w:rsidR="00CA2074" w:rsidRPr="00CA2074" w:rsidRDefault="00CA2074" w:rsidP="00CA2074">
            <w:pPr>
              <w:spacing w:after="0" w:line="240" w:lineRule="auto"/>
              <w:rPr>
                <w:rFonts w:ascii="Times New Roman" w:eastAsia="Times New Roman" w:hAnsi="Times New Roman" w:cs="Times New Roman"/>
                <w:sz w:val="20"/>
                <w:szCs w:val="20"/>
                <w:lang w:val="en-US"/>
              </w:rPr>
            </w:pPr>
          </w:p>
        </w:tc>
      </w:tr>
      <w:tr w:rsidR="005B3349" w:rsidRPr="00CA2074" w14:paraId="597181BB" w14:textId="77777777" w:rsidTr="005B3349">
        <w:trPr>
          <w:gridAfter w:val="3"/>
          <w:wAfter w:w="700" w:type="dxa"/>
          <w:trHeight w:val="264"/>
        </w:trPr>
        <w:tc>
          <w:tcPr>
            <w:tcW w:w="2677" w:type="dxa"/>
            <w:tcBorders>
              <w:top w:val="nil"/>
              <w:left w:val="nil"/>
              <w:bottom w:val="nil"/>
              <w:right w:val="nil"/>
            </w:tcBorders>
            <w:shd w:val="clear" w:color="auto" w:fill="auto"/>
            <w:noWrap/>
            <w:vAlign w:val="bottom"/>
            <w:hideMark/>
          </w:tcPr>
          <w:p w14:paraId="75A5E935" w14:textId="77777777" w:rsidR="00CA2074" w:rsidRPr="00CA2074" w:rsidRDefault="00CA2074" w:rsidP="00CA2074">
            <w:pPr>
              <w:spacing w:after="0" w:line="240" w:lineRule="auto"/>
              <w:rPr>
                <w:rFonts w:ascii="Arial" w:eastAsia="Times New Roman" w:hAnsi="Arial" w:cs="Arial"/>
                <w:color w:val="0070C0"/>
                <w:sz w:val="20"/>
                <w:szCs w:val="20"/>
                <w:lang w:val="en-US"/>
              </w:rPr>
            </w:pPr>
            <w:r w:rsidRPr="00CA2074">
              <w:rPr>
                <w:rFonts w:ascii="Arial" w:eastAsia="Times New Roman" w:hAnsi="Arial" w:cs="Arial"/>
                <w:color w:val="0070C0"/>
                <w:sz w:val="20"/>
                <w:szCs w:val="20"/>
                <w:lang w:val="en-US"/>
              </w:rPr>
              <w:t>Non-RPP Class A</w:t>
            </w:r>
          </w:p>
        </w:tc>
        <w:tc>
          <w:tcPr>
            <w:tcW w:w="1463" w:type="dxa"/>
            <w:gridSpan w:val="4"/>
            <w:tcBorders>
              <w:top w:val="nil"/>
              <w:left w:val="nil"/>
              <w:bottom w:val="nil"/>
              <w:right w:val="nil"/>
            </w:tcBorders>
            <w:shd w:val="clear" w:color="auto" w:fill="auto"/>
            <w:noWrap/>
            <w:vAlign w:val="bottom"/>
            <w:hideMark/>
          </w:tcPr>
          <w:p w14:paraId="78F08884" w14:textId="77777777" w:rsidR="00CA2074" w:rsidRPr="00CA2074" w:rsidRDefault="00CA2074" w:rsidP="00CA2074">
            <w:pPr>
              <w:spacing w:after="0" w:line="240" w:lineRule="auto"/>
              <w:rPr>
                <w:rFonts w:ascii="Arial" w:eastAsia="Times New Roman" w:hAnsi="Arial" w:cs="Arial"/>
                <w:color w:val="0070C0"/>
                <w:sz w:val="20"/>
                <w:szCs w:val="20"/>
                <w:lang w:val="en-US"/>
              </w:rPr>
            </w:pPr>
            <w:r w:rsidRPr="00CA2074">
              <w:rPr>
                <w:rFonts w:ascii="Arial" w:eastAsia="Times New Roman" w:hAnsi="Arial" w:cs="Arial"/>
                <w:color w:val="0070C0"/>
                <w:sz w:val="20"/>
                <w:szCs w:val="20"/>
                <w:lang w:val="en-US"/>
              </w:rPr>
              <w:t xml:space="preserve">   13,264,976 </w:t>
            </w:r>
          </w:p>
        </w:tc>
        <w:tc>
          <w:tcPr>
            <w:tcW w:w="1440" w:type="dxa"/>
            <w:gridSpan w:val="4"/>
            <w:tcBorders>
              <w:top w:val="nil"/>
              <w:left w:val="nil"/>
              <w:bottom w:val="nil"/>
              <w:right w:val="nil"/>
            </w:tcBorders>
            <w:shd w:val="clear" w:color="auto" w:fill="auto"/>
            <w:noWrap/>
            <w:vAlign w:val="bottom"/>
            <w:hideMark/>
          </w:tcPr>
          <w:p w14:paraId="3EB2304E" w14:textId="77777777" w:rsidR="00CA2074" w:rsidRPr="00CA2074" w:rsidRDefault="00CA2074" w:rsidP="00CA2074">
            <w:pPr>
              <w:spacing w:after="0" w:line="240" w:lineRule="auto"/>
              <w:rPr>
                <w:rFonts w:ascii="Arial" w:eastAsia="Times New Roman" w:hAnsi="Arial" w:cs="Arial"/>
                <w:color w:val="0070C0"/>
                <w:sz w:val="20"/>
                <w:szCs w:val="20"/>
                <w:lang w:val="en-US"/>
              </w:rPr>
            </w:pPr>
            <w:r w:rsidRPr="00CA2074">
              <w:rPr>
                <w:rFonts w:ascii="Arial" w:eastAsia="Times New Roman" w:hAnsi="Arial" w:cs="Arial"/>
                <w:color w:val="0070C0"/>
                <w:sz w:val="20"/>
                <w:szCs w:val="20"/>
                <w:lang w:val="en-US"/>
              </w:rPr>
              <w:t xml:space="preserve">   12,608,218 </w:t>
            </w:r>
          </w:p>
        </w:tc>
        <w:tc>
          <w:tcPr>
            <w:tcW w:w="1170" w:type="dxa"/>
            <w:gridSpan w:val="2"/>
            <w:tcBorders>
              <w:top w:val="nil"/>
              <w:left w:val="nil"/>
              <w:bottom w:val="nil"/>
              <w:right w:val="nil"/>
            </w:tcBorders>
            <w:shd w:val="clear" w:color="auto" w:fill="auto"/>
            <w:noWrap/>
            <w:vAlign w:val="bottom"/>
            <w:hideMark/>
          </w:tcPr>
          <w:p w14:paraId="54F40005" w14:textId="77777777" w:rsidR="00CA2074" w:rsidRPr="00CA2074" w:rsidRDefault="00CA2074" w:rsidP="005B3349">
            <w:pPr>
              <w:spacing w:after="0" w:line="240" w:lineRule="auto"/>
              <w:ind w:right="-585"/>
              <w:rPr>
                <w:rFonts w:ascii="Arial" w:eastAsia="Times New Roman" w:hAnsi="Arial" w:cs="Arial"/>
                <w:color w:val="0070C0"/>
                <w:sz w:val="20"/>
                <w:szCs w:val="20"/>
                <w:lang w:val="en-US"/>
              </w:rPr>
            </w:pPr>
            <w:r w:rsidRPr="00CA2074">
              <w:rPr>
                <w:rFonts w:ascii="Arial" w:eastAsia="Times New Roman" w:hAnsi="Arial" w:cs="Arial"/>
                <w:color w:val="0070C0"/>
                <w:sz w:val="20"/>
                <w:szCs w:val="20"/>
                <w:lang w:val="en-US"/>
              </w:rPr>
              <w:t xml:space="preserve">   (656,758)</w:t>
            </w:r>
          </w:p>
        </w:tc>
        <w:tc>
          <w:tcPr>
            <w:tcW w:w="242" w:type="dxa"/>
            <w:gridSpan w:val="2"/>
            <w:vAlign w:val="center"/>
            <w:hideMark/>
          </w:tcPr>
          <w:p w14:paraId="2FB197EF" w14:textId="77777777" w:rsidR="00CA2074" w:rsidRPr="00CA2074" w:rsidRDefault="00CA2074" w:rsidP="00CA2074">
            <w:pPr>
              <w:spacing w:after="0" w:line="240" w:lineRule="auto"/>
              <w:rPr>
                <w:rFonts w:ascii="Times New Roman" w:eastAsia="Times New Roman" w:hAnsi="Times New Roman" w:cs="Times New Roman"/>
                <w:sz w:val="20"/>
                <w:szCs w:val="20"/>
                <w:lang w:val="en-US"/>
              </w:rPr>
            </w:pPr>
          </w:p>
        </w:tc>
        <w:tc>
          <w:tcPr>
            <w:tcW w:w="236" w:type="dxa"/>
            <w:gridSpan w:val="2"/>
            <w:vAlign w:val="center"/>
            <w:hideMark/>
          </w:tcPr>
          <w:p w14:paraId="4B1E76AD" w14:textId="77777777" w:rsidR="00CA2074" w:rsidRPr="00CA2074" w:rsidRDefault="00CA2074" w:rsidP="00CA2074">
            <w:pPr>
              <w:spacing w:after="0" w:line="240" w:lineRule="auto"/>
              <w:rPr>
                <w:rFonts w:ascii="Times New Roman" w:eastAsia="Times New Roman" w:hAnsi="Times New Roman" w:cs="Times New Roman"/>
                <w:sz w:val="20"/>
                <w:szCs w:val="20"/>
                <w:lang w:val="en-US"/>
              </w:rPr>
            </w:pPr>
          </w:p>
        </w:tc>
        <w:tc>
          <w:tcPr>
            <w:tcW w:w="236" w:type="dxa"/>
            <w:gridSpan w:val="2"/>
            <w:vAlign w:val="center"/>
            <w:hideMark/>
          </w:tcPr>
          <w:p w14:paraId="6ABBB64B" w14:textId="77777777" w:rsidR="00CA2074" w:rsidRPr="00CA2074" w:rsidRDefault="00CA2074" w:rsidP="00CA2074">
            <w:pPr>
              <w:spacing w:after="0" w:line="240" w:lineRule="auto"/>
              <w:rPr>
                <w:rFonts w:ascii="Times New Roman" w:eastAsia="Times New Roman" w:hAnsi="Times New Roman" w:cs="Times New Roman"/>
                <w:sz w:val="20"/>
                <w:szCs w:val="20"/>
                <w:lang w:val="en-US"/>
              </w:rPr>
            </w:pPr>
          </w:p>
        </w:tc>
        <w:tc>
          <w:tcPr>
            <w:tcW w:w="236" w:type="dxa"/>
            <w:gridSpan w:val="2"/>
            <w:vAlign w:val="center"/>
            <w:hideMark/>
          </w:tcPr>
          <w:p w14:paraId="3E4D4738" w14:textId="77777777" w:rsidR="00CA2074" w:rsidRPr="00CA2074" w:rsidRDefault="00CA2074" w:rsidP="00CA2074">
            <w:pPr>
              <w:spacing w:after="0" w:line="240" w:lineRule="auto"/>
              <w:rPr>
                <w:rFonts w:ascii="Times New Roman" w:eastAsia="Times New Roman" w:hAnsi="Times New Roman" w:cs="Times New Roman"/>
                <w:sz w:val="20"/>
                <w:szCs w:val="20"/>
                <w:lang w:val="en-US"/>
              </w:rPr>
            </w:pPr>
          </w:p>
        </w:tc>
        <w:tc>
          <w:tcPr>
            <w:tcW w:w="236" w:type="dxa"/>
            <w:gridSpan w:val="2"/>
            <w:vAlign w:val="center"/>
            <w:hideMark/>
          </w:tcPr>
          <w:p w14:paraId="35B1FF5E" w14:textId="77777777" w:rsidR="00CA2074" w:rsidRPr="00CA2074" w:rsidRDefault="00CA2074" w:rsidP="00CA2074">
            <w:pPr>
              <w:spacing w:after="0" w:line="240" w:lineRule="auto"/>
              <w:rPr>
                <w:rFonts w:ascii="Times New Roman" w:eastAsia="Times New Roman" w:hAnsi="Times New Roman" w:cs="Times New Roman"/>
                <w:sz w:val="20"/>
                <w:szCs w:val="20"/>
                <w:lang w:val="en-US"/>
              </w:rPr>
            </w:pPr>
          </w:p>
        </w:tc>
        <w:tc>
          <w:tcPr>
            <w:tcW w:w="236" w:type="dxa"/>
            <w:gridSpan w:val="3"/>
            <w:vAlign w:val="center"/>
            <w:hideMark/>
          </w:tcPr>
          <w:p w14:paraId="089E92B1" w14:textId="77777777" w:rsidR="00CA2074" w:rsidRPr="00CA2074" w:rsidRDefault="00CA2074" w:rsidP="00CA2074">
            <w:pPr>
              <w:spacing w:after="0" w:line="240" w:lineRule="auto"/>
              <w:rPr>
                <w:rFonts w:ascii="Times New Roman" w:eastAsia="Times New Roman" w:hAnsi="Times New Roman" w:cs="Times New Roman"/>
                <w:sz w:val="20"/>
                <w:szCs w:val="20"/>
                <w:lang w:val="en-US"/>
              </w:rPr>
            </w:pPr>
          </w:p>
        </w:tc>
        <w:tc>
          <w:tcPr>
            <w:tcW w:w="240" w:type="dxa"/>
            <w:gridSpan w:val="4"/>
            <w:vAlign w:val="center"/>
            <w:hideMark/>
          </w:tcPr>
          <w:p w14:paraId="466E4619" w14:textId="77777777" w:rsidR="00CA2074" w:rsidRPr="00CA2074" w:rsidRDefault="00CA2074" w:rsidP="00CA2074">
            <w:pPr>
              <w:spacing w:after="0" w:line="240" w:lineRule="auto"/>
              <w:rPr>
                <w:rFonts w:ascii="Times New Roman" w:eastAsia="Times New Roman" w:hAnsi="Times New Roman" w:cs="Times New Roman"/>
                <w:sz w:val="20"/>
                <w:szCs w:val="20"/>
                <w:lang w:val="en-US"/>
              </w:rPr>
            </w:pPr>
          </w:p>
        </w:tc>
        <w:tc>
          <w:tcPr>
            <w:tcW w:w="248" w:type="dxa"/>
            <w:gridSpan w:val="4"/>
            <w:vAlign w:val="center"/>
            <w:hideMark/>
          </w:tcPr>
          <w:p w14:paraId="0F8416F6" w14:textId="77777777" w:rsidR="00CA2074" w:rsidRPr="00CA2074" w:rsidRDefault="00CA2074" w:rsidP="00CA2074">
            <w:pPr>
              <w:spacing w:after="0" w:line="240" w:lineRule="auto"/>
              <w:rPr>
                <w:rFonts w:ascii="Times New Roman" w:eastAsia="Times New Roman" w:hAnsi="Times New Roman" w:cs="Times New Roman"/>
                <w:sz w:val="20"/>
                <w:szCs w:val="20"/>
                <w:lang w:val="en-US"/>
              </w:rPr>
            </w:pPr>
          </w:p>
        </w:tc>
      </w:tr>
      <w:tr w:rsidR="005B3349" w:rsidRPr="00CA2074" w14:paraId="10B1F4FF" w14:textId="77777777" w:rsidTr="005B3349">
        <w:trPr>
          <w:gridAfter w:val="3"/>
          <w:wAfter w:w="700" w:type="dxa"/>
          <w:trHeight w:val="264"/>
        </w:trPr>
        <w:tc>
          <w:tcPr>
            <w:tcW w:w="2677" w:type="dxa"/>
            <w:tcBorders>
              <w:top w:val="nil"/>
              <w:left w:val="nil"/>
              <w:bottom w:val="nil"/>
              <w:right w:val="nil"/>
            </w:tcBorders>
            <w:shd w:val="clear" w:color="auto" w:fill="auto"/>
            <w:noWrap/>
            <w:vAlign w:val="bottom"/>
            <w:hideMark/>
          </w:tcPr>
          <w:p w14:paraId="728ABCC5" w14:textId="77777777" w:rsidR="00CA2074" w:rsidRPr="00CA2074" w:rsidRDefault="00CA2074" w:rsidP="00CA2074">
            <w:pPr>
              <w:spacing w:after="0" w:line="240" w:lineRule="auto"/>
              <w:rPr>
                <w:rFonts w:ascii="Arial" w:eastAsia="Times New Roman" w:hAnsi="Arial" w:cs="Arial"/>
                <w:color w:val="0070C0"/>
                <w:sz w:val="20"/>
                <w:szCs w:val="20"/>
                <w:lang w:val="en-US"/>
              </w:rPr>
            </w:pPr>
            <w:r w:rsidRPr="00CA2074">
              <w:rPr>
                <w:rFonts w:ascii="Arial" w:eastAsia="Times New Roman" w:hAnsi="Arial" w:cs="Arial"/>
                <w:color w:val="0070C0"/>
                <w:sz w:val="20"/>
                <w:szCs w:val="20"/>
                <w:lang w:val="en-US"/>
              </w:rPr>
              <w:t>Non-RPP Class B</w:t>
            </w:r>
          </w:p>
        </w:tc>
        <w:tc>
          <w:tcPr>
            <w:tcW w:w="1463" w:type="dxa"/>
            <w:gridSpan w:val="4"/>
            <w:tcBorders>
              <w:top w:val="nil"/>
              <w:left w:val="nil"/>
              <w:bottom w:val="nil"/>
              <w:right w:val="nil"/>
            </w:tcBorders>
            <w:shd w:val="clear" w:color="auto" w:fill="auto"/>
            <w:noWrap/>
            <w:vAlign w:val="bottom"/>
            <w:hideMark/>
          </w:tcPr>
          <w:p w14:paraId="4F78C99A" w14:textId="77777777" w:rsidR="00CA2074" w:rsidRPr="00CA2074" w:rsidRDefault="00CA2074" w:rsidP="00CA2074">
            <w:pPr>
              <w:spacing w:after="0" w:line="240" w:lineRule="auto"/>
              <w:rPr>
                <w:rFonts w:ascii="Arial" w:eastAsia="Times New Roman" w:hAnsi="Arial" w:cs="Arial"/>
                <w:color w:val="0070C0"/>
                <w:sz w:val="20"/>
                <w:szCs w:val="20"/>
                <w:lang w:val="en-US"/>
              </w:rPr>
            </w:pPr>
            <w:r w:rsidRPr="00CA2074">
              <w:rPr>
                <w:rFonts w:ascii="Arial" w:eastAsia="Times New Roman" w:hAnsi="Arial" w:cs="Arial"/>
                <w:color w:val="0070C0"/>
                <w:sz w:val="20"/>
                <w:szCs w:val="20"/>
                <w:lang w:val="en-US"/>
              </w:rPr>
              <w:t xml:space="preserve">   64,036,315 </w:t>
            </w:r>
          </w:p>
        </w:tc>
        <w:tc>
          <w:tcPr>
            <w:tcW w:w="1440" w:type="dxa"/>
            <w:gridSpan w:val="4"/>
            <w:tcBorders>
              <w:top w:val="nil"/>
              <w:left w:val="nil"/>
              <w:bottom w:val="nil"/>
              <w:right w:val="nil"/>
            </w:tcBorders>
            <w:shd w:val="clear" w:color="auto" w:fill="auto"/>
            <w:noWrap/>
            <w:vAlign w:val="bottom"/>
            <w:hideMark/>
          </w:tcPr>
          <w:p w14:paraId="67DAF27C" w14:textId="77777777" w:rsidR="00CA2074" w:rsidRPr="00CA2074" w:rsidRDefault="00CA2074" w:rsidP="00CA2074">
            <w:pPr>
              <w:spacing w:after="0" w:line="240" w:lineRule="auto"/>
              <w:rPr>
                <w:rFonts w:ascii="Arial" w:eastAsia="Times New Roman" w:hAnsi="Arial" w:cs="Arial"/>
                <w:color w:val="0070C0"/>
                <w:sz w:val="20"/>
                <w:szCs w:val="20"/>
                <w:lang w:val="en-US"/>
              </w:rPr>
            </w:pPr>
            <w:r w:rsidRPr="00CA2074">
              <w:rPr>
                <w:rFonts w:ascii="Arial" w:eastAsia="Times New Roman" w:hAnsi="Arial" w:cs="Arial"/>
                <w:color w:val="0070C0"/>
                <w:sz w:val="20"/>
                <w:szCs w:val="20"/>
                <w:lang w:val="en-US"/>
              </w:rPr>
              <w:t xml:space="preserve">   64,720,675 </w:t>
            </w:r>
          </w:p>
        </w:tc>
        <w:tc>
          <w:tcPr>
            <w:tcW w:w="1170" w:type="dxa"/>
            <w:gridSpan w:val="2"/>
            <w:tcBorders>
              <w:top w:val="nil"/>
              <w:left w:val="nil"/>
              <w:bottom w:val="nil"/>
              <w:right w:val="nil"/>
            </w:tcBorders>
            <w:shd w:val="clear" w:color="auto" w:fill="auto"/>
            <w:noWrap/>
            <w:vAlign w:val="bottom"/>
            <w:hideMark/>
          </w:tcPr>
          <w:p w14:paraId="55955B35" w14:textId="77777777" w:rsidR="00CA2074" w:rsidRPr="00CA2074" w:rsidRDefault="00CA2074" w:rsidP="005B3349">
            <w:pPr>
              <w:spacing w:after="0" w:line="240" w:lineRule="auto"/>
              <w:ind w:right="-585"/>
              <w:rPr>
                <w:rFonts w:ascii="Arial" w:eastAsia="Times New Roman" w:hAnsi="Arial" w:cs="Arial"/>
                <w:color w:val="0070C0"/>
                <w:sz w:val="20"/>
                <w:szCs w:val="20"/>
                <w:lang w:val="en-US"/>
              </w:rPr>
            </w:pPr>
            <w:r w:rsidRPr="00CA2074">
              <w:rPr>
                <w:rFonts w:ascii="Arial" w:eastAsia="Times New Roman" w:hAnsi="Arial" w:cs="Arial"/>
                <w:color w:val="0070C0"/>
                <w:sz w:val="20"/>
                <w:szCs w:val="20"/>
                <w:lang w:val="en-US"/>
              </w:rPr>
              <w:t xml:space="preserve">     684,360 </w:t>
            </w:r>
          </w:p>
        </w:tc>
        <w:tc>
          <w:tcPr>
            <w:tcW w:w="242" w:type="dxa"/>
            <w:gridSpan w:val="2"/>
            <w:vAlign w:val="center"/>
            <w:hideMark/>
          </w:tcPr>
          <w:p w14:paraId="5DD8EA20" w14:textId="77777777" w:rsidR="00CA2074" w:rsidRPr="00CA2074" w:rsidRDefault="00CA2074" w:rsidP="00CA2074">
            <w:pPr>
              <w:spacing w:after="0" w:line="240" w:lineRule="auto"/>
              <w:rPr>
                <w:rFonts w:ascii="Times New Roman" w:eastAsia="Times New Roman" w:hAnsi="Times New Roman" w:cs="Times New Roman"/>
                <w:sz w:val="20"/>
                <w:szCs w:val="20"/>
                <w:lang w:val="en-US"/>
              </w:rPr>
            </w:pPr>
          </w:p>
        </w:tc>
        <w:tc>
          <w:tcPr>
            <w:tcW w:w="236" w:type="dxa"/>
            <w:gridSpan w:val="2"/>
            <w:vAlign w:val="center"/>
            <w:hideMark/>
          </w:tcPr>
          <w:p w14:paraId="659AC0B6" w14:textId="77777777" w:rsidR="00CA2074" w:rsidRPr="00CA2074" w:rsidRDefault="00CA2074" w:rsidP="00CA2074">
            <w:pPr>
              <w:spacing w:after="0" w:line="240" w:lineRule="auto"/>
              <w:rPr>
                <w:rFonts w:ascii="Times New Roman" w:eastAsia="Times New Roman" w:hAnsi="Times New Roman" w:cs="Times New Roman"/>
                <w:sz w:val="20"/>
                <w:szCs w:val="20"/>
                <w:lang w:val="en-US"/>
              </w:rPr>
            </w:pPr>
          </w:p>
        </w:tc>
        <w:tc>
          <w:tcPr>
            <w:tcW w:w="236" w:type="dxa"/>
            <w:gridSpan w:val="2"/>
            <w:vAlign w:val="center"/>
            <w:hideMark/>
          </w:tcPr>
          <w:p w14:paraId="7CE00651" w14:textId="77777777" w:rsidR="00CA2074" w:rsidRPr="00CA2074" w:rsidRDefault="00CA2074" w:rsidP="00CA2074">
            <w:pPr>
              <w:spacing w:after="0" w:line="240" w:lineRule="auto"/>
              <w:rPr>
                <w:rFonts w:ascii="Times New Roman" w:eastAsia="Times New Roman" w:hAnsi="Times New Roman" w:cs="Times New Roman"/>
                <w:sz w:val="20"/>
                <w:szCs w:val="20"/>
                <w:lang w:val="en-US"/>
              </w:rPr>
            </w:pPr>
          </w:p>
        </w:tc>
        <w:tc>
          <w:tcPr>
            <w:tcW w:w="236" w:type="dxa"/>
            <w:gridSpan w:val="2"/>
            <w:vAlign w:val="center"/>
            <w:hideMark/>
          </w:tcPr>
          <w:p w14:paraId="395F4976" w14:textId="77777777" w:rsidR="00CA2074" w:rsidRPr="00CA2074" w:rsidRDefault="00CA2074" w:rsidP="00CA2074">
            <w:pPr>
              <w:spacing w:after="0" w:line="240" w:lineRule="auto"/>
              <w:rPr>
                <w:rFonts w:ascii="Times New Roman" w:eastAsia="Times New Roman" w:hAnsi="Times New Roman" w:cs="Times New Roman"/>
                <w:sz w:val="20"/>
                <w:szCs w:val="20"/>
                <w:lang w:val="en-US"/>
              </w:rPr>
            </w:pPr>
          </w:p>
        </w:tc>
        <w:tc>
          <w:tcPr>
            <w:tcW w:w="236" w:type="dxa"/>
            <w:gridSpan w:val="2"/>
            <w:vAlign w:val="center"/>
            <w:hideMark/>
          </w:tcPr>
          <w:p w14:paraId="17920D69" w14:textId="77777777" w:rsidR="00CA2074" w:rsidRPr="00CA2074" w:rsidRDefault="00CA2074" w:rsidP="00CA2074">
            <w:pPr>
              <w:spacing w:after="0" w:line="240" w:lineRule="auto"/>
              <w:rPr>
                <w:rFonts w:ascii="Times New Roman" w:eastAsia="Times New Roman" w:hAnsi="Times New Roman" w:cs="Times New Roman"/>
                <w:sz w:val="20"/>
                <w:szCs w:val="20"/>
                <w:lang w:val="en-US"/>
              </w:rPr>
            </w:pPr>
          </w:p>
        </w:tc>
        <w:tc>
          <w:tcPr>
            <w:tcW w:w="236" w:type="dxa"/>
            <w:gridSpan w:val="3"/>
            <w:vAlign w:val="center"/>
            <w:hideMark/>
          </w:tcPr>
          <w:p w14:paraId="59192AF1" w14:textId="77777777" w:rsidR="00CA2074" w:rsidRPr="00CA2074" w:rsidRDefault="00CA2074" w:rsidP="00CA2074">
            <w:pPr>
              <w:spacing w:after="0" w:line="240" w:lineRule="auto"/>
              <w:rPr>
                <w:rFonts w:ascii="Times New Roman" w:eastAsia="Times New Roman" w:hAnsi="Times New Roman" w:cs="Times New Roman"/>
                <w:sz w:val="20"/>
                <w:szCs w:val="20"/>
                <w:lang w:val="en-US"/>
              </w:rPr>
            </w:pPr>
          </w:p>
        </w:tc>
        <w:tc>
          <w:tcPr>
            <w:tcW w:w="240" w:type="dxa"/>
            <w:gridSpan w:val="4"/>
            <w:vAlign w:val="center"/>
            <w:hideMark/>
          </w:tcPr>
          <w:p w14:paraId="3591496D" w14:textId="77777777" w:rsidR="00CA2074" w:rsidRPr="00CA2074" w:rsidRDefault="00CA2074" w:rsidP="00CA2074">
            <w:pPr>
              <w:spacing w:after="0" w:line="240" w:lineRule="auto"/>
              <w:rPr>
                <w:rFonts w:ascii="Times New Roman" w:eastAsia="Times New Roman" w:hAnsi="Times New Roman" w:cs="Times New Roman"/>
                <w:sz w:val="20"/>
                <w:szCs w:val="20"/>
                <w:lang w:val="en-US"/>
              </w:rPr>
            </w:pPr>
          </w:p>
        </w:tc>
        <w:tc>
          <w:tcPr>
            <w:tcW w:w="248" w:type="dxa"/>
            <w:gridSpan w:val="4"/>
            <w:vAlign w:val="center"/>
            <w:hideMark/>
          </w:tcPr>
          <w:p w14:paraId="21BAA754" w14:textId="77777777" w:rsidR="00CA2074" w:rsidRPr="00CA2074" w:rsidRDefault="00CA2074" w:rsidP="00CA2074">
            <w:pPr>
              <w:spacing w:after="0" w:line="240" w:lineRule="auto"/>
              <w:rPr>
                <w:rFonts w:ascii="Times New Roman" w:eastAsia="Times New Roman" w:hAnsi="Times New Roman" w:cs="Times New Roman"/>
                <w:sz w:val="20"/>
                <w:szCs w:val="20"/>
                <w:lang w:val="en-US"/>
              </w:rPr>
            </w:pPr>
          </w:p>
        </w:tc>
      </w:tr>
      <w:tr w:rsidR="005B3349" w:rsidRPr="00CA2074" w14:paraId="03D3ACC7" w14:textId="77777777" w:rsidTr="005B3349">
        <w:trPr>
          <w:gridAfter w:val="3"/>
          <w:wAfter w:w="700" w:type="dxa"/>
          <w:trHeight w:val="264"/>
        </w:trPr>
        <w:tc>
          <w:tcPr>
            <w:tcW w:w="2677" w:type="dxa"/>
            <w:tcBorders>
              <w:top w:val="nil"/>
              <w:left w:val="nil"/>
              <w:bottom w:val="nil"/>
              <w:right w:val="nil"/>
            </w:tcBorders>
            <w:shd w:val="clear" w:color="auto" w:fill="auto"/>
            <w:noWrap/>
            <w:vAlign w:val="bottom"/>
            <w:hideMark/>
          </w:tcPr>
          <w:p w14:paraId="161085F3" w14:textId="77777777" w:rsidR="00CA2074" w:rsidRPr="00CA2074" w:rsidRDefault="00CA2074" w:rsidP="00CA2074">
            <w:pPr>
              <w:spacing w:after="0" w:line="240" w:lineRule="auto"/>
              <w:rPr>
                <w:rFonts w:ascii="Arial" w:eastAsia="Times New Roman" w:hAnsi="Arial" w:cs="Arial"/>
                <w:color w:val="0070C0"/>
                <w:sz w:val="20"/>
                <w:szCs w:val="20"/>
                <w:lang w:val="en-US"/>
              </w:rPr>
            </w:pPr>
          </w:p>
        </w:tc>
        <w:tc>
          <w:tcPr>
            <w:tcW w:w="1463" w:type="dxa"/>
            <w:gridSpan w:val="4"/>
            <w:tcBorders>
              <w:top w:val="nil"/>
              <w:left w:val="nil"/>
              <w:bottom w:val="nil"/>
              <w:right w:val="nil"/>
            </w:tcBorders>
            <w:shd w:val="clear" w:color="auto" w:fill="auto"/>
            <w:noWrap/>
            <w:vAlign w:val="bottom"/>
            <w:hideMark/>
          </w:tcPr>
          <w:p w14:paraId="12EF6E4E" w14:textId="77777777" w:rsidR="00CA2074" w:rsidRPr="00CA2074" w:rsidRDefault="00CA2074" w:rsidP="00CA2074">
            <w:pPr>
              <w:spacing w:after="0" w:line="240" w:lineRule="auto"/>
              <w:rPr>
                <w:rFonts w:ascii="Times New Roman" w:eastAsia="Times New Roman" w:hAnsi="Times New Roman" w:cs="Times New Roman"/>
                <w:sz w:val="20"/>
                <w:szCs w:val="20"/>
                <w:lang w:val="en-US"/>
              </w:rPr>
            </w:pPr>
          </w:p>
        </w:tc>
        <w:tc>
          <w:tcPr>
            <w:tcW w:w="1440" w:type="dxa"/>
            <w:gridSpan w:val="4"/>
            <w:tcBorders>
              <w:top w:val="nil"/>
              <w:left w:val="nil"/>
              <w:bottom w:val="nil"/>
              <w:right w:val="nil"/>
            </w:tcBorders>
            <w:shd w:val="clear" w:color="auto" w:fill="auto"/>
            <w:noWrap/>
            <w:vAlign w:val="bottom"/>
            <w:hideMark/>
          </w:tcPr>
          <w:p w14:paraId="06677491" w14:textId="77777777" w:rsidR="00CA2074" w:rsidRPr="00CA2074" w:rsidRDefault="00CA2074" w:rsidP="00CA2074">
            <w:pPr>
              <w:spacing w:after="0" w:line="240" w:lineRule="auto"/>
              <w:rPr>
                <w:rFonts w:ascii="Times New Roman" w:eastAsia="Times New Roman" w:hAnsi="Times New Roman" w:cs="Times New Roman"/>
                <w:sz w:val="20"/>
                <w:szCs w:val="20"/>
                <w:lang w:val="en-US"/>
              </w:rPr>
            </w:pPr>
          </w:p>
        </w:tc>
        <w:tc>
          <w:tcPr>
            <w:tcW w:w="1170" w:type="dxa"/>
            <w:gridSpan w:val="2"/>
            <w:tcBorders>
              <w:top w:val="nil"/>
              <w:left w:val="nil"/>
              <w:bottom w:val="nil"/>
              <w:right w:val="nil"/>
            </w:tcBorders>
            <w:shd w:val="clear" w:color="auto" w:fill="auto"/>
            <w:noWrap/>
            <w:vAlign w:val="bottom"/>
            <w:hideMark/>
          </w:tcPr>
          <w:p w14:paraId="49EF8411" w14:textId="77777777" w:rsidR="00CA2074" w:rsidRPr="00CA2074" w:rsidRDefault="00CA2074" w:rsidP="005B3349">
            <w:pPr>
              <w:spacing w:after="0" w:line="240" w:lineRule="auto"/>
              <w:ind w:right="-585"/>
              <w:rPr>
                <w:rFonts w:ascii="Times New Roman" w:eastAsia="Times New Roman" w:hAnsi="Times New Roman" w:cs="Times New Roman"/>
                <w:sz w:val="20"/>
                <w:szCs w:val="20"/>
                <w:lang w:val="en-US"/>
              </w:rPr>
            </w:pPr>
          </w:p>
        </w:tc>
        <w:tc>
          <w:tcPr>
            <w:tcW w:w="242" w:type="dxa"/>
            <w:gridSpan w:val="2"/>
            <w:vAlign w:val="center"/>
            <w:hideMark/>
          </w:tcPr>
          <w:p w14:paraId="04AA4C28" w14:textId="77777777" w:rsidR="00CA2074" w:rsidRPr="00CA2074" w:rsidRDefault="00CA2074" w:rsidP="00CA2074">
            <w:pPr>
              <w:spacing w:after="0" w:line="240" w:lineRule="auto"/>
              <w:rPr>
                <w:rFonts w:ascii="Times New Roman" w:eastAsia="Times New Roman" w:hAnsi="Times New Roman" w:cs="Times New Roman"/>
                <w:sz w:val="20"/>
                <w:szCs w:val="20"/>
                <w:lang w:val="en-US"/>
              </w:rPr>
            </w:pPr>
          </w:p>
        </w:tc>
        <w:tc>
          <w:tcPr>
            <w:tcW w:w="236" w:type="dxa"/>
            <w:gridSpan w:val="2"/>
            <w:vAlign w:val="center"/>
            <w:hideMark/>
          </w:tcPr>
          <w:p w14:paraId="1438550E" w14:textId="77777777" w:rsidR="00CA2074" w:rsidRPr="00CA2074" w:rsidRDefault="00CA2074" w:rsidP="00CA2074">
            <w:pPr>
              <w:spacing w:after="0" w:line="240" w:lineRule="auto"/>
              <w:rPr>
                <w:rFonts w:ascii="Times New Roman" w:eastAsia="Times New Roman" w:hAnsi="Times New Roman" w:cs="Times New Roman"/>
                <w:sz w:val="20"/>
                <w:szCs w:val="20"/>
                <w:lang w:val="en-US"/>
              </w:rPr>
            </w:pPr>
          </w:p>
        </w:tc>
        <w:tc>
          <w:tcPr>
            <w:tcW w:w="236" w:type="dxa"/>
            <w:gridSpan w:val="2"/>
            <w:vAlign w:val="center"/>
            <w:hideMark/>
          </w:tcPr>
          <w:p w14:paraId="5023A83E" w14:textId="77777777" w:rsidR="00CA2074" w:rsidRPr="00CA2074" w:rsidRDefault="00CA2074" w:rsidP="00CA2074">
            <w:pPr>
              <w:spacing w:after="0" w:line="240" w:lineRule="auto"/>
              <w:rPr>
                <w:rFonts w:ascii="Times New Roman" w:eastAsia="Times New Roman" w:hAnsi="Times New Roman" w:cs="Times New Roman"/>
                <w:sz w:val="20"/>
                <w:szCs w:val="20"/>
                <w:lang w:val="en-US"/>
              </w:rPr>
            </w:pPr>
          </w:p>
        </w:tc>
        <w:tc>
          <w:tcPr>
            <w:tcW w:w="236" w:type="dxa"/>
            <w:gridSpan w:val="2"/>
            <w:vAlign w:val="center"/>
            <w:hideMark/>
          </w:tcPr>
          <w:p w14:paraId="02FA282C" w14:textId="77777777" w:rsidR="00CA2074" w:rsidRPr="00CA2074" w:rsidRDefault="00CA2074" w:rsidP="00CA2074">
            <w:pPr>
              <w:spacing w:after="0" w:line="240" w:lineRule="auto"/>
              <w:rPr>
                <w:rFonts w:ascii="Times New Roman" w:eastAsia="Times New Roman" w:hAnsi="Times New Roman" w:cs="Times New Roman"/>
                <w:sz w:val="20"/>
                <w:szCs w:val="20"/>
                <w:lang w:val="en-US"/>
              </w:rPr>
            </w:pPr>
          </w:p>
        </w:tc>
        <w:tc>
          <w:tcPr>
            <w:tcW w:w="236" w:type="dxa"/>
            <w:gridSpan w:val="2"/>
            <w:vAlign w:val="center"/>
            <w:hideMark/>
          </w:tcPr>
          <w:p w14:paraId="51E3C4B3" w14:textId="77777777" w:rsidR="00CA2074" w:rsidRPr="00CA2074" w:rsidRDefault="00CA2074" w:rsidP="00CA2074">
            <w:pPr>
              <w:spacing w:after="0" w:line="240" w:lineRule="auto"/>
              <w:rPr>
                <w:rFonts w:ascii="Times New Roman" w:eastAsia="Times New Roman" w:hAnsi="Times New Roman" w:cs="Times New Roman"/>
                <w:sz w:val="20"/>
                <w:szCs w:val="20"/>
                <w:lang w:val="en-US"/>
              </w:rPr>
            </w:pPr>
          </w:p>
        </w:tc>
        <w:tc>
          <w:tcPr>
            <w:tcW w:w="236" w:type="dxa"/>
            <w:gridSpan w:val="3"/>
            <w:vAlign w:val="center"/>
            <w:hideMark/>
          </w:tcPr>
          <w:p w14:paraId="29FDE105" w14:textId="77777777" w:rsidR="00CA2074" w:rsidRPr="00CA2074" w:rsidRDefault="00CA2074" w:rsidP="00CA2074">
            <w:pPr>
              <w:spacing w:after="0" w:line="240" w:lineRule="auto"/>
              <w:rPr>
                <w:rFonts w:ascii="Times New Roman" w:eastAsia="Times New Roman" w:hAnsi="Times New Roman" w:cs="Times New Roman"/>
                <w:sz w:val="20"/>
                <w:szCs w:val="20"/>
                <w:lang w:val="en-US"/>
              </w:rPr>
            </w:pPr>
          </w:p>
        </w:tc>
        <w:tc>
          <w:tcPr>
            <w:tcW w:w="240" w:type="dxa"/>
            <w:gridSpan w:val="4"/>
            <w:vAlign w:val="center"/>
            <w:hideMark/>
          </w:tcPr>
          <w:p w14:paraId="0BAE4D11" w14:textId="77777777" w:rsidR="00CA2074" w:rsidRPr="00CA2074" w:rsidRDefault="00CA2074" w:rsidP="00CA2074">
            <w:pPr>
              <w:spacing w:after="0" w:line="240" w:lineRule="auto"/>
              <w:rPr>
                <w:rFonts w:ascii="Times New Roman" w:eastAsia="Times New Roman" w:hAnsi="Times New Roman" w:cs="Times New Roman"/>
                <w:sz w:val="20"/>
                <w:szCs w:val="20"/>
                <w:lang w:val="en-US"/>
              </w:rPr>
            </w:pPr>
          </w:p>
        </w:tc>
        <w:tc>
          <w:tcPr>
            <w:tcW w:w="248" w:type="dxa"/>
            <w:gridSpan w:val="4"/>
            <w:vAlign w:val="center"/>
            <w:hideMark/>
          </w:tcPr>
          <w:p w14:paraId="38CF4D42" w14:textId="77777777" w:rsidR="00CA2074" w:rsidRPr="00CA2074" w:rsidRDefault="00CA2074" w:rsidP="00CA2074">
            <w:pPr>
              <w:spacing w:after="0" w:line="240" w:lineRule="auto"/>
              <w:rPr>
                <w:rFonts w:ascii="Times New Roman" w:eastAsia="Times New Roman" w:hAnsi="Times New Roman" w:cs="Times New Roman"/>
                <w:sz w:val="20"/>
                <w:szCs w:val="20"/>
                <w:lang w:val="en-US"/>
              </w:rPr>
            </w:pPr>
          </w:p>
        </w:tc>
      </w:tr>
      <w:tr w:rsidR="005B3349" w:rsidRPr="00CA2074" w14:paraId="23DFD51E" w14:textId="77777777" w:rsidTr="005B3349">
        <w:trPr>
          <w:gridAfter w:val="3"/>
          <w:wAfter w:w="700" w:type="dxa"/>
          <w:trHeight w:val="276"/>
        </w:trPr>
        <w:tc>
          <w:tcPr>
            <w:tcW w:w="2677" w:type="dxa"/>
            <w:tcBorders>
              <w:top w:val="nil"/>
              <w:left w:val="nil"/>
              <w:bottom w:val="nil"/>
              <w:right w:val="nil"/>
            </w:tcBorders>
            <w:shd w:val="clear" w:color="auto" w:fill="auto"/>
            <w:noWrap/>
            <w:vAlign w:val="bottom"/>
            <w:hideMark/>
          </w:tcPr>
          <w:p w14:paraId="6A9812ED" w14:textId="77777777" w:rsidR="00CA2074" w:rsidRPr="00CA2074" w:rsidRDefault="00CA2074" w:rsidP="00CA2074">
            <w:pPr>
              <w:spacing w:after="0" w:line="240" w:lineRule="auto"/>
              <w:rPr>
                <w:rFonts w:ascii="Arial" w:eastAsia="Times New Roman" w:hAnsi="Arial" w:cs="Arial"/>
                <w:color w:val="0070C0"/>
                <w:sz w:val="20"/>
                <w:szCs w:val="20"/>
                <w:lang w:val="en-US"/>
              </w:rPr>
            </w:pPr>
            <w:r w:rsidRPr="00CA2074">
              <w:rPr>
                <w:rFonts w:ascii="Arial" w:eastAsia="Times New Roman" w:hAnsi="Arial" w:cs="Arial"/>
                <w:color w:val="0070C0"/>
                <w:sz w:val="20"/>
                <w:szCs w:val="20"/>
                <w:lang w:val="en-US"/>
              </w:rPr>
              <w:t>Total metered excluding WMP</w:t>
            </w:r>
          </w:p>
        </w:tc>
        <w:tc>
          <w:tcPr>
            <w:tcW w:w="1463" w:type="dxa"/>
            <w:gridSpan w:val="4"/>
            <w:tcBorders>
              <w:top w:val="single" w:sz="4" w:space="0" w:color="0070C0"/>
              <w:left w:val="nil"/>
              <w:bottom w:val="double" w:sz="6" w:space="0" w:color="0070C0"/>
              <w:right w:val="nil"/>
            </w:tcBorders>
            <w:shd w:val="clear" w:color="auto" w:fill="auto"/>
            <w:noWrap/>
            <w:vAlign w:val="bottom"/>
            <w:hideMark/>
          </w:tcPr>
          <w:p w14:paraId="671AF69F" w14:textId="77777777" w:rsidR="00CA2074" w:rsidRPr="00CA2074" w:rsidRDefault="00CA2074" w:rsidP="00CA2074">
            <w:pPr>
              <w:spacing w:after="0" w:line="240" w:lineRule="auto"/>
              <w:rPr>
                <w:rFonts w:ascii="Arial" w:eastAsia="Times New Roman" w:hAnsi="Arial" w:cs="Arial"/>
                <w:color w:val="0070C0"/>
                <w:sz w:val="20"/>
                <w:szCs w:val="20"/>
                <w:lang w:val="en-US"/>
              </w:rPr>
            </w:pPr>
            <w:r w:rsidRPr="00CA2074">
              <w:rPr>
                <w:rFonts w:ascii="Arial" w:eastAsia="Times New Roman" w:hAnsi="Arial" w:cs="Arial"/>
                <w:color w:val="0070C0"/>
                <w:sz w:val="20"/>
                <w:szCs w:val="20"/>
                <w:lang w:val="en-US"/>
              </w:rPr>
              <w:t xml:space="preserve"> 141,271,361 </w:t>
            </w:r>
          </w:p>
        </w:tc>
        <w:tc>
          <w:tcPr>
            <w:tcW w:w="1440" w:type="dxa"/>
            <w:gridSpan w:val="4"/>
            <w:tcBorders>
              <w:top w:val="single" w:sz="4" w:space="0" w:color="0070C0"/>
              <w:left w:val="nil"/>
              <w:bottom w:val="double" w:sz="6" w:space="0" w:color="0070C0"/>
              <w:right w:val="nil"/>
            </w:tcBorders>
            <w:shd w:val="clear" w:color="auto" w:fill="auto"/>
            <w:noWrap/>
            <w:vAlign w:val="bottom"/>
            <w:hideMark/>
          </w:tcPr>
          <w:p w14:paraId="10741A84" w14:textId="77777777" w:rsidR="00CA2074" w:rsidRPr="00CA2074" w:rsidRDefault="00CA2074" w:rsidP="00CA2074">
            <w:pPr>
              <w:spacing w:after="0" w:line="240" w:lineRule="auto"/>
              <w:rPr>
                <w:rFonts w:ascii="Arial" w:eastAsia="Times New Roman" w:hAnsi="Arial" w:cs="Arial"/>
                <w:color w:val="0070C0"/>
                <w:sz w:val="20"/>
                <w:szCs w:val="20"/>
                <w:lang w:val="en-US"/>
              </w:rPr>
            </w:pPr>
            <w:r w:rsidRPr="00CA2074">
              <w:rPr>
                <w:rFonts w:ascii="Arial" w:eastAsia="Times New Roman" w:hAnsi="Arial" w:cs="Arial"/>
                <w:color w:val="0070C0"/>
                <w:sz w:val="20"/>
                <w:szCs w:val="20"/>
                <w:lang w:val="en-US"/>
              </w:rPr>
              <w:t xml:space="preserve"> 141,271,361 </w:t>
            </w:r>
          </w:p>
        </w:tc>
        <w:tc>
          <w:tcPr>
            <w:tcW w:w="1170" w:type="dxa"/>
            <w:gridSpan w:val="2"/>
            <w:tcBorders>
              <w:top w:val="single" w:sz="4" w:space="0" w:color="0070C0"/>
              <w:left w:val="nil"/>
              <w:bottom w:val="double" w:sz="6" w:space="0" w:color="0070C0"/>
              <w:right w:val="nil"/>
            </w:tcBorders>
            <w:shd w:val="clear" w:color="auto" w:fill="auto"/>
            <w:noWrap/>
            <w:vAlign w:val="bottom"/>
            <w:hideMark/>
          </w:tcPr>
          <w:p w14:paraId="5129EAE1" w14:textId="77777777" w:rsidR="00CA2074" w:rsidRPr="00CA2074" w:rsidRDefault="00CA2074" w:rsidP="005B3349">
            <w:pPr>
              <w:spacing w:after="0" w:line="240" w:lineRule="auto"/>
              <w:ind w:right="-585"/>
              <w:rPr>
                <w:rFonts w:ascii="Arial" w:eastAsia="Times New Roman" w:hAnsi="Arial" w:cs="Arial"/>
                <w:color w:val="0070C0"/>
                <w:sz w:val="20"/>
                <w:szCs w:val="20"/>
                <w:lang w:val="en-US"/>
              </w:rPr>
            </w:pPr>
            <w:r w:rsidRPr="00CA2074">
              <w:rPr>
                <w:rFonts w:ascii="Arial" w:eastAsia="Times New Roman" w:hAnsi="Arial" w:cs="Arial"/>
                <w:color w:val="0070C0"/>
                <w:sz w:val="20"/>
                <w:szCs w:val="20"/>
                <w:lang w:val="en-US"/>
              </w:rPr>
              <w:t xml:space="preserve">             -   </w:t>
            </w:r>
          </w:p>
        </w:tc>
        <w:tc>
          <w:tcPr>
            <w:tcW w:w="242" w:type="dxa"/>
            <w:gridSpan w:val="2"/>
            <w:vAlign w:val="center"/>
            <w:hideMark/>
          </w:tcPr>
          <w:p w14:paraId="5024AB07" w14:textId="77777777" w:rsidR="00CA2074" w:rsidRPr="00CA2074" w:rsidRDefault="00CA2074" w:rsidP="00CA2074">
            <w:pPr>
              <w:spacing w:after="0" w:line="240" w:lineRule="auto"/>
              <w:rPr>
                <w:rFonts w:ascii="Times New Roman" w:eastAsia="Times New Roman" w:hAnsi="Times New Roman" w:cs="Times New Roman"/>
                <w:sz w:val="20"/>
                <w:szCs w:val="20"/>
                <w:lang w:val="en-US"/>
              </w:rPr>
            </w:pPr>
          </w:p>
        </w:tc>
        <w:tc>
          <w:tcPr>
            <w:tcW w:w="236" w:type="dxa"/>
            <w:gridSpan w:val="2"/>
            <w:vAlign w:val="center"/>
            <w:hideMark/>
          </w:tcPr>
          <w:p w14:paraId="29C21DF6" w14:textId="77777777" w:rsidR="00CA2074" w:rsidRPr="00CA2074" w:rsidRDefault="00CA2074" w:rsidP="00CA2074">
            <w:pPr>
              <w:spacing w:after="0" w:line="240" w:lineRule="auto"/>
              <w:rPr>
                <w:rFonts w:ascii="Times New Roman" w:eastAsia="Times New Roman" w:hAnsi="Times New Roman" w:cs="Times New Roman"/>
                <w:sz w:val="20"/>
                <w:szCs w:val="20"/>
                <w:lang w:val="en-US"/>
              </w:rPr>
            </w:pPr>
          </w:p>
        </w:tc>
        <w:tc>
          <w:tcPr>
            <w:tcW w:w="236" w:type="dxa"/>
            <w:gridSpan w:val="2"/>
            <w:vAlign w:val="center"/>
            <w:hideMark/>
          </w:tcPr>
          <w:p w14:paraId="170427DB" w14:textId="77777777" w:rsidR="00CA2074" w:rsidRPr="00CA2074" w:rsidRDefault="00CA2074" w:rsidP="00CA2074">
            <w:pPr>
              <w:spacing w:after="0" w:line="240" w:lineRule="auto"/>
              <w:rPr>
                <w:rFonts w:ascii="Times New Roman" w:eastAsia="Times New Roman" w:hAnsi="Times New Roman" w:cs="Times New Roman"/>
                <w:sz w:val="20"/>
                <w:szCs w:val="20"/>
                <w:lang w:val="en-US"/>
              </w:rPr>
            </w:pPr>
          </w:p>
        </w:tc>
        <w:tc>
          <w:tcPr>
            <w:tcW w:w="236" w:type="dxa"/>
            <w:gridSpan w:val="2"/>
            <w:vAlign w:val="center"/>
            <w:hideMark/>
          </w:tcPr>
          <w:p w14:paraId="1579CCF6" w14:textId="77777777" w:rsidR="00CA2074" w:rsidRPr="00CA2074" w:rsidRDefault="00CA2074" w:rsidP="00CA2074">
            <w:pPr>
              <w:spacing w:after="0" w:line="240" w:lineRule="auto"/>
              <w:rPr>
                <w:rFonts w:ascii="Times New Roman" w:eastAsia="Times New Roman" w:hAnsi="Times New Roman" w:cs="Times New Roman"/>
                <w:sz w:val="20"/>
                <w:szCs w:val="20"/>
                <w:lang w:val="en-US"/>
              </w:rPr>
            </w:pPr>
          </w:p>
        </w:tc>
        <w:tc>
          <w:tcPr>
            <w:tcW w:w="236" w:type="dxa"/>
            <w:gridSpan w:val="2"/>
            <w:vAlign w:val="center"/>
            <w:hideMark/>
          </w:tcPr>
          <w:p w14:paraId="7CB8A905" w14:textId="77777777" w:rsidR="00CA2074" w:rsidRPr="00CA2074" w:rsidRDefault="00CA2074" w:rsidP="00CA2074">
            <w:pPr>
              <w:spacing w:after="0" w:line="240" w:lineRule="auto"/>
              <w:rPr>
                <w:rFonts w:ascii="Times New Roman" w:eastAsia="Times New Roman" w:hAnsi="Times New Roman" w:cs="Times New Roman"/>
                <w:sz w:val="20"/>
                <w:szCs w:val="20"/>
                <w:lang w:val="en-US"/>
              </w:rPr>
            </w:pPr>
          </w:p>
        </w:tc>
        <w:tc>
          <w:tcPr>
            <w:tcW w:w="236" w:type="dxa"/>
            <w:gridSpan w:val="3"/>
            <w:vAlign w:val="center"/>
            <w:hideMark/>
          </w:tcPr>
          <w:p w14:paraId="533912BC" w14:textId="77777777" w:rsidR="00CA2074" w:rsidRPr="00CA2074" w:rsidRDefault="00CA2074" w:rsidP="00CA2074">
            <w:pPr>
              <w:spacing w:after="0" w:line="240" w:lineRule="auto"/>
              <w:rPr>
                <w:rFonts w:ascii="Times New Roman" w:eastAsia="Times New Roman" w:hAnsi="Times New Roman" w:cs="Times New Roman"/>
                <w:sz w:val="20"/>
                <w:szCs w:val="20"/>
                <w:lang w:val="en-US"/>
              </w:rPr>
            </w:pPr>
          </w:p>
        </w:tc>
        <w:tc>
          <w:tcPr>
            <w:tcW w:w="240" w:type="dxa"/>
            <w:gridSpan w:val="4"/>
            <w:vAlign w:val="center"/>
            <w:hideMark/>
          </w:tcPr>
          <w:p w14:paraId="4F90A21E" w14:textId="77777777" w:rsidR="00CA2074" w:rsidRPr="00CA2074" w:rsidRDefault="00CA2074" w:rsidP="00CA2074">
            <w:pPr>
              <w:spacing w:after="0" w:line="240" w:lineRule="auto"/>
              <w:rPr>
                <w:rFonts w:ascii="Times New Roman" w:eastAsia="Times New Roman" w:hAnsi="Times New Roman" w:cs="Times New Roman"/>
                <w:sz w:val="20"/>
                <w:szCs w:val="20"/>
                <w:lang w:val="en-US"/>
              </w:rPr>
            </w:pPr>
          </w:p>
        </w:tc>
        <w:tc>
          <w:tcPr>
            <w:tcW w:w="248" w:type="dxa"/>
            <w:gridSpan w:val="4"/>
            <w:vAlign w:val="center"/>
            <w:hideMark/>
          </w:tcPr>
          <w:p w14:paraId="7AA84158" w14:textId="77777777" w:rsidR="00CA2074" w:rsidRPr="00CA2074" w:rsidRDefault="00CA2074" w:rsidP="00CA2074">
            <w:pPr>
              <w:spacing w:after="0" w:line="240" w:lineRule="auto"/>
              <w:rPr>
                <w:rFonts w:ascii="Times New Roman" w:eastAsia="Times New Roman" w:hAnsi="Times New Roman" w:cs="Times New Roman"/>
                <w:sz w:val="20"/>
                <w:szCs w:val="20"/>
                <w:lang w:val="en-US"/>
              </w:rPr>
            </w:pPr>
          </w:p>
        </w:tc>
      </w:tr>
      <w:tr w:rsidR="005B3349" w:rsidRPr="00CA2074" w14:paraId="623A65DB" w14:textId="77777777" w:rsidTr="005B3349">
        <w:trPr>
          <w:gridAfter w:val="5"/>
          <w:wAfter w:w="906" w:type="dxa"/>
          <w:trHeight w:val="276"/>
        </w:trPr>
        <w:tc>
          <w:tcPr>
            <w:tcW w:w="2677" w:type="dxa"/>
            <w:tcBorders>
              <w:top w:val="nil"/>
              <w:left w:val="nil"/>
              <w:bottom w:val="nil"/>
              <w:right w:val="nil"/>
            </w:tcBorders>
            <w:shd w:val="clear" w:color="auto" w:fill="auto"/>
            <w:noWrap/>
            <w:vAlign w:val="bottom"/>
            <w:hideMark/>
          </w:tcPr>
          <w:p w14:paraId="5CFF9505" w14:textId="77777777" w:rsidR="00CA2074" w:rsidRPr="00CA2074" w:rsidRDefault="00CA2074" w:rsidP="00CA2074">
            <w:pPr>
              <w:spacing w:after="0" w:line="240" w:lineRule="auto"/>
              <w:rPr>
                <w:rFonts w:ascii="Arial" w:eastAsia="Times New Roman" w:hAnsi="Arial" w:cs="Arial"/>
                <w:color w:val="0070C0"/>
                <w:sz w:val="20"/>
                <w:szCs w:val="20"/>
                <w:lang w:val="en-US"/>
              </w:rPr>
            </w:pPr>
          </w:p>
        </w:tc>
        <w:tc>
          <w:tcPr>
            <w:tcW w:w="1296" w:type="dxa"/>
            <w:tcBorders>
              <w:top w:val="nil"/>
              <w:left w:val="nil"/>
              <w:bottom w:val="nil"/>
              <w:right w:val="nil"/>
            </w:tcBorders>
            <w:shd w:val="clear" w:color="auto" w:fill="auto"/>
            <w:noWrap/>
            <w:vAlign w:val="bottom"/>
            <w:hideMark/>
          </w:tcPr>
          <w:p w14:paraId="5404D8B3" w14:textId="77777777" w:rsidR="00CA2074" w:rsidRPr="00CA2074" w:rsidRDefault="00CA2074" w:rsidP="00CA2074">
            <w:pPr>
              <w:spacing w:after="0" w:line="240" w:lineRule="auto"/>
              <w:rPr>
                <w:rFonts w:ascii="Times New Roman" w:eastAsia="Times New Roman" w:hAnsi="Times New Roman" w:cs="Times New Roman"/>
                <w:sz w:val="20"/>
                <w:szCs w:val="20"/>
                <w:lang w:val="en-US"/>
              </w:rPr>
            </w:pPr>
          </w:p>
        </w:tc>
        <w:tc>
          <w:tcPr>
            <w:tcW w:w="1407" w:type="dxa"/>
            <w:gridSpan w:val="4"/>
            <w:tcBorders>
              <w:top w:val="nil"/>
              <w:left w:val="nil"/>
              <w:bottom w:val="nil"/>
              <w:right w:val="nil"/>
            </w:tcBorders>
            <w:shd w:val="clear" w:color="auto" w:fill="auto"/>
            <w:noWrap/>
            <w:vAlign w:val="bottom"/>
            <w:hideMark/>
          </w:tcPr>
          <w:p w14:paraId="58FA3CD8" w14:textId="77777777" w:rsidR="00CA2074" w:rsidRPr="00CA2074" w:rsidRDefault="00CA2074" w:rsidP="00CA2074">
            <w:pPr>
              <w:spacing w:after="0" w:line="240" w:lineRule="auto"/>
              <w:rPr>
                <w:rFonts w:ascii="Times New Roman" w:eastAsia="Times New Roman" w:hAnsi="Times New Roman" w:cs="Times New Roman"/>
                <w:sz w:val="20"/>
                <w:szCs w:val="20"/>
                <w:lang w:val="en-US"/>
              </w:rPr>
            </w:pPr>
          </w:p>
        </w:tc>
        <w:tc>
          <w:tcPr>
            <w:tcW w:w="1170" w:type="dxa"/>
            <w:gridSpan w:val="4"/>
            <w:tcBorders>
              <w:top w:val="nil"/>
              <w:left w:val="nil"/>
              <w:bottom w:val="nil"/>
              <w:right w:val="nil"/>
            </w:tcBorders>
            <w:shd w:val="clear" w:color="auto" w:fill="auto"/>
            <w:noWrap/>
            <w:vAlign w:val="bottom"/>
            <w:hideMark/>
          </w:tcPr>
          <w:p w14:paraId="12FD00F0" w14:textId="77777777" w:rsidR="00CA2074" w:rsidRPr="00CA2074" w:rsidRDefault="00CA2074" w:rsidP="00CA2074">
            <w:pPr>
              <w:spacing w:after="0" w:line="240" w:lineRule="auto"/>
              <w:rPr>
                <w:rFonts w:ascii="Times New Roman" w:eastAsia="Times New Roman" w:hAnsi="Times New Roman" w:cs="Times New Roman"/>
                <w:sz w:val="20"/>
                <w:szCs w:val="20"/>
                <w:lang w:val="en-US"/>
              </w:rPr>
            </w:pPr>
          </w:p>
        </w:tc>
        <w:tc>
          <w:tcPr>
            <w:tcW w:w="236" w:type="dxa"/>
            <w:gridSpan w:val="2"/>
            <w:vAlign w:val="center"/>
            <w:hideMark/>
          </w:tcPr>
          <w:p w14:paraId="0F19C232" w14:textId="77777777" w:rsidR="00CA2074" w:rsidRPr="00CA2074" w:rsidRDefault="00CA2074" w:rsidP="00CA2074">
            <w:pPr>
              <w:spacing w:after="0" w:line="240" w:lineRule="auto"/>
              <w:rPr>
                <w:rFonts w:ascii="Times New Roman" w:eastAsia="Times New Roman" w:hAnsi="Times New Roman" w:cs="Times New Roman"/>
                <w:sz w:val="20"/>
                <w:szCs w:val="20"/>
                <w:lang w:val="en-US"/>
              </w:rPr>
            </w:pPr>
          </w:p>
        </w:tc>
        <w:tc>
          <w:tcPr>
            <w:tcW w:w="236" w:type="dxa"/>
            <w:gridSpan w:val="2"/>
            <w:vAlign w:val="center"/>
            <w:hideMark/>
          </w:tcPr>
          <w:p w14:paraId="6A3BA4D2" w14:textId="77777777" w:rsidR="00CA2074" w:rsidRPr="00CA2074" w:rsidRDefault="00CA2074" w:rsidP="00CA2074">
            <w:pPr>
              <w:spacing w:after="0" w:line="240" w:lineRule="auto"/>
              <w:rPr>
                <w:rFonts w:ascii="Times New Roman" w:eastAsia="Times New Roman" w:hAnsi="Times New Roman" w:cs="Times New Roman"/>
                <w:sz w:val="20"/>
                <w:szCs w:val="20"/>
                <w:lang w:val="en-US"/>
              </w:rPr>
            </w:pPr>
          </w:p>
        </w:tc>
        <w:tc>
          <w:tcPr>
            <w:tcW w:w="236" w:type="dxa"/>
            <w:gridSpan w:val="2"/>
            <w:vAlign w:val="center"/>
            <w:hideMark/>
          </w:tcPr>
          <w:p w14:paraId="0D2EF006" w14:textId="77777777" w:rsidR="00CA2074" w:rsidRPr="00CA2074" w:rsidRDefault="00CA2074" w:rsidP="00CA2074">
            <w:pPr>
              <w:spacing w:after="0" w:line="240" w:lineRule="auto"/>
              <w:rPr>
                <w:rFonts w:ascii="Times New Roman" w:eastAsia="Times New Roman" w:hAnsi="Times New Roman" w:cs="Times New Roman"/>
                <w:sz w:val="20"/>
                <w:szCs w:val="20"/>
                <w:lang w:val="en-US"/>
              </w:rPr>
            </w:pPr>
          </w:p>
        </w:tc>
        <w:tc>
          <w:tcPr>
            <w:tcW w:w="236" w:type="dxa"/>
            <w:gridSpan w:val="2"/>
            <w:vAlign w:val="center"/>
            <w:hideMark/>
          </w:tcPr>
          <w:p w14:paraId="5CBAC096" w14:textId="77777777" w:rsidR="00CA2074" w:rsidRPr="00CA2074" w:rsidRDefault="00CA2074" w:rsidP="00CA2074">
            <w:pPr>
              <w:spacing w:after="0" w:line="240" w:lineRule="auto"/>
              <w:rPr>
                <w:rFonts w:ascii="Times New Roman" w:eastAsia="Times New Roman" w:hAnsi="Times New Roman" w:cs="Times New Roman"/>
                <w:sz w:val="20"/>
                <w:szCs w:val="20"/>
                <w:lang w:val="en-US"/>
              </w:rPr>
            </w:pPr>
          </w:p>
        </w:tc>
        <w:tc>
          <w:tcPr>
            <w:tcW w:w="236" w:type="dxa"/>
            <w:gridSpan w:val="2"/>
            <w:vAlign w:val="center"/>
            <w:hideMark/>
          </w:tcPr>
          <w:p w14:paraId="037B335B" w14:textId="77777777" w:rsidR="00CA2074" w:rsidRPr="00CA2074" w:rsidRDefault="00CA2074" w:rsidP="00CA2074">
            <w:pPr>
              <w:spacing w:after="0" w:line="240" w:lineRule="auto"/>
              <w:rPr>
                <w:rFonts w:ascii="Times New Roman" w:eastAsia="Times New Roman" w:hAnsi="Times New Roman" w:cs="Times New Roman"/>
                <w:sz w:val="20"/>
                <w:szCs w:val="20"/>
                <w:lang w:val="en-US"/>
              </w:rPr>
            </w:pPr>
          </w:p>
        </w:tc>
        <w:tc>
          <w:tcPr>
            <w:tcW w:w="236" w:type="dxa"/>
            <w:gridSpan w:val="3"/>
            <w:vAlign w:val="center"/>
            <w:hideMark/>
          </w:tcPr>
          <w:p w14:paraId="286DDD03" w14:textId="77777777" w:rsidR="00CA2074" w:rsidRPr="00CA2074" w:rsidRDefault="00CA2074" w:rsidP="00CA2074">
            <w:pPr>
              <w:spacing w:after="0" w:line="240" w:lineRule="auto"/>
              <w:rPr>
                <w:rFonts w:ascii="Times New Roman" w:eastAsia="Times New Roman" w:hAnsi="Times New Roman" w:cs="Times New Roman"/>
                <w:sz w:val="20"/>
                <w:szCs w:val="20"/>
                <w:lang w:val="en-US"/>
              </w:rPr>
            </w:pPr>
          </w:p>
        </w:tc>
        <w:tc>
          <w:tcPr>
            <w:tcW w:w="240" w:type="dxa"/>
            <w:gridSpan w:val="3"/>
            <w:vAlign w:val="center"/>
            <w:hideMark/>
          </w:tcPr>
          <w:p w14:paraId="19C48359" w14:textId="77777777" w:rsidR="00CA2074" w:rsidRPr="00CA2074" w:rsidRDefault="00CA2074" w:rsidP="00CA2074">
            <w:pPr>
              <w:spacing w:after="0" w:line="240" w:lineRule="auto"/>
              <w:rPr>
                <w:rFonts w:ascii="Times New Roman" w:eastAsia="Times New Roman" w:hAnsi="Times New Roman" w:cs="Times New Roman"/>
                <w:sz w:val="20"/>
                <w:szCs w:val="20"/>
                <w:lang w:val="en-US"/>
              </w:rPr>
            </w:pPr>
          </w:p>
        </w:tc>
        <w:tc>
          <w:tcPr>
            <w:tcW w:w="248" w:type="dxa"/>
            <w:gridSpan w:val="4"/>
            <w:vAlign w:val="center"/>
            <w:hideMark/>
          </w:tcPr>
          <w:p w14:paraId="22EFBD35" w14:textId="77777777" w:rsidR="00CA2074" w:rsidRPr="00CA2074" w:rsidRDefault="00CA2074" w:rsidP="00CA2074">
            <w:pPr>
              <w:spacing w:after="0" w:line="240" w:lineRule="auto"/>
              <w:rPr>
                <w:rFonts w:ascii="Times New Roman" w:eastAsia="Times New Roman" w:hAnsi="Times New Roman" w:cs="Times New Roman"/>
                <w:sz w:val="20"/>
                <w:szCs w:val="20"/>
                <w:lang w:val="en-US"/>
              </w:rPr>
            </w:pPr>
          </w:p>
        </w:tc>
      </w:tr>
    </w:tbl>
    <w:p w14:paraId="1C17B5B0" w14:textId="54A1D3BD" w:rsidR="002A58D4" w:rsidRDefault="002A58D4" w:rsidP="000D5809">
      <w:pPr>
        <w:ind w:left="720"/>
        <w:rPr>
          <w:rFonts w:ascii="Arial" w:hAnsi="Arial" w:cs="Arial"/>
          <w:sz w:val="24"/>
          <w:szCs w:val="24"/>
          <w:lang w:val="en-US"/>
        </w:rPr>
      </w:pPr>
    </w:p>
    <w:p w14:paraId="5F44D958" w14:textId="3B449ADC" w:rsidR="002A58D4" w:rsidRPr="00BA6E5D" w:rsidRDefault="00855B20" w:rsidP="000D5809">
      <w:pPr>
        <w:ind w:left="720"/>
        <w:rPr>
          <w:rFonts w:ascii="Arial" w:hAnsi="Arial" w:cs="Arial"/>
          <w:color w:val="0070C0"/>
          <w:sz w:val="24"/>
          <w:szCs w:val="24"/>
        </w:rPr>
      </w:pPr>
      <w:r>
        <w:rPr>
          <w:rFonts w:ascii="Arial" w:hAnsi="Arial" w:cs="Arial"/>
          <w:color w:val="0070C0"/>
          <w:sz w:val="24"/>
          <w:szCs w:val="24"/>
          <w:lang w:val="en-US"/>
        </w:rPr>
        <w:t xml:space="preserve">After corrections are made, </w:t>
      </w:r>
      <w:r w:rsidR="006941D8">
        <w:rPr>
          <w:rFonts w:ascii="Arial" w:hAnsi="Arial" w:cs="Arial"/>
          <w:color w:val="0070C0"/>
          <w:sz w:val="24"/>
          <w:szCs w:val="24"/>
          <w:lang w:val="en-US"/>
        </w:rPr>
        <w:t>all differences will be less than 1%</w:t>
      </w:r>
      <w:r w:rsidR="00DE7B53">
        <w:rPr>
          <w:rFonts w:ascii="Arial" w:hAnsi="Arial" w:cs="Arial"/>
          <w:color w:val="0070C0"/>
          <w:sz w:val="24"/>
          <w:szCs w:val="24"/>
          <w:lang w:val="en-US"/>
        </w:rPr>
        <w:t>.</w:t>
      </w:r>
    </w:p>
    <w:p w14:paraId="189A4A91" w14:textId="77777777" w:rsidR="00A350EF" w:rsidRPr="00BA6E5D" w:rsidRDefault="00A350EF" w:rsidP="00A350EF">
      <w:pPr>
        <w:pStyle w:val="ListParagraph"/>
        <w:spacing w:after="160"/>
        <w:rPr>
          <w:rFonts w:ascii="Arial" w:hAnsi="Arial" w:cs="Arial"/>
          <w:sz w:val="24"/>
          <w:szCs w:val="24"/>
        </w:rPr>
      </w:pPr>
    </w:p>
    <w:p w14:paraId="722B553E" w14:textId="21153C91" w:rsidR="00A350EF" w:rsidRPr="00233B1C" w:rsidRDefault="00A350EF" w:rsidP="008F39A7">
      <w:pPr>
        <w:pStyle w:val="ListParagraph"/>
        <w:numPr>
          <w:ilvl w:val="0"/>
          <w:numId w:val="19"/>
        </w:numPr>
        <w:spacing w:after="160"/>
        <w:ind w:left="720"/>
        <w:rPr>
          <w:rFonts w:ascii="Arial" w:hAnsi="Arial" w:cs="Arial"/>
          <w:sz w:val="24"/>
          <w:szCs w:val="24"/>
        </w:rPr>
      </w:pPr>
      <w:r>
        <w:rPr>
          <w:rFonts w:ascii="Arial" w:hAnsi="Arial" w:cs="Arial"/>
          <w:sz w:val="24"/>
          <w:szCs w:val="24"/>
        </w:rPr>
        <w:t xml:space="preserve">The Application states: </w:t>
      </w:r>
      <w:r w:rsidRPr="00233B1C">
        <w:rPr>
          <w:rFonts w:ascii="Arial" w:hAnsi="Arial" w:cs="Arial"/>
          <w:sz w:val="24"/>
          <w:szCs w:val="24"/>
        </w:rPr>
        <w:t xml:space="preserve">“With the previous methodology, HHI was using its revenues and dividing them with the applicable RPP/TOU rates to obtain the number of </w:t>
      </w:r>
      <w:r w:rsidR="00BA6E5D">
        <w:rPr>
          <w:rFonts w:ascii="Arial" w:hAnsi="Arial" w:cs="Arial"/>
          <w:sz w:val="24"/>
          <w:szCs w:val="24"/>
        </w:rPr>
        <w:t>kWh</w:t>
      </w:r>
      <w:r w:rsidRPr="00233B1C">
        <w:rPr>
          <w:rFonts w:ascii="Arial" w:hAnsi="Arial" w:cs="Arial"/>
          <w:sz w:val="24"/>
          <w:szCs w:val="24"/>
        </w:rPr>
        <w:t>.</w:t>
      </w:r>
      <w:r w:rsidR="00F036A7">
        <w:rPr>
          <w:rFonts w:ascii="Arial" w:hAnsi="Arial" w:cs="Arial"/>
          <w:sz w:val="24"/>
          <w:szCs w:val="24"/>
        </w:rPr>
        <w:t>”</w:t>
      </w:r>
      <w:r w:rsidRPr="00233B1C">
        <w:rPr>
          <w:rFonts w:ascii="Arial" w:hAnsi="Arial" w:cs="Arial"/>
          <w:sz w:val="24"/>
          <w:szCs w:val="24"/>
        </w:rPr>
        <w:t xml:space="preserve"> Please explain what is used now to obtain the number of </w:t>
      </w:r>
      <w:r w:rsidR="00BA6E5D">
        <w:rPr>
          <w:rFonts w:ascii="Arial" w:hAnsi="Arial" w:cs="Arial"/>
          <w:sz w:val="24"/>
          <w:szCs w:val="24"/>
        </w:rPr>
        <w:t>kWh</w:t>
      </w:r>
      <w:r w:rsidRPr="00233B1C">
        <w:rPr>
          <w:rFonts w:ascii="Arial" w:hAnsi="Arial" w:cs="Arial"/>
          <w:sz w:val="24"/>
          <w:szCs w:val="24"/>
        </w:rPr>
        <w:t>.</w:t>
      </w:r>
    </w:p>
    <w:p w14:paraId="0372310D" w14:textId="5117B191" w:rsidR="00A350EF" w:rsidRDefault="00A350EF" w:rsidP="00A350EF">
      <w:pPr>
        <w:pStyle w:val="ListParagraph"/>
        <w:numPr>
          <w:ilvl w:val="0"/>
          <w:numId w:val="11"/>
        </w:numPr>
        <w:spacing w:after="160"/>
        <w:ind w:left="1530" w:hanging="810"/>
        <w:rPr>
          <w:rFonts w:ascii="Arial" w:hAnsi="Arial" w:cs="Arial"/>
          <w:sz w:val="24"/>
          <w:szCs w:val="24"/>
        </w:rPr>
      </w:pPr>
      <w:r w:rsidRPr="00E54054">
        <w:rPr>
          <w:rFonts w:ascii="Arial" w:hAnsi="Arial" w:cs="Arial"/>
          <w:sz w:val="24"/>
          <w:szCs w:val="24"/>
        </w:rPr>
        <w:t xml:space="preserve">Please explain </w:t>
      </w:r>
      <w:r>
        <w:rPr>
          <w:rFonts w:ascii="Arial" w:hAnsi="Arial" w:cs="Arial"/>
          <w:sz w:val="24"/>
          <w:szCs w:val="24"/>
        </w:rPr>
        <w:t>whether</w:t>
      </w:r>
      <w:r w:rsidRPr="00E54054">
        <w:rPr>
          <w:rFonts w:ascii="Arial" w:hAnsi="Arial" w:cs="Arial"/>
          <w:sz w:val="24"/>
          <w:szCs w:val="24"/>
        </w:rPr>
        <w:t xml:space="preserve"> </w:t>
      </w:r>
      <w:r w:rsidRPr="00E54054">
        <w:rPr>
          <w:rFonts w:ascii="Arial" w:eastAsia="Times New Roman" w:hAnsi="Arial" w:cs="Arial"/>
          <w:sz w:val="24"/>
          <w:szCs w:val="24"/>
        </w:rPr>
        <w:t>Hydro Hawkesbury</w:t>
      </w:r>
      <w:r>
        <w:rPr>
          <w:rFonts w:ascii="Arial" w:eastAsia="Times New Roman" w:hAnsi="Arial" w:cs="Arial"/>
          <w:sz w:val="24"/>
          <w:szCs w:val="24"/>
        </w:rPr>
        <w:t>’s</w:t>
      </w:r>
      <w:r w:rsidRPr="00E54054">
        <w:rPr>
          <w:rFonts w:ascii="Arial" w:eastAsia="Times New Roman" w:hAnsi="Arial" w:cs="Arial"/>
          <w:sz w:val="24"/>
          <w:szCs w:val="24"/>
        </w:rPr>
        <w:t xml:space="preserve"> </w:t>
      </w:r>
      <w:r w:rsidRPr="00E54054">
        <w:rPr>
          <w:rFonts w:ascii="Arial" w:hAnsi="Arial" w:cs="Arial"/>
          <w:sz w:val="24"/>
          <w:szCs w:val="24"/>
        </w:rPr>
        <w:t>systems can determine calendarized consumption.</w:t>
      </w:r>
    </w:p>
    <w:p w14:paraId="152491BE" w14:textId="51ED85C5" w:rsidR="006F0A05" w:rsidRDefault="007A12C3" w:rsidP="00F57E44">
      <w:pPr>
        <w:ind w:left="1560"/>
        <w:rPr>
          <w:rFonts w:ascii="Arial" w:hAnsi="Arial" w:cs="Arial"/>
          <w:sz w:val="24"/>
          <w:szCs w:val="24"/>
        </w:rPr>
      </w:pPr>
      <w:r w:rsidRPr="007A12C3">
        <w:rPr>
          <w:rFonts w:ascii="Arial" w:hAnsi="Arial" w:cs="Arial"/>
          <w:b/>
          <w:color w:val="0070C0"/>
          <w:sz w:val="24"/>
          <w:szCs w:val="24"/>
        </w:rPr>
        <w:t>HHI Response:</w:t>
      </w:r>
      <w:r w:rsidR="00F57E44">
        <w:rPr>
          <w:rFonts w:ascii="Arial" w:hAnsi="Arial" w:cs="Arial"/>
          <w:b/>
          <w:color w:val="0070C0"/>
          <w:sz w:val="24"/>
          <w:szCs w:val="24"/>
        </w:rPr>
        <w:t xml:space="preserve"> </w:t>
      </w:r>
      <w:r w:rsidR="00F57E44">
        <w:rPr>
          <w:rFonts w:ascii="Arial" w:hAnsi="Arial" w:cs="Arial"/>
          <w:bCs/>
          <w:color w:val="0070C0"/>
          <w:sz w:val="24"/>
          <w:szCs w:val="24"/>
        </w:rPr>
        <w:t xml:space="preserve">HHI is billing all </w:t>
      </w:r>
      <w:r w:rsidR="00651FC7">
        <w:rPr>
          <w:rFonts w:ascii="Arial" w:hAnsi="Arial" w:cs="Arial"/>
          <w:bCs/>
          <w:color w:val="0070C0"/>
          <w:sz w:val="24"/>
          <w:szCs w:val="24"/>
        </w:rPr>
        <w:t xml:space="preserve">of </w:t>
      </w:r>
      <w:r w:rsidR="00F57E44">
        <w:rPr>
          <w:rFonts w:ascii="Arial" w:hAnsi="Arial" w:cs="Arial"/>
          <w:bCs/>
          <w:color w:val="0070C0"/>
          <w:sz w:val="24"/>
          <w:szCs w:val="24"/>
        </w:rPr>
        <w:t>its clients</w:t>
      </w:r>
      <w:r w:rsidR="00651FC7">
        <w:rPr>
          <w:rFonts w:ascii="Arial" w:hAnsi="Arial" w:cs="Arial"/>
          <w:bCs/>
          <w:color w:val="0070C0"/>
          <w:sz w:val="24"/>
          <w:szCs w:val="24"/>
        </w:rPr>
        <w:t xml:space="preserve"> from the 1</w:t>
      </w:r>
      <w:r w:rsidR="00651FC7" w:rsidRPr="00651FC7">
        <w:rPr>
          <w:rFonts w:ascii="Arial" w:hAnsi="Arial" w:cs="Arial"/>
          <w:bCs/>
          <w:color w:val="0070C0"/>
          <w:sz w:val="24"/>
          <w:szCs w:val="24"/>
          <w:vertAlign w:val="superscript"/>
        </w:rPr>
        <w:t>st</w:t>
      </w:r>
      <w:r w:rsidR="00651FC7">
        <w:rPr>
          <w:rFonts w:ascii="Arial" w:hAnsi="Arial" w:cs="Arial"/>
          <w:bCs/>
          <w:color w:val="0070C0"/>
          <w:sz w:val="24"/>
          <w:szCs w:val="24"/>
        </w:rPr>
        <w:t xml:space="preserve"> </w:t>
      </w:r>
      <w:r w:rsidR="0015694F">
        <w:rPr>
          <w:rFonts w:ascii="Arial" w:hAnsi="Arial" w:cs="Arial"/>
          <w:bCs/>
          <w:color w:val="0070C0"/>
          <w:sz w:val="24"/>
          <w:szCs w:val="24"/>
        </w:rPr>
        <w:t xml:space="preserve">day </w:t>
      </w:r>
      <w:r w:rsidR="00651FC7">
        <w:rPr>
          <w:rFonts w:ascii="Arial" w:hAnsi="Arial" w:cs="Arial"/>
          <w:bCs/>
          <w:color w:val="0070C0"/>
          <w:sz w:val="24"/>
          <w:szCs w:val="24"/>
        </w:rPr>
        <w:t>to the last</w:t>
      </w:r>
      <w:r w:rsidR="00EF70B8">
        <w:rPr>
          <w:rFonts w:ascii="Arial" w:hAnsi="Arial" w:cs="Arial"/>
          <w:bCs/>
          <w:color w:val="0070C0"/>
          <w:sz w:val="24"/>
          <w:szCs w:val="24"/>
        </w:rPr>
        <w:t xml:space="preserve"> day of the month</w:t>
      </w:r>
      <w:r w:rsidR="00651FC7">
        <w:rPr>
          <w:rFonts w:ascii="Arial" w:hAnsi="Arial" w:cs="Arial"/>
          <w:bCs/>
          <w:color w:val="0070C0"/>
          <w:sz w:val="24"/>
          <w:szCs w:val="24"/>
        </w:rPr>
        <w:t>.</w:t>
      </w:r>
    </w:p>
    <w:p w14:paraId="4ED06736" w14:textId="77777777" w:rsidR="00A350EF" w:rsidRPr="00E54054" w:rsidRDefault="00A350EF" w:rsidP="00A350EF">
      <w:pPr>
        <w:pStyle w:val="ListParagraph"/>
        <w:ind w:hanging="360"/>
        <w:rPr>
          <w:rFonts w:ascii="Arial" w:hAnsi="Arial" w:cs="Arial"/>
          <w:sz w:val="24"/>
          <w:szCs w:val="24"/>
        </w:rPr>
      </w:pPr>
    </w:p>
    <w:p w14:paraId="33305D22" w14:textId="76344018" w:rsidR="00B733E1" w:rsidRDefault="00A350EF" w:rsidP="008F39A7">
      <w:pPr>
        <w:pStyle w:val="ListParagraph"/>
        <w:numPr>
          <w:ilvl w:val="0"/>
          <w:numId w:val="19"/>
        </w:numPr>
        <w:spacing w:after="160"/>
        <w:ind w:left="720"/>
        <w:rPr>
          <w:rFonts w:ascii="Arial" w:hAnsi="Arial" w:cs="Arial"/>
          <w:sz w:val="24"/>
          <w:szCs w:val="24"/>
        </w:rPr>
      </w:pPr>
      <w:r>
        <w:rPr>
          <w:rFonts w:ascii="Arial" w:hAnsi="Arial" w:cs="Arial"/>
          <w:sz w:val="24"/>
          <w:szCs w:val="24"/>
        </w:rPr>
        <w:t>The Application further states:</w:t>
      </w:r>
      <w:r w:rsidRPr="00E54054">
        <w:rPr>
          <w:rFonts w:ascii="Arial" w:hAnsi="Arial" w:cs="Arial"/>
          <w:sz w:val="24"/>
          <w:szCs w:val="24"/>
        </w:rPr>
        <w:t xml:space="preserve"> “Class A and embedded generators clients were not considered with the previous methodology. IESO did a review of HHI’s process and methodology a few years ago. They agreed with the way HHI was making its calculations</w:t>
      </w:r>
      <w:r w:rsidR="008A55B3">
        <w:rPr>
          <w:rFonts w:ascii="Arial" w:hAnsi="Arial" w:cs="Arial"/>
          <w:sz w:val="24"/>
          <w:szCs w:val="24"/>
        </w:rPr>
        <w:t>.</w:t>
      </w:r>
      <w:r w:rsidRPr="00E54054">
        <w:rPr>
          <w:rFonts w:ascii="Arial" w:hAnsi="Arial" w:cs="Arial"/>
          <w:sz w:val="24"/>
          <w:szCs w:val="24"/>
        </w:rPr>
        <w:t xml:space="preserve">” </w:t>
      </w:r>
    </w:p>
    <w:p w14:paraId="2C1451E5" w14:textId="31B3BBA7" w:rsidR="00A350EF" w:rsidRDefault="00A350EF" w:rsidP="00B733E1">
      <w:pPr>
        <w:pStyle w:val="ListParagraph"/>
        <w:numPr>
          <w:ilvl w:val="0"/>
          <w:numId w:val="20"/>
        </w:numPr>
        <w:spacing w:after="160"/>
        <w:rPr>
          <w:rFonts w:ascii="Arial" w:hAnsi="Arial" w:cs="Arial"/>
          <w:sz w:val="24"/>
          <w:szCs w:val="24"/>
        </w:rPr>
      </w:pPr>
      <w:r w:rsidRPr="00E54054">
        <w:rPr>
          <w:rFonts w:ascii="Arial" w:hAnsi="Arial" w:cs="Arial"/>
          <w:sz w:val="24"/>
          <w:szCs w:val="24"/>
        </w:rPr>
        <w:lastRenderedPageBreak/>
        <w:t xml:space="preserve">Please confirm if the statement above means that </w:t>
      </w:r>
      <w:r w:rsidRPr="002104AF">
        <w:rPr>
          <w:rFonts w:ascii="Arial" w:hAnsi="Arial" w:cs="Arial"/>
          <w:sz w:val="24"/>
          <w:szCs w:val="24"/>
        </w:rPr>
        <w:t xml:space="preserve">Hawkesbury Hydro </w:t>
      </w:r>
      <w:r w:rsidRPr="00E54054">
        <w:rPr>
          <w:rFonts w:ascii="Arial" w:hAnsi="Arial" w:cs="Arial"/>
          <w:sz w:val="24"/>
          <w:szCs w:val="24"/>
        </w:rPr>
        <w:t xml:space="preserve">did not </w:t>
      </w:r>
      <w:r w:rsidR="00F036A7">
        <w:rPr>
          <w:rFonts w:ascii="Arial" w:hAnsi="Arial" w:cs="Arial"/>
          <w:sz w:val="24"/>
          <w:szCs w:val="24"/>
        </w:rPr>
        <w:t xml:space="preserve">previously </w:t>
      </w:r>
      <w:r w:rsidRPr="00E54054">
        <w:rPr>
          <w:rFonts w:ascii="Arial" w:hAnsi="Arial" w:cs="Arial"/>
          <w:sz w:val="24"/>
          <w:szCs w:val="24"/>
        </w:rPr>
        <w:t xml:space="preserve">report Class A and embedded consumption to the IESO accurately. </w:t>
      </w:r>
    </w:p>
    <w:p w14:paraId="36F7EB09" w14:textId="78057C6B" w:rsidR="006F0A05" w:rsidRPr="00A40F01" w:rsidRDefault="007A12C3" w:rsidP="00D750DF">
      <w:pPr>
        <w:ind w:left="720" w:firstLine="720"/>
        <w:rPr>
          <w:rFonts w:ascii="Arial" w:hAnsi="Arial" w:cs="Arial"/>
          <w:sz w:val="24"/>
          <w:szCs w:val="24"/>
          <w:lang w:val="en-US"/>
        </w:rPr>
      </w:pPr>
      <w:r w:rsidRPr="00A40F01">
        <w:rPr>
          <w:rFonts w:ascii="Arial" w:hAnsi="Arial" w:cs="Arial"/>
          <w:b/>
          <w:color w:val="0070C0"/>
          <w:sz w:val="24"/>
          <w:szCs w:val="24"/>
          <w:lang w:val="en-US"/>
        </w:rPr>
        <w:t>HHI Response:</w:t>
      </w:r>
      <w:r w:rsidR="00D750DF" w:rsidRPr="00A40F01">
        <w:rPr>
          <w:rFonts w:ascii="Arial" w:hAnsi="Arial" w:cs="Arial"/>
          <w:b/>
          <w:color w:val="0070C0"/>
          <w:sz w:val="24"/>
          <w:szCs w:val="24"/>
          <w:lang w:val="en-US"/>
        </w:rPr>
        <w:t xml:space="preserve"> </w:t>
      </w:r>
      <w:r w:rsidR="00A40F01" w:rsidRPr="00A40F01">
        <w:rPr>
          <w:rFonts w:ascii="Arial" w:hAnsi="Arial" w:cs="Arial"/>
          <w:bCs/>
          <w:color w:val="0070C0"/>
          <w:sz w:val="24"/>
          <w:szCs w:val="24"/>
          <w:lang w:val="en-US"/>
        </w:rPr>
        <w:t>The consumptions were reported to IE</w:t>
      </w:r>
      <w:r w:rsidR="00A40F01">
        <w:rPr>
          <w:rFonts w:ascii="Arial" w:hAnsi="Arial" w:cs="Arial"/>
          <w:bCs/>
          <w:color w:val="0070C0"/>
          <w:sz w:val="24"/>
          <w:szCs w:val="24"/>
          <w:lang w:val="en-US"/>
        </w:rPr>
        <w:t xml:space="preserve">SO correctly. </w:t>
      </w:r>
      <w:r w:rsidR="00E5675A">
        <w:rPr>
          <w:rFonts w:ascii="Arial" w:hAnsi="Arial" w:cs="Arial"/>
          <w:bCs/>
          <w:color w:val="0070C0"/>
          <w:sz w:val="24"/>
          <w:szCs w:val="24"/>
          <w:lang w:val="en-US"/>
        </w:rPr>
        <w:t>They were not considered i</w:t>
      </w:r>
      <w:r w:rsidR="00E5675A" w:rsidRPr="007245BB">
        <w:rPr>
          <w:rFonts w:ascii="Arial" w:hAnsi="Arial" w:cs="Arial"/>
          <w:bCs/>
          <w:color w:val="0070C0"/>
          <w:sz w:val="24"/>
          <w:szCs w:val="24"/>
          <w:lang w:val="en-US"/>
        </w:rPr>
        <w:t xml:space="preserve">n the variances </w:t>
      </w:r>
      <w:r w:rsidR="009B4E78" w:rsidRPr="007245BB">
        <w:rPr>
          <w:rFonts w:ascii="Arial" w:hAnsi="Arial" w:cs="Arial"/>
          <w:bCs/>
          <w:color w:val="0070C0"/>
          <w:sz w:val="24"/>
          <w:szCs w:val="24"/>
          <w:lang w:val="en-US"/>
        </w:rPr>
        <w:t>because the revenue and CO</w:t>
      </w:r>
      <w:r w:rsidR="003875F7" w:rsidRPr="007245BB">
        <w:rPr>
          <w:rFonts w:ascii="Arial" w:hAnsi="Arial" w:cs="Arial"/>
          <w:bCs/>
          <w:color w:val="0070C0"/>
          <w:sz w:val="24"/>
          <w:szCs w:val="24"/>
          <w:lang w:val="en-US"/>
        </w:rPr>
        <w:t>P</w:t>
      </w:r>
      <w:r w:rsidR="009B4E78" w:rsidRPr="007245BB">
        <w:rPr>
          <w:rFonts w:ascii="Arial" w:hAnsi="Arial" w:cs="Arial"/>
          <w:bCs/>
          <w:color w:val="0070C0"/>
          <w:sz w:val="24"/>
          <w:szCs w:val="24"/>
          <w:lang w:val="en-US"/>
        </w:rPr>
        <w:t xml:space="preserve"> were the</w:t>
      </w:r>
      <w:r w:rsidR="009B4E78">
        <w:rPr>
          <w:rFonts w:ascii="Arial" w:hAnsi="Arial" w:cs="Arial"/>
          <w:bCs/>
          <w:color w:val="0070C0"/>
          <w:sz w:val="24"/>
          <w:szCs w:val="24"/>
          <w:lang w:val="en-US"/>
        </w:rPr>
        <w:t xml:space="preserve"> same</w:t>
      </w:r>
      <w:r w:rsidR="007245BB">
        <w:rPr>
          <w:rFonts w:ascii="Arial" w:hAnsi="Arial" w:cs="Arial"/>
          <w:bCs/>
          <w:color w:val="0070C0"/>
          <w:sz w:val="24"/>
          <w:szCs w:val="24"/>
          <w:lang w:val="en-US"/>
        </w:rPr>
        <w:t xml:space="preserve"> for those clients</w:t>
      </w:r>
      <w:r w:rsidR="009B4E78">
        <w:rPr>
          <w:rFonts w:ascii="Arial" w:hAnsi="Arial" w:cs="Arial"/>
          <w:bCs/>
          <w:color w:val="0070C0"/>
          <w:sz w:val="24"/>
          <w:szCs w:val="24"/>
          <w:lang w:val="en-US"/>
        </w:rPr>
        <w:t>. The same rates were used.</w:t>
      </w:r>
    </w:p>
    <w:p w14:paraId="5732BE92" w14:textId="77777777" w:rsidR="007A12C3" w:rsidRPr="00A40F01" w:rsidRDefault="007A12C3" w:rsidP="007A12C3">
      <w:pPr>
        <w:spacing w:after="160"/>
        <w:ind w:left="720"/>
        <w:rPr>
          <w:rFonts w:ascii="Arial" w:hAnsi="Arial" w:cs="Arial"/>
          <w:sz w:val="24"/>
          <w:szCs w:val="24"/>
          <w:lang w:val="en-US"/>
        </w:rPr>
      </w:pPr>
    </w:p>
    <w:p w14:paraId="01963328" w14:textId="507A100C" w:rsidR="00A350EF" w:rsidRDefault="00A350EF" w:rsidP="00B733E1">
      <w:pPr>
        <w:pStyle w:val="ListParagraph"/>
        <w:numPr>
          <w:ilvl w:val="0"/>
          <w:numId w:val="20"/>
        </w:numPr>
        <w:spacing w:after="160"/>
        <w:rPr>
          <w:rFonts w:ascii="Arial" w:hAnsi="Arial" w:cs="Arial"/>
          <w:sz w:val="24"/>
          <w:szCs w:val="24"/>
        </w:rPr>
      </w:pPr>
      <w:r w:rsidRPr="00B733E1">
        <w:rPr>
          <w:rFonts w:ascii="Arial" w:hAnsi="Arial" w:cs="Arial"/>
          <w:sz w:val="24"/>
          <w:szCs w:val="24"/>
        </w:rPr>
        <w:t>If the answer to question c) is yes, please explain what the impact of this issue was and confirm whether it has been resolved with the IESO.</w:t>
      </w:r>
    </w:p>
    <w:p w14:paraId="600076E8" w14:textId="5444981E" w:rsidR="006F0A05" w:rsidRPr="000C2331" w:rsidRDefault="007A12C3" w:rsidP="000C2331">
      <w:pPr>
        <w:ind w:left="720" w:firstLine="720"/>
        <w:rPr>
          <w:rFonts w:ascii="Arial" w:hAnsi="Arial" w:cs="Arial"/>
          <w:sz w:val="24"/>
          <w:szCs w:val="24"/>
          <w:lang w:val="fr-CA"/>
        </w:rPr>
      </w:pPr>
      <w:r w:rsidRPr="000C2331">
        <w:rPr>
          <w:rFonts w:ascii="Arial" w:hAnsi="Arial" w:cs="Arial"/>
          <w:b/>
          <w:color w:val="0070C0"/>
          <w:sz w:val="24"/>
          <w:szCs w:val="24"/>
          <w:lang w:val="fr-CA"/>
        </w:rPr>
        <w:t>HHI Response:</w:t>
      </w:r>
      <w:r w:rsidR="000C2331" w:rsidRPr="000C2331">
        <w:rPr>
          <w:rFonts w:ascii="Arial" w:hAnsi="Arial" w:cs="Arial"/>
          <w:b/>
          <w:color w:val="0070C0"/>
          <w:sz w:val="24"/>
          <w:szCs w:val="24"/>
          <w:lang w:val="fr-CA"/>
        </w:rPr>
        <w:t xml:space="preserve"> </w:t>
      </w:r>
      <w:r w:rsidR="00E369A5" w:rsidRPr="003642F6">
        <w:rPr>
          <w:rFonts w:ascii="Arial" w:hAnsi="Arial" w:cs="Arial"/>
          <w:bCs/>
          <w:color w:val="0070C0"/>
          <w:sz w:val="24"/>
          <w:szCs w:val="24"/>
          <w:lang w:val="fr-CA"/>
        </w:rPr>
        <w:t>N/A</w:t>
      </w:r>
      <w:r w:rsidR="003642F6" w:rsidRPr="003642F6">
        <w:rPr>
          <w:rFonts w:ascii="Arial" w:hAnsi="Arial" w:cs="Arial"/>
          <w:bCs/>
          <w:color w:val="0070C0"/>
          <w:sz w:val="24"/>
          <w:szCs w:val="24"/>
          <w:lang w:val="fr-CA"/>
        </w:rPr>
        <w:t>.</w:t>
      </w:r>
    </w:p>
    <w:p w14:paraId="75C684F5" w14:textId="77777777" w:rsidR="007A12C3" w:rsidRPr="000C2331" w:rsidRDefault="007A12C3" w:rsidP="007A12C3">
      <w:pPr>
        <w:spacing w:after="160"/>
        <w:ind w:left="720"/>
        <w:rPr>
          <w:rFonts w:ascii="Arial" w:hAnsi="Arial" w:cs="Arial"/>
          <w:sz w:val="24"/>
          <w:szCs w:val="24"/>
          <w:lang w:val="fr-CA"/>
        </w:rPr>
      </w:pPr>
    </w:p>
    <w:p w14:paraId="3CB680C8" w14:textId="11A7F15A" w:rsidR="00B733E1" w:rsidRDefault="00B733E1" w:rsidP="00B733E1">
      <w:pPr>
        <w:pStyle w:val="ListParagraph"/>
        <w:numPr>
          <w:ilvl w:val="0"/>
          <w:numId w:val="20"/>
        </w:numPr>
        <w:spacing w:after="160"/>
        <w:rPr>
          <w:rFonts w:ascii="Arial" w:hAnsi="Arial" w:cs="Arial"/>
          <w:sz w:val="24"/>
          <w:szCs w:val="24"/>
        </w:rPr>
      </w:pPr>
      <w:r w:rsidRPr="00B733E1">
        <w:rPr>
          <w:rFonts w:ascii="Arial" w:hAnsi="Arial" w:cs="Arial"/>
          <w:sz w:val="24"/>
          <w:szCs w:val="24"/>
        </w:rPr>
        <w:t>If the answer to question c) is no, please explain what the issue is with the previous methodology.</w:t>
      </w:r>
    </w:p>
    <w:p w14:paraId="72E2B8D3" w14:textId="601BA92A" w:rsidR="007A12C3" w:rsidRPr="00444BE7" w:rsidRDefault="007A12C3" w:rsidP="000751F2">
      <w:pPr>
        <w:ind w:left="720" w:firstLine="720"/>
        <w:rPr>
          <w:rFonts w:ascii="Arial" w:hAnsi="Arial" w:cs="Arial"/>
          <w:sz w:val="24"/>
          <w:szCs w:val="24"/>
          <w:lang w:val="en-US"/>
        </w:rPr>
      </w:pPr>
      <w:r w:rsidRPr="00444BE7">
        <w:rPr>
          <w:rFonts w:ascii="Arial" w:hAnsi="Arial" w:cs="Arial"/>
          <w:b/>
          <w:color w:val="0070C0"/>
          <w:sz w:val="24"/>
          <w:szCs w:val="24"/>
          <w:lang w:val="en-US"/>
        </w:rPr>
        <w:t>HHI Response:</w:t>
      </w:r>
      <w:r w:rsidR="000C2331" w:rsidRPr="00444BE7">
        <w:rPr>
          <w:rFonts w:ascii="Arial" w:hAnsi="Arial" w:cs="Arial"/>
          <w:b/>
          <w:color w:val="0070C0"/>
          <w:sz w:val="24"/>
          <w:szCs w:val="24"/>
          <w:lang w:val="en-US"/>
        </w:rPr>
        <w:t xml:space="preserve"> </w:t>
      </w:r>
      <w:r w:rsidR="009F0A63" w:rsidRPr="00444BE7">
        <w:rPr>
          <w:rFonts w:ascii="Arial" w:hAnsi="Arial" w:cs="Arial"/>
          <w:bCs/>
          <w:color w:val="0070C0"/>
          <w:sz w:val="24"/>
          <w:szCs w:val="24"/>
          <w:lang w:val="en-US"/>
        </w:rPr>
        <w:t>When calculating</w:t>
      </w:r>
      <w:r w:rsidR="000751F2" w:rsidRPr="00444BE7">
        <w:rPr>
          <w:rFonts w:ascii="Arial" w:hAnsi="Arial" w:cs="Arial"/>
          <w:bCs/>
          <w:color w:val="0070C0"/>
          <w:sz w:val="24"/>
          <w:szCs w:val="24"/>
          <w:lang w:val="en-US"/>
        </w:rPr>
        <w:t xml:space="preserve"> </w:t>
      </w:r>
      <w:r w:rsidR="00444BE7" w:rsidRPr="00444BE7">
        <w:rPr>
          <w:rFonts w:ascii="Arial" w:hAnsi="Arial" w:cs="Arial"/>
          <w:bCs/>
          <w:color w:val="0070C0"/>
          <w:sz w:val="24"/>
          <w:szCs w:val="24"/>
          <w:lang w:val="en-US"/>
        </w:rPr>
        <w:t>t</w:t>
      </w:r>
      <w:r w:rsidR="00444BE7">
        <w:rPr>
          <w:rFonts w:ascii="Arial" w:hAnsi="Arial" w:cs="Arial"/>
          <w:bCs/>
          <w:color w:val="0070C0"/>
          <w:sz w:val="24"/>
          <w:szCs w:val="24"/>
          <w:lang w:val="en-US"/>
        </w:rPr>
        <w:t xml:space="preserve">he </w:t>
      </w:r>
      <w:r w:rsidR="00BA6E5D">
        <w:rPr>
          <w:rFonts w:ascii="Arial" w:hAnsi="Arial" w:cs="Arial"/>
          <w:bCs/>
          <w:color w:val="0070C0"/>
          <w:sz w:val="24"/>
          <w:szCs w:val="24"/>
          <w:lang w:val="en-US"/>
        </w:rPr>
        <w:t>kWh</w:t>
      </w:r>
      <w:r w:rsidR="00543D5E">
        <w:rPr>
          <w:rFonts w:ascii="Arial" w:hAnsi="Arial" w:cs="Arial"/>
          <w:bCs/>
          <w:color w:val="0070C0"/>
          <w:sz w:val="24"/>
          <w:szCs w:val="24"/>
          <w:lang w:val="en-US"/>
        </w:rPr>
        <w:t xml:space="preserve">, </w:t>
      </w:r>
      <w:r w:rsidR="00673E14">
        <w:rPr>
          <w:rFonts w:ascii="Arial" w:hAnsi="Arial" w:cs="Arial"/>
          <w:bCs/>
          <w:color w:val="0070C0"/>
          <w:sz w:val="24"/>
          <w:szCs w:val="24"/>
          <w:lang w:val="en-US"/>
        </w:rPr>
        <w:t xml:space="preserve">HHI was considering only Class B non-RPP </w:t>
      </w:r>
      <w:r w:rsidR="00BA6E5D">
        <w:rPr>
          <w:rFonts w:ascii="Arial" w:hAnsi="Arial" w:cs="Arial"/>
          <w:bCs/>
          <w:color w:val="0070C0"/>
          <w:sz w:val="24"/>
          <w:szCs w:val="24"/>
          <w:lang w:val="en-US"/>
        </w:rPr>
        <w:t>kWh</w:t>
      </w:r>
      <w:r w:rsidR="00673E14">
        <w:rPr>
          <w:rFonts w:ascii="Arial" w:hAnsi="Arial" w:cs="Arial"/>
          <w:bCs/>
          <w:color w:val="0070C0"/>
          <w:sz w:val="24"/>
          <w:szCs w:val="24"/>
          <w:lang w:val="en-US"/>
        </w:rPr>
        <w:t xml:space="preserve">. </w:t>
      </w:r>
      <w:r w:rsidR="009C7842">
        <w:rPr>
          <w:rFonts w:ascii="Arial" w:hAnsi="Arial" w:cs="Arial"/>
          <w:bCs/>
          <w:color w:val="0070C0"/>
          <w:sz w:val="24"/>
          <w:szCs w:val="24"/>
          <w:lang w:val="en-US"/>
        </w:rPr>
        <w:t xml:space="preserve">The difference was considered RPP. The total </w:t>
      </w:r>
      <w:r w:rsidR="00BA6E5D">
        <w:rPr>
          <w:rFonts w:ascii="Arial" w:hAnsi="Arial" w:cs="Arial"/>
          <w:bCs/>
          <w:color w:val="0070C0"/>
          <w:sz w:val="24"/>
          <w:szCs w:val="24"/>
          <w:lang w:val="en-US"/>
        </w:rPr>
        <w:t>kWh</w:t>
      </w:r>
      <w:r w:rsidR="001925D9">
        <w:rPr>
          <w:rFonts w:ascii="Arial" w:hAnsi="Arial" w:cs="Arial"/>
          <w:bCs/>
          <w:color w:val="0070C0"/>
          <w:sz w:val="24"/>
          <w:szCs w:val="24"/>
          <w:lang w:val="en-US"/>
        </w:rPr>
        <w:t xml:space="preserve"> used was correct.</w:t>
      </w:r>
    </w:p>
    <w:p w14:paraId="7C6CA0C5" w14:textId="77777777" w:rsidR="00B733E1" w:rsidRPr="00444BE7" w:rsidRDefault="00B733E1" w:rsidP="00B733E1">
      <w:pPr>
        <w:pStyle w:val="ListParagraph"/>
        <w:spacing w:after="160"/>
        <w:ind w:left="1440"/>
        <w:rPr>
          <w:rFonts w:ascii="Arial" w:hAnsi="Arial" w:cs="Arial"/>
          <w:sz w:val="24"/>
          <w:szCs w:val="24"/>
          <w:lang w:val="en-US"/>
        </w:rPr>
      </w:pPr>
    </w:p>
    <w:p w14:paraId="6F30E61A" w14:textId="248655D4" w:rsidR="007A12C3" w:rsidRPr="007A12C3" w:rsidRDefault="00A350EF" w:rsidP="007A12C3">
      <w:pPr>
        <w:pStyle w:val="ListParagraph"/>
        <w:numPr>
          <w:ilvl w:val="0"/>
          <w:numId w:val="19"/>
        </w:numPr>
        <w:spacing w:after="160"/>
        <w:ind w:left="810" w:hanging="450"/>
        <w:rPr>
          <w:rFonts w:ascii="Arial" w:hAnsi="Arial" w:cs="Arial"/>
          <w:sz w:val="24"/>
          <w:szCs w:val="24"/>
        </w:rPr>
      </w:pPr>
      <w:r w:rsidRPr="00B733E1">
        <w:rPr>
          <w:rFonts w:ascii="Arial" w:hAnsi="Arial" w:cs="Arial"/>
          <w:sz w:val="24"/>
          <w:szCs w:val="24"/>
        </w:rPr>
        <w:t>Hawkesbury Hydro indicates that “energy purchases were also treated differently under the previous methodology</w:t>
      </w:r>
      <w:r w:rsidR="003A604A">
        <w:rPr>
          <w:rFonts w:ascii="Arial" w:hAnsi="Arial" w:cs="Arial"/>
          <w:sz w:val="24"/>
          <w:szCs w:val="24"/>
        </w:rPr>
        <w:t>.</w:t>
      </w:r>
      <w:r w:rsidRPr="00B733E1">
        <w:rPr>
          <w:rFonts w:ascii="Arial" w:hAnsi="Arial" w:cs="Arial"/>
          <w:sz w:val="24"/>
          <w:szCs w:val="24"/>
        </w:rPr>
        <w:t>” Please explain how it was different.</w:t>
      </w:r>
    </w:p>
    <w:p w14:paraId="5331CA8C" w14:textId="215AEBD4" w:rsidR="006F0A05" w:rsidRPr="009D19A9" w:rsidRDefault="007A12C3" w:rsidP="00075AA4">
      <w:pPr>
        <w:ind w:left="720" w:firstLine="720"/>
        <w:rPr>
          <w:rFonts w:ascii="Arial" w:hAnsi="Arial" w:cs="Arial"/>
          <w:sz w:val="24"/>
          <w:szCs w:val="24"/>
          <w:lang w:val="en-US"/>
        </w:rPr>
      </w:pPr>
      <w:r w:rsidRPr="007A12C3">
        <w:rPr>
          <w:rFonts w:ascii="Arial" w:hAnsi="Arial" w:cs="Arial"/>
          <w:b/>
          <w:color w:val="0070C0"/>
          <w:sz w:val="24"/>
          <w:szCs w:val="24"/>
        </w:rPr>
        <w:t>HHI Response:</w:t>
      </w:r>
      <w:r w:rsidR="00075AA4">
        <w:rPr>
          <w:rFonts w:ascii="Arial" w:hAnsi="Arial" w:cs="Arial"/>
          <w:b/>
          <w:color w:val="0070C0"/>
          <w:sz w:val="24"/>
          <w:szCs w:val="24"/>
        </w:rPr>
        <w:t xml:space="preserve"> </w:t>
      </w:r>
      <w:r w:rsidR="006F328C">
        <w:rPr>
          <w:rFonts w:ascii="Arial" w:hAnsi="Arial" w:cs="Arial"/>
          <w:bCs/>
          <w:color w:val="0070C0"/>
          <w:sz w:val="24"/>
          <w:szCs w:val="24"/>
        </w:rPr>
        <w:t xml:space="preserve">The difference noted in c) </w:t>
      </w:r>
      <w:r w:rsidR="00BA6E5D">
        <w:rPr>
          <w:rFonts w:ascii="Arial" w:hAnsi="Arial" w:cs="Arial"/>
          <w:bCs/>
          <w:color w:val="0070C0"/>
          <w:sz w:val="24"/>
          <w:szCs w:val="24"/>
        </w:rPr>
        <w:t>impacted</w:t>
      </w:r>
      <w:r w:rsidR="00EF3D46">
        <w:rPr>
          <w:rFonts w:ascii="Arial" w:hAnsi="Arial" w:cs="Arial"/>
          <w:bCs/>
          <w:color w:val="0070C0"/>
          <w:sz w:val="24"/>
          <w:szCs w:val="24"/>
        </w:rPr>
        <w:t xml:space="preserve"> the COP</w:t>
      </w:r>
      <w:r w:rsidR="00BA6E5D">
        <w:rPr>
          <w:rFonts w:ascii="Arial" w:hAnsi="Arial" w:cs="Arial"/>
          <w:bCs/>
          <w:color w:val="0070C0"/>
          <w:sz w:val="24"/>
          <w:szCs w:val="24"/>
        </w:rPr>
        <w:t>,</w:t>
      </w:r>
      <w:r w:rsidR="00EF3D46">
        <w:rPr>
          <w:rFonts w:ascii="Arial" w:hAnsi="Arial" w:cs="Arial"/>
          <w:bCs/>
          <w:color w:val="0070C0"/>
          <w:sz w:val="24"/>
          <w:szCs w:val="24"/>
        </w:rPr>
        <w:t xml:space="preserve"> which was considered RPP vs</w:t>
      </w:r>
      <w:r w:rsidR="00BA6E5D">
        <w:rPr>
          <w:rFonts w:ascii="Arial" w:hAnsi="Arial" w:cs="Arial"/>
          <w:bCs/>
          <w:color w:val="0070C0"/>
          <w:sz w:val="24"/>
          <w:szCs w:val="24"/>
        </w:rPr>
        <w:t>.</w:t>
      </w:r>
      <w:r w:rsidR="00EF3D46">
        <w:rPr>
          <w:rFonts w:ascii="Arial" w:hAnsi="Arial" w:cs="Arial"/>
          <w:bCs/>
          <w:color w:val="0070C0"/>
          <w:sz w:val="24"/>
          <w:szCs w:val="24"/>
        </w:rPr>
        <w:t xml:space="preserve"> non-RPP.</w:t>
      </w:r>
    </w:p>
    <w:p w14:paraId="11007F5B" w14:textId="77777777" w:rsidR="007A12C3" w:rsidRPr="007A12C3" w:rsidRDefault="007A12C3" w:rsidP="007A12C3">
      <w:pPr>
        <w:spacing w:after="160"/>
        <w:ind w:left="360"/>
        <w:rPr>
          <w:rFonts w:ascii="Arial" w:hAnsi="Arial" w:cs="Arial"/>
          <w:sz w:val="24"/>
          <w:szCs w:val="24"/>
        </w:rPr>
      </w:pPr>
    </w:p>
    <w:p w14:paraId="1156E912" w14:textId="27DAC116" w:rsidR="00A350EF" w:rsidRDefault="00A350EF" w:rsidP="00A350EF">
      <w:pPr>
        <w:pStyle w:val="Heading2"/>
        <w:rPr>
          <w:szCs w:val="24"/>
        </w:rPr>
      </w:pPr>
      <w:r w:rsidRPr="00E54054">
        <w:rPr>
          <w:szCs w:val="24"/>
        </w:rPr>
        <w:t>Staff Question-</w:t>
      </w:r>
      <w:r w:rsidR="006A6FB8">
        <w:rPr>
          <w:szCs w:val="24"/>
        </w:rPr>
        <w:t>6</w:t>
      </w:r>
    </w:p>
    <w:p w14:paraId="4E3801A6" w14:textId="77777777" w:rsidR="00A350EF" w:rsidRPr="00E54054" w:rsidRDefault="00A350EF" w:rsidP="00A350EF">
      <w:pPr>
        <w:pStyle w:val="NoSpacing"/>
        <w:rPr>
          <w:rFonts w:ascii="Arial" w:hAnsi="Arial" w:cs="Arial"/>
          <w:sz w:val="24"/>
          <w:szCs w:val="24"/>
        </w:rPr>
      </w:pPr>
      <w:r w:rsidRPr="00E54054">
        <w:rPr>
          <w:rFonts w:ascii="Arial" w:hAnsi="Arial" w:cs="Arial"/>
          <w:sz w:val="24"/>
          <w:szCs w:val="24"/>
        </w:rPr>
        <w:t>Ref:</w:t>
      </w:r>
      <w:r w:rsidRPr="00E54054">
        <w:rPr>
          <w:rFonts w:ascii="Arial" w:hAnsi="Arial" w:cs="Arial"/>
          <w:sz w:val="24"/>
          <w:szCs w:val="24"/>
        </w:rPr>
        <w:tab/>
        <w:t>GA Analysis Workform</w:t>
      </w:r>
      <w:r>
        <w:rPr>
          <w:rFonts w:ascii="Arial" w:hAnsi="Arial" w:cs="Arial"/>
          <w:sz w:val="24"/>
          <w:szCs w:val="24"/>
        </w:rPr>
        <w:t>, Tabs 2017, 2018 and 2019</w:t>
      </w:r>
    </w:p>
    <w:p w14:paraId="55A41A4A" w14:textId="77777777" w:rsidR="00A350EF" w:rsidRPr="00E54054" w:rsidRDefault="00A350EF" w:rsidP="00A350EF">
      <w:pPr>
        <w:pStyle w:val="NoSpacing"/>
        <w:rPr>
          <w:rFonts w:ascii="Arial" w:hAnsi="Arial" w:cs="Arial"/>
          <w:sz w:val="24"/>
          <w:szCs w:val="24"/>
        </w:rPr>
      </w:pPr>
      <w:r w:rsidRPr="00E54054">
        <w:rPr>
          <w:rFonts w:ascii="Arial" w:hAnsi="Arial" w:cs="Arial"/>
          <w:sz w:val="24"/>
          <w:szCs w:val="24"/>
        </w:rPr>
        <w:tab/>
        <w:t xml:space="preserve">GA Analysis </w:t>
      </w:r>
      <w:proofErr w:type="spellStart"/>
      <w:r w:rsidRPr="00E54054">
        <w:rPr>
          <w:rFonts w:ascii="Arial" w:hAnsi="Arial" w:cs="Arial"/>
          <w:sz w:val="24"/>
          <w:szCs w:val="24"/>
        </w:rPr>
        <w:t>Workforms</w:t>
      </w:r>
      <w:proofErr w:type="spellEnd"/>
      <w:r w:rsidRPr="00E54054">
        <w:rPr>
          <w:rFonts w:ascii="Arial" w:hAnsi="Arial" w:cs="Arial"/>
          <w:sz w:val="24"/>
          <w:szCs w:val="24"/>
        </w:rPr>
        <w:t xml:space="preserve"> – filed in 2019 and 2020 IRM proceedings</w:t>
      </w:r>
    </w:p>
    <w:p w14:paraId="139172AF" w14:textId="77777777" w:rsidR="00A350EF" w:rsidRPr="00E54054" w:rsidRDefault="00A350EF" w:rsidP="00A350EF">
      <w:pPr>
        <w:pStyle w:val="NoSpacing"/>
        <w:rPr>
          <w:rFonts w:ascii="Arial" w:hAnsi="Arial" w:cs="Arial"/>
          <w:sz w:val="24"/>
          <w:szCs w:val="24"/>
        </w:rPr>
      </w:pPr>
      <w:r w:rsidRPr="00E54054">
        <w:rPr>
          <w:rFonts w:ascii="Arial" w:hAnsi="Arial" w:cs="Arial"/>
          <w:sz w:val="24"/>
          <w:szCs w:val="24"/>
        </w:rPr>
        <w:tab/>
        <w:t>EB-2019-0042, Response to OEB Staff Questions (Oct 25, 2019), Question 9</w:t>
      </w:r>
    </w:p>
    <w:p w14:paraId="4DE96955" w14:textId="77777777" w:rsidR="00A350EF" w:rsidRDefault="00A350EF" w:rsidP="00A350EF">
      <w:pPr>
        <w:pStyle w:val="NoSpacing"/>
      </w:pPr>
    </w:p>
    <w:p w14:paraId="0E7ABFD8" w14:textId="40AF3660" w:rsidR="00A350EF" w:rsidRPr="007E29D2" w:rsidRDefault="00A350EF" w:rsidP="00A350EF">
      <w:pPr>
        <w:rPr>
          <w:rFonts w:ascii="Arial" w:hAnsi="Arial" w:cs="Arial"/>
          <w:b/>
          <w:bCs/>
          <w:sz w:val="24"/>
          <w:szCs w:val="24"/>
        </w:rPr>
      </w:pPr>
      <w:r>
        <w:rPr>
          <w:rFonts w:ascii="Arial" w:hAnsi="Arial" w:cs="Arial"/>
          <w:bCs/>
          <w:sz w:val="24"/>
          <w:szCs w:val="24"/>
        </w:rPr>
        <w:t xml:space="preserve">In the GA </w:t>
      </w:r>
      <w:r w:rsidRPr="00E54054">
        <w:rPr>
          <w:rFonts w:ascii="Arial" w:hAnsi="Arial" w:cs="Arial"/>
          <w:sz w:val="24"/>
          <w:szCs w:val="24"/>
        </w:rPr>
        <w:t>Analysis Workform</w:t>
      </w:r>
      <w:r>
        <w:rPr>
          <w:rFonts w:ascii="Arial" w:hAnsi="Arial" w:cs="Arial"/>
          <w:sz w:val="24"/>
          <w:szCs w:val="24"/>
        </w:rPr>
        <w:t xml:space="preserve"> submitted in this proceeding, the approved loss factors for 2017, 2018 and 2019 were not provided. There also appears to be changes in billed </w:t>
      </w:r>
      <w:r w:rsidR="00BA6E5D">
        <w:rPr>
          <w:rFonts w:ascii="Arial" w:hAnsi="Arial" w:cs="Arial"/>
          <w:sz w:val="24"/>
          <w:szCs w:val="24"/>
        </w:rPr>
        <w:t>kWh</w:t>
      </w:r>
      <w:r>
        <w:rPr>
          <w:rFonts w:ascii="Arial" w:hAnsi="Arial" w:cs="Arial"/>
          <w:sz w:val="24"/>
          <w:szCs w:val="24"/>
        </w:rPr>
        <w:t xml:space="preserve"> for non-RPP (class B) in the GA Analysis </w:t>
      </w:r>
      <w:proofErr w:type="spellStart"/>
      <w:r>
        <w:rPr>
          <w:rFonts w:ascii="Arial" w:hAnsi="Arial" w:cs="Arial"/>
          <w:sz w:val="24"/>
          <w:szCs w:val="24"/>
        </w:rPr>
        <w:t>Workforms</w:t>
      </w:r>
      <w:proofErr w:type="spellEnd"/>
      <w:r>
        <w:rPr>
          <w:rFonts w:ascii="Arial" w:hAnsi="Arial" w:cs="Arial"/>
          <w:sz w:val="24"/>
          <w:szCs w:val="24"/>
        </w:rPr>
        <w:t xml:space="preserve"> filed </w:t>
      </w:r>
      <w:r w:rsidR="00F036A7">
        <w:rPr>
          <w:rFonts w:ascii="Arial" w:hAnsi="Arial" w:cs="Arial"/>
          <w:sz w:val="24"/>
          <w:szCs w:val="24"/>
        </w:rPr>
        <w:t>between</w:t>
      </w:r>
      <w:r>
        <w:rPr>
          <w:rFonts w:ascii="Arial" w:hAnsi="Arial" w:cs="Arial"/>
          <w:sz w:val="24"/>
          <w:szCs w:val="24"/>
        </w:rPr>
        <w:t xml:space="preserve"> the current and prior proceedings.</w:t>
      </w:r>
    </w:p>
    <w:p w14:paraId="161E6C68" w14:textId="5EEE47C8" w:rsidR="00A350EF" w:rsidRPr="007A12C3" w:rsidRDefault="00A350EF" w:rsidP="00A350EF">
      <w:pPr>
        <w:pStyle w:val="ListParagraph"/>
        <w:numPr>
          <w:ilvl w:val="0"/>
          <w:numId w:val="15"/>
        </w:numPr>
        <w:rPr>
          <w:rFonts w:ascii="Arial" w:hAnsi="Arial" w:cs="Arial"/>
          <w:bCs/>
          <w:sz w:val="24"/>
          <w:szCs w:val="24"/>
        </w:rPr>
      </w:pPr>
      <w:r w:rsidRPr="00233B1C">
        <w:rPr>
          <w:rFonts w:ascii="Arial" w:hAnsi="Arial" w:cs="Arial"/>
          <w:bCs/>
          <w:sz w:val="24"/>
          <w:szCs w:val="24"/>
        </w:rPr>
        <w:t xml:space="preserve">Please provide the approved loss factors for secondary metered customers &lt;5,000 kW in </w:t>
      </w:r>
      <w:r>
        <w:rPr>
          <w:rFonts w:ascii="Arial" w:hAnsi="Arial" w:cs="Arial"/>
          <w:bCs/>
          <w:sz w:val="24"/>
          <w:szCs w:val="24"/>
        </w:rPr>
        <w:t xml:space="preserve">all tabs of the </w:t>
      </w:r>
      <w:r w:rsidRPr="00233B1C">
        <w:rPr>
          <w:rFonts w:ascii="Arial" w:hAnsi="Arial" w:cs="Arial"/>
          <w:bCs/>
          <w:sz w:val="24"/>
          <w:szCs w:val="24"/>
        </w:rPr>
        <w:t xml:space="preserve">GA </w:t>
      </w:r>
      <w:r w:rsidRPr="00233B1C">
        <w:rPr>
          <w:rFonts w:ascii="Arial" w:hAnsi="Arial" w:cs="Arial"/>
          <w:sz w:val="24"/>
          <w:szCs w:val="24"/>
        </w:rPr>
        <w:t xml:space="preserve">Analysis Workform. </w:t>
      </w:r>
    </w:p>
    <w:p w14:paraId="38343C8B" w14:textId="50B45697" w:rsidR="006F0A05" w:rsidRDefault="007A12C3" w:rsidP="0034198E">
      <w:pPr>
        <w:ind w:left="720"/>
        <w:rPr>
          <w:rFonts w:ascii="Arial" w:hAnsi="Arial" w:cs="Arial"/>
          <w:sz w:val="24"/>
          <w:szCs w:val="24"/>
        </w:rPr>
      </w:pPr>
      <w:r w:rsidRPr="007A12C3">
        <w:rPr>
          <w:rFonts w:ascii="Arial" w:hAnsi="Arial" w:cs="Arial"/>
          <w:b/>
          <w:color w:val="0070C0"/>
          <w:sz w:val="24"/>
          <w:szCs w:val="24"/>
        </w:rPr>
        <w:lastRenderedPageBreak/>
        <w:t>HHI Response:</w:t>
      </w:r>
      <w:r w:rsidR="0034198E">
        <w:rPr>
          <w:rFonts w:ascii="Arial" w:hAnsi="Arial" w:cs="Arial"/>
          <w:b/>
          <w:color w:val="0070C0"/>
          <w:sz w:val="24"/>
          <w:szCs w:val="24"/>
        </w:rPr>
        <w:t xml:space="preserve"> </w:t>
      </w:r>
      <w:r w:rsidR="00AE5504">
        <w:rPr>
          <w:rFonts w:ascii="Arial" w:hAnsi="Arial" w:cs="Arial"/>
          <w:bCs/>
          <w:color w:val="0070C0"/>
          <w:sz w:val="24"/>
          <w:szCs w:val="24"/>
        </w:rPr>
        <w:t xml:space="preserve">The approved loss factors were </w:t>
      </w:r>
      <w:r w:rsidR="00A40A14">
        <w:rPr>
          <w:rFonts w:ascii="Arial" w:hAnsi="Arial" w:cs="Arial"/>
          <w:bCs/>
          <w:color w:val="0070C0"/>
          <w:sz w:val="24"/>
          <w:szCs w:val="24"/>
        </w:rPr>
        <w:t xml:space="preserve">1.0541 for 2017 and 1.0509 </w:t>
      </w:r>
      <w:r w:rsidR="00701007">
        <w:rPr>
          <w:rFonts w:ascii="Arial" w:hAnsi="Arial" w:cs="Arial"/>
          <w:bCs/>
          <w:color w:val="0070C0"/>
          <w:sz w:val="24"/>
          <w:szCs w:val="24"/>
        </w:rPr>
        <w:t>for 2018 and 2019.</w:t>
      </w:r>
    </w:p>
    <w:p w14:paraId="28318855" w14:textId="77777777" w:rsidR="00A350EF" w:rsidRDefault="00A350EF" w:rsidP="00A350EF">
      <w:pPr>
        <w:pStyle w:val="ListParagraph"/>
        <w:rPr>
          <w:rFonts w:ascii="Arial" w:hAnsi="Arial" w:cs="Arial"/>
          <w:sz w:val="24"/>
          <w:szCs w:val="24"/>
        </w:rPr>
      </w:pPr>
    </w:p>
    <w:p w14:paraId="0F47E159" w14:textId="77777777" w:rsidR="00A350EF" w:rsidRPr="00597463" w:rsidRDefault="00A350EF" w:rsidP="00A350EF">
      <w:pPr>
        <w:pStyle w:val="ListParagraph"/>
        <w:numPr>
          <w:ilvl w:val="0"/>
          <w:numId w:val="15"/>
        </w:numPr>
        <w:rPr>
          <w:rFonts w:ascii="Arial" w:hAnsi="Arial" w:cs="Arial"/>
          <w:sz w:val="24"/>
          <w:szCs w:val="24"/>
        </w:rPr>
      </w:pPr>
      <w:r>
        <w:rPr>
          <w:rFonts w:ascii="Arial" w:hAnsi="Arial" w:cs="Arial"/>
          <w:sz w:val="24"/>
          <w:szCs w:val="24"/>
        </w:rPr>
        <w:t>OEB staff compiled the following table to show 2017 billed consumption for non-RPP class B customers and the calculated loss factor:</w:t>
      </w:r>
    </w:p>
    <w:tbl>
      <w:tblPr>
        <w:tblStyle w:val="TableGrid"/>
        <w:tblW w:w="9630" w:type="dxa"/>
        <w:tblInd w:w="355" w:type="dxa"/>
        <w:tblLook w:val="04A0" w:firstRow="1" w:lastRow="0" w:firstColumn="1" w:lastColumn="0" w:noHBand="0" w:noVBand="1"/>
      </w:tblPr>
      <w:tblGrid>
        <w:gridCol w:w="3600"/>
        <w:gridCol w:w="900"/>
        <w:gridCol w:w="2610"/>
        <w:gridCol w:w="2520"/>
      </w:tblGrid>
      <w:tr w:rsidR="00A350EF" w:rsidRPr="000E366C" w14:paraId="5E4D8245" w14:textId="77777777" w:rsidTr="002B4F62">
        <w:tc>
          <w:tcPr>
            <w:tcW w:w="3600" w:type="dxa"/>
          </w:tcPr>
          <w:p w14:paraId="539CDD36" w14:textId="77777777" w:rsidR="00A350EF" w:rsidRPr="00105D73" w:rsidRDefault="00A350EF" w:rsidP="002B4F62">
            <w:pPr>
              <w:jc w:val="center"/>
              <w:rPr>
                <w:rFonts w:ascii="Arial" w:hAnsi="Arial" w:cs="Arial"/>
                <w:b/>
              </w:rPr>
            </w:pPr>
            <w:r w:rsidRPr="00105D73">
              <w:rPr>
                <w:rFonts w:ascii="Arial" w:hAnsi="Arial" w:cs="Arial"/>
                <w:b/>
              </w:rPr>
              <w:t>Tab 2017 GA</w:t>
            </w:r>
          </w:p>
        </w:tc>
        <w:tc>
          <w:tcPr>
            <w:tcW w:w="900" w:type="dxa"/>
          </w:tcPr>
          <w:p w14:paraId="43DF3E34" w14:textId="77777777" w:rsidR="00A350EF" w:rsidRPr="00105D73" w:rsidRDefault="00A350EF" w:rsidP="002B4F62">
            <w:pPr>
              <w:jc w:val="center"/>
              <w:rPr>
                <w:rFonts w:ascii="Arial" w:hAnsi="Arial" w:cs="Arial"/>
                <w:b/>
              </w:rPr>
            </w:pPr>
          </w:p>
        </w:tc>
        <w:tc>
          <w:tcPr>
            <w:tcW w:w="5130" w:type="dxa"/>
            <w:gridSpan w:val="2"/>
          </w:tcPr>
          <w:p w14:paraId="666225B5" w14:textId="77777777" w:rsidR="00A350EF" w:rsidRPr="00105D73" w:rsidRDefault="00A350EF" w:rsidP="002B4F62">
            <w:pPr>
              <w:jc w:val="center"/>
              <w:rPr>
                <w:rFonts w:ascii="Arial" w:hAnsi="Arial" w:cs="Arial"/>
                <w:b/>
              </w:rPr>
            </w:pPr>
            <w:r w:rsidRPr="00105D73">
              <w:rPr>
                <w:rFonts w:ascii="Arial" w:hAnsi="Arial" w:cs="Arial"/>
                <w:b/>
              </w:rPr>
              <w:t>2017</w:t>
            </w:r>
          </w:p>
        </w:tc>
      </w:tr>
      <w:tr w:rsidR="00A350EF" w:rsidRPr="000E366C" w14:paraId="458847A6" w14:textId="77777777" w:rsidTr="002B4F62">
        <w:trPr>
          <w:trHeight w:val="872"/>
        </w:trPr>
        <w:tc>
          <w:tcPr>
            <w:tcW w:w="3600" w:type="dxa"/>
          </w:tcPr>
          <w:p w14:paraId="5E8B7206" w14:textId="77777777" w:rsidR="00A350EF" w:rsidRPr="000E366C" w:rsidRDefault="00A350EF" w:rsidP="002B4F62">
            <w:pPr>
              <w:rPr>
                <w:rFonts w:ascii="Arial" w:hAnsi="Arial" w:cs="Arial"/>
                <w:bCs/>
              </w:rPr>
            </w:pPr>
          </w:p>
        </w:tc>
        <w:tc>
          <w:tcPr>
            <w:tcW w:w="900" w:type="dxa"/>
          </w:tcPr>
          <w:p w14:paraId="26A22BAB" w14:textId="77777777" w:rsidR="00A350EF" w:rsidRPr="0059445B" w:rsidRDefault="00A350EF" w:rsidP="002B4F62">
            <w:pPr>
              <w:jc w:val="center"/>
              <w:rPr>
                <w:rFonts w:ascii="Arial" w:hAnsi="Arial" w:cs="Arial"/>
                <w:bCs/>
              </w:rPr>
            </w:pPr>
            <w:r w:rsidRPr="0059445B">
              <w:rPr>
                <w:rFonts w:ascii="Arial" w:hAnsi="Arial" w:cs="Arial"/>
                <w:bCs/>
              </w:rPr>
              <w:t>Line</w:t>
            </w:r>
          </w:p>
        </w:tc>
        <w:tc>
          <w:tcPr>
            <w:tcW w:w="2610" w:type="dxa"/>
          </w:tcPr>
          <w:p w14:paraId="367210A5" w14:textId="6D5EB069" w:rsidR="00A350EF" w:rsidRPr="0059445B" w:rsidRDefault="00A350EF" w:rsidP="002B4F62">
            <w:pPr>
              <w:jc w:val="center"/>
              <w:rPr>
                <w:rFonts w:ascii="Arial" w:hAnsi="Arial" w:cs="Arial"/>
                <w:bCs/>
              </w:rPr>
            </w:pPr>
            <w:r w:rsidRPr="0059445B">
              <w:rPr>
                <w:rFonts w:ascii="Arial" w:hAnsi="Arial" w:cs="Arial"/>
                <w:bCs/>
              </w:rPr>
              <w:t>“Previous” GA Workform filed in 2019 IRM proceeding (</w:t>
            </w:r>
            <w:r w:rsidR="00BA6E5D">
              <w:rPr>
                <w:rFonts w:ascii="Arial" w:hAnsi="Arial" w:cs="Arial"/>
                <w:bCs/>
              </w:rPr>
              <w:t>kWh</w:t>
            </w:r>
            <w:r w:rsidRPr="0059445B">
              <w:rPr>
                <w:rFonts w:ascii="Arial" w:hAnsi="Arial" w:cs="Arial"/>
                <w:bCs/>
              </w:rPr>
              <w:t>)</w:t>
            </w:r>
          </w:p>
          <w:p w14:paraId="50F55565" w14:textId="77777777" w:rsidR="00A350EF" w:rsidRPr="0059445B" w:rsidRDefault="00A350EF" w:rsidP="002B4F62">
            <w:pPr>
              <w:jc w:val="center"/>
              <w:rPr>
                <w:rFonts w:ascii="Arial" w:hAnsi="Arial" w:cs="Arial"/>
                <w:bCs/>
              </w:rPr>
            </w:pPr>
            <w:r w:rsidRPr="0059445B">
              <w:rPr>
                <w:rFonts w:ascii="Arial" w:hAnsi="Arial" w:cs="Arial"/>
                <w:bCs/>
              </w:rPr>
              <w:t>Col. 1</w:t>
            </w:r>
          </w:p>
        </w:tc>
        <w:tc>
          <w:tcPr>
            <w:tcW w:w="2520" w:type="dxa"/>
          </w:tcPr>
          <w:p w14:paraId="6ED9DA28" w14:textId="4B25D8D8" w:rsidR="00A350EF" w:rsidRPr="0059445B" w:rsidRDefault="00A350EF" w:rsidP="002B4F62">
            <w:pPr>
              <w:jc w:val="center"/>
              <w:rPr>
                <w:rFonts w:ascii="Arial" w:hAnsi="Arial" w:cs="Arial"/>
                <w:bCs/>
              </w:rPr>
            </w:pPr>
            <w:r w:rsidRPr="0059445B">
              <w:rPr>
                <w:rFonts w:ascii="Arial" w:hAnsi="Arial" w:cs="Arial"/>
                <w:bCs/>
              </w:rPr>
              <w:t>“Updated” GA Workform filed in 2021 IRM proceeding (</w:t>
            </w:r>
            <w:r w:rsidR="00BA6E5D">
              <w:rPr>
                <w:rFonts w:ascii="Arial" w:hAnsi="Arial" w:cs="Arial"/>
                <w:bCs/>
              </w:rPr>
              <w:t>kWh</w:t>
            </w:r>
            <w:r w:rsidRPr="0059445B">
              <w:rPr>
                <w:rFonts w:ascii="Arial" w:hAnsi="Arial" w:cs="Arial"/>
                <w:bCs/>
              </w:rPr>
              <w:t>)</w:t>
            </w:r>
          </w:p>
          <w:p w14:paraId="369321E6" w14:textId="77777777" w:rsidR="00A350EF" w:rsidRPr="0059445B" w:rsidRDefault="00A350EF" w:rsidP="002B4F62">
            <w:pPr>
              <w:jc w:val="center"/>
              <w:rPr>
                <w:rFonts w:ascii="Arial" w:hAnsi="Arial" w:cs="Arial"/>
                <w:bCs/>
              </w:rPr>
            </w:pPr>
            <w:r w:rsidRPr="0059445B">
              <w:rPr>
                <w:rFonts w:ascii="Arial" w:hAnsi="Arial" w:cs="Arial"/>
                <w:bCs/>
              </w:rPr>
              <w:t>Col. 2</w:t>
            </w:r>
          </w:p>
        </w:tc>
      </w:tr>
      <w:tr w:rsidR="00A350EF" w:rsidRPr="000E366C" w14:paraId="4FD12EEE" w14:textId="77777777" w:rsidTr="002B4F62">
        <w:trPr>
          <w:trHeight w:val="620"/>
        </w:trPr>
        <w:tc>
          <w:tcPr>
            <w:tcW w:w="3600" w:type="dxa"/>
            <w:vAlign w:val="center"/>
          </w:tcPr>
          <w:p w14:paraId="18319601" w14:textId="4A01B880" w:rsidR="00A350EF" w:rsidRPr="000E366C" w:rsidRDefault="00A350EF" w:rsidP="002B4F62">
            <w:pPr>
              <w:rPr>
                <w:rFonts w:ascii="Arial" w:hAnsi="Arial" w:cs="Arial"/>
                <w:bCs/>
              </w:rPr>
            </w:pPr>
            <w:r w:rsidRPr="000E366C">
              <w:rPr>
                <w:rFonts w:ascii="Arial" w:hAnsi="Arial" w:cs="Arial"/>
                <w:bCs/>
              </w:rPr>
              <w:t xml:space="preserve">Billed </w:t>
            </w:r>
            <w:r w:rsidR="00BA6E5D">
              <w:rPr>
                <w:rFonts w:ascii="Arial" w:hAnsi="Arial" w:cs="Arial"/>
                <w:bCs/>
              </w:rPr>
              <w:t>kWh</w:t>
            </w:r>
            <w:r w:rsidRPr="000E366C">
              <w:rPr>
                <w:rFonts w:ascii="Arial" w:hAnsi="Arial" w:cs="Arial"/>
                <w:bCs/>
              </w:rPr>
              <w:t xml:space="preserve"> for non-RPP class B, including loss adjustment </w:t>
            </w:r>
          </w:p>
        </w:tc>
        <w:tc>
          <w:tcPr>
            <w:tcW w:w="900" w:type="dxa"/>
          </w:tcPr>
          <w:p w14:paraId="41547104" w14:textId="77777777" w:rsidR="00A350EF" w:rsidRPr="0059445B" w:rsidRDefault="00A350EF" w:rsidP="002B4F62">
            <w:pPr>
              <w:jc w:val="center"/>
              <w:rPr>
                <w:rFonts w:ascii="Arial" w:hAnsi="Arial" w:cs="Arial"/>
                <w:bCs/>
              </w:rPr>
            </w:pPr>
            <w:r w:rsidRPr="0059445B">
              <w:rPr>
                <w:rFonts w:ascii="Arial" w:hAnsi="Arial" w:cs="Arial"/>
                <w:bCs/>
              </w:rPr>
              <w:t>A</w:t>
            </w:r>
          </w:p>
        </w:tc>
        <w:tc>
          <w:tcPr>
            <w:tcW w:w="2610" w:type="dxa"/>
            <w:vAlign w:val="center"/>
          </w:tcPr>
          <w:p w14:paraId="5F807952" w14:textId="77777777" w:rsidR="00A350EF" w:rsidRPr="0059445B" w:rsidRDefault="00A350EF" w:rsidP="002B4F62">
            <w:pPr>
              <w:jc w:val="center"/>
              <w:rPr>
                <w:rFonts w:ascii="Arial" w:hAnsi="Arial" w:cs="Arial"/>
                <w:bCs/>
              </w:rPr>
            </w:pPr>
            <w:r w:rsidRPr="0059445B">
              <w:rPr>
                <w:rFonts w:ascii="Arial" w:hAnsi="Arial" w:cs="Arial"/>
                <w:bCs/>
              </w:rPr>
              <w:t>76,122,606</w:t>
            </w:r>
          </w:p>
        </w:tc>
        <w:tc>
          <w:tcPr>
            <w:tcW w:w="2520" w:type="dxa"/>
            <w:vAlign w:val="center"/>
          </w:tcPr>
          <w:p w14:paraId="5EBB3AF2" w14:textId="77777777" w:rsidR="00A350EF" w:rsidRPr="0059445B" w:rsidRDefault="00A350EF" w:rsidP="002B4F62">
            <w:pPr>
              <w:jc w:val="center"/>
              <w:rPr>
                <w:rFonts w:ascii="Arial" w:hAnsi="Arial" w:cs="Arial"/>
                <w:bCs/>
              </w:rPr>
            </w:pPr>
            <w:r w:rsidRPr="0059445B">
              <w:rPr>
                <w:rFonts w:ascii="Arial" w:hAnsi="Arial" w:cs="Arial"/>
                <w:bCs/>
              </w:rPr>
              <w:t>77,369,799</w:t>
            </w:r>
          </w:p>
        </w:tc>
      </w:tr>
      <w:tr w:rsidR="00A350EF" w:rsidRPr="000E366C" w14:paraId="3F6E4065" w14:textId="77777777" w:rsidTr="002B4F62">
        <w:trPr>
          <w:trHeight w:val="620"/>
        </w:trPr>
        <w:tc>
          <w:tcPr>
            <w:tcW w:w="3600" w:type="dxa"/>
            <w:vAlign w:val="center"/>
          </w:tcPr>
          <w:p w14:paraId="27023236" w14:textId="5FAB14F0" w:rsidR="00A350EF" w:rsidRDefault="00A350EF" w:rsidP="002B4F62">
            <w:pPr>
              <w:rPr>
                <w:rFonts w:ascii="Arial" w:hAnsi="Arial" w:cs="Arial"/>
                <w:bCs/>
              </w:rPr>
            </w:pPr>
            <w:r w:rsidRPr="000E366C">
              <w:rPr>
                <w:rFonts w:ascii="Arial" w:hAnsi="Arial" w:cs="Arial"/>
                <w:bCs/>
              </w:rPr>
              <w:t xml:space="preserve">Actual </w:t>
            </w:r>
            <w:r w:rsidR="00BA6E5D">
              <w:rPr>
                <w:rFonts w:ascii="Arial" w:hAnsi="Arial" w:cs="Arial"/>
                <w:bCs/>
              </w:rPr>
              <w:t>kWh</w:t>
            </w:r>
            <w:r w:rsidRPr="000E366C">
              <w:rPr>
                <w:rFonts w:ascii="Arial" w:hAnsi="Arial" w:cs="Arial"/>
                <w:bCs/>
              </w:rPr>
              <w:t xml:space="preserve"> for non-RPP class B </w:t>
            </w:r>
          </w:p>
          <w:p w14:paraId="1A4CFB9D" w14:textId="77777777" w:rsidR="00A350EF" w:rsidRPr="000E366C" w:rsidRDefault="00A350EF" w:rsidP="002B4F62">
            <w:pPr>
              <w:rPr>
                <w:rFonts w:ascii="Arial" w:hAnsi="Arial" w:cs="Arial"/>
                <w:bCs/>
              </w:rPr>
            </w:pPr>
          </w:p>
        </w:tc>
        <w:tc>
          <w:tcPr>
            <w:tcW w:w="900" w:type="dxa"/>
          </w:tcPr>
          <w:p w14:paraId="165D8024" w14:textId="77777777" w:rsidR="00A350EF" w:rsidRPr="0059445B" w:rsidRDefault="00A350EF" w:rsidP="002B4F62">
            <w:pPr>
              <w:jc w:val="center"/>
              <w:rPr>
                <w:rFonts w:ascii="Arial" w:hAnsi="Arial" w:cs="Arial"/>
                <w:bCs/>
              </w:rPr>
            </w:pPr>
            <w:r w:rsidRPr="0059445B">
              <w:rPr>
                <w:rFonts w:ascii="Arial" w:hAnsi="Arial" w:cs="Arial"/>
                <w:bCs/>
              </w:rPr>
              <w:t>B</w:t>
            </w:r>
          </w:p>
        </w:tc>
        <w:tc>
          <w:tcPr>
            <w:tcW w:w="2610" w:type="dxa"/>
            <w:vAlign w:val="center"/>
          </w:tcPr>
          <w:p w14:paraId="1C09B135" w14:textId="77777777" w:rsidR="00A350EF" w:rsidRPr="0059445B" w:rsidRDefault="00A350EF" w:rsidP="002B4F62">
            <w:pPr>
              <w:jc w:val="center"/>
              <w:rPr>
                <w:rFonts w:ascii="Arial" w:hAnsi="Arial" w:cs="Arial"/>
                <w:bCs/>
              </w:rPr>
            </w:pPr>
            <w:r w:rsidRPr="0059445B">
              <w:rPr>
                <w:rFonts w:ascii="Arial" w:hAnsi="Arial" w:cs="Arial"/>
                <w:bCs/>
              </w:rPr>
              <w:t>72,037,036</w:t>
            </w:r>
          </w:p>
        </w:tc>
        <w:tc>
          <w:tcPr>
            <w:tcW w:w="2520" w:type="dxa"/>
            <w:vAlign w:val="center"/>
          </w:tcPr>
          <w:p w14:paraId="3AE006B6" w14:textId="77777777" w:rsidR="00A350EF" w:rsidRPr="0059445B" w:rsidRDefault="00A350EF" w:rsidP="002B4F62">
            <w:pPr>
              <w:jc w:val="center"/>
              <w:rPr>
                <w:rFonts w:ascii="Arial" w:hAnsi="Arial" w:cs="Arial"/>
                <w:bCs/>
              </w:rPr>
            </w:pPr>
            <w:r w:rsidRPr="0059445B">
              <w:rPr>
                <w:rFonts w:ascii="Arial" w:hAnsi="Arial" w:cs="Arial"/>
                <w:bCs/>
              </w:rPr>
              <w:t>72,037,036</w:t>
            </w:r>
          </w:p>
        </w:tc>
      </w:tr>
      <w:tr w:rsidR="00A350EF" w:rsidRPr="000E366C" w14:paraId="18F2BEC2" w14:textId="77777777" w:rsidTr="002B4F62">
        <w:trPr>
          <w:trHeight w:val="350"/>
        </w:trPr>
        <w:tc>
          <w:tcPr>
            <w:tcW w:w="3600" w:type="dxa"/>
            <w:vAlign w:val="center"/>
          </w:tcPr>
          <w:p w14:paraId="03A93916" w14:textId="77777777" w:rsidR="00A350EF" w:rsidRPr="000E366C" w:rsidRDefault="00A350EF" w:rsidP="002B4F62">
            <w:pPr>
              <w:rPr>
                <w:rFonts w:ascii="Arial" w:hAnsi="Arial" w:cs="Arial"/>
                <w:bCs/>
              </w:rPr>
            </w:pPr>
            <w:r w:rsidRPr="000E366C">
              <w:rPr>
                <w:rFonts w:ascii="Arial" w:hAnsi="Arial" w:cs="Arial"/>
                <w:bCs/>
              </w:rPr>
              <w:t xml:space="preserve">Calculated loss factor </w:t>
            </w:r>
            <w:r w:rsidRPr="008951B5">
              <w:rPr>
                <w:rFonts w:ascii="Arial" w:hAnsi="Arial" w:cs="Arial"/>
                <w:bCs/>
              </w:rPr>
              <w:t>– A / B</w:t>
            </w:r>
          </w:p>
        </w:tc>
        <w:tc>
          <w:tcPr>
            <w:tcW w:w="900" w:type="dxa"/>
          </w:tcPr>
          <w:p w14:paraId="0DFFC508" w14:textId="77777777" w:rsidR="00A350EF" w:rsidRDefault="00A350EF" w:rsidP="002B4F62">
            <w:pPr>
              <w:jc w:val="center"/>
              <w:rPr>
                <w:rFonts w:ascii="Arial" w:hAnsi="Arial" w:cs="Arial"/>
                <w:bCs/>
              </w:rPr>
            </w:pPr>
          </w:p>
        </w:tc>
        <w:tc>
          <w:tcPr>
            <w:tcW w:w="2610" w:type="dxa"/>
            <w:vAlign w:val="center"/>
          </w:tcPr>
          <w:p w14:paraId="283674B0" w14:textId="77777777" w:rsidR="00A350EF" w:rsidRPr="000E366C" w:rsidRDefault="00A350EF" w:rsidP="002B4F62">
            <w:pPr>
              <w:jc w:val="center"/>
              <w:rPr>
                <w:rFonts w:ascii="Arial" w:hAnsi="Arial" w:cs="Arial"/>
                <w:bCs/>
              </w:rPr>
            </w:pPr>
            <w:r>
              <w:rPr>
                <w:rFonts w:ascii="Arial" w:hAnsi="Arial" w:cs="Arial"/>
                <w:bCs/>
              </w:rPr>
              <w:t>1.0567</w:t>
            </w:r>
          </w:p>
        </w:tc>
        <w:tc>
          <w:tcPr>
            <w:tcW w:w="2520" w:type="dxa"/>
            <w:vAlign w:val="center"/>
          </w:tcPr>
          <w:p w14:paraId="4C2740EE" w14:textId="77777777" w:rsidR="00A350EF" w:rsidRPr="000E366C" w:rsidRDefault="00A350EF" w:rsidP="002B4F62">
            <w:pPr>
              <w:jc w:val="center"/>
              <w:rPr>
                <w:rFonts w:ascii="Arial" w:hAnsi="Arial" w:cs="Arial"/>
                <w:bCs/>
              </w:rPr>
            </w:pPr>
            <w:r>
              <w:rPr>
                <w:rFonts w:ascii="Arial" w:hAnsi="Arial" w:cs="Arial"/>
                <w:bCs/>
              </w:rPr>
              <w:t>1.074</w:t>
            </w:r>
          </w:p>
        </w:tc>
      </w:tr>
    </w:tbl>
    <w:p w14:paraId="338CD937" w14:textId="77777777" w:rsidR="00A350EF" w:rsidRPr="009D52DD" w:rsidRDefault="00A350EF" w:rsidP="00A350EF">
      <w:pPr>
        <w:rPr>
          <w:rFonts w:ascii="Arial" w:hAnsi="Arial" w:cs="Arial"/>
          <w:bCs/>
          <w:sz w:val="24"/>
          <w:szCs w:val="24"/>
        </w:rPr>
      </w:pPr>
    </w:p>
    <w:p w14:paraId="3D75EA6C" w14:textId="558357F6" w:rsidR="00A350EF" w:rsidRDefault="00A350EF" w:rsidP="00A350EF">
      <w:pPr>
        <w:pStyle w:val="ListParagraph"/>
        <w:numPr>
          <w:ilvl w:val="0"/>
          <w:numId w:val="13"/>
        </w:numPr>
        <w:ind w:hanging="450"/>
        <w:rPr>
          <w:rFonts w:ascii="Arial" w:hAnsi="Arial" w:cs="Arial"/>
          <w:bCs/>
          <w:sz w:val="24"/>
          <w:szCs w:val="24"/>
        </w:rPr>
      </w:pPr>
      <w:r w:rsidRPr="009D52DD">
        <w:rPr>
          <w:rFonts w:ascii="Arial" w:hAnsi="Arial" w:cs="Arial"/>
          <w:bCs/>
          <w:sz w:val="24"/>
          <w:szCs w:val="24"/>
        </w:rPr>
        <w:t xml:space="preserve">At </w:t>
      </w:r>
      <w:r>
        <w:rPr>
          <w:rFonts w:ascii="Arial" w:hAnsi="Arial" w:cs="Arial"/>
          <w:bCs/>
          <w:sz w:val="24"/>
          <w:szCs w:val="24"/>
        </w:rPr>
        <w:t>L</w:t>
      </w:r>
      <w:r w:rsidRPr="009D52DD">
        <w:rPr>
          <w:rFonts w:ascii="Arial" w:hAnsi="Arial" w:cs="Arial"/>
          <w:bCs/>
          <w:sz w:val="24"/>
          <w:szCs w:val="24"/>
        </w:rPr>
        <w:t xml:space="preserve">ine A, </w:t>
      </w:r>
      <w:r w:rsidRPr="007E29D2">
        <w:rPr>
          <w:rFonts w:ascii="Arial" w:hAnsi="Arial" w:cs="Arial"/>
          <w:bCs/>
          <w:sz w:val="24"/>
          <w:szCs w:val="24"/>
        </w:rPr>
        <w:t>Column</w:t>
      </w:r>
      <w:r>
        <w:rPr>
          <w:rFonts w:ascii="Arial" w:hAnsi="Arial" w:cs="Arial"/>
          <w:bCs/>
          <w:sz w:val="24"/>
          <w:szCs w:val="24"/>
        </w:rPr>
        <w:t>s 1 and</w:t>
      </w:r>
      <w:r w:rsidRPr="007E29D2">
        <w:rPr>
          <w:rFonts w:ascii="Arial" w:hAnsi="Arial" w:cs="Arial"/>
          <w:bCs/>
          <w:sz w:val="24"/>
          <w:szCs w:val="24"/>
        </w:rPr>
        <w:t xml:space="preserve"> 2, please explain why billed consumption for non-RPP class B customers increased from 76,122,606 </w:t>
      </w:r>
      <w:r w:rsidR="00BA6E5D">
        <w:rPr>
          <w:rFonts w:ascii="Arial" w:hAnsi="Arial" w:cs="Arial"/>
          <w:bCs/>
          <w:sz w:val="24"/>
          <w:szCs w:val="24"/>
        </w:rPr>
        <w:t>kWh</w:t>
      </w:r>
      <w:r w:rsidRPr="007E29D2">
        <w:rPr>
          <w:rFonts w:ascii="Arial" w:hAnsi="Arial" w:cs="Arial"/>
          <w:bCs/>
          <w:sz w:val="24"/>
          <w:szCs w:val="24"/>
        </w:rPr>
        <w:t xml:space="preserve"> to 77,369,799 </w:t>
      </w:r>
      <w:r w:rsidR="00BA6E5D">
        <w:rPr>
          <w:rFonts w:ascii="Arial" w:hAnsi="Arial" w:cs="Arial"/>
          <w:bCs/>
          <w:sz w:val="24"/>
          <w:szCs w:val="24"/>
        </w:rPr>
        <w:t>kWh</w:t>
      </w:r>
      <w:r w:rsidRPr="00882706">
        <w:rPr>
          <w:rFonts w:ascii="Arial" w:hAnsi="Arial" w:cs="Arial"/>
          <w:bCs/>
          <w:sz w:val="24"/>
          <w:szCs w:val="24"/>
        </w:rPr>
        <w:t xml:space="preserve"> </w:t>
      </w:r>
      <w:r w:rsidRPr="007E29D2">
        <w:rPr>
          <w:rFonts w:ascii="Arial" w:hAnsi="Arial" w:cs="Arial"/>
          <w:bCs/>
          <w:sz w:val="24"/>
          <w:szCs w:val="24"/>
        </w:rPr>
        <w:t xml:space="preserve">in 2017. </w:t>
      </w:r>
    </w:p>
    <w:p w14:paraId="4703789D" w14:textId="07FBADC8" w:rsidR="006F0A05" w:rsidRPr="00617167" w:rsidRDefault="007A12C3" w:rsidP="00701007">
      <w:pPr>
        <w:ind w:left="1440"/>
        <w:rPr>
          <w:rFonts w:ascii="Arial" w:hAnsi="Arial" w:cs="Arial"/>
          <w:sz w:val="24"/>
          <w:szCs w:val="24"/>
          <w:lang w:val="en-US"/>
        </w:rPr>
      </w:pPr>
      <w:r w:rsidRPr="00617167">
        <w:rPr>
          <w:rFonts w:ascii="Arial" w:hAnsi="Arial" w:cs="Arial"/>
          <w:b/>
          <w:color w:val="0070C0"/>
          <w:sz w:val="24"/>
          <w:szCs w:val="24"/>
          <w:lang w:val="en-US"/>
        </w:rPr>
        <w:t>HHI Response:</w:t>
      </w:r>
      <w:r w:rsidR="00701007" w:rsidRPr="00617167">
        <w:rPr>
          <w:rFonts w:ascii="Arial" w:hAnsi="Arial" w:cs="Arial"/>
          <w:b/>
          <w:color w:val="0070C0"/>
          <w:sz w:val="24"/>
          <w:szCs w:val="24"/>
          <w:lang w:val="en-US"/>
        </w:rPr>
        <w:t xml:space="preserve"> </w:t>
      </w:r>
      <w:r w:rsidR="00617167" w:rsidRPr="008858E0">
        <w:rPr>
          <w:rFonts w:ascii="Arial" w:hAnsi="Arial" w:cs="Arial"/>
          <w:bCs/>
          <w:color w:val="0070C0"/>
          <w:sz w:val="24"/>
          <w:szCs w:val="24"/>
          <w:lang w:val="en-US"/>
        </w:rPr>
        <w:t xml:space="preserve">Please see </w:t>
      </w:r>
      <w:r w:rsidR="00BA6E5D">
        <w:rPr>
          <w:rFonts w:ascii="Arial" w:hAnsi="Arial" w:cs="Arial"/>
          <w:bCs/>
          <w:color w:val="0070C0"/>
          <w:sz w:val="24"/>
          <w:szCs w:val="24"/>
          <w:lang w:val="en-US"/>
        </w:rPr>
        <w:t xml:space="preserve">the </w:t>
      </w:r>
      <w:r w:rsidR="00617167" w:rsidRPr="008858E0">
        <w:rPr>
          <w:rFonts w:ascii="Arial" w:hAnsi="Arial" w:cs="Arial"/>
          <w:bCs/>
          <w:color w:val="0070C0"/>
          <w:sz w:val="24"/>
          <w:szCs w:val="24"/>
          <w:lang w:val="en-US"/>
        </w:rPr>
        <w:t xml:space="preserve">answer to question 5a) </w:t>
      </w:r>
      <w:r w:rsidR="00ED22FB">
        <w:rPr>
          <w:rFonts w:ascii="Arial" w:hAnsi="Arial" w:cs="Arial"/>
          <w:bCs/>
          <w:color w:val="0070C0"/>
          <w:sz w:val="24"/>
          <w:szCs w:val="24"/>
          <w:lang w:val="en-US"/>
        </w:rPr>
        <w:t>and rev</w:t>
      </w:r>
      <w:r w:rsidR="00B92AFE">
        <w:rPr>
          <w:rFonts w:ascii="Arial" w:hAnsi="Arial" w:cs="Arial"/>
          <w:bCs/>
          <w:color w:val="0070C0"/>
          <w:sz w:val="24"/>
          <w:szCs w:val="24"/>
          <w:lang w:val="en-US"/>
        </w:rPr>
        <w:t>ised GA Analysis Workform</w:t>
      </w:r>
      <w:r w:rsidR="008858E0" w:rsidRPr="008858E0">
        <w:rPr>
          <w:rFonts w:ascii="Arial" w:hAnsi="Arial" w:cs="Arial"/>
          <w:bCs/>
          <w:color w:val="0070C0"/>
          <w:sz w:val="24"/>
          <w:szCs w:val="24"/>
          <w:lang w:val="en-US"/>
        </w:rPr>
        <w:t>.</w:t>
      </w:r>
    </w:p>
    <w:p w14:paraId="6FAF0A19" w14:textId="77777777" w:rsidR="00A350EF" w:rsidRPr="00617167" w:rsidRDefault="00A350EF" w:rsidP="007A12C3">
      <w:pPr>
        <w:autoSpaceDE w:val="0"/>
        <w:autoSpaceDN w:val="0"/>
        <w:adjustRightInd w:val="0"/>
        <w:spacing w:after="0"/>
        <w:rPr>
          <w:rFonts w:ascii="Arial" w:hAnsi="Arial" w:cs="Arial"/>
          <w:bCs/>
          <w:sz w:val="24"/>
          <w:szCs w:val="24"/>
          <w:lang w:val="en-US"/>
        </w:rPr>
      </w:pPr>
    </w:p>
    <w:p w14:paraId="29234B42" w14:textId="20A69B97" w:rsidR="00A350EF" w:rsidRPr="007A12C3" w:rsidRDefault="00A350EF" w:rsidP="007A12C3">
      <w:pPr>
        <w:pStyle w:val="ListParagraph"/>
        <w:numPr>
          <w:ilvl w:val="0"/>
          <w:numId w:val="13"/>
        </w:numPr>
        <w:ind w:hanging="450"/>
        <w:rPr>
          <w:rFonts w:ascii="Arial" w:hAnsi="Arial" w:cs="Arial"/>
          <w:bCs/>
          <w:sz w:val="24"/>
          <w:szCs w:val="24"/>
        </w:rPr>
      </w:pPr>
      <w:r w:rsidRPr="00566A01">
        <w:rPr>
          <w:rFonts w:ascii="Arial" w:hAnsi="Arial" w:cs="Arial"/>
          <w:bCs/>
          <w:sz w:val="24"/>
          <w:szCs w:val="24"/>
        </w:rPr>
        <w:t xml:space="preserve">If the updated figures </w:t>
      </w:r>
      <w:r>
        <w:rPr>
          <w:rFonts w:ascii="Arial" w:hAnsi="Arial" w:cs="Arial"/>
          <w:bCs/>
          <w:sz w:val="24"/>
          <w:szCs w:val="24"/>
        </w:rPr>
        <w:t>in Column 2</w:t>
      </w:r>
      <w:r w:rsidRPr="00566A01">
        <w:rPr>
          <w:rFonts w:ascii="Arial" w:hAnsi="Arial" w:cs="Arial"/>
          <w:bCs/>
          <w:sz w:val="24"/>
          <w:szCs w:val="24"/>
        </w:rPr>
        <w:t xml:space="preserve"> </w:t>
      </w:r>
      <w:r>
        <w:rPr>
          <w:rFonts w:ascii="Arial" w:hAnsi="Arial" w:cs="Arial"/>
          <w:bCs/>
          <w:sz w:val="24"/>
          <w:szCs w:val="24"/>
        </w:rPr>
        <w:t>are</w:t>
      </w:r>
      <w:r w:rsidRPr="00566A01">
        <w:rPr>
          <w:rFonts w:ascii="Arial" w:hAnsi="Arial" w:cs="Arial"/>
          <w:bCs/>
          <w:sz w:val="24"/>
          <w:szCs w:val="24"/>
        </w:rPr>
        <w:t xml:space="preserve"> correct, please </w:t>
      </w:r>
      <w:r w:rsidRPr="007A12C3">
        <w:rPr>
          <w:rFonts w:ascii="Arial" w:hAnsi="Arial" w:cs="Arial"/>
          <w:bCs/>
          <w:sz w:val="24"/>
          <w:szCs w:val="24"/>
        </w:rPr>
        <w:t>provide the supporting analysis to explain how the calculated loss factor of 1.074 is reasonable compared to the approved loss factor of 1.0541.</w:t>
      </w:r>
    </w:p>
    <w:p w14:paraId="6B36E9E3" w14:textId="3EA1B090" w:rsidR="006F0A05" w:rsidRPr="005402FA" w:rsidRDefault="007A12C3" w:rsidP="00BC0134">
      <w:pPr>
        <w:ind w:left="1440"/>
        <w:rPr>
          <w:rFonts w:ascii="Arial" w:hAnsi="Arial" w:cs="Arial"/>
          <w:sz w:val="24"/>
          <w:szCs w:val="24"/>
          <w:lang w:val="en-US"/>
        </w:rPr>
      </w:pPr>
      <w:r w:rsidRPr="005402FA">
        <w:rPr>
          <w:rFonts w:ascii="Arial" w:hAnsi="Arial" w:cs="Arial"/>
          <w:b/>
          <w:color w:val="0070C0"/>
          <w:sz w:val="24"/>
          <w:szCs w:val="24"/>
          <w:lang w:val="en-US"/>
        </w:rPr>
        <w:t>HHI Response:</w:t>
      </w:r>
      <w:r w:rsidR="00BC0134" w:rsidRPr="005402FA">
        <w:rPr>
          <w:rFonts w:ascii="Arial" w:hAnsi="Arial" w:cs="Arial"/>
          <w:b/>
          <w:color w:val="0070C0"/>
          <w:sz w:val="24"/>
          <w:szCs w:val="24"/>
          <w:lang w:val="en-US"/>
        </w:rPr>
        <w:t xml:space="preserve"> </w:t>
      </w:r>
      <w:r w:rsidR="005402FA" w:rsidRPr="008858E0">
        <w:rPr>
          <w:rFonts w:ascii="Arial" w:hAnsi="Arial" w:cs="Arial"/>
          <w:bCs/>
          <w:color w:val="0070C0"/>
          <w:sz w:val="24"/>
          <w:szCs w:val="24"/>
          <w:lang w:val="en-US"/>
        </w:rPr>
        <w:t xml:space="preserve">Please see </w:t>
      </w:r>
      <w:r w:rsidR="00BA6E5D">
        <w:rPr>
          <w:rFonts w:ascii="Arial" w:hAnsi="Arial" w:cs="Arial"/>
          <w:bCs/>
          <w:color w:val="0070C0"/>
          <w:sz w:val="24"/>
          <w:szCs w:val="24"/>
          <w:lang w:val="en-US"/>
        </w:rPr>
        <w:t xml:space="preserve">the </w:t>
      </w:r>
      <w:r w:rsidR="005402FA" w:rsidRPr="008858E0">
        <w:rPr>
          <w:rFonts w:ascii="Arial" w:hAnsi="Arial" w:cs="Arial"/>
          <w:bCs/>
          <w:color w:val="0070C0"/>
          <w:sz w:val="24"/>
          <w:szCs w:val="24"/>
          <w:lang w:val="en-US"/>
        </w:rPr>
        <w:t xml:space="preserve">answer to question 5a) </w:t>
      </w:r>
      <w:r w:rsidR="005402FA">
        <w:rPr>
          <w:rFonts w:ascii="Arial" w:hAnsi="Arial" w:cs="Arial"/>
          <w:bCs/>
          <w:color w:val="0070C0"/>
          <w:sz w:val="24"/>
          <w:szCs w:val="24"/>
          <w:lang w:val="en-US"/>
        </w:rPr>
        <w:t>and revised GA Analysis Workform</w:t>
      </w:r>
      <w:r w:rsidR="005402FA" w:rsidRPr="008858E0">
        <w:rPr>
          <w:rFonts w:ascii="Arial" w:hAnsi="Arial" w:cs="Arial"/>
          <w:bCs/>
          <w:color w:val="0070C0"/>
          <w:sz w:val="24"/>
          <w:szCs w:val="24"/>
          <w:lang w:val="en-US"/>
        </w:rPr>
        <w:t>.</w:t>
      </w:r>
    </w:p>
    <w:p w14:paraId="4A0AE54A" w14:textId="77777777" w:rsidR="00A350EF" w:rsidRPr="005402FA" w:rsidRDefault="00A350EF" w:rsidP="00A350EF">
      <w:pPr>
        <w:pStyle w:val="ListParagraph"/>
        <w:ind w:left="1440"/>
        <w:rPr>
          <w:rFonts w:ascii="Arial" w:hAnsi="Arial" w:cs="Arial"/>
          <w:bCs/>
          <w:sz w:val="24"/>
          <w:szCs w:val="24"/>
          <w:lang w:val="en-US"/>
        </w:rPr>
      </w:pPr>
    </w:p>
    <w:p w14:paraId="1F0B1835" w14:textId="77777777" w:rsidR="00A350EF" w:rsidRDefault="00A350EF" w:rsidP="00A350EF">
      <w:pPr>
        <w:pStyle w:val="ListParagraph"/>
        <w:numPr>
          <w:ilvl w:val="0"/>
          <w:numId w:val="15"/>
        </w:numPr>
        <w:rPr>
          <w:rFonts w:ascii="Arial" w:hAnsi="Arial" w:cs="Arial"/>
          <w:sz w:val="24"/>
          <w:szCs w:val="24"/>
        </w:rPr>
      </w:pPr>
      <w:r>
        <w:rPr>
          <w:rFonts w:ascii="Arial" w:hAnsi="Arial" w:cs="Arial"/>
          <w:sz w:val="24"/>
          <w:szCs w:val="24"/>
        </w:rPr>
        <w:t>OEB staff compiled the following table to show 2018 billed consumption for non-RPP class B customers</w:t>
      </w:r>
      <w:r w:rsidRPr="00625C82">
        <w:rPr>
          <w:rFonts w:ascii="Arial" w:hAnsi="Arial" w:cs="Arial"/>
          <w:sz w:val="24"/>
          <w:szCs w:val="24"/>
        </w:rPr>
        <w:t xml:space="preserve"> </w:t>
      </w:r>
      <w:r>
        <w:rPr>
          <w:rFonts w:ascii="Arial" w:hAnsi="Arial" w:cs="Arial"/>
          <w:sz w:val="24"/>
          <w:szCs w:val="24"/>
        </w:rPr>
        <w:t>and the calculated loss factor:</w:t>
      </w:r>
    </w:p>
    <w:tbl>
      <w:tblPr>
        <w:tblStyle w:val="TableGrid"/>
        <w:tblW w:w="9630" w:type="dxa"/>
        <w:tblInd w:w="355" w:type="dxa"/>
        <w:tblLook w:val="04A0" w:firstRow="1" w:lastRow="0" w:firstColumn="1" w:lastColumn="0" w:noHBand="0" w:noVBand="1"/>
      </w:tblPr>
      <w:tblGrid>
        <w:gridCol w:w="3600"/>
        <w:gridCol w:w="990"/>
        <w:gridCol w:w="2430"/>
        <w:gridCol w:w="2610"/>
      </w:tblGrid>
      <w:tr w:rsidR="00A350EF" w:rsidRPr="000E366C" w14:paraId="14D16DF3" w14:textId="77777777" w:rsidTr="002B4F62">
        <w:tc>
          <w:tcPr>
            <w:tcW w:w="3600" w:type="dxa"/>
          </w:tcPr>
          <w:p w14:paraId="07AC784F" w14:textId="77777777" w:rsidR="00A350EF" w:rsidRPr="00105D73" w:rsidRDefault="00A350EF" w:rsidP="002B4F62">
            <w:pPr>
              <w:jc w:val="center"/>
              <w:rPr>
                <w:rFonts w:ascii="Arial" w:hAnsi="Arial" w:cs="Arial"/>
                <w:b/>
              </w:rPr>
            </w:pPr>
            <w:r w:rsidRPr="00105D73">
              <w:rPr>
                <w:rFonts w:ascii="Arial" w:hAnsi="Arial" w:cs="Arial"/>
                <w:b/>
              </w:rPr>
              <w:t>Tab 2018 GA</w:t>
            </w:r>
          </w:p>
        </w:tc>
        <w:tc>
          <w:tcPr>
            <w:tcW w:w="990" w:type="dxa"/>
          </w:tcPr>
          <w:p w14:paraId="7E901403" w14:textId="77777777" w:rsidR="00A350EF" w:rsidRPr="00105D73" w:rsidRDefault="00A350EF" w:rsidP="002B4F62">
            <w:pPr>
              <w:jc w:val="center"/>
              <w:rPr>
                <w:rFonts w:ascii="Arial" w:hAnsi="Arial" w:cs="Arial"/>
                <w:b/>
              </w:rPr>
            </w:pPr>
          </w:p>
        </w:tc>
        <w:tc>
          <w:tcPr>
            <w:tcW w:w="5040" w:type="dxa"/>
            <w:gridSpan w:val="2"/>
          </w:tcPr>
          <w:p w14:paraId="785CA275" w14:textId="77777777" w:rsidR="00A350EF" w:rsidRPr="00105D73" w:rsidRDefault="00A350EF" w:rsidP="002B4F62">
            <w:pPr>
              <w:jc w:val="center"/>
              <w:rPr>
                <w:rFonts w:ascii="Arial" w:hAnsi="Arial" w:cs="Arial"/>
                <w:b/>
              </w:rPr>
            </w:pPr>
            <w:r w:rsidRPr="00105D73">
              <w:rPr>
                <w:rFonts w:ascii="Arial" w:hAnsi="Arial" w:cs="Arial"/>
                <w:b/>
              </w:rPr>
              <w:t>2018</w:t>
            </w:r>
          </w:p>
        </w:tc>
      </w:tr>
      <w:tr w:rsidR="00A350EF" w:rsidRPr="000E366C" w14:paraId="7A5A13BE" w14:textId="77777777" w:rsidTr="002B4F62">
        <w:tc>
          <w:tcPr>
            <w:tcW w:w="3600" w:type="dxa"/>
          </w:tcPr>
          <w:p w14:paraId="4173B81A" w14:textId="77777777" w:rsidR="00A350EF" w:rsidRPr="000E366C" w:rsidRDefault="00A350EF" w:rsidP="002B4F62">
            <w:pPr>
              <w:rPr>
                <w:rFonts w:ascii="Arial" w:hAnsi="Arial" w:cs="Arial"/>
                <w:bCs/>
              </w:rPr>
            </w:pPr>
          </w:p>
        </w:tc>
        <w:tc>
          <w:tcPr>
            <w:tcW w:w="990" w:type="dxa"/>
          </w:tcPr>
          <w:p w14:paraId="0F6A9976" w14:textId="77777777" w:rsidR="00A350EF" w:rsidRPr="0059445B" w:rsidRDefault="00A350EF" w:rsidP="002B4F62">
            <w:pPr>
              <w:jc w:val="center"/>
              <w:rPr>
                <w:rFonts w:ascii="Arial" w:hAnsi="Arial" w:cs="Arial"/>
                <w:bCs/>
              </w:rPr>
            </w:pPr>
            <w:r w:rsidRPr="0059445B">
              <w:rPr>
                <w:rFonts w:ascii="Arial" w:hAnsi="Arial" w:cs="Arial"/>
                <w:bCs/>
              </w:rPr>
              <w:t>Line</w:t>
            </w:r>
          </w:p>
        </w:tc>
        <w:tc>
          <w:tcPr>
            <w:tcW w:w="2430" w:type="dxa"/>
          </w:tcPr>
          <w:p w14:paraId="078DF972" w14:textId="64F886C6" w:rsidR="00A350EF" w:rsidRPr="0059445B" w:rsidRDefault="00A350EF" w:rsidP="002B4F62">
            <w:pPr>
              <w:jc w:val="center"/>
              <w:rPr>
                <w:rFonts w:ascii="Arial" w:hAnsi="Arial" w:cs="Arial"/>
                <w:bCs/>
              </w:rPr>
            </w:pPr>
            <w:r w:rsidRPr="0059445B">
              <w:rPr>
                <w:rFonts w:ascii="Arial" w:hAnsi="Arial" w:cs="Arial"/>
                <w:bCs/>
              </w:rPr>
              <w:t>“Previous” GA Workform filed in 2020 IRM proceeding (</w:t>
            </w:r>
            <w:r w:rsidR="00BA6E5D">
              <w:rPr>
                <w:rFonts w:ascii="Arial" w:hAnsi="Arial" w:cs="Arial"/>
                <w:bCs/>
              </w:rPr>
              <w:t>kWh</w:t>
            </w:r>
            <w:r w:rsidRPr="0059445B">
              <w:rPr>
                <w:rFonts w:ascii="Arial" w:hAnsi="Arial" w:cs="Arial"/>
                <w:bCs/>
              </w:rPr>
              <w:t>)</w:t>
            </w:r>
          </w:p>
          <w:p w14:paraId="6CA73904" w14:textId="77777777" w:rsidR="00A350EF" w:rsidRPr="0059445B" w:rsidRDefault="00A350EF" w:rsidP="002B4F62">
            <w:pPr>
              <w:jc w:val="center"/>
              <w:rPr>
                <w:rFonts w:ascii="Arial" w:hAnsi="Arial" w:cs="Arial"/>
                <w:bCs/>
              </w:rPr>
            </w:pPr>
            <w:r w:rsidRPr="0059445B">
              <w:rPr>
                <w:rFonts w:ascii="Arial" w:hAnsi="Arial" w:cs="Arial"/>
                <w:bCs/>
              </w:rPr>
              <w:t>Col. 1</w:t>
            </w:r>
          </w:p>
        </w:tc>
        <w:tc>
          <w:tcPr>
            <w:tcW w:w="2610" w:type="dxa"/>
          </w:tcPr>
          <w:p w14:paraId="66434DE7" w14:textId="0721AA75" w:rsidR="00A350EF" w:rsidRPr="0059445B" w:rsidRDefault="00A350EF" w:rsidP="002B4F62">
            <w:pPr>
              <w:jc w:val="center"/>
              <w:rPr>
                <w:rFonts w:ascii="Arial" w:hAnsi="Arial" w:cs="Arial"/>
                <w:bCs/>
              </w:rPr>
            </w:pPr>
            <w:r w:rsidRPr="0059445B">
              <w:rPr>
                <w:rFonts w:ascii="Arial" w:hAnsi="Arial" w:cs="Arial"/>
                <w:bCs/>
              </w:rPr>
              <w:t>“Updated” GA Workform filed in 2021 IRM proceeding (</w:t>
            </w:r>
            <w:r w:rsidR="00BA6E5D">
              <w:rPr>
                <w:rFonts w:ascii="Arial" w:hAnsi="Arial" w:cs="Arial"/>
                <w:bCs/>
              </w:rPr>
              <w:t>kWh</w:t>
            </w:r>
            <w:r w:rsidRPr="0059445B">
              <w:rPr>
                <w:rFonts w:ascii="Arial" w:hAnsi="Arial" w:cs="Arial"/>
                <w:bCs/>
              </w:rPr>
              <w:t>)</w:t>
            </w:r>
          </w:p>
          <w:p w14:paraId="3F109612" w14:textId="77777777" w:rsidR="00A350EF" w:rsidRPr="0059445B" w:rsidRDefault="00A350EF" w:rsidP="002B4F62">
            <w:pPr>
              <w:jc w:val="center"/>
              <w:rPr>
                <w:rFonts w:ascii="Arial" w:hAnsi="Arial" w:cs="Arial"/>
                <w:bCs/>
              </w:rPr>
            </w:pPr>
            <w:r w:rsidRPr="0059445B">
              <w:rPr>
                <w:rFonts w:ascii="Arial" w:hAnsi="Arial" w:cs="Arial"/>
                <w:bCs/>
              </w:rPr>
              <w:t>Col. 2</w:t>
            </w:r>
          </w:p>
        </w:tc>
      </w:tr>
      <w:tr w:rsidR="00A350EF" w:rsidRPr="000E366C" w14:paraId="3CC63234" w14:textId="77777777" w:rsidTr="002B4F62">
        <w:trPr>
          <w:trHeight w:val="620"/>
        </w:trPr>
        <w:tc>
          <w:tcPr>
            <w:tcW w:w="3600" w:type="dxa"/>
            <w:vAlign w:val="center"/>
          </w:tcPr>
          <w:p w14:paraId="6CB44CBE" w14:textId="394E1579" w:rsidR="00A350EF" w:rsidRPr="000E366C" w:rsidRDefault="00A350EF" w:rsidP="002B4F62">
            <w:pPr>
              <w:rPr>
                <w:rFonts w:ascii="Arial" w:hAnsi="Arial" w:cs="Arial"/>
                <w:bCs/>
              </w:rPr>
            </w:pPr>
            <w:r w:rsidRPr="000E366C">
              <w:rPr>
                <w:rFonts w:ascii="Arial" w:hAnsi="Arial" w:cs="Arial"/>
                <w:bCs/>
              </w:rPr>
              <w:lastRenderedPageBreak/>
              <w:t xml:space="preserve">Billed </w:t>
            </w:r>
            <w:r w:rsidR="00BA6E5D">
              <w:rPr>
                <w:rFonts w:ascii="Arial" w:hAnsi="Arial" w:cs="Arial"/>
                <w:bCs/>
              </w:rPr>
              <w:t>kWh</w:t>
            </w:r>
            <w:r w:rsidRPr="000E366C">
              <w:rPr>
                <w:rFonts w:ascii="Arial" w:hAnsi="Arial" w:cs="Arial"/>
                <w:bCs/>
              </w:rPr>
              <w:t xml:space="preserve"> for non-RPP class B, including loss adjustment </w:t>
            </w:r>
          </w:p>
        </w:tc>
        <w:tc>
          <w:tcPr>
            <w:tcW w:w="990" w:type="dxa"/>
          </w:tcPr>
          <w:p w14:paraId="5BF10471" w14:textId="77777777" w:rsidR="00A350EF" w:rsidRPr="0059445B" w:rsidRDefault="00A350EF" w:rsidP="002B4F62">
            <w:pPr>
              <w:jc w:val="center"/>
              <w:rPr>
                <w:rFonts w:ascii="Arial" w:hAnsi="Arial" w:cs="Arial"/>
                <w:bCs/>
              </w:rPr>
            </w:pPr>
            <w:r w:rsidRPr="0059445B">
              <w:rPr>
                <w:rFonts w:ascii="Arial" w:hAnsi="Arial" w:cs="Arial"/>
                <w:bCs/>
              </w:rPr>
              <w:t>A</w:t>
            </w:r>
          </w:p>
        </w:tc>
        <w:tc>
          <w:tcPr>
            <w:tcW w:w="2430" w:type="dxa"/>
            <w:vAlign w:val="center"/>
          </w:tcPr>
          <w:p w14:paraId="484440C9" w14:textId="77777777" w:rsidR="00A350EF" w:rsidRPr="0059445B" w:rsidRDefault="00A350EF" w:rsidP="002B4F62">
            <w:pPr>
              <w:jc w:val="center"/>
              <w:rPr>
                <w:rFonts w:ascii="Arial" w:hAnsi="Arial" w:cs="Arial"/>
                <w:bCs/>
              </w:rPr>
            </w:pPr>
            <w:r w:rsidRPr="0059445B">
              <w:rPr>
                <w:rFonts w:ascii="Arial" w:hAnsi="Arial" w:cs="Arial"/>
                <w:bCs/>
              </w:rPr>
              <w:t>69,699,047</w:t>
            </w:r>
          </w:p>
        </w:tc>
        <w:tc>
          <w:tcPr>
            <w:tcW w:w="2610" w:type="dxa"/>
            <w:vAlign w:val="center"/>
          </w:tcPr>
          <w:p w14:paraId="7D7641C6" w14:textId="77777777" w:rsidR="00A350EF" w:rsidRPr="0059445B" w:rsidRDefault="00A350EF" w:rsidP="002B4F62">
            <w:pPr>
              <w:jc w:val="center"/>
              <w:rPr>
                <w:rFonts w:ascii="Arial" w:hAnsi="Arial" w:cs="Arial"/>
                <w:bCs/>
              </w:rPr>
            </w:pPr>
            <w:r w:rsidRPr="0059445B">
              <w:rPr>
                <w:rFonts w:ascii="Arial" w:hAnsi="Arial" w:cs="Arial"/>
                <w:bCs/>
              </w:rPr>
              <w:t>69,416,007</w:t>
            </w:r>
          </w:p>
        </w:tc>
      </w:tr>
      <w:tr w:rsidR="00A350EF" w:rsidRPr="000E366C" w14:paraId="76DE6035" w14:textId="77777777" w:rsidTr="002B4F62">
        <w:trPr>
          <w:trHeight w:val="620"/>
        </w:trPr>
        <w:tc>
          <w:tcPr>
            <w:tcW w:w="3600" w:type="dxa"/>
            <w:vAlign w:val="center"/>
          </w:tcPr>
          <w:p w14:paraId="1A80D6AD" w14:textId="5B1F8B11" w:rsidR="00A350EF" w:rsidRDefault="00A350EF" w:rsidP="002B4F62">
            <w:pPr>
              <w:rPr>
                <w:rFonts w:ascii="Arial" w:hAnsi="Arial" w:cs="Arial"/>
                <w:bCs/>
              </w:rPr>
            </w:pPr>
            <w:r w:rsidRPr="000E366C">
              <w:rPr>
                <w:rFonts w:ascii="Arial" w:hAnsi="Arial" w:cs="Arial"/>
                <w:bCs/>
              </w:rPr>
              <w:t xml:space="preserve">Actual </w:t>
            </w:r>
            <w:r w:rsidR="00BA6E5D">
              <w:rPr>
                <w:rFonts w:ascii="Arial" w:hAnsi="Arial" w:cs="Arial"/>
                <w:bCs/>
              </w:rPr>
              <w:t>kWh</w:t>
            </w:r>
            <w:r w:rsidRPr="000E366C">
              <w:rPr>
                <w:rFonts w:ascii="Arial" w:hAnsi="Arial" w:cs="Arial"/>
                <w:bCs/>
              </w:rPr>
              <w:t xml:space="preserve"> for non-RPP class B </w:t>
            </w:r>
          </w:p>
          <w:p w14:paraId="5BB85FE5" w14:textId="77777777" w:rsidR="00A350EF" w:rsidRPr="000E366C" w:rsidRDefault="00A350EF" w:rsidP="002B4F62">
            <w:pPr>
              <w:rPr>
                <w:rFonts w:ascii="Arial" w:hAnsi="Arial" w:cs="Arial"/>
                <w:bCs/>
              </w:rPr>
            </w:pPr>
          </w:p>
        </w:tc>
        <w:tc>
          <w:tcPr>
            <w:tcW w:w="990" w:type="dxa"/>
          </w:tcPr>
          <w:p w14:paraId="4B43C51C" w14:textId="77777777" w:rsidR="00A350EF" w:rsidRPr="0059445B" w:rsidRDefault="00A350EF" w:rsidP="002B4F62">
            <w:pPr>
              <w:jc w:val="center"/>
              <w:rPr>
                <w:rFonts w:ascii="Arial" w:hAnsi="Arial" w:cs="Arial"/>
                <w:bCs/>
              </w:rPr>
            </w:pPr>
            <w:r w:rsidRPr="0059445B">
              <w:rPr>
                <w:rFonts w:ascii="Arial" w:hAnsi="Arial" w:cs="Arial"/>
                <w:bCs/>
              </w:rPr>
              <w:t>B</w:t>
            </w:r>
          </w:p>
        </w:tc>
        <w:tc>
          <w:tcPr>
            <w:tcW w:w="2430" w:type="dxa"/>
            <w:vAlign w:val="center"/>
          </w:tcPr>
          <w:p w14:paraId="01ED92C0" w14:textId="77777777" w:rsidR="00A350EF" w:rsidRPr="0059445B" w:rsidRDefault="00A350EF" w:rsidP="002B4F62">
            <w:pPr>
              <w:jc w:val="center"/>
              <w:rPr>
                <w:rFonts w:ascii="Arial" w:hAnsi="Arial" w:cs="Arial"/>
                <w:bCs/>
              </w:rPr>
            </w:pPr>
            <w:r w:rsidRPr="0059445B">
              <w:rPr>
                <w:rFonts w:ascii="Arial" w:hAnsi="Arial" w:cs="Arial"/>
                <w:bCs/>
              </w:rPr>
              <w:t>66,297,565</w:t>
            </w:r>
          </w:p>
        </w:tc>
        <w:tc>
          <w:tcPr>
            <w:tcW w:w="2610" w:type="dxa"/>
            <w:vAlign w:val="center"/>
          </w:tcPr>
          <w:p w14:paraId="12237F7C" w14:textId="77777777" w:rsidR="00A350EF" w:rsidRPr="0059445B" w:rsidRDefault="00A350EF" w:rsidP="002B4F62">
            <w:pPr>
              <w:jc w:val="center"/>
              <w:rPr>
                <w:rFonts w:ascii="Arial" w:hAnsi="Arial" w:cs="Arial"/>
                <w:bCs/>
              </w:rPr>
            </w:pPr>
            <w:r w:rsidRPr="0059445B">
              <w:rPr>
                <w:rFonts w:ascii="Arial" w:hAnsi="Arial" w:cs="Arial"/>
                <w:bCs/>
              </w:rPr>
              <w:t>64,652,489</w:t>
            </w:r>
          </w:p>
        </w:tc>
      </w:tr>
      <w:tr w:rsidR="00A350EF" w:rsidRPr="000E366C" w14:paraId="207957E0" w14:textId="77777777" w:rsidTr="002B4F62">
        <w:trPr>
          <w:trHeight w:val="332"/>
        </w:trPr>
        <w:tc>
          <w:tcPr>
            <w:tcW w:w="3600" w:type="dxa"/>
            <w:vAlign w:val="center"/>
          </w:tcPr>
          <w:p w14:paraId="4C1DCFE2" w14:textId="77777777" w:rsidR="00A350EF" w:rsidRPr="000E366C" w:rsidRDefault="00A350EF" w:rsidP="002B4F62">
            <w:pPr>
              <w:rPr>
                <w:rFonts w:ascii="Arial" w:hAnsi="Arial" w:cs="Arial"/>
                <w:bCs/>
              </w:rPr>
            </w:pPr>
            <w:r>
              <w:rPr>
                <w:rFonts w:ascii="Arial" w:hAnsi="Arial" w:cs="Arial"/>
                <w:bCs/>
              </w:rPr>
              <w:t>Class A volumes</w:t>
            </w:r>
          </w:p>
        </w:tc>
        <w:tc>
          <w:tcPr>
            <w:tcW w:w="990" w:type="dxa"/>
          </w:tcPr>
          <w:p w14:paraId="2EBCEA0B" w14:textId="77777777" w:rsidR="00A350EF" w:rsidRPr="0059445B" w:rsidRDefault="00A350EF" w:rsidP="002B4F62">
            <w:pPr>
              <w:jc w:val="center"/>
              <w:rPr>
                <w:rFonts w:ascii="Arial" w:hAnsi="Arial" w:cs="Arial"/>
                <w:bCs/>
              </w:rPr>
            </w:pPr>
            <w:r w:rsidRPr="0059445B">
              <w:rPr>
                <w:rFonts w:ascii="Arial" w:hAnsi="Arial" w:cs="Arial"/>
                <w:bCs/>
              </w:rPr>
              <w:t>C</w:t>
            </w:r>
          </w:p>
        </w:tc>
        <w:tc>
          <w:tcPr>
            <w:tcW w:w="2430" w:type="dxa"/>
            <w:vAlign w:val="center"/>
          </w:tcPr>
          <w:p w14:paraId="206B72C7" w14:textId="77777777" w:rsidR="00A350EF" w:rsidRPr="0059445B" w:rsidRDefault="00A350EF" w:rsidP="002B4F62">
            <w:pPr>
              <w:jc w:val="center"/>
              <w:rPr>
                <w:rFonts w:ascii="Arial" w:hAnsi="Arial" w:cs="Arial"/>
                <w:bCs/>
              </w:rPr>
            </w:pPr>
            <w:r w:rsidRPr="0059445B">
              <w:rPr>
                <w:rFonts w:ascii="Arial" w:hAnsi="Arial" w:cs="Arial"/>
                <w:bCs/>
              </w:rPr>
              <w:t>13,396,041 *</w:t>
            </w:r>
          </w:p>
        </w:tc>
        <w:tc>
          <w:tcPr>
            <w:tcW w:w="2610" w:type="dxa"/>
            <w:vAlign w:val="center"/>
          </w:tcPr>
          <w:p w14:paraId="551EFA68" w14:textId="77777777" w:rsidR="00A350EF" w:rsidRPr="0059445B" w:rsidRDefault="00A350EF" w:rsidP="002B4F62">
            <w:pPr>
              <w:jc w:val="center"/>
              <w:rPr>
                <w:rFonts w:ascii="Arial" w:hAnsi="Arial" w:cs="Arial"/>
                <w:bCs/>
              </w:rPr>
            </w:pPr>
            <w:r w:rsidRPr="0059445B">
              <w:rPr>
                <w:rFonts w:ascii="Arial" w:hAnsi="Arial" w:cs="Arial"/>
                <w:bCs/>
              </w:rPr>
              <w:t>15,041,117</w:t>
            </w:r>
          </w:p>
        </w:tc>
      </w:tr>
      <w:tr w:rsidR="00A350EF" w:rsidRPr="000E366C" w14:paraId="7184186A" w14:textId="77777777" w:rsidTr="002B4F62">
        <w:trPr>
          <w:trHeight w:val="440"/>
        </w:trPr>
        <w:tc>
          <w:tcPr>
            <w:tcW w:w="3600" w:type="dxa"/>
            <w:vAlign w:val="center"/>
          </w:tcPr>
          <w:p w14:paraId="6A2CFC06" w14:textId="77777777" w:rsidR="00A350EF" w:rsidRPr="000E366C" w:rsidRDefault="00A350EF" w:rsidP="002B4F62">
            <w:pPr>
              <w:rPr>
                <w:rFonts w:ascii="Arial" w:hAnsi="Arial" w:cs="Arial"/>
                <w:bCs/>
              </w:rPr>
            </w:pPr>
            <w:r w:rsidRPr="000E366C">
              <w:rPr>
                <w:rFonts w:ascii="Arial" w:hAnsi="Arial" w:cs="Arial"/>
                <w:bCs/>
              </w:rPr>
              <w:t xml:space="preserve">Calculated loss factor </w:t>
            </w:r>
            <w:r w:rsidRPr="008951B5">
              <w:rPr>
                <w:rFonts w:ascii="Arial" w:hAnsi="Arial" w:cs="Arial"/>
                <w:bCs/>
              </w:rPr>
              <w:t>– A / B</w:t>
            </w:r>
          </w:p>
        </w:tc>
        <w:tc>
          <w:tcPr>
            <w:tcW w:w="990" w:type="dxa"/>
          </w:tcPr>
          <w:p w14:paraId="5ACD4F3D" w14:textId="77777777" w:rsidR="00A350EF" w:rsidRDefault="00A350EF" w:rsidP="002B4F62">
            <w:pPr>
              <w:jc w:val="center"/>
              <w:rPr>
                <w:rFonts w:ascii="Arial" w:hAnsi="Arial" w:cs="Arial"/>
                <w:bCs/>
              </w:rPr>
            </w:pPr>
          </w:p>
        </w:tc>
        <w:tc>
          <w:tcPr>
            <w:tcW w:w="2430" w:type="dxa"/>
            <w:vAlign w:val="center"/>
          </w:tcPr>
          <w:p w14:paraId="1165C7EE" w14:textId="77777777" w:rsidR="00A350EF" w:rsidRPr="000E366C" w:rsidRDefault="00A350EF" w:rsidP="002B4F62">
            <w:pPr>
              <w:jc w:val="center"/>
              <w:rPr>
                <w:rFonts w:ascii="Arial" w:hAnsi="Arial" w:cs="Arial"/>
                <w:bCs/>
              </w:rPr>
            </w:pPr>
            <w:r>
              <w:rPr>
                <w:rFonts w:ascii="Arial" w:hAnsi="Arial" w:cs="Arial"/>
                <w:bCs/>
              </w:rPr>
              <w:t>1.051</w:t>
            </w:r>
          </w:p>
        </w:tc>
        <w:tc>
          <w:tcPr>
            <w:tcW w:w="2610" w:type="dxa"/>
            <w:vAlign w:val="center"/>
          </w:tcPr>
          <w:p w14:paraId="08B3B71A" w14:textId="77777777" w:rsidR="00A350EF" w:rsidRPr="000E366C" w:rsidRDefault="00A350EF" w:rsidP="002B4F62">
            <w:pPr>
              <w:jc w:val="center"/>
              <w:rPr>
                <w:rFonts w:ascii="Arial" w:hAnsi="Arial" w:cs="Arial"/>
                <w:bCs/>
              </w:rPr>
            </w:pPr>
            <w:r>
              <w:rPr>
                <w:rFonts w:ascii="Arial" w:hAnsi="Arial" w:cs="Arial"/>
                <w:bCs/>
              </w:rPr>
              <w:t>1.074</w:t>
            </w:r>
          </w:p>
        </w:tc>
      </w:tr>
    </w:tbl>
    <w:p w14:paraId="73A98EA5" w14:textId="77777777" w:rsidR="00A350EF" w:rsidRPr="00566A01" w:rsidRDefault="00A350EF" w:rsidP="00A350EF">
      <w:pPr>
        <w:pStyle w:val="ListParagraph"/>
        <w:rPr>
          <w:rFonts w:ascii="Arial" w:hAnsi="Arial" w:cs="Arial"/>
          <w:bCs/>
          <w:sz w:val="20"/>
          <w:szCs w:val="20"/>
        </w:rPr>
      </w:pPr>
      <w:r w:rsidRPr="00566A01">
        <w:rPr>
          <w:rFonts w:ascii="Arial" w:hAnsi="Arial" w:cs="Arial"/>
          <w:bCs/>
          <w:sz w:val="20"/>
          <w:szCs w:val="20"/>
        </w:rPr>
        <w:t xml:space="preserve">* revised </w:t>
      </w:r>
      <w:r>
        <w:rPr>
          <w:rFonts w:ascii="Arial" w:hAnsi="Arial" w:cs="Arial"/>
          <w:bCs/>
          <w:sz w:val="20"/>
          <w:szCs w:val="20"/>
        </w:rPr>
        <w:t>in</w:t>
      </w:r>
      <w:r w:rsidRPr="00566A01">
        <w:rPr>
          <w:rFonts w:ascii="Arial" w:hAnsi="Arial" w:cs="Arial"/>
          <w:bCs/>
          <w:sz w:val="20"/>
          <w:szCs w:val="20"/>
        </w:rPr>
        <w:t xml:space="preserve"> </w:t>
      </w:r>
      <w:r w:rsidRPr="00566A01">
        <w:rPr>
          <w:rFonts w:ascii="Arial" w:hAnsi="Arial" w:cs="Arial"/>
          <w:sz w:val="20"/>
          <w:szCs w:val="20"/>
        </w:rPr>
        <w:t xml:space="preserve">Response to OEB Staff </w:t>
      </w:r>
      <w:r w:rsidRPr="00566A01">
        <w:rPr>
          <w:rFonts w:ascii="Arial" w:hAnsi="Arial" w:cs="Arial"/>
          <w:bCs/>
          <w:sz w:val="20"/>
          <w:szCs w:val="20"/>
        </w:rPr>
        <w:t xml:space="preserve">Question </w:t>
      </w:r>
      <w:r>
        <w:rPr>
          <w:rFonts w:ascii="Arial" w:hAnsi="Arial" w:cs="Arial"/>
          <w:bCs/>
          <w:sz w:val="20"/>
          <w:szCs w:val="20"/>
        </w:rPr>
        <w:t>#</w:t>
      </w:r>
      <w:r w:rsidRPr="00566A01">
        <w:rPr>
          <w:rFonts w:ascii="Arial" w:hAnsi="Arial" w:cs="Arial"/>
          <w:bCs/>
          <w:sz w:val="20"/>
          <w:szCs w:val="20"/>
        </w:rPr>
        <w:t>9 in 2020 IRM staff questions</w:t>
      </w:r>
    </w:p>
    <w:p w14:paraId="4AD23EC3" w14:textId="77777777" w:rsidR="00A350EF" w:rsidRPr="009D52DD" w:rsidRDefault="00A350EF" w:rsidP="00A350EF">
      <w:pPr>
        <w:pStyle w:val="ListParagraph"/>
        <w:rPr>
          <w:rFonts w:ascii="Arial" w:hAnsi="Arial" w:cs="Arial"/>
          <w:bCs/>
          <w:sz w:val="24"/>
          <w:szCs w:val="24"/>
        </w:rPr>
      </w:pPr>
    </w:p>
    <w:p w14:paraId="7EBE8B30" w14:textId="7103C89A" w:rsidR="00A350EF" w:rsidRDefault="00A350EF" w:rsidP="00A350EF">
      <w:pPr>
        <w:pStyle w:val="ListParagraph"/>
        <w:numPr>
          <w:ilvl w:val="0"/>
          <w:numId w:val="14"/>
        </w:numPr>
        <w:rPr>
          <w:rFonts w:ascii="Arial" w:hAnsi="Arial" w:cs="Arial"/>
          <w:bCs/>
          <w:sz w:val="24"/>
          <w:szCs w:val="24"/>
        </w:rPr>
      </w:pPr>
      <w:r w:rsidRPr="00A31531">
        <w:rPr>
          <w:rFonts w:ascii="Arial" w:hAnsi="Arial" w:cs="Arial"/>
          <w:bCs/>
          <w:sz w:val="24"/>
          <w:szCs w:val="24"/>
        </w:rPr>
        <w:t>At Line A, Column</w:t>
      </w:r>
      <w:r>
        <w:rPr>
          <w:rFonts w:ascii="Arial" w:hAnsi="Arial" w:cs="Arial"/>
          <w:bCs/>
          <w:sz w:val="24"/>
          <w:szCs w:val="24"/>
        </w:rPr>
        <w:t>s 1 and</w:t>
      </w:r>
      <w:r w:rsidRPr="00A31531">
        <w:rPr>
          <w:rFonts w:ascii="Arial" w:hAnsi="Arial" w:cs="Arial"/>
          <w:bCs/>
          <w:sz w:val="24"/>
          <w:szCs w:val="24"/>
        </w:rPr>
        <w:t xml:space="preserve"> 2, please explain why the billed consumption for non-RPP class B customers decreased from 69,699,047 </w:t>
      </w:r>
      <w:r w:rsidR="00BA6E5D">
        <w:rPr>
          <w:rFonts w:ascii="Arial" w:hAnsi="Arial" w:cs="Arial"/>
          <w:bCs/>
          <w:sz w:val="24"/>
          <w:szCs w:val="24"/>
        </w:rPr>
        <w:t>kWh</w:t>
      </w:r>
      <w:r w:rsidRPr="00A31531">
        <w:rPr>
          <w:rFonts w:ascii="Arial" w:hAnsi="Arial" w:cs="Arial"/>
          <w:bCs/>
          <w:sz w:val="24"/>
          <w:szCs w:val="24"/>
        </w:rPr>
        <w:t xml:space="preserve"> to 69,416,007 </w:t>
      </w:r>
      <w:r w:rsidR="00BA6E5D">
        <w:rPr>
          <w:rFonts w:ascii="Arial" w:hAnsi="Arial" w:cs="Arial"/>
          <w:bCs/>
          <w:sz w:val="24"/>
          <w:szCs w:val="24"/>
        </w:rPr>
        <w:t>kWh</w:t>
      </w:r>
      <w:r>
        <w:rPr>
          <w:rFonts w:ascii="Arial" w:hAnsi="Arial" w:cs="Arial"/>
          <w:bCs/>
          <w:sz w:val="24"/>
          <w:szCs w:val="24"/>
        </w:rPr>
        <w:t xml:space="preserve"> in 2018</w:t>
      </w:r>
      <w:r w:rsidRPr="00A31531">
        <w:rPr>
          <w:rFonts w:ascii="Arial" w:hAnsi="Arial" w:cs="Arial"/>
          <w:bCs/>
          <w:sz w:val="24"/>
          <w:szCs w:val="24"/>
        </w:rPr>
        <w:t xml:space="preserve">. </w:t>
      </w:r>
    </w:p>
    <w:p w14:paraId="3EDEAFF4" w14:textId="5BFF67AB" w:rsidR="002A276F" w:rsidRPr="00617167" w:rsidRDefault="007A12C3" w:rsidP="002A276F">
      <w:pPr>
        <w:ind w:left="1440"/>
        <w:rPr>
          <w:rFonts w:ascii="Arial" w:hAnsi="Arial" w:cs="Arial"/>
          <w:sz w:val="24"/>
          <w:szCs w:val="24"/>
          <w:lang w:val="en-US"/>
        </w:rPr>
      </w:pPr>
      <w:r w:rsidRPr="002A276F">
        <w:rPr>
          <w:rFonts w:ascii="Arial" w:hAnsi="Arial" w:cs="Arial"/>
          <w:b/>
          <w:color w:val="0070C0"/>
          <w:sz w:val="24"/>
          <w:szCs w:val="24"/>
          <w:lang w:val="en-US"/>
        </w:rPr>
        <w:t>HHI Response:</w:t>
      </w:r>
      <w:r w:rsidR="0069145A" w:rsidRPr="002A276F">
        <w:rPr>
          <w:rFonts w:ascii="Arial" w:hAnsi="Arial" w:cs="Arial"/>
          <w:b/>
          <w:color w:val="0070C0"/>
          <w:sz w:val="24"/>
          <w:szCs w:val="24"/>
          <w:lang w:val="en-US"/>
        </w:rPr>
        <w:t xml:space="preserve"> </w:t>
      </w:r>
      <w:r w:rsidR="002A276F" w:rsidRPr="008858E0">
        <w:rPr>
          <w:rFonts w:ascii="Arial" w:hAnsi="Arial" w:cs="Arial"/>
          <w:bCs/>
          <w:color w:val="0070C0"/>
          <w:sz w:val="24"/>
          <w:szCs w:val="24"/>
          <w:lang w:val="en-US"/>
        </w:rPr>
        <w:t xml:space="preserve">Please see </w:t>
      </w:r>
      <w:r w:rsidR="00BA6E5D">
        <w:rPr>
          <w:rFonts w:ascii="Arial" w:hAnsi="Arial" w:cs="Arial"/>
          <w:bCs/>
          <w:color w:val="0070C0"/>
          <w:sz w:val="24"/>
          <w:szCs w:val="24"/>
          <w:lang w:val="en-US"/>
        </w:rPr>
        <w:t xml:space="preserve">the </w:t>
      </w:r>
      <w:r w:rsidR="002A276F" w:rsidRPr="008858E0">
        <w:rPr>
          <w:rFonts w:ascii="Arial" w:hAnsi="Arial" w:cs="Arial"/>
          <w:bCs/>
          <w:color w:val="0070C0"/>
          <w:sz w:val="24"/>
          <w:szCs w:val="24"/>
          <w:lang w:val="en-US"/>
        </w:rPr>
        <w:t xml:space="preserve">answer to question 5a) </w:t>
      </w:r>
      <w:r w:rsidR="002A276F">
        <w:rPr>
          <w:rFonts w:ascii="Arial" w:hAnsi="Arial" w:cs="Arial"/>
          <w:bCs/>
          <w:color w:val="0070C0"/>
          <w:sz w:val="24"/>
          <w:szCs w:val="24"/>
          <w:lang w:val="en-US"/>
        </w:rPr>
        <w:t xml:space="preserve">and </w:t>
      </w:r>
      <w:r w:rsidR="00BA6E5D">
        <w:rPr>
          <w:rFonts w:ascii="Arial" w:hAnsi="Arial" w:cs="Arial"/>
          <w:bCs/>
          <w:color w:val="0070C0"/>
          <w:sz w:val="24"/>
          <w:szCs w:val="24"/>
          <w:lang w:val="en-US"/>
        </w:rPr>
        <w:t xml:space="preserve">the </w:t>
      </w:r>
      <w:r w:rsidR="002A276F">
        <w:rPr>
          <w:rFonts w:ascii="Arial" w:hAnsi="Arial" w:cs="Arial"/>
          <w:bCs/>
          <w:color w:val="0070C0"/>
          <w:sz w:val="24"/>
          <w:szCs w:val="24"/>
          <w:lang w:val="en-US"/>
        </w:rPr>
        <w:t>revised GA Analysis Workform</w:t>
      </w:r>
      <w:r w:rsidR="002A276F" w:rsidRPr="008858E0">
        <w:rPr>
          <w:rFonts w:ascii="Arial" w:hAnsi="Arial" w:cs="Arial"/>
          <w:bCs/>
          <w:color w:val="0070C0"/>
          <w:sz w:val="24"/>
          <w:szCs w:val="24"/>
          <w:lang w:val="en-US"/>
        </w:rPr>
        <w:t>.</w:t>
      </w:r>
    </w:p>
    <w:p w14:paraId="6EEEB429" w14:textId="77777777" w:rsidR="00A350EF" w:rsidRPr="002A276F" w:rsidRDefault="00A350EF" w:rsidP="00A350EF">
      <w:pPr>
        <w:pStyle w:val="ListParagraph"/>
        <w:ind w:left="1440"/>
        <w:rPr>
          <w:rFonts w:ascii="Arial" w:hAnsi="Arial" w:cs="Arial"/>
          <w:bCs/>
          <w:sz w:val="24"/>
          <w:szCs w:val="24"/>
          <w:lang w:val="en-US"/>
        </w:rPr>
      </w:pPr>
    </w:p>
    <w:p w14:paraId="56826F52" w14:textId="10195750" w:rsidR="00A350EF" w:rsidRDefault="00A350EF" w:rsidP="00A350EF">
      <w:pPr>
        <w:pStyle w:val="ListParagraph"/>
        <w:numPr>
          <w:ilvl w:val="0"/>
          <w:numId w:val="14"/>
        </w:numPr>
        <w:rPr>
          <w:rFonts w:ascii="Arial" w:hAnsi="Arial" w:cs="Arial"/>
          <w:bCs/>
          <w:sz w:val="24"/>
          <w:szCs w:val="24"/>
        </w:rPr>
      </w:pPr>
      <w:r w:rsidRPr="00A31531">
        <w:rPr>
          <w:rFonts w:ascii="Arial" w:hAnsi="Arial" w:cs="Arial"/>
          <w:bCs/>
          <w:sz w:val="24"/>
          <w:szCs w:val="24"/>
        </w:rPr>
        <w:t xml:space="preserve">At Line C, Column 2, please confirm accuracy of the Class A volumes of 15,041,117 </w:t>
      </w:r>
      <w:r w:rsidR="00BA6E5D">
        <w:rPr>
          <w:rFonts w:ascii="Arial" w:hAnsi="Arial" w:cs="Arial"/>
          <w:bCs/>
          <w:sz w:val="24"/>
          <w:szCs w:val="24"/>
        </w:rPr>
        <w:t>kWh</w:t>
      </w:r>
      <w:r w:rsidRPr="00A31531">
        <w:rPr>
          <w:rFonts w:ascii="Arial" w:hAnsi="Arial" w:cs="Arial"/>
          <w:bCs/>
          <w:sz w:val="24"/>
          <w:szCs w:val="24"/>
        </w:rPr>
        <w:t xml:space="preserve"> </w:t>
      </w:r>
      <w:r>
        <w:rPr>
          <w:rFonts w:ascii="Arial" w:hAnsi="Arial" w:cs="Arial"/>
          <w:bCs/>
          <w:sz w:val="24"/>
          <w:szCs w:val="24"/>
        </w:rPr>
        <w:t xml:space="preserve">in the GA Analysis Workform submitted in this proceeding. </w:t>
      </w:r>
      <w:r w:rsidRPr="00A31531">
        <w:rPr>
          <w:rFonts w:ascii="Arial" w:hAnsi="Arial" w:cs="Arial"/>
          <w:bCs/>
          <w:sz w:val="24"/>
          <w:szCs w:val="24"/>
        </w:rPr>
        <w:t xml:space="preserve"> </w:t>
      </w:r>
    </w:p>
    <w:p w14:paraId="61223B61" w14:textId="7038DF6A" w:rsidR="002A276F" w:rsidRPr="00617167" w:rsidRDefault="007A12C3" w:rsidP="002A276F">
      <w:pPr>
        <w:ind w:left="1440"/>
        <w:rPr>
          <w:rFonts w:ascii="Arial" w:hAnsi="Arial" w:cs="Arial"/>
          <w:sz w:val="24"/>
          <w:szCs w:val="24"/>
          <w:lang w:val="en-US"/>
        </w:rPr>
      </w:pPr>
      <w:r w:rsidRPr="002A276F">
        <w:rPr>
          <w:rFonts w:ascii="Arial" w:hAnsi="Arial" w:cs="Arial"/>
          <w:b/>
          <w:color w:val="0070C0"/>
          <w:sz w:val="24"/>
          <w:szCs w:val="24"/>
          <w:lang w:val="en-US"/>
        </w:rPr>
        <w:t>HHI Response:</w:t>
      </w:r>
      <w:r w:rsidR="00CE7A73" w:rsidRPr="002A276F">
        <w:rPr>
          <w:rFonts w:ascii="Arial" w:hAnsi="Arial" w:cs="Arial"/>
          <w:b/>
          <w:color w:val="0070C0"/>
          <w:sz w:val="24"/>
          <w:szCs w:val="24"/>
          <w:lang w:val="en-US"/>
        </w:rPr>
        <w:t xml:space="preserve"> </w:t>
      </w:r>
      <w:r w:rsidR="002A276F" w:rsidRPr="008858E0">
        <w:rPr>
          <w:rFonts w:ascii="Arial" w:hAnsi="Arial" w:cs="Arial"/>
          <w:bCs/>
          <w:color w:val="0070C0"/>
          <w:sz w:val="24"/>
          <w:szCs w:val="24"/>
          <w:lang w:val="en-US"/>
        </w:rPr>
        <w:t xml:space="preserve">Please see </w:t>
      </w:r>
      <w:r w:rsidR="00BA6E5D">
        <w:rPr>
          <w:rFonts w:ascii="Arial" w:hAnsi="Arial" w:cs="Arial"/>
          <w:bCs/>
          <w:color w:val="0070C0"/>
          <w:sz w:val="24"/>
          <w:szCs w:val="24"/>
          <w:lang w:val="en-US"/>
        </w:rPr>
        <w:t xml:space="preserve">the </w:t>
      </w:r>
      <w:r w:rsidR="002A276F" w:rsidRPr="008858E0">
        <w:rPr>
          <w:rFonts w:ascii="Arial" w:hAnsi="Arial" w:cs="Arial"/>
          <w:bCs/>
          <w:color w:val="0070C0"/>
          <w:sz w:val="24"/>
          <w:szCs w:val="24"/>
          <w:lang w:val="en-US"/>
        </w:rPr>
        <w:t xml:space="preserve">answer to question 5a) </w:t>
      </w:r>
      <w:r w:rsidR="002A276F">
        <w:rPr>
          <w:rFonts w:ascii="Arial" w:hAnsi="Arial" w:cs="Arial"/>
          <w:bCs/>
          <w:color w:val="0070C0"/>
          <w:sz w:val="24"/>
          <w:szCs w:val="24"/>
          <w:lang w:val="en-US"/>
        </w:rPr>
        <w:t xml:space="preserve">and </w:t>
      </w:r>
      <w:r w:rsidR="00BA6E5D">
        <w:rPr>
          <w:rFonts w:ascii="Arial" w:hAnsi="Arial" w:cs="Arial"/>
          <w:bCs/>
          <w:color w:val="0070C0"/>
          <w:sz w:val="24"/>
          <w:szCs w:val="24"/>
          <w:lang w:val="en-US"/>
        </w:rPr>
        <w:t xml:space="preserve">the </w:t>
      </w:r>
      <w:r w:rsidR="002A276F">
        <w:rPr>
          <w:rFonts w:ascii="Arial" w:hAnsi="Arial" w:cs="Arial"/>
          <w:bCs/>
          <w:color w:val="0070C0"/>
          <w:sz w:val="24"/>
          <w:szCs w:val="24"/>
          <w:lang w:val="en-US"/>
        </w:rPr>
        <w:t>revised GA Analysis Workform</w:t>
      </w:r>
      <w:r w:rsidR="002A276F" w:rsidRPr="008858E0">
        <w:rPr>
          <w:rFonts w:ascii="Arial" w:hAnsi="Arial" w:cs="Arial"/>
          <w:bCs/>
          <w:color w:val="0070C0"/>
          <w:sz w:val="24"/>
          <w:szCs w:val="24"/>
          <w:lang w:val="en-US"/>
        </w:rPr>
        <w:t>.</w:t>
      </w:r>
    </w:p>
    <w:p w14:paraId="64F58251" w14:textId="77777777" w:rsidR="00A350EF" w:rsidRPr="002A276F" w:rsidRDefault="00A350EF" w:rsidP="00A350EF">
      <w:pPr>
        <w:pStyle w:val="ListParagraph"/>
        <w:ind w:left="1440"/>
        <w:rPr>
          <w:rFonts w:ascii="Arial" w:hAnsi="Arial" w:cs="Arial"/>
          <w:bCs/>
          <w:sz w:val="24"/>
          <w:szCs w:val="24"/>
          <w:lang w:val="en-US"/>
        </w:rPr>
      </w:pPr>
    </w:p>
    <w:p w14:paraId="39953BFC" w14:textId="41ECABCC" w:rsidR="00A350EF" w:rsidRPr="007A12C3" w:rsidRDefault="00A350EF" w:rsidP="007A12C3">
      <w:pPr>
        <w:pStyle w:val="ListParagraph"/>
        <w:numPr>
          <w:ilvl w:val="0"/>
          <w:numId w:val="15"/>
        </w:numPr>
        <w:rPr>
          <w:rFonts w:ascii="Arial" w:hAnsi="Arial" w:cs="Arial"/>
          <w:bCs/>
          <w:sz w:val="24"/>
          <w:szCs w:val="24"/>
        </w:rPr>
      </w:pPr>
      <w:r w:rsidRPr="00A31531">
        <w:rPr>
          <w:rFonts w:ascii="Arial" w:hAnsi="Arial" w:cs="Arial"/>
          <w:bCs/>
          <w:sz w:val="24"/>
          <w:szCs w:val="24"/>
        </w:rPr>
        <w:t xml:space="preserve">In the 2019 GA Tab, it appears that the difference between the calculated and approved loss factor is </w:t>
      </w:r>
      <w:r>
        <w:rPr>
          <w:rFonts w:ascii="Arial" w:hAnsi="Arial" w:cs="Arial"/>
          <w:bCs/>
          <w:sz w:val="24"/>
          <w:szCs w:val="24"/>
        </w:rPr>
        <w:t>greater</w:t>
      </w:r>
      <w:r w:rsidRPr="00A31531">
        <w:rPr>
          <w:rFonts w:ascii="Arial" w:hAnsi="Arial" w:cs="Arial"/>
          <w:bCs/>
          <w:sz w:val="24"/>
          <w:szCs w:val="24"/>
        </w:rPr>
        <w:t xml:space="preserve"> than 1% (</w:t>
      </w:r>
      <w:proofErr w:type="gramStart"/>
      <w:r w:rsidRPr="00A31531">
        <w:rPr>
          <w:rFonts w:ascii="Arial" w:hAnsi="Arial" w:cs="Arial"/>
          <w:bCs/>
          <w:sz w:val="24"/>
          <w:szCs w:val="24"/>
        </w:rPr>
        <w:t>i.e.</w:t>
      </w:r>
      <w:proofErr w:type="gramEnd"/>
      <w:r w:rsidRPr="00A31531">
        <w:rPr>
          <w:rFonts w:ascii="Arial" w:hAnsi="Arial" w:cs="Arial"/>
          <w:bCs/>
          <w:sz w:val="24"/>
          <w:szCs w:val="24"/>
        </w:rPr>
        <w:t xml:space="preserve"> </w:t>
      </w:r>
      <w:r w:rsidRPr="007A12C3">
        <w:rPr>
          <w:rFonts w:ascii="Arial" w:hAnsi="Arial" w:cs="Arial"/>
          <w:bCs/>
          <w:sz w:val="24"/>
          <w:szCs w:val="24"/>
        </w:rPr>
        <w:t>1.0632 – 1.0509). Please provide the supporting analysis to explain how the calculated loss factor of 1.0632 is reasonable compared to the approved loss factor of 1.0509.</w:t>
      </w:r>
    </w:p>
    <w:p w14:paraId="72578ABA" w14:textId="50DFCC9C" w:rsidR="001C3665" w:rsidRPr="00617167" w:rsidRDefault="007A12C3" w:rsidP="001C3665">
      <w:pPr>
        <w:ind w:left="1440"/>
        <w:rPr>
          <w:rFonts w:ascii="Arial" w:hAnsi="Arial" w:cs="Arial"/>
          <w:sz w:val="24"/>
          <w:szCs w:val="24"/>
          <w:lang w:val="en-US"/>
        </w:rPr>
      </w:pPr>
      <w:r w:rsidRPr="001C3665">
        <w:rPr>
          <w:rFonts w:ascii="Arial" w:hAnsi="Arial" w:cs="Arial"/>
          <w:b/>
          <w:color w:val="0070C0"/>
          <w:sz w:val="24"/>
          <w:szCs w:val="24"/>
          <w:lang w:val="en-US"/>
        </w:rPr>
        <w:t>HHI Response:</w:t>
      </w:r>
      <w:r w:rsidR="00CE7A73" w:rsidRPr="001C3665">
        <w:rPr>
          <w:rFonts w:ascii="Arial" w:hAnsi="Arial" w:cs="Arial"/>
          <w:b/>
          <w:color w:val="0070C0"/>
          <w:sz w:val="24"/>
          <w:szCs w:val="24"/>
          <w:lang w:val="en-US"/>
        </w:rPr>
        <w:t xml:space="preserve"> </w:t>
      </w:r>
      <w:r w:rsidR="001C3665" w:rsidRPr="008858E0">
        <w:rPr>
          <w:rFonts w:ascii="Arial" w:hAnsi="Arial" w:cs="Arial"/>
          <w:bCs/>
          <w:color w:val="0070C0"/>
          <w:sz w:val="24"/>
          <w:szCs w:val="24"/>
          <w:lang w:val="en-US"/>
        </w:rPr>
        <w:t xml:space="preserve">Please see </w:t>
      </w:r>
      <w:r w:rsidR="00BA6E5D">
        <w:rPr>
          <w:rFonts w:ascii="Arial" w:hAnsi="Arial" w:cs="Arial"/>
          <w:bCs/>
          <w:color w:val="0070C0"/>
          <w:sz w:val="24"/>
          <w:szCs w:val="24"/>
          <w:lang w:val="en-US"/>
        </w:rPr>
        <w:t xml:space="preserve">the </w:t>
      </w:r>
      <w:r w:rsidR="001C3665" w:rsidRPr="008858E0">
        <w:rPr>
          <w:rFonts w:ascii="Arial" w:hAnsi="Arial" w:cs="Arial"/>
          <w:bCs/>
          <w:color w:val="0070C0"/>
          <w:sz w:val="24"/>
          <w:szCs w:val="24"/>
          <w:lang w:val="en-US"/>
        </w:rPr>
        <w:t xml:space="preserve">answer to question 5a) </w:t>
      </w:r>
      <w:r w:rsidR="001C3665">
        <w:rPr>
          <w:rFonts w:ascii="Arial" w:hAnsi="Arial" w:cs="Arial"/>
          <w:bCs/>
          <w:color w:val="0070C0"/>
          <w:sz w:val="24"/>
          <w:szCs w:val="24"/>
          <w:lang w:val="en-US"/>
        </w:rPr>
        <w:t xml:space="preserve">and </w:t>
      </w:r>
      <w:r w:rsidR="00BA6E5D">
        <w:rPr>
          <w:rFonts w:ascii="Arial" w:hAnsi="Arial" w:cs="Arial"/>
          <w:bCs/>
          <w:color w:val="0070C0"/>
          <w:sz w:val="24"/>
          <w:szCs w:val="24"/>
          <w:lang w:val="en-US"/>
        </w:rPr>
        <w:t xml:space="preserve">the </w:t>
      </w:r>
      <w:r w:rsidR="001C3665">
        <w:rPr>
          <w:rFonts w:ascii="Arial" w:hAnsi="Arial" w:cs="Arial"/>
          <w:bCs/>
          <w:color w:val="0070C0"/>
          <w:sz w:val="24"/>
          <w:szCs w:val="24"/>
          <w:lang w:val="en-US"/>
        </w:rPr>
        <w:t>revised GA Analysis Workform</w:t>
      </w:r>
      <w:r w:rsidR="001C3665" w:rsidRPr="008858E0">
        <w:rPr>
          <w:rFonts w:ascii="Arial" w:hAnsi="Arial" w:cs="Arial"/>
          <w:bCs/>
          <w:color w:val="0070C0"/>
          <w:sz w:val="24"/>
          <w:szCs w:val="24"/>
          <w:lang w:val="en-US"/>
        </w:rPr>
        <w:t>.</w:t>
      </w:r>
    </w:p>
    <w:p w14:paraId="2D2B153B" w14:textId="77777777" w:rsidR="00A350EF" w:rsidRPr="001C3665" w:rsidRDefault="00A350EF" w:rsidP="00A350EF">
      <w:pPr>
        <w:pStyle w:val="ListParagraph"/>
        <w:rPr>
          <w:rFonts w:ascii="Arial" w:hAnsi="Arial" w:cs="Arial"/>
          <w:bCs/>
          <w:sz w:val="24"/>
          <w:szCs w:val="24"/>
          <w:lang w:val="en-US"/>
        </w:rPr>
      </w:pPr>
    </w:p>
    <w:p w14:paraId="68DA3460" w14:textId="30F0A341" w:rsidR="00A350EF" w:rsidRDefault="00A350EF" w:rsidP="00A350EF">
      <w:pPr>
        <w:pStyle w:val="ListParagraph"/>
        <w:numPr>
          <w:ilvl w:val="0"/>
          <w:numId w:val="15"/>
        </w:numPr>
        <w:rPr>
          <w:rFonts w:ascii="Arial" w:hAnsi="Arial" w:cs="Arial"/>
          <w:bCs/>
          <w:sz w:val="24"/>
          <w:szCs w:val="24"/>
        </w:rPr>
      </w:pPr>
      <w:r>
        <w:rPr>
          <w:rFonts w:ascii="Arial" w:hAnsi="Arial" w:cs="Arial"/>
          <w:bCs/>
          <w:sz w:val="24"/>
          <w:szCs w:val="24"/>
        </w:rPr>
        <w:t xml:space="preserve">If any of the response(s) above require an amendment to </w:t>
      </w:r>
      <w:r w:rsidR="003D211D">
        <w:rPr>
          <w:rFonts w:ascii="Arial" w:hAnsi="Arial" w:cs="Arial"/>
          <w:bCs/>
          <w:sz w:val="24"/>
          <w:szCs w:val="24"/>
        </w:rPr>
        <w:t>the GA Workform or the Rate Generator Model</w:t>
      </w:r>
      <w:r>
        <w:rPr>
          <w:rFonts w:ascii="Arial" w:hAnsi="Arial" w:cs="Arial"/>
          <w:bCs/>
          <w:sz w:val="24"/>
          <w:szCs w:val="24"/>
        </w:rPr>
        <w:t>,</w:t>
      </w:r>
      <w:r w:rsidRPr="00105D73">
        <w:rPr>
          <w:rFonts w:ascii="Arial" w:hAnsi="Arial" w:cs="Arial"/>
          <w:bCs/>
          <w:sz w:val="24"/>
          <w:szCs w:val="24"/>
        </w:rPr>
        <w:t xml:space="preserve"> please </w:t>
      </w:r>
      <w:r w:rsidR="002A5846">
        <w:rPr>
          <w:rFonts w:ascii="Arial" w:hAnsi="Arial" w:cs="Arial"/>
          <w:bCs/>
          <w:sz w:val="24"/>
          <w:szCs w:val="24"/>
        </w:rPr>
        <w:t>indicate the change(s) required. Please</w:t>
      </w:r>
      <w:r>
        <w:rPr>
          <w:rFonts w:ascii="Arial" w:hAnsi="Arial" w:cs="Arial"/>
          <w:bCs/>
          <w:sz w:val="24"/>
          <w:szCs w:val="24"/>
        </w:rPr>
        <w:t xml:space="preserve"> </w:t>
      </w:r>
      <w:r w:rsidR="003D211D">
        <w:rPr>
          <w:rFonts w:ascii="Arial" w:hAnsi="Arial" w:cs="Arial"/>
          <w:bCs/>
          <w:sz w:val="24"/>
          <w:szCs w:val="24"/>
        </w:rPr>
        <w:t xml:space="preserve">confirm the changes needed, as OEB staff </w:t>
      </w:r>
      <w:r w:rsidR="005D54CA">
        <w:rPr>
          <w:rFonts w:ascii="Arial" w:hAnsi="Arial" w:cs="Arial"/>
          <w:bCs/>
          <w:sz w:val="24"/>
          <w:szCs w:val="24"/>
        </w:rPr>
        <w:t>can</w:t>
      </w:r>
      <w:r w:rsidR="003D211D">
        <w:rPr>
          <w:rFonts w:ascii="Arial" w:hAnsi="Arial" w:cs="Arial"/>
          <w:bCs/>
          <w:sz w:val="24"/>
          <w:szCs w:val="24"/>
        </w:rPr>
        <w:t xml:space="preserve"> assist </w:t>
      </w:r>
      <w:r w:rsidR="005D54CA">
        <w:rPr>
          <w:rFonts w:ascii="Arial" w:hAnsi="Arial" w:cs="Arial"/>
          <w:bCs/>
          <w:sz w:val="24"/>
          <w:szCs w:val="24"/>
        </w:rPr>
        <w:t>with any required revisions to</w:t>
      </w:r>
      <w:r w:rsidR="003D211D">
        <w:rPr>
          <w:rFonts w:ascii="Arial" w:hAnsi="Arial" w:cs="Arial"/>
          <w:bCs/>
          <w:sz w:val="24"/>
          <w:szCs w:val="24"/>
        </w:rPr>
        <w:t xml:space="preserve"> ensur</w:t>
      </w:r>
      <w:r w:rsidR="005D54CA">
        <w:rPr>
          <w:rFonts w:ascii="Arial" w:hAnsi="Arial" w:cs="Arial"/>
          <w:bCs/>
          <w:sz w:val="24"/>
          <w:szCs w:val="24"/>
        </w:rPr>
        <w:t>e</w:t>
      </w:r>
      <w:r w:rsidR="003D211D">
        <w:rPr>
          <w:rFonts w:ascii="Arial" w:hAnsi="Arial" w:cs="Arial"/>
          <w:bCs/>
          <w:sz w:val="24"/>
          <w:szCs w:val="24"/>
        </w:rPr>
        <w:t xml:space="preserve"> the records are accurate. </w:t>
      </w:r>
    </w:p>
    <w:p w14:paraId="395C2A64" w14:textId="4BBFEDA4" w:rsidR="0039312C" w:rsidRPr="0012064A" w:rsidRDefault="007A12C3" w:rsidP="00B623A8">
      <w:pPr>
        <w:ind w:left="720"/>
        <w:rPr>
          <w:rFonts w:ascii="Arial" w:hAnsi="Arial" w:cs="Arial"/>
          <w:sz w:val="24"/>
          <w:szCs w:val="24"/>
          <w:lang w:val="en-US"/>
        </w:rPr>
      </w:pPr>
      <w:r w:rsidRPr="0012064A">
        <w:rPr>
          <w:rFonts w:ascii="Arial" w:hAnsi="Arial" w:cs="Arial"/>
          <w:b/>
          <w:color w:val="0070C0"/>
          <w:sz w:val="24"/>
          <w:szCs w:val="24"/>
          <w:lang w:val="en-US"/>
        </w:rPr>
        <w:t>HHI Response:</w:t>
      </w:r>
      <w:r w:rsidR="00B623A8" w:rsidRPr="00627D07">
        <w:rPr>
          <w:rFonts w:ascii="Arial" w:hAnsi="Arial" w:cs="Arial"/>
          <w:bCs/>
          <w:color w:val="0070C0"/>
          <w:sz w:val="24"/>
          <w:szCs w:val="24"/>
          <w:lang w:val="en-US"/>
        </w:rPr>
        <w:t xml:space="preserve"> </w:t>
      </w:r>
      <w:r w:rsidR="00627D07" w:rsidRPr="00BE4D4D">
        <w:rPr>
          <w:rFonts w:ascii="Arial" w:hAnsi="Arial" w:cs="Arial"/>
          <w:bCs/>
          <w:color w:val="0070C0"/>
          <w:sz w:val="24"/>
          <w:szCs w:val="24"/>
          <w:lang w:val="en-US"/>
        </w:rPr>
        <w:t xml:space="preserve">GA Analysis Workform </w:t>
      </w:r>
      <w:r w:rsidR="00BE4D4D" w:rsidRPr="00BE4D4D">
        <w:rPr>
          <w:rFonts w:ascii="Arial" w:hAnsi="Arial" w:cs="Arial"/>
          <w:bCs/>
          <w:color w:val="0070C0"/>
          <w:sz w:val="24"/>
          <w:szCs w:val="24"/>
          <w:lang w:val="en-US"/>
        </w:rPr>
        <w:t>and Continuity Schedule have been updated</w:t>
      </w:r>
    </w:p>
    <w:p w14:paraId="142BBB21" w14:textId="28DEB3D8" w:rsidR="001E427E" w:rsidRDefault="003A4C61" w:rsidP="001E427E">
      <w:pPr>
        <w:pStyle w:val="Heading2"/>
      </w:pPr>
      <w:r>
        <w:lastRenderedPageBreak/>
        <w:t>Staff Question-</w:t>
      </w:r>
      <w:r w:rsidR="006A6FB8">
        <w:t>7</w:t>
      </w:r>
    </w:p>
    <w:p w14:paraId="02A627C9" w14:textId="77777777" w:rsidR="001E427E" w:rsidRPr="001E427E" w:rsidRDefault="001E427E" w:rsidP="001E427E"/>
    <w:p w14:paraId="391DBA39" w14:textId="77777777" w:rsidR="003A4C61" w:rsidRPr="007E4106" w:rsidRDefault="003A4C61" w:rsidP="003A4C61">
      <w:pPr>
        <w:pStyle w:val="NoSpacing"/>
        <w:spacing w:line="276" w:lineRule="auto"/>
        <w:rPr>
          <w:rFonts w:ascii="Arial" w:hAnsi="Arial" w:cs="Arial"/>
          <w:sz w:val="24"/>
          <w:szCs w:val="24"/>
        </w:rPr>
      </w:pPr>
      <w:r w:rsidRPr="007E4106">
        <w:rPr>
          <w:rFonts w:ascii="Arial" w:hAnsi="Arial" w:cs="Arial"/>
          <w:sz w:val="24"/>
          <w:szCs w:val="24"/>
        </w:rPr>
        <w:t>Ref:</w:t>
      </w:r>
      <w:r w:rsidRPr="007E4106">
        <w:rPr>
          <w:rFonts w:ascii="Arial" w:hAnsi="Arial" w:cs="Arial"/>
          <w:sz w:val="24"/>
          <w:szCs w:val="24"/>
        </w:rPr>
        <w:tab/>
        <w:t>Application, page 24</w:t>
      </w:r>
      <w:r>
        <w:rPr>
          <w:rFonts w:ascii="Arial" w:hAnsi="Arial" w:cs="Arial"/>
          <w:sz w:val="24"/>
          <w:szCs w:val="24"/>
        </w:rPr>
        <w:t>, and LRAMVA Workform</w:t>
      </w:r>
    </w:p>
    <w:p w14:paraId="447DE6E3" w14:textId="1397ED6C" w:rsidR="003A4C61" w:rsidRDefault="003A4C61" w:rsidP="003A4C61">
      <w:pPr>
        <w:pStyle w:val="NoSpacing"/>
        <w:spacing w:line="276" w:lineRule="auto"/>
        <w:rPr>
          <w:rFonts w:ascii="Arial" w:hAnsi="Arial" w:cs="Arial"/>
          <w:sz w:val="24"/>
          <w:szCs w:val="24"/>
        </w:rPr>
      </w:pPr>
      <w:r w:rsidRPr="007E4106">
        <w:rPr>
          <w:rFonts w:ascii="Arial" w:hAnsi="Arial" w:cs="Arial"/>
          <w:sz w:val="24"/>
          <w:szCs w:val="24"/>
        </w:rPr>
        <w:tab/>
        <w:t>Tabs 3 and 4 of the Rate Generator Model (Nov 1</w:t>
      </w:r>
      <w:r w:rsidR="0077487B">
        <w:rPr>
          <w:rFonts w:ascii="Arial" w:hAnsi="Arial" w:cs="Arial"/>
          <w:sz w:val="24"/>
          <w:szCs w:val="24"/>
        </w:rPr>
        <w:t>8</w:t>
      </w:r>
      <w:r w:rsidRPr="007E4106">
        <w:rPr>
          <w:rFonts w:ascii="Arial" w:hAnsi="Arial" w:cs="Arial"/>
          <w:sz w:val="24"/>
          <w:szCs w:val="24"/>
        </w:rPr>
        <w:t>, 2020)</w:t>
      </w:r>
      <w:r>
        <w:rPr>
          <w:rFonts w:ascii="Arial" w:hAnsi="Arial" w:cs="Arial"/>
          <w:sz w:val="24"/>
          <w:szCs w:val="24"/>
        </w:rPr>
        <w:t xml:space="preserve"> – attached</w:t>
      </w:r>
    </w:p>
    <w:p w14:paraId="2D0F6590" w14:textId="77777777" w:rsidR="003A4C61" w:rsidRDefault="003A4C61" w:rsidP="003A4C61">
      <w:pPr>
        <w:pStyle w:val="NoSpacing"/>
        <w:rPr>
          <w:rFonts w:ascii="Arial" w:hAnsi="Arial" w:cs="Arial"/>
          <w:sz w:val="24"/>
          <w:szCs w:val="24"/>
        </w:rPr>
      </w:pPr>
      <w:r>
        <w:rPr>
          <w:rFonts w:ascii="Arial" w:hAnsi="Arial" w:cs="Arial"/>
          <w:sz w:val="24"/>
          <w:szCs w:val="24"/>
        </w:rPr>
        <w:tab/>
      </w:r>
      <w:r w:rsidRPr="00E24119">
        <w:rPr>
          <w:rFonts w:ascii="Arial" w:hAnsi="Arial" w:cs="Arial"/>
          <w:sz w:val="24"/>
          <w:szCs w:val="24"/>
        </w:rPr>
        <w:t xml:space="preserve">EB-2017-0048, </w:t>
      </w:r>
      <w:r>
        <w:rPr>
          <w:rFonts w:ascii="Arial" w:hAnsi="Arial" w:cs="Arial"/>
          <w:sz w:val="24"/>
          <w:szCs w:val="24"/>
        </w:rPr>
        <w:t>2018 DVA Continuity Schedule, Tab 6</w:t>
      </w:r>
    </w:p>
    <w:p w14:paraId="42B809A6" w14:textId="77777777" w:rsidR="003A4C61" w:rsidRPr="007E4106" w:rsidRDefault="003A4C61" w:rsidP="003A4C61">
      <w:pPr>
        <w:pStyle w:val="NoSpacing"/>
        <w:spacing w:line="276" w:lineRule="auto"/>
        <w:rPr>
          <w:rFonts w:ascii="Arial" w:hAnsi="Arial" w:cs="Arial"/>
          <w:sz w:val="24"/>
          <w:szCs w:val="24"/>
        </w:rPr>
      </w:pPr>
    </w:p>
    <w:p w14:paraId="2956F1F5" w14:textId="77777777" w:rsidR="003A4C61" w:rsidRDefault="003A4C61" w:rsidP="003A4C61">
      <w:pPr>
        <w:rPr>
          <w:rFonts w:ascii="Arial" w:hAnsi="Arial" w:cs="Arial"/>
          <w:sz w:val="24"/>
          <w:szCs w:val="24"/>
        </w:rPr>
      </w:pPr>
      <w:r>
        <w:rPr>
          <w:rFonts w:ascii="Arial" w:hAnsi="Arial" w:cs="Arial"/>
          <w:sz w:val="24"/>
          <w:szCs w:val="24"/>
        </w:rPr>
        <w:t>In the LRAMVA Workform,</w:t>
      </w:r>
      <w:r w:rsidRPr="007E4106">
        <w:rPr>
          <w:rFonts w:ascii="Arial" w:hAnsi="Arial" w:cs="Arial"/>
          <w:bCs/>
          <w:sz w:val="24"/>
          <w:szCs w:val="24"/>
        </w:rPr>
        <w:t xml:space="preserve"> Hydro Hawkesbury</w:t>
      </w:r>
      <w:r>
        <w:rPr>
          <w:rFonts w:ascii="Arial" w:hAnsi="Arial" w:cs="Arial"/>
          <w:bCs/>
          <w:sz w:val="24"/>
          <w:szCs w:val="24"/>
        </w:rPr>
        <w:t xml:space="preserve"> </w:t>
      </w:r>
      <w:r>
        <w:rPr>
          <w:rFonts w:ascii="Arial" w:hAnsi="Arial" w:cs="Arial"/>
          <w:sz w:val="24"/>
          <w:szCs w:val="24"/>
        </w:rPr>
        <w:t xml:space="preserve">calculated a credit balance of $749 comprised of incremental 2017 and 2018 lost revenues. However, </w:t>
      </w:r>
      <w:r w:rsidRPr="007E4106">
        <w:rPr>
          <w:rFonts w:ascii="Arial" w:hAnsi="Arial" w:cs="Arial"/>
          <w:bCs/>
          <w:sz w:val="24"/>
          <w:szCs w:val="24"/>
        </w:rPr>
        <w:t>Hydro Hawkesbury</w:t>
      </w:r>
      <w:r>
        <w:rPr>
          <w:rFonts w:ascii="Arial" w:hAnsi="Arial" w:cs="Arial"/>
          <w:bCs/>
          <w:sz w:val="24"/>
          <w:szCs w:val="24"/>
        </w:rPr>
        <w:t xml:space="preserve"> is requesting </w:t>
      </w:r>
      <w:r w:rsidRPr="007E4106">
        <w:rPr>
          <w:rFonts w:ascii="Arial" w:hAnsi="Arial" w:cs="Arial"/>
          <w:bCs/>
          <w:sz w:val="24"/>
          <w:szCs w:val="24"/>
        </w:rPr>
        <w:t>dispos</w:t>
      </w:r>
      <w:r>
        <w:rPr>
          <w:rFonts w:ascii="Arial" w:hAnsi="Arial" w:cs="Arial"/>
          <w:bCs/>
          <w:sz w:val="24"/>
          <w:szCs w:val="24"/>
        </w:rPr>
        <w:t>ition of</w:t>
      </w:r>
      <w:r w:rsidRPr="007E4106">
        <w:rPr>
          <w:rFonts w:ascii="Arial" w:hAnsi="Arial" w:cs="Arial"/>
          <w:bCs/>
          <w:sz w:val="24"/>
          <w:szCs w:val="24"/>
        </w:rPr>
        <w:t xml:space="preserve"> a </w:t>
      </w:r>
      <w:r>
        <w:rPr>
          <w:rFonts w:ascii="Arial" w:hAnsi="Arial" w:cs="Arial"/>
          <w:bCs/>
          <w:sz w:val="24"/>
          <w:szCs w:val="24"/>
        </w:rPr>
        <w:t xml:space="preserve">total LRAMVA </w:t>
      </w:r>
      <w:r w:rsidRPr="007E4106">
        <w:rPr>
          <w:rFonts w:ascii="Arial" w:hAnsi="Arial" w:cs="Arial"/>
          <w:bCs/>
          <w:sz w:val="24"/>
          <w:szCs w:val="24"/>
        </w:rPr>
        <w:t xml:space="preserve">credit balance of </w:t>
      </w:r>
      <w:bookmarkStart w:id="0" w:name="_Hlk56064910"/>
      <w:r w:rsidRPr="007E4106">
        <w:rPr>
          <w:rFonts w:ascii="Arial" w:hAnsi="Arial" w:cs="Arial"/>
          <w:bCs/>
          <w:sz w:val="24"/>
          <w:szCs w:val="24"/>
        </w:rPr>
        <w:t>$6,288</w:t>
      </w:r>
      <w:r>
        <w:rPr>
          <w:rFonts w:ascii="Arial" w:hAnsi="Arial" w:cs="Arial"/>
          <w:sz w:val="24"/>
          <w:szCs w:val="24"/>
        </w:rPr>
        <w:t xml:space="preserve"> </w:t>
      </w:r>
      <w:bookmarkEnd w:id="0"/>
      <w:r>
        <w:rPr>
          <w:rFonts w:ascii="Arial" w:hAnsi="Arial" w:cs="Arial"/>
          <w:sz w:val="24"/>
          <w:szCs w:val="24"/>
        </w:rPr>
        <w:t xml:space="preserve">based on the December 31, 2020 balance for Account 1568 in the DVA Continuity Schedule. </w:t>
      </w:r>
    </w:p>
    <w:p w14:paraId="00336982" w14:textId="7A9CF210" w:rsidR="00F601A3" w:rsidRDefault="00F601A3" w:rsidP="00F601A3">
      <w:pPr>
        <w:pStyle w:val="ListParagraph"/>
        <w:rPr>
          <w:rFonts w:ascii="Arial" w:hAnsi="Arial" w:cs="Arial"/>
          <w:sz w:val="24"/>
          <w:szCs w:val="24"/>
        </w:rPr>
      </w:pPr>
    </w:p>
    <w:p w14:paraId="078D16E1" w14:textId="0D5B90D2" w:rsidR="003A4C61" w:rsidRPr="007A12C3" w:rsidRDefault="003A4C61" w:rsidP="003A4C61">
      <w:pPr>
        <w:pStyle w:val="ListParagraph"/>
        <w:numPr>
          <w:ilvl w:val="0"/>
          <w:numId w:val="5"/>
        </w:numPr>
        <w:rPr>
          <w:rFonts w:ascii="Arial" w:hAnsi="Arial" w:cs="Arial"/>
          <w:sz w:val="24"/>
          <w:szCs w:val="24"/>
        </w:rPr>
      </w:pPr>
      <w:r>
        <w:rPr>
          <w:rFonts w:ascii="Arial" w:hAnsi="Arial" w:cs="Arial"/>
          <w:sz w:val="24"/>
          <w:szCs w:val="24"/>
        </w:rPr>
        <w:t>Please confirm</w:t>
      </w:r>
      <w:r>
        <w:rPr>
          <w:rFonts w:ascii="Arial" w:hAnsi="Arial" w:cs="Arial"/>
          <w:bCs/>
          <w:sz w:val="24"/>
          <w:szCs w:val="24"/>
        </w:rPr>
        <w:t xml:space="preserve"> that the LRAMVA debit balance of $7,860 was disposed of in the 2018 COS proceeding</w:t>
      </w:r>
      <w:r w:rsidR="00F036A7">
        <w:rPr>
          <w:rFonts w:ascii="Arial" w:hAnsi="Arial" w:cs="Arial"/>
          <w:bCs/>
          <w:sz w:val="24"/>
          <w:szCs w:val="24"/>
        </w:rPr>
        <w:t xml:space="preserve"> or </w:t>
      </w:r>
      <w:r>
        <w:rPr>
          <w:rFonts w:ascii="Arial" w:hAnsi="Arial" w:cs="Arial"/>
          <w:bCs/>
          <w:sz w:val="24"/>
          <w:szCs w:val="24"/>
        </w:rPr>
        <w:t>clarify if this is not the case</w:t>
      </w:r>
      <w:r w:rsidR="00725B81">
        <w:rPr>
          <w:rFonts w:ascii="Arial" w:hAnsi="Arial" w:cs="Arial"/>
          <w:bCs/>
          <w:sz w:val="24"/>
          <w:szCs w:val="24"/>
        </w:rPr>
        <w:t xml:space="preserve">. </w:t>
      </w:r>
    </w:p>
    <w:p w14:paraId="1FD3191B" w14:textId="4D2C0FFA" w:rsidR="0039312C" w:rsidRDefault="007A12C3" w:rsidP="001D3F3C">
      <w:pPr>
        <w:ind w:left="720"/>
        <w:rPr>
          <w:rFonts w:ascii="Arial" w:hAnsi="Arial" w:cs="Arial"/>
          <w:sz w:val="24"/>
          <w:szCs w:val="24"/>
        </w:rPr>
      </w:pPr>
      <w:r w:rsidRPr="007A12C3">
        <w:rPr>
          <w:rFonts w:ascii="Arial" w:hAnsi="Arial" w:cs="Arial"/>
          <w:b/>
          <w:color w:val="0070C0"/>
          <w:sz w:val="24"/>
          <w:szCs w:val="24"/>
        </w:rPr>
        <w:t>HHI Response:</w:t>
      </w:r>
      <w:r w:rsidR="001D3F3C">
        <w:rPr>
          <w:rFonts w:ascii="Arial" w:hAnsi="Arial" w:cs="Arial"/>
          <w:b/>
          <w:color w:val="0070C0"/>
          <w:sz w:val="24"/>
          <w:szCs w:val="24"/>
        </w:rPr>
        <w:t xml:space="preserve"> </w:t>
      </w:r>
      <w:r w:rsidR="006C0F21">
        <w:rPr>
          <w:rFonts w:ascii="Arial" w:hAnsi="Arial" w:cs="Arial"/>
          <w:bCs/>
          <w:color w:val="0070C0"/>
          <w:sz w:val="24"/>
          <w:szCs w:val="24"/>
        </w:rPr>
        <w:t>See cell AU43 of tab 3. Continuity Schedule</w:t>
      </w:r>
      <w:r w:rsidR="0080232B">
        <w:rPr>
          <w:rFonts w:ascii="Arial" w:hAnsi="Arial" w:cs="Arial"/>
          <w:bCs/>
          <w:color w:val="0070C0"/>
          <w:sz w:val="24"/>
          <w:szCs w:val="24"/>
        </w:rPr>
        <w:t xml:space="preserve"> for the amount approved by OE</w:t>
      </w:r>
      <w:r w:rsidR="00A21040">
        <w:rPr>
          <w:rFonts w:ascii="Arial" w:hAnsi="Arial" w:cs="Arial"/>
          <w:bCs/>
          <w:color w:val="0070C0"/>
          <w:sz w:val="24"/>
          <w:szCs w:val="24"/>
        </w:rPr>
        <w:t>B</w:t>
      </w:r>
      <w:r w:rsidR="0080232B">
        <w:rPr>
          <w:rFonts w:ascii="Arial" w:hAnsi="Arial" w:cs="Arial"/>
          <w:bCs/>
          <w:color w:val="0070C0"/>
          <w:sz w:val="24"/>
          <w:szCs w:val="24"/>
        </w:rPr>
        <w:t xml:space="preserve"> of $7,860. </w:t>
      </w:r>
    </w:p>
    <w:p w14:paraId="5094E7AC" w14:textId="77777777" w:rsidR="003A4C61" w:rsidRDefault="003A4C61" w:rsidP="003A4C61">
      <w:pPr>
        <w:pStyle w:val="ListParagraph"/>
        <w:rPr>
          <w:rFonts w:ascii="Arial" w:hAnsi="Arial" w:cs="Arial"/>
          <w:sz w:val="24"/>
          <w:szCs w:val="24"/>
        </w:rPr>
      </w:pPr>
    </w:p>
    <w:p w14:paraId="7B88A3F9" w14:textId="3AD3C83E" w:rsidR="003A4C61" w:rsidRPr="007A12C3" w:rsidRDefault="008A55B3" w:rsidP="003A4C61">
      <w:pPr>
        <w:pStyle w:val="ListParagraph"/>
        <w:numPr>
          <w:ilvl w:val="0"/>
          <w:numId w:val="5"/>
        </w:numPr>
        <w:rPr>
          <w:rFonts w:ascii="Arial" w:hAnsi="Arial" w:cs="Arial"/>
          <w:sz w:val="24"/>
          <w:szCs w:val="24"/>
        </w:rPr>
      </w:pPr>
      <w:r>
        <w:rPr>
          <w:rFonts w:ascii="Arial" w:hAnsi="Arial" w:cs="Arial"/>
          <w:sz w:val="24"/>
          <w:szCs w:val="24"/>
        </w:rPr>
        <w:t>P</w:t>
      </w:r>
      <w:r w:rsidR="003A4C61">
        <w:rPr>
          <w:rFonts w:ascii="Arial" w:hAnsi="Arial" w:cs="Arial"/>
          <w:sz w:val="24"/>
          <w:szCs w:val="24"/>
        </w:rPr>
        <w:t xml:space="preserve">lease confirm that </w:t>
      </w:r>
      <w:r w:rsidR="003A4C61" w:rsidRPr="007E4106">
        <w:rPr>
          <w:rFonts w:ascii="Arial" w:hAnsi="Arial" w:cs="Arial"/>
          <w:bCs/>
          <w:sz w:val="24"/>
          <w:szCs w:val="24"/>
        </w:rPr>
        <w:t>Hydro Hawkesbury</w:t>
      </w:r>
      <w:r w:rsidR="003A4C61">
        <w:rPr>
          <w:rFonts w:ascii="Arial" w:hAnsi="Arial" w:cs="Arial"/>
          <w:bCs/>
          <w:sz w:val="24"/>
          <w:szCs w:val="24"/>
        </w:rPr>
        <w:t xml:space="preserve"> relied on the 2019 Participation &amp; Cost (P&amp;C) Report. If yes, please confirm that the net savings for 2018 are consistent with the reported results on the 2019 P&amp;C Report.  </w:t>
      </w:r>
    </w:p>
    <w:p w14:paraId="0076E9A5" w14:textId="7E4C612E" w:rsidR="0039312C" w:rsidRPr="00F325EB" w:rsidRDefault="007A12C3" w:rsidP="00D109ED">
      <w:pPr>
        <w:ind w:left="720"/>
        <w:rPr>
          <w:rFonts w:ascii="Arial" w:hAnsi="Arial" w:cs="Arial"/>
          <w:sz w:val="24"/>
          <w:szCs w:val="24"/>
          <w:lang w:val="en-US"/>
        </w:rPr>
      </w:pPr>
      <w:r w:rsidRPr="00F325EB">
        <w:rPr>
          <w:rFonts w:ascii="Arial" w:hAnsi="Arial" w:cs="Arial"/>
          <w:b/>
          <w:color w:val="0070C0"/>
          <w:sz w:val="24"/>
          <w:szCs w:val="24"/>
          <w:lang w:val="en-US"/>
        </w:rPr>
        <w:t>HHI Response:</w:t>
      </w:r>
      <w:r w:rsidR="00D109ED" w:rsidRPr="00F325EB">
        <w:rPr>
          <w:rFonts w:ascii="Arial" w:hAnsi="Arial" w:cs="Arial"/>
          <w:b/>
          <w:color w:val="0070C0"/>
          <w:sz w:val="24"/>
          <w:szCs w:val="24"/>
          <w:lang w:val="en-US"/>
        </w:rPr>
        <w:t xml:space="preserve"> </w:t>
      </w:r>
      <w:r w:rsidR="00DB1A13" w:rsidRPr="00F325EB">
        <w:rPr>
          <w:rFonts w:ascii="Arial" w:hAnsi="Arial" w:cs="Arial"/>
          <w:bCs/>
          <w:color w:val="0070C0"/>
          <w:sz w:val="24"/>
          <w:szCs w:val="24"/>
          <w:lang w:val="en-US"/>
        </w:rPr>
        <w:t>HHI</w:t>
      </w:r>
      <w:r w:rsidR="00F325EB" w:rsidRPr="00F325EB">
        <w:rPr>
          <w:rFonts w:ascii="Arial" w:hAnsi="Arial" w:cs="Arial"/>
          <w:bCs/>
          <w:color w:val="0070C0"/>
          <w:sz w:val="24"/>
          <w:szCs w:val="24"/>
          <w:lang w:val="en-US"/>
        </w:rPr>
        <w:t xml:space="preserve"> has u</w:t>
      </w:r>
      <w:r w:rsidR="00F325EB">
        <w:rPr>
          <w:rFonts w:ascii="Arial" w:hAnsi="Arial" w:cs="Arial"/>
          <w:bCs/>
          <w:color w:val="0070C0"/>
          <w:sz w:val="24"/>
          <w:szCs w:val="24"/>
          <w:lang w:val="en-US"/>
        </w:rPr>
        <w:t>sed the 2018 verified final report from IESO</w:t>
      </w:r>
      <w:r w:rsidR="00965C6F">
        <w:rPr>
          <w:rFonts w:ascii="Arial" w:hAnsi="Arial" w:cs="Arial"/>
          <w:bCs/>
          <w:color w:val="0070C0"/>
          <w:sz w:val="24"/>
          <w:szCs w:val="24"/>
          <w:lang w:val="en-US"/>
        </w:rPr>
        <w:t xml:space="preserve"> as it was deemed final and verified, unlike the 2019 P&amp;C report.</w:t>
      </w:r>
    </w:p>
    <w:p w14:paraId="0F0EA586" w14:textId="77777777" w:rsidR="00E0406C" w:rsidRPr="00F325EB" w:rsidRDefault="00E0406C" w:rsidP="00E0406C">
      <w:pPr>
        <w:pStyle w:val="ListParagraph"/>
        <w:rPr>
          <w:rFonts w:ascii="Arial" w:hAnsi="Arial" w:cs="Arial"/>
          <w:sz w:val="24"/>
          <w:szCs w:val="24"/>
          <w:lang w:val="en-US"/>
        </w:rPr>
      </w:pPr>
    </w:p>
    <w:p w14:paraId="08336CC3" w14:textId="2BEBBCA1" w:rsidR="00E0406C" w:rsidRDefault="00E0406C" w:rsidP="00E0406C">
      <w:pPr>
        <w:pStyle w:val="ListParagraph"/>
        <w:numPr>
          <w:ilvl w:val="0"/>
          <w:numId w:val="5"/>
        </w:numPr>
        <w:rPr>
          <w:rFonts w:ascii="Arial" w:hAnsi="Arial" w:cs="Arial"/>
          <w:sz w:val="24"/>
          <w:szCs w:val="24"/>
        </w:rPr>
      </w:pPr>
      <w:r>
        <w:rPr>
          <w:rFonts w:ascii="Arial" w:hAnsi="Arial" w:cs="Arial"/>
          <w:sz w:val="24"/>
          <w:szCs w:val="24"/>
        </w:rPr>
        <w:t xml:space="preserve">Please confirm whether </w:t>
      </w:r>
      <w:r w:rsidRPr="007E4106">
        <w:rPr>
          <w:rFonts w:ascii="Arial" w:hAnsi="Arial" w:cs="Arial"/>
          <w:bCs/>
          <w:sz w:val="24"/>
          <w:szCs w:val="24"/>
        </w:rPr>
        <w:t>Hydro Hawkesbury</w:t>
      </w:r>
      <w:r>
        <w:rPr>
          <w:rFonts w:ascii="Arial" w:hAnsi="Arial" w:cs="Arial"/>
          <w:sz w:val="24"/>
          <w:szCs w:val="24"/>
        </w:rPr>
        <w:t xml:space="preserve"> agrees to update Tab 4 of the Rate Generator Model to reflect the disposition of a </w:t>
      </w:r>
      <w:r w:rsidRPr="007E4106">
        <w:rPr>
          <w:rFonts w:ascii="Arial" w:hAnsi="Arial" w:cs="Arial"/>
          <w:sz w:val="24"/>
          <w:szCs w:val="24"/>
        </w:rPr>
        <w:t>credit</w:t>
      </w:r>
      <w:r>
        <w:rPr>
          <w:rFonts w:ascii="Arial" w:hAnsi="Arial" w:cs="Arial"/>
          <w:sz w:val="24"/>
          <w:szCs w:val="24"/>
        </w:rPr>
        <w:t xml:space="preserve"> balance of </w:t>
      </w:r>
      <w:r w:rsidRPr="007E4106">
        <w:rPr>
          <w:rFonts w:ascii="Arial" w:hAnsi="Arial" w:cs="Arial"/>
          <w:sz w:val="24"/>
          <w:szCs w:val="24"/>
        </w:rPr>
        <w:t>$</w:t>
      </w:r>
      <w:r>
        <w:rPr>
          <w:rFonts w:ascii="Arial" w:hAnsi="Arial" w:cs="Arial"/>
          <w:sz w:val="24"/>
          <w:szCs w:val="24"/>
        </w:rPr>
        <w:t xml:space="preserve">749 based on the rate class allocations calculated in the LRAMVA Workform. If yes, please </w:t>
      </w:r>
      <w:r w:rsidR="002A5846">
        <w:rPr>
          <w:rFonts w:ascii="Arial" w:hAnsi="Arial" w:cs="Arial"/>
          <w:sz w:val="24"/>
          <w:szCs w:val="24"/>
        </w:rPr>
        <w:t xml:space="preserve">revise </w:t>
      </w:r>
      <w:r>
        <w:rPr>
          <w:rFonts w:ascii="Arial" w:hAnsi="Arial" w:cs="Arial"/>
          <w:sz w:val="24"/>
          <w:szCs w:val="24"/>
        </w:rPr>
        <w:t xml:space="preserve">the correct rate class amounts </w:t>
      </w:r>
      <w:r w:rsidR="002A5846">
        <w:rPr>
          <w:rFonts w:ascii="Arial" w:hAnsi="Arial" w:cs="Arial"/>
          <w:sz w:val="24"/>
          <w:szCs w:val="24"/>
        </w:rPr>
        <w:t xml:space="preserve">in Tab 4 based on </w:t>
      </w:r>
      <w:r>
        <w:rPr>
          <w:rFonts w:ascii="Arial" w:hAnsi="Arial" w:cs="Arial"/>
          <w:sz w:val="24"/>
          <w:szCs w:val="24"/>
        </w:rPr>
        <w:t xml:space="preserve">Tab 1 </w:t>
      </w:r>
      <w:r w:rsidR="002A5846">
        <w:rPr>
          <w:rFonts w:ascii="Arial" w:hAnsi="Arial" w:cs="Arial"/>
          <w:sz w:val="24"/>
          <w:szCs w:val="24"/>
        </w:rPr>
        <w:t xml:space="preserve">(Table 1-a) </w:t>
      </w:r>
      <w:r>
        <w:rPr>
          <w:rFonts w:ascii="Arial" w:hAnsi="Arial" w:cs="Arial"/>
          <w:sz w:val="24"/>
          <w:szCs w:val="24"/>
        </w:rPr>
        <w:t>of the LRAMVA Workform.</w:t>
      </w:r>
      <w:r w:rsidR="006B04AA">
        <w:rPr>
          <w:rFonts w:ascii="Arial" w:hAnsi="Arial" w:cs="Arial"/>
          <w:sz w:val="24"/>
          <w:szCs w:val="24"/>
        </w:rPr>
        <w:t xml:space="preserve"> If not, please discuss. </w:t>
      </w:r>
    </w:p>
    <w:p w14:paraId="6CEE0155" w14:textId="4630240A" w:rsidR="0039312C" w:rsidRDefault="007A12C3" w:rsidP="007F2941">
      <w:pPr>
        <w:ind w:left="720"/>
        <w:rPr>
          <w:rFonts w:ascii="Arial" w:hAnsi="Arial" w:cs="Arial"/>
          <w:sz w:val="24"/>
          <w:szCs w:val="24"/>
        </w:rPr>
      </w:pPr>
      <w:r w:rsidRPr="007A12C3">
        <w:rPr>
          <w:rFonts w:ascii="Arial" w:hAnsi="Arial" w:cs="Arial"/>
          <w:b/>
          <w:color w:val="0070C0"/>
          <w:sz w:val="24"/>
          <w:szCs w:val="24"/>
        </w:rPr>
        <w:t>HHI Response:</w:t>
      </w:r>
      <w:r w:rsidR="007F2941">
        <w:rPr>
          <w:rFonts w:ascii="Arial" w:hAnsi="Arial" w:cs="Arial"/>
          <w:b/>
          <w:color w:val="0070C0"/>
          <w:sz w:val="24"/>
          <w:szCs w:val="24"/>
        </w:rPr>
        <w:t xml:space="preserve"> </w:t>
      </w:r>
      <w:r w:rsidR="00672A88">
        <w:rPr>
          <w:rFonts w:ascii="Arial" w:hAnsi="Arial" w:cs="Arial"/>
          <w:bCs/>
          <w:color w:val="0070C0"/>
          <w:sz w:val="24"/>
          <w:szCs w:val="24"/>
        </w:rPr>
        <w:t xml:space="preserve">Tab 3 </w:t>
      </w:r>
      <w:r w:rsidR="00A405FB">
        <w:rPr>
          <w:rFonts w:ascii="Arial" w:hAnsi="Arial" w:cs="Arial"/>
          <w:bCs/>
          <w:color w:val="0070C0"/>
          <w:sz w:val="24"/>
          <w:szCs w:val="24"/>
        </w:rPr>
        <w:t xml:space="preserve">has been updated to resolve the difference of $749. Tab 4 has also been updated to match </w:t>
      </w:r>
      <w:r w:rsidR="00752FBD">
        <w:rPr>
          <w:rFonts w:ascii="Arial" w:hAnsi="Arial" w:cs="Arial"/>
          <w:bCs/>
          <w:color w:val="0070C0"/>
          <w:sz w:val="24"/>
          <w:szCs w:val="24"/>
        </w:rPr>
        <w:t>T</w:t>
      </w:r>
      <w:r w:rsidR="00A405FB">
        <w:rPr>
          <w:rFonts w:ascii="Arial" w:hAnsi="Arial" w:cs="Arial"/>
          <w:bCs/>
          <w:color w:val="0070C0"/>
          <w:sz w:val="24"/>
          <w:szCs w:val="24"/>
        </w:rPr>
        <w:t>ab 3</w:t>
      </w:r>
      <w:r w:rsidR="00752FBD">
        <w:rPr>
          <w:rFonts w:ascii="Arial" w:hAnsi="Arial" w:cs="Arial"/>
          <w:bCs/>
          <w:color w:val="0070C0"/>
          <w:sz w:val="24"/>
          <w:szCs w:val="24"/>
        </w:rPr>
        <w:t>.</w:t>
      </w:r>
    </w:p>
    <w:p w14:paraId="0DB049DA" w14:textId="77777777" w:rsidR="007A12C3" w:rsidRPr="007A12C3" w:rsidRDefault="007A12C3" w:rsidP="007A12C3">
      <w:pPr>
        <w:ind w:left="720"/>
        <w:rPr>
          <w:rFonts w:ascii="Arial" w:hAnsi="Arial" w:cs="Arial"/>
          <w:sz w:val="24"/>
          <w:szCs w:val="24"/>
        </w:rPr>
      </w:pPr>
    </w:p>
    <w:p w14:paraId="53B45C98" w14:textId="5879DDDD" w:rsidR="003A4C61" w:rsidRDefault="003A4C61" w:rsidP="003A4C61">
      <w:pPr>
        <w:pStyle w:val="Heading2"/>
        <w:rPr>
          <w:b w:val="0"/>
        </w:rPr>
      </w:pPr>
      <w:r>
        <w:t>Staff Question-</w:t>
      </w:r>
      <w:r w:rsidR="006A6FB8">
        <w:t>8</w:t>
      </w:r>
    </w:p>
    <w:p w14:paraId="49512423" w14:textId="1F293322" w:rsidR="003A4C61" w:rsidRDefault="003A4C61" w:rsidP="003A4C61">
      <w:pPr>
        <w:pStyle w:val="NoSpacing"/>
        <w:rPr>
          <w:rFonts w:ascii="Arial" w:hAnsi="Arial" w:cs="Arial"/>
          <w:sz w:val="24"/>
          <w:szCs w:val="24"/>
        </w:rPr>
      </w:pPr>
      <w:r w:rsidRPr="00D0268A">
        <w:rPr>
          <w:rFonts w:ascii="Arial" w:hAnsi="Arial" w:cs="Arial"/>
          <w:sz w:val="24"/>
          <w:szCs w:val="24"/>
        </w:rPr>
        <w:t>Ref:</w:t>
      </w:r>
      <w:r w:rsidRPr="00D0268A">
        <w:rPr>
          <w:rFonts w:ascii="Arial" w:hAnsi="Arial" w:cs="Arial"/>
          <w:sz w:val="24"/>
          <w:szCs w:val="24"/>
        </w:rPr>
        <w:tab/>
      </w:r>
      <w:r w:rsidRPr="00A31531">
        <w:rPr>
          <w:rFonts w:ascii="Arial" w:hAnsi="Arial" w:cs="Arial"/>
          <w:bCs/>
          <w:sz w:val="24"/>
          <w:szCs w:val="24"/>
        </w:rPr>
        <w:t>Tab</w:t>
      </w:r>
      <w:r>
        <w:rPr>
          <w:rFonts w:ascii="Arial" w:hAnsi="Arial" w:cs="Arial"/>
          <w:bCs/>
          <w:sz w:val="24"/>
          <w:szCs w:val="24"/>
        </w:rPr>
        <w:t>s</w:t>
      </w:r>
      <w:r w:rsidRPr="00A31531">
        <w:rPr>
          <w:rFonts w:ascii="Arial" w:hAnsi="Arial" w:cs="Arial"/>
          <w:bCs/>
          <w:sz w:val="24"/>
          <w:szCs w:val="24"/>
        </w:rPr>
        <w:t xml:space="preserve"> 6</w:t>
      </w:r>
      <w:r>
        <w:rPr>
          <w:rFonts w:ascii="Arial" w:hAnsi="Arial" w:cs="Arial"/>
          <w:bCs/>
          <w:sz w:val="24"/>
          <w:szCs w:val="24"/>
        </w:rPr>
        <w:t xml:space="preserve">, </w:t>
      </w:r>
      <w:r w:rsidRPr="00D0268A">
        <w:rPr>
          <w:rFonts w:ascii="Arial" w:hAnsi="Arial" w:cs="Arial"/>
          <w:sz w:val="24"/>
          <w:szCs w:val="24"/>
        </w:rPr>
        <w:t>6.1a</w:t>
      </w:r>
      <w:r>
        <w:rPr>
          <w:rFonts w:ascii="Arial" w:hAnsi="Arial" w:cs="Arial"/>
          <w:sz w:val="24"/>
          <w:szCs w:val="24"/>
        </w:rPr>
        <w:t xml:space="preserve"> and </w:t>
      </w:r>
      <w:r w:rsidRPr="00D0268A">
        <w:rPr>
          <w:rFonts w:ascii="Arial" w:hAnsi="Arial" w:cs="Arial"/>
          <w:sz w:val="24"/>
          <w:szCs w:val="24"/>
        </w:rPr>
        <w:t>6.2a</w:t>
      </w:r>
      <w:r w:rsidRPr="007E4106">
        <w:rPr>
          <w:rFonts w:ascii="Arial" w:hAnsi="Arial" w:cs="Arial"/>
          <w:sz w:val="24"/>
          <w:szCs w:val="24"/>
        </w:rPr>
        <w:t xml:space="preserve"> </w:t>
      </w:r>
      <w:r>
        <w:rPr>
          <w:rFonts w:ascii="Arial" w:hAnsi="Arial" w:cs="Arial"/>
          <w:sz w:val="24"/>
          <w:szCs w:val="24"/>
        </w:rPr>
        <w:t xml:space="preserve">of </w:t>
      </w:r>
      <w:r w:rsidRPr="007E4106">
        <w:rPr>
          <w:rFonts w:ascii="Arial" w:hAnsi="Arial" w:cs="Arial"/>
          <w:sz w:val="24"/>
          <w:szCs w:val="24"/>
        </w:rPr>
        <w:t>Rate Generator Model (Nov 1</w:t>
      </w:r>
      <w:r w:rsidR="0077487B">
        <w:rPr>
          <w:rFonts w:ascii="Arial" w:hAnsi="Arial" w:cs="Arial"/>
          <w:sz w:val="24"/>
          <w:szCs w:val="24"/>
        </w:rPr>
        <w:t>8</w:t>
      </w:r>
      <w:r w:rsidRPr="007E4106">
        <w:rPr>
          <w:rFonts w:ascii="Arial" w:hAnsi="Arial" w:cs="Arial"/>
          <w:sz w:val="24"/>
          <w:szCs w:val="24"/>
        </w:rPr>
        <w:t>, 2020)</w:t>
      </w:r>
      <w:r>
        <w:rPr>
          <w:rFonts w:ascii="Arial" w:hAnsi="Arial" w:cs="Arial"/>
          <w:sz w:val="24"/>
          <w:szCs w:val="24"/>
        </w:rPr>
        <w:t xml:space="preserve"> – attached </w:t>
      </w:r>
    </w:p>
    <w:p w14:paraId="48E4224A" w14:textId="77777777" w:rsidR="003A4C61" w:rsidRPr="00D0268A" w:rsidRDefault="003A4C61" w:rsidP="003A4C61">
      <w:pPr>
        <w:pStyle w:val="NoSpacing"/>
        <w:rPr>
          <w:rFonts w:ascii="Arial" w:hAnsi="Arial" w:cs="Arial"/>
          <w:sz w:val="24"/>
          <w:szCs w:val="24"/>
        </w:rPr>
      </w:pPr>
      <w:r>
        <w:rPr>
          <w:rFonts w:ascii="Arial" w:hAnsi="Arial" w:cs="Arial"/>
          <w:sz w:val="24"/>
          <w:szCs w:val="24"/>
        </w:rPr>
        <w:tab/>
        <w:t>GA Analysis Workform, Tab 2019</w:t>
      </w:r>
    </w:p>
    <w:p w14:paraId="730446F9" w14:textId="77777777" w:rsidR="003A4C61" w:rsidRPr="00D0268A" w:rsidRDefault="003A4C61" w:rsidP="003A4C61">
      <w:pPr>
        <w:pStyle w:val="NoSpacing"/>
        <w:rPr>
          <w:rFonts w:ascii="Arial" w:hAnsi="Arial" w:cs="Arial"/>
          <w:sz w:val="24"/>
          <w:szCs w:val="24"/>
        </w:rPr>
      </w:pPr>
    </w:p>
    <w:p w14:paraId="0623B359" w14:textId="77777777" w:rsidR="003A4C61" w:rsidRPr="005C2507" w:rsidRDefault="003A4C61" w:rsidP="003A4C61">
      <w:pPr>
        <w:rPr>
          <w:rFonts w:ascii="Arial" w:hAnsi="Arial" w:cs="Arial"/>
          <w:bCs/>
          <w:sz w:val="24"/>
          <w:szCs w:val="24"/>
        </w:rPr>
      </w:pPr>
      <w:r>
        <w:rPr>
          <w:rFonts w:ascii="Arial" w:hAnsi="Arial" w:cs="Arial"/>
          <w:bCs/>
          <w:sz w:val="24"/>
          <w:szCs w:val="24"/>
        </w:rPr>
        <w:t xml:space="preserve">OEB staff enabled the macros in </w:t>
      </w:r>
      <w:r w:rsidRPr="00D0268A">
        <w:rPr>
          <w:rFonts w:ascii="Arial" w:hAnsi="Arial" w:cs="Arial"/>
          <w:bCs/>
          <w:sz w:val="24"/>
          <w:szCs w:val="24"/>
        </w:rPr>
        <w:t>Tab</w:t>
      </w:r>
      <w:r>
        <w:rPr>
          <w:rFonts w:ascii="Arial" w:hAnsi="Arial" w:cs="Arial"/>
          <w:bCs/>
          <w:sz w:val="24"/>
          <w:szCs w:val="24"/>
        </w:rPr>
        <w:t xml:space="preserve"> 6 of the </w:t>
      </w:r>
      <w:r w:rsidRPr="007E4106">
        <w:rPr>
          <w:rFonts w:ascii="Arial" w:hAnsi="Arial" w:cs="Arial"/>
          <w:sz w:val="24"/>
          <w:szCs w:val="24"/>
        </w:rPr>
        <w:t xml:space="preserve">Rate Generator Model </w:t>
      </w:r>
      <w:r>
        <w:rPr>
          <w:rFonts w:ascii="Arial" w:hAnsi="Arial" w:cs="Arial"/>
          <w:bCs/>
          <w:sz w:val="24"/>
          <w:szCs w:val="24"/>
        </w:rPr>
        <w:t xml:space="preserve">to generate a table with columns for 2017 and 2018. As a complete version of this table was not generated in the Rate Generator Model filed by the utility, 2017 and 2018 data </w:t>
      </w:r>
      <w:proofErr w:type="gramStart"/>
      <w:r>
        <w:rPr>
          <w:rFonts w:ascii="Arial" w:hAnsi="Arial" w:cs="Arial"/>
          <w:bCs/>
          <w:sz w:val="24"/>
          <w:szCs w:val="24"/>
        </w:rPr>
        <w:t>was</w:t>
      </w:r>
      <w:proofErr w:type="gramEnd"/>
      <w:r>
        <w:rPr>
          <w:rFonts w:ascii="Arial" w:hAnsi="Arial" w:cs="Arial"/>
          <w:bCs/>
          <w:sz w:val="24"/>
          <w:szCs w:val="24"/>
        </w:rPr>
        <w:t xml:space="preserve"> not provided.</w:t>
      </w:r>
    </w:p>
    <w:p w14:paraId="22A41E99" w14:textId="363B2715" w:rsidR="003A4C61" w:rsidRPr="00771BB1" w:rsidRDefault="003A4C61" w:rsidP="003A4C61">
      <w:pPr>
        <w:pStyle w:val="ListParagraph"/>
        <w:numPr>
          <w:ilvl w:val="0"/>
          <w:numId w:val="3"/>
        </w:numPr>
        <w:rPr>
          <w:rFonts w:ascii="Arial" w:hAnsi="Arial" w:cs="Arial"/>
          <w:sz w:val="24"/>
          <w:szCs w:val="24"/>
        </w:rPr>
      </w:pPr>
      <w:r w:rsidRPr="00771BB1">
        <w:rPr>
          <w:rFonts w:ascii="Arial" w:hAnsi="Arial" w:cs="Arial"/>
          <w:sz w:val="24"/>
          <w:szCs w:val="24"/>
        </w:rPr>
        <w:t>In Tab 6</w:t>
      </w:r>
      <w:r w:rsidRPr="00A455A7">
        <w:rPr>
          <w:rFonts w:ascii="Arial" w:hAnsi="Arial" w:cs="Arial"/>
          <w:sz w:val="24"/>
          <w:szCs w:val="24"/>
        </w:rPr>
        <w:t xml:space="preserve"> </w:t>
      </w:r>
      <w:r>
        <w:rPr>
          <w:rFonts w:ascii="Arial" w:hAnsi="Arial" w:cs="Arial"/>
          <w:sz w:val="24"/>
          <w:szCs w:val="24"/>
        </w:rPr>
        <w:t xml:space="preserve">of the </w:t>
      </w:r>
      <w:r w:rsidRPr="007E4106">
        <w:rPr>
          <w:rFonts w:ascii="Arial" w:hAnsi="Arial" w:cs="Arial"/>
          <w:sz w:val="24"/>
          <w:szCs w:val="24"/>
        </w:rPr>
        <w:t>Rate Generator Model</w:t>
      </w:r>
      <w:r w:rsidRPr="00771BB1">
        <w:rPr>
          <w:rFonts w:ascii="Arial" w:hAnsi="Arial" w:cs="Arial"/>
          <w:sz w:val="24"/>
          <w:szCs w:val="24"/>
        </w:rPr>
        <w:t>, please provide the 2017 and 2018 data in Tables 3a and 3b.</w:t>
      </w:r>
    </w:p>
    <w:p w14:paraId="16571C32" w14:textId="2CD8C8C1" w:rsidR="00771BB1" w:rsidRPr="001C1773" w:rsidRDefault="00771BB1" w:rsidP="00771BB1">
      <w:pPr>
        <w:ind w:left="360"/>
        <w:rPr>
          <w:rFonts w:ascii="Arial" w:hAnsi="Arial" w:cs="Arial"/>
          <w:bCs/>
          <w:color w:val="0070C0"/>
          <w:sz w:val="24"/>
          <w:szCs w:val="24"/>
        </w:rPr>
      </w:pPr>
      <w:r w:rsidRPr="00771BB1">
        <w:rPr>
          <w:rFonts w:ascii="Arial" w:hAnsi="Arial" w:cs="Arial"/>
          <w:b/>
          <w:color w:val="0070C0"/>
          <w:sz w:val="24"/>
          <w:szCs w:val="24"/>
        </w:rPr>
        <w:t>HHI Response:</w:t>
      </w:r>
      <w:r w:rsidRPr="001C1773">
        <w:rPr>
          <w:rFonts w:ascii="Arial" w:hAnsi="Arial" w:cs="Arial"/>
          <w:bCs/>
          <w:color w:val="0070C0"/>
          <w:sz w:val="24"/>
          <w:szCs w:val="24"/>
        </w:rPr>
        <w:t xml:space="preserve"> Done as per previous IRM </w:t>
      </w:r>
    </w:p>
    <w:p w14:paraId="0D368F14" w14:textId="77777777" w:rsidR="003A4C61" w:rsidRDefault="003A4C61" w:rsidP="003A4C61">
      <w:pPr>
        <w:pStyle w:val="ListParagraph"/>
        <w:rPr>
          <w:rFonts w:ascii="Arial" w:hAnsi="Arial" w:cs="Arial"/>
          <w:bCs/>
          <w:sz w:val="24"/>
          <w:szCs w:val="24"/>
        </w:rPr>
      </w:pPr>
    </w:p>
    <w:p w14:paraId="011BAE4A" w14:textId="66EA352A" w:rsidR="003A4C61" w:rsidRDefault="008F39A7" w:rsidP="003A4C61">
      <w:pPr>
        <w:pStyle w:val="ListParagraph"/>
        <w:numPr>
          <w:ilvl w:val="0"/>
          <w:numId w:val="3"/>
        </w:numPr>
        <w:rPr>
          <w:rFonts w:ascii="Arial" w:hAnsi="Arial" w:cs="Arial"/>
          <w:bCs/>
          <w:sz w:val="24"/>
          <w:szCs w:val="24"/>
        </w:rPr>
      </w:pPr>
      <w:r>
        <w:rPr>
          <w:rFonts w:ascii="Arial" w:hAnsi="Arial" w:cs="Arial"/>
          <w:bCs/>
          <w:sz w:val="24"/>
          <w:szCs w:val="24"/>
        </w:rPr>
        <w:t>Based on the response to Staff Question 6-c ii), p</w:t>
      </w:r>
      <w:r w:rsidR="003A4C61" w:rsidRPr="005C2507">
        <w:rPr>
          <w:rFonts w:ascii="Arial" w:hAnsi="Arial" w:cs="Arial"/>
          <w:bCs/>
          <w:sz w:val="24"/>
          <w:szCs w:val="24"/>
        </w:rPr>
        <w:t xml:space="preserve">lease </w:t>
      </w:r>
      <w:r w:rsidR="003A4C61">
        <w:rPr>
          <w:rFonts w:ascii="Arial" w:hAnsi="Arial" w:cs="Arial"/>
          <w:bCs/>
          <w:sz w:val="24"/>
          <w:szCs w:val="24"/>
        </w:rPr>
        <w:t xml:space="preserve">reconcile the difference between </w:t>
      </w:r>
      <w:r w:rsidR="003A4C61" w:rsidRPr="005C2507">
        <w:rPr>
          <w:rFonts w:ascii="Arial" w:hAnsi="Arial" w:cs="Arial"/>
          <w:bCs/>
          <w:sz w:val="24"/>
          <w:szCs w:val="24"/>
        </w:rPr>
        <w:t xml:space="preserve">the 2019 Class A volumes of </w:t>
      </w:r>
      <w:r w:rsidR="003A4C61" w:rsidRPr="005C2507">
        <w:rPr>
          <w:rFonts w:ascii="Arial" w:eastAsia="Times New Roman" w:hAnsi="Arial" w:cs="Arial"/>
          <w:color w:val="000000"/>
          <w:sz w:val="24"/>
          <w:szCs w:val="24"/>
          <w:lang w:val="en-US"/>
        </w:rPr>
        <w:t xml:space="preserve">11,544,609 </w:t>
      </w:r>
      <w:r w:rsidR="00BA6E5D">
        <w:rPr>
          <w:rFonts w:ascii="Arial" w:eastAsia="Times New Roman" w:hAnsi="Arial" w:cs="Arial"/>
          <w:sz w:val="24"/>
          <w:szCs w:val="24"/>
          <w:lang w:val="en-US"/>
        </w:rPr>
        <w:t>kWh</w:t>
      </w:r>
      <w:r w:rsidR="003A4C61" w:rsidRPr="005C2507">
        <w:rPr>
          <w:rFonts w:ascii="Arial" w:hAnsi="Arial" w:cs="Arial"/>
          <w:bCs/>
          <w:sz w:val="24"/>
          <w:szCs w:val="24"/>
        </w:rPr>
        <w:t xml:space="preserve"> (</w:t>
      </w:r>
      <w:r w:rsidR="003A4C61">
        <w:rPr>
          <w:rFonts w:ascii="Arial" w:hAnsi="Arial" w:cs="Arial"/>
          <w:bCs/>
          <w:sz w:val="24"/>
          <w:szCs w:val="24"/>
        </w:rPr>
        <w:t>in</w:t>
      </w:r>
      <w:r w:rsidR="003A4C61" w:rsidRPr="005C2507">
        <w:rPr>
          <w:rFonts w:ascii="Arial" w:hAnsi="Arial" w:cs="Arial"/>
          <w:bCs/>
          <w:sz w:val="24"/>
          <w:szCs w:val="24"/>
        </w:rPr>
        <w:t xml:space="preserve"> Tab 6 of Rate Generator</w:t>
      </w:r>
      <w:r w:rsidR="003A4C61">
        <w:rPr>
          <w:rFonts w:ascii="Arial" w:hAnsi="Arial" w:cs="Arial"/>
          <w:bCs/>
          <w:sz w:val="24"/>
          <w:szCs w:val="24"/>
        </w:rPr>
        <w:t xml:space="preserve"> Model</w:t>
      </w:r>
      <w:r w:rsidR="003A4C61" w:rsidRPr="005C2507">
        <w:rPr>
          <w:rFonts w:ascii="Arial" w:hAnsi="Arial" w:cs="Arial"/>
          <w:bCs/>
          <w:sz w:val="24"/>
          <w:szCs w:val="24"/>
        </w:rPr>
        <w:t>)</w:t>
      </w:r>
      <w:r w:rsidR="003A4C61">
        <w:rPr>
          <w:rFonts w:ascii="Arial" w:hAnsi="Arial" w:cs="Arial"/>
          <w:bCs/>
          <w:sz w:val="24"/>
          <w:szCs w:val="24"/>
        </w:rPr>
        <w:t xml:space="preserve"> and</w:t>
      </w:r>
      <w:r w:rsidR="003A4C61" w:rsidRPr="005C2507">
        <w:rPr>
          <w:rFonts w:ascii="Arial" w:hAnsi="Arial" w:cs="Arial"/>
          <w:bCs/>
          <w:sz w:val="24"/>
          <w:szCs w:val="24"/>
        </w:rPr>
        <w:t xml:space="preserve"> </w:t>
      </w:r>
      <w:r w:rsidR="003A4C61" w:rsidRPr="005C2507">
        <w:rPr>
          <w:rFonts w:ascii="Arial" w:eastAsia="Times New Roman" w:hAnsi="Arial" w:cs="Arial"/>
          <w:sz w:val="24"/>
          <w:szCs w:val="24"/>
          <w:lang w:val="en-US"/>
        </w:rPr>
        <w:t xml:space="preserve">13,264,976 </w:t>
      </w:r>
      <w:r w:rsidR="00BA6E5D">
        <w:rPr>
          <w:rFonts w:ascii="Arial" w:eastAsia="Times New Roman" w:hAnsi="Arial" w:cs="Arial"/>
          <w:sz w:val="24"/>
          <w:szCs w:val="24"/>
          <w:lang w:val="en-US"/>
        </w:rPr>
        <w:t>kWh</w:t>
      </w:r>
      <w:r w:rsidR="003A4C61" w:rsidRPr="005C2507">
        <w:rPr>
          <w:rFonts w:ascii="Arial" w:hAnsi="Arial" w:cs="Arial"/>
          <w:bCs/>
          <w:sz w:val="24"/>
          <w:szCs w:val="24"/>
        </w:rPr>
        <w:t xml:space="preserve"> (</w:t>
      </w:r>
      <w:r w:rsidR="003A4C61">
        <w:rPr>
          <w:rFonts w:ascii="Arial" w:hAnsi="Arial" w:cs="Arial"/>
          <w:bCs/>
          <w:sz w:val="24"/>
          <w:szCs w:val="24"/>
        </w:rPr>
        <w:t>in</w:t>
      </w:r>
      <w:r w:rsidR="003A4C61" w:rsidRPr="005C2507">
        <w:rPr>
          <w:rFonts w:ascii="Arial" w:hAnsi="Arial" w:cs="Arial"/>
          <w:bCs/>
          <w:sz w:val="24"/>
          <w:szCs w:val="24"/>
        </w:rPr>
        <w:t xml:space="preserve"> Tab </w:t>
      </w:r>
      <w:r w:rsidR="003A4C61">
        <w:rPr>
          <w:rFonts w:ascii="Arial" w:hAnsi="Arial" w:cs="Arial"/>
          <w:bCs/>
          <w:sz w:val="24"/>
          <w:szCs w:val="24"/>
        </w:rPr>
        <w:t>“</w:t>
      </w:r>
      <w:r w:rsidR="003A4C61" w:rsidRPr="005C2507">
        <w:rPr>
          <w:rFonts w:ascii="Arial" w:hAnsi="Arial" w:cs="Arial"/>
          <w:bCs/>
          <w:sz w:val="24"/>
          <w:szCs w:val="24"/>
        </w:rPr>
        <w:t xml:space="preserve">2019 </w:t>
      </w:r>
      <w:r w:rsidR="003A4C61">
        <w:rPr>
          <w:rFonts w:ascii="Arial" w:hAnsi="Arial" w:cs="Arial"/>
          <w:bCs/>
          <w:sz w:val="24"/>
          <w:szCs w:val="24"/>
        </w:rPr>
        <w:t xml:space="preserve">GA” </w:t>
      </w:r>
      <w:r w:rsidR="003A4C61" w:rsidRPr="005C2507">
        <w:rPr>
          <w:rFonts w:ascii="Arial" w:hAnsi="Arial" w:cs="Arial"/>
          <w:bCs/>
          <w:sz w:val="24"/>
          <w:szCs w:val="24"/>
        </w:rPr>
        <w:t>of the GA Analysis Workform)</w:t>
      </w:r>
      <w:r w:rsidR="003A4C61">
        <w:rPr>
          <w:rFonts w:ascii="Arial" w:hAnsi="Arial" w:cs="Arial"/>
          <w:bCs/>
          <w:sz w:val="24"/>
          <w:szCs w:val="24"/>
        </w:rPr>
        <w:t xml:space="preserve">. </w:t>
      </w:r>
    </w:p>
    <w:p w14:paraId="1DF9ECF4" w14:textId="77777777" w:rsidR="003A4C61" w:rsidRDefault="003A4C61" w:rsidP="003A4C61">
      <w:pPr>
        <w:pStyle w:val="ListParagraph"/>
        <w:rPr>
          <w:rFonts w:ascii="Arial" w:hAnsi="Arial" w:cs="Arial"/>
          <w:bCs/>
          <w:sz w:val="24"/>
          <w:szCs w:val="24"/>
        </w:rPr>
      </w:pPr>
    </w:p>
    <w:p w14:paraId="18041C98" w14:textId="77777777" w:rsidR="003A4C61" w:rsidRDefault="003A4C61" w:rsidP="003A4C61">
      <w:pPr>
        <w:pStyle w:val="ListParagraph"/>
        <w:numPr>
          <w:ilvl w:val="0"/>
          <w:numId w:val="3"/>
        </w:numPr>
        <w:rPr>
          <w:rFonts w:ascii="Arial" w:hAnsi="Arial" w:cs="Arial"/>
          <w:bCs/>
          <w:sz w:val="24"/>
          <w:szCs w:val="24"/>
        </w:rPr>
      </w:pPr>
      <w:r w:rsidRPr="00D9746D">
        <w:rPr>
          <w:rFonts w:ascii="Arial" w:hAnsi="Arial" w:cs="Arial"/>
          <w:bCs/>
          <w:sz w:val="24"/>
          <w:szCs w:val="24"/>
        </w:rPr>
        <w:t xml:space="preserve">Please </w:t>
      </w:r>
      <w:r>
        <w:rPr>
          <w:rFonts w:ascii="Arial" w:hAnsi="Arial" w:cs="Arial"/>
          <w:bCs/>
          <w:sz w:val="24"/>
          <w:szCs w:val="24"/>
        </w:rPr>
        <w:t xml:space="preserve">provide </w:t>
      </w:r>
      <w:r w:rsidRPr="00D9746D">
        <w:rPr>
          <w:rFonts w:ascii="Arial" w:hAnsi="Arial" w:cs="Arial"/>
          <w:bCs/>
          <w:sz w:val="24"/>
          <w:szCs w:val="24"/>
        </w:rPr>
        <w:t xml:space="preserve">the 2017 and 2018 </w:t>
      </w:r>
      <w:r>
        <w:rPr>
          <w:rFonts w:ascii="Arial" w:hAnsi="Arial" w:cs="Arial"/>
          <w:bCs/>
          <w:sz w:val="24"/>
          <w:szCs w:val="24"/>
        </w:rPr>
        <w:t>volumes</w:t>
      </w:r>
      <w:r w:rsidRPr="00D9746D">
        <w:rPr>
          <w:rFonts w:ascii="Arial" w:hAnsi="Arial" w:cs="Arial"/>
          <w:bCs/>
          <w:sz w:val="24"/>
          <w:szCs w:val="24"/>
        </w:rPr>
        <w:t xml:space="preserve"> in Tab 6.1a (pertaining to total non-RPP consumption, less WMP) and in Tab 6.2a (pertaining to total metered consumption, less WMP). </w:t>
      </w:r>
    </w:p>
    <w:p w14:paraId="70C9AAED" w14:textId="77777777" w:rsidR="003A4C61" w:rsidRPr="00932B8A" w:rsidRDefault="003A4C61" w:rsidP="003A4C61">
      <w:pPr>
        <w:pStyle w:val="ListParagraph"/>
        <w:rPr>
          <w:rFonts w:ascii="Arial" w:hAnsi="Arial" w:cs="Arial"/>
          <w:bCs/>
          <w:sz w:val="24"/>
          <w:szCs w:val="24"/>
        </w:rPr>
      </w:pPr>
    </w:p>
    <w:p w14:paraId="58BEDAAE" w14:textId="7EDC7D8D" w:rsidR="007A12C3" w:rsidRDefault="00EE116A">
      <w:pPr>
        <w:rPr>
          <w:lang w:val="en-US"/>
        </w:rPr>
      </w:pPr>
      <w:r w:rsidRPr="001C1773">
        <w:rPr>
          <w:rFonts w:ascii="Arial" w:hAnsi="Arial" w:cs="Arial"/>
          <w:b/>
          <w:color w:val="0070C0"/>
          <w:sz w:val="24"/>
          <w:szCs w:val="24"/>
          <w:lang w:val="en-US"/>
        </w:rPr>
        <w:t xml:space="preserve">HHI Response: </w:t>
      </w:r>
      <w:r w:rsidR="001C1773" w:rsidRPr="001C1773">
        <w:rPr>
          <w:rFonts w:ascii="Arial" w:hAnsi="Arial" w:cs="Arial"/>
          <w:bCs/>
          <w:color w:val="0070C0"/>
          <w:sz w:val="24"/>
          <w:szCs w:val="24"/>
          <w:lang w:val="en-US"/>
        </w:rPr>
        <w:t>Models have been updated.</w:t>
      </w:r>
      <w:r w:rsidR="001C1773" w:rsidRPr="001C1773">
        <w:rPr>
          <w:lang w:val="en-US"/>
        </w:rPr>
        <w:t xml:space="preserve"> </w:t>
      </w:r>
    </w:p>
    <w:p w14:paraId="6BC997E9" w14:textId="77777777" w:rsidR="00E823CB" w:rsidRPr="001C1773" w:rsidRDefault="00E823CB">
      <w:pPr>
        <w:rPr>
          <w:rFonts w:ascii="Arial" w:eastAsiaTheme="majorEastAsia" w:hAnsi="Arial" w:cstheme="majorBidi"/>
          <w:b/>
          <w:sz w:val="24"/>
          <w:szCs w:val="26"/>
          <w:lang w:val="en-US"/>
        </w:rPr>
      </w:pPr>
    </w:p>
    <w:p w14:paraId="12DB8A33" w14:textId="186794A9" w:rsidR="003A4C61" w:rsidRDefault="003A4C61" w:rsidP="003A4C61">
      <w:pPr>
        <w:pStyle w:val="Heading2"/>
        <w:rPr>
          <w:b w:val="0"/>
        </w:rPr>
      </w:pPr>
      <w:r>
        <w:t>Staff Question-</w:t>
      </w:r>
      <w:r w:rsidR="006A6FB8">
        <w:t>9</w:t>
      </w:r>
    </w:p>
    <w:p w14:paraId="0B518C4A" w14:textId="0790F4FB" w:rsidR="003A4C61" w:rsidRPr="004361A9" w:rsidRDefault="003A4C61" w:rsidP="003A4C61">
      <w:pPr>
        <w:pStyle w:val="NoSpacing"/>
        <w:rPr>
          <w:rFonts w:ascii="Arial" w:hAnsi="Arial" w:cs="Arial"/>
          <w:sz w:val="24"/>
          <w:szCs w:val="24"/>
        </w:rPr>
      </w:pPr>
      <w:r w:rsidRPr="004361A9">
        <w:rPr>
          <w:rFonts w:ascii="Arial" w:hAnsi="Arial" w:cs="Arial"/>
          <w:sz w:val="24"/>
          <w:szCs w:val="24"/>
        </w:rPr>
        <w:t>Ref:</w:t>
      </w:r>
      <w:r w:rsidRPr="004361A9">
        <w:rPr>
          <w:rFonts w:ascii="Arial" w:hAnsi="Arial" w:cs="Arial"/>
          <w:sz w:val="24"/>
          <w:szCs w:val="24"/>
        </w:rPr>
        <w:tab/>
        <w:t xml:space="preserve">Tabs 8 and 9 </w:t>
      </w:r>
      <w:r>
        <w:rPr>
          <w:rFonts w:ascii="Arial" w:hAnsi="Arial" w:cs="Arial"/>
          <w:sz w:val="24"/>
          <w:szCs w:val="24"/>
        </w:rPr>
        <w:t xml:space="preserve">of </w:t>
      </w:r>
      <w:r w:rsidRPr="004361A9">
        <w:rPr>
          <w:rFonts w:ascii="Arial" w:hAnsi="Arial" w:cs="Arial"/>
          <w:sz w:val="24"/>
          <w:szCs w:val="24"/>
        </w:rPr>
        <w:t>Rate Generator Model (Nov 1</w:t>
      </w:r>
      <w:r w:rsidR="0077487B">
        <w:rPr>
          <w:rFonts w:ascii="Arial" w:hAnsi="Arial" w:cs="Arial"/>
          <w:sz w:val="24"/>
          <w:szCs w:val="24"/>
        </w:rPr>
        <w:t>8</w:t>
      </w:r>
      <w:r w:rsidRPr="004361A9">
        <w:rPr>
          <w:rFonts w:ascii="Arial" w:hAnsi="Arial" w:cs="Arial"/>
          <w:sz w:val="24"/>
          <w:szCs w:val="24"/>
        </w:rPr>
        <w:t>, 2020)</w:t>
      </w:r>
      <w:r>
        <w:rPr>
          <w:rFonts w:ascii="Arial" w:hAnsi="Arial" w:cs="Arial"/>
          <w:sz w:val="24"/>
          <w:szCs w:val="24"/>
        </w:rPr>
        <w:t xml:space="preserve"> – attached</w:t>
      </w:r>
    </w:p>
    <w:p w14:paraId="527FAA7B" w14:textId="4D49AE55" w:rsidR="003A4C61" w:rsidRPr="004361A9" w:rsidRDefault="003A4C61" w:rsidP="003A4C61">
      <w:pPr>
        <w:pStyle w:val="NoSpacing"/>
        <w:rPr>
          <w:rFonts w:ascii="Arial" w:hAnsi="Arial" w:cs="Arial"/>
          <w:sz w:val="24"/>
          <w:szCs w:val="24"/>
        </w:rPr>
      </w:pPr>
      <w:r w:rsidRPr="004361A9">
        <w:rPr>
          <w:rFonts w:ascii="Arial" w:hAnsi="Arial" w:cs="Arial"/>
          <w:sz w:val="24"/>
          <w:szCs w:val="24"/>
        </w:rPr>
        <w:tab/>
        <w:t xml:space="preserve">EB-2017-0048, PILS </w:t>
      </w:r>
      <w:r>
        <w:rPr>
          <w:rFonts w:ascii="Arial" w:hAnsi="Arial" w:cs="Arial"/>
          <w:sz w:val="24"/>
          <w:szCs w:val="24"/>
        </w:rPr>
        <w:t>W</w:t>
      </w:r>
      <w:r w:rsidRPr="004361A9">
        <w:rPr>
          <w:rFonts w:ascii="Arial" w:hAnsi="Arial" w:cs="Arial"/>
          <w:sz w:val="24"/>
          <w:szCs w:val="24"/>
        </w:rPr>
        <w:t xml:space="preserve">orkform, Tab </w:t>
      </w:r>
      <w:r>
        <w:rPr>
          <w:rFonts w:ascii="Arial" w:hAnsi="Arial" w:cs="Arial"/>
          <w:sz w:val="24"/>
          <w:szCs w:val="24"/>
        </w:rPr>
        <w:t>“</w:t>
      </w:r>
      <w:r w:rsidR="008A55B3">
        <w:rPr>
          <w:rFonts w:ascii="Arial" w:hAnsi="Arial" w:cs="Arial"/>
          <w:sz w:val="24"/>
          <w:szCs w:val="24"/>
        </w:rPr>
        <w:t>T</w:t>
      </w:r>
      <w:r w:rsidRPr="004361A9">
        <w:rPr>
          <w:rFonts w:ascii="Arial" w:hAnsi="Arial" w:cs="Arial"/>
          <w:sz w:val="24"/>
          <w:szCs w:val="24"/>
        </w:rPr>
        <w:t>0 PILs, Tax Provision</w:t>
      </w:r>
      <w:r>
        <w:rPr>
          <w:rFonts w:ascii="Arial" w:hAnsi="Arial" w:cs="Arial"/>
          <w:sz w:val="24"/>
          <w:szCs w:val="24"/>
        </w:rPr>
        <w:t>”</w:t>
      </w:r>
    </w:p>
    <w:p w14:paraId="06BC01FC" w14:textId="77777777" w:rsidR="003A4C61" w:rsidRPr="004361A9" w:rsidRDefault="003A4C61" w:rsidP="003A4C61">
      <w:pPr>
        <w:pStyle w:val="NoSpacing"/>
        <w:rPr>
          <w:rFonts w:ascii="Arial" w:hAnsi="Arial" w:cs="Arial"/>
          <w:sz w:val="24"/>
          <w:szCs w:val="24"/>
        </w:rPr>
      </w:pPr>
    </w:p>
    <w:p w14:paraId="75A4D717" w14:textId="77777777" w:rsidR="003A4C61" w:rsidRDefault="003A4C61" w:rsidP="003A4C61">
      <w:pPr>
        <w:rPr>
          <w:rFonts w:ascii="Arial" w:hAnsi="Arial" w:cs="Arial"/>
          <w:bCs/>
          <w:sz w:val="24"/>
          <w:szCs w:val="24"/>
        </w:rPr>
      </w:pPr>
      <w:r w:rsidRPr="004361A9">
        <w:rPr>
          <w:rFonts w:ascii="Arial" w:hAnsi="Arial" w:cs="Arial"/>
          <w:sz w:val="24"/>
          <w:szCs w:val="24"/>
        </w:rPr>
        <w:t>Hydro Hawkesbury calculated a tax sharing credit amount of $117 based on t</w:t>
      </w:r>
      <w:r>
        <w:rPr>
          <w:rFonts w:ascii="Arial" w:hAnsi="Arial" w:cs="Arial"/>
          <w:sz w:val="24"/>
          <w:szCs w:val="24"/>
        </w:rPr>
        <w:t xml:space="preserve">he decrease in the combined effective tax rate from 12.5% in 2018 to 12.2% in 2021. </w:t>
      </w:r>
    </w:p>
    <w:p w14:paraId="4FDC968C" w14:textId="77777777" w:rsidR="003A4C61" w:rsidRDefault="003A4C61" w:rsidP="003A4C61">
      <w:pPr>
        <w:pStyle w:val="ListParagraph"/>
        <w:numPr>
          <w:ilvl w:val="0"/>
          <w:numId w:val="8"/>
        </w:numPr>
        <w:rPr>
          <w:rFonts w:ascii="Arial" w:hAnsi="Arial" w:cs="Arial"/>
          <w:bCs/>
          <w:sz w:val="24"/>
          <w:szCs w:val="24"/>
        </w:rPr>
      </w:pPr>
      <w:r>
        <w:rPr>
          <w:rFonts w:ascii="Arial" w:hAnsi="Arial" w:cs="Arial"/>
          <w:bCs/>
          <w:sz w:val="24"/>
          <w:szCs w:val="24"/>
        </w:rPr>
        <w:t xml:space="preserve">Please explain the rationale for using an effective tax rate of 12.5% in 2018, </w:t>
      </w:r>
      <w:r>
        <w:rPr>
          <w:rFonts w:ascii="Arial" w:hAnsi="Arial" w:cs="Arial"/>
          <w:sz w:val="24"/>
          <w:szCs w:val="24"/>
        </w:rPr>
        <w:t xml:space="preserve">when the approved effective tax rate was 15% </w:t>
      </w:r>
      <w:r>
        <w:rPr>
          <w:rFonts w:ascii="Arial" w:hAnsi="Arial" w:cs="Arial"/>
          <w:bCs/>
          <w:sz w:val="24"/>
          <w:szCs w:val="24"/>
        </w:rPr>
        <w:t>in the 2018 PILs Workform</w:t>
      </w:r>
      <w:r>
        <w:rPr>
          <w:rFonts w:ascii="Arial" w:hAnsi="Arial" w:cs="Arial"/>
          <w:sz w:val="24"/>
          <w:szCs w:val="24"/>
        </w:rPr>
        <w:t>.</w:t>
      </w:r>
    </w:p>
    <w:p w14:paraId="5C88692D" w14:textId="1A48008E" w:rsidR="003A4C61" w:rsidRPr="00593298" w:rsidRDefault="00593298" w:rsidP="003A4C61">
      <w:pPr>
        <w:pStyle w:val="ListParagraph"/>
        <w:rPr>
          <w:rFonts w:ascii="Arial" w:hAnsi="Arial" w:cs="Arial"/>
          <w:b/>
          <w:color w:val="0070C0"/>
          <w:sz w:val="24"/>
          <w:szCs w:val="24"/>
        </w:rPr>
      </w:pPr>
      <w:r w:rsidRPr="00593298">
        <w:rPr>
          <w:rFonts w:ascii="Arial" w:hAnsi="Arial" w:cs="Arial"/>
          <w:b/>
          <w:color w:val="0070C0"/>
          <w:sz w:val="24"/>
          <w:szCs w:val="24"/>
        </w:rPr>
        <w:t>HHI Response</w:t>
      </w:r>
      <w:r>
        <w:rPr>
          <w:rFonts w:ascii="Arial" w:hAnsi="Arial" w:cs="Arial"/>
          <w:b/>
          <w:color w:val="0070C0"/>
          <w:sz w:val="24"/>
          <w:szCs w:val="24"/>
        </w:rPr>
        <w:t xml:space="preserve">: </w:t>
      </w:r>
      <w:r w:rsidRPr="00653310">
        <w:rPr>
          <w:rFonts w:ascii="Arial" w:hAnsi="Arial" w:cs="Arial"/>
          <w:bCs/>
          <w:color w:val="0070C0"/>
          <w:sz w:val="24"/>
          <w:szCs w:val="24"/>
        </w:rPr>
        <w:t xml:space="preserve">Staff is correct in that the </w:t>
      </w:r>
      <w:r w:rsidR="00BA6E5D">
        <w:rPr>
          <w:rFonts w:ascii="Arial" w:hAnsi="Arial" w:cs="Arial"/>
          <w:bCs/>
          <w:color w:val="0070C0"/>
          <w:sz w:val="24"/>
          <w:szCs w:val="24"/>
        </w:rPr>
        <w:t xml:space="preserve">tax rate used in the </w:t>
      </w:r>
      <w:r w:rsidRPr="00653310">
        <w:rPr>
          <w:rFonts w:ascii="Arial" w:hAnsi="Arial" w:cs="Arial"/>
          <w:bCs/>
          <w:color w:val="0070C0"/>
          <w:sz w:val="24"/>
          <w:szCs w:val="24"/>
        </w:rPr>
        <w:t xml:space="preserve">2018 </w:t>
      </w:r>
      <w:r w:rsidR="00BA6E5D">
        <w:rPr>
          <w:rFonts w:ascii="Arial" w:hAnsi="Arial" w:cs="Arial"/>
          <w:bCs/>
          <w:color w:val="0070C0"/>
          <w:sz w:val="24"/>
          <w:szCs w:val="24"/>
        </w:rPr>
        <w:t xml:space="preserve">CoS was </w:t>
      </w:r>
      <w:r w:rsidRPr="00653310">
        <w:rPr>
          <w:rFonts w:ascii="Arial" w:hAnsi="Arial" w:cs="Arial"/>
          <w:bCs/>
          <w:color w:val="0070C0"/>
          <w:sz w:val="24"/>
          <w:szCs w:val="24"/>
        </w:rPr>
        <w:t>15%</w:t>
      </w:r>
      <w:r w:rsidR="00BA6E5D">
        <w:rPr>
          <w:rFonts w:ascii="Arial" w:hAnsi="Arial" w:cs="Arial"/>
          <w:bCs/>
          <w:color w:val="0070C0"/>
          <w:sz w:val="24"/>
          <w:szCs w:val="24"/>
        </w:rPr>
        <w:t>. As such, the revised model reflects the correct tax rate of 15%</w:t>
      </w:r>
      <w:r w:rsidRPr="00653310">
        <w:rPr>
          <w:rFonts w:ascii="Arial" w:hAnsi="Arial" w:cs="Arial"/>
          <w:bCs/>
          <w:color w:val="0070C0"/>
          <w:sz w:val="24"/>
          <w:szCs w:val="24"/>
        </w:rPr>
        <w:t>.</w:t>
      </w:r>
    </w:p>
    <w:p w14:paraId="673C5512" w14:textId="77777777" w:rsidR="00593298" w:rsidRDefault="00593298" w:rsidP="003A4C61">
      <w:pPr>
        <w:pStyle w:val="ListParagraph"/>
        <w:rPr>
          <w:rFonts w:ascii="Arial" w:hAnsi="Arial" w:cs="Arial"/>
          <w:bCs/>
          <w:sz w:val="24"/>
          <w:szCs w:val="24"/>
        </w:rPr>
      </w:pPr>
    </w:p>
    <w:p w14:paraId="7837C7E6" w14:textId="469A3AB9" w:rsidR="003A4C61" w:rsidRPr="00593298" w:rsidRDefault="003A4C61" w:rsidP="003A4C61">
      <w:pPr>
        <w:pStyle w:val="ListParagraph"/>
        <w:numPr>
          <w:ilvl w:val="0"/>
          <w:numId w:val="8"/>
        </w:numPr>
        <w:rPr>
          <w:rFonts w:ascii="Arial" w:hAnsi="Arial" w:cs="Arial"/>
          <w:bCs/>
          <w:sz w:val="24"/>
          <w:szCs w:val="24"/>
        </w:rPr>
      </w:pPr>
      <w:r>
        <w:rPr>
          <w:rFonts w:ascii="Arial" w:hAnsi="Arial" w:cs="Arial"/>
          <w:bCs/>
          <w:sz w:val="24"/>
          <w:szCs w:val="24"/>
        </w:rPr>
        <w:t xml:space="preserve">Please confirm </w:t>
      </w:r>
      <w:r>
        <w:rPr>
          <w:rFonts w:ascii="Arial" w:hAnsi="Arial" w:cs="Arial"/>
          <w:sz w:val="24"/>
          <w:szCs w:val="24"/>
        </w:rPr>
        <w:t xml:space="preserve">whether </w:t>
      </w:r>
      <w:r w:rsidRPr="007E4106">
        <w:rPr>
          <w:rFonts w:ascii="Arial" w:hAnsi="Arial" w:cs="Arial"/>
          <w:bCs/>
          <w:sz w:val="24"/>
          <w:szCs w:val="24"/>
        </w:rPr>
        <w:t>Hydro Hawkesbury</w:t>
      </w:r>
      <w:r>
        <w:rPr>
          <w:rFonts w:ascii="Arial" w:hAnsi="Arial" w:cs="Arial"/>
          <w:sz w:val="24"/>
          <w:szCs w:val="24"/>
        </w:rPr>
        <w:t xml:space="preserve"> agrees to update the 2018 effective tax rate to 15% in Tab 8 </w:t>
      </w:r>
      <w:r>
        <w:rPr>
          <w:rFonts w:ascii="Arial" w:hAnsi="Arial" w:cs="Arial"/>
          <w:bCs/>
          <w:sz w:val="24"/>
          <w:szCs w:val="24"/>
        </w:rPr>
        <w:t>of the Rate Generator Model</w:t>
      </w:r>
      <w:r>
        <w:rPr>
          <w:rFonts w:ascii="Arial" w:hAnsi="Arial" w:cs="Arial"/>
          <w:sz w:val="24"/>
          <w:szCs w:val="24"/>
        </w:rPr>
        <w:t>. If yes, please confirm the revised tax sharing amount.</w:t>
      </w:r>
    </w:p>
    <w:p w14:paraId="25CB9D8E" w14:textId="4AB8A971" w:rsidR="00593298" w:rsidRPr="00593298" w:rsidRDefault="00593298" w:rsidP="00593298">
      <w:pPr>
        <w:ind w:left="720"/>
        <w:rPr>
          <w:rFonts w:ascii="Arial" w:hAnsi="Arial" w:cs="Arial"/>
          <w:bCs/>
          <w:sz w:val="24"/>
          <w:szCs w:val="24"/>
        </w:rPr>
      </w:pPr>
      <w:r w:rsidRPr="00593298">
        <w:rPr>
          <w:rFonts w:ascii="Arial" w:hAnsi="Arial" w:cs="Arial"/>
          <w:b/>
          <w:color w:val="0070C0"/>
          <w:sz w:val="24"/>
          <w:szCs w:val="24"/>
        </w:rPr>
        <w:t>HHI Response:</w:t>
      </w:r>
      <w:r w:rsidRPr="00653310">
        <w:rPr>
          <w:rFonts w:ascii="Arial" w:hAnsi="Arial" w:cs="Arial"/>
          <w:bCs/>
          <w:color w:val="0070C0"/>
          <w:sz w:val="24"/>
          <w:szCs w:val="24"/>
        </w:rPr>
        <w:t xml:space="preserve"> The revised Sharing of Tax Amount is -$1,120</w:t>
      </w:r>
    </w:p>
    <w:p w14:paraId="0EFCB99E" w14:textId="77777777" w:rsidR="003A4C61" w:rsidRDefault="003A4C61" w:rsidP="003A4C61">
      <w:pPr>
        <w:pStyle w:val="ListParagraph"/>
        <w:rPr>
          <w:rFonts w:ascii="Arial" w:hAnsi="Arial" w:cs="Arial"/>
          <w:bCs/>
          <w:sz w:val="24"/>
          <w:szCs w:val="24"/>
        </w:rPr>
      </w:pPr>
    </w:p>
    <w:p w14:paraId="1069AE01" w14:textId="22815576" w:rsidR="003A4C61" w:rsidRDefault="003A4C61" w:rsidP="003A4C61">
      <w:pPr>
        <w:pStyle w:val="ListParagraph"/>
        <w:numPr>
          <w:ilvl w:val="0"/>
          <w:numId w:val="8"/>
        </w:numPr>
        <w:rPr>
          <w:rFonts w:ascii="Arial" w:hAnsi="Arial" w:cs="Arial"/>
          <w:bCs/>
          <w:sz w:val="24"/>
          <w:szCs w:val="24"/>
        </w:rPr>
      </w:pPr>
      <w:r>
        <w:rPr>
          <w:rFonts w:ascii="Arial" w:hAnsi="Arial" w:cs="Arial"/>
          <w:bCs/>
          <w:sz w:val="24"/>
          <w:szCs w:val="24"/>
        </w:rPr>
        <w:t>Please provide the requested data in columns C through H in Tab 9</w:t>
      </w:r>
      <w:r w:rsidRPr="00D9746D">
        <w:rPr>
          <w:rFonts w:ascii="Arial" w:hAnsi="Arial" w:cs="Arial"/>
          <w:bCs/>
          <w:sz w:val="24"/>
          <w:szCs w:val="24"/>
        </w:rPr>
        <w:t xml:space="preserve"> </w:t>
      </w:r>
      <w:r>
        <w:rPr>
          <w:rFonts w:ascii="Arial" w:hAnsi="Arial" w:cs="Arial"/>
          <w:bCs/>
          <w:sz w:val="24"/>
          <w:szCs w:val="24"/>
        </w:rPr>
        <w:t>of the Rate Generator Model.</w:t>
      </w:r>
    </w:p>
    <w:p w14:paraId="79BC6D71" w14:textId="13553598" w:rsidR="00593298" w:rsidRPr="00593298" w:rsidRDefault="00593298" w:rsidP="00593298">
      <w:pPr>
        <w:ind w:left="720"/>
        <w:rPr>
          <w:rFonts w:ascii="Arial" w:hAnsi="Arial" w:cs="Arial"/>
          <w:bCs/>
          <w:sz w:val="24"/>
          <w:szCs w:val="24"/>
        </w:rPr>
      </w:pPr>
      <w:r w:rsidRPr="00593298">
        <w:rPr>
          <w:rFonts w:ascii="Arial" w:hAnsi="Arial" w:cs="Arial"/>
          <w:b/>
          <w:color w:val="0070C0"/>
          <w:sz w:val="24"/>
          <w:szCs w:val="24"/>
        </w:rPr>
        <w:t>HHI Response:</w:t>
      </w:r>
      <w:r w:rsidRPr="005656D9">
        <w:rPr>
          <w:rFonts w:ascii="Arial" w:hAnsi="Arial" w:cs="Arial"/>
          <w:bCs/>
          <w:color w:val="0070C0"/>
          <w:sz w:val="24"/>
          <w:szCs w:val="24"/>
        </w:rPr>
        <w:t xml:space="preserve"> </w:t>
      </w:r>
      <w:r w:rsidR="00F83DDE" w:rsidRPr="005656D9">
        <w:rPr>
          <w:rFonts w:ascii="Arial" w:hAnsi="Arial" w:cs="Arial"/>
          <w:bCs/>
          <w:color w:val="0070C0"/>
          <w:sz w:val="24"/>
          <w:szCs w:val="24"/>
        </w:rPr>
        <w:t xml:space="preserve">The model filed in conjunction with these responses has been updated accordingly </w:t>
      </w:r>
    </w:p>
    <w:p w14:paraId="38983054" w14:textId="5D835AA5" w:rsidR="00922944" w:rsidRDefault="00922944">
      <w:pPr>
        <w:rPr>
          <w:rFonts w:ascii="Arial" w:eastAsiaTheme="majorEastAsia" w:hAnsi="Arial" w:cstheme="majorBidi"/>
          <w:b/>
          <w:sz w:val="24"/>
          <w:szCs w:val="26"/>
        </w:rPr>
      </w:pPr>
    </w:p>
    <w:p w14:paraId="41E8346E" w14:textId="2D4CECD4" w:rsidR="003A4C61" w:rsidRDefault="003A4C61" w:rsidP="003A4C61">
      <w:pPr>
        <w:pStyle w:val="Heading2"/>
      </w:pPr>
      <w:r>
        <w:t>Staff Question-1</w:t>
      </w:r>
      <w:r w:rsidR="006A6FB8">
        <w:t>0</w:t>
      </w:r>
    </w:p>
    <w:p w14:paraId="463690ED" w14:textId="73695E46" w:rsidR="003A4C61" w:rsidRPr="00E24119" w:rsidRDefault="003A4C61" w:rsidP="003A4C61">
      <w:pPr>
        <w:pStyle w:val="NoSpacing"/>
        <w:rPr>
          <w:rFonts w:ascii="Arial" w:hAnsi="Arial" w:cs="Arial"/>
          <w:sz w:val="24"/>
          <w:szCs w:val="24"/>
        </w:rPr>
      </w:pPr>
      <w:r w:rsidRPr="00E24119">
        <w:rPr>
          <w:rFonts w:ascii="Arial" w:hAnsi="Arial" w:cs="Arial"/>
          <w:sz w:val="24"/>
          <w:szCs w:val="24"/>
        </w:rPr>
        <w:t>Ref:</w:t>
      </w:r>
      <w:r w:rsidRPr="00E24119">
        <w:rPr>
          <w:rFonts w:ascii="Arial" w:hAnsi="Arial" w:cs="Arial"/>
          <w:sz w:val="24"/>
          <w:szCs w:val="24"/>
        </w:rPr>
        <w:tab/>
        <w:t>Tab 3 of the Rate Generator Model (Nov 1</w:t>
      </w:r>
      <w:r w:rsidR="0077487B">
        <w:rPr>
          <w:rFonts w:ascii="Arial" w:hAnsi="Arial" w:cs="Arial"/>
          <w:sz w:val="24"/>
          <w:szCs w:val="24"/>
        </w:rPr>
        <w:t>8</w:t>
      </w:r>
      <w:r w:rsidRPr="00E24119">
        <w:rPr>
          <w:rFonts w:ascii="Arial" w:hAnsi="Arial" w:cs="Arial"/>
          <w:sz w:val="24"/>
          <w:szCs w:val="24"/>
        </w:rPr>
        <w:t>, 2020)</w:t>
      </w:r>
      <w:r>
        <w:rPr>
          <w:rFonts w:ascii="Arial" w:hAnsi="Arial" w:cs="Arial"/>
          <w:sz w:val="24"/>
          <w:szCs w:val="24"/>
        </w:rPr>
        <w:t xml:space="preserve"> – attached</w:t>
      </w:r>
    </w:p>
    <w:p w14:paraId="3662AD7D" w14:textId="77777777" w:rsidR="003A4C61" w:rsidRPr="00E24119" w:rsidRDefault="003A4C61" w:rsidP="003A4C61">
      <w:pPr>
        <w:pStyle w:val="NoSpacing"/>
        <w:rPr>
          <w:rFonts w:ascii="Arial" w:hAnsi="Arial" w:cs="Arial"/>
          <w:sz w:val="24"/>
          <w:szCs w:val="24"/>
        </w:rPr>
      </w:pPr>
    </w:p>
    <w:p w14:paraId="02A662A4" w14:textId="77777777" w:rsidR="003A4C61" w:rsidRPr="00047A5E" w:rsidRDefault="003A4C61" w:rsidP="003A4C61">
      <w:pPr>
        <w:rPr>
          <w:rFonts w:ascii="Arial" w:hAnsi="Arial" w:cs="Arial"/>
          <w:bCs/>
          <w:sz w:val="24"/>
          <w:szCs w:val="24"/>
        </w:rPr>
      </w:pPr>
      <w:r w:rsidRPr="00E24119">
        <w:rPr>
          <w:rFonts w:ascii="Arial" w:hAnsi="Arial" w:cs="Arial"/>
          <w:bCs/>
          <w:sz w:val="24"/>
          <w:szCs w:val="24"/>
        </w:rPr>
        <w:t>In Tab 3 of the Rate Generator Model, there are principal adjustments to Account 1595 (pre-2014 and</w:t>
      </w:r>
      <w:r>
        <w:rPr>
          <w:rFonts w:ascii="Arial" w:hAnsi="Arial" w:cs="Arial"/>
          <w:bCs/>
          <w:sz w:val="24"/>
          <w:szCs w:val="24"/>
        </w:rPr>
        <w:t xml:space="preserve"> 2015) balances</w:t>
      </w:r>
      <w:r w:rsidRPr="00485578">
        <w:rPr>
          <w:rFonts w:ascii="Arial" w:hAnsi="Arial" w:cs="Arial"/>
          <w:bCs/>
          <w:sz w:val="24"/>
          <w:szCs w:val="24"/>
        </w:rPr>
        <w:t xml:space="preserve"> </w:t>
      </w:r>
      <w:r>
        <w:rPr>
          <w:rFonts w:ascii="Arial" w:hAnsi="Arial" w:cs="Arial"/>
          <w:bCs/>
          <w:sz w:val="24"/>
          <w:szCs w:val="24"/>
        </w:rPr>
        <w:t>in the 2018 rate year.</w:t>
      </w:r>
    </w:p>
    <w:p w14:paraId="1F3D0CC9" w14:textId="77777777" w:rsidR="00922944" w:rsidRDefault="003A4C61" w:rsidP="003A4C61">
      <w:pPr>
        <w:pStyle w:val="ListParagraph"/>
        <w:numPr>
          <w:ilvl w:val="0"/>
          <w:numId w:val="17"/>
        </w:numPr>
        <w:rPr>
          <w:rFonts w:ascii="Arial" w:hAnsi="Arial" w:cs="Arial"/>
          <w:bCs/>
          <w:sz w:val="24"/>
          <w:szCs w:val="24"/>
        </w:rPr>
      </w:pPr>
      <w:r>
        <w:rPr>
          <w:rFonts w:ascii="Arial" w:hAnsi="Arial" w:cs="Arial"/>
          <w:bCs/>
          <w:sz w:val="24"/>
          <w:szCs w:val="24"/>
        </w:rPr>
        <w:t xml:space="preserve">Please explain why </w:t>
      </w:r>
      <w:r w:rsidRPr="007E4106">
        <w:rPr>
          <w:rFonts w:ascii="Arial" w:hAnsi="Arial" w:cs="Arial"/>
          <w:bCs/>
          <w:sz w:val="24"/>
          <w:szCs w:val="24"/>
        </w:rPr>
        <w:t>Hydro Hawkesbury</w:t>
      </w:r>
      <w:r>
        <w:rPr>
          <w:rFonts w:ascii="Arial" w:hAnsi="Arial" w:cs="Arial"/>
          <w:bCs/>
          <w:sz w:val="24"/>
          <w:szCs w:val="24"/>
        </w:rPr>
        <w:t xml:space="preserve"> reflected the draw-down of Account 1595 balances in the principal adjustment column in the 2018 rate year.</w:t>
      </w:r>
      <w:r w:rsidRPr="001915EC">
        <w:rPr>
          <w:rFonts w:ascii="Arial" w:hAnsi="Arial" w:cs="Arial"/>
          <w:bCs/>
          <w:sz w:val="24"/>
          <w:szCs w:val="24"/>
        </w:rPr>
        <w:t xml:space="preserve"> </w:t>
      </w:r>
    </w:p>
    <w:p w14:paraId="2ED3399C" w14:textId="52A2F52B" w:rsidR="00C34417" w:rsidRDefault="00922944" w:rsidP="009B123A">
      <w:pPr>
        <w:ind w:left="720"/>
        <w:rPr>
          <w:rFonts w:ascii="Arial" w:hAnsi="Arial" w:cs="Arial"/>
          <w:sz w:val="24"/>
          <w:szCs w:val="24"/>
        </w:rPr>
      </w:pPr>
      <w:r w:rsidRPr="00922944">
        <w:rPr>
          <w:rFonts w:ascii="Arial" w:hAnsi="Arial" w:cs="Arial"/>
          <w:b/>
          <w:color w:val="0070C0"/>
          <w:sz w:val="24"/>
          <w:szCs w:val="24"/>
        </w:rPr>
        <w:t>HHI Response:</w:t>
      </w:r>
      <w:r w:rsidR="009B123A">
        <w:rPr>
          <w:rFonts w:ascii="Arial" w:hAnsi="Arial" w:cs="Arial"/>
          <w:b/>
          <w:color w:val="0070C0"/>
          <w:sz w:val="24"/>
          <w:szCs w:val="24"/>
        </w:rPr>
        <w:t xml:space="preserve"> </w:t>
      </w:r>
      <w:r w:rsidR="00A9708F">
        <w:rPr>
          <w:rFonts w:ascii="Arial" w:hAnsi="Arial" w:cs="Arial"/>
          <w:bCs/>
          <w:color w:val="0070C0"/>
          <w:sz w:val="24"/>
          <w:szCs w:val="24"/>
        </w:rPr>
        <w:t xml:space="preserve">Those amounts were disposed in 2018. They should not </w:t>
      </w:r>
      <w:r w:rsidR="004A7144">
        <w:rPr>
          <w:rFonts w:ascii="Arial" w:hAnsi="Arial" w:cs="Arial"/>
          <w:bCs/>
          <w:color w:val="0070C0"/>
          <w:sz w:val="24"/>
          <w:szCs w:val="24"/>
        </w:rPr>
        <w:t>appear in the continuity schedule. The continuity schedule has been updated</w:t>
      </w:r>
      <w:r w:rsidR="00361135">
        <w:rPr>
          <w:rFonts w:ascii="Arial" w:hAnsi="Arial" w:cs="Arial"/>
          <w:bCs/>
          <w:color w:val="0070C0"/>
          <w:sz w:val="24"/>
          <w:szCs w:val="24"/>
        </w:rPr>
        <w:t>.</w:t>
      </w:r>
    </w:p>
    <w:p w14:paraId="07044014" w14:textId="77777777" w:rsidR="003A4C61" w:rsidRPr="008365B5" w:rsidRDefault="003A4C61" w:rsidP="003A4C61">
      <w:pPr>
        <w:pStyle w:val="ListParagraph"/>
        <w:rPr>
          <w:rFonts w:ascii="Arial" w:hAnsi="Arial" w:cs="Arial"/>
          <w:bCs/>
          <w:sz w:val="24"/>
          <w:szCs w:val="24"/>
        </w:rPr>
      </w:pPr>
    </w:p>
    <w:p w14:paraId="2E61AC58" w14:textId="26F2AB99" w:rsidR="00922944" w:rsidRPr="00922944" w:rsidRDefault="003A4C61" w:rsidP="00922944">
      <w:pPr>
        <w:pStyle w:val="ListParagraph"/>
        <w:numPr>
          <w:ilvl w:val="0"/>
          <w:numId w:val="17"/>
        </w:numPr>
        <w:rPr>
          <w:rFonts w:ascii="Arial" w:hAnsi="Arial" w:cs="Arial"/>
          <w:bCs/>
          <w:sz w:val="24"/>
          <w:szCs w:val="24"/>
        </w:rPr>
      </w:pPr>
      <w:r>
        <w:rPr>
          <w:rFonts w:ascii="Arial" w:hAnsi="Arial" w:cs="Arial"/>
          <w:bCs/>
          <w:sz w:val="24"/>
          <w:szCs w:val="24"/>
        </w:rPr>
        <w:t>P</w:t>
      </w:r>
      <w:r w:rsidRPr="00634286">
        <w:rPr>
          <w:rFonts w:ascii="Arial" w:hAnsi="Arial" w:cs="Arial"/>
          <w:bCs/>
          <w:sz w:val="24"/>
          <w:szCs w:val="24"/>
        </w:rPr>
        <w:t>lease reflect the draw-down of Account 1595 (pre-2014 and 2015) balances in the transactions column of the applicable rate year(s) in the DVA Continuity Schedule</w:t>
      </w:r>
      <w:r>
        <w:rPr>
          <w:rFonts w:ascii="Arial" w:hAnsi="Arial" w:cs="Arial"/>
          <w:bCs/>
          <w:sz w:val="24"/>
          <w:szCs w:val="24"/>
        </w:rPr>
        <w:t>, as appropriate</w:t>
      </w:r>
      <w:r w:rsidRPr="00634286">
        <w:rPr>
          <w:rFonts w:ascii="Arial" w:hAnsi="Arial" w:cs="Arial"/>
          <w:bCs/>
          <w:sz w:val="24"/>
          <w:szCs w:val="24"/>
        </w:rPr>
        <w:t xml:space="preserve">. </w:t>
      </w:r>
    </w:p>
    <w:p w14:paraId="7855E804" w14:textId="5282E2D1" w:rsidR="00C34417" w:rsidRPr="009D19A9" w:rsidRDefault="00922944" w:rsidP="00361135">
      <w:pPr>
        <w:ind w:left="720"/>
        <w:rPr>
          <w:rFonts w:ascii="Arial" w:hAnsi="Arial" w:cs="Arial"/>
          <w:sz w:val="24"/>
          <w:szCs w:val="24"/>
          <w:lang w:val="en-US"/>
        </w:rPr>
      </w:pPr>
      <w:r w:rsidRPr="00361135">
        <w:rPr>
          <w:rFonts w:ascii="Arial" w:hAnsi="Arial" w:cs="Arial"/>
          <w:b/>
          <w:color w:val="0070C0"/>
          <w:sz w:val="24"/>
          <w:szCs w:val="24"/>
          <w:lang w:val="en-US"/>
        </w:rPr>
        <w:t>HHI Response:</w:t>
      </w:r>
      <w:r w:rsidR="00361135" w:rsidRPr="00361135">
        <w:rPr>
          <w:rFonts w:ascii="Arial" w:hAnsi="Arial" w:cs="Arial"/>
          <w:b/>
          <w:color w:val="0070C0"/>
          <w:sz w:val="24"/>
          <w:szCs w:val="24"/>
          <w:lang w:val="en-US"/>
        </w:rPr>
        <w:t xml:space="preserve"> </w:t>
      </w:r>
      <w:r w:rsidR="00361135">
        <w:rPr>
          <w:rFonts w:ascii="Arial" w:hAnsi="Arial" w:cs="Arial"/>
          <w:bCs/>
          <w:color w:val="0070C0"/>
          <w:sz w:val="24"/>
          <w:szCs w:val="24"/>
        </w:rPr>
        <w:t>Those amounts were disposed in 2018. They should not appear in the continuity schedule. The continuity schedule has been updated.</w:t>
      </w:r>
    </w:p>
    <w:p w14:paraId="519B9A9F" w14:textId="0AC729DA" w:rsidR="00922944" w:rsidRPr="009D19A9" w:rsidRDefault="00922944">
      <w:pPr>
        <w:rPr>
          <w:rFonts w:ascii="Arial" w:eastAsiaTheme="majorEastAsia" w:hAnsi="Arial" w:cstheme="majorBidi"/>
          <w:b/>
          <w:sz w:val="24"/>
          <w:szCs w:val="26"/>
          <w:lang w:val="en-US"/>
        </w:rPr>
      </w:pPr>
    </w:p>
    <w:p w14:paraId="7DFBC134" w14:textId="7A9640FE" w:rsidR="00A31531" w:rsidRDefault="00A31531" w:rsidP="00A31531">
      <w:pPr>
        <w:pStyle w:val="Heading2"/>
        <w:rPr>
          <w:b w:val="0"/>
        </w:rPr>
      </w:pPr>
      <w:r w:rsidRPr="009D19A9">
        <w:rPr>
          <w:lang w:val="en-US"/>
        </w:rPr>
        <w:t>Staff Question-</w:t>
      </w:r>
      <w:r w:rsidR="00A61DC9" w:rsidRPr="009D19A9">
        <w:rPr>
          <w:lang w:val="en-US"/>
        </w:rPr>
        <w:t>1</w:t>
      </w:r>
      <w:r w:rsidR="006B04AA" w:rsidRPr="009D19A9">
        <w:rPr>
          <w:lang w:val="en-US"/>
        </w:rPr>
        <w:t>1</w:t>
      </w:r>
    </w:p>
    <w:p w14:paraId="5023E43D" w14:textId="7717A9B8" w:rsidR="00A31531" w:rsidRDefault="00A31531" w:rsidP="00A31531">
      <w:pPr>
        <w:rPr>
          <w:rFonts w:ascii="Arial" w:hAnsi="Arial" w:cs="Arial"/>
          <w:bCs/>
          <w:sz w:val="24"/>
          <w:szCs w:val="24"/>
        </w:rPr>
      </w:pPr>
      <w:r>
        <w:rPr>
          <w:rFonts w:ascii="Arial" w:hAnsi="Arial" w:cs="Arial"/>
          <w:bCs/>
          <w:sz w:val="24"/>
          <w:szCs w:val="24"/>
        </w:rPr>
        <w:t>Ref:</w:t>
      </w:r>
      <w:r>
        <w:rPr>
          <w:rFonts w:ascii="Arial" w:hAnsi="Arial" w:cs="Arial"/>
          <w:bCs/>
          <w:sz w:val="24"/>
          <w:szCs w:val="24"/>
        </w:rPr>
        <w:tab/>
        <w:t>Tab</w:t>
      </w:r>
      <w:r w:rsidR="00165DEF">
        <w:rPr>
          <w:rFonts w:ascii="Arial" w:hAnsi="Arial" w:cs="Arial"/>
          <w:bCs/>
          <w:sz w:val="24"/>
          <w:szCs w:val="24"/>
        </w:rPr>
        <w:t xml:space="preserve"> </w:t>
      </w:r>
      <w:r>
        <w:rPr>
          <w:rFonts w:ascii="Arial" w:hAnsi="Arial" w:cs="Arial"/>
          <w:bCs/>
          <w:sz w:val="24"/>
          <w:szCs w:val="24"/>
        </w:rPr>
        <w:t>20 of Rate Generator Model (Nov 1</w:t>
      </w:r>
      <w:r w:rsidR="0077487B">
        <w:rPr>
          <w:rFonts w:ascii="Arial" w:hAnsi="Arial" w:cs="Arial"/>
          <w:bCs/>
          <w:sz w:val="24"/>
          <w:szCs w:val="24"/>
        </w:rPr>
        <w:t>8</w:t>
      </w:r>
      <w:r>
        <w:rPr>
          <w:rFonts w:ascii="Arial" w:hAnsi="Arial" w:cs="Arial"/>
          <w:bCs/>
          <w:sz w:val="24"/>
          <w:szCs w:val="24"/>
        </w:rPr>
        <w:t>, 2020)</w:t>
      </w:r>
      <w:r w:rsidR="008951B5">
        <w:rPr>
          <w:rFonts w:ascii="Arial" w:hAnsi="Arial" w:cs="Arial"/>
          <w:bCs/>
          <w:sz w:val="24"/>
          <w:szCs w:val="24"/>
        </w:rPr>
        <w:t xml:space="preserve"> </w:t>
      </w:r>
      <w:r w:rsidR="008951B5">
        <w:rPr>
          <w:rFonts w:ascii="Arial" w:hAnsi="Arial" w:cs="Arial"/>
          <w:sz w:val="24"/>
          <w:szCs w:val="24"/>
        </w:rPr>
        <w:t>– attached</w:t>
      </w:r>
    </w:p>
    <w:p w14:paraId="0BF7DF91" w14:textId="383F55D2" w:rsidR="00A31531" w:rsidRDefault="00A31531" w:rsidP="00A31531">
      <w:pPr>
        <w:rPr>
          <w:rFonts w:ascii="Arial" w:hAnsi="Arial" w:cs="Arial"/>
          <w:b/>
          <w:sz w:val="24"/>
          <w:szCs w:val="24"/>
        </w:rPr>
      </w:pPr>
      <w:r w:rsidRPr="00C84594">
        <w:rPr>
          <w:rFonts w:ascii="Arial" w:hAnsi="Arial" w:cs="Arial"/>
          <w:sz w:val="24"/>
          <w:szCs w:val="24"/>
        </w:rPr>
        <w:t xml:space="preserve">RTSR </w:t>
      </w:r>
      <w:r>
        <w:rPr>
          <w:rFonts w:ascii="Arial" w:hAnsi="Arial" w:cs="Arial"/>
          <w:sz w:val="24"/>
          <w:szCs w:val="24"/>
        </w:rPr>
        <w:t xml:space="preserve">– network charges have increased by more than 4% for certain customer classes, specifically </w:t>
      </w:r>
      <w:r w:rsidR="000127A0">
        <w:rPr>
          <w:rFonts w:ascii="Arial" w:hAnsi="Arial" w:cs="Arial"/>
          <w:sz w:val="24"/>
          <w:szCs w:val="24"/>
        </w:rPr>
        <w:t xml:space="preserve">for </w:t>
      </w:r>
      <w:r w:rsidR="00EE1486">
        <w:rPr>
          <w:rFonts w:ascii="Arial" w:hAnsi="Arial" w:cs="Arial"/>
          <w:sz w:val="24"/>
          <w:szCs w:val="24"/>
        </w:rPr>
        <w:t>R</w:t>
      </w:r>
      <w:r>
        <w:rPr>
          <w:rFonts w:ascii="Arial" w:hAnsi="Arial" w:cs="Arial"/>
          <w:sz w:val="24"/>
          <w:szCs w:val="24"/>
        </w:rPr>
        <w:t xml:space="preserve">esidential, GS&lt;50 kW, Unmetered Scattered Load. As </w:t>
      </w:r>
      <w:r w:rsidR="00D91AE1">
        <w:rPr>
          <w:rFonts w:ascii="Arial" w:hAnsi="Arial" w:cs="Arial"/>
          <w:sz w:val="24"/>
          <w:szCs w:val="24"/>
        </w:rPr>
        <w:t>noted in</w:t>
      </w:r>
      <w:r>
        <w:rPr>
          <w:rFonts w:ascii="Arial" w:hAnsi="Arial" w:cs="Arial"/>
          <w:sz w:val="24"/>
          <w:szCs w:val="24"/>
        </w:rPr>
        <w:t xml:space="preserve"> Tab 20 of the </w:t>
      </w:r>
      <w:r>
        <w:rPr>
          <w:rFonts w:ascii="Arial" w:hAnsi="Arial" w:cs="Arial"/>
          <w:bCs/>
          <w:sz w:val="24"/>
          <w:szCs w:val="24"/>
        </w:rPr>
        <w:t>Rate Generator Model, an explanation is required in the Manager’s Summary</w:t>
      </w:r>
      <w:r w:rsidR="000127A0">
        <w:rPr>
          <w:rFonts w:ascii="Arial" w:hAnsi="Arial" w:cs="Arial"/>
          <w:bCs/>
          <w:sz w:val="24"/>
          <w:szCs w:val="24"/>
        </w:rPr>
        <w:t xml:space="preserve"> if the change in RTSR charges is more than 4%</w:t>
      </w:r>
      <w:r>
        <w:rPr>
          <w:rFonts w:ascii="Arial" w:hAnsi="Arial" w:cs="Arial"/>
          <w:bCs/>
          <w:sz w:val="24"/>
          <w:szCs w:val="24"/>
        </w:rPr>
        <w:t xml:space="preserve">. </w:t>
      </w:r>
    </w:p>
    <w:p w14:paraId="3F486444" w14:textId="7FC9B6B1" w:rsidR="00A31531" w:rsidRDefault="00564126" w:rsidP="00642F14">
      <w:pPr>
        <w:pStyle w:val="ListParagraph"/>
        <w:numPr>
          <w:ilvl w:val="0"/>
          <w:numId w:val="2"/>
        </w:numPr>
        <w:spacing w:after="160"/>
        <w:rPr>
          <w:rFonts w:ascii="Arial" w:hAnsi="Arial" w:cs="Arial"/>
          <w:sz w:val="24"/>
          <w:szCs w:val="24"/>
        </w:rPr>
      </w:pPr>
      <w:r>
        <w:rPr>
          <w:rFonts w:ascii="Arial" w:hAnsi="Arial" w:cs="Arial"/>
          <w:sz w:val="24"/>
          <w:szCs w:val="24"/>
        </w:rPr>
        <w:t>P</w:t>
      </w:r>
      <w:r w:rsidR="00A31531" w:rsidRPr="00C84594">
        <w:rPr>
          <w:rFonts w:ascii="Arial" w:hAnsi="Arial" w:cs="Arial"/>
          <w:sz w:val="24"/>
          <w:szCs w:val="24"/>
        </w:rPr>
        <w:t xml:space="preserve">lease </w:t>
      </w:r>
      <w:r w:rsidR="00A31531" w:rsidRPr="003D4C22">
        <w:rPr>
          <w:rFonts w:ascii="Arial" w:hAnsi="Arial" w:cs="Arial"/>
          <w:sz w:val="24"/>
          <w:szCs w:val="24"/>
        </w:rPr>
        <w:t>discuss whether the</w:t>
      </w:r>
      <w:r w:rsidR="009C60E7">
        <w:rPr>
          <w:rFonts w:ascii="Arial" w:hAnsi="Arial" w:cs="Arial"/>
          <w:sz w:val="24"/>
          <w:szCs w:val="24"/>
        </w:rPr>
        <w:t xml:space="preserve"> increase from</w:t>
      </w:r>
      <w:r w:rsidR="003D4C22" w:rsidRPr="003D4C22">
        <w:rPr>
          <w:rFonts w:ascii="Arial" w:hAnsi="Arial" w:cs="Arial"/>
          <w:sz w:val="24"/>
          <w:szCs w:val="24"/>
        </w:rPr>
        <w:t xml:space="preserve"> </w:t>
      </w:r>
      <w:r w:rsidR="00A31531" w:rsidRPr="003D4C22">
        <w:rPr>
          <w:rFonts w:ascii="Arial" w:hAnsi="Arial" w:cs="Arial"/>
          <w:sz w:val="24"/>
          <w:szCs w:val="24"/>
        </w:rPr>
        <w:t xml:space="preserve">RTSR – network </w:t>
      </w:r>
      <w:r w:rsidR="00EE1486">
        <w:rPr>
          <w:rFonts w:ascii="Arial" w:hAnsi="Arial" w:cs="Arial"/>
          <w:sz w:val="24"/>
          <w:szCs w:val="24"/>
        </w:rPr>
        <w:t>charges</w:t>
      </w:r>
      <w:r w:rsidR="00A31531" w:rsidRPr="003D4C22">
        <w:rPr>
          <w:rFonts w:ascii="Arial" w:hAnsi="Arial" w:cs="Arial"/>
          <w:sz w:val="24"/>
          <w:szCs w:val="24"/>
        </w:rPr>
        <w:t xml:space="preserve"> for the above-noted customer classes are mainly attributable to the update in 2020 UTRs effective December 17, 2019 (EB-2019-0043). </w:t>
      </w:r>
      <w:r w:rsidR="003D4C22" w:rsidRPr="003D4C22">
        <w:rPr>
          <w:rFonts w:ascii="Arial" w:hAnsi="Arial" w:cs="Arial"/>
          <w:sz w:val="24"/>
          <w:szCs w:val="24"/>
        </w:rPr>
        <w:t xml:space="preserve">If there are other factors, please discuss. </w:t>
      </w:r>
    </w:p>
    <w:p w14:paraId="12B2D333" w14:textId="17305751" w:rsidR="00C34417" w:rsidRPr="00C208A3" w:rsidRDefault="00922944" w:rsidP="00C208A3">
      <w:pPr>
        <w:ind w:left="720"/>
        <w:rPr>
          <w:rFonts w:ascii="Arial" w:hAnsi="Arial" w:cs="Arial"/>
          <w:bCs/>
          <w:sz w:val="24"/>
          <w:szCs w:val="24"/>
        </w:rPr>
      </w:pPr>
      <w:r w:rsidRPr="00922944">
        <w:rPr>
          <w:rFonts w:ascii="Arial" w:hAnsi="Arial" w:cs="Arial"/>
          <w:b/>
          <w:color w:val="0070C0"/>
          <w:sz w:val="24"/>
          <w:szCs w:val="24"/>
        </w:rPr>
        <w:lastRenderedPageBreak/>
        <w:t>HHI Response</w:t>
      </w:r>
      <w:r w:rsidR="00C208A3">
        <w:rPr>
          <w:rFonts w:ascii="Arial" w:hAnsi="Arial" w:cs="Arial"/>
          <w:b/>
          <w:color w:val="0070C0"/>
          <w:sz w:val="24"/>
          <w:szCs w:val="24"/>
        </w:rPr>
        <w:t>:</w:t>
      </w:r>
      <w:r w:rsidR="00C208A3" w:rsidRPr="002C004D">
        <w:rPr>
          <w:rFonts w:ascii="Arial" w:hAnsi="Arial" w:cs="Arial"/>
          <w:bCs/>
          <w:color w:val="0070C0"/>
          <w:sz w:val="24"/>
          <w:szCs w:val="24"/>
        </w:rPr>
        <w:t xml:space="preserve"> </w:t>
      </w:r>
      <w:proofErr w:type="gramStart"/>
      <w:r w:rsidR="00C208A3" w:rsidRPr="002C004D">
        <w:rPr>
          <w:rFonts w:ascii="Arial" w:hAnsi="Arial" w:cs="Arial"/>
          <w:bCs/>
          <w:color w:val="0070C0"/>
          <w:sz w:val="24"/>
          <w:szCs w:val="24"/>
        </w:rPr>
        <w:t>Yes</w:t>
      </w:r>
      <w:proofErr w:type="gramEnd"/>
      <w:r w:rsidR="00C208A3" w:rsidRPr="002C004D">
        <w:rPr>
          <w:rFonts w:ascii="Arial" w:hAnsi="Arial" w:cs="Arial"/>
          <w:bCs/>
          <w:color w:val="0070C0"/>
          <w:sz w:val="24"/>
          <w:szCs w:val="24"/>
        </w:rPr>
        <w:t xml:space="preserve"> all data entered comes from Hydro One and IESO’s invoices. No other factors accounted for.</w:t>
      </w:r>
    </w:p>
    <w:p w14:paraId="45ABE9F8" w14:textId="2CF22F94" w:rsidR="00922944" w:rsidRDefault="00922944">
      <w:pPr>
        <w:rPr>
          <w:rFonts w:ascii="Arial" w:eastAsiaTheme="majorEastAsia" w:hAnsi="Arial" w:cstheme="majorBidi"/>
          <w:b/>
          <w:sz w:val="24"/>
          <w:szCs w:val="26"/>
        </w:rPr>
      </w:pPr>
    </w:p>
    <w:p w14:paraId="22D81BC0" w14:textId="5987B15C" w:rsidR="0015290C" w:rsidRDefault="0015290C" w:rsidP="0015290C">
      <w:pPr>
        <w:pStyle w:val="Heading2"/>
        <w:rPr>
          <w:b w:val="0"/>
        </w:rPr>
      </w:pPr>
      <w:r>
        <w:t>Staff Question-</w:t>
      </w:r>
      <w:r w:rsidR="00C9304D">
        <w:t>1</w:t>
      </w:r>
      <w:r w:rsidR="006B04AA">
        <w:t>2</w:t>
      </w:r>
    </w:p>
    <w:p w14:paraId="4E9974B6" w14:textId="600485C1" w:rsidR="0015290C" w:rsidRPr="0015290C" w:rsidRDefault="0015290C" w:rsidP="0015290C">
      <w:pPr>
        <w:autoSpaceDE w:val="0"/>
        <w:autoSpaceDN w:val="0"/>
        <w:adjustRightInd w:val="0"/>
        <w:spacing w:after="0"/>
        <w:rPr>
          <w:rFonts w:ascii="Arial" w:hAnsi="Arial" w:cs="Arial"/>
          <w:sz w:val="24"/>
          <w:szCs w:val="24"/>
          <w:lang w:val="en-US"/>
        </w:rPr>
      </w:pPr>
      <w:r w:rsidRPr="0015290C">
        <w:rPr>
          <w:rFonts w:ascii="Arial" w:hAnsi="Arial" w:cs="Arial"/>
          <w:sz w:val="24"/>
          <w:szCs w:val="24"/>
          <w:lang w:val="en-US"/>
        </w:rPr>
        <w:t>Ref: All models filed with 2021 IRM application</w:t>
      </w:r>
    </w:p>
    <w:p w14:paraId="742F6BB8" w14:textId="77777777" w:rsidR="0015290C" w:rsidRPr="0015290C" w:rsidRDefault="0015290C" w:rsidP="0015290C">
      <w:pPr>
        <w:autoSpaceDE w:val="0"/>
        <w:autoSpaceDN w:val="0"/>
        <w:adjustRightInd w:val="0"/>
        <w:spacing w:after="0"/>
        <w:rPr>
          <w:rFonts w:ascii="Arial" w:hAnsi="Arial" w:cs="Arial"/>
          <w:sz w:val="24"/>
          <w:szCs w:val="24"/>
          <w:lang w:val="en-US"/>
        </w:rPr>
      </w:pPr>
    </w:p>
    <w:p w14:paraId="71CC193B" w14:textId="5B01BD2A" w:rsidR="00922944" w:rsidRPr="00922944" w:rsidRDefault="003A4C61" w:rsidP="00922944">
      <w:pPr>
        <w:pStyle w:val="ListParagraph"/>
        <w:numPr>
          <w:ilvl w:val="0"/>
          <w:numId w:val="2"/>
        </w:numPr>
        <w:spacing w:after="160"/>
        <w:rPr>
          <w:rFonts w:ascii="Arial" w:hAnsi="Arial" w:cs="Arial"/>
          <w:sz w:val="24"/>
          <w:szCs w:val="24"/>
        </w:rPr>
      </w:pPr>
      <w:r w:rsidRPr="00922944">
        <w:rPr>
          <w:rFonts w:ascii="Arial" w:hAnsi="Arial" w:cs="Arial"/>
          <w:sz w:val="24"/>
          <w:szCs w:val="24"/>
        </w:rPr>
        <w:t xml:space="preserve">Based on Hydro Hawkesbury’s responses to the above questions, please re-file all applicable models </w:t>
      </w:r>
      <w:r w:rsidR="007A7600" w:rsidRPr="00922944">
        <w:rPr>
          <w:rFonts w:ascii="Arial" w:hAnsi="Arial" w:cs="Arial"/>
          <w:sz w:val="24"/>
          <w:szCs w:val="24"/>
        </w:rPr>
        <w:t xml:space="preserve">(for example, Rate Generator Model, GA Workform and LRAMVA Workform as applicable) </w:t>
      </w:r>
      <w:r w:rsidRPr="00922944">
        <w:rPr>
          <w:rFonts w:ascii="Arial" w:hAnsi="Arial" w:cs="Arial"/>
          <w:sz w:val="24"/>
          <w:szCs w:val="24"/>
        </w:rPr>
        <w:t>to reflect the updates. In the re-filed version of the Rate Generator Model in particular, please run through all tabs (tabs 1 to 20) to ensure that the rate riders are generate</w:t>
      </w:r>
      <w:r w:rsidR="004F34DB" w:rsidRPr="00922944">
        <w:rPr>
          <w:rFonts w:ascii="Arial" w:hAnsi="Arial" w:cs="Arial"/>
          <w:sz w:val="24"/>
          <w:szCs w:val="24"/>
        </w:rPr>
        <w:t>d</w:t>
      </w:r>
      <w:r w:rsidRPr="00922944">
        <w:rPr>
          <w:rFonts w:ascii="Arial" w:hAnsi="Arial" w:cs="Arial"/>
          <w:sz w:val="24"/>
          <w:szCs w:val="24"/>
        </w:rPr>
        <w:t xml:space="preserve"> properly. </w:t>
      </w:r>
    </w:p>
    <w:p w14:paraId="693AD163" w14:textId="40D26653" w:rsidR="00922944" w:rsidRPr="00922944" w:rsidRDefault="00922944" w:rsidP="00922944">
      <w:pPr>
        <w:spacing w:after="160"/>
        <w:ind w:left="720"/>
        <w:rPr>
          <w:rFonts w:ascii="Arial" w:hAnsi="Arial" w:cs="Arial"/>
          <w:b/>
          <w:bCs/>
          <w:color w:val="0070C0"/>
          <w:sz w:val="24"/>
          <w:szCs w:val="24"/>
        </w:rPr>
      </w:pPr>
      <w:r w:rsidRPr="00922944">
        <w:rPr>
          <w:rFonts w:ascii="Arial" w:hAnsi="Arial" w:cs="Arial"/>
          <w:b/>
          <w:bCs/>
          <w:color w:val="0070C0"/>
          <w:sz w:val="24"/>
          <w:szCs w:val="24"/>
        </w:rPr>
        <w:t>HHI Response:</w:t>
      </w:r>
      <w:r w:rsidRPr="002C004D">
        <w:rPr>
          <w:rFonts w:ascii="Arial" w:hAnsi="Arial" w:cs="Arial"/>
          <w:color w:val="0070C0"/>
          <w:sz w:val="24"/>
          <w:szCs w:val="24"/>
        </w:rPr>
        <w:t xml:space="preserve"> All revised models are being filed along with this application.</w:t>
      </w:r>
      <w:r>
        <w:rPr>
          <w:rFonts w:ascii="Arial" w:hAnsi="Arial" w:cs="Arial"/>
          <w:b/>
          <w:bCs/>
          <w:color w:val="0070C0"/>
          <w:sz w:val="24"/>
          <w:szCs w:val="24"/>
        </w:rPr>
        <w:t xml:space="preserve"> </w:t>
      </w:r>
    </w:p>
    <w:p w14:paraId="3845CF9F" w14:textId="77777777" w:rsidR="00922944" w:rsidRPr="00922944" w:rsidRDefault="00922944" w:rsidP="00922944">
      <w:pPr>
        <w:autoSpaceDE w:val="0"/>
        <w:autoSpaceDN w:val="0"/>
        <w:adjustRightInd w:val="0"/>
        <w:spacing w:after="0"/>
        <w:ind w:left="720"/>
        <w:rPr>
          <w:rFonts w:ascii="Arial" w:hAnsi="Arial" w:cs="Arial"/>
          <w:sz w:val="24"/>
          <w:szCs w:val="24"/>
          <w:lang w:val="en-US"/>
        </w:rPr>
      </w:pPr>
    </w:p>
    <w:p w14:paraId="6E8F70F5" w14:textId="77777777" w:rsidR="003A4C61" w:rsidRPr="00A350EF" w:rsidRDefault="003A4C61" w:rsidP="003A4C61">
      <w:pPr>
        <w:pStyle w:val="ListParagraph"/>
        <w:rPr>
          <w:rFonts w:ascii="Arial" w:hAnsi="Arial" w:cs="Arial"/>
          <w:sz w:val="24"/>
          <w:szCs w:val="24"/>
          <w:lang w:val="en-US"/>
        </w:rPr>
      </w:pPr>
    </w:p>
    <w:p w14:paraId="5D62F5B5" w14:textId="179DB7EF" w:rsidR="00576C37" w:rsidRPr="00922944" w:rsidRDefault="000E366C" w:rsidP="00922944">
      <w:pPr>
        <w:pStyle w:val="ListParagraph"/>
        <w:numPr>
          <w:ilvl w:val="0"/>
          <w:numId w:val="2"/>
        </w:numPr>
        <w:spacing w:after="160"/>
        <w:rPr>
          <w:rFonts w:ascii="Arial" w:hAnsi="Arial" w:cs="Arial"/>
          <w:sz w:val="24"/>
          <w:szCs w:val="24"/>
        </w:rPr>
      </w:pPr>
      <w:r w:rsidRPr="00922944">
        <w:rPr>
          <w:rFonts w:ascii="Arial" w:hAnsi="Arial" w:cs="Arial"/>
          <w:sz w:val="24"/>
          <w:szCs w:val="24"/>
        </w:rPr>
        <w:t>Please file the 2017 Final Verified Results Report and 2019 P&amp;C</w:t>
      </w:r>
      <w:r w:rsidR="009217B6" w:rsidRPr="00922944">
        <w:rPr>
          <w:rFonts w:ascii="Arial" w:hAnsi="Arial" w:cs="Arial"/>
          <w:sz w:val="24"/>
          <w:szCs w:val="24"/>
        </w:rPr>
        <w:t xml:space="preserve"> </w:t>
      </w:r>
      <w:r w:rsidRPr="00922944">
        <w:rPr>
          <w:rFonts w:ascii="Arial" w:hAnsi="Arial" w:cs="Arial"/>
          <w:sz w:val="24"/>
          <w:szCs w:val="24"/>
        </w:rPr>
        <w:t xml:space="preserve">Report </w:t>
      </w:r>
      <w:r w:rsidR="009217B6" w:rsidRPr="00922944">
        <w:rPr>
          <w:rFonts w:ascii="Arial" w:hAnsi="Arial" w:cs="Arial"/>
          <w:sz w:val="24"/>
          <w:szCs w:val="24"/>
        </w:rPr>
        <w:t>as provided by the IESO to</w:t>
      </w:r>
      <w:r w:rsidRPr="00922944">
        <w:rPr>
          <w:rFonts w:ascii="Arial" w:hAnsi="Arial" w:cs="Arial"/>
          <w:sz w:val="24"/>
          <w:szCs w:val="24"/>
        </w:rPr>
        <w:t xml:space="preserve"> support Hydro Hawkesbury’s LRAMVA application.</w:t>
      </w:r>
      <w:r w:rsidR="00DF52AF" w:rsidRPr="00922944">
        <w:rPr>
          <w:rFonts w:ascii="Arial" w:hAnsi="Arial" w:cs="Arial"/>
          <w:sz w:val="24"/>
          <w:szCs w:val="24"/>
        </w:rPr>
        <w:t xml:space="preserve"> </w:t>
      </w:r>
    </w:p>
    <w:p w14:paraId="3373BC51" w14:textId="5F487F23" w:rsidR="00922944" w:rsidRPr="00922944" w:rsidRDefault="00922944" w:rsidP="00922944">
      <w:pPr>
        <w:spacing w:after="160"/>
        <w:ind w:left="720"/>
        <w:rPr>
          <w:rFonts w:ascii="Arial" w:hAnsi="Arial" w:cs="Arial"/>
          <w:b/>
          <w:bCs/>
          <w:color w:val="0070C0"/>
          <w:sz w:val="24"/>
          <w:szCs w:val="24"/>
        </w:rPr>
      </w:pPr>
      <w:r w:rsidRPr="00922944">
        <w:rPr>
          <w:rFonts w:ascii="Arial" w:hAnsi="Arial" w:cs="Arial"/>
          <w:b/>
          <w:bCs/>
          <w:color w:val="0070C0"/>
          <w:sz w:val="24"/>
          <w:szCs w:val="24"/>
        </w:rPr>
        <w:t>HHI Response:</w:t>
      </w:r>
      <w:r w:rsidRPr="002C004D">
        <w:rPr>
          <w:rFonts w:ascii="Arial" w:hAnsi="Arial" w:cs="Arial"/>
          <w:color w:val="0070C0"/>
          <w:sz w:val="24"/>
          <w:szCs w:val="24"/>
        </w:rPr>
        <w:t xml:space="preserve"> The requested file is filed in conjunction with this application. </w:t>
      </w:r>
    </w:p>
    <w:p w14:paraId="18A600A7" w14:textId="77777777" w:rsidR="00922944" w:rsidRPr="00922944" w:rsidRDefault="00922944" w:rsidP="00922944">
      <w:pPr>
        <w:autoSpaceDE w:val="0"/>
        <w:autoSpaceDN w:val="0"/>
        <w:adjustRightInd w:val="0"/>
        <w:spacing w:after="0"/>
        <w:ind w:left="720"/>
        <w:rPr>
          <w:rFonts w:ascii="Arial" w:hAnsi="Arial" w:cs="Arial"/>
          <w:bCs/>
          <w:sz w:val="24"/>
          <w:szCs w:val="24"/>
        </w:rPr>
      </w:pPr>
    </w:p>
    <w:sectPr w:rsidR="00922944" w:rsidRPr="00922944" w:rsidSect="00EA0919">
      <w:headerReference w:type="default" r:id="rId11"/>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B40346" w14:textId="77777777" w:rsidR="005A7FA9" w:rsidRDefault="005A7FA9" w:rsidP="000B51B8">
      <w:pPr>
        <w:spacing w:after="0" w:line="240" w:lineRule="auto"/>
      </w:pPr>
      <w:r>
        <w:separator/>
      </w:r>
    </w:p>
  </w:endnote>
  <w:endnote w:type="continuationSeparator" w:id="0">
    <w:p w14:paraId="49A70C1D" w14:textId="77777777" w:rsidR="005A7FA9" w:rsidRDefault="005A7FA9" w:rsidP="000B5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53B4CF" w14:textId="77777777" w:rsidR="005A7FA9" w:rsidRDefault="005A7FA9" w:rsidP="000B51B8">
      <w:pPr>
        <w:spacing w:after="0" w:line="240" w:lineRule="auto"/>
      </w:pPr>
      <w:r>
        <w:separator/>
      </w:r>
    </w:p>
  </w:footnote>
  <w:footnote w:type="continuationSeparator" w:id="0">
    <w:p w14:paraId="5F67374E" w14:textId="77777777" w:rsidR="005A7FA9" w:rsidRDefault="005A7FA9" w:rsidP="000B51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1D3CA" w14:textId="77777777" w:rsidR="00BA6E5D" w:rsidRPr="003832E7" w:rsidRDefault="00BA6E5D" w:rsidP="00BA6E5D">
    <w:pPr>
      <w:pStyle w:val="Default"/>
      <w:jc w:val="right"/>
      <w:rPr>
        <w:rFonts w:ascii="Arial" w:hAnsi="Arial" w:cs="Arial"/>
        <w:sz w:val="22"/>
        <w:szCs w:val="22"/>
      </w:rPr>
    </w:pPr>
    <w:r w:rsidRPr="0067303C">
      <w:rPr>
        <w:rFonts w:ascii="Arial" w:hAnsi="Arial" w:cs="Arial"/>
        <w:sz w:val="22"/>
        <w:szCs w:val="22"/>
      </w:rPr>
      <w:t>Hydro Hawkesbury</w:t>
    </w:r>
    <w:r>
      <w:rPr>
        <w:rFonts w:ascii="Arial" w:hAnsi="Arial" w:cs="Arial"/>
        <w:sz w:val="22"/>
        <w:szCs w:val="22"/>
      </w:rPr>
      <w:t xml:space="preserve"> Inc.</w:t>
    </w:r>
  </w:p>
  <w:p w14:paraId="3716D85B" w14:textId="2F121E07" w:rsidR="00BA6E5D" w:rsidRPr="00D57E8C" w:rsidRDefault="00BA6E5D" w:rsidP="00BA6E5D">
    <w:pPr>
      <w:pStyle w:val="Default"/>
      <w:jc w:val="right"/>
      <w:rPr>
        <w:rFonts w:ascii="Arial" w:hAnsi="Arial" w:cs="Arial"/>
        <w:sz w:val="22"/>
        <w:szCs w:val="22"/>
      </w:rPr>
    </w:pPr>
    <w:r>
      <w:rPr>
        <w:rFonts w:ascii="Arial" w:hAnsi="Arial" w:cs="Arial"/>
        <w:sz w:val="22"/>
        <w:szCs w:val="22"/>
      </w:rPr>
      <w:t xml:space="preserve">Responses to </w:t>
    </w:r>
    <w:r w:rsidRPr="00D57E8C">
      <w:rPr>
        <w:rFonts w:ascii="Arial" w:hAnsi="Arial" w:cs="Arial"/>
        <w:sz w:val="22"/>
        <w:szCs w:val="22"/>
      </w:rPr>
      <w:t>OEB Staff Questions</w:t>
    </w:r>
  </w:p>
  <w:p w14:paraId="0276EB29" w14:textId="6516CF27" w:rsidR="00BA6E5D" w:rsidRDefault="00BA6E5D" w:rsidP="00BA6E5D">
    <w:pPr>
      <w:pStyle w:val="Default"/>
      <w:jc w:val="right"/>
      <w:rPr>
        <w:rFonts w:ascii="Arial" w:hAnsi="Arial" w:cs="Arial"/>
        <w:sz w:val="22"/>
        <w:szCs w:val="22"/>
      </w:rPr>
    </w:pPr>
    <w:r>
      <w:rPr>
        <w:rFonts w:ascii="Arial" w:hAnsi="Arial" w:cs="Arial"/>
        <w:sz w:val="22"/>
        <w:szCs w:val="22"/>
      </w:rPr>
      <w:t>EB-2020</w:t>
    </w:r>
    <w:r w:rsidRPr="00D57E8C">
      <w:rPr>
        <w:rFonts w:ascii="Arial" w:hAnsi="Arial" w:cs="Arial"/>
        <w:sz w:val="22"/>
        <w:szCs w:val="22"/>
      </w:rPr>
      <w:t>-00</w:t>
    </w:r>
    <w:r>
      <w:rPr>
        <w:rFonts w:ascii="Arial" w:hAnsi="Arial" w:cs="Arial"/>
        <w:sz w:val="22"/>
        <w:szCs w:val="22"/>
      </w:rPr>
      <w:t>29</w:t>
    </w:r>
  </w:p>
  <w:p w14:paraId="3715F87D" w14:textId="630FDB1E" w:rsidR="00BA6E5D" w:rsidRPr="00D57E8C" w:rsidRDefault="00BA6E5D" w:rsidP="00BA6E5D">
    <w:pPr>
      <w:pStyle w:val="Default"/>
      <w:jc w:val="right"/>
      <w:rPr>
        <w:rFonts w:ascii="Arial" w:hAnsi="Arial" w:cs="Arial"/>
        <w:sz w:val="22"/>
        <w:szCs w:val="22"/>
      </w:rPr>
    </w:pPr>
    <w:r>
      <w:rPr>
        <w:rFonts w:ascii="Arial" w:hAnsi="Arial" w:cs="Arial"/>
        <w:sz w:val="22"/>
        <w:szCs w:val="22"/>
      </w:rPr>
      <w:t>December 7, 2020</w:t>
    </w:r>
  </w:p>
  <w:p w14:paraId="62026EA5" w14:textId="77777777" w:rsidR="00BA6E5D" w:rsidRDefault="00BA6E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940E4"/>
    <w:multiLevelType w:val="hybridMultilevel"/>
    <w:tmpl w:val="AD343A86"/>
    <w:lvl w:ilvl="0" w:tplc="10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B19F9"/>
    <w:multiLevelType w:val="hybridMultilevel"/>
    <w:tmpl w:val="811ECB0A"/>
    <w:lvl w:ilvl="0" w:tplc="11483AB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FF82E6A"/>
    <w:multiLevelType w:val="hybridMultilevel"/>
    <w:tmpl w:val="CFF6C1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555C7A"/>
    <w:multiLevelType w:val="hybridMultilevel"/>
    <w:tmpl w:val="3CC6CEC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FA62C63"/>
    <w:multiLevelType w:val="hybridMultilevel"/>
    <w:tmpl w:val="811ECB0A"/>
    <w:lvl w:ilvl="0" w:tplc="11483AB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1E970FB"/>
    <w:multiLevelType w:val="hybridMultilevel"/>
    <w:tmpl w:val="B1A479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767A00"/>
    <w:multiLevelType w:val="hybridMultilevel"/>
    <w:tmpl w:val="077A2E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5421FA"/>
    <w:multiLevelType w:val="hybridMultilevel"/>
    <w:tmpl w:val="90024956"/>
    <w:lvl w:ilvl="0" w:tplc="04090017">
      <w:start w:val="1"/>
      <w:numFmt w:val="lowerLetter"/>
      <w:lvlText w:val="%1)"/>
      <w:lvlJc w:val="left"/>
      <w:pPr>
        <w:ind w:left="720" w:hanging="360"/>
      </w:pPr>
      <w:rPr>
        <w:rFonts w:hint="default"/>
      </w:rPr>
    </w:lvl>
    <w:lvl w:ilvl="1" w:tplc="ED00B650">
      <w:start w:val="1"/>
      <w:numFmt w:val="lowerRoman"/>
      <w:lvlText w:val="%2."/>
      <w:lvlJc w:val="left"/>
      <w:pPr>
        <w:ind w:left="1440" w:hanging="360"/>
      </w:pPr>
      <w:rPr>
        <w:rFonts w:ascii="Arial" w:eastAsiaTheme="minorHAnsi" w:hAnsi="Arial"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E40555"/>
    <w:multiLevelType w:val="hybridMultilevel"/>
    <w:tmpl w:val="438220FA"/>
    <w:lvl w:ilvl="0" w:tplc="27BEFE1C">
      <w:start w:val="9"/>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3E49341C"/>
    <w:multiLevelType w:val="hybridMultilevel"/>
    <w:tmpl w:val="3CC6CEC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0D325A4"/>
    <w:multiLevelType w:val="hybridMultilevel"/>
    <w:tmpl w:val="90D00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ED180E"/>
    <w:multiLevelType w:val="hybridMultilevel"/>
    <w:tmpl w:val="E37CA4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A459A7"/>
    <w:multiLevelType w:val="hybridMultilevel"/>
    <w:tmpl w:val="604A74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4B2FA8"/>
    <w:multiLevelType w:val="hybridMultilevel"/>
    <w:tmpl w:val="1478B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DC7138"/>
    <w:multiLevelType w:val="hybridMultilevel"/>
    <w:tmpl w:val="441C75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D80B72"/>
    <w:multiLevelType w:val="hybridMultilevel"/>
    <w:tmpl w:val="22128A76"/>
    <w:lvl w:ilvl="0" w:tplc="CE6CAA06">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ABA3A26"/>
    <w:multiLevelType w:val="hybridMultilevel"/>
    <w:tmpl w:val="520061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A11B3D"/>
    <w:multiLevelType w:val="hybridMultilevel"/>
    <w:tmpl w:val="762608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6A1916"/>
    <w:multiLevelType w:val="hybridMultilevel"/>
    <w:tmpl w:val="B1A479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5308E1"/>
    <w:multiLevelType w:val="hybridMultilevel"/>
    <w:tmpl w:val="AABEE1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28389F"/>
    <w:multiLevelType w:val="hybridMultilevel"/>
    <w:tmpl w:val="A21466D2"/>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abstractNumId w:val="18"/>
  </w:num>
  <w:num w:numId="2">
    <w:abstractNumId w:val="0"/>
  </w:num>
  <w:num w:numId="3">
    <w:abstractNumId w:val="16"/>
  </w:num>
  <w:num w:numId="4">
    <w:abstractNumId w:val="2"/>
  </w:num>
  <w:num w:numId="5">
    <w:abstractNumId w:val="6"/>
  </w:num>
  <w:num w:numId="6">
    <w:abstractNumId w:val="17"/>
  </w:num>
  <w:num w:numId="7">
    <w:abstractNumId w:val="19"/>
  </w:num>
  <w:num w:numId="8">
    <w:abstractNumId w:val="14"/>
  </w:num>
  <w:num w:numId="9">
    <w:abstractNumId w:val="12"/>
  </w:num>
  <w:num w:numId="10">
    <w:abstractNumId w:val="7"/>
  </w:num>
  <w:num w:numId="11">
    <w:abstractNumId w:val="8"/>
  </w:num>
  <w:num w:numId="12">
    <w:abstractNumId w:val="3"/>
  </w:num>
  <w:num w:numId="13">
    <w:abstractNumId w:val="1"/>
  </w:num>
  <w:num w:numId="14">
    <w:abstractNumId w:val="4"/>
  </w:num>
  <w:num w:numId="15">
    <w:abstractNumId w:val="11"/>
  </w:num>
  <w:num w:numId="16">
    <w:abstractNumId w:val="13"/>
  </w:num>
  <w:num w:numId="17">
    <w:abstractNumId w:val="5"/>
  </w:num>
  <w:num w:numId="18">
    <w:abstractNumId w:val="10"/>
  </w:num>
  <w:num w:numId="19">
    <w:abstractNumId w:val="9"/>
  </w:num>
  <w:num w:numId="20">
    <w:abstractNumId w:val="15"/>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yMjQxMLCwNLAwsDRW0lEKTi0uzszPAykwqgUA+HD6zCwAAAA="/>
  </w:docVars>
  <w:rsids>
    <w:rsidRoot w:val="00DB6B52"/>
    <w:rsid w:val="00002C41"/>
    <w:rsid w:val="000127A0"/>
    <w:rsid w:val="00014EAC"/>
    <w:rsid w:val="000304FD"/>
    <w:rsid w:val="0003073C"/>
    <w:rsid w:val="00035337"/>
    <w:rsid w:val="00047599"/>
    <w:rsid w:val="00047A5E"/>
    <w:rsid w:val="00054071"/>
    <w:rsid w:val="0006126D"/>
    <w:rsid w:val="000639F6"/>
    <w:rsid w:val="00063FEA"/>
    <w:rsid w:val="000654C1"/>
    <w:rsid w:val="00066D19"/>
    <w:rsid w:val="00067F57"/>
    <w:rsid w:val="00071BEC"/>
    <w:rsid w:val="00074514"/>
    <w:rsid w:val="000751F2"/>
    <w:rsid w:val="00075AA4"/>
    <w:rsid w:val="00081F6D"/>
    <w:rsid w:val="000832D4"/>
    <w:rsid w:val="000833E2"/>
    <w:rsid w:val="00090160"/>
    <w:rsid w:val="000951A2"/>
    <w:rsid w:val="000960E0"/>
    <w:rsid w:val="000A0C16"/>
    <w:rsid w:val="000B3E7E"/>
    <w:rsid w:val="000B51B8"/>
    <w:rsid w:val="000C2331"/>
    <w:rsid w:val="000C419E"/>
    <w:rsid w:val="000D223C"/>
    <w:rsid w:val="000D5809"/>
    <w:rsid w:val="000E0DE7"/>
    <w:rsid w:val="000E366C"/>
    <w:rsid w:val="000E4006"/>
    <w:rsid w:val="000E41AD"/>
    <w:rsid w:val="000F1022"/>
    <w:rsid w:val="000F1E3A"/>
    <w:rsid w:val="000F2D35"/>
    <w:rsid w:val="000F5182"/>
    <w:rsid w:val="001027FD"/>
    <w:rsid w:val="001041D6"/>
    <w:rsid w:val="00105D73"/>
    <w:rsid w:val="00110B55"/>
    <w:rsid w:val="00114874"/>
    <w:rsid w:val="0012064A"/>
    <w:rsid w:val="00121369"/>
    <w:rsid w:val="001251A0"/>
    <w:rsid w:val="0013061F"/>
    <w:rsid w:val="0013253E"/>
    <w:rsid w:val="00133BE1"/>
    <w:rsid w:val="001407FF"/>
    <w:rsid w:val="0014363A"/>
    <w:rsid w:val="00144F40"/>
    <w:rsid w:val="0014547C"/>
    <w:rsid w:val="0015290C"/>
    <w:rsid w:val="0015694F"/>
    <w:rsid w:val="0016023B"/>
    <w:rsid w:val="00164E99"/>
    <w:rsid w:val="00165DEF"/>
    <w:rsid w:val="0018074A"/>
    <w:rsid w:val="00181DCF"/>
    <w:rsid w:val="00183CC8"/>
    <w:rsid w:val="00187E9B"/>
    <w:rsid w:val="001915EC"/>
    <w:rsid w:val="001925D9"/>
    <w:rsid w:val="001927C2"/>
    <w:rsid w:val="001A0BE2"/>
    <w:rsid w:val="001A1567"/>
    <w:rsid w:val="001A4DCD"/>
    <w:rsid w:val="001A7FA8"/>
    <w:rsid w:val="001B1E61"/>
    <w:rsid w:val="001B3506"/>
    <w:rsid w:val="001B5932"/>
    <w:rsid w:val="001B5DC6"/>
    <w:rsid w:val="001C1318"/>
    <w:rsid w:val="001C1773"/>
    <w:rsid w:val="001C3512"/>
    <w:rsid w:val="001C3665"/>
    <w:rsid w:val="001C39B1"/>
    <w:rsid w:val="001D0A17"/>
    <w:rsid w:val="001D3F3C"/>
    <w:rsid w:val="001E427E"/>
    <w:rsid w:val="001F186E"/>
    <w:rsid w:val="001F608C"/>
    <w:rsid w:val="001F695A"/>
    <w:rsid w:val="00203092"/>
    <w:rsid w:val="00205CBE"/>
    <w:rsid w:val="00206A05"/>
    <w:rsid w:val="002104AF"/>
    <w:rsid w:val="002142BF"/>
    <w:rsid w:val="00217602"/>
    <w:rsid w:val="002208C0"/>
    <w:rsid w:val="002242AF"/>
    <w:rsid w:val="00224C06"/>
    <w:rsid w:val="00227E96"/>
    <w:rsid w:val="00227F0F"/>
    <w:rsid w:val="00230184"/>
    <w:rsid w:val="00233B1C"/>
    <w:rsid w:val="00245D2B"/>
    <w:rsid w:val="0025687C"/>
    <w:rsid w:val="00265913"/>
    <w:rsid w:val="00266E3C"/>
    <w:rsid w:val="00274A48"/>
    <w:rsid w:val="002862D3"/>
    <w:rsid w:val="00291CCC"/>
    <w:rsid w:val="00293340"/>
    <w:rsid w:val="002979E9"/>
    <w:rsid w:val="002A276F"/>
    <w:rsid w:val="002A5846"/>
    <w:rsid w:val="002A58D4"/>
    <w:rsid w:val="002A6415"/>
    <w:rsid w:val="002B214D"/>
    <w:rsid w:val="002B7B7C"/>
    <w:rsid w:val="002C004D"/>
    <w:rsid w:val="002C2BF2"/>
    <w:rsid w:val="002C7EF6"/>
    <w:rsid w:val="002D4924"/>
    <w:rsid w:val="002E26F0"/>
    <w:rsid w:val="002F1DAC"/>
    <w:rsid w:val="002F4756"/>
    <w:rsid w:val="00300D0B"/>
    <w:rsid w:val="00302509"/>
    <w:rsid w:val="003049C5"/>
    <w:rsid w:val="00312C68"/>
    <w:rsid w:val="003174DE"/>
    <w:rsid w:val="00321396"/>
    <w:rsid w:val="00332507"/>
    <w:rsid w:val="00333954"/>
    <w:rsid w:val="00340C00"/>
    <w:rsid w:val="0034198E"/>
    <w:rsid w:val="00345565"/>
    <w:rsid w:val="00361135"/>
    <w:rsid w:val="003642F6"/>
    <w:rsid w:val="003702D1"/>
    <w:rsid w:val="00373FAD"/>
    <w:rsid w:val="003777B5"/>
    <w:rsid w:val="003832E7"/>
    <w:rsid w:val="003875F7"/>
    <w:rsid w:val="00390B8C"/>
    <w:rsid w:val="0039312C"/>
    <w:rsid w:val="003A20A0"/>
    <w:rsid w:val="003A4C61"/>
    <w:rsid w:val="003A58B0"/>
    <w:rsid w:val="003A604A"/>
    <w:rsid w:val="003B0393"/>
    <w:rsid w:val="003B1F21"/>
    <w:rsid w:val="003B66EA"/>
    <w:rsid w:val="003B7489"/>
    <w:rsid w:val="003C1DE0"/>
    <w:rsid w:val="003C449E"/>
    <w:rsid w:val="003C5597"/>
    <w:rsid w:val="003C77C0"/>
    <w:rsid w:val="003D211D"/>
    <w:rsid w:val="003D4735"/>
    <w:rsid w:val="003D4C22"/>
    <w:rsid w:val="003D6B4A"/>
    <w:rsid w:val="003E74DC"/>
    <w:rsid w:val="003F2753"/>
    <w:rsid w:val="00400587"/>
    <w:rsid w:val="00400DFC"/>
    <w:rsid w:val="00402D21"/>
    <w:rsid w:val="00407485"/>
    <w:rsid w:val="00411835"/>
    <w:rsid w:val="00412DC6"/>
    <w:rsid w:val="00425009"/>
    <w:rsid w:val="00430D9D"/>
    <w:rsid w:val="00431137"/>
    <w:rsid w:val="00431C9D"/>
    <w:rsid w:val="00432092"/>
    <w:rsid w:val="0043262C"/>
    <w:rsid w:val="00433DE5"/>
    <w:rsid w:val="00435A71"/>
    <w:rsid w:val="004361A9"/>
    <w:rsid w:val="004371B7"/>
    <w:rsid w:val="004377B0"/>
    <w:rsid w:val="00440250"/>
    <w:rsid w:val="00440E00"/>
    <w:rsid w:val="004430B2"/>
    <w:rsid w:val="00444BE7"/>
    <w:rsid w:val="00451B49"/>
    <w:rsid w:val="004574B1"/>
    <w:rsid w:val="00460083"/>
    <w:rsid w:val="00462A7C"/>
    <w:rsid w:val="004719E6"/>
    <w:rsid w:val="00472C81"/>
    <w:rsid w:val="00475032"/>
    <w:rsid w:val="00485578"/>
    <w:rsid w:val="004859EF"/>
    <w:rsid w:val="004860EA"/>
    <w:rsid w:val="0049306B"/>
    <w:rsid w:val="004938D6"/>
    <w:rsid w:val="004A7144"/>
    <w:rsid w:val="004B6035"/>
    <w:rsid w:val="004C28BE"/>
    <w:rsid w:val="004C6DA7"/>
    <w:rsid w:val="004F34DB"/>
    <w:rsid w:val="004F4DAD"/>
    <w:rsid w:val="00505DB8"/>
    <w:rsid w:val="00506CF3"/>
    <w:rsid w:val="00511EC2"/>
    <w:rsid w:val="00513AC0"/>
    <w:rsid w:val="005164F5"/>
    <w:rsid w:val="005179E7"/>
    <w:rsid w:val="005210BD"/>
    <w:rsid w:val="0052560F"/>
    <w:rsid w:val="00533EA1"/>
    <w:rsid w:val="00535341"/>
    <w:rsid w:val="00537AD9"/>
    <w:rsid w:val="005402FA"/>
    <w:rsid w:val="00543167"/>
    <w:rsid w:val="00543D5E"/>
    <w:rsid w:val="0055145B"/>
    <w:rsid w:val="005537CC"/>
    <w:rsid w:val="005563E5"/>
    <w:rsid w:val="00564126"/>
    <w:rsid w:val="005656D9"/>
    <w:rsid w:val="005666F2"/>
    <w:rsid w:val="00566A01"/>
    <w:rsid w:val="0057138C"/>
    <w:rsid w:val="00572064"/>
    <w:rsid w:val="00574F48"/>
    <w:rsid w:val="00576C37"/>
    <w:rsid w:val="00581257"/>
    <w:rsid w:val="00584369"/>
    <w:rsid w:val="00587A35"/>
    <w:rsid w:val="00593298"/>
    <w:rsid w:val="0059445B"/>
    <w:rsid w:val="00597463"/>
    <w:rsid w:val="005A4099"/>
    <w:rsid w:val="005A7215"/>
    <w:rsid w:val="005A7FA9"/>
    <w:rsid w:val="005B0BF4"/>
    <w:rsid w:val="005B1B5F"/>
    <w:rsid w:val="005B3349"/>
    <w:rsid w:val="005B3F9D"/>
    <w:rsid w:val="005C2507"/>
    <w:rsid w:val="005D54CA"/>
    <w:rsid w:val="005F1D13"/>
    <w:rsid w:val="005F2F7F"/>
    <w:rsid w:val="005F4693"/>
    <w:rsid w:val="005F63EA"/>
    <w:rsid w:val="005F7062"/>
    <w:rsid w:val="005F7461"/>
    <w:rsid w:val="00601C41"/>
    <w:rsid w:val="006027D6"/>
    <w:rsid w:val="00602ED4"/>
    <w:rsid w:val="00615EFD"/>
    <w:rsid w:val="00617167"/>
    <w:rsid w:val="00621982"/>
    <w:rsid w:val="00623602"/>
    <w:rsid w:val="00625C82"/>
    <w:rsid w:val="00627D07"/>
    <w:rsid w:val="00634286"/>
    <w:rsid w:val="0064279A"/>
    <w:rsid w:val="00642F14"/>
    <w:rsid w:val="00650D0D"/>
    <w:rsid w:val="00651C98"/>
    <w:rsid w:val="00651D06"/>
    <w:rsid w:val="00651FC7"/>
    <w:rsid w:val="00653310"/>
    <w:rsid w:val="006553D0"/>
    <w:rsid w:val="0065564B"/>
    <w:rsid w:val="00655826"/>
    <w:rsid w:val="006633AF"/>
    <w:rsid w:val="00672A88"/>
    <w:rsid w:val="0067303C"/>
    <w:rsid w:val="00673E14"/>
    <w:rsid w:val="00677FC2"/>
    <w:rsid w:val="00681D94"/>
    <w:rsid w:val="00682158"/>
    <w:rsid w:val="0069145A"/>
    <w:rsid w:val="00693EDD"/>
    <w:rsid w:val="006941D8"/>
    <w:rsid w:val="006951B2"/>
    <w:rsid w:val="006952D2"/>
    <w:rsid w:val="00696AE3"/>
    <w:rsid w:val="006971F3"/>
    <w:rsid w:val="006A15F1"/>
    <w:rsid w:val="006A5844"/>
    <w:rsid w:val="006A5D23"/>
    <w:rsid w:val="006A6FB8"/>
    <w:rsid w:val="006B04AA"/>
    <w:rsid w:val="006C0F21"/>
    <w:rsid w:val="006C4FA2"/>
    <w:rsid w:val="006C6DBE"/>
    <w:rsid w:val="006D0556"/>
    <w:rsid w:val="006D2D8C"/>
    <w:rsid w:val="006E3D58"/>
    <w:rsid w:val="006E524A"/>
    <w:rsid w:val="006F0A05"/>
    <w:rsid w:val="006F328C"/>
    <w:rsid w:val="00701007"/>
    <w:rsid w:val="00704EE5"/>
    <w:rsid w:val="007066E2"/>
    <w:rsid w:val="00707CE1"/>
    <w:rsid w:val="00714013"/>
    <w:rsid w:val="00716947"/>
    <w:rsid w:val="0072245D"/>
    <w:rsid w:val="00722640"/>
    <w:rsid w:val="007245BB"/>
    <w:rsid w:val="00725B81"/>
    <w:rsid w:val="0073197E"/>
    <w:rsid w:val="00732885"/>
    <w:rsid w:val="00746080"/>
    <w:rsid w:val="00752FBD"/>
    <w:rsid w:val="00770E23"/>
    <w:rsid w:val="00771BB1"/>
    <w:rsid w:val="00772B57"/>
    <w:rsid w:val="0077328C"/>
    <w:rsid w:val="0077487B"/>
    <w:rsid w:val="0077601D"/>
    <w:rsid w:val="00781D04"/>
    <w:rsid w:val="00785122"/>
    <w:rsid w:val="00795A21"/>
    <w:rsid w:val="007A08AD"/>
    <w:rsid w:val="007A12C3"/>
    <w:rsid w:val="007A7600"/>
    <w:rsid w:val="007B698B"/>
    <w:rsid w:val="007C2D45"/>
    <w:rsid w:val="007C42FA"/>
    <w:rsid w:val="007C52EF"/>
    <w:rsid w:val="007C76A0"/>
    <w:rsid w:val="007D3512"/>
    <w:rsid w:val="007D4789"/>
    <w:rsid w:val="007E29D2"/>
    <w:rsid w:val="007E3BD7"/>
    <w:rsid w:val="007E4106"/>
    <w:rsid w:val="007E6A02"/>
    <w:rsid w:val="007F00BC"/>
    <w:rsid w:val="007F2941"/>
    <w:rsid w:val="007F4119"/>
    <w:rsid w:val="007F49EB"/>
    <w:rsid w:val="0080232B"/>
    <w:rsid w:val="00805FDA"/>
    <w:rsid w:val="00812C1B"/>
    <w:rsid w:val="00815431"/>
    <w:rsid w:val="00835AD0"/>
    <w:rsid w:val="008365B5"/>
    <w:rsid w:val="00837E34"/>
    <w:rsid w:val="00847EA8"/>
    <w:rsid w:val="0085350E"/>
    <w:rsid w:val="00855B20"/>
    <w:rsid w:val="00864EE2"/>
    <w:rsid w:val="008747B3"/>
    <w:rsid w:val="008813C3"/>
    <w:rsid w:val="00882706"/>
    <w:rsid w:val="008858E0"/>
    <w:rsid w:val="00886938"/>
    <w:rsid w:val="008879A9"/>
    <w:rsid w:val="008926F0"/>
    <w:rsid w:val="00895079"/>
    <w:rsid w:val="008951B5"/>
    <w:rsid w:val="008964E8"/>
    <w:rsid w:val="008A48F6"/>
    <w:rsid w:val="008A55B3"/>
    <w:rsid w:val="008D4C1D"/>
    <w:rsid w:val="008D780B"/>
    <w:rsid w:val="008E1157"/>
    <w:rsid w:val="008E48E7"/>
    <w:rsid w:val="008E6045"/>
    <w:rsid w:val="008F0FDF"/>
    <w:rsid w:val="008F31A8"/>
    <w:rsid w:val="008F39A7"/>
    <w:rsid w:val="0090113B"/>
    <w:rsid w:val="0090623B"/>
    <w:rsid w:val="009151B8"/>
    <w:rsid w:val="009217B6"/>
    <w:rsid w:val="009224E8"/>
    <w:rsid w:val="00922944"/>
    <w:rsid w:val="00923FEF"/>
    <w:rsid w:val="00927201"/>
    <w:rsid w:val="0093258A"/>
    <w:rsid w:val="009326CF"/>
    <w:rsid w:val="00932B8A"/>
    <w:rsid w:val="00937D21"/>
    <w:rsid w:val="00940CA6"/>
    <w:rsid w:val="00941F3C"/>
    <w:rsid w:val="00942D12"/>
    <w:rsid w:val="0094373C"/>
    <w:rsid w:val="00944152"/>
    <w:rsid w:val="00944F8F"/>
    <w:rsid w:val="0094649A"/>
    <w:rsid w:val="00946DEE"/>
    <w:rsid w:val="00951E2B"/>
    <w:rsid w:val="00952939"/>
    <w:rsid w:val="00952B72"/>
    <w:rsid w:val="00961EA0"/>
    <w:rsid w:val="00965C6F"/>
    <w:rsid w:val="00973813"/>
    <w:rsid w:val="00980BBC"/>
    <w:rsid w:val="00985DF1"/>
    <w:rsid w:val="00987FC2"/>
    <w:rsid w:val="0099229C"/>
    <w:rsid w:val="00993A9D"/>
    <w:rsid w:val="00996F38"/>
    <w:rsid w:val="009A5A1A"/>
    <w:rsid w:val="009A5C44"/>
    <w:rsid w:val="009A781E"/>
    <w:rsid w:val="009A7A93"/>
    <w:rsid w:val="009B03AF"/>
    <w:rsid w:val="009B123A"/>
    <w:rsid w:val="009B4E78"/>
    <w:rsid w:val="009B775F"/>
    <w:rsid w:val="009C32E5"/>
    <w:rsid w:val="009C4216"/>
    <w:rsid w:val="009C60E7"/>
    <w:rsid w:val="009C7842"/>
    <w:rsid w:val="009D19A9"/>
    <w:rsid w:val="009D1E70"/>
    <w:rsid w:val="009D4EE4"/>
    <w:rsid w:val="009D52DD"/>
    <w:rsid w:val="009D5F4B"/>
    <w:rsid w:val="009E3929"/>
    <w:rsid w:val="009E626E"/>
    <w:rsid w:val="009E7CBF"/>
    <w:rsid w:val="009F0A63"/>
    <w:rsid w:val="009F29EB"/>
    <w:rsid w:val="009F3656"/>
    <w:rsid w:val="009F5B89"/>
    <w:rsid w:val="009F7519"/>
    <w:rsid w:val="00A00C55"/>
    <w:rsid w:val="00A032C0"/>
    <w:rsid w:val="00A0343B"/>
    <w:rsid w:val="00A07077"/>
    <w:rsid w:val="00A21040"/>
    <w:rsid w:val="00A26170"/>
    <w:rsid w:val="00A26BC4"/>
    <w:rsid w:val="00A273BE"/>
    <w:rsid w:val="00A302F1"/>
    <w:rsid w:val="00A31531"/>
    <w:rsid w:val="00A339DA"/>
    <w:rsid w:val="00A3412D"/>
    <w:rsid w:val="00A350EF"/>
    <w:rsid w:val="00A405FB"/>
    <w:rsid w:val="00A40A14"/>
    <w:rsid w:val="00A40F01"/>
    <w:rsid w:val="00A44C3A"/>
    <w:rsid w:val="00A455A7"/>
    <w:rsid w:val="00A50DD0"/>
    <w:rsid w:val="00A516B0"/>
    <w:rsid w:val="00A55039"/>
    <w:rsid w:val="00A5620A"/>
    <w:rsid w:val="00A57790"/>
    <w:rsid w:val="00A61DC9"/>
    <w:rsid w:val="00A67801"/>
    <w:rsid w:val="00A71960"/>
    <w:rsid w:val="00A72DEB"/>
    <w:rsid w:val="00A76C4A"/>
    <w:rsid w:val="00A80646"/>
    <w:rsid w:val="00A87883"/>
    <w:rsid w:val="00A9447A"/>
    <w:rsid w:val="00A9708F"/>
    <w:rsid w:val="00AA06D9"/>
    <w:rsid w:val="00AA28D9"/>
    <w:rsid w:val="00AA6F0C"/>
    <w:rsid w:val="00AB5D01"/>
    <w:rsid w:val="00AC2406"/>
    <w:rsid w:val="00AD2C08"/>
    <w:rsid w:val="00AD3FCF"/>
    <w:rsid w:val="00AE1950"/>
    <w:rsid w:val="00AE37DA"/>
    <w:rsid w:val="00AE5504"/>
    <w:rsid w:val="00AF5734"/>
    <w:rsid w:val="00AF7D91"/>
    <w:rsid w:val="00B03802"/>
    <w:rsid w:val="00B0425B"/>
    <w:rsid w:val="00B0539C"/>
    <w:rsid w:val="00B066BB"/>
    <w:rsid w:val="00B069AA"/>
    <w:rsid w:val="00B15E17"/>
    <w:rsid w:val="00B23A36"/>
    <w:rsid w:val="00B25576"/>
    <w:rsid w:val="00B25EF5"/>
    <w:rsid w:val="00B35BF4"/>
    <w:rsid w:val="00B43875"/>
    <w:rsid w:val="00B50EB2"/>
    <w:rsid w:val="00B623A8"/>
    <w:rsid w:val="00B6722A"/>
    <w:rsid w:val="00B72E14"/>
    <w:rsid w:val="00B733E1"/>
    <w:rsid w:val="00B73EEE"/>
    <w:rsid w:val="00B74763"/>
    <w:rsid w:val="00B77367"/>
    <w:rsid w:val="00B82D78"/>
    <w:rsid w:val="00B847B8"/>
    <w:rsid w:val="00B85407"/>
    <w:rsid w:val="00B91120"/>
    <w:rsid w:val="00B91F55"/>
    <w:rsid w:val="00B91FD4"/>
    <w:rsid w:val="00B92AFE"/>
    <w:rsid w:val="00B92CB2"/>
    <w:rsid w:val="00BA434C"/>
    <w:rsid w:val="00BA6E5D"/>
    <w:rsid w:val="00BB2953"/>
    <w:rsid w:val="00BC0134"/>
    <w:rsid w:val="00BC4790"/>
    <w:rsid w:val="00BD1154"/>
    <w:rsid w:val="00BD3329"/>
    <w:rsid w:val="00BD35A5"/>
    <w:rsid w:val="00BD4E79"/>
    <w:rsid w:val="00BD4F65"/>
    <w:rsid w:val="00BE38D8"/>
    <w:rsid w:val="00BE4D4D"/>
    <w:rsid w:val="00C04250"/>
    <w:rsid w:val="00C06F9E"/>
    <w:rsid w:val="00C13E6B"/>
    <w:rsid w:val="00C208A3"/>
    <w:rsid w:val="00C2370B"/>
    <w:rsid w:val="00C32025"/>
    <w:rsid w:val="00C34417"/>
    <w:rsid w:val="00C42B45"/>
    <w:rsid w:val="00C45A60"/>
    <w:rsid w:val="00C50B4E"/>
    <w:rsid w:val="00C519B3"/>
    <w:rsid w:val="00C60CD3"/>
    <w:rsid w:val="00C624D5"/>
    <w:rsid w:val="00C677ED"/>
    <w:rsid w:val="00C67FD9"/>
    <w:rsid w:val="00C7146E"/>
    <w:rsid w:val="00C73349"/>
    <w:rsid w:val="00C75C56"/>
    <w:rsid w:val="00C77DD1"/>
    <w:rsid w:val="00C81962"/>
    <w:rsid w:val="00C82A60"/>
    <w:rsid w:val="00C848A0"/>
    <w:rsid w:val="00C859E5"/>
    <w:rsid w:val="00C86B68"/>
    <w:rsid w:val="00C878C5"/>
    <w:rsid w:val="00C92692"/>
    <w:rsid w:val="00C9304D"/>
    <w:rsid w:val="00C93E0F"/>
    <w:rsid w:val="00C96AEA"/>
    <w:rsid w:val="00CA2074"/>
    <w:rsid w:val="00CA2FBD"/>
    <w:rsid w:val="00CA5329"/>
    <w:rsid w:val="00CB011F"/>
    <w:rsid w:val="00CC01AA"/>
    <w:rsid w:val="00CC0B6D"/>
    <w:rsid w:val="00CD1373"/>
    <w:rsid w:val="00CE1CD3"/>
    <w:rsid w:val="00CE4F01"/>
    <w:rsid w:val="00CE7A73"/>
    <w:rsid w:val="00CF260C"/>
    <w:rsid w:val="00CF6C24"/>
    <w:rsid w:val="00D00F35"/>
    <w:rsid w:val="00D0268A"/>
    <w:rsid w:val="00D109ED"/>
    <w:rsid w:val="00D242DF"/>
    <w:rsid w:val="00D30F16"/>
    <w:rsid w:val="00D40A16"/>
    <w:rsid w:val="00D55546"/>
    <w:rsid w:val="00D57E8C"/>
    <w:rsid w:val="00D6213C"/>
    <w:rsid w:val="00D641C9"/>
    <w:rsid w:val="00D647C0"/>
    <w:rsid w:val="00D675DF"/>
    <w:rsid w:val="00D73CFE"/>
    <w:rsid w:val="00D750DF"/>
    <w:rsid w:val="00D77694"/>
    <w:rsid w:val="00D7795A"/>
    <w:rsid w:val="00D77B0F"/>
    <w:rsid w:val="00D80846"/>
    <w:rsid w:val="00D91AE1"/>
    <w:rsid w:val="00D9746D"/>
    <w:rsid w:val="00DB1A13"/>
    <w:rsid w:val="00DB444D"/>
    <w:rsid w:val="00DB474F"/>
    <w:rsid w:val="00DB6B52"/>
    <w:rsid w:val="00DE1D5E"/>
    <w:rsid w:val="00DE3D14"/>
    <w:rsid w:val="00DE5488"/>
    <w:rsid w:val="00DE75AC"/>
    <w:rsid w:val="00DE7B53"/>
    <w:rsid w:val="00DF35B6"/>
    <w:rsid w:val="00DF52AF"/>
    <w:rsid w:val="00DF5A52"/>
    <w:rsid w:val="00DF6BCE"/>
    <w:rsid w:val="00E01120"/>
    <w:rsid w:val="00E03032"/>
    <w:rsid w:val="00E0406C"/>
    <w:rsid w:val="00E04FC9"/>
    <w:rsid w:val="00E067D5"/>
    <w:rsid w:val="00E13D5C"/>
    <w:rsid w:val="00E16523"/>
    <w:rsid w:val="00E17C58"/>
    <w:rsid w:val="00E20BDD"/>
    <w:rsid w:val="00E231C2"/>
    <w:rsid w:val="00E240E8"/>
    <w:rsid w:val="00E24119"/>
    <w:rsid w:val="00E24FAF"/>
    <w:rsid w:val="00E31A19"/>
    <w:rsid w:val="00E336A9"/>
    <w:rsid w:val="00E369A5"/>
    <w:rsid w:val="00E429DA"/>
    <w:rsid w:val="00E54054"/>
    <w:rsid w:val="00E5675A"/>
    <w:rsid w:val="00E616AB"/>
    <w:rsid w:val="00E62C2A"/>
    <w:rsid w:val="00E71DB3"/>
    <w:rsid w:val="00E77FCB"/>
    <w:rsid w:val="00E823CB"/>
    <w:rsid w:val="00E8586E"/>
    <w:rsid w:val="00E91AC1"/>
    <w:rsid w:val="00E92FA9"/>
    <w:rsid w:val="00E955A9"/>
    <w:rsid w:val="00E96A06"/>
    <w:rsid w:val="00EA0919"/>
    <w:rsid w:val="00EA4037"/>
    <w:rsid w:val="00EA5E13"/>
    <w:rsid w:val="00EB5240"/>
    <w:rsid w:val="00EC0B55"/>
    <w:rsid w:val="00ED22FB"/>
    <w:rsid w:val="00ED308E"/>
    <w:rsid w:val="00EE116A"/>
    <w:rsid w:val="00EE1486"/>
    <w:rsid w:val="00EF2810"/>
    <w:rsid w:val="00EF3D46"/>
    <w:rsid w:val="00EF5D3B"/>
    <w:rsid w:val="00EF70B8"/>
    <w:rsid w:val="00F0207B"/>
    <w:rsid w:val="00F034BF"/>
    <w:rsid w:val="00F036A7"/>
    <w:rsid w:val="00F05800"/>
    <w:rsid w:val="00F10B25"/>
    <w:rsid w:val="00F11B78"/>
    <w:rsid w:val="00F21821"/>
    <w:rsid w:val="00F21FC8"/>
    <w:rsid w:val="00F233A3"/>
    <w:rsid w:val="00F23D7A"/>
    <w:rsid w:val="00F243F1"/>
    <w:rsid w:val="00F26D30"/>
    <w:rsid w:val="00F30AB3"/>
    <w:rsid w:val="00F325EB"/>
    <w:rsid w:val="00F349D5"/>
    <w:rsid w:val="00F44FDA"/>
    <w:rsid w:val="00F54D84"/>
    <w:rsid w:val="00F57152"/>
    <w:rsid w:val="00F57E44"/>
    <w:rsid w:val="00F601A3"/>
    <w:rsid w:val="00F62726"/>
    <w:rsid w:val="00F63ABA"/>
    <w:rsid w:val="00F6524E"/>
    <w:rsid w:val="00F714EB"/>
    <w:rsid w:val="00F7362C"/>
    <w:rsid w:val="00F76EF8"/>
    <w:rsid w:val="00F83DDE"/>
    <w:rsid w:val="00F92F61"/>
    <w:rsid w:val="00F9454A"/>
    <w:rsid w:val="00F94634"/>
    <w:rsid w:val="00FB45AE"/>
    <w:rsid w:val="00FB6F10"/>
    <w:rsid w:val="00FC2D79"/>
    <w:rsid w:val="00FC4CF8"/>
    <w:rsid w:val="00FC5DA7"/>
    <w:rsid w:val="00FD3380"/>
    <w:rsid w:val="00FD5B59"/>
    <w:rsid w:val="00FD6C07"/>
    <w:rsid w:val="00FD7AA7"/>
    <w:rsid w:val="00FE1055"/>
    <w:rsid w:val="00FF28C0"/>
    <w:rsid w:val="00FF4E19"/>
    <w:rsid w:val="00FF5B2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68ED5"/>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67303C"/>
    <w:pPr>
      <w:keepNext/>
      <w:keepLines/>
      <w:spacing w:before="40" w:after="0"/>
      <w:outlineLvl w:val="1"/>
    </w:pPr>
    <w:rPr>
      <w:rFonts w:ascii="Arial" w:eastAsiaTheme="majorEastAsia" w:hAnsi="Arial"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uiPriority w:val="99"/>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semiHidden/>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semiHidden/>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5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7303C"/>
    <w:rPr>
      <w:rFonts w:ascii="Arial" w:eastAsiaTheme="majorEastAsia" w:hAnsi="Arial" w:cstheme="majorBidi"/>
      <w:b/>
      <w:sz w:val="24"/>
      <w:szCs w:val="26"/>
    </w:rPr>
  </w:style>
  <w:style w:type="paragraph" w:styleId="Header">
    <w:name w:val="header"/>
    <w:basedOn w:val="Normal"/>
    <w:link w:val="HeaderChar"/>
    <w:uiPriority w:val="99"/>
    <w:unhideWhenUsed/>
    <w:rsid w:val="000B51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51B8"/>
  </w:style>
  <w:style w:type="paragraph" w:styleId="NoSpacing">
    <w:name w:val="No Spacing"/>
    <w:uiPriority w:val="1"/>
    <w:qFormat/>
    <w:rsid w:val="007E4106"/>
    <w:pPr>
      <w:spacing w:after="0" w:line="240" w:lineRule="auto"/>
    </w:pPr>
  </w:style>
  <w:style w:type="paragraph" w:customStyle="1" w:styleId="TableParagraph">
    <w:name w:val="Table Paragraph"/>
    <w:basedOn w:val="Normal"/>
    <w:uiPriority w:val="1"/>
    <w:qFormat/>
    <w:rsid w:val="005B3F9D"/>
    <w:pPr>
      <w:widowControl w:val="0"/>
      <w:autoSpaceDE w:val="0"/>
      <w:autoSpaceDN w:val="0"/>
      <w:spacing w:after="0" w:line="240" w:lineRule="auto"/>
      <w:ind w:left="103"/>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454598">
      <w:bodyDiv w:val="1"/>
      <w:marLeft w:val="0"/>
      <w:marRight w:val="0"/>
      <w:marTop w:val="0"/>
      <w:marBottom w:val="0"/>
      <w:divBdr>
        <w:top w:val="none" w:sz="0" w:space="0" w:color="auto"/>
        <w:left w:val="none" w:sz="0" w:space="0" w:color="auto"/>
        <w:bottom w:val="none" w:sz="0" w:space="0" w:color="auto"/>
        <w:right w:val="none" w:sz="0" w:space="0" w:color="auto"/>
      </w:divBdr>
    </w:div>
    <w:div w:id="102191230">
      <w:bodyDiv w:val="1"/>
      <w:marLeft w:val="0"/>
      <w:marRight w:val="0"/>
      <w:marTop w:val="0"/>
      <w:marBottom w:val="0"/>
      <w:divBdr>
        <w:top w:val="none" w:sz="0" w:space="0" w:color="auto"/>
        <w:left w:val="none" w:sz="0" w:space="0" w:color="auto"/>
        <w:bottom w:val="none" w:sz="0" w:space="0" w:color="auto"/>
        <w:right w:val="none" w:sz="0" w:space="0" w:color="auto"/>
      </w:divBdr>
    </w:div>
    <w:div w:id="150028523">
      <w:bodyDiv w:val="1"/>
      <w:marLeft w:val="0"/>
      <w:marRight w:val="0"/>
      <w:marTop w:val="0"/>
      <w:marBottom w:val="0"/>
      <w:divBdr>
        <w:top w:val="none" w:sz="0" w:space="0" w:color="auto"/>
        <w:left w:val="none" w:sz="0" w:space="0" w:color="auto"/>
        <w:bottom w:val="none" w:sz="0" w:space="0" w:color="auto"/>
        <w:right w:val="none" w:sz="0" w:space="0" w:color="auto"/>
      </w:divBdr>
    </w:div>
    <w:div w:id="171998331">
      <w:bodyDiv w:val="1"/>
      <w:marLeft w:val="0"/>
      <w:marRight w:val="0"/>
      <w:marTop w:val="0"/>
      <w:marBottom w:val="0"/>
      <w:divBdr>
        <w:top w:val="none" w:sz="0" w:space="0" w:color="auto"/>
        <w:left w:val="none" w:sz="0" w:space="0" w:color="auto"/>
        <w:bottom w:val="none" w:sz="0" w:space="0" w:color="auto"/>
        <w:right w:val="none" w:sz="0" w:space="0" w:color="auto"/>
      </w:divBdr>
      <w:divsChild>
        <w:div w:id="1005666305">
          <w:marLeft w:val="0"/>
          <w:marRight w:val="0"/>
          <w:marTop w:val="0"/>
          <w:marBottom w:val="0"/>
          <w:divBdr>
            <w:top w:val="none" w:sz="0" w:space="0" w:color="auto"/>
            <w:left w:val="none" w:sz="0" w:space="0" w:color="auto"/>
            <w:bottom w:val="none" w:sz="0" w:space="0" w:color="auto"/>
            <w:right w:val="none" w:sz="0" w:space="0" w:color="auto"/>
          </w:divBdr>
        </w:div>
      </w:divsChild>
    </w:div>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569655314">
      <w:bodyDiv w:val="1"/>
      <w:marLeft w:val="0"/>
      <w:marRight w:val="0"/>
      <w:marTop w:val="0"/>
      <w:marBottom w:val="0"/>
      <w:divBdr>
        <w:top w:val="none" w:sz="0" w:space="0" w:color="auto"/>
        <w:left w:val="none" w:sz="0" w:space="0" w:color="auto"/>
        <w:bottom w:val="none" w:sz="0" w:space="0" w:color="auto"/>
        <w:right w:val="none" w:sz="0" w:space="0" w:color="auto"/>
      </w:divBdr>
    </w:div>
    <w:div w:id="869807324">
      <w:bodyDiv w:val="1"/>
      <w:marLeft w:val="0"/>
      <w:marRight w:val="0"/>
      <w:marTop w:val="0"/>
      <w:marBottom w:val="0"/>
      <w:divBdr>
        <w:top w:val="none" w:sz="0" w:space="0" w:color="auto"/>
        <w:left w:val="none" w:sz="0" w:space="0" w:color="auto"/>
        <w:bottom w:val="none" w:sz="0" w:space="0" w:color="auto"/>
        <w:right w:val="none" w:sz="0" w:space="0" w:color="auto"/>
      </w:divBdr>
    </w:div>
    <w:div w:id="954020338">
      <w:bodyDiv w:val="1"/>
      <w:marLeft w:val="0"/>
      <w:marRight w:val="0"/>
      <w:marTop w:val="0"/>
      <w:marBottom w:val="0"/>
      <w:divBdr>
        <w:top w:val="none" w:sz="0" w:space="0" w:color="auto"/>
        <w:left w:val="none" w:sz="0" w:space="0" w:color="auto"/>
        <w:bottom w:val="none" w:sz="0" w:space="0" w:color="auto"/>
        <w:right w:val="none" w:sz="0" w:space="0" w:color="auto"/>
      </w:divBdr>
    </w:div>
    <w:div w:id="961299941">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050107990">
      <w:bodyDiv w:val="1"/>
      <w:marLeft w:val="0"/>
      <w:marRight w:val="0"/>
      <w:marTop w:val="0"/>
      <w:marBottom w:val="0"/>
      <w:divBdr>
        <w:top w:val="none" w:sz="0" w:space="0" w:color="auto"/>
        <w:left w:val="none" w:sz="0" w:space="0" w:color="auto"/>
        <w:bottom w:val="none" w:sz="0" w:space="0" w:color="auto"/>
        <w:right w:val="none" w:sz="0" w:space="0" w:color="auto"/>
      </w:divBdr>
    </w:div>
    <w:div w:id="1362974875">
      <w:bodyDiv w:val="1"/>
      <w:marLeft w:val="0"/>
      <w:marRight w:val="0"/>
      <w:marTop w:val="0"/>
      <w:marBottom w:val="0"/>
      <w:divBdr>
        <w:top w:val="none" w:sz="0" w:space="0" w:color="auto"/>
        <w:left w:val="none" w:sz="0" w:space="0" w:color="auto"/>
        <w:bottom w:val="none" w:sz="0" w:space="0" w:color="auto"/>
        <w:right w:val="none" w:sz="0" w:space="0" w:color="auto"/>
      </w:divBdr>
    </w:div>
    <w:div w:id="1378699603">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31683372">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BF6D5-0C19-451E-B1E9-C8F2DCEAC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3627</Words>
  <Characters>20678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24257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abramoma</dc:creator>
  <cp:lastModifiedBy>Tandem Energy Services</cp:lastModifiedBy>
  <cp:revision>293</cp:revision>
  <cp:lastPrinted>2014-09-29T14:43:00Z</cp:lastPrinted>
  <dcterms:created xsi:type="dcterms:W3CDTF">2020-11-19T01:50:00Z</dcterms:created>
  <dcterms:modified xsi:type="dcterms:W3CDTF">2020-12-07T16:11:00Z</dcterms:modified>
</cp:coreProperties>
</file>