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61F8F" w14:textId="77777777" w:rsidR="00D90524" w:rsidRPr="003B7F92" w:rsidRDefault="00D90524" w:rsidP="003B7F92">
      <w:pPr>
        <w:spacing w:line="276" w:lineRule="auto"/>
        <w:rPr>
          <w:rFonts w:ascii="Arial" w:hAnsi="Arial" w:cs="Arial"/>
          <w:sz w:val="24"/>
          <w:szCs w:val="24"/>
        </w:rPr>
      </w:pPr>
    </w:p>
    <w:p w14:paraId="3FF55B0F" w14:textId="77777777" w:rsidR="00D90524" w:rsidRPr="003B7F92" w:rsidRDefault="00D90524" w:rsidP="003B7F92">
      <w:pPr>
        <w:pStyle w:val="Default"/>
        <w:spacing w:line="276" w:lineRule="auto"/>
        <w:jc w:val="center"/>
        <w:rPr>
          <w:rFonts w:ascii="Arial" w:hAnsi="Arial" w:cs="Arial"/>
          <w:color w:val="auto"/>
        </w:rPr>
      </w:pPr>
      <w:r w:rsidRPr="003B7F92">
        <w:rPr>
          <w:rFonts w:ascii="Arial" w:hAnsi="Arial" w:cs="Arial"/>
          <w:b/>
          <w:bCs/>
          <w:color w:val="auto"/>
        </w:rPr>
        <w:t>Welland Hydro-Electric System Corp. (Welland Hydro)</w:t>
      </w:r>
    </w:p>
    <w:p w14:paraId="42B32B70" w14:textId="0FF79325" w:rsidR="00D90524" w:rsidRPr="003B7F92" w:rsidRDefault="00D90524" w:rsidP="003B7F92">
      <w:pPr>
        <w:spacing w:line="276" w:lineRule="auto"/>
        <w:jc w:val="center"/>
        <w:rPr>
          <w:rFonts w:ascii="Arial" w:hAnsi="Arial" w:cs="Arial"/>
          <w:b/>
          <w:sz w:val="24"/>
          <w:szCs w:val="24"/>
        </w:rPr>
      </w:pPr>
      <w:r w:rsidRPr="003B7F92">
        <w:rPr>
          <w:rFonts w:ascii="Arial" w:hAnsi="Arial" w:cs="Arial"/>
          <w:b/>
          <w:sz w:val="24"/>
          <w:szCs w:val="24"/>
        </w:rPr>
        <w:t>EB-20</w:t>
      </w:r>
      <w:r w:rsidR="00D8395D">
        <w:rPr>
          <w:rFonts w:ascii="Arial" w:hAnsi="Arial" w:cs="Arial"/>
          <w:b/>
          <w:sz w:val="24"/>
          <w:szCs w:val="24"/>
        </w:rPr>
        <w:t>20-0060</w:t>
      </w:r>
    </w:p>
    <w:p w14:paraId="3EEB1802" w14:textId="77777777" w:rsidR="00427ADC" w:rsidRDefault="00427ADC" w:rsidP="003B7F92">
      <w:pPr>
        <w:spacing w:line="276" w:lineRule="auto"/>
        <w:rPr>
          <w:rFonts w:ascii="Arial" w:hAnsi="Arial" w:cs="Arial"/>
          <w:sz w:val="24"/>
          <w:szCs w:val="24"/>
        </w:rPr>
      </w:pPr>
    </w:p>
    <w:p w14:paraId="6E964220" w14:textId="00A1168F" w:rsidR="00D90524" w:rsidRPr="003B7F92" w:rsidRDefault="00427ADC" w:rsidP="003B7F92">
      <w:pPr>
        <w:spacing w:line="276" w:lineRule="auto"/>
        <w:rPr>
          <w:rFonts w:ascii="Arial" w:hAnsi="Arial" w:cs="Arial"/>
          <w:sz w:val="24"/>
          <w:szCs w:val="24"/>
        </w:rPr>
      </w:pPr>
      <w:r w:rsidRPr="00427ADC">
        <w:rPr>
          <w:rFonts w:ascii="Arial" w:hAnsi="Arial" w:cs="Arial"/>
          <w:sz w:val="24"/>
          <w:szCs w:val="24"/>
        </w:rPr>
        <w:t xml:space="preserve">Please note, </w:t>
      </w:r>
      <w:r>
        <w:rPr>
          <w:rFonts w:ascii="Arial" w:hAnsi="Arial" w:cs="Arial"/>
          <w:sz w:val="24"/>
          <w:szCs w:val="24"/>
        </w:rPr>
        <w:t>Welland Hdyro</w:t>
      </w:r>
      <w:r w:rsidRPr="00427ADC">
        <w:rPr>
          <w:rFonts w:ascii="Arial"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Freedom of Information and Protection of Privacy Act), unless filed in accordance with rule 9A of the OEB’s Rules of Practice and Procedure.</w:t>
      </w:r>
    </w:p>
    <w:p w14:paraId="554765FD" w14:textId="698E35E0" w:rsidR="00D52919" w:rsidRPr="003B7F92" w:rsidRDefault="00D52919" w:rsidP="003B7F92">
      <w:pPr>
        <w:spacing w:after="0" w:line="276" w:lineRule="auto"/>
        <w:rPr>
          <w:rFonts w:ascii="Arial" w:hAnsi="Arial" w:cs="Arial"/>
          <w:sz w:val="24"/>
          <w:szCs w:val="24"/>
        </w:rPr>
      </w:pPr>
    </w:p>
    <w:p w14:paraId="2F208CF4" w14:textId="548CC04D" w:rsidR="00D52919" w:rsidRPr="003B7F92" w:rsidRDefault="00D52919" w:rsidP="003B7F92">
      <w:pPr>
        <w:pStyle w:val="Heading2"/>
        <w:spacing w:line="276" w:lineRule="auto"/>
        <w:rPr>
          <w:rFonts w:cs="Arial"/>
          <w:szCs w:val="24"/>
        </w:rPr>
      </w:pPr>
      <w:r w:rsidRPr="003B7F92">
        <w:rPr>
          <w:rFonts w:cs="Arial"/>
          <w:szCs w:val="24"/>
        </w:rPr>
        <w:t>Staff-</w:t>
      </w:r>
      <w:r w:rsidR="00071682">
        <w:rPr>
          <w:rFonts w:cs="Arial"/>
          <w:szCs w:val="24"/>
        </w:rPr>
        <w:t>1</w:t>
      </w:r>
    </w:p>
    <w:p w14:paraId="0ECC31A7" w14:textId="39E2463B" w:rsidR="00D52919" w:rsidRPr="008F699F" w:rsidRDefault="00940E8E" w:rsidP="008F699F">
      <w:pPr>
        <w:pStyle w:val="NoSpacing"/>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00786AF2" w:rsidRPr="008F699F">
        <w:rPr>
          <w:rFonts w:ascii="Arial" w:hAnsi="Arial" w:cs="Arial"/>
          <w:sz w:val="24"/>
          <w:szCs w:val="24"/>
        </w:rPr>
        <w:t xml:space="preserve">(1) </w:t>
      </w:r>
      <w:r w:rsidR="005F6C53">
        <w:rPr>
          <w:rFonts w:ascii="Arial" w:hAnsi="Arial" w:cs="Arial"/>
          <w:sz w:val="24"/>
          <w:szCs w:val="24"/>
        </w:rPr>
        <w:t>202</w:t>
      </w:r>
      <w:r w:rsidR="00D8395D">
        <w:rPr>
          <w:rFonts w:ascii="Arial" w:hAnsi="Arial" w:cs="Arial"/>
          <w:sz w:val="24"/>
          <w:szCs w:val="24"/>
        </w:rPr>
        <w:t>1</w:t>
      </w:r>
      <w:r w:rsidR="005F6C53">
        <w:rPr>
          <w:rFonts w:ascii="Arial" w:hAnsi="Arial" w:cs="Arial"/>
          <w:sz w:val="24"/>
          <w:szCs w:val="24"/>
        </w:rPr>
        <w:t xml:space="preserve"> </w:t>
      </w:r>
      <w:r w:rsidRPr="008F699F">
        <w:rPr>
          <w:rFonts w:ascii="Arial" w:hAnsi="Arial" w:cs="Arial"/>
          <w:sz w:val="24"/>
          <w:szCs w:val="24"/>
        </w:rPr>
        <w:t>IRM Rate Generator</w:t>
      </w:r>
      <w:r w:rsidR="00517455">
        <w:rPr>
          <w:rFonts w:ascii="Arial" w:hAnsi="Arial" w:cs="Arial"/>
          <w:sz w:val="24"/>
          <w:szCs w:val="24"/>
        </w:rPr>
        <w:t>,</w:t>
      </w:r>
      <w:r w:rsidR="00765949" w:rsidRPr="008F699F">
        <w:rPr>
          <w:rFonts w:ascii="Arial" w:hAnsi="Arial" w:cs="Arial"/>
          <w:sz w:val="24"/>
          <w:szCs w:val="24"/>
        </w:rPr>
        <w:t xml:space="preserve"> </w:t>
      </w:r>
      <w:r w:rsidR="00517455" w:rsidRPr="008F699F">
        <w:rPr>
          <w:rFonts w:ascii="Arial" w:hAnsi="Arial" w:cs="Arial"/>
          <w:sz w:val="24"/>
          <w:szCs w:val="24"/>
        </w:rPr>
        <w:t xml:space="preserve">Tab 3 </w:t>
      </w:r>
      <w:r w:rsidR="006D51CB">
        <w:rPr>
          <w:rFonts w:ascii="Arial" w:hAnsi="Arial" w:cs="Arial"/>
          <w:sz w:val="24"/>
          <w:szCs w:val="24"/>
        </w:rPr>
        <w:t>(</w:t>
      </w:r>
      <w:r w:rsidR="005F6C53">
        <w:rPr>
          <w:rFonts w:ascii="Arial" w:hAnsi="Arial" w:cs="Arial"/>
          <w:sz w:val="24"/>
          <w:szCs w:val="24"/>
        </w:rPr>
        <w:t xml:space="preserve">balances for </w:t>
      </w:r>
      <w:r w:rsidR="00765949" w:rsidRPr="008F699F">
        <w:rPr>
          <w:rFonts w:ascii="Arial" w:hAnsi="Arial" w:cs="Arial"/>
          <w:sz w:val="24"/>
          <w:szCs w:val="24"/>
        </w:rPr>
        <w:t>2019</w:t>
      </w:r>
      <w:r w:rsidR="005F6C53" w:rsidRPr="00D7419F">
        <w:rPr>
          <w:rFonts w:ascii="Arial" w:hAnsi="Arial" w:cs="Arial"/>
          <w:sz w:val="24"/>
          <w:szCs w:val="24"/>
        </w:rPr>
        <w:t xml:space="preserve"> </w:t>
      </w:r>
      <w:r w:rsidR="005F6C53">
        <w:rPr>
          <w:rFonts w:ascii="Arial" w:hAnsi="Arial" w:cs="Arial"/>
          <w:sz w:val="24"/>
          <w:szCs w:val="24"/>
        </w:rPr>
        <w:t>rate year</w:t>
      </w:r>
      <w:r w:rsidR="00765949" w:rsidRPr="008F699F">
        <w:rPr>
          <w:rFonts w:ascii="Arial" w:hAnsi="Arial" w:cs="Arial"/>
          <w:sz w:val="24"/>
          <w:szCs w:val="24"/>
        </w:rPr>
        <w:t>)</w:t>
      </w:r>
    </w:p>
    <w:p w14:paraId="0520F705" w14:textId="437F6646" w:rsidR="00765949" w:rsidRPr="008F699F" w:rsidRDefault="00765949" w:rsidP="008F699F">
      <w:pPr>
        <w:pStyle w:val="NoSpacing"/>
        <w:ind w:left="720"/>
        <w:rPr>
          <w:rFonts w:ascii="Arial" w:hAnsi="Arial" w:cs="Arial"/>
          <w:sz w:val="24"/>
          <w:szCs w:val="24"/>
        </w:rPr>
      </w:pPr>
      <w:r w:rsidRPr="008F699F">
        <w:rPr>
          <w:rFonts w:ascii="Arial" w:hAnsi="Arial" w:cs="Arial"/>
          <w:sz w:val="24"/>
          <w:szCs w:val="24"/>
        </w:rPr>
        <w:t>(2) 20</w:t>
      </w:r>
      <w:r w:rsidR="00D8395D">
        <w:rPr>
          <w:rFonts w:ascii="Arial" w:hAnsi="Arial" w:cs="Arial"/>
          <w:sz w:val="24"/>
          <w:szCs w:val="24"/>
        </w:rPr>
        <w:t>20</w:t>
      </w:r>
      <w:r w:rsidRPr="008F699F">
        <w:rPr>
          <w:rFonts w:ascii="Arial" w:hAnsi="Arial" w:cs="Arial"/>
          <w:sz w:val="24"/>
          <w:szCs w:val="24"/>
        </w:rPr>
        <w:t xml:space="preserve"> IRM Rate Generator</w:t>
      </w:r>
      <w:r w:rsidR="00517455">
        <w:rPr>
          <w:rFonts w:ascii="Arial" w:hAnsi="Arial" w:cs="Arial"/>
          <w:sz w:val="24"/>
          <w:szCs w:val="24"/>
        </w:rPr>
        <w:t>,</w:t>
      </w:r>
      <w:r w:rsidR="006D51CB">
        <w:rPr>
          <w:rFonts w:ascii="Arial" w:hAnsi="Arial" w:cs="Arial"/>
          <w:sz w:val="24"/>
          <w:szCs w:val="24"/>
        </w:rPr>
        <w:t xml:space="preserve"> </w:t>
      </w:r>
      <w:r w:rsidR="00517455" w:rsidRPr="008F699F">
        <w:rPr>
          <w:rFonts w:ascii="Arial" w:hAnsi="Arial" w:cs="Arial"/>
          <w:sz w:val="24"/>
          <w:szCs w:val="24"/>
        </w:rPr>
        <w:t xml:space="preserve">Tab 3 </w:t>
      </w:r>
      <w:r w:rsidR="006D51CB">
        <w:rPr>
          <w:rFonts w:ascii="Arial" w:hAnsi="Arial" w:cs="Arial"/>
          <w:sz w:val="24"/>
          <w:szCs w:val="24"/>
        </w:rPr>
        <w:t>(balances for 201</w:t>
      </w:r>
      <w:r w:rsidR="00D8395D">
        <w:rPr>
          <w:rFonts w:ascii="Arial" w:hAnsi="Arial" w:cs="Arial"/>
          <w:sz w:val="24"/>
          <w:szCs w:val="24"/>
        </w:rPr>
        <w:t>9</w:t>
      </w:r>
      <w:r w:rsidR="006D51CB">
        <w:rPr>
          <w:rFonts w:ascii="Arial" w:hAnsi="Arial" w:cs="Arial"/>
          <w:sz w:val="24"/>
          <w:szCs w:val="24"/>
        </w:rPr>
        <w:t xml:space="preserve"> rate year)</w:t>
      </w:r>
    </w:p>
    <w:p w14:paraId="39335051" w14:textId="2DE9014B" w:rsidR="00765949" w:rsidRPr="008F699F" w:rsidRDefault="00765949" w:rsidP="008F699F">
      <w:pPr>
        <w:pStyle w:val="NoSpacing"/>
        <w:rPr>
          <w:rFonts w:ascii="Arial" w:hAnsi="Arial" w:cs="Arial"/>
          <w:sz w:val="24"/>
          <w:szCs w:val="24"/>
        </w:rPr>
      </w:pPr>
      <w:r w:rsidRPr="008F699F">
        <w:rPr>
          <w:rFonts w:ascii="Arial" w:hAnsi="Arial" w:cs="Arial"/>
          <w:sz w:val="24"/>
          <w:szCs w:val="24"/>
        </w:rPr>
        <w:tab/>
        <w:t>(</w:t>
      </w:r>
      <w:r w:rsidR="00D8395D">
        <w:rPr>
          <w:rFonts w:ascii="Arial" w:hAnsi="Arial" w:cs="Arial"/>
          <w:sz w:val="24"/>
          <w:szCs w:val="24"/>
        </w:rPr>
        <w:t>3</w:t>
      </w:r>
      <w:r w:rsidRPr="008F699F">
        <w:rPr>
          <w:rFonts w:ascii="Arial" w:hAnsi="Arial" w:cs="Arial"/>
          <w:sz w:val="24"/>
          <w:szCs w:val="24"/>
        </w:rPr>
        <w:t>) EB-201</w:t>
      </w:r>
      <w:r w:rsidR="00D8395D">
        <w:rPr>
          <w:rFonts w:ascii="Arial" w:hAnsi="Arial" w:cs="Arial"/>
          <w:sz w:val="24"/>
          <w:szCs w:val="24"/>
        </w:rPr>
        <w:t>9-0072</w:t>
      </w:r>
      <w:r>
        <w:rPr>
          <w:rFonts w:ascii="Arial" w:hAnsi="Arial" w:cs="Arial"/>
          <w:sz w:val="24"/>
          <w:szCs w:val="24"/>
        </w:rPr>
        <w:t xml:space="preserve">, Decision and </w:t>
      </w:r>
      <w:r w:rsidR="005548F2">
        <w:rPr>
          <w:rFonts w:ascii="Arial" w:hAnsi="Arial" w:cs="Arial"/>
          <w:sz w:val="24"/>
          <w:szCs w:val="24"/>
        </w:rPr>
        <w:t xml:space="preserve">Rate </w:t>
      </w:r>
      <w:r>
        <w:rPr>
          <w:rFonts w:ascii="Arial" w:hAnsi="Arial" w:cs="Arial"/>
          <w:sz w:val="24"/>
          <w:szCs w:val="24"/>
        </w:rPr>
        <w:t>Order, Table 6.</w:t>
      </w:r>
      <w:r w:rsidR="00D8395D">
        <w:rPr>
          <w:rFonts w:ascii="Arial" w:hAnsi="Arial" w:cs="Arial"/>
          <w:sz w:val="24"/>
          <w:szCs w:val="24"/>
        </w:rPr>
        <w:t>4</w:t>
      </w:r>
      <w:r>
        <w:rPr>
          <w:rFonts w:ascii="Arial" w:hAnsi="Arial" w:cs="Arial"/>
          <w:sz w:val="24"/>
          <w:szCs w:val="24"/>
        </w:rPr>
        <w:t xml:space="preserve"> (20</w:t>
      </w:r>
      <w:r w:rsidR="00D8395D">
        <w:rPr>
          <w:rFonts w:ascii="Arial" w:hAnsi="Arial" w:cs="Arial"/>
          <w:sz w:val="24"/>
          <w:szCs w:val="24"/>
        </w:rPr>
        <w:t>20</w:t>
      </w:r>
      <w:r>
        <w:rPr>
          <w:rFonts w:ascii="Arial" w:hAnsi="Arial" w:cs="Arial"/>
          <w:sz w:val="24"/>
          <w:szCs w:val="24"/>
        </w:rPr>
        <w:t xml:space="preserve"> approvals)</w:t>
      </w:r>
    </w:p>
    <w:p w14:paraId="4033EFDF" w14:textId="77777777" w:rsidR="00765949" w:rsidRPr="008F699F" w:rsidRDefault="00765949" w:rsidP="008F699F">
      <w:pPr>
        <w:pStyle w:val="NoSpacing"/>
        <w:rPr>
          <w:rFonts w:ascii="Arial" w:hAnsi="Arial" w:cs="Arial"/>
          <w:sz w:val="24"/>
          <w:szCs w:val="24"/>
        </w:rPr>
      </w:pPr>
    </w:p>
    <w:p w14:paraId="4A99924F" w14:textId="77777777"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Preamble:</w:t>
      </w:r>
    </w:p>
    <w:p w14:paraId="66E3EA3E" w14:textId="0B71BF08" w:rsidR="0043272E" w:rsidRPr="00457E55" w:rsidRDefault="0043272E" w:rsidP="003B7F92">
      <w:pPr>
        <w:spacing w:line="276" w:lineRule="auto"/>
        <w:rPr>
          <w:rFonts w:ascii="Arial" w:hAnsi="Arial" w:cs="Arial"/>
          <w:sz w:val="24"/>
          <w:szCs w:val="24"/>
          <w:u w:val="single"/>
        </w:rPr>
      </w:pPr>
      <w:r w:rsidRPr="00457E55">
        <w:rPr>
          <w:rFonts w:ascii="Arial" w:hAnsi="Arial" w:cs="Arial"/>
          <w:sz w:val="24"/>
          <w:szCs w:val="24"/>
          <w:u w:val="single"/>
        </w:rPr>
        <w:t xml:space="preserve">2019 </w:t>
      </w:r>
      <w:r>
        <w:rPr>
          <w:rFonts w:ascii="Arial" w:hAnsi="Arial" w:cs="Arial"/>
          <w:sz w:val="24"/>
          <w:szCs w:val="24"/>
          <w:u w:val="single"/>
        </w:rPr>
        <w:t xml:space="preserve">Approved </w:t>
      </w:r>
      <w:r w:rsidRPr="00457E55">
        <w:rPr>
          <w:rFonts w:ascii="Arial" w:hAnsi="Arial" w:cs="Arial"/>
          <w:sz w:val="24"/>
          <w:szCs w:val="24"/>
          <w:u w:val="single"/>
        </w:rPr>
        <w:t>Balances</w:t>
      </w:r>
    </w:p>
    <w:p w14:paraId="60743A8F" w14:textId="1C2CA67F" w:rsidR="00AE5862" w:rsidRDefault="0050789A" w:rsidP="003B7F92">
      <w:pPr>
        <w:spacing w:line="276" w:lineRule="auto"/>
        <w:rPr>
          <w:rFonts w:ascii="Arial" w:hAnsi="Arial" w:cs="Arial"/>
          <w:sz w:val="24"/>
          <w:szCs w:val="24"/>
        </w:rPr>
      </w:pPr>
      <w:r>
        <w:rPr>
          <w:rFonts w:ascii="Arial" w:hAnsi="Arial" w:cs="Arial"/>
          <w:sz w:val="24"/>
          <w:szCs w:val="24"/>
        </w:rPr>
        <w:t>The 2021 IRM Rate Generator shows, f</w:t>
      </w:r>
      <w:r w:rsidR="005F6C53">
        <w:rPr>
          <w:rFonts w:ascii="Arial" w:hAnsi="Arial" w:cs="Arial"/>
          <w:sz w:val="24"/>
          <w:szCs w:val="24"/>
        </w:rPr>
        <w:t xml:space="preserve">or the 2019 rate year, </w:t>
      </w:r>
      <w:r>
        <w:rPr>
          <w:rFonts w:ascii="Arial" w:hAnsi="Arial" w:cs="Arial"/>
          <w:sz w:val="24"/>
          <w:szCs w:val="24"/>
        </w:rPr>
        <w:t>a</w:t>
      </w:r>
      <w:r w:rsidR="005F6C53">
        <w:rPr>
          <w:rFonts w:ascii="Arial" w:hAnsi="Arial" w:cs="Arial"/>
          <w:sz w:val="24"/>
          <w:szCs w:val="24"/>
        </w:rPr>
        <w:t xml:space="preserve"> </w:t>
      </w:r>
      <w:r w:rsidR="00A9419E">
        <w:rPr>
          <w:rFonts w:ascii="Arial" w:hAnsi="Arial" w:cs="Arial"/>
          <w:sz w:val="24"/>
          <w:szCs w:val="24"/>
        </w:rPr>
        <w:t xml:space="preserve">balance in </w:t>
      </w:r>
      <w:r w:rsidR="00C43EF3">
        <w:rPr>
          <w:rFonts w:ascii="Arial" w:hAnsi="Arial" w:cs="Arial"/>
          <w:sz w:val="24"/>
          <w:szCs w:val="24"/>
        </w:rPr>
        <w:t xml:space="preserve">Account </w:t>
      </w:r>
      <w:r w:rsidR="006D51CB">
        <w:rPr>
          <w:rFonts w:ascii="Arial" w:hAnsi="Arial" w:cs="Arial"/>
          <w:sz w:val="24"/>
          <w:szCs w:val="24"/>
        </w:rPr>
        <w:t>1595 (2019) principal and carrying charges</w:t>
      </w:r>
      <w:r w:rsidR="00D65499">
        <w:rPr>
          <w:rFonts w:ascii="Arial" w:hAnsi="Arial" w:cs="Arial"/>
          <w:sz w:val="24"/>
          <w:szCs w:val="24"/>
        </w:rPr>
        <w:t xml:space="preserve"> (cells BE36 and BJ36)</w:t>
      </w:r>
      <w:r w:rsidR="00C94AA6">
        <w:rPr>
          <w:rFonts w:ascii="Arial" w:hAnsi="Arial" w:cs="Arial"/>
          <w:sz w:val="24"/>
          <w:szCs w:val="24"/>
        </w:rPr>
        <w:t xml:space="preserve"> </w:t>
      </w:r>
      <w:r>
        <w:rPr>
          <w:rFonts w:ascii="Arial" w:hAnsi="Arial" w:cs="Arial"/>
          <w:sz w:val="24"/>
          <w:szCs w:val="24"/>
        </w:rPr>
        <w:t xml:space="preserve">which </w:t>
      </w:r>
      <w:r w:rsidR="006D51CB">
        <w:rPr>
          <w:rFonts w:ascii="Arial" w:hAnsi="Arial" w:cs="Arial"/>
          <w:sz w:val="24"/>
          <w:szCs w:val="24"/>
        </w:rPr>
        <w:t xml:space="preserve">do not match Table 6.2 of </w:t>
      </w:r>
      <w:r w:rsidR="00B9185C">
        <w:rPr>
          <w:rFonts w:ascii="Arial" w:hAnsi="Arial" w:cs="Arial"/>
          <w:sz w:val="24"/>
          <w:szCs w:val="24"/>
        </w:rPr>
        <w:t>Welland Hydro’s 2019 Decision</w:t>
      </w:r>
      <w:r w:rsidR="008A55E7">
        <w:rPr>
          <w:rFonts w:ascii="Arial" w:hAnsi="Arial" w:cs="Arial"/>
          <w:sz w:val="24"/>
          <w:szCs w:val="24"/>
        </w:rPr>
        <w:t xml:space="preserve"> and Rate Order</w:t>
      </w:r>
      <w:r>
        <w:rPr>
          <w:rFonts w:ascii="Arial" w:hAnsi="Arial" w:cs="Arial"/>
          <w:sz w:val="24"/>
          <w:szCs w:val="24"/>
        </w:rPr>
        <w:t xml:space="preserve"> or the 2020 Rate Generator</w:t>
      </w:r>
      <w:r w:rsidR="006D51CB">
        <w:rPr>
          <w:rFonts w:ascii="Arial" w:hAnsi="Arial" w:cs="Arial"/>
          <w:sz w:val="24"/>
          <w:szCs w:val="24"/>
        </w:rPr>
        <w:t xml:space="preserve">. </w:t>
      </w:r>
    </w:p>
    <w:p w14:paraId="7008DE84" w14:textId="74EBF9CC" w:rsidR="00176D89" w:rsidRDefault="002E1497" w:rsidP="003B7F92">
      <w:pPr>
        <w:spacing w:line="276" w:lineRule="auto"/>
        <w:rPr>
          <w:rFonts w:ascii="Arial" w:hAnsi="Arial" w:cs="Arial"/>
          <w:sz w:val="24"/>
          <w:szCs w:val="24"/>
        </w:rPr>
      </w:pPr>
      <w:r>
        <w:rPr>
          <w:rFonts w:ascii="Arial" w:hAnsi="Arial" w:cs="Arial"/>
          <w:sz w:val="24"/>
          <w:szCs w:val="24"/>
        </w:rPr>
        <w:t>Extract of 2019 balance</w:t>
      </w:r>
      <w:r w:rsidR="00A9419E">
        <w:rPr>
          <w:rFonts w:ascii="Arial" w:hAnsi="Arial" w:cs="Arial"/>
          <w:sz w:val="24"/>
          <w:szCs w:val="24"/>
        </w:rPr>
        <w:t>s</w:t>
      </w:r>
      <w:r w:rsidRPr="002E1497">
        <w:rPr>
          <w:rFonts w:ascii="Arial" w:hAnsi="Arial" w:cs="Arial"/>
          <w:sz w:val="24"/>
          <w:szCs w:val="24"/>
        </w:rPr>
        <w:t xml:space="preserve"> </w:t>
      </w:r>
      <w:r>
        <w:rPr>
          <w:rFonts w:ascii="Arial" w:hAnsi="Arial" w:cs="Arial"/>
          <w:sz w:val="24"/>
          <w:szCs w:val="24"/>
        </w:rPr>
        <w:t>in the 202</w:t>
      </w:r>
      <w:r w:rsidR="00D65499">
        <w:rPr>
          <w:rFonts w:ascii="Arial" w:hAnsi="Arial" w:cs="Arial"/>
          <w:sz w:val="24"/>
          <w:szCs w:val="24"/>
        </w:rPr>
        <w:t>1</w:t>
      </w:r>
      <w:r>
        <w:rPr>
          <w:rFonts w:ascii="Arial" w:hAnsi="Arial" w:cs="Arial"/>
          <w:sz w:val="24"/>
          <w:szCs w:val="24"/>
        </w:rPr>
        <w:t xml:space="preserve"> IRM Rate Generator:</w:t>
      </w:r>
    </w:p>
    <w:p w14:paraId="6B512E87" w14:textId="69AFDE6F" w:rsidR="00176D89" w:rsidRDefault="00D65499" w:rsidP="003B7F92">
      <w:pPr>
        <w:spacing w:line="276" w:lineRule="auto"/>
        <w:rPr>
          <w:rFonts w:ascii="Arial" w:hAnsi="Arial" w:cs="Arial"/>
          <w:sz w:val="24"/>
          <w:szCs w:val="24"/>
        </w:rPr>
      </w:pPr>
      <w:r w:rsidRPr="00D65499">
        <w:rPr>
          <w:noProof/>
        </w:rPr>
        <w:lastRenderedPageBreak/>
        <w:drawing>
          <wp:inline distT="0" distB="0" distL="0" distR="0" wp14:anchorId="1AF5424F" wp14:editId="731D809B">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3275"/>
                    </a:xfrm>
                    <a:prstGeom prst="rect">
                      <a:avLst/>
                    </a:prstGeom>
                  </pic:spPr>
                </pic:pic>
              </a:graphicData>
            </a:graphic>
          </wp:inline>
        </w:drawing>
      </w:r>
    </w:p>
    <w:p w14:paraId="0422CD2F" w14:textId="5E425961" w:rsidR="002E1497" w:rsidRPr="00D7419F" w:rsidRDefault="00262793" w:rsidP="003B7F92">
      <w:pPr>
        <w:spacing w:line="276" w:lineRule="auto"/>
        <w:rPr>
          <w:rFonts w:ascii="Arial" w:hAnsi="Arial" w:cs="Arial"/>
          <w:sz w:val="24"/>
          <w:szCs w:val="24"/>
        </w:rPr>
      </w:pPr>
      <w:r w:rsidRPr="00262793">
        <w:rPr>
          <w:noProof/>
        </w:rPr>
        <w:drawing>
          <wp:inline distT="0" distB="0" distL="0" distR="0" wp14:anchorId="326BD4ED" wp14:editId="5119DE12">
            <wp:extent cx="5943600" cy="3343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275"/>
                    </a:xfrm>
                    <a:prstGeom prst="rect">
                      <a:avLst/>
                    </a:prstGeom>
                  </pic:spPr>
                </pic:pic>
              </a:graphicData>
            </a:graphic>
          </wp:inline>
        </w:drawing>
      </w:r>
    </w:p>
    <w:p w14:paraId="7C446FE8" w14:textId="309E7146" w:rsidR="000B084B" w:rsidRDefault="000B084B" w:rsidP="003B7F92">
      <w:pPr>
        <w:spacing w:line="276" w:lineRule="auto"/>
        <w:rPr>
          <w:rFonts w:ascii="Arial" w:hAnsi="Arial" w:cs="Arial"/>
          <w:sz w:val="24"/>
          <w:szCs w:val="24"/>
        </w:rPr>
      </w:pPr>
      <w:r>
        <w:rPr>
          <w:rFonts w:ascii="Arial" w:hAnsi="Arial" w:cs="Arial"/>
          <w:sz w:val="24"/>
          <w:szCs w:val="24"/>
        </w:rPr>
        <w:t xml:space="preserve">Extract of Table 6.2 of </w:t>
      </w:r>
      <w:r w:rsidR="00B9185C">
        <w:rPr>
          <w:rFonts w:ascii="Arial" w:hAnsi="Arial" w:cs="Arial"/>
          <w:sz w:val="24"/>
          <w:szCs w:val="24"/>
        </w:rPr>
        <w:t>Welland Hydro’s</w:t>
      </w:r>
      <w:r>
        <w:rPr>
          <w:rFonts w:ascii="Arial" w:hAnsi="Arial" w:cs="Arial"/>
          <w:sz w:val="24"/>
          <w:szCs w:val="24"/>
        </w:rPr>
        <w:t xml:space="preserve"> 2019</w:t>
      </w:r>
      <w:r w:rsidR="00B9185C">
        <w:rPr>
          <w:rFonts w:ascii="Arial" w:hAnsi="Arial" w:cs="Arial"/>
          <w:sz w:val="24"/>
          <w:szCs w:val="24"/>
        </w:rPr>
        <w:t xml:space="preserve"> </w:t>
      </w:r>
      <w:r>
        <w:rPr>
          <w:rFonts w:ascii="Arial" w:hAnsi="Arial" w:cs="Arial"/>
          <w:sz w:val="24"/>
          <w:szCs w:val="24"/>
        </w:rPr>
        <w:t>Decision</w:t>
      </w:r>
      <w:r w:rsidR="008A55E7">
        <w:rPr>
          <w:rFonts w:ascii="Arial" w:hAnsi="Arial" w:cs="Arial"/>
          <w:sz w:val="24"/>
          <w:szCs w:val="24"/>
        </w:rPr>
        <w:t xml:space="preserve"> and Rate Order</w:t>
      </w:r>
      <w:r>
        <w:rPr>
          <w:rFonts w:ascii="Arial" w:hAnsi="Arial" w:cs="Arial"/>
          <w:sz w:val="24"/>
          <w:szCs w:val="24"/>
        </w:rPr>
        <w:t>:</w:t>
      </w:r>
    </w:p>
    <w:p w14:paraId="6BEFB2B4" w14:textId="64CD7CB4" w:rsidR="000B084B" w:rsidRDefault="00C43EF3" w:rsidP="003B7F92">
      <w:pPr>
        <w:spacing w:line="276" w:lineRule="auto"/>
        <w:rPr>
          <w:rFonts w:ascii="Arial" w:hAnsi="Arial" w:cs="Arial"/>
          <w:sz w:val="24"/>
          <w:szCs w:val="24"/>
        </w:rPr>
      </w:pPr>
      <w:r w:rsidRPr="00C43EF3">
        <w:rPr>
          <w:rFonts w:ascii="Arial" w:hAnsi="Arial" w:cs="Arial"/>
          <w:noProof/>
          <w:sz w:val="24"/>
          <w:szCs w:val="24"/>
        </w:rPr>
        <w:lastRenderedPageBreak/>
        <mc:AlternateContent>
          <mc:Choice Requires="wps">
            <w:drawing>
              <wp:anchor distT="45720" distB="45720" distL="114300" distR="114300" simplePos="0" relativeHeight="251661312" behindDoc="0" locked="0" layoutInCell="1" allowOverlap="1" wp14:anchorId="19471902" wp14:editId="5326E355">
                <wp:simplePos x="0" y="0"/>
                <wp:positionH relativeFrom="column">
                  <wp:posOffset>2468880</wp:posOffset>
                </wp:positionH>
                <wp:positionV relativeFrom="paragraph">
                  <wp:posOffset>3309620</wp:posOffset>
                </wp:positionV>
                <wp:extent cx="1722120" cy="391160"/>
                <wp:effectExtent l="19050" t="19050" r="1143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91160"/>
                        </a:xfrm>
                        <a:prstGeom prst="rect">
                          <a:avLst/>
                        </a:prstGeom>
                        <a:noFill/>
                        <a:ln w="28575">
                          <a:solidFill>
                            <a:srgbClr val="FF0000"/>
                          </a:solidFill>
                          <a:miter lim="800000"/>
                          <a:headEnd/>
                          <a:tailEnd/>
                        </a:ln>
                      </wps:spPr>
                      <wps:txbx>
                        <w:txbxContent>
                          <w:p w14:paraId="148ABAC2" w14:textId="77777777" w:rsidR="0031643C" w:rsidRDefault="0031643C" w:rsidP="00C43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71902" id="_x0000_t202" coordsize="21600,21600" o:spt="202" path="m,l,21600r21600,l21600,xe">
                <v:stroke joinstyle="miter"/>
                <v:path gradientshapeok="t" o:connecttype="rect"/>
              </v:shapetype>
              <v:shape id="Text Box 2" o:spid="_x0000_s1026" type="#_x0000_t202" style="position:absolute;margin-left:194.4pt;margin-top:260.6pt;width:135.6pt;height:3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" filled="f" strokecolor="red" strokeweight="2.25pt">
                <v:textbox>
                  <w:txbxContent>
                    <w:p w14:paraId="148ABAC2" w14:textId="77777777" w:rsidR="0031643C" w:rsidRDefault="0031643C" w:rsidP="00C43EF3"/>
                  </w:txbxContent>
                </v:textbox>
              </v:shape>
            </w:pict>
          </mc:Fallback>
        </mc:AlternateContent>
      </w:r>
      <w:r w:rsidR="00D7419F">
        <w:rPr>
          <w:noProof/>
        </w:rPr>
        <w:drawing>
          <wp:inline distT="0" distB="0" distL="0" distR="0" wp14:anchorId="0BADEBA9" wp14:editId="15EC14FD">
            <wp:extent cx="5140960" cy="3787614"/>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50712" cy="3794799"/>
                    </a:xfrm>
                    <a:prstGeom prst="rect">
                      <a:avLst/>
                    </a:prstGeom>
                  </pic:spPr>
                </pic:pic>
              </a:graphicData>
            </a:graphic>
          </wp:inline>
        </w:drawing>
      </w:r>
    </w:p>
    <w:p w14:paraId="53DE4241" w14:textId="77777777" w:rsidR="00C43EF3" w:rsidRPr="00187EBF" w:rsidRDefault="00C43EF3" w:rsidP="003B7F92">
      <w:pPr>
        <w:spacing w:line="276" w:lineRule="auto"/>
        <w:rPr>
          <w:rFonts w:ascii="Arial" w:hAnsi="Arial" w:cs="Arial"/>
          <w:sz w:val="24"/>
          <w:szCs w:val="24"/>
        </w:rPr>
      </w:pPr>
    </w:p>
    <w:p w14:paraId="7DBC9BA1" w14:textId="77777777" w:rsidR="00C31401" w:rsidRPr="00187EBF" w:rsidRDefault="00C31401" w:rsidP="00C31401">
      <w:pPr>
        <w:spacing w:line="276" w:lineRule="auto"/>
        <w:rPr>
          <w:rFonts w:ascii="Arial" w:hAnsi="Arial" w:cs="Arial"/>
          <w:sz w:val="24"/>
          <w:szCs w:val="24"/>
          <w:u w:val="single"/>
        </w:rPr>
      </w:pPr>
      <w:r w:rsidRPr="00187EBF">
        <w:rPr>
          <w:rFonts w:ascii="Arial" w:hAnsi="Arial" w:cs="Arial"/>
          <w:sz w:val="24"/>
          <w:szCs w:val="24"/>
          <w:u w:val="single"/>
        </w:rPr>
        <w:t>Questions:</w:t>
      </w:r>
    </w:p>
    <w:p w14:paraId="0DEE07CC" w14:textId="77777777" w:rsidR="00C94AA6" w:rsidRPr="00457E55" w:rsidRDefault="00C94AA6" w:rsidP="00457E55">
      <w:pPr>
        <w:pStyle w:val="ListParagraph"/>
      </w:pPr>
    </w:p>
    <w:p w14:paraId="76C8EDC0" w14:textId="49C2262D" w:rsidR="00C02918" w:rsidRPr="00B94ABF" w:rsidRDefault="003815A6" w:rsidP="00C02918">
      <w:pPr>
        <w:pStyle w:val="ListParagraph"/>
        <w:numPr>
          <w:ilvl w:val="0"/>
          <w:numId w:val="26"/>
        </w:numPr>
      </w:pPr>
      <w:r w:rsidRPr="003815A6">
        <w:rPr>
          <w:rFonts w:ascii="Arial" w:hAnsi="Arial" w:cs="Arial"/>
          <w:sz w:val="24"/>
          <w:szCs w:val="24"/>
        </w:rPr>
        <w:t>OEB staff notes that the LRAM debit balance of $90,263 has not been itemized on tab 3 of the rate generator for disposition in 2019.</w:t>
      </w:r>
      <w:r>
        <w:rPr>
          <w:rFonts w:ascii="Arial" w:hAnsi="Arial" w:cs="Arial"/>
          <w:sz w:val="24"/>
          <w:szCs w:val="24"/>
        </w:rPr>
        <w:t xml:space="preserve"> Please confirm that this amount has been transferred into Account 1595</w:t>
      </w:r>
      <w:r w:rsidR="00603BA5">
        <w:rPr>
          <w:rFonts w:ascii="Arial" w:hAnsi="Arial" w:cs="Arial"/>
          <w:sz w:val="24"/>
          <w:szCs w:val="24"/>
        </w:rPr>
        <w:t xml:space="preserve"> (2019). </w:t>
      </w:r>
    </w:p>
    <w:p w14:paraId="383F5B9F" w14:textId="71AAC357" w:rsidR="00B94ABF" w:rsidRDefault="00B94ABF" w:rsidP="00B94ABF">
      <w:pPr>
        <w:pStyle w:val="ListParagraph"/>
        <w:rPr>
          <w:rFonts w:ascii="Arial" w:hAnsi="Arial" w:cs="Arial"/>
          <w:sz w:val="24"/>
          <w:szCs w:val="24"/>
        </w:rPr>
      </w:pPr>
    </w:p>
    <w:p w14:paraId="3B09AEE7" w14:textId="2D63D09B" w:rsidR="00B94ABF" w:rsidRDefault="00B94ABF" w:rsidP="00227FA9">
      <w:pPr>
        <w:ind w:left="360"/>
        <w:rPr>
          <w:rFonts w:ascii="Arial" w:hAnsi="Arial" w:cs="Arial"/>
          <w:b/>
          <w:bCs/>
          <w:sz w:val="24"/>
          <w:szCs w:val="24"/>
          <w:u w:val="single"/>
        </w:rPr>
      </w:pPr>
      <w:r>
        <w:rPr>
          <w:rFonts w:ascii="Arial" w:hAnsi="Arial" w:cs="Arial"/>
          <w:b/>
          <w:bCs/>
          <w:sz w:val="24"/>
          <w:szCs w:val="24"/>
          <w:u w:val="single"/>
        </w:rPr>
        <w:t>Response:</w:t>
      </w:r>
    </w:p>
    <w:p w14:paraId="69469E73" w14:textId="1C7CC16E" w:rsidR="000346B8" w:rsidRDefault="000346B8" w:rsidP="00227FA9">
      <w:pPr>
        <w:ind w:left="360"/>
        <w:jc w:val="both"/>
        <w:rPr>
          <w:rFonts w:ascii="Arial" w:hAnsi="Arial" w:cs="Arial"/>
          <w:b/>
          <w:bCs/>
          <w:sz w:val="24"/>
          <w:szCs w:val="24"/>
        </w:rPr>
      </w:pPr>
      <w:r w:rsidRPr="00227FA9">
        <w:rPr>
          <w:rFonts w:ascii="Arial" w:hAnsi="Arial" w:cs="Arial"/>
          <w:b/>
          <w:bCs/>
          <w:sz w:val="24"/>
          <w:szCs w:val="24"/>
        </w:rPr>
        <w:t>Wella</w:t>
      </w:r>
      <w:r>
        <w:rPr>
          <w:rFonts w:ascii="Arial" w:hAnsi="Arial" w:cs="Arial"/>
          <w:b/>
          <w:bCs/>
          <w:sz w:val="24"/>
          <w:szCs w:val="24"/>
        </w:rPr>
        <w:t>nd Hydro confirms that the LRAM debit balance of $90,263 has been transferred into Account 1595 (2019).</w:t>
      </w:r>
    </w:p>
    <w:p w14:paraId="791568AE" w14:textId="77777777" w:rsidR="000346B8" w:rsidRPr="000346B8" w:rsidRDefault="000346B8" w:rsidP="00227FA9">
      <w:pPr>
        <w:pStyle w:val="ListParagraph"/>
        <w:jc w:val="both"/>
        <w:rPr>
          <w:rFonts w:ascii="Arial" w:hAnsi="Arial" w:cs="Arial"/>
          <w:b/>
          <w:bCs/>
          <w:sz w:val="24"/>
          <w:szCs w:val="24"/>
        </w:rPr>
      </w:pPr>
    </w:p>
    <w:p w14:paraId="536609B1" w14:textId="165EE12B" w:rsidR="00B94ABF" w:rsidRDefault="00B94ABF" w:rsidP="00227FA9">
      <w:pPr>
        <w:pStyle w:val="ListParagraph"/>
        <w:ind w:left="360"/>
        <w:jc w:val="both"/>
        <w:rPr>
          <w:rFonts w:ascii="Arial" w:hAnsi="Arial" w:cs="Arial"/>
          <w:b/>
          <w:bCs/>
          <w:sz w:val="24"/>
          <w:szCs w:val="24"/>
        </w:rPr>
      </w:pPr>
      <w:r>
        <w:rPr>
          <w:rFonts w:ascii="Arial" w:hAnsi="Arial" w:cs="Arial"/>
          <w:b/>
          <w:bCs/>
          <w:sz w:val="24"/>
          <w:szCs w:val="24"/>
        </w:rPr>
        <w:t xml:space="preserve">The description in Cell C43 on Tab 3 of the Rate Generator states to “only input amounts if applying for disposition of this account.”  Welland Hydro is not applying for disposition of an LRAMVA balance in this rate application and therefore did not populate this row on the Continuity Schedule.  </w:t>
      </w:r>
    </w:p>
    <w:p w14:paraId="50F0FB0C" w14:textId="52AD8D48" w:rsidR="00B94ABF" w:rsidRDefault="00B94ABF" w:rsidP="00227FA9">
      <w:pPr>
        <w:pStyle w:val="ListParagraph"/>
        <w:jc w:val="both"/>
        <w:rPr>
          <w:rFonts w:ascii="Arial" w:hAnsi="Arial" w:cs="Arial"/>
          <w:b/>
          <w:bCs/>
          <w:sz w:val="24"/>
          <w:szCs w:val="24"/>
        </w:rPr>
      </w:pPr>
    </w:p>
    <w:p w14:paraId="6711DC3E" w14:textId="16E8BCF2" w:rsidR="00B94ABF" w:rsidRDefault="00B94ABF" w:rsidP="00227FA9">
      <w:pPr>
        <w:pStyle w:val="ListParagraph"/>
        <w:ind w:left="360"/>
        <w:jc w:val="both"/>
        <w:rPr>
          <w:rFonts w:ascii="Arial" w:hAnsi="Arial" w:cs="Arial"/>
          <w:b/>
          <w:bCs/>
          <w:sz w:val="24"/>
          <w:szCs w:val="24"/>
        </w:rPr>
      </w:pPr>
      <w:r>
        <w:rPr>
          <w:rFonts w:ascii="Arial" w:hAnsi="Arial" w:cs="Arial"/>
          <w:b/>
          <w:bCs/>
          <w:sz w:val="24"/>
          <w:szCs w:val="24"/>
        </w:rPr>
        <w:t xml:space="preserve">In order to reconcile Welland Hydro’s 2019 Decision and Rate Order to the 2021 Rate Generator, the LRAMVA balance approved </w:t>
      </w:r>
      <w:r w:rsidR="00070F0D">
        <w:rPr>
          <w:rFonts w:ascii="Arial" w:hAnsi="Arial" w:cs="Arial"/>
          <w:b/>
          <w:bCs/>
          <w:sz w:val="24"/>
          <w:szCs w:val="24"/>
        </w:rPr>
        <w:t>in the 2019 Rate application m</w:t>
      </w:r>
      <w:r>
        <w:rPr>
          <w:rFonts w:ascii="Arial" w:hAnsi="Arial" w:cs="Arial"/>
          <w:b/>
          <w:bCs/>
          <w:sz w:val="24"/>
          <w:szCs w:val="24"/>
        </w:rPr>
        <w:t xml:space="preserve">ust be considered.  </w:t>
      </w:r>
    </w:p>
    <w:p w14:paraId="495736E6" w14:textId="31E20054" w:rsidR="003E4844" w:rsidRDefault="003E4844" w:rsidP="00B94ABF">
      <w:pPr>
        <w:pStyle w:val="ListParagraph"/>
        <w:rPr>
          <w:rFonts w:ascii="Arial" w:hAnsi="Arial" w:cs="Arial"/>
          <w:b/>
          <w:bCs/>
          <w:sz w:val="24"/>
          <w:szCs w:val="24"/>
        </w:rPr>
      </w:pPr>
    </w:p>
    <w:p w14:paraId="46336A23" w14:textId="627841D5" w:rsidR="003E4844" w:rsidRDefault="003E4844" w:rsidP="00227FA9">
      <w:pPr>
        <w:pStyle w:val="ListParagraph"/>
        <w:ind w:left="360"/>
        <w:rPr>
          <w:rFonts w:ascii="Arial" w:hAnsi="Arial" w:cs="Arial"/>
          <w:b/>
          <w:bCs/>
          <w:sz w:val="24"/>
          <w:szCs w:val="24"/>
        </w:rPr>
      </w:pPr>
      <w:r>
        <w:rPr>
          <w:rFonts w:ascii="Arial" w:hAnsi="Arial" w:cs="Arial"/>
          <w:b/>
          <w:bCs/>
          <w:sz w:val="24"/>
          <w:szCs w:val="24"/>
        </w:rPr>
        <w:t>Below is an extract of Table 7.1 of Welland Hydro’s 2019 Decision and Rate Order:</w:t>
      </w:r>
    </w:p>
    <w:p w14:paraId="7441D2CF" w14:textId="1C4149EF" w:rsidR="00B94ABF" w:rsidRDefault="00B94ABF" w:rsidP="00B94ABF">
      <w:pPr>
        <w:pStyle w:val="ListParagraph"/>
        <w:rPr>
          <w:rFonts w:ascii="Arial" w:hAnsi="Arial" w:cs="Arial"/>
          <w:b/>
          <w:bCs/>
          <w:sz w:val="24"/>
          <w:szCs w:val="24"/>
        </w:rPr>
      </w:pPr>
    </w:p>
    <w:p w14:paraId="0FBE1DAF" w14:textId="3A82776C" w:rsidR="00B94ABF" w:rsidRDefault="00B94ABF" w:rsidP="00227FA9">
      <w:pPr>
        <w:pStyle w:val="ListParagraph"/>
        <w:ind w:left="360"/>
        <w:rPr>
          <w:rFonts w:ascii="Arial" w:hAnsi="Arial" w:cs="Arial"/>
          <w:b/>
          <w:bCs/>
          <w:sz w:val="24"/>
          <w:szCs w:val="24"/>
        </w:rPr>
      </w:pPr>
      <w:r w:rsidRPr="00B94ABF">
        <w:rPr>
          <w:rFonts w:ascii="Arial" w:hAnsi="Arial" w:cs="Arial"/>
          <w:b/>
          <w:bCs/>
          <w:noProof/>
          <w:sz w:val="24"/>
          <w:szCs w:val="24"/>
        </w:rPr>
        <w:drawing>
          <wp:inline distT="0" distB="0" distL="0" distR="0" wp14:anchorId="1077D506" wp14:editId="4AF9B4A7">
            <wp:extent cx="5514975" cy="125383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6028" cy="1258618"/>
                    </a:xfrm>
                    <a:prstGeom prst="rect">
                      <a:avLst/>
                    </a:prstGeom>
                  </pic:spPr>
                </pic:pic>
              </a:graphicData>
            </a:graphic>
          </wp:inline>
        </w:drawing>
      </w:r>
    </w:p>
    <w:p w14:paraId="3A2C4B6B" w14:textId="505611E6" w:rsidR="003E4844" w:rsidRDefault="003E4844" w:rsidP="00B94ABF">
      <w:pPr>
        <w:pStyle w:val="ListParagraph"/>
        <w:rPr>
          <w:rFonts w:ascii="Arial" w:hAnsi="Arial" w:cs="Arial"/>
          <w:b/>
          <w:bCs/>
          <w:sz w:val="24"/>
          <w:szCs w:val="24"/>
        </w:rPr>
      </w:pPr>
    </w:p>
    <w:p w14:paraId="10F99014" w14:textId="3B876C8C" w:rsidR="003E4844" w:rsidRDefault="003E4844" w:rsidP="00227FA9">
      <w:pPr>
        <w:pStyle w:val="ListParagraph"/>
        <w:ind w:left="360"/>
        <w:jc w:val="both"/>
        <w:rPr>
          <w:rFonts w:ascii="Arial" w:hAnsi="Arial" w:cs="Arial"/>
          <w:b/>
          <w:bCs/>
          <w:sz w:val="24"/>
          <w:szCs w:val="24"/>
        </w:rPr>
      </w:pPr>
      <w:r>
        <w:rPr>
          <w:rFonts w:ascii="Arial" w:hAnsi="Arial" w:cs="Arial"/>
          <w:b/>
          <w:bCs/>
          <w:sz w:val="24"/>
          <w:szCs w:val="24"/>
        </w:rPr>
        <w:t>In the reconciliation below</w:t>
      </w:r>
      <w:r w:rsidR="00E45247">
        <w:rPr>
          <w:rFonts w:ascii="Arial" w:hAnsi="Arial" w:cs="Arial"/>
          <w:b/>
          <w:bCs/>
          <w:sz w:val="24"/>
          <w:szCs w:val="24"/>
        </w:rPr>
        <w:t>,</w:t>
      </w:r>
      <w:r>
        <w:rPr>
          <w:rFonts w:ascii="Arial" w:hAnsi="Arial" w:cs="Arial"/>
          <w:b/>
          <w:bCs/>
          <w:sz w:val="24"/>
          <w:szCs w:val="24"/>
        </w:rPr>
        <w:t xml:space="preserve"> it can be seen that when the Group 1 </w:t>
      </w:r>
      <w:r w:rsidR="005E5383">
        <w:rPr>
          <w:rFonts w:ascii="Arial" w:hAnsi="Arial" w:cs="Arial"/>
          <w:b/>
          <w:bCs/>
          <w:sz w:val="24"/>
          <w:szCs w:val="24"/>
        </w:rPr>
        <w:t>a</w:t>
      </w:r>
      <w:r>
        <w:rPr>
          <w:rFonts w:ascii="Arial" w:hAnsi="Arial" w:cs="Arial"/>
          <w:b/>
          <w:bCs/>
          <w:sz w:val="24"/>
          <w:szCs w:val="24"/>
        </w:rPr>
        <w:t>pproved balances and LRAMVA approved balances are added together, the amount is equal to what was reported in cells BE36 and BJ36 on Tab 3 of the 2021 Rate Generator</w:t>
      </w:r>
      <w:r w:rsidR="00E45247">
        <w:rPr>
          <w:rFonts w:ascii="Arial" w:hAnsi="Arial" w:cs="Arial"/>
          <w:b/>
          <w:bCs/>
          <w:sz w:val="24"/>
          <w:szCs w:val="24"/>
        </w:rPr>
        <w:t xml:space="preserve"> as </w:t>
      </w:r>
      <w:r w:rsidR="005E5383">
        <w:rPr>
          <w:rFonts w:ascii="Arial" w:hAnsi="Arial" w:cs="Arial"/>
          <w:b/>
          <w:bCs/>
          <w:sz w:val="24"/>
          <w:szCs w:val="24"/>
        </w:rPr>
        <w:t>a</w:t>
      </w:r>
      <w:r w:rsidR="00E45247">
        <w:rPr>
          <w:rFonts w:ascii="Arial" w:hAnsi="Arial" w:cs="Arial"/>
          <w:b/>
          <w:bCs/>
          <w:sz w:val="24"/>
          <w:szCs w:val="24"/>
        </w:rPr>
        <w:t>pproved Account 1595 (2019) dispositions during 2019</w:t>
      </w:r>
      <w:r>
        <w:rPr>
          <w:rFonts w:ascii="Arial" w:hAnsi="Arial" w:cs="Arial"/>
          <w:b/>
          <w:bCs/>
          <w:sz w:val="24"/>
          <w:szCs w:val="24"/>
        </w:rPr>
        <w:t xml:space="preserve">. </w:t>
      </w:r>
    </w:p>
    <w:p w14:paraId="4B4DF95F" w14:textId="77777777" w:rsidR="003E4844" w:rsidRDefault="003E4844" w:rsidP="00227FA9">
      <w:pPr>
        <w:pStyle w:val="ListParagraph"/>
        <w:jc w:val="both"/>
        <w:rPr>
          <w:rFonts w:ascii="Arial" w:hAnsi="Arial" w:cs="Arial"/>
          <w:b/>
          <w:bCs/>
          <w:sz w:val="24"/>
          <w:szCs w:val="24"/>
        </w:rPr>
      </w:pPr>
    </w:p>
    <w:p w14:paraId="59214518" w14:textId="472E9CB6" w:rsidR="00B94ABF" w:rsidRPr="00B94ABF" w:rsidRDefault="00E45247" w:rsidP="00227FA9">
      <w:pPr>
        <w:pStyle w:val="ListParagraph"/>
        <w:ind w:left="360"/>
        <w:rPr>
          <w:rFonts w:ascii="Arial" w:hAnsi="Arial" w:cs="Arial"/>
          <w:b/>
          <w:bCs/>
          <w:sz w:val="24"/>
          <w:szCs w:val="24"/>
        </w:rPr>
      </w:pPr>
      <w:r w:rsidRPr="00E45247">
        <w:rPr>
          <w:noProof/>
        </w:rPr>
        <w:drawing>
          <wp:inline distT="0" distB="0" distL="0" distR="0" wp14:anchorId="12EE614F" wp14:editId="7A98ED45">
            <wp:extent cx="5364503" cy="1812898"/>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9670" cy="1818024"/>
                    </a:xfrm>
                    <a:prstGeom prst="rect">
                      <a:avLst/>
                    </a:prstGeom>
                    <a:noFill/>
                    <a:ln>
                      <a:noFill/>
                    </a:ln>
                  </pic:spPr>
                </pic:pic>
              </a:graphicData>
            </a:graphic>
          </wp:inline>
        </w:drawing>
      </w:r>
    </w:p>
    <w:p w14:paraId="7283AF19" w14:textId="77777777" w:rsidR="00B94ABF" w:rsidRPr="00B94ABF" w:rsidRDefault="00B94ABF" w:rsidP="00B94ABF">
      <w:pPr>
        <w:pStyle w:val="ListParagraph"/>
        <w:rPr>
          <w:rFonts w:ascii="Arial" w:hAnsi="Arial" w:cs="Arial"/>
          <w:b/>
          <w:bCs/>
          <w:sz w:val="24"/>
          <w:szCs w:val="24"/>
        </w:rPr>
      </w:pPr>
    </w:p>
    <w:p w14:paraId="3B85580D" w14:textId="2628956C" w:rsidR="003E4844" w:rsidRDefault="00071682" w:rsidP="003E4844">
      <w:pPr>
        <w:pStyle w:val="ListParagraph"/>
        <w:numPr>
          <w:ilvl w:val="0"/>
          <w:numId w:val="26"/>
        </w:numPr>
      </w:pPr>
      <w:r w:rsidRPr="00C02918">
        <w:rPr>
          <w:rFonts w:ascii="Arial" w:hAnsi="Arial" w:cs="Arial"/>
          <w:sz w:val="24"/>
          <w:szCs w:val="24"/>
        </w:rPr>
        <w:t>Please explain any remaining difference in Account 1595 (2019).</w:t>
      </w:r>
      <w:r w:rsidRPr="003815A6">
        <w:t xml:space="preserve"> </w:t>
      </w:r>
    </w:p>
    <w:p w14:paraId="7DF90A27" w14:textId="77777777" w:rsidR="006D347F" w:rsidRDefault="006D347F" w:rsidP="006D347F">
      <w:pPr>
        <w:pStyle w:val="ListParagraph"/>
      </w:pPr>
    </w:p>
    <w:p w14:paraId="600B6024" w14:textId="28D16C0F" w:rsidR="003E4844" w:rsidRPr="000346B8" w:rsidRDefault="003E4844" w:rsidP="00227FA9">
      <w:pPr>
        <w:ind w:left="360"/>
        <w:rPr>
          <w:rFonts w:ascii="Arial" w:hAnsi="Arial" w:cs="Arial"/>
          <w:b/>
          <w:bCs/>
          <w:sz w:val="24"/>
          <w:szCs w:val="24"/>
          <w:u w:val="single"/>
        </w:rPr>
      </w:pPr>
      <w:r w:rsidRPr="000346B8">
        <w:rPr>
          <w:rFonts w:ascii="Arial" w:hAnsi="Arial" w:cs="Arial"/>
          <w:b/>
          <w:bCs/>
          <w:sz w:val="24"/>
          <w:szCs w:val="24"/>
          <w:u w:val="single"/>
        </w:rPr>
        <w:t>Response</w:t>
      </w:r>
      <w:r w:rsidR="000346B8">
        <w:rPr>
          <w:rFonts w:ascii="Arial" w:hAnsi="Arial" w:cs="Arial"/>
          <w:b/>
          <w:bCs/>
          <w:sz w:val="24"/>
          <w:szCs w:val="24"/>
          <w:u w:val="single"/>
        </w:rPr>
        <w:t>:</w:t>
      </w:r>
    </w:p>
    <w:p w14:paraId="1D63E02F" w14:textId="72276937" w:rsidR="00B94ABF" w:rsidRPr="003815A6" w:rsidRDefault="000346B8" w:rsidP="00227FA9">
      <w:pPr>
        <w:ind w:left="360"/>
      </w:pPr>
      <w:r w:rsidRPr="00227FA9">
        <w:rPr>
          <w:rFonts w:ascii="Arial" w:hAnsi="Arial" w:cs="Arial"/>
          <w:b/>
          <w:bCs/>
          <w:sz w:val="24"/>
          <w:szCs w:val="24"/>
        </w:rPr>
        <w:t xml:space="preserve">There are </w:t>
      </w:r>
      <w:r>
        <w:rPr>
          <w:rFonts w:ascii="Arial" w:hAnsi="Arial" w:cs="Arial"/>
          <w:b/>
          <w:bCs/>
          <w:sz w:val="24"/>
          <w:szCs w:val="24"/>
        </w:rPr>
        <w:t>no remaining differences in Account 1595 (2019)</w:t>
      </w:r>
      <w:r w:rsidR="00227FA9">
        <w:rPr>
          <w:rFonts w:ascii="Arial" w:hAnsi="Arial" w:cs="Arial"/>
          <w:b/>
          <w:bCs/>
          <w:sz w:val="24"/>
          <w:szCs w:val="24"/>
        </w:rPr>
        <w:t>.</w:t>
      </w:r>
    </w:p>
    <w:p w14:paraId="1225BB47" w14:textId="77777777" w:rsidR="0057010A" w:rsidRPr="003B7F92" w:rsidRDefault="0057010A" w:rsidP="003B7F92">
      <w:pPr>
        <w:spacing w:line="276" w:lineRule="auto"/>
        <w:rPr>
          <w:rFonts w:ascii="Arial" w:hAnsi="Arial" w:cs="Arial"/>
          <w:sz w:val="24"/>
          <w:szCs w:val="24"/>
        </w:rPr>
      </w:pPr>
    </w:p>
    <w:p w14:paraId="777F3FD1" w14:textId="06C65AA3" w:rsidR="00D8395D" w:rsidRDefault="00D8395D" w:rsidP="00D8395D">
      <w:pPr>
        <w:pStyle w:val="Heading2"/>
        <w:spacing w:line="276" w:lineRule="auto"/>
        <w:rPr>
          <w:rFonts w:cs="Arial"/>
          <w:szCs w:val="24"/>
        </w:rPr>
      </w:pPr>
      <w:r w:rsidRPr="003B7F92">
        <w:rPr>
          <w:rFonts w:cs="Arial"/>
          <w:szCs w:val="24"/>
        </w:rPr>
        <w:t>Staff-</w:t>
      </w:r>
      <w:r w:rsidR="00071682">
        <w:rPr>
          <w:rFonts w:cs="Arial"/>
          <w:szCs w:val="24"/>
        </w:rPr>
        <w:t>2</w:t>
      </w:r>
    </w:p>
    <w:p w14:paraId="088B0A0E" w14:textId="2391BC96" w:rsidR="00517455" w:rsidRPr="00517455" w:rsidRDefault="00517455" w:rsidP="00517455">
      <w:pPr>
        <w:rPr>
          <w:rFonts w:ascii="Arial" w:hAnsi="Arial" w:cs="Arial"/>
          <w:sz w:val="24"/>
          <w:szCs w:val="24"/>
        </w:rPr>
      </w:pPr>
      <w:r w:rsidRPr="00517455">
        <w:rPr>
          <w:rFonts w:ascii="Arial" w:hAnsi="Arial" w:cs="Arial"/>
          <w:sz w:val="24"/>
          <w:szCs w:val="24"/>
        </w:rPr>
        <w:t>Ref:</w:t>
      </w:r>
      <w:r>
        <w:rPr>
          <w:rFonts w:ascii="Arial" w:hAnsi="Arial" w:cs="Arial"/>
          <w:sz w:val="24"/>
          <w:szCs w:val="24"/>
        </w:rPr>
        <w:tab/>
        <w:t xml:space="preserve">2021 Rate Generator, Tab 4 (verification of billing determinants) </w:t>
      </w:r>
      <w:r w:rsidRPr="00517455">
        <w:rPr>
          <w:rFonts w:ascii="Arial" w:hAnsi="Arial" w:cs="Arial"/>
          <w:sz w:val="24"/>
          <w:szCs w:val="24"/>
        </w:rPr>
        <w:t xml:space="preserve"> </w:t>
      </w:r>
    </w:p>
    <w:p w14:paraId="25C561C0" w14:textId="77330231" w:rsidR="004F113C" w:rsidRDefault="004F113C" w:rsidP="00AC2D23">
      <w:pPr>
        <w:rPr>
          <w:rFonts w:ascii="Arial" w:hAnsi="Arial" w:cs="Arial"/>
          <w:sz w:val="24"/>
          <w:szCs w:val="24"/>
        </w:rPr>
      </w:pPr>
      <w:r>
        <w:rPr>
          <w:rFonts w:ascii="Arial" w:hAnsi="Arial" w:cs="Arial"/>
          <w:sz w:val="24"/>
          <w:szCs w:val="24"/>
        </w:rPr>
        <w:t xml:space="preserve">OEB staff notes that cell J4 on Tab 4 of the Rate Generator has not been checked. </w:t>
      </w:r>
    </w:p>
    <w:p w14:paraId="5E90DA7B" w14:textId="62809180" w:rsidR="004F113C" w:rsidRDefault="004F113C" w:rsidP="00C02918">
      <w:pPr>
        <w:pStyle w:val="ListParagraph"/>
        <w:numPr>
          <w:ilvl w:val="0"/>
          <w:numId w:val="34"/>
        </w:numPr>
        <w:rPr>
          <w:rFonts w:ascii="Arial" w:hAnsi="Arial" w:cs="Arial"/>
          <w:sz w:val="24"/>
          <w:szCs w:val="24"/>
        </w:rPr>
      </w:pPr>
      <w:r>
        <w:rPr>
          <w:rFonts w:ascii="Arial" w:hAnsi="Arial" w:cs="Arial"/>
          <w:sz w:val="24"/>
          <w:szCs w:val="24"/>
        </w:rPr>
        <w:t xml:space="preserve">Please verify the accuracy of the billing </w:t>
      </w:r>
      <w:r w:rsidR="00793E34">
        <w:rPr>
          <w:rFonts w:ascii="Arial" w:hAnsi="Arial" w:cs="Arial"/>
          <w:sz w:val="24"/>
          <w:szCs w:val="24"/>
        </w:rPr>
        <w:t>determinants</w:t>
      </w:r>
      <w:r>
        <w:rPr>
          <w:rFonts w:ascii="Arial" w:hAnsi="Arial" w:cs="Arial"/>
          <w:sz w:val="24"/>
          <w:szCs w:val="24"/>
        </w:rPr>
        <w:t xml:space="preserve">. </w:t>
      </w:r>
    </w:p>
    <w:p w14:paraId="795ACD3D" w14:textId="2B809306" w:rsidR="00227FA9" w:rsidRDefault="00227FA9" w:rsidP="00227FA9">
      <w:pPr>
        <w:pStyle w:val="ListParagraph"/>
        <w:rPr>
          <w:rFonts w:ascii="Arial" w:hAnsi="Arial" w:cs="Arial"/>
          <w:sz w:val="24"/>
          <w:szCs w:val="24"/>
        </w:rPr>
      </w:pPr>
    </w:p>
    <w:p w14:paraId="7E951C60" w14:textId="77777777" w:rsidR="00227FA9" w:rsidRDefault="00227FA9" w:rsidP="00227FA9">
      <w:pPr>
        <w:pStyle w:val="ListParagraph"/>
        <w:rPr>
          <w:rFonts w:ascii="Arial" w:hAnsi="Arial" w:cs="Arial"/>
          <w:sz w:val="24"/>
          <w:szCs w:val="24"/>
        </w:rPr>
      </w:pPr>
    </w:p>
    <w:p w14:paraId="19E12DC5" w14:textId="6B36EFC4" w:rsidR="00E74D0C" w:rsidRDefault="00E74D0C" w:rsidP="00227FA9">
      <w:pPr>
        <w:ind w:left="360"/>
        <w:jc w:val="both"/>
        <w:rPr>
          <w:rFonts w:ascii="Arial" w:hAnsi="Arial" w:cs="Arial"/>
          <w:b/>
          <w:bCs/>
          <w:sz w:val="24"/>
          <w:szCs w:val="24"/>
          <w:u w:val="single"/>
        </w:rPr>
      </w:pPr>
      <w:r>
        <w:rPr>
          <w:rFonts w:ascii="Arial" w:hAnsi="Arial" w:cs="Arial"/>
          <w:b/>
          <w:bCs/>
          <w:sz w:val="24"/>
          <w:szCs w:val="24"/>
          <w:u w:val="single"/>
        </w:rPr>
        <w:lastRenderedPageBreak/>
        <w:t>Response:</w:t>
      </w:r>
    </w:p>
    <w:p w14:paraId="35992CB6" w14:textId="396E8EDA" w:rsidR="00E74D0C" w:rsidRDefault="00E74D0C" w:rsidP="00227FA9">
      <w:pPr>
        <w:ind w:left="360"/>
        <w:jc w:val="both"/>
        <w:rPr>
          <w:rFonts w:ascii="Arial" w:hAnsi="Arial" w:cs="Arial"/>
          <w:b/>
          <w:bCs/>
          <w:sz w:val="24"/>
          <w:szCs w:val="24"/>
        </w:rPr>
      </w:pPr>
      <w:r>
        <w:rPr>
          <w:rFonts w:ascii="Arial" w:hAnsi="Arial" w:cs="Arial"/>
          <w:b/>
          <w:bCs/>
          <w:sz w:val="24"/>
          <w:szCs w:val="24"/>
        </w:rPr>
        <w:t xml:space="preserve">Welland Hydro has verified that the billing determinants on Tab 4 of the Rate Generator are accurate and that the box on Cell J4, Tab 4 was omitted in error. </w:t>
      </w:r>
    </w:p>
    <w:p w14:paraId="616B2453" w14:textId="77777777" w:rsidR="00227FA9" w:rsidRPr="00E74D0C" w:rsidRDefault="00227FA9" w:rsidP="00227FA9">
      <w:pPr>
        <w:ind w:left="360"/>
        <w:jc w:val="both"/>
        <w:rPr>
          <w:rFonts w:ascii="Arial" w:hAnsi="Arial" w:cs="Arial"/>
          <w:b/>
          <w:bCs/>
          <w:sz w:val="24"/>
          <w:szCs w:val="24"/>
        </w:rPr>
      </w:pPr>
    </w:p>
    <w:p w14:paraId="0B79C6F0" w14:textId="26B6C0D7" w:rsidR="004F113C" w:rsidRDefault="004F113C" w:rsidP="00C02918">
      <w:pPr>
        <w:pStyle w:val="ListParagraph"/>
        <w:numPr>
          <w:ilvl w:val="0"/>
          <w:numId w:val="34"/>
        </w:numPr>
        <w:rPr>
          <w:rFonts w:ascii="Arial" w:hAnsi="Arial" w:cs="Arial"/>
          <w:sz w:val="24"/>
          <w:szCs w:val="24"/>
        </w:rPr>
      </w:pPr>
      <w:r>
        <w:rPr>
          <w:rFonts w:ascii="Arial" w:hAnsi="Arial" w:cs="Arial"/>
          <w:sz w:val="24"/>
          <w:szCs w:val="24"/>
        </w:rPr>
        <w:t xml:space="preserve">If </w:t>
      </w:r>
      <w:r w:rsidR="00FD5F72">
        <w:rPr>
          <w:rFonts w:ascii="Arial" w:hAnsi="Arial" w:cs="Arial"/>
          <w:sz w:val="24"/>
          <w:szCs w:val="24"/>
        </w:rPr>
        <w:t>any of the billing determinants are</w:t>
      </w:r>
      <w:r>
        <w:rPr>
          <w:rFonts w:ascii="Arial" w:hAnsi="Arial" w:cs="Arial"/>
          <w:sz w:val="24"/>
          <w:szCs w:val="24"/>
        </w:rPr>
        <w:t xml:space="preserve"> no</w:t>
      </w:r>
      <w:r w:rsidR="00FD5F72">
        <w:rPr>
          <w:rFonts w:ascii="Arial" w:hAnsi="Arial" w:cs="Arial"/>
          <w:sz w:val="24"/>
          <w:szCs w:val="24"/>
        </w:rPr>
        <w:t>t</w:t>
      </w:r>
      <w:r>
        <w:rPr>
          <w:rFonts w:ascii="Arial" w:hAnsi="Arial" w:cs="Arial"/>
          <w:sz w:val="24"/>
          <w:szCs w:val="24"/>
        </w:rPr>
        <w:t xml:space="preserve"> accurate, please provide an explanation as to the variances. </w:t>
      </w:r>
    </w:p>
    <w:p w14:paraId="4C10CCB3" w14:textId="7F0FCF43" w:rsidR="00F53868" w:rsidRDefault="00F53868" w:rsidP="00F53868">
      <w:pPr>
        <w:ind w:left="360"/>
        <w:rPr>
          <w:rFonts w:ascii="Arial" w:hAnsi="Arial" w:cs="Arial"/>
          <w:b/>
          <w:bCs/>
          <w:sz w:val="24"/>
          <w:szCs w:val="24"/>
          <w:u w:val="single"/>
        </w:rPr>
      </w:pPr>
      <w:r>
        <w:rPr>
          <w:rFonts w:ascii="Arial" w:hAnsi="Arial" w:cs="Arial"/>
          <w:b/>
          <w:bCs/>
          <w:sz w:val="24"/>
          <w:szCs w:val="24"/>
          <w:u w:val="single"/>
        </w:rPr>
        <w:t>Response:</w:t>
      </w:r>
    </w:p>
    <w:p w14:paraId="1C8F3F6B" w14:textId="651D4CAC" w:rsidR="00F53868" w:rsidRPr="00F53868" w:rsidRDefault="00F53868" w:rsidP="00F53868">
      <w:pPr>
        <w:ind w:left="360"/>
        <w:rPr>
          <w:rFonts w:ascii="Arial" w:hAnsi="Arial" w:cs="Arial"/>
          <w:b/>
          <w:bCs/>
          <w:sz w:val="24"/>
          <w:szCs w:val="24"/>
        </w:rPr>
      </w:pPr>
      <w:r>
        <w:rPr>
          <w:rFonts w:ascii="Arial" w:hAnsi="Arial" w:cs="Arial"/>
          <w:b/>
          <w:bCs/>
          <w:sz w:val="24"/>
          <w:szCs w:val="24"/>
        </w:rPr>
        <w:t>All billing determinants are accurate.</w:t>
      </w:r>
    </w:p>
    <w:p w14:paraId="5D6DACCF" w14:textId="7E26A659" w:rsidR="004F113C" w:rsidRDefault="004F113C" w:rsidP="004F113C">
      <w:pPr>
        <w:rPr>
          <w:rFonts w:ascii="Arial" w:hAnsi="Arial" w:cs="Arial"/>
          <w:sz w:val="24"/>
          <w:szCs w:val="24"/>
        </w:rPr>
      </w:pPr>
    </w:p>
    <w:p w14:paraId="0609BF15" w14:textId="1839B714" w:rsidR="00517455" w:rsidRDefault="004F113C" w:rsidP="00AC2D23">
      <w:pPr>
        <w:rPr>
          <w:rFonts w:ascii="Arial" w:hAnsi="Arial" w:cs="Arial"/>
          <w:b/>
          <w:bCs/>
          <w:sz w:val="24"/>
          <w:szCs w:val="24"/>
        </w:rPr>
      </w:pPr>
      <w:bookmarkStart w:id="0" w:name="_Hlk60914683"/>
      <w:r w:rsidRPr="004F113C">
        <w:rPr>
          <w:rFonts w:ascii="Arial" w:hAnsi="Arial" w:cs="Arial"/>
          <w:b/>
          <w:bCs/>
          <w:sz w:val="24"/>
          <w:szCs w:val="24"/>
        </w:rPr>
        <w:t>Staff-</w:t>
      </w:r>
      <w:r w:rsidR="00071682">
        <w:rPr>
          <w:rFonts w:ascii="Arial" w:hAnsi="Arial" w:cs="Arial"/>
          <w:b/>
          <w:bCs/>
          <w:sz w:val="24"/>
          <w:szCs w:val="24"/>
        </w:rPr>
        <w:t>3</w:t>
      </w:r>
    </w:p>
    <w:p w14:paraId="36103A29" w14:textId="7C347B69" w:rsidR="00FA15D9" w:rsidRDefault="004F113C" w:rsidP="00FA15D9">
      <w:pPr>
        <w:pStyle w:val="NoSpacing"/>
        <w:ind w:left="720" w:hanging="720"/>
        <w:rPr>
          <w:rFonts w:ascii="Arial" w:hAnsi="Arial" w:cs="Arial"/>
          <w:sz w:val="24"/>
          <w:szCs w:val="24"/>
        </w:rPr>
      </w:pPr>
      <w:r>
        <w:rPr>
          <w:rFonts w:ascii="Arial" w:hAnsi="Arial" w:cs="Arial"/>
          <w:sz w:val="24"/>
          <w:szCs w:val="24"/>
        </w:rPr>
        <w:t>Ref:</w:t>
      </w:r>
      <w:r w:rsidR="00060F78">
        <w:rPr>
          <w:rFonts w:ascii="Arial" w:hAnsi="Arial" w:cs="Arial"/>
          <w:sz w:val="24"/>
          <w:szCs w:val="24"/>
        </w:rPr>
        <w:t xml:space="preserve"> </w:t>
      </w:r>
      <w:r w:rsidR="00FA15D9">
        <w:rPr>
          <w:rFonts w:ascii="Arial" w:hAnsi="Arial" w:cs="Arial"/>
          <w:sz w:val="24"/>
          <w:szCs w:val="24"/>
        </w:rPr>
        <w:tab/>
        <w:t xml:space="preserve">(1) </w:t>
      </w:r>
      <w:r w:rsidR="008E7591">
        <w:rPr>
          <w:rFonts w:ascii="Arial" w:hAnsi="Arial" w:cs="Arial"/>
          <w:sz w:val="24"/>
          <w:szCs w:val="24"/>
        </w:rPr>
        <w:t xml:space="preserve">2021 Rate Generator, </w:t>
      </w:r>
      <w:r w:rsidR="00FA15D9">
        <w:rPr>
          <w:rFonts w:ascii="Arial" w:hAnsi="Arial" w:cs="Arial"/>
          <w:sz w:val="24"/>
          <w:szCs w:val="24"/>
        </w:rPr>
        <w:t>Tab 16</w:t>
      </w:r>
      <w:r w:rsidR="008E7591" w:rsidRPr="00517455">
        <w:rPr>
          <w:rFonts w:ascii="Arial" w:hAnsi="Arial" w:cs="Arial"/>
          <w:sz w:val="24"/>
          <w:szCs w:val="24"/>
        </w:rPr>
        <w:t xml:space="preserve"> </w:t>
      </w:r>
    </w:p>
    <w:p w14:paraId="5A538BEF" w14:textId="4807467F" w:rsidR="004F113C" w:rsidRPr="004F113C" w:rsidRDefault="00FA15D9" w:rsidP="00FA15D9">
      <w:pPr>
        <w:pStyle w:val="NoSpacing"/>
        <w:ind w:left="720"/>
        <w:rPr>
          <w:rFonts w:ascii="Arial" w:hAnsi="Arial" w:cs="Arial"/>
          <w:sz w:val="24"/>
          <w:szCs w:val="24"/>
        </w:rPr>
      </w:pPr>
      <w:r>
        <w:rPr>
          <w:rFonts w:ascii="Arial" w:hAnsi="Arial" w:cs="Arial"/>
          <w:sz w:val="24"/>
          <w:szCs w:val="24"/>
        </w:rPr>
        <w:t>(2) OEB’s letter, 2021 Inflation Parameters, issued November 9, 2020,</w:t>
      </w:r>
    </w:p>
    <w:bookmarkEnd w:id="0"/>
    <w:p w14:paraId="56D27ED2" w14:textId="49FDC6FC" w:rsidR="00FA15D9" w:rsidRDefault="00FA15D9" w:rsidP="00FA15D9">
      <w:pPr>
        <w:pStyle w:val="Default"/>
        <w:rPr>
          <w:rFonts w:ascii="Arial" w:hAnsi="Arial" w:cs="Arial"/>
        </w:rPr>
      </w:pPr>
    </w:p>
    <w:p w14:paraId="27C793C8" w14:textId="3541322A" w:rsidR="00005ABD" w:rsidRDefault="00005ABD" w:rsidP="00FA15D9">
      <w:pPr>
        <w:pStyle w:val="Default"/>
        <w:rPr>
          <w:rFonts w:ascii="Arial" w:hAnsi="Arial" w:cs="Arial"/>
        </w:rPr>
      </w:pPr>
      <w:r>
        <w:rPr>
          <w:rFonts w:ascii="Arial" w:hAnsi="Arial" w:cs="Arial"/>
        </w:rPr>
        <w:t>OEB staff has updated the Rate Generator in the following areas:</w:t>
      </w:r>
    </w:p>
    <w:p w14:paraId="212E49A1" w14:textId="77777777" w:rsidR="00005ABD" w:rsidRDefault="00005ABD" w:rsidP="00FA15D9">
      <w:pPr>
        <w:pStyle w:val="Default"/>
        <w:rPr>
          <w:rFonts w:ascii="Arial" w:hAnsi="Arial" w:cs="Arial"/>
        </w:rPr>
      </w:pPr>
    </w:p>
    <w:p w14:paraId="0A6DB1CE" w14:textId="1A6BDCF2" w:rsidR="00005ABD" w:rsidRDefault="001646F8" w:rsidP="00005ABD">
      <w:pPr>
        <w:pStyle w:val="Default"/>
        <w:numPr>
          <w:ilvl w:val="0"/>
          <w:numId w:val="30"/>
        </w:numPr>
        <w:rPr>
          <w:rFonts w:ascii="Arial" w:hAnsi="Arial" w:cs="Arial"/>
          <w:lang w:val="en-US"/>
        </w:rPr>
      </w:pPr>
      <w:r w:rsidRPr="001646F8">
        <w:rPr>
          <w:rFonts w:ascii="Arial" w:hAnsi="Arial" w:cs="Arial"/>
          <w:lang w:val="en-US"/>
        </w:rPr>
        <w:t xml:space="preserve">Tab 16 cell B12 the Price Escalator has been updated </w:t>
      </w:r>
      <w:r w:rsidR="00184A68">
        <w:rPr>
          <w:rFonts w:ascii="Arial" w:hAnsi="Arial" w:cs="Arial"/>
          <w:lang w:val="en-US"/>
        </w:rPr>
        <w:t xml:space="preserve">with a placeholder value of </w:t>
      </w:r>
      <w:r w:rsidRPr="001646F8">
        <w:rPr>
          <w:rFonts w:ascii="Arial" w:hAnsi="Arial" w:cs="Arial"/>
          <w:lang w:val="en-US"/>
        </w:rPr>
        <w:t xml:space="preserve">2.20% </w:t>
      </w:r>
    </w:p>
    <w:p w14:paraId="377608BB" w14:textId="4F036DB2" w:rsidR="001646F8" w:rsidRDefault="001646F8" w:rsidP="00FA15D9">
      <w:pPr>
        <w:pStyle w:val="Default"/>
        <w:rPr>
          <w:rFonts w:ascii="Arial" w:hAnsi="Arial" w:cs="Arial"/>
        </w:rPr>
      </w:pPr>
    </w:p>
    <w:p w14:paraId="62B48324" w14:textId="777CFB68" w:rsidR="00F66FBC" w:rsidRDefault="00F66FBC" w:rsidP="00FA15D9">
      <w:pPr>
        <w:pStyle w:val="Default"/>
        <w:rPr>
          <w:rFonts w:ascii="Arial" w:hAnsi="Arial" w:cs="Arial"/>
          <w:sz w:val="23"/>
          <w:szCs w:val="23"/>
          <w:lang w:val="en-US"/>
        </w:rPr>
      </w:pPr>
      <w:r w:rsidRPr="00F66FBC">
        <w:rPr>
          <w:rFonts w:ascii="Arial" w:hAnsi="Arial" w:cs="Arial"/>
          <w:sz w:val="23"/>
          <w:szCs w:val="23"/>
        </w:rPr>
        <w:t xml:space="preserve">In light of the continued uncertainty regarding the COVID-19 pandemic, the OEB </w:t>
      </w:r>
      <w:r w:rsidR="00FA15D9">
        <w:rPr>
          <w:rFonts w:ascii="Arial" w:hAnsi="Arial" w:cs="Arial"/>
          <w:sz w:val="23"/>
          <w:szCs w:val="23"/>
        </w:rPr>
        <w:t>allowed</w:t>
      </w:r>
      <w:r w:rsidR="00FA15D9">
        <w:rPr>
          <w:rFonts w:ascii="Arial" w:hAnsi="Arial" w:cs="Arial"/>
          <w:sz w:val="23"/>
          <w:szCs w:val="23"/>
          <w:lang w:val="en-US"/>
        </w:rPr>
        <w:t xml:space="preserve"> utilities to</w:t>
      </w:r>
      <w:r w:rsidR="00FA15D9" w:rsidRPr="00FA15D9">
        <w:rPr>
          <w:rFonts w:ascii="Arial" w:hAnsi="Arial" w:cs="Arial"/>
          <w:sz w:val="23"/>
          <w:szCs w:val="23"/>
          <w:lang w:val="en-US"/>
        </w:rPr>
        <w:t xml:space="preserve"> elect</w:t>
      </w:r>
      <w:r w:rsidR="00FA15D9">
        <w:rPr>
          <w:rFonts w:ascii="Arial" w:hAnsi="Arial" w:cs="Arial"/>
          <w:sz w:val="23"/>
          <w:szCs w:val="23"/>
          <w:lang w:val="en-US"/>
        </w:rPr>
        <w:t xml:space="preserve"> the</w:t>
      </w:r>
      <w:r w:rsidR="00FA15D9" w:rsidRPr="00FA15D9">
        <w:rPr>
          <w:rFonts w:ascii="Arial" w:hAnsi="Arial" w:cs="Arial"/>
          <w:sz w:val="23"/>
          <w:szCs w:val="23"/>
          <w:lang w:val="en-US"/>
        </w:rPr>
        <w:t xml:space="preserve"> calculated IPI level per the OEB-approved methodology (offset by the applicable stretch factor and other adjustments for some plans) or a lower value. </w:t>
      </w:r>
      <w:r w:rsidR="001A1499">
        <w:rPr>
          <w:rFonts w:ascii="Arial" w:hAnsi="Arial" w:cs="Arial"/>
          <w:sz w:val="23"/>
          <w:szCs w:val="23"/>
          <w:lang w:val="en-US"/>
        </w:rPr>
        <w:t>For the 2021 rate year, u</w:t>
      </w:r>
      <w:r w:rsidR="00FA15D9">
        <w:rPr>
          <w:rFonts w:ascii="Arial" w:hAnsi="Arial" w:cs="Arial"/>
          <w:sz w:val="23"/>
          <w:szCs w:val="23"/>
          <w:lang w:val="en-US"/>
        </w:rPr>
        <w:t>tilities</w:t>
      </w:r>
      <w:r w:rsidR="00FA15D9" w:rsidRPr="00FA15D9">
        <w:rPr>
          <w:rFonts w:ascii="Arial" w:hAnsi="Arial" w:cs="Arial"/>
          <w:sz w:val="23"/>
          <w:szCs w:val="23"/>
          <w:lang w:val="en-US"/>
        </w:rPr>
        <w:t xml:space="preserve"> also have the discretion to forego the inflationary increase entirely.</w:t>
      </w:r>
      <w:r w:rsidR="00184A68">
        <w:rPr>
          <w:rFonts w:ascii="Arial" w:hAnsi="Arial" w:cs="Arial"/>
          <w:sz w:val="23"/>
          <w:szCs w:val="23"/>
          <w:lang w:val="en-US"/>
        </w:rPr>
        <w:t xml:space="preserve"> The letter noted that utilities filing rate application for May 1, 2021 shall make an election by February 5, 2021.</w:t>
      </w:r>
      <w:r w:rsidR="005E4D5E">
        <w:rPr>
          <w:rStyle w:val="FootnoteReference"/>
          <w:rFonts w:ascii="Arial" w:hAnsi="Arial" w:cs="Arial"/>
          <w:sz w:val="23"/>
          <w:szCs w:val="23"/>
          <w:lang w:val="en-US"/>
        </w:rPr>
        <w:footnoteReference w:id="1"/>
      </w:r>
      <w:r w:rsidR="00184A68">
        <w:rPr>
          <w:rFonts w:ascii="Arial" w:hAnsi="Arial" w:cs="Arial"/>
          <w:sz w:val="23"/>
          <w:szCs w:val="23"/>
          <w:lang w:val="en-US"/>
        </w:rPr>
        <w:t xml:space="preserve"> </w:t>
      </w:r>
    </w:p>
    <w:p w14:paraId="7FEBD38D" w14:textId="151FCA3A" w:rsidR="00FA15D9" w:rsidRDefault="00FA15D9" w:rsidP="00FA15D9">
      <w:pPr>
        <w:pStyle w:val="Default"/>
        <w:rPr>
          <w:rFonts w:ascii="Arial" w:hAnsi="Arial" w:cs="Arial"/>
          <w:sz w:val="23"/>
          <w:szCs w:val="23"/>
          <w:lang w:val="en-US"/>
        </w:rPr>
      </w:pPr>
    </w:p>
    <w:p w14:paraId="5602FA47" w14:textId="14560DA3" w:rsidR="00184A68" w:rsidRDefault="00FA15D9" w:rsidP="00184A68">
      <w:pPr>
        <w:pStyle w:val="Default"/>
        <w:numPr>
          <w:ilvl w:val="0"/>
          <w:numId w:val="28"/>
        </w:numPr>
        <w:rPr>
          <w:rFonts w:ascii="Arial" w:hAnsi="Arial" w:cs="Arial"/>
        </w:rPr>
      </w:pPr>
      <w:r>
        <w:rPr>
          <w:rFonts w:ascii="Arial" w:hAnsi="Arial" w:cs="Arial"/>
        </w:rPr>
        <w:t xml:space="preserve">Please </w:t>
      </w:r>
      <w:r w:rsidR="00184A68">
        <w:rPr>
          <w:rFonts w:ascii="Arial" w:hAnsi="Arial" w:cs="Arial"/>
        </w:rPr>
        <w:t>confirm when Welland Hydro if intending to file their election for the</w:t>
      </w:r>
      <w:r w:rsidR="005E4D5E">
        <w:rPr>
          <w:rFonts w:ascii="Arial" w:hAnsi="Arial" w:cs="Arial"/>
        </w:rPr>
        <w:t xml:space="preserve"> IPI level used to</w:t>
      </w:r>
      <w:r w:rsidR="00184A68">
        <w:rPr>
          <w:rFonts w:ascii="Arial" w:hAnsi="Arial" w:cs="Arial"/>
        </w:rPr>
        <w:t xml:space="preserve"> determine </w:t>
      </w:r>
      <w:r w:rsidR="005E4D5E">
        <w:rPr>
          <w:rFonts w:ascii="Arial" w:hAnsi="Arial" w:cs="Arial"/>
        </w:rPr>
        <w:t>Wellend Hydro’s</w:t>
      </w:r>
      <w:r w:rsidR="00184A68">
        <w:rPr>
          <w:rFonts w:ascii="Arial" w:hAnsi="Arial" w:cs="Arial"/>
        </w:rPr>
        <w:t xml:space="preserve"> Price Cap Adjustment for the 2021 rate year.</w:t>
      </w:r>
    </w:p>
    <w:p w14:paraId="4455F3C4" w14:textId="30757FF8" w:rsidR="0037610E" w:rsidRDefault="0037610E" w:rsidP="0037610E">
      <w:pPr>
        <w:pStyle w:val="Default"/>
        <w:ind w:left="720"/>
        <w:rPr>
          <w:rFonts w:ascii="Arial" w:hAnsi="Arial" w:cs="Arial"/>
        </w:rPr>
      </w:pPr>
    </w:p>
    <w:p w14:paraId="26BB17CD" w14:textId="05D88D4A" w:rsidR="0037610E" w:rsidRPr="00227FA9" w:rsidRDefault="0037610E" w:rsidP="00227FA9">
      <w:pPr>
        <w:ind w:left="360"/>
        <w:rPr>
          <w:rFonts w:ascii="Arial" w:hAnsi="Arial" w:cs="Arial"/>
          <w:b/>
          <w:bCs/>
          <w:sz w:val="24"/>
          <w:szCs w:val="24"/>
          <w:u w:val="single"/>
        </w:rPr>
      </w:pPr>
      <w:r w:rsidRPr="00227FA9">
        <w:rPr>
          <w:rFonts w:ascii="Arial" w:hAnsi="Arial" w:cs="Arial"/>
          <w:b/>
          <w:bCs/>
          <w:sz w:val="24"/>
          <w:szCs w:val="24"/>
          <w:u w:val="single"/>
        </w:rPr>
        <w:t>Response:</w:t>
      </w:r>
    </w:p>
    <w:p w14:paraId="5FB10C33" w14:textId="7D71999A" w:rsidR="0037610E" w:rsidRDefault="0037610E" w:rsidP="00227FA9">
      <w:pPr>
        <w:ind w:left="360"/>
        <w:jc w:val="both"/>
        <w:rPr>
          <w:rFonts w:ascii="Arial" w:hAnsi="Arial" w:cs="Arial"/>
          <w:b/>
          <w:bCs/>
        </w:rPr>
      </w:pPr>
      <w:r w:rsidRPr="00227FA9">
        <w:rPr>
          <w:rFonts w:ascii="Arial" w:hAnsi="Arial" w:cs="Arial"/>
          <w:b/>
          <w:bCs/>
          <w:sz w:val="24"/>
          <w:szCs w:val="24"/>
        </w:rPr>
        <w:t xml:space="preserve">Welland Hydro has elected to apply the unadjusted inflation factor of 2.2% </w:t>
      </w:r>
      <w:r w:rsidRPr="00227FA9">
        <w:rPr>
          <w:rFonts w:ascii="Arial" w:hAnsi="Arial" w:cs="Arial"/>
          <w:b/>
          <w:bCs/>
        </w:rPr>
        <w:t>to 2021 rates.  Welland Hydro fil</w:t>
      </w:r>
      <w:r w:rsidR="00A858AB">
        <w:rPr>
          <w:rFonts w:ascii="Arial" w:hAnsi="Arial" w:cs="Arial"/>
          <w:b/>
          <w:bCs/>
        </w:rPr>
        <w:t>ed</w:t>
      </w:r>
      <w:r w:rsidRPr="00227FA9">
        <w:rPr>
          <w:rFonts w:ascii="Arial" w:hAnsi="Arial" w:cs="Arial"/>
          <w:b/>
          <w:bCs/>
        </w:rPr>
        <w:t xml:space="preserve"> </w:t>
      </w:r>
      <w:r w:rsidR="00A858AB">
        <w:rPr>
          <w:rFonts w:ascii="Arial" w:hAnsi="Arial" w:cs="Arial"/>
          <w:b/>
          <w:bCs/>
        </w:rPr>
        <w:t>its</w:t>
      </w:r>
      <w:r w:rsidRPr="00227FA9">
        <w:rPr>
          <w:rFonts w:ascii="Arial" w:hAnsi="Arial" w:cs="Arial"/>
          <w:b/>
          <w:bCs/>
        </w:rPr>
        <w:t xml:space="preserve"> election on January 8, 2021 and has </w:t>
      </w:r>
      <w:r>
        <w:rPr>
          <w:rFonts w:ascii="Arial" w:hAnsi="Arial" w:cs="Arial"/>
          <w:b/>
          <w:bCs/>
        </w:rPr>
        <w:t xml:space="preserve">attached a copy of its letter with the responses to these Staff questions. </w:t>
      </w:r>
    </w:p>
    <w:p w14:paraId="6E5CB41F" w14:textId="77777777" w:rsidR="0037610E" w:rsidRPr="0037610E" w:rsidRDefault="0037610E" w:rsidP="0037610E">
      <w:pPr>
        <w:pStyle w:val="Default"/>
        <w:ind w:left="720"/>
        <w:rPr>
          <w:rFonts w:ascii="Arial" w:hAnsi="Arial" w:cs="Arial"/>
          <w:b/>
          <w:bCs/>
        </w:rPr>
      </w:pPr>
    </w:p>
    <w:p w14:paraId="550BCB75" w14:textId="6F35EA4E" w:rsidR="00FA15D9" w:rsidRDefault="00005ABD" w:rsidP="00FA15D9">
      <w:pPr>
        <w:pStyle w:val="Default"/>
        <w:numPr>
          <w:ilvl w:val="0"/>
          <w:numId w:val="28"/>
        </w:numPr>
        <w:rPr>
          <w:rFonts w:ascii="Arial" w:hAnsi="Arial" w:cs="Arial"/>
        </w:rPr>
      </w:pPr>
      <w:bookmarkStart w:id="1" w:name="_Hlk60914784"/>
      <w:r>
        <w:rPr>
          <w:rFonts w:ascii="Arial" w:hAnsi="Arial" w:cs="Arial"/>
        </w:rPr>
        <w:t>Please confirm the accuracy of the Rate Generator</w:t>
      </w:r>
      <w:r w:rsidR="001A1499">
        <w:rPr>
          <w:rFonts w:ascii="Arial" w:hAnsi="Arial" w:cs="Arial"/>
        </w:rPr>
        <w:t xml:space="preserve"> following OEB staff’s updates.</w:t>
      </w:r>
    </w:p>
    <w:bookmarkEnd w:id="1"/>
    <w:p w14:paraId="52FFA8D3" w14:textId="7576FE39" w:rsidR="00071682" w:rsidRDefault="00071682" w:rsidP="005E4D5E">
      <w:pPr>
        <w:rPr>
          <w:rFonts w:ascii="Arial" w:hAnsi="Arial" w:cs="Arial"/>
          <w:b/>
          <w:bCs/>
          <w:sz w:val="24"/>
          <w:szCs w:val="24"/>
        </w:rPr>
      </w:pPr>
    </w:p>
    <w:p w14:paraId="7103BF60" w14:textId="1E63FB88" w:rsidR="0037610E" w:rsidRDefault="0037610E" w:rsidP="00227FA9">
      <w:pPr>
        <w:ind w:left="360"/>
        <w:rPr>
          <w:rFonts w:ascii="Arial" w:hAnsi="Arial" w:cs="Arial"/>
          <w:b/>
          <w:bCs/>
          <w:sz w:val="24"/>
          <w:szCs w:val="24"/>
          <w:u w:val="single"/>
        </w:rPr>
      </w:pPr>
      <w:r>
        <w:rPr>
          <w:rFonts w:ascii="Arial" w:hAnsi="Arial" w:cs="Arial"/>
          <w:b/>
          <w:bCs/>
          <w:sz w:val="24"/>
          <w:szCs w:val="24"/>
          <w:u w:val="single"/>
        </w:rPr>
        <w:lastRenderedPageBreak/>
        <w:t>Response:</w:t>
      </w:r>
    </w:p>
    <w:p w14:paraId="7CB554D0" w14:textId="503DC065" w:rsidR="0037610E" w:rsidRPr="0037610E" w:rsidRDefault="0037610E" w:rsidP="00227FA9">
      <w:pPr>
        <w:ind w:left="360"/>
        <w:rPr>
          <w:rFonts w:ascii="Arial" w:hAnsi="Arial" w:cs="Arial"/>
          <w:b/>
          <w:bCs/>
          <w:sz w:val="24"/>
          <w:szCs w:val="24"/>
        </w:rPr>
      </w:pPr>
      <w:r w:rsidRPr="00227FA9">
        <w:rPr>
          <w:rFonts w:ascii="Arial" w:hAnsi="Arial" w:cs="Arial"/>
          <w:b/>
          <w:bCs/>
          <w:sz w:val="24"/>
          <w:szCs w:val="24"/>
        </w:rPr>
        <w:t>Welland Hydro has</w:t>
      </w:r>
      <w:r>
        <w:rPr>
          <w:rFonts w:ascii="Arial" w:hAnsi="Arial" w:cs="Arial"/>
          <w:b/>
          <w:bCs/>
          <w:sz w:val="24"/>
          <w:szCs w:val="24"/>
        </w:rPr>
        <w:t xml:space="preserve"> reviewed the Rate Generator following OEB staff’s updates and confirms that it is accurate. </w:t>
      </w:r>
    </w:p>
    <w:p w14:paraId="732CB039" w14:textId="77777777" w:rsidR="00071682" w:rsidRDefault="00071682" w:rsidP="005E4D5E">
      <w:pPr>
        <w:rPr>
          <w:rFonts w:ascii="Arial" w:hAnsi="Arial" w:cs="Arial"/>
          <w:b/>
          <w:bCs/>
          <w:sz w:val="24"/>
          <w:szCs w:val="24"/>
        </w:rPr>
      </w:pPr>
    </w:p>
    <w:p w14:paraId="2A963CED" w14:textId="0FB3CD8D" w:rsidR="005E4D5E" w:rsidRPr="005E4D5E" w:rsidRDefault="005E4D5E" w:rsidP="005E4D5E">
      <w:pPr>
        <w:rPr>
          <w:rFonts w:ascii="Arial" w:hAnsi="Arial" w:cs="Arial"/>
          <w:b/>
          <w:bCs/>
          <w:sz w:val="24"/>
          <w:szCs w:val="24"/>
        </w:rPr>
      </w:pPr>
      <w:r w:rsidRPr="005E4D5E">
        <w:rPr>
          <w:rFonts w:ascii="Arial" w:hAnsi="Arial" w:cs="Arial"/>
          <w:b/>
          <w:bCs/>
          <w:sz w:val="24"/>
          <w:szCs w:val="24"/>
        </w:rPr>
        <w:t>Staff-</w:t>
      </w:r>
      <w:r w:rsidR="00071682">
        <w:rPr>
          <w:rFonts w:ascii="Arial" w:hAnsi="Arial" w:cs="Arial"/>
          <w:b/>
          <w:bCs/>
          <w:sz w:val="24"/>
          <w:szCs w:val="24"/>
        </w:rPr>
        <w:t>4</w:t>
      </w:r>
    </w:p>
    <w:p w14:paraId="29557E10" w14:textId="77777777" w:rsidR="005E4D5E" w:rsidRDefault="005E4D5E" w:rsidP="005E4D5E">
      <w:pPr>
        <w:pStyle w:val="Default"/>
        <w:ind w:left="360"/>
        <w:rPr>
          <w:rFonts w:ascii="Arial" w:hAnsi="Arial" w:cs="Arial"/>
          <w:lang w:val="en-US"/>
        </w:rPr>
      </w:pPr>
    </w:p>
    <w:p w14:paraId="60AC10C3" w14:textId="54ACEB78" w:rsidR="005E4D5E" w:rsidRPr="005E4D5E" w:rsidRDefault="005E4D5E" w:rsidP="005E4D5E">
      <w:pPr>
        <w:pStyle w:val="Default"/>
        <w:rPr>
          <w:rFonts w:ascii="Arial" w:hAnsi="Arial" w:cs="Arial"/>
          <w:color w:val="auto"/>
          <w:lang w:val="en-US"/>
        </w:rPr>
      </w:pPr>
      <w:r w:rsidRPr="005E4D5E">
        <w:rPr>
          <w:rFonts w:ascii="Arial" w:hAnsi="Arial" w:cs="Arial"/>
          <w:color w:val="auto"/>
          <w:lang w:val="en-US"/>
        </w:rPr>
        <w:t xml:space="preserve">Ref: </w:t>
      </w:r>
      <w:r w:rsidRPr="005E4D5E">
        <w:rPr>
          <w:rFonts w:ascii="Arial" w:hAnsi="Arial" w:cs="Arial"/>
          <w:color w:val="auto"/>
          <w:lang w:val="en-US"/>
        </w:rPr>
        <w:tab/>
        <w:t xml:space="preserve">(1) 2021 Rate Generator, Tab </w:t>
      </w:r>
      <w:r>
        <w:rPr>
          <w:rFonts w:ascii="Arial" w:hAnsi="Arial" w:cs="Arial"/>
          <w:color w:val="auto"/>
          <w:lang w:val="en-US"/>
        </w:rPr>
        <w:t>17</w:t>
      </w:r>
      <w:r w:rsidRPr="005E4D5E">
        <w:rPr>
          <w:rFonts w:ascii="Arial" w:hAnsi="Arial" w:cs="Arial"/>
          <w:color w:val="auto"/>
          <w:lang w:val="en-US"/>
        </w:rPr>
        <w:t xml:space="preserve"> </w:t>
      </w:r>
    </w:p>
    <w:p w14:paraId="42DCFB21" w14:textId="329B0817" w:rsidR="005E4D5E" w:rsidRDefault="005E4D5E" w:rsidP="005E4D5E">
      <w:pPr>
        <w:pStyle w:val="Default"/>
        <w:rPr>
          <w:rFonts w:ascii="Arial" w:hAnsi="Arial" w:cs="Arial"/>
          <w:lang w:val="en-US"/>
        </w:rPr>
      </w:pPr>
    </w:p>
    <w:p w14:paraId="009231CD" w14:textId="2C598B35" w:rsidR="005E4D5E" w:rsidRDefault="005E4D5E" w:rsidP="005E4D5E">
      <w:pPr>
        <w:pStyle w:val="Default"/>
        <w:rPr>
          <w:rFonts w:ascii="Arial" w:hAnsi="Arial" w:cs="Arial"/>
          <w:lang w:val="en-US"/>
        </w:rPr>
      </w:pPr>
      <w:r>
        <w:rPr>
          <w:rFonts w:ascii="Arial" w:hAnsi="Arial" w:cs="Arial"/>
          <w:lang w:val="en-US"/>
        </w:rPr>
        <w:t>OEB staff has made the following updates to Welland Hydro’s Rate Generator:</w:t>
      </w:r>
    </w:p>
    <w:p w14:paraId="023E3D0F" w14:textId="77777777" w:rsidR="005E4D5E" w:rsidRDefault="005E4D5E" w:rsidP="005E4D5E">
      <w:pPr>
        <w:pStyle w:val="Default"/>
        <w:rPr>
          <w:rFonts w:ascii="Arial" w:hAnsi="Arial" w:cs="Arial"/>
          <w:lang w:val="en-US"/>
        </w:rPr>
      </w:pPr>
    </w:p>
    <w:p w14:paraId="5F16AABC" w14:textId="01A7C5D6" w:rsidR="005E4D5E" w:rsidRDefault="005E4D5E" w:rsidP="005E4D5E">
      <w:pPr>
        <w:pStyle w:val="Default"/>
        <w:numPr>
          <w:ilvl w:val="0"/>
          <w:numId w:val="30"/>
        </w:numPr>
        <w:rPr>
          <w:rFonts w:ascii="Arial" w:hAnsi="Arial" w:cs="Arial"/>
          <w:lang w:val="en-US"/>
        </w:rPr>
      </w:pPr>
      <w:r w:rsidRPr="001646F8">
        <w:rPr>
          <w:rFonts w:ascii="Arial" w:hAnsi="Arial" w:cs="Arial"/>
          <w:lang w:val="en-US"/>
        </w:rPr>
        <w:t>Tab 1</w:t>
      </w:r>
      <w:r w:rsidRPr="00005ABD">
        <w:rPr>
          <w:rFonts w:ascii="Arial" w:hAnsi="Arial" w:cs="Arial"/>
          <w:lang w:val="en-US"/>
        </w:rPr>
        <w:t>7</w:t>
      </w:r>
      <w:r w:rsidRPr="001646F8">
        <w:rPr>
          <w:rFonts w:ascii="Arial" w:hAnsi="Arial" w:cs="Arial"/>
          <w:lang w:val="en-US"/>
        </w:rPr>
        <w:t xml:space="preserve"> cell </w:t>
      </w:r>
      <w:r w:rsidRPr="00005ABD">
        <w:rPr>
          <w:rFonts w:ascii="Arial" w:hAnsi="Arial" w:cs="Arial"/>
          <w:lang w:val="en-US"/>
        </w:rPr>
        <w:t>F39</w:t>
      </w:r>
      <w:r w:rsidRPr="001646F8">
        <w:rPr>
          <w:rFonts w:ascii="Arial" w:hAnsi="Arial" w:cs="Arial"/>
          <w:lang w:val="en-US"/>
        </w:rPr>
        <w:t xml:space="preserve"> Specific charge for access to the power poles - per pole/year (with the exception of wireless attachments) - Approved on an Interim Basis has been </w:t>
      </w:r>
      <w:r w:rsidRPr="00005ABD">
        <w:rPr>
          <w:rFonts w:ascii="Arial" w:hAnsi="Arial" w:cs="Arial"/>
          <w:lang w:val="en-US"/>
        </w:rPr>
        <w:t>kept</w:t>
      </w:r>
      <w:r w:rsidRPr="001646F8">
        <w:rPr>
          <w:rFonts w:ascii="Arial" w:hAnsi="Arial" w:cs="Arial"/>
          <w:lang w:val="en-US"/>
        </w:rPr>
        <w:t xml:space="preserve"> to $44.50</w:t>
      </w:r>
      <w:r>
        <w:rPr>
          <w:rStyle w:val="FootnoteReference"/>
          <w:rFonts w:ascii="Arial" w:hAnsi="Arial" w:cs="Arial"/>
          <w:lang w:val="en-US"/>
        </w:rPr>
        <w:footnoteReference w:id="2"/>
      </w:r>
    </w:p>
    <w:p w14:paraId="03A0C764" w14:textId="77777777" w:rsidR="005E4D5E" w:rsidRDefault="005E4D5E" w:rsidP="005E4D5E">
      <w:pPr>
        <w:pStyle w:val="Default"/>
        <w:numPr>
          <w:ilvl w:val="0"/>
          <w:numId w:val="30"/>
        </w:numPr>
        <w:rPr>
          <w:rFonts w:ascii="Arial" w:hAnsi="Arial" w:cs="Arial"/>
          <w:lang w:val="en-US"/>
        </w:rPr>
      </w:pPr>
      <w:r>
        <w:rPr>
          <w:rFonts w:ascii="Arial" w:hAnsi="Arial" w:cs="Arial"/>
          <w:lang w:val="en-US"/>
        </w:rPr>
        <w:t>Tab 17 cell D23 RPP Prices – Off-Peak $/kWh 0.0850</w:t>
      </w:r>
    </w:p>
    <w:p w14:paraId="4A0DF9AE" w14:textId="77777777" w:rsidR="005E4D5E" w:rsidRDefault="005E4D5E" w:rsidP="005E4D5E">
      <w:pPr>
        <w:pStyle w:val="Default"/>
        <w:numPr>
          <w:ilvl w:val="0"/>
          <w:numId w:val="30"/>
        </w:numPr>
        <w:rPr>
          <w:rFonts w:ascii="Arial" w:hAnsi="Arial" w:cs="Arial"/>
          <w:lang w:val="en-US"/>
        </w:rPr>
      </w:pPr>
      <w:r>
        <w:rPr>
          <w:rFonts w:ascii="Arial" w:hAnsi="Arial" w:cs="Arial"/>
          <w:lang w:val="en-US"/>
        </w:rPr>
        <w:t>Tab 17 cell D24 RPP Prices – Mid-Peak $/kWh 0.1190</w:t>
      </w:r>
    </w:p>
    <w:p w14:paraId="15306473" w14:textId="7A203EC9" w:rsidR="005E4D5E" w:rsidRDefault="005E4D5E" w:rsidP="005E4D5E">
      <w:pPr>
        <w:pStyle w:val="Default"/>
        <w:numPr>
          <w:ilvl w:val="0"/>
          <w:numId w:val="30"/>
        </w:numPr>
        <w:rPr>
          <w:rFonts w:ascii="Arial" w:hAnsi="Arial" w:cs="Arial"/>
          <w:lang w:val="en-US"/>
        </w:rPr>
      </w:pPr>
      <w:r>
        <w:rPr>
          <w:rFonts w:ascii="Arial" w:hAnsi="Arial" w:cs="Arial"/>
          <w:lang w:val="en-US"/>
        </w:rPr>
        <w:t>Tab 17 cell D15 RPP Prices – On-Peak $/kWh 0.1760</w:t>
      </w:r>
      <w:r>
        <w:rPr>
          <w:rStyle w:val="FootnoteReference"/>
          <w:rFonts w:ascii="Arial" w:hAnsi="Arial" w:cs="Arial"/>
          <w:lang w:val="en-US"/>
        </w:rPr>
        <w:footnoteReference w:id="3"/>
      </w:r>
    </w:p>
    <w:p w14:paraId="7C8A5A41" w14:textId="73B4CCC3" w:rsidR="005E4D5E" w:rsidRPr="001646F8" w:rsidRDefault="005E4D5E" w:rsidP="005E4D5E">
      <w:pPr>
        <w:pStyle w:val="Default"/>
        <w:numPr>
          <w:ilvl w:val="0"/>
          <w:numId w:val="30"/>
        </w:numPr>
        <w:rPr>
          <w:rFonts w:ascii="Arial" w:hAnsi="Arial" w:cs="Arial"/>
          <w:lang w:val="en-US"/>
        </w:rPr>
      </w:pPr>
      <w:r>
        <w:rPr>
          <w:rFonts w:ascii="Arial" w:hAnsi="Arial" w:cs="Arial"/>
          <w:lang w:val="en-US"/>
        </w:rPr>
        <w:t xml:space="preserve">Tab 20 </w:t>
      </w:r>
      <w:r>
        <w:rPr>
          <w:rFonts w:ascii="Arial" w:hAnsi="Arial" w:cs="Arial"/>
          <w:lang w:val="en-US"/>
        </w:rPr>
        <w:tab/>
        <w:t xml:space="preserve">    Ontario Electricity Rebate of 21.2%</w:t>
      </w:r>
      <w:r w:rsidRPr="001646F8">
        <w:rPr>
          <w:rFonts w:ascii="Arial" w:hAnsi="Arial" w:cs="Arial"/>
          <w:lang w:val="en-US"/>
        </w:rPr>
        <w:t xml:space="preserve"> </w:t>
      </w:r>
    </w:p>
    <w:p w14:paraId="56604933" w14:textId="46E511C1" w:rsidR="00FA15D9" w:rsidRDefault="00FA15D9" w:rsidP="00FA15D9">
      <w:pPr>
        <w:pStyle w:val="Default"/>
        <w:rPr>
          <w:rFonts w:ascii="Arial" w:hAnsi="Arial" w:cs="Arial"/>
        </w:rPr>
      </w:pPr>
    </w:p>
    <w:p w14:paraId="5CE6E5FD" w14:textId="318CAEF2" w:rsidR="00FA15D9" w:rsidRDefault="00005ABD" w:rsidP="00FA15D9">
      <w:pPr>
        <w:pStyle w:val="Default"/>
        <w:rPr>
          <w:rFonts w:ascii="Arial" w:hAnsi="Arial" w:cs="Arial"/>
        </w:rPr>
      </w:pPr>
      <w:r w:rsidRPr="00005ABD">
        <w:rPr>
          <w:rFonts w:ascii="Arial" w:hAnsi="Arial" w:cs="Arial"/>
          <w:lang w:val="en-US"/>
        </w:rPr>
        <w:t xml:space="preserve">(Please note there </w:t>
      </w:r>
      <w:r w:rsidR="0014194F">
        <w:rPr>
          <w:rFonts w:ascii="Arial" w:hAnsi="Arial" w:cs="Arial"/>
          <w:lang w:val="en-US"/>
        </w:rPr>
        <w:t>may</w:t>
      </w:r>
      <w:r w:rsidRPr="00005ABD">
        <w:rPr>
          <w:rFonts w:ascii="Arial" w:hAnsi="Arial" w:cs="Arial"/>
          <w:lang w:val="en-US"/>
        </w:rPr>
        <w:t xml:space="preserve"> further updates before final issuance of the Decision)</w:t>
      </w:r>
    </w:p>
    <w:p w14:paraId="4AFDE35E" w14:textId="77777777" w:rsidR="00FA15D9" w:rsidRPr="00F66FBC" w:rsidRDefault="00FA15D9" w:rsidP="00FA15D9">
      <w:pPr>
        <w:pStyle w:val="Default"/>
        <w:rPr>
          <w:rFonts w:ascii="Arial" w:hAnsi="Arial" w:cs="Arial"/>
        </w:rPr>
      </w:pPr>
    </w:p>
    <w:p w14:paraId="1AD14379" w14:textId="491BA472" w:rsidR="00AC2D23" w:rsidRDefault="005E4D5E" w:rsidP="004331A0">
      <w:pPr>
        <w:pStyle w:val="Default"/>
        <w:numPr>
          <w:ilvl w:val="0"/>
          <w:numId w:val="32"/>
        </w:numPr>
        <w:rPr>
          <w:rFonts w:ascii="Arial" w:hAnsi="Arial" w:cs="Arial"/>
        </w:rPr>
      </w:pPr>
      <w:r w:rsidRPr="00C02918">
        <w:rPr>
          <w:rFonts w:ascii="Arial" w:hAnsi="Arial" w:cs="Arial"/>
        </w:rPr>
        <w:t>Please confirm the accuracy of the Rate Generator following OEB staff’s updates.</w:t>
      </w:r>
    </w:p>
    <w:p w14:paraId="448084C0" w14:textId="1171A3B4" w:rsidR="00B315AE" w:rsidRDefault="00B315AE" w:rsidP="00B315AE">
      <w:pPr>
        <w:pStyle w:val="Default"/>
        <w:rPr>
          <w:rFonts w:ascii="Arial" w:hAnsi="Arial" w:cs="Arial"/>
        </w:rPr>
      </w:pPr>
    </w:p>
    <w:p w14:paraId="4FA1DDB9" w14:textId="671B8CA2" w:rsidR="00B315AE" w:rsidRPr="00227FA9" w:rsidRDefault="00B315AE" w:rsidP="00227FA9">
      <w:pPr>
        <w:ind w:left="360"/>
        <w:rPr>
          <w:rFonts w:ascii="Arial" w:hAnsi="Arial" w:cs="Arial"/>
          <w:b/>
          <w:bCs/>
          <w:sz w:val="24"/>
          <w:szCs w:val="24"/>
          <w:u w:val="single"/>
        </w:rPr>
      </w:pPr>
      <w:r w:rsidRPr="00227FA9">
        <w:rPr>
          <w:rFonts w:ascii="Arial" w:hAnsi="Arial" w:cs="Arial"/>
          <w:b/>
          <w:bCs/>
          <w:sz w:val="24"/>
          <w:szCs w:val="24"/>
          <w:u w:val="single"/>
        </w:rPr>
        <w:t>Response:</w:t>
      </w:r>
    </w:p>
    <w:p w14:paraId="26EF150B" w14:textId="7FD41AAA" w:rsidR="00B315AE" w:rsidRPr="00C02918" w:rsidRDefault="00B315AE" w:rsidP="00227FA9">
      <w:pPr>
        <w:ind w:left="360"/>
        <w:rPr>
          <w:rFonts w:ascii="Arial" w:hAnsi="Arial" w:cs="Arial"/>
        </w:rPr>
      </w:pPr>
      <w:r w:rsidRPr="00227FA9">
        <w:rPr>
          <w:rFonts w:ascii="Arial" w:hAnsi="Arial" w:cs="Arial"/>
          <w:b/>
          <w:bCs/>
          <w:sz w:val="24"/>
          <w:szCs w:val="24"/>
        </w:rPr>
        <w:t>Welland</w:t>
      </w:r>
      <w:r w:rsidRPr="00227FA9">
        <w:rPr>
          <w:rFonts w:ascii="Arial" w:hAnsi="Arial" w:cs="Arial"/>
          <w:b/>
          <w:bCs/>
        </w:rPr>
        <w:t xml:space="preserve"> Hydro has reviewed the updates made by OEB staff and confirms the accuracy of </w:t>
      </w:r>
      <w:r w:rsidRPr="00B315AE">
        <w:rPr>
          <w:rFonts w:ascii="Arial" w:hAnsi="Arial" w:cs="Arial"/>
          <w:b/>
          <w:bCs/>
        </w:rPr>
        <w:t>the Rate Generator following those updates</w:t>
      </w:r>
      <w:r>
        <w:rPr>
          <w:rFonts w:ascii="Arial" w:hAnsi="Arial" w:cs="Arial"/>
        </w:rPr>
        <w:t xml:space="preserve">. </w:t>
      </w:r>
    </w:p>
    <w:sectPr w:rsidR="00B315AE" w:rsidRPr="00C0291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FFC52" w14:textId="77777777" w:rsidR="008D6776" w:rsidRDefault="008D6776" w:rsidP="00D90524">
      <w:pPr>
        <w:spacing w:after="0" w:line="240" w:lineRule="auto"/>
      </w:pPr>
      <w:r>
        <w:separator/>
      </w:r>
    </w:p>
  </w:endnote>
  <w:endnote w:type="continuationSeparator" w:id="0">
    <w:p w14:paraId="46A19BDD" w14:textId="77777777" w:rsidR="008D6776" w:rsidRDefault="008D6776" w:rsidP="00D9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051455"/>
      <w:docPartObj>
        <w:docPartGallery w:val="Page Numbers (Bottom of Page)"/>
        <w:docPartUnique/>
      </w:docPartObj>
    </w:sdtPr>
    <w:sdtEndPr>
      <w:rPr>
        <w:noProof/>
      </w:rPr>
    </w:sdtEndPr>
    <w:sdtContent>
      <w:p w14:paraId="70A5669B" w14:textId="4FCE83EF" w:rsidR="0031643C" w:rsidRDefault="0031643C">
        <w:pPr>
          <w:pStyle w:val="Footer"/>
          <w:jc w:val="right"/>
        </w:pPr>
        <w:r>
          <w:fldChar w:fldCharType="begin"/>
        </w:r>
        <w:r>
          <w:instrText xml:space="preserve"> PAGE   \* MERGEFORMAT </w:instrText>
        </w:r>
        <w:r>
          <w:fldChar w:fldCharType="separate"/>
        </w:r>
        <w:r w:rsidR="002E4E5B">
          <w:rPr>
            <w:noProof/>
          </w:rPr>
          <w:t>8</w:t>
        </w:r>
        <w:r>
          <w:rPr>
            <w:noProof/>
          </w:rPr>
          <w:fldChar w:fldCharType="end"/>
        </w:r>
      </w:p>
    </w:sdtContent>
  </w:sdt>
  <w:p w14:paraId="145E30D6" w14:textId="77777777" w:rsidR="0031643C" w:rsidRDefault="0031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1DECE" w14:textId="77777777" w:rsidR="008D6776" w:rsidRDefault="008D6776" w:rsidP="00D90524">
      <w:pPr>
        <w:spacing w:after="0" w:line="240" w:lineRule="auto"/>
      </w:pPr>
      <w:r>
        <w:separator/>
      </w:r>
    </w:p>
  </w:footnote>
  <w:footnote w:type="continuationSeparator" w:id="0">
    <w:p w14:paraId="7356BC2B" w14:textId="77777777" w:rsidR="008D6776" w:rsidRDefault="008D6776" w:rsidP="00D90524">
      <w:pPr>
        <w:spacing w:after="0" w:line="240" w:lineRule="auto"/>
      </w:pPr>
      <w:r>
        <w:continuationSeparator/>
      </w:r>
    </w:p>
  </w:footnote>
  <w:footnote w:id="1">
    <w:p w14:paraId="10C5A990" w14:textId="0F99F2EB" w:rsidR="005E4D5E" w:rsidRPr="005E4D5E" w:rsidRDefault="005E4D5E">
      <w:pPr>
        <w:pStyle w:val="FootnoteText"/>
        <w:rPr>
          <w:lang w:val="en-US"/>
        </w:rPr>
      </w:pPr>
      <w:r>
        <w:rPr>
          <w:rStyle w:val="FootnoteReference"/>
        </w:rPr>
        <w:footnoteRef/>
      </w:r>
      <w:r>
        <w:t xml:space="preserve"> </w:t>
      </w:r>
      <w:r>
        <w:rPr>
          <w:lang w:val="en-US"/>
        </w:rPr>
        <w:t>OEB Letter, 2021 Inflation Factor, issued November 9, 2020</w:t>
      </w:r>
    </w:p>
  </w:footnote>
  <w:footnote w:id="2">
    <w:p w14:paraId="1C5D5B17" w14:textId="78C285FB" w:rsidR="005E4D5E" w:rsidRPr="005E4D5E" w:rsidRDefault="005E4D5E" w:rsidP="005E4D5E">
      <w:pPr>
        <w:pStyle w:val="FootnoteText"/>
        <w:rPr>
          <w:lang w:val="en-US"/>
        </w:rPr>
      </w:pPr>
      <w:r>
        <w:rPr>
          <w:rStyle w:val="FootnoteReference"/>
        </w:rPr>
        <w:footnoteRef/>
      </w:r>
      <w:r>
        <w:t xml:space="preserve"> EB-2020-0288, Order, issued December 10, 2020, p. 3</w:t>
      </w:r>
    </w:p>
  </w:footnote>
  <w:footnote w:id="3">
    <w:p w14:paraId="42159F3A" w14:textId="77777777" w:rsidR="005E4D5E" w:rsidRPr="005E4D5E" w:rsidRDefault="005E4D5E" w:rsidP="005E4D5E">
      <w:pPr>
        <w:pStyle w:val="FootnoteText"/>
        <w:rPr>
          <w:lang w:val="en-US"/>
        </w:rPr>
      </w:pPr>
      <w:r>
        <w:rPr>
          <w:rStyle w:val="FootnoteReference"/>
        </w:rPr>
        <w:footnoteRef/>
      </w:r>
      <w:r>
        <w:t xml:space="preserve"> EB-2020-0251, Decision and Order, issued December 17, 2020, p. 2 and Schedule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18DEF" w14:textId="77777777" w:rsidR="0031643C" w:rsidRPr="00D8346A" w:rsidRDefault="0031643C" w:rsidP="00D90524">
    <w:pPr>
      <w:pStyle w:val="Default"/>
      <w:jc w:val="right"/>
      <w:rPr>
        <w:rFonts w:ascii="Arial" w:hAnsi="Arial" w:cs="Arial"/>
        <w:sz w:val="20"/>
        <w:szCs w:val="20"/>
      </w:rPr>
    </w:pPr>
    <w:r w:rsidRPr="00D8346A">
      <w:rPr>
        <w:rFonts w:ascii="Arial" w:hAnsi="Arial" w:cs="Arial"/>
        <w:bCs/>
        <w:sz w:val="20"/>
        <w:szCs w:val="20"/>
      </w:rPr>
      <w:t>Well</w:t>
    </w:r>
    <w:r>
      <w:rPr>
        <w:rFonts w:ascii="Arial" w:hAnsi="Arial" w:cs="Arial"/>
        <w:bCs/>
        <w:sz w:val="20"/>
        <w:szCs w:val="20"/>
      </w:rPr>
      <w:t>and Hydro-Electric System Corp.</w:t>
    </w:r>
  </w:p>
  <w:p w14:paraId="330EF353" w14:textId="77777777"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OEB Staff Questions</w:t>
    </w:r>
  </w:p>
  <w:p w14:paraId="5F998766" w14:textId="009FC2B4"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EB-20</w:t>
    </w:r>
    <w:r w:rsidR="00D8395D">
      <w:rPr>
        <w:rFonts w:ascii="Arial" w:hAnsi="Arial" w:cs="Arial"/>
        <w:sz w:val="20"/>
        <w:szCs w:val="20"/>
      </w:rPr>
      <w:t>20-0060</w:t>
    </w:r>
  </w:p>
  <w:p w14:paraId="1FEC4280" w14:textId="77777777" w:rsidR="0031643C" w:rsidRPr="00D8346A" w:rsidRDefault="0031643C" w:rsidP="00D9052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1236"/>
    <w:multiLevelType w:val="hybridMultilevel"/>
    <w:tmpl w:val="8AB6F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3CB8"/>
    <w:multiLevelType w:val="hybridMultilevel"/>
    <w:tmpl w:val="1C4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37D55"/>
    <w:multiLevelType w:val="hybridMultilevel"/>
    <w:tmpl w:val="093804C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C5FD3"/>
    <w:multiLevelType w:val="hybridMultilevel"/>
    <w:tmpl w:val="DD661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A6705"/>
    <w:multiLevelType w:val="hybridMultilevel"/>
    <w:tmpl w:val="9704F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2151D"/>
    <w:multiLevelType w:val="hybridMultilevel"/>
    <w:tmpl w:val="A44A3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09B5"/>
    <w:multiLevelType w:val="hybridMultilevel"/>
    <w:tmpl w:val="1E2A9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4494E"/>
    <w:multiLevelType w:val="hybridMultilevel"/>
    <w:tmpl w:val="A426F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C3341"/>
    <w:multiLevelType w:val="hybridMultilevel"/>
    <w:tmpl w:val="D752E86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36849"/>
    <w:multiLevelType w:val="hybridMultilevel"/>
    <w:tmpl w:val="11429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85A71"/>
    <w:multiLevelType w:val="hybridMultilevel"/>
    <w:tmpl w:val="783C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42A0E"/>
    <w:multiLevelType w:val="hybridMultilevel"/>
    <w:tmpl w:val="F38AB2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95947"/>
    <w:multiLevelType w:val="hybridMultilevel"/>
    <w:tmpl w:val="C3B4472A"/>
    <w:lvl w:ilvl="0" w:tplc="8D52FB08">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13A6"/>
    <w:multiLevelType w:val="hybridMultilevel"/>
    <w:tmpl w:val="0CD0E30C"/>
    <w:lvl w:ilvl="0" w:tplc="EFE48554">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20FC1"/>
    <w:multiLevelType w:val="hybridMultilevel"/>
    <w:tmpl w:val="C5F85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5E20"/>
    <w:multiLevelType w:val="hybridMultilevel"/>
    <w:tmpl w:val="8356E18C"/>
    <w:lvl w:ilvl="0" w:tplc="04090017">
      <w:start w:val="1"/>
      <w:numFmt w:val="lowerLetter"/>
      <w:lvlText w:val="%1)"/>
      <w:lvlJc w:val="left"/>
      <w:pPr>
        <w:ind w:left="720" w:hanging="360"/>
      </w:pPr>
      <w:rPr>
        <w:rFonts w:hint="default"/>
      </w:rPr>
    </w:lvl>
    <w:lvl w:ilvl="1" w:tplc="A2228D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97B1D"/>
    <w:multiLevelType w:val="hybridMultilevel"/>
    <w:tmpl w:val="6C36D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B7F05"/>
    <w:multiLevelType w:val="hybridMultilevel"/>
    <w:tmpl w:val="6902DA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9DA4365"/>
    <w:multiLevelType w:val="hybridMultilevel"/>
    <w:tmpl w:val="5E205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50997"/>
    <w:multiLevelType w:val="hybridMultilevel"/>
    <w:tmpl w:val="B34E2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FEE87"/>
    <w:multiLevelType w:val="hybridMultilevel"/>
    <w:tmpl w:val="E1B20860"/>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4111C8"/>
    <w:multiLevelType w:val="hybridMultilevel"/>
    <w:tmpl w:val="C734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85D03"/>
    <w:multiLevelType w:val="hybridMultilevel"/>
    <w:tmpl w:val="E7D8EF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51747"/>
    <w:multiLevelType w:val="hybridMultilevel"/>
    <w:tmpl w:val="77BE2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D06143"/>
    <w:multiLevelType w:val="hybridMultilevel"/>
    <w:tmpl w:val="9954B2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9C1ABD"/>
    <w:multiLevelType w:val="hybridMultilevel"/>
    <w:tmpl w:val="11429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C205FA"/>
    <w:multiLevelType w:val="hybridMultilevel"/>
    <w:tmpl w:val="CBA40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32"/>
  </w:num>
  <w:num w:numId="4">
    <w:abstractNumId w:val="14"/>
  </w:num>
  <w:num w:numId="5">
    <w:abstractNumId w:val="19"/>
  </w:num>
  <w:num w:numId="6">
    <w:abstractNumId w:val="15"/>
  </w:num>
  <w:num w:numId="7">
    <w:abstractNumId w:val="4"/>
  </w:num>
  <w:num w:numId="8">
    <w:abstractNumId w:val="28"/>
  </w:num>
  <w:num w:numId="9">
    <w:abstractNumId w:val="17"/>
  </w:num>
  <w:num w:numId="10">
    <w:abstractNumId w:val="31"/>
  </w:num>
  <w:num w:numId="11">
    <w:abstractNumId w:val="23"/>
  </w:num>
  <w:num w:numId="12">
    <w:abstractNumId w:val="0"/>
  </w:num>
  <w:num w:numId="13">
    <w:abstractNumId w:val="16"/>
  </w:num>
  <w:num w:numId="14">
    <w:abstractNumId w:val="20"/>
  </w:num>
  <w:num w:numId="15">
    <w:abstractNumId w:val="8"/>
  </w:num>
  <w:num w:numId="16">
    <w:abstractNumId w:val="11"/>
  </w:num>
  <w:num w:numId="17">
    <w:abstractNumId w:val="27"/>
  </w:num>
  <w:num w:numId="18">
    <w:abstractNumId w:val="29"/>
  </w:num>
  <w:num w:numId="19">
    <w:abstractNumId w:val="18"/>
  </w:num>
  <w:num w:numId="20">
    <w:abstractNumId w:val="7"/>
  </w:num>
  <w:num w:numId="21">
    <w:abstractNumId w:val="3"/>
  </w:num>
  <w:num w:numId="22">
    <w:abstractNumId w:val="5"/>
  </w:num>
  <w:num w:numId="23">
    <w:abstractNumId w:val="21"/>
  </w:num>
  <w:num w:numId="24">
    <w:abstractNumId w:val="2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0"/>
  </w:num>
  <w:num w:numId="29">
    <w:abstractNumId w:val="25"/>
  </w:num>
  <w:num w:numId="30">
    <w:abstractNumId w:val="2"/>
  </w:num>
  <w:num w:numId="31">
    <w:abstractNumId w:val="12"/>
  </w:num>
  <w:num w:numId="32">
    <w:abstractNumId w:val="30"/>
  </w:num>
  <w:num w:numId="33">
    <w:abstractNumId w:val="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E9"/>
    <w:rsid w:val="000051DE"/>
    <w:rsid w:val="00005ABD"/>
    <w:rsid w:val="0000642A"/>
    <w:rsid w:val="0001019E"/>
    <w:rsid w:val="00013462"/>
    <w:rsid w:val="00017D48"/>
    <w:rsid w:val="00025DB8"/>
    <w:rsid w:val="00025FB2"/>
    <w:rsid w:val="000346B8"/>
    <w:rsid w:val="00044FF6"/>
    <w:rsid w:val="00054BD7"/>
    <w:rsid w:val="00056909"/>
    <w:rsid w:val="00060F78"/>
    <w:rsid w:val="00062331"/>
    <w:rsid w:val="00065BE5"/>
    <w:rsid w:val="00070F0D"/>
    <w:rsid w:val="00071682"/>
    <w:rsid w:val="00081633"/>
    <w:rsid w:val="00087021"/>
    <w:rsid w:val="0009021C"/>
    <w:rsid w:val="00095BB8"/>
    <w:rsid w:val="000A404D"/>
    <w:rsid w:val="000A4B3A"/>
    <w:rsid w:val="000A71A4"/>
    <w:rsid w:val="000B084B"/>
    <w:rsid w:val="000B14FC"/>
    <w:rsid w:val="000B1CE9"/>
    <w:rsid w:val="000C1575"/>
    <w:rsid w:val="000C15D3"/>
    <w:rsid w:val="000C4E38"/>
    <w:rsid w:val="000C530B"/>
    <w:rsid w:val="000D6B3D"/>
    <w:rsid w:val="000E0F1B"/>
    <w:rsid w:val="000E6D4E"/>
    <w:rsid w:val="000F6086"/>
    <w:rsid w:val="00102F87"/>
    <w:rsid w:val="00114F73"/>
    <w:rsid w:val="00125528"/>
    <w:rsid w:val="0014194F"/>
    <w:rsid w:val="00153660"/>
    <w:rsid w:val="001646F8"/>
    <w:rsid w:val="00171E87"/>
    <w:rsid w:val="00176D89"/>
    <w:rsid w:val="001771E7"/>
    <w:rsid w:val="00177B18"/>
    <w:rsid w:val="00181B1E"/>
    <w:rsid w:val="00184A68"/>
    <w:rsid w:val="00185A68"/>
    <w:rsid w:val="00187EBF"/>
    <w:rsid w:val="0019256B"/>
    <w:rsid w:val="0019796F"/>
    <w:rsid w:val="001A1011"/>
    <w:rsid w:val="001A1499"/>
    <w:rsid w:val="001A7A85"/>
    <w:rsid w:val="001C3A3C"/>
    <w:rsid w:val="001D1846"/>
    <w:rsid w:val="001D51AC"/>
    <w:rsid w:val="001F5BEE"/>
    <w:rsid w:val="00203D67"/>
    <w:rsid w:val="002169A0"/>
    <w:rsid w:val="00221B4C"/>
    <w:rsid w:val="00227FA9"/>
    <w:rsid w:val="002510AC"/>
    <w:rsid w:val="00262793"/>
    <w:rsid w:val="0029162F"/>
    <w:rsid w:val="002A71DD"/>
    <w:rsid w:val="002B378D"/>
    <w:rsid w:val="002B5639"/>
    <w:rsid w:val="002B71E2"/>
    <w:rsid w:val="002B7A74"/>
    <w:rsid w:val="002C1177"/>
    <w:rsid w:val="002C26A4"/>
    <w:rsid w:val="002C66DA"/>
    <w:rsid w:val="002E02F6"/>
    <w:rsid w:val="002E1497"/>
    <w:rsid w:val="002E4E5B"/>
    <w:rsid w:val="002F5FCE"/>
    <w:rsid w:val="0031061E"/>
    <w:rsid w:val="0031643C"/>
    <w:rsid w:val="00317EDC"/>
    <w:rsid w:val="00325A54"/>
    <w:rsid w:val="00352236"/>
    <w:rsid w:val="00355D29"/>
    <w:rsid w:val="00365EAE"/>
    <w:rsid w:val="0037610E"/>
    <w:rsid w:val="00376AAB"/>
    <w:rsid w:val="003815A6"/>
    <w:rsid w:val="003A32C1"/>
    <w:rsid w:val="003B688E"/>
    <w:rsid w:val="003B7F75"/>
    <w:rsid w:val="003B7F92"/>
    <w:rsid w:val="003C6798"/>
    <w:rsid w:val="003D25EF"/>
    <w:rsid w:val="003E2F3F"/>
    <w:rsid w:val="003E3D3C"/>
    <w:rsid w:val="003E4844"/>
    <w:rsid w:val="00400E17"/>
    <w:rsid w:val="00415F54"/>
    <w:rsid w:val="00420DB4"/>
    <w:rsid w:val="00427ADC"/>
    <w:rsid w:val="0043272E"/>
    <w:rsid w:val="00437BBF"/>
    <w:rsid w:val="004413AC"/>
    <w:rsid w:val="004507C5"/>
    <w:rsid w:val="004516FC"/>
    <w:rsid w:val="00454601"/>
    <w:rsid w:val="00456D0F"/>
    <w:rsid w:val="00457E55"/>
    <w:rsid w:val="00461EEC"/>
    <w:rsid w:val="00463E42"/>
    <w:rsid w:val="00484123"/>
    <w:rsid w:val="004841EF"/>
    <w:rsid w:val="004949BC"/>
    <w:rsid w:val="004B4EE0"/>
    <w:rsid w:val="004B51D9"/>
    <w:rsid w:val="004C22D6"/>
    <w:rsid w:val="004C43C8"/>
    <w:rsid w:val="004D121B"/>
    <w:rsid w:val="004E3673"/>
    <w:rsid w:val="004E3A6E"/>
    <w:rsid w:val="004E704F"/>
    <w:rsid w:val="004F113C"/>
    <w:rsid w:val="0050789A"/>
    <w:rsid w:val="00507D27"/>
    <w:rsid w:val="00517455"/>
    <w:rsid w:val="0052465C"/>
    <w:rsid w:val="005332CE"/>
    <w:rsid w:val="00533700"/>
    <w:rsid w:val="0053460B"/>
    <w:rsid w:val="005548F2"/>
    <w:rsid w:val="0057010A"/>
    <w:rsid w:val="00576456"/>
    <w:rsid w:val="00583E5D"/>
    <w:rsid w:val="00596189"/>
    <w:rsid w:val="005B090A"/>
    <w:rsid w:val="005B5C0B"/>
    <w:rsid w:val="005C3FD1"/>
    <w:rsid w:val="005C6BFB"/>
    <w:rsid w:val="005E4D5E"/>
    <w:rsid w:val="005E5383"/>
    <w:rsid w:val="005F6C53"/>
    <w:rsid w:val="00603BA5"/>
    <w:rsid w:val="0063330F"/>
    <w:rsid w:val="00662519"/>
    <w:rsid w:val="00665BE1"/>
    <w:rsid w:val="0067601E"/>
    <w:rsid w:val="0067770F"/>
    <w:rsid w:val="006804DF"/>
    <w:rsid w:val="00691FF3"/>
    <w:rsid w:val="006A1490"/>
    <w:rsid w:val="006B0913"/>
    <w:rsid w:val="006C51AC"/>
    <w:rsid w:val="006D347F"/>
    <w:rsid w:val="006D390D"/>
    <w:rsid w:val="006D51CB"/>
    <w:rsid w:val="006F260A"/>
    <w:rsid w:val="007454B1"/>
    <w:rsid w:val="00763283"/>
    <w:rsid w:val="00763C9C"/>
    <w:rsid w:val="00765949"/>
    <w:rsid w:val="00770586"/>
    <w:rsid w:val="00786AF2"/>
    <w:rsid w:val="00793E34"/>
    <w:rsid w:val="007A383E"/>
    <w:rsid w:val="007B7E34"/>
    <w:rsid w:val="007C2EC7"/>
    <w:rsid w:val="007C5275"/>
    <w:rsid w:val="007C5456"/>
    <w:rsid w:val="0080330D"/>
    <w:rsid w:val="00840558"/>
    <w:rsid w:val="00852D52"/>
    <w:rsid w:val="00860470"/>
    <w:rsid w:val="00873C5A"/>
    <w:rsid w:val="00873F93"/>
    <w:rsid w:val="00876152"/>
    <w:rsid w:val="0088073F"/>
    <w:rsid w:val="0088771E"/>
    <w:rsid w:val="008A1273"/>
    <w:rsid w:val="008A55E7"/>
    <w:rsid w:val="008B67C9"/>
    <w:rsid w:val="008D6776"/>
    <w:rsid w:val="008E2402"/>
    <w:rsid w:val="008E498C"/>
    <w:rsid w:val="008E7591"/>
    <w:rsid w:val="008E78AC"/>
    <w:rsid w:val="008F177B"/>
    <w:rsid w:val="008F3728"/>
    <w:rsid w:val="008F699F"/>
    <w:rsid w:val="00940E8E"/>
    <w:rsid w:val="00954AE6"/>
    <w:rsid w:val="009572B9"/>
    <w:rsid w:val="00962653"/>
    <w:rsid w:val="00994396"/>
    <w:rsid w:val="009A6AEC"/>
    <w:rsid w:val="009C5E5E"/>
    <w:rsid w:val="009D7CF2"/>
    <w:rsid w:val="00A2232D"/>
    <w:rsid w:val="00A26612"/>
    <w:rsid w:val="00A300E0"/>
    <w:rsid w:val="00A30B06"/>
    <w:rsid w:val="00A30EF5"/>
    <w:rsid w:val="00A34880"/>
    <w:rsid w:val="00A356CF"/>
    <w:rsid w:val="00A40371"/>
    <w:rsid w:val="00A426EB"/>
    <w:rsid w:val="00A5193D"/>
    <w:rsid w:val="00A60120"/>
    <w:rsid w:val="00A858AB"/>
    <w:rsid w:val="00A9419E"/>
    <w:rsid w:val="00A967DC"/>
    <w:rsid w:val="00AA117E"/>
    <w:rsid w:val="00AC2D23"/>
    <w:rsid w:val="00AD1506"/>
    <w:rsid w:val="00AE5862"/>
    <w:rsid w:val="00AF661F"/>
    <w:rsid w:val="00AF7373"/>
    <w:rsid w:val="00B06C13"/>
    <w:rsid w:val="00B13C76"/>
    <w:rsid w:val="00B164E6"/>
    <w:rsid w:val="00B238E9"/>
    <w:rsid w:val="00B315AE"/>
    <w:rsid w:val="00B3592E"/>
    <w:rsid w:val="00B6050D"/>
    <w:rsid w:val="00B60E45"/>
    <w:rsid w:val="00B62F50"/>
    <w:rsid w:val="00B65DE3"/>
    <w:rsid w:val="00B74FCE"/>
    <w:rsid w:val="00B9185C"/>
    <w:rsid w:val="00B94ABF"/>
    <w:rsid w:val="00B96736"/>
    <w:rsid w:val="00BB6875"/>
    <w:rsid w:val="00BD4ABE"/>
    <w:rsid w:val="00BF7F67"/>
    <w:rsid w:val="00C018DE"/>
    <w:rsid w:val="00C02918"/>
    <w:rsid w:val="00C02F39"/>
    <w:rsid w:val="00C03E46"/>
    <w:rsid w:val="00C06EB8"/>
    <w:rsid w:val="00C11A90"/>
    <w:rsid w:val="00C20D8E"/>
    <w:rsid w:val="00C2765C"/>
    <w:rsid w:val="00C27ACD"/>
    <w:rsid w:val="00C30E42"/>
    <w:rsid w:val="00C31401"/>
    <w:rsid w:val="00C314E4"/>
    <w:rsid w:val="00C41F6C"/>
    <w:rsid w:val="00C43EF3"/>
    <w:rsid w:val="00C66AF9"/>
    <w:rsid w:val="00C71DF6"/>
    <w:rsid w:val="00C91F63"/>
    <w:rsid w:val="00C94AA6"/>
    <w:rsid w:val="00CA5006"/>
    <w:rsid w:val="00CB4D07"/>
    <w:rsid w:val="00D145A6"/>
    <w:rsid w:val="00D1562B"/>
    <w:rsid w:val="00D157D3"/>
    <w:rsid w:val="00D25335"/>
    <w:rsid w:val="00D41A4B"/>
    <w:rsid w:val="00D52919"/>
    <w:rsid w:val="00D5599D"/>
    <w:rsid w:val="00D65499"/>
    <w:rsid w:val="00D67D0D"/>
    <w:rsid w:val="00D73C15"/>
    <w:rsid w:val="00D73D8A"/>
    <w:rsid w:val="00D7419F"/>
    <w:rsid w:val="00D8345E"/>
    <w:rsid w:val="00D8346A"/>
    <w:rsid w:val="00D8395D"/>
    <w:rsid w:val="00D90524"/>
    <w:rsid w:val="00D943D3"/>
    <w:rsid w:val="00DA5CF6"/>
    <w:rsid w:val="00DB0004"/>
    <w:rsid w:val="00DB0C03"/>
    <w:rsid w:val="00DC606E"/>
    <w:rsid w:val="00DD0D55"/>
    <w:rsid w:val="00DE04E5"/>
    <w:rsid w:val="00DE36A6"/>
    <w:rsid w:val="00DE3A97"/>
    <w:rsid w:val="00E01559"/>
    <w:rsid w:val="00E071EE"/>
    <w:rsid w:val="00E1009E"/>
    <w:rsid w:val="00E10841"/>
    <w:rsid w:val="00E307AF"/>
    <w:rsid w:val="00E421E7"/>
    <w:rsid w:val="00E45247"/>
    <w:rsid w:val="00E54ADD"/>
    <w:rsid w:val="00E5541B"/>
    <w:rsid w:val="00E7052A"/>
    <w:rsid w:val="00E74ACA"/>
    <w:rsid w:val="00E74D0C"/>
    <w:rsid w:val="00E96F56"/>
    <w:rsid w:val="00EC0D95"/>
    <w:rsid w:val="00EE7595"/>
    <w:rsid w:val="00EF596B"/>
    <w:rsid w:val="00F044FA"/>
    <w:rsid w:val="00F30E3C"/>
    <w:rsid w:val="00F502A4"/>
    <w:rsid w:val="00F51206"/>
    <w:rsid w:val="00F53868"/>
    <w:rsid w:val="00F66FBC"/>
    <w:rsid w:val="00F82B54"/>
    <w:rsid w:val="00F9681A"/>
    <w:rsid w:val="00FA15D9"/>
    <w:rsid w:val="00FD5F72"/>
    <w:rsid w:val="00FE118D"/>
    <w:rsid w:val="00FE52B4"/>
    <w:rsid w:val="00FE6E39"/>
    <w:rsid w:val="00FF5020"/>
    <w:rsid w:val="00FF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38E679"/>
  <w15:docId w15:val="{9DB55E1D-C543-4BA7-B5FB-0799B7BF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0524"/>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24"/>
  </w:style>
  <w:style w:type="paragraph" w:styleId="Footer">
    <w:name w:val="footer"/>
    <w:basedOn w:val="Normal"/>
    <w:link w:val="FooterChar"/>
    <w:uiPriority w:val="99"/>
    <w:unhideWhenUsed/>
    <w:rsid w:val="00D9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24"/>
  </w:style>
  <w:style w:type="paragraph" w:customStyle="1" w:styleId="Default">
    <w:name w:val="Default"/>
    <w:rsid w:val="00D90524"/>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2Char">
    <w:name w:val="Heading 2 Char"/>
    <w:basedOn w:val="DefaultParagraphFont"/>
    <w:link w:val="Heading2"/>
    <w:uiPriority w:val="9"/>
    <w:rsid w:val="00D90524"/>
    <w:rPr>
      <w:rFonts w:ascii="Arial" w:eastAsiaTheme="majorEastAsia" w:hAnsi="Arial" w:cstheme="majorBidi"/>
      <w:b/>
      <w:sz w:val="24"/>
      <w:szCs w:val="26"/>
    </w:rPr>
  </w:style>
  <w:style w:type="paragraph" w:styleId="ListParagraph">
    <w:name w:val="List Paragraph"/>
    <w:basedOn w:val="Normal"/>
    <w:uiPriority w:val="34"/>
    <w:qFormat/>
    <w:rsid w:val="00D25335"/>
    <w:pPr>
      <w:ind w:left="720"/>
      <w:contextualSpacing/>
    </w:pPr>
  </w:style>
  <w:style w:type="paragraph" w:styleId="NoSpacing">
    <w:name w:val="No Spacing"/>
    <w:uiPriority w:val="1"/>
    <w:qFormat/>
    <w:rsid w:val="00D25335"/>
    <w:pPr>
      <w:spacing w:after="0" w:line="240" w:lineRule="auto"/>
    </w:pPr>
  </w:style>
  <w:style w:type="paragraph" w:styleId="FootnoteText">
    <w:name w:val="footnote text"/>
    <w:basedOn w:val="Normal"/>
    <w:link w:val="FootnoteTextChar"/>
    <w:unhideWhenUsed/>
    <w:rsid w:val="00C31401"/>
    <w:pPr>
      <w:spacing w:after="0" w:line="240" w:lineRule="auto"/>
    </w:pPr>
    <w:rPr>
      <w:sz w:val="20"/>
      <w:szCs w:val="20"/>
      <w:lang w:val="en-CA"/>
    </w:rPr>
  </w:style>
  <w:style w:type="character" w:customStyle="1" w:styleId="FootnoteTextChar">
    <w:name w:val="Footnote Text Char"/>
    <w:basedOn w:val="DefaultParagraphFont"/>
    <w:link w:val="FootnoteText"/>
    <w:rsid w:val="00C31401"/>
    <w:rPr>
      <w:sz w:val="20"/>
      <w:szCs w:val="20"/>
      <w:lang w:val="en-CA"/>
    </w:rPr>
  </w:style>
  <w:style w:type="character" w:styleId="FootnoteReference">
    <w:name w:val="footnote reference"/>
    <w:basedOn w:val="DefaultParagraphFont"/>
    <w:unhideWhenUsed/>
    <w:rsid w:val="00C31401"/>
    <w:rPr>
      <w:vertAlign w:val="superscript"/>
    </w:rPr>
  </w:style>
  <w:style w:type="paragraph" w:styleId="BalloonText">
    <w:name w:val="Balloon Text"/>
    <w:basedOn w:val="Normal"/>
    <w:link w:val="BalloonTextChar"/>
    <w:uiPriority w:val="99"/>
    <w:semiHidden/>
    <w:unhideWhenUsed/>
    <w:rsid w:val="00C3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01"/>
    <w:rPr>
      <w:rFonts w:ascii="Segoe UI" w:hAnsi="Segoe UI" w:cs="Segoe UI"/>
      <w:sz w:val="18"/>
      <w:szCs w:val="18"/>
    </w:rPr>
  </w:style>
  <w:style w:type="character" w:styleId="CommentReference">
    <w:name w:val="annotation reference"/>
    <w:basedOn w:val="DefaultParagraphFont"/>
    <w:uiPriority w:val="99"/>
    <w:semiHidden/>
    <w:unhideWhenUsed/>
    <w:rsid w:val="00C31401"/>
    <w:rPr>
      <w:sz w:val="16"/>
      <w:szCs w:val="16"/>
    </w:rPr>
  </w:style>
  <w:style w:type="paragraph" w:styleId="CommentText">
    <w:name w:val="annotation text"/>
    <w:basedOn w:val="Normal"/>
    <w:link w:val="CommentTextChar"/>
    <w:uiPriority w:val="99"/>
    <w:semiHidden/>
    <w:unhideWhenUsed/>
    <w:rsid w:val="00C31401"/>
    <w:pPr>
      <w:spacing w:line="240" w:lineRule="auto"/>
    </w:pPr>
    <w:rPr>
      <w:sz w:val="20"/>
      <w:szCs w:val="20"/>
    </w:rPr>
  </w:style>
  <w:style w:type="character" w:customStyle="1" w:styleId="CommentTextChar">
    <w:name w:val="Comment Text Char"/>
    <w:basedOn w:val="DefaultParagraphFont"/>
    <w:link w:val="CommentText"/>
    <w:uiPriority w:val="99"/>
    <w:semiHidden/>
    <w:rsid w:val="00C31401"/>
    <w:rPr>
      <w:sz w:val="20"/>
      <w:szCs w:val="20"/>
    </w:rPr>
  </w:style>
  <w:style w:type="paragraph" w:styleId="CommentSubject">
    <w:name w:val="annotation subject"/>
    <w:basedOn w:val="CommentText"/>
    <w:next w:val="CommentText"/>
    <w:link w:val="CommentSubjectChar"/>
    <w:uiPriority w:val="99"/>
    <w:semiHidden/>
    <w:unhideWhenUsed/>
    <w:rsid w:val="00C31401"/>
    <w:rPr>
      <w:b/>
      <w:bCs/>
    </w:rPr>
  </w:style>
  <w:style w:type="character" w:customStyle="1" w:styleId="CommentSubjectChar">
    <w:name w:val="Comment Subject Char"/>
    <w:basedOn w:val="CommentTextChar"/>
    <w:link w:val="CommentSubject"/>
    <w:uiPriority w:val="99"/>
    <w:semiHidden/>
    <w:rsid w:val="00C314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8585">
      <w:bodyDiv w:val="1"/>
      <w:marLeft w:val="0"/>
      <w:marRight w:val="0"/>
      <w:marTop w:val="0"/>
      <w:marBottom w:val="0"/>
      <w:divBdr>
        <w:top w:val="none" w:sz="0" w:space="0" w:color="auto"/>
        <w:left w:val="none" w:sz="0" w:space="0" w:color="auto"/>
        <w:bottom w:val="none" w:sz="0" w:space="0" w:color="auto"/>
        <w:right w:val="none" w:sz="0" w:space="0" w:color="auto"/>
      </w:divBdr>
    </w:div>
    <w:div w:id="824395285">
      <w:bodyDiv w:val="1"/>
      <w:marLeft w:val="0"/>
      <w:marRight w:val="0"/>
      <w:marTop w:val="0"/>
      <w:marBottom w:val="0"/>
      <w:divBdr>
        <w:top w:val="none" w:sz="0" w:space="0" w:color="auto"/>
        <w:left w:val="none" w:sz="0" w:space="0" w:color="auto"/>
        <w:bottom w:val="none" w:sz="0" w:space="0" w:color="auto"/>
        <w:right w:val="none" w:sz="0" w:space="0" w:color="auto"/>
      </w:divBdr>
    </w:div>
    <w:div w:id="1446269581">
      <w:bodyDiv w:val="1"/>
      <w:marLeft w:val="0"/>
      <w:marRight w:val="0"/>
      <w:marTop w:val="0"/>
      <w:marBottom w:val="0"/>
      <w:divBdr>
        <w:top w:val="none" w:sz="0" w:space="0" w:color="auto"/>
        <w:left w:val="none" w:sz="0" w:space="0" w:color="auto"/>
        <w:bottom w:val="none" w:sz="0" w:space="0" w:color="auto"/>
        <w:right w:val="none" w:sz="0" w:space="0" w:color="auto"/>
      </w:divBdr>
    </w:div>
    <w:div w:id="1542473840">
      <w:bodyDiv w:val="1"/>
      <w:marLeft w:val="0"/>
      <w:marRight w:val="0"/>
      <w:marTop w:val="0"/>
      <w:marBottom w:val="0"/>
      <w:divBdr>
        <w:top w:val="none" w:sz="0" w:space="0" w:color="auto"/>
        <w:left w:val="none" w:sz="0" w:space="0" w:color="auto"/>
        <w:bottom w:val="none" w:sz="0" w:space="0" w:color="auto"/>
        <w:right w:val="none" w:sz="0" w:space="0" w:color="auto"/>
      </w:divBdr>
    </w:div>
    <w:div w:id="1597178820">
      <w:bodyDiv w:val="1"/>
      <w:marLeft w:val="0"/>
      <w:marRight w:val="0"/>
      <w:marTop w:val="0"/>
      <w:marBottom w:val="0"/>
      <w:divBdr>
        <w:top w:val="none" w:sz="0" w:space="0" w:color="auto"/>
        <w:left w:val="none" w:sz="0" w:space="0" w:color="auto"/>
        <w:bottom w:val="none" w:sz="0" w:space="0" w:color="auto"/>
        <w:right w:val="none" w:sz="0" w:space="0" w:color="auto"/>
      </w:divBdr>
    </w:div>
    <w:div w:id="1908687081">
      <w:bodyDiv w:val="1"/>
      <w:marLeft w:val="0"/>
      <w:marRight w:val="0"/>
      <w:marTop w:val="0"/>
      <w:marBottom w:val="0"/>
      <w:divBdr>
        <w:top w:val="none" w:sz="0" w:space="0" w:color="auto"/>
        <w:left w:val="none" w:sz="0" w:space="0" w:color="auto"/>
        <w:bottom w:val="none" w:sz="0" w:space="0" w:color="auto"/>
        <w:right w:val="none" w:sz="0" w:space="0" w:color="auto"/>
      </w:divBdr>
    </w:div>
    <w:div w:id="19680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AB9C-927B-49FD-A138-077C9EC5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But</dc:creator>
  <cp:lastModifiedBy>Jennifer Dionne</cp:lastModifiedBy>
  <cp:revision>13</cp:revision>
  <cp:lastPrinted>2021-01-07T19:14:00Z</cp:lastPrinted>
  <dcterms:created xsi:type="dcterms:W3CDTF">2021-01-08T12:56:00Z</dcterms:created>
  <dcterms:modified xsi:type="dcterms:W3CDTF">2021-01-08T18:46:00Z</dcterms:modified>
</cp:coreProperties>
</file>