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EC74F" w14:textId="77777777" w:rsidR="006D0151" w:rsidRDefault="006D0151" w:rsidP="003832E7">
      <w:pPr>
        <w:pStyle w:val="Default"/>
        <w:jc w:val="right"/>
        <w:rPr>
          <w:rFonts w:ascii="Arial" w:hAnsi="Arial" w:cs="Arial"/>
          <w:sz w:val="22"/>
          <w:szCs w:val="22"/>
        </w:rPr>
      </w:pPr>
    </w:p>
    <w:p w14:paraId="25A8B79D" w14:textId="29DB6787" w:rsidR="003832E7" w:rsidRPr="003832E7" w:rsidRDefault="006D0151" w:rsidP="003832E7">
      <w:pPr>
        <w:pStyle w:val="Default"/>
        <w:jc w:val="right"/>
        <w:rPr>
          <w:rFonts w:ascii="Arial" w:hAnsi="Arial" w:cs="Arial"/>
          <w:sz w:val="22"/>
          <w:szCs w:val="22"/>
        </w:rPr>
      </w:pPr>
      <w:proofErr w:type="spellStart"/>
      <w:r>
        <w:rPr>
          <w:rFonts w:ascii="Arial" w:hAnsi="Arial" w:cs="Arial"/>
          <w:sz w:val="22"/>
          <w:szCs w:val="22"/>
        </w:rPr>
        <w:t>This</w:t>
      </w:r>
      <w:r w:rsidR="00E56E07">
        <w:rPr>
          <w:rFonts w:ascii="Arial" w:hAnsi="Arial" w:cs="Arial"/>
          <w:sz w:val="22"/>
          <w:szCs w:val="22"/>
        </w:rPr>
        <w:t>Chapleau</w:t>
      </w:r>
      <w:proofErr w:type="spellEnd"/>
      <w:r w:rsidR="00E56E07">
        <w:rPr>
          <w:rFonts w:ascii="Arial" w:hAnsi="Arial" w:cs="Arial"/>
          <w:sz w:val="22"/>
          <w:szCs w:val="22"/>
        </w:rPr>
        <w:t xml:space="preserve"> Public Utilities Corporation</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4C93E2A6" w:rsidR="00A07077" w:rsidRPr="00D57E8C" w:rsidRDefault="00623602" w:rsidP="00B069AA">
      <w:pPr>
        <w:pStyle w:val="Default"/>
        <w:jc w:val="right"/>
        <w:rPr>
          <w:rFonts w:ascii="Arial" w:hAnsi="Arial" w:cs="Arial"/>
          <w:sz w:val="22"/>
          <w:szCs w:val="22"/>
        </w:rPr>
      </w:pPr>
      <w:r>
        <w:rPr>
          <w:rFonts w:ascii="Arial" w:hAnsi="Arial" w:cs="Arial"/>
          <w:sz w:val="22"/>
          <w:szCs w:val="22"/>
        </w:rPr>
        <w:t>EB-2020</w:t>
      </w:r>
      <w:r w:rsidR="009D5F4B" w:rsidRPr="00D57E8C">
        <w:rPr>
          <w:rFonts w:ascii="Arial" w:hAnsi="Arial" w:cs="Arial"/>
          <w:sz w:val="22"/>
          <w:szCs w:val="22"/>
        </w:rPr>
        <w:t>-</w:t>
      </w:r>
      <w:r w:rsidR="00E56E07">
        <w:rPr>
          <w:rFonts w:ascii="Arial" w:hAnsi="Arial" w:cs="Arial"/>
          <w:sz w:val="22"/>
          <w:szCs w:val="22"/>
        </w:rPr>
        <w:t>0011</w:t>
      </w:r>
    </w:p>
    <w:p w14:paraId="04DD1EF2" w14:textId="77777777" w:rsidR="00A07077" w:rsidRPr="00D57E8C" w:rsidRDefault="00A07077" w:rsidP="00A07077">
      <w:pPr>
        <w:pStyle w:val="Default"/>
        <w:rPr>
          <w:rFonts w:ascii="Arial" w:hAnsi="Arial" w:cs="Arial"/>
          <w:sz w:val="22"/>
          <w:szCs w:val="22"/>
        </w:rPr>
      </w:pPr>
    </w:p>
    <w:p w14:paraId="1CDBA8BB" w14:textId="60BD1DD0" w:rsidR="00E56E07" w:rsidRDefault="00E56E07" w:rsidP="00A07077">
      <w:pPr>
        <w:pStyle w:val="Default"/>
        <w:jc w:val="center"/>
        <w:rPr>
          <w:rFonts w:ascii="Arial" w:hAnsi="Arial" w:cs="Arial"/>
          <w:b/>
          <w:bCs/>
          <w:sz w:val="28"/>
          <w:szCs w:val="28"/>
        </w:rPr>
      </w:pPr>
      <w:r>
        <w:rPr>
          <w:rFonts w:ascii="Arial" w:hAnsi="Arial" w:cs="Arial"/>
          <w:b/>
          <w:bCs/>
          <w:sz w:val="28"/>
          <w:szCs w:val="28"/>
        </w:rPr>
        <w:t>Chapleau Public Ut</w:t>
      </w:r>
      <w:r w:rsidR="00CB4B83">
        <w:rPr>
          <w:rFonts w:ascii="Arial" w:hAnsi="Arial" w:cs="Arial"/>
          <w:b/>
          <w:bCs/>
          <w:sz w:val="28"/>
          <w:szCs w:val="28"/>
        </w:rPr>
        <w:t>i</w:t>
      </w:r>
      <w:r>
        <w:rPr>
          <w:rFonts w:ascii="Arial" w:hAnsi="Arial" w:cs="Arial"/>
          <w:b/>
          <w:bCs/>
          <w:sz w:val="28"/>
          <w:szCs w:val="28"/>
        </w:rPr>
        <w:t>lities Corporation</w:t>
      </w:r>
      <w:r w:rsidR="007F02BE">
        <w:rPr>
          <w:rFonts w:ascii="Arial" w:hAnsi="Arial" w:cs="Arial"/>
          <w:b/>
          <w:bCs/>
          <w:sz w:val="28"/>
          <w:szCs w:val="28"/>
        </w:rPr>
        <w:t xml:space="preserve"> (Chapleau PUC)</w:t>
      </w:r>
    </w:p>
    <w:p w14:paraId="33D6510D" w14:textId="6DB9EFD5"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E56E07">
        <w:rPr>
          <w:rFonts w:ascii="Arial" w:hAnsi="Arial" w:cs="Arial"/>
          <w:b/>
          <w:bCs/>
          <w:sz w:val="28"/>
          <w:szCs w:val="28"/>
        </w:rPr>
        <w:t>0011</w:t>
      </w:r>
    </w:p>
    <w:p w14:paraId="63C86BE8" w14:textId="77777777" w:rsidR="00511EC2" w:rsidRDefault="00511EC2" w:rsidP="00511EC2">
      <w:pPr>
        <w:spacing w:after="0" w:line="240" w:lineRule="auto"/>
        <w:rPr>
          <w:rFonts w:ascii="Arial" w:eastAsia="Calibri" w:hAnsi="Arial" w:cs="Arial"/>
          <w:lang w:val="en-US"/>
        </w:rPr>
      </w:pPr>
    </w:p>
    <w:p w14:paraId="2A0CB1B0" w14:textId="3A78B8CD"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E56E07">
        <w:rPr>
          <w:rFonts w:ascii="Arial" w:eastAsia="Calibri" w:hAnsi="Arial" w:cs="Arial"/>
          <w:sz w:val="24"/>
          <w:szCs w:val="24"/>
        </w:rPr>
        <w:t>Chapleau P</w:t>
      </w:r>
      <w:r w:rsidR="007F02BE">
        <w:rPr>
          <w:rFonts w:ascii="Arial" w:eastAsia="Calibri" w:hAnsi="Arial" w:cs="Arial"/>
          <w:sz w:val="24"/>
          <w:szCs w:val="24"/>
        </w:rPr>
        <w:t>UC</w:t>
      </w:r>
      <w:r w:rsidR="00E56E07">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0BDE8E59" w14:textId="2EF54EE5" w:rsidR="00BE4E93" w:rsidRDefault="00BE4E93" w:rsidP="00B14704">
      <w:pPr>
        <w:spacing w:after="0" w:line="240" w:lineRule="auto"/>
        <w:rPr>
          <w:rFonts w:ascii="Arial" w:hAnsi="Arial" w:cs="Arial"/>
          <w:b/>
          <w:sz w:val="24"/>
          <w:szCs w:val="24"/>
        </w:rPr>
      </w:pPr>
      <w:r>
        <w:rPr>
          <w:rFonts w:ascii="Arial" w:hAnsi="Arial" w:cs="Arial"/>
          <w:b/>
          <w:sz w:val="24"/>
          <w:szCs w:val="24"/>
        </w:rPr>
        <w:t>Staff Question-1</w:t>
      </w:r>
    </w:p>
    <w:p w14:paraId="13E06D67" w14:textId="40BCD625" w:rsidR="00BE4E93" w:rsidRDefault="00BE4E93" w:rsidP="00B14704">
      <w:pPr>
        <w:spacing w:after="0" w:line="240" w:lineRule="auto"/>
        <w:rPr>
          <w:rFonts w:ascii="Arial" w:hAnsi="Arial" w:cs="Arial"/>
          <w:b/>
          <w:sz w:val="24"/>
          <w:szCs w:val="24"/>
        </w:rPr>
      </w:pPr>
      <w:r>
        <w:rPr>
          <w:rFonts w:ascii="Arial" w:hAnsi="Arial" w:cs="Arial"/>
          <w:b/>
          <w:sz w:val="24"/>
          <w:szCs w:val="24"/>
        </w:rPr>
        <w:t xml:space="preserve">Ref: </w:t>
      </w:r>
      <w:r w:rsidR="00366252">
        <w:rPr>
          <w:rFonts w:ascii="Arial" w:hAnsi="Arial" w:cs="Arial"/>
          <w:b/>
          <w:sz w:val="24"/>
          <w:szCs w:val="24"/>
        </w:rPr>
        <w:t xml:space="preserve">A portion of </w:t>
      </w:r>
      <w:r w:rsidR="00510089">
        <w:rPr>
          <w:rFonts w:ascii="Arial" w:hAnsi="Arial" w:cs="Arial"/>
          <w:b/>
          <w:sz w:val="24"/>
          <w:szCs w:val="24"/>
        </w:rPr>
        <w:t xml:space="preserve">Revenue to Cost Ratio Workform, </w:t>
      </w:r>
      <w:r>
        <w:rPr>
          <w:rFonts w:ascii="Arial" w:hAnsi="Arial" w:cs="Arial"/>
          <w:b/>
          <w:sz w:val="24"/>
          <w:szCs w:val="24"/>
        </w:rPr>
        <w:t xml:space="preserve">Tab 6 </w:t>
      </w:r>
      <w:r w:rsidR="00366252">
        <w:rPr>
          <w:rFonts w:ascii="Arial" w:hAnsi="Arial" w:cs="Arial"/>
          <w:b/>
          <w:sz w:val="24"/>
          <w:szCs w:val="24"/>
        </w:rPr>
        <w:t>is reproduced below.</w:t>
      </w:r>
    </w:p>
    <w:p w14:paraId="744BDE54" w14:textId="1D9D209F" w:rsidR="00510089" w:rsidRDefault="00510089" w:rsidP="00B14704">
      <w:pPr>
        <w:spacing w:after="0" w:line="240" w:lineRule="auto"/>
        <w:rPr>
          <w:rFonts w:ascii="Arial" w:hAnsi="Arial" w:cs="Arial"/>
          <w:b/>
          <w:sz w:val="24"/>
          <w:szCs w:val="24"/>
        </w:rPr>
      </w:pPr>
    </w:p>
    <w:p w14:paraId="2FF94104" w14:textId="7F2BCE97" w:rsidR="00510089" w:rsidRDefault="00510089" w:rsidP="00B14704">
      <w:pPr>
        <w:spacing w:after="0" w:line="240" w:lineRule="auto"/>
        <w:rPr>
          <w:rFonts w:ascii="Arial" w:hAnsi="Arial" w:cs="Arial"/>
          <w:b/>
          <w:sz w:val="24"/>
          <w:szCs w:val="24"/>
        </w:rPr>
      </w:pPr>
      <w:r w:rsidRPr="00510089">
        <w:rPr>
          <w:noProof/>
        </w:rPr>
        <w:drawing>
          <wp:inline distT="0" distB="0" distL="0" distR="0" wp14:anchorId="4EA1788E" wp14:editId="17143E4F">
            <wp:extent cx="5943600" cy="1329690"/>
            <wp:effectExtent l="19050" t="19050" r="1905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329690"/>
                    </a:xfrm>
                    <a:prstGeom prst="rect">
                      <a:avLst/>
                    </a:prstGeom>
                    <a:ln>
                      <a:solidFill>
                        <a:schemeClr val="tx1"/>
                      </a:solidFill>
                    </a:ln>
                  </pic:spPr>
                </pic:pic>
              </a:graphicData>
            </a:graphic>
          </wp:inline>
        </w:drawing>
      </w:r>
    </w:p>
    <w:p w14:paraId="662B3B9B" w14:textId="4DC5A357" w:rsidR="00BE4E93" w:rsidRDefault="00BE4E93" w:rsidP="00B14704">
      <w:pPr>
        <w:spacing w:after="0" w:line="240" w:lineRule="auto"/>
        <w:rPr>
          <w:rFonts w:ascii="Arial" w:hAnsi="Arial" w:cs="Arial"/>
          <w:b/>
          <w:sz w:val="24"/>
          <w:szCs w:val="24"/>
        </w:rPr>
      </w:pPr>
    </w:p>
    <w:p w14:paraId="0ABED114" w14:textId="678D7001" w:rsidR="00BE4E93" w:rsidRPr="00B07D37" w:rsidRDefault="00BE4E93" w:rsidP="00B14704">
      <w:pPr>
        <w:spacing w:after="0" w:line="240" w:lineRule="auto"/>
        <w:rPr>
          <w:rFonts w:ascii="Arial" w:hAnsi="Arial" w:cs="Arial"/>
          <w:bCs/>
          <w:sz w:val="24"/>
          <w:szCs w:val="24"/>
        </w:rPr>
      </w:pPr>
      <w:r w:rsidRPr="00B07D37">
        <w:rPr>
          <w:rFonts w:ascii="Arial" w:hAnsi="Arial" w:cs="Arial"/>
          <w:bCs/>
          <w:sz w:val="24"/>
          <w:szCs w:val="24"/>
        </w:rPr>
        <w:t>Staff notes that in Tab 6, Chapleau PUC inputted the following:</w:t>
      </w:r>
    </w:p>
    <w:p w14:paraId="0300925B" w14:textId="77777777" w:rsidR="00BE4E93" w:rsidRPr="00B07D37" w:rsidRDefault="00BE4E93" w:rsidP="00B14704">
      <w:pPr>
        <w:spacing w:after="0" w:line="240" w:lineRule="auto"/>
        <w:rPr>
          <w:rFonts w:ascii="Arial" w:hAnsi="Arial" w:cs="Arial"/>
          <w:bCs/>
          <w:sz w:val="24"/>
          <w:szCs w:val="24"/>
        </w:rPr>
      </w:pPr>
    </w:p>
    <w:p w14:paraId="45616D9F" w14:textId="59093159" w:rsidR="00BE4E93" w:rsidRPr="00B07D37" w:rsidRDefault="00890EB7" w:rsidP="00BE4E93">
      <w:pPr>
        <w:pStyle w:val="ListParagraph"/>
        <w:numPr>
          <w:ilvl w:val="0"/>
          <w:numId w:val="31"/>
        </w:numPr>
        <w:spacing w:after="0" w:line="240" w:lineRule="auto"/>
        <w:rPr>
          <w:rFonts w:ascii="Arial" w:hAnsi="Arial" w:cs="Arial"/>
          <w:bCs/>
          <w:sz w:val="24"/>
          <w:szCs w:val="24"/>
        </w:rPr>
      </w:pPr>
      <w:r w:rsidRPr="00B07D37">
        <w:rPr>
          <w:rFonts w:ascii="Arial" w:hAnsi="Arial" w:cs="Arial"/>
          <w:bCs/>
          <w:sz w:val="24"/>
          <w:szCs w:val="24"/>
        </w:rPr>
        <w:t xml:space="preserve">Cell E21 </w:t>
      </w:r>
      <w:r w:rsidR="00BE4E93" w:rsidRPr="00B07D37">
        <w:rPr>
          <w:rFonts w:ascii="Arial" w:hAnsi="Arial" w:cs="Arial"/>
          <w:bCs/>
          <w:sz w:val="24"/>
          <w:szCs w:val="24"/>
        </w:rPr>
        <w:t>“Current Year 2019” which should be</w:t>
      </w:r>
      <w:r w:rsidR="00510089" w:rsidRPr="00B07D37">
        <w:rPr>
          <w:rFonts w:ascii="Arial" w:hAnsi="Arial" w:cs="Arial"/>
          <w:bCs/>
          <w:sz w:val="24"/>
          <w:szCs w:val="24"/>
        </w:rPr>
        <w:t xml:space="preserve"> </w:t>
      </w:r>
      <w:r w:rsidR="00BE4E93" w:rsidRPr="00B07D37">
        <w:rPr>
          <w:rFonts w:ascii="Arial" w:hAnsi="Arial" w:cs="Arial"/>
          <w:bCs/>
          <w:sz w:val="24"/>
          <w:szCs w:val="24"/>
        </w:rPr>
        <w:t>“Current Year 2020”</w:t>
      </w:r>
    </w:p>
    <w:p w14:paraId="32181DAB" w14:textId="2EF0B096" w:rsidR="00BE4E93" w:rsidRPr="00B07D37" w:rsidRDefault="00890EB7" w:rsidP="00BE4E93">
      <w:pPr>
        <w:pStyle w:val="ListParagraph"/>
        <w:numPr>
          <w:ilvl w:val="0"/>
          <w:numId w:val="31"/>
        </w:numPr>
        <w:spacing w:after="0" w:line="240" w:lineRule="auto"/>
        <w:rPr>
          <w:rFonts w:ascii="Arial" w:hAnsi="Arial" w:cs="Arial"/>
          <w:bCs/>
          <w:sz w:val="24"/>
          <w:szCs w:val="24"/>
        </w:rPr>
      </w:pPr>
      <w:r w:rsidRPr="00B07D37">
        <w:rPr>
          <w:rFonts w:ascii="Arial" w:hAnsi="Arial" w:cs="Arial"/>
          <w:bCs/>
          <w:sz w:val="24"/>
          <w:szCs w:val="24"/>
        </w:rPr>
        <w:t xml:space="preserve">Cell F21 </w:t>
      </w:r>
      <w:r w:rsidR="00BE4E93" w:rsidRPr="00B07D37">
        <w:rPr>
          <w:rFonts w:ascii="Arial" w:hAnsi="Arial" w:cs="Arial"/>
          <w:bCs/>
          <w:sz w:val="24"/>
          <w:szCs w:val="24"/>
        </w:rPr>
        <w:t>“Tran</w:t>
      </w:r>
      <w:r w:rsidR="007464F5">
        <w:rPr>
          <w:rFonts w:ascii="Arial" w:hAnsi="Arial" w:cs="Arial"/>
          <w:bCs/>
          <w:sz w:val="24"/>
          <w:szCs w:val="24"/>
        </w:rPr>
        <w:t>sition</w:t>
      </w:r>
      <w:r w:rsidR="00BE4E93" w:rsidRPr="00B07D37">
        <w:rPr>
          <w:rFonts w:ascii="Arial" w:hAnsi="Arial" w:cs="Arial"/>
          <w:bCs/>
          <w:sz w:val="24"/>
          <w:szCs w:val="24"/>
        </w:rPr>
        <w:t xml:space="preserve"> Year </w:t>
      </w:r>
      <w:r w:rsidR="00D2171E">
        <w:rPr>
          <w:rFonts w:ascii="Arial" w:hAnsi="Arial" w:cs="Arial"/>
          <w:bCs/>
          <w:sz w:val="24"/>
          <w:szCs w:val="24"/>
        </w:rPr>
        <w:t>1 2020</w:t>
      </w:r>
      <w:r w:rsidR="00BE4E93" w:rsidRPr="00B07D37">
        <w:rPr>
          <w:rFonts w:ascii="Arial" w:hAnsi="Arial" w:cs="Arial"/>
          <w:bCs/>
          <w:sz w:val="24"/>
          <w:szCs w:val="24"/>
        </w:rPr>
        <w:t xml:space="preserve">” </w:t>
      </w:r>
      <w:r w:rsidR="00510089" w:rsidRPr="00B07D37">
        <w:rPr>
          <w:rFonts w:ascii="Arial" w:hAnsi="Arial" w:cs="Arial"/>
          <w:bCs/>
          <w:sz w:val="24"/>
          <w:szCs w:val="24"/>
        </w:rPr>
        <w:t xml:space="preserve">which </w:t>
      </w:r>
      <w:r w:rsidR="00BE4E93" w:rsidRPr="00B07D37">
        <w:rPr>
          <w:rFonts w:ascii="Arial" w:hAnsi="Arial" w:cs="Arial"/>
          <w:bCs/>
          <w:sz w:val="24"/>
          <w:szCs w:val="24"/>
        </w:rPr>
        <w:t>should be</w:t>
      </w:r>
      <w:r w:rsidR="00510089" w:rsidRPr="00B07D37">
        <w:rPr>
          <w:rFonts w:ascii="Arial" w:hAnsi="Arial" w:cs="Arial"/>
          <w:bCs/>
          <w:sz w:val="24"/>
          <w:szCs w:val="24"/>
        </w:rPr>
        <w:t xml:space="preserve"> </w:t>
      </w:r>
      <w:r w:rsidR="00BE4E93" w:rsidRPr="00B07D37">
        <w:rPr>
          <w:rFonts w:ascii="Arial" w:hAnsi="Arial" w:cs="Arial"/>
          <w:bCs/>
          <w:sz w:val="24"/>
          <w:szCs w:val="24"/>
        </w:rPr>
        <w:t>“Tran</w:t>
      </w:r>
      <w:r w:rsidR="007464F5">
        <w:rPr>
          <w:rFonts w:ascii="Arial" w:hAnsi="Arial" w:cs="Arial"/>
          <w:bCs/>
          <w:sz w:val="24"/>
          <w:szCs w:val="24"/>
        </w:rPr>
        <w:t>sition</w:t>
      </w:r>
      <w:r w:rsidR="00BE4E93" w:rsidRPr="00B07D37">
        <w:rPr>
          <w:rFonts w:ascii="Arial" w:hAnsi="Arial" w:cs="Arial"/>
          <w:bCs/>
          <w:sz w:val="24"/>
          <w:szCs w:val="24"/>
        </w:rPr>
        <w:t xml:space="preserve"> </w:t>
      </w:r>
      <w:r w:rsidR="00D2171E">
        <w:rPr>
          <w:rFonts w:ascii="Arial" w:hAnsi="Arial" w:cs="Arial"/>
          <w:bCs/>
          <w:sz w:val="24"/>
          <w:szCs w:val="24"/>
        </w:rPr>
        <w:t>2</w:t>
      </w:r>
      <w:r w:rsidR="00BE4E93" w:rsidRPr="00B07D37">
        <w:rPr>
          <w:rFonts w:ascii="Arial" w:hAnsi="Arial" w:cs="Arial"/>
          <w:bCs/>
          <w:sz w:val="24"/>
          <w:szCs w:val="24"/>
        </w:rPr>
        <w:t xml:space="preserve"> 202</w:t>
      </w:r>
      <w:r w:rsidR="00D2171E">
        <w:rPr>
          <w:rFonts w:ascii="Arial" w:hAnsi="Arial" w:cs="Arial"/>
          <w:bCs/>
          <w:sz w:val="24"/>
          <w:szCs w:val="24"/>
        </w:rPr>
        <w:t>1</w:t>
      </w:r>
      <w:r w:rsidR="00BE4E93" w:rsidRPr="00B07D37">
        <w:rPr>
          <w:rFonts w:ascii="Arial" w:hAnsi="Arial" w:cs="Arial"/>
          <w:bCs/>
          <w:sz w:val="24"/>
          <w:szCs w:val="24"/>
        </w:rPr>
        <w:t>”</w:t>
      </w:r>
    </w:p>
    <w:p w14:paraId="6E97D484" w14:textId="00AEBF77" w:rsidR="00BE4E93" w:rsidRPr="00B07D37" w:rsidRDefault="00BE4E93" w:rsidP="00BE4E93">
      <w:pPr>
        <w:spacing w:after="0" w:line="240" w:lineRule="auto"/>
        <w:rPr>
          <w:rFonts w:ascii="Arial" w:hAnsi="Arial" w:cs="Arial"/>
          <w:bCs/>
          <w:sz w:val="24"/>
          <w:szCs w:val="24"/>
        </w:rPr>
      </w:pPr>
    </w:p>
    <w:p w14:paraId="4AF3E08B" w14:textId="410DC75B" w:rsidR="00BE4E93" w:rsidRPr="00B07D37" w:rsidRDefault="00BE4E93" w:rsidP="00BE4E93">
      <w:pPr>
        <w:spacing w:after="0" w:line="240" w:lineRule="auto"/>
        <w:rPr>
          <w:rFonts w:ascii="Arial" w:hAnsi="Arial" w:cs="Arial"/>
          <w:bCs/>
          <w:sz w:val="24"/>
          <w:szCs w:val="24"/>
        </w:rPr>
      </w:pPr>
      <w:r w:rsidRPr="00B07D37">
        <w:rPr>
          <w:rFonts w:ascii="Arial" w:hAnsi="Arial" w:cs="Arial"/>
          <w:bCs/>
          <w:sz w:val="24"/>
          <w:szCs w:val="24"/>
        </w:rPr>
        <w:t xml:space="preserve">Please update </w:t>
      </w:r>
      <w:r w:rsidR="00502E29" w:rsidRPr="00B07D37">
        <w:rPr>
          <w:rFonts w:ascii="Arial" w:hAnsi="Arial" w:cs="Arial"/>
          <w:bCs/>
          <w:sz w:val="24"/>
          <w:szCs w:val="24"/>
        </w:rPr>
        <w:t xml:space="preserve">Tab 6 to reflect </w:t>
      </w:r>
      <w:r w:rsidRPr="00B07D37">
        <w:rPr>
          <w:rFonts w:ascii="Arial" w:hAnsi="Arial" w:cs="Arial"/>
          <w:bCs/>
          <w:sz w:val="24"/>
          <w:szCs w:val="24"/>
        </w:rPr>
        <w:t xml:space="preserve">the correct data for each rate class by </w:t>
      </w:r>
      <w:r w:rsidR="00510089" w:rsidRPr="00B07D37">
        <w:rPr>
          <w:rFonts w:ascii="Arial" w:hAnsi="Arial" w:cs="Arial"/>
          <w:bCs/>
          <w:sz w:val="24"/>
          <w:szCs w:val="24"/>
        </w:rPr>
        <w:t>transferring the numbers from</w:t>
      </w:r>
      <w:r w:rsidRPr="00B07D37">
        <w:rPr>
          <w:rFonts w:ascii="Arial" w:hAnsi="Arial" w:cs="Arial"/>
          <w:bCs/>
          <w:sz w:val="24"/>
          <w:szCs w:val="24"/>
        </w:rPr>
        <w:t xml:space="preserve"> </w:t>
      </w:r>
      <w:r w:rsidR="00890EB7" w:rsidRPr="00B07D37">
        <w:rPr>
          <w:rFonts w:ascii="Arial" w:hAnsi="Arial" w:cs="Arial"/>
          <w:bCs/>
          <w:sz w:val="24"/>
          <w:szCs w:val="24"/>
        </w:rPr>
        <w:t xml:space="preserve">cells F22 to F27 </w:t>
      </w:r>
      <w:r w:rsidRPr="00B07D37">
        <w:rPr>
          <w:rFonts w:ascii="Arial" w:hAnsi="Arial" w:cs="Arial"/>
          <w:bCs/>
          <w:sz w:val="24"/>
          <w:szCs w:val="24"/>
        </w:rPr>
        <w:t xml:space="preserve">to </w:t>
      </w:r>
      <w:r w:rsidR="00510089" w:rsidRPr="00B07D37">
        <w:rPr>
          <w:rFonts w:ascii="Arial" w:hAnsi="Arial" w:cs="Arial"/>
          <w:bCs/>
          <w:sz w:val="24"/>
          <w:szCs w:val="24"/>
        </w:rPr>
        <w:t>columns E</w:t>
      </w:r>
      <w:r w:rsidR="00890EB7" w:rsidRPr="00B07D37">
        <w:rPr>
          <w:rFonts w:ascii="Arial" w:hAnsi="Arial" w:cs="Arial"/>
          <w:bCs/>
          <w:sz w:val="24"/>
          <w:szCs w:val="24"/>
        </w:rPr>
        <w:t>22</w:t>
      </w:r>
      <w:r w:rsidR="00510089" w:rsidRPr="00B07D37">
        <w:rPr>
          <w:rFonts w:ascii="Arial" w:hAnsi="Arial" w:cs="Arial"/>
          <w:bCs/>
          <w:sz w:val="24"/>
          <w:szCs w:val="24"/>
        </w:rPr>
        <w:t xml:space="preserve"> and F</w:t>
      </w:r>
      <w:r w:rsidR="00890EB7" w:rsidRPr="00B07D37">
        <w:rPr>
          <w:rFonts w:ascii="Arial" w:hAnsi="Arial" w:cs="Arial"/>
          <w:bCs/>
          <w:sz w:val="24"/>
          <w:szCs w:val="24"/>
        </w:rPr>
        <w:t>27 and from cells G22 to G27 to F22 to F27</w:t>
      </w:r>
      <w:r w:rsidRPr="00B07D37">
        <w:rPr>
          <w:rFonts w:ascii="Arial" w:hAnsi="Arial" w:cs="Arial"/>
          <w:bCs/>
          <w:sz w:val="24"/>
          <w:szCs w:val="24"/>
        </w:rPr>
        <w:t>.</w:t>
      </w:r>
    </w:p>
    <w:p w14:paraId="1AB2DA9A" w14:textId="7A2CBEDB" w:rsidR="00BE4E93" w:rsidRDefault="00BE4E93" w:rsidP="00B14704">
      <w:pPr>
        <w:spacing w:after="0" w:line="240" w:lineRule="auto"/>
        <w:rPr>
          <w:rFonts w:ascii="Arial" w:hAnsi="Arial" w:cs="Arial"/>
          <w:b/>
          <w:sz w:val="24"/>
          <w:szCs w:val="24"/>
        </w:rPr>
      </w:pPr>
    </w:p>
    <w:p w14:paraId="21A2BF1D" w14:textId="17AAC7B3" w:rsidR="006D0151" w:rsidRPr="006D0151" w:rsidRDefault="006D0151" w:rsidP="00B14704">
      <w:pPr>
        <w:spacing w:after="0" w:line="240" w:lineRule="auto"/>
        <w:rPr>
          <w:rFonts w:ascii="Arial" w:hAnsi="Arial" w:cs="Arial"/>
          <w:b/>
          <w:color w:val="FF0000"/>
          <w:sz w:val="24"/>
          <w:szCs w:val="24"/>
        </w:rPr>
      </w:pPr>
      <w:r w:rsidRPr="006D0151">
        <w:rPr>
          <w:rFonts w:ascii="Arial" w:hAnsi="Arial" w:cs="Arial"/>
          <w:b/>
          <w:color w:val="FF0000"/>
          <w:sz w:val="24"/>
          <w:szCs w:val="24"/>
        </w:rPr>
        <w:t xml:space="preserve">CPUC Response: The cells are protected and as such cannot be changed. </w:t>
      </w:r>
    </w:p>
    <w:p w14:paraId="712943AD" w14:textId="77777777" w:rsidR="00BE4E93" w:rsidRDefault="00BE4E93" w:rsidP="00B14704">
      <w:pPr>
        <w:spacing w:after="0" w:line="240" w:lineRule="auto"/>
        <w:rPr>
          <w:rFonts w:ascii="Arial" w:hAnsi="Arial" w:cs="Arial"/>
          <w:b/>
          <w:sz w:val="24"/>
          <w:szCs w:val="24"/>
        </w:rPr>
      </w:pPr>
    </w:p>
    <w:p w14:paraId="72EE0B81" w14:textId="77777777" w:rsidR="00A94F10" w:rsidRDefault="00A94F10">
      <w:pPr>
        <w:rPr>
          <w:rFonts w:ascii="Arial" w:hAnsi="Arial" w:cs="Arial"/>
          <w:b/>
          <w:sz w:val="24"/>
          <w:szCs w:val="24"/>
        </w:rPr>
      </w:pPr>
      <w:r>
        <w:rPr>
          <w:rFonts w:ascii="Arial" w:hAnsi="Arial" w:cs="Arial"/>
          <w:b/>
          <w:sz w:val="24"/>
          <w:szCs w:val="24"/>
        </w:rPr>
        <w:br w:type="page"/>
      </w:r>
    </w:p>
    <w:p w14:paraId="76788EA6" w14:textId="6F3582F6" w:rsidR="003C7F55" w:rsidRPr="00746A76" w:rsidRDefault="003C7F55" w:rsidP="00B14704">
      <w:pPr>
        <w:spacing w:after="0" w:line="240" w:lineRule="auto"/>
        <w:rPr>
          <w:rFonts w:ascii="Arial" w:hAnsi="Arial" w:cs="Arial"/>
          <w:b/>
          <w:sz w:val="24"/>
          <w:szCs w:val="24"/>
        </w:rPr>
      </w:pPr>
      <w:r>
        <w:rPr>
          <w:rFonts w:ascii="Arial" w:hAnsi="Arial" w:cs="Arial"/>
          <w:b/>
          <w:sz w:val="24"/>
          <w:szCs w:val="24"/>
        </w:rPr>
        <w:lastRenderedPageBreak/>
        <w:t>Staff</w:t>
      </w:r>
      <w:r w:rsidR="00B14704">
        <w:rPr>
          <w:rFonts w:ascii="Arial" w:hAnsi="Arial" w:cs="Arial"/>
          <w:b/>
          <w:sz w:val="24"/>
          <w:szCs w:val="24"/>
        </w:rPr>
        <w:t xml:space="preserve"> Question-</w:t>
      </w:r>
      <w:r w:rsidR="00BE4E93">
        <w:rPr>
          <w:rFonts w:ascii="Arial" w:hAnsi="Arial" w:cs="Arial"/>
          <w:b/>
          <w:sz w:val="24"/>
          <w:szCs w:val="24"/>
        </w:rPr>
        <w:t>2</w:t>
      </w:r>
      <w:r>
        <w:rPr>
          <w:rFonts w:ascii="Arial" w:hAnsi="Arial" w:cs="Arial"/>
          <w:b/>
          <w:sz w:val="24"/>
          <w:szCs w:val="24"/>
        </w:rPr>
        <w:t xml:space="preserve"> </w:t>
      </w:r>
    </w:p>
    <w:p w14:paraId="0A0562FE" w14:textId="202CC5F3" w:rsidR="003C7F55" w:rsidRDefault="003C7F55" w:rsidP="00B14704">
      <w:pPr>
        <w:tabs>
          <w:tab w:val="left" w:pos="540"/>
        </w:tabs>
        <w:spacing w:after="0" w:line="240" w:lineRule="auto"/>
        <w:ind w:left="547" w:hanging="547"/>
        <w:rPr>
          <w:rFonts w:ascii="Arial" w:hAnsi="Arial" w:cs="Arial"/>
          <w:b/>
          <w:sz w:val="24"/>
          <w:szCs w:val="24"/>
        </w:rPr>
      </w:pPr>
      <w:r w:rsidRPr="00746A76">
        <w:rPr>
          <w:rFonts w:ascii="Arial" w:hAnsi="Arial" w:cs="Arial"/>
          <w:b/>
          <w:sz w:val="24"/>
        </w:rPr>
        <w:t>Ref:</w:t>
      </w:r>
      <w:r w:rsidR="00B14704">
        <w:rPr>
          <w:rFonts w:ascii="Arial" w:hAnsi="Arial" w:cs="Arial"/>
          <w:b/>
          <w:sz w:val="24"/>
        </w:rPr>
        <w:tab/>
        <w:t xml:space="preserve">A portion of </w:t>
      </w:r>
      <w:r w:rsidR="00CB4B83">
        <w:rPr>
          <w:rFonts w:ascii="Arial" w:hAnsi="Arial" w:cs="Arial"/>
          <w:b/>
          <w:sz w:val="24"/>
        </w:rPr>
        <w:t xml:space="preserve">the </w:t>
      </w:r>
      <w:r>
        <w:rPr>
          <w:rFonts w:ascii="Arial" w:hAnsi="Arial" w:cs="Arial"/>
          <w:b/>
          <w:sz w:val="24"/>
          <w:szCs w:val="24"/>
        </w:rPr>
        <w:t>Revenue to Cost Ratio Adjustment Model, Tab 6</w:t>
      </w:r>
      <w:r w:rsidR="00B14704">
        <w:rPr>
          <w:rFonts w:ascii="Arial" w:hAnsi="Arial" w:cs="Arial"/>
          <w:b/>
          <w:sz w:val="24"/>
          <w:szCs w:val="24"/>
        </w:rPr>
        <w:t xml:space="preserve"> is reproduced below</w:t>
      </w:r>
      <w:r w:rsidR="007F02BE">
        <w:rPr>
          <w:rFonts w:ascii="Arial" w:hAnsi="Arial" w:cs="Arial"/>
          <w:b/>
          <w:sz w:val="24"/>
          <w:szCs w:val="24"/>
        </w:rPr>
        <w:t>.</w:t>
      </w:r>
    </w:p>
    <w:p w14:paraId="4CF800E6" w14:textId="70B2AC34" w:rsidR="00B14704" w:rsidRDefault="00B14704" w:rsidP="00B14704">
      <w:pPr>
        <w:tabs>
          <w:tab w:val="left" w:pos="540"/>
        </w:tabs>
        <w:spacing w:after="120"/>
        <w:ind w:left="540" w:hanging="540"/>
        <w:rPr>
          <w:rFonts w:ascii="Arial" w:hAnsi="Arial" w:cs="Arial"/>
          <w:b/>
          <w:sz w:val="24"/>
          <w:szCs w:val="24"/>
        </w:rPr>
      </w:pPr>
      <w:r w:rsidRPr="006D0151">
        <w:rPr>
          <w:rFonts w:ascii="Arial" w:hAnsi="Arial" w:cs="Arial"/>
          <w:b/>
          <w:sz w:val="24"/>
          <w:szCs w:val="24"/>
          <w:highlight w:val="yellow"/>
        </w:rPr>
        <w:t xml:space="preserve">Ref: A portion of </w:t>
      </w:r>
      <w:r w:rsidR="007F02BE" w:rsidRPr="006D0151">
        <w:rPr>
          <w:rFonts w:ascii="Arial" w:hAnsi="Arial" w:cs="Arial"/>
          <w:b/>
          <w:sz w:val="24"/>
          <w:szCs w:val="24"/>
          <w:highlight w:val="yellow"/>
        </w:rPr>
        <w:t xml:space="preserve">Chapleau PUC’s 2017 CoS proceeding </w:t>
      </w:r>
      <w:r w:rsidRPr="006D0151">
        <w:rPr>
          <w:rFonts w:ascii="Arial" w:hAnsi="Arial" w:cs="Arial"/>
          <w:b/>
          <w:sz w:val="24"/>
          <w:szCs w:val="24"/>
          <w:highlight w:val="yellow"/>
        </w:rPr>
        <w:t xml:space="preserve">Decision &amp; Rate Order, </w:t>
      </w:r>
      <w:proofErr w:type="gramStart"/>
      <w:r w:rsidR="007F02BE" w:rsidRPr="006D0151">
        <w:rPr>
          <w:rFonts w:ascii="Arial" w:hAnsi="Arial" w:cs="Arial"/>
          <w:b/>
          <w:sz w:val="24"/>
          <w:szCs w:val="24"/>
          <w:highlight w:val="yellow"/>
        </w:rPr>
        <w:t>is</w:t>
      </w:r>
      <w:r w:rsidR="00CB4B83" w:rsidRPr="006D0151">
        <w:rPr>
          <w:rFonts w:ascii="Arial" w:hAnsi="Arial" w:cs="Arial"/>
          <w:b/>
          <w:sz w:val="24"/>
          <w:szCs w:val="24"/>
          <w:highlight w:val="yellow"/>
        </w:rPr>
        <w:t xml:space="preserve"> </w:t>
      </w:r>
      <w:r w:rsidR="007F02BE" w:rsidRPr="006D0151">
        <w:rPr>
          <w:rFonts w:ascii="Arial" w:hAnsi="Arial" w:cs="Arial"/>
          <w:b/>
          <w:sz w:val="24"/>
          <w:szCs w:val="24"/>
          <w:highlight w:val="yellow"/>
        </w:rPr>
        <w:t xml:space="preserve"> reproduced</w:t>
      </w:r>
      <w:proofErr w:type="gramEnd"/>
      <w:r w:rsidR="007F02BE" w:rsidRPr="006D0151">
        <w:rPr>
          <w:rFonts w:ascii="Arial" w:hAnsi="Arial" w:cs="Arial"/>
          <w:b/>
          <w:sz w:val="24"/>
          <w:szCs w:val="24"/>
          <w:highlight w:val="yellow"/>
        </w:rPr>
        <w:t xml:space="preserve"> below.</w:t>
      </w:r>
    </w:p>
    <w:p w14:paraId="0438300A" w14:textId="3EB63A04" w:rsidR="00B14704" w:rsidRPr="00B14704" w:rsidRDefault="00B14704" w:rsidP="00B14704">
      <w:pPr>
        <w:spacing w:after="120"/>
        <w:jc w:val="center"/>
        <w:rPr>
          <w:rFonts w:ascii="Arial" w:hAnsi="Arial" w:cs="Arial"/>
          <w:b/>
          <w:sz w:val="20"/>
          <w:szCs w:val="20"/>
        </w:rPr>
      </w:pPr>
      <w:r w:rsidRPr="00B14704">
        <w:rPr>
          <w:rFonts w:ascii="Arial" w:hAnsi="Arial" w:cs="Arial"/>
          <w:b/>
          <w:sz w:val="20"/>
          <w:szCs w:val="20"/>
        </w:rPr>
        <w:t>Revenue to Cost Ratio, Tab 6. Decision Cost Revenue Adj</w:t>
      </w:r>
    </w:p>
    <w:p w14:paraId="6A1BA458" w14:textId="4AF4769F" w:rsidR="00B14704" w:rsidRDefault="00B14704" w:rsidP="003C7F55">
      <w:pPr>
        <w:spacing w:after="120"/>
        <w:rPr>
          <w:rFonts w:ascii="Arial" w:hAnsi="Arial" w:cs="Arial"/>
          <w:b/>
          <w:sz w:val="24"/>
          <w:szCs w:val="24"/>
        </w:rPr>
      </w:pPr>
      <w:r w:rsidRPr="00B14704">
        <w:rPr>
          <w:noProof/>
        </w:rPr>
        <w:drawing>
          <wp:inline distT="0" distB="0" distL="0" distR="0" wp14:anchorId="1F7796EB" wp14:editId="3BD565A9">
            <wp:extent cx="6508102" cy="1145871"/>
            <wp:effectExtent l="19050" t="19050" r="26670"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23214" cy="1148532"/>
                    </a:xfrm>
                    <a:prstGeom prst="rect">
                      <a:avLst/>
                    </a:prstGeom>
                    <a:ln>
                      <a:solidFill>
                        <a:schemeClr val="tx1"/>
                      </a:solidFill>
                    </a:ln>
                  </pic:spPr>
                </pic:pic>
              </a:graphicData>
            </a:graphic>
          </wp:inline>
        </w:drawing>
      </w:r>
    </w:p>
    <w:p w14:paraId="67E3BBA8" w14:textId="34EDDB21" w:rsidR="00B14704" w:rsidRDefault="00B14704" w:rsidP="003C7F55">
      <w:pPr>
        <w:spacing w:after="120"/>
        <w:rPr>
          <w:rFonts w:ascii="Arial" w:hAnsi="Arial" w:cs="Arial"/>
          <w:b/>
          <w:sz w:val="24"/>
        </w:rPr>
      </w:pPr>
    </w:p>
    <w:p w14:paraId="23FC6133" w14:textId="50B17C21" w:rsidR="00B14704" w:rsidRPr="00B14704" w:rsidRDefault="007F02BE" w:rsidP="00B14704">
      <w:pPr>
        <w:spacing w:after="120"/>
        <w:jc w:val="center"/>
        <w:rPr>
          <w:rFonts w:ascii="Arial" w:hAnsi="Arial" w:cs="Arial"/>
          <w:b/>
        </w:rPr>
      </w:pPr>
      <w:r>
        <w:rPr>
          <w:rFonts w:ascii="Arial" w:hAnsi="Arial" w:cs="Arial"/>
          <w:b/>
        </w:rPr>
        <w:t xml:space="preserve">2017 CoS proceeding </w:t>
      </w:r>
      <w:r w:rsidR="00B14704" w:rsidRPr="00B14704">
        <w:rPr>
          <w:rFonts w:ascii="Arial" w:hAnsi="Arial" w:cs="Arial"/>
          <w:b/>
        </w:rPr>
        <w:t>Decision &amp; Rate Order</w:t>
      </w:r>
    </w:p>
    <w:p w14:paraId="1B010604" w14:textId="5CD4F388" w:rsidR="00B14704" w:rsidRDefault="007F02BE" w:rsidP="007F02BE">
      <w:pPr>
        <w:spacing w:after="120"/>
        <w:jc w:val="center"/>
        <w:rPr>
          <w:rFonts w:ascii="Arial" w:hAnsi="Arial" w:cs="Arial"/>
          <w:b/>
          <w:sz w:val="24"/>
        </w:rPr>
      </w:pPr>
      <w:r w:rsidRPr="007F02BE">
        <w:rPr>
          <w:noProof/>
        </w:rPr>
        <w:drawing>
          <wp:inline distT="0" distB="0" distL="0" distR="0" wp14:anchorId="79ADDE81" wp14:editId="1E3DE2F1">
            <wp:extent cx="5000000" cy="15523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0000" cy="1552381"/>
                    </a:xfrm>
                    <a:prstGeom prst="rect">
                      <a:avLst/>
                    </a:prstGeom>
                  </pic:spPr>
                </pic:pic>
              </a:graphicData>
            </a:graphic>
          </wp:inline>
        </w:drawing>
      </w:r>
    </w:p>
    <w:p w14:paraId="0BB35CB4" w14:textId="2BE992DE" w:rsidR="003C7F55" w:rsidRDefault="003C7F55" w:rsidP="003C7F55">
      <w:pPr>
        <w:rPr>
          <w:rFonts w:ascii="Arial" w:hAnsi="Arial" w:cs="Arial"/>
          <w:sz w:val="24"/>
          <w:szCs w:val="24"/>
        </w:rPr>
      </w:pPr>
      <w:r>
        <w:rPr>
          <w:rFonts w:ascii="Arial" w:hAnsi="Arial" w:cs="Arial"/>
          <w:sz w:val="24"/>
          <w:szCs w:val="24"/>
        </w:rPr>
        <w:t>In tab 6 of the Revenue to Cost Ratio Adjustment model, the revenue to cost ratio entered for the</w:t>
      </w:r>
      <w:r w:rsidR="007F02BE">
        <w:rPr>
          <w:rFonts w:ascii="Arial" w:hAnsi="Arial" w:cs="Arial"/>
          <w:sz w:val="24"/>
          <w:szCs w:val="24"/>
        </w:rPr>
        <w:t xml:space="preserve"> Unmetered Scattered Load Service Class</w:t>
      </w:r>
      <w:r>
        <w:rPr>
          <w:rFonts w:ascii="Arial" w:hAnsi="Arial" w:cs="Arial"/>
          <w:sz w:val="24"/>
          <w:szCs w:val="24"/>
        </w:rPr>
        <w:t xml:space="preserve"> for 20</w:t>
      </w:r>
      <w:r w:rsidR="007F02BE">
        <w:rPr>
          <w:rFonts w:ascii="Arial" w:hAnsi="Arial" w:cs="Arial"/>
          <w:sz w:val="24"/>
          <w:szCs w:val="24"/>
        </w:rPr>
        <w:t>21</w:t>
      </w:r>
      <w:r>
        <w:rPr>
          <w:rFonts w:ascii="Arial" w:hAnsi="Arial" w:cs="Arial"/>
          <w:sz w:val="24"/>
          <w:szCs w:val="24"/>
        </w:rPr>
        <w:t xml:space="preserve"> is </w:t>
      </w:r>
      <w:r w:rsidR="007F02BE">
        <w:rPr>
          <w:rFonts w:ascii="Arial" w:hAnsi="Arial" w:cs="Arial"/>
          <w:sz w:val="24"/>
          <w:szCs w:val="24"/>
        </w:rPr>
        <w:t>0</w:t>
      </w:r>
      <w:r>
        <w:rPr>
          <w:rFonts w:ascii="Arial" w:hAnsi="Arial" w:cs="Arial"/>
          <w:sz w:val="24"/>
          <w:szCs w:val="24"/>
        </w:rPr>
        <w:t xml:space="preserve">.00%. On page </w:t>
      </w:r>
      <w:r w:rsidR="007F02BE">
        <w:rPr>
          <w:rFonts w:ascii="Arial" w:hAnsi="Arial" w:cs="Arial"/>
          <w:sz w:val="24"/>
          <w:szCs w:val="24"/>
        </w:rPr>
        <w:t>37</w:t>
      </w:r>
      <w:r>
        <w:rPr>
          <w:rFonts w:ascii="Arial" w:hAnsi="Arial" w:cs="Arial"/>
          <w:sz w:val="24"/>
          <w:szCs w:val="24"/>
        </w:rPr>
        <w:t xml:space="preserve"> of the </w:t>
      </w:r>
      <w:r w:rsidR="007F02BE">
        <w:rPr>
          <w:rFonts w:ascii="Arial" w:hAnsi="Arial" w:cs="Arial"/>
          <w:sz w:val="24"/>
          <w:szCs w:val="24"/>
        </w:rPr>
        <w:t xml:space="preserve">Decision and Rate </w:t>
      </w:r>
      <w:r>
        <w:rPr>
          <w:rFonts w:ascii="Arial" w:hAnsi="Arial" w:cs="Arial"/>
          <w:sz w:val="24"/>
          <w:szCs w:val="24"/>
        </w:rPr>
        <w:t>Order filed in</w:t>
      </w:r>
      <w:r w:rsidR="007F02BE">
        <w:rPr>
          <w:rFonts w:ascii="Arial" w:hAnsi="Arial" w:cs="Arial"/>
          <w:sz w:val="24"/>
          <w:szCs w:val="24"/>
        </w:rPr>
        <w:t xml:space="preserve"> Chapleau PUCs</w:t>
      </w:r>
      <w:r>
        <w:rPr>
          <w:rFonts w:ascii="Arial" w:hAnsi="Arial" w:cs="Arial"/>
          <w:sz w:val="24"/>
          <w:szCs w:val="24"/>
        </w:rPr>
        <w:t>’ 2017 CoS proceeding</w:t>
      </w:r>
      <w:r w:rsidR="007F02BE">
        <w:rPr>
          <w:rStyle w:val="FootnoteReference"/>
          <w:rFonts w:ascii="Arial" w:hAnsi="Arial" w:cs="Arial"/>
          <w:sz w:val="24"/>
          <w:szCs w:val="24"/>
        </w:rPr>
        <w:footnoteReference w:id="1"/>
      </w:r>
      <w:r w:rsidR="007F02BE">
        <w:rPr>
          <w:rFonts w:ascii="Arial" w:hAnsi="Arial" w:cs="Arial"/>
          <w:sz w:val="24"/>
          <w:szCs w:val="24"/>
        </w:rPr>
        <w:t>,</w:t>
      </w:r>
      <w:r>
        <w:rPr>
          <w:rFonts w:ascii="Arial" w:hAnsi="Arial" w:cs="Arial"/>
          <w:sz w:val="24"/>
          <w:szCs w:val="24"/>
        </w:rPr>
        <w:t xml:space="preserve"> it</w:t>
      </w:r>
      <w:r w:rsidR="007F02BE">
        <w:rPr>
          <w:rFonts w:ascii="Arial" w:hAnsi="Arial" w:cs="Arial"/>
          <w:sz w:val="24"/>
          <w:szCs w:val="24"/>
        </w:rPr>
        <w:t xml:space="preserve"> i</w:t>
      </w:r>
      <w:r>
        <w:rPr>
          <w:rFonts w:ascii="Arial" w:hAnsi="Arial" w:cs="Arial"/>
          <w:sz w:val="24"/>
          <w:szCs w:val="24"/>
        </w:rPr>
        <w:t xml:space="preserve">s noted that the revenue to cost ratio for the </w:t>
      </w:r>
      <w:r w:rsidR="007F02BE">
        <w:rPr>
          <w:rFonts w:ascii="Arial" w:hAnsi="Arial" w:cs="Arial"/>
          <w:sz w:val="24"/>
          <w:szCs w:val="24"/>
        </w:rPr>
        <w:t xml:space="preserve">Unmetered Scattered Load </w:t>
      </w:r>
      <w:r>
        <w:rPr>
          <w:rFonts w:ascii="Arial" w:hAnsi="Arial" w:cs="Arial"/>
          <w:sz w:val="24"/>
          <w:szCs w:val="24"/>
        </w:rPr>
        <w:t>Class for year 20</w:t>
      </w:r>
      <w:r w:rsidR="007F02BE">
        <w:rPr>
          <w:rFonts w:ascii="Arial" w:hAnsi="Arial" w:cs="Arial"/>
          <w:sz w:val="24"/>
          <w:szCs w:val="24"/>
        </w:rPr>
        <w:t>21</w:t>
      </w:r>
      <w:r>
        <w:rPr>
          <w:rFonts w:ascii="Arial" w:hAnsi="Arial" w:cs="Arial"/>
          <w:sz w:val="24"/>
          <w:szCs w:val="24"/>
        </w:rPr>
        <w:t xml:space="preserve"> is 1</w:t>
      </w:r>
      <w:r w:rsidR="007F02BE">
        <w:rPr>
          <w:rFonts w:ascii="Arial" w:hAnsi="Arial" w:cs="Arial"/>
          <w:sz w:val="24"/>
          <w:szCs w:val="24"/>
        </w:rPr>
        <w:t>20.0</w:t>
      </w:r>
      <w:r>
        <w:rPr>
          <w:rFonts w:ascii="Arial" w:hAnsi="Arial" w:cs="Arial"/>
          <w:sz w:val="24"/>
          <w:szCs w:val="24"/>
        </w:rPr>
        <w:t xml:space="preserve">%. </w:t>
      </w:r>
    </w:p>
    <w:p w14:paraId="7AF8223B" w14:textId="21153039" w:rsidR="003C7F55" w:rsidRDefault="003C7F55" w:rsidP="003C7F55">
      <w:pPr>
        <w:pStyle w:val="ListParagraph"/>
        <w:numPr>
          <w:ilvl w:val="0"/>
          <w:numId w:val="29"/>
        </w:numPr>
        <w:spacing w:after="160" w:line="259" w:lineRule="auto"/>
        <w:rPr>
          <w:rFonts w:ascii="Arial" w:hAnsi="Arial" w:cs="Arial"/>
          <w:sz w:val="24"/>
          <w:szCs w:val="24"/>
        </w:rPr>
      </w:pPr>
      <w:r w:rsidRPr="00903021">
        <w:rPr>
          <w:rFonts w:ascii="Arial" w:hAnsi="Arial" w:cs="Arial"/>
          <w:sz w:val="24"/>
          <w:szCs w:val="24"/>
        </w:rPr>
        <w:t>Please provide an explanation for the discrepancy in this ratio</w:t>
      </w:r>
      <w:r>
        <w:rPr>
          <w:rFonts w:ascii="Arial" w:hAnsi="Arial" w:cs="Arial"/>
          <w:sz w:val="24"/>
          <w:szCs w:val="24"/>
        </w:rPr>
        <w:t xml:space="preserve"> (as shown </w:t>
      </w:r>
      <w:r w:rsidR="007F02BE">
        <w:rPr>
          <w:rFonts w:ascii="Arial" w:hAnsi="Arial" w:cs="Arial"/>
          <w:sz w:val="24"/>
          <w:szCs w:val="24"/>
        </w:rPr>
        <w:t>w</w:t>
      </w:r>
      <w:r>
        <w:rPr>
          <w:rFonts w:ascii="Arial" w:hAnsi="Arial" w:cs="Arial"/>
          <w:sz w:val="24"/>
          <w:szCs w:val="24"/>
        </w:rPr>
        <w:t>ith red arrows)</w:t>
      </w:r>
      <w:r w:rsidRPr="00903021">
        <w:rPr>
          <w:rFonts w:ascii="Arial" w:hAnsi="Arial" w:cs="Arial"/>
          <w:sz w:val="24"/>
          <w:szCs w:val="24"/>
        </w:rPr>
        <w:t>. If this revenue to cost ratio needs to be revised, please file an updated Revenue to Cost Ratio Adjustment model</w:t>
      </w:r>
      <w:r>
        <w:rPr>
          <w:rFonts w:ascii="Arial" w:hAnsi="Arial" w:cs="Arial"/>
          <w:sz w:val="24"/>
          <w:szCs w:val="24"/>
        </w:rPr>
        <w:t>, and an updated 20</w:t>
      </w:r>
      <w:r w:rsidR="007F02BE">
        <w:rPr>
          <w:rFonts w:ascii="Arial" w:hAnsi="Arial" w:cs="Arial"/>
          <w:sz w:val="24"/>
          <w:szCs w:val="24"/>
        </w:rPr>
        <w:t>21</w:t>
      </w:r>
      <w:r>
        <w:rPr>
          <w:rFonts w:ascii="Arial" w:hAnsi="Arial" w:cs="Arial"/>
          <w:sz w:val="24"/>
          <w:szCs w:val="24"/>
        </w:rPr>
        <w:t xml:space="preserve"> IRM Rate Generator model</w:t>
      </w:r>
      <w:r w:rsidRPr="00903021">
        <w:rPr>
          <w:rFonts w:ascii="Arial" w:hAnsi="Arial" w:cs="Arial"/>
          <w:sz w:val="24"/>
          <w:szCs w:val="24"/>
        </w:rPr>
        <w:t xml:space="preserve">. </w:t>
      </w:r>
    </w:p>
    <w:p w14:paraId="1D0AB11D" w14:textId="2BC2AF5F" w:rsidR="003C7F55" w:rsidRDefault="003C7F55" w:rsidP="008E6045">
      <w:pPr>
        <w:rPr>
          <w:rFonts w:ascii="Arial" w:hAnsi="Arial" w:cs="Arial"/>
          <w:b/>
          <w:sz w:val="24"/>
          <w:szCs w:val="24"/>
        </w:rPr>
      </w:pPr>
    </w:p>
    <w:p w14:paraId="18446197" w14:textId="7D2CF6C9" w:rsidR="00923D5F" w:rsidRDefault="006D0151" w:rsidP="006D0151">
      <w:pPr>
        <w:spacing w:after="0" w:line="240" w:lineRule="auto"/>
        <w:rPr>
          <w:rFonts w:ascii="Arial" w:hAnsi="Arial" w:cs="Arial"/>
          <w:b/>
          <w:color w:val="FF0000"/>
          <w:sz w:val="24"/>
          <w:szCs w:val="24"/>
        </w:rPr>
      </w:pPr>
      <w:r w:rsidRPr="006D0151">
        <w:rPr>
          <w:rFonts w:ascii="Arial" w:hAnsi="Arial" w:cs="Arial"/>
          <w:b/>
          <w:color w:val="FF0000"/>
          <w:sz w:val="24"/>
          <w:szCs w:val="24"/>
        </w:rPr>
        <w:t xml:space="preserve">CPUC Response: </w:t>
      </w:r>
      <w:r>
        <w:rPr>
          <w:rFonts w:ascii="Arial" w:hAnsi="Arial" w:cs="Arial"/>
          <w:b/>
          <w:color w:val="FF0000"/>
          <w:sz w:val="24"/>
          <w:szCs w:val="24"/>
        </w:rPr>
        <w:t>CPUC</w:t>
      </w:r>
      <w:r w:rsidR="00923D5F">
        <w:rPr>
          <w:rFonts w:ascii="Arial" w:hAnsi="Arial" w:cs="Arial"/>
          <w:b/>
          <w:color w:val="FF0000"/>
          <w:sz w:val="24"/>
          <w:szCs w:val="24"/>
        </w:rPr>
        <w:t xml:space="preserve"> </w:t>
      </w:r>
      <w:r>
        <w:rPr>
          <w:rFonts w:ascii="Arial" w:hAnsi="Arial" w:cs="Arial"/>
          <w:b/>
          <w:color w:val="FF0000"/>
          <w:sz w:val="24"/>
          <w:szCs w:val="24"/>
        </w:rPr>
        <w:t xml:space="preserve">notes that its Cost of Service was approved in 2019 – not 2017.  </w:t>
      </w:r>
    </w:p>
    <w:p w14:paraId="56D01E83" w14:textId="5FF6ADA5" w:rsidR="006D0151" w:rsidRDefault="00923D5F" w:rsidP="006D0151">
      <w:pPr>
        <w:spacing w:after="0" w:line="240" w:lineRule="auto"/>
        <w:rPr>
          <w:rFonts w:ascii="Arial" w:hAnsi="Arial" w:cs="Arial"/>
          <w:b/>
          <w:color w:val="FF0000"/>
          <w:sz w:val="24"/>
          <w:szCs w:val="24"/>
        </w:rPr>
      </w:pPr>
      <w:r>
        <w:rPr>
          <w:rFonts w:ascii="Arial" w:hAnsi="Arial" w:cs="Arial"/>
          <w:b/>
          <w:color w:val="FF0000"/>
          <w:sz w:val="24"/>
          <w:szCs w:val="24"/>
        </w:rPr>
        <w:t>In the OEB model, once</w:t>
      </w:r>
      <w:r w:rsidR="006D0151">
        <w:rPr>
          <w:rFonts w:ascii="Arial" w:hAnsi="Arial" w:cs="Arial"/>
          <w:b/>
          <w:color w:val="FF0000"/>
          <w:sz w:val="24"/>
          <w:szCs w:val="24"/>
        </w:rPr>
        <w:t xml:space="preserve"> the desired ratio has been reached, subsequent ratios are shown as 0% and as such, 2021 should show 0%.</w:t>
      </w:r>
      <w:r w:rsidRPr="00923D5F">
        <w:rPr>
          <w:rFonts w:ascii="Arial" w:hAnsi="Arial" w:cs="Arial"/>
          <w:b/>
          <w:color w:val="FF0000"/>
          <w:sz w:val="24"/>
          <w:szCs w:val="24"/>
        </w:rPr>
        <w:t xml:space="preserve"> </w:t>
      </w:r>
    </w:p>
    <w:p w14:paraId="157070FB" w14:textId="0AFA6CA5" w:rsidR="00923D5F" w:rsidRDefault="00923D5F" w:rsidP="006D0151">
      <w:pPr>
        <w:spacing w:after="0" w:line="240" w:lineRule="auto"/>
        <w:rPr>
          <w:rFonts w:ascii="Arial" w:hAnsi="Arial" w:cs="Arial"/>
          <w:b/>
          <w:color w:val="FF0000"/>
          <w:sz w:val="24"/>
          <w:szCs w:val="24"/>
        </w:rPr>
      </w:pPr>
      <w:r>
        <w:rPr>
          <w:rFonts w:ascii="Arial" w:hAnsi="Arial" w:cs="Arial"/>
          <w:b/>
          <w:color w:val="FF0000"/>
          <w:sz w:val="24"/>
          <w:szCs w:val="24"/>
        </w:rPr>
        <w:lastRenderedPageBreak/>
        <w:t>If this interpretation is incorrect, the Residential, USL and Street</w:t>
      </w:r>
      <w:r w:rsidR="00B8390F">
        <w:rPr>
          <w:rFonts w:ascii="Arial" w:hAnsi="Arial" w:cs="Arial"/>
          <w:b/>
          <w:color w:val="FF0000"/>
          <w:sz w:val="24"/>
          <w:szCs w:val="24"/>
        </w:rPr>
        <w:t xml:space="preserve"> </w:t>
      </w:r>
      <w:r>
        <w:rPr>
          <w:rFonts w:ascii="Arial" w:hAnsi="Arial" w:cs="Arial"/>
          <w:b/>
          <w:color w:val="FF0000"/>
          <w:sz w:val="24"/>
          <w:szCs w:val="24"/>
        </w:rPr>
        <w:t xml:space="preserve">Lighting should </w:t>
      </w:r>
      <w:r w:rsidR="00B8390F">
        <w:rPr>
          <w:rFonts w:ascii="Arial" w:hAnsi="Arial" w:cs="Arial"/>
          <w:b/>
          <w:color w:val="FF0000"/>
          <w:sz w:val="24"/>
          <w:szCs w:val="24"/>
        </w:rPr>
        <w:t xml:space="preserve"> then </w:t>
      </w:r>
      <w:r>
        <w:rPr>
          <w:rFonts w:ascii="Arial" w:hAnsi="Arial" w:cs="Arial"/>
          <w:b/>
          <w:color w:val="FF0000"/>
          <w:sz w:val="24"/>
          <w:szCs w:val="24"/>
        </w:rPr>
        <w:t>all be modified to show the final adjustment. Pease advise</w:t>
      </w:r>
      <w:r w:rsidR="00B8390F">
        <w:rPr>
          <w:rFonts w:ascii="Arial" w:hAnsi="Arial" w:cs="Arial"/>
          <w:b/>
          <w:color w:val="FF0000"/>
          <w:sz w:val="24"/>
          <w:szCs w:val="24"/>
        </w:rPr>
        <w:t xml:space="preserve"> on how to proceed. </w:t>
      </w:r>
    </w:p>
    <w:p w14:paraId="28428CA3" w14:textId="1C1A1B7D" w:rsidR="00923D5F" w:rsidRDefault="00923D5F" w:rsidP="006D0151">
      <w:pPr>
        <w:spacing w:after="0" w:line="240" w:lineRule="auto"/>
        <w:rPr>
          <w:rFonts w:ascii="Arial" w:hAnsi="Arial" w:cs="Arial"/>
          <w:b/>
          <w:color w:val="FF0000"/>
          <w:sz w:val="24"/>
          <w:szCs w:val="24"/>
        </w:rPr>
      </w:pPr>
    </w:p>
    <w:p w14:paraId="309D4ED2" w14:textId="6D45F6B9" w:rsidR="00923D5F" w:rsidRPr="006D0151" w:rsidRDefault="00923D5F" w:rsidP="006D0151">
      <w:pPr>
        <w:spacing w:after="0" w:line="240" w:lineRule="auto"/>
        <w:rPr>
          <w:rFonts w:ascii="Arial" w:hAnsi="Arial" w:cs="Arial"/>
          <w:b/>
          <w:color w:val="FF0000"/>
          <w:sz w:val="24"/>
          <w:szCs w:val="24"/>
        </w:rPr>
      </w:pPr>
      <w:r>
        <w:rPr>
          <w:noProof/>
        </w:rPr>
        <w:drawing>
          <wp:inline distT="0" distB="0" distL="0" distR="0" wp14:anchorId="3016F65E" wp14:editId="074CC39B">
            <wp:extent cx="5943600" cy="1036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036320"/>
                    </a:xfrm>
                    <a:prstGeom prst="rect">
                      <a:avLst/>
                    </a:prstGeom>
                  </pic:spPr>
                </pic:pic>
              </a:graphicData>
            </a:graphic>
          </wp:inline>
        </w:drawing>
      </w:r>
    </w:p>
    <w:p w14:paraId="46A52B6E" w14:textId="77777777" w:rsidR="006D0151" w:rsidRDefault="006D0151" w:rsidP="00707413">
      <w:pPr>
        <w:spacing w:after="0" w:line="240" w:lineRule="auto"/>
        <w:rPr>
          <w:rFonts w:ascii="Arial" w:hAnsi="Arial" w:cs="Arial"/>
          <w:b/>
          <w:sz w:val="24"/>
          <w:szCs w:val="24"/>
        </w:rPr>
      </w:pPr>
    </w:p>
    <w:p w14:paraId="6B3CB0F0" w14:textId="14742466" w:rsidR="00226BBA" w:rsidRDefault="00226BBA" w:rsidP="00707413">
      <w:pPr>
        <w:spacing w:after="0" w:line="240" w:lineRule="auto"/>
        <w:rPr>
          <w:rFonts w:ascii="Arial" w:hAnsi="Arial" w:cs="Arial"/>
          <w:b/>
          <w:sz w:val="24"/>
          <w:szCs w:val="24"/>
        </w:rPr>
      </w:pPr>
      <w:r>
        <w:rPr>
          <w:rFonts w:ascii="Arial" w:hAnsi="Arial" w:cs="Arial"/>
          <w:b/>
          <w:sz w:val="24"/>
          <w:szCs w:val="24"/>
        </w:rPr>
        <w:t>Staff Question-</w:t>
      </w:r>
      <w:r w:rsidR="00170941">
        <w:rPr>
          <w:rFonts w:ascii="Arial" w:hAnsi="Arial" w:cs="Arial"/>
          <w:b/>
          <w:sz w:val="24"/>
          <w:szCs w:val="24"/>
        </w:rPr>
        <w:t>3</w:t>
      </w:r>
    </w:p>
    <w:p w14:paraId="125CC573" w14:textId="74C60A28" w:rsidR="00226BBA" w:rsidRDefault="00226BBA" w:rsidP="006630C8">
      <w:pPr>
        <w:tabs>
          <w:tab w:val="left" w:pos="540"/>
        </w:tabs>
        <w:spacing w:after="0" w:line="240" w:lineRule="auto"/>
        <w:ind w:left="540" w:hanging="540"/>
        <w:rPr>
          <w:rFonts w:ascii="Arial" w:hAnsi="Arial" w:cs="Arial"/>
          <w:b/>
          <w:sz w:val="24"/>
          <w:szCs w:val="24"/>
        </w:rPr>
      </w:pPr>
      <w:r>
        <w:rPr>
          <w:rFonts w:ascii="Arial" w:hAnsi="Arial" w:cs="Arial"/>
          <w:b/>
          <w:sz w:val="24"/>
          <w:szCs w:val="24"/>
        </w:rPr>
        <w:t xml:space="preserve">Ref: </w:t>
      </w:r>
      <w:r w:rsidR="00707413">
        <w:rPr>
          <w:rFonts w:ascii="Arial" w:hAnsi="Arial" w:cs="Arial"/>
          <w:b/>
          <w:sz w:val="24"/>
          <w:szCs w:val="24"/>
        </w:rPr>
        <w:t xml:space="preserve">A portion of </w:t>
      </w:r>
      <w:r>
        <w:rPr>
          <w:rFonts w:ascii="Arial" w:hAnsi="Arial" w:cs="Arial"/>
          <w:b/>
          <w:sz w:val="24"/>
          <w:szCs w:val="24"/>
        </w:rPr>
        <w:t>Revenue</w:t>
      </w:r>
      <w:r w:rsidR="006630C8">
        <w:rPr>
          <w:rFonts w:ascii="Arial" w:hAnsi="Arial" w:cs="Arial"/>
          <w:b/>
          <w:sz w:val="24"/>
          <w:szCs w:val="24"/>
        </w:rPr>
        <w:t xml:space="preserve"> </w:t>
      </w:r>
      <w:r>
        <w:rPr>
          <w:rFonts w:ascii="Arial" w:hAnsi="Arial" w:cs="Arial"/>
          <w:b/>
          <w:sz w:val="24"/>
          <w:szCs w:val="24"/>
        </w:rPr>
        <w:t>to</w:t>
      </w:r>
      <w:r w:rsidR="006630C8">
        <w:rPr>
          <w:rFonts w:ascii="Arial" w:hAnsi="Arial" w:cs="Arial"/>
          <w:b/>
          <w:sz w:val="24"/>
          <w:szCs w:val="24"/>
        </w:rPr>
        <w:t xml:space="preserve"> </w:t>
      </w:r>
      <w:r>
        <w:rPr>
          <w:rFonts w:ascii="Arial" w:hAnsi="Arial" w:cs="Arial"/>
          <w:b/>
          <w:sz w:val="24"/>
          <w:szCs w:val="24"/>
        </w:rPr>
        <w:t>Cost Ratio Adjustment Model - Tab 14</w:t>
      </w:r>
      <w:r w:rsidR="006630C8">
        <w:rPr>
          <w:rFonts w:ascii="Arial" w:hAnsi="Arial" w:cs="Arial"/>
          <w:b/>
          <w:sz w:val="24"/>
          <w:szCs w:val="24"/>
        </w:rPr>
        <w:t xml:space="preserve"> – Adjust to Proposed Rates</w:t>
      </w:r>
      <w:r w:rsidR="00707413">
        <w:rPr>
          <w:rFonts w:ascii="Arial" w:hAnsi="Arial" w:cs="Arial"/>
          <w:b/>
          <w:sz w:val="24"/>
          <w:szCs w:val="24"/>
        </w:rPr>
        <w:t xml:space="preserve"> is reproduced below.</w:t>
      </w:r>
    </w:p>
    <w:p w14:paraId="0C0F93BD" w14:textId="00249C49" w:rsidR="00226BBA" w:rsidRDefault="006630C8" w:rsidP="006630C8">
      <w:pPr>
        <w:tabs>
          <w:tab w:val="left" w:pos="540"/>
        </w:tabs>
        <w:rPr>
          <w:rFonts w:ascii="Arial" w:hAnsi="Arial" w:cs="Arial"/>
          <w:b/>
          <w:sz w:val="24"/>
          <w:szCs w:val="24"/>
        </w:rPr>
      </w:pPr>
      <w:r>
        <w:rPr>
          <w:rFonts w:ascii="Arial" w:hAnsi="Arial" w:cs="Arial"/>
          <w:b/>
          <w:sz w:val="24"/>
          <w:szCs w:val="24"/>
        </w:rPr>
        <w:t>Ref:</w:t>
      </w:r>
      <w:r>
        <w:rPr>
          <w:rFonts w:ascii="Arial" w:hAnsi="Arial" w:cs="Arial"/>
          <w:b/>
          <w:sz w:val="24"/>
          <w:szCs w:val="24"/>
        </w:rPr>
        <w:tab/>
      </w:r>
      <w:r w:rsidR="00707413">
        <w:rPr>
          <w:rFonts w:ascii="Arial" w:hAnsi="Arial" w:cs="Arial"/>
          <w:b/>
          <w:sz w:val="24"/>
          <w:szCs w:val="24"/>
        </w:rPr>
        <w:t xml:space="preserve">A portion of </w:t>
      </w:r>
      <w:r w:rsidR="00226BBA">
        <w:rPr>
          <w:rFonts w:ascii="Arial" w:hAnsi="Arial" w:cs="Arial"/>
          <w:b/>
          <w:sz w:val="24"/>
          <w:szCs w:val="24"/>
        </w:rPr>
        <w:t>IRM Model - Tab 16</w:t>
      </w:r>
      <w:r>
        <w:rPr>
          <w:rFonts w:ascii="Arial" w:hAnsi="Arial" w:cs="Arial"/>
          <w:b/>
          <w:sz w:val="24"/>
          <w:szCs w:val="24"/>
        </w:rPr>
        <w:t xml:space="preserve"> – Rev2Cost_GDPIPI</w:t>
      </w:r>
      <w:r w:rsidR="00707413">
        <w:rPr>
          <w:rFonts w:ascii="Arial" w:hAnsi="Arial" w:cs="Arial"/>
          <w:b/>
          <w:sz w:val="24"/>
          <w:szCs w:val="24"/>
        </w:rPr>
        <w:t xml:space="preserve"> is reproduced below.</w:t>
      </w:r>
    </w:p>
    <w:p w14:paraId="5553358A" w14:textId="349F66BC" w:rsidR="00226BBA" w:rsidRDefault="00214B2E" w:rsidP="00AB4B34">
      <w:pPr>
        <w:spacing w:after="0" w:line="240" w:lineRule="auto"/>
        <w:jc w:val="center"/>
        <w:rPr>
          <w:rFonts w:ascii="Arial" w:hAnsi="Arial" w:cs="Arial"/>
          <w:b/>
          <w:sz w:val="24"/>
          <w:szCs w:val="24"/>
        </w:rPr>
      </w:pPr>
      <w:r>
        <w:rPr>
          <w:rFonts w:ascii="Arial" w:hAnsi="Arial" w:cs="Arial"/>
          <w:b/>
          <w:sz w:val="24"/>
          <w:szCs w:val="24"/>
        </w:rPr>
        <w:t>Revenue to Cost Ratio Adjustments Model</w:t>
      </w:r>
      <w:r w:rsidR="00AB4B34">
        <w:rPr>
          <w:rFonts w:ascii="Arial" w:hAnsi="Arial" w:cs="Arial"/>
          <w:b/>
          <w:sz w:val="24"/>
          <w:szCs w:val="24"/>
        </w:rPr>
        <w:t xml:space="preserve"> Tab 14</w:t>
      </w:r>
    </w:p>
    <w:p w14:paraId="66CE884E" w14:textId="27702F32" w:rsidR="00226BBA" w:rsidRDefault="00AB4B34" w:rsidP="008E6045">
      <w:pPr>
        <w:rPr>
          <w:rFonts w:ascii="Arial" w:hAnsi="Arial" w:cs="Arial"/>
          <w:b/>
          <w:sz w:val="24"/>
          <w:szCs w:val="24"/>
        </w:rPr>
      </w:pPr>
      <w:r w:rsidRPr="00AB4B34">
        <w:rPr>
          <w:noProof/>
        </w:rPr>
        <w:drawing>
          <wp:inline distT="0" distB="0" distL="0" distR="0" wp14:anchorId="7E93506E" wp14:editId="6BF56C19">
            <wp:extent cx="6537428" cy="951978"/>
            <wp:effectExtent l="19050" t="19050" r="1587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09364" cy="962453"/>
                    </a:xfrm>
                    <a:prstGeom prst="rect">
                      <a:avLst/>
                    </a:prstGeom>
                    <a:ln>
                      <a:solidFill>
                        <a:schemeClr val="tx1"/>
                      </a:solidFill>
                    </a:ln>
                  </pic:spPr>
                </pic:pic>
              </a:graphicData>
            </a:graphic>
          </wp:inline>
        </w:drawing>
      </w:r>
    </w:p>
    <w:p w14:paraId="74890CC8" w14:textId="77777777" w:rsidR="00366252" w:rsidRDefault="00366252" w:rsidP="008E6045">
      <w:pPr>
        <w:rPr>
          <w:rFonts w:ascii="Arial" w:hAnsi="Arial" w:cs="Arial"/>
          <w:b/>
          <w:sz w:val="24"/>
          <w:szCs w:val="24"/>
        </w:rPr>
      </w:pPr>
    </w:p>
    <w:p w14:paraId="1734B669" w14:textId="58BB1BC6" w:rsidR="00214B2E" w:rsidRDefault="00214B2E" w:rsidP="00AB4B34">
      <w:pPr>
        <w:spacing w:after="0" w:line="240" w:lineRule="auto"/>
        <w:jc w:val="center"/>
        <w:rPr>
          <w:rFonts w:ascii="Arial" w:hAnsi="Arial" w:cs="Arial"/>
          <w:b/>
          <w:sz w:val="24"/>
          <w:szCs w:val="24"/>
        </w:rPr>
      </w:pPr>
      <w:r>
        <w:rPr>
          <w:rFonts w:ascii="Arial" w:hAnsi="Arial" w:cs="Arial"/>
          <w:b/>
          <w:sz w:val="24"/>
          <w:szCs w:val="24"/>
        </w:rPr>
        <w:t>IRM Model</w:t>
      </w:r>
      <w:r w:rsidR="00AB4B34">
        <w:rPr>
          <w:rFonts w:ascii="Arial" w:hAnsi="Arial" w:cs="Arial"/>
          <w:b/>
          <w:sz w:val="24"/>
          <w:szCs w:val="24"/>
        </w:rPr>
        <w:t xml:space="preserve"> Tab 16</w:t>
      </w:r>
    </w:p>
    <w:p w14:paraId="6EDFFAD0" w14:textId="25CCB33D" w:rsidR="006630C8" w:rsidRDefault="006630C8" w:rsidP="008E6045">
      <w:pPr>
        <w:rPr>
          <w:rFonts w:ascii="Arial" w:hAnsi="Arial" w:cs="Arial"/>
          <w:b/>
          <w:sz w:val="24"/>
          <w:szCs w:val="24"/>
        </w:rPr>
      </w:pPr>
      <w:r w:rsidRPr="006630C8">
        <w:rPr>
          <w:noProof/>
        </w:rPr>
        <w:drawing>
          <wp:inline distT="0" distB="0" distL="0" distR="0" wp14:anchorId="1172EC39" wp14:editId="321ECF9C">
            <wp:extent cx="6544588" cy="1125026"/>
            <wp:effectExtent l="19050" t="19050" r="8890" b="184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90894" cy="1132986"/>
                    </a:xfrm>
                    <a:prstGeom prst="rect">
                      <a:avLst/>
                    </a:prstGeom>
                    <a:ln>
                      <a:solidFill>
                        <a:schemeClr val="tx1"/>
                      </a:solidFill>
                    </a:ln>
                  </pic:spPr>
                </pic:pic>
              </a:graphicData>
            </a:graphic>
          </wp:inline>
        </w:drawing>
      </w:r>
    </w:p>
    <w:p w14:paraId="70B0A268" w14:textId="77777777" w:rsidR="00AB4B34" w:rsidRDefault="00AB4B34" w:rsidP="006630C8">
      <w:pPr>
        <w:spacing w:after="0"/>
        <w:rPr>
          <w:rFonts w:ascii="Arial" w:hAnsi="Arial" w:cs="Arial"/>
          <w:sz w:val="24"/>
          <w:szCs w:val="24"/>
        </w:rPr>
      </w:pPr>
    </w:p>
    <w:p w14:paraId="513EB1F0" w14:textId="05858B16" w:rsidR="006630C8" w:rsidRDefault="006630C8" w:rsidP="001B119A">
      <w:pPr>
        <w:spacing w:after="0" w:line="240" w:lineRule="auto"/>
        <w:rPr>
          <w:rFonts w:ascii="Arial" w:hAnsi="Arial" w:cs="Arial"/>
          <w:sz w:val="24"/>
          <w:szCs w:val="24"/>
        </w:rPr>
      </w:pPr>
      <w:r>
        <w:rPr>
          <w:rFonts w:ascii="Arial" w:hAnsi="Arial" w:cs="Arial"/>
          <w:sz w:val="24"/>
          <w:szCs w:val="24"/>
        </w:rPr>
        <w:t>OEB staff is unable to reconcile the adjustments in columns M</w:t>
      </w:r>
      <w:r w:rsidR="00B53CB3">
        <w:rPr>
          <w:rFonts w:ascii="Arial" w:hAnsi="Arial" w:cs="Arial"/>
          <w:sz w:val="24"/>
          <w:szCs w:val="24"/>
        </w:rPr>
        <w:t>, N</w:t>
      </w:r>
      <w:r>
        <w:rPr>
          <w:rFonts w:ascii="Arial" w:hAnsi="Arial" w:cs="Arial"/>
          <w:sz w:val="24"/>
          <w:szCs w:val="24"/>
        </w:rPr>
        <w:t xml:space="preserve"> and O of the Revenue-to-Cost Ratio Adjustments </w:t>
      </w:r>
      <w:r w:rsidR="00B53CB3">
        <w:rPr>
          <w:rFonts w:ascii="Arial" w:hAnsi="Arial" w:cs="Arial"/>
          <w:sz w:val="24"/>
          <w:szCs w:val="24"/>
        </w:rPr>
        <w:t>M</w:t>
      </w:r>
      <w:r>
        <w:rPr>
          <w:rFonts w:ascii="Arial" w:hAnsi="Arial" w:cs="Arial"/>
          <w:sz w:val="24"/>
          <w:szCs w:val="24"/>
        </w:rPr>
        <w:t>odel with the adjustments to the distribution volumetric rate adjustments in Tab 16 of the IRM Model.</w:t>
      </w:r>
      <w:r w:rsidR="00A94F10">
        <w:rPr>
          <w:rFonts w:ascii="Arial" w:hAnsi="Arial" w:cs="Arial"/>
          <w:sz w:val="24"/>
          <w:szCs w:val="24"/>
        </w:rPr>
        <w:t xml:space="preserve"> The adjustments are shown in the table below:</w:t>
      </w:r>
    </w:p>
    <w:p w14:paraId="6D3D2704" w14:textId="77777777" w:rsidR="006630C8" w:rsidRDefault="006630C8" w:rsidP="006630C8">
      <w:pPr>
        <w:spacing w:after="0"/>
        <w:rPr>
          <w:rFonts w:ascii="Arial" w:hAnsi="Arial" w:cs="Arial"/>
          <w:sz w:val="24"/>
          <w:szCs w:val="24"/>
        </w:rPr>
      </w:pPr>
    </w:p>
    <w:tbl>
      <w:tblPr>
        <w:tblStyle w:val="TableGrid"/>
        <w:tblW w:w="10345" w:type="dxa"/>
        <w:tblLook w:val="04A0" w:firstRow="1" w:lastRow="0" w:firstColumn="1" w:lastColumn="0" w:noHBand="0" w:noVBand="1"/>
      </w:tblPr>
      <w:tblGrid>
        <w:gridCol w:w="2875"/>
        <w:gridCol w:w="3358"/>
        <w:gridCol w:w="4112"/>
      </w:tblGrid>
      <w:tr w:rsidR="006630C8" w14:paraId="72E34416" w14:textId="77777777" w:rsidTr="00AB4B34">
        <w:tc>
          <w:tcPr>
            <w:tcW w:w="2875" w:type="dxa"/>
          </w:tcPr>
          <w:p w14:paraId="10775F9D" w14:textId="77777777" w:rsidR="006630C8" w:rsidRDefault="006630C8" w:rsidP="006630C8">
            <w:pPr>
              <w:rPr>
                <w:rFonts w:ascii="Arial" w:hAnsi="Arial" w:cs="Arial"/>
                <w:sz w:val="24"/>
                <w:szCs w:val="24"/>
              </w:rPr>
            </w:pPr>
          </w:p>
        </w:tc>
        <w:tc>
          <w:tcPr>
            <w:tcW w:w="3358" w:type="dxa"/>
          </w:tcPr>
          <w:p w14:paraId="4E9BBEA2" w14:textId="7459C8B7" w:rsidR="006630C8" w:rsidRDefault="006630C8" w:rsidP="00AB4B34">
            <w:pPr>
              <w:jc w:val="center"/>
              <w:rPr>
                <w:rFonts w:ascii="Arial" w:hAnsi="Arial" w:cs="Arial"/>
                <w:sz w:val="24"/>
                <w:szCs w:val="24"/>
              </w:rPr>
            </w:pPr>
            <w:r>
              <w:rPr>
                <w:rFonts w:ascii="Arial" w:hAnsi="Arial" w:cs="Arial"/>
                <w:sz w:val="24"/>
                <w:szCs w:val="24"/>
              </w:rPr>
              <w:t xml:space="preserve">Revenue to Cost Adjustment Model – Tab </w:t>
            </w:r>
            <w:r w:rsidR="00AB4B34">
              <w:rPr>
                <w:rFonts w:ascii="Arial" w:hAnsi="Arial" w:cs="Arial"/>
                <w:sz w:val="24"/>
                <w:szCs w:val="24"/>
              </w:rPr>
              <w:t>14</w:t>
            </w:r>
          </w:p>
        </w:tc>
        <w:tc>
          <w:tcPr>
            <w:tcW w:w="4112" w:type="dxa"/>
          </w:tcPr>
          <w:p w14:paraId="47ED3A52" w14:textId="7FAB1352" w:rsidR="006630C8" w:rsidRDefault="006630C8" w:rsidP="00AB4B34">
            <w:pPr>
              <w:jc w:val="center"/>
              <w:rPr>
                <w:rFonts w:ascii="Arial" w:hAnsi="Arial" w:cs="Arial"/>
                <w:sz w:val="24"/>
                <w:szCs w:val="24"/>
              </w:rPr>
            </w:pPr>
            <w:r>
              <w:rPr>
                <w:rFonts w:ascii="Arial" w:hAnsi="Arial" w:cs="Arial"/>
                <w:sz w:val="24"/>
                <w:szCs w:val="24"/>
              </w:rPr>
              <w:t>IRM Model – Tab 16</w:t>
            </w:r>
          </w:p>
        </w:tc>
      </w:tr>
      <w:tr w:rsidR="006630C8" w14:paraId="608FA63F" w14:textId="77777777" w:rsidTr="00AB4B34">
        <w:tc>
          <w:tcPr>
            <w:tcW w:w="2875" w:type="dxa"/>
          </w:tcPr>
          <w:p w14:paraId="13B7FA34" w14:textId="00C11FF7" w:rsidR="006630C8" w:rsidRDefault="006630C8" w:rsidP="006630C8">
            <w:pPr>
              <w:rPr>
                <w:rFonts w:ascii="Arial" w:hAnsi="Arial" w:cs="Arial"/>
                <w:sz w:val="24"/>
                <w:szCs w:val="24"/>
              </w:rPr>
            </w:pPr>
            <w:r>
              <w:rPr>
                <w:rFonts w:ascii="Arial" w:hAnsi="Arial" w:cs="Arial"/>
                <w:sz w:val="24"/>
                <w:szCs w:val="24"/>
              </w:rPr>
              <w:t>Unmetered Scattered Load</w:t>
            </w:r>
          </w:p>
        </w:tc>
        <w:tc>
          <w:tcPr>
            <w:tcW w:w="3358" w:type="dxa"/>
          </w:tcPr>
          <w:p w14:paraId="14065A43" w14:textId="746DE1EF" w:rsidR="006630C8" w:rsidRDefault="006630C8" w:rsidP="006630C8">
            <w:pPr>
              <w:rPr>
                <w:rFonts w:ascii="Arial" w:hAnsi="Arial" w:cs="Arial"/>
                <w:sz w:val="24"/>
                <w:szCs w:val="24"/>
              </w:rPr>
            </w:pPr>
            <w:r>
              <w:rPr>
                <w:rFonts w:ascii="Arial" w:hAnsi="Arial" w:cs="Arial"/>
                <w:sz w:val="24"/>
                <w:szCs w:val="24"/>
              </w:rPr>
              <w:t xml:space="preserve">Cell M25 </w:t>
            </w:r>
            <w:r w:rsidR="0081264F">
              <w:rPr>
                <w:rFonts w:ascii="Arial" w:hAnsi="Arial" w:cs="Arial"/>
                <w:sz w:val="24"/>
                <w:szCs w:val="24"/>
              </w:rPr>
              <w:t xml:space="preserve">shows negative </w:t>
            </w:r>
            <w:r>
              <w:rPr>
                <w:rFonts w:ascii="Arial" w:hAnsi="Arial" w:cs="Arial"/>
                <w:sz w:val="24"/>
                <w:szCs w:val="24"/>
              </w:rPr>
              <w:t>3.68</w:t>
            </w:r>
          </w:p>
        </w:tc>
        <w:tc>
          <w:tcPr>
            <w:tcW w:w="4112" w:type="dxa"/>
          </w:tcPr>
          <w:p w14:paraId="52C166C0" w14:textId="34E4266B" w:rsidR="006630C8" w:rsidRDefault="0081264F" w:rsidP="006630C8">
            <w:pPr>
              <w:rPr>
                <w:rFonts w:ascii="Arial" w:hAnsi="Arial" w:cs="Arial"/>
                <w:sz w:val="24"/>
                <w:szCs w:val="24"/>
              </w:rPr>
            </w:pPr>
            <w:r>
              <w:rPr>
                <w:rFonts w:ascii="Arial" w:hAnsi="Arial" w:cs="Arial"/>
                <w:sz w:val="24"/>
                <w:szCs w:val="24"/>
              </w:rPr>
              <w:t xml:space="preserve">Change positive sign in </w:t>
            </w:r>
            <w:r w:rsidR="006630C8">
              <w:rPr>
                <w:rFonts w:ascii="Arial" w:hAnsi="Arial" w:cs="Arial"/>
                <w:sz w:val="24"/>
                <w:szCs w:val="24"/>
              </w:rPr>
              <w:t xml:space="preserve">Cell C20 </w:t>
            </w:r>
            <w:r>
              <w:rPr>
                <w:rFonts w:ascii="Arial" w:hAnsi="Arial" w:cs="Arial"/>
                <w:sz w:val="24"/>
                <w:szCs w:val="24"/>
              </w:rPr>
              <w:t>to negative</w:t>
            </w:r>
            <w:r w:rsidR="003D11AD">
              <w:rPr>
                <w:rFonts w:ascii="Arial" w:hAnsi="Arial" w:cs="Arial"/>
                <w:sz w:val="24"/>
                <w:szCs w:val="24"/>
              </w:rPr>
              <w:t>.</w:t>
            </w:r>
          </w:p>
        </w:tc>
      </w:tr>
      <w:tr w:rsidR="006630C8" w14:paraId="16DB2060" w14:textId="77777777" w:rsidTr="00AB4B34">
        <w:tc>
          <w:tcPr>
            <w:tcW w:w="2875" w:type="dxa"/>
          </w:tcPr>
          <w:p w14:paraId="67F25677" w14:textId="5359E308" w:rsidR="006630C8" w:rsidRDefault="0081264F" w:rsidP="006630C8">
            <w:pPr>
              <w:rPr>
                <w:rFonts w:ascii="Arial" w:hAnsi="Arial" w:cs="Arial"/>
                <w:sz w:val="24"/>
                <w:szCs w:val="24"/>
              </w:rPr>
            </w:pPr>
            <w:r>
              <w:rPr>
                <w:rFonts w:ascii="Arial" w:hAnsi="Arial" w:cs="Arial"/>
                <w:sz w:val="24"/>
                <w:szCs w:val="24"/>
              </w:rPr>
              <w:t>Unmetered Scattered Load</w:t>
            </w:r>
          </w:p>
        </w:tc>
        <w:tc>
          <w:tcPr>
            <w:tcW w:w="3358" w:type="dxa"/>
          </w:tcPr>
          <w:p w14:paraId="56EBF7C8" w14:textId="23D9ECAB" w:rsidR="006630C8" w:rsidRDefault="0081264F" w:rsidP="006630C8">
            <w:pPr>
              <w:rPr>
                <w:rFonts w:ascii="Arial" w:hAnsi="Arial" w:cs="Arial"/>
                <w:sz w:val="24"/>
                <w:szCs w:val="24"/>
              </w:rPr>
            </w:pPr>
            <w:r>
              <w:rPr>
                <w:rFonts w:ascii="Arial" w:hAnsi="Arial" w:cs="Arial"/>
                <w:sz w:val="24"/>
                <w:szCs w:val="24"/>
              </w:rPr>
              <w:t xml:space="preserve">Cell N25 shows negative 0.0050 </w:t>
            </w:r>
          </w:p>
        </w:tc>
        <w:tc>
          <w:tcPr>
            <w:tcW w:w="4112" w:type="dxa"/>
          </w:tcPr>
          <w:p w14:paraId="358DAAB8" w14:textId="037BC103" w:rsidR="006630C8" w:rsidRDefault="00AB4B34" w:rsidP="006630C8">
            <w:pPr>
              <w:rPr>
                <w:rFonts w:ascii="Arial" w:hAnsi="Arial" w:cs="Arial"/>
                <w:sz w:val="24"/>
                <w:szCs w:val="24"/>
              </w:rPr>
            </w:pPr>
            <w:r>
              <w:rPr>
                <w:rFonts w:ascii="Arial" w:hAnsi="Arial" w:cs="Arial"/>
                <w:sz w:val="24"/>
                <w:szCs w:val="24"/>
              </w:rPr>
              <w:t xml:space="preserve">This should be </w:t>
            </w:r>
            <w:r w:rsidR="0081264F">
              <w:rPr>
                <w:rFonts w:ascii="Arial" w:hAnsi="Arial" w:cs="Arial"/>
                <w:sz w:val="24"/>
                <w:szCs w:val="24"/>
              </w:rPr>
              <w:t>Unmetered Scattered Load</w:t>
            </w:r>
            <w:r>
              <w:rPr>
                <w:rFonts w:ascii="Arial" w:hAnsi="Arial" w:cs="Arial"/>
                <w:sz w:val="24"/>
                <w:szCs w:val="24"/>
              </w:rPr>
              <w:t xml:space="preserve"> class not</w:t>
            </w:r>
            <w:r w:rsidR="0081264F">
              <w:rPr>
                <w:rFonts w:ascii="Arial" w:hAnsi="Arial" w:cs="Arial"/>
                <w:sz w:val="24"/>
                <w:szCs w:val="24"/>
              </w:rPr>
              <w:t xml:space="preserve"> Sentinel </w:t>
            </w:r>
            <w:r w:rsidR="0081264F">
              <w:rPr>
                <w:rFonts w:ascii="Arial" w:hAnsi="Arial" w:cs="Arial"/>
                <w:sz w:val="24"/>
                <w:szCs w:val="24"/>
              </w:rPr>
              <w:lastRenderedPageBreak/>
              <w:t>Lighting</w:t>
            </w:r>
            <w:r>
              <w:rPr>
                <w:rFonts w:ascii="Arial" w:hAnsi="Arial" w:cs="Arial"/>
                <w:sz w:val="24"/>
                <w:szCs w:val="24"/>
              </w:rPr>
              <w:t xml:space="preserve"> class, should be in Cell E20. Also change positive sign to negative. </w:t>
            </w:r>
          </w:p>
        </w:tc>
      </w:tr>
      <w:tr w:rsidR="006630C8" w14:paraId="61466CE4" w14:textId="77777777" w:rsidTr="00AB4B34">
        <w:tc>
          <w:tcPr>
            <w:tcW w:w="2875" w:type="dxa"/>
          </w:tcPr>
          <w:p w14:paraId="01E99835" w14:textId="4398A30A" w:rsidR="006630C8" w:rsidRDefault="0081264F" w:rsidP="006630C8">
            <w:pPr>
              <w:rPr>
                <w:rFonts w:ascii="Arial" w:hAnsi="Arial" w:cs="Arial"/>
                <w:sz w:val="24"/>
                <w:szCs w:val="24"/>
              </w:rPr>
            </w:pPr>
            <w:r>
              <w:rPr>
                <w:rFonts w:ascii="Arial" w:hAnsi="Arial" w:cs="Arial"/>
                <w:sz w:val="24"/>
                <w:szCs w:val="24"/>
              </w:rPr>
              <w:lastRenderedPageBreak/>
              <w:t>Street Lighting</w:t>
            </w:r>
          </w:p>
        </w:tc>
        <w:tc>
          <w:tcPr>
            <w:tcW w:w="3358" w:type="dxa"/>
          </w:tcPr>
          <w:p w14:paraId="7980CA25" w14:textId="283D41F7" w:rsidR="006630C8" w:rsidRDefault="0081264F" w:rsidP="006630C8">
            <w:pPr>
              <w:rPr>
                <w:rFonts w:ascii="Arial" w:hAnsi="Arial" w:cs="Arial"/>
                <w:sz w:val="24"/>
                <w:szCs w:val="24"/>
              </w:rPr>
            </w:pPr>
            <w:r>
              <w:rPr>
                <w:rFonts w:ascii="Arial" w:hAnsi="Arial" w:cs="Arial"/>
                <w:sz w:val="24"/>
                <w:szCs w:val="24"/>
              </w:rPr>
              <w:t xml:space="preserve">Cell M27 shows negative 0.98 and Cell O27 shows negative </w:t>
            </w:r>
            <w:r w:rsidR="00AF0F28">
              <w:rPr>
                <w:rFonts w:ascii="Arial" w:hAnsi="Arial" w:cs="Arial"/>
                <w:sz w:val="24"/>
                <w:szCs w:val="24"/>
              </w:rPr>
              <w:t>4</w:t>
            </w:r>
            <w:r>
              <w:rPr>
                <w:rFonts w:ascii="Arial" w:hAnsi="Arial" w:cs="Arial"/>
                <w:sz w:val="24"/>
                <w:szCs w:val="24"/>
              </w:rPr>
              <w:t>.5375</w:t>
            </w:r>
          </w:p>
        </w:tc>
        <w:tc>
          <w:tcPr>
            <w:tcW w:w="4112" w:type="dxa"/>
          </w:tcPr>
          <w:p w14:paraId="5CD7E3AE" w14:textId="2E2AA40C" w:rsidR="006630C8" w:rsidRDefault="0081264F" w:rsidP="006630C8">
            <w:pPr>
              <w:rPr>
                <w:rFonts w:ascii="Arial" w:hAnsi="Arial" w:cs="Arial"/>
                <w:sz w:val="24"/>
                <w:szCs w:val="24"/>
              </w:rPr>
            </w:pPr>
            <w:r>
              <w:rPr>
                <w:rFonts w:ascii="Arial" w:hAnsi="Arial" w:cs="Arial"/>
                <w:sz w:val="24"/>
                <w:szCs w:val="24"/>
              </w:rPr>
              <w:t>C</w:t>
            </w:r>
            <w:r w:rsidR="00AB4B34">
              <w:rPr>
                <w:rFonts w:ascii="Arial" w:hAnsi="Arial" w:cs="Arial"/>
                <w:sz w:val="24"/>
                <w:szCs w:val="24"/>
              </w:rPr>
              <w:t>hange positive sign in Cells C22 and</w:t>
            </w:r>
            <w:r>
              <w:rPr>
                <w:rFonts w:ascii="Arial" w:hAnsi="Arial" w:cs="Arial"/>
                <w:sz w:val="24"/>
                <w:szCs w:val="24"/>
              </w:rPr>
              <w:t xml:space="preserve"> </w:t>
            </w:r>
            <w:r w:rsidR="00AB4B34">
              <w:rPr>
                <w:rFonts w:ascii="Arial" w:hAnsi="Arial" w:cs="Arial"/>
                <w:sz w:val="24"/>
                <w:szCs w:val="24"/>
              </w:rPr>
              <w:t>E</w:t>
            </w:r>
            <w:r>
              <w:rPr>
                <w:rFonts w:ascii="Arial" w:hAnsi="Arial" w:cs="Arial"/>
                <w:sz w:val="24"/>
                <w:szCs w:val="24"/>
              </w:rPr>
              <w:t>22</w:t>
            </w:r>
            <w:r w:rsidR="003D11AD">
              <w:rPr>
                <w:rFonts w:ascii="Arial" w:hAnsi="Arial" w:cs="Arial"/>
                <w:sz w:val="24"/>
                <w:szCs w:val="24"/>
              </w:rPr>
              <w:t xml:space="preserve"> to negative.</w:t>
            </w:r>
          </w:p>
        </w:tc>
      </w:tr>
    </w:tbl>
    <w:p w14:paraId="5E0EB4B2" w14:textId="77777777" w:rsidR="006630C8" w:rsidRDefault="006630C8" w:rsidP="006630C8">
      <w:pPr>
        <w:spacing w:after="0"/>
        <w:rPr>
          <w:rFonts w:ascii="Arial" w:hAnsi="Arial" w:cs="Arial"/>
          <w:sz w:val="24"/>
          <w:szCs w:val="24"/>
        </w:rPr>
      </w:pPr>
    </w:p>
    <w:p w14:paraId="7536EE65" w14:textId="77777777" w:rsidR="006630C8" w:rsidRDefault="006630C8" w:rsidP="006630C8">
      <w:pPr>
        <w:spacing w:after="0"/>
        <w:rPr>
          <w:rFonts w:ascii="Arial" w:hAnsi="Arial" w:cs="Arial"/>
          <w:sz w:val="24"/>
          <w:szCs w:val="24"/>
        </w:rPr>
      </w:pPr>
    </w:p>
    <w:p w14:paraId="78394E07" w14:textId="17BF79BF" w:rsidR="00AB4B34" w:rsidRPr="00AB4B34" w:rsidRDefault="006630C8" w:rsidP="00AB4B34">
      <w:pPr>
        <w:pStyle w:val="ListParagraph"/>
        <w:numPr>
          <w:ilvl w:val="0"/>
          <w:numId w:val="30"/>
        </w:numPr>
        <w:spacing w:after="160" w:line="259" w:lineRule="auto"/>
        <w:rPr>
          <w:rFonts w:ascii="Arial" w:hAnsi="Arial" w:cs="Arial"/>
          <w:sz w:val="24"/>
          <w:szCs w:val="24"/>
        </w:rPr>
      </w:pPr>
      <w:r w:rsidRPr="00AB4B34">
        <w:rPr>
          <w:rFonts w:ascii="Arial" w:hAnsi="Arial" w:cs="Arial"/>
          <w:sz w:val="24"/>
          <w:szCs w:val="24"/>
        </w:rPr>
        <w:t xml:space="preserve">Please confirm that the adjustments in the IRM Model are </w:t>
      </w:r>
      <w:proofErr w:type="gramStart"/>
      <w:r w:rsidRPr="00AB4B34">
        <w:rPr>
          <w:rFonts w:ascii="Arial" w:hAnsi="Arial" w:cs="Arial"/>
          <w:sz w:val="24"/>
          <w:szCs w:val="24"/>
        </w:rPr>
        <w:t>accurate</w:t>
      </w:r>
      <w:r w:rsidR="00B043C5">
        <w:rPr>
          <w:rFonts w:ascii="Arial" w:hAnsi="Arial" w:cs="Arial"/>
          <w:sz w:val="24"/>
          <w:szCs w:val="24"/>
        </w:rPr>
        <w:t>,</w:t>
      </w:r>
      <w:r w:rsidR="00B34F9B">
        <w:rPr>
          <w:rFonts w:ascii="Arial" w:hAnsi="Arial" w:cs="Arial"/>
          <w:sz w:val="24"/>
          <w:szCs w:val="24"/>
        </w:rPr>
        <w:t xml:space="preserve"> and</w:t>
      </w:r>
      <w:proofErr w:type="gramEnd"/>
      <w:r w:rsidR="00B34F9B">
        <w:rPr>
          <w:rFonts w:ascii="Arial" w:hAnsi="Arial" w:cs="Arial"/>
          <w:sz w:val="24"/>
          <w:szCs w:val="24"/>
        </w:rPr>
        <w:t xml:space="preserve"> </w:t>
      </w:r>
      <w:r w:rsidR="00AB4B34" w:rsidRPr="00AB4B34">
        <w:rPr>
          <w:rFonts w:ascii="Arial" w:hAnsi="Arial" w:cs="Arial"/>
          <w:sz w:val="24"/>
          <w:szCs w:val="24"/>
        </w:rPr>
        <w:t xml:space="preserve">file an updated 2021 IRM Rate Generator model. </w:t>
      </w:r>
      <w:r w:rsidR="00B34F9B">
        <w:rPr>
          <w:rFonts w:ascii="Arial" w:hAnsi="Arial" w:cs="Arial"/>
          <w:sz w:val="24"/>
          <w:szCs w:val="24"/>
        </w:rPr>
        <w:t>If not, please explain.</w:t>
      </w:r>
    </w:p>
    <w:p w14:paraId="4CD96E67" w14:textId="77777777" w:rsidR="006D0151" w:rsidRDefault="006D0151" w:rsidP="00366252">
      <w:pPr>
        <w:spacing w:after="0" w:line="240" w:lineRule="auto"/>
        <w:rPr>
          <w:rFonts w:ascii="Arial" w:hAnsi="Arial" w:cs="Arial"/>
          <w:b/>
          <w:sz w:val="24"/>
          <w:szCs w:val="24"/>
        </w:rPr>
      </w:pPr>
    </w:p>
    <w:p w14:paraId="174B8B34" w14:textId="51EEB175" w:rsidR="006D0151" w:rsidRDefault="006D0151" w:rsidP="00366252">
      <w:pPr>
        <w:spacing w:after="0" w:line="240" w:lineRule="auto"/>
        <w:rPr>
          <w:rFonts w:ascii="Arial" w:hAnsi="Arial" w:cs="Arial"/>
          <w:b/>
          <w:color w:val="FF0000"/>
          <w:sz w:val="24"/>
          <w:szCs w:val="24"/>
        </w:rPr>
      </w:pPr>
      <w:r w:rsidRPr="006D0151">
        <w:rPr>
          <w:rFonts w:ascii="Arial" w:hAnsi="Arial" w:cs="Arial"/>
          <w:b/>
          <w:color w:val="FF0000"/>
          <w:sz w:val="24"/>
          <w:szCs w:val="24"/>
        </w:rPr>
        <w:t xml:space="preserve">CPUC Response: </w:t>
      </w:r>
      <w:r>
        <w:rPr>
          <w:rFonts w:ascii="Arial" w:hAnsi="Arial" w:cs="Arial"/>
          <w:b/>
          <w:color w:val="FF0000"/>
          <w:sz w:val="24"/>
          <w:szCs w:val="24"/>
        </w:rPr>
        <w:t xml:space="preserve">Staff is correct in that the numbers transcribed from the Revenue to Cost model should have reflected a “negative”. </w:t>
      </w:r>
    </w:p>
    <w:p w14:paraId="334360E6" w14:textId="77777777" w:rsidR="00923D5F" w:rsidRDefault="00923D5F" w:rsidP="00366252">
      <w:pPr>
        <w:spacing w:after="0" w:line="240" w:lineRule="auto"/>
        <w:rPr>
          <w:rFonts w:ascii="Arial" w:hAnsi="Arial" w:cs="Arial"/>
          <w:b/>
          <w:color w:val="FF0000"/>
          <w:sz w:val="24"/>
          <w:szCs w:val="24"/>
        </w:rPr>
      </w:pPr>
    </w:p>
    <w:p w14:paraId="4D1ABD94" w14:textId="27179BC6" w:rsidR="006D0151" w:rsidRDefault="006D0151" w:rsidP="00366252">
      <w:pPr>
        <w:spacing w:after="0" w:line="240" w:lineRule="auto"/>
        <w:rPr>
          <w:rFonts w:ascii="Arial" w:hAnsi="Arial" w:cs="Arial"/>
          <w:b/>
          <w:color w:val="FF0000"/>
          <w:sz w:val="24"/>
          <w:szCs w:val="24"/>
        </w:rPr>
      </w:pPr>
      <w:r>
        <w:rPr>
          <w:rFonts w:ascii="Arial" w:hAnsi="Arial" w:cs="Arial"/>
          <w:b/>
          <w:color w:val="FF0000"/>
          <w:sz w:val="24"/>
          <w:szCs w:val="24"/>
        </w:rPr>
        <w:t xml:space="preserve">(It should be noted that the formatting of those particular cells in the R/C models make </w:t>
      </w:r>
      <w:r w:rsidR="00923D5F">
        <w:rPr>
          <w:rFonts w:ascii="Arial" w:hAnsi="Arial" w:cs="Arial"/>
          <w:b/>
          <w:color w:val="FF0000"/>
          <w:sz w:val="24"/>
          <w:szCs w:val="24"/>
        </w:rPr>
        <w:t>this</w:t>
      </w:r>
      <w:r>
        <w:rPr>
          <w:rFonts w:ascii="Arial" w:hAnsi="Arial" w:cs="Arial"/>
          <w:b/>
          <w:color w:val="FF0000"/>
          <w:sz w:val="24"/>
          <w:szCs w:val="24"/>
        </w:rPr>
        <w:t xml:space="preserve"> an easy mistake to make. The model’s formatting should be modified to make it easier to see </w:t>
      </w:r>
      <w:r w:rsidR="00923D5F">
        <w:rPr>
          <w:rFonts w:ascii="Arial" w:hAnsi="Arial" w:cs="Arial"/>
          <w:b/>
          <w:color w:val="FF0000"/>
          <w:sz w:val="24"/>
          <w:szCs w:val="24"/>
        </w:rPr>
        <w:t xml:space="preserve">whether the amount is </w:t>
      </w:r>
      <w:r>
        <w:rPr>
          <w:rFonts w:ascii="Arial" w:hAnsi="Arial" w:cs="Arial"/>
          <w:b/>
          <w:color w:val="FF0000"/>
          <w:sz w:val="24"/>
          <w:szCs w:val="24"/>
        </w:rPr>
        <w:t>a credit or debit)</w:t>
      </w:r>
    </w:p>
    <w:p w14:paraId="7737A937" w14:textId="77777777" w:rsidR="006D0151" w:rsidRDefault="006D0151" w:rsidP="00366252">
      <w:pPr>
        <w:spacing w:after="0" w:line="240" w:lineRule="auto"/>
        <w:rPr>
          <w:rFonts w:ascii="Arial" w:hAnsi="Arial" w:cs="Arial"/>
          <w:b/>
          <w:sz w:val="24"/>
          <w:szCs w:val="24"/>
        </w:rPr>
      </w:pPr>
    </w:p>
    <w:p w14:paraId="53E9E858" w14:textId="4C6D470D" w:rsidR="00366252" w:rsidRPr="00366252" w:rsidRDefault="00366252" w:rsidP="00366252">
      <w:pPr>
        <w:spacing w:after="0" w:line="240" w:lineRule="auto"/>
        <w:rPr>
          <w:rFonts w:ascii="Arial" w:hAnsi="Arial" w:cs="Arial"/>
          <w:b/>
          <w:sz w:val="24"/>
          <w:szCs w:val="24"/>
        </w:rPr>
      </w:pPr>
      <w:r w:rsidRPr="00366252">
        <w:rPr>
          <w:rFonts w:ascii="Arial" w:hAnsi="Arial" w:cs="Arial"/>
          <w:b/>
          <w:sz w:val="24"/>
          <w:szCs w:val="24"/>
        </w:rPr>
        <w:t>Staff Question-</w:t>
      </w:r>
      <w:r>
        <w:rPr>
          <w:rFonts w:ascii="Arial" w:hAnsi="Arial" w:cs="Arial"/>
          <w:b/>
          <w:sz w:val="24"/>
          <w:szCs w:val="24"/>
        </w:rPr>
        <w:t>4</w:t>
      </w:r>
    </w:p>
    <w:p w14:paraId="5764A1CF" w14:textId="287DE224" w:rsidR="006630C8" w:rsidRPr="00366252" w:rsidRDefault="00366252" w:rsidP="00AB4B34">
      <w:pPr>
        <w:spacing w:after="160"/>
        <w:rPr>
          <w:rFonts w:ascii="Arial" w:hAnsi="Arial" w:cs="Arial"/>
          <w:b/>
          <w:bCs/>
          <w:sz w:val="24"/>
          <w:szCs w:val="24"/>
        </w:rPr>
      </w:pPr>
      <w:r w:rsidRPr="00366252">
        <w:rPr>
          <w:rFonts w:ascii="Arial" w:hAnsi="Arial" w:cs="Arial"/>
          <w:b/>
          <w:bCs/>
          <w:sz w:val="24"/>
          <w:szCs w:val="24"/>
        </w:rPr>
        <w:t xml:space="preserve">Ref: </w:t>
      </w:r>
      <w:r w:rsidR="004547BE">
        <w:rPr>
          <w:rFonts w:ascii="Arial" w:hAnsi="Arial" w:cs="Arial"/>
          <w:b/>
          <w:bCs/>
          <w:sz w:val="24"/>
          <w:szCs w:val="24"/>
        </w:rPr>
        <w:t>Managers Summary, page 13</w:t>
      </w:r>
    </w:p>
    <w:p w14:paraId="20143B58" w14:textId="4B32ABA1" w:rsidR="00366252" w:rsidRPr="00366252" w:rsidRDefault="00366252" w:rsidP="00F01DA1">
      <w:pPr>
        <w:spacing w:line="240" w:lineRule="auto"/>
        <w:rPr>
          <w:rFonts w:ascii="Arial" w:hAnsi="Arial" w:cs="Arial"/>
          <w:sz w:val="24"/>
          <w:szCs w:val="24"/>
        </w:rPr>
      </w:pPr>
      <w:r w:rsidRPr="00366252">
        <w:rPr>
          <w:rFonts w:ascii="Arial" w:hAnsi="Arial" w:cs="Arial"/>
          <w:sz w:val="24"/>
          <w:szCs w:val="24"/>
        </w:rPr>
        <w:t>C</w:t>
      </w:r>
      <w:r w:rsidR="00A16A5C">
        <w:rPr>
          <w:rFonts w:ascii="Arial" w:hAnsi="Arial" w:cs="Arial"/>
          <w:sz w:val="24"/>
          <w:szCs w:val="24"/>
        </w:rPr>
        <w:t>hapleau PUC</w:t>
      </w:r>
      <w:r w:rsidRPr="00366252">
        <w:rPr>
          <w:rFonts w:ascii="Arial" w:hAnsi="Arial" w:cs="Arial"/>
          <w:sz w:val="24"/>
          <w:szCs w:val="24"/>
        </w:rPr>
        <w:t xml:space="preserve"> is seeking final disposition of the 2019 Group 1 deferral and variance account balances and 2020 rate riders. Please confirm no adjustments were made to the 2019 Group 1 deferral and variance accounts approved on an interim basis.</w:t>
      </w:r>
    </w:p>
    <w:p w14:paraId="1D4AA125" w14:textId="2C9E307A" w:rsidR="00923D5F" w:rsidRDefault="00923D5F" w:rsidP="00923D5F">
      <w:pPr>
        <w:spacing w:after="0" w:line="240" w:lineRule="auto"/>
        <w:rPr>
          <w:rFonts w:ascii="Arial" w:hAnsi="Arial" w:cs="Arial"/>
          <w:b/>
          <w:color w:val="FF0000"/>
          <w:sz w:val="24"/>
          <w:szCs w:val="24"/>
        </w:rPr>
      </w:pPr>
      <w:r w:rsidRPr="006D0151">
        <w:rPr>
          <w:rFonts w:ascii="Arial" w:hAnsi="Arial" w:cs="Arial"/>
          <w:b/>
          <w:color w:val="FF0000"/>
          <w:sz w:val="24"/>
          <w:szCs w:val="24"/>
        </w:rPr>
        <w:t xml:space="preserve">CPUC Response: </w:t>
      </w:r>
      <w:r>
        <w:rPr>
          <w:rFonts w:ascii="Arial" w:hAnsi="Arial" w:cs="Arial"/>
          <w:b/>
          <w:color w:val="FF0000"/>
          <w:sz w:val="24"/>
          <w:szCs w:val="24"/>
        </w:rPr>
        <w:t xml:space="preserve">CPUC confirms that no adjustments were made to Group 1 balances. </w:t>
      </w:r>
    </w:p>
    <w:p w14:paraId="451BA894" w14:textId="77777777" w:rsidR="00366252" w:rsidRPr="00AB4B34" w:rsidRDefault="00366252" w:rsidP="00AB4B34">
      <w:pPr>
        <w:spacing w:after="160"/>
        <w:rPr>
          <w:rFonts w:ascii="Arial" w:hAnsi="Arial" w:cs="Arial"/>
          <w:sz w:val="24"/>
          <w:szCs w:val="24"/>
        </w:rPr>
      </w:pPr>
    </w:p>
    <w:sectPr w:rsidR="00366252" w:rsidRPr="00AB4B34"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4B788" w14:textId="77777777" w:rsidR="00B15D01" w:rsidRDefault="00B15D01" w:rsidP="007F02BE">
      <w:pPr>
        <w:spacing w:after="0" w:line="240" w:lineRule="auto"/>
      </w:pPr>
      <w:r>
        <w:separator/>
      </w:r>
    </w:p>
  </w:endnote>
  <w:endnote w:type="continuationSeparator" w:id="0">
    <w:p w14:paraId="239D1201" w14:textId="77777777" w:rsidR="00B15D01" w:rsidRDefault="00B15D01" w:rsidP="007F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01905" w14:textId="77777777" w:rsidR="00B15D01" w:rsidRDefault="00B15D01" w:rsidP="007F02BE">
      <w:pPr>
        <w:spacing w:after="0" w:line="240" w:lineRule="auto"/>
      </w:pPr>
      <w:r>
        <w:separator/>
      </w:r>
    </w:p>
  </w:footnote>
  <w:footnote w:type="continuationSeparator" w:id="0">
    <w:p w14:paraId="38EDA8CE" w14:textId="77777777" w:rsidR="00B15D01" w:rsidRDefault="00B15D01" w:rsidP="007F02BE">
      <w:pPr>
        <w:spacing w:after="0" w:line="240" w:lineRule="auto"/>
      </w:pPr>
      <w:r>
        <w:continuationSeparator/>
      </w:r>
    </w:p>
  </w:footnote>
  <w:footnote w:id="1">
    <w:p w14:paraId="3AB4112F" w14:textId="4EFF19B2" w:rsidR="007F02BE" w:rsidRPr="007F02BE" w:rsidRDefault="007F02BE">
      <w:pPr>
        <w:pStyle w:val="FootnoteText"/>
        <w:rPr>
          <w:lang w:val="en-US"/>
        </w:rPr>
      </w:pPr>
      <w:r>
        <w:rPr>
          <w:rStyle w:val="FootnoteReference"/>
        </w:rPr>
        <w:footnoteRef/>
      </w:r>
      <w:r>
        <w:t xml:space="preserve"> </w:t>
      </w:r>
      <w:r>
        <w:rPr>
          <w:lang w:val="en-US"/>
        </w:rPr>
        <w:t>EB-2017-0087 issued June 6, 2019, page 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F7090B"/>
    <w:multiLevelType w:val="hybridMultilevel"/>
    <w:tmpl w:val="047E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B965409"/>
    <w:multiLevelType w:val="hybridMultilevel"/>
    <w:tmpl w:val="46AE0A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B526D7D"/>
    <w:multiLevelType w:val="hybridMultilevel"/>
    <w:tmpl w:val="3484253A"/>
    <w:lvl w:ilvl="0" w:tplc="332ED0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3AD772F"/>
    <w:multiLevelType w:val="hybridMultilevel"/>
    <w:tmpl w:val="DD407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1"/>
  </w:num>
  <w:num w:numId="4">
    <w:abstractNumId w:val="30"/>
  </w:num>
  <w:num w:numId="5">
    <w:abstractNumId w:val="12"/>
  </w:num>
  <w:num w:numId="6">
    <w:abstractNumId w:val="9"/>
  </w:num>
  <w:num w:numId="7">
    <w:abstractNumId w:val="17"/>
  </w:num>
  <w:num w:numId="8">
    <w:abstractNumId w:val="13"/>
  </w:num>
  <w:num w:numId="9">
    <w:abstractNumId w:val="14"/>
  </w:num>
  <w:num w:numId="10">
    <w:abstractNumId w:val="5"/>
  </w:num>
  <w:num w:numId="11">
    <w:abstractNumId w:val="16"/>
  </w:num>
  <w:num w:numId="12">
    <w:abstractNumId w:val="23"/>
  </w:num>
  <w:num w:numId="13">
    <w:abstractNumId w:val="4"/>
  </w:num>
  <w:num w:numId="14">
    <w:abstractNumId w:val="2"/>
  </w:num>
  <w:num w:numId="15">
    <w:abstractNumId w:val="29"/>
  </w:num>
  <w:num w:numId="16">
    <w:abstractNumId w:val="7"/>
  </w:num>
  <w:num w:numId="17">
    <w:abstractNumId w:val="19"/>
  </w:num>
  <w:num w:numId="18">
    <w:abstractNumId w:val="26"/>
  </w:num>
  <w:num w:numId="19">
    <w:abstractNumId w:val="27"/>
  </w:num>
  <w:num w:numId="20">
    <w:abstractNumId w:val="11"/>
  </w:num>
  <w:num w:numId="21">
    <w:abstractNumId w:val="24"/>
  </w:num>
  <w:num w:numId="22">
    <w:abstractNumId w:val="10"/>
  </w:num>
  <w:num w:numId="23">
    <w:abstractNumId w:val="22"/>
  </w:num>
  <w:num w:numId="24">
    <w:abstractNumId w:val="20"/>
  </w:num>
  <w:num w:numId="25">
    <w:abstractNumId w:val="3"/>
  </w:num>
  <w:num w:numId="26">
    <w:abstractNumId w:val="15"/>
  </w:num>
  <w:num w:numId="27">
    <w:abstractNumId w:val="18"/>
  </w:num>
  <w:num w:numId="28">
    <w:abstractNumId w:val="25"/>
  </w:num>
  <w:num w:numId="29">
    <w:abstractNumId w:val="8"/>
  </w:num>
  <w:num w:numId="30">
    <w:abstractNumId w:val="2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MjCzNLM0MjM1MjNW0lEKTi0uzszPAykwrAUAI76hHCwAAAA="/>
  </w:docVars>
  <w:rsids>
    <w:rsidRoot w:val="00DB6B52"/>
    <w:rsid w:val="0003073C"/>
    <w:rsid w:val="0003230F"/>
    <w:rsid w:val="00035337"/>
    <w:rsid w:val="00054071"/>
    <w:rsid w:val="0006126D"/>
    <w:rsid w:val="00067F57"/>
    <w:rsid w:val="00071BEC"/>
    <w:rsid w:val="00074514"/>
    <w:rsid w:val="000832D4"/>
    <w:rsid w:val="00090160"/>
    <w:rsid w:val="000B3E7E"/>
    <w:rsid w:val="000D223C"/>
    <w:rsid w:val="000E4006"/>
    <w:rsid w:val="000F1E3A"/>
    <w:rsid w:val="00133BE1"/>
    <w:rsid w:val="00164E99"/>
    <w:rsid w:val="00170941"/>
    <w:rsid w:val="00183CC8"/>
    <w:rsid w:val="00187E9B"/>
    <w:rsid w:val="001927C2"/>
    <w:rsid w:val="001A4DCD"/>
    <w:rsid w:val="001B119A"/>
    <w:rsid w:val="00203092"/>
    <w:rsid w:val="00214B2E"/>
    <w:rsid w:val="00217412"/>
    <w:rsid w:val="002175C7"/>
    <w:rsid w:val="002208C0"/>
    <w:rsid w:val="00224C06"/>
    <w:rsid w:val="00226BBA"/>
    <w:rsid w:val="00244930"/>
    <w:rsid w:val="0025687C"/>
    <w:rsid w:val="00260E58"/>
    <w:rsid w:val="00274A48"/>
    <w:rsid w:val="00291CCC"/>
    <w:rsid w:val="002A6415"/>
    <w:rsid w:val="002B7B7C"/>
    <w:rsid w:val="002C2BF2"/>
    <w:rsid w:val="002C7EF6"/>
    <w:rsid w:val="002D4924"/>
    <w:rsid w:val="002F4756"/>
    <w:rsid w:val="00302509"/>
    <w:rsid w:val="003049C5"/>
    <w:rsid w:val="003303BF"/>
    <w:rsid w:val="00340C00"/>
    <w:rsid w:val="0034746D"/>
    <w:rsid w:val="00366252"/>
    <w:rsid w:val="003702D1"/>
    <w:rsid w:val="00373FAD"/>
    <w:rsid w:val="003777B5"/>
    <w:rsid w:val="003832E7"/>
    <w:rsid w:val="003A1370"/>
    <w:rsid w:val="003A13C1"/>
    <w:rsid w:val="003A20A0"/>
    <w:rsid w:val="003A58B0"/>
    <w:rsid w:val="003C7F55"/>
    <w:rsid w:val="003D11AD"/>
    <w:rsid w:val="003E3340"/>
    <w:rsid w:val="003F10A6"/>
    <w:rsid w:val="00400DFC"/>
    <w:rsid w:val="00412DC6"/>
    <w:rsid w:val="00425009"/>
    <w:rsid w:val="004377B0"/>
    <w:rsid w:val="004547BE"/>
    <w:rsid w:val="00472C81"/>
    <w:rsid w:val="00475032"/>
    <w:rsid w:val="004859EF"/>
    <w:rsid w:val="00502E29"/>
    <w:rsid w:val="00510089"/>
    <w:rsid w:val="00511EC2"/>
    <w:rsid w:val="005164F5"/>
    <w:rsid w:val="0052560F"/>
    <w:rsid w:val="005666F2"/>
    <w:rsid w:val="0056768C"/>
    <w:rsid w:val="00572064"/>
    <w:rsid w:val="00584369"/>
    <w:rsid w:val="00587A35"/>
    <w:rsid w:val="005F4693"/>
    <w:rsid w:val="00623602"/>
    <w:rsid w:val="0064279A"/>
    <w:rsid w:val="00651C98"/>
    <w:rsid w:val="006630C8"/>
    <w:rsid w:val="006A5D23"/>
    <w:rsid w:val="006D0151"/>
    <w:rsid w:val="006D6BF7"/>
    <w:rsid w:val="006E3D58"/>
    <w:rsid w:val="00704EE5"/>
    <w:rsid w:val="007066E2"/>
    <w:rsid w:val="00707413"/>
    <w:rsid w:val="00722640"/>
    <w:rsid w:val="0073197E"/>
    <w:rsid w:val="00746080"/>
    <w:rsid w:val="007464F5"/>
    <w:rsid w:val="00772B57"/>
    <w:rsid w:val="00781D04"/>
    <w:rsid w:val="007C2D45"/>
    <w:rsid w:val="007F02BE"/>
    <w:rsid w:val="007F49EB"/>
    <w:rsid w:val="00805FDA"/>
    <w:rsid w:val="0081264F"/>
    <w:rsid w:val="00812C1B"/>
    <w:rsid w:val="008173B1"/>
    <w:rsid w:val="00835AD0"/>
    <w:rsid w:val="00841787"/>
    <w:rsid w:val="008747B3"/>
    <w:rsid w:val="008813C3"/>
    <w:rsid w:val="00890EB7"/>
    <w:rsid w:val="008926F0"/>
    <w:rsid w:val="008964E8"/>
    <w:rsid w:val="008A48F6"/>
    <w:rsid w:val="008E6045"/>
    <w:rsid w:val="0090113B"/>
    <w:rsid w:val="00923D5F"/>
    <w:rsid w:val="0093258A"/>
    <w:rsid w:val="0094373C"/>
    <w:rsid w:val="00946DEE"/>
    <w:rsid w:val="00951E2B"/>
    <w:rsid w:val="00952939"/>
    <w:rsid w:val="009531C8"/>
    <w:rsid w:val="00961EA0"/>
    <w:rsid w:val="009A5C44"/>
    <w:rsid w:val="009B03AF"/>
    <w:rsid w:val="009C4216"/>
    <w:rsid w:val="009D5F4B"/>
    <w:rsid w:val="009E626E"/>
    <w:rsid w:val="009E7CBF"/>
    <w:rsid w:val="00A07077"/>
    <w:rsid w:val="00A16A5C"/>
    <w:rsid w:val="00A50DD0"/>
    <w:rsid w:val="00A516B0"/>
    <w:rsid w:val="00A5620A"/>
    <w:rsid w:val="00A94F10"/>
    <w:rsid w:val="00AA06D9"/>
    <w:rsid w:val="00AB4B34"/>
    <w:rsid w:val="00AC2406"/>
    <w:rsid w:val="00AD3FCF"/>
    <w:rsid w:val="00AF0F28"/>
    <w:rsid w:val="00B03802"/>
    <w:rsid w:val="00B043C5"/>
    <w:rsid w:val="00B069AA"/>
    <w:rsid w:val="00B07D37"/>
    <w:rsid w:val="00B14704"/>
    <w:rsid w:val="00B15D01"/>
    <w:rsid w:val="00B23A36"/>
    <w:rsid w:val="00B25576"/>
    <w:rsid w:val="00B25EF5"/>
    <w:rsid w:val="00B34F9B"/>
    <w:rsid w:val="00B50EB2"/>
    <w:rsid w:val="00B53CB3"/>
    <w:rsid w:val="00B6722A"/>
    <w:rsid w:val="00B82D78"/>
    <w:rsid w:val="00B8390F"/>
    <w:rsid w:val="00B866E0"/>
    <w:rsid w:val="00BA434C"/>
    <w:rsid w:val="00BD4F65"/>
    <w:rsid w:val="00BE4E93"/>
    <w:rsid w:val="00BF1AC6"/>
    <w:rsid w:val="00C06F9E"/>
    <w:rsid w:val="00C13E6B"/>
    <w:rsid w:val="00C2370B"/>
    <w:rsid w:val="00C27193"/>
    <w:rsid w:val="00C46704"/>
    <w:rsid w:val="00C624D5"/>
    <w:rsid w:val="00C848A0"/>
    <w:rsid w:val="00C859E5"/>
    <w:rsid w:val="00C878C5"/>
    <w:rsid w:val="00C96AEA"/>
    <w:rsid w:val="00CB4B83"/>
    <w:rsid w:val="00CC0B6D"/>
    <w:rsid w:val="00CD01B4"/>
    <w:rsid w:val="00CE1CD3"/>
    <w:rsid w:val="00CE4F01"/>
    <w:rsid w:val="00D2171E"/>
    <w:rsid w:val="00D30F16"/>
    <w:rsid w:val="00D55546"/>
    <w:rsid w:val="00D57E8C"/>
    <w:rsid w:val="00D6213C"/>
    <w:rsid w:val="00D647C0"/>
    <w:rsid w:val="00D77694"/>
    <w:rsid w:val="00D77B0F"/>
    <w:rsid w:val="00DA58AE"/>
    <w:rsid w:val="00DB6B52"/>
    <w:rsid w:val="00DE5488"/>
    <w:rsid w:val="00DE75AC"/>
    <w:rsid w:val="00DF5A52"/>
    <w:rsid w:val="00E17C58"/>
    <w:rsid w:val="00E231C2"/>
    <w:rsid w:val="00E429DA"/>
    <w:rsid w:val="00E56E07"/>
    <w:rsid w:val="00E616AB"/>
    <w:rsid w:val="00E62C2A"/>
    <w:rsid w:val="00E8586E"/>
    <w:rsid w:val="00E86F26"/>
    <w:rsid w:val="00E96A06"/>
    <w:rsid w:val="00EA0919"/>
    <w:rsid w:val="00EB5240"/>
    <w:rsid w:val="00EC0B55"/>
    <w:rsid w:val="00F01DA1"/>
    <w:rsid w:val="00F034BF"/>
    <w:rsid w:val="00F233A3"/>
    <w:rsid w:val="00F23D7A"/>
    <w:rsid w:val="00F26D30"/>
    <w:rsid w:val="00F57152"/>
    <w:rsid w:val="00F7362C"/>
    <w:rsid w:val="00F92F61"/>
    <w:rsid w:val="00FB6F10"/>
    <w:rsid w:val="00FC4CF8"/>
    <w:rsid w:val="00FC5DA7"/>
    <w:rsid w:val="00FD1A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6E0"/>
    <w:rPr>
      <w:color w:val="0000FF" w:themeColor="hyperlink"/>
      <w:u w:val="single"/>
    </w:rPr>
  </w:style>
  <w:style w:type="paragraph" w:styleId="FootnoteText">
    <w:name w:val="footnote text"/>
    <w:basedOn w:val="Normal"/>
    <w:link w:val="FootnoteTextChar"/>
    <w:uiPriority w:val="99"/>
    <w:semiHidden/>
    <w:unhideWhenUsed/>
    <w:rsid w:val="007F02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2BE"/>
    <w:rPr>
      <w:sz w:val="20"/>
      <w:szCs w:val="20"/>
    </w:rPr>
  </w:style>
  <w:style w:type="character" w:styleId="FootnoteReference">
    <w:name w:val="footnote reference"/>
    <w:basedOn w:val="DefaultParagraphFont"/>
    <w:uiPriority w:val="99"/>
    <w:semiHidden/>
    <w:unhideWhenUsed/>
    <w:rsid w:val="007F02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60854774">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382E2-3FE9-4802-897C-E881942A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Tandem Energy Services</cp:lastModifiedBy>
  <cp:revision>2</cp:revision>
  <cp:lastPrinted>2014-09-29T14:43:00Z</cp:lastPrinted>
  <dcterms:created xsi:type="dcterms:W3CDTF">2021-01-06T15:53:00Z</dcterms:created>
  <dcterms:modified xsi:type="dcterms:W3CDTF">2021-01-06T15:53:00Z</dcterms:modified>
</cp:coreProperties>
</file>