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B79D" w14:textId="732516AF" w:rsidR="003832E7" w:rsidRPr="00BF599C" w:rsidRDefault="00BF599C" w:rsidP="003832E7">
      <w:pPr>
        <w:pStyle w:val="Default"/>
        <w:jc w:val="right"/>
        <w:rPr>
          <w:rFonts w:ascii="Arial" w:hAnsi="Arial" w:cs="Arial"/>
          <w:sz w:val="22"/>
          <w:szCs w:val="22"/>
        </w:rPr>
      </w:pPr>
      <w:r w:rsidRPr="00BF599C">
        <w:rPr>
          <w:rFonts w:ascii="Arial" w:hAnsi="Arial" w:cs="Arial"/>
          <w:bCs/>
          <w:sz w:val="22"/>
          <w:szCs w:val="22"/>
        </w:rPr>
        <w:t xml:space="preserve">PUC </w:t>
      </w:r>
      <w:r w:rsidR="002D4924" w:rsidRPr="00BF599C">
        <w:rPr>
          <w:rFonts w:ascii="Arial" w:hAnsi="Arial" w:cs="Arial"/>
          <w:bCs/>
          <w:sz w:val="22"/>
          <w:szCs w:val="22"/>
        </w:rPr>
        <w:t>Distribut</w:t>
      </w:r>
      <w:r w:rsidRPr="00BF599C">
        <w:rPr>
          <w:rFonts w:ascii="Arial" w:hAnsi="Arial" w:cs="Arial"/>
          <w:bCs/>
          <w:sz w:val="22"/>
          <w:szCs w:val="22"/>
        </w:rPr>
        <w:t>ion Inc.</w:t>
      </w:r>
    </w:p>
    <w:p w14:paraId="5498C7DE" w14:textId="77777777" w:rsidR="00A07077" w:rsidRPr="00BF599C" w:rsidRDefault="008A48F6" w:rsidP="00A07077">
      <w:pPr>
        <w:pStyle w:val="Default"/>
        <w:jc w:val="right"/>
        <w:rPr>
          <w:rFonts w:ascii="Arial" w:hAnsi="Arial" w:cs="Arial"/>
          <w:sz w:val="22"/>
          <w:szCs w:val="22"/>
        </w:rPr>
      </w:pPr>
      <w:r w:rsidRPr="00BF599C">
        <w:rPr>
          <w:rFonts w:ascii="Arial" w:hAnsi="Arial" w:cs="Arial"/>
          <w:sz w:val="22"/>
          <w:szCs w:val="22"/>
        </w:rPr>
        <w:t>OEB</w:t>
      </w:r>
      <w:r w:rsidR="00A07077" w:rsidRPr="00BF599C">
        <w:rPr>
          <w:rFonts w:ascii="Arial" w:hAnsi="Arial" w:cs="Arial"/>
          <w:sz w:val="22"/>
          <w:szCs w:val="22"/>
        </w:rPr>
        <w:t xml:space="preserve"> Staff </w:t>
      </w:r>
      <w:r w:rsidR="008813C3" w:rsidRPr="00BF599C">
        <w:rPr>
          <w:rFonts w:ascii="Arial" w:hAnsi="Arial" w:cs="Arial"/>
          <w:sz w:val="22"/>
          <w:szCs w:val="22"/>
        </w:rPr>
        <w:t>Questions</w:t>
      </w:r>
    </w:p>
    <w:p w14:paraId="04387495" w14:textId="327B6965" w:rsidR="00A07077" w:rsidRPr="00BF599C" w:rsidRDefault="00623602" w:rsidP="00B069AA">
      <w:pPr>
        <w:pStyle w:val="Default"/>
        <w:jc w:val="right"/>
        <w:rPr>
          <w:rFonts w:ascii="Arial" w:hAnsi="Arial" w:cs="Arial"/>
          <w:sz w:val="22"/>
          <w:szCs w:val="22"/>
        </w:rPr>
      </w:pPr>
      <w:r w:rsidRPr="00BF599C">
        <w:rPr>
          <w:rFonts w:ascii="Arial" w:hAnsi="Arial" w:cs="Arial"/>
          <w:sz w:val="22"/>
          <w:szCs w:val="22"/>
        </w:rPr>
        <w:t>EB-2020</w:t>
      </w:r>
      <w:r w:rsidR="009D5F4B" w:rsidRPr="00BF599C">
        <w:rPr>
          <w:rFonts w:ascii="Arial" w:hAnsi="Arial" w:cs="Arial"/>
          <w:sz w:val="22"/>
          <w:szCs w:val="22"/>
        </w:rPr>
        <w:t>-</w:t>
      </w:r>
      <w:r w:rsidR="00BF599C" w:rsidRPr="00BF599C">
        <w:rPr>
          <w:rFonts w:ascii="Arial" w:hAnsi="Arial" w:cs="Arial"/>
          <w:sz w:val="22"/>
          <w:szCs w:val="22"/>
        </w:rPr>
        <w:t>0051</w:t>
      </w:r>
    </w:p>
    <w:p w14:paraId="04DD1EF2" w14:textId="77777777" w:rsidR="00A07077" w:rsidRPr="00BF599C" w:rsidRDefault="00A07077" w:rsidP="00A07077">
      <w:pPr>
        <w:pStyle w:val="Default"/>
        <w:rPr>
          <w:rFonts w:ascii="Arial" w:hAnsi="Arial" w:cs="Arial"/>
          <w:sz w:val="22"/>
          <w:szCs w:val="22"/>
        </w:rPr>
      </w:pPr>
    </w:p>
    <w:p w14:paraId="31F8E0D6" w14:textId="4E64660D" w:rsidR="00A07077" w:rsidRPr="00BF599C" w:rsidRDefault="00BF599C" w:rsidP="00A07077">
      <w:pPr>
        <w:pStyle w:val="Default"/>
        <w:jc w:val="center"/>
        <w:rPr>
          <w:rFonts w:ascii="Arial" w:hAnsi="Arial" w:cs="Arial"/>
          <w:sz w:val="28"/>
          <w:szCs w:val="28"/>
        </w:rPr>
      </w:pPr>
      <w:r w:rsidRPr="00BF599C">
        <w:rPr>
          <w:rFonts w:ascii="Arial" w:hAnsi="Arial" w:cs="Arial"/>
          <w:b/>
          <w:bCs/>
          <w:sz w:val="28"/>
          <w:szCs w:val="28"/>
        </w:rPr>
        <w:t xml:space="preserve">PUC </w:t>
      </w:r>
      <w:r w:rsidR="002D4924" w:rsidRPr="00BF599C">
        <w:rPr>
          <w:rFonts w:ascii="Arial" w:hAnsi="Arial" w:cs="Arial"/>
          <w:b/>
          <w:bCs/>
          <w:sz w:val="28"/>
          <w:szCs w:val="28"/>
        </w:rPr>
        <w:t>Distribut</w:t>
      </w:r>
      <w:r w:rsidRPr="00BF599C">
        <w:rPr>
          <w:rFonts w:ascii="Arial" w:hAnsi="Arial" w:cs="Arial"/>
          <w:b/>
          <w:bCs/>
          <w:sz w:val="28"/>
          <w:szCs w:val="28"/>
        </w:rPr>
        <w:t xml:space="preserve">ion Inc. </w:t>
      </w:r>
      <w:r w:rsidR="000016DB">
        <w:rPr>
          <w:rFonts w:ascii="Arial" w:hAnsi="Arial" w:cs="Arial"/>
          <w:b/>
          <w:bCs/>
          <w:sz w:val="28"/>
          <w:szCs w:val="28"/>
        </w:rPr>
        <w:t>(PUC Distribution)</w:t>
      </w:r>
    </w:p>
    <w:p w14:paraId="33D6510D" w14:textId="4FD33F93" w:rsidR="00A07077" w:rsidRDefault="00623602" w:rsidP="00A07077">
      <w:pPr>
        <w:pStyle w:val="Default"/>
        <w:jc w:val="center"/>
        <w:rPr>
          <w:rFonts w:ascii="Arial" w:hAnsi="Arial" w:cs="Arial"/>
          <w:b/>
          <w:bCs/>
          <w:sz w:val="28"/>
          <w:szCs w:val="28"/>
        </w:rPr>
      </w:pPr>
      <w:r w:rsidRPr="00BF599C">
        <w:rPr>
          <w:rFonts w:ascii="Arial" w:hAnsi="Arial" w:cs="Arial"/>
          <w:b/>
          <w:bCs/>
          <w:sz w:val="28"/>
          <w:szCs w:val="28"/>
        </w:rPr>
        <w:t>EB-2020</w:t>
      </w:r>
      <w:r w:rsidR="00B069AA" w:rsidRPr="00BF599C">
        <w:rPr>
          <w:rFonts w:ascii="Arial" w:hAnsi="Arial" w:cs="Arial"/>
          <w:b/>
          <w:bCs/>
          <w:sz w:val="28"/>
          <w:szCs w:val="28"/>
        </w:rPr>
        <w:t>-</w:t>
      </w:r>
      <w:r w:rsidR="00BF599C" w:rsidRPr="00BF599C">
        <w:rPr>
          <w:rFonts w:ascii="Arial" w:hAnsi="Arial" w:cs="Arial"/>
          <w:b/>
          <w:bCs/>
          <w:sz w:val="28"/>
          <w:szCs w:val="28"/>
        </w:rPr>
        <w:t>0051</w:t>
      </w:r>
    </w:p>
    <w:p w14:paraId="63C86BE8" w14:textId="77777777" w:rsidR="00511EC2" w:rsidRDefault="00511EC2" w:rsidP="00511EC2">
      <w:pPr>
        <w:spacing w:after="0" w:line="240" w:lineRule="auto"/>
        <w:rPr>
          <w:rFonts w:ascii="Arial" w:eastAsia="Calibri" w:hAnsi="Arial" w:cs="Arial"/>
          <w:lang w:val="en-US"/>
        </w:rPr>
      </w:pPr>
    </w:p>
    <w:p w14:paraId="2A0CB1B0" w14:textId="66FD5665"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BF599C">
        <w:rPr>
          <w:rFonts w:ascii="Arial" w:eastAsia="Calibri" w:hAnsi="Arial" w:cs="Arial"/>
          <w:sz w:val="24"/>
          <w:szCs w:val="24"/>
        </w:rPr>
        <w:t>PUC Distribution</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7C630EF2" w:rsidR="00D57E8C" w:rsidRDefault="00D57E8C" w:rsidP="00D57E8C">
      <w:pPr>
        <w:rPr>
          <w:rFonts w:ascii="Arial" w:hAnsi="Arial" w:cs="Arial"/>
          <w:b/>
          <w:sz w:val="24"/>
          <w:szCs w:val="24"/>
        </w:rPr>
      </w:pPr>
      <w:r>
        <w:rPr>
          <w:rFonts w:ascii="Arial" w:hAnsi="Arial" w:cs="Arial"/>
          <w:b/>
          <w:sz w:val="24"/>
          <w:szCs w:val="24"/>
        </w:rPr>
        <w:t>Staff Question-1</w:t>
      </w:r>
      <w:r w:rsidR="00933BEB">
        <w:rPr>
          <w:rFonts w:ascii="Arial" w:hAnsi="Arial" w:cs="Arial"/>
          <w:b/>
          <w:sz w:val="24"/>
          <w:szCs w:val="24"/>
        </w:rPr>
        <w:t xml:space="preserve"> </w:t>
      </w:r>
    </w:p>
    <w:p w14:paraId="43AE605B" w14:textId="2FDD38BC" w:rsidR="00D57E8C" w:rsidRDefault="00BF599C" w:rsidP="008E6045">
      <w:pPr>
        <w:rPr>
          <w:rFonts w:ascii="Arial" w:hAnsi="Arial" w:cs="Arial"/>
          <w:b/>
          <w:sz w:val="24"/>
          <w:szCs w:val="24"/>
          <w:lang w:val="en-US"/>
        </w:rPr>
      </w:pPr>
      <w:r w:rsidRPr="00BF599C">
        <w:rPr>
          <w:rFonts w:ascii="Arial" w:hAnsi="Arial" w:cs="Arial"/>
          <w:b/>
          <w:sz w:val="24"/>
          <w:szCs w:val="24"/>
          <w:lang w:val="en-US"/>
        </w:rPr>
        <w:t>Ref:</w:t>
      </w:r>
      <w:r>
        <w:rPr>
          <w:rFonts w:ascii="Arial" w:hAnsi="Arial" w:cs="Arial"/>
          <w:b/>
          <w:sz w:val="24"/>
          <w:szCs w:val="24"/>
          <w:lang w:val="en-US"/>
        </w:rPr>
        <w:t xml:space="preserve"> Manager’s Summary, p. 5</w:t>
      </w:r>
    </w:p>
    <w:p w14:paraId="17AC14E7" w14:textId="2781F08B" w:rsidR="00BF599C" w:rsidRDefault="00BF599C" w:rsidP="008E6045">
      <w:pPr>
        <w:rPr>
          <w:rFonts w:ascii="Arial" w:hAnsi="Arial" w:cs="Arial"/>
          <w:bCs/>
          <w:sz w:val="24"/>
          <w:szCs w:val="24"/>
          <w:lang w:val="en-US"/>
        </w:rPr>
      </w:pPr>
      <w:r w:rsidRPr="00BF599C">
        <w:rPr>
          <w:rFonts w:ascii="Arial" w:hAnsi="Arial" w:cs="Arial"/>
          <w:bCs/>
          <w:sz w:val="24"/>
          <w:szCs w:val="24"/>
          <w:lang w:val="en-US"/>
        </w:rPr>
        <w:t>PUC Distribution state</w:t>
      </w:r>
      <w:r>
        <w:rPr>
          <w:rFonts w:ascii="Arial" w:hAnsi="Arial" w:cs="Arial"/>
          <w:bCs/>
          <w:sz w:val="24"/>
          <w:szCs w:val="24"/>
          <w:lang w:val="en-US"/>
        </w:rPr>
        <w:t xml:space="preserve">d </w:t>
      </w:r>
      <w:r w:rsidRPr="00BF599C">
        <w:rPr>
          <w:rFonts w:ascii="Arial" w:hAnsi="Arial" w:cs="Arial"/>
          <w:bCs/>
          <w:sz w:val="24"/>
          <w:szCs w:val="24"/>
          <w:lang w:val="en-US"/>
        </w:rPr>
        <w:t>that it is seeking disposition of Group 1 Deferral/Variance Accounts for the year 2017 (final), 2018 and 2019. Please indicate whether PUC Distribution is seeking disposition of its 2018 and 2019 Group 1 balances on a</w:t>
      </w:r>
      <w:r>
        <w:rPr>
          <w:rFonts w:ascii="Arial" w:hAnsi="Arial" w:cs="Arial"/>
          <w:bCs/>
          <w:sz w:val="24"/>
          <w:szCs w:val="24"/>
          <w:lang w:val="en-US"/>
        </w:rPr>
        <w:t>n</w:t>
      </w:r>
      <w:r w:rsidRPr="00BF599C">
        <w:rPr>
          <w:rFonts w:ascii="Arial" w:hAnsi="Arial" w:cs="Arial"/>
          <w:bCs/>
          <w:sz w:val="24"/>
          <w:szCs w:val="24"/>
          <w:lang w:val="en-US"/>
        </w:rPr>
        <w:t xml:space="preserve"> interim or final basis.</w:t>
      </w:r>
    </w:p>
    <w:p w14:paraId="2DEAE4B2" w14:textId="77777777" w:rsidR="00BF599C" w:rsidRPr="00BF599C" w:rsidRDefault="00BF599C" w:rsidP="008E6045">
      <w:pPr>
        <w:rPr>
          <w:rFonts w:ascii="Arial" w:hAnsi="Arial" w:cs="Arial"/>
          <w:bCs/>
          <w:sz w:val="24"/>
          <w:szCs w:val="24"/>
          <w:lang w:val="en-US"/>
        </w:rPr>
      </w:pPr>
    </w:p>
    <w:p w14:paraId="1A225C21" w14:textId="3AC33D49" w:rsidR="00BF599C" w:rsidRDefault="00BF599C" w:rsidP="00BF599C">
      <w:pPr>
        <w:rPr>
          <w:rFonts w:ascii="Arial" w:hAnsi="Arial" w:cs="Arial"/>
          <w:b/>
          <w:sz w:val="24"/>
          <w:szCs w:val="24"/>
        </w:rPr>
      </w:pPr>
      <w:r>
        <w:rPr>
          <w:rFonts w:ascii="Arial" w:hAnsi="Arial" w:cs="Arial"/>
          <w:b/>
          <w:sz w:val="24"/>
          <w:szCs w:val="24"/>
        </w:rPr>
        <w:t>Staff Question-2</w:t>
      </w:r>
    </w:p>
    <w:p w14:paraId="33351523" w14:textId="19466CB9" w:rsidR="00BF599C" w:rsidRDefault="00BF599C" w:rsidP="00BF599C">
      <w:pPr>
        <w:rPr>
          <w:rFonts w:ascii="Arial" w:hAnsi="Arial" w:cs="Arial"/>
          <w:b/>
          <w:sz w:val="24"/>
          <w:szCs w:val="24"/>
          <w:lang w:val="en-US"/>
        </w:rPr>
      </w:pPr>
      <w:r w:rsidRPr="00BF599C">
        <w:rPr>
          <w:rFonts w:ascii="Arial" w:hAnsi="Arial" w:cs="Arial"/>
          <w:b/>
          <w:sz w:val="24"/>
          <w:szCs w:val="24"/>
          <w:lang w:val="en-US"/>
        </w:rPr>
        <w:t>Ref:</w:t>
      </w:r>
      <w:r>
        <w:rPr>
          <w:rFonts w:ascii="Arial" w:hAnsi="Arial" w:cs="Arial"/>
          <w:b/>
          <w:sz w:val="24"/>
          <w:szCs w:val="24"/>
          <w:lang w:val="en-US"/>
        </w:rPr>
        <w:t xml:space="preserve"> Rate Generator Model, Tab 2</w:t>
      </w:r>
    </w:p>
    <w:p w14:paraId="327E02C3" w14:textId="77777777" w:rsidR="00BF599C" w:rsidRPr="00BF599C" w:rsidRDefault="00BF599C" w:rsidP="00BF599C">
      <w:pPr>
        <w:rPr>
          <w:rFonts w:ascii="Arial" w:hAnsi="Arial" w:cs="Arial"/>
          <w:bCs/>
          <w:sz w:val="24"/>
          <w:szCs w:val="24"/>
          <w:lang w:val="en-US"/>
        </w:rPr>
      </w:pPr>
      <w:r w:rsidRPr="00BF599C">
        <w:rPr>
          <w:rFonts w:ascii="Arial" w:hAnsi="Arial" w:cs="Arial"/>
          <w:bCs/>
          <w:sz w:val="24"/>
          <w:szCs w:val="24"/>
          <w:lang w:val="en-US"/>
        </w:rPr>
        <w:t>PUC Distribution’s Group 1 accounts (with the exception of account 1588 and 1589) were last approved for interim disposition in the 2019 rate year (2017 balances). In Tab 2 (cells F40 and F42), PUC Distribution has selected 2018 as the year for when the accounts were last disposed. Please confirm whether the year should be 2017 and update tab 2 accordingly.</w:t>
      </w:r>
    </w:p>
    <w:p w14:paraId="3DC5A1A4" w14:textId="77777777" w:rsidR="00BF599C" w:rsidRPr="002D056D" w:rsidRDefault="00BF599C" w:rsidP="00BF599C">
      <w:pPr>
        <w:rPr>
          <w:rFonts w:ascii="Arial" w:hAnsi="Arial" w:cs="Arial"/>
          <w:b/>
          <w:sz w:val="24"/>
          <w:szCs w:val="24"/>
        </w:rPr>
      </w:pPr>
    </w:p>
    <w:p w14:paraId="668BE4DC" w14:textId="620680D3" w:rsidR="00BF599C" w:rsidRDefault="00BF599C" w:rsidP="00BF599C">
      <w:pPr>
        <w:rPr>
          <w:rFonts w:ascii="Arial" w:hAnsi="Arial" w:cs="Arial"/>
          <w:b/>
          <w:sz w:val="24"/>
          <w:szCs w:val="24"/>
        </w:rPr>
      </w:pPr>
      <w:r>
        <w:rPr>
          <w:rFonts w:ascii="Arial" w:hAnsi="Arial" w:cs="Arial"/>
          <w:b/>
          <w:sz w:val="24"/>
          <w:szCs w:val="24"/>
        </w:rPr>
        <w:t>Staff Question-3</w:t>
      </w:r>
    </w:p>
    <w:p w14:paraId="1FD7AAEF" w14:textId="6F97A831" w:rsidR="00BF599C" w:rsidRDefault="00BF599C" w:rsidP="00BF599C">
      <w:pPr>
        <w:rPr>
          <w:rFonts w:ascii="Arial" w:hAnsi="Arial" w:cs="Arial"/>
          <w:b/>
          <w:sz w:val="24"/>
          <w:szCs w:val="24"/>
          <w:lang w:val="en-US"/>
        </w:rPr>
      </w:pPr>
      <w:r w:rsidRPr="00BF599C">
        <w:rPr>
          <w:rFonts w:ascii="Arial" w:hAnsi="Arial" w:cs="Arial"/>
          <w:b/>
          <w:sz w:val="24"/>
          <w:szCs w:val="24"/>
          <w:lang w:val="en-US"/>
        </w:rPr>
        <w:t>Ref:</w:t>
      </w:r>
      <w:r>
        <w:rPr>
          <w:rFonts w:ascii="Arial" w:hAnsi="Arial" w:cs="Arial"/>
          <w:b/>
          <w:sz w:val="24"/>
          <w:szCs w:val="24"/>
          <w:lang w:val="en-US"/>
        </w:rPr>
        <w:t xml:space="preserve"> Rate Generator Model, Tab 3</w:t>
      </w:r>
    </w:p>
    <w:p w14:paraId="6C73F127" w14:textId="33F90C13" w:rsidR="00BF599C" w:rsidRPr="00BF599C" w:rsidRDefault="00BF599C" w:rsidP="00BF599C">
      <w:pPr>
        <w:rPr>
          <w:rFonts w:ascii="Arial" w:hAnsi="Arial" w:cs="Arial"/>
          <w:bCs/>
          <w:sz w:val="24"/>
          <w:szCs w:val="24"/>
          <w:lang w:val="en-US"/>
        </w:rPr>
      </w:pPr>
      <w:r w:rsidRPr="004B78E4">
        <w:rPr>
          <w:rFonts w:ascii="Arial" w:hAnsi="Arial" w:cs="Arial"/>
          <w:bCs/>
          <w:sz w:val="24"/>
          <w:szCs w:val="24"/>
          <w:lang w:val="en-US"/>
        </w:rPr>
        <w:t>For</w:t>
      </w:r>
      <w:r w:rsidRPr="00BF599C">
        <w:rPr>
          <w:rFonts w:ascii="Arial" w:hAnsi="Arial" w:cs="Arial"/>
          <w:bCs/>
          <w:sz w:val="24"/>
          <w:szCs w:val="24"/>
          <w:lang w:val="en-US"/>
        </w:rPr>
        <w:t xml:space="preserve"> 2017, PUC Distribution has included principal and interest adjustments for accounts 1551, 1580, and 1584. Also, for 2018, PUC Distribution has included a principal adjustment of $10 for Account 1580 CBR A and</w:t>
      </w:r>
      <w:r w:rsidRPr="004B78E4">
        <w:rPr>
          <w:rFonts w:ascii="Arial" w:hAnsi="Arial" w:cs="Arial"/>
          <w:bCs/>
          <w:sz w:val="24"/>
          <w:szCs w:val="24"/>
          <w:lang w:val="en-US"/>
        </w:rPr>
        <w:t xml:space="preserve"> has also</w:t>
      </w:r>
      <w:r w:rsidRPr="00BF599C">
        <w:rPr>
          <w:rFonts w:ascii="Arial" w:hAnsi="Arial" w:cs="Arial"/>
          <w:bCs/>
          <w:sz w:val="24"/>
          <w:szCs w:val="24"/>
          <w:lang w:val="en-US"/>
        </w:rPr>
        <w:t xml:space="preserve"> included transaction amounts, OEB-approved disposition amounts (principal and interest), and interest for Jan 1, 2018 to Dec 31, 2018. </w:t>
      </w:r>
    </w:p>
    <w:p w14:paraId="36F74C45" w14:textId="77777777" w:rsidR="00BF599C" w:rsidRPr="00BF599C" w:rsidRDefault="00BF599C" w:rsidP="004B78E4">
      <w:pPr>
        <w:numPr>
          <w:ilvl w:val="0"/>
          <w:numId w:val="28"/>
        </w:numPr>
        <w:spacing w:after="0"/>
        <w:rPr>
          <w:rFonts w:ascii="Arial" w:hAnsi="Arial" w:cs="Arial"/>
          <w:bCs/>
          <w:sz w:val="24"/>
          <w:szCs w:val="24"/>
          <w:lang w:val="en-US"/>
        </w:rPr>
      </w:pPr>
      <w:r w:rsidRPr="00BF599C">
        <w:rPr>
          <w:rFonts w:ascii="Arial" w:hAnsi="Arial" w:cs="Arial"/>
          <w:bCs/>
          <w:sz w:val="24"/>
          <w:szCs w:val="24"/>
          <w:lang w:val="en-US"/>
        </w:rPr>
        <w:lastRenderedPageBreak/>
        <w:t>Please provide an explanation for the nature of each of these adjustments.</w:t>
      </w:r>
    </w:p>
    <w:p w14:paraId="4835CA82" w14:textId="77777777" w:rsidR="00BF599C" w:rsidRPr="00BF599C" w:rsidRDefault="00BF599C" w:rsidP="00BF599C">
      <w:pPr>
        <w:numPr>
          <w:ilvl w:val="0"/>
          <w:numId w:val="28"/>
        </w:numPr>
        <w:rPr>
          <w:rFonts w:ascii="Arial" w:hAnsi="Arial" w:cs="Arial"/>
          <w:bCs/>
          <w:sz w:val="24"/>
          <w:szCs w:val="24"/>
          <w:lang w:val="en-US"/>
        </w:rPr>
      </w:pPr>
      <w:r w:rsidRPr="00BF599C">
        <w:rPr>
          <w:rFonts w:ascii="Arial" w:hAnsi="Arial" w:cs="Arial"/>
          <w:bCs/>
          <w:sz w:val="24"/>
          <w:szCs w:val="24"/>
          <w:lang w:val="en-US"/>
        </w:rPr>
        <w:t>Please explain why transactions, OEB-approved disposition amounts (principal and interest), and interest for Jan 1, 2018 to Dec 31, 2018 were included in the continuity schedule.</w:t>
      </w:r>
    </w:p>
    <w:p w14:paraId="281C530B" w14:textId="77777777" w:rsidR="00BF599C" w:rsidRPr="002D056D" w:rsidRDefault="00BF599C" w:rsidP="00BF599C">
      <w:pPr>
        <w:rPr>
          <w:rFonts w:ascii="Arial" w:hAnsi="Arial" w:cs="Arial"/>
          <w:b/>
          <w:sz w:val="24"/>
          <w:szCs w:val="24"/>
        </w:rPr>
      </w:pPr>
    </w:p>
    <w:p w14:paraId="162E6E67" w14:textId="66ECD08B" w:rsidR="00BF599C" w:rsidRDefault="00BF599C" w:rsidP="00BF599C">
      <w:pPr>
        <w:rPr>
          <w:rFonts w:ascii="Arial" w:hAnsi="Arial" w:cs="Arial"/>
          <w:b/>
          <w:sz w:val="24"/>
          <w:szCs w:val="24"/>
        </w:rPr>
      </w:pPr>
      <w:r>
        <w:rPr>
          <w:rFonts w:ascii="Arial" w:hAnsi="Arial" w:cs="Arial"/>
          <w:b/>
          <w:sz w:val="24"/>
          <w:szCs w:val="24"/>
        </w:rPr>
        <w:t>Staff Question-</w:t>
      </w:r>
      <w:r w:rsidR="004B78E4">
        <w:rPr>
          <w:rFonts w:ascii="Arial" w:hAnsi="Arial" w:cs="Arial"/>
          <w:b/>
          <w:sz w:val="24"/>
          <w:szCs w:val="24"/>
        </w:rPr>
        <w:t>4</w:t>
      </w:r>
    </w:p>
    <w:p w14:paraId="0E4E245C" w14:textId="3DD84D6F" w:rsidR="00BF599C" w:rsidRDefault="00BF599C" w:rsidP="00BF599C">
      <w:pPr>
        <w:rPr>
          <w:rFonts w:ascii="Arial" w:hAnsi="Arial" w:cs="Arial"/>
          <w:b/>
          <w:sz w:val="24"/>
          <w:szCs w:val="24"/>
          <w:lang w:val="en-US"/>
        </w:rPr>
      </w:pPr>
      <w:r w:rsidRPr="00BF599C">
        <w:rPr>
          <w:rFonts w:ascii="Arial" w:hAnsi="Arial" w:cs="Arial"/>
          <w:b/>
          <w:sz w:val="24"/>
          <w:szCs w:val="24"/>
          <w:lang w:val="en-US"/>
        </w:rPr>
        <w:t>Ref:</w:t>
      </w:r>
      <w:r w:rsidR="004B78E4">
        <w:rPr>
          <w:rFonts w:ascii="Arial" w:hAnsi="Arial" w:cs="Arial"/>
          <w:b/>
          <w:sz w:val="24"/>
          <w:szCs w:val="24"/>
          <w:lang w:val="en-US"/>
        </w:rPr>
        <w:t xml:space="preserve"> Rate Generator Model, Tab 6</w:t>
      </w:r>
    </w:p>
    <w:p w14:paraId="05047EC8" w14:textId="77777777" w:rsidR="004B78E4" w:rsidRPr="004B78E4" w:rsidRDefault="004B78E4" w:rsidP="004B78E4">
      <w:pPr>
        <w:rPr>
          <w:rFonts w:ascii="Arial" w:hAnsi="Arial" w:cs="Arial"/>
          <w:bCs/>
          <w:sz w:val="24"/>
          <w:szCs w:val="24"/>
          <w:lang w:val="en-US"/>
        </w:rPr>
      </w:pPr>
      <w:r w:rsidRPr="004B78E4">
        <w:rPr>
          <w:rFonts w:ascii="Arial" w:hAnsi="Arial" w:cs="Arial"/>
          <w:bCs/>
          <w:sz w:val="24"/>
          <w:szCs w:val="24"/>
          <w:lang w:val="en-US"/>
        </w:rPr>
        <w:t>In tab 6 of the Rate Generator Model cell C487, PUC Distribution did not enter the number of rate classes in which there were customers who were Class A for the full year during the period the account 1589 or account 1580 CBR B accumulated. Based on the information provided in this tab, there appears to be full year class A customers. Please confirm and update cell C487 and the corresponding table with the rate classes, if required.</w:t>
      </w:r>
    </w:p>
    <w:p w14:paraId="3FFE346F" w14:textId="66D5A713" w:rsidR="00BF599C" w:rsidRDefault="00BF599C" w:rsidP="008E6045">
      <w:pPr>
        <w:rPr>
          <w:rFonts w:ascii="Arial" w:hAnsi="Arial" w:cs="Arial"/>
          <w:b/>
          <w:sz w:val="24"/>
          <w:szCs w:val="24"/>
        </w:rPr>
      </w:pPr>
    </w:p>
    <w:p w14:paraId="5A818F18" w14:textId="06D12C44" w:rsidR="00BF599C" w:rsidRDefault="00BF599C" w:rsidP="00BF599C">
      <w:pPr>
        <w:rPr>
          <w:rFonts w:ascii="Arial" w:hAnsi="Arial" w:cs="Arial"/>
          <w:b/>
          <w:sz w:val="24"/>
          <w:szCs w:val="24"/>
        </w:rPr>
      </w:pPr>
      <w:r>
        <w:rPr>
          <w:rFonts w:ascii="Arial" w:hAnsi="Arial" w:cs="Arial"/>
          <w:b/>
          <w:sz w:val="24"/>
          <w:szCs w:val="24"/>
        </w:rPr>
        <w:t>Staff Question-</w:t>
      </w:r>
      <w:r w:rsidR="004B78E4">
        <w:rPr>
          <w:rFonts w:ascii="Arial" w:hAnsi="Arial" w:cs="Arial"/>
          <w:b/>
          <w:sz w:val="24"/>
          <w:szCs w:val="24"/>
        </w:rPr>
        <w:t>5</w:t>
      </w:r>
    </w:p>
    <w:p w14:paraId="2DEDB9A7" w14:textId="4CEFB7A2" w:rsidR="00490B56" w:rsidRDefault="00BF599C" w:rsidP="00490B56">
      <w:pPr>
        <w:spacing w:after="0" w:line="240" w:lineRule="auto"/>
        <w:rPr>
          <w:rFonts w:ascii="Arial" w:hAnsi="Arial" w:cs="Arial"/>
          <w:b/>
          <w:sz w:val="24"/>
          <w:szCs w:val="24"/>
          <w:lang w:val="en-US"/>
        </w:rPr>
      </w:pPr>
      <w:r w:rsidRPr="00BF599C">
        <w:rPr>
          <w:rFonts w:ascii="Arial" w:hAnsi="Arial" w:cs="Arial"/>
          <w:b/>
          <w:sz w:val="24"/>
          <w:szCs w:val="24"/>
          <w:lang w:val="en-US"/>
        </w:rPr>
        <w:t>Ref:</w:t>
      </w:r>
      <w:r w:rsidR="004B78E4">
        <w:rPr>
          <w:rFonts w:ascii="Arial" w:hAnsi="Arial" w:cs="Arial"/>
          <w:b/>
          <w:sz w:val="24"/>
          <w:szCs w:val="24"/>
          <w:lang w:val="en-US"/>
        </w:rPr>
        <w:t xml:space="preserve"> Rate Generator Model, Tab 3</w:t>
      </w:r>
    </w:p>
    <w:p w14:paraId="375B7C1D" w14:textId="0F042AE1" w:rsidR="00BF599C" w:rsidRDefault="004B78E4" w:rsidP="00490B56">
      <w:pPr>
        <w:spacing w:line="240" w:lineRule="auto"/>
        <w:ind w:left="533"/>
        <w:rPr>
          <w:rFonts w:ascii="Arial" w:hAnsi="Arial" w:cs="Arial"/>
          <w:b/>
          <w:sz w:val="24"/>
          <w:szCs w:val="24"/>
          <w:lang w:val="en-US"/>
        </w:rPr>
      </w:pPr>
      <w:r>
        <w:rPr>
          <w:rFonts w:ascii="Arial" w:hAnsi="Arial" w:cs="Arial"/>
          <w:b/>
          <w:sz w:val="24"/>
          <w:szCs w:val="24"/>
          <w:lang w:val="en-US"/>
        </w:rPr>
        <w:t>GA Analysis Workform</w:t>
      </w:r>
    </w:p>
    <w:p w14:paraId="66849DA9" w14:textId="5A2029E8" w:rsidR="00490B56" w:rsidRPr="00490B56" w:rsidRDefault="00490B56" w:rsidP="00490B56">
      <w:pPr>
        <w:rPr>
          <w:rFonts w:ascii="Arial" w:hAnsi="Arial" w:cs="Arial"/>
          <w:bCs/>
          <w:sz w:val="24"/>
          <w:szCs w:val="24"/>
          <w:lang w:val="en-US"/>
        </w:rPr>
      </w:pPr>
      <w:r w:rsidRPr="00490B56">
        <w:rPr>
          <w:rFonts w:ascii="Arial" w:hAnsi="Arial" w:cs="Arial"/>
          <w:bCs/>
          <w:sz w:val="24"/>
          <w:szCs w:val="24"/>
          <w:lang w:val="en-US"/>
        </w:rPr>
        <w:t>Typically, large balances are not expected for Account 1588 as it should only hold the variance between commodity costs based on actual line losses and commodity revenues calculated using values for line losses approved by the OEB in the utility’s last rebasing application.  Based on RRR data filed for PUC Distribution for Account 4705 Cost of Power, OEB staff calculates the annual net activity (i.e. transactions plus principal adjustments) from the DVA Continuity Schedule as a percentage of annual Account 4705 to be as follows:</w:t>
      </w:r>
    </w:p>
    <w:p w14:paraId="0A371534" w14:textId="5F302046" w:rsidR="00490B56" w:rsidRPr="002D056D" w:rsidRDefault="00490B56" w:rsidP="00BF599C">
      <w:pPr>
        <w:rPr>
          <w:rFonts w:ascii="Arial" w:hAnsi="Arial" w:cs="Arial"/>
          <w:b/>
          <w:sz w:val="24"/>
          <w:szCs w:val="24"/>
        </w:rPr>
      </w:pPr>
      <w:r w:rsidRPr="00490B56">
        <w:rPr>
          <w:rFonts w:ascii="Arial" w:eastAsia="Calibri" w:hAnsi="Arial" w:cs="Times New Roman"/>
          <w:noProof/>
          <w:sz w:val="24"/>
          <w:lang w:val="en-US"/>
        </w:rPr>
        <w:drawing>
          <wp:inline distT="0" distB="0" distL="0" distR="0" wp14:anchorId="5453122B" wp14:editId="11ECD550">
            <wp:extent cx="5148580" cy="13652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8580" cy="1365250"/>
                    </a:xfrm>
                    <a:prstGeom prst="rect">
                      <a:avLst/>
                    </a:prstGeom>
                    <a:noFill/>
                    <a:ln>
                      <a:noFill/>
                    </a:ln>
                  </pic:spPr>
                </pic:pic>
              </a:graphicData>
            </a:graphic>
          </wp:inline>
        </w:drawing>
      </w:r>
    </w:p>
    <w:p w14:paraId="41334A8F" w14:textId="2C0DFFFB" w:rsidR="00490B56" w:rsidRDefault="00490B56" w:rsidP="00490B56">
      <w:pPr>
        <w:numPr>
          <w:ilvl w:val="0"/>
          <w:numId w:val="29"/>
        </w:numPr>
        <w:spacing w:after="0"/>
        <w:ind w:left="720"/>
        <w:rPr>
          <w:rFonts w:ascii="Arial" w:hAnsi="Arial" w:cs="Arial"/>
          <w:bCs/>
          <w:sz w:val="24"/>
          <w:szCs w:val="24"/>
          <w:lang w:val="en-US"/>
        </w:rPr>
      </w:pPr>
      <w:r w:rsidRPr="00490B56">
        <w:rPr>
          <w:rFonts w:ascii="Arial" w:hAnsi="Arial" w:cs="Arial"/>
          <w:bCs/>
          <w:sz w:val="24"/>
          <w:szCs w:val="24"/>
          <w:lang w:val="en-US"/>
        </w:rPr>
        <w:t>Please confirm this calculation or provide a revised calculation.</w:t>
      </w:r>
    </w:p>
    <w:p w14:paraId="527D3724" w14:textId="4E74B249" w:rsidR="00490B56" w:rsidRDefault="00843808" w:rsidP="00490B56">
      <w:pPr>
        <w:numPr>
          <w:ilvl w:val="0"/>
          <w:numId w:val="29"/>
        </w:numPr>
        <w:spacing w:after="0"/>
        <w:ind w:left="720"/>
        <w:rPr>
          <w:rFonts w:ascii="Arial" w:hAnsi="Arial" w:cs="Arial"/>
          <w:bCs/>
          <w:sz w:val="24"/>
          <w:szCs w:val="24"/>
          <w:lang w:val="en-US"/>
        </w:rPr>
      </w:pPr>
      <w:r>
        <w:rPr>
          <w:rFonts w:ascii="Arial" w:hAnsi="Arial" w:cs="Arial"/>
          <w:bCs/>
          <w:sz w:val="24"/>
          <w:szCs w:val="24"/>
          <w:lang w:val="en-US"/>
        </w:rPr>
        <w:t>For 2018 and 2019</w:t>
      </w:r>
      <w:r w:rsidR="00490B56" w:rsidRPr="00490B56">
        <w:rPr>
          <w:rFonts w:ascii="Arial" w:hAnsi="Arial" w:cs="Arial"/>
          <w:bCs/>
          <w:sz w:val="24"/>
          <w:szCs w:val="24"/>
          <w:lang w:val="en-US"/>
        </w:rPr>
        <w:t xml:space="preserve">, as a percentage of total cost of power purchases, the net activity recorded in the account </w:t>
      </w:r>
      <w:r w:rsidR="005319AB">
        <w:rPr>
          <w:rFonts w:ascii="Arial" w:hAnsi="Arial" w:cs="Arial"/>
          <w:bCs/>
          <w:sz w:val="24"/>
          <w:szCs w:val="24"/>
          <w:lang w:val="en-US"/>
        </w:rPr>
        <w:t>appears unusually large</w:t>
      </w:r>
      <w:r w:rsidR="00490B56" w:rsidRPr="00490B56">
        <w:rPr>
          <w:rFonts w:ascii="Arial" w:hAnsi="Arial" w:cs="Arial"/>
          <w:bCs/>
          <w:sz w:val="24"/>
          <w:szCs w:val="24"/>
          <w:lang w:val="en-US"/>
        </w:rPr>
        <w:t xml:space="preserve">. Please provide an </w:t>
      </w:r>
      <w:r w:rsidR="00490B56" w:rsidRPr="00490B56">
        <w:rPr>
          <w:rFonts w:ascii="Arial" w:hAnsi="Arial" w:cs="Arial"/>
          <w:bCs/>
          <w:sz w:val="24"/>
          <w:szCs w:val="24"/>
          <w:lang w:val="en-US"/>
        </w:rPr>
        <w:lastRenderedPageBreak/>
        <w:t>explanation for why the Account 1588 activity is so large, with due consideration to line losses.</w:t>
      </w:r>
    </w:p>
    <w:p w14:paraId="28B93653" w14:textId="0FA8458A" w:rsidR="00490B56" w:rsidRPr="00490B56" w:rsidRDefault="00490B56" w:rsidP="00490B56">
      <w:pPr>
        <w:numPr>
          <w:ilvl w:val="0"/>
          <w:numId w:val="29"/>
        </w:numPr>
        <w:ind w:left="720"/>
        <w:rPr>
          <w:rFonts w:ascii="Arial" w:hAnsi="Arial" w:cs="Arial"/>
          <w:bCs/>
          <w:sz w:val="24"/>
          <w:szCs w:val="24"/>
          <w:lang w:val="en-US"/>
        </w:rPr>
      </w:pPr>
      <w:r w:rsidRPr="00490B56">
        <w:rPr>
          <w:rFonts w:ascii="Arial" w:hAnsi="Arial" w:cs="Arial"/>
          <w:bCs/>
          <w:sz w:val="24"/>
          <w:szCs w:val="24"/>
          <w:lang w:val="en-US"/>
        </w:rPr>
        <w:t>For the years 2018 and 2019 the Principal Adjustments captured in cells AV29 and BF29 of the Continuity Schedule reconcile with the information of cell C80 of the respective year in the PUC_APPL-Appendix E-2021_GA_Analysis_Workform_20201013. Please explain why this is not the case for 2017 where the information in cell AL29 of the Continuity Schedule does not match the information in tab GA 2019 cell C80 of the GA Workform.</w:t>
      </w:r>
    </w:p>
    <w:p w14:paraId="2D7772F3" w14:textId="2E151465" w:rsidR="00BF599C" w:rsidRDefault="00BF599C" w:rsidP="008E6045">
      <w:pPr>
        <w:rPr>
          <w:rFonts w:ascii="Arial" w:hAnsi="Arial" w:cs="Arial"/>
          <w:b/>
          <w:sz w:val="24"/>
          <w:szCs w:val="24"/>
        </w:rPr>
      </w:pPr>
    </w:p>
    <w:p w14:paraId="1BE53C6E" w14:textId="57124802" w:rsidR="00BF599C" w:rsidRDefault="00BF599C" w:rsidP="00BF599C">
      <w:pPr>
        <w:rPr>
          <w:rFonts w:ascii="Arial" w:hAnsi="Arial" w:cs="Arial"/>
          <w:b/>
          <w:sz w:val="24"/>
          <w:szCs w:val="24"/>
        </w:rPr>
      </w:pPr>
      <w:r>
        <w:rPr>
          <w:rFonts w:ascii="Arial" w:hAnsi="Arial" w:cs="Arial"/>
          <w:b/>
          <w:sz w:val="24"/>
          <w:szCs w:val="24"/>
        </w:rPr>
        <w:t>Staff Question-</w:t>
      </w:r>
      <w:r w:rsidR="00490B56">
        <w:rPr>
          <w:rFonts w:ascii="Arial" w:hAnsi="Arial" w:cs="Arial"/>
          <w:b/>
          <w:sz w:val="24"/>
          <w:szCs w:val="24"/>
        </w:rPr>
        <w:t>6</w:t>
      </w:r>
    </w:p>
    <w:p w14:paraId="444BFB83" w14:textId="71B7C1EA" w:rsidR="00BF599C" w:rsidRPr="002D056D" w:rsidRDefault="00BF599C" w:rsidP="00BF599C">
      <w:pPr>
        <w:rPr>
          <w:rFonts w:ascii="Arial" w:hAnsi="Arial" w:cs="Arial"/>
          <w:b/>
          <w:sz w:val="24"/>
          <w:szCs w:val="24"/>
        </w:rPr>
      </w:pPr>
      <w:r w:rsidRPr="00BF599C">
        <w:rPr>
          <w:rFonts w:ascii="Arial" w:hAnsi="Arial" w:cs="Arial"/>
          <w:b/>
          <w:sz w:val="24"/>
          <w:szCs w:val="24"/>
          <w:lang w:val="en-US"/>
        </w:rPr>
        <w:t>Ref:</w:t>
      </w:r>
      <w:r w:rsidR="00490B56">
        <w:rPr>
          <w:rFonts w:ascii="Arial" w:hAnsi="Arial" w:cs="Arial"/>
          <w:b/>
          <w:sz w:val="24"/>
          <w:szCs w:val="24"/>
          <w:lang w:val="en-US"/>
        </w:rPr>
        <w:t xml:space="preserve"> </w:t>
      </w:r>
      <w:r w:rsidR="00490B56" w:rsidRPr="00490B56">
        <w:rPr>
          <w:rFonts w:ascii="Arial" w:hAnsi="Arial" w:cs="Arial"/>
          <w:b/>
          <w:sz w:val="24"/>
          <w:szCs w:val="24"/>
          <w:lang w:val="en-US"/>
        </w:rPr>
        <w:t>GA Analysis Workform, Tabs GA 2017, GA 2018, GA 2019</w:t>
      </w:r>
    </w:p>
    <w:p w14:paraId="04F62548" w14:textId="77777777" w:rsidR="00490B56" w:rsidRPr="00490B56" w:rsidRDefault="00490B56" w:rsidP="00490B56">
      <w:pPr>
        <w:numPr>
          <w:ilvl w:val="0"/>
          <w:numId w:val="30"/>
        </w:numPr>
        <w:spacing w:after="0"/>
        <w:rPr>
          <w:rFonts w:ascii="Arial" w:hAnsi="Arial" w:cs="Arial"/>
          <w:bCs/>
          <w:sz w:val="24"/>
          <w:szCs w:val="24"/>
          <w:lang w:val="en-US"/>
        </w:rPr>
      </w:pPr>
      <w:r w:rsidRPr="00490B56">
        <w:rPr>
          <w:rFonts w:ascii="Arial" w:hAnsi="Arial" w:cs="Arial"/>
          <w:bCs/>
          <w:sz w:val="24"/>
          <w:szCs w:val="24"/>
          <w:lang w:val="en-US"/>
        </w:rPr>
        <w:t>Please provide an explanation for not using columns G (Deduct Previous Month Unbilled Loss Adjusted Consumption (kWh)) and H (Add Current Month Unbilled Loss Adjusted Consumption (kWh)) in Note 4 of each of Tabs GA 2017, GA 2018, and GA 2019.</w:t>
      </w:r>
    </w:p>
    <w:p w14:paraId="7200F96B" w14:textId="6DE8716F" w:rsidR="00490B56" w:rsidRPr="00490B56" w:rsidRDefault="00490B56" w:rsidP="00490B56">
      <w:pPr>
        <w:numPr>
          <w:ilvl w:val="0"/>
          <w:numId w:val="30"/>
        </w:numPr>
        <w:rPr>
          <w:rFonts w:ascii="Arial" w:hAnsi="Arial" w:cs="Arial"/>
          <w:bCs/>
          <w:sz w:val="24"/>
          <w:szCs w:val="24"/>
          <w:lang w:val="en-US"/>
        </w:rPr>
      </w:pPr>
      <w:r w:rsidRPr="00490B56">
        <w:rPr>
          <w:rFonts w:ascii="Arial" w:hAnsi="Arial" w:cs="Arial"/>
          <w:bCs/>
          <w:sz w:val="24"/>
          <w:szCs w:val="24"/>
          <w:lang w:val="en-US"/>
        </w:rPr>
        <w:t xml:space="preserve">The Principal Adjustments” on the DVA Continuity Schedule in a year must be reversed in the following year. Please explain why these reversals were not reflected in the GA </w:t>
      </w:r>
      <w:bookmarkStart w:id="1" w:name="_GoBack"/>
      <w:bookmarkEnd w:id="1"/>
      <w:r w:rsidR="00E922C9">
        <w:rPr>
          <w:rFonts w:ascii="Arial" w:hAnsi="Arial" w:cs="Arial"/>
          <w:bCs/>
          <w:sz w:val="24"/>
          <w:szCs w:val="24"/>
          <w:lang w:val="en-US"/>
        </w:rPr>
        <w:t>W</w:t>
      </w:r>
      <w:r w:rsidRPr="00490B56">
        <w:rPr>
          <w:rFonts w:ascii="Arial" w:hAnsi="Arial" w:cs="Arial"/>
          <w:bCs/>
          <w:sz w:val="24"/>
          <w:szCs w:val="24"/>
          <w:lang w:val="en-US"/>
        </w:rPr>
        <w:t>orkform or the Continuity Schedule.</w:t>
      </w:r>
    </w:p>
    <w:p w14:paraId="000D5E3F" w14:textId="31FCB6DE" w:rsidR="00BF599C" w:rsidRDefault="00BF599C" w:rsidP="008E6045">
      <w:pPr>
        <w:rPr>
          <w:rFonts w:ascii="Arial" w:hAnsi="Arial" w:cs="Arial"/>
          <w:b/>
          <w:sz w:val="24"/>
          <w:szCs w:val="24"/>
        </w:rPr>
      </w:pPr>
    </w:p>
    <w:p w14:paraId="47003A2A" w14:textId="39395BE8" w:rsidR="00BF599C" w:rsidRDefault="00BF599C" w:rsidP="008E6045">
      <w:pPr>
        <w:rPr>
          <w:rFonts w:ascii="Arial" w:hAnsi="Arial" w:cs="Arial"/>
          <w:b/>
          <w:sz w:val="24"/>
          <w:szCs w:val="24"/>
        </w:rPr>
      </w:pPr>
    </w:p>
    <w:p w14:paraId="6887A720" w14:textId="77777777" w:rsidR="00BF599C" w:rsidRPr="002D056D" w:rsidRDefault="00BF599C" w:rsidP="008E6045">
      <w:pPr>
        <w:rPr>
          <w:rFonts w:ascii="Arial" w:hAnsi="Arial" w:cs="Arial"/>
          <w:b/>
          <w:sz w:val="24"/>
          <w:szCs w:val="24"/>
        </w:rPr>
      </w:pPr>
    </w:p>
    <w:sectPr w:rsidR="00BF599C"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0F3"/>
    <w:multiLevelType w:val="hybridMultilevel"/>
    <w:tmpl w:val="73AAA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8E19F8"/>
    <w:multiLevelType w:val="hybridMultilevel"/>
    <w:tmpl w:val="5CD4BEA0"/>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C5421FA"/>
    <w:multiLevelType w:val="hybridMultilevel"/>
    <w:tmpl w:val="90024956"/>
    <w:lvl w:ilvl="0" w:tplc="04090017">
      <w:start w:val="1"/>
      <w:numFmt w:val="lowerLetter"/>
      <w:lvlText w:val="%1)"/>
      <w:lvlJc w:val="left"/>
      <w:pPr>
        <w:ind w:left="720" w:hanging="360"/>
      </w:pPr>
      <w:rPr>
        <w:rFonts w:hint="default"/>
      </w:rPr>
    </w:lvl>
    <w:lvl w:ilvl="1" w:tplc="ED00B650">
      <w:start w:val="1"/>
      <w:numFmt w:val="lowerRoman"/>
      <w:lvlText w:val="%2."/>
      <w:lvlJc w:val="left"/>
      <w:pPr>
        <w:ind w:left="1440" w:hanging="360"/>
      </w:pPr>
      <w:rPr>
        <w:rFonts w:ascii="Arial" w:eastAsiaTheme="minorHAnsi" w:hAnsi="Arial"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7"/>
  </w:num>
  <w:num w:numId="3">
    <w:abstractNumId w:val="22"/>
  </w:num>
  <w:num w:numId="4">
    <w:abstractNumId w:val="29"/>
  </w:num>
  <w:num w:numId="5">
    <w:abstractNumId w:val="13"/>
  </w:num>
  <w:num w:numId="6">
    <w:abstractNumId w:val="9"/>
  </w:num>
  <w:num w:numId="7">
    <w:abstractNumId w:val="18"/>
  </w:num>
  <w:num w:numId="8">
    <w:abstractNumId w:val="14"/>
  </w:num>
  <w:num w:numId="9">
    <w:abstractNumId w:val="15"/>
  </w:num>
  <w:num w:numId="10">
    <w:abstractNumId w:val="6"/>
  </w:num>
  <w:num w:numId="11">
    <w:abstractNumId w:val="17"/>
  </w:num>
  <w:num w:numId="12">
    <w:abstractNumId w:val="24"/>
  </w:num>
  <w:num w:numId="13">
    <w:abstractNumId w:val="4"/>
  </w:num>
  <w:num w:numId="14">
    <w:abstractNumId w:val="2"/>
  </w:num>
  <w:num w:numId="15">
    <w:abstractNumId w:val="28"/>
  </w:num>
  <w:num w:numId="16">
    <w:abstractNumId w:val="8"/>
  </w:num>
  <w:num w:numId="17">
    <w:abstractNumId w:val="20"/>
  </w:num>
  <w:num w:numId="18">
    <w:abstractNumId w:val="26"/>
  </w:num>
  <w:num w:numId="19">
    <w:abstractNumId w:val="27"/>
  </w:num>
  <w:num w:numId="20">
    <w:abstractNumId w:val="12"/>
  </w:num>
  <w:num w:numId="21">
    <w:abstractNumId w:val="25"/>
  </w:num>
  <w:num w:numId="22">
    <w:abstractNumId w:val="10"/>
  </w:num>
  <w:num w:numId="23">
    <w:abstractNumId w:val="23"/>
  </w:num>
  <w:num w:numId="24">
    <w:abstractNumId w:val="21"/>
  </w:num>
  <w:num w:numId="25">
    <w:abstractNumId w:val="3"/>
  </w:num>
  <w:num w:numId="26">
    <w:abstractNumId w:val="16"/>
  </w:num>
  <w:num w:numId="27">
    <w:abstractNumId w:val="19"/>
  </w:num>
  <w:num w:numId="28">
    <w:abstractNumId w:val="0"/>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16DB"/>
    <w:rsid w:val="0003073C"/>
    <w:rsid w:val="00035337"/>
    <w:rsid w:val="00054071"/>
    <w:rsid w:val="0006126D"/>
    <w:rsid w:val="00067F57"/>
    <w:rsid w:val="00071BEC"/>
    <w:rsid w:val="00074514"/>
    <w:rsid w:val="000832D4"/>
    <w:rsid w:val="00090160"/>
    <w:rsid w:val="000B3E7E"/>
    <w:rsid w:val="000D223C"/>
    <w:rsid w:val="000E4006"/>
    <w:rsid w:val="000F1E3A"/>
    <w:rsid w:val="00111553"/>
    <w:rsid w:val="00133BE1"/>
    <w:rsid w:val="00164E99"/>
    <w:rsid w:val="00183CC8"/>
    <w:rsid w:val="00187E9B"/>
    <w:rsid w:val="001927C2"/>
    <w:rsid w:val="001A4DCD"/>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859EF"/>
    <w:rsid w:val="00490B56"/>
    <w:rsid w:val="004B78E4"/>
    <w:rsid w:val="00511EC2"/>
    <w:rsid w:val="005164F5"/>
    <w:rsid w:val="0052560F"/>
    <w:rsid w:val="005319AB"/>
    <w:rsid w:val="005666F2"/>
    <w:rsid w:val="00572064"/>
    <w:rsid w:val="00584369"/>
    <w:rsid w:val="00587A35"/>
    <w:rsid w:val="00590609"/>
    <w:rsid w:val="005F4693"/>
    <w:rsid w:val="00623602"/>
    <w:rsid w:val="0064279A"/>
    <w:rsid w:val="00651C98"/>
    <w:rsid w:val="0067529B"/>
    <w:rsid w:val="006A5D23"/>
    <w:rsid w:val="006E3D58"/>
    <w:rsid w:val="00704EE5"/>
    <w:rsid w:val="007066E2"/>
    <w:rsid w:val="00722640"/>
    <w:rsid w:val="0073197E"/>
    <w:rsid w:val="00746080"/>
    <w:rsid w:val="00772B57"/>
    <w:rsid w:val="00781D04"/>
    <w:rsid w:val="007C2D45"/>
    <w:rsid w:val="007F49EB"/>
    <w:rsid w:val="00805AF7"/>
    <w:rsid w:val="00805FDA"/>
    <w:rsid w:val="00812C1B"/>
    <w:rsid w:val="008173B1"/>
    <w:rsid w:val="00835AD0"/>
    <w:rsid w:val="00843808"/>
    <w:rsid w:val="008747B3"/>
    <w:rsid w:val="008813C3"/>
    <w:rsid w:val="008926F0"/>
    <w:rsid w:val="008964E8"/>
    <w:rsid w:val="008A48F6"/>
    <w:rsid w:val="008E6045"/>
    <w:rsid w:val="0090113B"/>
    <w:rsid w:val="0093258A"/>
    <w:rsid w:val="00933BEB"/>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A06D9"/>
    <w:rsid w:val="00AC2406"/>
    <w:rsid w:val="00AD3FCF"/>
    <w:rsid w:val="00B03802"/>
    <w:rsid w:val="00B069AA"/>
    <w:rsid w:val="00B23A36"/>
    <w:rsid w:val="00B25576"/>
    <w:rsid w:val="00B25EF5"/>
    <w:rsid w:val="00B50EB2"/>
    <w:rsid w:val="00B6722A"/>
    <w:rsid w:val="00B82D78"/>
    <w:rsid w:val="00BA434C"/>
    <w:rsid w:val="00BD4F65"/>
    <w:rsid w:val="00BF599C"/>
    <w:rsid w:val="00C06F9E"/>
    <w:rsid w:val="00C13E6B"/>
    <w:rsid w:val="00C2370B"/>
    <w:rsid w:val="00C27193"/>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694"/>
    <w:rsid w:val="00D77B0F"/>
    <w:rsid w:val="00DB6B52"/>
    <w:rsid w:val="00DE5488"/>
    <w:rsid w:val="00DE75AC"/>
    <w:rsid w:val="00DF5A52"/>
    <w:rsid w:val="00E17C58"/>
    <w:rsid w:val="00E231C2"/>
    <w:rsid w:val="00E429DA"/>
    <w:rsid w:val="00E616AB"/>
    <w:rsid w:val="00E62C2A"/>
    <w:rsid w:val="00E6482C"/>
    <w:rsid w:val="00E8586E"/>
    <w:rsid w:val="00E86F26"/>
    <w:rsid w:val="00E922C9"/>
    <w:rsid w:val="00E96A06"/>
    <w:rsid w:val="00EA0919"/>
    <w:rsid w:val="00EB5240"/>
    <w:rsid w:val="00EC0B55"/>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12" ma:contentTypeDescription="Create a new document." ma:contentTypeScope="" ma:versionID="892e8e39b30ec31af7ae5ce60acf2547">
  <xsd:schema xmlns:xsd="http://www.w3.org/2001/XMLSchema" xmlns:xs="http://www.w3.org/2001/XMLSchema" xmlns:p="http://schemas.microsoft.com/office/2006/metadata/properties" xmlns:ns3="67bd9f97-d8a4-4110-aa76-ac06fd6996e3" xmlns:ns4="4b265e71-f343-4c34-bd05-826252c51855" targetNamespace="http://schemas.microsoft.com/office/2006/metadata/properties" ma:root="true" ma:fieldsID="fa5969718c80427d0bbc5083d4e14b6d" ns3:_="" ns4:_="">
    <xsd:import namespace="67bd9f97-d8a4-4110-aa76-ac06fd6996e3"/>
    <xsd:import namespace="4b265e71-f343-4c34-bd05-826252c518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9f97-d8a4-4110-aa76-ac06fd699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45DB0-8691-46E8-954F-041F29C769EE}">
  <ds:schemaRefs>
    <ds:schemaRef ds:uri="http://schemas.microsoft.com/sharepoint/v3/contenttype/forms"/>
  </ds:schemaRefs>
</ds:datastoreItem>
</file>

<file path=customXml/itemProps2.xml><?xml version="1.0" encoding="utf-8"?>
<ds:datastoreItem xmlns:ds="http://schemas.openxmlformats.org/officeDocument/2006/customXml" ds:itemID="{764DFAF6-10A3-4C88-84CC-909839D02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9f97-d8a4-4110-aa76-ac06fd6996e3"/>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11A8B-AAF0-4E2F-A03C-B1B36BA714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17FD2-FA8C-4331-8771-09AD51FC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Vince Mazzone</cp:lastModifiedBy>
  <cp:revision>2</cp:revision>
  <cp:lastPrinted>2014-09-29T14:43:00Z</cp:lastPrinted>
  <dcterms:created xsi:type="dcterms:W3CDTF">2021-01-19T17:24:00Z</dcterms:created>
  <dcterms:modified xsi:type="dcterms:W3CDTF">2021-01-19T17:24:00Z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