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D1EF2" w14:textId="77777777" w:rsidR="00A07077" w:rsidRPr="00D57E8C" w:rsidRDefault="00A07077" w:rsidP="00A07077">
      <w:pPr>
        <w:pStyle w:val="Default"/>
        <w:rPr>
          <w:rFonts w:ascii="Arial" w:hAnsi="Arial" w:cs="Arial"/>
          <w:sz w:val="22"/>
          <w:szCs w:val="22"/>
        </w:rPr>
      </w:pPr>
    </w:p>
    <w:p w14:paraId="31F8E0D6" w14:textId="6E879554" w:rsidR="00A07077" w:rsidRPr="00D57E8C" w:rsidRDefault="004075C3" w:rsidP="00A753B6">
      <w:pPr>
        <w:pStyle w:val="Default"/>
        <w:spacing w:line="276" w:lineRule="auto"/>
        <w:jc w:val="center"/>
        <w:rPr>
          <w:rFonts w:ascii="Arial" w:hAnsi="Arial" w:cs="Arial"/>
          <w:sz w:val="28"/>
          <w:szCs w:val="28"/>
        </w:rPr>
      </w:pPr>
      <w:r>
        <w:rPr>
          <w:rFonts w:ascii="Arial" w:hAnsi="Arial" w:cs="Arial"/>
          <w:b/>
          <w:bCs/>
          <w:sz w:val="28"/>
          <w:szCs w:val="28"/>
        </w:rPr>
        <w:t>Synergy North Corporation</w:t>
      </w:r>
      <w:r w:rsidR="0021444C">
        <w:rPr>
          <w:rFonts w:ascii="Arial" w:hAnsi="Arial" w:cs="Arial"/>
          <w:b/>
          <w:bCs/>
          <w:sz w:val="28"/>
          <w:szCs w:val="28"/>
        </w:rPr>
        <w:t xml:space="preserve"> </w:t>
      </w:r>
      <w:r w:rsidR="008D3431">
        <w:rPr>
          <w:rFonts w:ascii="Arial" w:hAnsi="Arial" w:cs="Arial"/>
          <w:b/>
          <w:bCs/>
          <w:sz w:val="28"/>
          <w:szCs w:val="28"/>
        </w:rPr>
        <w:t>(</w:t>
      </w:r>
      <w:r>
        <w:rPr>
          <w:rFonts w:ascii="Arial" w:hAnsi="Arial" w:cs="Arial"/>
          <w:b/>
          <w:bCs/>
          <w:sz w:val="28"/>
          <w:szCs w:val="28"/>
        </w:rPr>
        <w:t>Synergy North</w:t>
      </w:r>
      <w:r w:rsidR="008D3431">
        <w:rPr>
          <w:rFonts w:ascii="Arial" w:hAnsi="Arial" w:cs="Arial"/>
          <w:b/>
          <w:bCs/>
          <w:sz w:val="28"/>
          <w:szCs w:val="28"/>
        </w:rPr>
        <w:t>)</w:t>
      </w:r>
    </w:p>
    <w:p w14:paraId="33D6510D" w14:textId="0A6DF394" w:rsidR="00A07077" w:rsidRDefault="00623602" w:rsidP="00A753B6">
      <w:pPr>
        <w:pStyle w:val="Default"/>
        <w:spacing w:line="276" w:lineRule="auto"/>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w:t>
      </w:r>
      <w:r w:rsidR="008D3431">
        <w:rPr>
          <w:rFonts w:ascii="Arial" w:hAnsi="Arial" w:cs="Arial"/>
          <w:b/>
          <w:bCs/>
          <w:sz w:val="28"/>
          <w:szCs w:val="28"/>
        </w:rPr>
        <w:t>00</w:t>
      </w:r>
      <w:r w:rsidR="004075C3">
        <w:rPr>
          <w:rFonts w:ascii="Arial" w:hAnsi="Arial" w:cs="Arial"/>
          <w:b/>
          <w:bCs/>
          <w:sz w:val="28"/>
          <w:szCs w:val="28"/>
        </w:rPr>
        <w:t>55</w:t>
      </w:r>
    </w:p>
    <w:p w14:paraId="37261CA1" w14:textId="2DD71D63" w:rsidR="00AA612E" w:rsidRPr="00823851" w:rsidRDefault="00AA612E" w:rsidP="00A753B6">
      <w:pPr>
        <w:pStyle w:val="Default"/>
        <w:spacing w:line="276" w:lineRule="auto"/>
        <w:jc w:val="center"/>
        <w:rPr>
          <w:rFonts w:ascii="Arial" w:hAnsi="Arial" w:cs="Arial"/>
          <w:b/>
          <w:bCs/>
        </w:rPr>
      </w:pPr>
      <w:r w:rsidRPr="00823851">
        <w:rPr>
          <w:rFonts w:ascii="Arial" w:hAnsi="Arial" w:cs="Arial"/>
          <w:b/>
          <w:bCs/>
        </w:rPr>
        <w:t xml:space="preserve">January </w:t>
      </w:r>
      <w:r w:rsidR="001C4DE6">
        <w:rPr>
          <w:rFonts w:ascii="Arial" w:hAnsi="Arial" w:cs="Arial"/>
          <w:b/>
          <w:bCs/>
        </w:rPr>
        <w:t>19</w:t>
      </w:r>
      <w:r w:rsidRPr="00823851">
        <w:rPr>
          <w:rFonts w:ascii="Arial" w:hAnsi="Arial" w:cs="Arial"/>
          <w:b/>
          <w:bCs/>
        </w:rPr>
        <w:t>, 2021</w:t>
      </w:r>
    </w:p>
    <w:p w14:paraId="63C86BE8" w14:textId="77777777" w:rsidR="00511EC2" w:rsidRDefault="00511EC2" w:rsidP="00511EC2">
      <w:pPr>
        <w:spacing w:after="0" w:line="240" w:lineRule="auto"/>
        <w:rPr>
          <w:rFonts w:ascii="Arial" w:eastAsia="Calibri" w:hAnsi="Arial" w:cs="Arial"/>
          <w:lang w:val="en-US"/>
        </w:rPr>
      </w:pPr>
    </w:p>
    <w:p w14:paraId="2A0CB1B0" w14:textId="48F175E7"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C47A24">
        <w:rPr>
          <w:rFonts w:ascii="Arial" w:eastAsia="Calibri" w:hAnsi="Arial" w:cs="Arial"/>
          <w:sz w:val="24"/>
          <w:szCs w:val="24"/>
        </w:rPr>
        <w:t>Synergy North</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77777777" w:rsidR="00D57E8C" w:rsidRDefault="00D57E8C" w:rsidP="00631524">
      <w:pPr>
        <w:spacing w:after="120" w:line="240" w:lineRule="auto"/>
        <w:rPr>
          <w:rFonts w:ascii="Arial" w:hAnsi="Arial" w:cs="Arial"/>
          <w:b/>
          <w:sz w:val="24"/>
          <w:szCs w:val="24"/>
        </w:rPr>
      </w:pPr>
      <w:r>
        <w:rPr>
          <w:rFonts w:ascii="Arial" w:hAnsi="Arial" w:cs="Arial"/>
          <w:b/>
          <w:sz w:val="24"/>
          <w:szCs w:val="24"/>
        </w:rPr>
        <w:t>Staff Question-1</w:t>
      </w:r>
      <w:bookmarkStart w:id="1" w:name="_GoBack"/>
      <w:bookmarkEnd w:id="1"/>
    </w:p>
    <w:p w14:paraId="45C00AF2" w14:textId="1030E9AE" w:rsidR="00631524" w:rsidRPr="008B6E10" w:rsidRDefault="00631524" w:rsidP="00631524">
      <w:pPr>
        <w:spacing w:after="120" w:line="240" w:lineRule="auto"/>
        <w:rPr>
          <w:rFonts w:ascii="Arial" w:hAnsi="Arial" w:cs="Arial"/>
          <w:b/>
          <w:sz w:val="24"/>
          <w:szCs w:val="24"/>
        </w:rPr>
      </w:pPr>
      <w:r w:rsidRPr="008B6E10">
        <w:rPr>
          <w:rFonts w:ascii="Arial" w:hAnsi="Arial" w:cs="Arial"/>
          <w:b/>
          <w:sz w:val="24"/>
          <w:szCs w:val="24"/>
        </w:rPr>
        <w:t xml:space="preserve">Ref: </w:t>
      </w:r>
      <w:r w:rsidR="00C95C2C">
        <w:rPr>
          <w:rFonts w:ascii="Arial" w:hAnsi="Arial" w:cs="Arial"/>
          <w:b/>
          <w:sz w:val="24"/>
          <w:szCs w:val="24"/>
        </w:rPr>
        <w:t>Rate Generator Model</w:t>
      </w:r>
      <w:r w:rsidR="00F419B4">
        <w:rPr>
          <w:rFonts w:ascii="Arial" w:hAnsi="Arial" w:cs="Arial"/>
          <w:b/>
          <w:sz w:val="24"/>
          <w:szCs w:val="24"/>
        </w:rPr>
        <w:t>s</w:t>
      </w:r>
      <w:r w:rsidR="00C95C2C">
        <w:rPr>
          <w:rFonts w:ascii="Arial" w:hAnsi="Arial" w:cs="Arial"/>
          <w:b/>
          <w:sz w:val="24"/>
          <w:szCs w:val="24"/>
        </w:rPr>
        <w:t xml:space="preserve"> – Tab 1</w:t>
      </w:r>
    </w:p>
    <w:p w14:paraId="193DA67D" w14:textId="770ABB6C" w:rsidR="005B11A8" w:rsidRDefault="0035384A" w:rsidP="00281760">
      <w:pPr>
        <w:pStyle w:val="ListParagraph"/>
        <w:numPr>
          <w:ilvl w:val="0"/>
          <w:numId w:val="28"/>
        </w:numPr>
        <w:rPr>
          <w:rFonts w:ascii="Arial" w:hAnsi="Arial" w:cs="Arial"/>
          <w:bCs/>
          <w:sz w:val="24"/>
          <w:szCs w:val="24"/>
        </w:rPr>
      </w:pPr>
      <w:r w:rsidRPr="00281760">
        <w:rPr>
          <w:rFonts w:ascii="Arial" w:hAnsi="Arial" w:cs="Arial"/>
          <w:bCs/>
          <w:sz w:val="24"/>
          <w:szCs w:val="24"/>
        </w:rPr>
        <w:t xml:space="preserve">According to Synergy North’s 2020 IRM Decision and Rate Order (EB-2019-0068), the Group 1 DVA balances (including balances in Accounts 1588 and 1589) as of 2018 year-end for </w:t>
      </w:r>
      <w:r w:rsidR="00F419B4">
        <w:rPr>
          <w:rFonts w:ascii="Arial" w:hAnsi="Arial" w:cs="Arial"/>
          <w:bCs/>
          <w:sz w:val="24"/>
          <w:szCs w:val="24"/>
        </w:rPr>
        <w:t xml:space="preserve">both </w:t>
      </w:r>
      <w:r w:rsidRPr="00281760">
        <w:rPr>
          <w:rFonts w:ascii="Arial" w:hAnsi="Arial" w:cs="Arial"/>
          <w:bCs/>
          <w:sz w:val="24"/>
          <w:szCs w:val="24"/>
        </w:rPr>
        <w:t>rate zone</w:t>
      </w:r>
      <w:r w:rsidR="00F419B4">
        <w:rPr>
          <w:rFonts w:ascii="Arial" w:hAnsi="Arial" w:cs="Arial"/>
          <w:bCs/>
          <w:sz w:val="24"/>
          <w:szCs w:val="24"/>
        </w:rPr>
        <w:t>s</w:t>
      </w:r>
      <w:r w:rsidRPr="00281760">
        <w:rPr>
          <w:rFonts w:ascii="Arial" w:hAnsi="Arial" w:cs="Arial"/>
          <w:bCs/>
          <w:sz w:val="24"/>
          <w:szCs w:val="24"/>
        </w:rPr>
        <w:t xml:space="preserve"> were approved for final disposition. Therefore, in the Information Sheet of the IRM model, the answers to questions 2 and 3 (including applicable sub-questions) should be 2018. Please confirm and update the related input cells.</w:t>
      </w:r>
    </w:p>
    <w:p w14:paraId="506E39D1" w14:textId="77777777" w:rsidR="003B6798" w:rsidRDefault="003B6798" w:rsidP="003B6798">
      <w:pPr>
        <w:pStyle w:val="ListParagraph"/>
        <w:rPr>
          <w:rFonts w:ascii="Arial" w:hAnsi="Arial" w:cs="Arial"/>
          <w:bCs/>
          <w:sz w:val="24"/>
          <w:szCs w:val="24"/>
        </w:rPr>
      </w:pPr>
    </w:p>
    <w:p w14:paraId="4F972615" w14:textId="3010F6E7" w:rsidR="00281760" w:rsidRDefault="003B6798" w:rsidP="00281760">
      <w:pPr>
        <w:pStyle w:val="ListParagraph"/>
        <w:numPr>
          <w:ilvl w:val="0"/>
          <w:numId w:val="28"/>
        </w:numPr>
        <w:rPr>
          <w:rFonts w:ascii="Arial" w:hAnsi="Arial" w:cs="Arial"/>
          <w:bCs/>
          <w:sz w:val="24"/>
          <w:szCs w:val="24"/>
        </w:rPr>
      </w:pPr>
      <w:r>
        <w:rPr>
          <w:rFonts w:ascii="Arial" w:hAnsi="Arial" w:cs="Arial"/>
          <w:bCs/>
          <w:sz w:val="24"/>
          <w:szCs w:val="24"/>
        </w:rPr>
        <w:t>The year that Synergy North selected for question 4 in the Information Sheet (Thunder Bay rate zone) is 2016. However, in Tab 3 Continuity Schedule</w:t>
      </w:r>
      <w:r w:rsidR="009E4826">
        <w:rPr>
          <w:rFonts w:ascii="Arial" w:hAnsi="Arial" w:cs="Arial"/>
          <w:bCs/>
          <w:sz w:val="24"/>
          <w:szCs w:val="24"/>
        </w:rPr>
        <w:t xml:space="preserve"> and page 25 of the Manager’s Summary</w:t>
      </w:r>
      <w:r>
        <w:rPr>
          <w:rFonts w:ascii="Arial" w:hAnsi="Arial" w:cs="Arial"/>
          <w:bCs/>
          <w:sz w:val="24"/>
          <w:szCs w:val="24"/>
        </w:rPr>
        <w:t xml:space="preserve">, it’s noted that the earliest vintage year in which Synergy North reported a balance in Account 1595 is 2017. And there </w:t>
      </w:r>
      <w:proofErr w:type="gramStart"/>
      <w:r>
        <w:rPr>
          <w:rFonts w:ascii="Arial" w:hAnsi="Arial" w:cs="Arial"/>
          <w:bCs/>
          <w:sz w:val="24"/>
          <w:szCs w:val="24"/>
        </w:rPr>
        <w:t>is</w:t>
      </w:r>
      <w:proofErr w:type="gramEnd"/>
      <w:r>
        <w:rPr>
          <w:rFonts w:ascii="Arial" w:hAnsi="Arial" w:cs="Arial"/>
          <w:bCs/>
          <w:sz w:val="24"/>
          <w:szCs w:val="24"/>
        </w:rPr>
        <w:t xml:space="preserve"> no balances reported for Account 1595 (2016) and accounts for any prior years. Please review and confirm the earliest vintage year for Account 1595 and make the necessary updates to the model.</w:t>
      </w:r>
    </w:p>
    <w:p w14:paraId="79395721" w14:textId="77777777" w:rsidR="00C35AA1" w:rsidRPr="00C35AA1" w:rsidRDefault="00C35AA1" w:rsidP="00C35AA1">
      <w:pPr>
        <w:pStyle w:val="ListParagraph"/>
        <w:rPr>
          <w:rFonts w:ascii="Arial" w:hAnsi="Arial" w:cs="Arial"/>
          <w:bCs/>
          <w:sz w:val="24"/>
          <w:szCs w:val="24"/>
        </w:rPr>
      </w:pPr>
    </w:p>
    <w:p w14:paraId="029A6C4C" w14:textId="1AD3F845" w:rsidR="00C35AA1" w:rsidRDefault="00591753" w:rsidP="00281760">
      <w:pPr>
        <w:pStyle w:val="ListParagraph"/>
        <w:numPr>
          <w:ilvl w:val="0"/>
          <w:numId w:val="28"/>
        </w:numPr>
        <w:rPr>
          <w:rFonts w:ascii="Arial" w:hAnsi="Arial" w:cs="Arial"/>
          <w:bCs/>
          <w:sz w:val="24"/>
          <w:szCs w:val="24"/>
        </w:rPr>
      </w:pPr>
      <w:r>
        <w:rPr>
          <w:rFonts w:ascii="Arial" w:hAnsi="Arial" w:cs="Arial"/>
          <w:bCs/>
          <w:sz w:val="24"/>
          <w:szCs w:val="24"/>
        </w:rPr>
        <w:t xml:space="preserve">The RTSR scenario that Synergy North selected for question 7 for </w:t>
      </w:r>
      <w:r w:rsidR="00F419B4">
        <w:rPr>
          <w:rFonts w:ascii="Arial" w:hAnsi="Arial" w:cs="Arial"/>
          <w:bCs/>
          <w:sz w:val="24"/>
          <w:szCs w:val="24"/>
        </w:rPr>
        <w:t xml:space="preserve">both </w:t>
      </w:r>
      <w:r>
        <w:rPr>
          <w:rFonts w:ascii="Arial" w:hAnsi="Arial" w:cs="Arial"/>
          <w:bCs/>
          <w:sz w:val="24"/>
          <w:szCs w:val="24"/>
        </w:rPr>
        <w:t>rate zone</w:t>
      </w:r>
      <w:r w:rsidR="00F419B4">
        <w:rPr>
          <w:rFonts w:ascii="Arial" w:hAnsi="Arial" w:cs="Arial"/>
          <w:bCs/>
          <w:sz w:val="24"/>
          <w:szCs w:val="24"/>
        </w:rPr>
        <w:t>s</w:t>
      </w:r>
      <w:r>
        <w:rPr>
          <w:rFonts w:ascii="Arial" w:hAnsi="Arial" w:cs="Arial"/>
          <w:bCs/>
          <w:sz w:val="24"/>
          <w:szCs w:val="24"/>
        </w:rPr>
        <w:t xml:space="preserve"> is “Fully Embedded”. </w:t>
      </w:r>
      <w:r w:rsidR="000C4520">
        <w:rPr>
          <w:rFonts w:ascii="Arial" w:hAnsi="Arial" w:cs="Arial"/>
          <w:bCs/>
          <w:sz w:val="24"/>
          <w:szCs w:val="24"/>
        </w:rPr>
        <w:t xml:space="preserve">However, as noted in Tabs 12 – 14, Synergy North pays transmission costs only to the IESO for </w:t>
      </w:r>
      <w:r w:rsidR="00F419B4">
        <w:rPr>
          <w:rFonts w:ascii="Arial" w:hAnsi="Arial" w:cs="Arial"/>
          <w:bCs/>
          <w:sz w:val="24"/>
          <w:szCs w:val="24"/>
        </w:rPr>
        <w:t>both rate zones</w:t>
      </w:r>
      <w:r w:rsidR="000C4520">
        <w:rPr>
          <w:rFonts w:ascii="Arial" w:hAnsi="Arial" w:cs="Arial"/>
          <w:bCs/>
          <w:sz w:val="24"/>
          <w:szCs w:val="24"/>
        </w:rPr>
        <w:t>, which indicates that the RTSR scenario should be transmission connected. Please make the correction in Tab 1.</w:t>
      </w:r>
    </w:p>
    <w:p w14:paraId="7C3EDFF0" w14:textId="77777777" w:rsidR="00036A10" w:rsidRPr="00036A10" w:rsidRDefault="00036A10" w:rsidP="00036A10">
      <w:pPr>
        <w:pStyle w:val="ListParagraph"/>
        <w:rPr>
          <w:rFonts w:ascii="Arial" w:hAnsi="Arial" w:cs="Arial"/>
          <w:bCs/>
          <w:sz w:val="24"/>
          <w:szCs w:val="24"/>
        </w:rPr>
      </w:pPr>
    </w:p>
    <w:p w14:paraId="5935B3C8" w14:textId="2B31AD00" w:rsidR="00036A10" w:rsidRDefault="008F4E23" w:rsidP="00F52F32">
      <w:pPr>
        <w:pStyle w:val="ListParagraph"/>
        <w:numPr>
          <w:ilvl w:val="0"/>
          <w:numId w:val="28"/>
        </w:numPr>
        <w:rPr>
          <w:rFonts w:ascii="Arial" w:hAnsi="Arial" w:cs="Arial"/>
          <w:bCs/>
          <w:sz w:val="24"/>
          <w:szCs w:val="24"/>
        </w:rPr>
      </w:pPr>
      <w:r>
        <w:rPr>
          <w:rFonts w:ascii="Arial" w:hAnsi="Arial" w:cs="Arial"/>
          <w:bCs/>
          <w:sz w:val="24"/>
          <w:szCs w:val="24"/>
        </w:rPr>
        <w:t xml:space="preserve">Synergy North selected “No” for question 6 for the Thunder Bay rate zone, which means there were no Class A customers during the period where the balance in Account 1580 Sub-account CBR Class B accumulated. However, as noted in page 25 of the Manager’s Summary and the answer to question 5 in Tab 1 of the IRM model, Synergy North stated it has Class A customers during the period Sub-account CBR Class B balance accumulated (It’s the same period Account 1589 balance accumulated, as these two accounts were last disposed of at the </w:t>
      </w:r>
      <w:r>
        <w:rPr>
          <w:rFonts w:ascii="Arial" w:hAnsi="Arial" w:cs="Arial"/>
          <w:bCs/>
          <w:sz w:val="24"/>
          <w:szCs w:val="24"/>
        </w:rPr>
        <w:lastRenderedPageBreak/>
        <w:t xml:space="preserve">same time.). Please </w:t>
      </w:r>
      <w:r w:rsidR="00F52F32">
        <w:rPr>
          <w:rFonts w:ascii="Arial" w:hAnsi="Arial" w:cs="Arial"/>
          <w:bCs/>
          <w:sz w:val="24"/>
          <w:szCs w:val="24"/>
        </w:rPr>
        <w:t xml:space="preserve">correct </w:t>
      </w:r>
      <w:r>
        <w:rPr>
          <w:rFonts w:ascii="Arial" w:hAnsi="Arial" w:cs="Arial"/>
          <w:bCs/>
          <w:sz w:val="24"/>
          <w:szCs w:val="24"/>
        </w:rPr>
        <w:t>the answer to question 6</w:t>
      </w:r>
      <w:r w:rsidR="00F52F32">
        <w:rPr>
          <w:rFonts w:ascii="Arial" w:hAnsi="Arial" w:cs="Arial"/>
          <w:bCs/>
          <w:sz w:val="24"/>
          <w:szCs w:val="24"/>
        </w:rPr>
        <w:t xml:space="preserve">. And upon the correction, </w:t>
      </w:r>
      <w:r w:rsidR="00F52F32" w:rsidRPr="00F52F32">
        <w:rPr>
          <w:rFonts w:ascii="Arial" w:hAnsi="Arial" w:cs="Arial"/>
          <w:bCs/>
          <w:sz w:val="24"/>
          <w:szCs w:val="24"/>
          <w:u w:val="single"/>
        </w:rPr>
        <w:t>Tab 6.2 CBR B</w:t>
      </w:r>
      <w:r w:rsidR="00F52F32">
        <w:rPr>
          <w:rFonts w:ascii="Arial" w:hAnsi="Arial" w:cs="Arial"/>
          <w:bCs/>
          <w:sz w:val="24"/>
          <w:szCs w:val="24"/>
        </w:rPr>
        <w:t xml:space="preserve"> will be generated in the model. Please update the CBR Class B rate rider scenario accordingly. </w:t>
      </w:r>
    </w:p>
    <w:p w14:paraId="15405C00" w14:textId="77777777" w:rsidR="003B6798" w:rsidRDefault="003B6798" w:rsidP="005B11A8">
      <w:pPr>
        <w:spacing w:after="120" w:line="240" w:lineRule="auto"/>
        <w:rPr>
          <w:rFonts w:ascii="Arial" w:hAnsi="Arial" w:cs="Arial"/>
          <w:b/>
          <w:sz w:val="24"/>
          <w:szCs w:val="24"/>
        </w:rPr>
      </w:pPr>
    </w:p>
    <w:p w14:paraId="27FFED99" w14:textId="1595375B" w:rsidR="005B11A8" w:rsidRDefault="005B11A8" w:rsidP="005B11A8">
      <w:pPr>
        <w:spacing w:after="120" w:line="240" w:lineRule="auto"/>
        <w:rPr>
          <w:rFonts w:ascii="Arial" w:hAnsi="Arial" w:cs="Arial"/>
          <w:b/>
          <w:sz w:val="24"/>
          <w:szCs w:val="24"/>
        </w:rPr>
      </w:pPr>
      <w:r>
        <w:rPr>
          <w:rFonts w:ascii="Arial" w:hAnsi="Arial" w:cs="Arial"/>
          <w:b/>
          <w:sz w:val="24"/>
          <w:szCs w:val="24"/>
        </w:rPr>
        <w:t>Staff Question-</w:t>
      </w:r>
      <w:r w:rsidR="00EC638C">
        <w:rPr>
          <w:rFonts w:ascii="Arial" w:hAnsi="Arial" w:cs="Arial"/>
          <w:b/>
          <w:sz w:val="24"/>
          <w:szCs w:val="24"/>
        </w:rPr>
        <w:t>2</w:t>
      </w:r>
    </w:p>
    <w:p w14:paraId="4C93A7F6" w14:textId="04A3BE0E" w:rsidR="00631524" w:rsidRDefault="005B11A8" w:rsidP="00A753B6">
      <w:pPr>
        <w:spacing w:after="120"/>
        <w:rPr>
          <w:rFonts w:ascii="Arial" w:hAnsi="Arial" w:cs="Arial"/>
          <w:b/>
          <w:sz w:val="24"/>
          <w:szCs w:val="24"/>
        </w:rPr>
      </w:pPr>
      <w:r w:rsidRPr="008B6E10">
        <w:rPr>
          <w:rFonts w:ascii="Arial" w:hAnsi="Arial" w:cs="Arial"/>
          <w:b/>
          <w:sz w:val="24"/>
          <w:szCs w:val="24"/>
        </w:rPr>
        <w:t xml:space="preserve">Ref: </w:t>
      </w:r>
      <w:r w:rsidR="009D6C05">
        <w:rPr>
          <w:rFonts w:ascii="Arial" w:hAnsi="Arial" w:cs="Arial"/>
          <w:b/>
          <w:sz w:val="24"/>
          <w:szCs w:val="24"/>
        </w:rPr>
        <w:t>Rate Generator Model</w:t>
      </w:r>
      <w:r w:rsidR="00A753B6">
        <w:rPr>
          <w:rFonts w:ascii="Arial" w:hAnsi="Arial" w:cs="Arial"/>
          <w:b/>
          <w:sz w:val="24"/>
          <w:szCs w:val="24"/>
        </w:rPr>
        <w:t>s</w:t>
      </w:r>
      <w:r w:rsidR="009D6C05">
        <w:rPr>
          <w:rFonts w:ascii="Arial" w:hAnsi="Arial" w:cs="Arial"/>
          <w:b/>
          <w:sz w:val="24"/>
          <w:szCs w:val="24"/>
        </w:rPr>
        <w:t xml:space="preserve"> – Tab 3 Continuity Schedule: Control Account 1580 and Account 1580 Sub-account CBR Class B</w:t>
      </w:r>
      <w:r w:rsidR="00FD5717">
        <w:rPr>
          <w:rFonts w:ascii="Arial" w:hAnsi="Arial" w:cs="Arial"/>
          <w:b/>
          <w:sz w:val="24"/>
          <w:szCs w:val="24"/>
        </w:rPr>
        <w:t>; Manager’s Summary, page 9 – required modifications 1 &amp; 2</w:t>
      </w:r>
    </w:p>
    <w:p w14:paraId="65864865" w14:textId="629C918E" w:rsidR="009D6C05" w:rsidRDefault="009D6C05" w:rsidP="00A753B6">
      <w:pPr>
        <w:spacing w:after="120"/>
        <w:rPr>
          <w:rFonts w:ascii="Arial" w:hAnsi="Arial" w:cs="Arial"/>
          <w:bCs/>
          <w:sz w:val="24"/>
          <w:szCs w:val="24"/>
        </w:rPr>
      </w:pPr>
      <w:r>
        <w:rPr>
          <w:rFonts w:ascii="Arial" w:hAnsi="Arial" w:cs="Arial"/>
          <w:bCs/>
          <w:sz w:val="24"/>
          <w:szCs w:val="24"/>
        </w:rPr>
        <w:t xml:space="preserve">As per RRR filing guidance and Note #5 in the Continuity Schedule, the RRR balance for the Control Account 1580 (BV 23) would include the balance in Account 1580 Sub-account CBR Class B. However, in reporting </w:t>
      </w:r>
      <w:r w:rsidR="004C26F4">
        <w:rPr>
          <w:rFonts w:ascii="Arial" w:hAnsi="Arial" w:cs="Arial"/>
          <w:bCs/>
          <w:sz w:val="24"/>
          <w:szCs w:val="24"/>
        </w:rPr>
        <w:t>account</w:t>
      </w:r>
      <w:r>
        <w:rPr>
          <w:rFonts w:ascii="Arial" w:hAnsi="Arial" w:cs="Arial"/>
          <w:bCs/>
          <w:sz w:val="24"/>
          <w:szCs w:val="24"/>
        </w:rPr>
        <w:t xml:space="preserve"> balances in the continuity schedule, </w:t>
      </w:r>
      <w:r w:rsidR="004C26F4">
        <w:rPr>
          <w:rFonts w:ascii="Arial" w:hAnsi="Arial" w:cs="Arial"/>
          <w:bCs/>
          <w:sz w:val="24"/>
          <w:szCs w:val="24"/>
        </w:rPr>
        <w:t>Control Account 1580 balance is to exclude any amounts in the Sub-account CBR Class B. Therefore, if the balances are reported properly in RRR and the continuity schedule, there is supposed to be a variance in BW 23 which equals the balance in Sub-account CBR Class B.</w:t>
      </w:r>
      <w:r w:rsidR="00A753B6">
        <w:rPr>
          <w:rFonts w:ascii="Arial" w:hAnsi="Arial" w:cs="Arial"/>
          <w:bCs/>
          <w:sz w:val="24"/>
          <w:szCs w:val="24"/>
        </w:rPr>
        <w:t xml:space="preserve"> (i.e. amount in BW 23 should equal amount in BV25)</w:t>
      </w:r>
    </w:p>
    <w:p w14:paraId="2B88E8E0" w14:textId="1F582312" w:rsidR="00A753B6" w:rsidRDefault="00A753B6" w:rsidP="00B119B7">
      <w:pPr>
        <w:spacing w:after="120"/>
        <w:rPr>
          <w:rFonts w:ascii="Arial" w:hAnsi="Arial" w:cs="Arial"/>
          <w:bCs/>
          <w:sz w:val="24"/>
          <w:szCs w:val="24"/>
        </w:rPr>
      </w:pPr>
      <w:r>
        <w:rPr>
          <w:rFonts w:ascii="Arial" w:hAnsi="Arial" w:cs="Arial"/>
          <w:bCs/>
          <w:sz w:val="24"/>
          <w:szCs w:val="24"/>
        </w:rPr>
        <w:t>It’s noted that in Tab 3 continuity schedule for both rate zones, the variance in Control Account 1580 is zero. Please review and confirm Synergy North has followed the above noted filing requirements in RRR and continuity schedule. If not, please make necessary adjustments and update the continuity schedule for both rate zones.</w:t>
      </w:r>
    </w:p>
    <w:p w14:paraId="613F6ADD" w14:textId="672FAE1A" w:rsidR="004C26F4" w:rsidRDefault="004C26F4" w:rsidP="009D6C05">
      <w:pPr>
        <w:spacing w:after="120" w:line="240" w:lineRule="auto"/>
        <w:rPr>
          <w:rFonts w:ascii="Arial" w:hAnsi="Arial" w:cs="Arial"/>
          <w:bCs/>
          <w:sz w:val="24"/>
          <w:szCs w:val="24"/>
        </w:rPr>
      </w:pPr>
    </w:p>
    <w:p w14:paraId="78584D13" w14:textId="053358AA" w:rsidR="003B6798" w:rsidRDefault="003B6798" w:rsidP="003B6798">
      <w:pPr>
        <w:spacing w:after="120" w:line="240" w:lineRule="auto"/>
        <w:rPr>
          <w:rFonts w:ascii="Arial" w:hAnsi="Arial" w:cs="Arial"/>
          <w:b/>
          <w:sz w:val="24"/>
          <w:szCs w:val="24"/>
        </w:rPr>
      </w:pPr>
      <w:r>
        <w:rPr>
          <w:rFonts w:ascii="Arial" w:hAnsi="Arial" w:cs="Arial"/>
          <w:b/>
          <w:sz w:val="24"/>
          <w:szCs w:val="24"/>
        </w:rPr>
        <w:t>Staff Question-</w:t>
      </w:r>
      <w:r w:rsidR="00EC638C">
        <w:rPr>
          <w:rFonts w:ascii="Arial" w:hAnsi="Arial" w:cs="Arial"/>
          <w:b/>
          <w:sz w:val="24"/>
          <w:szCs w:val="24"/>
        </w:rPr>
        <w:t>3</w:t>
      </w:r>
    </w:p>
    <w:p w14:paraId="6E91C37E" w14:textId="0CD8AC47" w:rsidR="003B6798" w:rsidRDefault="003B6798" w:rsidP="003B6798">
      <w:pPr>
        <w:spacing w:after="120"/>
        <w:rPr>
          <w:rFonts w:ascii="Arial" w:hAnsi="Arial" w:cs="Arial"/>
          <w:b/>
          <w:sz w:val="24"/>
          <w:szCs w:val="24"/>
        </w:rPr>
      </w:pPr>
      <w:r w:rsidRPr="008B6E10">
        <w:rPr>
          <w:rFonts w:ascii="Arial" w:hAnsi="Arial" w:cs="Arial"/>
          <w:b/>
          <w:sz w:val="24"/>
          <w:szCs w:val="24"/>
        </w:rPr>
        <w:t xml:space="preserve">Ref: </w:t>
      </w:r>
      <w:r>
        <w:rPr>
          <w:rFonts w:ascii="Arial" w:hAnsi="Arial" w:cs="Arial"/>
          <w:b/>
          <w:sz w:val="24"/>
          <w:szCs w:val="24"/>
        </w:rPr>
        <w:t>Rate Generator Model</w:t>
      </w:r>
      <w:r w:rsidR="00FB5B97">
        <w:rPr>
          <w:rFonts w:ascii="Arial" w:hAnsi="Arial" w:cs="Arial"/>
          <w:b/>
          <w:sz w:val="24"/>
          <w:szCs w:val="24"/>
        </w:rPr>
        <w:t xml:space="preserve"> (Thunder Bay)</w:t>
      </w:r>
      <w:r>
        <w:rPr>
          <w:rFonts w:ascii="Arial" w:hAnsi="Arial" w:cs="Arial"/>
          <w:b/>
          <w:sz w:val="24"/>
          <w:szCs w:val="24"/>
        </w:rPr>
        <w:t xml:space="preserve"> – Tab 3 Continuity Schedule: </w:t>
      </w:r>
      <w:r w:rsidR="00066D71">
        <w:rPr>
          <w:rFonts w:ascii="Arial" w:hAnsi="Arial" w:cs="Arial"/>
          <w:b/>
          <w:sz w:val="24"/>
          <w:szCs w:val="24"/>
        </w:rPr>
        <w:t>Account 159</w:t>
      </w:r>
      <w:r w:rsidR="00850BB1">
        <w:rPr>
          <w:rFonts w:ascii="Arial" w:hAnsi="Arial" w:cs="Arial"/>
          <w:b/>
          <w:sz w:val="24"/>
          <w:szCs w:val="24"/>
        </w:rPr>
        <w:t>5</w:t>
      </w:r>
      <w:r w:rsidR="00066D71">
        <w:rPr>
          <w:rFonts w:ascii="Arial" w:hAnsi="Arial" w:cs="Arial"/>
          <w:b/>
          <w:sz w:val="24"/>
          <w:szCs w:val="24"/>
        </w:rPr>
        <w:t xml:space="preserve"> (2017) transaction balances in 2019</w:t>
      </w:r>
    </w:p>
    <w:p w14:paraId="43EA3AA2" w14:textId="4D3A437F" w:rsidR="00850BB1" w:rsidRDefault="00066D71" w:rsidP="00850BB1">
      <w:pPr>
        <w:spacing w:after="120"/>
        <w:rPr>
          <w:rFonts w:ascii="Arial" w:hAnsi="Arial" w:cs="Arial"/>
          <w:b/>
          <w:sz w:val="24"/>
          <w:szCs w:val="24"/>
        </w:rPr>
      </w:pPr>
      <w:r>
        <w:rPr>
          <w:rFonts w:ascii="Arial" w:hAnsi="Arial" w:cs="Arial"/>
          <w:bCs/>
          <w:sz w:val="24"/>
          <w:szCs w:val="24"/>
        </w:rPr>
        <w:t>As per</w:t>
      </w:r>
      <w:r w:rsidR="00FB5B97">
        <w:rPr>
          <w:rFonts w:ascii="Arial" w:hAnsi="Arial" w:cs="Arial"/>
          <w:bCs/>
          <w:sz w:val="24"/>
          <w:szCs w:val="24"/>
        </w:rPr>
        <w:t xml:space="preserve"> the decision issued for the 2017 cost of service application (EB-2016-0105), Thunder Bay Hydro disposed of its Group 1 DVA (including GA) balances through one-year rate riders effective until April 30, 2018. Theoretically, after April 30, 2018, there should not be any account balances recorded in the transaction category if Account 1595 (2017). It’s noted that, for the Thunder Bay rate zone, Synergy North reported 2019 transaction</w:t>
      </w:r>
      <w:r w:rsidR="00B119B7">
        <w:rPr>
          <w:rFonts w:ascii="Arial" w:hAnsi="Arial" w:cs="Arial"/>
          <w:bCs/>
          <w:sz w:val="24"/>
          <w:szCs w:val="24"/>
        </w:rPr>
        <w:t xml:space="preserve"> amounts (both principal and interest)</w:t>
      </w:r>
      <w:r w:rsidR="00FB5B97">
        <w:rPr>
          <w:rFonts w:ascii="Arial" w:hAnsi="Arial" w:cs="Arial"/>
          <w:bCs/>
          <w:sz w:val="24"/>
          <w:szCs w:val="24"/>
        </w:rPr>
        <w:t xml:space="preserve"> in Account 1595 (2017)</w:t>
      </w:r>
      <w:r w:rsidR="00B119B7">
        <w:rPr>
          <w:rFonts w:ascii="Arial" w:hAnsi="Arial" w:cs="Arial"/>
          <w:bCs/>
          <w:sz w:val="24"/>
          <w:szCs w:val="24"/>
        </w:rPr>
        <w:t xml:space="preserve"> in cells BD34 and BI34. Please provide explanations for these transaction amounts in Account 1595 (2017) in 2019.</w:t>
      </w:r>
    </w:p>
    <w:p w14:paraId="7FBEA63D" w14:textId="77777777" w:rsidR="00850BB1" w:rsidRDefault="00850BB1" w:rsidP="00850BB1">
      <w:pPr>
        <w:spacing w:after="120"/>
        <w:rPr>
          <w:rFonts w:ascii="Arial" w:hAnsi="Arial" w:cs="Arial"/>
          <w:bCs/>
          <w:sz w:val="24"/>
          <w:szCs w:val="24"/>
        </w:rPr>
      </w:pPr>
    </w:p>
    <w:p w14:paraId="13D6230C" w14:textId="569EA6C1" w:rsidR="00904B80" w:rsidRDefault="00904B80" w:rsidP="00904B80">
      <w:pPr>
        <w:spacing w:after="120" w:line="240" w:lineRule="auto"/>
        <w:rPr>
          <w:rFonts w:ascii="Arial" w:hAnsi="Arial" w:cs="Arial"/>
          <w:b/>
          <w:sz w:val="24"/>
          <w:szCs w:val="24"/>
        </w:rPr>
      </w:pPr>
      <w:r>
        <w:rPr>
          <w:rFonts w:ascii="Arial" w:hAnsi="Arial" w:cs="Arial"/>
          <w:b/>
          <w:sz w:val="24"/>
          <w:szCs w:val="24"/>
        </w:rPr>
        <w:t>Staff Question-</w:t>
      </w:r>
      <w:r w:rsidR="00EC638C">
        <w:rPr>
          <w:rFonts w:ascii="Arial" w:hAnsi="Arial" w:cs="Arial"/>
          <w:b/>
          <w:sz w:val="24"/>
          <w:szCs w:val="24"/>
        </w:rPr>
        <w:t>4</w:t>
      </w:r>
    </w:p>
    <w:p w14:paraId="190B43F3" w14:textId="52AE357F" w:rsidR="00904B80" w:rsidRDefault="00904B80" w:rsidP="00904B80">
      <w:pPr>
        <w:spacing w:after="120"/>
        <w:rPr>
          <w:rFonts w:ascii="Arial" w:hAnsi="Arial" w:cs="Arial"/>
          <w:b/>
          <w:sz w:val="24"/>
          <w:szCs w:val="24"/>
        </w:rPr>
      </w:pPr>
      <w:r w:rsidRPr="008B6E10">
        <w:rPr>
          <w:rFonts w:ascii="Arial" w:hAnsi="Arial" w:cs="Arial"/>
          <w:b/>
          <w:sz w:val="24"/>
          <w:szCs w:val="24"/>
        </w:rPr>
        <w:t xml:space="preserve">Ref: </w:t>
      </w:r>
      <w:r w:rsidR="008D21C0">
        <w:rPr>
          <w:rFonts w:ascii="Arial" w:hAnsi="Arial" w:cs="Arial"/>
          <w:b/>
          <w:sz w:val="24"/>
          <w:szCs w:val="24"/>
        </w:rPr>
        <w:t xml:space="preserve">Account 1595 Analysis </w:t>
      </w:r>
      <w:proofErr w:type="spellStart"/>
      <w:r w:rsidR="008D21C0">
        <w:rPr>
          <w:rFonts w:ascii="Arial" w:hAnsi="Arial" w:cs="Arial"/>
          <w:b/>
          <w:sz w:val="24"/>
          <w:szCs w:val="24"/>
        </w:rPr>
        <w:t>Workform</w:t>
      </w:r>
      <w:proofErr w:type="spellEnd"/>
      <w:r w:rsidR="008D21C0">
        <w:rPr>
          <w:rFonts w:ascii="Arial" w:hAnsi="Arial" w:cs="Arial"/>
          <w:b/>
          <w:sz w:val="24"/>
          <w:szCs w:val="24"/>
        </w:rPr>
        <w:t xml:space="preserve"> </w:t>
      </w:r>
      <w:r>
        <w:rPr>
          <w:rFonts w:ascii="Arial" w:hAnsi="Arial" w:cs="Arial"/>
          <w:b/>
          <w:sz w:val="24"/>
          <w:szCs w:val="24"/>
        </w:rPr>
        <w:t xml:space="preserve">(Thunder Bay) </w:t>
      </w:r>
    </w:p>
    <w:p w14:paraId="3890A73E" w14:textId="16BC0D32" w:rsidR="008D21C0" w:rsidRPr="001F52E0" w:rsidRDefault="008D21C0" w:rsidP="001F52E0">
      <w:pPr>
        <w:spacing w:after="120"/>
        <w:rPr>
          <w:rFonts w:ascii="Arial" w:hAnsi="Arial" w:cs="Arial"/>
          <w:bCs/>
          <w:sz w:val="24"/>
          <w:szCs w:val="24"/>
        </w:rPr>
      </w:pPr>
      <w:r w:rsidRPr="001F52E0">
        <w:rPr>
          <w:rFonts w:ascii="Arial" w:hAnsi="Arial" w:cs="Arial"/>
          <w:bCs/>
          <w:sz w:val="24"/>
          <w:szCs w:val="24"/>
        </w:rPr>
        <w:t xml:space="preserve">In the Account 1595 </w:t>
      </w:r>
      <w:proofErr w:type="spellStart"/>
      <w:r w:rsidRPr="001F52E0">
        <w:rPr>
          <w:rFonts w:ascii="Arial" w:hAnsi="Arial" w:cs="Arial"/>
          <w:bCs/>
          <w:sz w:val="24"/>
          <w:szCs w:val="24"/>
        </w:rPr>
        <w:t>Workform</w:t>
      </w:r>
      <w:proofErr w:type="spellEnd"/>
      <w:r w:rsidRPr="001F52E0">
        <w:rPr>
          <w:rFonts w:ascii="Arial" w:hAnsi="Arial" w:cs="Arial"/>
          <w:bCs/>
          <w:sz w:val="24"/>
          <w:szCs w:val="24"/>
        </w:rPr>
        <w:t xml:space="preserve"> for the Thunder Bay rate zone, Synergy North reported the following principal and interest disposition amounts </w:t>
      </w:r>
      <w:r w:rsidR="00AA612E" w:rsidRPr="001F52E0">
        <w:rPr>
          <w:rFonts w:ascii="Arial" w:hAnsi="Arial" w:cs="Arial"/>
          <w:bCs/>
          <w:sz w:val="24"/>
          <w:szCs w:val="24"/>
        </w:rPr>
        <w:t xml:space="preserve">(cells D13 and E13) </w:t>
      </w:r>
      <w:r w:rsidRPr="001F52E0">
        <w:rPr>
          <w:rFonts w:ascii="Arial" w:hAnsi="Arial" w:cs="Arial"/>
          <w:bCs/>
          <w:sz w:val="24"/>
          <w:szCs w:val="24"/>
        </w:rPr>
        <w:t xml:space="preserve">for Group 1 </w:t>
      </w:r>
      <w:r w:rsidRPr="001F52E0">
        <w:rPr>
          <w:rFonts w:ascii="Arial" w:hAnsi="Arial" w:cs="Arial"/>
          <w:bCs/>
          <w:sz w:val="24"/>
          <w:szCs w:val="24"/>
        </w:rPr>
        <w:lastRenderedPageBreak/>
        <w:t>and Group 2 balances excluding GA as approved in the 2017 cost of service (EB-2016-0105) proceeding. Please provide the supporting reference in EB-2016-0105 for the approved disposition amounts.</w:t>
      </w:r>
    </w:p>
    <w:tbl>
      <w:tblPr>
        <w:tblW w:w="7875" w:type="dxa"/>
        <w:tblLook w:val="04A0" w:firstRow="1" w:lastRow="0" w:firstColumn="1" w:lastColumn="0" w:noHBand="0" w:noVBand="1"/>
      </w:tblPr>
      <w:tblGrid>
        <w:gridCol w:w="2625"/>
        <w:gridCol w:w="2625"/>
        <w:gridCol w:w="2625"/>
      </w:tblGrid>
      <w:tr w:rsidR="008D21C0" w:rsidRPr="008D21C0" w14:paraId="18192D8C" w14:textId="77777777" w:rsidTr="00AA612E">
        <w:trPr>
          <w:trHeight w:val="861"/>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84829" w14:textId="77777777" w:rsidR="008D21C0" w:rsidRPr="008D21C0" w:rsidRDefault="008D21C0" w:rsidP="008D21C0">
            <w:pPr>
              <w:spacing w:after="0" w:line="240" w:lineRule="auto"/>
              <w:jc w:val="center"/>
              <w:rPr>
                <w:rFonts w:ascii="Arial" w:eastAsia="Times New Roman" w:hAnsi="Arial" w:cs="Arial"/>
                <w:b/>
                <w:bCs/>
                <w:lang w:val="en-US"/>
              </w:rPr>
            </w:pPr>
            <w:r w:rsidRPr="008D21C0">
              <w:rPr>
                <w:rFonts w:ascii="Arial" w:eastAsia="Times New Roman" w:hAnsi="Arial" w:cs="Arial"/>
                <w:b/>
                <w:bCs/>
                <w:lang w:val="en-US"/>
              </w:rPr>
              <w:t>Principal Balance Approved for Disposition</w:t>
            </w:r>
          </w:p>
        </w:tc>
        <w:tc>
          <w:tcPr>
            <w:tcW w:w="2625" w:type="dxa"/>
            <w:tcBorders>
              <w:top w:val="single" w:sz="4" w:space="0" w:color="auto"/>
              <w:left w:val="nil"/>
              <w:bottom w:val="single" w:sz="4" w:space="0" w:color="auto"/>
              <w:right w:val="single" w:sz="4" w:space="0" w:color="auto"/>
            </w:tcBorders>
            <w:shd w:val="clear" w:color="auto" w:fill="auto"/>
            <w:vAlign w:val="center"/>
            <w:hideMark/>
          </w:tcPr>
          <w:p w14:paraId="459524A3" w14:textId="77777777" w:rsidR="008D21C0" w:rsidRPr="008D21C0" w:rsidRDefault="008D21C0" w:rsidP="008D21C0">
            <w:pPr>
              <w:spacing w:after="0" w:line="240" w:lineRule="auto"/>
              <w:jc w:val="center"/>
              <w:rPr>
                <w:rFonts w:ascii="Arial" w:eastAsia="Times New Roman" w:hAnsi="Arial" w:cs="Arial"/>
                <w:b/>
                <w:bCs/>
                <w:lang w:val="en-US"/>
              </w:rPr>
            </w:pPr>
            <w:r w:rsidRPr="008D21C0">
              <w:rPr>
                <w:rFonts w:ascii="Arial" w:eastAsia="Times New Roman" w:hAnsi="Arial" w:cs="Arial"/>
                <w:b/>
                <w:bCs/>
                <w:lang w:val="en-US"/>
              </w:rPr>
              <w:t>Carrying Charges Balance Approved for Disposition</w:t>
            </w:r>
          </w:p>
        </w:tc>
        <w:tc>
          <w:tcPr>
            <w:tcW w:w="2625" w:type="dxa"/>
            <w:tcBorders>
              <w:top w:val="single" w:sz="4" w:space="0" w:color="auto"/>
              <w:left w:val="nil"/>
              <w:bottom w:val="single" w:sz="4" w:space="0" w:color="auto"/>
              <w:right w:val="single" w:sz="4" w:space="0" w:color="auto"/>
            </w:tcBorders>
            <w:shd w:val="clear" w:color="auto" w:fill="auto"/>
            <w:vAlign w:val="center"/>
            <w:hideMark/>
          </w:tcPr>
          <w:p w14:paraId="05AB4F98" w14:textId="77777777" w:rsidR="008D21C0" w:rsidRPr="008D21C0" w:rsidRDefault="008D21C0" w:rsidP="008D21C0">
            <w:pPr>
              <w:spacing w:after="0" w:line="240" w:lineRule="auto"/>
              <w:jc w:val="center"/>
              <w:rPr>
                <w:rFonts w:ascii="Arial" w:eastAsia="Times New Roman" w:hAnsi="Arial" w:cs="Arial"/>
                <w:b/>
                <w:bCs/>
                <w:lang w:val="en-US"/>
              </w:rPr>
            </w:pPr>
            <w:r w:rsidRPr="008D21C0">
              <w:rPr>
                <w:rFonts w:ascii="Arial" w:eastAsia="Times New Roman" w:hAnsi="Arial" w:cs="Arial"/>
                <w:b/>
                <w:bCs/>
                <w:lang w:val="en-US"/>
              </w:rPr>
              <w:t>Total Balances Approved for Disposition</w:t>
            </w:r>
          </w:p>
        </w:tc>
      </w:tr>
      <w:tr w:rsidR="008D21C0" w:rsidRPr="008D21C0" w14:paraId="20438C48" w14:textId="77777777" w:rsidTr="00AA612E">
        <w:trPr>
          <w:trHeight w:val="215"/>
        </w:trPr>
        <w:tc>
          <w:tcPr>
            <w:tcW w:w="2625" w:type="dxa"/>
            <w:tcBorders>
              <w:top w:val="nil"/>
              <w:left w:val="single" w:sz="4" w:space="0" w:color="auto"/>
              <w:bottom w:val="single" w:sz="4" w:space="0" w:color="auto"/>
              <w:right w:val="single" w:sz="4" w:space="0" w:color="auto"/>
            </w:tcBorders>
            <w:shd w:val="clear" w:color="000000" w:fill="EBF1DE"/>
            <w:noWrap/>
            <w:vAlign w:val="center"/>
            <w:hideMark/>
          </w:tcPr>
          <w:p w14:paraId="18F51799" w14:textId="77777777" w:rsidR="008D21C0" w:rsidRPr="008D21C0" w:rsidRDefault="008D21C0" w:rsidP="008D21C0">
            <w:pPr>
              <w:spacing w:after="0" w:line="240" w:lineRule="auto"/>
              <w:jc w:val="right"/>
              <w:rPr>
                <w:rFonts w:ascii="Arial" w:eastAsia="Times New Roman" w:hAnsi="Arial" w:cs="Arial"/>
                <w:lang w:val="en-US"/>
              </w:rPr>
            </w:pPr>
            <w:r w:rsidRPr="008D21C0">
              <w:rPr>
                <w:rFonts w:ascii="Arial" w:eastAsia="Times New Roman" w:hAnsi="Arial" w:cs="Arial"/>
                <w:lang w:val="en-US"/>
              </w:rPr>
              <w:t>-$1,794,545</w:t>
            </w:r>
          </w:p>
        </w:tc>
        <w:tc>
          <w:tcPr>
            <w:tcW w:w="2625" w:type="dxa"/>
            <w:tcBorders>
              <w:top w:val="nil"/>
              <w:left w:val="nil"/>
              <w:bottom w:val="single" w:sz="4" w:space="0" w:color="auto"/>
              <w:right w:val="single" w:sz="4" w:space="0" w:color="auto"/>
            </w:tcBorders>
            <w:shd w:val="clear" w:color="000000" w:fill="EBF1DE"/>
            <w:noWrap/>
            <w:vAlign w:val="center"/>
            <w:hideMark/>
          </w:tcPr>
          <w:p w14:paraId="0D9703DB" w14:textId="77777777" w:rsidR="008D21C0" w:rsidRPr="008D21C0" w:rsidRDefault="008D21C0" w:rsidP="008D21C0">
            <w:pPr>
              <w:spacing w:after="0" w:line="240" w:lineRule="auto"/>
              <w:jc w:val="right"/>
              <w:rPr>
                <w:rFonts w:ascii="Arial" w:eastAsia="Times New Roman" w:hAnsi="Arial" w:cs="Arial"/>
                <w:lang w:val="en-US"/>
              </w:rPr>
            </w:pPr>
            <w:r w:rsidRPr="008D21C0">
              <w:rPr>
                <w:rFonts w:ascii="Arial" w:eastAsia="Times New Roman" w:hAnsi="Arial" w:cs="Arial"/>
                <w:lang w:val="en-US"/>
              </w:rPr>
              <w:t>-$61,309</w:t>
            </w:r>
          </w:p>
        </w:tc>
        <w:tc>
          <w:tcPr>
            <w:tcW w:w="2625" w:type="dxa"/>
            <w:tcBorders>
              <w:top w:val="nil"/>
              <w:left w:val="nil"/>
              <w:bottom w:val="single" w:sz="4" w:space="0" w:color="auto"/>
              <w:right w:val="single" w:sz="4" w:space="0" w:color="auto"/>
            </w:tcBorders>
            <w:shd w:val="clear" w:color="auto" w:fill="auto"/>
            <w:noWrap/>
            <w:vAlign w:val="bottom"/>
            <w:hideMark/>
          </w:tcPr>
          <w:p w14:paraId="757B8FAB" w14:textId="77777777" w:rsidR="008D21C0" w:rsidRPr="008D21C0" w:rsidRDefault="008D21C0" w:rsidP="008D21C0">
            <w:pPr>
              <w:spacing w:after="0" w:line="240" w:lineRule="auto"/>
              <w:jc w:val="right"/>
              <w:rPr>
                <w:rFonts w:ascii="Arial" w:eastAsia="Times New Roman" w:hAnsi="Arial" w:cs="Arial"/>
                <w:lang w:val="en-US"/>
              </w:rPr>
            </w:pPr>
            <w:r w:rsidRPr="008D21C0">
              <w:rPr>
                <w:rFonts w:ascii="Arial" w:eastAsia="Times New Roman" w:hAnsi="Arial" w:cs="Arial"/>
                <w:lang w:val="en-US"/>
              </w:rPr>
              <w:t>-$1,855,854</w:t>
            </w:r>
          </w:p>
        </w:tc>
      </w:tr>
    </w:tbl>
    <w:p w14:paraId="1FDDFF8D" w14:textId="77777777" w:rsidR="008D21C0" w:rsidRPr="008D21C0" w:rsidRDefault="008D21C0" w:rsidP="008D21C0">
      <w:pPr>
        <w:spacing w:after="120"/>
        <w:ind w:left="360"/>
        <w:rPr>
          <w:rFonts w:ascii="Arial" w:hAnsi="Arial" w:cs="Arial"/>
          <w:bCs/>
          <w:sz w:val="24"/>
          <w:szCs w:val="24"/>
        </w:rPr>
      </w:pPr>
    </w:p>
    <w:p w14:paraId="27AAD56B" w14:textId="2D3E00D6" w:rsidR="00DC0C8B" w:rsidRDefault="00DC0C8B" w:rsidP="00DC0C8B">
      <w:pPr>
        <w:spacing w:after="120" w:line="240" w:lineRule="auto"/>
        <w:rPr>
          <w:rFonts w:ascii="Arial" w:hAnsi="Arial" w:cs="Arial"/>
          <w:b/>
          <w:sz w:val="24"/>
          <w:szCs w:val="24"/>
        </w:rPr>
      </w:pPr>
      <w:r>
        <w:rPr>
          <w:rFonts w:ascii="Arial" w:hAnsi="Arial" w:cs="Arial"/>
          <w:b/>
          <w:sz w:val="24"/>
          <w:szCs w:val="24"/>
        </w:rPr>
        <w:t>Staff Question-</w:t>
      </w:r>
      <w:r w:rsidR="00EC638C">
        <w:rPr>
          <w:rFonts w:ascii="Arial" w:hAnsi="Arial" w:cs="Arial"/>
          <w:b/>
          <w:sz w:val="24"/>
          <w:szCs w:val="24"/>
        </w:rPr>
        <w:t>5</w:t>
      </w:r>
    </w:p>
    <w:p w14:paraId="5FCA359F" w14:textId="5637819F" w:rsidR="00DC0C8B" w:rsidRDefault="00DC0C8B" w:rsidP="00DC0C8B">
      <w:pPr>
        <w:spacing w:after="120"/>
        <w:rPr>
          <w:rFonts w:ascii="Arial" w:hAnsi="Arial" w:cs="Arial"/>
          <w:b/>
          <w:sz w:val="24"/>
          <w:szCs w:val="24"/>
        </w:rPr>
      </w:pPr>
      <w:r w:rsidRPr="008B6E10">
        <w:rPr>
          <w:rFonts w:ascii="Arial" w:hAnsi="Arial" w:cs="Arial"/>
          <w:b/>
          <w:sz w:val="24"/>
          <w:szCs w:val="24"/>
        </w:rPr>
        <w:t xml:space="preserve">Ref: </w:t>
      </w:r>
      <w:r w:rsidR="00E30C95" w:rsidRPr="00E30C95">
        <w:rPr>
          <w:rFonts w:ascii="Arial" w:hAnsi="Arial" w:cs="Arial"/>
          <w:b/>
          <w:sz w:val="24"/>
          <w:szCs w:val="24"/>
        </w:rPr>
        <w:t xml:space="preserve">RPP </w:t>
      </w:r>
      <w:r w:rsidR="00E30C95">
        <w:rPr>
          <w:rFonts w:ascii="Arial" w:hAnsi="Arial" w:cs="Arial"/>
          <w:b/>
          <w:sz w:val="24"/>
          <w:szCs w:val="24"/>
        </w:rPr>
        <w:t>S</w:t>
      </w:r>
      <w:r w:rsidR="00E30C95" w:rsidRPr="00E30C95">
        <w:rPr>
          <w:rFonts w:ascii="Arial" w:hAnsi="Arial" w:cs="Arial"/>
          <w:b/>
          <w:sz w:val="24"/>
          <w:szCs w:val="24"/>
        </w:rPr>
        <w:t xml:space="preserve">ettlement </w:t>
      </w:r>
      <w:r w:rsidR="00E30C95">
        <w:rPr>
          <w:rFonts w:ascii="Arial" w:hAnsi="Arial" w:cs="Arial"/>
          <w:b/>
          <w:sz w:val="24"/>
          <w:szCs w:val="24"/>
        </w:rPr>
        <w:t>T</w:t>
      </w:r>
      <w:r w:rsidR="00E30C95" w:rsidRPr="00E30C95">
        <w:rPr>
          <w:rFonts w:ascii="Arial" w:hAnsi="Arial" w:cs="Arial"/>
          <w:b/>
          <w:sz w:val="24"/>
          <w:szCs w:val="24"/>
        </w:rPr>
        <w:t>rue-up</w:t>
      </w:r>
      <w:r>
        <w:rPr>
          <w:rFonts w:ascii="Arial" w:hAnsi="Arial" w:cs="Arial"/>
          <w:b/>
          <w:sz w:val="24"/>
          <w:szCs w:val="24"/>
        </w:rPr>
        <w:t xml:space="preserve"> </w:t>
      </w:r>
      <w:r w:rsidR="00E30C95">
        <w:rPr>
          <w:rFonts w:ascii="Arial" w:hAnsi="Arial" w:cs="Arial"/>
          <w:b/>
          <w:sz w:val="24"/>
          <w:szCs w:val="24"/>
        </w:rPr>
        <w:t>– Expected process change</w:t>
      </w:r>
    </w:p>
    <w:p w14:paraId="2B370219" w14:textId="3959A5F6" w:rsidR="003B6798" w:rsidRDefault="00E30C95" w:rsidP="00E30C95">
      <w:pPr>
        <w:spacing w:after="120"/>
        <w:rPr>
          <w:rFonts w:ascii="Arial" w:hAnsi="Arial" w:cs="Arial"/>
          <w:bCs/>
          <w:sz w:val="24"/>
          <w:szCs w:val="24"/>
        </w:rPr>
      </w:pPr>
      <w:r>
        <w:rPr>
          <w:rFonts w:ascii="Arial" w:hAnsi="Arial" w:cs="Arial"/>
          <w:bCs/>
          <w:sz w:val="24"/>
          <w:szCs w:val="24"/>
        </w:rPr>
        <w:t>As stated in the Decision and Rate Order for Synergy North’s 2020 rate application (EB-2019-0068), t</w:t>
      </w:r>
      <w:r w:rsidR="008E5D4A" w:rsidRPr="008E5D4A">
        <w:rPr>
          <w:rFonts w:ascii="Arial" w:hAnsi="Arial" w:cs="Arial"/>
          <w:bCs/>
          <w:sz w:val="24"/>
          <w:szCs w:val="24"/>
        </w:rPr>
        <w:t xml:space="preserve">he </w:t>
      </w:r>
      <w:r>
        <w:rPr>
          <w:rFonts w:ascii="Arial" w:hAnsi="Arial" w:cs="Arial"/>
          <w:bCs/>
          <w:sz w:val="24"/>
          <w:szCs w:val="24"/>
        </w:rPr>
        <w:t>“</w:t>
      </w:r>
      <w:r w:rsidR="008E5D4A" w:rsidRPr="008E5D4A">
        <w:rPr>
          <w:rFonts w:ascii="Arial" w:hAnsi="Arial" w:cs="Arial"/>
          <w:bCs/>
          <w:sz w:val="24"/>
          <w:szCs w:val="24"/>
        </w:rPr>
        <w:t>OEB therefore directs Synergy North to perform and submit RPP settlement true-up claims to the IESO on a</w:t>
      </w:r>
      <w:r w:rsidR="008E5D4A">
        <w:rPr>
          <w:rFonts w:ascii="Arial" w:hAnsi="Arial" w:cs="Arial"/>
          <w:bCs/>
          <w:sz w:val="24"/>
          <w:szCs w:val="24"/>
        </w:rPr>
        <w:t xml:space="preserve"> </w:t>
      </w:r>
      <w:r w:rsidR="008E5D4A" w:rsidRPr="008E5D4A">
        <w:rPr>
          <w:rFonts w:ascii="Arial" w:hAnsi="Arial" w:cs="Arial"/>
          <w:bCs/>
          <w:sz w:val="24"/>
          <w:szCs w:val="24"/>
        </w:rPr>
        <w:t>monthly basis going forward and confirm with the OEB when this procedural change has been made.</w:t>
      </w:r>
      <w:r>
        <w:rPr>
          <w:rFonts w:ascii="Arial" w:hAnsi="Arial" w:cs="Arial"/>
          <w:bCs/>
          <w:sz w:val="24"/>
          <w:szCs w:val="24"/>
        </w:rPr>
        <w:t>”</w:t>
      </w:r>
    </w:p>
    <w:p w14:paraId="3F409DCB" w14:textId="213E21BD" w:rsidR="00E30C95" w:rsidRDefault="00E30C95" w:rsidP="00E30C95">
      <w:pPr>
        <w:spacing w:after="120"/>
        <w:rPr>
          <w:rFonts w:ascii="Arial" w:hAnsi="Arial" w:cs="Arial"/>
          <w:bCs/>
          <w:sz w:val="24"/>
          <w:szCs w:val="24"/>
        </w:rPr>
      </w:pPr>
      <w:r>
        <w:rPr>
          <w:rFonts w:ascii="Arial" w:hAnsi="Arial" w:cs="Arial"/>
          <w:bCs/>
          <w:sz w:val="24"/>
          <w:szCs w:val="24"/>
        </w:rPr>
        <w:t>Synergy North noted in its current 2021 application that it still performs quarterly RPP settlement true-up with IESO, and it intends to update this process to monthly as required by the OEB’s guidance.</w:t>
      </w:r>
    </w:p>
    <w:p w14:paraId="67A12646" w14:textId="020CE2F0" w:rsidR="00E30C95" w:rsidRDefault="00F16A34" w:rsidP="00E30C95">
      <w:pPr>
        <w:spacing w:after="120"/>
        <w:rPr>
          <w:rFonts w:ascii="Arial" w:hAnsi="Arial" w:cs="Arial"/>
          <w:bCs/>
          <w:sz w:val="24"/>
          <w:szCs w:val="24"/>
        </w:rPr>
      </w:pPr>
      <w:r>
        <w:rPr>
          <w:rFonts w:ascii="Arial" w:hAnsi="Arial" w:cs="Arial"/>
          <w:bCs/>
          <w:sz w:val="24"/>
          <w:szCs w:val="24"/>
        </w:rPr>
        <w:t>P</w:t>
      </w:r>
      <w:r w:rsidR="00E30C95">
        <w:rPr>
          <w:rFonts w:ascii="Arial" w:hAnsi="Arial" w:cs="Arial"/>
          <w:bCs/>
          <w:sz w:val="24"/>
          <w:szCs w:val="24"/>
        </w:rPr>
        <w:t xml:space="preserve">lease </w:t>
      </w:r>
      <w:r w:rsidR="00836745">
        <w:rPr>
          <w:rFonts w:ascii="Arial" w:hAnsi="Arial" w:cs="Arial"/>
          <w:bCs/>
          <w:sz w:val="24"/>
          <w:szCs w:val="24"/>
        </w:rPr>
        <w:t xml:space="preserve">discuss the reason why Synergy North is still performing a quarterly settlement with the IESO (i.e. not to do this monthly). What is </w:t>
      </w:r>
      <w:r w:rsidR="00E30C95">
        <w:rPr>
          <w:rFonts w:ascii="Arial" w:hAnsi="Arial" w:cs="Arial"/>
          <w:bCs/>
          <w:sz w:val="24"/>
          <w:szCs w:val="24"/>
        </w:rPr>
        <w:t xml:space="preserve">Synergy North’s plan </w:t>
      </w:r>
      <w:r>
        <w:rPr>
          <w:rFonts w:ascii="Arial" w:hAnsi="Arial" w:cs="Arial"/>
          <w:bCs/>
          <w:sz w:val="24"/>
          <w:szCs w:val="24"/>
        </w:rPr>
        <w:t xml:space="preserve">(including timeline) </w:t>
      </w:r>
      <w:r w:rsidR="00E30C95">
        <w:rPr>
          <w:rFonts w:ascii="Arial" w:hAnsi="Arial" w:cs="Arial"/>
          <w:bCs/>
          <w:sz w:val="24"/>
          <w:szCs w:val="24"/>
        </w:rPr>
        <w:t xml:space="preserve">on </w:t>
      </w:r>
      <w:r w:rsidR="00836745">
        <w:rPr>
          <w:rFonts w:ascii="Arial" w:hAnsi="Arial" w:cs="Arial"/>
          <w:bCs/>
          <w:sz w:val="24"/>
          <w:szCs w:val="24"/>
        </w:rPr>
        <w:t>moving to a monthly settlement pro</w:t>
      </w:r>
      <w:r w:rsidR="00E30C95">
        <w:rPr>
          <w:rFonts w:ascii="Arial" w:hAnsi="Arial" w:cs="Arial"/>
          <w:bCs/>
          <w:sz w:val="24"/>
          <w:szCs w:val="24"/>
        </w:rPr>
        <w:t>cess</w:t>
      </w:r>
      <w:r w:rsidR="00836745">
        <w:rPr>
          <w:rFonts w:ascii="Arial" w:hAnsi="Arial" w:cs="Arial"/>
          <w:bCs/>
          <w:sz w:val="24"/>
          <w:szCs w:val="24"/>
        </w:rPr>
        <w:t>?</w:t>
      </w:r>
    </w:p>
    <w:p w14:paraId="6BD3C860" w14:textId="042F025A" w:rsidR="00E30C95" w:rsidRDefault="00E30C95" w:rsidP="009D6C05">
      <w:pPr>
        <w:spacing w:after="120" w:line="240" w:lineRule="auto"/>
        <w:rPr>
          <w:rFonts w:ascii="Arial" w:hAnsi="Arial" w:cs="Arial"/>
          <w:bCs/>
          <w:sz w:val="24"/>
          <w:szCs w:val="24"/>
        </w:rPr>
      </w:pPr>
    </w:p>
    <w:p w14:paraId="54699104" w14:textId="6D5E4ED4" w:rsidR="007C0842" w:rsidRDefault="007C0842" w:rsidP="007C0842">
      <w:pPr>
        <w:spacing w:after="120" w:line="240" w:lineRule="auto"/>
        <w:rPr>
          <w:rFonts w:ascii="Arial" w:hAnsi="Arial" w:cs="Arial"/>
          <w:b/>
          <w:sz w:val="24"/>
          <w:szCs w:val="24"/>
        </w:rPr>
      </w:pPr>
      <w:r>
        <w:rPr>
          <w:rFonts w:ascii="Arial" w:hAnsi="Arial" w:cs="Arial"/>
          <w:b/>
          <w:sz w:val="24"/>
          <w:szCs w:val="24"/>
        </w:rPr>
        <w:t>Staff Question-</w:t>
      </w:r>
      <w:r w:rsidR="00EC638C">
        <w:rPr>
          <w:rFonts w:ascii="Arial" w:hAnsi="Arial" w:cs="Arial"/>
          <w:b/>
          <w:sz w:val="24"/>
          <w:szCs w:val="24"/>
        </w:rPr>
        <w:t>6</w:t>
      </w:r>
    </w:p>
    <w:p w14:paraId="70ED1AE5" w14:textId="6D44727E" w:rsidR="007C0842" w:rsidRDefault="007C0842" w:rsidP="007C0842">
      <w:pPr>
        <w:spacing w:after="120"/>
        <w:rPr>
          <w:rFonts w:ascii="Arial" w:hAnsi="Arial" w:cs="Arial"/>
          <w:b/>
          <w:sz w:val="24"/>
          <w:szCs w:val="24"/>
        </w:rPr>
      </w:pPr>
      <w:r w:rsidRPr="008B6E10">
        <w:rPr>
          <w:rFonts w:ascii="Arial" w:hAnsi="Arial" w:cs="Arial"/>
          <w:b/>
          <w:sz w:val="24"/>
          <w:szCs w:val="24"/>
        </w:rPr>
        <w:t xml:space="preserve">Ref: </w:t>
      </w:r>
      <w:r>
        <w:rPr>
          <w:rFonts w:ascii="Arial" w:hAnsi="Arial" w:cs="Arial"/>
          <w:b/>
          <w:sz w:val="24"/>
          <w:szCs w:val="24"/>
        </w:rPr>
        <w:t xml:space="preserve">GA Analysis </w:t>
      </w:r>
      <w:proofErr w:type="spellStart"/>
      <w:r>
        <w:rPr>
          <w:rFonts w:ascii="Arial" w:hAnsi="Arial" w:cs="Arial"/>
          <w:b/>
          <w:sz w:val="24"/>
          <w:szCs w:val="24"/>
        </w:rPr>
        <w:t>Workform</w:t>
      </w:r>
      <w:proofErr w:type="spellEnd"/>
      <w:r>
        <w:rPr>
          <w:rFonts w:ascii="Arial" w:hAnsi="Arial" w:cs="Arial"/>
          <w:b/>
          <w:sz w:val="24"/>
          <w:szCs w:val="24"/>
        </w:rPr>
        <w:t xml:space="preserve"> (Thunder Bay) – Reconciling Items</w:t>
      </w:r>
    </w:p>
    <w:p w14:paraId="1A79F99C" w14:textId="73347C51" w:rsidR="007C0842" w:rsidRDefault="007C0842" w:rsidP="00B3544A">
      <w:pPr>
        <w:pStyle w:val="ListParagraph"/>
        <w:numPr>
          <w:ilvl w:val="0"/>
          <w:numId w:val="30"/>
        </w:numPr>
        <w:spacing w:after="120"/>
        <w:rPr>
          <w:rFonts w:ascii="Arial" w:hAnsi="Arial" w:cs="Arial"/>
          <w:bCs/>
          <w:sz w:val="24"/>
          <w:szCs w:val="24"/>
        </w:rPr>
      </w:pPr>
      <w:r>
        <w:rPr>
          <w:rFonts w:ascii="Arial" w:hAnsi="Arial" w:cs="Arial"/>
          <w:bCs/>
          <w:sz w:val="24"/>
          <w:szCs w:val="24"/>
        </w:rPr>
        <w:t xml:space="preserve">In Thunder Bay rate zone’s GA Analysis </w:t>
      </w:r>
      <w:proofErr w:type="spellStart"/>
      <w:r>
        <w:rPr>
          <w:rFonts w:ascii="Arial" w:hAnsi="Arial" w:cs="Arial"/>
          <w:bCs/>
          <w:sz w:val="24"/>
          <w:szCs w:val="24"/>
        </w:rPr>
        <w:t>Workform</w:t>
      </w:r>
      <w:proofErr w:type="spellEnd"/>
      <w:r>
        <w:rPr>
          <w:rFonts w:ascii="Arial" w:hAnsi="Arial" w:cs="Arial"/>
          <w:bCs/>
          <w:sz w:val="24"/>
          <w:szCs w:val="24"/>
        </w:rPr>
        <w:t xml:space="preserve"> in the 2020 IRM application (EB-2019-0068), Synergy North reported a reconciling item in debit amount of $3,249 under 3b for “difference between current year accrual/forecast to actual from long term load transfers”. </w:t>
      </w:r>
      <w:r w:rsidR="0053201C">
        <w:rPr>
          <w:rFonts w:ascii="Arial" w:hAnsi="Arial" w:cs="Arial"/>
          <w:bCs/>
          <w:sz w:val="24"/>
          <w:szCs w:val="24"/>
        </w:rPr>
        <w:t xml:space="preserve">This is a true-up amount related to 2018 transactions which was not recorded in the GL until 2019. Therefore, in the </w:t>
      </w:r>
      <w:r w:rsidR="007965F4">
        <w:rPr>
          <w:rFonts w:ascii="Arial" w:hAnsi="Arial" w:cs="Arial"/>
          <w:bCs/>
          <w:sz w:val="24"/>
          <w:szCs w:val="24"/>
        </w:rPr>
        <w:t xml:space="preserve">GA Analysis </w:t>
      </w:r>
      <w:proofErr w:type="spellStart"/>
      <w:r w:rsidR="007965F4">
        <w:rPr>
          <w:rFonts w:ascii="Arial" w:hAnsi="Arial" w:cs="Arial"/>
          <w:bCs/>
          <w:sz w:val="24"/>
          <w:szCs w:val="24"/>
        </w:rPr>
        <w:t>Workform</w:t>
      </w:r>
      <w:proofErr w:type="spellEnd"/>
      <w:r w:rsidR="007965F4">
        <w:rPr>
          <w:rFonts w:ascii="Arial" w:hAnsi="Arial" w:cs="Arial"/>
          <w:bCs/>
          <w:sz w:val="24"/>
          <w:szCs w:val="24"/>
        </w:rPr>
        <w:t xml:space="preserve"> for 2019 (submitted </w:t>
      </w:r>
      <w:r w:rsidR="008D40B8">
        <w:rPr>
          <w:rFonts w:ascii="Arial" w:hAnsi="Arial" w:cs="Arial"/>
          <w:bCs/>
          <w:sz w:val="24"/>
          <w:szCs w:val="24"/>
        </w:rPr>
        <w:t>in current</w:t>
      </w:r>
      <w:r w:rsidR="007965F4">
        <w:rPr>
          <w:rFonts w:ascii="Arial" w:hAnsi="Arial" w:cs="Arial"/>
          <w:bCs/>
          <w:sz w:val="24"/>
          <w:szCs w:val="24"/>
        </w:rPr>
        <w:t xml:space="preserve"> 2021application), th</w:t>
      </w:r>
      <w:r w:rsidR="008D40B8">
        <w:rPr>
          <w:rFonts w:ascii="Arial" w:hAnsi="Arial" w:cs="Arial"/>
          <w:bCs/>
          <w:sz w:val="24"/>
          <w:szCs w:val="24"/>
        </w:rPr>
        <w:t>e</w:t>
      </w:r>
      <w:r w:rsidR="007965F4">
        <w:rPr>
          <w:rFonts w:ascii="Arial" w:hAnsi="Arial" w:cs="Arial"/>
          <w:bCs/>
          <w:sz w:val="24"/>
          <w:szCs w:val="24"/>
        </w:rPr>
        <w:t xml:space="preserve"> true-up amount of $3,249 relating to 2018 should be excluded (reversed in item 3a). </w:t>
      </w:r>
      <w:r w:rsidR="007965F4" w:rsidRPr="00482A31">
        <w:rPr>
          <w:rFonts w:ascii="Arial" w:hAnsi="Arial" w:cs="Arial"/>
          <w:bCs/>
          <w:sz w:val="24"/>
          <w:szCs w:val="24"/>
        </w:rPr>
        <w:t xml:space="preserve">Please confirm and make the </w:t>
      </w:r>
      <w:r w:rsidR="008D40B8" w:rsidRPr="00482A31">
        <w:rPr>
          <w:rFonts w:ascii="Arial" w:hAnsi="Arial" w:cs="Arial"/>
          <w:bCs/>
          <w:sz w:val="24"/>
          <w:szCs w:val="24"/>
        </w:rPr>
        <w:t xml:space="preserve">update in the current GA Analysis </w:t>
      </w:r>
      <w:proofErr w:type="spellStart"/>
      <w:r w:rsidR="008D40B8" w:rsidRPr="00482A31">
        <w:rPr>
          <w:rFonts w:ascii="Arial" w:hAnsi="Arial" w:cs="Arial"/>
          <w:bCs/>
          <w:sz w:val="24"/>
          <w:szCs w:val="24"/>
        </w:rPr>
        <w:t>Workform</w:t>
      </w:r>
      <w:proofErr w:type="spellEnd"/>
      <w:r w:rsidR="008D40B8" w:rsidRPr="00482A31">
        <w:rPr>
          <w:rFonts w:ascii="Arial" w:hAnsi="Arial" w:cs="Arial"/>
          <w:bCs/>
          <w:sz w:val="24"/>
          <w:szCs w:val="24"/>
        </w:rPr>
        <w:t xml:space="preserve"> for 2019.</w:t>
      </w:r>
    </w:p>
    <w:p w14:paraId="3F921A59" w14:textId="77777777" w:rsidR="00482A31" w:rsidRPr="00482A31" w:rsidRDefault="00482A31" w:rsidP="00482A31">
      <w:pPr>
        <w:pStyle w:val="ListParagraph"/>
        <w:spacing w:after="120"/>
        <w:rPr>
          <w:rFonts w:ascii="Arial" w:hAnsi="Arial" w:cs="Arial"/>
          <w:bCs/>
          <w:sz w:val="24"/>
          <w:szCs w:val="24"/>
        </w:rPr>
      </w:pPr>
    </w:p>
    <w:p w14:paraId="56A52E59" w14:textId="744E197B" w:rsidR="00E73581" w:rsidRPr="00482A31" w:rsidRDefault="00482A31" w:rsidP="00482A31">
      <w:pPr>
        <w:pStyle w:val="ListParagraph"/>
        <w:numPr>
          <w:ilvl w:val="0"/>
          <w:numId w:val="30"/>
        </w:numPr>
        <w:spacing w:after="120"/>
        <w:rPr>
          <w:rFonts w:ascii="Arial" w:hAnsi="Arial" w:cs="Arial"/>
          <w:bCs/>
          <w:sz w:val="24"/>
          <w:szCs w:val="24"/>
        </w:rPr>
      </w:pPr>
      <w:r>
        <w:rPr>
          <w:rFonts w:ascii="Arial" w:hAnsi="Arial" w:cs="Arial"/>
          <w:bCs/>
          <w:sz w:val="24"/>
          <w:szCs w:val="24"/>
        </w:rPr>
        <w:t xml:space="preserve">In the current GA Analysis </w:t>
      </w:r>
      <w:proofErr w:type="spellStart"/>
      <w:r>
        <w:rPr>
          <w:rFonts w:ascii="Arial" w:hAnsi="Arial" w:cs="Arial"/>
          <w:bCs/>
          <w:sz w:val="24"/>
          <w:szCs w:val="24"/>
        </w:rPr>
        <w:t>Workform</w:t>
      </w:r>
      <w:proofErr w:type="spellEnd"/>
      <w:r>
        <w:rPr>
          <w:rFonts w:ascii="Arial" w:hAnsi="Arial" w:cs="Arial"/>
          <w:bCs/>
          <w:sz w:val="24"/>
          <w:szCs w:val="24"/>
        </w:rPr>
        <w:t xml:space="preserve"> for 2019, Synergy North reported a debit amount of $8,640 as reconciling item 3b. This amount should be recorded as a principal adjustment in the DVA Continuity Schedule. On page 16 of the “</w:t>
      </w:r>
      <w:r w:rsidR="00E73581" w:rsidRPr="00482A31">
        <w:rPr>
          <w:rFonts w:ascii="Arial" w:hAnsi="Arial" w:cs="Arial"/>
          <w:bCs/>
          <w:sz w:val="24"/>
          <w:szCs w:val="24"/>
        </w:rPr>
        <w:t xml:space="preserve">Instructions for </w:t>
      </w:r>
      <w:r w:rsidRPr="00482A31">
        <w:rPr>
          <w:rFonts w:ascii="Arial" w:hAnsi="Arial" w:cs="Arial"/>
          <w:bCs/>
          <w:sz w:val="24"/>
          <w:szCs w:val="24"/>
        </w:rPr>
        <w:t xml:space="preserve">Completing GA Analysis </w:t>
      </w:r>
      <w:proofErr w:type="spellStart"/>
      <w:r w:rsidRPr="00482A31">
        <w:rPr>
          <w:rFonts w:ascii="Arial" w:hAnsi="Arial" w:cs="Arial"/>
          <w:bCs/>
          <w:sz w:val="24"/>
          <w:szCs w:val="24"/>
        </w:rPr>
        <w:t>Workform</w:t>
      </w:r>
      <w:proofErr w:type="spellEnd"/>
      <w:r>
        <w:rPr>
          <w:rFonts w:ascii="Arial" w:hAnsi="Arial" w:cs="Arial"/>
          <w:bCs/>
          <w:sz w:val="24"/>
          <w:szCs w:val="24"/>
        </w:rPr>
        <w:t xml:space="preserve">” </w:t>
      </w:r>
      <w:r w:rsidRPr="00482A31">
        <w:rPr>
          <w:rFonts w:ascii="Arial" w:hAnsi="Arial" w:cs="Arial"/>
          <w:bCs/>
          <w:sz w:val="24"/>
          <w:szCs w:val="24"/>
        </w:rPr>
        <w:lastRenderedPageBreak/>
        <w:t>(</w:t>
      </w:r>
      <w:hyperlink r:id="rId8" w:history="1">
        <w:r w:rsidRPr="00482A31">
          <w:rPr>
            <w:rStyle w:val="Hyperlink"/>
            <w:rFonts w:ascii="Arial" w:hAnsi="Arial" w:cs="Arial"/>
            <w:bCs/>
            <w:sz w:val="24"/>
            <w:szCs w:val="24"/>
          </w:rPr>
          <w:t>https://www.oeb.ca/sites/default/files/GA-Analysis-Workform-Instructions-20200520.pdf</w:t>
        </w:r>
      </w:hyperlink>
      <w:r w:rsidRPr="00482A31">
        <w:rPr>
          <w:rFonts w:ascii="Arial" w:hAnsi="Arial" w:cs="Arial"/>
          <w:bCs/>
          <w:sz w:val="24"/>
          <w:szCs w:val="24"/>
        </w:rPr>
        <w:t>)</w:t>
      </w:r>
      <w:r>
        <w:rPr>
          <w:rFonts w:ascii="Arial" w:hAnsi="Arial" w:cs="Arial"/>
          <w:bCs/>
          <w:sz w:val="24"/>
          <w:szCs w:val="24"/>
        </w:rPr>
        <w:t xml:space="preserve">, there is an example for reconciling item 3b. In that example, </w:t>
      </w:r>
      <w:r w:rsidRPr="00482A31">
        <w:rPr>
          <w:rFonts w:ascii="Arial" w:hAnsi="Arial" w:cs="Arial"/>
          <w:bCs/>
          <w:sz w:val="24"/>
          <w:szCs w:val="24"/>
        </w:rPr>
        <w:t>a principal adjustment is not needed in the 2018 DVA Continuity Schedule as the accrued to actual revenue true-up has already been included in the 2018 year-end balance.</w:t>
      </w:r>
      <w:r>
        <w:rPr>
          <w:rFonts w:ascii="Arial" w:hAnsi="Arial" w:cs="Arial"/>
          <w:bCs/>
          <w:sz w:val="24"/>
          <w:szCs w:val="24"/>
        </w:rPr>
        <w:t xml:space="preserve"> However, in Thunder Bay’s case,</w:t>
      </w:r>
      <w:r w:rsidRPr="00482A31">
        <w:rPr>
          <w:rFonts w:ascii="Arial" w:hAnsi="Arial" w:cs="Arial"/>
          <w:bCs/>
          <w:sz w:val="24"/>
          <w:szCs w:val="24"/>
        </w:rPr>
        <w:t xml:space="preserve"> </w:t>
      </w:r>
      <w:r>
        <w:rPr>
          <w:rFonts w:ascii="Arial" w:hAnsi="Arial" w:cs="Arial"/>
          <w:bCs/>
          <w:sz w:val="24"/>
          <w:szCs w:val="24"/>
        </w:rPr>
        <w:t>the true-up amount</w:t>
      </w:r>
      <w:r w:rsidRPr="00482A31">
        <w:rPr>
          <w:rFonts w:ascii="Arial" w:hAnsi="Arial" w:cs="Arial"/>
          <w:bCs/>
          <w:sz w:val="24"/>
          <w:szCs w:val="24"/>
        </w:rPr>
        <w:t xml:space="preserve"> was not included in the </w:t>
      </w:r>
      <w:proofErr w:type="gramStart"/>
      <w:r>
        <w:rPr>
          <w:rFonts w:ascii="Arial" w:hAnsi="Arial" w:cs="Arial"/>
          <w:bCs/>
          <w:sz w:val="24"/>
          <w:szCs w:val="24"/>
        </w:rPr>
        <w:t xml:space="preserve">2019 </w:t>
      </w:r>
      <w:r w:rsidRPr="00482A31">
        <w:rPr>
          <w:rFonts w:ascii="Arial" w:hAnsi="Arial" w:cs="Arial"/>
          <w:bCs/>
          <w:sz w:val="24"/>
          <w:szCs w:val="24"/>
        </w:rPr>
        <w:t>year</w:t>
      </w:r>
      <w:proofErr w:type="gramEnd"/>
      <w:r w:rsidRPr="00482A31">
        <w:rPr>
          <w:rFonts w:ascii="Arial" w:hAnsi="Arial" w:cs="Arial"/>
          <w:bCs/>
          <w:sz w:val="24"/>
          <w:szCs w:val="24"/>
        </w:rPr>
        <w:t xml:space="preserve"> end balance, so it needs to be included.</w:t>
      </w:r>
      <w:r>
        <w:rPr>
          <w:rFonts w:ascii="Arial" w:hAnsi="Arial" w:cs="Arial"/>
          <w:bCs/>
          <w:sz w:val="24"/>
          <w:szCs w:val="24"/>
        </w:rPr>
        <w:t xml:space="preserve"> Please review and make necessary update in the Continuity Schedule in the 2021 IRM model.</w:t>
      </w:r>
    </w:p>
    <w:p w14:paraId="534DD068" w14:textId="08EC5AF5" w:rsidR="00A27C61" w:rsidRDefault="00A27C61" w:rsidP="00A27C61">
      <w:pPr>
        <w:spacing w:after="120"/>
        <w:rPr>
          <w:rFonts w:ascii="Arial" w:hAnsi="Arial" w:cs="Arial"/>
          <w:bCs/>
          <w:sz w:val="24"/>
          <w:szCs w:val="24"/>
        </w:rPr>
      </w:pPr>
    </w:p>
    <w:p w14:paraId="78C4E17D" w14:textId="54A16AC3" w:rsidR="00C611E9" w:rsidRDefault="00C611E9" w:rsidP="00C611E9">
      <w:pPr>
        <w:spacing w:after="120" w:line="240" w:lineRule="auto"/>
        <w:rPr>
          <w:rFonts w:ascii="Arial" w:hAnsi="Arial" w:cs="Arial"/>
          <w:b/>
          <w:sz w:val="24"/>
          <w:szCs w:val="24"/>
        </w:rPr>
      </w:pPr>
      <w:r>
        <w:rPr>
          <w:rFonts w:ascii="Arial" w:hAnsi="Arial" w:cs="Arial"/>
          <w:b/>
          <w:sz w:val="24"/>
          <w:szCs w:val="24"/>
        </w:rPr>
        <w:t>Staff Question-7</w:t>
      </w:r>
    </w:p>
    <w:p w14:paraId="340B776A" w14:textId="02D07091" w:rsidR="00C611E9" w:rsidRDefault="00C611E9" w:rsidP="00C611E9">
      <w:pPr>
        <w:spacing w:after="120"/>
        <w:rPr>
          <w:rFonts w:ascii="Arial" w:hAnsi="Arial" w:cs="Arial"/>
          <w:b/>
          <w:sz w:val="24"/>
          <w:szCs w:val="24"/>
        </w:rPr>
      </w:pPr>
      <w:r w:rsidRPr="008B6E10">
        <w:rPr>
          <w:rFonts w:ascii="Arial" w:hAnsi="Arial" w:cs="Arial"/>
          <w:b/>
          <w:sz w:val="24"/>
          <w:szCs w:val="24"/>
        </w:rPr>
        <w:t xml:space="preserve">Ref: </w:t>
      </w:r>
      <w:r>
        <w:rPr>
          <w:rFonts w:ascii="Arial" w:hAnsi="Arial" w:cs="Arial"/>
          <w:b/>
          <w:sz w:val="24"/>
          <w:szCs w:val="24"/>
        </w:rPr>
        <w:t xml:space="preserve">GA Analysis </w:t>
      </w:r>
      <w:proofErr w:type="spellStart"/>
      <w:r>
        <w:rPr>
          <w:rFonts w:ascii="Arial" w:hAnsi="Arial" w:cs="Arial"/>
          <w:b/>
          <w:sz w:val="24"/>
          <w:szCs w:val="24"/>
        </w:rPr>
        <w:t>Workform</w:t>
      </w:r>
      <w:proofErr w:type="spellEnd"/>
      <w:r>
        <w:rPr>
          <w:rFonts w:ascii="Arial" w:hAnsi="Arial" w:cs="Arial"/>
          <w:b/>
          <w:sz w:val="24"/>
          <w:szCs w:val="24"/>
        </w:rPr>
        <w:t xml:space="preserve"> (Kenora) – Reconciling Item 3; Rate Generator Model Tab 3 Continuity Schedule</w:t>
      </w:r>
    </w:p>
    <w:p w14:paraId="117B0EDF" w14:textId="69B0FCE3" w:rsidR="00C611E9" w:rsidRDefault="00C611E9" w:rsidP="00C611E9">
      <w:pPr>
        <w:spacing w:after="120"/>
        <w:rPr>
          <w:rFonts w:ascii="Arial" w:hAnsi="Arial" w:cs="Arial"/>
          <w:bCs/>
          <w:sz w:val="24"/>
          <w:szCs w:val="24"/>
        </w:rPr>
      </w:pPr>
      <w:r>
        <w:rPr>
          <w:rFonts w:ascii="Arial" w:hAnsi="Arial" w:cs="Arial"/>
          <w:bCs/>
          <w:sz w:val="24"/>
          <w:szCs w:val="24"/>
        </w:rPr>
        <w:t xml:space="preserve">In the GA Analysis </w:t>
      </w:r>
      <w:proofErr w:type="spellStart"/>
      <w:r>
        <w:rPr>
          <w:rFonts w:ascii="Arial" w:hAnsi="Arial" w:cs="Arial"/>
          <w:bCs/>
          <w:sz w:val="24"/>
          <w:szCs w:val="24"/>
        </w:rPr>
        <w:t>Workform</w:t>
      </w:r>
      <w:proofErr w:type="spellEnd"/>
      <w:r>
        <w:rPr>
          <w:rFonts w:ascii="Arial" w:hAnsi="Arial" w:cs="Arial"/>
          <w:bCs/>
          <w:sz w:val="24"/>
          <w:szCs w:val="24"/>
        </w:rPr>
        <w:t xml:space="preserve"> for the Kenora rate zone, there is a credit amount of $238,480 reported as Reconciling Item #3 “prior period billing adjustments recorded in current year”. This amount was also reported in “Principal Adjustments” Tab as an adjustment recorded in 2019 GL. </w:t>
      </w:r>
      <w:r w:rsidR="00D12A4B">
        <w:rPr>
          <w:rFonts w:ascii="Arial" w:hAnsi="Arial" w:cs="Arial"/>
          <w:bCs/>
          <w:sz w:val="24"/>
          <w:szCs w:val="24"/>
        </w:rPr>
        <w:t>Synergy North also recorded this amount in the Continuity Schedule as 2019 Account 1589 principal adjustment. As the billing adjustment was recorded in the 2019 GL in the year it happened, OEB staff is of the view that there is no need to adjust the balance for disposition in the Continuity Schedule. Some related reference can be found on page 18 of the “</w:t>
      </w:r>
      <w:r w:rsidR="00D12A4B" w:rsidRPr="00482A31">
        <w:rPr>
          <w:rFonts w:ascii="Arial" w:hAnsi="Arial" w:cs="Arial"/>
          <w:bCs/>
          <w:sz w:val="24"/>
          <w:szCs w:val="24"/>
        </w:rPr>
        <w:t xml:space="preserve">Instructions for Completing GA Analysis </w:t>
      </w:r>
      <w:proofErr w:type="spellStart"/>
      <w:r w:rsidR="00D12A4B" w:rsidRPr="00482A31">
        <w:rPr>
          <w:rFonts w:ascii="Arial" w:hAnsi="Arial" w:cs="Arial"/>
          <w:bCs/>
          <w:sz w:val="24"/>
          <w:szCs w:val="24"/>
        </w:rPr>
        <w:t>Workform</w:t>
      </w:r>
      <w:proofErr w:type="spellEnd"/>
      <w:r w:rsidR="00D12A4B">
        <w:rPr>
          <w:rFonts w:ascii="Arial" w:hAnsi="Arial" w:cs="Arial"/>
          <w:bCs/>
          <w:sz w:val="24"/>
          <w:szCs w:val="24"/>
        </w:rPr>
        <w:t xml:space="preserve">” </w:t>
      </w:r>
      <w:r w:rsidR="00D12A4B" w:rsidRPr="00482A31">
        <w:rPr>
          <w:rFonts w:ascii="Arial" w:hAnsi="Arial" w:cs="Arial"/>
          <w:bCs/>
          <w:sz w:val="24"/>
          <w:szCs w:val="24"/>
        </w:rPr>
        <w:t>(</w:t>
      </w:r>
      <w:hyperlink r:id="rId9" w:history="1">
        <w:r w:rsidR="00D12A4B" w:rsidRPr="00482A31">
          <w:rPr>
            <w:rStyle w:val="Hyperlink"/>
            <w:rFonts w:ascii="Arial" w:hAnsi="Arial" w:cs="Arial"/>
            <w:bCs/>
            <w:sz w:val="24"/>
            <w:szCs w:val="24"/>
          </w:rPr>
          <w:t>https://www.oeb.ca/sites/default/files/GA-Analysis-Workform-Instructions-20200520.pdf</w:t>
        </w:r>
      </w:hyperlink>
      <w:r w:rsidR="00D12A4B" w:rsidRPr="00482A31">
        <w:rPr>
          <w:rFonts w:ascii="Arial" w:hAnsi="Arial" w:cs="Arial"/>
          <w:bCs/>
          <w:sz w:val="24"/>
          <w:szCs w:val="24"/>
        </w:rPr>
        <w:t>)</w:t>
      </w:r>
      <w:r w:rsidR="00D12A4B">
        <w:rPr>
          <w:rFonts w:ascii="Arial" w:hAnsi="Arial" w:cs="Arial"/>
          <w:bCs/>
          <w:sz w:val="24"/>
          <w:szCs w:val="24"/>
        </w:rPr>
        <w:t>.</w:t>
      </w:r>
    </w:p>
    <w:p w14:paraId="7DFED1A5" w14:textId="42E28E61" w:rsidR="00D12A4B" w:rsidRPr="00C611E9" w:rsidRDefault="00D12A4B" w:rsidP="00C611E9">
      <w:pPr>
        <w:spacing w:after="120"/>
        <w:rPr>
          <w:rFonts w:ascii="Arial" w:hAnsi="Arial" w:cs="Arial"/>
          <w:bCs/>
          <w:sz w:val="24"/>
          <w:szCs w:val="24"/>
        </w:rPr>
      </w:pPr>
      <w:r>
        <w:rPr>
          <w:rFonts w:ascii="Arial" w:hAnsi="Arial" w:cs="Arial"/>
          <w:bCs/>
          <w:sz w:val="24"/>
          <w:szCs w:val="24"/>
        </w:rPr>
        <w:t xml:space="preserve">Please review and </w:t>
      </w:r>
      <w:r w:rsidR="00647BE2">
        <w:rPr>
          <w:rFonts w:ascii="Arial" w:hAnsi="Arial" w:cs="Arial"/>
          <w:bCs/>
          <w:sz w:val="24"/>
          <w:szCs w:val="24"/>
        </w:rPr>
        <w:t xml:space="preserve">update the GA Analysis </w:t>
      </w:r>
      <w:proofErr w:type="spellStart"/>
      <w:r w:rsidR="00647BE2">
        <w:rPr>
          <w:rFonts w:ascii="Arial" w:hAnsi="Arial" w:cs="Arial"/>
          <w:bCs/>
          <w:sz w:val="24"/>
          <w:szCs w:val="24"/>
        </w:rPr>
        <w:t>Workform</w:t>
      </w:r>
      <w:proofErr w:type="spellEnd"/>
      <w:r w:rsidR="00647BE2">
        <w:rPr>
          <w:rFonts w:ascii="Arial" w:hAnsi="Arial" w:cs="Arial"/>
          <w:bCs/>
          <w:sz w:val="24"/>
          <w:szCs w:val="24"/>
        </w:rPr>
        <w:t xml:space="preserve"> and </w:t>
      </w:r>
      <w:r>
        <w:rPr>
          <w:rFonts w:ascii="Arial" w:hAnsi="Arial" w:cs="Arial"/>
          <w:bCs/>
          <w:sz w:val="24"/>
          <w:szCs w:val="24"/>
        </w:rPr>
        <w:t xml:space="preserve">the Continuity Schedule. </w:t>
      </w:r>
    </w:p>
    <w:p w14:paraId="6E6A22C5" w14:textId="77777777" w:rsidR="00C611E9" w:rsidRDefault="00C611E9" w:rsidP="00A27C61">
      <w:pPr>
        <w:spacing w:after="120"/>
        <w:rPr>
          <w:rFonts w:ascii="Arial" w:hAnsi="Arial" w:cs="Arial"/>
          <w:bCs/>
          <w:sz w:val="24"/>
          <w:szCs w:val="24"/>
        </w:rPr>
      </w:pPr>
    </w:p>
    <w:p w14:paraId="40C3A367" w14:textId="3DF78C05" w:rsidR="00EF157B" w:rsidRDefault="00EF157B" w:rsidP="00EF157B">
      <w:pPr>
        <w:spacing w:after="120" w:line="240" w:lineRule="auto"/>
        <w:rPr>
          <w:rFonts w:ascii="Arial" w:hAnsi="Arial" w:cs="Arial"/>
          <w:b/>
          <w:sz w:val="24"/>
          <w:szCs w:val="24"/>
        </w:rPr>
      </w:pPr>
      <w:r>
        <w:rPr>
          <w:rFonts w:ascii="Arial" w:hAnsi="Arial" w:cs="Arial"/>
          <w:b/>
          <w:sz w:val="24"/>
          <w:szCs w:val="24"/>
        </w:rPr>
        <w:t>Staff Question-</w:t>
      </w:r>
      <w:r w:rsidR="008858C9">
        <w:rPr>
          <w:rFonts w:ascii="Arial" w:hAnsi="Arial" w:cs="Arial"/>
          <w:b/>
          <w:sz w:val="24"/>
          <w:szCs w:val="24"/>
        </w:rPr>
        <w:t>8</w:t>
      </w:r>
    </w:p>
    <w:p w14:paraId="2C608D85" w14:textId="2F2ACD4C" w:rsidR="00EF157B" w:rsidRDefault="00EF157B" w:rsidP="00EF157B">
      <w:pPr>
        <w:spacing w:after="120"/>
        <w:rPr>
          <w:rFonts w:ascii="Arial" w:hAnsi="Arial" w:cs="Arial"/>
          <w:b/>
          <w:sz w:val="24"/>
          <w:szCs w:val="24"/>
        </w:rPr>
      </w:pPr>
      <w:r w:rsidRPr="008B6E10">
        <w:rPr>
          <w:rFonts w:ascii="Arial" w:hAnsi="Arial" w:cs="Arial"/>
          <w:b/>
          <w:sz w:val="24"/>
          <w:szCs w:val="24"/>
        </w:rPr>
        <w:t xml:space="preserve">Ref: </w:t>
      </w:r>
      <w:r>
        <w:rPr>
          <w:rFonts w:ascii="Arial" w:hAnsi="Arial" w:cs="Arial"/>
          <w:b/>
          <w:sz w:val="24"/>
          <w:szCs w:val="24"/>
        </w:rPr>
        <w:t>Rate Generator Models, Tab 18 Additional Rates – COVID-19 Forgone Revenue Rate Rider</w:t>
      </w:r>
    </w:p>
    <w:p w14:paraId="181296D5" w14:textId="7C26F6C8" w:rsidR="00EF157B" w:rsidRDefault="00EF157B" w:rsidP="00EF157B">
      <w:pPr>
        <w:spacing w:after="120"/>
        <w:rPr>
          <w:rFonts w:ascii="Arial" w:hAnsi="Arial" w:cs="Arial"/>
          <w:bCs/>
          <w:sz w:val="24"/>
          <w:szCs w:val="24"/>
        </w:rPr>
      </w:pPr>
      <w:r>
        <w:rPr>
          <w:rFonts w:ascii="Arial" w:hAnsi="Arial" w:cs="Arial"/>
          <w:bCs/>
          <w:sz w:val="24"/>
          <w:szCs w:val="24"/>
        </w:rPr>
        <w:t>OEB staff has update the COVID-19 Forgone Revenue Rate Rider name to the standardized name in Tab 18 for both rate zones. Tab 19 Proposed Tariff and Tab 20 Bill Impacts have been updated. Please review and confirm the accuracy.</w:t>
      </w:r>
    </w:p>
    <w:p w14:paraId="14103AC3" w14:textId="77777777" w:rsidR="00EF157B" w:rsidRPr="00EF157B" w:rsidRDefault="00EF157B" w:rsidP="00EF157B">
      <w:pPr>
        <w:spacing w:after="120"/>
        <w:rPr>
          <w:rFonts w:ascii="Arial" w:hAnsi="Arial" w:cs="Arial"/>
          <w:bCs/>
          <w:sz w:val="24"/>
          <w:szCs w:val="24"/>
        </w:rPr>
      </w:pPr>
    </w:p>
    <w:p w14:paraId="471F5006" w14:textId="25FCCBF6" w:rsidR="00033DB6" w:rsidRDefault="00033DB6" w:rsidP="00033DB6">
      <w:pPr>
        <w:spacing w:after="120" w:line="240" w:lineRule="auto"/>
        <w:rPr>
          <w:rFonts w:ascii="Arial" w:hAnsi="Arial" w:cs="Arial"/>
          <w:b/>
          <w:sz w:val="24"/>
          <w:szCs w:val="24"/>
        </w:rPr>
      </w:pPr>
      <w:r>
        <w:rPr>
          <w:rFonts w:ascii="Arial" w:hAnsi="Arial" w:cs="Arial"/>
          <w:b/>
          <w:sz w:val="24"/>
          <w:szCs w:val="24"/>
        </w:rPr>
        <w:t>Staff Question-9</w:t>
      </w:r>
    </w:p>
    <w:p w14:paraId="174DD6C4" w14:textId="104AB8FC" w:rsidR="00033DB6" w:rsidRDefault="00033DB6" w:rsidP="00033DB6">
      <w:pPr>
        <w:spacing w:after="120"/>
        <w:rPr>
          <w:rFonts w:ascii="Arial" w:hAnsi="Arial" w:cs="Arial"/>
          <w:b/>
          <w:sz w:val="24"/>
          <w:szCs w:val="24"/>
        </w:rPr>
      </w:pPr>
      <w:r w:rsidRPr="008B6E10">
        <w:rPr>
          <w:rFonts w:ascii="Arial" w:hAnsi="Arial" w:cs="Arial"/>
          <w:b/>
          <w:sz w:val="24"/>
          <w:szCs w:val="24"/>
        </w:rPr>
        <w:t xml:space="preserve">Ref: </w:t>
      </w:r>
      <w:r>
        <w:rPr>
          <w:rFonts w:ascii="Arial" w:hAnsi="Arial" w:cs="Arial"/>
          <w:b/>
          <w:sz w:val="24"/>
          <w:szCs w:val="24"/>
        </w:rPr>
        <w:t>RTSR</w:t>
      </w:r>
      <w:r w:rsidR="0035098D">
        <w:rPr>
          <w:rFonts w:ascii="Arial" w:hAnsi="Arial" w:cs="Arial"/>
          <w:b/>
          <w:sz w:val="24"/>
          <w:szCs w:val="24"/>
        </w:rPr>
        <w:t xml:space="preserve">s </w:t>
      </w:r>
      <w:r>
        <w:rPr>
          <w:rFonts w:ascii="Arial" w:hAnsi="Arial" w:cs="Arial"/>
          <w:b/>
          <w:sz w:val="24"/>
          <w:szCs w:val="24"/>
        </w:rPr>
        <w:t>(Kenora); Rate Generator Models, Tab 20 Bill Impacts</w:t>
      </w:r>
    </w:p>
    <w:p w14:paraId="25FE5F59" w14:textId="759E86F7" w:rsidR="0035098D" w:rsidRDefault="0035098D" w:rsidP="00A27C61">
      <w:pPr>
        <w:spacing w:after="120"/>
        <w:rPr>
          <w:rFonts w:ascii="Arial" w:hAnsi="Arial" w:cs="Arial"/>
          <w:bCs/>
          <w:sz w:val="24"/>
          <w:szCs w:val="24"/>
        </w:rPr>
      </w:pPr>
      <w:r>
        <w:rPr>
          <w:rFonts w:ascii="Arial" w:hAnsi="Arial" w:cs="Arial"/>
          <w:bCs/>
          <w:sz w:val="24"/>
          <w:szCs w:val="24"/>
        </w:rPr>
        <w:t>OEB staff updated the 2021 URT and Hydro One Sub-transmission rates in Tab 11 of the IRM model for the 2021 RTSR adjustment calculations.</w:t>
      </w:r>
    </w:p>
    <w:p w14:paraId="2AE25CD9" w14:textId="74E691EC" w:rsidR="00A27C61" w:rsidRDefault="00033DB6" w:rsidP="00A27C61">
      <w:pPr>
        <w:spacing w:after="120"/>
        <w:rPr>
          <w:rFonts w:ascii="Arial" w:hAnsi="Arial" w:cs="Arial"/>
          <w:bCs/>
          <w:sz w:val="24"/>
          <w:szCs w:val="24"/>
        </w:rPr>
      </w:pPr>
      <w:r>
        <w:rPr>
          <w:rFonts w:ascii="Arial" w:hAnsi="Arial" w:cs="Arial"/>
          <w:bCs/>
          <w:sz w:val="24"/>
          <w:szCs w:val="24"/>
        </w:rPr>
        <w:lastRenderedPageBreak/>
        <w:t>In Tab 20 of Kenora rate zone’s IRM model, the RTSR charge</w:t>
      </w:r>
      <w:r w:rsidR="0035098D">
        <w:rPr>
          <w:rFonts w:ascii="Arial" w:hAnsi="Arial" w:cs="Arial"/>
          <w:bCs/>
          <w:sz w:val="24"/>
          <w:szCs w:val="24"/>
        </w:rPr>
        <w:t>s are</w:t>
      </w:r>
      <w:r>
        <w:rPr>
          <w:rFonts w:ascii="Arial" w:hAnsi="Arial" w:cs="Arial"/>
          <w:bCs/>
          <w:sz w:val="24"/>
          <w:szCs w:val="24"/>
        </w:rPr>
        <w:t xml:space="preserve"> showing </w:t>
      </w:r>
      <w:r w:rsidR="0035098D">
        <w:rPr>
          <w:rFonts w:ascii="Arial" w:hAnsi="Arial" w:cs="Arial"/>
          <w:bCs/>
          <w:sz w:val="24"/>
          <w:szCs w:val="24"/>
        </w:rPr>
        <w:t xml:space="preserve">high </w:t>
      </w:r>
      <w:r>
        <w:rPr>
          <w:rFonts w:ascii="Arial" w:hAnsi="Arial" w:cs="Arial"/>
          <w:bCs/>
          <w:sz w:val="24"/>
          <w:szCs w:val="24"/>
        </w:rPr>
        <w:t>bill impact</w:t>
      </w:r>
      <w:r w:rsidR="0035098D">
        <w:rPr>
          <w:rFonts w:ascii="Arial" w:hAnsi="Arial" w:cs="Arial"/>
          <w:bCs/>
          <w:sz w:val="24"/>
          <w:szCs w:val="24"/>
        </w:rPr>
        <w:t>s</w:t>
      </w:r>
      <w:r>
        <w:rPr>
          <w:rFonts w:ascii="Arial" w:hAnsi="Arial" w:cs="Arial"/>
          <w:bCs/>
          <w:sz w:val="24"/>
          <w:szCs w:val="24"/>
        </w:rPr>
        <w:t xml:space="preserve"> for </w:t>
      </w:r>
      <w:r w:rsidR="0035098D">
        <w:rPr>
          <w:rFonts w:ascii="Arial" w:hAnsi="Arial" w:cs="Arial"/>
          <w:bCs/>
          <w:sz w:val="24"/>
          <w:szCs w:val="24"/>
        </w:rPr>
        <w:t xml:space="preserve">all </w:t>
      </w:r>
      <w:r>
        <w:rPr>
          <w:rFonts w:ascii="Arial" w:hAnsi="Arial" w:cs="Arial"/>
          <w:bCs/>
          <w:sz w:val="24"/>
          <w:szCs w:val="24"/>
        </w:rPr>
        <w:t>classes</w:t>
      </w:r>
      <w:r w:rsidR="0035098D">
        <w:rPr>
          <w:rFonts w:ascii="Arial" w:hAnsi="Arial" w:cs="Arial"/>
          <w:bCs/>
          <w:sz w:val="24"/>
          <w:szCs w:val="24"/>
        </w:rPr>
        <w:t xml:space="preserve"> (greater than 15% for Network charges and greater than -22% for Connection charges)</w:t>
      </w:r>
      <w:r>
        <w:rPr>
          <w:rFonts w:ascii="Arial" w:hAnsi="Arial" w:cs="Arial"/>
          <w:bCs/>
          <w:sz w:val="24"/>
          <w:szCs w:val="24"/>
        </w:rPr>
        <w:t xml:space="preserve">. As </w:t>
      </w:r>
      <w:r w:rsidR="0035098D">
        <w:rPr>
          <w:rFonts w:ascii="Arial" w:hAnsi="Arial" w:cs="Arial"/>
          <w:bCs/>
          <w:sz w:val="24"/>
          <w:szCs w:val="24"/>
        </w:rPr>
        <w:t>noted</w:t>
      </w:r>
      <w:r w:rsidR="004C7DE0">
        <w:rPr>
          <w:rFonts w:ascii="Arial" w:hAnsi="Arial" w:cs="Arial"/>
          <w:bCs/>
          <w:sz w:val="24"/>
          <w:szCs w:val="24"/>
        </w:rPr>
        <w:t xml:space="preserve"> in Tab 20</w:t>
      </w:r>
      <w:r w:rsidR="00527989">
        <w:rPr>
          <w:rFonts w:ascii="Arial" w:hAnsi="Arial" w:cs="Arial"/>
          <w:bCs/>
          <w:sz w:val="24"/>
          <w:szCs w:val="24"/>
        </w:rPr>
        <w:t xml:space="preserve"> (flagged in red text)</w:t>
      </w:r>
      <w:r w:rsidR="004C7DE0">
        <w:rPr>
          <w:rFonts w:ascii="Arial" w:hAnsi="Arial" w:cs="Arial"/>
          <w:bCs/>
          <w:sz w:val="24"/>
          <w:szCs w:val="24"/>
        </w:rPr>
        <w:t xml:space="preserve">, the </w:t>
      </w:r>
      <w:r w:rsidR="0035098D">
        <w:rPr>
          <w:rFonts w:ascii="Arial" w:hAnsi="Arial" w:cs="Arial"/>
          <w:bCs/>
          <w:sz w:val="24"/>
          <w:szCs w:val="24"/>
        </w:rPr>
        <w:t>distributor</w:t>
      </w:r>
      <w:r w:rsidR="004C7DE0">
        <w:rPr>
          <w:rFonts w:ascii="Arial" w:hAnsi="Arial" w:cs="Arial"/>
          <w:bCs/>
          <w:sz w:val="24"/>
          <w:szCs w:val="24"/>
        </w:rPr>
        <w:t xml:space="preserve"> is expected to discuss the reasoning for the change in the RTSR</w:t>
      </w:r>
      <w:r w:rsidR="0035098D">
        <w:rPr>
          <w:rFonts w:ascii="Arial" w:hAnsi="Arial" w:cs="Arial"/>
          <w:bCs/>
          <w:sz w:val="24"/>
          <w:szCs w:val="24"/>
        </w:rPr>
        <w:t>s</w:t>
      </w:r>
      <w:r w:rsidR="004C7DE0">
        <w:rPr>
          <w:rFonts w:ascii="Arial" w:hAnsi="Arial" w:cs="Arial"/>
          <w:bCs/>
          <w:sz w:val="24"/>
          <w:szCs w:val="24"/>
        </w:rPr>
        <w:t>. Please provide explanation for the change</w:t>
      </w:r>
      <w:r w:rsidR="0035098D">
        <w:rPr>
          <w:rFonts w:ascii="Arial" w:hAnsi="Arial" w:cs="Arial"/>
          <w:bCs/>
          <w:sz w:val="24"/>
          <w:szCs w:val="24"/>
        </w:rPr>
        <w:t>s</w:t>
      </w:r>
      <w:r w:rsidR="004C7DE0">
        <w:rPr>
          <w:rFonts w:ascii="Arial" w:hAnsi="Arial" w:cs="Arial"/>
          <w:bCs/>
          <w:sz w:val="24"/>
          <w:szCs w:val="24"/>
        </w:rPr>
        <w:t xml:space="preserve"> in </w:t>
      </w:r>
      <w:r w:rsidR="0035098D">
        <w:rPr>
          <w:rFonts w:ascii="Arial" w:hAnsi="Arial" w:cs="Arial"/>
          <w:bCs/>
          <w:sz w:val="24"/>
          <w:szCs w:val="24"/>
        </w:rPr>
        <w:t xml:space="preserve">RTSRs </w:t>
      </w:r>
      <w:r w:rsidR="004C7DE0">
        <w:rPr>
          <w:rFonts w:ascii="Arial" w:hAnsi="Arial" w:cs="Arial"/>
          <w:bCs/>
          <w:sz w:val="24"/>
          <w:szCs w:val="24"/>
        </w:rPr>
        <w:t>for</w:t>
      </w:r>
      <w:r w:rsidR="004A631A">
        <w:rPr>
          <w:rFonts w:ascii="Arial" w:hAnsi="Arial" w:cs="Arial"/>
          <w:bCs/>
          <w:sz w:val="24"/>
          <w:szCs w:val="24"/>
        </w:rPr>
        <w:t xml:space="preserve"> the</w:t>
      </w:r>
      <w:r w:rsidR="004C7DE0">
        <w:rPr>
          <w:rFonts w:ascii="Arial" w:hAnsi="Arial" w:cs="Arial"/>
          <w:bCs/>
          <w:sz w:val="24"/>
          <w:szCs w:val="24"/>
        </w:rPr>
        <w:t xml:space="preserve"> Kenora rate zone.</w:t>
      </w:r>
    </w:p>
    <w:p w14:paraId="20146A02" w14:textId="168EF835" w:rsidR="00A27C61" w:rsidRDefault="00A27C61" w:rsidP="00A27C61">
      <w:pPr>
        <w:spacing w:after="120"/>
        <w:rPr>
          <w:rFonts w:ascii="Arial" w:hAnsi="Arial" w:cs="Arial"/>
          <w:bCs/>
          <w:sz w:val="24"/>
          <w:szCs w:val="24"/>
        </w:rPr>
      </w:pPr>
    </w:p>
    <w:p w14:paraId="5094FE5C" w14:textId="3CC9A757" w:rsidR="004A631A" w:rsidRDefault="004A631A" w:rsidP="004A631A">
      <w:pPr>
        <w:spacing w:after="120" w:line="240" w:lineRule="auto"/>
        <w:rPr>
          <w:rFonts w:ascii="Arial" w:hAnsi="Arial" w:cs="Arial"/>
          <w:b/>
          <w:sz w:val="24"/>
          <w:szCs w:val="24"/>
        </w:rPr>
      </w:pPr>
      <w:r>
        <w:rPr>
          <w:rFonts w:ascii="Arial" w:hAnsi="Arial" w:cs="Arial"/>
          <w:b/>
          <w:sz w:val="24"/>
          <w:szCs w:val="24"/>
        </w:rPr>
        <w:t>Staff Question-10</w:t>
      </w:r>
    </w:p>
    <w:p w14:paraId="7EEEEB35" w14:textId="49FC1B52" w:rsidR="004A631A" w:rsidRDefault="004A631A" w:rsidP="004A631A">
      <w:pPr>
        <w:spacing w:after="120"/>
        <w:rPr>
          <w:rFonts w:ascii="Arial" w:hAnsi="Arial" w:cs="Arial"/>
          <w:b/>
          <w:sz w:val="24"/>
          <w:szCs w:val="24"/>
        </w:rPr>
      </w:pPr>
      <w:r w:rsidRPr="008B6E10">
        <w:rPr>
          <w:rFonts w:ascii="Arial" w:hAnsi="Arial" w:cs="Arial"/>
          <w:b/>
          <w:sz w:val="24"/>
          <w:szCs w:val="24"/>
        </w:rPr>
        <w:t xml:space="preserve">Ref: </w:t>
      </w:r>
      <w:r>
        <w:rPr>
          <w:rFonts w:ascii="Arial" w:hAnsi="Arial" w:cs="Arial"/>
          <w:b/>
          <w:sz w:val="24"/>
          <w:szCs w:val="24"/>
        </w:rPr>
        <w:t>RTSRs (Thunder Bay); Rate Generator Models, Tab 20 Bill Impacts</w:t>
      </w:r>
    </w:p>
    <w:p w14:paraId="2EC23DA7" w14:textId="77777777" w:rsidR="004A631A" w:rsidRDefault="004A631A" w:rsidP="004A631A">
      <w:pPr>
        <w:spacing w:after="120"/>
        <w:rPr>
          <w:rFonts w:ascii="Arial" w:hAnsi="Arial" w:cs="Arial"/>
          <w:bCs/>
          <w:sz w:val="24"/>
          <w:szCs w:val="24"/>
        </w:rPr>
      </w:pPr>
      <w:r>
        <w:rPr>
          <w:rFonts w:ascii="Arial" w:hAnsi="Arial" w:cs="Arial"/>
          <w:bCs/>
          <w:sz w:val="24"/>
          <w:szCs w:val="24"/>
        </w:rPr>
        <w:t>OEB staff updated the 2021 URT and Hydro One Sub-transmission rates in Tab 11 of the IRM model for the 2021 RTSR adjustment calculations.</w:t>
      </w:r>
    </w:p>
    <w:p w14:paraId="6CC3EAA2" w14:textId="1F07BEE5" w:rsidR="004A631A" w:rsidRDefault="004A631A" w:rsidP="004A631A">
      <w:pPr>
        <w:spacing w:after="120"/>
        <w:rPr>
          <w:rFonts w:ascii="Arial" w:hAnsi="Arial" w:cs="Arial"/>
          <w:bCs/>
          <w:sz w:val="24"/>
          <w:szCs w:val="24"/>
        </w:rPr>
      </w:pPr>
      <w:r>
        <w:rPr>
          <w:rFonts w:ascii="Arial" w:hAnsi="Arial" w:cs="Arial"/>
          <w:bCs/>
          <w:sz w:val="24"/>
          <w:szCs w:val="24"/>
        </w:rPr>
        <w:t>In Tab 20 of Thunder Bay rate zone’s IRM model, the RTSR charges are showing high bill impacts for all classes (greater than 18% for Network charges and greater than 5% for Connection charges). As noted in Tab 20 (flagged in red text), the distributor is expected to discuss the reasoning for the change in the RTSRs. Please provide explanation for the changes in RTSRs for the Thunder Bay rate zone.</w:t>
      </w:r>
    </w:p>
    <w:p w14:paraId="07331550" w14:textId="7AE32767" w:rsidR="00823851" w:rsidRDefault="00823851" w:rsidP="004A631A">
      <w:pPr>
        <w:spacing w:after="120"/>
        <w:rPr>
          <w:rFonts w:ascii="Arial" w:hAnsi="Arial" w:cs="Arial"/>
          <w:bCs/>
          <w:sz w:val="24"/>
          <w:szCs w:val="24"/>
        </w:rPr>
      </w:pPr>
    </w:p>
    <w:p w14:paraId="738834FE" w14:textId="00194D58" w:rsidR="00823851" w:rsidRDefault="00823851" w:rsidP="00823851">
      <w:pPr>
        <w:spacing w:after="120" w:line="240" w:lineRule="auto"/>
        <w:rPr>
          <w:rFonts w:ascii="Arial" w:hAnsi="Arial" w:cs="Arial"/>
          <w:b/>
          <w:sz w:val="24"/>
          <w:szCs w:val="24"/>
        </w:rPr>
      </w:pPr>
      <w:r>
        <w:rPr>
          <w:rFonts w:ascii="Arial" w:hAnsi="Arial" w:cs="Arial"/>
          <w:b/>
          <w:sz w:val="24"/>
          <w:szCs w:val="24"/>
        </w:rPr>
        <w:t>Staff Question-11</w:t>
      </w:r>
    </w:p>
    <w:p w14:paraId="4B65E796" w14:textId="3D27F81D" w:rsidR="00823851" w:rsidRDefault="00823851" w:rsidP="00823851">
      <w:pPr>
        <w:spacing w:after="120"/>
        <w:rPr>
          <w:rFonts w:ascii="Arial" w:hAnsi="Arial" w:cs="Arial"/>
          <w:b/>
          <w:sz w:val="24"/>
          <w:szCs w:val="24"/>
        </w:rPr>
      </w:pPr>
      <w:r w:rsidRPr="008B6E10">
        <w:rPr>
          <w:rFonts w:ascii="Arial" w:hAnsi="Arial" w:cs="Arial"/>
          <w:b/>
          <w:sz w:val="24"/>
          <w:szCs w:val="24"/>
        </w:rPr>
        <w:t xml:space="preserve">Ref: </w:t>
      </w:r>
      <w:r w:rsidR="006957E4">
        <w:rPr>
          <w:rFonts w:ascii="Arial" w:hAnsi="Arial" w:cs="Arial"/>
          <w:b/>
          <w:sz w:val="24"/>
          <w:szCs w:val="24"/>
        </w:rPr>
        <w:t xml:space="preserve">Inflation Factor for 2021 Rates </w:t>
      </w:r>
    </w:p>
    <w:p w14:paraId="4B77975A" w14:textId="77777777" w:rsidR="00823851" w:rsidRDefault="00823851" w:rsidP="00823851">
      <w:pPr>
        <w:spacing w:after="120"/>
        <w:rPr>
          <w:rFonts w:ascii="Arial" w:hAnsi="Arial" w:cs="Arial"/>
          <w:bCs/>
          <w:sz w:val="24"/>
          <w:szCs w:val="24"/>
        </w:rPr>
      </w:pPr>
      <w:r>
        <w:rPr>
          <w:rFonts w:ascii="Arial" w:hAnsi="Arial" w:cs="Arial"/>
          <w:bCs/>
          <w:sz w:val="24"/>
          <w:szCs w:val="24"/>
        </w:rPr>
        <w:t>As noted in an email to Synergy North dated December 11, 2020, t</w:t>
      </w:r>
      <w:r w:rsidRPr="00823851">
        <w:rPr>
          <w:rFonts w:ascii="Arial" w:hAnsi="Arial" w:cs="Arial"/>
          <w:bCs/>
          <w:sz w:val="24"/>
          <w:szCs w:val="24"/>
        </w:rPr>
        <w:t xml:space="preserve">he OEB issued a letter on November 9, 2020 (https://www.oeb.ca/sites/default/files/OEB-ltr-2021-inflation-updates-20201109.pdf) about the utilities’ election on the inflation factor to be used in 2021 rate applications. </w:t>
      </w:r>
      <w:r>
        <w:rPr>
          <w:rFonts w:ascii="Arial" w:hAnsi="Arial" w:cs="Arial"/>
          <w:bCs/>
          <w:sz w:val="24"/>
          <w:szCs w:val="24"/>
        </w:rPr>
        <w:t>T</w:t>
      </w:r>
      <w:r w:rsidRPr="00823851">
        <w:rPr>
          <w:rFonts w:ascii="Arial" w:hAnsi="Arial" w:cs="Arial"/>
          <w:bCs/>
          <w:sz w:val="24"/>
          <w:szCs w:val="24"/>
        </w:rPr>
        <w:t xml:space="preserve">he OEB has calculated the 2021 inflation factor for electricity distributors to be 2.2%. Distributors can elect the calculated IPI per the OEB-approved methodology or a lower value. The May 1 applicants must make their election </w:t>
      </w:r>
      <w:r w:rsidRPr="00823851">
        <w:rPr>
          <w:rFonts w:ascii="Arial" w:hAnsi="Arial" w:cs="Arial"/>
          <w:bCs/>
          <w:sz w:val="24"/>
          <w:szCs w:val="24"/>
          <w:u w:val="single"/>
        </w:rPr>
        <w:t>by Feb 5, 2021</w:t>
      </w:r>
      <w:r w:rsidRPr="00823851">
        <w:rPr>
          <w:rFonts w:ascii="Arial" w:hAnsi="Arial" w:cs="Arial"/>
          <w:bCs/>
          <w:sz w:val="24"/>
          <w:szCs w:val="24"/>
        </w:rPr>
        <w:t xml:space="preserve">. </w:t>
      </w:r>
    </w:p>
    <w:p w14:paraId="776B8989" w14:textId="44B8CCEE" w:rsidR="00823851" w:rsidRDefault="00823851" w:rsidP="00823851">
      <w:pPr>
        <w:spacing w:after="120"/>
        <w:rPr>
          <w:rFonts w:ascii="Arial" w:hAnsi="Arial" w:cs="Arial"/>
          <w:bCs/>
          <w:sz w:val="24"/>
          <w:szCs w:val="24"/>
        </w:rPr>
      </w:pPr>
      <w:r>
        <w:rPr>
          <w:rFonts w:ascii="Arial" w:hAnsi="Arial" w:cs="Arial"/>
          <w:bCs/>
          <w:sz w:val="24"/>
          <w:szCs w:val="24"/>
        </w:rPr>
        <w:t>OEB staff has not received the</w:t>
      </w:r>
      <w:r w:rsidRPr="00823851">
        <w:rPr>
          <w:rFonts w:ascii="Arial" w:hAnsi="Arial" w:cs="Arial"/>
          <w:bCs/>
          <w:sz w:val="24"/>
          <w:szCs w:val="24"/>
        </w:rPr>
        <w:t xml:space="preserve"> election letter </w:t>
      </w:r>
      <w:r>
        <w:rPr>
          <w:rFonts w:ascii="Arial" w:hAnsi="Arial" w:cs="Arial"/>
          <w:bCs/>
          <w:sz w:val="24"/>
          <w:szCs w:val="24"/>
        </w:rPr>
        <w:t xml:space="preserve">from Synergy North </w:t>
      </w:r>
      <w:r w:rsidRPr="00823851">
        <w:rPr>
          <w:rFonts w:ascii="Arial" w:hAnsi="Arial" w:cs="Arial"/>
          <w:bCs/>
          <w:sz w:val="24"/>
          <w:szCs w:val="24"/>
        </w:rPr>
        <w:t>for the two rate zones</w:t>
      </w:r>
      <w:r>
        <w:rPr>
          <w:rFonts w:ascii="Arial" w:hAnsi="Arial" w:cs="Arial"/>
          <w:bCs/>
          <w:sz w:val="24"/>
          <w:szCs w:val="24"/>
        </w:rPr>
        <w:t xml:space="preserve">. </w:t>
      </w:r>
      <w:r w:rsidR="006957E4">
        <w:rPr>
          <w:rFonts w:ascii="Arial" w:hAnsi="Arial" w:cs="Arial"/>
          <w:bCs/>
          <w:sz w:val="24"/>
          <w:szCs w:val="24"/>
        </w:rPr>
        <w:t>Please file the letter with OEB as soon as possible. (The IRM models attached with the staff questions have been updated using the OEB-calculated 2021 inflation factor of 2.2% as of now. This needs to be confirmed or updated based on the distributor’s letter.)</w:t>
      </w:r>
    </w:p>
    <w:p w14:paraId="236BE89D" w14:textId="77777777" w:rsidR="00823851" w:rsidRDefault="00823851" w:rsidP="004A631A">
      <w:pPr>
        <w:spacing w:after="120"/>
        <w:rPr>
          <w:rFonts w:ascii="Arial" w:hAnsi="Arial" w:cs="Arial"/>
          <w:bCs/>
          <w:sz w:val="24"/>
          <w:szCs w:val="24"/>
        </w:rPr>
      </w:pPr>
    </w:p>
    <w:p w14:paraId="05D4D250" w14:textId="77777777" w:rsidR="004A631A" w:rsidRPr="00A27C61" w:rsidRDefault="004A631A" w:rsidP="00A27C61">
      <w:pPr>
        <w:spacing w:after="120"/>
        <w:rPr>
          <w:rFonts w:ascii="Arial" w:hAnsi="Arial" w:cs="Arial"/>
          <w:bCs/>
          <w:sz w:val="24"/>
          <w:szCs w:val="24"/>
        </w:rPr>
      </w:pPr>
    </w:p>
    <w:p w14:paraId="72C3E2AC" w14:textId="77777777" w:rsidR="007965F4" w:rsidRPr="007C0842" w:rsidRDefault="007965F4" w:rsidP="008D40B8">
      <w:pPr>
        <w:pStyle w:val="ListParagraph"/>
        <w:spacing w:after="0" w:line="240" w:lineRule="auto"/>
        <w:rPr>
          <w:rFonts w:ascii="Segoe UI" w:eastAsia="Times New Roman" w:hAnsi="Segoe UI" w:cs="Segoe UI"/>
          <w:sz w:val="21"/>
          <w:szCs w:val="21"/>
          <w:lang w:val="en-US"/>
        </w:rPr>
      </w:pPr>
    </w:p>
    <w:p w14:paraId="3FB35AE0" w14:textId="4D85045E" w:rsidR="00E30C95" w:rsidRPr="009D6C05" w:rsidRDefault="00E30C95" w:rsidP="009D6C05">
      <w:pPr>
        <w:spacing w:after="120" w:line="240" w:lineRule="auto"/>
        <w:rPr>
          <w:rFonts w:ascii="Arial" w:hAnsi="Arial" w:cs="Arial"/>
          <w:bCs/>
          <w:sz w:val="24"/>
          <w:szCs w:val="24"/>
        </w:rPr>
      </w:pPr>
    </w:p>
    <w:sectPr w:rsidR="00E30C95" w:rsidRPr="009D6C05" w:rsidSect="00EA0919">
      <w:headerReference w:type="default" r:id="rId10"/>
      <w:footerReference w:type="default" r:id="rId1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D4CF1" w14:textId="77777777" w:rsidR="008D3431" w:rsidRDefault="008D3431" w:rsidP="008D3431">
      <w:pPr>
        <w:spacing w:after="0" w:line="240" w:lineRule="auto"/>
      </w:pPr>
      <w:r>
        <w:separator/>
      </w:r>
    </w:p>
  </w:endnote>
  <w:endnote w:type="continuationSeparator" w:id="0">
    <w:p w14:paraId="4B3EDF2C" w14:textId="77777777" w:rsidR="008D3431" w:rsidRDefault="008D3431" w:rsidP="008D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220653"/>
      <w:docPartObj>
        <w:docPartGallery w:val="Page Numbers (Bottom of Page)"/>
        <w:docPartUnique/>
      </w:docPartObj>
    </w:sdtPr>
    <w:sdtEndPr>
      <w:rPr>
        <w:noProof/>
      </w:rPr>
    </w:sdtEndPr>
    <w:sdtContent>
      <w:p w14:paraId="1A50FDA3" w14:textId="33B4E69A" w:rsidR="008D3431" w:rsidRDefault="008D34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9E6310" w14:textId="77777777" w:rsidR="008D3431" w:rsidRDefault="008D3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23138" w14:textId="77777777" w:rsidR="008D3431" w:rsidRDefault="008D3431" w:rsidP="008D3431">
      <w:pPr>
        <w:spacing w:after="0" w:line="240" w:lineRule="auto"/>
      </w:pPr>
      <w:r>
        <w:separator/>
      </w:r>
    </w:p>
  </w:footnote>
  <w:footnote w:type="continuationSeparator" w:id="0">
    <w:p w14:paraId="2D7917FB" w14:textId="77777777" w:rsidR="008D3431" w:rsidRDefault="008D3431" w:rsidP="008D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ADC7" w14:textId="15A2F324" w:rsidR="008D3431" w:rsidRDefault="008D3431">
    <w:pPr>
      <w:pStyle w:val="Header"/>
      <w:rPr>
        <w:rFonts w:ascii="Arial" w:hAnsi="Arial" w:cs="Arial"/>
      </w:rPr>
    </w:pPr>
    <w:r>
      <w:ptab w:relativeTo="margin" w:alignment="center" w:leader="none"/>
    </w:r>
    <w:r>
      <w:ptab w:relativeTo="margin" w:alignment="right" w:leader="none"/>
    </w:r>
    <w:r w:rsidR="004075C3">
      <w:rPr>
        <w:rFonts w:ascii="Arial" w:hAnsi="Arial" w:cs="Arial"/>
      </w:rPr>
      <w:t>Synergy North Corporation</w:t>
    </w:r>
  </w:p>
  <w:p w14:paraId="7AA865A5" w14:textId="77777777" w:rsidR="008D3431" w:rsidRDefault="008D3431">
    <w:pPr>
      <w:pStyle w:val="Header"/>
      <w:rPr>
        <w:rFonts w:ascii="Arial" w:hAnsi="Arial" w:cs="Arial"/>
      </w:rPr>
    </w:pPr>
    <w:r>
      <w:rPr>
        <w:rFonts w:ascii="Arial" w:hAnsi="Arial" w:cs="Arial"/>
      </w:rPr>
      <w:tab/>
    </w:r>
    <w:r>
      <w:rPr>
        <w:rFonts w:ascii="Arial" w:hAnsi="Arial" w:cs="Arial"/>
      </w:rPr>
      <w:tab/>
    </w:r>
    <w:r w:rsidRPr="00D57E8C">
      <w:rPr>
        <w:rFonts w:ascii="Arial" w:hAnsi="Arial" w:cs="Arial"/>
      </w:rPr>
      <w:t>OEB Staff Questions</w:t>
    </w:r>
    <w:r>
      <w:rPr>
        <w:rFonts w:ascii="Arial" w:hAnsi="Arial" w:cs="Arial"/>
      </w:rPr>
      <w:t xml:space="preserve"> </w:t>
    </w:r>
  </w:p>
  <w:p w14:paraId="0DE94AD0" w14:textId="7DF7283A" w:rsidR="008D3431" w:rsidRDefault="008D3431">
    <w:pPr>
      <w:pStyle w:val="Header"/>
    </w:pPr>
    <w:r>
      <w:rPr>
        <w:rFonts w:ascii="Arial" w:hAnsi="Arial" w:cs="Arial"/>
      </w:rPr>
      <w:tab/>
    </w:r>
    <w:r>
      <w:rPr>
        <w:rFonts w:ascii="Arial" w:hAnsi="Arial" w:cs="Arial"/>
      </w:rPr>
      <w:tab/>
      <w:t>EB-2020</w:t>
    </w:r>
    <w:r w:rsidRPr="00D57E8C">
      <w:rPr>
        <w:rFonts w:ascii="Arial" w:hAnsi="Arial" w:cs="Arial"/>
      </w:rPr>
      <w:t>-</w:t>
    </w:r>
    <w:r>
      <w:rPr>
        <w:rFonts w:ascii="Arial" w:hAnsi="Arial" w:cs="Arial"/>
      </w:rPr>
      <w:t>00</w:t>
    </w:r>
    <w:r w:rsidR="004075C3">
      <w:rPr>
        <w:rFonts w:ascii="Arial" w:hAnsi="Arial" w:cs="Arial"/>
      </w:rPr>
      <w:t>55</w:t>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5ABA"/>
    <w:multiLevelType w:val="hybridMultilevel"/>
    <w:tmpl w:val="8506B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9A5CC5"/>
    <w:multiLevelType w:val="hybridMultilevel"/>
    <w:tmpl w:val="8506B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16144D6"/>
    <w:multiLevelType w:val="hybridMultilevel"/>
    <w:tmpl w:val="125E22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FE7934"/>
    <w:multiLevelType w:val="hybridMultilevel"/>
    <w:tmpl w:val="408EE7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8"/>
  </w:num>
  <w:num w:numId="3">
    <w:abstractNumId w:val="22"/>
  </w:num>
  <w:num w:numId="4">
    <w:abstractNumId w:val="30"/>
  </w:num>
  <w:num w:numId="5">
    <w:abstractNumId w:val="13"/>
  </w:num>
  <w:num w:numId="6">
    <w:abstractNumId w:val="10"/>
  </w:num>
  <w:num w:numId="7">
    <w:abstractNumId w:val="18"/>
  </w:num>
  <w:num w:numId="8">
    <w:abstractNumId w:val="14"/>
  </w:num>
  <w:num w:numId="9">
    <w:abstractNumId w:val="15"/>
  </w:num>
  <w:num w:numId="10">
    <w:abstractNumId w:val="6"/>
  </w:num>
  <w:num w:numId="11">
    <w:abstractNumId w:val="17"/>
  </w:num>
  <w:num w:numId="12">
    <w:abstractNumId w:val="25"/>
  </w:num>
  <w:num w:numId="13">
    <w:abstractNumId w:val="5"/>
  </w:num>
  <w:num w:numId="14">
    <w:abstractNumId w:val="2"/>
  </w:num>
  <w:num w:numId="15">
    <w:abstractNumId w:val="29"/>
  </w:num>
  <w:num w:numId="16">
    <w:abstractNumId w:val="9"/>
  </w:num>
  <w:num w:numId="17">
    <w:abstractNumId w:val="20"/>
  </w:num>
  <w:num w:numId="18">
    <w:abstractNumId w:val="27"/>
  </w:num>
  <w:num w:numId="19">
    <w:abstractNumId w:val="28"/>
  </w:num>
  <w:num w:numId="20">
    <w:abstractNumId w:val="12"/>
  </w:num>
  <w:num w:numId="21">
    <w:abstractNumId w:val="26"/>
  </w:num>
  <w:num w:numId="22">
    <w:abstractNumId w:val="11"/>
  </w:num>
  <w:num w:numId="23">
    <w:abstractNumId w:val="23"/>
  </w:num>
  <w:num w:numId="24">
    <w:abstractNumId w:val="21"/>
  </w:num>
  <w:num w:numId="25">
    <w:abstractNumId w:val="3"/>
  </w:num>
  <w:num w:numId="26">
    <w:abstractNumId w:val="16"/>
  </w:num>
  <w:num w:numId="27">
    <w:abstractNumId w:val="19"/>
  </w:num>
  <w:num w:numId="28">
    <w:abstractNumId w:val="4"/>
  </w:num>
  <w:num w:numId="29">
    <w:abstractNumId w:val="7"/>
  </w:num>
  <w:num w:numId="30">
    <w:abstractNumId w:val="2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3DB6"/>
    <w:rsid w:val="00035337"/>
    <w:rsid w:val="00036A10"/>
    <w:rsid w:val="00054071"/>
    <w:rsid w:val="0006126D"/>
    <w:rsid w:val="00066D71"/>
    <w:rsid w:val="00067F57"/>
    <w:rsid w:val="00071BEC"/>
    <w:rsid w:val="00074514"/>
    <w:rsid w:val="000805FD"/>
    <w:rsid w:val="000832D4"/>
    <w:rsid w:val="00090160"/>
    <w:rsid w:val="000A129F"/>
    <w:rsid w:val="000B3E7E"/>
    <w:rsid w:val="000C4520"/>
    <w:rsid w:val="000D223C"/>
    <w:rsid w:val="000E4006"/>
    <w:rsid w:val="000F1E3A"/>
    <w:rsid w:val="00107CF6"/>
    <w:rsid w:val="00133BE1"/>
    <w:rsid w:val="00164E99"/>
    <w:rsid w:val="00183CC8"/>
    <w:rsid w:val="00187E9B"/>
    <w:rsid w:val="001927C2"/>
    <w:rsid w:val="001A1CED"/>
    <w:rsid w:val="001A2070"/>
    <w:rsid w:val="001A4DCD"/>
    <w:rsid w:val="001C4DE6"/>
    <w:rsid w:val="001F52E0"/>
    <w:rsid w:val="00203092"/>
    <w:rsid w:val="0021444C"/>
    <w:rsid w:val="002208C0"/>
    <w:rsid w:val="00224C06"/>
    <w:rsid w:val="0025687C"/>
    <w:rsid w:val="00260660"/>
    <w:rsid w:val="00274A48"/>
    <w:rsid w:val="00281760"/>
    <w:rsid w:val="00291CCC"/>
    <w:rsid w:val="002A6415"/>
    <w:rsid w:val="002B6F87"/>
    <w:rsid w:val="002B7B7C"/>
    <w:rsid w:val="002C2BF2"/>
    <w:rsid w:val="002C7EF6"/>
    <w:rsid w:val="002D4924"/>
    <w:rsid w:val="002F4756"/>
    <w:rsid w:val="00302509"/>
    <w:rsid w:val="003049C5"/>
    <w:rsid w:val="003303BF"/>
    <w:rsid w:val="00340C00"/>
    <w:rsid w:val="0035098D"/>
    <w:rsid w:val="0035384A"/>
    <w:rsid w:val="003702D1"/>
    <w:rsid w:val="00373FAD"/>
    <w:rsid w:val="003777B5"/>
    <w:rsid w:val="003832E7"/>
    <w:rsid w:val="003A20A0"/>
    <w:rsid w:val="003A58B0"/>
    <w:rsid w:val="003B6798"/>
    <w:rsid w:val="00400DFC"/>
    <w:rsid w:val="004075C3"/>
    <w:rsid w:val="00412DC6"/>
    <w:rsid w:val="00425009"/>
    <w:rsid w:val="004377B0"/>
    <w:rsid w:val="00472C81"/>
    <w:rsid w:val="00475032"/>
    <w:rsid w:val="00482A31"/>
    <w:rsid w:val="004859EF"/>
    <w:rsid w:val="004A631A"/>
    <w:rsid w:val="004C26F4"/>
    <w:rsid w:val="004C7DE0"/>
    <w:rsid w:val="00511EC2"/>
    <w:rsid w:val="005164F5"/>
    <w:rsid w:val="0052560F"/>
    <w:rsid w:val="00527989"/>
    <w:rsid w:val="0053201C"/>
    <w:rsid w:val="005666F2"/>
    <w:rsid w:val="00572064"/>
    <w:rsid w:val="00584369"/>
    <w:rsid w:val="00587A35"/>
    <w:rsid w:val="00591753"/>
    <w:rsid w:val="005B11A8"/>
    <w:rsid w:val="005F4693"/>
    <w:rsid w:val="00623602"/>
    <w:rsid w:val="00631524"/>
    <w:rsid w:val="0064279A"/>
    <w:rsid w:val="00647BE2"/>
    <w:rsid w:val="00651C98"/>
    <w:rsid w:val="006957E4"/>
    <w:rsid w:val="006A5D23"/>
    <w:rsid w:val="006E3D58"/>
    <w:rsid w:val="00704EE5"/>
    <w:rsid w:val="007066E2"/>
    <w:rsid w:val="00713B80"/>
    <w:rsid w:val="00722640"/>
    <w:rsid w:val="0073197E"/>
    <w:rsid w:val="00746080"/>
    <w:rsid w:val="007510EA"/>
    <w:rsid w:val="00772B57"/>
    <w:rsid w:val="00781D04"/>
    <w:rsid w:val="007965F4"/>
    <w:rsid w:val="007C0842"/>
    <w:rsid w:val="007C2D45"/>
    <w:rsid w:val="007F49EB"/>
    <w:rsid w:val="00805FDA"/>
    <w:rsid w:val="00812C1B"/>
    <w:rsid w:val="008173B1"/>
    <w:rsid w:val="00823851"/>
    <w:rsid w:val="00823C1E"/>
    <w:rsid w:val="00835AD0"/>
    <w:rsid w:val="00836745"/>
    <w:rsid w:val="00841787"/>
    <w:rsid w:val="00850BB1"/>
    <w:rsid w:val="00863D7E"/>
    <w:rsid w:val="008747B3"/>
    <w:rsid w:val="00877A22"/>
    <w:rsid w:val="008813C3"/>
    <w:rsid w:val="008858C9"/>
    <w:rsid w:val="008926F0"/>
    <w:rsid w:val="008964E8"/>
    <w:rsid w:val="008A48F6"/>
    <w:rsid w:val="008B6E10"/>
    <w:rsid w:val="008D21C0"/>
    <w:rsid w:val="008D3431"/>
    <w:rsid w:val="008D40B8"/>
    <w:rsid w:val="008E5D4A"/>
    <w:rsid w:val="008E6045"/>
    <w:rsid w:val="008F4E23"/>
    <w:rsid w:val="0090113B"/>
    <w:rsid w:val="00904B80"/>
    <w:rsid w:val="0093258A"/>
    <w:rsid w:val="0094373C"/>
    <w:rsid w:val="00946DEE"/>
    <w:rsid w:val="00951E2B"/>
    <w:rsid w:val="00952939"/>
    <w:rsid w:val="00961EA0"/>
    <w:rsid w:val="009A5C44"/>
    <w:rsid w:val="009B03AF"/>
    <w:rsid w:val="009C4216"/>
    <w:rsid w:val="009D5F4B"/>
    <w:rsid w:val="009D6C05"/>
    <w:rsid w:val="009E4826"/>
    <w:rsid w:val="009E626E"/>
    <w:rsid w:val="009E7CBF"/>
    <w:rsid w:val="00A07077"/>
    <w:rsid w:val="00A27C61"/>
    <w:rsid w:val="00A50DD0"/>
    <w:rsid w:val="00A516B0"/>
    <w:rsid w:val="00A5620A"/>
    <w:rsid w:val="00A753B6"/>
    <w:rsid w:val="00AA06D9"/>
    <w:rsid w:val="00AA612E"/>
    <w:rsid w:val="00AC2406"/>
    <w:rsid w:val="00AD3FCF"/>
    <w:rsid w:val="00B03802"/>
    <w:rsid w:val="00B069AA"/>
    <w:rsid w:val="00B119B7"/>
    <w:rsid w:val="00B23A36"/>
    <w:rsid w:val="00B25576"/>
    <w:rsid w:val="00B25EF5"/>
    <w:rsid w:val="00B3544A"/>
    <w:rsid w:val="00B50EB2"/>
    <w:rsid w:val="00B6722A"/>
    <w:rsid w:val="00B82D78"/>
    <w:rsid w:val="00BA434C"/>
    <w:rsid w:val="00BD4F65"/>
    <w:rsid w:val="00C0637A"/>
    <w:rsid w:val="00C06F9E"/>
    <w:rsid w:val="00C13E6B"/>
    <w:rsid w:val="00C2370B"/>
    <w:rsid w:val="00C27193"/>
    <w:rsid w:val="00C35AA1"/>
    <w:rsid w:val="00C47A24"/>
    <w:rsid w:val="00C611E9"/>
    <w:rsid w:val="00C624D5"/>
    <w:rsid w:val="00C848A0"/>
    <w:rsid w:val="00C859E5"/>
    <w:rsid w:val="00C878C5"/>
    <w:rsid w:val="00C95C2C"/>
    <w:rsid w:val="00C96AEA"/>
    <w:rsid w:val="00CC0B6D"/>
    <w:rsid w:val="00CD01B4"/>
    <w:rsid w:val="00CE1CD3"/>
    <w:rsid w:val="00CE4F01"/>
    <w:rsid w:val="00D12A4B"/>
    <w:rsid w:val="00D30F16"/>
    <w:rsid w:val="00D55546"/>
    <w:rsid w:val="00D57E8C"/>
    <w:rsid w:val="00D6213C"/>
    <w:rsid w:val="00D647C0"/>
    <w:rsid w:val="00D77694"/>
    <w:rsid w:val="00D77B0F"/>
    <w:rsid w:val="00DB6B52"/>
    <w:rsid w:val="00DC0C8B"/>
    <w:rsid w:val="00DE5488"/>
    <w:rsid w:val="00DE75AC"/>
    <w:rsid w:val="00DF5A52"/>
    <w:rsid w:val="00E17C58"/>
    <w:rsid w:val="00E231C2"/>
    <w:rsid w:val="00E30C95"/>
    <w:rsid w:val="00E429DA"/>
    <w:rsid w:val="00E616AB"/>
    <w:rsid w:val="00E62C2A"/>
    <w:rsid w:val="00E73581"/>
    <w:rsid w:val="00E8586E"/>
    <w:rsid w:val="00E86F26"/>
    <w:rsid w:val="00E96A06"/>
    <w:rsid w:val="00EA0919"/>
    <w:rsid w:val="00EB5240"/>
    <w:rsid w:val="00EC0B55"/>
    <w:rsid w:val="00EC638C"/>
    <w:rsid w:val="00EF157B"/>
    <w:rsid w:val="00F034BF"/>
    <w:rsid w:val="00F0703D"/>
    <w:rsid w:val="00F16A34"/>
    <w:rsid w:val="00F233A3"/>
    <w:rsid w:val="00F23D7A"/>
    <w:rsid w:val="00F26D30"/>
    <w:rsid w:val="00F419B4"/>
    <w:rsid w:val="00F52F32"/>
    <w:rsid w:val="00F57152"/>
    <w:rsid w:val="00F7362C"/>
    <w:rsid w:val="00F92F61"/>
    <w:rsid w:val="00FB5B97"/>
    <w:rsid w:val="00FB6F10"/>
    <w:rsid w:val="00FC4CF8"/>
    <w:rsid w:val="00FC5DA7"/>
    <w:rsid w:val="00FD57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431"/>
  </w:style>
  <w:style w:type="character" w:styleId="Hyperlink">
    <w:name w:val="Hyperlink"/>
    <w:basedOn w:val="DefaultParagraphFont"/>
    <w:uiPriority w:val="99"/>
    <w:unhideWhenUsed/>
    <w:rsid w:val="00631524"/>
    <w:rPr>
      <w:color w:val="0000FF" w:themeColor="hyperlink"/>
      <w:u w:val="single"/>
    </w:rPr>
  </w:style>
  <w:style w:type="character" w:styleId="UnresolvedMention">
    <w:name w:val="Unresolved Mention"/>
    <w:basedOn w:val="DefaultParagraphFont"/>
    <w:uiPriority w:val="99"/>
    <w:semiHidden/>
    <w:unhideWhenUsed/>
    <w:rsid w:val="00631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496577342">
      <w:bodyDiv w:val="1"/>
      <w:marLeft w:val="0"/>
      <w:marRight w:val="0"/>
      <w:marTop w:val="0"/>
      <w:marBottom w:val="0"/>
      <w:divBdr>
        <w:top w:val="none" w:sz="0" w:space="0" w:color="auto"/>
        <w:left w:val="none" w:sz="0" w:space="0" w:color="auto"/>
        <w:bottom w:val="none" w:sz="0" w:space="0" w:color="auto"/>
        <w:right w:val="none" w:sz="0" w:space="0" w:color="auto"/>
      </w:divBdr>
      <w:divsChild>
        <w:div w:id="948126795">
          <w:marLeft w:val="0"/>
          <w:marRight w:val="0"/>
          <w:marTop w:val="0"/>
          <w:marBottom w:val="0"/>
          <w:divBdr>
            <w:top w:val="none" w:sz="0" w:space="0" w:color="auto"/>
            <w:left w:val="none" w:sz="0" w:space="0" w:color="auto"/>
            <w:bottom w:val="none" w:sz="0" w:space="0" w:color="auto"/>
            <w:right w:val="none" w:sz="0" w:space="0" w:color="auto"/>
          </w:divBdr>
        </w:div>
      </w:divsChild>
    </w:div>
    <w:div w:id="508713588">
      <w:bodyDiv w:val="1"/>
      <w:marLeft w:val="0"/>
      <w:marRight w:val="0"/>
      <w:marTop w:val="0"/>
      <w:marBottom w:val="0"/>
      <w:divBdr>
        <w:top w:val="none" w:sz="0" w:space="0" w:color="auto"/>
        <w:left w:val="none" w:sz="0" w:space="0" w:color="auto"/>
        <w:bottom w:val="none" w:sz="0" w:space="0" w:color="auto"/>
        <w:right w:val="none" w:sz="0" w:space="0" w:color="auto"/>
      </w:divBdr>
      <w:divsChild>
        <w:div w:id="1453131780">
          <w:marLeft w:val="0"/>
          <w:marRight w:val="0"/>
          <w:marTop w:val="0"/>
          <w:marBottom w:val="0"/>
          <w:divBdr>
            <w:top w:val="none" w:sz="0" w:space="0" w:color="auto"/>
            <w:left w:val="none" w:sz="0" w:space="0" w:color="auto"/>
            <w:bottom w:val="none" w:sz="0" w:space="0" w:color="auto"/>
            <w:right w:val="none" w:sz="0" w:space="0" w:color="auto"/>
          </w:divBdr>
        </w:div>
      </w:divsChild>
    </w:div>
    <w:div w:id="689378476">
      <w:bodyDiv w:val="1"/>
      <w:marLeft w:val="0"/>
      <w:marRight w:val="0"/>
      <w:marTop w:val="0"/>
      <w:marBottom w:val="0"/>
      <w:divBdr>
        <w:top w:val="none" w:sz="0" w:space="0" w:color="auto"/>
        <w:left w:val="none" w:sz="0" w:space="0" w:color="auto"/>
        <w:bottom w:val="none" w:sz="0" w:space="0" w:color="auto"/>
        <w:right w:val="none" w:sz="0" w:space="0" w:color="auto"/>
      </w:divBdr>
      <w:divsChild>
        <w:div w:id="1899827582">
          <w:marLeft w:val="0"/>
          <w:marRight w:val="0"/>
          <w:marTop w:val="0"/>
          <w:marBottom w:val="0"/>
          <w:divBdr>
            <w:top w:val="none" w:sz="0" w:space="0" w:color="auto"/>
            <w:left w:val="none" w:sz="0" w:space="0" w:color="auto"/>
            <w:bottom w:val="none" w:sz="0" w:space="0" w:color="auto"/>
            <w:right w:val="none" w:sz="0" w:space="0" w:color="auto"/>
          </w:divBdr>
        </w:div>
      </w:divsChild>
    </w:div>
    <w:div w:id="992490344">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64232872">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33582046">
      <w:bodyDiv w:val="1"/>
      <w:marLeft w:val="0"/>
      <w:marRight w:val="0"/>
      <w:marTop w:val="0"/>
      <w:marBottom w:val="0"/>
      <w:divBdr>
        <w:top w:val="none" w:sz="0" w:space="0" w:color="auto"/>
        <w:left w:val="none" w:sz="0" w:space="0" w:color="auto"/>
        <w:bottom w:val="none" w:sz="0" w:space="0" w:color="auto"/>
        <w:right w:val="none" w:sz="0" w:space="0" w:color="auto"/>
      </w:divBdr>
      <w:divsChild>
        <w:div w:id="1016151184">
          <w:marLeft w:val="0"/>
          <w:marRight w:val="0"/>
          <w:marTop w:val="0"/>
          <w:marBottom w:val="0"/>
          <w:divBdr>
            <w:top w:val="none" w:sz="0" w:space="0" w:color="auto"/>
            <w:left w:val="none" w:sz="0" w:space="0" w:color="auto"/>
            <w:bottom w:val="none" w:sz="0" w:space="0" w:color="auto"/>
            <w:right w:val="none" w:sz="0" w:space="0" w:color="auto"/>
          </w:divBdr>
        </w:div>
      </w:divsChild>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b.ca/sites/default/files/GA-Analysis-Workform-Instructions-2020052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eb.ca/sites/default/files/GA-Analysis-Workform-Instructions-202005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CD5FD-2923-4C6F-894B-B0137458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2797</TotalTime>
  <Pages>5</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Katherine Wang</cp:lastModifiedBy>
  <cp:revision>35</cp:revision>
  <cp:lastPrinted>2014-09-29T14:43:00Z</cp:lastPrinted>
  <dcterms:created xsi:type="dcterms:W3CDTF">2020-11-11T16:18:00Z</dcterms:created>
  <dcterms:modified xsi:type="dcterms:W3CDTF">2021-01-19T19:52:00Z</dcterms:modified>
</cp:coreProperties>
</file>