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DF49" w14:textId="0C6A7758" w:rsidR="005E4148" w:rsidRDefault="002320F2" w:rsidP="005E4148">
      <w:pPr>
        <w:pStyle w:val="Default"/>
        <w:jc w:val="center"/>
        <w:rPr>
          <w:rFonts w:ascii="Arial" w:hAnsi="Arial" w:cs="Arial"/>
          <w:sz w:val="28"/>
          <w:szCs w:val="28"/>
        </w:rPr>
      </w:pPr>
      <w:r>
        <w:rPr>
          <w:rFonts w:ascii="Arial" w:hAnsi="Arial" w:cs="Arial"/>
          <w:b/>
          <w:bCs/>
          <w:sz w:val="28"/>
          <w:szCs w:val="28"/>
        </w:rPr>
        <w:t>Hydro 2000 Inc.</w:t>
      </w:r>
    </w:p>
    <w:p w14:paraId="3868AA4B" w14:textId="4747E6DD" w:rsidR="005E4148" w:rsidRDefault="005E4148" w:rsidP="005E4148">
      <w:pPr>
        <w:pStyle w:val="Default"/>
        <w:jc w:val="center"/>
        <w:rPr>
          <w:rFonts w:ascii="Arial" w:hAnsi="Arial" w:cs="Arial"/>
          <w:b/>
          <w:bCs/>
          <w:sz w:val="28"/>
          <w:szCs w:val="28"/>
        </w:rPr>
      </w:pPr>
      <w:r>
        <w:rPr>
          <w:rFonts w:ascii="Arial" w:hAnsi="Arial" w:cs="Arial"/>
          <w:b/>
          <w:bCs/>
          <w:sz w:val="28"/>
          <w:szCs w:val="28"/>
        </w:rPr>
        <w:t>EB-2020-00</w:t>
      </w:r>
      <w:r w:rsidR="00A43F90">
        <w:rPr>
          <w:rFonts w:ascii="Arial" w:hAnsi="Arial" w:cs="Arial"/>
          <w:b/>
          <w:bCs/>
          <w:sz w:val="28"/>
          <w:szCs w:val="28"/>
        </w:rPr>
        <w:t>28</w:t>
      </w:r>
    </w:p>
    <w:p w14:paraId="517967B0" w14:textId="77777777" w:rsidR="00BC13D0" w:rsidRDefault="00BC13D0" w:rsidP="00067CDB">
      <w:pPr>
        <w:autoSpaceDE w:val="0"/>
        <w:autoSpaceDN w:val="0"/>
        <w:adjustRightInd w:val="0"/>
        <w:spacing w:after="0" w:line="240" w:lineRule="auto"/>
        <w:rPr>
          <w:rFonts w:eastAsia="Calibri" w:cs="Arial"/>
          <w:sz w:val="24"/>
          <w:szCs w:val="24"/>
        </w:rPr>
      </w:pPr>
      <w:bookmarkStart w:id="0" w:name="_Hlk55806661"/>
    </w:p>
    <w:p w14:paraId="3D24548D" w14:textId="6F5A3D41" w:rsidR="00067CDB" w:rsidRDefault="00067CDB" w:rsidP="00067CDB">
      <w:pPr>
        <w:autoSpaceDE w:val="0"/>
        <w:autoSpaceDN w:val="0"/>
        <w:adjustRightInd w:val="0"/>
        <w:spacing w:after="0" w:line="240" w:lineRule="auto"/>
        <w:rPr>
          <w:rFonts w:eastAsia="Calibri" w:cs="Arial"/>
          <w:sz w:val="24"/>
          <w:szCs w:val="24"/>
        </w:rPr>
      </w:pPr>
      <w:r>
        <w:rPr>
          <w:rFonts w:eastAsia="Calibri" w:cs="Arial"/>
          <w:sz w:val="24"/>
          <w:szCs w:val="24"/>
        </w:rPr>
        <w:t xml:space="preserve">Please note, </w:t>
      </w:r>
      <w:r w:rsidR="00BC13D0">
        <w:rPr>
          <w:rFonts w:eastAsia="Calibri" w:cs="Arial"/>
          <w:sz w:val="24"/>
          <w:szCs w:val="24"/>
        </w:rPr>
        <w:t>Hydro 2000</w:t>
      </w:r>
      <w:r w:rsidR="00F7745B">
        <w:rPr>
          <w:rFonts w:eastAsia="Calibri" w:cs="Arial"/>
          <w:sz w:val="24"/>
          <w:szCs w:val="24"/>
        </w:rPr>
        <w:t xml:space="preserve"> Inc.</w:t>
      </w:r>
      <w:bookmarkStart w:id="1" w:name="_GoBack"/>
      <w:bookmarkEnd w:id="1"/>
      <w:r>
        <w:rPr>
          <w:rFonts w:eastAsia="Calibri"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Pr>
          <w:rFonts w:eastAsia="Calibri" w:cs="Arial"/>
          <w:i/>
          <w:iCs/>
          <w:sz w:val="24"/>
          <w:szCs w:val="24"/>
        </w:rPr>
        <w:t>Freedom of Information and Protection of Privacy Act</w:t>
      </w:r>
      <w:r>
        <w:rPr>
          <w:rFonts w:eastAsia="Calibri" w:cs="Arial"/>
          <w:sz w:val="24"/>
          <w:szCs w:val="24"/>
        </w:rPr>
        <w:t xml:space="preserve">), unless filed in accordance with rule 9A of the OEB’s </w:t>
      </w:r>
      <w:r>
        <w:rPr>
          <w:rFonts w:eastAsia="Calibri" w:cs="Arial"/>
          <w:i/>
          <w:iCs/>
          <w:sz w:val="24"/>
          <w:szCs w:val="24"/>
        </w:rPr>
        <w:t>Rules of Practice and Procedure</w:t>
      </w:r>
      <w:r>
        <w:rPr>
          <w:rFonts w:eastAsia="Calibri" w:cs="Arial"/>
          <w:sz w:val="24"/>
          <w:szCs w:val="24"/>
        </w:rPr>
        <w:t>.</w:t>
      </w:r>
      <w:bookmarkEnd w:id="0"/>
    </w:p>
    <w:p w14:paraId="1239E4F2" w14:textId="61D8F5CA" w:rsidR="00917236" w:rsidRDefault="00917236" w:rsidP="00067CDB">
      <w:pPr>
        <w:spacing w:before="40" w:after="40" w:line="240" w:lineRule="auto"/>
        <w:contextualSpacing/>
        <w:rPr>
          <w:b/>
          <w:bCs/>
          <w:sz w:val="24"/>
          <w:szCs w:val="24"/>
          <w:u w:val="single"/>
        </w:rPr>
      </w:pPr>
    </w:p>
    <w:p w14:paraId="5B5A20BF" w14:textId="77777777" w:rsidR="005F70CB" w:rsidRDefault="005F70CB" w:rsidP="00067CDB">
      <w:pPr>
        <w:spacing w:before="40" w:after="40" w:line="240" w:lineRule="auto"/>
        <w:contextualSpacing/>
        <w:rPr>
          <w:b/>
          <w:bCs/>
          <w:sz w:val="24"/>
          <w:szCs w:val="24"/>
          <w:u w:val="single"/>
        </w:rPr>
      </w:pPr>
    </w:p>
    <w:p w14:paraId="00C66D2D" w14:textId="564ABDEE" w:rsidR="009C5151" w:rsidRPr="00FB4CF2" w:rsidRDefault="009C5151" w:rsidP="009C5151">
      <w:pPr>
        <w:spacing w:before="40" w:after="40" w:line="240" w:lineRule="auto"/>
        <w:rPr>
          <w:b/>
          <w:bCs/>
          <w:sz w:val="24"/>
          <w:szCs w:val="24"/>
        </w:rPr>
      </w:pPr>
      <w:r w:rsidRPr="00FB4CF2">
        <w:rPr>
          <w:b/>
          <w:bCs/>
          <w:sz w:val="24"/>
          <w:szCs w:val="24"/>
        </w:rPr>
        <w:t>Staff Question-</w:t>
      </w:r>
      <w:r w:rsidR="0071757C">
        <w:rPr>
          <w:b/>
          <w:bCs/>
          <w:sz w:val="24"/>
          <w:szCs w:val="24"/>
        </w:rPr>
        <w:t>1</w:t>
      </w:r>
    </w:p>
    <w:p w14:paraId="57570760" w14:textId="0823B735" w:rsidR="009C5151" w:rsidRPr="00FB4CF2" w:rsidRDefault="009C5151" w:rsidP="009C5151">
      <w:pPr>
        <w:spacing w:before="40" w:after="40" w:line="240" w:lineRule="auto"/>
        <w:rPr>
          <w:b/>
          <w:bCs/>
          <w:sz w:val="24"/>
          <w:szCs w:val="24"/>
        </w:rPr>
      </w:pPr>
      <w:r w:rsidRPr="00FB4CF2">
        <w:rPr>
          <w:b/>
          <w:bCs/>
          <w:sz w:val="24"/>
          <w:szCs w:val="24"/>
        </w:rPr>
        <w:t xml:space="preserve">Ref: Manager’s Summary, p. </w:t>
      </w:r>
      <w:r>
        <w:rPr>
          <w:b/>
          <w:bCs/>
          <w:sz w:val="24"/>
          <w:szCs w:val="24"/>
        </w:rPr>
        <w:t>10</w:t>
      </w:r>
    </w:p>
    <w:p w14:paraId="4EC8B77E" w14:textId="40C2D846" w:rsidR="009C5151" w:rsidRDefault="009C5151" w:rsidP="00DE0E85">
      <w:pPr>
        <w:spacing w:before="40" w:after="40" w:line="240" w:lineRule="auto"/>
        <w:rPr>
          <w:b/>
          <w:bCs/>
          <w:sz w:val="24"/>
          <w:szCs w:val="24"/>
        </w:rPr>
      </w:pPr>
    </w:p>
    <w:p w14:paraId="0DEFD80A" w14:textId="639C3843" w:rsidR="009C5151" w:rsidRPr="009C5151" w:rsidRDefault="009C5151" w:rsidP="00DE0E85">
      <w:pPr>
        <w:spacing w:before="40" w:after="40" w:line="240" w:lineRule="auto"/>
        <w:rPr>
          <w:sz w:val="24"/>
          <w:szCs w:val="24"/>
        </w:rPr>
      </w:pPr>
      <w:r w:rsidRPr="009C5151">
        <w:rPr>
          <w:sz w:val="24"/>
          <w:szCs w:val="24"/>
        </w:rPr>
        <w:t>In the Manager’s Summary</w:t>
      </w:r>
      <w:r>
        <w:rPr>
          <w:sz w:val="24"/>
          <w:szCs w:val="24"/>
        </w:rPr>
        <w:t>, it states that Hydro 2000 confirms its distribution rates are fully fixed. However, in the same page, Hydro 2000 provides the following statement</w:t>
      </w:r>
      <w:r w:rsidR="00CB3CB7">
        <w:rPr>
          <w:sz w:val="24"/>
          <w:szCs w:val="24"/>
        </w:rPr>
        <w:t>:</w:t>
      </w:r>
      <w:r>
        <w:rPr>
          <w:sz w:val="24"/>
          <w:szCs w:val="24"/>
        </w:rPr>
        <w:t xml:space="preserve"> “Hydro 2000 has not yet completed its transition to fully fixed residential rates. Hydro 2000 indicated in its 2020 Cost of Service application that it had two years remaining in its transition period, which would mean that the utility would go to fully fixed rates in this application”</w:t>
      </w:r>
      <w:r w:rsidR="00755F00">
        <w:rPr>
          <w:sz w:val="24"/>
          <w:szCs w:val="24"/>
        </w:rPr>
        <w:t>.</w:t>
      </w:r>
      <w:r>
        <w:rPr>
          <w:sz w:val="24"/>
          <w:szCs w:val="24"/>
        </w:rPr>
        <w:t xml:space="preserve"> Please explain the contradictory statements.</w:t>
      </w:r>
    </w:p>
    <w:p w14:paraId="42D1AC29" w14:textId="3B2FBA29" w:rsidR="009C5151" w:rsidRDefault="009C5151" w:rsidP="00DE0E85">
      <w:pPr>
        <w:spacing w:before="40" w:after="40" w:line="240" w:lineRule="auto"/>
        <w:rPr>
          <w:b/>
          <w:bCs/>
          <w:sz w:val="24"/>
          <w:szCs w:val="24"/>
        </w:rPr>
      </w:pPr>
    </w:p>
    <w:p w14:paraId="31057F5A" w14:textId="3AF36BF9" w:rsidR="009C5151" w:rsidRDefault="009C5151" w:rsidP="00DE0E85">
      <w:pPr>
        <w:spacing w:before="40" w:after="40" w:line="240" w:lineRule="auto"/>
        <w:rPr>
          <w:b/>
          <w:bCs/>
          <w:sz w:val="24"/>
          <w:szCs w:val="24"/>
        </w:rPr>
      </w:pPr>
    </w:p>
    <w:p w14:paraId="4227403B" w14:textId="1FAD3E7A" w:rsidR="009C5151" w:rsidRPr="00FB4CF2" w:rsidRDefault="009C5151" w:rsidP="009C5151">
      <w:pPr>
        <w:spacing w:before="40" w:after="40" w:line="240" w:lineRule="auto"/>
        <w:rPr>
          <w:b/>
          <w:bCs/>
          <w:sz w:val="24"/>
          <w:szCs w:val="24"/>
        </w:rPr>
      </w:pPr>
      <w:r w:rsidRPr="00FB4CF2">
        <w:rPr>
          <w:b/>
          <w:bCs/>
          <w:sz w:val="24"/>
          <w:szCs w:val="24"/>
        </w:rPr>
        <w:t>Staff Question-</w:t>
      </w:r>
      <w:r w:rsidR="0071757C">
        <w:rPr>
          <w:b/>
          <w:bCs/>
          <w:sz w:val="24"/>
          <w:szCs w:val="24"/>
        </w:rPr>
        <w:t>2</w:t>
      </w:r>
    </w:p>
    <w:p w14:paraId="76D7EE92" w14:textId="511D6FC6" w:rsidR="009C5151" w:rsidRPr="00FB4CF2" w:rsidRDefault="009C5151" w:rsidP="009C5151">
      <w:pPr>
        <w:spacing w:before="40" w:after="40" w:line="240" w:lineRule="auto"/>
        <w:rPr>
          <w:b/>
          <w:bCs/>
          <w:sz w:val="24"/>
          <w:szCs w:val="24"/>
        </w:rPr>
      </w:pPr>
      <w:r w:rsidRPr="00FB4CF2">
        <w:rPr>
          <w:b/>
          <w:bCs/>
          <w:sz w:val="24"/>
          <w:szCs w:val="24"/>
        </w:rPr>
        <w:t xml:space="preserve">Ref: Manager’s Summary, p. </w:t>
      </w:r>
      <w:r>
        <w:rPr>
          <w:b/>
          <w:bCs/>
          <w:sz w:val="24"/>
          <w:szCs w:val="24"/>
        </w:rPr>
        <w:t>12</w:t>
      </w:r>
    </w:p>
    <w:p w14:paraId="54E860C2" w14:textId="77777777" w:rsidR="009C5151" w:rsidRDefault="009C5151" w:rsidP="009C5151">
      <w:pPr>
        <w:spacing w:before="40" w:after="40" w:line="240" w:lineRule="auto"/>
        <w:rPr>
          <w:b/>
          <w:bCs/>
          <w:sz w:val="24"/>
          <w:szCs w:val="24"/>
        </w:rPr>
      </w:pPr>
    </w:p>
    <w:p w14:paraId="71D4C6EB" w14:textId="5EE9EBCA" w:rsidR="009C5151" w:rsidRDefault="009C5151" w:rsidP="009C5151">
      <w:pPr>
        <w:spacing w:before="40" w:after="40" w:line="240" w:lineRule="auto"/>
        <w:rPr>
          <w:sz w:val="24"/>
          <w:szCs w:val="24"/>
        </w:rPr>
      </w:pPr>
      <w:r w:rsidRPr="009C5151">
        <w:rPr>
          <w:sz w:val="24"/>
          <w:szCs w:val="24"/>
        </w:rPr>
        <w:t>In the Manager’s Summary</w:t>
      </w:r>
      <w:r>
        <w:rPr>
          <w:sz w:val="24"/>
          <w:szCs w:val="24"/>
        </w:rPr>
        <w:t>, it states “Since the threshold was met, Hydro 2000 is therefore not seeking disposal of its deferral and variance account in this proceeding”</w:t>
      </w:r>
      <w:r w:rsidR="00755F00">
        <w:rPr>
          <w:sz w:val="24"/>
          <w:szCs w:val="24"/>
        </w:rPr>
        <w:t>.</w:t>
      </w:r>
      <w:r>
        <w:rPr>
          <w:sz w:val="24"/>
          <w:szCs w:val="24"/>
        </w:rPr>
        <w:t xml:space="preserve"> OEB staff notes this may be a</w:t>
      </w:r>
      <w:r w:rsidR="00CB3CB7">
        <w:rPr>
          <w:sz w:val="24"/>
          <w:szCs w:val="24"/>
        </w:rPr>
        <w:t>n erroneous statement</w:t>
      </w:r>
      <w:r>
        <w:rPr>
          <w:sz w:val="24"/>
          <w:szCs w:val="24"/>
        </w:rPr>
        <w:t xml:space="preserve"> because the rest of the application indicates otherwise. Please confirm </w:t>
      </w:r>
      <w:r w:rsidR="00CB3CB7">
        <w:rPr>
          <w:sz w:val="24"/>
          <w:szCs w:val="24"/>
        </w:rPr>
        <w:t>that</w:t>
      </w:r>
      <w:r>
        <w:rPr>
          <w:sz w:val="24"/>
          <w:szCs w:val="24"/>
        </w:rPr>
        <w:t xml:space="preserve"> Hydro 2000 is seeking disposal of its deferral and variance account in this proceeding.</w:t>
      </w:r>
    </w:p>
    <w:p w14:paraId="7FF5ECB7" w14:textId="5F53C9F2" w:rsidR="009C5151" w:rsidRDefault="009C5151" w:rsidP="009C5151">
      <w:pPr>
        <w:spacing w:before="40" w:after="40" w:line="240" w:lineRule="auto"/>
        <w:rPr>
          <w:sz w:val="24"/>
          <w:szCs w:val="24"/>
        </w:rPr>
      </w:pPr>
    </w:p>
    <w:p w14:paraId="2C77455F" w14:textId="77777777" w:rsidR="009C5151" w:rsidRDefault="009C5151" w:rsidP="009C5151">
      <w:pPr>
        <w:spacing w:before="40" w:after="40" w:line="240" w:lineRule="auto"/>
        <w:rPr>
          <w:sz w:val="24"/>
          <w:szCs w:val="24"/>
        </w:rPr>
      </w:pPr>
    </w:p>
    <w:p w14:paraId="4E6A3728" w14:textId="175A76B2" w:rsidR="009C5151" w:rsidRPr="00FB4CF2" w:rsidRDefault="009C5151" w:rsidP="009C5151">
      <w:pPr>
        <w:spacing w:before="40" w:after="40" w:line="240" w:lineRule="auto"/>
        <w:rPr>
          <w:b/>
          <w:bCs/>
          <w:sz w:val="24"/>
          <w:szCs w:val="24"/>
        </w:rPr>
      </w:pPr>
      <w:r w:rsidRPr="00FB4CF2">
        <w:rPr>
          <w:b/>
          <w:bCs/>
          <w:sz w:val="24"/>
          <w:szCs w:val="24"/>
        </w:rPr>
        <w:t>Staff Question-</w:t>
      </w:r>
      <w:r w:rsidR="0071757C">
        <w:rPr>
          <w:b/>
          <w:bCs/>
          <w:sz w:val="24"/>
          <w:szCs w:val="24"/>
        </w:rPr>
        <w:t>3</w:t>
      </w:r>
    </w:p>
    <w:p w14:paraId="5BD2DB50" w14:textId="6A196CE5" w:rsidR="009C5151" w:rsidRPr="00FB4CF2" w:rsidRDefault="009C5151" w:rsidP="009C5151">
      <w:pPr>
        <w:spacing w:before="40" w:after="40" w:line="240" w:lineRule="auto"/>
        <w:rPr>
          <w:b/>
          <w:bCs/>
          <w:sz w:val="24"/>
          <w:szCs w:val="24"/>
        </w:rPr>
      </w:pPr>
      <w:r w:rsidRPr="00FB4CF2">
        <w:rPr>
          <w:b/>
          <w:bCs/>
          <w:sz w:val="24"/>
          <w:szCs w:val="24"/>
        </w:rPr>
        <w:t xml:space="preserve">Ref: Manager’s Summary, p. </w:t>
      </w:r>
      <w:r>
        <w:rPr>
          <w:b/>
          <w:bCs/>
          <w:sz w:val="24"/>
          <w:szCs w:val="24"/>
        </w:rPr>
        <w:t>14</w:t>
      </w:r>
    </w:p>
    <w:p w14:paraId="4334677A" w14:textId="77777777" w:rsidR="009C5151" w:rsidRDefault="009C5151" w:rsidP="009C5151">
      <w:pPr>
        <w:spacing w:before="40" w:after="40" w:line="240" w:lineRule="auto"/>
        <w:rPr>
          <w:b/>
          <w:bCs/>
          <w:sz w:val="24"/>
          <w:szCs w:val="24"/>
        </w:rPr>
      </w:pPr>
    </w:p>
    <w:p w14:paraId="4C727DE0" w14:textId="0A2120DC" w:rsidR="009C5151" w:rsidRPr="009C5151" w:rsidRDefault="009C5151" w:rsidP="009C5151">
      <w:pPr>
        <w:spacing w:before="40" w:after="40" w:line="240" w:lineRule="auto"/>
        <w:rPr>
          <w:sz w:val="24"/>
          <w:szCs w:val="24"/>
        </w:rPr>
      </w:pPr>
      <w:r w:rsidRPr="009C5151">
        <w:rPr>
          <w:sz w:val="24"/>
          <w:szCs w:val="24"/>
        </w:rPr>
        <w:t>In the Manager’s Summary</w:t>
      </w:r>
      <w:r>
        <w:rPr>
          <w:sz w:val="24"/>
          <w:szCs w:val="24"/>
        </w:rPr>
        <w:t>, it states “</w:t>
      </w:r>
      <w:r w:rsidR="00755F00">
        <w:rPr>
          <w:sz w:val="24"/>
          <w:szCs w:val="24"/>
        </w:rPr>
        <w:t>GA rate riders calculated on an energy basis (kWh) (not applicable in this case)”. Please explain why it is not applicable.</w:t>
      </w:r>
    </w:p>
    <w:p w14:paraId="278205DA" w14:textId="0AE01A6A" w:rsidR="009C5151" w:rsidRDefault="009C5151" w:rsidP="00DE0E85">
      <w:pPr>
        <w:spacing w:before="40" w:after="40" w:line="240" w:lineRule="auto"/>
        <w:rPr>
          <w:b/>
          <w:bCs/>
          <w:sz w:val="24"/>
          <w:szCs w:val="24"/>
        </w:rPr>
      </w:pPr>
    </w:p>
    <w:p w14:paraId="5261FD7E" w14:textId="2BA71B7A" w:rsidR="009C5151" w:rsidRDefault="009C5151" w:rsidP="00DE0E85">
      <w:pPr>
        <w:spacing w:before="40" w:after="40" w:line="240" w:lineRule="auto"/>
        <w:rPr>
          <w:b/>
          <w:bCs/>
          <w:sz w:val="24"/>
          <w:szCs w:val="24"/>
        </w:rPr>
      </w:pPr>
    </w:p>
    <w:p w14:paraId="44D5D3DD" w14:textId="5A2D9622" w:rsidR="005F70CB" w:rsidRDefault="005F70CB" w:rsidP="00DE0E85">
      <w:pPr>
        <w:spacing w:before="40" w:after="40" w:line="240" w:lineRule="auto"/>
        <w:rPr>
          <w:b/>
          <w:bCs/>
          <w:sz w:val="24"/>
          <w:szCs w:val="24"/>
        </w:rPr>
      </w:pPr>
    </w:p>
    <w:p w14:paraId="21E56FD1" w14:textId="79FF7A1E" w:rsidR="005F70CB" w:rsidRDefault="005F70CB" w:rsidP="00DE0E85">
      <w:pPr>
        <w:spacing w:before="40" w:after="40" w:line="240" w:lineRule="auto"/>
        <w:rPr>
          <w:b/>
          <w:bCs/>
          <w:sz w:val="24"/>
          <w:szCs w:val="24"/>
        </w:rPr>
      </w:pPr>
    </w:p>
    <w:p w14:paraId="58FCBEE4" w14:textId="7334238A" w:rsidR="005F70CB" w:rsidRDefault="005F70CB" w:rsidP="00DE0E85">
      <w:pPr>
        <w:spacing w:before="40" w:after="40" w:line="240" w:lineRule="auto"/>
        <w:rPr>
          <w:b/>
          <w:bCs/>
          <w:sz w:val="24"/>
          <w:szCs w:val="24"/>
        </w:rPr>
      </w:pPr>
    </w:p>
    <w:p w14:paraId="324468DC" w14:textId="77777777" w:rsidR="005F70CB" w:rsidRDefault="005F70CB" w:rsidP="00DE0E85">
      <w:pPr>
        <w:spacing w:before="40" w:after="40" w:line="240" w:lineRule="auto"/>
        <w:rPr>
          <w:b/>
          <w:bCs/>
          <w:sz w:val="24"/>
          <w:szCs w:val="24"/>
        </w:rPr>
      </w:pPr>
    </w:p>
    <w:p w14:paraId="12E89EC2" w14:textId="7D459466" w:rsidR="00DE0E85" w:rsidRPr="00FB4CF2" w:rsidRDefault="00DE0E85" w:rsidP="00DE0E85">
      <w:pPr>
        <w:spacing w:before="40" w:after="40" w:line="240" w:lineRule="auto"/>
        <w:rPr>
          <w:b/>
          <w:bCs/>
          <w:sz w:val="24"/>
          <w:szCs w:val="24"/>
        </w:rPr>
      </w:pPr>
      <w:r w:rsidRPr="00FB4CF2">
        <w:rPr>
          <w:b/>
          <w:bCs/>
          <w:sz w:val="24"/>
          <w:szCs w:val="24"/>
        </w:rPr>
        <w:lastRenderedPageBreak/>
        <w:t>Staff-Question-</w:t>
      </w:r>
      <w:r w:rsidR="0071757C">
        <w:rPr>
          <w:b/>
          <w:bCs/>
          <w:sz w:val="24"/>
          <w:szCs w:val="24"/>
        </w:rPr>
        <w:t>4</w:t>
      </w:r>
    </w:p>
    <w:p w14:paraId="043731DC" w14:textId="2F954F82" w:rsidR="00ED25FB" w:rsidRPr="00FB4CF2" w:rsidRDefault="00ED25FB" w:rsidP="00DE0E85">
      <w:pPr>
        <w:spacing w:before="40" w:after="40" w:line="240" w:lineRule="auto"/>
        <w:rPr>
          <w:b/>
          <w:bCs/>
          <w:sz w:val="24"/>
          <w:szCs w:val="24"/>
        </w:rPr>
      </w:pPr>
      <w:r w:rsidRPr="00FB4CF2">
        <w:rPr>
          <w:b/>
          <w:bCs/>
          <w:sz w:val="24"/>
          <w:szCs w:val="24"/>
        </w:rPr>
        <w:t>Ref: Manager’s Summary, p. 14</w:t>
      </w:r>
    </w:p>
    <w:p w14:paraId="011F27C3" w14:textId="77777777" w:rsidR="00DE0E85" w:rsidRPr="00FB4CF2" w:rsidRDefault="00DE0E85" w:rsidP="00DE0E85">
      <w:pPr>
        <w:spacing w:before="40" w:after="40" w:line="240" w:lineRule="auto"/>
        <w:rPr>
          <w:b/>
          <w:bCs/>
          <w:sz w:val="24"/>
          <w:szCs w:val="24"/>
        </w:rPr>
      </w:pPr>
      <w:r w:rsidRPr="00FB4CF2">
        <w:rPr>
          <w:b/>
          <w:bCs/>
          <w:sz w:val="24"/>
          <w:szCs w:val="24"/>
        </w:rPr>
        <w:t>Ref: DVA Continuity Schedule</w:t>
      </w:r>
    </w:p>
    <w:p w14:paraId="2345088F" w14:textId="77777777" w:rsidR="00DE0E85" w:rsidRPr="00FB4CF2" w:rsidRDefault="00DE0E85" w:rsidP="00DE0E85">
      <w:pPr>
        <w:spacing w:before="40" w:after="40" w:line="240" w:lineRule="auto"/>
        <w:contextualSpacing/>
        <w:rPr>
          <w:sz w:val="24"/>
          <w:szCs w:val="24"/>
        </w:rPr>
      </w:pPr>
    </w:p>
    <w:p w14:paraId="367C3A43" w14:textId="63C628AF" w:rsidR="00ED25FB" w:rsidRPr="00FB4CF2" w:rsidRDefault="00ED25FB" w:rsidP="00ED25FB">
      <w:pPr>
        <w:spacing w:before="40" w:after="40" w:line="240" w:lineRule="auto"/>
        <w:contextualSpacing/>
        <w:rPr>
          <w:sz w:val="24"/>
          <w:szCs w:val="24"/>
        </w:rPr>
      </w:pPr>
      <w:r w:rsidRPr="00FB4CF2">
        <w:rPr>
          <w:sz w:val="24"/>
          <w:szCs w:val="24"/>
        </w:rPr>
        <w:t xml:space="preserve">In the Manager’s Summary, it states that Hydro 2000’s balances up to Dec 31, 2016, were approved on a final basis in its 2020 </w:t>
      </w:r>
      <w:r w:rsidR="0005304D">
        <w:rPr>
          <w:sz w:val="24"/>
          <w:szCs w:val="24"/>
        </w:rPr>
        <w:t>c</w:t>
      </w:r>
      <w:r w:rsidRPr="00FB4CF2">
        <w:rPr>
          <w:sz w:val="24"/>
          <w:szCs w:val="24"/>
        </w:rPr>
        <w:t xml:space="preserve">ost of </w:t>
      </w:r>
      <w:r w:rsidR="0005304D">
        <w:rPr>
          <w:sz w:val="24"/>
          <w:szCs w:val="24"/>
        </w:rPr>
        <w:t>s</w:t>
      </w:r>
      <w:r w:rsidRPr="00FB4CF2">
        <w:rPr>
          <w:sz w:val="24"/>
          <w:szCs w:val="24"/>
        </w:rPr>
        <w:t>ervice application</w:t>
      </w:r>
      <w:r w:rsidR="00494430">
        <w:rPr>
          <w:sz w:val="24"/>
          <w:szCs w:val="24"/>
        </w:rPr>
        <w:t>.</w:t>
      </w:r>
      <w:r w:rsidR="00494430">
        <w:rPr>
          <w:rStyle w:val="FootnoteReference"/>
          <w:sz w:val="24"/>
          <w:szCs w:val="24"/>
        </w:rPr>
        <w:footnoteReference w:id="1"/>
      </w:r>
    </w:p>
    <w:p w14:paraId="198757B1" w14:textId="77777777" w:rsidR="00ED25FB" w:rsidRPr="00FB4CF2" w:rsidRDefault="00ED25FB" w:rsidP="00DE0E85">
      <w:pPr>
        <w:spacing w:before="40" w:after="40" w:line="240" w:lineRule="auto"/>
        <w:contextualSpacing/>
        <w:rPr>
          <w:sz w:val="24"/>
          <w:szCs w:val="24"/>
        </w:rPr>
      </w:pPr>
    </w:p>
    <w:p w14:paraId="2A660994" w14:textId="56D3E1B9" w:rsidR="00DE0E85" w:rsidRPr="00FB4CF2" w:rsidRDefault="00DE0E85" w:rsidP="00DE0E85">
      <w:pPr>
        <w:spacing w:before="40" w:after="40" w:line="240" w:lineRule="auto"/>
        <w:contextualSpacing/>
        <w:rPr>
          <w:sz w:val="24"/>
          <w:szCs w:val="24"/>
        </w:rPr>
      </w:pPr>
      <w:r w:rsidRPr="00FB4CF2">
        <w:rPr>
          <w:sz w:val="24"/>
          <w:szCs w:val="24"/>
        </w:rPr>
        <w:t xml:space="preserve">In Hydro 2000’s settlement proposal that was approved in its 2020 cost of service rate application, it states </w:t>
      </w:r>
    </w:p>
    <w:p w14:paraId="278A3784" w14:textId="77777777" w:rsidR="00DE0E85" w:rsidRPr="00FB4CF2" w:rsidRDefault="00DE0E85" w:rsidP="00DE0E85">
      <w:pPr>
        <w:spacing w:before="40" w:after="40" w:line="240" w:lineRule="auto"/>
        <w:contextualSpacing/>
        <w:rPr>
          <w:sz w:val="24"/>
          <w:szCs w:val="24"/>
        </w:rPr>
      </w:pPr>
    </w:p>
    <w:p w14:paraId="7C807C62" w14:textId="77777777" w:rsidR="00DE0E85" w:rsidRPr="00FB4CF2" w:rsidRDefault="00DE0E85" w:rsidP="00DE0E85">
      <w:pPr>
        <w:spacing w:before="40" w:after="40" w:line="240" w:lineRule="auto"/>
        <w:ind w:left="720"/>
        <w:contextualSpacing/>
        <w:rPr>
          <w:sz w:val="24"/>
          <w:szCs w:val="24"/>
        </w:rPr>
      </w:pPr>
      <w:r w:rsidRPr="00FB4CF2">
        <w:rPr>
          <w:sz w:val="24"/>
          <w:szCs w:val="24"/>
        </w:rPr>
        <w:t xml:space="preserve">With respect to accounts 1588 and 1589, OEB staff had identified </w:t>
      </w:r>
      <w:proofErr w:type="gramStart"/>
      <w:r w:rsidRPr="00FB4CF2">
        <w:rPr>
          <w:sz w:val="24"/>
          <w:szCs w:val="24"/>
        </w:rPr>
        <w:t>a number of</w:t>
      </w:r>
      <w:proofErr w:type="gramEnd"/>
      <w:r w:rsidRPr="00FB4CF2">
        <w:rPr>
          <w:sz w:val="24"/>
          <w:szCs w:val="24"/>
        </w:rPr>
        <w:t xml:space="preserve"> issues during the proceeding with the 2017 and 2018 balances in these two accounts and suggested further review was required before disposing of these balances. As </w:t>
      </w:r>
      <w:proofErr w:type="gramStart"/>
      <w:r w:rsidRPr="00FB4CF2">
        <w:rPr>
          <w:sz w:val="24"/>
          <w:szCs w:val="24"/>
        </w:rPr>
        <w:t>agreed</w:t>
      </w:r>
      <w:proofErr w:type="gramEnd"/>
      <w:r w:rsidRPr="00FB4CF2">
        <w:rPr>
          <w:sz w:val="24"/>
          <w:szCs w:val="24"/>
        </w:rPr>
        <w:t xml:space="preserve"> to by the parties, H2000 will not dispose of balances in this proceeding. Instead H2000 will be permitted to dispose the balance to December 31, 2016 and bring forward a request for approval and clearance of amounts post December 31, 2016 in its 2021 IRM application. </w:t>
      </w:r>
    </w:p>
    <w:p w14:paraId="6830B159" w14:textId="77777777" w:rsidR="00DE0E85" w:rsidRPr="00FB4CF2" w:rsidRDefault="00DE0E85" w:rsidP="00DE0E85">
      <w:pPr>
        <w:spacing w:before="40" w:after="40" w:line="240" w:lineRule="auto"/>
        <w:contextualSpacing/>
        <w:rPr>
          <w:sz w:val="24"/>
          <w:szCs w:val="24"/>
        </w:rPr>
      </w:pPr>
    </w:p>
    <w:p w14:paraId="2F10A196" w14:textId="77777777" w:rsidR="00DE0E85" w:rsidRPr="00FB4CF2" w:rsidRDefault="00DE0E85" w:rsidP="00DE0E85">
      <w:pPr>
        <w:spacing w:before="40" w:after="40" w:line="240" w:lineRule="auto"/>
        <w:contextualSpacing/>
        <w:rPr>
          <w:sz w:val="24"/>
          <w:szCs w:val="24"/>
        </w:rPr>
      </w:pPr>
      <w:r w:rsidRPr="00FB4CF2">
        <w:rPr>
          <w:sz w:val="24"/>
          <w:szCs w:val="24"/>
        </w:rPr>
        <w:t>Table 21 of the settlement proposal and the attached DVA Continuity Schedule show $0 claim amounts for both accounts 1588 and 1589. The associated tariffs also do not appear to reflect the disposition of these two accounts.</w:t>
      </w:r>
    </w:p>
    <w:p w14:paraId="2C13D3CE" w14:textId="77777777" w:rsidR="00DE0E85" w:rsidRPr="00FB4CF2" w:rsidRDefault="00DE0E85" w:rsidP="00DE0E85">
      <w:pPr>
        <w:spacing w:before="40" w:after="40" w:line="240" w:lineRule="auto"/>
        <w:contextualSpacing/>
        <w:rPr>
          <w:sz w:val="24"/>
          <w:szCs w:val="24"/>
        </w:rPr>
      </w:pPr>
    </w:p>
    <w:p w14:paraId="0FB15749" w14:textId="77777777" w:rsidR="00DE0E85" w:rsidRPr="00FB4CF2" w:rsidRDefault="00DE0E85" w:rsidP="00DE0E85">
      <w:pPr>
        <w:pStyle w:val="ListParagraph"/>
        <w:numPr>
          <w:ilvl w:val="0"/>
          <w:numId w:val="4"/>
        </w:numPr>
        <w:spacing w:before="40" w:after="40" w:line="240" w:lineRule="auto"/>
        <w:rPr>
          <w:sz w:val="24"/>
          <w:szCs w:val="24"/>
        </w:rPr>
      </w:pPr>
      <w:r w:rsidRPr="00FB4CF2">
        <w:rPr>
          <w:sz w:val="24"/>
          <w:szCs w:val="24"/>
        </w:rPr>
        <w:t>Please confirm that the 2015 and 2016 Account 1588 and Account 1589 balances were not included for disposition in the 2020 cost of service rate application.</w:t>
      </w:r>
    </w:p>
    <w:p w14:paraId="216E5002" w14:textId="4E1D6452" w:rsidR="00DE0E85" w:rsidRPr="00FB4CF2" w:rsidRDefault="00DE0E85" w:rsidP="00DE0E85">
      <w:pPr>
        <w:pStyle w:val="ListParagraph"/>
        <w:numPr>
          <w:ilvl w:val="0"/>
          <w:numId w:val="4"/>
        </w:numPr>
        <w:spacing w:before="40" w:after="40" w:line="240" w:lineRule="auto"/>
        <w:rPr>
          <w:sz w:val="24"/>
          <w:szCs w:val="24"/>
        </w:rPr>
      </w:pPr>
      <w:r w:rsidRPr="00FB4CF2">
        <w:rPr>
          <w:sz w:val="24"/>
          <w:szCs w:val="24"/>
        </w:rPr>
        <w:t>If confirmed, please update the DVA Continuity Schedule to start from the ending 2014 balances for accounts 1588 and 1589.</w:t>
      </w:r>
      <w:r w:rsidR="002447B6" w:rsidRPr="00FB4CF2">
        <w:rPr>
          <w:sz w:val="24"/>
          <w:szCs w:val="24"/>
        </w:rPr>
        <w:t xml:space="preserve"> Please ensure that the amounts pertaining to 2015 and 2016 agree to the Inspection Report</w:t>
      </w:r>
      <w:r w:rsidR="00414ECF" w:rsidRPr="00FB4CF2">
        <w:rPr>
          <w:sz w:val="24"/>
          <w:szCs w:val="24"/>
        </w:rPr>
        <w:t xml:space="preserve"> filed in Hydro 2000’s 2020 cost of service proceeding for the inspection of Hydro 2000’s 2015 and 2016 account 1588 and 1589 balances</w:t>
      </w:r>
      <w:r w:rsidR="002447B6" w:rsidRPr="00FB4CF2">
        <w:rPr>
          <w:sz w:val="24"/>
          <w:szCs w:val="24"/>
        </w:rPr>
        <w:t xml:space="preserve">. </w:t>
      </w:r>
    </w:p>
    <w:p w14:paraId="589E80EB" w14:textId="62FE9B6E" w:rsidR="009E3A96" w:rsidRPr="00FB4CF2" w:rsidRDefault="009E3A96" w:rsidP="00DE0E85">
      <w:pPr>
        <w:pStyle w:val="ListParagraph"/>
        <w:numPr>
          <w:ilvl w:val="0"/>
          <w:numId w:val="4"/>
        </w:numPr>
        <w:spacing w:before="40" w:after="40" w:line="240" w:lineRule="auto"/>
        <w:rPr>
          <w:sz w:val="24"/>
          <w:szCs w:val="24"/>
        </w:rPr>
      </w:pPr>
      <w:r w:rsidRPr="00FB4CF2">
        <w:rPr>
          <w:sz w:val="24"/>
          <w:szCs w:val="24"/>
        </w:rPr>
        <w:t xml:space="preserve">If </w:t>
      </w:r>
      <w:r w:rsidR="00BD11E6">
        <w:rPr>
          <w:sz w:val="24"/>
          <w:szCs w:val="24"/>
        </w:rPr>
        <w:t xml:space="preserve">part a above is </w:t>
      </w:r>
      <w:r w:rsidRPr="00FB4CF2">
        <w:rPr>
          <w:sz w:val="24"/>
          <w:szCs w:val="24"/>
        </w:rPr>
        <w:t xml:space="preserve">not confirmed, please reconcile the differences </w:t>
      </w:r>
      <w:r w:rsidR="005A3B7F" w:rsidRPr="00FB4CF2">
        <w:rPr>
          <w:sz w:val="24"/>
          <w:szCs w:val="24"/>
        </w:rPr>
        <w:t>in</w:t>
      </w:r>
      <w:r w:rsidRPr="00FB4CF2">
        <w:rPr>
          <w:sz w:val="24"/>
          <w:szCs w:val="24"/>
        </w:rPr>
        <w:t xml:space="preserve"> the account 1588 and 1589 ending 2016 balances</w:t>
      </w:r>
      <w:r w:rsidR="005A3B7F" w:rsidRPr="00FB4CF2">
        <w:rPr>
          <w:sz w:val="24"/>
          <w:szCs w:val="24"/>
        </w:rPr>
        <w:t xml:space="preserve"> between </w:t>
      </w:r>
      <w:r w:rsidRPr="00FB4CF2">
        <w:rPr>
          <w:sz w:val="24"/>
          <w:szCs w:val="24"/>
        </w:rPr>
        <w:t>the</w:t>
      </w:r>
      <w:r w:rsidR="005A3B7F" w:rsidRPr="00FB4CF2">
        <w:rPr>
          <w:sz w:val="24"/>
          <w:szCs w:val="24"/>
        </w:rPr>
        <w:t xml:space="preserve"> </w:t>
      </w:r>
      <w:r w:rsidR="00D06A90" w:rsidRPr="00FB4CF2">
        <w:rPr>
          <w:sz w:val="24"/>
          <w:szCs w:val="24"/>
        </w:rPr>
        <w:t>D</w:t>
      </w:r>
      <w:r w:rsidRPr="00FB4CF2">
        <w:rPr>
          <w:sz w:val="24"/>
          <w:szCs w:val="24"/>
        </w:rPr>
        <w:t>VA C</w:t>
      </w:r>
      <w:r w:rsidR="005A3B7F" w:rsidRPr="00FB4CF2">
        <w:rPr>
          <w:sz w:val="24"/>
          <w:szCs w:val="24"/>
        </w:rPr>
        <w:t>ontinuity Schedule included in Hydro 2000’s 2020 cost of service settlement proposal and th</w:t>
      </w:r>
      <w:r w:rsidR="00D06A90" w:rsidRPr="00FB4CF2">
        <w:rPr>
          <w:sz w:val="24"/>
          <w:szCs w:val="24"/>
        </w:rPr>
        <w:t xml:space="preserve">e DVA Continuity Schedule in this proceeding. </w:t>
      </w:r>
    </w:p>
    <w:p w14:paraId="200010F4" w14:textId="77777777" w:rsidR="00DE0E85" w:rsidRPr="00FB4CF2" w:rsidRDefault="00DE0E85" w:rsidP="00DE0E85">
      <w:pPr>
        <w:spacing w:before="40" w:after="40" w:line="240" w:lineRule="auto"/>
        <w:contextualSpacing/>
        <w:rPr>
          <w:sz w:val="24"/>
          <w:szCs w:val="24"/>
        </w:rPr>
      </w:pPr>
    </w:p>
    <w:p w14:paraId="3D972B45" w14:textId="77777777" w:rsidR="00DE0E85" w:rsidRPr="00FB4CF2" w:rsidRDefault="00DE0E85" w:rsidP="00DE0E85">
      <w:pPr>
        <w:spacing w:before="40" w:after="40" w:line="240" w:lineRule="auto"/>
        <w:contextualSpacing/>
        <w:rPr>
          <w:b/>
          <w:bCs/>
          <w:sz w:val="24"/>
          <w:szCs w:val="24"/>
        </w:rPr>
      </w:pPr>
    </w:p>
    <w:p w14:paraId="7722F058" w14:textId="4A1051A4" w:rsidR="00925CEC" w:rsidRPr="00FB4CF2" w:rsidRDefault="00925CEC" w:rsidP="00925CEC">
      <w:pPr>
        <w:spacing w:before="40" w:after="40" w:line="240" w:lineRule="auto"/>
        <w:rPr>
          <w:b/>
          <w:bCs/>
          <w:sz w:val="24"/>
          <w:szCs w:val="24"/>
        </w:rPr>
      </w:pPr>
      <w:r w:rsidRPr="00FB4CF2">
        <w:rPr>
          <w:b/>
          <w:bCs/>
          <w:sz w:val="24"/>
          <w:szCs w:val="24"/>
        </w:rPr>
        <w:t>Staff Question-</w:t>
      </w:r>
      <w:r w:rsidR="0071757C">
        <w:rPr>
          <w:b/>
          <w:bCs/>
          <w:sz w:val="24"/>
          <w:szCs w:val="24"/>
        </w:rPr>
        <w:t>5</w:t>
      </w:r>
    </w:p>
    <w:p w14:paraId="126B4B7E" w14:textId="77777777" w:rsidR="00925CEC" w:rsidRPr="00FB4CF2" w:rsidRDefault="00925CEC" w:rsidP="00925CEC">
      <w:pPr>
        <w:spacing w:before="40" w:after="40" w:line="240" w:lineRule="auto"/>
        <w:rPr>
          <w:b/>
          <w:bCs/>
          <w:sz w:val="24"/>
          <w:szCs w:val="24"/>
        </w:rPr>
      </w:pPr>
      <w:r w:rsidRPr="00FB4CF2">
        <w:rPr>
          <w:b/>
          <w:bCs/>
          <w:sz w:val="24"/>
          <w:szCs w:val="24"/>
        </w:rPr>
        <w:t>Ref: Manager’s Summary, p. 16</w:t>
      </w:r>
    </w:p>
    <w:p w14:paraId="393BED6D" w14:textId="77777777" w:rsidR="00925CEC" w:rsidRPr="00FB4CF2" w:rsidRDefault="00925CEC" w:rsidP="00925CEC">
      <w:pPr>
        <w:spacing w:before="40" w:after="40" w:line="240" w:lineRule="auto"/>
        <w:rPr>
          <w:sz w:val="24"/>
          <w:szCs w:val="24"/>
        </w:rPr>
      </w:pPr>
    </w:p>
    <w:p w14:paraId="3B7304E1" w14:textId="44E81DB4" w:rsidR="008A6482" w:rsidRPr="00FB4CF2" w:rsidRDefault="00925CEC" w:rsidP="00925CEC">
      <w:pPr>
        <w:spacing w:before="40" w:after="40" w:line="240" w:lineRule="auto"/>
        <w:rPr>
          <w:sz w:val="24"/>
          <w:szCs w:val="24"/>
        </w:rPr>
      </w:pPr>
      <w:r w:rsidRPr="00FB4CF2">
        <w:rPr>
          <w:sz w:val="24"/>
          <w:szCs w:val="24"/>
        </w:rPr>
        <w:t xml:space="preserve">The </w:t>
      </w:r>
      <w:r w:rsidR="00446570" w:rsidRPr="00FB4CF2">
        <w:rPr>
          <w:sz w:val="24"/>
          <w:szCs w:val="24"/>
        </w:rPr>
        <w:t xml:space="preserve">OEB’s </w:t>
      </w:r>
      <w:r w:rsidRPr="00FB4CF2">
        <w:rPr>
          <w:sz w:val="24"/>
          <w:szCs w:val="24"/>
        </w:rPr>
        <w:t xml:space="preserve">February 21, 2019 Accounting Guidance </w:t>
      </w:r>
      <w:r w:rsidR="00D06A90" w:rsidRPr="00FB4CF2">
        <w:rPr>
          <w:sz w:val="24"/>
          <w:szCs w:val="24"/>
        </w:rPr>
        <w:t>for Account 1588 and Account 1589</w:t>
      </w:r>
      <w:r w:rsidR="00D06A90" w:rsidRPr="00FB4CF2">
        <w:rPr>
          <w:rStyle w:val="FootnoteReference"/>
          <w:sz w:val="24"/>
          <w:szCs w:val="24"/>
        </w:rPr>
        <w:footnoteReference w:id="2"/>
      </w:r>
      <w:r w:rsidR="00D06A90" w:rsidRPr="00FB4CF2">
        <w:rPr>
          <w:sz w:val="24"/>
          <w:szCs w:val="24"/>
        </w:rPr>
        <w:t xml:space="preserve"> (Accounting Guidance) </w:t>
      </w:r>
      <w:r w:rsidRPr="00FB4CF2">
        <w:rPr>
          <w:sz w:val="24"/>
          <w:szCs w:val="24"/>
        </w:rPr>
        <w:t xml:space="preserve">was effective January 1, 2019 and to be implemented by </w:t>
      </w:r>
      <w:r w:rsidRPr="00FB4CF2">
        <w:rPr>
          <w:sz w:val="24"/>
          <w:szCs w:val="24"/>
        </w:rPr>
        <w:lastRenderedPageBreak/>
        <w:t>August 1, 2019. It appears that Hydro 2000 was not able to implement the Accounting Guidance in 2019</w:t>
      </w:r>
      <w:r w:rsidR="008A6482" w:rsidRPr="00FB4CF2">
        <w:rPr>
          <w:sz w:val="24"/>
          <w:szCs w:val="24"/>
        </w:rPr>
        <w:t xml:space="preserve">, </w:t>
      </w:r>
      <w:r w:rsidR="0082060D">
        <w:rPr>
          <w:sz w:val="24"/>
          <w:szCs w:val="24"/>
        </w:rPr>
        <w:t>as</w:t>
      </w:r>
      <w:r w:rsidR="006A76F1">
        <w:rPr>
          <w:sz w:val="24"/>
          <w:szCs w:val="24"/>
        </w:rPr>
        <w:t xml:space="preserve"> the </w:t>
      </w:r>
      <w:r w:rsidR="008A6482" w:rsidRPr="00FB4CF2">
        <w:rPr>
          <w:sz w:val="24"/>
          <w:szCs w:val="24"/>
        </w:rPr>
        <w:t>2019 account 1588 and 1589 balances</w:t>
      </w:r>
      <w:r w:rsidR="006A76F1">
        <w:rPr>
          <w:sz w:val="24"/>
          <w:szCs w:val="24"/>
        </w:rPr>
        <w:t xml:space="preserve"> were recalculated </w:t>
      </w:r>
      <w:r w:rsidR="00D00FEF">
        <w:rPr>
          <w:sz w:val="24"/>
          <w:szCs w:val="24"/>
        </w:rPr>
        <w:t>after the year-end RRR 2019 balances were filed</w:t>
      </w:r>
      <w:r w:rsidRPr="00FB4CF2">
        <w:rPr>
          <w:sz w:val="24"/>
          <w:szCs w:val="24"/>
        </w:rPr>
        <w:t xml:space="preserve">. </w:t>
      </w:r>
    </w:p>
    <w:p w14:paraId="76829FB2" w14:textId="77777777" w:rsidR="008A6482" w:rsidRPr="00FB4CF2" w:rsidRDefault="008A6482" w:rsidP="00925CEC">
      <w:pPr>
        <w:spacing w:before="40" w:after="40" w:line="240" w:lineRule="auto"/>
        <w:rPr>
          <w:sz w:val="24"/>
          <w:szCs w:val="24"/>
        </w:rPr>
      </w:pPr>
    </w:p>
    <w:p w14:paraId="4B104178" w14:textId="2F1126FD" w:rsidR="00925CEC" w:rsidRPr="00FB4CF2" w:rsidRDefault="00925CEC" w:rsidP="008A6482">
      <w:pPr>
        <w:pStyle w:val="ListParagraph"/>
        <w:numPr>
          <w:ilvl w:val="0"/>
          <w:numId w:val="8"/>
        </w:numPr>
        <w:spacing w:before="40" w:after="40" w:line="240" w:lineRule="auto"/>
        <w:rPr>
          <w:sz w:val="24"/>
          <w:szCs w:val="24"/>
        </w:rPr>
      </w:pPr>
      <w:r w:rsidRPr="00FB4CF2">
        <w:rPr>
          <w:sz w:val="24"/>
          <w:szCs w:val="24"/>
        </w:rPr>
        <w:t xml:space="preserve">Please explain when Hydro 2000 implemented the Accounting Guidance. </w:t>
      </w:r>
    </w:p>
    <w:p w14:paraId="40117773" w14:textId="3E0BB2D9" w:rsidR="008A6482" w:rsidRDefault="008A6482" w:rsidP="008A6482">
      <w:pPr>
        <w:pStyle w:val="ListParagraph"/>
        <w:numPr>
          <w:ilvl w:val="0"/>
          <w:numId w:val="8"/>
        </w:numPr>
        <w:spacing w:before="40" w:after="40" w:line="240" w:lineRule="auto"/>
        <w:rPr>
          <w:sz w:val="24"/>
          <w:szCs w:val="24"/>
        </w:rPr>
      </w:pPr>
      <w:r w:rsidRPr="00FB4CF2">
        <w:rPr>
          <w:sz w:val="24"/>
          <w:szCs w:val="24"/>
        </w:rPr>
        <w:t xml:space="preserve">Please </w:t>
      </w:r>
      <w:r w:rsidR="0086672E" w:rsidRPr="00FB4CF2">
        <w:rPr>
          <w:sz w:val="24"/>
          <w:szCs w:val="24"/>
        </w:rPr>
        <w:t>provide a narrative of Hydro 2000’s current RPP settlement process with Hydro One</w:t>
      </w:r>
      <w:r w:rsidR="00E8232B" w:rsidRPr="00FB4CF2">
        <w:rPr>
          <w:sz w:val="24"/>
          <w:szCs w:val="24"/>
        </w:rPr>
        <w:t xml:space="preserve"> and confirm that this process was used when </w:t>
      </w:r>
      <w:r w:rsidR="00E37BCB">
        <w:rPr>
          <w:sz w:val="24"/>
          <w:szCs w:val="24"/>
        </w:rPr>
        <w:t>recalculating</w:t>
      </w:r>
      <w:r w:rsidR="00E37BCB" w:rsidRPr="00FB4CF2">
        <w:rPr>
          <w:sz w:val="24"/>
          <w:szCs w:val="24"/>
        </w:rPr>
        <w:t xml:space="preserve"> </w:t>
      </w:r>
      <w:r w:rsidR="00E8232B" w:rsidRPr="00FB4CF2">
        <w:rPr>
          <w:sz w:val="24"/>
          <w:szCs w:val="24"/>
        </w:rPr>
        <w:t xml:space="preserve">the 2017 to 2019 account balances. </w:t>
      </w:r>
    </w:p>
    <w:p w14:paraId="0246AC00" w14:textId="76CE375E" w:rsidR="0016421C" w:rsidRDefault="00270F52" w:rsidP="008A6482">
      <w:pPr>
        <w:pStyle w:val="ListParagraph"/>
        <w:numPr>
          <w:ilvl w:val="0"/>
          <w:numId w:val="8"/>
        </w:numPr>
        <w:spacing w:before="40" w:after="40" w:line="240" w:lineRule="auto"/>
        <w:rPr>
          <w:sz w:val="24"/>
          <w:szCs w:val="24"/>
        </w:rPr>
      </w:pPr>
      <w:r>
        <w:rPr>
          <w:sz w:val="24"/>
          <w:szCs w:val="24"/>
        </w:rPr>
        <w:t xml:space="preserve">An Inspection Report for an inspection of Hydro 2000’s 2015 and 2016 account 1588 and 1589 balances </w:t>
      </w:r>
      <w:proofErr w:type="gramStart"/>
      <w:r w:rsidR="00D352A4">
        <w:rPr>
          <w:sz w:val="24"/>
          <w:szCs w:val="24"/>
        </w:rPr>
        <w:t>was</w:t>
      </w:r>
      <w:proofErr w:type="gramEnd"/>
      <w:r>
        <w:rPr>
          <w:sz w:val="24"/>
          <w:szCs w:val="24"/>
        </w:rPr>
        <w:t xml:space="preserve"> filed in Hydro 2000’s 2020 cost of service </w:t>
      </w:r>
      <w:r w:rsidR="00AD475C">
        <w:rPr>
          <w:sz w:val="24"/>
          <w:szCs w:val="24"/>
        </w:rPr>
        <w:t xml:space="preserve">proceeding. The Inspection Report noted </w:t>
      </w:r>
      <w:proofErr w:type="gramStart"/>
      <w:r w:rsidR="00AD475C">
        <w:rPr>
          <w:sz w:val="24"/>
          <w:szCs w:val="24"/>
        </w:rPr>
        <w:t>a number of</w:t>
      </w:r>
      <w:proofErr w:type="gramEnd"/>
      <w:r w:rsidR="00AD475C">
        <w:rPr>
          <w:sz w:val="24"/>
          <w:szCs w:val="24"/>
        </w:rPr>
        <w:t xml:space="preserve"> findings. Please confirm that Hydro 2000 has addressed and resolved all these finding</w:t>
      </w:r>
      <w:r w:rsidR="007D31B7">
        <w:rPr>
          <w:sz w:val="24"/>
          <w:szCs w:val="24"/>
        </w:rPr>
        <w:t>s</w:t>
      </w:r>
      <w:r w:rsidR="004C1550">
        <w:rPr>
          <w:sz w:val="24"/>
          <w:szCs w:val="24"/>
        </w:rPr>
        <w:t xml:space="preserve"> and have revised its accounting practice </w:t>
      </w:r>
      <w:r w:rsidR="00B92EE4">
        <w:rPr>
          <w:sz w:val="24"/>
          <w:szCs w:val="24"/>
        </w:rPr>
        <w:t xml:space="preserve">applicable to </w:t>
      </w:r>
      <w:r w:rsidR="00CE72EC">
        <w:rPr>
          <w:sz w:val="24"/>
          <w:szCs w:val="24"/>
        </w:rPr>
        <w:t xml:space="preserve">the </w:t>
      </w:r>
      <w:r w:rsidR="00E37BCB">
        <w:rPr>
          <w:sz w:val="24"/>
          <w:szCs w:val="24"/>
        </w:rPr>
        <w:t xml:space="preserve">recalculated </w:t>
      </w:r>
      <w:r w:rsidR="00B92EE4">
        <w:rPr>
          <w:sz w:val="24"/>
          <w:szCs w:val="24"/>
        </w:rPr>
        <w:t>2017 balances onwards.</w:t>
      </w:r>
      <w:r w:rsidR="00550DC8">
        <w:rPr>
          <w:sz w:val="24"/>
          <w:szCs w:val="24"/>
        </w:rPr>
        <w:t xml:space="preserve"> </w:t>
      </w:r>
    </w:p>
    <w:p w14:paraId="6BDA6832" w14:textId="01FCF176" w:rsidR="00F47055" w:rsidRDefault="00550DC8" w:rsidP="005F70CB">
      <w:pPr>
        <w:pStyle w:val="ListParagraph"/>
        <w:numPr>
          <w:ilvl w:val="1"/>
          <w:numId w:val="8"/>
        </w:numPr>
        <w:spacing w:before="40" w:after="40" w:line="240" w:lineRule="auto"/>
        <w:rPr>
          <w:sz w:val="24"/>
          <w:szCs w:val="24"/>
        </w:rPr>
      </w:pPr>
      <w:r>
        <w:rPr>
          <w:sz w:val="24"/>
          <w:szCs w:val="24"/>
        </w:rPr>
        <w:t xml:space="preserve">For each finding, please </w:t>
      </w:r>
      <w:r w:rsidR="00D63340">
        <w:rPr>
          <w:sz w:val="24"/>
          <w:szCs w:val="24"/>
        </w:rPr>
        <w:t xml:space="preserve">explain how Hydro 2000 has addressed the finding applicable to the </w:t>
      </w:r>
      <w:r w:rsidR="00493AEE">
        <w:rPr>
          <w:sz w:val="24"/>
          <w:szCs w:val="24"/>
        </w:rPr>
        <w:t xml:space="preserve">recalculated </w:t>
      </w:r>
      <w:r w:rsidR="00D63340">
        <w:rPr>
          <w:sz w:val="24"/>
          <w:szCs w:val="24"/>
        </w:rPr>
        <w:t xml:space="preserve">2017 balances onward. </w:t>
      </w:r>
    </w:p>
    <w:p w14:paraId="142E9A26" w14:textId="2DD91BFA" w:rsidR="00391993" w:rsidRPr="00FB4CF2" w:rsidRDefault="00391993" w:rsidP="008A6482">
      <w:pPr>
        <w:pStyle w:val="ListParagraph"/>
        <w:numPr>
          <w:ilvl w:val="0"/>
          <w:numId w:val="8"/>
        </w:numPr>
        <w:spacing w:before="40" w:after="40" w:line="240" w:lineRule="auto"/>
        <w:rPr>
          <w:sz w:val="24"/>
          <w:szCs w:val="24"/>
        </w:rPr>
      </w:pPr>
      <w:r>
        <w:rPr>
          <w:sz w:val="24"/>
          <w:szCs w:val="24"/>
        </w:rPr>
        <w:t>Please confirm that Hydro 2000 is requesting final disposition of its 2017 to 2019 account 1588 and 1589 balances.</w:t>
      </w:r>
    </w:p>
    <w:p w14:paraId="7713A4FA" w14:textId="77777777" w:rsidR="00925CEC" w:rsidRPr="00FB4CF2" w:rsidRDefault="00925CEC" w:rsidP="00DE0E85">
      <w:pPr>
        <w:spacing w:before="40" w:after="40" w:line="240" w:lineRule="auto"/>
        <w:rPr>
          <w:b/>
          <w:bCs/>
          <w:sz w:val="24"/>
          <w:szCs w:val="24"/>
        </w:rPr>
      </w:pPr>
    </w:p>
    <w:p w14:paraId="14AD8207" w14:textId="77777777" w:rsidR="00DE0E85" w:rsidRPr="00FB4CF2" w:rsidRDefault="00DE0E85" w:rsidP="00917236">
      <w:pPr>
        <w:spacing w:before="40" w:after="40" w:line="240" w:lineRule="auto"/>
        <w:contextualSpacing/>
        <w:rPr>
          <w:b/>
          <w:bCs/>
          <w:sz w:val="24"/>
          <w:szCs w:val="24"/>
        </w:rPr>
      </w:pPr>
    </w:p>
    <w:p w14:paraId="69184FD8" w14:textId="2882C0E8" w:rsidR="00917236" w:rsidRPr="00FB4CF2" w:rsidRDefault="00917236" w:rsidP="00917236">
      <w:pPr>
        <w:spacing w:before="40" w:after="40" w:line="240" w:lineRule="auto"/>
        <w:contextualSpacing/>
        <w:rPr>
          <w:b/>
          <w:bCs/>
          <w:sz w:val="24"/>
          <w:szCs w:val="24"/>
        </w:rPr>
      </w:pPr>
      <w:r w:rsidRPr="00FB4CF2">
        <w:rPr>
          <w:b/>
          <w:bCs/>
          <w:sz w:val="24"/>
          <w:szCs w:val="24"/>
        </w:rPr>
        <w:t>Staff Question-</w:t>
      </w:r>
      <w:r w:rsidR="0071757C">
        <w:rPr>
          <w:b/>
          <w:bCs/>
          <w:sz w:val="24"/>
          <w:szCs w:val="24"/>
        </w:rPr>
        <w:t>6</w:t>
      </w:r>
    </w:p>
    <w:p w14:paraId="320A1821" w14:textId="2DCFB20E" w:rsidR="00917236" w:rsidRPr="00FB4CF2" w:rsidRDefault="00917236" w:rsidP="00917236">
      <w:pPr>
        <w:spacing w:before="40" w:after="40" w:line="240" w:lineRule="auto"/>
        <w:contextualSpacing/>
        <w:rPr>
          <w:b/>
          <w:bCs/>
          <w:sz w:val="24"/>
          <w:szCs w:val="24"/>
        </w:rPr>
      </w:pPr>
      <w:r w:rsidRPr="00FB4CF2">
        <w:rPr>
          <w:b/>
          <w:bCs/>
          <w:sz w:val="24"/>
          <w:szCs w:val="24"/>
        </w:rPr>
        <w:t>Ref: Manager’s Summary, p. 13</w:t>
      </w:r>
      <w:r w:rsidR="006B31E8" w:rsidRPr="00FB4CF2">
        <w:rPr>
          <w:b/>
          <w:bCs/>
          <w:sz w:val="24"/>
          <w:szCs w:val="24"/>
        </w:rPr>
        <w:t>, 16-17</w:t>
      </w:r>
    </w:p>
    <w:p w14:paraId="02C2094A" w14:textId="68EB076A" w:rsidR="00917236" w:rsidRPr="00FB4CF2" w:rsidRDefault="00917236" w:rsidP="00917236">
      <w:pPr>
        <w:spacing w:before="40" w:after="40" w:line="240" w:lineRule="auto"/>
        <w:contextualSpacing/>
        <w:rPr>
          <w:b/>
          <w:bCs/>
          <w:sz w:val="24"/>
          <w:szCs w:val="24"/>
        </w:rPr>
      </w:pPr>
    </w:p>
    <w:p w14:paraId="00062BDE" w14:textId="69B2F8FF" w:rsidR="006B31E8" w:rsidRPr="00FB4CF2" w:rsidRDefault="00917236" w:rsidP="00917236">
      <w:pPr>
        <w:spacing w:before="40" w:after="40" w:line="240" w:lineRule="auto"/>
        <w:contextualSpacing/>
        <w:rPr>
          <w:sz w:val="24"/>
          <w:szCs w:val="24"/>
        </w:rPr>
      </w:pPr>
      <w:r w:rsidRPr="00FB4CF2">
        <w:rPr>
          <w:sz w:val="24"/>
          <w:szCs w:val="24"/>
        </w:rPr>
        <w:t xml:space="preserve">Table 5 shows the difference in Account 1588 and Account 1589 balances using Hydro 2000’s old method and that from the February 21, 2019 Accounting Guidance. </w:t>
      </w:r>
      <w:r w:rsidR="006B31E8" w:rsidRPr="00FB4CF2">
        <w:rPr>
          <w:sz w:val="24"/>
          <w:szCs w:val="24"/>
        </w:rPr>
        <w:t xml:space="preserve">Account 1588 has been revised by $407,756 and Account 1589 has been revised by $30,338. </w:t>
      </w:r>
    </w:p>
    <w:p w14:paraId="27FC8121" w14:textId="76705418" w:rsidR="00FC37C5" w:rsidRPr="00FB4CF2" w:rsidRDefault="00FC37C5" w:rsidP="00917236">
      <w:pPr>
        <w:spacing w:before="40" w:after="40" w:line="240" w:lineRule="auto"/>
        <w:contextualSpacing/>
        <w:rPr>
          <w:sz w:val="24"/>
          <w:szCs w:val="24"/>
        </w:rPr>
      </w:pPr>
    </w:p>
    <w:p w14:paraId="4E571FFE" w14:textId="2C8505F2" w:rsidR="00FC37C5" w:rsidRDefault="00FC37C5" w:rsidP="00917236">
      <w:pPr>
        <w:spacing w:before="40" w:after="40" w:line="240" w:lineRule="auto"/>
        <w:contextualSpacing/>
        <w:rPr>
          <w:sz w:val="24"/>
          <w:szCs w:val="24"/>
        </w:rPr>
      </w:pPr>
      <w:r w:rsidRPr="00FB4CF2">
        <w:rPr>
          <w:sz w:val="24"/>
          <w:szCs w:val="24"/>
        </w:rPr>
        <w:t>Hydro 2000 notes differences were noted in the amounts claimed from Hydro One</w:t>
      </w:r>
      <w:r w:rsidR="000431EF" w:rsidRPr="00FB4CF2">
        <w:rPr>
          <w:sz w:val="24"/>
          <w:szCs w:val="24"/>
        </w:rPr>
        <w:t xml:space="preserve"> for GA in the RPP settlement. Differences were also noted in revenue and expense</w:t>
      </w:r>
      <w:r w:rsidR="00D37415" w:rsidRPr="00FB4CF2">
        <w:rPr>
          <w:sz w:val="24"/>
          <w:szCs w:val="24"/>
        </w:rPr>
        <w:t xml:space="preserve"> accounts. </w:t>
      </w:r>
    </w:p>
    <w:p w14:paraId="0641D475" w14:textId="77777777" w:rsidR="00A03D2A" w:rsidRPr="00FB4CF2" w:rsidRDefault="00A03D2A" w:rsidP="00917236">
      <w:pPr>
        <w:spacing w:before="40" w:after="40" w:line="240" w:lineRule="auto"/>
        <w:contextualSpacing/>
        <w:rPr>
          <w:sz w:val="24"/>
          <w:szCs w:val="24"/>
        </w:rPr>
      </w:pPr>
    </w:p>
    <w:p w14:paraId="67D6B5A9" w14:textId="45B35633" w:rsidR="00D37415" w:rsidRPr="00FB4CF2" w:rsidRDefault="00D37415" w:rsidP="006B31E8">
      <w:pPr>
        <w:pStyle w:val="ListParagraph"/>
        <w:numPr>
          <w:ilvl w:val="0"/>
          <w:numId w:val="1"/>
        </w:numPr>
        <w:spacing w:before="40" w:after="40" w:line="240" w:lineRule="auto"/>
        <w:rPr>
          <w:sz w:val="24"/>
          <w:szCs w:val="24"/>
        </w:rPr>
      </w:pPr>
      <w:r w:rsidRPr="00FB4CF2">
        <w:rPr>
          <w:sz w:val="24"/>
          <w:szCs w:val="24"/>
        </w:rPr>
        <w:t xml:space="preserve">Regarding the difference in RPP settlement relating to GA, please explain the reason for the difference. </w:t>
      </w:r>
      <w:r w:rsidR="00F828A6" w:rsidRPr="00FB4CF2">
        <w:rPr>
          <w:sz w:val="24"/>
          <w:szCs w:val="24"/>
        </w:rPr>
        <w:t xml:space="preserve">Please </w:t>
      </w:r>
      <w:r w:rsidR="00550E2F" w:rsidRPr="00FB4CF2">
        <w:rPr>
          <w:sz w:val="24"/>
          <w:szCs w:val="24"/>
        </w:rPr>
        <w:t>explain</w:t>
      </w:r>
      <w:r w:rsidR="00F828A6" w:rsidRPr="00FB4CF2">
        <w:rPr>
          <w:sz w:val="24"/>
          <w:szCs w:val="24"/>
        </w:rPr>
        <w:t xml:space="preserve"> whether Hydro 2000 has </w:t>
      </w:r>
      <w:r w:rsidR="001E47C4" w:rsidRPr="00FB4CF2">
        <w:rPr>
          <w:sz w:val="24"/>
          <w:szCs w:val="24"/>
        </w:rPr>
        <w:t>already submitted these RPP settlement adjustments to Hydro One</w:t>
      </w:r>
      <w:r w:rsidR="004F4177" w:rsidRPr="00FB4CF2">
        <w:rPr>
          <w:sz w:val="24"/>
          <w:szCs w:val="24"/>
        </w:rPr>
        <w:t xml:space="preserve"> and whether the submissions have been processed already.</w:t>
      </w:r>
    </w:p>
    <w:p w14:paraId="2F511DA2" w14:textId="2C747039" w:rsidR="006B31E8" w:rsidRPr="00FB4CF2" w:rsidRDefault="00D37415" w:rsidP="006B31E8">
      <w:pPr>
        <w:pStyle w:val="ListParagraph"/>
        <w:numPr>
          <w:ilvl w:val="0"/>
          <w:numId w:val="1"/>
        </w:numPr>
        <w:spacing w:before="40" w:after="40" w:line="240" w:lineRule="auto"/>
        <w:rPr>
          <w:sz w:val="24"/>
          <w:szCs w:val="24"/>
        </w:rPr>
      </w:pPr>
      <w:r w:rsidRPr="00FB4CF2">
        <w:rPr>
          <w:sz w:val="24"/>
          <w:szCs w:val="24"/>
        </w:rPr>
        <w:t xml:space="preserve">Regarding differences in revenue and expense accounts, please explain </w:t>
      </w:r>
      <w:r w:rsidR="00D16F93" w:rsidRPr="00FB4CF2">
        <w:rPr>
          <w:sz w:val="24"/>
          <w:szCs w:val="24"/>
        </w:rPr>
        <w:t xml:space="preserve">the reason for the difference. </w:t>
      </w:r>
    </w:p>
    <w:p w14:paraId="0A021839" w14:textId="6F38FBDF" w:rsidR="00D16F93" w:rsidRPr="00FB4CF2" w:rsidRDefault="00D16F93" w:rsidP="006B31E8">
      <w:pPr>
        <w:pStyle w:val="ListParagraph"/>
        <w:numPr>
          <w:ilvl w:val="0"/>
          <w:numId w:val="1"/>
        </w:numPr>
        <w:spacing w:before="40" w:after="40" w:line="240" w:lineRule="auto"/>
        <w:rPr>
          <w:sz w:val="24"/>
          <w:szCs w:val="24"/>
        </w:rPr>
      </w:pPr>
      <w:r w:rsidRPr="00FB4CF2">
        <w:rPr>
          <w:sz w:val="24"/>
          <w:szCs w:val="24"/>
        </w:rPr>
        <w:t xml:space="preserve">Please explain whether there were any other systemic differences between </w:t>
      </w:r>
      <w:r w:rsidR="00D102AA" w:rsidRPr="00FB4CF2">
        <w:rPr>
          <w:sz w:val="24"/>
          <w:szCs w:val="24"/>
        </w:rPr>
        <w:t xml:space="preserve">Hydro 2000’s old methodology and the methodology in the February 21, 2019 Accounting Guidance. </w:t>
      </w:r>
    </w:p>
    <w:p w14:paraId="7F64B6B5" w14:textId="2924A5E4" w:rsidR="006B31E8" w:rsidRPr="00FB4CF2" w:rsidRDefault="006B31E8" w:rsidP="006B31E8">
      <w:pPr>
        <w:pStyle w:val="ListParagraph"/>
        <w:numPr>
          <w:ilvl w:val="0"/>
          <w:numId w:val="1"/>
        </w:numPr>
        <w:spacing w:before="40" w:after="40" w:line="240" w:lineRule="auto"/>
        <w:rPr>
          <w:sz w:val="24"/>
          <w:szCs w:val="24"/>
        </w:rPr>
      </w:pPr>
      <w:r w:rsidRPr="00FB4CF2">
        <w:rPr>
          <w:sz w:val="24"/>
          <w:szCs w:val="24"/>
        </w:rPr>
        <w:t xml:space="preserve">Please breakdown the revisions for each account by </w:t>
      </w:r>
      <w:r w:rsidR="00575FDB">
        <w:rPr>
          <w:sz w:val="24"/>
          <w:szCs w:val="24"/>
        </w:rPr>
        <w:t xml:space="preserve">year. Please also breakdown the revisions by </w:t>
      </w:r>
      <w:r w:rsidR="00D16F93" w:rsidRPr="00FB4CF2">
        <w:rPr>
          <w:sz w:val="24"/>
          <w:szCs w:val="24"/>
        </w:rPr>
        <w:t xml:space="preserve">type of </w:t>
      </w:r>
      <w:r w:rsidR="00D102AA" w:rsidRPr="00FB4CF2">
        <w:rPr>
          <w:sz w:val="24"/>
          <w:szCs w:val="24"/>
        </w:rPr>
        <w:t>revision</w:t>
      </w:r>
      <w:r w:rsidR="00575FDB">
        <w:rPr>
          <w:sz w:val="24"/>
          <w:szCs w:val="24"/>
        </w:rPr>
        <w:t xml:space="preserve">, if readily available. </w:t>
      </w:r>
    </w:p>
    <w:p w14:paraId="50EFE6DA" w14:textId="5716844E" w:rsidR="006B31E8" w:rsidRPr="00FB4CF2" w:rsidRDefault="006B31E8" w:rsidP="00917236">
      <w:pPr>
        <w:spacing w:before="40" w:after="40" w:line="240" w:lineRule="auto"/>
        <w:contextualSpacing/>
        <w:rPr>
          <w:sz w:val="24"/>
          <w:szCs w:val="24"/>
        </w:rPr>
      </w:pPr>
    </w:p>
    <w:p w14:paraId="5475CC00" w14:textId="77777777" w:rsidR="005F70CB" w:rsidRDefault="005F70CB" w:rsidP="00FE442B">
      <w:pPr>
        <w:spacing w:before="40" w:after="40" w:line="240" w:lineRule="auto"/>
        <w:contextualSpacing/>
        <w:rPr>
          <w:b/>
          <w:bCs/>
          <w:sz w:val="24"/>
          <w:szCs w:val="24"/>
        </w:rPr>
      </w:pPr>
    </w:p>
    <w:p w14:paraId="52D0CEA8" w14:textId="77777777" w:rsidR="005F70CB" w:rsidRDefault="005F70CB" w:rsidP="00FE442B">
      <w:pPr>
        <w:spacing w:before="40" w:after="40" w:line="240" w:lineRule="auto"/>
        <w:contextualSpacing/>
        <w:rPr>
          <w:b/>
          <w:bCs/>
          <w:sz w:val="24"/>
          <w:szCs w:val="24"/>
        </w:rPr>
      </w:pPr>
    </w:p>
    <w:p w14:paraId="7E209AB7" w14:textId="77777777" w:rsidR="005F70CB" w:rsidRDefault="005F70CB" w:rsidP="00FE442B">
      <w:pPr>
        <w:spacing w:before="40" w:after="40" w:line="240" w:lineRule="auto"/>
        <w:contextualSpacing/>
        <w:rPr>
          <w:b/>
          <w:bCs/>
          <w:sz w:val="24"/>
          <w:szCs w:val="24"/>
        </w:rPr>
      </w:pPr>
    </w:p>
    <w:p w14:paraId="3AA21CDD" w14:textId="2F94E4F7" w:rsidR="00FE442B" w:rsidRPr="00FB4CF2" w:rsidRDefault="00FE442B" w:rsidP="00FE442B">
      <w:pPr>
        <w:spacing w:before="40" w:after="40" w:line="240" w:lineRule="auto"/>
        <w:contextualSpacing/>
        <w:rPr>
          <w:b/>
          <w:bCs/>
          <w:sz w:val="24"/>
          <w:szCs w:val="24"/>
        </w:rPr>
      </w:pPr>
      <w:r w:rsidRPr="00FB4CF2">
        <w:rPr>
          <w:b/>
          <w:bCs/>
          <w:sz w:val="24"/>
          <w:szCs w:val="24"/>
        </w:rPr>
        <w:lastRenderedPageBreak/>
        <w:t>Staff Question-</w:t>
      </w:r>
      <w:r w:rsidR="0071757C">
        <w:rPr>
          <w:b/>
          <w:bCs/>
          <w:sz w:val="24"/>
          <w:szCs w:val="24"/>
        </w:rPr>
        <w:t>7</w:t>
      </w:r>
    </w:p>
    <w:p w14:paraId="15DE7DA7" w14:textId="5AB5A37A" w:rsidR="000037B5" w:rsidRPr="00FB4CF2" w:rsidRDefault="00DB13E1" w:rsidP="00917236">
      <w:pPr>
        <w:spacing w:before="40" w:after="40" w:line="240" w:lineRule="auto"/>
        <w:contextualSpacing/>
        <w:rPr>
          <w:b/>
          <w:bCs/>
          <w:sz w:val="24"/>
          <w:szCs w:val="24"/>
        </w:rPr>
      </w:pPr>
      <w:r w:rsidRPr="00FB4CF2">
        <w:rPr>
          <w:b/>
          <w:bCs/>
          <w:sz w:val="24"/>
          <w:szCs w:val="24"/>
        </w:rPr>
        <w:t>Ref: Manager’s Summary, p.14</w:t>
      </w:r>
    </w:p>
    <w:p w14:paraId="0772DCC1" w14:textId="77777777" w:rsidR="00DB13E1" w:rsidRPr="00FB4CF2" w:rsidRDefault="00DB13E1" w:rsidP="00917236">
      <w:pPr>
        <w:spacing w:before="40" w:after="40" w:line="240" w:lineRule="auto"/>
        <w:contextualSpacing/>
        <w:rPr>
          <w:sz w:val="24"/>
          <w:szCs w:val="24"/>
        </w:rPr>
      </w:pPr>
    </w:p>
    <w:p w14:paraId="4552F1F9" w14:textId="65C78144" w:rsidR="000037B5" w:rsidRPr="00FB4CF2" w:rsidRDefault="00FE442B" w:rsidP="00917236">
      <w:pPr>
        <w:spacing w:before="40" w:after="40" w:line="240" w:lineRule="auto"/>
        <w:contextualSpacing/>
        <w:rPr>
          <w:sz w:val="24"/>
          <w:szCs w:val="24"/>
        </w:rPr>
      </w:pPr>
      <w:r w:rsidRPr="00FB4CF2">
        <w:rPr>
          <w:sz w:val="24"/>
          <w:szCs w:val="24"/>
        </w:rPr>
        <w:t>As state</w:t>
      </w:r>
      <w:r w:rsidR="000D1BEC" w:rsidRPr="00FB4CF2">
        <w:rPr>
          <w:sz w:val="24"/>
          <w:szCs w:val="24"/>
        </w:rPr>
        <w:t>d</w:t>
      </w:r>
      <w:r w:rsidR="00DB13E1" w:rsidRPr="00FB4CF2">
        <w:rPr>
          <w:sz w:val="24"/>
          <w:szCs w:val="24"/>
        </w:rPr>
        <w:t xml:space="preserve"> in Hydro 2000’s </w:t>
      </w:r>
      <w:r w:rsidR="008C3927" w:rsidRPr="00FB4CF2">
        <w:rPr>
          <w:sz w:val="24"/>
          <w:szCs w:val="24"/>
        </w:rPr>
        <w:t>approved settlement proposal in its 2020 cost of service rate application “</w:t>
      </w:r>
      <w:r w:rsidR="005D11D4" w:rsidRPr="00FB4CF2">
        <w:rPr>
          <w:sz w:val="24"/>
          <w:szCs w:val="24"/>
        </w:rPr>
        <w:t>With respect to accounts 1588 and 1589, OEB staff had identified a number of issues during the proceeding with the 2017 and 2018 balances in these two accounts and suggested further review was required before disposing of these balances.</w:t>
      </w:r>
      <w:r w:rsidR="00D52956" w:rsidRPr="00FB4CF2">
        <w:rPr>
          <w:sz w:val="24"/>
          <w:szCs w:val="24"/>
        </w:rPr>
        <w:t xml:space="preserve">” Please explain </w:t>
      </w:r>
      <w:r w:rsidR="00066E6C" w:rsidRPr="00FB4CF2">
        <w:rPr>
          <w:sz w:val="24"/>
          <w:szCs w:val="24"/>
        </w:rPr>
        <w:t xml:space="preserve">the issues identified and how Hydro 2000 has addressed each of the issues. </w:t>
      </w:r>
    </w:p>
    <w:p w14:paraId="02273115" w14:textId="3492ADC0" w:rsidR="00066E6C" w:rsidRPr="00FB4CF2" w:rsidRDefault="00066E6C" w:rsidP="00917236">
      <w:pPr>
        <w:spacing w:before="40" w:after="40" w:line="240" w:lineRule="auto"/>
        <w:contextualSpacing/>
        <w:rPr>
          <w:sz w:val="24"/>
          <w:szCs w:val="24"/>
        </w:rPr>
      </w:pPr>
    </w:p>
    <w:p w14:paraId="7A205E4A" w14:textId="0B7243A5" w:rsidR="00066E6C" w:rsidRPr="00FB4CF2" w:rsidRDefault="00066E6C" w:rsidP="00917236">
      <w:pPr>
        <w:spacing w:before="40" w:after="40" w:line="240" w:lineRule="auto"/>
        <w:contextualSpacing/>
        <w:rPr>
          <w:b/>
          <w:bCs/>
          <w:sz w:val="24"/>
          <w:szCs w:val="24"/>
        </w:rPr>
      </w:pPr>
      <w:r w:rsidRPr="00FB4CF2">
        <w:rPr>
          <w:b/>
          <w:bCs/>
          <w:sz w:val="24"/>
          <w:szCs w:val="24"/>
        </w:rPr>
        <w:t>Staff Question-</w:t>
      </w:r>
      <w:r w:rsidR="0071757C">
        <w:rPr>
          <w:b/>
          <w:bCs/>
          <w:sz w:val="24"/>
          <w:szCs w:val="24"/>
        </w:rPr>
        <w:t>8</w:t>
      </w:r>
    </w:p>
    <w:p w14:paraId="1FC96041" w14:textId="3C8AB960" w:rsidR="00066E6C" w:rsidRPr="00FB4CF2" w:rsidRDefault="00066E6C" w:rsidP="00917236">
      <w:pPr>
        <w:spacing w:before="40" w:after="40" w:line="240" w:lineRule="auto"/>
        <w:contextualSpacing/>
        <w:rPr>
          <w:b/>
          <w:bCs/>
          <w:sz w:val="24"/>
          <w:szCs w:val="24"/>
        </w:rPr>
      </w:pPr>
      <w:r w:rsidRPr="00FB4CF2">
        <w:rPr>
          <w:b/>
          <w:bCs/>
          <w:sz w:val="24"/>
          <w:szCs w:val="24"/>
        </w:rPr>
        <w:t xml:space="preserve">Ref: </w:t>
      </w:r>
      <w:r w:rsidR="00145AA1" w:rsidRPr="00FB4CF2">
        <w:rPr>
          <w:b/>
          <w:bCs/>
          <w:sz w:val="24"/>
          <w:szCs w:val="24"/>
        </w:rPr>
        <w:t>Manager’s Summary, p. 14</w:t>
      </w:r>
    </w:p>
    <w:p w14:paraId="30F671B7" w14:textId="79754B26" w:rsidR="00145AA1" w:rsidRPr="00FB4CF2" w:rsidRDefault="00145AA1" w:rsidP="00917236">
      <w:pPr>
        <w:spacing w:before="40" w:after="40" w:line="240" w:lineRule="auto"/>
        <w:contextualSpacing/>
        <w:rPr>
          <w:sz w:val="24"/>
          <w:szCs w:val="24"/>
        </w:rPr>
      </w:pPr>
    </w:p>
    <w:p w14:paraId="6B46AD4C" w14:textId="602F1A91" w:rsidR="001D328D" w:rsidRPr="00FB4CF2" w:rsidRDefault="00145AA1" w:rsidP="00917236">
      <w:pPr>
        <w:spacing w:before="40" w:after="40" w:line="240" w:lineRule="auto"/>
        <w:contextualSpacing/>
        <w:rPr>
          <w:sz w:val="24"/>
          <w:szCs w:val="24"/>
        </w:rPr>
      </w:pPr>
      <w:r w:rsidRPr="00FB4CF2">
        <w:rPr>
          <w:sz w:val="24"/>
          <w:szCs w:val="24"/>
        </w:rPr>
        <w:t>Hydro 2000 filed an Inspection Report o</w:t>
      </w:r>
      <w:r w:rsidR="00FD06B0">
        <w:rPr>
          <w:sz w:val="24"/>
          <w:szCs w:val="24"/>
        </w:rPr>
        <w:t>n</w:t>
      </w:r>
      <w:r w:rsidRPr="00FB4CF2">
        <w:rPr>
          <w:sz w:val="24"/>
          <w:szCs w:val="24"/>
        </w:rPr>
        <w:t xml:space="preserve"> its 2015 and 2016 </w:t>
      </w:r>
      <w:r w:rsidR="00D54C01">
        <w:rPr>
          <w:sz w:val="24"/>
          <w:szCs w:val="24"/>
        </w:rPr>
        <w:t>a</w:t>
      </w:r>
      <w:r w:rsidRPr="00FB4CF2">
        <w:rPr>
          <w:sz w:val="24"/>
          <w:szCs w:val="24"/>
        </w:rPr>
        <w:t xml:space="preserve">ccount 1588 and 1589 balances in its 2020 cost of service rate application. </w:t>
      </w:r>
      <w:r w:rsidR="00E971D9" w:rsidRPr="00FB4CF2">
        <w:rPr>
          <w:sz w:val="24"/>
          <w:szCs w:val="24"/>
        </w:rPr>
        <w:t xml:space="preserve">In the Inspection Report, Hydro 2000 </w:t>
      </w:r>
      <w:r w:rsidR="00E37BCB">
        <w:rPr>
          <w:sz w:val="24"/>
          <w:szCs w:val="24"/>
        </w:rPr>
        <w:t xml:space="preserve">recalculated </w:t>
      </w:r>
      <w:r w:rsidR="00E971D9" w:rsidRPr="00FB4CF2">
        <w:rPr>
          <w:sz w:val="24"/>
          <w:szCs w:val="24"/>
        </w:rPr>
        <w:t>the</w:t>
      </w:r>
      <w:r w:rsidR="000D1BEC" w:rsidRPr="00FB4CF2">
        <w:rPr>
          <w:sz w:val="24"/>
          <w:szCs w:val="24"/>
        </w:rPr>
        <w:t xml:space="preserve"> 2015 and 2016</w:t>
      </w:r>
      <w:r w:rsidR="00E971D9" w:rsidRPr="00FB4CF2">
        <w:rPr>
          <w:sz w:val="24"/>
          <w:szCs w:val="24"/>
        </w:rPr>
        <w:t xml:space="preserve"> </w:t>
      </w:r>
      <w:r w:rsidR="00D54C01">
        <w:rPr>
          <w:sz w:val="24"/>
          <w:szCs w:val="24"/>
        </w:rPr>
        <w:t>a</w:t>
      </w:r>
      <w:r w:rsidR="00E971D9" w:rsidRPr="00FB4CF2">
        <w:rPr>
          <w:sz w:val="24"/>
          <w:szCs w:val="24"/>
        </w:rPr>
        <w:t xml:space="preserve">ccount 1588 and 1589 balances. </w:t>
      </w:r>
    </w:p>
    <w:p w14:paraId="0D4FA4F8" w14:textId="77777777" w:rsidR="001D328D" w:rsidRPr="00FB4CF2" w:rsidRDefault="001D328D" w:rsidP="00917236">
      <w:pPr>
        <w:spacing w:before="40" w:after="40" w:line="240" w:lineRule="auto"/>
        <w:contextualSpacing/>
        <w:rPr>
          <w:sz w:val="24"/>
          <w:szCs w:val="24"/>
        </w:rPr>
      </w:pPr>
    </w:p>
    <w:p w14:paraId="23D0F08F" w14:textId="4A993ED5" w:rsidR="00145AA1" w:rsidRPr="00FB4CF2" w:rsidRDefault="00BB0C80" w:rsidP="001D328D">
      <w:pPr>
        <w:pStyle w:val="ListParagraph"/>
        <w:numPr>
          <w:ilvl w:val="0"/>
          <w:numId w:val="2"/>
        </w:numPr>
        <w:spacing w:before="40" w:after="40" w:line="240" w:lineRule="auto"/>
        <w:rPr>
          <w:sz w:val="24"/>
          <w:szCs w:val="24"/>
        </w:rPr>
      </w:pPr>
      <w:r w:rsidRPr="00FB4CF2">
        <w:rPr>
          <w:sz w:val="24"/>
          <w:szCs w:val="24"/>
        </w:rPr>
        <w:t xml:space="preserve">For the 2017 to 2019 </w:t>
      </w:r>
      <w:r w:rsidR="00D54C01">
        <w:rPr>
          <w:sz w:val="24"/>
          <w:szCs w:val="24"/>
        </w:rPr>
        <w:t>a</w:t>
      </w:r>
      <w:r w:rsidRPr="00FB4CF2">
        <w:rPr>
          <w:sz w:val="24"/>
          <w:szCs w:val="24"/>
        </w:rPr>
        <w:t>ccount 1588 and 1589 balances</w:t>
      </w:r>
      <w:r w:rsidR="001E1554">
        <w:rPr>
          <w:sz w:val="24"/>
          <w:szCs w:val="24"/>
        </w:rPr>
        <w:t xml:space="preserve"> presented in this application</w:t>
      </w:r>
      <w:r w:rsidRPr="00FB4CF2">
        <w:rPr>
          <w:sz w:val="24"/>
          <w:szCs w:val="24"/>
        </w:rPr>
        <w:t>, please explain whether the methodology</w:t>
      </w:r>
      <w:r w:rsidR="00C16A76" w:rsidRPr="00FB4CF2">
        <w:rPr>
          <w:sz w:val="24"/>
          <w:szCs w:val="24"/>
        </w:rPr>
        <w:t xml:space="preserve"> used to </w:t>
      </w:r>
      <w:r w:rsidR="00E37BCB">
        <w:rPr>
          <w:sz w:val="24"/>
          <w:szCs w:val="24"/>
        </w:rPr>
        <w:t>calculate</w:t>
      </w:r>
      <w:r w:rsidR="00E37BCB" w:rsidRPr="00FB4CF2">
        <w:rPr>
          <w:sz w:val="24"/>
          <w:szCs w:val="24"/>
        </w:rPr>
        <w:t xml:space="preserve"> </w:t>
      </w:r>
      <w:r w:rsidR="00C16A76" w:rsidRPr="00FB4CF2">
        <w:rPr>
          <w:sz w:val="24"/>
          <w:szCs w:val="24"/>
        </w:rPr>
        <w:t xml:space="preserve">the </w:t>
      </w:r>
      <w:r w:rsidR="001D328D" w:rsidRPr="00FB4CF2">
        <w:rPr>
          <w:sz w:val="24"/>
          <w:szCs w:val="24"/>
        </w:rPr>
        <w:t xml:space="preserve">2015 and 2016 </w:t>
      </w:r>
      <w:r w:rsidR="00C16A76" w:rsidRPr="00FB4CF2">
        <w:rPr>
          <w:sz w:val="24"/>
          <w:szCs w:val="24"/>
        </w:rPr>
        <w:t>balances in the Inspection Report was</w:t>
      </w:r>
      <w:r w:rsidRPr="00FB4CF2">
        <w:rPr>
          <w:sz w:val="24"/>
          <w:szCs w:val="24"/>
        </w:rPr>
        <w:t xml:space="preserve"> used </w:t>
      </w:r>
      <w:r w:rsidR="00C16A76" w:rsidRPr="00FB4CF2">
        <w:rPr>
          <w:sz w:val="24"/>
          <w:szCs w:val="24"/>
        </w:rPr>
        <w:t xml:space="preserve">to </w:t>
      </w:r>
      <w:r w:rsidR="00E37BCB">
        <w:rPr>
          <w:sz w:val="24"/>
          <w:szCs w:val="24"/>
        </w:rPr>
        <w:t>calculate</w:t>
      </w:r>
      <w:r w:rsidR="00E37BCB" w:rsidRPr="00FB4CF2">
        <w:rPr>
          <w:sz w:val="24"/>
          <w:szCs w:val="24"/>
        </w:rPr>
        <w:t xml:space="preserve"> </w:t>
      </w:r>
      <w:r w:rsidR="00C16A76" w:rsidRPr="00FB4CF2">
        <w:rPr>
          <w:sz w:val="24"/>
          <w:szCs w:val="24"/>
        </w:rPr>
        <w:t>the 2017 to 2019 balances.</w:t>
      </w:r>
    </w:p>
    <w:p w14:paraId="77EAEBFA" w14:textId="48EDA215" w:rsidR="001D328D" w:rsidRPr="00FB4CF2" w:rsidRDefault="001D328D" w:rsidP="006C12B8">
      <w:pPr>
        <w:pStyle w:val="ListParagraph"/>
        <w:numPr>
          <w:ilvl w:val="1"/>
          <w:numId w:val="2"/>
        </w:numPr>
        <w:spacing w:before="40" w:after="40" w:line="240" w:lineRule="auto"/>
        <w:rPr>
          <w:sz w:val="24"/>
          <w:szCs w:val="24"/>
        </w:rPr>
      </w:pPr>
      <w:r w:rsidRPr="00FB4CF2">
        <w:rPr>
          <w:sz w:val="24"/>
          <w:szCs w:val="24"/>
        </w:rPr>
        <w:t>If not, please explain why not.</w:t>
      </w:r>
    </w:p>
    <w:p w14:paraId="5F6FE920" w14:textId="73FCCE77" w:rsidR="006C12B8" w:rsidRPr="00FB4CF2" w:rsidRDefault="007375AD" w:rsidP="006C12B8">
      <w:pPr>
        <w:pStyle w:val="ListParagraph"/>
        <w:numPr>
          <w:ilvl w:val="1"/>
          <w:numId w:val="2"/>
        </w:numPr>
        <w:spacing w:before="40" w:after="40" w:line="240" w:lineRule="auto"/>
        <w:rPr>
          <w:sz w:val="24"/>
          <w:szCs w:val="24"/>
        </w:rPr>
      </w:pPr>
      <w:r w:rsidRPr="00FB4CF2">
        <w:rPr>
          <w:sz w:val="24"/>
          <w:szCs w:val="24"/>
        </w:rPr>
        <w:t>If the methodologies are different, p</w:t>
      </w:r>
      <w:r w:rsidR="006C12B8" w:rsidRPr="00FB4CF2">
        <w:rPr>
          <w:sz w:val="24"/>
          <w:szCs w:val="24"/>
        </w:rPr>
        <w:t>lease explain the differences between the methodology used</w:t>
      </w:r>
      <w:r w:rsidR="0071279C" w:rsidRPr="00FB4CF2">
        <w:rPr>
          <w:sz w:val="24"/>
          <w:szCs w:val="24"/>
        </w:rPr>
        <w:t xml:space="preserve"> for the 2015 and 2016 </w:t>
      </w:r>
      <w:r w:rsidR="00AF061A" w:rsidRPr="00FB4CF2">
        <w:rPr>
          <w:sz w:val="24"/>
          <w:szCs w:val="24"/>
        </w:rPr>
        <w:t xml:space="preserve">balances </w:t>
      </w:r>
      <w:r w:rsidR="0071279C" w:rsidRPr="00FB4CF2">
        <w:rPr>
          <w:sz w:val="24"/>
          <w:szCs w:val="24"/>
        </w:rPr>
        <w:t>in the Inspection Report and that used for the 2017 to 2019 balances</w:t>
      </w:r>
      <w:r w:rsidRPr="00FB4CF2">
        <w:rPr>
          <w:sz w:val="24"/>
          <w:szCs w:val="24"/>
        </w:rPr>
        <w:t xml:space="preserve"> as shown in this proceeding</w:t>
      </w:r>
      <w:r w:rsidR="0071279C" w:rsidRPr="00FB4CF2">
        <w:rPr>
          <w:sz w:val="24"/>
          <w:szCs w:val="24"/>
        </w:rPr>
        <w:t xml:space="preserve">. </w:t>
      </w:r>
    </w:p>
    <w:p w14:paraId="0784516B" w14:textId="14A7AE53" w:rsidR="001D4C93" w:rsidRPr="00FB4CF2" w:rsidRDefault="001D4C93" w:rsidP="001D328D">
      <w:pPr>
        <w:pStyle w:val="ListParagraph"/>
        <w:numPr>
          <w:ilvl w:val="0"/>
          <w:numId w:val="2"/>
        </w:numPr>
        <w:spacing w:before="40" w:after="40" w:line="240" w:lineRule="auto"/>
        <w:rPr>
          <w:sz w:val="24"/>
          <w:szCs w:val="24"/>
        </w:rPr>
      </w:pPr>
      <w:r w:rsidRPr="00FB4CF2">
        <w:rPr>
          <w:sz w:val="24"/>
          <w:szCs w:val="24"/>
        </w:rPr>
        <w:t xml:space="preserve">Please explain whether the 2017 to 2019 balances that were brought forth for disposition in Hydro 2000’s </w:t>
      </w:r>
      <w:r w:rsidR="006C12B8" w:rsidRPr="00FB4CF2">
        <w:rPr>
          <w:sz w:val="24"/>
          <w:szCs w:val="24"/>
        </w:rPr>
        <w:t>2020 cost of service rate application</w:t>
      </w:r>
      <w:r w:rsidR="000E61C7">
        <w:rPr>
          <w:sz w:val="24"/>
          <w:szCs w:val="24"/>
        </w:rPr>
        <w:t xml:space="preserve"> used Hydro 2000’s old methodology</w:t>
      </w:r>
      <w:r w:rsidR="006C12B8" w:rsidRPr="00FB4CF2">
        <w:rPr>
          <w:sz w:val="24"/>
          <w:szCs w:val="24"/>
        </w:rPr>
        <w:t>.</w:t>
      </w:r>
    </w:p>
    <w:p w14:paraId="2D55FA63" w14:textId="740C3F14" w:rsidR="00076FDB" w:rsidRDefault="006C12B8" w:rsidP="006C12B8">
      <w:pPr>
        <w:pStyle w:val="ListParagraph"/>
        <w:numPr>
          <w:ilvl w:val="1"/>
          <w:numId w:val="2"/>
        </w:numPr>
        <w:spacing w:before="40" w:after="40" w:line="240" w:lineRule="auto"/>
        <w:rPr>
          <w:sz w:val="24"/>
          <w:szCs w:val="24"/>
        </w:rPr>
      </w:pPr>
      <w:r w:rsidRPr="00FB4CF2">
        <w:rPr>
          <w:sz w:val="24"/>
          <w:szCs w:val="24"/>
        </w:rPr>
        <w:t xml:space="preserve">If </w:t>
      </w:r>
      <w:r w:rsidR="00076FDB">
        <w:rPr>
          <w:sz w:val="24"/>
          <w:szCs w:val="24"/>
        </w:rPr>
        <w:t>not</w:t>
      </w:r>
      <w:r w:rsidRPr="00FB4CF2">
        <w:rPr>
          <w:sz w:val="24"/>
          <w:szCs w:val="24"/>
        </w:rPr>
        <w:t>, please explain</w:t>
      </w:r>
      <w:r w:rsidR="00076FDB">
        <w:rPr>
          <w:sz w:val="24"/>
          <w:szCs w:val="24"/>
        </w:rPr>
        <w:t xml:space="preserve"> how the methodology used for the 2017 to 2019 balances brought forth in Hydro 2000’s 2020 cost of service rate application differs from the </w:t>
      </w:r>
      <w:r w:rsidR="00790A0F">
        <w:rPr>
          <w:sz w:val="24"/>
          <w:szCs w:val="24"/>
        </w:rPr>
        <w:t xml:space="preserve">methodology used to </w:t>
      </w:r>
      <w:r w:rsidR="00040B36">
        <w:rPr>
          <w:sz w:val="24"/>
          <w:szCs w:val="24"/>
        </w:rPr>
        <w:t>calculate</w:t>
      </w:r>
      <w:r w:rsidR="00790A0F">
        <w:rPr>
          <w:sz w:val="24"/>
          <w:szCs w:val="24"/>
        </w:rPr>
        <w:t xml:space="preserve"> the 2017 to 2019 balances as shown in this application. </w:t>
      </w:r>
    </w:p>
    <w:p w14:paraId="4C7D89DB" w14:textId="554AEEBF" w:rsidR="00BB3868" w:rsidRPr="00FB4CF2" w:rsidRDefault="00BB3868" w:rsidP="00BB3868">
      <w:pPr>
        <w:spacing w:before="40" w:after="40" w:line="240" w:lineRule="auto"/>
        <w:rPr>
          <w:sz w:val="24"/>
          <w:szCs w:val="24"/>
        </w:rPr>
      </w:pPr>
    </w:p>
    <w:p w14:paraId="00C0868B" w14:textId="5E63E843" w:rsidR="00BB3868" w:rsidRPr="00FB4CF2" w:rsidRDefault="00BB3868" w:rsidP="00BB3868">
      <w:pPr>
        <w:spacing w:before="40" w:after="40" w:line="240" w:lineRule="auto"/>
        <w:contextualSpacing/>
        <w:rPr>
          <w:b/>
          <w:bCs/>
          <w:sz w:val="24"/>
          <w:szCs w:val="24"/>
        </w:rPr>
      </w:pPr>
      <w:r w:rsidRPr="00FB4CF2">
        <w:rPr>
          <w:b/>
          <w:bCs/>
          <w:sz w:val="24"/>
          <w:szCs w:val="24"/>
        </w:rPr>
        <w:t>Staff Question-</w:t>
      </w:r>
      <w:r w:rsidR="0071757C">
        <w:rPr>
          <w:b/>
          <w:bCs/>
          <w:sz w:val="24"/>
          <w:szCs w:val="24"/>
        </w:rPr>
        <w:t>9</w:t>
      </w:r>
    </w:p>
    <w:p w14:paraId="74F62D81" w14:textId="2E6FF682" w:rsidR="00BB3868" w:rsidRPr="00FB4CF2" w:rsidRDefault="00BB3868" w:rsidP="00BB3868">
      <w:pPr>
        <w:spacing w:before="40" w:after="40" w:line="240" w:lineRule="auto"/>
        <w:contextualSpacing/>
        <w:rPr>
          <w:b/>
          <w:bCs/>
          <w:sz w:val="24"/>
          <w:szCs w:val="24"/>
        </w:rPr>
      </w:pPr>
      <w:r w:rsidRPr="00FB4CF2">
        <w:rPr>
          <w:b/>
          <w:bCs/>
          <w:sz w:val="24"/>
          <w:szCs w:val="24"/>
        </w:rPr>
        <w:t>Ref: Manager’s Summary, p. 17</w:t>
      </w:r>
    </w:p>
    <w:p w14:paraId="18509A58" w14:textId="673DCF86" w:rsidR="00BB3868" w:rsidRPr="00FB4CF2" w:rsidRDefault="00BB3868" w:rsidP="00BB3868">
      <w:pPr>
        <w:spacing w:before="40" w:after="40" w:line="240" w:lineRule="auto"/>
        <w:contextualSpacing/>
        <w:rPr>
          <w:b/>
          <w:bCs/>
          <w:sz w:val="24"/>
          <w:szCs w:val="24"/>
        </w:rPr>
      </w:pPr>
    </w:p>
    <w:p w14:paraId="40456752" w14:textId="6DADEC45" w:rsidR="00B413EA" w:rsidRDefault="00A92CD4" w:rsidP="00B413EA">
      <w:pPr>
        <w:spacing w:before="40" w:after="40" w:line="240" w:lineRule="auto"/>
        <w:contextualSpacing/>
        <w:rPr>
          <w:sz w:val="24"/>
          <w:szCs w:val="24"/>
        </w:rPr>
      </w:pPr>
      <w:r w:rsidRPr="00FB4CF2">
        <w:rPr>
          <w:sz w:val="24"/>
          <w:szCs w:val="24"/>
        </w:rPr>
        <w:t xml:space="preserve">In the Manager’s Summary, </w:t>
      </w:r>
      <w:r w:rsidR="00D84A96" w:rsidRPr="00FB4CF2">
        <w:rPr>
          <w:sz w:val="24"/>
          <w:szCs w:val="24"/>
        </w:rPr>
        <w:t>Hydro 2000’s auditor provided the following statement on Hydro 2000’s</w:t>
      </w:r>
      <w:r w:rsidRPr="00FB4CF2">
        <w:rPr>
          <w:sz w:val="24"/>
          <w:szCs w:val="24"/>
        </w:rPr>
        <w:t xml:space="preserve"> revised</w:t>
      </w:r>
      <w:r w:rsidR="00D84A96" w:rsidRPr="00FB4CF2">
        <w:rPr>
          <w:sz w:val="24"/>
          <w:szCs w:val="24"/>
        </w:rPr>
        <w:t xml:space="preserve"> Account 1588 and Account 1589 balances</w:t>
      </w:r>
      <w:r w:rsidR="0006226D" w:rsidRPr="00FB4CF2">
        <w:rPr>
          <w:sz w:val="24"/>
          <w:szCs w:val="24"/>
        </w:rPr>
        <w:t xml:space="preserve"> “The adjustment made in 2020 to correct the existing variance account balances was deemed to be appropriate”. </w:t>
      </w:r>
      <w:r w:rsidR="00B413EA" w:rsidRPr="00FB4CF2">
        <w:rPr>
          <w:sz w:val="24"/>
          <w:szCs w:val="24"/>
        </w:rPr>
        <w:t xml:space="preserve">Please explain what level of assurance Hydro 2000’s auditor is providing. For example, has the auditor performed an audit or a review of the Account 1588 and Account 1589 balances? </w:t>
      </w:r>
      <w:r w:rsidR="00FC7C75">
        <w:rPr>
          <w:sz w:val="24"/>
          <w:szCs w:val="24"/>
        </w:rPr>
        <w:t>If a report is available from the auditors, please file it on the record of this proceeding.</w:t>
      </w:r>
    </w:p>
    <w:p w14:paraId="1DD36122" w14:textId="51421A10" w:rsidR="00755F00" w:rsidRDefault="00755F00" w:rsidP="00B413EA">
      <w:pPr>
        <w:spacing w:before="40" w:after="40" w:line="240" w:lineRule="auto"/>
        <w:contextualSpacing/>
        <w:rPr>
          <w:sz w:val="24"/>
          <w:szCs w:val="24"/>
        </w:rPr>
      </w:pPr>
    </w:p>
    <w:p w14:paraId="6FEEAC71" w14:textId="325A5E4B" w:rsidR="00755F00" w:rsidRDefault="00755F00" w:rsidP="00B413EA">
      <w:pPr>
        <w:spacing w:before="40" w:after="40" w:line="240" w:lineRule="auto"/>
        <w:contextualSpacing/>
        <w:rPr>
          <w:sz w:val="24"/>
          <w:szCs w:val="24"/>
        </w:rPr>
      </w:pPr>
    </w:p>
    <w:p w14:paraId="64F0F090" w14:textId="79BDBC46" w:rsidR="00755F00" w:rsidRPr="00FB4CF2" w:rsidRDefault="00755F00" w:rsidP="00755F00">
      <w:pPr>
        <w:spacing w:before="40" w:after="40" w:line="240" w:lineRule="auto"/>
        <w:contextualSpacing/>
        <w:rPr>
          <w:b/>
          <w:bCs/>
          <w:sz w:val="24"/>
          <w:szCs w:val="24"/>
        </w:rPr>
      </w:pPr>
      <w:r w:rsidRPr="00FB4CF2">
        <w:rPr>
          <w:b/>
          <w:bCs/>
          <w:sz w:val="24"/>
          <w:szCs w:val="24"/>
        </w:rPr>
        <w:lastRenderedPageBreak/>
        <w:t>Staff Question-</w:t>
      </w:r>
      <w:r w:rsidR="0071757C">
        <w:rPr>
          <w:b/>
          <w:bCs/>
          <w:sz w:val="24"/>
          <w:szCs w:val="24"/>
        </w:rPr>
        <w:t>10</w:t>
      </w:r>
    </w:p>
    <w:p w14:paraId="0A49BC93" w14:textId="6EB1C8A2" w:rsidR="00755F00" w:rsidRPr="00FB4CF2" w:rsidRDefault="00755F00" w:rsidP="00755F00">
      <w:pPr>
        <w:spacing w:before="40" w:after="40" w:line="240" w:lineRule="auto"/>
        <w:contextualSpacing/>
        <w:rPr>
          <w:b/>
          <w:bCs/>
          <w:sz w:val="24"/>
          <w:szCs w:val="24"/>
        </w:rPr>
      </w:pPr>
      <w:r w:rsidRPr="00FB4CF2">
        <w:rPr>
          <w:b/>
          <w:bCs/>
          <w:sz w:val="24"/>
          <w:szCs w:val="24"/>
        </w:rPr>
        <w:t xml:space="preserve">Ref: Manager’s Summary, p. </w:t>
      </w:r>
      <w:r>
        <w:rPr>
          <w:b/>
          <w:bCs/>
          <w:sz w:val="24"/>
          <w:szCs w:val="24"/>
        </w:rPr>
        <w:t>24</w:t>
      </w:r>
    </w:p>
    <w:p w14:paraId="49D41B55" w14:textId="77777777" w:rsidR="00755F00" w:rsidRPr="00FB4CF2" w:rsidRDefault="00755F00" w:rsidP="00755F00">
      <w:pPr>
        <w:spacing w:before="40" w:after="40" w:line="240" w:lineRule="auto"/>
        <w:contextualSpacing/>
        <w:rPr>
          <w:b/>
          <w:bCs/>
          <w:sz w:val="24"/>
          <w:szCs w:val="24"/>
        </w:rPr>
      </w:pPr>
    </w:p>
    <w:p w14:paraId="6929741A" w14:textId="5C044234" w:rsidR="00755F00" w:rsidRPr="00FB4CF2" w:rsidRDefault="00755F00" w:rsidP="00755F00">
      <w:pPr>
        <w:spacing w:before="40" w:after="40" w:line="240" w:lineRule="auto"/>
        <w:contextualSpacing/>
        <w:rPr>
          <w:sz w:val="24"/>
          <w:szCs w:val="24"/>
        </w:rPr>
      </w:pPr>
      <w:r w:rsidRPr="00FB4CF2">
        <w:rPr>
          <w:sz w:val="24"/>
          <w:szCs w:val="24"/>
        </w:rPr>
        <w:t>In the Manager’s Summary</w:t>
      </w:r>
      <w:r>
        <w:rPr>
          <w:sz w:val="24"/>
          <w:szCs w:val="24"/>
        </w:rPr>
        <w:t xml:space="preserve">, it states “Hydro 2000 has explored all rate mitigation tools at its disposal (e.g. exploring longer disposition period for its DVAs) and although it did somewhat lower the bill impacts, it did not reduce them enough to bring them under the 10% threshold”. Please provide a list of the rate mitigation strategies </w:t>
      </w:r>
      <w:r w:rsidR="00A40A6C">
        <w:rPr>
          <w:sz w:val="24"/>
          <w:szCs w:val="24"/>
        </w:rPr>
        <w:t>Hydro 2000 considered and the effect on the bill impacts it had.</w:t>
      </w:r>
      <w:r w:rsidRPr="00FB4CF2">
        <w:rPr>
          <w:sz w:val="24"/>
          <w:szCs w:val="24"/>
        </w:rPr>
        <w:t xml:space="preserve"> </w:t>
      </w:r>
    </w:p>
    <w:p w14:paraId="4FE024CF" w14:textId="77777777" w:rsidR="00755F00" w:rsidRPr="00FB4CF2" w:rsidRDefault="00755F00" w:rsidP="00B413EA">
      <w:pPr>
        <w:spacing w:before="40" w:after="40" w:line="240" w:lineRule="auto"/>
        <w:contextualSpacing/>
        <w:rPr>
          <w:sz w:val="24"/>
          <w:szCs w:val="24"/>
        </w:rPr>
      </w:pPr>
    </w:p>
    <w:p w14:paraId="36B60A93" w14:textId="5DA65527" w:rsidR="00BB3868" w:rsidRPr="00FB4CF2" w:rsidRDefault="00BB3868" w:rsidP="00BB3868">
      <w:pPr>
        <w:spacing w:before="40" w:after="40" w:line="240" w:lineRule="auto"/>
        <w:rPr>
          <w:sz w:val="24"/>
          <w:szCs w:val="24"/>
        </w:rPr>
      </w:pPr>
    </w:p>
    <w:p w14:paraId="0DA8FC93" w14:textId="29D0003D" w:rsidR="001516AA" w:rsidRPr="00FB4CF2" w:rsidRDefault="001516AA" w:rsidP="001516AA">
      <w:pPr>
        <w:spacing w:before="40" w:after="40" w:line="240" w:lineRule="auto"/>
        <w:rPr>
          <w:b/>
          <w:bCs/>
          <w:sz w:val="24"/>
          <w:szCs w:val="24"/>
        </w:rPr>
      </w:pPr>
      <w:r w:rsidRPr="00FB4CF2">
        <w:rPr>
          <w:b/>
          <w:bCs/>
          <w:sz w:val="24"/>
          <w:szCs w:val="24"/>
        </w:rPr>
        <w:t>Staff-Question-</w:t>
      </w:r>
      <w:r w:rsidR="0071757C">
        <w:rPr>
          <w:b/>
          <w:bCs/>
          <w:sz w:val="24"/>
          <w:szCs w:val="24"/>
        </w:rPr>
        <w:t>11</w:t>
      </w:r>
    </w:p>
    <w:p w14:paraId="26EE3F63" w14:textId="77777777" w:rsidR="001516AA" w:rsidRPr="00FB4CF2" w:rsidRDefault="001516AA" w:rsidP="001516AA">
      <w:pPr>
        <w:spacing w:before="40" w:after="40" w:line="240" w:lineRule="auto"/>
        <w:rPr>
          <w:b/>
          <w:bCs/>
          <w:sz w:val="24"/>
          <w:szCs w:val="24"/>
        </w:rPr>
      </w:pPr>
      <w:r w:rsidRPr="00FB4CF2">
        <w:rPr>
          <w:b/>
          <w:bCs/>
          <w:sz w:val="24"/>
          <w:szCs w:val="24"/>
        </w:rPr>
        <w:t>Ref: DVA Continuity Schedule</w:t>
      </w:r>
    </w:p>
    <w:p w14:paraId="50C7BD84" w14:textId="1D028458" w:rsidR="00917236" w:rsidRPr="00FB4CF2" w:rsidRDefault="00917236" w:rsidP="00917236">
      <w:pPr>
        <w:spacing w:before="40" w:after="40" w:line="240" w:lineRule="auto"/>
        <w:contextualSpacing/>
        <w:rPr>
          <w:sz w:val="24"/>
          <w:szCs w:val="24"/>
        </w:rPr>
      </w:pPr>
    </w:p>
    <w:p w14:paraId="5F260602" w14:textId="21382B7A" w:rsidR="0087304A" w:rsidRPr="00FB4CF2" w:rsidRDefault="0087304A" w:rsidP="0087304A">
      <w:pPr>
        <w:rPr>
          <w:rFonts w:cs="Arial"/>
          <w:sz w:val="24"/>
          <w:szCs w:val="24"/>
        </w:rPr>
      </w:pPr>
      <w:r w:rsidRPr="00FB4CF2">
        <w:rPr>
          <w:rFonts w:cs="Arial"/>
          <w:sz w:val="24"/>
          <w:szCs w:val="24"/>
        </w:rPr>
        <w:t>Typically, large balances are not expected for Account 1588 as it should only hold the variance between commodity costs based on actual line losses and commodity revenues calculated using values for line losses approved by the</w:t>
      </w:r>
      <w:r w:rsidR="00FB4CF2" w:rsidRPr="00FB4CF2">
        <w:rPr>
          <w:rFonts w:cs="Arial"/>
          <w:sz w:val="24"/>
          <w:szCs w:val="24"/>
        </w:rPr>
        <w:t xml:space="preserve"> OEB</w:t>
      </w:r>
      <w:r w:rsidRPr="00FB4CF2">
        <w:rPr>
          <w:rFonts w:cs="Arial"/>
          <w:sz w:val="24"/>
          <w:szCs w:val="24"/>
        </w:rPr>
        <w:t xml:space="preserve">.  Based on RRR data filed for </w:t>
      </w:r>
      <w:r w:rsidR="007409DB" w:rsidRPr="00FB4CF2">
        <w:rPr>
          <w:rFonts w:cs="Arial"/>
          <w:sz w:val="24"/>
          <w:szCs w:val="24"/>
        </w:rPr>
        <w:t>Hydro 2000</w:t>
      </w:r>
      <w:r w:rsidRPr="00FB4CF2">
        <w:rPr>
          <w:rFonts w:cs="Arial"/>
          <w:sz w:val="24"/>
          <w:szCs w:val="24"/>
        </w:rPr>
        <w:t xml:space="preserve"> for Account 4705 Cost of Power, OEB staff calculates </w:t>
      </w:r>
      <w:bookmarkStart w:id="2" w:name="_Hlk52531483"/>
      <w:r w:rsidRPr="00FB4CF2">
        <w:rPr>
          <w:rFonts w:cs="Arial"/>
          <w:sz w:val="24"/>
          <w:szCs w:val="24"/>
        </w:rPr>
        <w:t>the annual net activity (i.e. transactions plus principal adjustments) from the DVA Continuity Schedule as a percentage of annual Account 4705</w:t>
      </w:r>
      <w:r w:rsidR="00040B36">
        <w:rPr>
          <w:rFonts w:cs="Arial"/>
          <w:sz w:val="24"/>
          <w:szCs w:val="24"/>
        </w:rPr>
        <w:t xml:space="preserve"> amounts</w:t>
      </w:r>
      <w:r w:rsidRPr="00FB4CF2">
        <w:rPr>
          <w:rFonts w:cs="Arial"/>
          <w:sz w:val="24"/>
          <w:szCs w:val="24"/>
        </w:rPr>
        <w:t xml:space="preserve"> to be as follows</w:t>
      </w:r>
      <w:bookmarkEnd w:id="2"/>
      <w:r w:rsidR="007409DB" w:rsidRPr="00FB4CF2">
        <w:rPr>
          <w:rFonts w:cs="Arial"/>
          <w:sz w:val="24"/>
          <w:szCs w:val="24"/>
        </w:rPr>
        <w:t>:</w:t>
      </w:r>
    </w:p>
    <w:tbl>
      <w:tblPr>
        <w:tblpPr w:leftFromText="180" w:rightFromText="180" w:vertAnchor="text" w:horzAnchor="margin" w:tblpY="144"/>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58"/>
        <w:gridCol w:w="2425"/>
        <w:gridCol w:w="3150"/>
      </w:tblGrid>
      <w:tr w:rsidR="003E192A" w:rsidRPr="00FB4CF2" w14:paraId="63D172C6" w14:textId="77777777" w:rsidTr="00561E74">
        <w:trPr>
          <w:trHeight w:val="285"/>
        </w:trPr>
        <w:tc>
          <w:tcPr>
            <w:tcW w:w="1417" w:type="dxa"/>
            <w:shd w:val="clear" w:color="auto" w:fill="auto"/>
            <w:noWrap/>
            <w:vAlign w:val="bottom"/>
          </w:tcPr>
          <w:p w14:paraId="2FA663A2" w14:textId="77777777" w:rsidR="003E192A" w:rsidRPr="00FB4CF2" w:rsidRDefault="003E192A" w:rsidP="009F69AF">
            <w:pPr>
              <w:spacing w:after="0" w:line="240" w:lineRule="auto"/>
              <w:jc w:val="right"/>
              <w:rPr>
                <w:rFonts w:eastAsia="Times New Roman" w:cs="Arial"/>
                <w:color w:val="000000"/>
                <w:sz w:val="24"/>
                <w:szCs w:val="24"/>
              </w:rPr>
            </w:pPr>
          </w:p>
        </w:tc>
        <w:tc>
          <w:tcPr>
            <w:tcW w:w="2358" w:type="dxa"/>
            <w:vAlign w:val="bottom"/>
          </w:tcPr>
          <w:p w14:paraId="1D491AEA" w14:textId="77777777" w:rsidR="003E192A" w:rsidRPr="00FB4CF2" w:rsidRDefault="003E192A" w:rsidP="009F69AF">
            <w:pPr>
              <w:spacing w:after="0" w:line="240" w:lineRule="auto"/>
              <w:jc w:val="center"/>
              <w:rPr>
                <w:rFonts w:cs="Arial"/>
                <w:b/>
                <w:bCs/>
                <w:color w:val="000000"/>
                <w:sz w:val="24"/>
                <w:szCs w:val="24"/>
              </w:rPr>
            </w:pPr>
            <w:r w:rsidRPr="00FB4CF2">
              <w:rPr>
                <w:rFonts w:eastAsia="Times New Roman" w:cs="Arial"/>
                <w:b/>
                <w:bCs/>
                <w:color w:val="000000"/>
                <w:sz w:val="24"/>
                <w:szCs w:val="24"/>
              </w:rPr>
              <w:t xml:space="preserve">Account 4705 ($) </w:t>
            </w:r>
            <w:r w:rsidRPr="00FB4CF2">
              <w:rPr>
                <w:rFonts w:cs="Arial"/>
                <w:b/>
                <w:bCs/>
                <w:color w:val="000000"/>
                <w:sz w:val="24"/>
                <w:szCs w:val="24"/>
              </w:rPr>
              <w:t xml:space="preserve"> </w:t>
            </w:r>
          </w:p>
        </w:tc>
        <w:tc>
          <w:tcPr>
            <w:tcW w:w="2425" w:type="dxa"/>
          </w:tcPr>
          <w:p w14:paraId="189A4D6A" w14:textId="77777777" w:rsidR="003E192A" w:rsidRPr="00FB4CF2" w:rsidRDefault="003E192A" w:rsidP="009F69AF">
            <w:pPr>
              <w:spacing w:after="0" w:line="240" w:lineRule="auto"/>
              <w:jc w:val="center"/>
              <w:rPr>
                <w:rFonts w:eastAsia="Times New Roman" w:cs="Arial"/>
                <w:b/>
                <w:bCs/>
                <w:color w:val="000000"/>
                <w:sz w:val="24"/>
                <w:szCs w:val="24"/>
              </w:rPr>
            </w:pPr>
            <w:r w:rsidRPr="00FB4CF2">
              <w:rPr>
                <w:rFonts w:cs="Arial"/>
                <w:b/>
                <w:bCs/>
                <w:color w:val="000000"/>
                <w:sz w:val="24"/>
                <w:szCs w:val="24"/>
              </w:rPr>
              <w:t>Net Activity in Account 1588 ($)</w:t>
            </w:r>
          </w:p>
        </w:tc>
        <w:tc>
          <w:tcPr>
            <w:tcW w:w="3150" w:type="dxa"/>
            <w:shd w:val="clear" w:color="auto" w:fill="auto"/>
            <w:noWrap/>
            <w:vAlign w:val="bottom"/>
          </w:tcPr>
          <w:p w14:paraId="72989D24" w14:textId="77777777" w:rsidR="003E192A" w:rsidRPr="00FB4CF2" w:rsidDel="00A93962" w:rsidRDefault="003E192A" w:rsidP="009F69AF">
            <w:pPr>
              <w:spacing w:after="0" w:line="240" w:lineRule="auto"/>
              <w:jc w:val="center"/>
              <w:rPr>
                <w:rFonts w:eastAsia="Times New Roman" w:cs="Arial"/>
                <w:b/>
                <w:bCs/>
                <w:color w:val="000000"/>
                <w:sz w:val="24"/>
                <w:szCs w:val="24"/>
              </w:rPr>
            </w:pPr>
            <w:r w:rsidRPr="00FB4CF2">
              <w:rPr>
                <w:rFonts w:eastAsia="Times New Roman" w:cs="Arial"/>
                <w:b/>
                <w:bCs/>
                <w:color w:val="000000"/>
                <w:sz w:val="24"/>
                <w:szCs w:val="24"/>
              </w:rPr>
              <w:t>% of net activity compared to Account 4705</w:t>
            </w:r>
          </w:p>
        </w:tc>
      </w:tr>
      <w:tr w:rsidR="00D378F3" w:rsidRPr="00FB4CF2" w14:paraId="2B514733" w14:textId="77777777" w:rsidTr="00561E74">
        <w:trPr>
          <w:trHeight w:val="285"/>
        </w:trPr>
        <w:tc>
          <w:tcPr>
            <w:tcW w:w="1417" w:type="dxa"/>
            <w:shd w:val="clear" w:color="auto" w:fill="auto"/>
            <w:noWrap/>
            <w:vAlign w:val="bottom"/>
          </w:tcPr>
          <w:p w14:paraId="752D0A24" w14:textId="6D2B439D" w:rsidR="00D378F3" w:rsidRPr="00FB4CF2" w:rsidRDefault="00D378F3" w:rsidP="00D378F3">
            <w:pPr>
              <w:spacing w:after="0" w:line="240" w:lineRule="auto"/>
              <w:jc w:val="right"/>
              <w:rPr>
                <w:rFonts w:eastAsia="Times New Roman" w:cs="Arial"/>
                <w:color w:val="000000"/>
                <w:sz w:val="24"/>
                <w:szCs w:val="24"/>
              </w:rPr>
            </w:pPr>
            <w:r w:rsidRPr="00FB4CF2">
              <w:rPr>
                <w:rFonts w:cs="Arial"/>
                <w:sz w:val="24"/>
                <w:szCs w:val="24"/>
              </w:rPr>
              <w:t>2017</w:t>
            </w:r>
          </w:p>
        </w:tc>
        <w:tc>
          <w:tcPr>
            <w:tcW w:w="2358" w:type="dxa"/>
            <w:vAlign w:val="bottom"/>
          </w:tcPr>
          <w:p w14:paraId="5BEAFCB7" w14:textId="3141EA54"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1,688,797 </w:t>
            </w:r>
          </w:p>
        </w:tc>
        <w:tc>
          <w:tcPr>
            <w:tcW w:w="2425" w:type="dxa"/>
            <w:vAlign w:val="bottom"/>
          </w:tcPr>
          <w:p w14:paraId="60EDD936" w14:textId="15908F48" w:rsidR="00D378F3" w:rsidRPr="00FB4CF2" w:rsidDel="00A9396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13,796 </w:t>
            </w:r>
          </w:p>
        </w:tc>
        <w:tc>
          <w:tcPr>
            <w:tcW w:w="3150" w:type="dxa"/>
            <w:shd w:val="clear" w:color="auto" w:fill="auto"/>
            <w:noWrap/>
            <w:vAlign w:val="bottom"/>
          </w:tcPr>
          <w:p w14:paraId="1FB2D991" w14:textId="2FA32952"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0.8%</w:t>
            </w:r>
          </w:p>
        </w:tc>
      </w:tr>
      <w:tr w:rsidR="00D378F3" w:rsidRPr="00FB4CF2" w14:paraId="7601A0CC" w14:textId="77777777" w:rsidTr="00561E74">
        <w:trPr>
          <w:trHeight w:val="285"/>
        </w:trPr>
        <w:tc>
          <w:tcPr>
            <w:tcW w:w="1417" w:type="dxa"/>
            <w:shd w:val="clear" w:color="auto" w:fill="auto"/>
            <w:noWrap/>
            <w:vAlign w:val="bottom"/>
          </w:tcPr>
          <w:p w14:paraId="682539DB" w14:textId="77777777" w:rsidR="00D378F3" w:rsidRPr="00FB4CF2" w:rsidRDefault="00D378F3" w:rsidP="00D378F3">
            <w:pPr>
              <w:spacing w:after="0" w:line="240" w:lineRule="auto"/>
              <w:jc w:val="right"/>
              <w:rPr>
                <w:rFonts w:eastAsia="Times New Roman" w:cs="Arial"/>
                <w:color w:val="000000"/>
                <w:sz w:val="24"/>
                <w:szCs w:val="24"/>
              </w:rPr>
            </w:pPr>
            <w:r w:rsidRPr="00FB4CF2">
              <w:rPr>
                <w:rFonts w:cs="Arial"/>
                <w:sz w:val="24"/>
                <w:szCs w:val="24"/>
              </w:rPr>
              <w:t>2018</w:t>
            </w:r>
          </w:p>
        </w:tc>
        <w:tc>
          <w:tcPr>
            <w:tcW w:w="2358" w:type="dxa"/>
            <w:vAlign w:val="bottom"/>
          </w:tcPr>
          <w:p w14:paraId="77296796" w14:textId="24BA72E8"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621,818 </w:t>
            </w:r>
          </w:p>
        </w:tc>
        <w:tc>
          <w:tcPr>
            <w:tcW w:w="2425" w:type="dxa"/>
            <w:vAlign w:val="bottom"/>
          </w:tcPr>
          <w:p w14:paraId="0A77EE51" w14:textId="4BE97F02" w:rsidR="00D378F3" w:rsidRPr="00FB4CF2" w:rsidDel="00A9396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16,363 </w:t>
            </w:r>
          </w:p>
        </w:tc>
        <w:tc>
          <w:tcPr>
            <w:tcW w:w="3150" w:type="dxa"/>
            <w:shd w:val="clear" w:color="auto" w:fill="auto"/>
            <w:noWrap/>
            <w:vAlign w:val="bottom"/>
          </w:tcPr>
          <w:p w14:paraId="35FE409D" w14:textId="1DF3728A"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2.6%</w:t>
            </w:r>
          </w:p>
        </w:tc>
      </w:tr>
      <w:tr w:rsidR="00D378F3" w:rsidRPr="00FB4CF2" w14:paraId="422871C0" w14:textId="77777777" w:rsidTr="00561E74">
        <w:trPr>
          <w:trHeight w:val="285"/>
        </w:trPr>
        <w:tc>
          <w:tcPr>
            <w:tcW w:w="1417" w:type="dxa"/>
            <w:shd w:val="clear" w:color="auto" w:fill="auto"/>
            <w:noWrap/>
            <w:vAlign w:val="bottom"/>
          </w:tcPr>
          <w:p w14:paraId="3782A32D" w14:textId="068BEAA7" w:rsidR="00D378F3" w:rsidRPr="00FB4CF2" w:rsidRDefault="00D378F3" w:rsidP="00D378F3">
            <w:pPr>
              <w:spacing w:after="0" w:line="240" w:lineRule="auto"/>
              <w:jc w:val="right"/>
              <w:rPr>
                <w:rFonts w:eastAsia="Times New Roman" w:cs="Arial"/>
                <w:color w:val="000000"/>
                <w:sz w:val="24"/>
                <w:szCs w:val="24"/>
              </w:rPr>
            </w:pPr>
            <w:r w:rsidRPr="00FB4CF2">
              <w:rPr>
                <w:rFonts w:cs="Arial"/>
                <w:sz w:val="24"/>
                <w:szCs w:val="24"/>
              </w:rPr>
              <w:t>2019</w:t>
            </w:r>
          </w:p>
        </w:tc>
        <w:tc>
          <w:tcPr>
            <w:tcW w:w="2358" w:type="dxa"/>
            <w:vAlign w:val="bottom"/>
          </w:tcPr>
          <w:p w14:paraId="29BAD2EF" w14:textId="15E9AFC0"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1,068,208 </w:t>
            </w:r>
          </w:p>
        </w:tc>
        <w:tc>
          <w:tcPr>
            <w:tcW w:w="2425" w:type="dxa"/>
            <w:vAlign w:val="bottom"/>
          </w:tcPr>
          <w:p w14:paraId="7F3AEFA4" w14:textId="238D8FDB"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w:t>
            </w:r>
            <w:proofErr w:type="gramStart"/>
            <w:r w:rsidRPr="00FB4CF2">
              <w:rPr>
                <w:rFonts w:cs="Arial"/>
                <w:color w:val="000000"/>
                <w:sz w:val="24"/>
                <w:szCs w:val="24"/>
              </w:rPr>
              <w:t xml:space="preserve">   (</w:t>
            </w:r>
            <w:proofErr w:type="gramEnd"/>
            <w:r w:rsidRPr="00FB4CF2">
              <w:rPr>
                <w:rFonts w:cs="Arial"/>
                <w:color w:val="000000"/>
                <w:sz w:val="24"/>
                <w:szCs w:val="24"/>
              </w:rPr>
              <w:t>5,926)</w:t>
            </w:r>
          </w:p>
        </w:tc>
        <w:tc>
          <w:tcPr>
            <w:tcW w:w="3150" w:type="dxa"/>
            <w:shd w:val="clear" w:color="auto" w:fill="auto"/>
            <w:noWrap/>
            <w:vAlign w:val="bottom"/>
          </w:tcPr>
          <w:p w14:paraId="13085819" w14:textId="3BAEF69A"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-0.6%</w:t>
            </w:r>
          </w:p>
        </w:tc>
      </w:tr>
      <w:tr w:rsidR="00D378F3" w:rsidRPr="00FB4CF2" w14:paraId="2D92B67C" w14:textId="77777777" w:rsidTr="00561E74">
        <w:trPr>
          <w:trHeight w:val="58"/>
        </w:trPr>
        <w:tc>
          <w:tcPr>
            <w:tcW w:w="1417" w:type="dxa"/>
            <w:shd w:val="clear" w:color="auto" w:fill="auto"/>
            <w:noWrap/>
            <w:vAlign w:val="bottom"/>
          </w:tcPr>
          <w:p w14:paraId="24A0B535" w14:textId="3D804182" w:rsidR="00D378F3" w:rsidRPr="00FB4CF2" w:rsidRDefault="00D378F3" w:rsidP="00D378F3">
            <w:pPr>
              <w:spacing w:after="0" w:line="240" w:lineRule="auto"/>
              <w:rPr>
                <w:rFonts w:eastAsia="Times New Roman" w:cs="Arial"/>
                <w:color w:val="000000"/>
                <w:sz w:val="24"/>
                <w:szCs w:val="24"/>
              </w:rPr>
            </w:pPr>
            <w:r w:rsidRPr="00FB4CF2">
              <w:rPr>
                <w:rFonts w:eastAsia="Times New Roman" w:cs="Arial"/>
                <w:color w:val="000000"/>
                <w:sz w:val="24"/>
                <w:szCs w:val="24"/>
              </w:rPr>
              <w:t xml:space="preserve">Cumulative </w:t>
            </w:r>
          </w:p>
        </w:tc>
        <w:tc>
          <w:tcPr>
            <w:tcW w:w="2358" w:type="dxa"/>
            <w:vAlign w:val="bottom"/>
          </w:tcPr>
          <w:p w14:paraId="44547FA8" w14:textId="6C84E1D8"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3,378,824 </w:t>
            </w:r>
          </w:p>
        </w:tc>
        <w:tc>
          <w:tcPr>
            <w:tcW w:w="2425" w:type="dxa"/>
            <w:vAlign w:val="bottom"/>
          </w:tcPr>
          <w:p w14:paraId="78B21BDB" w14:textId="5B0217F3" w:rsidR="00D378F3" w:rsidRPr="00FB4CF2" w:rsidDel="00A9396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24,233 </w:t>
            </w:r>
          </w:p>
        </w:tc>
        <w:tc>
          <w:tcPr>
            <w:tcW w:w="3150" w:type="dxa"/>
            <w:shd w:val="clear" w:color="auto" w:fill="auto"/>
            <w:noWrap/>
            <w:vAlign w:val="bottom"/>
          </w:tcPr>
          <w:p w14:paraId="63E399DE" w14:textId="5E4DA09F"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0.7%</w:t>
            </w:r>
          </w:p>
        </w:tc>
      </w:tr>
    </w:tbl>
    <w:p w14:paraId="049BF379" w14:textId="349D50FC" w:rsidR="001516AA" w:rsidRPr="00FB4CF2" w:rsidRDefault="001516AA" w:rsidP="00917236">
      <w:pPr>
        <w:spacing w:before="40" w:after="40" w:line="240" w:lineRule="auto"/>
        <w:contextualSpacing/>
        <w:rPr>
          <w:sz w:val="24"/>
          <w:szCs w:val="24"/>
        </w:rPr>
      </w:pPr>
    </w:p>
    <w:p w14:paraId="1238B4A8" w14:textId="753CF18D" w:rsidR="00D378F3" w:rsidRPr="00FB4CF2" w:rsidRDefault="00D378F3" w:rsidP="00D378F3">
      <w:pPr>
        <w:pStyle w:val="ListParagraph"/>
        <w:numPr>
          <w:ilvl w:val="0"/>
          <w:numId w:val="5"/>
        </w:numPr>
        <w:spacing w:before="40" w:after="40" w:line="240" w:lineRule="auto"/>
        <w:rPr>
          <w:sz w:val="24"/>
          <w:szCs w:val="24"/>
        </w:rPr>
      </w:pPr>
      <w:r w:rsidRPr="00FB4CF2">
        <w:rPr>
          <w:sz w:val="24"/>
          <w:szCs w:val="24"/>
        </w:rPr>
        <w:t>Please confirm whether the amounts reported in RRR for Account 4705 are accurate</w:t>
      </w:r>
      <w:r w:rsidR="00040B36">
        <w:rPr>
          <w:sz w:val="24"/>
          <w:szCs w:val="24"/>
        </w:rPr>
        <w:t>,</w:t>
      </w:r>
      <w:r w:rsidRPr="00FB4CF2">
        <w:rPr>
          <w:sz w:val="24"/>
          <w:szCs w:val="24"/>
        </w:rPr>
        <w:t xml:space="preserve"> </w:t>
      </w:r>
      <w:r w:rsidR="00005679" w:rsidRPr="00FB4CF2">
        <w:rPr>
          <w:sz w:val="24"/>
          <w:szCs w:val="24"/>
        </w:rPr>
        <w:t xml:space="preserve">as Hydro 2000 has indicated adjustments to revenue and expense accounts were required in relation to </w:t>
      </w:r>
      <w:r w:rsidR="006A5382">
        <w:rPr>
          <w:sz w:val="24"/>
          <w:szCs w:val="24"/>
        </w:rPr>
        <w:t xml:space="preserve">adjustments for </w:t>
      </w:r>
      <w:r w:rsidR="00005679" w:rsidRPr="00FB4CF2">
        <w:rPr>
          <w:sz w:val="24"/>
          <w:szCs w:val="24"/>
        </w:rPr>
        <w:t>Account 1588 and Account 1589.</w:t>
      </w:r>
    </w:p>
    <w:p w14:paraId="555DCEFE" w14:textId="32F7EFF6" w:rsidR="00EA419E" w:rsidRPr="00FB4CF2" w:rsidRDefault="00005679" w:rsidP="00EA419E">
      <w:pPr>
        <w:pStyle w:val="ListParagraph"/>
        <w:numPr>
          <w:ilvl w:val="0"/>
          <w:numId w:val="5"/>
        </w:numPr>
        <w:spacing w:before="40" w:after="40" w:line="240" w:lineRule="auto"/>
        <w:rPr>
          <w:sz w:val="24"/>
          <w:szCs w:val="24"/>
        </w:rPr>
      </w:pPr>
      <w:r w:rsidRPr="00FB4CF2">
        <w:rPr>
          <w:sz w:val="24"/>
          <w:szCs w:val="24"/>
        </w:rPr>
        <w:t>If</w:t>
      </w:r>
      <w:r w:rsidR="00561E74">
        <w:rPr>
          <w:sz w:val="24"/>
          <w:szCs w:val="24"/>
        </w:rPr>
        <w:t xml:space="preserve"> the</w:t>
      </w:r>
      <w:r w:rsidRPr="00FB4CF2">
        <w:rPr>
          <w:sz w:val="24"/>
          <w:szCs w:val="24"/>
        </w:rPr>
        <w:t xml:space="preserve"> Account 4705 amounts are not correct, please revise the calculation above.</w:t>
      </w:r>
    </w:p>
    <w:p w14:paraId="6B4E4115" w14:textId="2E9C91D8" w:rsidR="00EA419E" w:rsidRPr="00FB4CF2" w:rsidRDefault="00005679" w:rsidP="00EA419E">
      <w:pPr>
        <w:pStyle w:val="ListParagraph"/>
        <w:numPr>
          <w:ilvl w:val="0"/>
          <w:numId w:val="5"/>
        </w:numPr>
        <w:spacing w:before="40" w:after="40" w:line="240" w:lineRule="auto"/>
        <w:rPr>
          <w:sz w:val="24"/>
          <w:szCs w:val="24"/>
        </w:rPr>
      </w:pPr>
      <w:r w:rsidRPr="00FB4CF2">
        <w:rPr>
          <w:sz w:val="24"/>
          <w:szCs w:val="24"/>
        </w:rPr>
        <w:t>For each year where the % of net activity compared to Account 4705 is greater tha</w:t>
      </w:r>
      <w:r w:rsidR="00EA419E" w:rsidRPr="00FB4CF2">
        <w:rPr>
          <w:sz w:val="24"/>
          <w:szCs w:val="24"/>
        </w:rPr>
        <w:t>n</w:t>
      </w:r>
      <w:r w:rsidRPr="00FB4CF2">
        <w:rPr>
          <w:sz w:val="24"/>
          <w:szCs w:val="24"/>
        </w:rPr>
        <w:t xml:space="preserve"> +/-1%</w:t>
      </w:r>
      <w:r w:rsidR="00040B36">
        <w:rPr>
          <w:sz w:val="24"/>
          <w:szCs w:val="24"/>
        </w:rPr>
        <w:t xml:space="preserve"> (namely 2018, subject to any corrections made by Hydro 2000 to the table)</w:t>
      </w:r>
      <w:r w:rsidRPr="00FB4CF2">
        <w:rPr>
          <w:sz w:val="24"/>
          <w:szCs w:val="24"/>
        </w:rPr>
        <w:t xml:space="preserve">, please provide an explanation </w:t>
      </w:r>
      <w:r w:rsidR="00EA419E" w:rsidRPr="00FB4CF2">
        <w:rPr>
          <w:sz w:val="24"/>
          <w:szCs w:val="24"/>
        </w:rPr>
        <w:t>as to why the Account 1588 activity would be high in consideration of line losses.</w:t>
      </w:r>
    </w:p>
    <w:p w14:paraId="39884294" w14:textId="5F1125AA" w:rsidR="00005679" w:rsidRPr="00FB4CF2" w:rsidRDefault="00005679" w:rsidP="00C54C66">
      <w:pPr>
        <w:spacing w:before="40" w:after="40" w:line="240" w:lineRule="auto"/>
        <w:rPr>
          <w:sz w:val="24"/>
          <w:szCs w:val="24"/>
        </w:rPr>
      </w:pPr>
    </w:p>
    <w:p w14:paraId="2FDEC26D" w14:textId="54027B30" w:rsidR="00C54C66" w:rsidRPr="00FB4CF2" w:rsidRDefault="00C54C66" w:rsidP="00C54C66">
      <w:pPr>
        <w:spacing w:before="40" w:after="40" w:line="240" w:lineRule="auto"/>
        <w:rPr>
          <w:b/>
          <w:bCs/>
          <w:sz w:val="24"/>
          <w:szCs w:val="24"/>
        </w:rPr>
      </w:pPr>
      <w:r w:rsidRPr="00FB4CF2">
        <w:rPr>
          <w:b/>
          <w:bCs/>
          <w:sz w:val="24"/>
          <w:szCs w:val="24"/>
        </w:rPr>
        <w:t xml:space="preserve">Staff Question – </w:t>
      </w:r>
      <w:r w:rsidR="0071757C">
        <w:rPr>
          <w:b/>
          <w:bCs/>
          <w:sz w:val="24"/>
          <w:szCs w:val="24"/>
        </w:rPr>
        <w:t>12</w:t>
      </w:r>
    </w:p>
    <w:p w14:paraId="6602E6C3" w14:textId="2E0FD250" w:rsidR="00C54C66" w:rsidRPr="00FB4CF2" w:rsidRDefault="00C54C66" w:rsidP="00C54C66">
      <w:pPr>
        <w:spacing w:before="40" w:after="40" w:line="240" w:lineRule="auto"/>
        <w:rPr>
          <w:b/>
          <w:bCs/>
          <w:sz w:val="24"/>
          <w:szCs w:val="24"/>
        </w:rPr>
      </w:pPr>
      <w:r w:rsidRPr="00FB4CF2">
        <w:rPr>
          <w:b/>
          <w:bCs/>
          <w:sz w:val="24"/>
          <w:szCs w:val="24"/>
        </w:rPr>
        <w:t>Ref: GA Analysis Workform</w:t>
      </w:r>
    </w:p>
    <w:p w14:paraId="30040C86" w14:textId="266132C5" w:rsidR="00C54C66" w:rsidRPr="00FB4CF2" w:rsidRDefault="00C54C66" w:rsidP="00C54C66">
      <w:pPr>
        <w:spacing w:before="40" w:after="40" w:line="240" w:lineRule="auto"/>
        <w:rPr>
          <w:b/>
          <w:bCs/>
          <w:sz w:val="24"/>
          <w:szCs w:val="24"/>
        </w:rPr>
      </w:pPr>
    </w:p>
    <w:p w14:paraId="739897B8" w14:textId="77777777" w:rsidR="006E3A5C" w:rsidRPr="00FB4CF2" w:rsidRDefault="00C54C66" w:rsidP="00C54C66">
      <w:pPr>
        <w:spacing w:before="40" w:after="40" w:line="240" w:lineRule="auto"/>
        <w:rPr>
          <w:sz w:val="24"/>
          <w:szCs w:val="24"/>
        </w:rPr>
      </w:pPr>
      <w:r w:rsidRPr="00FB4CF2">
        <w:rPr>
          <w:sz w:val="24"/>
          <w:szCs w:val="24"/>
        </w:rPr>
        <w:t xml:space="preserve">In the 2017 to 2019 GA Analysis Workforms, </w:t>
      </w:r>
      <w:r w:rsidR="00FD42E6" w:rsidRPr="00FB4CF2">
        <w:rPr>
          <w:sz w:val="24"/>
          <w:szCs w:val="24"/>
        </w:rPr>
        <w:t xml:space="preserve">Hydro 2000 indicated that the RRR data used to calculate the loss factor is incorrect. </w:t>
      </w:r>
    </w:p>
    <w:p w14:paraId="79E56AFB" w14:textId="1BD0B658" w:rsidR="00C54C66" w:rsidRPr="00FB4CF2" w:rsidRDefault="00FD42E6" w:rsidP="006E3A5C">
      <w:pPr>
        <w:pStyle w:val="ListParagraph"/>
        <w:numPr>
          <w:ilvl w:val="0"/>
          <w:numId w:val="7"/>
        </w:numPr>
        <w:spacing w:before="40" w:after="40" w:line="240" w:lineRule="auto"/>
        <w:rPr>
          <w:sz w:val="24"/>
          <w:szCs w:val="24"/>
        </w:rPr>
      </w:pPr>
      <w:r w:rsidRPr="00FB4CF2">
        <w:rPr>
          <w:sz w:val="24"/>
          <w:szCs w:val="24"/>
        </w:rPr>
        <w:lastRenderedPageBreak/>
        <w:t xml:space="preserve">For each year, please provide the correct </w:t>
      </w:r>
      <w:r w:rsidR="000B7BA0" w:rsidRPr="00FB4CF2">
        <w:rPr>
          <w:sz w:val="24"/>
          <w:szCs w:val="24"/>
        </w:rPr>
        <w:t xml:space="preserve">consumption data </w:t>
      </w:r>
      <w:r w:rsidR="00AB0677" w:rsidRPr="00FB4CF2">
        <w:rPr>
          <w:sz w:val="24"/>
          <w:szCs w:val="24"/>
        </w:rPr>
        <w:t xml:space="preserve">for the table in the GA Analysis Workform and recalculate the loss factor. </w:t>
      </w:r>
    </w:p>
    <w:p w14:paraId="30F00A70" w14:textId="7CC5C97B" w:rsidR="006E3A5C" w:rsidRPr="00FB4CF2" w:rsidRDefault="006E3A5C" w:rsidP="006E3A5C">
      <w:pPr>
        <w:pStyle w:val="ListParagraph"/>
        <w:numPr>
          <w:ilvl w:val="0"/>
          <w:numId w:val="7"/>
        </w:numPr>
        <w:spacing w:before="40" w:after="40" w:line="240" w:lineRule="auto"/>
        <w:rPr>
          <w:sz w:val="24"/>
          <w:szCs w:val="24"/>
        </w:rPr>
      </w:pPr>
      <w:r w:rsidRPr="00FB4CF2">
        <w:rPr>
          <w:sz w:val="24"/>
          <w:szCs w:val="24"/>
        </w:rPr>
        <w:t xml:space="preserve">For each where the difference </w:t>
      </w:r>
      <w:r w:rsidR="00B716DF">
        <w:rPr>
          <w:sz w:val="24"/>
          <w:szCs w:val="24"/>
        </w:rPr>
        <w:t xml:space="preserve">between the </w:t>
      </w:r>
      <w:r w:rsidRPr="00FB4CF2">
        <w:rPr>
          <w:sz w:val="24"/>
          <w:szCs w:val="24"/>
        </w:rPr>
        <w:t xml:space="preserve">recalculated loss factor and the approved loss factor is greater than 1%, please reconcile the difference and provide an explanation for the high difference. </w:t>
      </w:r>
    </w:p>
    <w:p w14:paraId="1CC494AC" w14:textId="34669622" w:rsidR="006E3A5C" w:rsidRPr="00FB4CF2" w:rsidRDefault="006E3A5C" w:rsidP="006E3A5C">
      <w:pPr>
        <w:spacing w:before="40" w:after="40" w:line="240" w:lineRule="auto"/>
        <w:rPr>
          <w:sz w:val="24"/>
          <w:szCs w:val="24"/>
        </w:rPr>
      </w:pPr>
    </w:p>
    <w:sectPr w:rsidR="006E3A5C" w:rsidRPr="00FB4CF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F9132" w14:textId="77777777" w:rsidR="00CF4609" w:rsidRDefault="00CF4609" w:rsidP="00917236">
      <w:pPr>
        <w:spacing w:after="0" w:line="240" w:lineRule="auto"/>
      </w:pPr>
      <w:r>
        <w:separator/>
      </w:r>
    </w:p>
  </w:endnote>
  <w:endnote w:type="continuationSeparator" w:id="0">
    <w:p w14:paraId="628D85DC" w14:textId="77777777" w:rsidR="00CF4609" w:rsidRDefault="00CF4609" w:rsidP="00917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3FA9B" w14:textId="77777777" w:rsidR="00CF4609" w:rsidRDefault="00CF4609" w:rsidP="00917236">
      <w:pPr>
        <w:spacing w:after="0" w:line="240" w:lineRule="auto"/>
      </w:pPr>
      <w:r>
        <w:separator/>
      </w:r>
    </w:p>
  </w:footnote>
  <w:footnote w:type="continuationSeparator" w:id="0">
    <w:p w14:paraId="64A2A183" w14:textId="77777777" w:rsidR="00CF4609" w:rsidRDefault="00CF4609" w:rsidP="00917236">
      <w:pPr>
        <w:spacing w:after="0" w:line="240" w:lineRule="auto"/>
      </w:pPr>
      <w:r>
        <w:continuationSeparator/>
      </w:r>
    </w:p>
  </w:footnote>
  <w:footnote w:id="1">
    <w:p w14:paraId="4BC3D8C6" w14:textId="2E1BDB33" w:rsidR="00494430" w:rsidRDefault="00494430">
      <w:pPr>
        <w:pStyle w:val="FootnoteText"/>
      </w:pPr>
      <w:r>
        <w:rPr>
          <w:rStyle w:val="FootnoteReference"/>
        </w:rPr>
        <w:footnoteRef/>
      </w:r>
      <w:r>
        <w:t xml:space="preserve"> EB-2019-0041</w:t>
      </w:r>
    </w:p>
  </w:footnote>
  <w:footnote w:id="2">
    <w:p w14:paraId="537D65E9" w14:textId="1C8BB33A" w:rsidR="00D06A90" w:rsidRDefault="00D06A90">
      <w:pPr>
        <w:pStyle w:val="FootnoteText"/>
      </w:pPr>
      <w:r>
        <w:rPr>
          <w:rStyle w:val="FootnoteReference"/>
        </w:rPr>
        <w:footnoteRef/>
      </w:r>
      <w:r>
        <w:t xml:space="preserve"> Accounting Procedures Handbook Update – Accounting Guidance </w:t>
      </w:r>
      <w:r w:rsidR="0006698B">
        <w:t>Related to Pass-Through Commodity Accounts 1588 &amp; 1589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5BF33" w14:textId="0A82ABD8" w:rsidR="00AF24FB" w:rsidRDefault="00A43F90" w:rsidP="00AF24FB">
    <w:pPr>
      <w:pStyle w:val="Default"/>
      <w:jc w:val="right"/>
      <w:rPr>
        <w:rFonts w:ascii="Arial" w:hAnsi="Arial" w:cs="Arial"/>
        <w:sz w:val="22"/>
        <w:szCs w:val="22"/>
      </w:rPr>
    </w:pPr>
    <w:r>
      <w:rPr>
        <w:rFonts w:ascii="Arial" w:hAnsi="Arial" w:cs="Arial"/>
        <w:bCs/>
        <w:sz w:val="22"/>
        <w:szCs w:val="22"/>
        <w:lang w:val="en-US"/>
      </w:rPr>
      <w:t>Hydro 2000 Inc.</w:t>
    </w:r>
  </w:p>
  <w:p w14:paraId="3DB4C99D" w14:textId="77777777" w:rsidR="00AF24FB" w:rsidRDefault="00AF24FB" w:rsidP="00AF24FB">
    <w:pPr>
      <w:pStyle w:val="Default"/>
      <w:jc w:val="right"/>
      <w:rPr>
        <w:rFonts w:ascii="Arial" w:hAnsi="Arial" w:cs="Arial"/>
        <w:sz w:val="22"/>
        <w:szCs w:val="22"/>
      </w:rPr>
    </w:pPr>
    <w:r>
      <w:rPr>
        <w:rFonts w:ascii="Arial" w:hAnsi="Arial" w:cs="Arial"/>
        <w:sz w:val="22"/>
        <w:szCs w:val="22"/>
      </w:rPr>
      <w:t>OEB Staff Questions</w:t>
    </w:r>
  </w:p>
  <w:p w14:paraId="5BA76DD1" w14:textId="17B59ACA" w:rsidR="00AF24FB" w:rsidRDefault="00AF24FB" w:rsidP="00AF24FB">
    <w:pPr>
      <w:pStyle w:val="Default"/>
      <w:jc w:val="right"/>
      <w:rPr>
        <w:rFonts w:ascii="Arial" w:hAnsi="Arial" w:cs="Arial"/>
        <w:sz w:val="22"/>
        <w:szCs w:val="22"/>
      </w:rPr>
    </w:pPr>
    <w:r>
      <w:rPr>
        <w:rFonts w:ascii="Arial" w:hAnsi="Arial" w:cs="Arial"/>
        <w:sz w:val="22"/>
        <w:szCs w:val="22"/>
      </w:rPr>
      <w:t>EB-2020-00</w:t>
    </w:r>
    <w:r w:rsidR="00A43F90">
      <w:rPr>
        <w:rFonts w:ascii="Arial" w:hAnsi="Arial" w:cs="Arial"/>
        <w:sz w:val="22"/>
        <w:szCs w:val="22"/>
      </w:rPr>
      <w:t>28</w:t>
    </w:r>
  </w:p>
  <w:p w14:paraId="5944EF0F" w14:textId="77777777" w:rsidR="00E35383" w:rsidRDefault="00E35383" w:rsidP="00AF24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74D1"/>
    <w:multiLevelType w:val="hybridMultilevel"/>
    <w:tmpl w:val="E7A666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20F23"/>
    <w:multiLevelType w:val="hybridMultilevel"/>
    <w:tmpl w:val="B0205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E6AC6"/>
    <w:multiLevelType w:val="hybridMultilevel"/>
    <w:tmpl w:val="D6587726"/>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878C4"/>
    <w:multiLevelType w:val="hybridMultilevel"/>
    <w:tmpl w:val="7B3E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B6B9C"/>
    <w:multiLevelType w:val="hybridMultilevel"/>
    <w:tmpl w:val="140EA16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367E3AE7"/>
    <w:multiLevelType w:val="hybridMultilevel"/>
    <w:tmpl w:val="ECE4A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D30CD"/>
    <w:multiLevelType w:val="hybridMultilevel"/>
    <w:tmpl w:val="C9545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8535A"/>
    <w:multiLevelType w:val="hybridMultilevel"/>
    <w:tmpl w:val="7DCC9314"/>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36"/>
    <w:rsid w:val="000037B5"/>
    <w:rsid w:val="00005679"/>
    <w:rsid w:val="00010679"/>
    <w:rsid w:val="00027239"/>
    <w:rsid w:val="00040B36"/>
    <w:rsid w:val="000431EF"/>
    <w:rsid w:val="0005304D"/>
    <w:rsid w:val="00061C5E"/>
    <w:rsid w:val="0006226D"/>
    <w:rsid w:val="0006237A"/>
    <w:rsid w:val="0006698B"/>
    <w:rsid w:val="00066E6C"/>
    <w:rsid w:val="00067CDB"/>
    <w:rsid w:val="00074CC6"/>
    <w:rsid w:val="00076FDB"/>
    <w:rsid w:val="000B7BA0"/>
    <w:rsid w:val="000D1BEC"/>
    <w:rsid w:val="000E61C7"/>
    <w:rsid w:val="00126342"/>
    <w:rsid w:val="00145AA1"/>
    <w:rsid w:val="00147F83"/>
    <w:rsid w:val="001516AA"/>
    <w:rsid w:val="0016421C"/>
    <w:rsid w:val="001D328D"/>
    <w:rsid w:val="001D3E4E"/>
    <w:rsid w:val="001D4C93"/>
    <w:rsid w:val="001E1554"/>
    <w:rsid w:val="001E2111"/>
    <w:rsid w:val="001E47C4"/>
    <w:rsid w:val="002320F2"/>
    <w:rsid w:val="002342B6"/>
    <w:rsid w:val="002447B6"/>
    <w:rsid w:val="00270F52"/>
    <w:rsid w:val="002807C8"/>
    <w:rsid w:val="003153C0"/>
    <w:rsid w:val="00372866"/>
    <w:rsid w:val="00385850"/>
    <w:rsid w:val="00391993"/>
    <w:rsid w:val="00393909"/>
    <w:rsid w:val="003E04EE"/>
    <w:rsid w:val="003E192A"/>
    <w:rsid w:val="00414ECF"/>
    <w:rsid w:val="00436E76"/>
    <w:rsid w:val="00446570"/>
    <w:rsid w:val="00493AEE"/>
    <w:rsid w:val="00494430"/>
    <w:rsid w:val="004C1550"/>
    <w:rsid w:val="004E55AE"/>
    <w:rsid w:val="004F4177"/>
    <w:rsid w:val="00521E74"/>
    <w:rsid w:val="00550DC8"/>
    <w:rsid w:val="00550E2F"/>
    <w:rsid w:val="00561E74"/>
    <w:rsid w:val="00571CA2"/>
    <w:rsid w:val="00575FDB"/>
    <w:rsid w:val="005A3B7F"/>
    <w:rsid w:val="005D11D4"/>
    <w:rsid w:val="005E4148"/>
    <w:rsid w:val="005F70CB"/>
    <w:rsid w:val="006330D2"/>
    <w:rsid w:val="006956AB"/>
    <w:rsid w:val="006A5382"/>
    <w:rsid w:val="006A76F1"/>
    <w:rsid w:val="006B31E8"/>
    <w:rsid w:val="006C12B8"/>
    <w:rsid w:val="006E3A5C"/>
    <w:rsid w:val="006F3055"/>
    <w:rsid w:val="007006E2"/>
    <w:rsid w:val="0071279C"/>
    <w:rsid w:val="0071757C"/>
    <w:rsid w:val="007375AD"/>
    <w:rsid w:val="007409DB"/>
    <w:rsid w:val="00755F00"/>
    <w:rsid w:val="00790786"/>
    <w:rsid w:val="00790A0F"/>
    <w:rsid w:val="007D31B7"/>
    <w:rsid w:val="0082060D"/>
    <w:rsid w:val="00821333"/>
    <w:rsid w:val="0086672E"/>
    <w:rsid w:val="00867F36"/>
    <w:rsid w:val="0087304A"/>
    <w:rsid w:val="00883D15"/>
    <w:rsid w:val="008A6482"/>
    <w:rsid w:val="008C3927"/>
    <w:rsid w:val="008E3CBD"/>
    <w:rsid w:val="00917236"/>
    <w:rsid w:val="00925CEC"/>
    <w:rsid w:val="0095014C"/>
    <w:rsid w:val="00974C09"/>
    <w:rsid w:val="00987A50"/>
    <w:rsid w:val="009C5151"/>
    <w:rsid w:val="009E3A96"/>
    <w:rsid w:val="009E6DD0"/>
    <w:rsid w:val="00A03D2A"/>
    <w:rsid w:val="00A40A6C"/>
    <w:rsid w:val="00A4158A"/>
    <w:rsid w:val="00A43F90"/>
    <w:rsid w:val="00A92CD4"/>
    <w:rsid w:val="00AB0677"/>
    <w:rsid w:val="00AD475C"/>
    <w:rsid w:val="00AF061A"/>
    <w:rsid w:val="00AF24FB"/>
    <w:rsid w:val="00AF6271"/>
    <w:rsid w:val="00B306E4"/>
    <w:rsid w:val="00B413EA"/>
    <w:rsid w:val="00B52E9B"/>
    <w:rsid w:val="00B716DF"/>
    <w:rsid w:val="00B92EE4"/>
    <w:rsid w:val="00BB0C80"/>
    <w:rsid w:val="00BB3868"/>
    <w:rsid w:val="00BC13D0"/>
    <w:rsid w:val="00BD11E6"/>
    <w:rsid w:val="00BF4FD6"/>
    <w:rsid w:val="00C0440C"/>
    <w:rsid w:val="00C16A76"/>
    <w:rsid w:val="00C33ACB"/>
    <w:rsid w:val="00C52F90"/>
    <w:rsid w:val="00C54C66"/>
    <w:rsid w:val="00C60C93"/>
    <w:rsid w:val="00CB3CB7"/>
    <w:rsid w:val="00CB55A9"/>
    <w:rsid w:val="00CD35A6"/>
    <w:rsid w:val="00CE72EC"/>
    <w:rsid w:val="00CF4609"/>
    <w:rsid w:val="00D00FEF"/>
    <w:rsid w:val="00D06A90"/>
    <w:rsid w:val="00D102AA"/>
    <w:rsid w:val="00D16F93"/>
    <w:rsid w:val="00D352A4"/>
    <w:rsid w:val="00D37415"/>
    <w:rsid w:val="00D378F3"/>
    <w:rsid w:val="00D52956"/>
    <w:rsid w:val="00D54C01"/>
    <w:rsid w:val="00D63340"/>
    <w:rsid w:val="00D84A96"/>
    <w:rsid w:val="00D94481"/>
    <w:rsid w:val="00D973CC"/>
    <w:rsid w:val="00DB13E1"/>
    <w:rsid w:val="00DE0E85"/>
    <w:rsid w:val="00DE7143"/>
    <w:rsid w:val="00DE73C5"/>
    <w:rsid w:val="00E35383"/>
    <w:rsid w:val="00E37BCB"/>
    <w:rsid w:val="00E8232B"/>
    <w:rsid w:val="00E85553"/>
    <w:rsid w:val="00E971D9"/>
    <w:rsid w:val="00EA419E"/>
    <w:rsid w:val="00ED25FB"/>
    <w:rsid w:val="00F209F3"/>
    <w:rsid w:val="00F47055"/>
    <w:rsid w:val="00F7745B"/>
    <w:rsid w:val="00F828A6"/>
    <w:rsid w:val="00FB3534"/>
    <w:rsid w:val="00FB4CF2"/>
    <w:rsid w:val="00FC37C5"/>
    <w:rsid w:val="00FC7C75"/>
    <w:rsid w:val="00FD06B0"/>
    <w:rsid w:val="00FD42E6"/>
    <w:rsid w:val="00FE442B"/>
    <w:rsid w:val="00FF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CA76"/>
  <w15:chartTrackingRefBased/>
  <w15:docId w15:val="{437D3CC1-DB54-4888-8909-3EEA2B4E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72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236"/>
    <w:rPr>
      <w:sz w:val="20"/>
      <w:szCs w:val="20"/>
    </w:rPr>
  </w:style>
  <w:style w:type="character" w:styleId="FootnoteReference">
    <w:name w:val="footnote reference"/>
    <w:basedOn w:val="DefaultParagraphFont"/>
    <w:uiPriority w:val="99"/>
    <w:semiHidden/>
    <w:unhideWhenUsed/>
    <w:rsid w:val="00917236"/>
    <w:rPr>
      <w:vertAlign w:val="superscript"/>
    </w:rPr>
  </w:style>
  <w:style w:type="paragraph" w:styleId="ListParagraph">
    <w:name w:val="List Paragraph"/>
    <w:basedOn w:val="Normal"/>
    <w:uiPriority w:val="34"/>
    <w:qFormat/>
    <w:rsid w:val="006B31E8"/>
    <w:pPr>
      <w:ind w:left="720"/>
      <w:contextualSpacing/>
    </w:pPr>
  </w:style>
  <w:style w:type="paragraph" w:styleId="BalloonText">
    <w:name w:val="Balloon Text"/>
    <w:basedOn w:val="Normal"/>
    <w:link w:val="BalloonTextChar"/>
    <w:uiPriority w:val="99"/>
    <w:semiHidden/>
    <w:unhideWhenUsed/>
    <w:rsid w:val="00151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6AA"/>
    <w:rPr>
      <w:rFonts w:ascii="Segoe UI" w:hAnsi="Segoe UI" w:cs="Segoe UI"/>
      <w:sz w:val="18"/>
      <w:szCs w:val="18"/>
    </w:rPr>
  </w:style>
  <w:style w:type="character" w:styleId="CommentReference">
    <w:name w:val="annotation reference"/>
    <w:basedOn w:val="DefaultParagraphFont"/>
    <w:uiPriority w:val="99"/>
    <w:semiHidden/>
    <w:unhideWhenUsed/>
    <w:rsid w:val="00B52E9B"/>
    <w:rPr>
      <w:sz w:val="16"/>
      <w:szCs w:val="16"/>
    </w:rPr>
  </w:style>
  <w:style w:type="paragraph" w:styleId="CommentText">
    <w:name w:val="annotation text"/>
    <w:basedOn w:val="Normal"/>
    <w:link w:val="CommentTextChar"/>
    <w:uiPriority w:val="99"/>
    <w:semiHidden/>
    <w:unhideWhenUsed/>
    <w:rsid w:val="00B52E9B"/>
    <w:pPr>
      <w:spacing w:line="240" w:lineRule="auto"/>
    </w:pPr>
    <w:rPr>
      <w:sz w:val="20"/>
      <w:szCs w:val="20"/>
    </w:rPr>
  </w:style>
  <w:style w:type="character" w:customStyle="1" w:styleId="CommentTextChar">
    <w:name w:val="Comment Text Char"/>
    <w:basedOn w:val="DefaultParagraphFont"/>
    <w:link w:val="CommentText"/>
    <w:uiPriority w:val="99"/>
    <w:semiHidden/>
    <w:rsid w:val="00B52E9B"/>
    <w:rPr>
      <w:sz w:val="20"/>
      <w:szCs w:val="20"/>
    </w:rPr>
  </w:style>
  <w:style w:type="paragraph" w:styleId="CommentSubject">
    <w:name w:val="annotation subject"/>
    <w:basedOn w:val="CommentText"/>
    <w:next w:val="CommentText"/>
    <w:link w:val="CommentSubjectChar"/>
    <w:uiPriority w:val="99"/>
    <w:semiHidden/>
    <w:unhideWhenUsed/>
    <w:rsid w:val="00B52E9B"/>
    <w:rPr>
      <w:b/>
      <w:bCs/>
    </w:rPr>
  </w:style>
  <w:style w:type="character" w:customStyle="1" w:styleId="CommentSubjectChar">
    <w:name w:val="Comment Subject Char"/>
    <w:basedOn w:val="CommentTextChar"/>
    <w:link w:val="CommentSubject"/>
    <w:uiPriority w:val="99"/>
    <w:semiHidden/>
    <w:rsid w:val="00B52E9B"/>
    <w:rPr>
      <w:b/>
      <w:bCs/>
      <w:sz w:val="20"/>
      <w:szCs w:val="20"/>
    </w:rPr>
  </w:style>
  <w:style w:type="paragraph" w:styleId="Header">
    <w:name w:val="header"/>
    <w:basedOn w:val="Normal"/>
    <w:link w:val="HeaderChar"/>
    <w:uiPriority w:val="99"/>
    <w:unhideWhenUsed/>
    <w:rsid w:val="00E35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383"/>
  </w:style>
  <w:style w:type="paragraph" w:styleId="Footer">
    <w:name w:val="footer"/>
    <w:basedOn w:val="Normal"/>
    <w:link w:val="FooterChar"/>
    <w:uiPriority w:val="99"/>
    <w:unhideWhenUsed/>
    <w:rsid w:val="00E35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383"/>
  </w:style>
  <w:style w:type="paragraph" w:customStyle="1" w:styleId="Default">
    <w:name w:val="Default"/>
    <w:rsid w:val="00AF24FB"/>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62973">
      <w:bodyDiv w:val="1"/>
      <w:marLeft w:val="0"/>
      <w:marRight w:val="0"/>
      <w:marTop w:val="0"/>
      <w:marBottom w:val="0"/>
      <w:divBdr>
        <w:top w:val="none" w:sz="0" w:space="0" w:color="auto"/>
        <w:left w:val="none" w:sz="0" w:space="0" w:color="auto"/>
        <w:bottom w:val="none" w:sz="0" w:space="0" w:color="auto"/>
        <w:right w:val="none" w:sz="0" w:space="0" w:color="auto"/>
      </w:divBdr>
    </w:div>
    <w:div w:id="200637074">
      <w:bodyDiv w:val="1"/>
      <w:marLeft w:val="0"/>
      <w:marRight w:val="0"/>
      <w:marTop w:val="0"/>
      <w:marBottom w:val="0"/>
      <w:divBdr>
        <w:top w:val="none" w:sz="0" w:space="0" w:color="auto"/>
        <w:left w:val="none" w:sz="0" w:space="0" w:color="auto"/>
        <w:bottom w:val="none" w:sz="0" w:space="0" w:color="auto"/>
        <w:right w:val="none" w:sz="0" w:space="0" w:color="auto"/>
      </w:divBdr>
    </w:div>
    <w:div w:id="339164109">
      <w:bodyDiv w:val="1"/>
      <w:marLeft w:val="0"/>
      <w:marRight w:val="0"/>
      <w:marTop w:val="0"/>
      <w:marBottom w:val="0"/>
      <w:divBdr>
        <w:top w:val="none" w:sz="0" w:space="0" w:color="auto"/>
        <w:left w:val="none" w:sz="0" w:space="0" w:color="auto"/>
        <w:bottom w:val="none" w:sz="0" w:space="0" w:color="auto"/>
        <w:right w:val="none" w:sz="0" w:space="0" w:color="auto"/>
      </w:divBdr>
    </w:div>
    <w:div w:id="20522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7" ma:contentTypeDescription="Create a new document." ma:contentTypeScope="" ma:versionID="33dee3125c8d770677ca2003e2fc7ea3">
  <xsd:schema xmlns:xsd="http://www.w3.org/2001/XMLSchema" xmlns:xs="http://www.w3.org/2001/XMLSchema" xmlns:p="http://schemas.microsoft.com/office/2006/metadata/properties" xmlns:ns3="4b265e71-f343-4c34-bd05-826252c51855" targetNamespace="http://schemas.microsoft.com/office/2006/metadata/properties" ma:root="true" ma:fieldsID="d083dad25d08e81ad1558d95a4525ef7" ns3:_="">
    <xsd:import namespace="4b265e71-f343-4c34-bd05-826252c518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7EC4C-3C35-4B3E-837D-883C3913B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BC860-FD68-464B-BA56-48B448082D07}">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4b265e71-f343-4c34-bd05-826252c51855"/>
    <ds:schemaRef ds:uri="http://purl.org/dc/terms/"/>
  </ds:schemaRefs>
</ds:datastoreItem>
</file>

<file path=customXml/itemProps3.xml><?xml version="1.0" encoding="utf-8"?>
<ds:datastoreItem xmlns:ds="http://schemas.openxmlformats.org/officeDocument/2006/customXml" ds:itemID="{9B6659CE-FADC-452B-B81B-E19297A65C59}">
  <ds:schemaRefs>
    <ds:schemaRef ds:uri="http://schemas.microsoft.com/sharepoint/v3/contenttype/forms"/>
  </ds:schemaRefs>
</ds:datastoreItem>
</file>

<file path=customXml/itemProps4.xml><?xml version="1.0" encoding="utf-8"?>
<ds:datastoreItem xmlns:ds="http://schemas.openxmlformats.org/officeDocument/2006/customXml" ds:itemID="{32701776-C3DC-4E4C-A8C4-90EB961C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Abdullah Navid</cp:lastModifiedBy>
  <cp:revision>4</cp:revision>
  <dcterms:created xsi:type="dcterms:W3CDTF">2021-01-21T18:36:00Z</dcterms:created>
  <dcterms:modified xsi:type="dcterms:W3CDTF">2021-01-21T18:41:00Z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