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8B79D" w14:textId="06A7FA40" w:rsidR="003832E7" w:rsidRPr="00BF599C" w:rsidRDefault="00183E05" w:rsidP="003832E7">
      <w:pPr>
        <w:pStyle w:val="Default"/>
        <w:jc w:val="right"/>
        <w:rPr>
          <w:rFonts w:ascii="Arial" w:hAnsi="Arial" w:cs="Arial"/>
          <w:sz w:val="22"/>
          <w:szCs w:val="22"/>
        </w:rPr>
      </w:pPr>
      <w:r>
        <w:rPr>
          <w:rFonts w:ascii="Arial" w:hAnsi="Arial" w:cs="Arial"/>
          <w:bCs/>
          <w:sz w:val="22"/>
          <w:szCs w:val="22"/>
        </w:rPr>
        <w:t>Greater Sudbury Hydro</w:t>
      </w:r>
      <w:r w:rsidR="00BF599C" w:rsidRPr="00BF599C">
        <w:rPr>
          <w:rFonts w:ascii="Arial" w:hAnsi="Arial" w:cs="Arial"/>
          <w:bCs/>
          <w:sz w:val="22"/>
          <w:szCs w:val="22"/>
        </w:rPr>
        <w:t xml:space="preserve"> Inc.</w:t>
      </w:r>
    </w:p>
    <w:p w14:paraId="5498C7DE" w14:textId="77777777" w:rsidR="00A07077" w:rsidRPr="00BF599C" w:rsidRDefault="008A48F6" w:rsidP="00A07077">
      <w:pPr>
        <w:pStyle w:val="Default"/>
        <w:jc w:val="right"/>
        <w:rPr>
          <w:rFonts w:ascii="Arial" w:hAnsi="Arial" w:cs="Arial"/>
          <w:sz w:val="22"/>
          <w:szCs w:val="22"/>
        </w:rPr>
      </w:pPr>
      <w:r w:rsidRPr="00BF599C">
        <w:rPr>
          <w:rFonts w:ascii="Arial" w:hAnsi="Arial" w:cs="Arial"/>
          <w:sz w:val="22"/>
          <w:szCs w:val="22"/>
        </w:rPr>
        <w:t>OEB</w:t>
      </w:r>
      <w:r w:rsidR="00A07077" w:rsidRPr="00BF599C">
        <w:rPr>
          <w:rFonts w:ascii="Arial" w:hAnsi="Arial" w:cs="Arial"/>
          <w:sz w:val="22"/>
          <w:szCs w:val="22"/>
        </w:rPr>
        <w:t xml:space="preserve"> Staff </w:t>
      </w:r>
      <w:r w:rsidR="008813C3" w:rsidRPr="00BF599C">
        <w:rPr>
          <w:rFonts w:ascii="Arial" w:hAnsi="Arial" w:cs="Arial"/>
          <w:sz w:val="22"/>
          <w:szCs w:val="22"/>
        </w:rPr>
        <w:t>Questions</w:t>
      </w:r>
    </w:p>
    <w:p w14:paraId="04387495" w14:textId="75381E25" w:rsidR="00A07077" w:rsidRPr="00BF599C" w:rsidRDefault="00623602" w:rsidP="00B069AA">
      <w:pPr>
        <w:pStyle w:val="Default"/>
        <w:jc w:val="right"/>
        <w:rPr>
          <w:rFonts w:ascii="Arial" w:hAnsi="Arial" w:cs="Arial"/>
          <w:sz w:val="22"/>
          <w:szCs w:val="22"/>
        </w:rPr>
      </w:pPr>
      <w:r w:rsidRPr="00BF599C">
        <w:rPr>
          <w:rFonts w:ascii="Arial" w:hAnsi="Arial" w:cs="Arial"/>
          <w:sz w:val="22"/>
          <w:szCs w:val="22"/>
        </w:rPr>
        <w:t>EB-2020</w:t>
      </w:r>
      <w:r w:rsidR="009D5F4B" w:rsidRPr="00BF599C">
        <w:rPr>
          <w:rFonts w:ascii="Arial" w:hAnsi="Arial" w:cs="Arial"/>
          <w:sz w:val="22"/>
          <w:szCs w:val="22"/>
        </w:rPr>
        <w:t>-</w:t>
      </w:r>
      <w:r w:rsidR="00BF599C" w:rsidRPr="00BF599C">
        <w:rPr>
          <w:rFonts w:ascii="Arial" w:hAnsi="Arial" w:cs="Arial"/>
          <w:sz w:val="22"/>
          <w:szCs w:val="22"/>
        </w:rPr>
        <w:t>00</w:t>
      </w:r>
      <w:r w:rsidR="00183E05">
        <w:rPr>
          <w:rFonts w:ascii="Arial" w:hAnsi="Arial" w:cs="Arial"/>
          <w:sz w:val="22"/>
          <w:szCs w:val="22"/>
        </w:rPr>
        <w:t>24</w:t>
      </w:r>
    </w:p>
    <w:p w14:paraId="04DD1EF2" w14:textId="77777777" w:rsidR="00A07077" w:rsidRPr="00BF599C" w:rsidRDefault="00A07077" w:rsidP="00A07077">
      <w:pPr>
        <w:pStyle w:val="Default"/>
        <w:rPr>
          <w:rFonts w:ascii="Arial" w:hAnsi="Arial" w:cs="Arial"/>
          <w:sz w:val="22"/>
          <w:szCs w:val="22"/>
        </w:rPr>
      </w:pPr>
    </w:p>
    <w:p w14:paraId="31F8E0D6" w14:textId="3728FE74" w:rsidR="00A07077" w:rsidRPr="00BF599C" w:rsidRDefault="00183E05" w:rsidP="00A07077">
      <w:pPr>
        <w:pStyle w:val="Default"/>
        <w:jc w:val="center"/>
        <w:rPr>
          <w:rFonts w:ascii="Arial" w:hAnsi="Arial" w:cs="Arial"/>
          <w:sz w:val="28"/>
          <w:szCs w:val="28"/>
        </w:rPr>
      </w:pPr>
      <w:r>
        <w:rPr>
          <w:rFonts w:ascii="Arial" w:hAnsi="Arial" w:cs="Arial"/>
          <w:b/>
          <w:bCs/>
          <w:sz w:val="28"/>
          <w:szCs w:val="28"/>
        </w:rPr>
        <w:t>Greater Sudbury Hydro</w:t>
      </w:r>
      <w:r w:rsidR="00BF599C" w:rsidRPr="00BF599C">
        <w:rPr>
          <w:rFonts w:ascii="Arial" w:hAnsi="Arial" w:cs="Arial"/>
          <w:b/>
          <w:bCs/>
          <w:sz w:val="28"/>
          <w:szCs w:val="28"/>
        </w:rPr>
        <w:t xml:space="preserve"> Inc. </w:t>
      </w:r>
      <w:r w:rsidR="000016DB">
        <w:rPr>
          <w:rFonts w:ascii="Arial" w:hAnsi="Arial" w:cs="Arial"/>
          <w:b/>
          <w:bCs/>
          <w:sz w:val="28"/>
          <w:szCs w:val="28"/>
        </w:rPr>
        <w:t>(</w:t>
      </w:r>
      <w:r>
        <w:rPr>
          <w:rFonts w:ascii="Arial" w:hAnsi="Arial" w:cs="Arial"/>
          <w:b/>
          <w:bCs/>
          <w:sz w:val="28"/>
          <w:szCs w:val="28"/>
        </w:rPr>
        <w:t>Greater Sudbury Hydro)</w:t>
      </w:r>
    </w:p>
    <w:p w14:paraId="33D6510D" w14:textId="3AB66CA0" w:rsidR="00A07077" w:rsidRDefault="00623602" w:rsidP="00A07077">
      <w:pPr>
        <w:pStyle w:val="Default"/>
        <w:jc w:val="center"/>
        <w:rPr>
          <w:rFonts w:ascii="Arial" w:hAnsi="Arial" w:cs="Arial"/>
          <w:b/>
          <w:bCs/>
          <w:sz w:val="28"/>
          <w:szCs w:val="28"/>
        </w:rPr>
      </w:pPr>
      <w:r w:rsidRPr="00BF599C">
        <w:rPr>
          <w:rFonts w:ascii="Arial" w:hAnsi="Arial" w:cs="Arial"/>
          <w:b/>
          <w:bCs/>
          <w:sz w:val="28"/>
          <w:szCs w:val="28"/>
        </w:rPr>
        <w:t>EB-2020</w:t>
      </w:r>
      <w:r w:rsidR="00B069AA" w:rsidRPr="00BF599C">
        <w:rPr>
          <w:rFonts w:ascii="Arial" w:hAnsi="Arial" w:cs="Arial"/>
          <w:b/>
          <w:bCs/>
          <w:sz w:val="28"/>
          <w:szCs w:val="28"/>
        </w:rPr>
        <w:t>-</w:t>
      </w:r>
      <w:r w:rsidR="00183E05" w:rsidRPr="00BF599C">
        <w:rPr>
          <w:rFonts w:ascii="Arial" w:hAnsi="Arial" w:cs="Arial"/>
          <w:b/>
          <w:bCs/>
          <w:sz w:val="28"/>
          <w:szCs w:val="28"/>
        </w:rPr>
        <w:t>00</w:t>
      </w:r>
      <w:r w:rsidR="00183E05">
        <w:rPr>
          <w:rFonts w:ascii="Arial" w:hAnsi="Arial" w:cs="Arial"/>
          <w:b/>
          <w:bCs/>
          <w:sz w:val="28"/>
          <w:szCs w:val="28"/>
        </w:rPr>
        <w:t>24</w:t>
      </w:r>
    </w:p>
    <w:p w14:paraId="63C86BE8" w14:textId="77777777" w:rsidR="00511EC2" w:rsidRDefault="00511EC2" w:rsidP="00511EC2">
      <w:pPr>
        <w:spacing w:after="0" w:line="240" w:lineRule="auto"/>
        <w:rPr>
          <w:rFonts w:ascii="Arial" w:eastAsia="Calibri" w:hAnsi="Arial" w:cs="Arial"/>
          <w:lang w:val="en-US"/>
        </w:rPr>
      </w:pPr>
    </w:p>
    <w:p w14:paraId="2A0CB1B0" w14:textId="037210B8" w:rsidR="00E86F26" w:rsidRPr="00E86F26" w:rsidRDefault="00E86F26" w:rsidP="00E86F26">
      <w:pPr>
        <w:autoSpaceDE w:val="0"/>
        <w:autoSpaceDN w:val="0"/>
        <w:adjustRightInd w:val="0"/>
        <w:spacing w:after="0" w:line="240" w:lineRule="auto"/>
        <w:rPr>
          <w:rFonts w:ascii="Arial" w:eastAsia="Calibri" w:hAnsi="Arial" w:cs="Arial"/>
          <w:sz w:val="24"/>
          <w:szCs w:val="24"/>
        </w:rPr>
      </w:pPr>
      <w:bookmarkStart w:id="0" w:name="_Hlk55806661"/>
      <w:r w:rsidRPr="00E86F26">
        <w:rPr>
          <w:rFonts w:ascii="Arial" w:eastAsia="Calibri" w:hAnsi="Arial" w:cs="Arial"/>
          <w:sz w:val="24"/>
          <w:szCs w:val="24"/>
        </w:rPr>
        <w:t xml:space="preserve">Please note, </w:t>
      </w:r>
      <w:r w:rsidR="00183E05">
        <w:rPr>
          <w:rFonts w:ascii="Arial" w:eastAsia="Calibri" w:hAnsi="Arial" w:cs="Arial"/>
          <w:sz w:val="24"/>
          <w:szCs w:val="24"/>
        </w:rPr>
        <w:t>Greater Sudbury Hydro</w:t>
      </w:r>
      <w:r w:rsidRPr="00E86F26">
        <w:rPr>
          <w:rFonts w:ascii="Arial" w:eastAsia="Calibri" w:hAnsi="Arial" w:cs="Arial"/>
          <w:sz w:val="24"/>
          <w:szCs w:val="24"/>
        </w:rPr>
        <w:t xml:space="preserve"> is responsible for ensuring that all documents it files with the OEB,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bookmarkEnd w:id="0"/>
    <w:p w14:paraId="68103C5C" w14:textId="77777777" w:rsidR="00C859E5" w:rsidRDefault="00C859E5" w:rsidP="00302509">
      <w:pPr>
        <w:autoSpaceDE w:val="0"/>
        <w:autoSpaceDN w:val="0"/>
        <w:adjustRightInd w:val="0"/>
        <w:spacing w:after="0" w:line="240" w:lineRule="auto"/>
        <w:rPr>
          <w:rFonts w:ascii="Arial" w:hAnsi="Arial" w:cs="Arial"/>
          <w:b/>
          <w:bCs/>
          <w:color w:val="000000"/>
          <w:sz w:val="24"/>
          <w:szCs w:val="24"/>
        </w:rPr>
      </w:pPr>
    </w:p>
    <w:p w14:paraId="7CFAFC4F" w14:textId="7C630EF2" w:rsidR="00D57E8C" w:rsidRDefault="00D57E8C" w:rsidP="00D57E8C">
      <w:pPr>
        <w:rPr>
          <w:rFonts w:ascii="Arial" w:hAnsi="Arial" w:cs="Arial"/>
          <w:b/>
          <w:sz w:val="24"/>
          <w:szCs w:val="24"/>
        </w:rPr>
      </w:pPr>
      <w:r>
        <w:rPr>
          <w:rFonts w:ascii="Arial" w:hAnsi="Arial" w:cs="Arial"/>
          <w:b/>
          <w:sz w:val="24"/>
          <w:szCs w:val="24"/>
        </w:rPr>
        <w:t>Staff Question-1</w:t>
      </w:r>
      <w:r w:rsidR="00933BEB">
        <w:rPr>
          <w:rFonts w:ascii="Arial" w:hAnsi="Arial" w:cs="Arial"/>
          <w:b/>
          <w:sz w:val="24"/>
          <w:szCs w:val="24"/>
        </w:rPr>
        <w:t xml:space="preserve"> </w:t>
      </w:r>
    </w:p>
    <w:p w14:paraId="43AE605B" w14:textId="46711D99" w:rsidR="00D57E8C" w:rsidRDefault="00BF599C" w:rsidP="008E6045">
      <w:pPr>
        <w:rPr>
          <w:rFonts w:ascii="Arial" w:hAnsi="Arial" w:cs="Arial"/>
          <w:b/>
          <w:sz w:val="24"/>
          <w:szCs w:val="24"/>
          <w:lang w:val="en-US"/>
        </w:rPr>
      </w:pPr>
      <w:r w:rsidRPr="00BF599C">
        <w:rPr>
          <w:rFonts w:ascii="Arial" w:hAnsi="Arial" w:cs="Arial"/>
          <w:b/>
          <w:sz w:val="24"/>
          <w:szCs w:val="24"/>
          <w:lang w:val="en-US"/>
        </w:rPr>
        <w:t>Ref:</w:t>
      </w:r>
      <w:r>
        <w:rPr>
          <w:rFonts w:ascii="Arial" w:hAnsi="Arial" w:cs="Arial"/>
          <w:b/>
          <w:sz w:val="24"/>
          <w:szCs w:val="24"/>
          <w:lang w:val="en-US"/>
        </w:rPr>
        <w:t xml:space="preserve"> </w:t>
      </w:r>
      <w:r w:rsidR="00BD5CE2">
        <w:rPr>
          <w:rFonts w:ascii="Arial" w:hAnsi="Arial" w:cs="Arial"/>
          <w:b/>
          <w:sz w:val="24"/>
          <w:szCs w:val="24"/>
          <w:lang w:val="en-US"/>
        </w:rPr>
        <w:t>Rate Generator Model, Tab 2</w:t>
      </w:r>
    </w:p>
    <w:p w14:paraId="2DEAE4B2" w14:textId="7D7ECF76" w:rsidR="00BF599C" w:rsidRDefault="00BD5CE2" w:rsidP="008E6045">
      <w:pPr>
        <w:rPr>
          <w:rFonts w:ascii="Arial" w:hAnsi="Arial" w:cs="Arial"/>
          <w:bCs/>
          <w:sz w:val="24"/>
          <w:szCs w:val="24"/>
          <w:lang w:val="en-US"/>
        </w:rPr>
      </w:pPr>
      <w:r>
        <w:rPr>
          <w:rFonts w:ascii="Arial" w:hAnsi="Arial" w:cs="Arial"/>
          <w:bCs/>
          <w:sz w:val="24"/>
          <w:szCs w:val="24"/>
          <w:lang w:val="en-US"/>
        </w:rPr>
        <w:t xml:space="preserve">In Tab 2 of the Rate Generator Model, Greater Sudbury Hydro indicated that it has not confirmed the accuracy of its current tariff sheet. Please explain and provide details on any discrepancies. </w:t>
      </w:r>
    </w:p>
    <w:p w14:paraId="609CFE42" w14:textId="77777777" w:rsidR="00BD5CE2" w:rsidRPr="00BF599C" w:rsidRDefault="00BD5CE2" w:rsidP="008E6045">
      <w:pPr>
        <w:rPr>
          <w:rFonts w:ascii="Arial" w:hAnsi="Arial" w:cs="Arial"/>
          <w:bCs/>
          <w:sz w:val="24"/>
          <w:szCs w:val="24"/>
          <w:lang w:val="en-US"/>
        </w:rPr>
      </w:pPr>
    </w:p>
    <w:p w14:paraId="1A225C21" w14:textId="3AC33D49" w:rsidR="00BF599C" w:rsidRDefault="00BF599C" w:rsidP="00BF599C">
      <w:pPr>
        <w:rPr>
          <w:rFonts w:ascii="Arial" w:hAnsi="Arial" w:cs="Arial"/>
          <w:b/>
          <w:sz w:val="24"/>
          <w:szCs w:val="24"/>
        </w:rPr>
      </w:pPr>
      <w:r>
        <w:rPr>
          <w:rFonts w:ascii="Arial" w:hAnsi="Arial" w:cs="Arial"/>
          <w:b/>
          <w:sz w:val="24"/>
          <w:szCs w:val="24"/>
        </w:rPr>
        <w:t>Staff Question-2</w:t>
      </w:r>
    </w:p>
    <w:p w14:paraId="002BEB59" w14:textId="77777777" w:rsidR="00BD5CE2" w:rsidRDefault="00BF599C" w:rsidP="00BD5CE2">
      <w:pPr>
        <w:spacing w:after="0"/>
        <w:rPr>
          <w:rFonts w:ascii="Arial" w:hAnsi="Arial" w:cs="Arial"/>
          <w:b/>
          <w:sz w:val="24"/>
          <w:szCs w:val="24"/>
          <w:lang w:val="en-US"/>
        </w:rPr>
      </w:pPr>
      <w:r w:rsidRPr="00BF599C">
        <w:rPr>
          <w:rFonts w:ascii="Arial" w:hAnsi="Arial" w:cs="Arial"/>
          <w:b/>
          <w:sz w:val="24"/>
          <w:szCs w:val="24"/>
          <w:lang w:val="en-US"/>
        </w:rPr>
        <w:t>Ref:</w:t>
      </w:r>
      <w:r>
        <w:rPr>
          <w:rFonts w:ascii="Arial" w:hAnsi="Arial" w:cs="Arial"/>
          <w:b/>
          <w:sz w:val="24"/>
          <w:szCs w:val="24"/>
          <w:lang w:val="en-US"/>
        </w:rPr>
        <w:t xml:space="preserve"> </w:t>
      </w:r>
      <w:r w:rsidR="00BD5CE2">
        <w:rPr>
          <w:rFonts w:ascii="Arial" w:hAnsi="Arial" w:cs="Arial"/>
          <w:b/>
          <w:sz w:val="24"/>
          <w:szCs w:val="24"/>
          <w:lang w:val="en-US"/>
        </w:rPr>
        <w:t>Manager’s Summary, p. 9</w:t>
      </w:r>
    </w:p>
    <w:p w14:paraId="33351523" w14:textId="7C894687" w:rsidR="00BF599C" w:rsidRDefault="00BF599C" w:rsidP="008408C7">
      <w:pPr>
        <w:ind w:left="504"/>
        <w:rPr>
          <w:rFonts w:ascii="Arial" w:hAnsi="Arial" w:cs="Arial"/>
          <w:b/>
          <w:sz w:val="24"/>
          <w:szCs w:val="24"/>
          <w:lang w:val="en-US"/>
        </w:rPr>
      </w:pPr>
      <w:r>
        <w:rPr>
          <w:rFonts w:ascii="Arial" w:hAnsi="Arial" w:cs="Arial"/>
          <w:b/>
          <w:sz w:val="24"/>
          <w:szCs w:val="24"/>
          <w:lang w:val="en-US"/>
        </w:rPr>
        <w:t xml:space="preserve">Rate Generator Model, Tab </w:t>
      </w:r>
      <w:r w:rsidR="00BD5CE2">
        <w:rPr>
          <w:rFonts w:ascii="Arial" w:hAnsi="Arial" w:cs="Arial"/>
          <w:b/>
          <w:sz w:val="24"/>
          <w:szCs w:val="24"/>
          <w:lang w:val="en-US"/>
        </w:rPr>
        <w:t>3</w:t>
      </w:r>
    </w:p>
    <w:p w14:paraId="2C474ED0" w14:textId="3F8EF789" w:rsidR="00F84E57" w:rsidRDefault="00BD5CE2" w:rsidP="00F84E57">
      <w:pPr>
        <w:spacing w:after="0"/>
        <w:rPr>
          <w:rFonts w:ascii="Arial" w:hAnsi="Arial" w:cs="Arial"/>
          <w:bCs/>
          <w:sz w:val="24"/>
          <w:szCs w:val="24"/>
          <w:lang w:val="en-US"/>
        </w:rPr>
      </w:pPr>
      <w:r w:rsidRPr="008408C7">
        <w:rPr>
          <w:rFonts w:ascii="Arial" w:hAnsi="Arial" w:cs="Arial"/>
          <w:bCs/>
          <w:sz w:val="24"/>
          <w:szCs w:val="24"/>
        </w:rPr>
        <w:t xml:space="preserve">Greater Sudbury Hydro </w:t>
      </w:r>
      <w:r w:rsidR="00F84E57">
        <w:rPr>
          <w:rFonts w:ascii="Arial" w:hAnsi="Arial" w:cs="Arial"/>
          <w:bCs/>
          <w:sz w:val="24"/>
          <w:szCs w:val="24"/>
          <w:lang w:val="en-US"/>
        </w:rPr>
        <w:t>provided the following reason for the variance</w:t>
      </w:r>
      <w:r w:rsidRPr="008408C7">
        <w:rPr>
          <w:rFonts w:ascii="Arial" w:hAnsi="Arial" w:cs="Arial"/>
          <w:bCs/>
          <w:sz w:val="24"/>
          <w:szCs w:val="24"/>
          <w:lang w:val="en-US"/>
        </w:rPr>
        <w:t xml:space="preserve"> of $(164,447) for account</w:t>
      </w:r>
      <w:r w:rsidR="00F84E57">
        <w:rPr>
          <w:rFonts w:ascii="Arial" w:hAnsi="Arial" w:cs="Arial"/>
          <w:bCs/>
          <w:sz w:val="24"/>
          <w:szCs w:val="24"/>
          <w:lang w:val="en-US"/>
        </w:rPr>
        <w:t xml:space="preserve"> </w:t>
      </w:r>
      <w:r w:rsidRPr="008408C7">
        <w:rPr>
          <w:rFonts w:ascii="Arial" w:hAnsi="Arial" w:cs="Arial"/>
          <w:bCs/>
          <w:sz w:val="24"/>
          <w:szCs w:val="24"/>
          <w:lang w:val="en-US"/>
        </w:rPr>
        <w:t>1580 – RSVA Wholesale Market Service Charge</w:t>
      </w:r>
      <w:r w:rsidR="006B1B0B">
        <w:rPr>
          <w:rFonts w:ascii="Arial" w:hAnsi="Arial" w:cs="Arial"/>
          <w:bCs/>
          <w:sz w:val="24"/>
          <w:szCs w:val="24"/>
          <w:lang w:val="en-US"/>
        </w:rPr>
        <w:t>:</w:t>
      </w:r>
    </w:p>
    <w:p w14:paraId="1B4DE868" w14:textId="77777777" w:rsidR="00F84E57" w:rsidRDefault="00F84E57" w:rsidP="00F84E57">
      <w:pPr>
        <w:spacing w:after="0"/>
        <w:rPr>
          <w:rFonts w:ascii="Arial" w:hAnsi="Arial" w:cs="Arial"/>
          <w:bCs/>
          <w:sz w:val="24"/>
          <w:szCs w:val="24"/>
          <w:lang w:val="en-US"/>
        </w:rPr>
      </w:pPr>
    </w:p>
    <w:p w14:paraId="724D6111" w14:textId="55A93F67" w:rsidR="00BD5CE2" w:rsidRDefault="00F84E57" w:rsidP="00F84E57">
      <w:pPr>
        <w:spacing w:after="0"/>
        <w:rPr>
          <w:rFonts w:ascii="Arial" w:hAnsi="Arial" w:cs="Arial"/>
          <w:bCs/>
          <w:sz w:val="24"/>
          <w:szCs w:val="24"/>
          <w:lang w:val="en-US"/>
        </w:rPr>
      </w:pPr>
      <w:r>
        <w:rPr>
          <w:rFonts w:ascii="Arial" w:hAnsi="Arial" w:cs="Arial"/>
          <w:bCs/>
          <w:sz w:val="24"/>
          <w:szCs w:val="24"/>
          <w:lang w:val="en-US"/>
        </w:rPr>
        <w:tab/>
        <w:t>“</w:t>
      </w:r>
      <w:r w:rsidR="00E36F31">
        <w:rPr>
          <w:rFonts w:ascii="Arial" w:hAnsi="Arial" w:cs="Arial"/>
          <w:bCs/>
          <w:sz w:val="24"/>
          <w:szCs w:val="24"/>
          <w:lang w:val="en-US"/>
        </w:rPr>
        <w:t>T</w:t>
      </w:r>
      <w:r w:rsidR="00BD5CE2" w:rsidRPr="008408C7">
        <w:rPr>
          <w:rFonts w:ascii="Arial" w:hAnsi="Arial" w:cs="Arial"/>
          <w:bCs/>
          <w:sz w:val="24"/>
          <w:szCs w:val="24"/>
          <w:lang w:val="en-US"/>
        </w:rPr>
        <w:t>he balance of this variance was subtracted from</w:t>
      </w:r>
      <w:r>
        <w:rPr>
          <w:rFonts w:ascii="Arial" w:hAnsi="Arial" w:cs="Arial"/>
          <w:bCs/>
          <w:sz w:val="24"/>
          <w:szCs w:val="24"/>
          <w:lang w:val="en-US"/>
        </w:rPr>
        <w:t xml:space="preserve"> </w:t>
      </w:r>
      <w:r w:rsidR="00BD5CE2" w:rsidRPr="008408C7">
        <w:rPr>
          <w:rFonts w:ascii="Arial" w:hAnsi="Arial" w:cs="Arial"/>
          <w:bCs/>
          <w:sz w:val="24"/>
          <w:szCs w:val="24"/>
          <w:lang w:val="en-US"/>
        </w:rPr>
        <w:t xml:space="preserve">the consolidated balance of </w:t>
      </w:r>
      <w:r>
        <w:rPr>
          <w:rFonts w:ascii="Arial" w:hAnsi="Arial" w:cs="Arial"/>
          <w:bCs/>
          <w:sz w:val="24"/>
          <w:szCs w:val="24"/>
          <w:lang w:val="en-US"/>
        </w:rPr>
        <w:tab/>
      </w:r>
      <w:r w:rsidR="00BD5CE2" w:rsidRPr="008408C7">
        <w:rPr>
          <w:rFonts w:ascii="Arial" w:hAnsi="Arial" w:cs="Arial"/>
          <w:bCs/>
          <w:sz w:val="24"/>
          <w:szCs w:val="24"/>
          <w:lang w:val="en-US"/>
        </w:rPr>
        <w:t>account 1580 to report separately as Sub-accounts CBR Class A and</w:t>
      </w:r>
      <w:r w:rsidRPr="008408C7">
        <w:rPr>
          <w:rFonts w:ascii="Arial" w:hAnsi="Arial" w:cs="Arial"/>
          <w:bCs/>
          <w:sz w:val="24"/>
          <w:szCs w:val="24"/>
          <w:lang w:val="en-US"/>
        </w:rPr>
        <w:t xml:space="preserve"> </w:t>
      </w:r>
      <w:r w:rsidR="00BD5CE2" w:rsidRPr="008408C7">
        <w:rPr>
          <w:rFonts w:ascii="Arial" w:hAnsi="Arial" w:cs="Arial"/>
          <w:bCs/>
          <w:sz w:val="24"/>
          <w:szCs w:val="24"/>
          <w:lang w:val="en-US"/>
        </w:rPr>
        <w:t xml:space="preserve">Class B. </w:t>
      </w:r>
      <w:r>
        <w:rPr>
          <w:rFonts w:ascii="Arial" w:hAnsi="Arial" w:cs="Arial"/>
          <w:bCs/>
          <w:sz w:val="24"/>
          <w:szCs w:val="24"/>
          <w:lang w:val="en-US"/>
        </w:rPr>
        <w:tab/>
      </w:r>
      <w:r w:rsidR="00BD5CE2" w:rsidRPr="008408C7">
        <w:rPr>
          <w:rFonts w:ascii="Arial" w:hAnsi="Arial" w:cs="Arial"/>
          <w:bCs/>
          <w:sz w:val="24"/>
          <w:szCs w:val="24"/>
          <w:lang w:val="en-US"/>
        </w:rPr>
        <w:t xml:space="preserve">The continuity is correctly reflecting these balances. To correct this variance in </w:t>
      </w:r>
      <w:r>
        <w:rPr>
          <w:rFonts w:ascii="Arial" w:hAnsi="Arial" w:cs="Arial"/>
          <w:bCs/>
          <w:sz w:val="24"/>
          <w:szCs w:val="24"/>
          <w:lang w:val="en-US"/>
        </w:rPr>
        <w:tab/>
      </w:r>
      <w:r w:rsidR="00BD5CE2" w:rsidRPr="008408C7">
        <w:rPr>
          <w:rFonts w:ascii="Arial" w:hAnsi="Arial" w:cs="Arial"/>
          <w:bCs/>
          <w:sz w:val="24"/>
          <w:szCs w:val="24"/>
          <w:lang w:val="en-US"/>
        </w:rPr>
        <w:t>the Rate</w:t>
      </w:r>
      <w:r w:rsidRPr="008408C7">
        <w:rPr>
          <w:rFonts w:ascii="Arial" w:hAnsi="Arial" w:cs="Arial"/>
          <w:bCs/>
          <w:sz w:val="24"/>
          <w:szCs w:val="24"/>
          <w:lang w:val="en-US"/>
        </w:rPr>
        <w:t xml:space="preserve"> </w:t>
      </w:r>
      <w:r w:rsidR="00BD5CE2" w:rsidRPr="008408C7">
        <w:rPr>
          <w:rFonts w:ascii="Arial" w:hAnsi="Arial" w:cs="Arial"/>
          <w:bCs/>
          <w:sz w:val="24"/>
          <w:szCs w:val="24"/>
          <w:lang w:val="en-US"/>
        </w:rPr>
        <w:t xml:space="preserve">Generator Model, the column “2.1.7 RRR As of Dec 31, 2019” should </w:t>
      </w:r>
      <w:r>
        <w:rPr>
          <w:rFonts w:ascii="Arial" w:hAnsi="Arial" w:cs="Arial"/>
          <w:bCs/>
          <w:sz w:val="24"/>
          <w:szCs w:val="24"/>
          <w:lang w:val="en-US"/>
        </w:rPr>
        <w:tab/>
      </w:r>
      <w:r>
        <w:rPr>
          <w:rFonts w:ascii="Arial" w:hAnsi="Arial" w:cs="Arial"/>
          <w:bCs/>
          <w:sz w:val="24"/>
          <w:szCs w:val="24"/>
          <w:lang w:val="en-US"/>
        </w:rPr>
        <w:tab/>
      </w:r>
      <w:r w:rsidR="00BD5CE2" w:rsidRPr="008408C7">
        <w:rPr>
          <w:rFonts w:ascii="Arial" w:hAnsi="Arial" w:cs="Arial"/>
          <w:bCs/>
          <w:sz w:val="24"/>
          <w:szCs w:val="24"/>
          <w:lang w:val="en-US"/>
        </w:rPr>
        <w:t>have the account 1580 –</w:t>
      </w:r>
      <w:r w:rsidRPr="008408C7">
        <w:rPr>
          <w:rFonts w:ascii="Arial" w:hAnsi="Arial" w:cs="Arial"/>
          <w:bCs/>
          <w:sz w:val="24"/>
          <w:szCs w:val="24"/>
          <w:lang w:val="en-US"/>
        </w:rPr>
        <w:t xml:space="preserve"> </w:t>
      </w:r>
      <w:r w:rsidR="00BD5CE2" w:rsidRPr="008408C7">
        <w:rPr>
          <w:rFonts w:ascii="Arial" w:hAnsi="Arial" w:cs="Arial"/>
          <w:bCs/>
          <w:sz w:val="24"/>
          <w:szCs w:val="24"/>
          <w:lang w:val="en-US"/>
        </w:rPr>
        <w:t xml:space="preserve"> RSVA Wholesale Market Service Charge balance </w:t>
      </w:r>
      <w:r>
        <w:rPr>
          <w:rFonts w:ascii="Arial" w:hAnsi="Arial" w:cs="Arial"/>
          <w:bCs/>
          <w:sz w:val="24"/>
          <w:szCs w:val="24"/>
          <w:lang w:val="en-US"/>
        </w:rPr>
        <w:tab/>
      </w:r>
      <w:r w:rsidR="00BD5CE2" w:rsidRPr="008408C7">
        <w:rPr>
          <w:rFonts w:ascii="Arial" w:hAnsi="Arial" w:cs="Arial"/>
          <w:bCs/>
          <w:sz w:val="24"/>
          <w:szCs w:val="24"/>
          <w:lang w:val="en-US"/>
        </w:rPr>
        <w:t>adjusted to $(429,947) which is the appropriate</w:t>
      </w:r>
      <w:r w:rsidRPr="008408C7">
        <w:rPr>
          <w:rFonts w:ascii="Arial" w:hAnsi="Arial" w:cs="Arial"/>
          <w:bCs/>
          <w:sz w:val="24"/>
          <w:szCs w:val="24"/>
          <w:lang w:val="en-US"/>
        </w:rPr>
        <w:t xml:space="preserve"> </w:t>
      </w:r>
      <w:r w:rsidR="00BD5CE2" w:rsidRPr="008408C7">
        <w:rPr>
          <w:rFonts w:ascii="Arial" w:hAnsi="Arial" w:cs="Arial"/>
          <w:bCs/>
          <w:sz w:val="24"/>
          <w:szCs w:val="24"/>
          <w:lang w:val="en-US"/>
        </w:rPr>
        <w:t xml:space="preserve">balance net of the CBR Class B </w:t>
      </w:r>
      <w:r>
        <w:rPr>
          <w:rFonts w:ascii="Arial" w:hAnsi="Arial" w:cs="Arial"/>
          <w:bCs/>
          <w:sz w:val="24"/>
          <w:szCs w:val="24"/>
          <w:lang w:val="en-US"/>
        </w:rPr>
        <w:tab/>
      </w:r>
      <w:r w:rsidR="00BD5CE2" w:rsidRPr="008408C7">
        <w:rPr>
          <w:rFonts w:ascii="Arial" w:hAnsi="Arial" w:cs="Arial"/>
          <w:bCs/>
          <w:sz w:val="24"/>
          <w:szCs w:val="24"/>
          <w:lang w:val="en-US"/>
        </w:rPr>
        <w:t>sub-account.</w:t>
      </w:r>
      <w:r>
        <w:rPr>
          <w:rFonts w:ascii="Arial" w:hAnsi="Arial" w:cs="Arial"/>
          <w:bCs/>
          <w:sz w:val="24"/>
          <w:szCs w:val="24"/>
          <w:lang w:val="en-US"/>
        </w:rPr>
        <w:t>”</w:t>
      </w:r>
    </w:p>
    <w:p w14:paraId="495414F3" w14:textId="39B48844" w:rsidR="00F84E57" w:rsidRDefault="00F84E57" w:rsidP="00F84E57">
      <w:pPr>
        <w:spacing w:after="0"/>
        <w:rPr>
          <w:rFonts w:ascii="Arial" w:hAnsi="Arial" w:cs="Arial"/>
          <w:bCs/>
          <w:sz w:val="24"/>
          <w:szCs w:val="24"/>
          <w:lang w:val="en-US"/>
        </w:rPr>
      </w:pPr>
    </w:p>
    <w:p w14:paraId="5DDC784F" w14:textId="4FF8338B" w:rsidR="00F84E57" w:rsidRDefault="00F84E57" w:rsidP="00F84E57">
      <w:pPr>
        <w:pStyle w:val="ListParagraph"/>
        <w:numPr>
          <w:ilvl w:val="0"/>
          <w:numId w:val="31"/>
        </w:numPr>
        <w:spacing w:after="0"/>
        <w:rPr>
          <w:rFonts w:ascii="Arial" w:hAnsi="Arial" w:cs="Arial"/>
          <w:bCs/>
          <w:sz w:val="24"/>
          <w:szCs w:val="24"/>
          <w:lang w:val="en-US"/>
        </w:rPr>
      </w:pPr>
      <w:r>
        <w:rPr>
          <w:rFonts w:ascii="Arial" w:hAnsi="Arial" w:cs="Arial"/>
          <w:bCs/>
          <w:sz w:val="24"/>
          <w:szCs w:val="24"/>
          <w:lang w:val="en-US"/>
        </w:rPr>
        <w:t>Pleas</w:t>
      </w:r>
      <w:r w:rsidR="00C2674C">
        <w:rPr>
          <w:rFonts w:ascii="Arial" w:hAnsi="Arial" w:cs="Arial"/>
          <w:bCs/>
          <w:sz w:val="24"/>
          <w:szCs w:val="24"/>
          <w:lang w:val="en-US"/>
        </w:rPr>
        <w:t>e</w:t>
      </w:r>
      <w:r>
        <w:rPr>
          <w:rFonts w:ascii="Arial" w:hAnsi="Arial" w:cs="Arial"/>
          <w:bCs/>
          <w:sz w:val="24"/>
          <w:szCs w:val="24"/>
          <w:lang w:val="en-US"/>
        </w:rPr>
        <w:t xml:space="preserve"> confirm if any changes have been made or requested </w:t>
      </w:r>
      <w:r w:rsidR="00C2674C">
        <w:rPr>
          <w:rFonts w:ascii="Arial" w:hAnsi="Arial" w:cs="Arial"/>
          <w:bCs/>
          <w:sz w:val="24"/>
          <w:szCs w:val="24"/>
          <w:lang w:val="en-US"/>
        </w:rPr>
        <w:t xml:space="preserve">to be made </w:t>
      </w:r>
      <w:r>
        <w:rPr>
          <w:rFonts w:ascii="Arial" w:hAnsi="Arial" w:cs="Arial"/>
          <w:bCs/>
          <w:sz w:val="24"/>
          <w:szCs w:val="24"/>
          <w:lang w:val="en-US"/>
        </w:rPr>
        <w:t xml:space="preserve">to the </w:t>
      </w:r>
      <w:r w:rsidR="00004D3A">
        <w:rPr>
          <w:rFonts w:ascii="Arial" w:hAnsi="Arial" w:cs="Arial"/>
          <w:bCs/>
          <w:sz w:val="24"/>
          <w:szCs w:val="24"/>
          <w:lang w:val="en-US"/>
        </w:rPr>
        <w:t xml:space="preserve">amounts </w:t>
      </w:r>
      <w:r>
        <w:rPr>
          <w:rFonts w:ascii="Arial" w:hAnsi="Arial" w:cs="Arial"/>
          <w:bCs/>
          <w:sz w:val="24"/>
          <w:szCs w:val="24"/>
          <w:lang w:val="en-US"/>
        </w:rPr>
        <w:t xml:space="preserve">reported through the RRR for </w:t>
      </w:r>
      <w:r w:rsidR="008408C7">
        <w:rPr>
          <w:rFonts w:ascii="Arial" w:hAnsi="Arial" w:cs="Arial"/>
          <w:bCs/>
          <w:sz w:val="24"/>
          <w:szCs w:val="24"/>
          <w:lang w:val="en-US"/>
        </w:rPr>
        <w:t xml:space="preserve">any of the 1580 </w:t>
      </w:r>
      <w:r w:rsidRPr="008408C7">
        <w:rPr>
          <w:rFonts w:ascii="Arial" w:hAnsi="Arial" w:cs="Arial"/>
          <w:bCs/>
          <w:sz w:val="24"/>
          <w:szCs w:val="24"/>
          <w:lang w:val="en-US"/>
        </w:rPr>
        <w:t>account</w:t>
      </w:r>
      <w:r w:rsidR="00C2674C">
        <w:rPr>
          <w:rFonts w:ascii="Arial" w:hAnsi="Arial" w:cs="Arial"/>
          <w:bCs/>
          <w:sz w:val="24"/>
          <w:szCs w:val="24"/>
          <w:lang w:val="en-US"/>
        </w:rPr>
        <w:t xml:space="preserve"> or sub-account</w:t>
      </w:r>
      <w:r>
        <w:rPr>
          <w:rFonts w:ascii="Arial" w:hAnsi="Arial" w:cs="Arial"/>
          <w:bCs/>
          <w:sz w:val="24"/>
          <w:szCs w:val="24"/>
          <w:lang w:val="en-US"/>
        </w:rPr>
        <w:t xml:space="preserve"> </w:t>
      </w:r>
      <w:r w:rsidR="008408C7">
        <w:rPr>
          <w:rFonts w:ascii="Arial" w:hAnsi="Arial" w:cs="Arial"/>
          <w:bCs/>
          <w:sz w:val="24"/>
          <w:szCs w:val="24"/>
          <w:lang w:val="en-US"/>
        </w:rPr>
        <w:t>balances.</w:t>
      </w:r>
    </w:p>
    <w:p w14:paraId="56ABF3C4" w14:textId="303AFF27" w:rsidR="00F84E57" w:rsidRPr="008408C7" w:rsidRDefault="00F84E57" w:rsidP="00F84E57">
      <w:pPr>
        <w:pStyle w:val="ListParagraph"/>
        <w:numPr>
          <w:ilvl w:val="0"/>
          <w:numId w:val="31"/>
        </w:numPr>
        <w:spacing w:after="0"/>
        <w:rPr>
          <w:rFonts w:ascii="Arial" w:hAnsi="Arial" w:cs="Arial"/>
          <w:bCs/>
          <w:sz w:val="24"/>
          <w:szCs w:val="24"/>
          <w:lang w:val="en-US"/>
        </w:rPr>
      </w:pPr>
      <w:r>
        <w:rPr>
          <w:rFonts w:ascii="Arial" w:hAnsi="Arial" w:cs="Arial"/>
          <w:bCs/>
          <w:sz w:val="24"/>
          <w:szCs w:val="24"/>
          <w:lang w:val="en-US"/>
        </w:rPr>
        <w:t>If not, please explain why</w:t>
      </w:r>
      <w:r w:rsidR="00C2674C">
        <w:rPr>
          <w:rFonts w:ascii="Arial" w:hAnsi="Arial" w:cs="Arial"/>
          <w:bCs/>
          <w:sz w:val="24"/>
          <w:szCs w:val="24"/>
          <w:lang w:val="en-US"/>
        </w:rPr>
        <w:t xml:space="preserve"> not</w:t>
      </w:r>
      <w:r>
        <w:rPr>
          <w:rFonts w:ascii="Arial" w:hAnsi="Arial" w:cs="Arial"/>
          <w:bCs/>
          <w:sz w:val="24"/>
          <w:szCs w:val="24"/>
          <w:lang w:val="en-US"/>
        </w:rPr>
        <w:t xml:space="preserve">. </w:t>
      </w:r>
    </w:p>
    <w:p w14:paraId="3DC5A1A4" w14:textId="6F4A3C06" w:rsidR="00BF599C" w:rsidRDefault="00BF599C" w:rsidP="00BD5CE2">
      <w:pPr>
        <w:rPr>
          <w:rFonts w:ascii="Arial" w:hAnsi="Arial" w:cs="Arial"/>
          <w:b/>
          <w:sz w:val="24"/>
          <w:szCs w:val="24"/>
        </w:rPr>
      </w:pPr>
    </w:p>
    <w:p w14:paraId="20C64A2F" w14:textId="77777777" w:rsidR="00BD5CE2" w:rsidRPr="002D056D" w:rsidRDefault="00BD5CE2" w:rsidP="00BF599C">
      <w:pPr>
        <w:rPr>
          <w:rFonts w:ascii="Arial" w:hAnsi="Arial" w:cs="Arial"/>
          <w:b/>
          <w:sz w:val="24"/>
          <w:szCs w:val="24"/>
        </w:rPr>
      </w:pPr>
    </w:p>
    <w:p w14:paraId="626A3C0E" w14:textId="77777777" w:rsidR="00BD5CE2" w:rsidRDefault="00BD5CE2" w:rsidP="00BF599C">
      <w:pPr>
        <w:rPr>
          <w:rFonts w:ascii="Arial" w:hAnsi="Arial" w:cs="Arial"/>
          <w:b/>
          <w:sz w:val="24"/>
          <w:szCs w:val="24"/>
        </w:rPr>
      </w:pPr>
    </w:p>
    <w:p w14:paraId="668BE4DC" w14:textId="65D2C8B2" w:rsidR="00BF599C" w:rsidRDefault="00BF599C" w:rsidP="00BF599C">
      <w:pPr>
        <w:rPr>
          <w:rFonts w:ascii="Arial" w:hAnsi="Arial" w:cs="Arial"/>
          <w:b/>
          <w:sz w:val="24"/>
          <w:szCs w:val="24"/>
        </w:rPr>
      </w:pPr>
      <w:r>
        <w:rPr>
          <w:rFonts w:ascii="Arial" w:hAnsi="Arial" w:cs="Arial"/>
          <w:b/>
          <w:sz w:val="24"/>
          <w:szCs w:val="24"/>
        </w:rPr>
        <w:t>Staff Question-3</w:t>
      </w:r>
    </w:p>
    <w:p w14:paraId="1FD7AAEF" w14:textId="369CA046" w:rsidR="00BF599C" w:rsidRDefault="00BF599C" w:rsidP="00BF599C">
      <w:pPr>
        <w:rPr>
          <w:rFonts w:ascii="Arial" w:hAnsi="Arial" w:cs="Arial"/>
          <w:b/>
          <w:sz w:val="24"/>
          <w:szCs w:val="24"/>
          <w:lang w:val="en-US"/>
        </w:rPr>
      </w:pPr>
      <w:r w:rsidRPr="00BF599C">
        <w:rPr>
          <w:rFonts w:ascii="Arial" w:hAnsi="Arial" w:cs="Arial"/>
          <w:b/>
          <w:sz w:val="24"/>
          <w:szCs w:val="24"/>
          <w:lang w:val="en-US"/>
        </w:rPr>
        <w:t>Ref:</w:t>
      </w:r>
      <w:r>
        <w:rPr>
          <w:rFonts w:ascii="Arial" w:hAnsi="Arial" w:cs="Arial"/>
          <w:b/>
          <w:sz w:val="24"/>
          <w:szCs w:val="24"/>
          <w:lang w:val="en-US"/>
        </w:rPr>
        <w:t xml:space="preserve"> Rate Generator Model, Tab </w:t>
      </w:r>
      <w:r w:rsidR="00F84E57">
        <w:rPr>
          <w:rFonts w:ascii="Arial" w:hAnsi="Arial" w:cs="Arial"/>
          <w:b/>
          <w:sz w:val="24"/>
          <w:szCs w:val="24"/>
          <w:lang w:val="en-US"/>
        </w:rPr>
        <w:t>6</w:t>
      </w:r>
    </w:p>
    <w:p w14:paraId="45570979" w14:textId="2CC758FC" w:rsidR="008408C7" w:rsidRDefault="00F84E57" w:rsidP="00BF599C">
      <w:pPr>
        <w:rPr>
          <w:rFonts w:ascii="Arial" w:hAnsi="Arial" w:cs="Arial"/>
          <w:bCs/>
          <w:sz w:val="24"/>
          <w:szCs w:val="24"/>
        </w:rPr>
      </w:pPr>
      <w:r w:rsidRPr="00F84E57">
        <w:rPr>
          <w:rFonts w:ascii="Arial" w:hAnsi="Arial" w:cs="Arial"/>
          <w:bCs/>
          <w:sz w:val="24"/>
          <w:szCs w:val="24"/>
        </w:rPr>
        <w:t xml:space="preserve">In </w:t>
      </w:r>
      <w:r>
        <w:rPr>
          <w:rFonts w:ascii="Arial" w:hAnsi="Arial" w:cs="Arial"/>
          <w:bCs/>
          <w:sz w:val="24"/>
          <w:szCs w:val="24"/>
        </w:rPr>
        <w:t xml:space="preserve">section 3b, Greater Sudbury Hydro indicated that </w:t>
      </w:r>
      <w:r w:rsidR="008408C7">
        <w:rPr>
          <w:rFonts w:ascii="Arial" w:hAnsi="Arial" w:cs="Arial"/>
          <w:bCs/>
          <w:sz w:val="24"/>
          <w:szCs w:val="24"/>
        </w:rPr>
        <w:t>there was one rate class in which there were customers who were Class A for the full year during the period the account 1589 or account 1580 CBR B account balance accumulated. Please enter the rate class and total Class A consumption for full year Class A</w:t>
      </w:r>
      <w:r w:rsidR="0081614C">
        <w:rPr>
          <w:rFonts w:ascii="Arial" w:hAnsi="Arial" w:cs="Arial"/>
          <w:bCs/>
          <w:sz w:val="24"/>
          <w:szCs w:val="24"/>
        </w:rPr>
        <w:t xml:space="preserve"> customers</w:t>
      </w:r>
      <w:r w:rsidR="008408C7">
        <w:rPr>
          <w:rFonts w:ascii="Arial" w:hAnsi="Arial" w:cs="Arial"/>
          <w:bCs/>
          <w:sz w:val="24"/>
          <w:szCs w:val="24"/>
        </w:rPr>
        <w:t xml:space="preserve"> in the table in 3b. </w:t>
      </w:r>
    </w:p>
    <w:p w14:paraId="77B4F2C2" w14:textId="73D1FF26" w:rsidR="008408C7" w:rsidRPr="00F84E57" w:rsidRDefault="008408C7" w:rsidP="00BF599C">
      <w:pPr>
        <w:rPr>
          <w:rFonts w:ascii="Arial" w:hAnsi="Arial" w:cs="Arial"/>
          <w:bCs/>
          <w:sz w:val="24"/>
          <w:szCs w:val="24"/>
        </w:rPr>
      </w:pPr>
      <w:r>
        <w:rPr>
          <w:noProof/>
        </w:rPr>
        <w:drawing>
          <wp:inline distT="0" distB="0" distL="0" distR="0" wp14:anchorId="5A364C9D" wp14:editId="11175A06">
            <wp:extent cx="5943600" cy="1530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1530985"/>
                    </a:xfrm>
                    <a:prstGeom prst="rect">
                      <a:avLst/>
                    </a:prstGeom>
                  </pic:spPr>
                </pic:pic>
              </a:graphicData>
            </a:graphic>
          </wp:inline>
        </w:drawing>
      </w:r>
    </w:p>
    <w:p w14:paraId="76376667" w14:textId="77777777" w:rsidR="008408C7" w:rsidRDefault="008408C7" w:rsidP="00BF599C">
      <w:pPr>
        <w:rPr>
          <w:rFonts w:ascii="Arial" w:hAnsi="Arial" w:cs="Arial"/>
          <w:b/>
          <w:sz w:val="24"/>
          <w:szCs w:val="24"/>
        </w:rPr>
      </w:pPr>
    </w:p>
    <w:p w14:paraId="162E6E67" w14:textId="7E6887DF" w:rsidR="00BF599C" w:rsidRDefault="00BF599C" w:rsidP="00BF599C">
      <w:pPr>
        <w:rPr>
          <w:rFonts w:ascii="Arial" w:hAnsi="Arial" w:cs="Arial"/>
          <w:b/>
          <w:sz w:val="24"/>
          <w:szCs w:val="24"/>
        </w:rPr>
      </w:pPr>
      <w:r>
        <w:rPr>
          <w:rFonts w:ascii="Arial" w:hAnsi="Arial" w:cs="Arial"/>
          <w:b/>
          <w:sz w:val="24"/>
          <w:szCs w:val="24"/>
        </w:rPr>
        <w:t>Staff Question-</w:t>
      </w:r>
      <w:r w:rsidR="00D93C1F">
        <w:rPr>
          <w:rFonts w:ascii="Arial" w:hAnsi="Arial" w:cs="Arial"/>
          <w:b/>
          <w:sz w:val="24"/>
          <w:szCs w:val="24"/>
        </w:rPr>
        <w:t>4</w:t>
      </w:r>
    </w:p>
    <w:p w14:paraId="0E4E245C" w14:textId="3E9864C0" w:rsidR="00BF599C" w:rsidRDefault="00BF599C" w:rsidP="008408C7">
      <w:pPr>
        <w:spacing w:after="0"/>
        <w:rPr>
          <w:rFonts w:ascii="Arial" w:hAnsi="Arial" w:cs="Arial"/>
          <w:b/>
          <w:sz w:val="24"/>
          <w:szCs w:val="24"/>
          <w:lang w:val="en-US"/>
        </w:rPr>
      </w:pPr>
      <w:r w:rsidRPr="00BF599C">
        <w:rPr>
          <w:rFonts w:ascii="Arial" w:hAnsi="Arial" w:cs="Arial"/>
          <w:b/>
          <w:sz w:val="24"/>
          <w:szCs w:val="24"/>
          <w:lang w:val="en-US"/>
        </w:rPr>
        <w:t>Ref:</w:t>
      </w:r>
      <w:r w:rsidR="004B78E4">
        <w:rPr>
          <w:rFonts w:ascii="Arial" w:hAnsi="Arial" w:cs="Arial"/>
          <w:b/>
          <w:sz w:val="24"/>
          <w:szCs w:val="24"/>
          <w:lang w:val="en-US"/>
        </w:rPr>
        <w:t xml:space="preserve"> </w:t>
      </w:r>
      <w:r w:rsidR="008408C7">
        <w:rPr>
          <w:rFonts w:ascii="Arial" w:hAnsi="Arial" w:cs="Arial"/>
          <w:b/>
          <w:sz w:val="24"/>
          <w:szCs w:val="24"/>
          <w:lang w:val="en-US"/>
        </w:rPr>
        <w:t>Manager’s Summary, pp. 10-12</w:t>
      </w:r>
    </w:p>
    <w:p w14:paraId="775DE2F4" w14:textId="0CB3428D" w:rsidR="008408C7" w:rsidRDefault="008408C7" w:rsidP="008408C7">
      <w:pPr>
        <w:ind w:left="504"/>
        <w:rPr>
          <w:rFonts w:ascii="Arial" w:hAnsi="Arial" w:cs="Arial"/>
          <w:b/>
          <w:sz w:val="24"/>
          <w:szCs w:val="24"/>
          <w:lang w:val="en-US"/>
        </w:rPr>
      </w:pPr>
      <w:r>
        <w:rPr>
          <w:rFonts w:ascii="Arial" w:hAnsi="Arial" w:cs="Arial"/>
          <w:b/>
          <w:sz w:val="24"/>
          <w:szCs w:val="24"/>
          <w:lang w:val="en-US"/>
        </w:rPr>
        <w:t>COVID-19 Foregone Revenue Rate Rider Model</w:t>
      </w:r>
    </w:p>
    <w:p w14:paraId="4FB03D1F" w14:textId="43D6C179" w:rsidR="008408C7" w:rsidRDefault="008408C7" w:rsidP="0035164D">
      <w:pPr>
        <w:rPr>
          <w:rFonts w:ascii="Arial" w:hAnsi="Arial" w:cs="Arial"/>
          <w:sz w:val="24"/>
          <w:szCs w:val="24"/>
          <w:lang w:val="en-US"/>
        </w:rPr>
      </w:pPr>
      <w:r>
        <w:rPr>
          <w:rFonts w:ascii="Arial" w:hAnsi="Arial" w:cs="Arial"/>
          <w:bCs/>
          <w:sz w:val="24"/>
          <w:szCs w:val="24"/>
        </w:rPr>
        <w:t xml:space="preserve">In accordance with the </w:t>
      </w:r>
      <w:r w:rsidR="0035164D">
        <w:rPr>
          <w:rFonts w:ascii="Arial" w:hAnsi="Arial" w:cs="Arial"/>
          <w:bCs/>
          <w:sz w:val="24"/>
          <w:szCs w:val="24"/>
        </w:rPr>
        <w:t>Decision</w:t>
      </w:r>
      <w:r>
        <w:rPr>
          <w:rFonts w:ascii="Arial" w:hAnsi="Arial" w:cs="Arial"/>
          <w:bCs/>
          <w:sz w:val="24"/>
          <w:szCs w:val="24"/>
        </w:rPr>
        <w:t xml:space="preserve"> and Rate Order in Greater Sudbury’s 2020 Cost-of-Service application, </w:t>
      </w:r>
      <w:r w:rsidRPr="008408C7">
        <w:rPr>
          <w:rFonts w:ascii="Arial" w:hAnsi="Arial" w:cs="Arial"/>
          <w:bCs/>
          <w:sz w:val="24"/>
          <w:szCs w:val="24"/>
        </w:rPr>
        <w:t>Greater</w:t>
      </w:r>
      <w:r>
        <w:rPr>
          <w:rFonts w:ascii="Arial" w:hAnsi="Arial" w:cs="Arial"/>
          <w:bCs/>
          <w:sz w:val="24"/>
          <w:szCs w:val="24"/>
        </w:rPr>
        <w:t xml:space="preserve"> Sudbury Hydro filed the </w:t>
      </w:r>
      <w:r w:rsidRPr="008408C7">
        <w:rPr>
          <w:rFonts w:ascii="Arial" w:hAnsi="Arial" w:cs="Arial"/>
          <w:sz w:val="24"/>
          <w:szCs w:val="24"/>
          <w:lang w:val="en-US"/>
        </w:rPr>
        <w:t>COVID-19 Foregone Revenue Rate Rider Model</w:t>
      </w:r>
      <w:r>
        <w:rPr>
          <w:rFonts w:ascii="Arial" w:hAnsi="Arial" w:cs="Arial"/>
          <w:sz w:val="24"/>
          <w:szCs w:val="24"/>
          <w:lang w:val="en-US"/>
        </w:rPr>
        <w:t xml:space="preserve"> in order to collect foregone revenue for the period of May 1, 2020 to October 1, 2020</w:t>
      </w:r>
      <w:r w:rsidR="0035164D">
        <w:rPr>
          <w:rFonts w:ascii="Arial" w:hAnsi="Arial" w:cs="Arial"/>
          <w:sz w:val="24"/>
          <w:szCs w:val="24"/>
          <w:lang w:val="en-US"/>
        </w:rPr>
        <w:t xml:space="preserve">. Greater Sudbury Hydro noted </w:t>
      </w:r>
      <w:r w:rsidR="0035164D" w:rsidRPr="0035164D">
        <w:rPr>
          <w:rFonts w:ascii="Arial" w:hAnsi="Arial" w:cs="Arial"/>
          <w:sz w:val="24"/>
          <w:szCs w:val="24"/>
          <w:lang w:val="en-US"/>
        </w:rPr>
        <w:t>that within the COVID-19 Forgone Revenue Rate Rider Model titles and dates</w:t>
      </w:r>
      <w:r w:rsidR="0035164D">
        <w:rPr>
          <w:rFonts w:ascii="Arial" w:hAnsi="Arial" w:cs="Arial"/>
          <w:sz w:val="24"/>
          <w:szCs w:val="24"/>
          <w:lang w:val="en-US"/>
        </w:rPr>
        <w:t xml:space="preserve"> </w:t>
      </w:r>
      <w:r w:rsidR="0035164D" w:rsidRPr="0035164D">
        <w:rPr>
          <w:rFonts w:ascii="Arial" w:hAnsi="Arial" w:cs="Arial"/>
          <w:sz w:val="24"/>
          <w:szCs w:val="24"/>
          <w:lang w:val="en-US"/>
        </w:rPr>
        <w:t xml:space="preserve">within the model do not reflect </w:t>
      </w:r>
      <w:r w:rsidR="0035164D">
        <w:rPr>
          <w:rFonts w:ascii="Arial" w:hAnsi="Arial" w:cs="Arial"/>
          <w:sz w:val="24"/>
          <w:szCs w:val="24"/>
          <w:lang w:val="en-US"/>
        </w:rPr>
        <w:t xml:space="preserve">Greater Sudbury Hydro’ </w:t>
      </w:r>
      <w:r w:rsidR="0035164D" w:rsidRPr="0035164D">
        <w:rPr>
          <w:rFonts w:ascii="Arial" w:hAnsi="Arial" w:cs="Arial"/>
          <w:sz w:val="24"/>
          <w:szCs w:val="24"/>
          <w:lang w:val="en-US"/>
        </w:rPr>
        <w:t>situation</w:t>
      </w:r>
      <w:r w:rsidR="0035164D">
        <w:rPr>
          <w:rFonts w:ascii="Arial" w:hAnsi="Arial" w:cs="Arial"/>
          <w:sz w:val="24"/>
          <w:szCs w:val="24"/>
          <w:lang w:val="en-US"/>
        </w:rPr>
        <w:t>.</w:t>
      </w:r>
      <w:r>
        <w:rPr>
          <w:rFonts w:ascii="Arial" w:hAnsi="Arial" w:cs="Arial"/>
          <w:sz w:val="24"/>
          <w:szCs w:val="24"/>
          <w:lang w:val="en-US"/>
        </w:rPr>
        <w:t xml:space="preserve"> </w:t>
      </w:r>
      <w:r w:rsidR="0035164D">
        <w:rPr>
          <w:rFonts w:ascii="Arial" w:hAnsi="Arial" w:cs="Arial"/>
          <w:sz w:val="24"/>
          <w:szCs w:val="24"/>
          <w:lang w:val="en-US"/>
        </w:rPr>
        <w:t xml:space="preserve">OEB staff will work with Greater Sudbury Hydro to make any potential adjustments to the </w:t>
      </w:r>
      <w:r w:rsidR="0035164D" w:rsidRPr="0035164D">
        <w:rPr>
          <w:rFonts w:ascii="Arial" w:hAnsi="Arial" w:cs="Arial"/>
          <w:sz w:val="24"/>
          <w:szCs w:val="24"/>
          <w:lang w:val="en-US"/>
        </w:rPr>
        <w:t>COVID-19 Forgone Revenue Rate Rider Model</w:t>
      </w:r>
      <w:r w:rsidR="0035164D">
        <w:rPr>
          <w:rFonts w:ascii="Arial" w:hAnsi="Arial" w:cs="Arial"/>
          <w:sz w:val="24"/>
          <w:szCs w:val="24"/>
          <w:lang w:val="en-US"/>
        </w:rPr>
        <w:t xml:space="preserve"> that may be required.</w:t>
      </w:r>
    </w:p>
    <w:p w14:paraId="134CDA3F" w14:textId="1D8A7AA0" w:rsidR="0035164D" w:rsidRDefault="0035164D" w:rsidP="0035164D">
      <w:pPr>
        <w:pStyle w:val="ListParagraph"/>
        <w:numPr>
          <w:ilvl w:val="0"/>
          <w:numId w:val="32"/>
        </w:numPr>
        <w:rPr>
          <w:rFonts w:ascii="Arial" w:hAnsi="Arial" w:cs="Arial"/>
          <w:sz w:val="24"/>
          <w:szCs w:val="24"/>
          <w:lang w:val="en-US"/>
        </w:rPr>
      </w:pPr>
      <w:r>
        <w:rPr>
          <w:rFonts w:ascii="Arial" w:hAnsi="Arial" w:cs="Arial"/>
          <w:sz w:val="24"/>
          <w:szCs w:val="24"/>
          <w:lang w:val="en-US"/>
        </w:rPr>
        <w:t xml:space="preserve">Please outline what changes Greater Sudbury Hydro </w:t>
      </w:r>
      <w:r w:rsidR="007F632F">
        <w:rPr>
          <w:rFonts w:ascii="Arial" w:hAnsi="Arial" w:cs="Arial"/>
          <w:sz w:val="24"/>
          <w:szCs w:val="24"/>
          <w:lang w:val="en-US"/>
        </w:rPr>
        <w:t>requires</w:t>
      </w:r>
      <w:r>
        <w:rPr>
          <w:rFonts w:ascii="Arial" w:hAnsi="Arial" w:cs="Arial"/>
          <w:sz w:val="24"/>
          <w:szCs w:val="24"/>
          <w:lang w:val="en-US"/>
        </w:rPr>
        <w:t xml:space="preserve"> in order to make the </w:t>
      </w:r>
      <w:r w:rsidRPr="0035164D">
        <w:rPr>
          <w:rFonts w:ascii="Arial" w:hAnsi="Arial" w:cs="Arial"/>
          <w:sz w:val="24"/>
          <w:szCs w:val="24"/>
          <w:lang w:val="en-US"/>
        </w:rPr>
        <w:t>COVID-19 Forgone Revenue Rate Rider Model</w:t>
      </w:r>
      <w:r>
        <w:rPr>
          <w:rFonts w:ascii="Arial" w:hAnsi="Arial" w:cs="Arial"/>
          <w:sz w:val="24"/>
          <w:szCs w:val="24"/>
          <w:lang w:val="en-US"/>
        </w:rPr>
        <w:t xml:space="preserve"> reflect Greater Sudbury Hydro’s request.</w:t>
      </w:r>
    </w:p>
    <w:p w14:paraId="04BA30A5" w14:textId="0D62D6E1" w:rsidR="0035164D" w:rsidRPr="0035164D" w:rsidRDefault="0035164D" w:rsidP="0035164D">
      <w:pPr>
        <w:pStyle w:val="ListParagraph"/>
        <w:numPr>
          <w:ilvl w:val="0"/>
          <w:numId w:val="32"/>
        </w:numPr>
        <w:rPr>
          <w:rFonts w:ascii="Arial" w:hAnsi="Arial" w:cs="Arial"/>
          <w:sz w:val="24"/>
          <w:szCs w:val="24"/>
          <w:lang w:val="en-US"/>
        </w:rPr>
      </w:pPr>
      <w:r>
        <w:rPr>
          <w:rFonts w:ascii="Arial" w:hAnsi="Arial" w:cs="Arial"/>
          <w:sz w:val="24"/>
          <w:szCs w:val="24"/>
          <w:lang w:val="en-US"/>
        </w:rPr>
        <w:t>Please confirm that</w:t>
      </w:r>
      <w:r w:rsidR="00A42245">
        <w:rPr>
          <w:rFonts w:ascii="Arial" w:hAnsi="Arial" w:cs="Arial"/>
          <w:sz w:val="24"/>
          <w:szCs w:val="24"/>
          <w:lang w:val="en-US"/>
        </w:rPr>
        <w:t xml:space="preserve"> the title </w:t>
      </w:r>
      <w:r w:rsidR="005E4940">
        <w:rPr>
          <w:rFonts w:ascii="Arial" w:hAnsi="Arial" w:cs="Arial"/>
          <w:sz w:val="24"/>
          <w:szCs w:val="24"/>
          <w:lang w:val="en-US"/>
        </w:rPr>
        <w:t>below</w:t>
      </w:r>
      <w:bookmarkStart w:id="1" w:name="_GoBack"/>
      <w:r w:rsidR="00D61C0E">
        <w:rPr>
          <w:rFonts w:ascii="Arial" w:hAnsi="Arial" w:cs="Arial"/>
          <w:sz w:val="24"/>
          <w:szCs w:val="24"/>
          <w:lang w:val="en-US"/>
        </w:rPr>
        <w:t>,</w:t>
      </w:r>
      <w:bookmarkEnd w:id="1"/>
      <w:r w:rsidR="005E4940">
        <w:rPr>
          <w:rFonts w:ascii="Arial" w:hAnsi="Arial" w:cs="Arial"/>
          <w:sz w:val="24"/>
          <w:szCs w:val="24"/>
          <w:lang w:val="en-US"/>
        </w:rPr>
        <w:t xml:space="preserve"> </w:t>
      </w:r>
      <w:r w:rsidR="00A42245">
        <w:rPr>
          <w:rFonts w:ascii="Arial" w:hAnsi="Arial" w:cs="Arial"/>
          <w:sz w:val="24"/>
          <w:szCs w:val="24"/>
          <w:lang w:val="en-US"/>
        </w:rPr>
        <w:t>for the foregone revenue rate rider</w:t>
      </w:r>
      <w:r w:rsidR="00D61C0E">
        <w:rPr>
          <w:rFonts w:ascii="Arial" w:hAnsi="Arial" w:cs="Arial"/>
          <w:sz w:val="24"/>
          <w:szCs w:val="24"/>
          <w:lang w:val="en-US"/>
        </w:rPr>
        <w:t>(</w:t>
      </w:r>
      <w:r w:rsidR="00A42245">
        <w:rPr>
          <w:rFonts w:ascii="Arial" w:hAnsi="Arial" w:cs="Arial"/>
          <w:sz w:val="24"/>
          <w:szCs w:val="24"/>
          <w:lang w:val="en-US"/>
        </w:rPr>
        <w:t>s</w:t>
      </w:r>
      <w:r w:rsidR="00D61C0E">
        <w:rPr>
          <w:rFonts w:ascii="Arial" w:hAnsi="Arial" w:cs="Arial"/>
          <w:sz w:val="24"/>
          <w:szCs w:val="24"/>
          <w:lang w:val="en-US"/>
        </w:rPr>
        <w:t>), is appropriate for Greater Sudbury Hydro’s circumstances</w:t>
      </w:r>
      <w:r w:rsidR="00A42245">
        <w:rPr>
          <w:rFonts w:ascii="Arial" w:hAnsi="Arial" w:cs="Arial"/>
          <w:sz w:val="24"/>
          <w:szCs w:val="24"/>
          <w:lang w:val="en-US"/>
        </w:rPr>
        <w:t xml:space="preserve">. If </w:t>
      </w:r>
      <w:r w:rsidR="00004D3A">
        <w:rPr>
          <w:rFonts w:ascii="Arial" w:hAnsi="Arial" w:cs="Arial"/>
          <w:sz w:val="24"/>
          <w:szCs w:val="24"/>
          <w:lang w:val="en-US"/>
        </w:rPr>
        <w:t>so</w:t>
      </w:r>
      <w:r w:rsidR="00A42245">
        <w:rPr>
          <w:rFonts w:ascii="Arial" w:hAnsi="Arial" w:cs="Arial"/>
          <w:sz w:val="24"/>
          <w:szCs w:val="24"/>
          <w:lang w:val="en-US"/>
        </w:rPr>
        <w:t xml:space="preserve">, OEB staff will </w:t>
      </w:r>
      <w:r w:rsidR="00A42245">
        <w:rPr>
          <w:rFonts w:ascii="Arial" w:hAnsi="Arial" w:cs="Arial"/>
          <w:sz w:val="24"/>
          <w:szCs w:val="24"/>
          <w:lang w:val="en-US"/>
        </w:rPr>
        <w:lastRenderedPageBreak/>
        <w:t>update the Rate Generator Model</w:t>
      </w:r>
      <w:r w:rsidR="00D61C0E">
        <w:rPr>
          <w:rFonts w:ascii="Arial" w:hAnsi="Arial" w:cs="Arial"/>
          <w:sz w:val="24"/>
          <w:szCs w:val="24"/>
          <w:lang w:val="en-US"/>
        </w:rPr>
        <w:t xml:space="preserve"> accordingly</w:t>
      </w:r>
      <w:r w:rsidR="00A42245">
        <w:rPr>
          <w:rFonts w:ascii="Arial" w:hAnsi="Arial" w:cs="Arial"/>
          <w:sz w:val="24"/>
          <w:szCs w:val="24"/>
          <w:lang w:val="en-US"/>
        </w:rPr>
        <w:t>. If no</w:t>
      </w:r>
      <w:r w:rsidR="00004D3A">
        <w:rPr>
          <w:rFonts w:ascii="Arial" w:hAnsi="Arial" w:cs="Arial"/>
          <w:sz w:val="24"/>
          <w:szCs w:val="24"/>
          <w:lang w:val="en-US"/>
        </w:rPr>
        <w:t>t</w:t>
      </w:r>
      <w:r w:rsidR="007F632F">
        <w:rPr>
          <w:rFonts w:ascii="Arial" w:hAnsi="Arial" w:cs="Arial"/>
          <w:sz w:val="24"/>
          <w:szCs w:val="24"/>
          <w:lang w:val="en-US"/>
        </w:rPr>
        <w:t>,</w:t>
      </w:r>
      <w:r w:rsidR="00A42245">
        <w:rPr>
          <w:rFonts w:ascii="Arial" w:hAnsi="Arial" w:cs="Arial"/>
          <w:sz w:val="24"/>
          <w:szCs w:val="24"/>
          <w:lang w:val="en-US"/>
        </w:rPr>
        <w:t xml:space="preserve"> please provide </w:t>
      </w:r>
      <w:r w:rsidR="00004D3A">
        <w:rPr>
          <w:rFonts w:ascii="Arial" w:hAnsi="Arial" w:cs="Arial"/>
          <w:sz w:val="24"/>
          <w:szCs w:val="24"/>
          <w:lang w:val="en-US"/>
        </w:rPr>
        <w:t xml:space="preserve">proposed </w:t>
      </w:r>
      <w:r w:rsidR="00A42245">
        <w:rPr>
          <w:rFonts w:ascii="Arial" w:hAnsi="Arial" w:cs="Arial"/>
          <w:sz w:val="24"/>
          <w:szCs w:val="24"/>
          <w:lang w:val="en-US"/>
        </w:rPr>
        <w:t>alternate wording</w:t>
      </w:r>
      <w:r w:rsidR="00D61C0E">
        <w:rPr>
          <w:rFonts w:ascii="Arial" w:hAnsi="Arial" w:cs="Arial"/>
          <w:sz w:val="24"/>
          <w:szCs w:val="24"/>
          <w:lang w:val="en-US"/>
        </w:rPr>
        <w:t xml:space="preserve"> and rationale</w:t>
      </w:r>
      <w:r w:rsidR="00A42245">
        <w:rPr>
          <w:rFonts w:ascii="Arial" w:hAnsi="Arial" w:cs="Arial"/>
          <w:sz w:val="24"/>
          <w:szCs w:val="24"/>
          <w:lang w:val="en-US"/>
        </w:rPr>
        <w:t>.</w:t>
      </w:r>
    </w:p>
    <w:p w14:paraId="454B6015" w14:textId="55F38116" w:rsidR="00A42245" w:rsidRPr="00A42245" w:rsidRDefault="00A42245" w:rsidP="00D93C1F">
      <w:pPr>
        <w:autoSpaceDE w:val="0"/>
        <w:autoSpaceDN w:val="0"/>
        <w:adjustRightInd w:val="0"/>
        <w:spacing w:line="240" w:lineRule="auto"/>
        <w:ind w:left="1080"/>
        <w:rPr>
          <w:rFonts w:ascii="Arial" w:hAnsi="Arial" w:cs="Arial"/>
          <w:color w:val="000000"/>
          <w:sz w:val="24"/>
          <w:szCs w:val="24"/>
          <w:lang w:val="en-US"/>
        </w:rPr>
      </w:pPr>
      <w:r>
        <w:rPr>
          <w:rFonts w:ascii="Arial" w:hAnsi="Arial" w:cs="Arial"/>
          <w:color w:val="000000"/>
          <w:sz w:val="24"/>
          <w:szCs w:val="24"/>
          <w:lang w:val="en-US"/>
        </w:rPr>
        <w:t>“</w:t>
      </w:r>
      <w:r w:rsidRPr="00A42245">
        <w:rPr>
          <w:rFonts w:ascii="Arial" w:hAnsi="Arial" w:cs="Arial"/>
          <w:color w:val="000000"/>
          <w:sz w:val="24"/>
          <w:szCs w:val="24"/>
          <w:lang w:val="en-US"/>
        </w:rPr>
        <w:t>Rate Rider for Recovery of COVID-19 Forgone Revenue from Postponing Rate Implementation</w:t>
      </w:r>
      <w:r w:rsidR="007F632F">
        <w:rPr>
          <w:rFonts w:ascii="Arial" w:hAnsi="Arial" w:cs="Arial"/>
          <w:color w:val="000000"/>
          <w:sz w:val="24"/>
          <w:szCs w:val="24"/>
          <w:lang w:val="en-US"/>
        </w:rPr>
        <w:t xml:space="preserve"> </w:t>
      </w:r>
      <w:r w:rsidRPr="00A42245">
        <w:rPr>
          <w:rFonts w:ascii="Arial" w:hAnsi="Arial" w:cs="Arial"/>
          <w:color w:val="000000"/>
          <w:sz w:val="24"/>
          <w:szCs w:val="24"/>
          <w:lang w:val="en-US"/>
        </w:rPr>
        <w:t>- effective from May 1, 2021 and effective until April 30, 2022</w:t>
      </w:r>
      <w:r>
        <w:rPr>
          <w:rFonts w:ascii="Arial" w:hAnsi="Arial" w:cs="Arial"/>
          <w:color w:val="000000"/>
          <w:sz w:val="24"/>
          <w:szCs w:val="24"/>
          <w:lang w:val="en-US"/>
        </w:rPr>
        <w:t>”</w:t>
      </w:r>
    </w:p>
    <w:p w14:paraId="71D88C97" w14:textId="77777777" w:rsidR="008408C7" w:rsidRDefault="008408C7" w:rsidP="00BF599C">
      <w:pPr>
        <w:rPr>
          <w:rFonts w:ascii="Arial" w:hAnsi="Arial" w:cs="Arial"/>
          <w:b/>
          <w:sz w:val="24"/>
          <w:szCs w:val="24"/>
        </w:rPr>
      </w:pPr>
    </w:p>
    <w:p w14:paraId="5A818F18" w14:textId="055FB8D6" w:rsidR="00BF599C" w:rsidRDefault="00BF599C" w:rsidP="00BF599C">
      <w:pPr>
        <w:rPr>
          <w:rFonts w:ascii="Arial" w:hAnsi="Arial" w:cs="Arial"/>
          <w:b/>
          <w:sz w:val="24"/>
          <w:szCs w:val="24"/>
        </w:rPr>
      </w:pPr>
      <w:r>
        <w:rPr>
          <w:rFonts w:ascii="Arial" w:hAnsi="Arial" w:cs="Arial"/>
          <w:b/>
          <w:sz w:val="24"/>
          <w:szCs w:val="24"/>
        </w:rPr>
        <w:t>Staff Question-</w:t>
      </w:r>
      <w:r w:rsidR="00D93C1F">
        <w:rPr>
          <w:rFonts w:ascii="Arial" w:hAnsi="Arial" w:cs="Arial"/>
          <w:b/>
          <w:sz w:val="24"/>
          <w:szCs w:val="24"/>
        </w:rPr>
        <w:t>5</w:t>
      </w:r>
    </w:p>
    <w:p w14:paraId="2DEDB9A7" w14:textId="449F6E7A" w:rsidR="00490B56" w:rsidRDefault="00BF599C" w:rsidP="00490B56">
      <w:pPr>
        <w:spacing w:after="0" w:line="240" w:lineRule="auto"/>
        <w:rPr>
          <w:rFonts w:ascii="Arial" w:hAnsi="Arial" w:cs="Arial"/>
          <w:b/>
          <w:sz w:val="24"/>
          <w:szCs w:val="24"/>
          <w:lang w:val="en-US"/>
        </w:rPr>
      </w:pPr>
      <w:r w:rsidRPr="00BF599C">
        <w:rPr>
          <w:rFonts w:ascii="Arial" w:hAnsi="Arial" w:cs="Arial"/>
          <w:b/>
          <w:sz w:val="24"/>
          <w:szCs w:val="24"/>
          <w:lang w:val="en-US"/>
        </w:rPr>
        <w:t>Ref:</w:t>
      </w:r>
      <w:r w:rsidR="004B78E4">
        <w:rPr>
          <w:rFonts w:ascii="Arial" w:hAnsi="Arial" w:cs="Arial"/>
          <w:b/>
          <w:sz w:val="24"/>
          <w:szCs w:val="24"/>
          <w:lang w:val="en-US"/>
        </w:rPr>
        <w:t xml:space="preserve"> </w:t>
      </w:r>
      <w:r w:rsidR="00D93C1F">
        <w:rPr>
          <w:rFonts w:ascii="Arial" w:hAnsi="Arial" w:cs="Arial"/>
          <w:b/>
          <w:sz w:val="24"/>
          <w:szCs w:val="24"/>
          <w:lang w:val="en-US"/>
        </w:rPr>
        <w:t>Manager’s Summary</w:t>
      </w:r>
      <w:r w:rsidR="004B78E4">
        <w:rPr>
          <w:rFonts w:ascii="Arial" w:hAnsi="Arial" w:cs="Arial"/>
          <w:b/>
          <w:sz w:val="24"/>
          <w:szCs w:val="24"/>
          <w:lang w:val="en-US"/>
        </w:rPr>
        <w:t xml:space="preserve">, </w:t>
      </w:r>
      <w:r w:rsidR="00D93C1F">
        <w:rPr>
          <w:rFonts w:ascii="Arial" w:hAnsi="Arial" w:cs="Arial"/>
          <w:b/>
          <w:sz w:val="24"/>
          <w:szCs w:val="24"/>
          <w:lang w:val="en-US"/>
        </w:rPr>
        <w:t>pp. 16-18</w:t>
      </w:r>
    </w:p>
    <w:p w14:paraId="375B7C1D" w14:textId="662C6C7A" w:rsidR="00BF599C" w:rsidRDefault="00D93C1F" w:rsidP="00490B56">
      <w:pPr>
        <w:spacing w:line="240" w:lineRule="auto"/>
        <w:ind w:left="533"/>
        <w:rPr>
          <w:rFonts w:ascii="Arial" w:hAnsi="Arial" w:cs="Arial"/>
          <w:b/>
          <w:sz w:val="24"/>
          <w:szCs w:val="24"/>
          <w:lang w:val="en-US"/>
        </w:rPr>
      </w:pPr>
      <w:r>
        <w:rPr>
          <w:rFonts w:ascii="Arial" w:hAnsi="Arial" w:cs="Arial"/>
          <w:b/>
          <w:sz w:val="24"/>
          <w:szCs w:val="24"/>
          <w:lang w:val="en-US"/>
        </w:rPr>
        <w:t>Capital Module – Applicable to ACM and ICM</w:t>
      </w:r>
    </w:p>
    <w:p w14:paraId="0EA7C67D" w14:textId="216DFBDD" w:rsidR="00D93C1F" w:rsidRPr="00D93C1F" w:rsidRDefault="00D93C1F" w:rsidP="00D93C1F">
      <w:pPr>
        <w:rPr>
          <w:rFonts w:ascii="Arial" w:hAnsi="Arial" w:cs="Arial"/>
          <w:bCs/>
          <w:sz w:val="24"/>
          <w:szCs w:val="24"/>
          <w:lang w:val="en-US"/>
        </w:rPr>
      </w:pPr>
      <w:r w:rsidRPr="00D93C1F">
        <w:rPr>
          <w:rFonts w:ascii="Arial" w:hAnsi="Arial" w:cs="Arial"/>
          <w:bCs/>
          <w:sz w:val="24"/>
          <w:szCs w:val="24"/>
          <w:lang w:val="en-US"/>
        </w:rPr>
        <w:t xml:space="preserve">Greater Sudbury Hydro provided updated cost estimates in the ACM Model and stated that the costs included in the ACM Model have increased by 3.6%. Greater Sudbury Hydro </w:t>
      </w:r>
      <w:r>
        <w:rPr>
          <w:rFonts w:ascii="Arial" w:hAnsi="Arial" w:cs="Arial"/>
          <w:bCs/>
          <w:sz w:val="24"/>
          <w:szCs w:val="24"/>
          <w:lang w:val="en-US"/>
        </w:rPr>
        <w:t xml:space="preserve">further </w:t>
      </w:r>
      <w:r w:rsidRPr="00D93C1F">
        <w:rPr>
          <w:rFonts w:ascii="Arial" w:hAnsi="Arial" w:cs="Arial"/>
          <w:bCs/>
          <w:sz w:val="24"/>
          <w:szCs w:val="24"/>
          <w:lang w:val="en-US"/>
        </w:rPr>
        <w:t>note</w:t>
      </w:r>
      <w:r>
        <w:rPr>
          <w:rFonts w:ascii="Arial" w:hAnsi="Arial" w:cs="Arial"/>
          <w:bCs/>
          <w:sz w:val="24"/>
          <w:szCs w:val="24"/>
          <w:lang w:val="en-US"/>
        </w:rPr>
        <w:t>d</w:t>
      </w:r>
      <w:r w:rsidRPr="00D93C1F">
        <w:rPr>
          <w:rFonts w:ascii="Arial" w:hAnsi="Arial" w:cs="Arial"/>
          <w:bCs/>
          <w:sz w:val="24"/>
          <w:szCs w:val="24"/>
          <w:lang w:val="en-US"/>
        </w:rPr>
        <w:t xml:space="preserve"> that this is well</w:t>
      </w:r>
      <w:r>
        <w:rPr>
          <w:rFonts w:ascii="Arial" w:hAnsi="Arial" w:cs="Arial"/>
          <w:bCs/>
          <w:sz w:val="24"/>
          <w:szCs w:val="24"/>
          <w:lang w:val="en-US"/>
        </w:rPr>
        <w:t xml:space="preserve"> </w:t>
      </w:r>
      <w:r w:rsidRPr="00D93C1F">
        <w:rPr>
          <w:rFonts w:ascii="Arial" w:hAnsi="Arial" w:cs="Arial"/>
          <w:bCs/>
          <w:sz w:val="24"/>
          <w:szCs w:val="24"/>
          <w:lang w:val="en-US"/>
        </w:rPr>
        <w:t>within the 30% threshold indicated in the IRM Filing Guidelines that would require a distributor</w:t>
      </w:r>
      <w:r>
        <w:rPr>
          <w:rFonts w:ascii="Arial" w:hAnsi="Arial" w:cs="Arial"/>
          <w:bCs/>
          <w:sz w:val="24"/>
          <w:szCs w:val="24"/>
          <w:lang w:val="en-US"/>
        </w:rPr>
        <w:t xml:space="preserve"> </w:t>
      </w:r>
      <w:r w:rsidRPr="00D93C1F">
        <w:rPr>
          <w:rFonts w:ascii="Arial" w:hAnsi="Arial" w:cs="Arial"/>
          <w:bCs/>
          <w:sz w:val="24"/>
          <w:szCs w:val="24"/>
          <w:lang w:val="en-US"/>
        </w:rPr>
        <w:t>to treat the project as a new ICM project if the applied for costs exceeded the projections</w:t>
      </w:r>
      <w:r>
        <w:rPr>
          <w:rFonts w:ascii="Arial" w:hAnsi="Arial" w:cs="Arial"/>
          <w:bCs/>
          <w:sz w:val="24"/>
          <w:szCs w:val="24"/>
          <w:lang w:val="en-US"/>
        </w:rPr>
        <w:t xml:space="preserve"> </w:t>
      </w:r>
      <w:r w:rsidRPr="00D93C1F">
        <w:rPr>
          <w:rFonts w:ascii="Arial" w:hAnsi="Arial" w:cs="Arial"/>
          <w:bCs/>
          <w:sz w:val="24"/>
          <w:szCs w:val="24"/>
          <w:lang w:val="en-US"/>
        </w:rPr>
        <w:t>or approval of the ACM in the Cost of Service by 30%. Please provide</w:t>
      </w:r>
      <w:r>
        <w:rPr>
          <w:rFonts w:ascii="Arial" w:hAnsi="Arial" w:cs="Arial"/>
          <w:bCs/>
          <w:sz w:val="24"/>
          <w:szCs w:val="24"/>
          <w:lang w:val="en-US"/>
        </w:rPr>
        <w:t xml:space="preserve"> </w:t>
      </w:r>
      <w:r w:rsidRPr="00D93C1F">
        <w:rPr>
          <w:rFonts w:ascii="Arial" w:hAnsi="Arial" w:cs="Arial"/>
          <w:bCs/>
          <w:sz w:val="24"/>
          <w:szCs w:val="24"/>
          <w:lang w:val="en-US"/>
        </w:rPr>
        <w:t>details on why costs have increased by 3.6%.</w:t>
      </w:r>
    </w:p>
    <w:p w14:paraId="2D7772F3" w14:textId="2E151465" w:rsidR="00BF599C" w:rsidRDefault="00BF599C" w:rsidP="008E6045">
      <w:pPr>
        <w:rPr>
          <w:rFonts w:ascii="Arial" w:hAnsi="Arial" w:cs="Arial"/>
          <w:b/>
          <w:sz w:val="24"/>
          <w:szCs w:val="24"/>
        </w:rPr>
      </w:pPr>
    </w:p>
    <w:p w14:paraId="1BE53C6E" w14:textId="48D2F352" w:rsidR="00BF599C" w:rsidRDefault="00BF599C" w:rsidP="00BF599C">
      <w:pPr>
        <w:rPr>
          <w:rFonts w:ascii="Arial" w:hAnsi="Arial" w:cs="Arial"/>
          <w:b/>
          <w:sz w:val="24"/>
          <w:szCs w:val="24"/>
        </w:rPr>
      </w:pPr>
      <w:r>
        <w:rPr>
          <w:rFonts w:ascii="Arial" w:hAnsi="Arial" w:cs="Arial"/>
          <w:b/>
          <w:sz w:val="24"/>
          <w:szCs w:val="24"/>
        </w:rPr>
        <w:t>Staff Question-</w:t>
      </w:r>
      <w:r w:rsidR="00D93C1F">
        <w:rPr>
          <w:rFonts w:ascii="Arial" w:hAnsi="Arial" w:cs="Arial"/>
          <w:b/>
          <w:sz w:val="24"/>
          <w:szCs w:val="24"/>
        </w:rPr>
        <w:t>6</w:t>
      </w:r>
    </w:p>
    <w:p w14:paraId="39055D0B" w14:textId="584B6592" w:rsidR="006B1B0B" w:rsidRDefault="006B1B0B" w:rsidP="006B1B0B">
      <w:pPr>
        <w:spacing w:after="0" w:line="240" w:lineRule="auto"/>
        <w:rPr>
          <w:rFonts w:ascii="Arial" w:hAnsi="Arial" w:cs="Arial"/>
          <w:b/>
          <w:sz w:val="24"/>
          <w:szCs w:val="24"/>
          <w:lang w:val="en-US"/>
        </w:rPr>
      </w:pPr>
      <w:r w:rsidRPr="00BF599C">
        <w:rPr>
          <w:rFonts w:ascii="Arial" w:hAnsi="Arial" w:cs="Arial"/>
          <w:b/>
          <w:sz w:val="24"/>
          <w:szCs w:val="24"/>
          <w:lang w:val="en-US"/>
        </w:rPr>
        <w:t>Ref:</w:t>
      </w:r>
      <w:r>
        <w:rPr>
          <w:rFonts w:ascii="Arial" w:hAnsi="Arial" w:cs="Arial"/>
          <w:b/>
          <w:sz w:val="24"/>
          <w:szCs w:val="24"/>
          <w:lang w:val="en-US"/>
        </w:rPr>
        <w:t xml:space="preserve"> GA Analysis </w:t>
      </w:r>
      <w:proofErr w:type="spellStart"/>
      <w:r>
        <w:rPr>
          <w:rFonts w:ascii="Arial" w:hAnsi="Arial" w:cs="Arial"/>
          <w:b/>
          <w:sz w:val="24"/>
          <w:szCs w:val="24"/>
          <w:lang w:val="en-US"/>
        </w:rPr>
        <w:t>Workform</w:t>
      </w:r>
      <w:proofErr w:type="spellEnd"/>
    </w:p>
    <w:p w14:paraId="1DCF4996" w14:textId="357ACAA3" w:rsidR="006B1B0B" w:rsidRDefault="006B1B0B" w:rsidP="006B1B0B">
      <w:pPr>
        <w:spacing w:line="240" w:lineRule="auto"/>
        <w:ind w:left="533"/>
        <w:rPr>
          <w:rFonts w:ascii="Arial" w:hAnsi="Arial" w:cs="Arial"/>
          <w:b/>
          <w:sz w:val="24"/>
          <w:szCs w:val="24"/>
          <w:lang w:val="en-US"/>
        </w:rPr>
      </w:pPr>
      <w:r>
        <w:rPr>
          <w:rFonts w:ascii="Arial" w:hAnsi="Arial" w:cs="Arial"/>
          <w:b/>
          <w:sz w:val="24"/>
          <w:szCs w:val="24"/>
          <w:lang w:val="en-US"/>
        </w:rPr>
        <w:t xml:space="preserve">Greater Sudbury Hydro’s </w:t>
      </w:r>
      <w:r>
        <w:rPr>
          <w:rFonts w:ascii="Arial" w:hAnsi="Arial" w:cs="Arial"/>
          <w:b/>
          <w:bCs/>
          <w:sz w:val="24"/>
          <w:szCs w:val="24"/>
        </w:rPr>
        <w:t>2020 Cost-of-Service Decision and Order (EB-2019-0037)</w:t>
      </w:r>
    </w:p>
    <w:p w14:paraId="1CEB3D34" w14:textId="23DA314F" w:rsidR="006B1B0B" w:rsidRPr="00150D9E" w:rsidRDefault="006B1B0B" w:rsidP="006B1B0B">
      <w:pPr>
        <w:pStyle w:val="ListParagraph"/>
        <w:autoSpaceDE w:val="0"/>
        <w:autoSpaceDN w:val="0"/>
        <w:adjustRightInd w:val="0"/>
        <w:spacing w:after="0" w:line="240" w:lineRule="auto"/>
        <w:ind w:left="0"/>
        <w:rPr>
          <w:rFonts w:ascii="Arial" w:hAnsi="Arial" w:cs="Arial"/>
          <w:sz w:val="24"/>
          <w:szCs w:val="24"/>
        </w:rPr>
      </w:pPr>
      <w:r>
        <w:rPr>
          <w:rFonts w:ascii="Arial" w:hAnsi="Arial" w:cs="Arial"/>
          <w:sz w:val="24"/>
          <w:szCs w:val="24"/>
        </w:rPr>
        <w:t xml:space="preserve">On the GA analysis </w:t>
      </w:r>
      <w:proofErr w:type="spellStart"/>
      <w:r w:rsidR="00D61C0E">
        <w:rPr>
          <w:rFonts w:ascii="Arial" w:hAnsi="Arial" w:cs="Arial"/>
          <w:sz w:val="24"/>
          <w:szCs w:val="24"/>
        </w:rPr>
        <w:t>W</w:t>
      </w:r>
      <w:r>
        <w:rPr>
          <w:rFonts w:ascii="Arial" w:hAnsi="Arial" w:cs="Arial"/>
          <w:sz w:val="24"/>
          <w:szCs w:val="24"/>
        </w:rPr>
        <w:t>orkform</w:t>
      </w:r>
      <w:proofErr w:type="spellEnd"/>
      <w:r>
        <w:rPr>
          <w:rFonts w:ascii="Arial" w:hAnsi="Arial" w:cs="Arial"/>
          <w:sz w:val="24"/>
          <w:szCs w:val="24"/>
        </w:rPr>
        <w:t>, Greater Sudbury Hydro entered 1.054 for the cell “</w:t>
      </w:r>
      <w:r w:rsidRPr="00150D9E">
        <w:rPr>
          <w:rFonts w:ascii="Arial" w:hAnsi="Arial" w:cs="Arial"/>
          <w:sz w:val="24"/>
          <w:szCs w:val="24"/>
        </w:rPr>
        <w:t>Most Recent Approved Loss Factor for Secondary Metered Customer &lt; 5,000kW</w:t>
      </w:r>
      <w:r>
        <w:rPr>
          <w:rFonts w:ascii="Arial" w:hAnsi="Arial" w:cs="Arial"/>
          <w:sz w:val="24"/>
          <w:szCs w:val="24"/>
        </w:rPr>
        <w:t xml:space="preserve">”. </w:t>
      </w:r>
    </w:p>
    <w:p w14:paraId="0797B010" w14:textId="77777777" w:rsidR="006B1B0B" w:rsidRDefault="006B1B0B" w:rsidP="006B1B0B">
      <w:pPr>
        <w:pStyle w:val="ListParagraph"/>
        <w:autoSpaceDE w:val="0"/>
        <w:autoSpaceDN w:val="0"/>
        <w:adjustRightInd w:val="0"/>
        <w:spacing w:after="0" w:line="240" w:lineRule="auto"/>
        <w:ind w:left="0"/>
        <w:rPr>
          <w:rFonts w:ascii="Arial" w:hAnsi="Arial" w:cs="Arial"/>
          <w:sz w:val="24"/>
          <w:szCs w:val="24"/>
        </w:rPr>
      </w:pPr>
    </w:p>
    <w:p w14:paraId="614A03D1" w14:textId="77777777" w:rsidR="006B1B0B" w:rsidRDefault="006B1B0B" w:rsidP="006B1B0B">
      <w:pPr>
        <w:pStyle w:val="ListParagraph"/>
        <w:autoSpaceDE w:val="0"/>
        <w:autoSpaceDN w:val="0"/>
        <w:adjustRightInd w:val="0"/>
        <w:spacing w:after="0" w:line="240" w:lineRule="auto"/>
        <w:ind w:left="0"/>
        <w:rPr>
          <w:rFonts w:ascii="Arial" w:hAnsi="Arial" w:cs="Arial"/>
          <w:sz w:val="24"/>
          <w:szCs w:val="24"/>
        </w:rPr>
      </w:pPr>
      <w:r>
        <w:rPr>
          <w:rFonts w:ascii="Arial" w:hAnsi="Arial" w:cs="Arial"/>
          <w:sz w:val="24"/>
          <w:szCs w:val="24"/>
        </w:rPr>
        <w:t xml:space="preserve">OEB staff notes from the approved tariff and rates in Greater Sudbury Hydro’s 2020 </w:t>
      </w:r>
      <w:proofErr w:type="spellStart"/>
      <w:r>
        <w:rPr>
          <w:rFonts w:ascii="Arial" w:hAnsi="Arial" w:cs="Arial"/>
          <w:sz w:val="24"/>
          <w:szCs w:val="24"/>
        </w:rPr>
        <w:t>CoS</w:t>
      </w:r>
      <w:proofErr w:type="spellEnd"/>
      <w:r>
        <w:rPr>
          <w:rFonts w:ascii="Arial" w:hAnsi="Arial" w:cs="Arial"/>
          <w:sz w:val="24"/>
          <w:szCs w:val="24"/>
        </w:rPr>
        <w:t xml:space="preserve"> decision and order EB-2019-0037 that the approved loss factor is 1.0047. </w:t>
      </w:r>
    </w:p>
    <w:p w14:paraId="6F8156FE" w14:textId="77777777" w:rsidR="006B1B0B" w:rsidRDefault="006B1B0B" w:rsidP="006B1B0B">
      <w:pPr>
        <w:pStyle w:val="ListParagraph"/>
        <w:autoSpaceDE w:val="0"/>
        <w:autoSpaceDN w:val="0"/>
        <w:adjustRightInd w:val="0"/>
        <w:spacing w:after="0" w:line="240" w:lineRule="auto"/>
        <w:ind w:left="0"/>
        <w:rPr>
          <w:rFonts w:ascii="Arial" w:hAnsi="Arial" w:cs="Arial"/>
          <w:sz w:val="24"/>
          <w:szCs w:val="24"/>
        </w:rPr>
      </w:pPr>
    </w:p>
    <w:p w14:paraId="000D5E3F" w14:textId="4FF347F5" w:rsidR="00BF599C" w:rsidRDefault="006B1B0B" w:rsidP="006B1B0B">
      <w:pPr>
        <w:rPr>
          <w:rFonts w:ascii="Arial" w:hAnsi="Arial" w:cs="Arial"/>
          <w:b/>
          <w:sz w:val="24"/>
          <w:szCs w:val="24"/>
        </w:rPr>
      </w:pPr>
      <w:r>
        <w:rPr>
          <w:rFonts w:ascii="Arial" w:hAnsi="Arial" w:cs="Arial"/>
          <w:sz w:val="24"/>
          <w:szCs w:val="24"/>
        </w:rPr>
        <w:t>Greater Sudbury Hydro has one reconciling item (#4) for “Differences in actual system losses and billed TLFs” of $327,087.</w:t>
      </w:r>
    </w:p>
    <w:p w14:paraId="53AD84B9" w14:textId="04A266B0" w:rsidR="006B1B0B" w:rsidRDefault="006B1B0B" w:rsidP="006B1B0B">
      <w:pPr>
        <w:pStyle w:val="ListParagraph"/>
        <w:numPr>
          <w:ilvl w:val="0"/>
          <w:numId w:val="33"/>
        </w:numPr>
        <w:autoSpaceDE w:val="0"/>
        <w:autoSpaceDN w:val="0"/>
        <w:adjustRightInd w:val="0"/>
        <w:spacing w:after="0" w:line="240" w:lineRule="auto"/>
        <w:rPr>
          <w:rFonts w:ascii="Arial" w:hAnsi="Arial" w:cs="Arial"/>
          <w:sz w:val="24"/>
          <w:szCs w:val="24"/>
        </w:rPr>
      </w:pPr>
      <w:r>
        <w:rPr>
          <w:rFonts w:ascii="Arial" w:hAnsi="Arial" w:cs="Arial"/>
          <w:sz w:val="24"/>
          <w:szCs w:val="24"/>
        </w:rPr>
        <w:t>Please confirm that the cell “</w:t>
      </w:r>
      <w:r w:rsidRPr="00150D9E">
        <w:rPr>
          <w:rFonts w:ascii="Arial" w:hAnsi="Arial" w:cs="Arial"/>
          <w:sz w:val="24"/>
          <w:szCs w:val="24"/>
        </w:rPr>
        <w:t>Most Recent Approved Loss Factor for Secondary Metered Customer &lt; 5,000kW</w:t>
      </w:r>
      <w:r>
        <w:rPr>
          <w:rFonts w:ascii="Arial" w:hAnsi="Arial" w:cs="Arial"/>
          <w:sz w:val="24"/>
          <w:szCs w:val="24"/>
        </w:rPr>
        <w:t xml:space="preserve">” should have the number of 1.0047. If confirmed, please update the GA analysis </w:t>
      </w:r>
      <w:proofErr w:type="spellStart"/>
      <w:r w:rsidR="00D61C0E">
        <w:rPr>
          <w:rFonts w:ascii="Arial" w:hAnsi="Arial" w:cs="Arial"/>
          <w:sz w:val="24"/>
          <w:szCs w:val="24"/>
        </w:rPr>
        <w:t>W</w:t>
      </w:r>
      <w:r>
        <w:rPr>
          <w:rFonts w:ascii="Arial" w:hAnsi="Arial" w:cs="Arial"/>
          <w:sz w:val="24"/>
          <w:szCs w:val="24"/>
        </w:rPr>
        <w:t>orkform</w:t>
      </w:r>
      <w:proofErr w:type="spellEnd"/>
      <w:r>
        <w:rPr>
          <w:rFonts w:ascii="Arial" w:hAnsi="Arial" w:cs="Arial"/>
          <w:sz w:val="24"/>
          <w:szCs w:val="24"/>
        </w:rPr>
        <w:t>.</w:t>
      </w:r>
    </w:p>
    <w:p w14:paraId="42C97F1B" w14:textId="77777777" w:rsidR="006B1B0B" w:rsidRDefault="006B1B0B" w:rsidP="006B1B0B">
      <w:pPr>
        <w:pStyle w:val="ListParagraph"/>
        <w:numPr>
          <w:ilvl w:val="0"/>
          <w:numId w:val="33"/>
        </w:numPr>
        <w:autoSpaceDE w:val="0"/>
        <w:autoSpaceDN w:val="0"/>
        <w:adjustRightInd w:val="0"/>
        <w:spacing w:line="240" w:lineRule="auto"/>
        <w:rPr>
          <w:rFonts w:ascii="Arial" w:hAnsi="Arial" w:cs="Arial"/>
          <w:sz w:val="24"/>
          <w:szCs w:val="24"/>
        </w:rPr>
      </w:pPr>
      <w:r>
        <w:rPr>
          <w:rFonts w:ascii="Arial" w:hAnsi="Arial" w:cs="Arial"/>
          <w:sz w:val="24"/>
          <w:szCs w:val="24"/>
        </w:rPr>
        <w:t xml:space="preserve">Please provide the calculation for the differences in actual system losses and billed TLFs of $327,087. </w:t>
      </w:r>
    </w:p>
    <w:p w14:paraId="47003A2A" w14:textId="39395BE8" w:rsidR="00BF599C" w:rsidRDefault="00BF599C" w:rsidP="008E6045">
      <w:pPr>
        <w:rPr>
          <w:rFonts w:ascii="Arial" w:hAnsi="Arial" w:cs="Arial"/>
          <w:b/>
          <w:sz w:val="24"/>
          <w:szCs w:val="24"/>
        </w:rPr>
      </w:pPr>
    </w:p>
    <w:p w14:paraId="0CEB1709" w14:textId="24150313" w:rsidR="006B1B0B" w:rsidRDefault="006B1B0B" w:rsidP="006B1B0B">
      <w:pPr>
        <w:rPr>
          <w:rFonts w:ascii="Arial" w:hAnsi="Arial" w:cs="Arial"/>
          <w:b/>
          <w:sz w:val="24"/>
          <w:szCs w:val="24"/>
        </w:rPr>
      </w:pPr>
      <w:r>
        <w:rPr>
          <w:rFonts w:ascii="Arial" w:hAnsi="Arial" w:cs="Arial"/>
          <w:b/>
          <w:sz w:val="24"/>
          <w:szCs w:val="24"/>
        </w:rPr>
        <w:t>Staff Question-7</w:t>
      </w:r>
    </w:p>
    <w:p w14:paraId="31DF680C" w14:textId="415E679D" w:rsidR="006B1B0B" w:rsidRDefault="006B1B0B" w:rsidP="006B1B0B">
      <w:pPr>
        <w:spacing w:after="0" w:line="240" w:lineRule="auto"/>
        <w:rPr>
          <w:rFonts w:ascii="Arial" w:hAnsi="Arial" w:cs="Arial"/>
          <w:b/>
          <w:sz w:val="24"/>
          <w:szCs w:val="24"/>
          <w:lang w:val="en-US"/>
        </w:rPr>
      </w:pPr>
      <w:r w:rsidRPr="00BF599C">
        <w:rPr>
          <w:rFonts w:ascii="Arial" w:hAnsi="Arial" w:cs="Arial"/>
          <w:b/>
          <w:sz w:val="24"/>
          <w:szCs w:val="24"/>
          <w:lang w:val="en-US"/>
        </w:rPr>
        <w:lastRenderedPageBreak/>
        <w:t>Ref:</w:t>
      </w:r>
      <w:r>
        <w:rPr>
          <w:rFonts w:ascii="Arial" w:hAnsi="Arial" w:cs="Arial"/>
          <w:b/>
          <w:sz w:val="24"/>
          <w:szCs w:val="24"/>
          <w:lang w:val="en-US"/>
        </w:rPr>
        <w:t xml:space="preserve"> Manager’s Summary, p. 13</w:t>
      </w:r>
    </w:p>
    <w:p w14:paraId="5DB9D40A" w14:textId="3D0873F3" w:rsidR="006B1B0B" w:rsidRDefault="006B1B0B" w:rsidP="006B1B0B">
      <w:pPr>
        <w:spacing w:after="0" w:line="240" w:lineRule="auto"/>
        <w:rPr>
          <w:rFonts w:ascii="Arial" w:hAnsi="Arial" w:cs="Arial"/>
          <w:b/>
          <w:sz w:val="24"/>
          <w:szCs w:val="24"/>
          <w:lang w:val="en-US"/>
        </w:rPr>
      </w:pPr>
    </w:p>
    <w:p w14:paraId="43335D14" w14:textId="77777777" w:rsidR="006B1B0B" w:rsidRDefault="006B1B0B" w:rsidP="006B1B0B">
      <w:pPr>
        <w:autoSpaceDE w:val="0"/>
        <w:autoSpaceDN w:val="0"/>
        <w:adjustRightInd w:val="0"/>
        <w:spacing w:after="0" w:line="240" w:lineRule="auto"/>
        <w:rPr>
          <w:rFonts w:ascii="Arial" w:hAnsi="Arial" w:cs="Arial"/>
          <w:sz w:val="24"/>
          <w:szCs w:val="24"/>
        </w:rPr>
      </w:pPr>
      <w:r>
        <w:rPr>
          <w:rFonts w:ascii="Arial" w:hAnsi="Arial" w:cs="Arial"/>
          <w:sz w:val="24"/>
          <w:szCs w:val="24"/>
        </w:rPr>
        <w:t>Greater Sudbury Hydro states that:</w:t>
      </w:r>
    </w:p>
    <w:p w14:paraId="248693CC" w14:textId="77777777" w:rsidR="006B1B0B" w:rsidRDefault="006B1B0B" w:rsidP="006B1B0B">
      <w:pPr>
        <w:autoSpaceDE w:val="0"/>
        <w:autoSpaceDN w:val="0"/>
        <w:adjustRightInd w:val="0"/>
        <w:spacing w:after="0" w:line="240" w:lineRule="auto"/>
        <w:rPr>
          <w:rFonts w:ascii="Arial" w:hAnsi="Arial" w:cs="Arial"/>
          <w:sz w:val="24"/>
          <w:szCs w:val="24"/>
        </w:rPr>
      </w:pPr>
    </w:p>
    <w:p w14:paraId="59E0B02E" w14:textId="77777777" w:rsidR="006B1B0B" w:rsidRPr="00A76E3C" w:rsidRDefault="006B1B0B" w:rsidP="006B1B0B">
      <w:pPr>
        <w:autoSpaceDE w:val="0"/>
        <w:autoSpaceDN w:val="0"/>
        <w:adjustRightInd w:val="0"/>
        <w:spacing w:after="0" w:line="240" w:lineRule="auto"/>
        <w:rPr>
          <w:rFonts w:ascii="Arial" w:hAnsi="Arial" w:cs="Arial"/>
          <w:sz w:val="24"/>
          <w:szCs w:val="24"/>
          <w:lang w:val="en-US"/>
        </w:rPr>
      </w:pPr>
      <w:r>
        <w:rPr>
          <w:rFonts w:ascii="Arial" w:hAnsi="Arial" w:cs="Arial"/>
          <w:sz w:val="24"/>
          <w:szCs w:val="24"/>
        </w:rPr>
        <w:tab/>
      </w:r>
      <w:r w:rsidRPr="00A76E3C">
        <w:rPr>
          <w:rFonts w:ascii="Arial" w:hAnsi="Arial" w:cs="Arial"/>
          <w:sz w:val="24"/>
          <w:szCs w:val="24"/>
          <w:lang w:val="en-US"/>
        </w:rPr>
        <w:t xml:space="preserve">One component of the February 21st guidance pertains to monthly accrual </w:t>
      </w:r>
      <w:r>
        <w:rPr>
          <w:rFonts w:ascii="Arial" w:hAnsi="Arial" w:cs="Arial"/>
          <w:sz w:val="24"/>
          <w:szCs w:val="24"/>
          <w:lang w:val="en-US"/>
        </w:rPr>
        <w:tab/>
      </w:r>
      <w:r w:rsidRPr="00A76E3C">
        <w:rPr>
          <w:rFonts w:ascii="Arial" w:hAnsi="Arial" w:cs="Arial"/>
          <w:sz w:val="24"/>
          <w:szCs w:val="24"/>
          <w:lang w:val="en-US"/>
        </w:rPr>
        <w:t>entries being made</w:t>
      </w:r>
      <w:r>
        <w:rPr>
          <w:rFonts w:ascii="Arial" w:hAnsi="Arial" w:cs="Arial"/>
          <w:sz w:val="24"/>
          <w:szCs w:val="24"/>
          <w:lang w:val="en-US"/>
        </w:rPr>
        <w:t xml:space="preserve"> </w:t>
      </w:r>
      <w:r w:rsidRPr="00A76E3C">
        <w:rPr>
          <w:rFonts w:ascii="Arial" w:hAnsi="Arial" w:cs="Arial"/>
          <w:sz w:val="24"/>
          <w:szCs w:val="24"/>
          <w:lang w:val="en-US"/>
        </w:rPr>
        <w:t xml:space="preserve">in distributor’s general ledgers with respect to energy sales </w:t>
      </w:r>
      <w:r>
        <w:rPr>
          <w:rFonts w:ascii="Arial" w:hAnsi="Arial" w:cs="Arial"/>
          <w:sz w:val="24"/>
          <w:szCs w:val="24"/>
          <w:lang w:val="en-US"/>
        </w:rPr>
        <w:tab/>
      </w:r>
      <w:r w:rsidRPr="00A76E3C">
        <w:rPr>
          <w:rFonts w:ascii="Arial" w:hAnsi="Arial" w:cs="Arial"/>
          <w:sz w:val="24"/>
          <w:szCs w:val="24"/>
          <w:lang w:val="en-US"/>
        </w:rPr>
        <w:t>and cost of energy. GSHI has not</w:t>
      </w:r>
      <w:r>
        <w:rPr>
          <w:rFonts w:ascii="Arial" w:hAnsi="Arial" w:cs="Arial"/>
          <w:sz w:val="24"/>
          <w:szCs w:val="24"/>
          <w:lang w:val="en-US"/>
        </w:rPr>
        <w:t xml:space="preserve"> </w:t>
      </w:r>
      <w:r w:rsidRPr="00A76E3C">
        <w:rPr>
          <w:rFonts w:ascii="Arial" w:hAnsi="Arial" w:cs="Arial"/>
          <w:sz w:val="24"/>
          <w:szCs w:val="24"/>
          <w:lang w:val="en-US"/>
        </w:rPr>
        <w:t xml:space="preserve">fully implemented this component of the </w:t>
      </w:r>
      <w:r>
        <w:rPr>
          <w:rFonts w:ascii="Arial" w:hAnsi="Arial" w:cs="Arial"/>
          <w:sz w:val="24"/>
          <w:szCs w:val="24"/>
          <w:lang w:val="en-US"/>
        </w:rPr>
        <w:tab/>
      </w:r>
      <w:r w:rsidRPr="00A76E3C">
        <w:rPr>
          <w:rFonts w:ascii="Arial" w:hAnsi="Arial" w:cs="Arial"/>
          <w:sz w:val="24"/>
          <w:szCs w:val="24"/>
          <w:lang w:val="en-US"/>
        </w:rPr>
        <w:t>guidance due to difficulty in establishing a consistent</w:t>
      </w:r>
      <w:r>
        <w:rPr>
          <w:rFonts w:ascii="Arial" w:hAnsi="Arial" w:cs="Arial"/>
          <w:sz w:val="24"/>
          <w:szCs w:val="24"/>
          <w:lang w:val="en-US"/>
        </w:rPr>
        <w:t xml:space="preserve"> </w:t>
      </w:r>
      <w:r w:rsidRPr="00A76E3C">
        <w:rPr>
          <w:rFonts w:ascii="Arial" w:hAnsi="Arial" w:cs="Arial"/>
          <w:sz w:val="24"/>
          <w:szCs w:val="24"/>
          <w:lang w:val="en-US"/>
        </w:rPr>
        <w:t xml:space="preserve">process in terms of posting </w:t>
      </w:r>
      <w:r>
        <w:rPr>
          <w:rFonts w:ascii="Arial" w:hAnsi="Arial" w:cs="Arial"/>
          <w:sz w:val="24"/>
          <w:szCs w:val="24"/>
          <w:lang w:val="en-US"/>
        </w:rPr>
        <w:tab/>
      </w:r>
      <w:r w:rsidRPr="00A76E3C">
        <w:rPr>
          <w:rFonts w:ascii="Arial" w:hAnsi="Arial" w:cs="Arial"/>
          <w:sz w:val="24"/>
          <w:szCs w:val="24"/>
          <w:lang w:val="en-US"/>
        </w:rPr>
        <w:t>of accruals versus actual invoices. While theoretically simple, in</w:t>
      </w:r>
      <w:r>
        <w:rPr>
          <w:rFonts w:ascii="Arial" w:hAnsi="Arial" w:cs="Arial"/>
          <w:sz w:val="24"/>
          <w:szCs w:val="24"/>
          <w:lang w:val="en-US"/>
        </w:rPr>
        <w:t xml:space="preserve"> </w:t>
      </w:r>
      <w:r w:rsidRPr="00A76E3C">
        <w:rPr>
          <w:rFonts w:ascii="Arial" w:hAnsi="Arial" w:cs="Arial"/>
          <w:sz w:val="24"/>
          <w:szCs w:val="24"/>
          <w:lang w:val="en-US"/>
        </w:rPr>
        <w:t xml:space="preserve">practice GSHI </w:t>
      </w:r>
      <w:r>
        <w:rPr>
          <w:rFonts w:ascii="Arial" w:hAnsi="Arial" w:cs="Arial"/>
          <w:sz w:val="24"/>
          <w:szCs w:val="24"/>
          <w:lang w:val="en-US"/>
        </w:rPr>
        <w:tab/>
      </w:r>
      <w:r w:rsidRPr="00A76E3C">
        <w:rPr>
          <w:rFonts w:ascii="Arial" w:hAnsi="Arial" w:cs="Arial"/>
          <w:sz w:val="24"/>
          <w:szCs w:val="24"/>
          <w:lang w:val="en-US"/>
        </w:rPr>
        <w:t>has had difficulty implementing this component due to inconsistent invoicing</w:t>
      </w:r>
    </w:p>
    <w:p w14:paraId="1BD3C1F5" w14:textId="77777777" w:rsidR="006B1B0B" w:rsidRPr="00A76E3C" w:rsidRDefault="006B1B0B" w:rsidP="006B1B0B">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ab/>
      </w:r>
      <w:r w:rsidRPr="00A76E3C">
        <w:rPr>
          <w:rFonts w:ascii="Arial" w:hAnsi="Arial" w:cs="Arial"/>
          <w:sz w:val="24"/>
          <w:szCs w:val="24"/>
          <w:lang w:val="en-US"/>
        </w:rPr>
        <w:t xml:space="preserve">from wholesale electricity providers. This component of the guidance has no </w:t>
      </w:r>
      <w:r>
        <w:rPr>
          <w:rFonts w:ascii="Arial" w:hAnsi="Arial" w:cs="Arial"/>
          <w:sz w:val="24"/>
          <w:szCs w:val="24"/>
          <w:lang w:val="en-US"/>
        </w:rPr>
        <w:tab/>
      </w:r>
      <w:r w:rsidRPr="00A76E3C">
        <w:rPr>
          <w:rFonts w:ascii="Arial" w:hAnsi="Arial" w:cs="Arial"/>
          <w:sz w:val="24"/>
          <w:szCs w:val="24"/>
          <w:lang w:val="en-US"/>
        </w:rPr>
        <w:t>impact on the true</w:t>
      </w:r>
      <w:r>
        <w:rPr>
          <w:rFonts w:ascii="Arial" w:hAnsi="Arial" w:cs="Arial"/>
          <w:sz w:val="24"/>
          <w:szCs w:val="24"/>
          <w:lang w:val="en-US"/>
        </w:rPr>
        <w:t xml:space="preserve"> </w:t>
      </w:r>
      <w:r w:rsidRPr="00A76E3C">
        <w:rPr>
          <w:rFonts w:ascii="Arial" w:hAnsi="Arial" w:cs="Arial"/>
          <w:sz w:val="24"/>
          <w:szCs w:val="24"/>
          <w:lang w:val="en-US"/>
        </w:rPr>
        <w:t xml:space="preserve">ups calculated on a monthly basis and has no impact on the </w:t>
      </w:r>
      <w:r>
        <w:rPr>
          <w:rFonts w:ascii="Arial" w:hAnsi="Arial" w:cs="Arial"/>
          <w:sz w:val="24"/>
          <w:szCs w:val="24"/>
          <w:lang w:val="en-US"/>
        </w:rPr>
        <w:tab/>
      </w:r>
      <w:r w:rsidRPr="00A76E3C">
        <w:rPr>
          <w:rFonts w:ascii="Arial" w:hAnsi="Arial" w:cs="Arial"/>
          <w:sz w:val="24"/>
          <w:szCs w:val="24"/>
          <w:lang w:val="en-US"/>
        </w:rPr>
        <w:t>balances of 1588 and 1589. GSHI</w:t>
      </w:r>
      <w:r>
        <w:rPr>
          <w:rFonts w:ascii="Arial" w:hAnsi="Arial" w:cs="Arial"/>
          <w:sz w:val="24"/>
          <w:szCs w:val="24"/>
          <w:lang w:val="en-US"/>
        </w:rPr>
        <w:t xml:space="preserve"> </w:t>
      </w:r>
      <w:r w:rsidRPr="00A76E3C">
        <w:rPr>
          <w:rFonts w:ascii="Arial" w:hAnsi="Arial" w:cs="Arial"/>
          <w:sz w:val="24"/>
          <w:szCs w:val="24"/>
          <w:lang w:val="en-US"/>
        </w:rPr>
        <w:t xml:space="preserve">continues to work towards implementing this </w:t>
      </w:r>
      <w:r>
        <w:rPr>
          <w:rFonts w:ascii="Arial" w:hAnsi="Arial" w:cs="Arial"/>
          <w:sz w:val="24"/>
          <w:szCs w:val="24"/>
          <w:lang w:val="en-US"/>
        </w:rPr>
        <w:tab/>
      </w:r>
      <w:r w:rsidRPr="00A76E3C">
        <w:rPr>
          <w:rFonts w:ascii="Arial" w:hAnsi="Arial" w:cs="Arial"/>
          <w:sz w:val="24"/>
          <w:szCs w:val="24"/>
          <w:lang w:val="en-US"/>
        </w:rPr>
        <w:t>component of the guidance.</w:t>
      </w:r>
    </w:p>
    <w:p w14:paraId="085515D6" w14:textId="4186F50E" w:rsidR="006B1B0B" w:rsidRDefault="006B1B0B" w:rsidP="006B1B0B">
      <w:pPr>
        <w:spacing w:after="0" w:line="240" w:lineRule="auto"/>
        <w:rPr>
          <w:rFonts w:ascii="Arial" w:hAnsi="Arial" w:cs="Arial"/>
          <w:b/>
          <w:sz w:val="24"/>
          <w:szCs w:val="24"/>
          <w:lang w:val="en-US"/>
        </w:rPr>
      </w:pPr>
    </w:p>
    <w:p w14:paraId="0A500687" w14:textId="77777777" w:rsidR="006B1B0B" w:rsidRDefault="006B1B0B" w:rsidP="006B1B0B">
      <w:pPr>
        <w:autoSpaceDE w:val="0"/>
        <w:autoSpaceDN w:val="0"/>
        <w:adjustRightInd w:val="0"/>
        <w:spacing w:after="0" w:line="240" w:lineRule="auto"/>
        <w:rPr>
          <w:rFonts w:ascii="Arial" w:hAnsi="Arial" w:cs="Arial"/>
          <w:sz w:val="24"/>
          <w:szCs w:val="24"/>
          <w:lang w:val="en-US"/>
        </w:rPr>
      </w:pPr>
    </w:p>
    <w:p w14:paraId="3B17304D" w14:textId="77777777" w:rsidR="006B1B0B" w:rsidRDefault="006B1B0B" w:rsidP="005156BC">
      <w:pPr>
        <w:pStyle w:val="ListParagraph"/>
        <w:numPr>
          <w:ilvl w:val="0"/>
          <w:numId w:val="34"/>
        </w:num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 xml:space="preserve">Please elaborate the difficulty in implementing the accruals in accordance with the accounting guidance. </w:t>
      </w:r>
    </w:p>
    <w:p w14:paraId="03A4C9DA" w14:textId="77777777" w:rsidR="006B1B0B" w:rsidRDefault="006B1B0B" w:rsidP="005156BC">
      <w:pPr>
        <w:pStyle w:val="ListParagraph"/>
        <w:numPr>
          <w:ilvl w:val="0"/>
          <w:numId w:val="34"/>
        </w:num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 xml:space="preserve">Please confirm that the invoices and the embedded RPP variances in the invoices are accrued for the calendar year from all wholesale electricity providers. </w:t>
      </w:r>
    </w:p>
    <w:p w14:paraId="63E0556F" w14:textId="77777777" w:rsidR="006B1B0B" w:rsidRPr="00A76E3C" w:rsidRDefault="006B1B0B" w:rsidP="005156BC">
      <w:pPr>
        <w:pStyle w:val="ListParagraph"/>
        <w:numPr>
          <w:ilvl w:val="0"/>
          <w:numId w:val="34"/>
        </w:numPr>
        <w:autoSpaceDE w:val="0"/>
        <w:autoSpaceDN w:val="0"/>
        <w:adjustRightInd w:val="0"/>
        <w:spacing w:line="240" w:lineRule="auto"/>
        <w:rPr>
          <w:rFonts w:ascii="Arial" w:hAnsi="Arial" w:cs="Arial"/>
          <w:sz w:val="24"/>
          <w:szCs w:val="24"/>
          <w:lang w:val="en-US"/>
        </w:rPr>
      </w:pPr>
      <w:r>
        <w:rPr>
          <w:rFonts w:ascii="Arial" w:hAnsi="Arial" w:cs="Arial"/>
          <w:sz w:val="24"/>
          <w:szCs w:val="24"/>
          <w:lang w:val="en-US"/>
        </w:rPr>
        <w:t xml:space="preserve">Please explain when Greater Sudbury Hydro expects to complete implementing this component of the accounting guidance. </w:t>
      </w:r>
    </w:p>
    <w:p w14:paraId="309D26F9" w14:textId="77777777" w:rsidR="006B1B0B" w:rsidRDefault="006B1B0B" w:rsidP="005156BC">
      <w:pPr>
        <w:spacing w:line="240" w:lineRule="auto"/>
        <w:rPr>
          <w:rFonts w:ascii="Arial" w:hAnsi="Arial" w:cs="Arial"/>
          <w:b/>
          <w:sz w:val="24"/>
          <w:szCs w:val="24"/>
          <w:lang w:val="en-US"/>
        </w:rPr>
      </w:pPr>
    </w:p>
    <w:p w14:paraId="21E5A1B5" w14:textId="744593A9" w:rsidR="006B1B0B" w:rsidRDefault="006B1B0B" w:rsidP="006B1B0B">
      <w:pPr>
        <w:rPr>
          <w:rFonts w:ascii="Arial" w:hAnsi="Arial" w:cs="Arial"/>
          <w:b/>
          <w:sz w:val="24"/>
          <w:szCs w:val="24"/>
        </w:rPr>
      </w:pPr>
      <w:r>
        <w:rPr>
          <w:rFonts w:ascii="Arial" w:hAnsi="Arial" w:cs="Arial"/>
          <w:b/>
          <w:sz w:val="24"/>
          <w:szCs w:val="24"/>
        </w:rPr>
        <w:t>Staff Question-8</w:t>
      </w:r>
    </w:p>
    <w:p w14:paraId="07DF63B3" w14:textId="5075832D" w:rsidR="006B1B0B" w:rsidRDefault="006B1B0B" w:rsidP="006B1B0B">
      <w:pPr>
        <w:spacing w:after="0" w:line="240" w:lineRule="auto"/>
        <w:rPr>
          <w:rFonts w:ascii="Arial" w:hAnsi="Arial" w:cs="Arial"/>
          <w:b/>
          <w:sz w:val="24"/>
          <w:szCs w:val="24"/>
          <w:lang w:val="en-US"/>
        </w:rPr>
      </w:pPr>
      <w:r w:rsidRPr="00BF599C">
        <w:rPr>
          <w:rFonts w:ascii="Arial" w:hAnsi="Arial" w:cs="Arial"/>
          <w:b/>
          <w:sz w:val="24"/>
          <w:szCs w:val="24"/>
          <w:lang w:val="en-US"/>
        </w:rPr>
        <w:t>Ref:</w:t>
      </w:r>
      <w:r>
        <w:rPr>
          <w:rFonts w:ascii="Arial" w:hAnsi="Arial" w:cs="Arial"/>
          <w:b/>
          <w:sz w:val="24"/>
          <w:szCs w:val="24"/>
          <w:lang w:val="en-US"/>
        </w:rPr>
        <w:t xml:space="preserve"> LRAMVA </w:t>
      </w:r>
      <w:proofErr w:type="spellStart"/>
      <w:r>
        <w:rPr>
          <w:rFonts w:ascii="Arial" w:hAnsi="Arial" w:cs="Arial"/>
          <w:b/>
          <w:sz w:val="24"/>
          <w:szCs w:val="24"/>
          <w:lang w:val="en-US"/>
        </w:rPr>
        <w:t>Workform</w:t>
      </w:r>
      <w:proofErr w:type="spellEnd"/>
      <w:r>
        <w:rPr>
          <w:rFonts w:ascii="Arial" w:hAnsi="Arial" w:cs="Arial"/>
          <w:b/>
          <w:sz w:val="24"/>
          <w:szCs w:val="24"/>
          <w:lang w:val="en-US"/>
        </w:rPr>
        <w:t>, Tab 5</w:t>
      </w:r>
    </w:p>
    <w:p w14:paraId="20008F0A" w14:textId="657E8808" w:rsidR="006B1B0B" w:rsidRDefault="006B1B0B" w:rsidP="006B1B0B">
      <w:pPr>
        <w:spacing w:line="240" w:lineRule="auto"/>
        <w:ind w:left="533"/>
        <w:rPr>
          <w:rFonts w:ascii="Arial" w:hAnsi="Arial" w:cs="Arial"/>
          <w:b/>
          <w:sz w:val="24"/>
          <w:szCs w:val="24"/>
          <w:lang w:val="en-US"/>
        </w:rPr>
      </w:pPr>
      <w:r>
        <w:rPr>
          <w:rFonts w:ascii="Arial" w:hAnsi="Arial" w:cs="Arial"/>
          <w:b/>
          <w:sz w:val="24"/>
          <w:szCs w:val="24"/>
          <w:lang w:val="en-US"/>
        </w:rPr>
        <w:t xml:space="preserve">List </w:t>
      </w:r>
      <w:r w:rsidRPr="006B1B0B">
        <w:rPr>
          <w:rFonts w:ascii="Arial" w:hAnsi="Arial" w:cs="Arial"/>
          <w:b/>
          <w:sz w:val="24"/>
          <w:szCs w:val="24"/>
          <w:lang w:val="en-US"/>
        </w:rPr>
        <w:t xml:space="preserve">of </w:t>
      </w:r>
      <w:r w:rsidRPr="006B1B0B">
        <w:rPr>
          <w:rFonts w:ascii="Arial" w:hAnsi="Arial" w:cs="Arial"/>
          <w:b/>
          <w:sz w:val="24"/>
          <w:szCs w:val="24"/>
        </w:rPr>
        <w:t>Post Termination Projects (</w:t>
      </w:r>
      <w:r>
        <w:rPr>
          <w:rFonts w:ascii="Arial" w:hAnsi="Arial" w:cs="Arial"/>
          <w:b/>
          <w:sz w:val="24"/>
          <w:szCs w:val="24"/>
        </w:rPr>
        <w:t>E</w:t>
      </w:r>
      <w:r w:rsidRPr="006B1B0B">
        <w:rPr>
          <w:rFonts w:ascii="Arial" w:hAnsi="Arial" w:cs="Arial"/>
          <w:b/>
          <w:sz w:val="24"/>
          <w:szCs w:val="24"/>
        </w:rPr>
        <w:t>xcel spreadsheet)</w:t>
      </w:r>
    </w:p>
    <w:p w14:paraId="705DD2AA" w14:textId="77777777" w:rsidR="006B1B0B" w:rsidRPr="006B1B0B" w:rsidRDefault="006B1B0B" w:rsidP="005E4940">
      <w:pPr>
        <w:rPr>
          <w:rFonts w:ascii="Arial" w:hAnsi="Arial" w:cs="Arial"/>
          <w:sz w:val="24"/>
          <w:szCs w:val="24"/>
          <w:lang w:val="en-US"/>
        </w:rPr>
      </w:pPr>
      <w:r w:rsidRPr="006B1B0B">
        <w:rPr>
          <w:rFonts w:ascii="Arial" w:hAnsi="Arial" w:cs="Arial"/>
          <w:sz w:val="24"/>
          <w:szCs w:val="24"/>
          <w:lang w:val="en-US"/>
        </w:rPr>
        <w:t>In 2019, Greater Sudbury Hydro claimed additional project savings from a separate excel spreadsheet, entitled “List of Post Termination Projects”, which was filed with this LRAMVA application. Please confirm that the project savings of 905,527.58 kWh contained in this excel spreadsheet, “List of Post Termination Projects”, are the same list of CDM projects that were included in Greater Sudbury’s 2020 load forecast.</w:t>
      </w:r>
    </w:p>
    <w:p w14:paraId="2B30E4CA" w14:textId="77777777" w:rsidR="006B1B0B" w:rsidRDefault="006B1B0B" w:rsidP="008E6045">
      <w:pPr>
        <w:rPr>
          <w:rFonts w:ascii="Arial" w:hAnsi="Arial" w:cs="Arial"/>
          <w:b/>
          <w:sz w:val="24"/>
          <w:szCs w:val="24"/>
        </w:rPr>
      </w:pPr>
    </w:p>
    <w:p w14:paraId="0328730D" w14:textId="5A0E4C5E" w:rsidR="006B1B0B" w:rsidRDefault="006B1B0B" w:rsidP="006B1B0B">
      <w:pPr>
        <w:rPr>
          <w:rFonts w:ascii="Arial" w:hAnsi="Arial" w:cs="Arial"/>
          <w:b/>
          <w:sz w:val="24"/>
          <w:szCs w:val="24"/>
        </w:rPr>
      </w:pPr>
      <w:r>
        <w:rPr>
          <w:rFonts w:ascii="Arial" w:hAnsi="Arial" w:cs="Arial"/>
          <w:b/>
          <w:sz w:val="24"/>
          <w:szCs w:val="24"/>
        </w:rPr>
        <w:t>Staff Question-9</w:t>
      </w:r>
    </w:p>
    <w:p w14:paraId="41D2737E" w14:textId="29726A54" w:rsidR="006B1B0B" w:rsidRDefault="006B1B0B" w:rsidP="006B1B0B">
      <w:pPr>
        <w:spacing w:after="0" w:line="240" w:lineRule="auto"/>
        <w:rPr>
          <w:rFonts w:ascii="Arial" w:hAnsi="Arial" w:cs="Arial"/>
          <w:b/>
          <w:bCs/>
          <w:sz w:val="24"/>
          <w:szCs w:val="24"/>
        </w:rPr>
      </w:pPr>
      <w:r w:rsidRPr="00BF599C">
        <w:rPr>
          <w:rFonts w:ascii="Arial" w:hAnsi="Arial" w:cs="Arial"/>
          <w:b/>
          <w:sz w:val="24"/>
          <w:szCs w:val="24"/>
          <w:lang w:val="en-US"/>
        </w:rPr>
        <w:t>Ref:</w:t>
      </w:r>
      <w:r>
        <w:rPr>
          <w:rFonts w:ascii="Arial" w:hAnsi="Arial" w:cs="Arial"/>
          <w:b/>
          <w:sz w:val="24"/>
          <w:szCs w:val="24"/>
          <w:lang w:val="en-US"/>
        </w:rPr>
        <w:t xml:space="preserve"> </w:t>
      </w:r>
      <w:r w:rsidRPr="006B1B0B">
        <w:rPr>
          <w:rFonts w:ascii="Arial" w:hAnsi="Arial" w:cs="Arial"/>
          <w:b/>
          <w:bCs/>
          <w:sz w:val="24"/>
          <w:szCs w:val="24"/>
        </w:rPr>
        <w:t xml:space="preserve">LRAMVA </w:t>
      </w:r>
      <w:proofErr w:type="spellStart"/>
      <w:r>
        <w:rPr>
          <w:rFonts w:ascii="Arial" w:hAnsi="Arial" w:cs="Arial"/>
          <w:b/>
          <w:bCs/>
          <w:sz w:val="24"/>
          <w:szCs w:val="24"/>
        </w:rPr>
        <w:t>W</w:t>
      </w:r>
      <w:r w:rsidRPr="006B1B0B">
        <w:rPr>
          <w:rFonts w:ascii="Arial" w:hAnsi="Arial" w:cs="Arial"/>
          <w:b/>
          <w:bCs/>
          <w:sz w:val="24"/>
          <w:szCs w:val="24"/>
        </w:rPr>
        <w:t>orkform</w:t>
      </w:r>
      <w:proofErr w:type="spellEnd"/>
      <w:r w:rsidRPr="006B1B0B">
        <w:rPr>
          <w:rFonts w:ascii="Arial" w:hAnsi="Arial" w:cs="Arial"/>
          <w:b/>
          <w:bCs/>
          <w:sz w:val="24"/>
          <w:szCs w:val="24"/>
        </w:rPr>
        <w:t>, Tabs 3 and 5</w:t>
      </w:r>
    </w:p>
    <w:p w14:paraId="2565EE9C" w14:textId="527FA532" w:rsidR="006B1B0B" w:rsidRDefault="006B1B0B" w:rsidP="006B1B0B">
      <w:pPr>
        <w:spacing w:after="0" w:line="240" w:lineRule="auto"/>
        <w:rPr>
          <w:rFonts w:ascii="Arial" w:hAnsi="Arial" w:cs="Arial"/>
          <w:b/>
          <w:bCs/>
          <w:sz w:val="24"/>
          <w:szCs w:val="24"/>
        </w:rPr>
      </w:pPr>
    </w:p>
    <w:p w14:paraId="169B653E" w14:textId="77777777" w:rsidR="006B1B0B" w:rsidRPr="006B1B0B" w:rsidRDefault="006B1B0B" w:rsidP="005E4940">
      <w:pPr>
        <w:spacing w:after="0"/>
        <w:rPr>
          <w:rFonts w:ascii="Arial" w:hAnsi="Arial" w:cs="Arial"/>
          <w:sz w:val="24"/>
          <w:szCs w:val="24"/>
          <w:lang w:val="en-US"/>
        </w:rPr>
      </w:pPr>
      <w:r w:rsidRPr="006B1B0B">
        <w:rPr>
          <w:rFonts w:ascii="Arial" w:hAnsi="Arial" w:cs="Arial"/>
          <w:sz w:val="24"/>
          <w:szCs w:val="24"/>
          <w:lang w:val="en-US"/>
        </w:rPr>
        <w:t xml:space="preserve">Greater Sudbury completed the transition to a fixed residential charge as of May 1, 2019, but it has claimed lost revenues from the residential class in 2019. As a result of the transition to the fixed residential charge, distributors will no longer experience lost revenues due to reduced consumption. </w:t>
      </w:r>
    </w:p>
    <w:p w14:paraId="02F8E279" w14:textId="77777777" w:rsidR="006B1B0B" w:rsidRDefault="006B1B0B" w:rsidP="005E4940">
      <w:pPr>
        <w:spacing w:after="0"/>
        <w:rPr>
          <w:rFonts w:ascii="Arial" w:hAnsi="Arial" w:cs="Arial"/>
          <w:sz w:val="24"/>
          <w:szCs w:val="24"/>
          <w:lang w:val="en-US"/>
        </w:rPr>
      </w:pPr>
    </w:p>
    <w:p w14:paraId="6287B78A" w14:textId="654A303F" w:rsidR="006B1B0B" w:rsidRPr="006B1B0B" w:rsidRDefault="006B1B0B" w:rsidP="005E4940">
      <w:pPr>
        <w:spacing w:after="0"/>
        <w:rPr>
          <w:rFonts w:ascii="Arial" w:hAnsi="Arial" w:cs="Arial"/>
          <w:sz w:val="24"/>
          <w:szCs w:val="24"/>
          <w:lang w:val="en-US"/>
        </w:rPr>
      </w:pPr>
      <w:r w:rsidRPr="006B1B0B">
        <w:rPr>
          <w:rFonts w:ascii="Arial" w:hAnsi="Arial" w:cs="Arial"/>
          <w:sz w:val="24"/>
          <w:szCs w:val="24"/>
          <w:lang w:val="en-US"/>
        </w:rPr>
        <w:t xml:space="preserve">As the May 1, 2019 fixed residential charge is no longer a volumetric rate, the LRAMVA </w:t>
      </w:r>
      <w:proofErr w:type="spellStart"/>
      <w:r w:rsidR="00D61C0E">
        <w:rPr>
          <w:rFonts w:ascii="Arial" w:hAnsi="Arial" w:cs="Arial"/>
          <w:sz w:val="24"/>
          <w:szCs w:val="24"/>
          <w:lang w:val="en-US"/>
        </w:rPr>
        <w:t>W</w:t>
      </w:r>
      <w:r w:rsidRPr="006B1B0B">
        <w:rPr>
          <w:rFonts w:ascii="Arial" w:hAnsi="Arial" w:cs="Arial"/>
          <w:sz w:val="24"/>
          <w:szCs w:val="24"/>
          <w:lang w:val="en-US"/>
        </w:rPr>
        <w:t>orkform</w:t>
      </w:r>
      <w:proofErr w:type="spellEnd"/>
      <w:r w:rsidRPr="006B1B0B">
        <w:rPr>
          <w:rFonts w:ascii="Arial" w:hAnsi="Arial" w:cs="Arial"/>
          <w:sz w:val="24"/>
          <w:szCs w:val="24"/>
          <w:lang w:val="en-US"/>
        </w:rPr>
        <w:t xml:space="preserve"> calculates residential lost revenues in 2019 by multiplying the annualized savings in 2019, and the full year value of persisting savings from prior years into 2019, by 1/3 of the 2018 volumetric rate (i.e. Jan 1 to April 30, 2019) to calculate lost revenues for 2019, as this period was before the fixed residential charge was in place. </w:t>
      </w:r>
    </w:p>
    <w:p w14:paraId="3D4BCED1" w14:textId="77777777" w:rsidR="006B1B0B" w:rsidRDefault="006B1B0B" w:rsidP="005E4940">
      <w:pPr>
        <w:spacing w:after="0"/>
        <w:rPr>
          <w:rFonts w:ascii="Arial" w:hAnsi="Arial" w:cs="Arial"/>
          <w:sz w:val="24"/>
          <w:szCs w:val="24"/>
          <w:lang w:val="en-US"/>
        </w:rPr>
      </w:pPr>
    </w:p>
    <w:p w14:paraId="0B9915EF" w14:textId="2114FD72" w:rsidR="006B1B0B" w:rsidRPr="006B1B0B" w:rsidRDefault="006B1B0B" w:rsidP="005E4940">
      <w:pPr>
        <w:rPr>
          <w:rFonts w:ascii="Arial" w:hAnsi="Arial" w:cs="Arial"/>
          <w:sz w:val="24"/>
          <w:szCs w:val="24"/>
          <w:lang w:val="en-US"/>
        </w:rPr>
      </w:pPr>
      <w:r w:rsidRPr="006B1B0B">
        <w:rPr>
          <w:rFonts w:ascii="Arial" w:hAnsi="Arial" w:cs="Arial"/>
          <w:sz w:val="24"/>
          <w:szCs w:val="24"/>
          <w:lang w:val="en-US"/>
        </w:rPr>
        <w:t xml:space="preserve">Please provide rationale for claiming lost revenues for the residential class for all of 2019 when the utility has transitioned to a fixed residential charge as of May 1, 2019. </w:t>
      </w:r>
    </w:p>
    <w:p w14:paraId="4EE004E4" w14:textId="41A58457" w:rsidR="006B1B0B" w:rsidRDefault="006B1B0B" w:rsidP="008E6045">
      <w:pPr>
        <w:rPr>
          <w:rFonts w:ascii="Arial" w:hAnsi="Arial" w:cs="Arial"/>
          <w:b/>
          <w:sz w:val="24"/>
          <w:szCs w:val="24"/>
        </w:rPr>
      </w:pPr>
    </w:p>
    <w:p w14:paraId="021EFEEE" w14:textId="73D4BF7D" w:rsidR="006B1B0B" w:rsidRDefault="006B1B0B" w:rsidP="006B1B0B">
      <w:pPr>
        <w:rPr>
          <w:rFonts w:ascii="Arial" w:hAnsi="Arial" w:cs="Arial"/>
          <w:b/>
          <w:sz w:val="24"/>
          <w:szCs w:val="24"/>
        </w:rPr>
      </w:pPr>
      <w:r>
        <w:rPr>
          <w:rFonts w:ascii="Arial" w:hAnsi="Arial" w:cs="Arial"/>
          <w:b/>
          <w:sz w:val="24"/>
          <w:szCs w:val="24"/>
        </w:rPr>
        <w:t>Staff Question-10</w:t>
      </w:r>
    </w:p>
    <w:p w14:paraId="05D2C6BD" w14:textId="4E3F3CF1" w:rsidR="006B1B0B" w:rsidRPr="005156BC" w:rsidRDefault="006B1B0B" w:rsidP="005156BC">
      <w:pPr>
        <w:spacing w:after="0" w:line="240" w:lineRule="auto"/>
        <w:rPr>
          <w:rFonts w:ascii="Arial" w:hAnsi="Arial" w:cs="Arial"/>
          <w:b/>
          <w:sz w:val="24"/>
          <w:szCs w:val="24"/>
          <w:lang w:val="en-US"/>
        </w:rPr>
      </w:pPr>
      <w:r w:rsidRPr="005156BC">
        <w:rPr>
          <w:rFonts w:ascii="Arial" w:hAnsi="Arial" w:cs="Arial"/>
          <w:b/>
          <w:sz w:val="24"/>
          <w:szCs w:val="24"/>
          <w:lang w:val="en-US"/>
        </w:rPr>
        <w:t>Ref: Chapter 3 Filing Requirements, p. 22</w:t>
      </w:r>
    </w:p>
    <w:p w14:paraId="6B11BE4B" w14:textId="77777777" w:rsidR="005156BC" w:rsidRPr="005156BC" w:rsidRDefault="005156BC" w:rsidP="005156BC">
      <w:pPr>
        <w:spacing w:after="0" w:line="240" w:lineRule="auto"/>
        <w:rPr>
          <w:rFonts w:ascii="Arial" w:hAnsi="Arial" w:cs="Arial"/>
          <w:bCs/>
          <w:sz w:val="24"/>
          <w:szCs w:val="24"/>
          <w:lang w:val="en-US"/>
        </w:rPr>
      </w:pPr>
    </w:p>
    <w:p w14:paraId="1AE9464A" w14:textId="6A29D792" w:rsidR="005156BC" w:rsidRPr="005156BC" w:rsidRDefault="005156BC" w:rsidP="005E4940">
      <w:pPr>
        <w:rPr>
          <w:rFonts w:ascii="Arial" w:hAnsi="Arial" w:cs="Arial"/>
          <w:bCs/>
          <w:sz w:val="24"/>
          <w:szCs w:val="24"/>
          <w:lang w:val="en-US"/>
        </w:rPr>
      </w:pPr>
      <w:r w:rsidRPr="005156BC">
        <w:rPr>
          <w:rFonts w:ascii="Arial" w:hAnsi="Arial" w:cs="Arial"/>
          <w:bCs/>
          <w:sz w:val="24"/>
          <w:szCs w:val="24"/>
          <w:lang w:val="en-US"/>
        </w:rPr>
        <w:t xml:space="preserve">In support of the LRAMVA application, the IESO verified reports are to be filed in excel format with the LRAMVA </w:t>
      </w:r>
      <w:proofErr w:type="spellStart"/>
      <w:r w:rsidR="00D61C0E">
        <w:rPr>
          <w:rFonts w:ascii="Arial" w:hAnsi="Arial" w:cs="Arial"/>
          <w:bCs/>
          <w:sz w:val="24"/>
          <w:szCs w:val="24"/>
          <w:lang w:val="en-US"/>
        </w:rPr>
        <w:t>W</w:t>
      </w:r>
      <w:r w:rsidRPr="005156BC">
        <w:rPr>
          <w:rFonts w:ascii="Arial" w:hAnsi="Arial" w:cs="Arial"/>
          <w:bCs/>
          <w:sz w:val="24"/>
          <w:szCs w:val="24"/>
          <w:lang w:val="en-US"/>
        </w:rPr>
        <w:t>orkform</w:t>
      </w:r>
      <w:proofErr w:type="spellEnd"/>
      <w:r w:rsidRPr="005156BC">
        <w:rPr>
          <w:rFonts w:ascii="Arial" w:hAnsi="Arial" w:cs="Arial"/>
          <w:bCs/>
          <w:sz w:val="24"/>
          <w:szCs w:val="24"/>
          <w:lang w:val="en-US"/>
        </w:rPr>
        <w:t>, as noted in the Chapter 3 Filing Requirement. Please file the following additional reports:</w:t>
      </w:r>
    </w:p>
    <w:p w14:paraId="023A5210" w14:textId="77777777" w:rsidR="005156BC" w:rsidRPr="005156BC" w:rsidRDefault="005156BC" w:rsidP="005156BC">
      <w:pPr>
        <w:numPr>
          <w:ilvl w:val="0"/>
          <w:numId w:val="35"/>
        </w:numPr>
        <w:spacing w:after="0"/>
        <w:ind w:left="720"/>
        <w:rPr>
          <w:rFonts w:ascii="Arial" w:hAnsi="Arial" w:cs="Arial"/>
          <w:bCs/>
          <w:sz w:val="24"/>
          <w:szCs w:val="24"/>
          <w:lang w:val="en-US"/>
        </w:rPr>
      </w:pPr>
      <w:r w:rsidRPr="005156BC">
        <w:rPr>
          <w:rFonts w:ascii="Arial" w:hAnsi="Arial" w:cs="Arial"/>
          <w:bCs/>
          <w:sz w:val="24"/>
          <w:szCs w:val="24"/>
          <w:lang w:val="en-US"/>
        </w:rPr>
        <w:t>Participation and Cost Report to substantiate CDM savings in 2018 and 2019</w:t>
      </w:r>
    </w:p>
    <w:p w14:paraId="126AE6BD" w14:textId="77777777" w:rsidR="005156BC" w:rsidRPr="005156BC" w:rsidRDefault="005156BC" w:rsidP="005156BC">
      <w:pPr>
        <w:numPr>
          <w:ilvl w:val="0"/>
          <w:numId w:val="35"/>
        </w:numPr>
        <w:spacing w:after="0"/>
        <w:ind w:left="720"/>
        <w:rPr>
          <w:rFonts w:ascii="Arial" w:hAnsi="Arial" w:cs="Arial"/>
          <w:bCs/>
          <w:sz w:val="24"/>
          <w:szCs w:val="24"/>
          <w:lang w:val="en-US"/>
        </w:rPr>
      </w:pPr>
      <w:r w:rsidRPr="005156BC">
        <w:rPr>
          <w:rFonts w:ascii="Arial" w:hAnsi="Arial" w:cs="Arial"/>
          <w:bCs/>
          <w:sz w:val="24"/>
          <w:szCs w:val="24"/>
          <w:lang w:val="en-US"/>
        </w:rPr>
        <w:t>2017 Final Verified Results Report, which includes the tab “LDC Savings Persistence” to show the persistence of savings from 2015-2017 CDM programs into 2018 and 2019</w:t>
      </w:r>
    </w:p>
    <w:p w14:paraId="2A22999C" w14:textId="77777777" w:rsidR="005156BC" w:rsidRPr="005156BC" w:rsidRDefault="005156BC" w:rsidP="005156BC">
      <w:pPr>
        <w:numPr>
          <w:ilvl w:val="0"/>
          <w:numId w:val="35"/>
        </w:numPr>
        <w:spacing w:after="0"/>
        <w:ind w:left="720"/>
        <w:rPr>
          <w:rFonts w:ascii="Arial" w:hAnsi="Arial" w:cs="Arial"/>
          <w:bCs/>
          <w:sz w:val="24"/>
          <w:szCs w:val="24"/>
          <w:lang w:val="en-US"/>
        </w:rPr>
      </w:pPr>
      <w:r w:rsidRPr="005156BC">
        <w:rPr>
          <w:rFonts w:ascii="Arial" w:hAnsi="Arial" w:cs="Arial"/>
          <w:bCs/>
          <w:sz w:val="24"/>
          <w:szCs w:val="24"/>
          <w:lang w:val="en-US"/>
        </w:rPr>
        <w:t>2014 Persistence Savings Report to show the persisting savings from 2011-2014 CDM programs into 2018 and 2019</w:t>
      </w:r>
    </w:p>
    <w:p w14:paraId="54808182" w14:textId="77777777" w:rsidR="005156BC" w:rsidRPr="002D056D" w:rsidRDefault="005156BC" w:rsidP="008E6045">
      <w:pPr>
        <w:rPr>
          <w:rFonts w:ascii="Arial" w:hAnsi="Arial" w:cs="Arial"/>
          <w:b/>
          <w:sz w:val="24"/>
          <w:szCs w:val="24"/>
        </w:rPr>
      </w:pPr>
    </w:p>
    <w:sectPr w:rsidR="005156BC" w:rsidRPr="002D056D" w:rsidSect="00EA0919">
      <w:footerReference w:type="default" r:id="rId12"/>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DB7B6" w14:textId="77777777" w:rsidR="00A42245" w:rsidRDefault="00A42245" w:rsidP="00A42245">
      <w:pPr>
        <w:spacing w:after="0" w:line="240" w:lineRule="auto"/>
      </w:pPr>
      <w:r>
        <w:separator/>
      </w:r>
    </w:p>
  </w:endnote>
  <w:endnote w:type="continuationSeparator" w:id="0">
    <w:p w14:paraId="15956A21" w14:textId="77777777" w:rsidR="00A42245" w:rsidRDefault="00A42245" w:rsidP="00A42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7620858"/>
      <w:docPartObj>
        <w:docPartGallery w:val="Page Numbers (Bottom of Page)"/>
        <w:docPartUnique/>
      </w:docPartObj>
    </w:sdtPr>
    <w:sdtEndPr>
      <w:rPr>
        <w:noProof/>
      </w:rPr>
    </w:sdtEndPr>
    <w:sdtContent>
      <w:p w14:paraId="7663ABB1" w14:textId="74647D18" w:rsidR="00A42245" w:rsidRDefault="00A4224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572022" w14:textId="77777777" w:rsidR="00A42245" w:rsidRDefault="00A42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6971A" w14:textId="77777777" w:rsidR="00A42245" w:rsidRDefault="00A42245" w:rsidP="00A42245">
      <w:pPr>
        <w:spacing w:after="0" w:line="240" w:lineRule="auto"/>
      </w:pPr>
      <w:r>
        <w:separator/>
      </w:r>
    </w:p>
  </w:footnote>
  <w:footnote w:type="continuationSeparator" w:id="0">
    <w:p w14:paraId="3B1A31F3" w14:textId="77777777" w:rsidR="00A42245" w:rsidRDefault="00A42245" w:rsidP="00A422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B60F3"/>
    <w:multiLevelType w:val="hybridMultilevel"/>
    <w:tmpl w:val="73AAAD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98E19F8"/>
    <w:multiLevelType w:val="hybridMultilevel"/>
    <w:tmpl w:val="5CD4BEA0"/>
    <w:lvl w:ilvl="0" w:tplc="04090017">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31B4269"/>
    <w:multiLevelType w:val="hybridMultilevel"/>
    <w:tmpl w:val="E33876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15:restartNumberingAfterBreak="0">
    <w:nsid w:val="3C5421FA"/>
    <w:multiLevelType w:val="hybridMultilevel"/>
    <w:tmpl w:val="90024956"/>
    <w:lvl w:ilvl="0" w:tplc="04090017">
      <w:start w:val="1"/>
      <w:numFmt w:val="lowerLetter"/>
      <w:lvlText w:val="%1)"/>
      <w:lvlJc w:val="left"/>
      <w:pPr>
        <w:ind w:left="720" w:hanging="360"/>
      </w:pPr>
      <w:rPr>
        <w:rFonts w:hint="default"/>
      </w:rPr>
    </w:lvl>
    <w:lvl w:ilvl="1" w:tplc="ED00B650">
      <w:start w:val="1"/>
      <w:numFmt w:val="lowerRoman"/>
      <w:lvlText w:val="%2."/>
      <w:lvlJc w:val="left"/>
      <w:pPr>
        <w:ind w:left="1440" w:hanging="360"/>
      </w:pPr>
      <w:rPr>
        <w:rFonts w:ascii="Arial" w:eastAsiaTheme="minorHAnsi" w:hAnsi="Arial"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0734B9C"/>
    <w:multiLevelType w:val="hybridMultilevel"/>
    <w:tmpl w:val="6BC846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9AD3238"/>
    <w:multiLevelType w:val="hybridMultilevel"/>
    <w:tmpl w:val="88A47F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5CE04BB3"/>
    <w:multiLevelType w:val="hybridMultilevel"/>
    <w:tmpl w:val="B09616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6"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D9259C0"/>
    <w:multiLevelType w:val="hybridMultilevel"/>
    <w:tmpl w:val="207A50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7"/>
  </w:num>
  <w:num w:numId="3">
    <w:abstractNumId w:val="26"/>
  </w:num>
  <w:num w:numId="4">
    <w:abstractNumId w:val="34"/>
  </w:num>
  <w:num w:numId="5">
    <w:abstractNumId w:val="15"/>
  </w:num>
  <w:num w:numId="6">
    <w:abstractNumId w:val="9"/>
  </w:num>
  <w:num w:numId="7">
    <w:abstractNumId w:val="21"/>
  </w:num>
  <w:num w:numId="8">
    <w:abstractNumId w:val="16"/>
  </w:num>
  <w:num w:numId="9">
    <w:abstractNumId w:val="18"/>
  </w:num>
  <w:num w:numId="10">
    <w:abstractNumId w:val="6"/>
  </w:num>
  <w:num w:numId="11">
    <w:abstractNumId w:val="20"/>
  </w:num>
  <w:num w:numId="12">
    <w:abstractNumId w:val="28"/>
  </w:num>
  <w:num w:numId="13">
    <w:abstractNumId w:val="4"/>
  </w:num>
  <w:num w:numId="14">
    <w:abstractNumId w:val="2"/>
  </w:num>
  <w:num w:numId="15">
    <w:abstractNumId w:val="33"/>
  </w:num>
  <w:num w:numId="16">
    <w:abstractNumId w:val="8"/>
  </w:num>
  <w:num w:numId="17">
    <w:abstractNumId w:val="24"/>
  </w:num>
  <w:num w:numId="18">
    <w:abstractNumId w:val="30"/>
  </w:num>
  <w:num w:numId="19">
    <w:abstractNumId w:val="32"/>
  </w:num>
  <w:num w:numId="20">
    <w:abstractNumId w:val="13"/>
  </w:num>
  <w:num w:numId="21">
    <w:abstractNumId w:val="29"/>
  </w:num>
  <w:num w:numId="22">
    <w:abstractNumId w:val="11"/>
  </w:num>
  <w:num w:numId="23">
    <w:abstractNumId w:val="27"/>
  </w:num>
  <w:num w:numId="24">
    <w:abstractNumId w:val="25"/>
  </w:num>
  <w:num w:numId="25">
    <w:abstractNumId w:val="3"/>
  </w:num>
  <w:num w:numId="26">
    <w:abstractNumId w:val="19"/>
  </w:num>
  <w:num w:numId="27">
    <w:abstractNumId w:val="22"/>
  </w:num>
  <w:num w:numId="28">
    <w:abstractNumId w:val="0"/>
  </w:num>
  <w:num w:numId="29">
    <w:abstractNumId w:val="5"/>
  </w:num>
  <w:num w:numId="30">
    <w:abstractNumId w:val="12"/>
  </w:num>
  <w:num w:numId="31">
    <w:abstractNumId w:val="23"/>
  </w:num>
  <w:num w:numId="32">
    <w:abstractNumId w:val="31"/>
  </w:num>
  <w:num w:numId="33">
    <w:abstractNumId w:val="14"/>
  </w:num>
  <w:num w:numId="34">
    <w:abstractNumId w:val="17"/>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016DB"/>
    <w:rsid w:val="00004D3A"/>
    <w:rsid w:val="0003073C"/>
    <w:rsid w:val="00035337"/>
    <w:rsid w:val="00054071"/>
    <w:rsid w:val="0006126D"/>
    <w:rsid w:val="00067F57"/>
    <w:rsid w:val="00071BEC"/>
    <w:rsid w:val="00074514"/>
    <w:rsid w:val="000832D4"/>
    <w:rsid w:val="00090160"/>
    <w:rsid w:val="000B3E7E"/>
    <w:rsid w:val="000D223C"/>
    <w:rsid w:val="000E4006"/>
    <w:rsid w:val="000F1E3A"/>
    <w:rsid w:val="00111553"/>
    <w:rsid w:val="00133BE1"/>
    <w:rsid w:val="00164E99"/>
    <w:rsid w:val="00183CC8"/>
    <w:rsid w:val="00183E05"/>
    <w:rsid w:val="00187E9B"/>
    <w:rsid w:val="001927C2"/>
    <w:rsid w:val="001A4DCD"/>
    <w:rsid w:val="00203092"/>
    <w:rsid w:val="002208C0"/>
    <w:rsid w:val="00224C06"/>
    <w:rsid w:val="0025687C"/>
    <w:rsid w:val="00274A48"/>
    <w:rsid w:val="00291CCC"/>
    <w:rsid w:val="002A6415"/>
    <w:rsid w:val="002B7B7C"/>
    <w:rsid w:val="002C2BF2"/>
    <w:rsid w:val="002C7EF6"/>
    <w:rsid w:val="002D4924"/>
    <w:rsid w:val="002F4756"/>
    <w:rsid w:val="00302509"/>
    <w:rsid w:val="003049C5"/>
    <w:rsid w:val="003303BF"/>
    <w:rsid w:val="00340C00"/>
    <w:rsid w:val="0035164D"/>
    <w:rsid w:val="003702D1"/>
    <w:rsid w:val="00373FAD"/>
    <w:rsid w:val="003777B5"/>
    <w:rsid w:val="003832E7"/>
    <w:rsid w:val="003A20A0"/>
    <w:rsid w:val="003A58B0"/>
    <w:rsid w:val="003F3DB2"/>
    <w:rsid w:val="00400DFC"/>
    <w:rsid w:val="00412DC6"/>
    <w:rsid w:val="00425009"/>
    <w:rsid w:val="004377B0"/>
    <w:rsid w:val="00472C81"/>
    <w:rsid w:val="00475032"/>
    <w:rsid w:val="004859EF"/>
    <w:rsid w:val="00490B56"/>
    <w:rsid w:val="004B78E4"/>
    <w:rsid w:val="00511EC2"/>
    <w:rsid w:val="005156BC"/>
    <w:rsid w:val="005164F5"/>
    <w:rsid w:val="0052560F"/>
    <w:rsid w:val="005319AB"/>
    <w:rsid w:val="00560E31"/>
    <w:rsid w:val="005666F2"/>
    <w:rsid w:val="00572064"/>
    <w:rsid w:val="00584369"/>
    <w:rsid w:val="00587A35"/>
    <w:rsid w:val="00590609"/>
    <w:rsid w:val="005E4940"/>
    <w:rsid w:val="005F4693"/>
    <w:rsid w:val="00623602"/>
    <w:rsid w:val="0064279A"/>
    <w:rsid w:val="00651C98"/>
    <w:rsid w:val="0067529B"/>
    <w:rsid w:val="006A5D23"/>
    <w:rsid w:val="006B1B0B"/>
    <w:rsid w:val="006E3D58"/>
    <w:rsid w:val="00704EE5"/>
    <w:rsid w:val="007066E2"/>
    <w:rsid w:val="00722640"/>
    <w:rsid w:val="0073197E"/>
    <w:rsid w:val="00746080"/>
    <w:rsid w:val="00772B57"/>
    <w:rsid w:val="00781D04"/>
    <w:rsid w:val="007C2D45"/>
    <w:rsid w:val="007F49EB"/>
    <w:rsid w:val="007F632F"/>
    <w:rsid w:val="00805AF7"/>
    <w:rsid w:val="00805FDA"/>
    <w:rsid w:val="00812C1B"/>
    <w:rsid w:val="0081614C"/>
    <w:rsid w:val="008173B1"/>
    <w:rsid w:val="00835AD0"/>
    <w:rsid w:val="008408C7"/>
    <w:rsid w:val="00843808"/>
    <w:rsid w:val="008747B3"/>
    <w:rsid w:val="008813C3"/>
    <w:rsid w:val="008926F0"/>
    <w:rsid w:val="008964E8"/>
    <w:rsid w:val="008A48F6"/>
    <w:rsid w:val="008E6045"/>
    <w:rsid w:val="0090113B"/>
    <w:rsid w:val="0093258A"/>
    <w:rsid w:val="00933BEB"/>
    <w:rsid w:val="0094373C"/>
    <w:rsid w:val="00946DEE"/>
    <w:rsid w:val="00951E2B"/>
    <w:rsid w:val="00952939"/>
    <w:rsid w:val="00961EA0"/>
    <w:rsid w:val="009A5C44"/>
    <w:rsid w:val="009B03AF"/>
    <w:rsid w:val="009C4216"/>
    <w:rsid w:val="009D5F4B"/>
    <w:rsid w:val="009E626E"/>
    <w:rsid w:val="009E7CBF"/>
    <w:rsid w:val="00A07077"/>
    <w:rsid w:val="00A42245"/>
    <w:rsid w:val="00A50DD0"/>
    <w:rsid w:val="00A516B0"/>
    <w:rsid w:val="00A5620A"/>
    <w:rsid w:val="00AA06D9"/>
    <w:rsid w:val="00AC2406"/>
    <w:rsid w:val="00AD3FCF"/>
    <w:rsid w:val="00AF4124"/>
    <w:rsid w:val="00B03802"/>
    <w:rsid w:val="00B069AA"/>
    <w:rsid w:val="00B23A36"/>
    <w:rsid w:val="00B25576"/>
    <w:rsid w:val="00B25EF5"/>
    <w:rsid w:val="00B50EB2"/>
    <w:rsid w:val="00B6722A"/>
    <w:rsid w:val="00B82D78"/>
    <w:rsid w:val="00BA434C"/>
    <w:rsid w:val="00BD4F65"/>
    <w:rsid w:val="00BD5CE2"/>
    <w:rsid w:val="00BF599C"/>
    <w:rsid w:val="00C06F9E"/>
    <w:rsid w:val="00C13E6B"/>
    <w:rsid w:val="00C2370B"/>
    <w:rsid w:val="00C2674C"/>
    <w:rsid w:val="00C27193"/>
    <w:rsid w:val="00C61644"/>
    <w:rsid w:val="00C624D5"/>
    <w:rsid w:val="00C848A0"/>
    <w:rsid w:val="00C859E5"/>
    <w:rsid w:val="00C878C5"/>
    <w:rsid w:val="00C96AEA"/>
    <w:rsid w:val="00CC0B6D"/>
    <w:rsid w:val="00CD01B4"/>
    <w:rsid w:val="00CE1CD3"/>
    <w:rsid w:val="00CE1D31"/>
    <w:rsid w:val="00CE4F01"/>
    <w:rsid w:val="00D13E1D"/>
    <w:rsid w:val="00D30F16"/>
    <w:rsid w:val="00D55546"/>
    <w:rsid w:val="00D57E8C"/>
    <w:rsid w:val="00D61C0E"/>
    <w:rsid w:val="00D6213C"/>
    <w:rsid w:val="00D647C0"/>
    <w:rsid w:val="00D77694"/>
    <w:rsid w:val="00D77B0F"/>
    <w:rsid w:val="00D93C1F"/>
    <w:rsid w:val="00DB6B52"/>
    <w:rsid w:val="00DE5488"/>
    <w:rsid w:val="00DE75AC"/>
    <w:rsid w:val="00DF5A52"/>
    <w:rsid w:val="00E17C58"/>
    <w:rsid w:val="00E231C2"/>
    <w:rsid w:val="00E36F31"/>
    <w:rsid w:val="00E429DA"/>
    <w:rsid w:val="00E616AB"/>
    <w:rsid w:val="00E62C2A"/>
    <w:rsid w:val="00E6482C"/>
    <w:rsid w:val="00E8586E"/>
    <w:rsid w:val="00E86F26"/>
    <w:rsid w:val="00E922C9"/>
    <w:rsid w:val="00E96A06"/>
    <w:rsid w:val="00EA0919"/>
    <w:rsid w:val="00EB5240"/>
    <w:rsid w:val="00EC0B55"/>
    <w:rsid w:val="00EF6F10"/>
    <w:rsid w:val="00F034BF"/>
    <w:rsid w:val="00F233A3"/>
    <w:rsid w:val="00F23D7A"/>
    <w:rsid w:val="00F26D30"/>
    <w:rsid w:val="00F57152"/>
    <w:rsid w:val="00F7362C"/>
    <w:rsid w:val="00F84E57"/>
    <w:rsid w:val="00F92F61"/>
    <w:rsid w:val="00FB6F10"/>
    <w:rsid w:val="00FC4CF8"/>
    <w:rsid w:val="00FC5D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22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BFEC4F3F085C42AE856FB37D6441FE" ma:contentTypeVersion="12" ma:contentTypeDescription="Create a new document." ma:contentTypeScope="" ma:versionID="892e8e39b30ec31af7ae5ce60acf2547">
  <xsd:schema xmlns:xsd="http://www.w3.org/2001/XMLSchema" xmlns:xs="http://www.w3.org/2001/XMLSchema" xmlns:p="http://schemas.microsoft.com/office/2006/metadata/properties" xmlns:ns3="67bd9f97-d8a4-4110-aa76-ac06fd6996e3" xmlns:ns4="4b265e71-f343-4c34-bd05-826252c51855" targetNamespace="http://schemas.microsoft.com/office/2006/metadata/properties" ma:root="true" ma:fieldsID="fa5969718c80427d0bbc5083d4e14b6d" ns3:_="" ns4:_="">
    <xsd:import namespace="67bd9f97-d8a4-4110-aa76-ac06fd6996e3"/>
    <xsd:import namespace="4b265e71-f343-4c34-bd05-826252c5185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d9f97-d8a4-4110-aa76-ac06fd6996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265e71-f343-4c34-bd05-826252c5185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DFAF6-10A3-4C88-84CC-909839D02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d9f97-d8a4-4110-aa76-ac06fd6996e3"/>
    <ds:schemaRef ds:uri="4b265e71-f343-4c34-bd05-826252c518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D45DB0-8691-46E8-954F-041F29C769EE}">
  <ds:schemaRefs>
    <ds:schemaRef ds:uri="http://schemas.microsoft.com/sharepoint/v3/contenttype/forms"/>
  </ds:schemaRefs>
</ds:datastoreItem>
</file>

<file path=customXml/itemProps3.xml><?xml version="1.0" encoding="utf-8"?>
<ds:datastoreItem xmlns:ds="http://schemas.openxmlformats.org/officeDocument/2006/customXml" ds:itemID="{90811A8B-AAF0-4E2F-A03C-B1B36BA714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BA1800-AC79-4F32-8D76-3004D24A8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1210</Words>
  <Characters>6902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Vince Mazzone</cp:lastModifiedBy>
  <cp:revision>3</cp:revision>
  <cp:lastPrinted>2014-09-29T14:43:00Z</cp:lastPrinted>
  <dcterms:created xsi:type="dcterms:W3CDTF">2021-01-22T20:19:00Z</dcterms:created>
  <dcterms:modified xsi:type="dcterms:W3CDTF">2021-01-22T20:22:00Z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0x010100B1BFEC4F3F085C42AE856FB37D6441FE</vt:lpwstr>
  </property>
</Properties>
</file>