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C96B9" w14:textId="153B16DA" w:rsidR="006672AC" w:rsidRPr="006672AC" w:rsidRDefault="006672AC" w:rsidP="006672AC">
      <w:pPr>
        <w:kinsoku w:val="0"/>
        <w:overflowPunct w:val="0"/>
        <w:autoSpaceDE w:val="0"/>
        <w:autoSpaceDN w:val="0"/>
        <w:adjustRightInd w:val="0"/>
        <w:spacing w:after="0" w:line="341" w:lineRule="exact"/>
        <w:ind w:left="39"/>
        <w:rPr>
          <w:rFonts w:ascii="Calibri" w:hAnsi="Calibri" w:cs="Calibri"/>
          <w:b/>
          <w:bCs/>
          <w:color w:val="FFFFFF"/>
          <w:sz w:val="28"/>
          <w:szCs w:val="28"/>
        </w:rPr>
      </w:pPr>
      <w:r w:rsidRPr="006672AC">
        <w:rPr>
          <w:rFonts w:ascii="Calibri" w:hAnsi="Calibri" w:cs="Calibri"/>
          <w:b/>
          <w:bCs/>
          <w:color w:val="FFFFFF"/>
          <w:sz w:val="28"/>
          <w:szCs w:val="28"/>
        </w:rPr>
        <w:t>RATE</w:t>
      </w:r>
    </w:p>
    <w:p w14:paraId="582F02A9" w14:textId="77777777" w:rsidR="006672AC" w:rsidRPr="006672AC" w:rsidRDefault="006672AC" w:rsidP="006672AC">
      <w:pPr>
        <w:kinsoku w:val="0"/>
        <w:overflowPunct w:val="0"/>
        <w:autoSpaceDE w:val="0"/>
        <w:autoSpaceDN w:val="0"/>
        <w:adjustRightInd w:val="0"/>
        <w:spacing w:before="3" w:after="0" w:line="240" w:lineRule="auto"/>
        <w:rPr>
          <w:rFonts w:ascii="Calibri" w:hAnsi="Calibri" w:cs="Calibri"/>
          <w:b/>
          <w:bCs/>
          <w:sz w:val="35"/>
          <w:szCs w:val="35"/>
        </w:rPr>
      </w:pPr>
    </w:p>
    <w:p w14:paraId="1E85E3DD" w14:textId="77777777" w:rsidR="006672AC" w:rsidRPr="006672AC" w:rsidRDefault="006672AC" w:rsidP="006672AC">
      <w:pPr>
        <w:kinsoku w:val="0"/>
        <w:overflowPunct w:val="0"/>
        <w:autoSpaceDE w:val="0"/>
        <w:autoSpaceDN w:val="0"/>
        <w:adjustRightInd w:val="0"/>
        <w:spacing w:after="0" w:line="240" w:lineRule="auto"/>
        <w:ind w:left="2922" w:right="2739"/>
        <w:jc w:val="center"/>
        <w:rPr>
          <w:rFonts w:ascii="Arial" w:hAnsi="Arial" w:cs="Arial"/>
          <w:b/>
          <w:bCs/>
          <w:sz w:val="30"/>
          <w:szCs w:val="30"/>
        </w:rPr>
      </w:pPr>
      <w:r w:rsidRPr="006672AC">
        <w:rPr>
          <w:rFonts w:ascii="Arial" w:hAnsi="Arial" w:cs="Arial"/>
          <w:b/>
          <w:bCs/>
          <w:sz w:val="30"/>
          <w:szCs w:val="30"/>
        </w:rPr>
        <w:t>Appendix A</w:t>
      </w:r>
    </w:p>
    <w:p w14:paraId="1183604B" w14:textId="77777777" w:rsidR="006672AC" w:rsidRPr="006672AC" w:rsidRDefault="006672AC" w:rsidP="006672AC">
      <w:pPr>
        <w:kinsoku w:val="0"/>
        <w:overflowPunct w:val="0"/>
        <w:autoSpaceDE w:val="0"/>
        <w:autoSpaceDN w:val="0"/>
        <w:adjustRightInd w:val="0"/>
        <w:spacing w:before="188" w:after="0" w:line="240" w:lineRule="auto"/>
        <w:ind w:left="2922" w:right="2744"/>
        <w:jc w:val="center"/>
        <w:rPr>
          <w:rFonts w:ascii="Arial" w:hAnsi="Arial" w:cs="Arial"/>
          <w:b/>
          <w:bCs/>
          <w:sz w:val="30"/>
          <w:szCs w:val="30"/>
        </w:rPr>
      </w:pPr>
      <w:r w:rsidRPr="006672AC">
        <w:rPr>
          <w:rFonts w:ascii="Arial" w:hAnsi="Arial" w:cs="Arial"/>
          <w:b/>
          <w:bCs/>
          <w:sz w:val="30"/>
          <w:szCs w:val="30"/>
        </w:rPr>
        <w:t>GA Methodology Description</w:t>
      </w:r>
    </w:p>
    <w:p w14:paraId="7811C9E6" w14:textId="77777777" w:rsidR="006672AC" w:rsidRPr="006672AC" w:rsidRDefault="006672AC" w:rsidP="006672AC">
      <w:pPr>
        <w:kinsoku w:val="0"/>
        <w:overflowPunct w:val="0"/>
        <w:autoSpaceDE w:val="0"/>
        <w:autoSpaceDN w:val="0"/>
        <w:adjustRightInd w:val="0"/>
        <w:spacing w:after="0" w:line="276" w:lineRule="auto"/>
        <w:ind w:left="39" w:right="280"/>
        <w:rPr>
          <w:rFonts w:ascii="Arial" w:hAnsi="Arial" w:cs="Arial"/>
          <w:sz w:val="24"/>
          <w:szCs w:val="24"/>
        </w:rPr>
      </w:pPr>
      <w:r w:rsidRPr="006672AC">
        <w:rPr>
          <w:rFonts w:ascii="Arial" w:hAnsi="Arial" w:cs="Arial"/>
          <w:sz w:val="24"/>
          <w:szCs w:val="24"/>
        </w:rPr>
        <w:t>If a distributor has yet to fully implement the OEB’s February 21, 2019 accounting guidance effective from January 1, 2019, the distributor must complete and submit this Appendix A along with the GA Analysis Workform.</w:t>
      </w:r>
    </w:p>
    <w:p w14:paraId="5D7B86A5" w14:textId="77777777" w:rsidR="006672AC" w:rsidRPr="006672AC" w:rsidRDefault="006672AC" w:rsidP="006672AC">
      <w:pPr>
        <w:kinsoku w:val="0"/>
        <w:overflowPunct w:val="0"/>
        <w:autoSpaceDE w:val="0"/>
        <w:autoSpaceDN w:val="0"/>
        <w:adjustRightInd w:val="0"/>
        <w:spacing w:before="8" w:after="0" w:line="240" w:lineRule="auto"/>
        <w:rPr>
          <w:rFonts w:ascii="Arial" w:hAnsi="Arial" w:cs="Arial"/>
          <w:sz w:val="26"/>
          <w:szCs w:val="26"/>
        </w:rPr>
      </w:pPr>
    </w:p>
    <w:p w14:paraId="66E95F26" w14:textId="77777777" w:rsidR="006672AC" w:rsidRPr="006672AC" w:rsidRDefault="006672AC" w:rsidP="006672AC">
      <w:pPr>
        <w:kinsoku w:val="0"/>
        <w:overflowPunct w:val="0"/>
        <w:autoSpaceDE w:val="0"/>
        <w:autoSpaceDN w:val="0"/>
        <w:adjustRightInd w:val="0"/>
        <w:spacing w:after="0" w:line="276" w:lineRule="auto"/>
        <w:ind w:left="39"/>
        <w:rPr>
          <w:rFonts w:ascii="Arial" w:hAnsi="Arial" w:cs="Arial"/>
          <w:sz w:val="24"/>
          <w:szCs w:val="24"/>
        </w:rPr>
      </w:pPr>
      <w:r w:rsidRPr="006672AC">
        <w:rPr>
          <w:rFonts w:ascii="Arial" w:hAnsi="Arial" w:cs="Arial"/>
          <w:sz w:val="24"/>
          <w:szCs w:val="24"/>
        </w:rPr>
        <w:t>According to the Accounting Procedures Handbook, amounts are not booked directly to accounts 1588 and 1589, instead they are booked to the cost of power Account 4705 - Power Purchased, and Account 4707 Charges – Global Adjustment, respectively.</w:t>
      </w:r>
    </w:p>
    <w:p w14:paraId="21F434A2" w14:textId="77777777" w:rsidR="006672AC" w:rsidRPr="006672AC" w:rsidRDefault="006672AC" w:rsidP="006672AC">
      <w:pPr>
        <w:kinsoku w:val="0"/>
        <w:overflowPunct w:val="0"/>
        <w:autoSpaceDE w:val="0"/>
        <w:autoSpaceDN w:val="0"/>
        <w:adjustRightInd w:val="0"/>
        <w:spacing w:after="0" w:line="276" w:lineRule="auto"/>
        <w:ind w:left="39" w:right="280"/>
        <w:rPr>
          <w:rFonts w:ascii="Arial" w:hAnsi="Arial" w:cs="Arial"/>
          <w:sz w:val="24"/>
          <w:szCs w:val="24"/>
        </w:rPr>
      </w:pPr>
      <w:r w:rsidRPr="006672AC">
        <w:rPr>
          <w:rFonts w:ascii="Arial" w:hAnsi="Arial" w:cs="Arial"/>
          <w:sz w:val="24"/>
          <w:szCs w:val="24"/>
        </w:rPr>
        <w:t>However, accounts 1588 and 1589 are impacted the same way as account 4705 and 4707 are for cost of power transactions. Therefore, the questions in this appendix refer to amounts being booked into accounts 1588 and 1589 for simplicity’s sake.</w:t>
      </w:r>
    </w:p>
    <w:p w14:paraId="3094000C" w14:textId="77777777" w:rsidR="006672AC" w:rsidRPr="006672AC" w:rsidRDefault="006672AC" w:rsidP="006672AC">
      <w:pPr>
        <w:numPr>
          <w:ilvl w:val="0"/>
          <w:numId w:val="2"/>
        </w:numPr>
        <w:tabs>
          <w:tab w:val="left" w:pos="1101"/>
        </w:tabs>
        <w:kinsoku w:val="0"/>
        <w:overflowPunct w:val="0"/>
        <w:autoSpaceDE w:val="0"/>
        <w:autoSpaceDN w:val="0"/>
        <w:adjustRightInd w:val="0"/>
        <w:spacing w:after="0" w:line="266" w:lineRule="exact"/>
        <w:ind w:hanging="1062"/>
        <w:rPr>
          <w:rFonts w:ascii="Arial" w:hAnsi="Arial" w:cs="Arial"/>
          <w:sz w:val="24"/>
          <w:szCs w:val="24"/>
        </w:rPr>
      </w:pPr>
      <w:r w:rsidRPr="006672AC">
        <w:rPr>
          <w:rFonts w:ascii="Arial" w:hAnsi="Arial" w:cs="Arial"/>
          <w:sz w:val="24"/>
          <w:szCs w:val="24"/>
          <w:u w:val="single" w:color="000000"/>
        </w:rPr>
        <w:t>Approach to recording CT 1142/142 and CT</w:t>
      </w:r>
      <w:r w:rsidRPr="006672AC">
        <w:rPr>
          <w:rFonts w:ascii="Arial" w:hAnsi="Arial" w:cs="Arial"/>
          <w:spacing w:val="-1"/>
          <w:sz w:val="24"/>
          <w:szCs w:val="24"/>
          <w:u w:val="single" w:color="000000"/>
        </w:rPr>
        <w:t xml:space="preserve"> </w:t>
      </w:r>
      <w:r w:rsidRPr="006672AC">
        <w:rPr>
          <w:rFonts w:ascii="Arial" w:hAnsi="Arial" w:cs="Arial"/>
          <w:sz w:val="24"/>
          <w:szCs w:val="24"/>
          <w:u w:val="single" w:color="000000"/>
        </w:rPr>
        <w:t>148</w:t>
      </w:r>
    </w:p>
    <w:p w14:paraId="38D293FE" w14:textId="77777777" w:rsidR="006672AC" w:rsidRPr="006672AC" w:rsidRDefault="006672AC" w:rsidP="006672AC">
      <w:pPr>
        <w:kinsoku w:val="0"/>
        <w:overflowPunct w:val="0"/>
        <w:autoSpaceDE w:val="0"/>
        <w:autoSpaceDN w:val="0"/>
        <w:adjustRightInd w:val="0"/>
        <w:spacing w:before="41" w:after="0" w:line="276" w:lineRule="auto"/>
        <w:ind w:left="399" w:right="280"/>
        <w:rPr>
          <w:rFonts w:ascii="Arial" w:hAnsi="Arial" w:cs="Arial"/>
          <w:sz w:val="24"/>
          <w:szCs w:val="24"/>
        </w:rPr>
      </w:pPr>
      <w:r w:rsidRPr="006672AC">
        <w:rPr>
          <w:rFonts w:ascii="Arial" w:hAnsi="Arial" w:cs="Arial"/>
          <w:sz w:val="24"/>
          <w:szCs w:val="24"/>
        </w:rPr>
        <w:t>In booking expense journal entries for Charge Type (CT) 1142/142 and CT 148 from the IESO invoice, please confirm which of the following approaches is used:</w:t>
      </w:r>
    </w:p>
    <w:p w14:paraId="018443A1" w14:textId="77777777" w:rsidR="006672AC" w:rsidRPr="006672AC" w:rsidRDefault="006672AC" w:rsidP="006672AC">
      <w:pPr>
        <w:numPr>
          <w:ilvl w:val="1"/>
          <w:numId w:val="2"/>
        </w:numPr>
        <w:tabs>
          <w:tab w:val="left" w:pos="1461"/>
        </w:tabs>
        <w:kinsoku w:val="0"/>
        <w:overflowPunct w:val="0"/>
        <w:autoSpaceDE w:val="0"/>
        <w:autoSpaceDN w:val="0"/>
        <w:adjustRightInd w:val="0"/>
        <w:spacing w:after="0" w:line="276" w:lineRule="auto"/>
        <w:ind w:left="759" w:right="506"/>
        <w:rPr>
          <w:rFonts w:ascii="Arial" w:hAnsi="Arial" w:cs="Arial"/>
          <w:sz w:val="24"/>
          <w:szCs w:val="24"/>
        </w:rPr>
      </w:pPr>
      <w:r w:rsidRPr="006672AC">
        <w:rPr>
          <w:rFonts w:ascii="Arial" w:hAnsi="Arial" w:cs="Arial"/>
          <w:sz w:val="24"/>
          <w:szCs w:val="24"/>
        </w:rPr>
        <w:t xml:space="preserve">CT 1142/142 is booked into Account 1588. CT 148 is pro-rated based on RPP/non-RPP consumption and then booked into Account 1588 and </w:t>
      </w:r>
      <w:proofErr w:type="gramStart"/>
      <w:r w:rsidRPr="006672AC">
        <w:rPr>
          <w:rFonts w:ascii="Arial" w:hAnsi="Arial" w:cs="Arial"/>
          <w:sz w:val="24"/>
          <w:szCs w:val="24"/>
        </w:rPr>
        <w:t>1589</w:t>
      </w:r>
      <w:proofErr w:type="gramEnd"/>
      <w:r w:rsidRPr="006672AC">
        <w:rPr>
          <w:rFonts w:ascii="Arial" w:hAnsi="Arial" w:cs="Arial"/>
          <w:spacing w:val="-10"/>
          <w:sz w:val="24"/>
          <w:szCs w:val="24"/>
        </w:rPr>
        <w:t xml:space="preserve"> </w:t>
      </w:r>
      <w:r w:rsidRPr="006672AC">
        <w:rPr>
          <w:rFonts w:ascii="Arial" w:hAnsi="Arial" w:cs="Arial"/>
          <w:sz w:val="24"/>
          <w:szCs w:val="24"/>
        </w:rPr>
        <w:t>respectively.</w:t>
      </w:r>
    </w:p>
    <w:p w14:paraId="4A232E7C" w14:textId="77777777" w:rsidR="006672AC" w:rsidRPr="006672AC" w:rsidRDefault="006672AC" w:rsidP="006672AC">
      <w:pPr>
        <w:numPr>
          <w:ilvl w:val="1"/>
          <w:numId w:val="2"/>
        </w:numPr>
        <w:tabs>
          <w:tab w:val="left" w:pos="1461"/>
        </w:tabs>
        <w:kinsoku w:val="0"/>
        <w:overflowPunct w:val="0"/>
        <w:autoSpaceDE w:val="0"/>
        <w:autoSpaceDN w:val="0"/>
        <w:adjustRightInd w:val="0"/>
        <w:spacing w:after="0" w:line="276" w:lineRule="auto"/>
        <w:ind w:left="759" w:right="462"/>
        <w:jc w:val="both"/>
        <w:rPr>
          <w:rFonts w:ascii="Arial" w:hAnsi="Arial" w:cs="Arial"/>
          <w:sz w:val="24"/>
          <w:szCs w:val="24"/>
        </w:rPr>
      </w:pPr>
      <w:r w:rsidRPr="006672AC">
        <w:rPr>
          <w:rFonts w:ascii="Arial" w:hAnsi="Arial" w:cs="Arial"/>
          <w:sz w:val="24"/>
          <w:szCs w:val="24"/>
        </w:rPr>
        <w:t>CT 148 is booked into Account 1589. The portion of CT 1142/142 equaling RPP minus HOEP for RPP consumption is booked into Account 1588. The portion of CT 1142/142 equaling GA RPP is credited into Account</w:t>
      </w:r>
      <w:r w:rsidRPr="006672AC">
        <w:rPr>
          <w:rFonts w:ascii="Arial" w:hAnsi="Arial" w:cs="Arial"/>
          <w:spacing w:val="-23"/>
          <w:sz w:val="24"/>
          <w:szCs w:val="24"/>
        </w:rPr>
        <w:t xml:space="preserve"> </w:t>
      </w:r>
      <w:r w:rsidRPr="006672AC">
        <w:rPr>
          <w:rFonts w:ascii="Arial" w:hAnsi="Arial" w:cs="Arial"/>
          <w:sz w:val="24"/>
          <w:szCs w:val="24"/>
        </w:rPr>
        <w:t>1589.</w:t>
      </w:r>
    </w:p>
    <w:p w14:paraId="42BB3153" w14:textId="77777777" w:rsidR="006672AC" w:rsidRPr="006672AC" w:rsidRDefault="006672AC" w:rsidP="006672AC">
      <w:pPr>
        <w:numPr>
          <w:ilvl w:val="1"/>
          <w:numId w:val="2"/>
        </w:numPr>
        <w:tabs>
          <w:tab w:val="left" w:pos="1461"/>
        </w:tabs>
        <w:kinsoku w:val="0"/>
        <w:overflowPunct w:val="0"/>
        <w:autoSpaceDE w:val="0"/>
        <w:autoSpaceDN w:val="0"/>
        <w:adjustRightInd w:val="0"/>
        <w:spacing w:after="0" w:line="240" w:lineRule="auto"/>
        <w:ind w:hanging="1062"/>
        <w:jc w:val="both"/>
        <w:rPr>
          <w:rFonts w:ascii="Arial" w:hAnsi="Arial" w:cs="Arial"/>
          <w:sz w:val="24"/>
          <w:szCs w:val="24"/>
        </w:rPr>
      </w:pPr>
      <w:r w:rsidRPr="006672AC">
        <w:rPr>
          <w:rFonts w:ascii="Arial" w:hAnsi="Arial" w:cs="Arial"/>
          <w:sz w:val="24"/>
          <w:szCs w:val="24"/>
        </w:rPr>
        <w:t>If another approach is used, please explain in</w:t>
      </w:r>
      <w:r w:rsidRPr="006672AC">
        <w:rPr>
          <w:rFonts w:ascii="Arial" w:hAnsi="Arial" w:cs="Arial"/>
          <w:spacing w:val="-6"/>
          <w:sz w:val="24"/>
          <w:szCs w:val="24"/>
        </w:rPr>
        <w:t xml:space="preserve"> </w:t>
      </w:r>
      <w:r w:rsidRPr="006672AC">
        <w:rPr>
          <w:rFonts w:ascii="Arial" w:hAnsi="Arial" w:cs="Arial"/>
          <w:sz w:val="24"/>
          <w:szCs w:val="24"/>
        </w:rPr>
        <w:t>detail.</w:t>
      </w:r>
    </w:p>
    <w:p w14:paraId="22602022" w14:textId="77777777" w:rsidR="006672AC" w:rsidRPr="006672AC" w:rsidRDefault="006672AC" w:rsidP="006672AC">
      <w:pPr>
        <w:numPr>
          <w:ilvl w:val="1"/>
          <w:numId w:val="2"/>
        </w:numPr>
        <w:tabs>
          <w:tab w:val="left" w:pos="1461"/>
        </w:tabs>
        <w:kinsoku w:val="0"/>
        <w:overflowPunct w:val="0"/>
        <w:autoSpaceDE w:val="0"/>
        <w:autoSpaceDN w:val="0"/>
        <w:adjustRightInd w:val="0"/>
        <w:spacing w:before="41" w:after="0" w:line="276" w:lineRule="auto"/>
        <w:ind w:left="759" w:right="341"/>
        <w:rPr>
          <w:rFonts w:ascii="Arial" w:hAnsi="Arial" w:cs="Arial"/>
          <w:sz w:val="24"/>
          <w:szCs w:val="24"/>
        </w:rPr>
      </w:pPr>
      <w:r w:rsidRPr="006672AC">
        <w:rPr>
          <w:rFonts w:ascii="Arial" w:hAnsi="Arial" w:cs="Arial"/>
          <w:sz w:val="24"/>
          <w:szCs w:val="24"/>
        </w:rPr>
        <w:t>Was the approach described in response to the above question used consistently for all years for which variances are proposed for disposition? If not, please</w:t>
      </w:r>
      <w:r w:rsidRPr="006672AC">
        <w:rPr>
          <w:rFonts w:ascii="Arial" w:hAnsi="Arial" w:cs="Arial"/>
          <w:spacing w:val="-21"/>
          <w:sz w:val="24"/>
          <w:szCs w:val="24"/>
        </w:rPr>
        <w:t xml:space="preserve"> </w:t>
      </w:r>
      <w:r w:rsidRPr="006672AC">
        <w:rPr>
          <w:rFonts w:ascii="Arial" w:hAnsi="Arial" w:cs="Arial"/>
          <w:sz w:val="24"/>
          <w:szCs w:val="24"/>
        </w:rPr>
        <w:t>discuss.</w:t>
      </w:r>
    </w:p>
    <w:p w14:paraId="5CBD902B" w14:textId="75B89025" w:rsidR="006672AC" w:rsidRDefault="006672AC" w:rsidP="006672AC">
      <w:pPr>
        <w:kinsoku w:val="0"/>
        <w:overflowPunct w:val="0"/>
        <w:autoSpaceDE w:val="0"/>
        <w:autoSpaceDN w:val="0"/>
        <w:adjustRightInd w:val="0"/>
        <w:spacing w:before="7" w:after="0" w:line="240" w:lineRule="auto"/>
        <w:rPr>
          <w:rFonts w:ascii="Arial" w:hAnsi="Arial" w:cs="Arial"/>
          <w:sz w:val="27"/>
          <w:szCs w:val="27"/>
        </w:rPr>
      </w:pPr>
    </w:p>
    <w:p w14:paraId="447EE323" w14:textId="2C35FE61" w:rsidR="00AC6D39" w:rsidRPr="007C31FE" w:rsidRDefault="00AC6D39" w:rsidP="006672AC">
      <w:pPr>
        <w:kinsoku w:val="0"/>
        <w:overflowPunct w:val="0"/>
        <w:autoSpaceDE w:val="0"/>
        <w:autoSpaceDN w:val="0"/>
        <w:adjustRightInd w:val="0"/>
        <w:spacing w:before="7" w:after="0" w:line="240" w:lineRule="auto"/>
        <w:rPr>
          <w:rFonts w:ascii="Arial" w:hAnsi="Arial" w:cs="Arial"/>
          <w:color w:val="0070C0"/>
          <w:sz w:val="24"/>
          <w:szCs w:val="24"/>
          <w:u w:val="single"/>
        </w:rPr>
      </w:pPr>
      <w:r w:rsidRPr="007C31FE">
        <w:rPr>
          <w:rFonts w:ascii="Arial" w:hAnsi="Arial" w:cs="Arial"/>
          <w:color w:val="0070C0"/>
          <w:sz w:val="24"/>
          <w:szCs w:val="24"/>
          <w:u w:val="single"/>
        </w:rPr>
        <w:t>Response</w:t>
      </w:r>
    </w:p>
    <w:p w14:paraId="0663E9D5" w14:textId="2873D87D" w:rsidR="00AC3BDE" w:rsidRPr="007C31FE" w:rsidRDefault="00AC6D39" w:rsidP="006672AC">
      <w:pPr>
        <w:kinsoku w:val="0"/>
        <w:overflowPunct w:val="0"/>
        <w:autoSpaceDE w:val="0"/>
        <w:autoSpaceDN w:val="0"/>
        <w:adjustRightInd w:val="0"/>
        <w:spacing w:before="7" w:after="0" w:line="240" w:lineRule="auto"/>
        <w:rPr>
          <w:rFonts w:ascii="Arial" w:hAnsi="Arial" w:cs="Arial"/>
          <w:color w:val="0070C0"/>
          <w:sz w:val="24"/>
          <w:szCs w:val="24"/>
        </w:rPr>
      </w:pPr>
      <w:r w:rsidRPr="007C31FE">
        <w:rPr>
          <w:rFonts w:ascii="Arial" w:hAnsi="Arial" w:cs="Arial"/>
          <w:color w:val="0070C0"/>
          <w:sz w:val="24"/>
          <w:szCs w:val="24"/>
        </w:rPr>
        <w:t>Orangeville Hydro uses Approach A.   CT 1142/142 is booked to 4705 – Power Purchased, which impacts account 1588.  CT 148 is pro-rated based on</w:t>
      </w:r>
      <w:r w:rsidR="00AC3BDE" w:rsidRPr="007C31FE">
        <w:rPr>
          <w:rFonts w:ascii="Arial" w:hAnsi="Arial" w:cs="Arial"/>
          <w:color w:val="0070C0"/>
          <w:sz w:val="24"/>
          <w:szCs w:val="24"/>
        </w:rPr>
        <w:t xml:space="preserve"> RPP consumption data for the same month from the prior year. CT 148 is then</w:t>
      </w:r>
      <w:r w:rsidRPr="007C31FE">
        <w:rPr>
          <w:rFonts w:ascii="Arial" w:hAnsi="Arial" w:cs="Arial"/>
          <w:color w:val="0070C0"/>
          <w:sz w:val="24"/>
          <w:szCs w:val="24"/>
        </w:rPr>
        <w:t xml:space="preserve"> booked to account</w:t>
      </w:r>
      <w:r w:rsidR="00AC3BDE" w:rsidRPr="007C31FE">
        <w:rPr>
          <w:rFonts w:ascii="Arial" w:hAnsi="Arial" w:cs="Arial"/>
          <w:color w:val="0070C0"/>
          <w:sz w:val="24"/>
          <w:szCs w:val="24"/>
        </w:rPr>
        <w:t>s</w:t>
      </w:r>
      <w:r w:rsidRPr="007C31FE">
        <w:rPr>
          <w:rFonts w:ascii="Arial" w:hAnsi="Arial" w:cs="Arial"/>
          <w:color w:val="0070C0"/>
          <w:sz w:val="24"/>
          <w:szCs w:val="24"/>
        </w:rPr>
        <w:t xml:space="preserve"> </w:t>
      </w:r>
      <w:r w:rsidR="00AC3BDE" w:rsidRPr="007C31FE">
        <w:rPr>
          <w:rFonts w:ascii="Arial" w:hAnsi="Arial" w:cs="Arial"/>
          <w:color w:val="0070C0"/>
          <w:sz w:val="24"/>
          <w:szCs w:val="24"/>
        </w:rPr>
        <w:t xml:space="preserve">4705 and </w:t>
      </w:r>
      <w:r w:rsidRPr="007C31FE">
        <w:rPr>
          <w:rFonts w:ascii="Arial" w:hAnsi="Arial" w:cs="Arial"/>
          <w:color w:val="0070C0"/>
          <w:sz w:val="24"/>
          <w:szCs w:val="24"/>
        </w:rPr>
        <w:t xml:space="preserve">4707 </w:t>
      </w:r>
      <w:r w:rsidR="00AC3BDE" w:rsidRPr="007C31FE">
        <w:rPr>
          <w:rFonts w:ascii="Arial" w:hAnsi="Arial" w:cs="Arial"/>
          <w:color w:val="0070C0"/>
          <w:sz w:val="24"/>
          <w:szCs w:val="24"/>
        </w:rPr>
        <w:t>respectively, which affect account 1588 and 1589.</w:t>
      </w:r>
    </w:p>
    <w:p w14:paraId="2E6CA1F6" w14:textId="4A785BBB" w:rsidR="00AC6D39" w:rsidRPr="006672AC" w:rsidRDefault="00AC6D39" w:rsidP="006672AC">
      <w:pPr>
        <w:kinsoku w:val="0"/>
        <w:overflowPunct w:val="0"/>
        <w:autoSpaceDE w:val="0"/>
        <w:autoSpaceDN w:val="0"/>
        <w:adjustRightInd w:val="0"/>
        <w:spacing w:before="7" w:after="0" w:line="240" w:lineRule="auto"/>
        <w:rPr>
          <w:rFonts w:ascii="Arial" w:hAnsi="Arial" w:cs="Arial"/>
          <w:color w:val="0070C0"/>
          <w:sz w:val="27"/>
          <w:szCs w:val="27"/>
        </w:rPr>
      </w:pPr>
      <w:r>
        <w:rPr>
          <w:rFonts w:ascii="Arial" w:hAnsi="Arial" w:cs="Arial"/>
          <w:color w:val="0070C0"/>
          <w:sz w:val="27"/>
          <w:szCs w:val="27"/>
        </w:rPr>
        <w:t xml:space="preserve"> </w:t>
      </w:r>
    </w:p>
    <w:p w14:paraId="6F5096F6" w14:textId="77777777" w:rsidR="006672AC" w:rsidRPr="006672AC" w:rsidRDefault="006672AC" w:rsidP="006672AC">
      <w:pPr>
        <w:numPr>
          <w:ilvl w:val="0"/>
          <w:numId w:val="2"/>
        </w:numPr>
        <w:tabs>
          <w:tab w:val="left" w:pos="1101"/>
        </w:tabs>
        <w:kinsoku w:val="0"/>
        <w:overflowPunct w:val="0"/>
        <w:autoSpaceDE w:val="0"/>
        <w:autoSpaceDN w:val="0"/>
        <w:adjustRightInd w:val="0"/>
        <w:spacing w:after="0" w:line="240" w:lineRule="auto"/>
        <w:ind w:hanging="1062"/>
        <w:rPr>
          <w:rFonts w:ascii="Arial" w:hAnsi="Arial" w:cs="Arial"/>
          <w:sz w:val="24"/>
          <w:szCs w:val="24"/>
        </w:rPr>
      </w:pPr>
      <w:r w:rsidRPr="006672AC">
        <w:rPr>
          <w:rFonts w:ascii="Arial" w:hAnsi="Arial" w:cs="Arial"/>
          <w:sz w:val="24"/>
          <w:szCs w:val="24"/>
          <w:u w:val="single" w:color="000000"/>
        </w:rPr>
        <w:t>Questions on CT</w:t>
      </w:r>
      <w:r w:rsidRPr="006672AC">
        <w:rPr>
          <w:rFonts w:ascii="Arial" w:hAnsi="Arial" w:cs="Arial"/>
          <w:spacing w:val="1"/>
          <w:sz w:val="24"/>
          <w:szCs w:val="24"/>
          <w:u w:val="single" w:color="000000"/>
        </w:rPr>
        <w:t xml:space="preserve"> </w:t>
      </w:r>
      <w:r w:rsidRPr="006672AC">
        <w:rPr>
          <w:rFonts w:ascii="Arial" w:hAnsi="Arial" w:cs="Arial"/>
          <w:sz w:val="24"/>
          <w:szCs w:val="24"/>
          <w:u w:val="single" w:color="000000"/>
        </w:rPr>
        <w:t>1142/142</w:t>
      </w:r>
    </w:p>
    <w:p w14:paraId="01BC574D" w14:textId="22D42052" w:rsidR="006672AC" w:rsidRDefault="006672AC" w:rsidP="006672AC">
      <w:pPr>
        <w:numPr>
          <w:ilvl w:val="1"/>
          <w:numId w:val="2"/>
        </w:numPr>
        <w:tabs>
          <w:tab w:val="left" w:pos="1821"/>
        </w:tabs>
        <w:kinsoku w:val="0"/>
        <w:overflowPunct w:val="0"/>
        <w:autoSpaceDE w:val="0"/>
        <w:autoSpaceDN w:val="0"/>
        <w:adjustRightInd w:val="0"/>
        <w:spacing w:before="41" w:after="0" w:line="276" w:lineRule="auto"/>
        <w:ind w:left="1119" w:right="603"/>
        <w:rPr>
          <w:rFonts w:ascii="Arial" w:hAnsi="Arial" w:cs="Arial"/>
          <w:sz w:val="24"/>
          <w:szCs w:val="24"/>
        </w:rPr>
      </w:pPr>
      <w:r w:rsidRPr="006672AC">
        <w:rPr>
          <w:rFonts w:ascii="Arial" w:hAnsi="Arial" w:cs="Arial"/>
          <w:sz w:val="24"/>
          <w:szCs w:val="24"/>
        </w:rPr>
        <w:t>Please describe how each component of the initial RPP claim (RPP, HOEP and GA) is determined for settlement forms submitted by day 4 after the month-end (resulting in CT 1142/142 on the IESO</w:t>
      </w:r>
      <w:r w:rsidRPr="006672AC">
        <w:rPr>
          <w:rFonts w:ascii="Arial" w:hAnsi="Arial" w:cs="Arial"/>
          <w:spacing w:val="-20"/>
          <w:sz w:val="24"/>
          <w:szCs w:val="24"/>
        </w:rPr>
        <w:t xml:space="preserve"> </w:t>
      </w:r>
      <w:r w:rsidRPr="006672AC">
        <w:rPr>
          <w:rFonts w:ascii="Arial" w:hAnsi="Arial" w:cs="Arial"/>
          <w:sz w:val="24"/>
          <w:szCs w:val="24"/>
        </w:rPr>
        <w:t>invoice).</w:t>
      </w:r>
    </w:p>
    <w:p w14:paraId="3EE8AE59" w14:textId="23632F36" w:rsidR="007C31FE" w:rsidRPr="007C31FE" w:rsidRDefault="007C31FE" w:rsidP="007C31FE">
      <w:pPr>
        <w:tabs>
          <w:tab w:val="left" w:pos="1821"/>
        </w:tabs>
        <w:kinsoku w:val="0"/>
        <w:overflowPunct w:val="0"/>
        <w:autoSpaceDE w:val="0"/>
        <w:autoSpaceDN w:val="0"/>
        <w:adjustRightInd w:val="0"/>
        <w:spacing w:before="41" w:after="0" w:line="276" w:lineRule="auto"/>
        <w:ind w:right="603"/>
        <w:rPr>
          <w:rFonts w:ascii="Arial" w:hAnsi="Arial" w:cs="Arial"/>
          <w:color w:val="0070C0"/>
          <w:sz w:val="24"/>
          <w:szCs w:val="24"/>
          <w:u w:val="single"/>
        </w:rPr>
      </w:pPr>
      <w:r w:rsidRPr="007C31FE">
        <w:rPr>
          <w:rFonts w:ascii="Arial" w:hAnsi="Arial" w:cs="Arial"/>
          <w:color w:val="0070C0"/>
          <w:sz w:val="24"/>
          <w:szCs w:val="24"/>
          <w:u w:val="single"/>
        </w:rPr>
        <w:t>Response</w:t>
      </w:r>
    </w:p>
    <w:p w14:paraId="2F16EA75" w14:textId="73509185" w:rsidR="007C31FE" w:rsidRDefault="007C31FE" w:rsidP="007C31FE">
      <w:pPr>
        <w:tabs>
          <w:tab w:val="left" w:pos="1821"/>
        </w:tabs>
        <w:kinsoku w:val="0"/>
        <w:overflowPunct w:val="0"/>
        <w:autoSpaceDE w:val="0"/>
        <w:autoSpaceDN w:val="0"/>
        <w:adjustRightInd w:val="0"/>
        <w:spacing w:before="41" w:after="0" w:line="276" w:lineRule="auto"/>
        <w:ind w:right="603"/>
        <w:rPr>
          <w:rFonts w:ascii="Arial" w:hAnsi="Arial" w:cs="Arial"/>
          <w:color w:val="0070C0"/>
          <w:sz w:val="24"/>
          <w:szCs w:val="24"/>
        </w:rPr>
      </w:pPr>
      <w:r>
        <w:rPr>
          <w:rFonts w:ascii="Arial" w:hAnsi="Arial" w:cs="Arial"/>
          <w:color w:val="0070C0"/>
          <w:sz w:val="24"/>
          <w:szCs w:val="24"/>
        </w:rPr>
        <w:t xml:space="preserve">Orangeville Hydro uses the OEB accounting guidance to settle with the IESO.  The AQEW, </w:t>
      </w:r>
      <w:proofErr w:type="spellStart"/>
      <w:r>
        <w:rPr>
          <w:rFonts w:ascii="Arial" w:hAnsi="Arial" w:cs="Arial"/>
          <w:color w:val="0070C0"/>
          <w:sz w:val="24"/>
          <w:szCs w:val="24"/>
        </w:rPr>
        <w:t>Microfit</w:t>
      </w:r>
      <w:proofErr w:type="spellEnd"/>
      <w:r>
        <w:rPr>
          <w:rFonts w:ascii="Arial" w:hAnsi="Arial" w:cs="Arial"/>
          <w:color w:val="0070C0"/>
          <w:sz w:val="24"/>
          <w:szCs w:val="24"/>
        </w:rPr>
        <w:t xml:space="preserve"> and Net Metering volumes are downloaded from </w:t>
      </w:r>
      <w:proofErr w:type="spellStart"/>
      <w:r>
        <w:rPr>
          <w:rFonts w:ascii="Arial" w:hAnsi="Arial" w:cs="Arial"/>
          <w:color w:val="0070C0"/>
          <w:sz w:val="24"/>
          <w:szCs w:val="24"/>
        </w:rPr>
        <w:t>Utilismart</w:t>
      </w:r>
      <w:proofErr w:type="spellEnd"/>
      <w:r>
        <w:rPr>
          <w:rFonts w:ascii="Arial" w:hAnsi="Arial" w:cs="Arial"/>
          <w:color w:val="0070C0"/>
          <w:sz w:val="24"/>
          <w:szCs w:val="24"/>
        </w:rPr>
        <w:t xml:space="preserve"> and </w:t>
      </w:r>
      <w:proofErr w:type="gramStart"/>
      <w:r>
        <w:rPr>
          <w:rFonts w:ascii="Arial" w:hAnsi="Arial" w:cs="Arial"/>
          <w:color w:val="0070C0"/>
          <w:sz w:val="24"/>
          <w:szCs w:val="24"/>
        </w:rPr>
        <w:t>entered into</w:t>
      </w:r>
      <w:proofErr w:type="gramEnd"/>
      <w:r>
        <w:rPr>
          <w:rFonts w:ascii="Arial" w:hAnsi="Arial" w:cs="Arial"/>
          <w:color w:val="0070C0"/>
          <w:sz w:val="24"/>
          <w:szCs w:val="24"/>
        </w:rPr>
        <w:t xml:space="preserve"> the model. RPP volumes from the same month of the prior year are entered to </w:t>
      </w:r>
      <w:proofErr w:type="gramStart"/>
      <w:r>
        <w:rPr>
          <w:rFonts w:ascii="Arial" w:hAnsi="Arial" w:cs="Arial"/>
          <w:color w:val="0070C0"/>
          <w:sz w:val="24"/>
          <w:szCs w:val="24"/>
        </w:rPr>
        <w:t>determined</w:t>
      </w:r>
      <w:proofErr w:type="gramEnd"/>
      <w:r>
        <w:rPr>
          <w:rFonts w:ascii="Arial" w:hAnsi="Arial" w:cs="Arial"/>
          <w:color w:val="0070C0"/>
          <w:sz w:val="24"/>
          <w:szCs w:val="24"/>
        </w:rPr>
        <w:t xml:space="preserve"> the estimated RPP volumes and Tiered and TOU splits.</w:t>
      </w:r>
      <w:r w:rsidR="00A0386B">
        <w:rPr>
          <w:rFonts w:ascii="Arial" w:hAnsi="Arial" w:cs="Arial"/>
          <w:color w:val="0070C0"/>
          <w:sz w:val="24"/>
          <w:szCs w:val="24"/>
        </w:rPr>
        <w:t xml:space="preserve"> </w:t>
      </w:r>
      <w:r>
        <w:rPr>
          <w:rFonts w:ascii="Arial" w:hAnsi="Arial" w:cs="Arial"/>
          <w:color w:val="0070C0"/>
          <w:sz w:val="24"/>
          <w:szCs w:val="24"/>
        </w:rPr>
        <w:t xml:space="preserve">Tiered and TOU rates are confirmed to be correct for the current month of settlement. </w:t>
      </w:r>
      <w:r w:rsidR="00A0386B">
        <w:rPr>
          <w:rFonts w:ascii="Arial" w:hAnsi="Arial" w:cs="Arial"/>
          <w:color w:val="0070C0"/>
          <w:sz w:val="24"/>
          <w:szCs w:val="24"/>
        </w:rPr>
        <w:t>Global Adjustment 1</w:t>
      </w:r>
      <w:r w:rsidR="00A0386B" w:rsidRPr="00A0386B">
        <w:rPr>
          <w:rFonts w:ascii="Arial" w:hAnsi="Arial" w:cs="Arial"/>
          <w:color w:val="0070C0"/>
          <w:sz w:val="24"/>
          <w:szCs w:val="24"/>
          <w:vertAlign w:val="superscript"/>
        </w:rPr>
        <w:t>st</w:t>
      </w:r>
      <w:r w:rsidR="00A0386B">
        <w:rPr>
          <w:rFonts w:ascii="Arial" w:hAnsi="Arial" w:cs="Arial"/>
          <w:color w:val="0070C0"/>
          <w:sz w:val="24"/>
          <w:szCs w:val="24"/>
        </w:rPr>
        <w:t xml:space="preserve"> and 2</w:t>
      </w:r>
      <w:r w:rsidR="00A0386B" w:rsidRPr="00A0386B">
        <w:rPr>
          <w:rFonts w:ascii="Arial" w:hAnsi="Arial" w:cs="Arial"/>
          <w:color w:val="0070C0"/>
          <w:sz w:val="24"/>
          <w:szCs w:val="24"/>
          <w:vertAlign w:val="superscript"/>
        </w:rPr>
        <w:t>nd</w:t>
      </w:r>
      <w:r w:rsidR="00A0386B">
        <w:rPr>
          <w:rFonts w:ascii="Arial" w:hAnsi="Arial" w:cs="Arial"/>
          <w:color w:val="0070C0"/>
          <w:sz w:val="24"/>
          <w:szCs w:val="24"/>
        </w:rPr>
        <w:t xml:space="preserve"> estimates are entered in the model, and settlement takes place using GA 2</w:t>
      </w:r>
      <w:r w:rsidR="00A0386B" w:rsidRPr="00A0386B">
        <w:rPr>
          <w:rFonts w:ascii="Arial" w:hAnsi="Arial" w:cs="Arial"/>
          <w:color w:val="0070C0"/>
          <w:sz w:val="24"/>
          <w:szCs w:val="24"/>
          <w:vertAlign w:val="superscript"/>
        </w:rPr>
        <w:t>nd</w:t>
      </w:r>
      <w:r w:rsidR="00A0386B">
        <w:rPr>
          <w:rFonts w:ascii="Arial" w:hAnsi="Arial" w:cs="Arial"/>
          <w:color w:val="0070C0"/>
          <w:sz w:val="24"/>
          <w:szCs w:val="24"/>
        </w:rPr>
        <w:t xml:space="preserve"> estimate rate. The estimated RPP calculated energy price is calculated </w:t>
      </w:r>
      <w:r w:rsidR="00A0386B">
        <w:rPr>
          <w:rFonts w:ascii="Arial" w:hAnsi="Arial" w:cs="Arial"/>
          <w:color w:val="0070C0"/>
          <w:sz w:val="24"/>
          <w:szCs w:val="24"/>
        </w:rPr>
        <w:lastRenderedPageBreak/>
        <w:t>by dividing the estimated RPP consumption by the estimated RPP revenues. The estimated RPP revenues is calculated by multiplying the RPP revenues by the total e</w:t>
      </w:r>
      <w:r w:rsidR="00A0386B" w:rsidRPr="00A0386B">
        <w:rPr>
          <w:rFonts w:ascii="Arial" w:hAnsi="Arial" w:cs="Arial"/>
          <w:color w:val="0070C0"/>
          <w:sz w:val="24"/>
          <w:szCs w:val="24"/>
        </w:rPr>
        <w:t>stimated average unit cost of power sold for RPP &amp; non-RPP for Initial Settlement</w:t>
      </w:r>
      <w:r w:rsidR="00A0386B">
        <w:rPr>
          <w:rFonts w:ascii="Arial" w:hAnsi="Arial" w:cs="Arial"/>
          <w:color w:val="0070C0"/>
          <w:sz w:val="24"/>
          <w:szCs w:val="24"/>
        </w:rPr>
        <w:t xml:space="preserve"> by the RPP percentage of estimated volumes. The total e</w:t>
      </w:r>
      <w:r w:rsidR="00A0386B" w:rsidRPr="00A0386B">
        <w:rPr>
          <w:rFonts w:ascii="Arial" w:hAnsi="Arial" w:cs="Arial"/>
          <w:color w:val="0070C0"/>
          <w:sz w:val="24"/>
          <w:szCs w:val="24"/>
        </w:rPr>
        <w:t>stimated average unit cost of power sold for RPP &amp; non-RPP for Initial Settlement</w:t>
      </w:r>
      <w:r w:rsidR="00A0386B">
        <w:rPr>
          <w:rFonts w:ascii="Arial" w:hAnsi="Arial" w:cs="Arial"/>
          <w:color w:val="0070C0"/>
          <w:sz w:val="24"/>
          <w:szCs w:val="24"/>
        </w:rPr>
        <w:t xml:space="preserve"> is calculated using the Total System Load cost downloaded from </w:t>
      </w:r>
      <w:proofErr w:type="spellStart"/>
      <w:r w:rsidR="00A0386B">
        <w:rPr>
          <w:rFonts w:ascii="Arial" w:hAnsi="Arial" w:cs="Arial"/>
          <w:color w:val="0070C0"/>
          <w:sz w:val="24"/>
          <w:szCs w:val="24"/>
        </w:rPr>
        <w:t>Utilismart</w:t>
      </w:r>
      <w:proofErr w:type="spellEnd"/>
      <w:r w:rsidR="00A0386B">
        <w:rPr>
          <w:rFonts w:ascii="Arial" w:hAnsi="Arial" w:cs="Arial"/>
          <w:color w:val="0070C0"/>
          <w:sz w:val="24"/>
          <w:szCs w:val="24"/>
        </w:rPr>
        <w:t xml:space="preserve"> and the difference between the Estimated </w:t>
      </w:r>
      <w:r w:rsidR="00825ADA">
        <w:rPr>
          <w:rFonts w:ascii="Arial" w:hAnsi="Arial" w:cs="Arial"/>
          <w:color w:val="0070C0"/>
          <w:sz w:val="24"/>
          <w:szCs w:val="24"/>
        </w:rPr>
        <w:t>p</w:t>
      </w:r>
      <w:r w:rsidR="00A0386B">
        <w:rPr>
          <w:rFonts w:ascii="Arial" w:hAnsi="Arial" w:cs="Arial"/>
          <w:color w:val="0070C0"/>
          <w:sz w:val="24"/>
          <w:szCs w:val="24"/>
        </w:rPr>
        <w:t xml:space="preserve">ayments to embedded generators and the FIT program settlement amount.  </w:t>
      </w:r>
      <w:proofErr w:type="gramStart"/>
      <w:r w:rsidR="00A0386B">
        <w:rPr>
          <w:rFonts w:ascii="Arial" w:hAnsi="Arial" w:cs="Arial"/>
          <w:color w:val="0070C0"/>
          <w:sz w:val="24"/>
          <w:szCs w:val="24"/>
        </w:rPr>
        <w:t>Both of these</w:t>
      </w:r>
      <w:proofErr w:type="gramEnd"/>
      <w:r w:rsidR="00A0386B">
        <w:rPr>
          <w:rFonts w:ascii="Arial" w:hAnsi="Arial" w:cs="Arial"/>
          <w:color w:val="0070C0"/>
          <w:sz w:val="24"/>
          <w:szCs w:val="24"/>
        </w:rPr>
        <w:t xml:space="preserve"> amounts </w:t>
      </w:r>
      <w:r w:rsidR="00825ADA">
        <w:rPr>
          <w:rFonts w:ascii="Arial" w:hAnsi="Arial" w:cs="Arial"/>
          <w:color w:val="0070C0"/>
          <w:sz w:val="24"/>
          <w:szCs w:val="24"/>
        </w:rPr>
        <w:t xml:space="preserve">are obtained by reports downloaded from </w:t>
      </w:r>
      <w:proofErr w:type="spellStart"/>
      <w:r w:rsidR="00825ADA">
        <w:rPr>
          <w:rFonts w:ascii="Arial" w:hAnsi="Arial" w:cs="Arial"/>
          <w:color w:val="0070C0"/>
          <w:sz w:val="24"/>
          <w:szCs w:val="24"/>
        </w:rPr>
        <w:t>Utilismart</w:t>
      </w:r>
      <w:proofErr w:type="spellEnd"/>
      <w:r w:rsidR="00226383">
        <w:rPr>
          <w:rFonts w:ascii="Arial" w:hAnsi="Arial" w:cs="Arial"/>
          <w:color w:val="0070C0"/>
          <w:sz w:val="24"/>
          <w:szCs w:val="24"/>
        </w:rPr>
        <w:t xml:space="preserve">. The </w:t>
      </w:r>
      <w:r w:rsidR="00F157D0">
        <w:rPr>
          <w:rFonts w:ascii="Arial" w:hAnsi="Arial" w:cs="Arial"/>
          <w:color w:val="0070C0"/>
          <w:sz w:val="24"/>
          <w:szCs w:val="24"/>
        </w:rPr>
        <w:t>amount settled with the IESO is the difference between the estimated RPP revenue and the estimated RPP energy and estimated RPP GA dollars.</w:t>
      </w:r>
    </w:p>
    <w:p w14:paraId="62DC6A0A" w14:textId="77777777" w:rsidR="00A0386B" w:rsidRPr="007C31FE" w:rsidRDefault="00A0386B" w:rsidP="007C31FE">
      <w:pPr>
        <w:tabs>
          <w:tab w:val="left" w:pos="1821"/>
        </w:tabs>
        <w:kinsoku w:val="0"/>
        <w:overflowPunct w:val="0"/>
        <w:autoSpaceDE w:val="0"/>
        <w:autoSpaceDN w:val="0"/>
        <w:adjustRightInd w:val="0"/>
        <w:spacing w:before="41" w:after="0" w:line="276" w:lineRule="auto"/>
        <w:ind w:right="603"/>
        <w:rPr>
          <w:rFonts w:ascii="Arial" w:hAnsi="Arial" w:cs="Arial"/>
          <w:color w:val="0070C0"/>
          <w:sz w:val="24"/>
          <w:szCs w:val="24"/>
        </w:rPr>
      </w:pPr>
    </w:p>
    <w:p w14:paraId="316DE93C" w14:textId="73D1DCC3" w:rsidR="006672AC" w:rsidRDefault="006672AC" w:rsidP="006672AC">
      <w:pPr>
        <w:numPr>
          <w:ilvl w:val="1"/>
          <w:numId w:val="2"/>
        </w:numPr>
        <w:tabs>
          <w:tab w:val="left" w:pos="1821"/>
        </w:tabs>
        <w:kinsoku w:val="0"/>
        <w:overflowPunct w:val="0"/>
        <w:autoSpaceDE w:val="0"/>
        <w:autoSpaceDN w:val="0"/>
        <w:adjustRightInd w:val="0"/>
        <w:spacing w:before="1" w:after="0" w:line="276" w:lineRule="auto"/>
        <w:ind w:left="1119" w:right="366"/>
        <w:rPr>
          <w:rFonts w:ascii="Arial" w:hAnsi="Arial" w:cs="Arial"/>
          <w:sz w:val="24"/>
          <w:szCs w:val="24"/>
        </w:rPr>
      </w:pPr>
      <w:r w:rsidRPr="006672AC">
        <w:rPr>
          <w:rFonts w:ascii="Arial" w:hAnsi="Arial" w:cs="Arial"/>
          <w:sz w:val="24"/>
          <w:szCs w:val="24"/>
        </w:rPr>
        <w:t>Please describe the process for truing up CT 1142/142 to actual RPP kWh, including which data is used for each TOU/Tier 1&amp;2 prices, as well as the timing of the true</w:t>
      </w:r>
      <w:r w:rsidRPr="006672AC">
        <w:rPr>
          <w:rFonts w:ascii="Arial" w:hAnsi="Arial" w:cs="Arial"/>
          <w:spacing w:val="-24"/>
          <w:sz w:val="24"/>
          <w:szCs w:val="24"/>
        </w:rPr>
        <w:t xml:space="preserve"> </w:t>
      </w:r>
      <w:r w:rsidRPr="006672AC">
        <w:rPr>
          <w:rFonts w:ascii="Arial" w:hAnsi="Arial" w:cs="Arial"/>
          <w:sz w:val="24"/>
          <w:szCs w:val="24"/>
        </w:rPr>
        <w:t>up.</w:t>
      </w:r>
    </w:p>
    <w:p w14:paraId="550F0E30" w14:textId="70A8DBBC" w:rsidR="00DF0542" w:rsidRPr="00AE7D54" w:rsidRDefault="00DF0542" w:rsidP="00DF0542">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AE7D54">
        <w:rPr>
          <w:rFonts w:ascii="Arial" w:hAnsi="Arial" w:cs="Arial"/>
          <w:color w:val="0070C0"/>
          <w:sz w:val="24"/>
          <w:szCs w:val="24"/>
          <w:u w:val="single"/>
        </w:rPr>
        <w:t>Response</w:t>
      </w:r>
    </w:p>
    <w:p w14:paraId="1902A300" w14:textId="6FBBB139" w:rsidR="00DF0542" w:rsidRDefault="00DF0542" w:rsidP="00DF0542">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Pr>
          <w:rFonts w:ascii="Arial" w:hAnsi="Arial" w:cs="Arial"/>
          <w:color w:val="0070C0"/>
          <w:sz w:val="24"/>
          <w:szCs w:val="24"/>
        </w:rPr>
        <w:t>Each month the 1</w:t>
      </w:r>
      <w:r w:rsidRPr="00DF0542">
        <w:rPr>
          <w:rFonts w:ascii="Arial" w:hAnsi="Arial" w:cs="Arial"/>
          <w:color w:val="0070C0"/>
          <w:sz w:val="24"/>
          <w:szCs w:val="24"/>
          <w:vertAlign w:val="superscript"/>
        </w:rPr>
        <w:t>st</w:t>
      </w:r>
      <w:r>
        <w:rPr>
          <w:rFonts w:ascii="Arial" w:hAnsi="Arial" w:cs="Arial"/>
          <w:color w:val="0070C0"/>
          <w:sz w:val="24"/>
          <w:szCs w:val="24"/>
        </w:rPr>
        <w:t xml:space="preserve"> true up is completed using the </w:t>
      </w:r>
      <w:proofErr w:type="gramStart"/>
      <w:r>
        <w:rPr>
          <w:rFonts w:ascii="Arial" w:hAnsi="Arial" w:cs="Arial"/>
          <w:color w:val="0070C0"/>
          <w:sz w:val="24"/>
          <w:szCs w:val="24"/>
        </w:rPr>
        <w:t>one month</w:t>
      </w:r>
      <w:proofErr w:type="gramEnd"/>
      <w:r>
        <w:rPr>
          <w:rFonts w:ascii="Arial" w:hAnsi="Arial" w:cs="Arial"/>
          <w:color w:val="0070C0"/>
          <w:sz w:val="24"/>
          <w:szCs w:val="24"/>
        </w:rPr>
        <w:t xml:space="preserve"> prior settlement file, and the 2</w:t>
      </w:r>
      <w:r w:rsidRPr="00DF0542">
        <w:rPr>
          <w:rFonts w:ascii="Arial" w:hAnsi="Arial" w:cs="Arial"/>
          <w:color w:val="0070C0"/>
          <w:sz w:val="24"/>
          <w:szCs w:val="24"/>
          <w:vertAlign w:val="superscript"/>
        </w:rPr>
        <w:t>nd</w:t>
      </w:r>
      <w:r>
        <w:rPr>
          <w:rFonts w:ascii="Arial" w:hAnsi="Arial" w:cs="Arial"/>
          <w:color w:val="0070C0"/>
          <w:sz w:val="24"/>
          <w:szCs w:val="24"/>
        </w:rPr>
        <w:t xml:space="preserve"> true up is completed using two months prior settlement file. For the 1</w:t>
      </w:r>
      <w:r w:rsidRPr="00DF0542">
        <w:rPr>
          <w:rFonts w:ascii="Arial" w:hAnsi="Arial" w:cs="Arial"/>
          <w:color w:val="0070C0"/>
          <w:sz w:val="24"/>
          <w:szCs w:val="24"/>
          <w:vertAlign w:val="superscript"/>
        </w:rPr>
        <w:t>st</w:t>
      </w:r>
      <w:r>
        <w:rPr>
          <w:rFonts w:ascii="Arial" w:hAnsi="Arial" w:cs="Arial"/>
          <w:color w:val="0070C0"/>
          <w:sz w:val="24"/>
          <w:szCs w:val="24"/>
        </w:rPr>
        <w:t xml:space="preserve"> true up, the prior months settlement file is opened and the Actual AQEW volumes are entered based on a calculation from the IESO invoice of the Rural Rate Settlement Charge amount divided by the Rural Rate Settlement Charge rate.  This is confirmed it is close to the AQEW used for initial settlement. </w:t>
      </w:r>
      <w:r w:rsidR="00E03F33">
        <w:rPr>
          <w:rFonts w:ascii="Arial" w:hAnsi="Arial" w:cs="Arial"/>
          <w:color w:val="0070C0"/>
          <w:sz w:val="24"/>
          <w:szCs w:val="24"/>
        </w:rPr>
        <w:t>The amounts from lines 148, 147 and 101 are entered from the IESO invoice.  The 1</w:t>
      </w:r>
      <w:r w:rsidR="00E03F33" w:rsidRPr="00E03F33">
        <w:rPr>
          <w:rFonts w:ascii="Arial" w:hAnsi="Arial" w:cs="Arial"/>
          <w:color w:val="0070C0"/>
          <w:sz w:val="24"/>
          <w:szCs w:val="24"/>
          <w:vertAlign w:val="superscript"/>
        </w:rPr>
        <w:t>st</w:t>
      </w:r>
      <w:r w:rsidR="00E03F33">
        <w:rPr>
          <w:rFonts w:ascii="Arial" w:hAnsi="Arial" w:cs="Arial"/>
          <w:color w:val="0070C0"/>
          <w:sz w:val="24"/>
          <w:szCs w:val="24"/>
        </w:rPr>
        <w:t xml:space="preserve"> true up amount is then the difference between the original settlement and the same values calculated using actual amounts from the IESO invoice.</w:t>
      </w:r>
    </w:p>
    <w:p w14:paraId="0E8ABA3E" w14:textId="54BF4141" w:rsidR="00E03F33" w:rsidRDefault="00E03F33" w:rsidP="00DF0542">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Pr>
          <w:rFonts w:ascii="Arial" w:hAnsi="Arial" w:cs="Arial"/>
          <w:color w:val="0070C0"/>
          <w:sz w:val="24"/>
          <w:szCs w:val="24"/>
        </w:rPr>
        <w:t>The 2</w:t>
      </w:r>
      <w:r w:rsidRPr="00E03F33">
        <w:rPr>
          <w:rFonts w:ascii="Arial" w:hAnsi="Arial" w:cs="Arial"/>
          <w:color w:val="0070C0"/>
          <w:sz w:val="24"/>
          <w:szCs w:val="24"/>
          <w:vertAlign w:val="superscript"/>
        </w:rPr>
        <w:t>nd</w:t>
      </w:r>
      <w:r>
        <w:rPr>
          <w:rFonts w:ascii="Arial" w:hAnsi="Arial" w:cs="Arial"/>
          <w:color w:val="0070C0"/>
          <w:sz w:val="24"/>
          <w:szCs w:val="24"/>
        </w:rPr>
        <w:t xml:space="preserve"> true up is completed two months after the initial settlement.  The original submission file is opened two months after, and the actual RPP </w:t>
      </w:r>
      <w:r w:rsidR="00AE7D54">
        <w:rPr>
          <w:rFonts w:ascii="Arial" w:hAnsi="Arial" w:cs="Arial"/>
          <w:color w:val="0070C0"/>
          <w:sz w:val="24"/>
          <w:szCs w:val="24"/>
        </w:rPr>
        <w:t>sales quantities</w:t>
      </w:r>
      <w:r>
        <w:rPr>
          <w:rFonts w:ascii="Arial" w:hAnsi="Arial" w:cs="Arial"/>
          <w:color w:val="0070C0"/>
          <w:sz w:val="24"/>
          <w:szCs w:val="24"/>
        </w:rPr>
        <w:t xml:space="preserve"> are obtained from a report run from Cognos in the billing system</w:t>
      </w:r>
      <w:r w:rsidR="00AE7D54">
        <w:rPr>
          <w:rFonts w:ascii="Arial" w:hAnsi="Arial" w:cs="Arial"/>
          <w:color w:val="0070C0"/>
          <w:sz w:val="24"/>
          <w:szCs w:val="24"/>
        </w:rPr>
        <w:t xml:space="preserve"> with only RPP bill codes</w:t>
      </w:r>
      <w:r>
        <w:rPr>
          <w:rFonts w:ascii="Arial" w:hAnsi="Arial" w:cs="Arial"/>
          <w:color w:val="0070C0"/>
          <w:sz w:val="24"/>
          <w:szCs w:val="24"/>
        </w:rPr>
        <w:t>, and prorates</w:t>
      </w:r>
      <w:r w:rsidR="00AE7D54">
        <w:rPr>
          <w:rFonts w:ascii="Arial" w:hAnsi="Arial" w:cs="Arial"/>
          <w:color w:val="0070C0"/>
          <w:sz w:val="24"/>
          <w:szCs w:val="24"/>
        </w:rPr>
        <w:t xml:space="preserve"> consumption based on meter</w:t>
      </w:r>
      <w:r>
        <w:rPr>
          <w:rFonts w:ascii="Arial" w:hAnsi="Arial" w:cs="Arial"/>
          <w:color w:val="0070C0"/>
          <w:sz w:val="24"/>
          <w:szCs w:val="24"/>
        </w:rPr>
        <w:t xml:space="preserve"> read dates for the </w:t>
      </w:r>
      <w:r w:rsidR="00AE7D54">
        <w:rPr>
          <w:rFonts w:ascii="Arial" w:hAnsi="Arial" w:cs="Arial"/>
          <w:color w:val="0070C0"/>
          <w:sz w:val="24"/>
          <w:szCs w:val="24"/>
        </w:rPr>
        <w:t xml:space="preserve">appropriate month. </w:t>
      </w:r>
      <w:r w:rsidR="00AE7D54" w:rsidRPr="00AE7D54">
        <w:rPr>
          <w:rFonts w:ascii="Arial" w:hAnsi="Arial" w:cs="Arial"/>
          <w:color w:val="0070C0"/>
          <w:sz w:val="24"/>
          <w:szCs w:val="24"/>
        </w:rPr>
        <w:t>Actual Retail Revenue kWh Volumes</w:t>
      </w:r>
      <w:r w:rsidR="00AE7D54">
        <w:rPr>
          <w:rFonts w:ascii="Arial" w:hAnsi="Arial" w:cs="Arial"/>
          <w:color w:val="0070C0"/>
          <w:sz w:val="24"/>
          <w:szCs w:val="24"/>
        </w:rPr>
        <w:t xml:space="preserve"> are obtained from a report run from Cognos in the billing </w:t>
      </w:r>
      <w:proofErr w:type="gramStart"/>
      <w:r w:rsidR="00AE7D54">
        <w:rPr>
          <w:rFonts w:ascii="Arial" w:hAnsi="Arial" w:cs="Arial"/>
          <w:color w:val="0070C0"/>
          <w:sz w:val="24"/>
          <w:szCs w:val="24"/>
        </w:rPr>
        <w:t>system, and</w:t>
      </w:r>
      <w:proofErr w:type="gramEnd"/>
      <w:r w:rsidR="00AE7D54">
        <w:rPr>
          <w:rFonts w:ascii="Arial" w:hAnsi="Arial" w:cs="Arial"/>
          <w:color w:val="0070C0"/>
          <w:sz w:val="24"/>
          <w:szCs w:val="24"/>
        </w:rPr>
        <w:t xml:space="preserve"> prorates consumption for all bill codes based on meter read dates for the appropriate month. Class A amounts are removed from this value. The Tiered and TOU percentage values are also obtained from the same report run from Cognos in the billing system with only RPP bill codes, and prorates consumption based on meter read dates for the appropriate month. The 2</w:t>
      </w:r>
      <w:r w:rsidR="00AE7D54" w:rsidRPr="00AE7D54">
        <w:rPr>
          <w:rFonts w:ascii="Arial" w:hAnsi="Arial" w:cs="Arial"/>
          <w:color w:val="0070C0"/>
          <w:sz w:val="24"/>
          <w:szCs w:val="24"/>
          <w:vertAlign w:val="superscript"/>
        </w:rPr>
        <w:t>nd</w:t>
      </w:r>
      <w:r w:rsidR="00AE7D54">
        <w:rPr>
          <w:rFonts w:ascii="Arial" w:hAnsi="Arial" w:cs="Arial"/>
          <w:color w:val="0070C0"/>
          <w:sz w:val="24"/>
          <w:szCs w:val="24"/>
        </w:rPr>
        <w:t xml:space="preserve"> true up calculates the difference between estimated RPP volumes and actual RPP volumes as well as the difference between calculated RPP Energy Price Difference.</w:t>
      </w:r>
    </w:p>
    <w:p w14:paraId="48374EAD" w14:textId="77777777" w:rsidR="00AE7D54" w:rsidRPr="00DF0542" w:rsidRDefault="00AE7D54" w:rsidP="00DF0542">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p>
    <w:p w14:paraId="6099687B" w14:textId="77777777" w:rsidR="006672AC" w:rsidRPr="006672AC" w:rsidRDefault="006672AC" w:rsidP="006672AC">
      <w:pPr>
        <w:kinsoku w:val="0"/>
        <w:overflowPunct w:val="0"/>
        <w:autoSpaceDE w:val="0"/>
        <w:autoSpaceDN w:val="0"/>
        <w:adjustRightInd w:val="0"/>
        <w:spacing w:after="0" w:line="266" w:lineRule="exact"/>
        <w:ind w:left="39"/>
        <w:rPr>
          <w:rFonts w:ascii="Arial" w:hAnsi="Arial" w:cs="Arial"/>
          <w:sz w:val="24"/>
          <w:szCs w:val="24"/>
        </w:rPr>
      </w:pPr>
      <w:r w:rsidRPr="006672AC">
        <w:rPr>
          <w:rFonts w:ascii="Arial" w:hAnsi="Arial" w:cs="Arial"/>
          <w:sz w:val="24"/>
          <w:szCs w:val="24"/>
        </w:rPr>
        <w:t>c. Has CT 1142/142 been trued up for with the IESO for all of 2019?</w:t>
      </w:r>
    </w:p>
    <w:p w14:paraId="784A24AD" w14:textId="77777777" w:rsidR="006672AC" w:rsidRPr="006672AC" w:rsidRDefault="006672AC" w:rsidP="006672AC">
      <w:pPr>
        <w:kinsoku w:val="0"/>
        <w:overflowPunct w:val="0"/>
        <w:autoSpaceDE w:val="0"/>
        <w:autoSpaceDN w:val="0"/>
        <w:adjustRightInd w:val="0"/>
        <w:spacing w:after="0" w:line="266" w:lineRule="exact"/>
        <w:ind w:left="39"/>
        <w:rPr>
          <w:rFonts w:ascii="Arial" w:hAnsi="Arial" w:cs="Arial"/>
          <w:sz w:val="24"/>
          <w:szCs w:val="24"/>
        </w:rPr>
        <w:sectPr w:rsidR="006672AC" w:rsidRPr="006672AC" w:rsidSect="006672AC">
          <w:pgSz w:w="12240" w:h="15840"/>
          <w:pgMar w:top="700" w:right="1340" w:bottom="280" w:left="1060" w:header="720" w:footer="720" w:gutter="0"/>
          <w:cols w:space="720"/>
          <w:noEndnote/>
        </w:sectPr>
      </w:pPr>
    </w:p>
    <w:p w14:paraId="6A2D64A1" w14:textId="4E23804D" w:rsidR="002D78E7" w:rsidRDefault="006672AC" w:rsidP="002D78E7">
      <w:pPr>
        <w:kinsoku w:val="0"/>
        <w:overflowPunct w:val="0"/>
        <w:autoSpaceDE w:val="0"/>
        <w:autoSpaceDN w:val="0"/>
        <w:adjustRightInd w:val="0"/>
        <w:spacing w:after="0" w:line="285" w:lineRule="exact"/>
        <w:ind w:left="39"/>
        <w:rPr>
          <w:rFonts w:ascii="Calibri" w:hAnsi="Calibri" w:cs="Calibri"/>
          <w:b/>
          <w:bCs/>
          <w:color w:val="FFFFFF"/>
          <w:sz w:val="28"/>
          <w:szCs w:val="28"/>
        </w:rPr>
      </w:pPr>
      <w:r w:rsidRPr="006672AC">
        <w:rPr>
          <w:rFonts w:ascii="Calibri" w:hAnsi="Calibri" w:cs="Calibri"/>
          <w:b/>
          <w:bCs/>
          <w:color w:val="FFFFFF"/>
          <w:sz w:val="28"/>
          <w:szCs w:val="28"/>
        </w:rPr>
        <w:t>U</w:t>
      </w:r>
    </w:p>
    <w:p w14:paraId="42FDEF5A" w14:textId="57ACDD6C" w:rsidR="007C31FE" w:rsidRPr="00834013" w:rsidRDefault="00AE7D54" w:rsidP="00AE7D54">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834013">
        <w:rPr>
          <w:rFonts w:ascii="Arial" w:hAnsi="Arial" w:cs="Arial"/>
          <w:color w:val="0070C0"/>
          <w:sz w:val="24"/>
          <w:szCs w:val="24"/>
          <w:u w:val="single"/>
        </w:rPr>
        <w:t>Response</w:t>
      </w:r>
    </w:p>
    <w:p w14:paraId="1DB764F5" w14:textId="0EDD9DF6" w:rsidR="00AE7D54" w:rsidRPr="00AE7D54" w:rsidRDefault="00AE7D54" w:rsidP="00AE7D54">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Pr>
          <w:rFonts w:ascii="Arial" w:hAnsi="Arial" w:cs="Arial"/>
          <w:color w:val="0070C0"/>
          <w:sz w:val="24"/>
          <w:szCs w:val="24"/>
        </w:rPr>
        <w:t xml:space="preserve">Yes, </w:t>
      </w:r>
      <w:r w:rsidR="006E2D3B">
        <w:rPr>
          <w:rFonts w:ascii="Arial" w:hAnsi="Arial" w:cs="Arial"/>
          <w:color w:val="0070C0"/>
          <w:sz w:val="24"/>
          <w:szCs w:val="24"/>
        </w:rPr>
        <w:t>2019 was trued up with the IESO on the February 2020 settlement.</w:t>
      </w:r>
    </w:p>
    <w:p w14:paraId="6A7A6E3F" w14:textId="1FA8D3FD" w:rsidR="006672AC" w:rsidRPr="006672AC" w:rsidRDefault="006672AC" w:rsidP="006672AC">
      <w:pPr>
        <w:kinsoku w:val="0"/>
        <w:overflowPunct w:val="0"/>
        <w:autoSpaceDE w:val="0"/>
        <w:autoSpaceDN w:val="0"/>
        <w:adjustRightInd w:val="0"/>
        <w:spacing w:after="0" w:line="341" w:lineRule="exact"/>
        <w:ind w:left="39"/>
        <w:rPr>
          <w:rFonts w:ascii="Calibri" w:hAnsi="Calibri" w:cs="Calibri"/>
          <w:b/>
          <w:bCs/>
          <w:color w:val="FFFFFF"/>
          <w:sz w:val="28"/>
          <w:szCs w:val="28"/>
        </w:rPr>
      </w:pPr>
      <w:r w:rsidRPr="006672AC">
        <w:rPr>
          <w:rFonts w:ascii="Calibri" w:hAnsi="Calibri" w:cs="Calibri"/>
          <w:b/>
          <w:bCs/>
          <w:color w:val="FFFFFF"/>
          <w:sz w:val="28"/>
          <w:szCs w:val="28"/>
        </w:rPr>
        <w:t>– 2021 RATE</w:t>
      </w:r>
    </w:p>
    <w:p w14:paraId="75E44717" w14:textId="39479E91" w:rsidR="006672AC" w:rsidRPr="006E2D3B" w:rsidRDefault="006672AC" w:rsidP="006E2D3B">
      <w:pPr>
        <w:pStyle w:val="ListParagraph"/>
        <w:numPr>
          <w:ilvl w:val="1"/>
          <w:numId w:val="2"/>
        </w:numPr>
        <w:kinsoku w:val="0"/>
        <w:overflowPunct w:val="0"/>
        <w:spacing w:line="266" w:lineRule="exact"/>
      </w:pPr>
      <w:r w:rsidRPr="006E2D3B">
        <w:t>Which months from 2019 were trued up in 2020?</w:t>
      </w:r>
    </w:p>
    <w:p w14:paraId="44CAF5E1" w14:textId="0CB8F02E" w:rsidR="006E2D3B" w:rsidRPr="00834013" w:rsidRDefault="006E2D3B"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834013">
        <w:rPr>
          <w:rFonts w:ascii="Arial" w:hAnsi="Arial" w:cs="Arial"/>
          <w:color w:val="0070C0"/>
          <w:sz w:val="24"/>
          <w:szCs w:val="24"/>
          <w:u w:val="single"/>
        </w:rPr>
        <w:t>Response</w:t>
      </w:r>
    </w:p>
    <w:p w14:paraId="2DE2C62A" w14:textId="4A7B1651" w:rsidR="006E2D3B"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sidRPr="00834013">
        <w:rPr>
          <w:rFonts w:ascii="Arial" w:hAnsi="Arial" w:cs="Arial"/>
          <w:color w:val="0070C0"/>
          <w:sz w:val="24"/>
          <w:szCs w:val="24"/>
        </w:rPr>
        <w:t>All of 2019 was trued up in 2020.</w:t>
      </w:r>
    </w:p>
    <w:p w14:paraId="6F1403A7" w14:textId="77777777" w:rsidR="00834013" w:rsidRPr="00834013"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p>
    <w:p w14:paraId="51884640" w14:textId="58531A74" w:rsidR="006672AC" w:rsidRPr="00834013" w:rsidRDefault="006672AC" w:rsidP="00834013">
      <w:pPr>
        <w:pStyle w:val="ListParagraph"/>
        <w:numPr>
          <w:ilvl w:val="0"/>
          <w:numId w:val="3"/>
        </w:numPr>
        <w:kinsoku w:val="0"/>
        <w:overflowPunct w:val="0"/>
        <w:spacing w:before="41" w:line="276" w:lineRule="auto"/>
        <w:ind w:right="682"/>
      </w:pPr>
      <w:r w:rsidRPr="00834013">
        <w:t>Were these true ups recorded in the 2019 or 2020 balance in the General Ledger?</w:t>
      </w:r>
    </w:p>
    <w:p w14:paraId="57905D2B" w14:textId="7CBC2928" w:rsidR="00834013" w:rsidRPr="00834013"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834013">
        <w:rPr>
          <w:rFonts w:ascii="Arial" w:hAnsi="Arial" w:cs="Arial"/>
          <w:color w:val="0070C0"/>
          <w:sz w:val="24"/>
          <w:szCs w:val="24"/>
          <w:u w:val="single"/>
        </w:rPr>
        <w:lastRenderedPageBreak/>
        <w:t>Response</w:t>
      </w:r>
    </w:p>
    <w:p w14:paraId="5983E0CF" w14:textId="1DF5BC4A" w:rsidR="00834013"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sidRPr="00834013">
        <w:rPr>
          <w:rFonts w:ascii="Arial" w:hAnsi="Arial" w:cs="Arial"/>
          <w:color w:val="0070C0"/>
          <w:sz w:val="24"/>
          <w:szCs w:val="24"/>
        </w:rPr>
        <w:t>The 2019 true up is recorded in the 2020 GL.</w:t>
      </w:r>
      <w:r>
        <w:rPr>
          <w:rFonts w:ascii="Arial" w:hAnsi="Arial" w:cs="Arial"/>
          <w:color w:val="0070C0"/>
          <w:sz w:val="24"/>
          <w:szCs w:val="24"/>
        </w:rPr>
        <w:t xml:space="preserve"> </w:t>
      </w:r>
    </w:p>
    <w:p w14:paraId="62B3012D" w14:textId="77777777" w:rsidR="00834013" w:rsidRPr="00834013"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p>
    <w:p w14:paraId="032339F5" w14:textId="77777777" w:rsidR="00834013" w:rsidRDefault="006672AC" w:rsidP="00834013">
      <w:pPr>
        <w:pStyle w:val="ListParagraph"/>
        <w:numPr>
          <w:ilvl w:val="1"/>
          <w:numId w:val="2"/>
        </w:numPr>
        <w:kinsoku w:val="0"/>
        <w:overflowPunct w:val="0"/>
        <w:spacing w:before="1" w:line="276" w:lineRule="auto"/>
        <w:ind w:right="682"/>
      </w:pPr>
      <w:r w:rsidRPr="00834013">
        <w:t xml:space="preserve">Have all of the 2019 </w:t>
      </w:r>
      <w:proofErr w:type="gramStart"/>
      <w:r w:rsidRPr="00834013">
        <w:t>true-ups</w:t>
      </w:r>
      <w:proofErr w:type="gramEnd"/>
      <w:r w:rsidRPr="00834013">
        <w:t xml:space="preserve"> been reflected in the applicant’s DVA Continuity Schedule in this proceeding?</w:t>
      </w:r>
    </w:p>
    <w:p w14:paraId="139F04AD" w14:textId="674B9A08" w:rsidR="00834013"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834013">
        <w:rPr>
          <w:rFonts w:ascii="Arial" w:hAnsi="Arial" w:cs="Arial"/>
          <w:color w:val="0070C0"/>
          <w:sz w:val="24"/>
          <w:szCs w:val="24"/>
          <w:u w:val="single"/>
        </w:rPr>
        <w:t>Response</w:t>
      </w:r>
    </w:p>
    <w:p w14:paraId="5A610F3A" w14:textId="77777777" w:rsidR="00834013" w:rsidRPr="00834013"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p>
    <w:p w14:paraId="6DF16B9B" w14:textId="58921A9B" w:rsidR="00834013" w:rsidRPr="004A6B88"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sidRPr="004A6B88">
        <w:rPr>
          <w:rFonts w:ascii="Arial" w:hAnsi="Arial" w:cs="Arial"/>
          <w:color w:val="0070C0"/>
          <w:sz w:val="24"/>
          <w:szCs w:val="24"/>
        </w:rPr>
        <w:t>The 2019 true ups have been reflected in Orangeville Hydro’s DVA Continuity Schedule.</w:t>
      </w:r>
    </w:p>
    <w:p w14:paraId="781393C8" w14:textId="77777777" w:rsidR="00834013" w:rsidRPr="00834013" w:rsidRDefault="00834013" w:rsidP="00834013">
      <w:pPr>
        <w:tabs>
          <w:tab w:val="left" w:pos="1821"/>
        </w:tabs>
        <w:kinsoku w:val="0"/>
        <w:overflowPunct w:val="0"/>
        <w:autoSpaceDE w:val="0"/>
        <w:autoSpaceDN w:val="0"/>
        <w:adjustRightInd w:val="0"/>
        <w:spacing w:before="1" w:after="0" w:line="276" w:lineRule="auto"/>
        <w:ind w:right="366"/>
        <w:rPr>
          <w:rFonts w:ascii="Arial" w:hAnsi="Arial" w:cs="Arial"/>
          <w:color w:val="FF0000"/>
          <w:sz w:val="24"/>
          <w:szCs w:val="24"/>
        </w:rPr>
      </w:pPr>
    </w:p>
    <w:p w14:paraId="1FDB5057" w14:textId="77777777" w:rsidR="006672AC" w:rsidRPr="006672AC" w:rsidRDefault="006672AC" w:rsidP="006672AC">
      <w:pPr>
        <w:kinsoku w:val="0"/>
        <w:overflowPunct w:val="0"/>
        <w:autoSpaceDE w:val="0"/>
        <w:autoSpaceDN w:val="0"/>
        <w:adjustRightInd w:val="0"/>
        <w:spacing w:after="0" w:line="276" w:lineRule="auto"/>
        <w:ind w:left="399" w:right="682"/>
        <w:rPr>
          <w:rFonts w:ascii="Arial" w:hAnsi="Arial" w:cs="Arial"/>
          <w:i/>
          <w:iCs/>
          <w:sz w:val="24"/>
          <w:szCs w:val="24"/>
        </w:rPr>
      </w:pPr>
      <w:r w:rsidRPr="006672AC">
        <w:rPr>
          <w:rFonts w:ascii="Arial" w:hAnsi="Arial" w:cs="Arial"/>
          <w:i/>
          <w:iCs/>
          <w:sz w:val="24"/>
          <w:szCs w:val="24"/>
        </w:rPr>
        <w:t>Note questions c to f should be answered for each year that a GA Analysis Workform is completed.</w:t>
      </w:r>
    </w:p>
    <w:p w14:paraId="3BA5E8F5" w14:textId="77777777" w:rsidR="006672AC" w:rsidRPr="006672AC" w:rsidRDefault="006672AC" w:rsidP="006672AC">
      <w:pPr>
        <w:kinsoku w:val="0"/>
        <w:overflowPunct w:val="0"/>
        <w:autoSpaceDE w:val="0"/>
        <w:autoSpaceDN w:val="0"/>
        <w:adjustRightInd w:val="0"/>
        <w:spacing w:before="6" w:after="0" w:line="240" w:lineRule="auto"/>
        <w:rPr>
          <w:rFonts w:ascii="Arial" w:hAnsi="Arial" w:cs="Arial"/>
          <w:i/>
          <w:iCs/>
          <w:sz w:val="27"/>
          <w:szCs w:val="27"/>
        </w:rPr>
      </w:pPr>
    </w:p>
    <w:p w14:paraId="66E6C031" w14:textId="77777777" w:rsidR="006672AC" w:rsidRPr="006672AC" w:rsidRDefault="006672AC" w:rsidP="006672AC">
      <w:pPr>
        <w:numPr>
          <w:ilvl w:val="0"/>
          <w:numId w:val="1"/>
        </w:numPr>
        <w:tabs>
          <w:tab w:val="left" w:pos="1101"/>
        </w:tabs>
        <w:kinsoku w:val="0"/>
        <w:overflowPunct w:val="0"/>
        <w:autoSpaceDE w:val="0"/>
        <w:autoSpaceDN w:val="0"/>
        <w:adjustRightInd w:val="0"/>
        <w:spacing w:after="0" w:line="240" w:lineRule="auto"/>
        <w:ind w:hanging="1062"/>
        <w:rPr>
          <w:rFonts w:ascii="Arial" w:hAnsi="Arial" w:cs="Arial"/>
          <w:sz w:val="24"/>
          <w:szCs w:val="24"/>
        </w:rPr>
      </w:pPr>
      <w:r w:rsidRPr="006672AC">
        <w:rPr>
          <w:rFonts w:ascii="Arial" w:hAnsi="Arial" w:cs="Arial"/>
          <w:sz w:val="24"/>
          <w:szCs w:val="24"/>
          <w:u w:val="single" w:color="000000"/>
        </w:rPr>
        <w:t>Questions on CT</w:t>
      </w:r>
      <w:r w:rsidRPr="006672AC">
        <w:rPr>
          <w:rFonts w:ascii="Arial" w:hAnsi="Arial" w:cs="Arial"/>
          <w:spacing w:val="1"/>
          <w:sz w:val="24"/>
          <w:szCs w:val="24"/>
          <w:u w:val="single" w:color="000000"/>
        </w:rPr>
        <w:t xml:space="preserve"> </w:t>
      </w:r>
      <w:r w:rsidRPr="006672AC">
        <w:rPr>
          <w:rFonts w:ascii="Arial" w:hAnsi="Arial" w:cs="Arial"/>
          <w:sz w:val="24"/>
          <w:szCs w:val="24"/>
          <w:u w:val="single" w:color="000000"/>
        </w:rPr>
        <w:t>148</w:t>
      </w:r>
    </w:p>
    <w:p w14:paraId="3D67F2B0" w14:textId="2A7A9F28" w:rsidR="006672AC" w:rsidRDefault="006672AC" w:rsidP="006672AC">
      <w:pPr>
        <w:numPr>
          <w:ilvl w:val="1"/>
          <w:numId w:val="1"/>
        </w:numPr>
        <w:tabs>
          <w:tab w:val="left" w:pos="1821"/>
        </w:tabs>
        <w:kinsoku w:val="0"/>
        <w:overflowPunct w:val="0"/>
        <w:autoSpaceDE w:val="0"/>
        <w:autoSpaceDN w:val="0"/>
        <w:adjustRightInd w:val="0"/>
        <w:spacing w:before="41" w:after="0" w:line="276" w:lineRule="auto"/>
        <w:ind w:left="1119" w:right="804"/>
        <w:rPr>
          <w:rFonts w:ascii="Arial" w:hAnsi="Arial" w:cs="Arial"/>
          <w:sz w:val="24"/>
          <w:szCs w:val="24"/>
        </w:rPr>
      </w:pPr>
      <w:r w:rsidRPr="006672AC">
        <w:rPr>
          <w:rFonts w:ascii="Arial" w:hAnsi="Arial" w:cs="Arial"/>
          <w:sz w:val="24"/>
          <w:szCs w:val="24"/>
        </w:rPr>
        <w:t>Please describe the process for the initial recording of CT 148 in the accounts 1588 and</w:t>
      </w:r>
      <w:r w:rsidRPr="006672AC">
        <w:rPr>
          <w:rFonts w:ascii="Arial" w:hAnsi="Arial" w:cs="Arial"/>
          <w:spacing w:val="-10"/>
          <w:sz w:val="24"/>
          <w:szCs w:val="24"/>
        </w:rPr>
        <w:t xml:space="preserve"> </w:t>
      </w:r>
      <w:r w:rsidRPr="006672AC">
        <w:rPr>
          <w:rFonts w:ascii="Arial" w:hAnsi="Arial" w:cs="Arial"/>
          <w:sz w:val="24"/>
          <w:szCs w:val="24"/>
        </w:rPr>
        <w:t>1589.</w:t>
      </w:r>
    </w:p>
    <w:p w14:paraId="3D389E11" w14:textId="15405B2E" w:rsidR="00EF2156" w:rsidRPr="00EF2156" w:rsidRDefault="00EF2156" w:rsidP="00EF2156">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EF2156">
        <w:rPr>
          <w:rFonts w:ascii="Arial" w:hAnsi="Arial" w:cs="Arial"/>
          <w:color w:val="0070C0"/>
          <w:sz w:val="24"/>
          <w:szCs w:val="24"/>
          <w:u w:val="single"/>
        </w:rPr>
        <w:t>Response</w:t>
      </w:r>
    </w:p>
    <w:p w14:paraId="3C085202" w14:textId="36C5321D" w:rsidR="00EF2156" w:rsidRPr="00EF2156" w:rsidRDefault="00EF2156" w:rsidP="00EF2156">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sidRPr="00EF2156">
        <w:rPr>
          <w:rFonts w:ascii="Arial" w:hAnsi="Arial" w:cs="Arial"/>
          <w:color w:val="0070C0"/>
          <w:sz w:val="24"/>
          <w:szCs w:val="24"/>
        </w:rPr>
        <w:t xml:space="preserve">Orangeville Hydro receives the IESO bill and allocates CT 148 between 4705 and 4707 (respectively impacting 1588 and 1589) based on the percentages of actual RPP </w:t>
      </w:r>
      <w:r w:rsidR="00A44B08">
        <w:rPr>
          <w:rFonts w:ascii="Arial" w:hAnsi="Arial" w:cs="Arial"/>
          <w:color w:val="0070C0"/>
          <w:sz w:val="24"/>
          <w:szCs w:val="24"/>
        </w:rPr>
        <w:t>kWh volumes</w:t>
      </w:r>
      <w:r w:rsidRPr="00EF2156">
        <w:rPr>
          <w:rFonts w:ascii="Arial" w:hAnsi="Arial" w:cs="Arial"/>
          <w:color w:val="0070C0"/>
          <w:sz w:val="24"/>
          <w:szCs w:val="24"/>
        </w:rPr>
        <w:t xml:space="preserve"> for the month, and Non-RPP </w:t>
      </w:r>
      <w:r w:rsidR="00A44B08">
        <w:rPr>
          <w:rFonts w:ascii="Arial" w:hAnsi="Arial" w:cs="Arial"/>
          <w:color w:val="0070C0"/>
          <w:sz w:val="24"/>
          <w:szCs w:val="24"/>
        </w:rPr>
        <w:t>kWh volumes</w:t>
      </w:r>
      <w:r w:rsidRPr="00EF2156">
        <w:rPr>
          <w:rFonts w:ascii="Arial" w:hAnsi="Arial" w:cs="Arial"/>
          <w:color w:val="0070C0"/>
          <w:sz w:val="24"/>
          <w:szCs w:val="24"/>
        </w:rPr>
        <w:t xml:space="preserve"> (which is the difference between total</w:t>
      </w:r>
      <w:r w:rsidR="00A44B08">
        <w:rPr>
          <w:rFonts w:ascii="Arial" w:hAnsi="Arial" w:cs="Arial"/>
          <w:color w:val="0070C0"/>
          <w:sz w:val="24"/>
          <w:szCs w:val="24"/>
        </w:rPr>
        <w:t xml:space="preserve"> kWh volumes</w:t>
      </w:r>
      <w:r w:rsidRPr="00EF2156">
        <w:rPr>
          <w:rFonts w:ascii="Arial" w:hAnsi="Arial" w:cs="Arial"/>
          <w:color w:val="0070C0"/>
          <w:sz w:val="24"/>
          <w:szCs w:val="24"/>
        </w:rPr>
        <w:t xml:space="preserve"> less Class A </w:t>
      </w:r>
      <w:r w:rsidR="00A44B08">
        <w:rPr>
          <w:rFonts w:ascii="Arial" w:hAnsi="Arial" w:cs="Arial"/>
          <w:color w:val="0070C0"/>
          <w:sz w:val="24"/>
          <w:szCs w:val="24"/>
        </w:rPr>
        <w:t xml:space="preserve">volumes </w:t>
      </w:r>
      <w:r w:rsidRPr="00EF2156">
        <w:rPr>
          <w:rFonts w:ascii="Arial" w:hAnsi="Arial" w:cs="Arial"/>
          <w:color w:val="0070C0"/>
          <w:sz w:val="24"/>
          <w:szCs w:val="24"/>
        </w:rPr>
        <w:t xml:space="preserve">and actual RPP </w:t>
      </w:r>
      <w:r w:rsidR="00A44B08">
        <w:rPr>
          <w:rFonts w:ascii="Arial" w:hAnsi="Arial" w:cs="Arial"/>
          <w:color w:val="0070C0"/>
          <w:sz w:val="24"/>
          <w:szCs w:val="24"/>
        </w:rPr>
        <w:t>kWh volumes</w:t>
      </w:r>
      <w:r w:rsidRPr="00EF2156">
        <w:rPr>
          <w:rFonts w:ascii="Arial" w:hAnsi="Arial" w:cs="Arial"/>
          <w:color w:val="0070C0"/>
          <w:sz w:val="24"/>
          <w:szCs w:val="24"/>
        </w:rPr>
        <w:t>).</w:t>
      </w:r>
    </w:p>
    <w:p w14:paraId="60F6B605" w14:textId="11C48AAA" w:rsidR="00EF2156" w:rsidRPr="006672AC" w:rsidRDefault="00EF2156" w:rsidP="00EF2156">
      <w:pPr>
        <w:tabs>
          <w:tab w:val="left" w:pos="1821"/>
        </w:tabs>
        <w:kinsoku w:val="0"/>
        <w:overflowPunct w:val="0"/>
        <w:autoSpaceDE w:val="0"/>
        <w:autoSpaceDN w:val="0"/>
        <w:adjustRightInd w:val="0"/>
        <w:spacing w:before="41" w:after="0" w:line="276" w:lineRule="auto"/>
        <w:ind w:right="804"/>
        <w:rPr>
          <w:rFonts w:ascii="Arial" w:hAnsi="Arial" w:cs="Arial"/>
          <w:sz w:val="24"/>
          <w:szCs w:val="24"/>
        </w:rPr>
      </w:pPr>
      <w:r>
        <w:rPr>
          <w:rFonts w:ascii="Arial" w:hAnsi="Arial" w:cs="Arial"/>
          <w:sz w:val="24"/>
          <w:szCs w:val="24"/>
        </w:rPr>
        <w:t xml:space="preserve"> </w:t>
      </w:r>
    </w:p>
    <w:p w14:paraId="57D63070" w14:textId="18CD0B18" w:rsidR="006672AC" w:rsidRDefault="006672AC" w:rsidP="006672AC">
      <w:pPr>
        <w:numPr>
          <w:ilvl w:val="1"/>
          <w:numId w:val="1"/>
        </w:numPr>
        <w:tabs>
          <w:tab w:val="left" w:pos="1821"/>
        </w:tabs>
        <w:kinsoku w:val="0"/>
        <w:overflowPunct w:val="0"/>
        <w:autoSpaceDE w:val="0"/>
        <w:autoSpaceDN w:val="0"/>
        <w:adjustRightInd w:val="0"/>
        <w:spacing w:after="0" w:line="276" w:lineRule="auto"/>
        <w:ind w:left="1119" w:right="400"/>
        <w:rPr>
          <w:rFonts w:ascii="Arial" w:hAnsi="Arial" w:cs="Arial"/>
          <w:sz w:val="24"/>
          <w:szCs w:val="24"/>
        </w:rPr>
      </w:pPr>
      <w:r w:rsidRPr="006672AC">
        <w:rPr>
          <w:rFonts w:ascii="Arial" w:hAnsi="Arial" w:cs="Arial"/>
          <w:sz w:val="24"/>
          <w:szCs w:val="24"/>
        </w:rPr>
        <w:t>Please describe the process for truing up the GA cost to ensure that the amounts reflected in Account 1588 are related to RPP GA costs and amounts in Account 1589 are related to only non-RPP GA</w:t>
      </w:r>
      <w:r w:rsidRPr="006672AC">
        <w:rPr>
          <w:rFonts w:ascii="Arial" w:hAnsi="Arial" w:cs="Arial"/>
          <w:spacing w:val="-35"/>
          <w:sz w:val="24"/>
          <w:szCs w:val="24"/>
        </w:rPr>
        <w:t xml:space="preserve"> </w:t>
      </w:r>
      <w:r w:rsidRPr="006672AC">
        <w:rPr>
          <w:rFonts w:ascii="Arial" w:hAnsi="Arial" w:cs="Arial"/>
          <w:sz w:val="24"/>
          <w:szCs w:val="24"/>
        </w:rPr>
        <w:t>costs.</w:t>
      </w:r>
    </w:p>
    <w:p w14:paraId="0D2F4AD3" w14:textId="31AFFEFD" w:rsidR="00B915BD" w:rsidRPr="00A44B08" w:rsidRDefault="00B915BD"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A44B08">
        <w:rPr>
          <w:rFonts w:ascii="Arial" w:hAnsi="Arial" w:cs="Arial"/>
          <w:color w:val="0070C0"/>
          <w:sz w:val="24"/>
          <w:szCs w:val="24"/>
          <w:u w:val="single"/>
        </w:rPr>
        <w:t>Response</w:t>
      </w:r>
    </w:p>
    <w:p w14:paraId="3CE74D34" w14:textId="77777777" w:rsidR="005507E6" w:rsidRPr="004A6B88" w:rsidRDefault="005507E6" w:rsidP="005507E6">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sidRPr="004A6B88">
        <w:rPr>
          <w:rFonts w:ascii="Arial" w:hAnsi="Arial" w:cs="Arial"/>
          <w:color w:val="0070C0"/>
          <w:sz w:val="24"/>
          <w:szCs w:val="24"/>
        </w:rPr>
        <w:t>After year end is complete, Orangeville Hydro re-runs all months of the OEB accounting guidance and determines if there is a difference between original submissions and using actual kWh volumes from the same Cognos queries.  Any difference in volumes is then calculated and a final volume true up is posted between accounts 1588 and 1589.</w:t>
      </w:r>
    </w:p>
    <w:p w14:paraId="47D5F4EB" w14:textId="77777777" w:rsidR="00B915BD" w:rsidRPr="00B915BD" w:rsidRDefault="00B915BD"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p>
    <w:p w14:paraId="4F0D251C" w14:textId="495783BD" w:rsidR="006672AC" w:rsidRDefault="006672AC" w:rsidP="006672AC">
      <w:pPr>
        <w:numPr>
          <w:ilvl w:val="1"/>
          <w:numId w:val="1"/>
        </w:numPr>
        <w:tabs>
          <w:tab w:val="left" w:pos="1821"/>
        </w:tabs>
        <w:kinsoku w:val="0"/>
        <w:overflowPunct w:val="0"/>
        <w:autoSpaceDE w:val="0"/>
        <w:autoSpaceDN w:val="0"/>
        <w:adjustRightInd w:val="0"/>
        <w:spacing w:after="0" w:line="276" w:lineRule="auto"/>
        <w:ind w:left="1119" w:right="1131"/>
        <w:jc w:val="both"/>
        <w:rPr>
          <w:rFonts w:ascii="Arial" w:hAnsi="Arial" w:cs="Arial"/>
          <w:sz w:val="24"/>
          <w:szCs w:val="24"/>
        </w:rPr>
      </w:pPr>
      <w:r w:rsidRPr="006672AC">
        <w:rPr>
          <w:rFonts w:ascii="Arial" w:hAnsi="Arial" w:cs="Arial"/>
          <w:sz w:val="24"/>
          <w:szCs w:val="24"/>
        </w:rPr>
        <w:t>What data is used to determine the non-RPP kWh volume that is multiplied with the actual GA per kWh rate (based on CT 148) for recording as the GA expense in Account</w:t>
      </w:r>
      <w:r w:rsidRPr="006672AC">
        <w:rPr>
          <w:rFonts w:ascii="Arial" w:hAnsi="Arial" w:cs="Arial"/>
          <w:spacing w:val="-15"/>
          <w:sz w:val="24"/>
          <w:szCs w:val="24"/>
        </w:rPr>
        <w:t xml:space="preserve"> </w:t>
      </w:r>
      <w:r w:rsidRPr="006672AC">
        <w:rPr>
          <w:rFonts w:ascii="Arial" w:hAnsi="Arial" w:cs="Arial"/>
          <w:sz w:val="24"/>
          <w:szCs w:val="24"/>
        </w:rPr>
        <w:t>1589?</w:t>
      </w:r>
    </w:p>
    <w:p w14:paraId="3D65BDA8" w14:textId="236AAB22" w:rsidR="00B915BD" w:rsidRPr="00A44B08" w:rsidRDefault="00B915BD"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A44B08">
        <w:rPr>
          <w:rFonts w:ascii="Arial" w:hAnsi="Arial" w:cs="Arial"/>
          <w:color w:val="0070C0"/>
          <w:sz w:val="24"/>
          <w:szCs w:val="24"/>
          <w:u w:val="single"/>
        </w:rPr>
        <w:t>Response</w:t>
      </w:r>
    </w:p>
    <w:p w14:paraId="4E33F29F" w14:textId="308659DA" w:rsidR="00B915BD" w:rsidRDefault="00A44B08"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Pr>
          <w:rFonts w:ascii="Arial" w:hAnsi="Arial" w:cs="Arial"/>
          <w:color w:val="0070C0"/>
          <w:sz w:val="24"/>
          <w:szCs w:val="24"/>
        </w:rPr>
        <w:t xml:space="preserve">The </w:t>
      </w:r>
      <w:r w:rsidRPr="00EF2156">
        <w:rPr>
          <w:rFonts w:ascii="Arial" w:hAnsi="Arial" w:cs="Arial"/>
          <w:color w:val="0070C0"/>
          <w:sz w:val="24"/>
          <w:szCs w:val="24"/>
        </w:rPr>
        <w:t xml:space="preserve">Non-RPP </w:t>
      </w:r>
      <w:r>
        <w:rPr>
          <w:rFonts w:ascii="Arial" w:hAnsi="Arial" w:cs="Arial"/>
          <w:color w:val="0070C0"/>
          <w:sz w:val="24"/>
          <w:szCs w:val="24"/>
        </w:rPr>
        <w:t>kWh volumes are</w:t>
      </w:r>
      <w:r w:rsidRPr="00EF2156">
        <w:rPr>
          <w:rFonts w:ascii="Arial" w:hAnsi="Arial" w:cs="Arial"/>
          <w:color w:val="0070C0"/>
          <w:sz w:val="24"/>
          <w:szCs w:val="24"/>
        </w:rPr>
        <w:t xml:space="preserve"> the difference between total</w:t>
      </w:r>
      <w:r>
        <w:rPr>
          <w:rFonts w:ascii="Arial" w:hAnsi="Arial" w:cs="Arial"/>
          <w:color w:val="0070C0"/>
          <w:sz w:val="24"/>
          <w:szCs w:val="24"/>
        </w:rPr>
        <w:t xml:space="preserve"> kWh volumes</w:t>
      </w:r>
      <w:r w:rsidRPr="00EF2156">
        <w:rPr>
          <w:rFonts w:ascii="Arial" w:hAnsi="Arial" w:cs="Arial"/>
          <w:color w:val="0070C0"/>
          <w:sz w:val="24"/>
          <w:szCs w:val="24"/>
        </w:rPr>
        <w:t xml:space="preserve"> less Class A </w:t>
      </w:r>
      <w:r>
        <w:rPr>
          <w:rFonts w:ascii="Arial" w:hAnsi="Arial" w:cs="Arial"/>
          <w:color w:val="0070C0"/>
          <w:sz w:val="24"/>
          <w:szCs w:val="24"/>
        </w:rPr>
        <w:t>volumes less</w:t>
      </w:r>
      <w:r w:rsidRPr="00EF2156">
        <w:rPr>
          <w:rFonts w:ascii="Arial" w:hAnsi="Arial" w:cs="Arial"/>
          <w:color w:val="0070C0"/>
          <w:sz w:val="24"/>
          <w:szCs w:val="24"/>
        </w:rPr>
        <w:t xml:space="preserve"> actual RPP </w:t>
      </w:r>
      <w:r>
        <w:rPr>
          <w:rFonts w:ascii="Arial" w:hAnsi="Arial" w:cs="Arial"/>
          <w:color w:val="0070C0"/>
          <w:sz w:val="24"/>
          <w:szCs w:val="24"/>
        </w:rPr>
        <w:t>kWh volumes.  The actual RPP kWh volumes and total kWh volumes are both obtained from a Cognos query within the billing system and prorated based on meter read date.</w:t>
      </w:r>
    </w:p>
    <w:p w14:paraId="797A0E91" w14:textId="77777777" w:rsidR="00A44B08" w:rsidRPr="00B915BD" w:rsidRDefault="00A44B08"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p>
    <w:p w14:paraId="465576A4" w14:textId="39EF8B3D" w:rsidR="006672AC" w:rsidRDefault="006672AC" w:rsidP="006672AC">
      <w:pPr>
        <w:numPr>
          <w:ilvl w:val="1"/>
          <w:numId w:val="1"/>
        </w:numPr>
        <w:tabs>
          <w:tab w:val="left" w:pos="1821"/>
        </w:tabs>
        <w:kinsoku w:val="0"/>
        <w:overflowPunct w:val="0"/>
        <w:autoSpaceDE w:val="0"/>
        <w:autoSpaceDN w:val="0"/>
        <w:adjustRightInd w:val="0"/>
        <w:spacing w:before="1" w:after="0" w:line="276" w:lineRule="auto"/>
        <w:ind w:left="1119" w:right="288"/>
        <w:rPr>
          <w:rFonts w:ascii="Arial" w:hAnsi="Arial" w:cs="Arial"/>
          <w:sz w:val="24"/>
          <w:szCs w:val="24"/>
        </w:rPr>
      </w:pPr>
      <w:r w:rsidRPr="006672AC">
        <w:rPr>
          <w:rFonts w:ascii="Arial" w:hAnsi="Arial" w:cs="Arial"/>
          <w:sz w:val="24"/>
          <w:szCs w:val="24"/>
        </w:rPr>
        <w:t>Does the utility true up the initial recording of CT 148 in Accounts 1588 and 1589 based on estimated RPP/non-RPP consumption proportions to actuals based on actual RPP-non-RPP consumption</w:t>
      </w:r>
      <w:r w:rsidRPr="006672AC">
        <w:rPr>
          <w:rFonts w:ascii="Arial" w:hAnsi="Arial" w:cs="Arial"/>
          <w:spacing w:val="-13"/>
          <w:sz w:val="24"/>
          <w:szCs w:val="24"/>
        </w:rPr>
        <w:t xml:space="preserve"> </w:t>
      </w:r>
      <w:r w:rsidRPr="006672AC">
        <w:rPr>
          <w:rFonts w:ascii="Arial" w:hAnsi="Arial" w:cs="Arial"/>
          <w:sz w:val="24"/>
          <w:szCs w:val="24"/>
        </w:rPr>
        <w:t>proportions?</w:t>
      </w:r>
    </w:p>
    <w:p w14:paraId="35BD75F5" w14:textId="622748FC" w:rsidR="00B915BD" w:rsidRPr="004A6B88" w:rsidRDefault="00B915BD"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4A6B88">
        <w:rPr>
          <w:rFonts w:ascii="Arial" w:hAnsi="Arial" w:cs="Arial"/>
          <w:color w:val="0070C0"/>
          <w:sz w:val="24"/>
          <w:szCs w:val="24"/>
          <w:u w:val="single"/>
        </w:rPr>
        <w:t>Response</w:t>
      </w:r>
    </w:p>
    <w:p w14:paraId="1827E143" w14:textId="43737274" w:rsidR="00B915BD" w:rsidRDefault="005507E6"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Pr>
          <w:rFonts w:ascii="Arial" w:hAnsi="Arial" w:cs="Arial"/>
          <w:color w:val="0070C0"/>
          <w:sz w:val="24"/>
          <w:szCs w:val="24"/>
        </w:rPr>
        <w:t xml:space="preserve">After year end is complete, Orangeville Hydro re-runs all months of the OEB accounting guidance and determines if there is a difference between original submissions and using </w:t>
      </w:r>
      <w:r>
        <w:rPr>
          <w:rFonts w:ascii="Arial" w:hAnsi="Arial" w:cs="Arial"/>
          <w:color w:val="0070C0"/>
          <w:sz w:val="24"/>
          <w:szCs w:val="24"/>
        </w:rPr>
        <w:lastRenderedPageBreak/>
        <w:t>actual kWh volumes from the same Cognos queries.  Any difference in volumes is then calculated and a final volume true up is posted between accounts 1588 and 1589.</w:t>
      </w:r>
    </w:p>
    <w:p w14:paraId="3EFAB617" w14:textId="77777777" w:rsidR="005507E6" w:rsidRPr="00B915BD" w:rsidRDefault="005507E6"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p>
    <w:p w14:paraId="57B558C1" w14:textId="3328640D" w:rsidR="006672AC" w:rsidRDefault="006672AC" w:rsidP="006672AC">
      <w:pPr>
        <w:numPr>
          <w:ilvl w:val="1"/>
          <w:numId w:val="1"/>
        </w:numPr>
        <w:tabs>
          <w:tab w:val="left" w:pos="1821"/>
        </w:tabs>
        <w:kinsoku w:val="0"/>
        <w:overflowPunct w:val="0"/>
        <w:autoSpaceDE w:val="0"/>
        <w:autoSpaceDN w:val="0"/>
        <w:adjustRightInd w:val="0"/>
        <w:spacing w:before="1" w:after="0" w:line="276" w:lineRule="auto"/>
        <w:ind w:left="1119" w:right="114"/>
        <w:rPr>
          <w:rFonts w:ascii="Arial" w:hAnsi="Arial" w:cs="Arial"/>
          <w:sz w:val="24"/>
          <w:szCs w:val="24"/>
        </w:rPr>
      </w:pPr>
      <w:r w:rsidRPr="006672AC">
        <w:rPr>
          <w:rFonts w:ascii="Arial" w:hAnsi="Arial" w:cs="Arial"/>
          <w:sz w:val="24"/>
          <w:szCs w:val="24"/>
        </w:rPr>
        <w:t>Please indicate which months from 2019 were trued up in 2020 for CT 148 proportions between RPP and</w:t>
      </w:r>
      <w:r w:rsidRPr="006672AC">
        <w:rPr>
          <w:rFonts w:ascii="Arial" w:hAnsi="Arial" w:cs="Arial"/>
          <w:spacing w:val="-1"/>
          <w:sz w:val="24"/>
          <w:szCs w:val="24"/>
        </w:rPr>
        <w:t xml:space="preserve"> </w:t>
      </w:r>
      <w:r w:rsidRPr="006672AC">
        <w:rPr>
          <w:rFonts w:ascii="Arial" w:hAnsi="Arial" w:cs="Arial"/>
          <w:sz w:val="24"/>
          <w:szCs w:val="24"/>
        </w:rPr>
        <w:t>non-RPP</w:t>
      </w:r>
    </w:p>
    <w:p w14:paraId="2F931C71" w14:textId="7241CCD7" w:rsidR="005507E6" w:rsidRPr="004A6B88" w:rsidRDefault="005507E6" w:rsidP="005507E6">
      <w:pPr>
        <w:tabs>
          <w:tab w:val="left" w:pos="1821"/>
        </w:tabs>
        <w:kinsoku w:val="0"/>
        <w:overflowPunct w:val="0"/>
        <w:autoSpaceDE w:val="0"/>
        <w:autoSpaceDN w:val="0"/>
        <w:adjustRightInd w:val="0"/>
        <w:spacing w:before="1" w:after="0" w:line="276" w:lineRule="auto"/>
        <w:ind w:right="114"/>
        <w:rPr>
          <w:rFonts w:ascii="Arial" w:hAnsi="Arial" w:cs="Arial"/>
          <w:color w:val="0070C0"/>
          <w:sz w:val="24"/>
          <w:szCs w:val="24"/>
          <w:u w:val="single"/>
        </w:rPr>
      </w:pPr>
      <w:r w:rsidRPr="004A6B88">
        <w:rPr>
          <w:rFonts w:ascii="Arial" w:hAnsi="Arial" w:cs="Arial"/>
          <w:color w:val="0070C0"/>
          <w:sz w:val="24"/>
          <w:szCs w:val="24"/>
          <w:u w:val="single"/>
        </w:rPr>
        <w:t>Response</w:t>
      </w:r>
    </w:p>
    <w:p w14:paraId="615C3690" w14:textId="1A505B35" w:rsidR="005507E6" w:rsidRDefault="005507E6" w:rsidP="005507E6">
      <w:pPr>
        <w:tabs>
          <w:tab w:val="left" w:pos="1821"/>
        </w:tabs>
        <w:kinsoku w:val="0"/>
        <w:overflowPunct w:val="0"/>
        <w:autoSpaceDE w:val="0"/>
        <w:autoSpaceDN w:val="0"/>
        <w:adjustRightInd w:val="0"/>
        <w:spacing w:before="1" w:after="0" w:line="276" w:lineRule="auto"/>
        <w:ind w:right="114"/>
        <w:rPr>
          <w:rFonts w:ascii="Arial" w:hAnsi="Arial" w:cs="Arial"/>
          <w:color w:val="0070C0"/>
          <w:sz w:val="24"/>
          <w:szCs w:val="24"/>
        </w:rPr>
      </w:pPr>
      <w:r>
        <w:rPr>
          <w:rFonts w:ascii="Arial" w:hAnsi="Arial" w:cs="Arial"/>
          <w:color w:val="0070C0"/>
          <w:sz w:val="24"/>
          <w:szCs w:val="24"/>
        </w:rPr>
        <w:t>All of 2019 was trued up in 2020 for CT 148 proportions between RPP and Non-RPP.</w:t>
      </w:r>
    </w:p>
    <w:p w14:paraId="17C7CF3B" w14:textId="77777777" w:rsidR="005507E6" w:rsidRPr="005507E6" w:rsidRDefault="005507E6" w:rsidP="005507E6">
      <w:pPr>
        <w:tabs>
          <w:tab w:val="left" w:pos="1821"/>
        </w:tabs>
        <w:kinsoku w:val="0"/>
        <w:overflowPunct w:val="0"/>
        <w:autoSpaceDE w:val="0"/>
        <w:autoSpaceDN w:val="0"/>
        <w:adjustRightInd w:val="0"/>
        <w:spacing w:before="1" w:after="0" w:line="276" w:lineRule="auto"/>
        <w:ind w:right="114"/>
        <w:rPr>
          <w:rFonts w:ascii="Arial" w:hAnsi="Arial" w:cs="Arial"/>
          <w:color w:val="0070C0"/>
          <w:sz w:val="24"/>
          <w:szCs w:val="24"/>
        </w:rPr>
      </w:pPr>
    </w:p>
    <w:p w14:paraId="631AC285" w14:textId="4CF98887" w:rsidR="006672AC" w:rsidRDefault="006672AC" w:rsidP="006672AC">
      <w:pPr>
        <w:numPr>
          <w:ilvl w:val="2"/>
          <w:numId w:val="1"/>
        </w:numPr>
        <w:tabs>
          <w:tab w:val="left" w:pos="2901"/>
        </w:tabs>
        <w:kinsoku w:val="0"/>
        <w:overflowPunct w:val="0"/>
        <w:autoSpaceDE w:val="0"/>
        <w:autoSpaceDN w:val="0"/>
        <w:adjustRightInd w:val="0"/>
        <w:spacing w:after="0" w:line="276" w:lineRule="auto"/>
        <w:ind w:left="2200" w:right="465"/>
        <w:rPr>
          <w:rFonts w:ascii="Arial" w:hAnsi="Arial" w:cs="Arial"/>
          <w:sz w:val="24"/>
          <w:szCs w:val="24"/>
        </w:rPr>
      </w:pPr>
      <w:r w:rsidRPr="006672AC">
        <w:rPr>
          <w:rFonts w:ascii="Arial" w:hAnsi="Arial" w:cs="Arial"/>
          <w:sz w:val="24"/>
          <w:szCs w:val="24"/>
        </w:rPr>
        <w:t>Were these true ups recorded in the 2019 or 2020 balance in the General</w:t>
      </w:r>
      <w:r w:rsidRPr="006672AC">
        <w:rPr>
          <w:rFonts w:ascii="Arial" w:hAnsi="Arial" w:cs="Arial"/>
          <w:spacing w:val="-5"/>
          <w:sz w:val="24"/>
          <w:szCs w:val="24"/>
        </w:rPr>
        <w:t xml:space="preserve"> </w:t>
      </w:r>
      <w:r w:rsidRPr="006672AC">
        <w:rPr>
          <w:rFonts w:ascii="Arial" w:hAnsi="Arial" w:cs="Arial"/>
          <w:sz w:val="24"/>
          <w:szCs w:val="24"/>
        </w:rPr>
        <w:t>Ledger?</w:t>
      </w:r>
    </w:p>
    <w:p w14:paraId="1BF77DEF" w14:textId="6765CF24" w:rsidR="00B915BD" w:rsidRPr="004A6B88" w:rsidRDefault="00B915BD"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4A6B88">
        <w:rPr>
          <w:rFonts w:ascii="Arial" w:hAnsi="Arial" w:cs="Arial"/>
          <w:color w:val="0070C0"/>
          <w:sz w:val="24"/>
          <w:szCs w:val="24"/>
          <w:u w:val="single"/>
        </w:rPr>
        <w:t>Response</w:t>
      </w:r>
    </w:p>
    <w:p w14:paraId="47C88792" w14:textId="568AFFCB" w:rsidR="005507E6" w:rsidRPr="004A6B88" w:rsidRDefault="005507E6"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sidRPr="004A6B88">
        <w:rPr>
          <w:rFonts w:ascii="Arial" w:hAnsi="Arial" w:cs="Arial"/>
          <w:color w:val="0070C0"/>
          <w:sz w:val="24"/>
          <w:szCs w:val="24"/>
        </w:rPr>
        <w:t xml:space="preserve">The 2019 true up </w:t>
      </w:r>
      <w:r w:rsidR="004A6B88" w:rsidRPr="004A6B88">
        <w:rPr>
          <w:rFonts w:ascii="Arial" w:hAnsi="Arial" w:cs="Arial"/>
          <w:color w:val="0070C0"/>
          <w:sz w:val="24"/>
          <w:szCs w:val="24"/>
        </w:rPr>
        <w:t>is recorded in the 2020</w:t>
      </w:r>
      <w:r w:rsidRPr="004A6B88">
        <w:rPr>
          <w:rFonts w:ascii="Arial" w:hAnsi="Arial" w:cs="Arial"/>
          <w:color w:val="0070C0"/>
          <w:sz w:val="24"/>
          <w:szCs w:val="24"/>
        </w:rPr>
        <w:t xml:space="preserve"> GL.</w:t>
      </w:r>
    </w:p>
    <w:p w14:paraId="533983B0" w14:textId="77777777" w:rsidR="00B915BD" w:rsidRPr="00B915BD" w:rsidRDefault="00B915BD"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p>
    <w:p w14:paraId="14A5636D" w14:textId="607DC862" w:rsidR="006672AC" w:rsidRDefault="006672AC" w:rsidP="006672AC">
      <w:pPr>
        <w:kinsoku w:val="0"/>
        <w:overflowPunct w:val="0"/>
        <w:autoSpaceDE w:val="0"/>
        <w:autoSpaceDN w:val="0"/>
        <w:adjustRightInd w:val="0"/>
        <w:spacing w:after="0" w:line="276" w:lineRule="auto"/>
        <w:ind w:left="1479" w:right="682" w:hanging="360"/>
        <w:rPr>
          <w:rFonts w:ascii="Arial" w:hAnsi="Arial" w:cs="Arial"/>
          <w:sz w:val="24"/>
          <w:szCs w:val="24"/>
        </w:rPr>
      </w:pPr>
      <w:r w:rsidRPr="006672AC">
        <w:rPr>
          <w:rFonts w:ascii="Arial" w:hAnsi="Arial" w:cs="Arial"/>
          <w:sz w:val="24"/>
          <w:szCs w:val="24"/>
        </w:rPr>
        <w:t xml:space="preserve">b. Have all of the 2019 </w:t>
      </w:r>
      <w:proofErr w:type="gramStart"/>
      <w:r w:rsidRPr="006672AC">
        <w:rPr>
          <w:rFonts w:ascii="Arial" w:hAnsi="Arial" w:cs="Arial"/>
          <w:sz w:val="24"/>
          <w:szCs w:val="24"/>
        </w:rPr>
        <w:t>true-ups</w:t>
      </w:r>
      <w:proofErr w:type="gramEnd"/>
      <w:r w:rsidRPr="006672AC">
        <w:rPr>
          <w:rFonts w:ascii="Arial" w:hAnsi="Arial" w:cs="Arial"/>
          <w:sz w:val="24"/>
          <w:szCs w:val="24"/>
        </w:rPr>
        <w:t xml:space="preserve"> been reflected in the applicant’s DVA Continuity Schedule in this proceeding?</w:t>
      </w:r>
    </w:p>
    <w:p w14:paraId="547D4273" w14:textId="368223AD" w:rsidR="00B915BD" w:rsidRPr="004A6B88" w:rsidRDefault="00B915BD"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u w:val="single"/>
        </w:rPr>
      </w:pPr>
      <w:r w:rsidRPr="004A6B88">
        <w:rPr>
          <w:rFonts w:ascii="Arial" w:hAnsi="Arial" w:cs="Arial"/>
          <w:color w:val="0070C0"/>
          <w:sz w:val="24"/>
          <w:szCs w:val="24"/>
          <w:u w:val="single"/>
        </w:rPr>
        <w:t>Response</w:t>
      </w:r>
    </w:p>
    <w:p w14:paraId="4E4F456B" w14:textId="77777777" w:rsidR="005507E6" w:rsidRPr="004A6B88" w:rsidRDefault="005507E6" w:rsidP="005507E6">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r w:rsidRPr="004A6B88">
        <w:rPr>
          <w:rFonts w:ascii="Arial" w:hAnsi="Arial" w:cs="Arial"/>
          <w:color w:val="0070C0"/>
          <w:sz w:val="24"/>
          <w:szCs w:val="24"/>
        </w:rPr>
        <w:t>The 2019 true ups have been reflected in Orangeville Hydro’s DVA Continuity Schedule.</w:t>
      </w:r>
    </w:p>
    <w:p w14:paraId="399F81BC" w14:textId="77777777" w:rsidR="00B915BD" w:rsidRPr="00B915BD" w:rsidRDefault="00B915BD" w:rsidP="00B915BD">
      <w:pPr>
        <w:tabs>
          <w:tab w:val="left" w:pos="1821"/>
        </w:tabs>
        <w:kinsoku w:val="0"/>
        <w:overflowPunct w:val="0"/>
        <w:autoSpaceDE w:val="0"/>
        <w:autoSpaceDN w:val="0"/>
        <w:adjustRightInd w:val="0"/>
        <w:spacing w:before="1" w:after="0" w:line="276" w:lineRule="auto"/>
        <w:ind w:right="366"/>
        <w:rPr>
          <w:rFonts w:ascii="Arial" w:hAnsi="Arial" w:cs="Arial"/>
          <w:color w:val="0070C0"/>
          <w:sz w:val="24"/>
          <w:szCs w:val="24"/>
        </w:rPr>
      </w:pPr>
    </w:p>
    <w:p w14:paraId="27E410C9" w14:textId="77777777" w:rsidR="006672AC" w:rsidRPr="006672AC" w:rsidRDefault="006672AC" w:rsidP="006672AC">
      <w:pPr>
        <w:kinsoku w:val="0"/>
        <w:overflowPunct w:val="0"/>
        <w:autoSpaceDE w:val="0"/>
        <w:autoSpaceDN w:val="0"/>
        <w:adjustRightInd w:val="0"/>
        <w:spacing w:after="0" w:line="272" w:lineRule="exact"/>
        <w:ind w:left="759"/>
        <w:rPr>
          <w:rFonts w:ascii="Arial" w:hAnsi="Arial" w:cs="Arial"/>
          <w:i/>
          <w:iCs/>
          <w:sz w:val="24"/>
          <w:szCs w:val="24"/>
        </w:rPr>
      </w:pPr>
      <w:r w:rsidRPr="006672AC">
        <w:rPr>
          <w:rFonts w:ascii="Arial" w:hAnsi="Arial" w:cs="Arial"/>
          <w:i/>
          <w:iCs/>
          <w:sz w:val="24"/>
          <w:szCs w:val="24"/>
        </w:rPr>
        <w:t>Note questions e to f should be answered for each year that a GA Analysis</w:t>
      </w:r>
    </w:p>
    <w:p w14:paraId="7364ADBB" w14:textId="77777777" w:rsidR="006672AC" w:rsidRPr="006672AC" w:rsidRDefault="006672AC" w:rsidP="006672AC">
      <w:pPr>
        <w:kinsoku w:val="0"/>
        <w:overflowPunct w:val="0"/>
        <w:autoSpaceDE w:val="0"/>
        <w:autoSpaceDN w:val="0"/>
        <w:adjustRightInd w:val="0"/>
        <w:spacing w:after="0" w:line="266" w:lineRule="exact"/>
        <w:ind w:left="39"/>
        <w:rPr>
          <w:rFonts w:ascii="Arial" w:hAnsi="Arial" w:cs="Arial"/>
          <w:i/>
          <w:iCs/>
          <w:sz w:val="24"/>
          <w:szCs w:val="24"/>
        </w:rPr>
      </w:pPr>
      <w:r w:rsidRPr="006672AC">
        <w:rPr>
          <w:rFonts w:ascii="Arial" w:hAnsi="Arial" w:cs="Arial"/>
          <w:i/>
          <w:iCs/>
          <w:sz w:val="24"/>
          <w:szCs w:val="24"/>
        </w:rPr>
        <w:t>Workform is completed.</w:t>
      </w:r>
    </w:p>
    <w:p w14:paraId="6BE65DAB" w14:textId="37764A4B" w:rsidR="00C11EF7" w:rsidRDefault="004A6B88"/>
    <w:sectPr w:rsidR="00C11EF7" w:rsidSect="00B462D3">
      <w:type w:val="continuous"/>
      <w:pgSz w:w="12240" w:h="15840"/>
      <w:pgMar w:top="700" w:right="1340" w:bottom="280" w:left="10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100" w:hanging="360"/>
      </w:pPr>
      <w:rPr>
        <w:rFonts w:ascii="Arial" w:hAnsi="Arial" w:cs="Arial"/>
        <w:b w:val="0"/>
        <w:bCs w:val="0"/>
        <w:w w:val="100"/>
        <w:sz w:val="24"/>
        <w:szCs w:val="24"/>
      </w:rPr>
    </w:lvl>
    <w:lvl w:ilvl="1">
      <w:start w:val="1"/>
      <w:numFmt w:val="lowerLetter"/>
      <w:lvlText w:val="%2."/>
      <w:lvlJc w:val="left"/>
      <w:pPr>
        <w:ind w:left="1460" w:hanging="360"/>
      </w:pPr>
      <w:rPr>
        <w:rFonts w:ascii="Arial" w:hAnsi="Arial" w:cs="Arial"/>
        <w:b w:val="0"/>
        <w:bCs w:val="0"/>
        <w:w w:val="100"/>
        <w:sz w:val="24"/>
        <w:szCs w:val="24"/>
      </w:rPr>
    </w:lvl>
    <w:lvl w:ilvl="2">
      <w:numFmt w:val="bullet"/>
      <w:lvlText w:val="•"/>
      <w:lvlJc w:val="left"/>
      <w:pPr>
        <w:ind w:left="1820" w:hanging="360"/>
      </w:pPr>
    </w:lvl>
    <w:lvl w:ilvl="3">
      <w:numFmt w:val="bullet"/>
      <w:lvlText w:val="•"/>
      <w:lvlJc w:val="left"/>
      <w:pPr>
        <w:ind w:left="2822" w:hanging="360"/>
      </w:pPr>
    </w:lvl>
    <w:lvl w:ilvl="4">
      <w:numFmt w:val="bullet"/>
      <w:lvlText w:val="•"/>
      <w:lvlJc w:val="left"/>
      <w:pPr>
        <w:ind w:left="3825" w:hanging="360"/>
      </w:pPr>
    </w:lvl>
    <w:lvl w:ilvl="5">
      <w:numFmt w:val="bullet"/>
      <w:lvlText w:val="•"/>
      <w:lvlJc w:val="left"/>
      <w:pPr>
        <w:ind w:left="4827" w:hanging="360"/>
      </w:pPr>
    </w:lvl>
    <w:lvl w:ilvl="6">
      <w:numFmt w:val="bullet"/>
      <w:lvlText w:val="•"/>
      <w:lvlJc w:val="left"/>
      <w:pPr>
        <w:ind w:left="5830" w:hanging="360"/>
      </w:pPr>
    </w:lvl>
    <w:lvl w:ilvl="7">
      <w:numFmt w:val="bullet"/>
      <w:lvlText w:val="•"/>
      <w:lvlJc w:val="left"/>
      <w:pPr>
        <w:ind w:left="6832" w:hanging="360"/>
      </w:pPr>
    </w:lvl>
    <w:lvl w:ilvl="8">
      <w:numFmt w:val="bullet"/>
      <w:lvlText w:val="•"/>
      <w:lvlJc w:val="left"/>
      <w:pPr>
        <w:ind w:left="7835" w:hanging="360"/>
      </w:pPr>
    </w:lvl>
  </w:abstractNum>
  <w:abstractNum w:abstractNumId="1" w15:restartNumberingAfterBreak="0">
    <w:nsid w:val="00000403"/>
    <w:multiLevelType w:val="multilevel"/>
    <w:tmpl w:val="00000886"/>
    <w:lvl w:ilvl="0">
      <w:start w:val="3"/>
      <w:numFmt w:val="decimal"/>
      <w:lvlText w:val="%1."/>
      <w:lvlJc w:val="left"/>
      <w:pPr>
        <w:ind w:left="1100" w:hanging="360"/>
      </w:pPr>
      <w:rPr>
        <w:rFonts w:ascii="Arial" w:hAnsi="Arial" w:cs="Arial"/>
        <w:b w:val="0"/>
        <w:bCs w:val="0"/>
        <w:w w:val="100"/>
        <w:sz w:val="24"/>
        <w:szCs w:val="24"/>
      </w:rPr>
    </w:lvl>
    <w:lvl w:ilvl="1">
      <w:start w:val="1"/>
      <w:numFmt w:val="lowerLetter"/>
      <w:lvlText w:val="%2."/>
      <w:lvlJc w:val="left"/>
      <w:pPr>
        <w:ind w:left="1820" w:hanging="360"/>
      </w:pPr>
      <w:rPr>
        <w:rFonts w:ascii="Arial" w:hAnsi="Arial" w:cs="Arial"/>
        <w:b w:val="0"/>
        <w:bCs w:val="0"/>
        <w:w w:val="100"/>
        <w:sz w:val="24"/>
        <w:szCs w:val="24"/>
      </w:rPr>
    </w:lvl>
    <w:lvl w:ilvl="2">
      <w:start w:val="1"/>
      <w:numFmt w:val="lowerRoman"/>
      <w:lvlText w:val="%3."/>
      <w:lvlJc w:val="left"/>
      <w:pPr>
        <w:ind w:left="2901" w:hanging="301"/>
      </w:pPr>
      <w:rPr>
        <w:rFonts w:ascii="Arial" w:hAnsi="Arial" w:cs="Arial"/>
        <w:b w:val="0"/>
        <w:bCs w:val="0"/>
        <w:spacing w:val="-1"/>
        <w:w w:val="100"/>
        <w:sz w:val="24"/>
        <w:szCs w:val="24"/>
      </w:rPr>
    </w:lvl>
    <w:lvl w:ilvl="3">
      <w:numFmt w:val="bullet"/>
      <w:lvlText w:val="•"/>
      <w:lvlJc w:val="left"/>
      <w:pPr>
        <w:ind w:left="3767" w:hanging="301"/>
      </w:pPr>
    </w:lvl>
    <w:lvl w:ilvl="4">
      <w:numFmt w:val="bullet"/>
      <w:lvlText w:val="•"/>
      <w:lvlJc w:val="left"/>
      <w:pPr>
        <w:ind w:left="4635" w:hanging="301"/>
      </w:pPr>
    </w:lvl>
    <w:lvl w:ilvl="5">
      <w:numFmt w:val="bullet"/>
      <w:lvlText w:val="•"/>
      <w:lvlJc w:val="left"/>
      <w:pPr>
        <w:ind w:left="5502" w:hanging="301"/>
      </w:pPr>
    </w:lvl>
    <w:lvl w:ilvl="6">
      <w:numFmt w:val="bullet"/>
      <w:lvlText w:val="•"/>
      <w:lvlJc w:val="left"/>
      <w:pPr>
        <w:ind w:left="6370" w:hanging="301"/>
      </w:pPr>
    </w:lvl>
    <w:lvl w:ilvl="7">
      <w:numFmt w:val="bullet"/>
      <w:lvlText w:val="•"/>
      <w:lvlJc w:val="left"/>
      <w:pPr>
        <w:ind w:left="7237" w:hanging="301"/>
      </w:pPr>
    </w:lvl>
    <w:lvl w:ilvl="8">
      <w:numFmt w:val="bullet"/>
      <w:lvlText w:val="•"/>
      <w:lvlJc w:val="left"/>
      <w:pPr>
        <w:ind w:left="8105" w:hanging="301"/>
      </w:pPr>
    </w:lvl>
  </w:abstractNum>
  <w:abstractNum w:abstractNumId="2" w15:restartNumberingAfterBreak="0">
    <w:nsid w:val="072A0D35"/>
    <w:multiLevelType w:val="hybridMultilevel"/>
    <w:tmpl w:val="A3EC2F36"/>
    <w:lvl w:ilvl="0" w:tplc="46EAD8B2">
      <w:start w:val="9"/>
      <w:numFmt w:val="lowerLetter"/>
      <w:lvlText w:val="%1."/>
      <w:lvlJc w:val="left"/>
      <w:pPr>
        <w:ind w:left="1899" w:hanging="360"/>
      </w:pPr>
      <w:rPr>
        <w:rFonts w:hint="default"/>
      </w:r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AC"/>
    <w:rsid w:val="00226383"/>
    <w:rsid w:val="002D78E7"/>
    <w:rsid w:val="00362A64"/>
    <w:rsid w:val="003821D8"/>
    <w:rsid w:val="004A6B88"/>
    <w:rsid w:val="005507E6"/>
    <w:rsid w:val="006672AC"/>
    <w:rsid w:val="006E2D3B"/>
    <w:rsid w:val="007C31FE"/>
    <w:rsid w:val="00825ADA"/>
    <w:rsid w:val="00834013"/>
    <w:rsid w:val="00A0386B"/>
    <w:rsid w:val="00A44B08"/>
    <w:rsid w:val="00AC3BDE"/>
    <w:rsid w:val="00AC6D39"/>
    <w:rsid w:val="00AE7D54"/>
    <w:rsid w:val="00B915BD"/>
    <w:rsid w:val="00DF0542"/>
    <w:rsid w:val="00E03F33"/>
    <w:rsid w:val="00EF2156"/>
    <w:rsid w:val="00F1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FC1B"/>
  <w15:chartTrackingRefBased/>
  <w15:docId w15:val="{977CB7EE-356B-4429-BC3B-1CB33716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2AC"/>
    <w:pPr>
      <w:autoSpaceDE w:val="0"/>
      <w:autoSpaceDN w:val="0"/>
      <w:adjustRightInd w:val="0"/>
      <w:spacing w:after="0" w:line="240" w:lineRule="auto"/>
      <w:ind w:left="1119" w:hanging="360"/>
    </w:pPr>
    <w:rPr>
      <w:rFonts w:ascii="Arial" w:hAnsi="Arial" w:cs="Arial"/>
      <w:sz w:val="24"/>
      <w:szCs w:val="24"/>
    </w:rPr>
  </w:style>
  <w:style w:type="character" w:customStyle="1" w:styleId="BodyTextChar">
    <w:name w:val="Body Text Char"/>
    <w:basedOn w:val="DefaultParagraphFont"/>
    <w:link w:val="BodyText"/>
    <w:uiPriority w:val="1"/>
    <w:rsid w:val="006672AC"/>
    <w:rPr>
      <w:rFonts w:ascii="Arial" w:hAnsi="Arial" w:cs="Arial"/>
      <w:sz w:val="24"/>
      <w:szCs w:val="24"/>
    </w:rPr>
  </w:style>
  <w:style w:type="paragraph" w:styleId="Title">
    <w:name w:val="Title"/>
    <w:basedOn w:val="Normal"/>
    <w:next w:val="Normal"/>
    <w:link w:val="TitleChar"/>
    <w:uiPriority w:val="1"/>
    <w:qFormat/>
    <w:rsid w:val="006672AC"/>
    <w:pPr>
      <w:autoSpaceDE w:val="0"/>
      <w:autoSpaceDN w:val="0"/>
      <w:adjustRightInd w:val="0"/>
      <w:spacing w:after="0" w:line="240" w:lineRule="auto"/>
      <w:ind w:left="2922" w:right="2739"/>
      <w:jc w:val="center"/>
    </w:pPr>
    <w:rPr>
      <w:rFonts w:ascii="Arial" w:hAnsi="Arial" w:cs="Arial"/>
      <w:b/>
      <w:bCs/>
      <w:sz w:val="30"/>
      <w:szCs w:val="30"/>
    </w:rPr>
  </w:style>
  <w:style w:type="character" w:customStyle="1" w:styleId="TitleChar">
    <w:name w:val="Title Char"/>
    <w:basedOn w:val="DefaultParagraphFont"/>
    <w:link w:val="Title"/>
    <w:uiPriority w:val="1"/>
    <w:rsid w:val="006672AC"/>
    <w:rPr>
      <w:rFonts w:ascii="Arial" w:hAnsi="Arial" w:cs="Arial"/>
      <w:b/>
      <w:bCs/>
      <w:sz w:val="30"/>
      <w:szCs w:val="30"/>
    </w:rPr>
  </w:style>
  <w:style w:type="paragraph" w:styleId="ListParagraph">
    <w:name w:val="List Paragraph"/>
    <w:basedOn w:val="Normal"/>
    <w:uiPriority w:val="1"/>
    <w:qFormat/>
    <w:rsid w:val="006672AC"/>
    <w:pPr>
      <w:autoSpaceDE w:val="0"/>
      <w:autoSpaceDN w:val="0"/>
      <w:adjustRightInd w:val="0"/>
      <w:spacing w:after="0" w:line="240" w:lineRule="auto"/>
      <w:ind w:left="1119" w:hanging="36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Long</dc:creator>
  <cp:keywords/>
  <dc:description/>
  <cp:lastModifiedBy>Amy Long</cp:lastModifiedBy>
  <cp:revision>14</cp:revision>
  <dcterms:created xsi:type="dcterms:W3CDTF">2021-01-17T01:32:00Z</dcterms:created>
  <dcterms:modified xsi:type="dcterms:W3CDTF">2021-01-26T03:21:00Z</dcterms:modified>
</cp:coreProperties>
</file>