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1EF2" w14:textId="77777777" w:rsidR="00A07077" w:rsidRPr="00D57E8C" w:rsidRDefault="00A07077" w:rsidP="00A07077">
      <w:pPr>
        <w:pStyle w:val="Default"/>
        <w:rPr>
          <w:rFonts w:ascii="Arial" w:hAnsi="Arial" w:cs="Arial"/>
          <w:sz w:val="22"/>
          <w:szCs w:val="22"/>
        </w:rPr>
      </w:pPr>
    </w:p>
    <w:p w14:paraId="31F8E0D6" w14:textId="70073B6C" w:rsidR="00A07077" w:rsidRPr="00D57E8C" w:rsidRDefault="008D3431" w:rsidP="00A07077">
      <w:pPr>
        <w:pStyle w:val="Default"/>
        <w:jc w:val="center"/>
        <w:rPr>
          <w:rFonts w:ascii="Arial" w:hAnsi="Arial" w:cs="Arial"/>
          <w:sz w:val="28"/>
          <w:szCs w:val="28"/>
        </w:rPr>
      </w:pPr>
      <w:r>
        <w:rPr>
          <w:rFonts w:ascii="Arial" w:hAnsi="Arial" w:cs="Arial"/>
          <w:b/>
          <w:bCs/>
          <w:sz w:val="28"/>
          <w:szCs w:val="28"/>
        </w:rPr>
        <w:t>O</w:t>
      </w:r>
      <w:r w:rsidR="00024D04">
        <w:rPr>
          <w:rFonts w:ascii="Arial" w:hAnsi="Arial" w:cs="Arial"/>
          <w:b/>
          <w:bCs/>
          <w:sz w:val="28"/>
          <w:szCs w:val="28"/>
        </w:rPr>
        <w:t xml:space="preserve">ttawa River Power Corporation </w:t>
      </w:r>
      <w:r>
        <w:rPr>
          <w:rFonts w:ascii="Arial" w:hAnsi="Arial" w:cs="Arial"/>
          <w:b/>
          <w:bCs/>
          <w:sz w:val="28"/>
          <w:szCs w:val="28"/>
        </w:rPr>
        <w:t>(</w:t>
      </w:r>
      <w:r w:rsidR="00024D04">
        <w:rPr>
          <w:rFonts w:ascii="Arial" w:hAnsi="Arial" w:cs="Arial"/>
          <w:b/>
          <w:bCs/>
          <w:sz w:val="28"/>
          <w:szCs w:val="28"/>
        </w:rPr>
        <w:t>Ottawa River Power</w:t>
      </w:r>
      <w:r>
        <w:rPr>
          <w:rFonts w:ascii="Arial" w:hAnsi="Arial" w:cs="Arial"/>
          <w:b/>
          <w:bCs/>
          <w:sz w:val="28"/>
          <w:szCs w:val="28"/>
        </w:rPr>
        <w:t>)</w:t>
      </w:r>
    </w:p>
    <w:p w14:paraId="33D6510D" w14:textId="49681C96"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8D3431">
        <w:rPr>
          <w:rFonts w:ascii="Arial" w:hAnsi="Arial" w:cs="Arial"/>
          <w:b/>
          <w:bCs/>
          <w:sz w:val="28"/>
          <w:szCs w:val="28"/>
        </w:rPr>
        <w:t>004</w:t>
      </w:r>
      <w:r w:rsidR="00024D04">
        <w:rPr>
          <w:rFonts w:ascii="Arial" w:hAnsi="Arial" w:cs="Arial"/>
          <w:b/>
          <w:bCs/>
          <w:sz w:val="28"/>
          <w:szCs w:val="28"/>
        </w:rPr>
        <w:t>9</w:t>
      </w:r>
    </w:p>
    <w:p w14:paraId="3A1D79BD" w14:textId="296982AC" w:rsidR="008B094C" w:rsidRPr="008B094C" w:rsidRDefault="008B094C" w:rsidP="00A07077">
      <w:pPr>
        <w:pStyle w:val="Default"/>
        <w:jc w:val="center"/>
        <w:rPr>
          <w:rFonts w:ascii="Arial" w:hAnsi="Arial" w:cs="Arial"/>
          <w:b/>
          <w:bCs/>
          <w:sz w:val="22"/>
          <w:szCs w:val="22"/>
        </w:rPr>
      </w:pPr>
      <w:r w:rsidRPr="008B094C">
        <w:rPr>
          <w:rFonts w:ascii="Arial" w:hAnsi="Arial" w:cs="Arial"/>
          <w:b/>
          <w:bCs/>
          <w:sz w:val="22"/>
          <w:szCs w:val="22"/>
        </w:rPr>
        <w:t xml:space="preserve">January </w:t>
      </w:r>
      <w:r w:rsidR="008F3608">
        <w:rPr>
          <w:rFonts w:ascii="Arial" w:hAnsi="Arial" w:cs="Arial"/>
          <w:b/>
          <w:bCs/>
          <w:sz w:val="22"/>
          <w:szCs w:val="22"/>
        </w:rPr>
        <w:t>27</w:t>
      </w:r>
      <w:r w:rsidRPr="008B094C">
        <w:rPr>
          <w:rFonts w:ascii="Arial" w:hAnsi="Arial" w:cs="Arial"/>
          <w:b/>
          <w:bCs/>
          <w:sz w:val="22"/>
          <w:szCs w:val="22"/>
        </w:rPr>
        <w:t>, 2021</w:t>
      </w:r>
    </w:p>
    <w:p w14:paraId="63C86BE8" w14:textId="77777777" w:rsidR="00511EC2" w:rsidRDefault="00511EC2" w:rsidP="00511EC2">
      <w:pPr>
        <w:spacing w:after="0" w:line="240" w:lineRule="auto"/>
        <w:rPr>
          <w:rFonts w:ascii="Arial" w:eastAsia="Calibri" w:hAnsi="Arial" w:cs="Arial"/>
          <w:lang w:val="en-US"/>
        </w:rPr>
      </w:pPr>
    </w:p>
    <w:p w14:paraId="2A0CB1B0" w14:textId="23C81A9B"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024D04">
        <w:rPr>
          <w:rFonts w:ascii="Arial" w:eastAsia="Calibri" w:hAnsi="Arial" w:cs="Arial"/>
          <w:sz w:val="24"/>
          <w:szCs w:val="24"/>
        </w:rPr>
        <w:t xml:space="preserve">Ottawa River Power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27FFED99" w14:textId="6F4E6C73" w:rsidR="005B11A8" w:rsidRDefault="005B11A8" w:rsidP="005B11A8">
      <w:pPr>
        <w:spacing w:after="120" w:line="240" w:lineRule="auto"/>
        <w:rPr>
          <w:rFonts w:ascii="Arial" w:hAnsi="Arial" w:cs="Arial"/>
          <w:b/>
          <w:sz w:val="24"/>
          <w:szCs w:val="24"/>
        </w:rPr>
      </w:pPr>
      <w:r>
        <w:rPr>
          <w:rFonts w:ascii="Arial" w:hAnsi="Arial" w:cs="Arial"/>
          <w:b/>
          <w:sz w:val="24"/>
          <w:szCs w:val="24"/>
        </w:rPr>
        <w:t>Staff Question-</w:t>
      </w:r>
      <w:r w:rsidR="00977619">
        <w:rPr>
          <w:rFonts w:ascii="Arial" w:hAnsi="Arial" w:cs="Arial"/>
          <w:b/>
          <w:sz w:val="24"/>
          <w:szCs w:val="24"/>
        </w:rPr>
        <w:t>1</w:t>
      </w:r>
    </w:p>
    <w:p w14:paraId="60072E6E" w14:textId="6511B882" w:rsidR="00905BA1" w:rsidRDefault="005B11A8" w:rsidP="005B11A8">
      <w:pPr>
        <w:spacing w:after="120" w:line="240" w:lineRule="auto"/>
        <w:rPr>
          <w:rFonts w:ascii="Arial" w:hAnsi="Arial" w:cs="Arial"/>
          <w:b/>
          <w:sz w:val="24"/>
          <w:szCs w:val="24"/>
        </w:rPr>
      </w:pPr>
      <w:r w:rsidRPr="008B6E10">
        <w:rPr>
          <w:rFonts w:ascii="Arial" w:hAnsi="Arial" w:cs="Arial"/>
          <w:b/>
          <w:sz w:val="24"/>
          <w:szCs w:val="24"/>
        </w:rPr>
        <w:t>Ref</w:t>
      </w:r>
      <w:r w:rsidR="00905BA1">
        <w:rPr>
          <w:rFonts w:ascii="Arial" w:hAnsi="Arial" w:cs="Arial"/>
          <w:b/>
          <w:sz w:val="24"/>
          <w:szCs w:val="24"/>
        </w:rPr>
        <w:t xml:space="preserve"> 1</w:t>
      </w:r>
      <w:r w:rsidRPr="008B6E10">
        <w:rPr>
          <w:rFonts w:ascii="Arial" w:hAnsi="Arial" w:cs="Arial"/>
          <w:b/>
          <w:sz w:val="24"/>
          <w:szCs w:val="24"/>
        </w:rPr>
        <w:t>:</w:t>
      </w:r>
      <w:r w:rsidR="00905BA1">
        <w:rPr>
          <w:rFonts w:ascii="Arial" w:hAnsi="Arial" w:cs="Arial"/>
          <w:b/>
          <w:sz w:val="24"/>
          <w:szCs w:val="24"/>
        </w:rPr>
        <w:t xml:space="preserve"> Rate Generator Model Tab 11 RTSR – UTRs &amp; Sub-Tx</w:t>
      </w:r>
      <w:r w:rsidR="00477226">
        <w:rPr>
          <w:rFonts w:ascii="Arial" w:hAnsi="Arial" w:cs="Arial"/>
          <w:b/>
          <w:sz w:val="24"/>
          <w:szCs w:val="24"/>
        </w:rPr>
        <w:t>, Tab 12 RTSR – Historical Wholesale</w:t>
      </w:r>
    </w:p>
    <w:p w14:paraId="204AC5D3" w14:textId="78953E79" w:rsidR="005B11A8" w:rsidRDefault="00477226" w:rsidP="005B11A8">
      <w:pPr>
        <w:spacing w:after="120" w:line="240" w:lineRule="auto"/>
        <w:rPr>
          <w:rFonts w:ascii="Arial" w:hAnsi="Arial" w:cs="Arial"/>
          <w:bCs/>
          <w:sz w:val="24"/>
          <w:szCs w:val="24"/>
        </w:rPr>
      </w:pPr>
      <w:r>
        <w:rPr>
          <w:rFonts w:ascii="Arial" w:hAnsi="Arial" w:cs="Arial"/>
          <w:bCs/>
          <w:sz w:val="24"/>
          <w:szCs w:val="24"/>
        </w:rPr>
        <w:t>In Tab 11 of the IRM model, O</w:t>
      </w:r>
      <w:r w:rsidR="004C7A2D">
        <w:rPr>
          <w:rFonts w:ascii="Arial" w:hAnsi="Arial" w:cs="Arial"/>
          <w:bCs/>
          <w:sz w:val="24"/>
          <w:szCs w:val="24"/>
        </w:rPr>
        <w:t>ttawa River Power</w:t>
      </w:r>
      <w:r>
        <w:rPr>
          <w:rFonts w:ascii="Arial" w:hAnsi="Arial" w:cs="Arial"/>
          <w:bCs/>
          <w:sz w:val="24"/>
          <w:szCs w:val="24"/>
        </w:rPr>
        <w:t xml:space="preserve"> entered Sub-transmission rates information in rows 44 to 56 under the name of “Brookfield”. In Tab 12, O</w:t>
      </w:r>
      <w:r w:rsidR="00E4255F">
        <w:rPr>
          <w:rFonts w:ascii="Arial" w:hAnsi="Arial" w:cs="Arial"/>
          <w:bCs/>
          <w:sz w:val="24"/>
          <w:szCs w:val="24"/>
        </w:rPr>
        <w:t>ttawa River</w:t>
      </w:r>
      <w:r>
        <w:rPr>
          <w:rFonts w:ascii="Arial" w:hAnsi="Arial" w:cs="Arial"/>
          <w:bCs/>
          <w:sz w:val="24"/>
          <w:szCs w:val="24"/>
        </w:rPr>
        <w:t xml:space="preserve"> </w:t>
      </w:r>
      <w:r w:rsidR="00E4255F">
        <w:rPr>
          <w:rFonts w:ascii="Arial" w:hAnsi="Arial" w:cs="Arial"/>
          <w:bCs/>
          <w:sz w:val="24"/>
          <w:szCs w:val="24"/>
        </w:rPr>
        <w:t>Power</w:t>
      </w:r>
      <w:r>
        <w:rPr>
          <w:rFonts w:ascii="Arial" w:hAnsi="Arial" w:cs="Arial"/>
          <w:bCs/>
          <w:sz w:val="24"/>
          <w:szCs w:val="24"/>
        </w:rPr>
        <w:t xml:space="preserve"> also entered historical billing data for “Brookfield”. Rows 44 to 56 in Tab 11 are for distributor to add its additional host-distributor (other than Hydro One Networks) sub-transmission rates information for 2019 to 2021. </w:t>
      </w:r>
    </w:p>
    <w:p w14:paraId="7DF1E5E8" w14:textId="6C1DE6EB" w:rsidR="00477226" w:rsidRPr="008B6E10" w:rsidRDefault="00477226" w:rsidP="005B11A8">
      <w:pPr>
        <w:spacing w:after="120" w:line="240" w:lineRule="auto"/>
        <w:rPr>
          <w:rFonts w:ascii="Arial" w:hAnsi="Arial" w:cs="Arial"/>
          <w:b/>
          <w:sz w:val="24"/>
          <w:szCs w:val="24"/>
        </w:rPr>
      </w:pPr>
      <w:r>
        <w:rPr>
          <w:rFonts w:ascii="Arial" w:hAnsi="Arial" w:cs="Arial"/>
          <w:bCs/>
          <w:sz w:val="24"/>
          <w:szCs w:val="24"/>
        </w:rPr>
        <w:t xml:space="preserve">Please explain </w:t>
      </w:r>
      <w:r w:rsidR="008520EE">
        <w:rPr>
          <w:rFonts w:ascii="Arial" w:hAnsi="Arial" w:cs="Arial"/>
          <w:bCs/>
          <w:sz w:val="24"/>
          <w:szCs w:val="24"/>
        </w:rPr>
        <w:t xml:space="preserve">the sub-transmission relationship between Ottawa River Power and Brookfield (i.e. </w:t>
      </w:r>
      <w:r>
        <w:rPr>
          <w:rFonts w:ascii="Arial" w:hAnsi="Arial" w:cs="Arial"/>
          <w:bCs/>
          <w:sz w:val="24"/>
          <w:szCs w:val="24"/>
        </w:rPr>
        <w:t>why Brookfield’s RTSR rates and billing data should be applied in Tab 11 and Tab 12</w:t>
      </w:r>
      <w:r w:rsidR="007F256F">
        <w:rPr>
          <w:rFonts w:ascii="Arial" w:hAnsi="Arial" w:cs="Arial"/>
          <w:bCs/>
          <w:sz w:val="24"/>
          <w:szCs w:val="24"/>
        </w:rPr>
        <w:t xml:space="preserve"> for O</w:t>
      </w:r>
      <w:r w:rsidR="00E4255F">
        <w:rPr>
          <w:rFonts w:ascii="Arial" w:hAnsi="Arial" w:cs="Arial"/>
          <w:bCs/>
          <w:sz w:val="24"/>
          <w:szCs w:val="24"/>
        </w:rPr>
        <w:t>ttawa River Power</w:t>
      </w:r>
      <w:bookmarkStart w:id="1" w:name="_GoBack"/>
      <w:bookmarkEnd w:id="1"/>
      <w:r w:rsidR="007F256F">
        <w:rPr>
          <w:rFonts w:ascii="Arial" w:hAnsi="Arial" w:cs="Arial"/>
          <w:bCs/>
          <w:sz w:val="24"/>
          <w:szCs w:val="24"/>
        </w:rPr>
        <w:t>’s RTSR annual adjustments</w:t>
      </w:r>
      <w:r w:rsidR="008520EE">
        <w:rPr>
          <w:rFonts w:ascii="Arial" w:hAnsi="Arial" w:cs="Arial"/>
          <w:bCs/>
          <w:sz w:val="24"/>
          <w:szCs w:val="24"/>
        </w:rPr>
        <w:t>)</w:t>
      </w:r>
      <w:r>
        <w:rPr>
          <w:rFonts w:ascii="Arial" w:hAnsi="Arial" w:cs="Arial"/>
          <w:bCs/>
          <w:sz w:val="24"/>
          <w:szCs w:val="24"/>
        </w:rPr>
        <w:t>. Please provide the relevant supporting evidence for the Brookfield’s RTSR rates for 2019 to 2021</w:t>
      </w:r>
      <w:r w:rsidR="007F256F">
        <w:rPr>
          <w:rFonts w:ascii="Arial" w:hAnsi="Arial" w:cs="Arial"/>
          <w:bCs/>
          <w:sz w:val="24"/>
          <w:szCs w:val="24"/>
        </w:rPr>
        <w:t xml:space="preserve"> entered in Tab 11.</w:t>
      </w:r>
    </w:p>
    <w:p w14:paraId="66DC7BDB" w14:textId="77777777" w:rsidR="008E6A68" w:rsidRPr="008E6A68" w:rsidRDefault="008E6A68" w:rsidP="004D1554">
      <w:pPr>
        <w:spacing w:after="120" w:line="240" w:lineRule="auto"/>
        <w:rPr>
          <w:rFonts w:ascii="Arial" w:hAnsi="Arial" w:cs="Arial"/>
          <w:bCs/>
          <w:sz w:val="24"/>
          <w:szCs w:val="24"/>
        </w:rPr>
      </w:pPr>
    </w:p>
    <w:p w14:paraId="2E609D8C" w14:textId="397E7B06" w:rsidR="008E6A68" w:rsidRDefault="008E6A68" w:rsidP="008E6A68">
      <w:pPr>
        <w:spacing w:after="120" w:line="240" w:lineRule="auto"/>
        <w:rPr>
          <w:rFonts w:ascii="Arial" w:hAnsi="Arial" w:cs="Arial"/>
          <w:b/>
          <w:sz w:val="24"/>
          <w:szCs w:val="24"/>
        </w:rPr>
      </w:pPr>
      <w:r>
        <w:rPr>
          <w:rFonts w:ascii="Arial" w:hAnsi="Arial" w:cs="Arial"/>
          <w:b/>
          <w:sz w:val="24"/>
          <w:szCs w:val="24"/>
        </w:rPr>
        <w:t>Staff Question-</w:t>
      </w:r>
      <w:r w:rsidR="004C7A2D">
        <w:rPr>
          <w:rFonts w:ascii="Arial" w:hAnsi="Arial" w:cs="Arial"/>
          <w:b/>
          <w:sz w:val="24"/>
          <w:szCs w:val="24"/>
        </w:rPr>
        <w:t>2</w:t>
      </w:r>
    </w:p>
    <w:p w14:paraId="4B88C293" w14:textId="503E3C3F" w:rsidR="008E6A68" w:rsidRDefault="008E6A68" w:rsidP="008E6A68">
      <w:pPr>
        <w:spacing w:after="120" w:line="240" w:lineRule="auto"/>
        <w:rPr>
          <w:rFonts w:ascii="Arial" w:hAnsi="Arial" w:cs="Arial"/>
          <w:b/>
          <w:sz w:val="24"/>
          <w:szCs w:val="24"/>
        </w:rPr>
      </w:pPr>
      <w:r w:rsidRPr="008B6E10">
        <w:rPr>
          <w:rFonts w:ascii="Arial" w:hAnsi="Arial" w:cs="Arial"/>
          <w:b/>
          <w:sz w:val="24"/>
          <w:szCs w:val="24"/>
        </w:rPr>
        <w:t>Ref</w:t>
      </w:r>
      <w:r>
        <w:rPr>
          <w:rFonts w:ascii="Arial" w:hAnsi="Arial" w:cs="Arial"/>
          <w:b/>
          <w:sz w:val="24"/>
          <w:szCs w:val="24"/>
        </w:rPr>
        <w:t xml:space="preserve"> 1</w:t>
      </w:r>
      <w:r w:rsidRPr="008B6E10">
        <w:rPr>
          <w:rFonts w:ascii="Arial" w:hAnsi="Arial" w:cs="Arial"/>
          <w:b/>
          <w:sz w:val="24"/>
          <w:szCs w:val="24"/>
        </w:rPr>
        <w:t>:</w:t>
      </w:r>
      <w:r>
        <w:rPr>
          <w:rFonts w:ascii="Arial" w:hAnsi="Arial" w:cs="Arial"/>
          <w:b/>
          <w:sz w:val="24"/>
          <w:szCs w:val="24"/>
        </w:rPr>
        <w:t xml:space="preserve"> Rate Generator Model </w:t>
      </w:r>
      <w:r w:rsidR="00043CA1">
        <w:rPr>
          <w:rFonts w:ascii="Arial" w:hAnsi="Arial" w:cs="Arial"/>
          <w:b/>
          <w:sz w:val="24"/>
          <w:szCs w:val="24"/>
        </w:rPr>
        <w:t>Tab 3 Continuity Schedule – Projected Interest for January to April 2021 (column BR)</w:t>
      </w:r>
    </w:p>
    <w:p w14:paraId="7E9A0DBB" w14:textId="4FC6BA67" w:rsidR="00043CA1" w:rsidRDefault="00043CA1" w:rsidP="00043CA1">
      <w:pPr>
        <w:spacing w:after="120"/>
        <w:rPr>
          <w:rFonts w:ascii="Arial" w:hAnsi="Arial" w:cs="Arial"/>
          <w:bCs/>
          <w:sz w:val="24"/>
          <w:szCs w:val="24"/>
        </w:rPr>
      </w:pPr>
      <w:r>
        <w:rPr>
          <w:rFonts w:ascii="Arial" w:hAnsi="Arial" w:cs="Arial"/>
          <w:bCs/>
          <w:sz w:val="24"/>
          <w:szCs w:val="24"/>
        </w:rPr>
        <w:t xml:space="preserve">In column BR of the continuity schedule, Ottawa River Power applied an interest rate or 2.18% for the projected interest for January to April 2021. According to the </w:t>
      </w:r>
      <w:hyperlink r:id="rId8" w:history="1">
        <w:r w:rsidRPr="00043CA1">
          <w:rPr>
            <w:rStyle w:val="Hyperlink"/>
            <w:rFonts w:ascii="Arial" w:hAnsi="Arial" w:cs="Arial"/>
            <w:bCs/>
            <w:sz w:val="24"/>
            <w:szCs w:val="24"/>
          </w:rPr>
          <w:t>“Prescribed interest rates”</w:t>
        </w:r>
      </w:hyperlink>
      <w:r>
        <w:rPr>
          <w:rFonts w:ascii="Arial" w:hAnsi="Arial" w:cs="Arial"/>
          <w:bCs/>
          <w:sz w:val="24"/>
          <w:szCs w:val="24"/>
        </w:rPr>
        <w:t xml:space="preserve"> webpage, the prescribed interest rate for Q1 2021 is 0.57%. Please confirm whether or not the interest rated used in column BR should be updated to 0.57%, if so, please update the model.</w:t>
      </w:r>
    </w:p>
    <w:p w14:paraId="15E9EAEB" w14:textId="4B94B4C0" w:rsidR="008F3608" w:rsidRDefault="008F3608" w:rsidP="00043CA1">
      <w:pPr>
        <w:spacing w:after="120"/>
        <w:rPr>
          <w:rFonts w:ascii="Arial" w:hAnsi="Arial" w:cs="Arial"/>
          <w:bCs/>
          <w:sz w:val="24"/>
          <w:szCs w:val="24"/>
        </w:rPr>
      </w:pPr>
    </w:p>
    <w:p w14:paraId="11458344" w14:textId="427C1211" w:rsidR="008F3608" w:rsidRDefault="008F3608" w:rsidP="00822EFA">
      <w:pPr>
        <w:spacing w:after="0" w:line="240" w:lineRule="auto"/>
        <w:rPr>
          <w:rFonts w:ascii="Arial" w:hAnsi="Arial" w:cs="Arial"/>
          <w:b/>
          <w:sz w:val="24"/>
          <w:szCs w:val="24"/>
        </w:rPr>
      </w:pPr>
      <w:r>
        <w:rPr>
          <w:rFonts w:ascii="Arial" w:hAnsi="Arial" w:cs="Arial"/>
          <w:b/>
          <w:sz w:val="24"/>
          <w:szCs w:val="24"/>
        </w:rPr>
        <w:t>Staff Question-</w:t>
      </w:r>
      <w:r w:rsidR="004C7A2D">
        <w:rPr>
          <w:rFonts w:ascii="Arial" w:hAnsi="Arial" w:cs="Arial"/>
          <w:b/>
          <w:sz w:val="24"/>
          <w:szCs w:val="24"/>
        </w:rPr>
        <w:t>3</w:t>
      </w:r>
    </w:p>
    <w:p w14:paraId="32C98931" w14:textId="60239D99" w:rsidR="008F3608" w:rsidRDefault="008F3608" w:rsidP="00822EFA">
      <w:pPr>
        <w:spacing w:after="0" w:line="240" w:lineRule="auto"/>
        <w:rPr>
          <w:rFonts w:ascii="Arial" w:hAnsi="Arial" w:cs="Arial"/>
          <w:b/>
          <w:sz w:val="24"/>
          <w:szCs w:val="24"/>
        </w:rPr>
      </w:pPr>
      <w:r w:rsidRPr="008B6E10">
        <w:rPr>
          <w:rFonts w:ascii="Arial" w:hAnsi="Arial" w:cs="Arial"/>
          <w:b/>
          <w:sz w:val="24"/>
          <w:szCs w:val="24"/>
        </w:rPr>
        <w:t>Ref</w:t>
      </w:r>
      <w:r>
        <w:rPr>
          <w:rFonts w:ascii="Arial" w:hAnsi="Arial" w:cs="Arial"/>
          <w:b/>
          <w:sz w:val="24"/>
          <w:szCs w:val="24"/>
        </w:rPr>
        <w:t xml:space="preserve"> 1</w:t>
      </w:r>
      <w:r w:rsidRPr="008B6E10">
        <w:rPr>
          <w:rFonts w:ascii="Arial" w:hAnsi="Arial" w:cs="Arial"/>
          <w:b/>
          <w:sz w:val="24"/>
          <w:szCs w:val="24"/>
        </w:rPr>
        <w:t>:</w:t>
      </w:r>
      <w:r>
        <w:rPr>
          <w:rFonts w:ascii="Arial" w:hAnsi="Arial" w:cs="Arial"/>
          <w:b/>
          <w:sz w:val="24"/>
          <w:szCs w:val="24"/>
        </w:rPr>
        <w:t xml:space="preserve"> </w:t>
      </w:r>
      <w:r w:rsidR="00822EFA">
        <w:rPr>
          <w:rFonts w:ascii="Arial" w:hAnsi="Arial" w:cs="Arial"/>
          <w:b/>
          <w:sz w:val="24"/>
          <w:szCs w:val="24"/>
        </w:rPr>
        <w:t>Volumetric Unit for Sentinel Lighting Class</w:t>
      </w:r>
    </w:p>
    <w:p w14:paraId="5161D4EA" w14:textId="016BCBBD" w:rsidR="00822EFA" w:rsidRDefault="00822EFA" w:rsidP="00822EFA">
      <w:pPr>
        <w:spacing w:after="0" w:line="240" w:lineRule="auto"/>
        <w:rPr>
          <w:rFonts w:ascii="Arial" w:hAnsi="Arial" w:cs="Arial"/>
          <w:b/>
          <w:sz w:val="24"/>
          <w:szCs w:val="24"/>
        </w:rPr>
      </w:pPr>
      <w:r>
        <w:rPr>
          <w:rFonts w:ascii="Arial" w:hAnsi="Arial" w:cs="Arial"/>
          <w:b/>
          <w:sz w:val="24"/>
          <w:szCs w:val="24"/>
        </w:rPr>
        <w:t>Ref 2: Rate Generator Model Tab 4, Tab 20</w:t>
      </w:r>
    </w:p>
    <w:p w14:paraId="1F73C13E" w14:textId="77777777" w:rsidR="00D41D4B" w:rsidRDefault="00D41D4B" w:rsidP="00822EFA">
      <w:pPr>
        <w:spacing w:after="0" w:line="240" w:lineRule="auto"/>
        <w:rPr>
          <w:rFonts w:ascii="Arial" w:hAnsi="Arial" w:cs="Arial"/>
          <w:b/>
          <w:sz w:val="24"/>
          <w:szCs w:val="24"/>
        </w:rPr>
      </w:pPr>
    </w:p>
    <w:p w14:paraId="362ED7C4" w14:textId="140CCCD0" w:rsidR="00822EFA" w:rsidRDefault="00822EFA" w:rsidP="00043CA1">
      <w:pPr>
        <w:spacing w:after="120"/>
        <w:rPr>
          <w:rFonts w:ascii="Arial" w:hAnsi="Arial" w:cs="Arial"/>
          <w:bCs/>
          <w:sz w:val="24"/>
          <w:szCs w:val="24"/>
        </w:rPr>
      </w:pPr>
      <w:r>
        <w:rPr>
          <w:rFonts w:ascii="Arial" w:hAnsi="Arial" w:cs="Arial"/>
          <w:bCs/>
          <w:sz w:val="24"/>
          <w:szCs w:val="24"/>
        </w:rPr>
        <w:t xml:space="preserve">It’s noted that Ottawa River Power applied the consumption unit “kWh” as the volumetric unit for Sentinel Lighting Class in Tab 4 and Tab 20 of the Rate Generator Model. Therefore, the DVA (2021) rate rider is calculated and will be billed to customers </w:t>
      </w:r>
      <w:r w:rsidR="00F27616">
        <w:rPr>
          <w:rFonts w:ascii="Arial" w:hAnsi="Arial" w:cs="Arial"/>
          <w:bCs/>
          <w:sz w:val="24"/>
          <w:szCs w:val="24"/>
        </w:rPr>
        <w:t xml:space="preserve">in this </w:t>
      </w:r>
      <w:r w:rsidR="00F27616">
        <w:rPr>
          <w:rFonts w:ascii="Arial" w:hAnsi="Arial" w:cs="Arial"/>
          <w:bCs/>
          <w:sz w:val="24"/>
          <w:szCs w:val="24"/>
        </w:rPr>
        <w:lastRenderedPageBreak/>
        <w:t xml:space="preserve">class </w:t>
      </w:r>
      <w:r>
        <w:rPr>
          <w:rFonts w:ascii="Arial" w:hAnsi="Arial" w:cs="Arial"/>
          <w:bCs/>
          <w:sz w:val="24"/>
          <w:szCs w:val="24"/>
        </w:rPr>
        <w:t xml:space="preserve">on dollar per consumption ($/kWh) basis. OEB staff noted that </w:t>
      </w:r>
      <w:r w:rsidR="00F27616">
        <w:rPr>
          <w:rFonts w:ascii="Arial" w:hAnsi="Arial" w:cs="Arial"/>
          <w:bCs/>
          <w:sz w:val="24"/>
          <w:szCs w:val="24"/>
        </w:rPr>
        <w:t xml:space="preserve">Ottawa River Power’s </w:t>
      </w:r>
      <w:r>
        <w:rPr>
          <w:rFonts w:ascii="Arial" w:hAnsi="Arial" w:cs="Arial"/>
          <w:bCs/>
          <w:sz w:val="24"/>
          <w:szCs w:val="24"/>
        </w:rPr>
        <w:t xml:space="preserve">DVA (2019) rate rider </w:t>
      </w:r>
      <w:r w:rsidR="00F27616">
        <w:rPr>
          <w:rFonts w:ascii="Arial" w:hAnsi="Arial" w:cs="Arial"/>
          <w:bCs/>
          <w:sz w:val="24"/>
          <w:szCs w:val="24"/>
        </w:rPr>
        <w:t xml:space="preserve">in the Sentinel Lighting class </w:t>
      </w:r>
      <w:r>
        <w:rPr>
          <w:rFonts w:ascii="Arial" w:hAnsi="Arial" w:cs="Arial"/>
          <w:bCs/>
          <w:sz w:val="24"/>
          <w:szCs w:val="24"/>
        </w:rPr>
        <w:t>approved in EB-2018-0063 was on demand basis (</w:t>
      </w:r>
      <w:r w:rsidR="00F27616">
        <w:rPr>
          <w:rFonts w:ascii="Arial" w:hAnsi="Arial" w:cs="Arial"/>
          <w:bCs/>
          <w:sz w:val="24"/>
          <w:szCs w:val="24"/>
        </w:rPr>
        <w:t xml:space="preserve">i.e. </w:t>
      </w:r>
      <w:r>
        <w:rPr>
          <w:rFonts w:ascii="Arial" w:hAnsi="Arial" w:cs="Arial"/>
          <w:bCs/>
          <w:sz w:val="24"/>
          <w:szCs w:val="24"/>
        </w:rPr>
        <w:t>$/kW).</w:t>
      </w:r>
    </w:p>
    <w:p w14:paraId="4A1A14D0" w14:textId="2B75D806" w:rsidR="00F27616" w:rsidRDefault="00F27616" w:rsidP="00043CA1">
      <w:pPr>
        <w:spacing w:after="120"/>
        <w:rPr>
          <w:rFonts w:ascii="Arial" w:hAnsi="Arial" w:cs="Arial"/>
          <w:bCs/>
          <w:sz w:val="24"/>
          <w:szCs w:val="24"/>
        </w:rPr>
      </w:pPr>
      <w:r>
        <w:rPr>
          <w:rFonts w:ascii="Arial" w:hAnsi="Arial" w:cs="Arial"/>
          <w:bCs/>
          <w:sz w:val="24"/>
          <w:szCs w:val="24"/>
        </w:rPr>
        <w:t>Please confirm the correct volumetric unit that should be applied to the Sentinel Lighting class for the DVA rate rider and update the model if needed.</w:t>
      </w:r>
    </w:p>
    <w:p w14:paraId="190BE0D8" w14:textId="77777777" w:rsidR="008F3608" w:rsidRPr="00043CA1" w:rsidRDefault="008F3608" w:rsidP="00043CA1">
      <w:pPr>
        <w:spacing w:after="120"/>
        <w:rPr>
          <w:rFonts w:ascii="Arial" w:hAnsi="Arial" w:cs="Arial"/>
          <w:bCs/>
          <w:sz w:val="24"/>
          <w:szCs w:val="24"/>
        </w:rPr>
      </w:pPr>
    </w:p>
    <w:p w14:paraId="1DB8DF58" w14:textId="75076968" w:rsidR="00D41D4B" w:rsidRDefault="00D41D4B" w:rsidP="00D41D4B">
      <w:pPr>
        <w:spacing w:after="0" w:line="240" w:lineRule="auto"/>
        <w:rPr>
          <w:rFonts w:ascii="Arial" w:hAnsi="Arial" w:cs="Arial"/>
          <w:b/>
          <w:sz w:val="24"/>
          <w:szCs w:val="24"/>
        </w:rPr>
      </w:pPr>
      <w:r>
        <w:rPr>
          <w:rFonts w:ascii="Arial" w:hAnsi="Arial" w:cs="Arial"/>
          <w:b/>
          <w:sz w:val="24"/>
          <w:szCs w:val="24"/>
        </w:rPr>
        <w:t>Staff Question-</w:t>
      </w:r>
      <w:r w:rsidR="004C7A2D">
        <w:rPr>
          <w:rFonts w:ascii="Arial" w:hAnsi="Arial" w:cs="Arial"/>
          <w:b/>
          <w:sz w:val="24"/>
          <w:szCs w:val="24"/>
        </w:rPr>
        <w:t>4</w:t>
      </w:r>
    </w:p>
    <w:p w14:paraId="585CFBDF" w14:textId="719DCBC6" w:rsidR="00D41D4B" w:rsidRDefault="00D41D4B" w:rsidP="00D41D4B">
      <w:pPr>
        <w:spacing w:after="0" w:line="240" w:lineRule="auto"/>
        <w:rPr>
          <w:rFonts w:ascii="Arial" w:hAnsi="Arial" w:cs="Arial"/>
          <w:b/>
          <w:sz w:val="24"/>
          <w:szCs w:val="24"/>
        </w:rPr>
      </w:pPr>
      <w:r w:rsidRPr="008B6E10">
        <w:rPr>
          <w:rFonts w:ascii="Arial" w:hAnsi="Arial" w:cs="Arial"/>
          <w:b/>
          <w:sz w:val="24"/>
          <w:szCs w:val="24"/>
        </w:rPr>
        <w:t>Ref</w:t>
      </w:r>
      <w:r>
        <w:rPr>
          <w:rFonts w:ascii="Arial" w:hAnsi="Arial" w:cs="Arial"/>
          <w:b/>
          <w:sz w:val="24"/>
          <w:szCs w:val="24"/>
        </w:rPr>
        <w:t xml:space="preserve"> 1</w:t>
      </w:r>
      <w:r w:rsidRPr="008B6E10">
        <w:rPr>
          <w:rFonts w:ascii="Arial" w:hAnsi="Arial" w:cs="Arial"/>
          <w:b/>
          <w:sz w:val="24"/>
          <w:szCs w:val="24"/>
        </w:rPr>
        <w:t>:</w:t>
      </w:r>
      <w:r>
        <w:rPr>
          <w:rFonts w:ascii="Arial" w:hAnsi="Arial" w:cs="Arial"/>
          <w:b/>
          <w:sz w:val="24"/>
          <w:szCs w:val="24"/>
        </w:rPr>
        <w:t xml:space="preserve"> Rate Generator Model Tab 20 </w:t>
      </w:r>
    </w:p>
    <w:p w14:paraId="4D9F6357" w14:textId="77777777" w:rsidR="00D41D4B" w:rsidRPr="00D41D4B" w:rsidRDefault="00D41D4B" w:rsidP="00D41D4B">
      <w:pPr>
        <w:spacing w:after="0" w:line="240" w:lineRule="auto"/>
        <w:rPr>
          <w:rFonts w:ascii="Arial" w:hAnsi="Arial" w:cs="Arial"/>
          <w:bCs/>
          <w:sz w:val="24"/>
          <w:szCs w:val="24"/>
        </w:rPr>
      </w:pPr>
    </w:p>
    <w:p w14:paraId="0FB3A104" w14:textId="61C30475" w:rsidR="00D41D4B" w:rsidRDefault="00D41D4B" w:rsidP="008E6045">
      <w:pPr>
        <w:rPr>
          <w:rFonts w:ascii="Arial" w:hAnsi="Arial" w:cs="Arial"/>
          <w:b/>
          <w:sz w:val="24"/>
          <w:szCs w:val="24"/>
        </w:rPr>
      </w:pPr>
      <w:r>
        <w:rPr>
          <w:rFonts w:ascii="Arial" w:hAnsi="Arial" w:cs="Arial"/>
          <w:bCs/>
          <w:sz w:val="24"/>
          <w:szCs w:val="24"/>
        </w:rPr>
        <w:t>In Tab 20 Bill Impacts of the Rate Generator Model, please enter the required billing determinants for the fixed charge for the three unmetered classes. (Related instructions can be found in Note 2 in this Tab, if needed.)</w:t>
      </w:r>
    </w:p>
    <w:p w14:paraId="7CE53695" w14:textId="43D6EFAD" w:rsidR="00D41D4B" w:rsidRPr="0021444C" w:rsidRDefault="00D41D4B" w:rsidP="008E6045">
      <w:pPr>
        <w:rPr>
          <w:rFonts w:ascii="Arial" w:hAnsi="Arial" w:cs="Arial"/>
          <w:bCs/>
          <w:sz w:val="24"/>
          <w:szCs w:val="24"/>
        </w:rPr>
      </w:pPr>
      <w:r>
        <w:rPr>
          <w:noProof/>
        </w:rPr>
        <w:drawing>
          <wp:inline distT="0" distB="0" distL="0" distR="0" wp14:anchorId="27B5A321" wp14:editId="5D91C871">
            <wp:extent cx="1185863" cy="1760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6505" cy="1776061"/>
                    </a:xfrm>
                    <a:prstGeom prst="rect">
                      <a:avLst/>
                    </a:prstGeom>
                  </pic:spPr>
                </pic:pic>
              </a:graphicData>
            </a:graphic>
          </wp:inline>
        </w:drawing>
      </w:r>
    </w:p>
    <w:sectPr w:rsidR="00D41D4B" w:rsidRPr="0021444C" w:rsidSect="00EA0919">
      <w:headerReference w:type="default" r:id="rId10"/>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4CF1" w14:textId="77777777" w:rsidR="008D3431" w:rsidRDefault="008D3431" w:rsidP="008D3431">
      <w:pPr>
        <w:spacing w:after="0" w:line="240" w:lineRule="auto"/>
      </w:pPr>
      <w:r>
        <w:separator/>
      </w:r>
    </w:p>
  </w:endnote>
  <w:endnote w:type="continuationSeparator" w:id="0">
    <w:p w14:paraId="4B3EDF2C" w14:textId="77777777" w:rsidR="008D3431" w:rsidRDefault="008D3431" w:rsidP="008D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220653"/>
      <w:docPartObj>
        <w:docPartGallery w:val="Page Numbers (Bottom of Page)"/>
        <w:docPartUnique/>
      </w:docPartObj>
    </w:sdtPr>
    <w:sdtEndPr>
      <w:rPr>
        <w:noProof/>
      </w:rPr>
    </w:sdtEndPr>
    <w:sdtContent>
      <w:p w14:paraId="1A50FDA3" w14:textId="33B4E69A" w:rsidR="008D3431" w:rsidRDefault="008D3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E6310" w14:textId="77777777" w:rsidR="008D3431" w:rsidRDefault="008D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3138" w14:textId="77777777" w:rsidR="008D3431" w:rsidRDefault="008D3431" w:rsidP="008D3431">
      <w:pPr>
        <w:spacing w:after="0" w:line="240" w:lineRule="auto"/>
      </w:pPr>
      <w:r>
        <w:separator/>
      </w:r>
    </w:p>
  </w:footnote>
  <w:footnote w:type="continuationSeparator" w:id="0">
    <w:p w14:paraId="2D7917FB" w14:textId="77777777" w:rsidR="008D3431" w:rsidRDefault="008D3431" w:rsidP="008D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ADC7" w14:textId="0EA75488" w:rsidR="008D3431" w:rsidRDefault="008D3431">
    <w:pPr>
      <w:pStyle w:val="Header"/>
      <w:rPr>
        <w:rFonts w:ascii="Arial" w:hAnsi="Arial" w:cs="Arial"/>
      </w:rPr>
    </w:pPr>
    <w:r>
      <w:ptab w:relativeTo="margin" w:alignment="center" w:leader="none"/>
    </w:r>
    <w:r>
      <w:ptab w:relativeTo="margin" w:alignment="right" w:leader="none"/>
    </w:r>
    <w:r>
      <w:rPr>
        <w:rFonts w:ascii="Arial" w:hAnsi="Arial" w:cs="Arial"/>
      </w:rPr>
      <w:t>O</w:t>
    </w:r>
    <w:r w:rsidR="00024D04">
      <w:rPr>
        <w:rFonts w:ascii="Arial" w:hAnsi="Arial" w:cs="Arial"/>
      </w:rPr>
      <w:t>ttawa River Power Corporation</w:t>
    </w:r>
  </w:p>
  <w:p w14:paraId="7AA865A5" w14:textId="77777777" w:rsidR="008D3431" w:rsidRDefault="008D3431">
    <w:pPr>
      <w:pStyle w:val="Header"/>
      <w:rPr>
        <w:rFonts w:ascii="Arial" w:hAnsi="Arial" w:cs="Arial"/>
      </w:rPr>
    </w:pPr>
    <w:r>
      <w:rPr>
        <w:rFonts w:ascii="Arial" w:hAnsi="Arial" w:cs="Arial"/>
      </w:rPr>
      <w:tab/>
    </w:r>
    <w:r>
      <w:rPr>
        <w:rFonts w:ascii="Arial" w:hAnsi="Arial" w:cs="Arial"/>
      </w:rPr>
      <w:tab/>
    </w:r>
    <w:r w:rsidRPr="00D57E8C">
      <w:rPr>
        <w:rFonts w:ascii="Arial" w:hAnsi="Arial" w:cs="Arial"/>
      </w:rPr>
      <w:t>OEB Staff Questions</w:t>
    </w:r>
    <w:r>
      <w:rPr>
        <w:rFonts w:ascii="Arial" w:hAnsi="Arial" w:cs="Arial"/>
      </w:rPr>
      <w:t xml:space="preserve"> </w:t>
    </w:r>
  </w:p>
  <w:p w14:paraId="0DE94AD0" w14:textId="51E59D83" w:rsidR="008D3431" w:rsidRDefault="008D3431">
    <w:pPr>
      <w:pStyle w:val="Header"/>
    </w:pPr>
    <w:r>
      <w:rPr>
        <w:rFonts w:ascii="Arial" w:hAnsi="Arial" w:cs="Arial"/>
      </w:rPr>
      <w:tab/>
    </w:r>
    <w:r>
      <w:rPr>
        <w:rFonts w:ascii="Arial" w:hAnsi="Arial" w:cs="Arial"/>
      </w:rPr>
      <w:tab/>
      <w:t>EB-2020</w:t>
    </w:r>
    <w:r w:rsidRPr="00D57E8C">
      <w:rPr>
        <w:rFonts w:ascii="Arial" w:hAnsi="Arial" w:cs="Arial"/>
      </w:rPr>
      <w:t>-</w:t>
    </w:r>
    <w:r>
      <w:rPr>
        <w:rFonts w:ascii="Arial" w:hAnsi="Arial" w:cs="Arial"/>
      </w:rPr>
      <w:t>004</w:t>
    </w:r>
    <w:r w:rsidR="00024D04">
      <w:rPr>
        <w:rFonts w:ascii="Arial" w:hAnsi="Arial" w:cs="Arial"/>
      </w:rPr>
      <w:t>9</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6"/>
  </w:num>
  <w:num w:numId="5">
    <w:abstractNumId w:val="10"/>
  </w:num>
  <w:num w:numId="6">
    <w:abstractNumId w:val="7"/>
  </w:num>
  <w:num w:numId="7">
    <w:abstractNumId w:val="15"/>
  </w:num>
  <w:num w:numId="8">
    <w:abstractNumId w:val="11"/>
  </w:num>
  <w:num w:numId="9">
    <w:abstractNumId w:val="12"/>
  </w:num>
  <w:num w:numId="10">
    <w:abstractNumId w:val="4"/>
  </w:num>
  <w:num w:numId="11">
    <w:abstractNumId w:val="14"/>
  </w:num>
  <w:num w:numId="12">
    <w:abstractNumId w:val="21"/>
  </w:num>
  <w:num w:numId="13">
    <w:abstractNumId w:val="3"/>
  </w:num>
  <w:num w:numId="14">
    <w:abstractNumId w:val="1"/>
  </w:num>
  <w:num w:numId="15">
    <w:abstractNumId w:val="25"/>
  </w:num>
  <w:num w:numId="16">
    <w:abstractNumId w:val="6"/>
  </w:num>
  <w:num w:numId="17">
    <w:abstractNumId w:val="17"/>
  </w:num>
  <w:num w:numId="18">
    <w:abstractNumId w:val="23"/>
  </w:num>
  <w:num w:numId="19">
    <w:abstractNumId w:val="24"/>
  </w:num>
  <w:num w:numId="20">
    <w:abstractNumId w:val="9"/>
  </w:num>
  <w:num w:numId="21">
    <w:abstractNumId w:val="22"/>
  </w:num>
  <w:num w:numId="22">
    <w:abstractNumId w:val="8"/>
  </w:num>
  <w:num w:numId="23">
    <w:abstractNumId w:val="20"/>
  </w:num>
  <w:num w:numId="24">
    <w:abstractNumId w:val="18"/>
  </w:num>
  <w:num w:numId="25">
    <w:abstractNumId w:val="2"/>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4D04"/>
    <w:rsid w:val="0003073C"/>
    <w:rsid w:val="00035337"/>
    <w:rsid w:val="00043CA1"/>
    <w:rsid w:val="00054071"/>
    <w:rsid w:val="0006126D"/>
    <w:rsid w:val="00067F57"/>
    <w:rsid w:val="00071BEC"/>
    <w:rsid w:val="00074514"/>
    <w:rsid w:val="000832D4"/>
    <w:rsid w:val="00090160"/>
    <w:rsid w:val="000A129F"/>
    <w:rsid w:val="000B3E7E"/>
    <w:rsid w:val="000D223C"/>
    <w:rsid w:val="000E4006"/>
    <w:rsid w:val="000F1E3A"/>
    <w:rsid w:val="00107CF6"/>
    <w:rsid w:val="00133BE1"/>
    <w:rsid w:val="00164E99"/>
    <w:rsid w:val="00183CC8"/>
    <w:rsid w:val="00187E9B"/>
    <w:rsid w:val="001927C2"/>
    <w:rsid w:val="001A3FB7"/>
    <w:rsid w:val="001A4DCD"/>
    <w:rsid w:val="00203092"/>
    <w:rsid w:val="0021444C"/>
    <w:rsid w:val="002208C0"/>
    <w:rsid w:val="00224C06"/>
    <w:rsid w:val="0025687C"/>
    <w:rsid w:val="00260660"/>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77226"/>
    <w:rsid w:val="004859EF"/>
    <w:rsid w:val="004C7A2D"/>
    <w:rsid w:val="004D1554"/>
    <w:rsid w:val="00511EC2"/>
    <w:rsid w:val="005164F5"/>
    <w:rsid w:val="0052560F"/>
    <w:rsid w:val="005666F2"/>
    <w:rsid w:val="00572064"/>
    <w:rsid w:val="00584369"/>
    <w:rsid w:val="00587A35"/>
    <w:rsid w:val="005B11A8"/>
    <w:rsid w:val="005F4693"/>
    <w:rsid w:val="00623602"/>
    <w:rsid w:val="00631524"/>
    <w:rsid w:val="0064279A"/>
    <w:rsid w:val="00651C98"/>
    <w:rsid w:val="006A5D23"/>
    <w:rsid w:val="006E3D58"/>
    <w:rsid w:val="00704EE5"/>
    <w:rsid w:val="007066E2"/>
    <w:rsid w:val="00713B80"/>
    <w:rsid w:val="00722640"/>
    <w:rsid w:val="0073197E"/>
    <w:rsid w:val="00746080"/>
    <w:rsid w:val="007510EA"/>
    <w:rsid w:val="00772B57"/>
    <w:rsid w:val="00781D04"/>
    <w:rsid w:val="007C2D45"/>
    <w:rsid w:val="007F256F"/>
    <w:rsid w:val="007F49EB"/>
    <w:rsid w:val="00805FDA"/>
    <w:rsid w:val="00812C1B"/>
    <w:rsid w:val="008161E9"/>
    <w:rsid w:val="008173B1"/>
    <w:rsid w:val="00822EFA"/>
    <w:rsid w:val="00835AD0"/>
    <w:rsid w:val="00841787"/>
    <w:rsid w:val="008520EE"/>
    <w:rsid w:val="008747B3"/>
    <w:rsid w:val="008813C3"/>
    <w:rsid w:val="0088440F"/>
    <w:rsid w:val="008926F0"/>
    <w:rsid w:val="008964E8"/>
    <w:rsid w:val="008A48F6"/>
    <w:rsid w:val="008B094C"/>
    <w:rsid w:val="008B6E10"/>
    <w:rsid w:val="008D3431"/>
    <w:rsid w:val="008E6045"/>
    <w:rsid w:val="008E6A68"/>
    <w:rsid w:val="008F3608"/>
    <w:rsid w:val="0090113B"/>
    <w:rsid w:val="00905BA1"/>
    <w:rsid w:val="0093258A"/>
    <w:rsid w:val="0094373C"/>
    <w:rsid w:val="00946DEE"/>
    <w:rsid w:val="00951E2B"/>
    <w:rsid w:val="00952939"/>
    <w:rsid w:val="00961EA0"/>
    <w:rsid w:val="00977619"/>
    <w:rsid w:val="009A5C44"/>
    <w:rsid w:val="009B03AF"/>
    <w:rsid w:val="009C4216"/>
    <w:rsid w:val="009D356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A434C"/>
    <w:rsid w:val="00BD4F65"/>
    <w:rsid w:val="00C0637A"/>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41D4B"/>
    <w:rsid w:val="00D55546"/>
    <w:rsid w:val="00D57E8C"/>
    <w:rsid w:val="00D6213C"/>
    <w:rsid w:val="00D647C0"/>
    <w:rsid w:val="00D77694"/>
    <w:rsid w:val="00D77B0F"/>
    <w:rsid w:val="00DB6B52"/>
    <w:rsid w:val="00DE5488"/>
    <w:rsid w:val="00DE75AC"/>
    <w:rsid w:val="00DF5A52"/>
    <w:rsid w:val="00E17C58"/>
    <w:rsid w:val="00E231C2"/>
    <w:rsid w:val="00E4255F"/>
    <w:rsid w:val="00E429DA"/>
    <w:rsid w:val="00E616AB"/>
    <w:rsid w:val="00E62C2A"/>
    <w:rsid w:val="00E8586E"/>
    <w:rsid w:val="00E86F26"/>
    <w:rsid w:val="00E96A06"/>
    <w:rsid w:val="00EA0919"/>
    <w:rsid w:val="00EB2CC3"/>
    <w:rsid w:val="00EB5240"/>
    <w:rsid w:val="00EC0B55"/>
    <w:rsid w:val="00F034BF"/>
    <w:rsid w:val="00F0703D"/>
    <w:rsid w:val="00F233A3"/>
    <w:rsid w:val="00F23D7A"/>
    <w:rsid w:val="00F24647"/>
    <w:rsid w:val="00F26D30"/>
    <w:rsid w:val="00F27616"/>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31"/>
  </w:style>
  <w:style w:type="character" w:styleId="Hyperlink">
    <w:name w:val="Hyperlink"/>
    <w:basedOn w:val="DefaultParagraphFont"/>
    <w:uiPriority w:val="99"/>
    <w:unhideWhenUsed/>
    <w:rsid w:val="00631524"/>
    <w:rPr>
      <w:color w:val="0000FF" w:themeColor="hyperlink"/>
      <w:u w:val="single"/>
    </w:rPr>
  </w:style>
  <w:style w:type="character" w:styleId="UnresolvedMention">
    <w:name w:val="Unresolved Mention"/>
    <w:basedOn w:val="DefaultParagraphFont"/>
    <w:uiPriority w:val="99"/>
    <w:semiHidden/>
    <w:unhideWhenUsed/>
    <w:rsid w:val="0063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industry/rules-codes-and-requirements/prescribed-interest-r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B01B-E2C3-42A4-8F93-5FF7DDCC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18</cp:revision>
  <cp:lastPrinted>2014-09-29T14:43:00Z</cp:lastPrinted>
  <dcterms:created xsi:type="dcterms:W3CDTF">2020-11-11T16:18:00Z</dcterms:created>
  <dcterms:modified xsi:type="dcterms:W3CDTF">2021-01-27T15:05:00Z</dcterms:modified>
</cp:coreProperties>
</file>