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5A0AB" w14:textId="175B7FE2" w:rsidR="00F2046E" w:rsidRPr="00294399" w:rsidRDefault="00F2046E" w:rsidP="00A67AB1">
      <w:pPr>
        <w:spacing w:after="0"/>
        <w:rPr>
          <w:b/>
          <w:bCs/>
          <w:sz w:val="28"/>
          <w:szCs w:val="28"/>
        </w:rPr>
      </w:pPr>
      <w:r w:rsidRPr="00294399">
        <w:rPr>
          <w:b/>
          <w:bCs/>
          <w:sz w:val="28"/>
          <w:szCs w:val="28"/>
        </w:rPr>
        <w:t>Tillsonburg Hydro Inc.’s 2021 IRM Application EB-2020-0056</w:t>
      </w:r>
    </w:p>
    <w:p w14:paraId="2C45CAAF" w14:textId="1DD2BE9F" w:rsidR="00F2046E" w:rsidRPr="00294399" w:rsidRDefault="00306853" w:rsidP="00A67AB1">
      <w:pPr>
        <w:spacing w:after="0"/>
        <w:rPr>
          <w:b/>
          <w:bCs/>
          <w:sz w:val="28"/>
          <w:szCs w:val="28"/>
        </w:rPr>
      </w:pPr>
      <w:r>
        <w:rPr>
          <w:b/>
          <w:bCs/>
          <w:sz w:val="28"/>
          <w:szCs w:val="28"/>
        </w:rPr>
        <w:t xml:space="preserve">OEB </w:t>
      </w:r>
      <w:r w:rsidR="00F2046E" w:rsidRPr="00294399">
        <w:rPr>
          <w:b/>
          <w:bCs/>
          <w:sz w:val="28"/>
          <w:szCs w:val="28"/>
        </w:rPr>
        <w:t>Staff Question</w:t>
      </w:r>
      <w:r w:rsidR="00294399">
        <w:rPr>
          <w:b/>
          <w:bCs/>
          <w:sz w:val="28"/>
          <w:szCs w:val="28"/>
        </w:rPr>
        <w:t>s</w:t>
      </w:r>
    </w:p>
    <w:p w14:paraId="24C7C9AD" w14:textId="6C65258E" w:rsidR="00F2046E" w:rsidRDefault="00F2046E" w:rsidP="00A67AB1">
      <w:pPr>
        <w:spacing w:after="0"/>
        <w:rPr>
          <w:b/>
          <w:bCs/>
        </w:rPr>
      </w:pPr>
    </w:p>
    <w:p w14:paraId="276970C5" w14:textId="09D877CC" w:rsidR="00A52C2E" w:rsidRPr="00D41E1A" w:rsidRDefault="00A52C2E" w:rsidP="00D41E1A">
      <w:pPr>
        <w:spacing w:after="0"/>
      </w:pPr>
      <w:bookmarkStart w:id="0" w:name="_Hlk55806661"/>
      <w:proofErr w:type="gramStart"/>
      <w:r w:rsidRPr="00D41E1A">
        <w:t>Please note, Tillsonburg Hydro is responsible for ensuring that all documents it files with the OEB, including responses to OEB staff questions and any other supporting documentation, do not include personal information (as that phrase is defined in the Freedom of Information and Protection of Privacy Act), unless filed in accordance with rule 9A of the OEB’s Rules of Practice and Procedure.</w:t>
      </w:r>
      <w:bookmarkEnd w:id="0"/>
      <w:proofErr w:type="gramEnd"/>
    </w:p>
    <w:p w14:paraId="33D9EB3C" w14:textId="77777777" w:rsidR="00A52C2E" w:rsidRDefault="00A52C2E" w:rsidP="00A67AB1">
      <w:pPr>
        <w:spacing w:after="0"/>
        <w:rPr>
          <w:b/>
          <w:bCs/>
        </w:rPr>
      </w:pPr>
    </w:p>
    <w:p w14:paraId="6013D9D2" w14:textId="74D18427" w:rsidR="0094765D" w:rsidRPr="00A67AB1" w:rsidRDefault="0019418A" w:rsidP="00A67AB1">
      <w:pPr>
        <w:spacing w:after="0"/>
        <w:rPr>
          <w:b/>
          <w:bCs/>
        </w:rPr>
      </w:pPr>
      <w:r w:rsidRPr="00A67AB1">
        <w:rPr>
          <w:b/>
          <w:bCs/>
        </w:rPr>
        <w:t xml:space="preserve">Staff </w:t>
      </w:r>
      <w:r w:rsidR="0094765D" w:rsidRPr="00A67AB1">
        <w:rPr>
          <w:b/>
          <w:bCs/>
        </w:rPr>
        <w:t>Question #</w:t>
      </w:r>
      <w:r w:rsidR="00A602C1" w:rsidRPr="00A67AB1">
        <w:rPr>
          <w:b/>
          <w:bCs/>
        </w:rPr>
        <w:t>1</w:t>
      </w:r>
    </w:p>
    <w:p w14:paraId="32ADBC24" w14:textId="4783A6D2" w:rsidR="006768F7" w:rsidRPr="00A67AB1" w:rsidRDefault="0094765D" w:rsidP="00A67AB1">
      <w:pPr>
        <w:spacing w:after="0"/>
      </w:pPr>
      <w:r w:rsidRPr="00A67AB1">
        <w:t>Ref:</w:t>
      </w:r>
      <w:r w:rsidRPr="00A67AB1">
        <w:tab/>
        <w:t xml:space="preserve">IRM Rate Generator, </w:t>
      </w:r>
      <w:r w:rsidR="004562AE" w:rsidRPr="00A67AB1">
        <w:t>Tab 6. Class</w:t>
      </w:r>
      <w:r w:rsidR="000B2ADE">
        <w:t xml:space="preserve"> </w:t>
      </w:r>
      <w:proofErr w:type="gramStart"/>
      <w:r w:rsidR="000B2ADE">
        <w:t>A</w:t>
      </w:r>
      <w:proofErr w:type="gramEnd"/>
      <w:r w:rsidR="004562AE" w:rsidRPr="00A67AB1">
        <w:t xml:space="preserve"> Consumption Data</w:t>
      </w:r>
    </w:p>
    <w:p w14:paraId="29076E0A" w14:textId="77777777" w:rsidR="00BE028F" w:rsidRPr="00A67AB1" w:rsidRDefault="00BE028F" w:rsidP="00A67AB1">
      <w:pPr>
        <w:spacing w:after="0"/>
      </w:pPr>
    </w:p>
    <w:p w14:paraId="318AA8CB" w14:textId="4F519B4C" w:rsidR="004C578B" w:rsidRPr="00A67AB1" w:rsidRDefault="00DB2FCC" w:rsidP="00A67AB1">
      <w:pPr>
        <w:pStyle w:val="ListParagraph"/>
        <w:numPr>
          <w:ilvl w:val="0"/>
          <w:numId w:val="1"/>
        </w:numPr>
        <w:spacing w:after="0"/>
      </w:pPr>
      <w:r w:rsidRPr="00A67AB1">
        <w:t>Prior to 2019</w:t>
      </w:r>
      <w:r w:rsidR="00680AC3" w:rsidRPr="00A67AB1">
        <w:t>,</w:t>
      </w:r>
      <w:r w:rsidRPr="00A67AB1">
        <w:t xml:space="preserve"> Customer 3 had </w:t>
      </w:r>
      <w:r w:rsidR="0036495E" w:rsidRPr="00A67AB1">
        <w:t xml:space="preserve">consumptions of approximately </w:t>
      </w:r>
      <w:r w:rsidR="006A35D2" w:rsidRPr="00A67AB1">
        <w:t xml:space="preserve">3 million </w:t>
      </w:r>
      <w:proofErr w:type="gramStart"/>
      <w:r w:rsidR="006A35D2" w:rsidRPr="00A67AB1">
        <w:t>kwh</w:t>
      </w:r>
      <w:proofErr w:type="gramEnd"/>
      <w:r w:rsidR="006A35D2" w:rsidRPr="00A67AB1">
        <w:t xml:space="preserve"> each half year period. OEB staff notes there was a </w:t>
      </w:r>
      <w:r w:rsidR="000A0121" w:rsidRPr="00A67AB1">
        <w:t>precipitous drop in usage in 2019</w:t>
      </w:r>
      <w:r w:rsidR="000B2ADE">
        <w:t xml:space="preserve"> to 0.128-0.025 million kWh</w:t>
      </w:r>
      <w:r w:rsidR="000A0121" w:rsidRPr="00A67AB1">
        <w:t xml:space="preserve">. Please confirm the number and explain the drop. </w:t>
      </w:r>
    </w:p>
    <w:p w14:paraId="43A82188" w14:textId="02E596BF" w:rsidR="00655B0D" w:rsidRDefault="00655B0D" w:rsidP="00655B0D">
      <w:pPr>
        <w:spacing w:after="0"/>
        <w:ind w:left="360"/>
      </w:pPr>
    </w:p>
    <w:p w14:paraId="3CD4BE35" w14:textId="64EC4288" w:rsidR="00655B0D" w:rsidRPr="00655B0D" w:rsidRDefault="00655B0D" w:rsidP="00655B0D">
      <w:pPr>
        <w:spacing w:after="0"/>
        <w:ind w:left="360"/>
        <w:rPr>
          <w:b/>
          <w:color w:val="44546A" w:themeColor="text2"/>
        </w:rPr>
      </w:pPr>
      <w:r w:rsidRPr="00655B0D">
        <w:rPr>
          <w:b/>
          <w:color w:val="44546A" w:themeColor="text2"/>
        </w:rPr>
        <w:t>Response</w:t>
      </w:r>
    </w:p>
    <w:p w14:paraId="56C14A26" w14:textId="236264A5" w:rsidR="00655B0D" w:rsidRDefault="00655B0D" w:rsidP="00655B0D">
      <w:pPr>
        <w:spacing w:after="0"/>
        <w:ind w:left="360"/>
      </w:pPr>
    </w:p>
    <w:p w14:paraId="10BBC850" w14:textId="280FD27B" w:rsidR="00655B0D" w:rsidRPr="00655B0D" w:rsidRDefault="00655B0D" w:rsidP="00655B0D">
      <w:pPr>
        <w:spacing w:after="0"/>
        <w:ind w:left="360"/>
        <w:rPr>
          <w:b/>
          <w:color w:val="44546A" w:themeColor="text2"/>
        </w:rPr>
      </w:pPr>
      <w:r w:rsidRPr="00655B0D">
        <w:rPr>
          <w:b/>
          <w:color w:val="44546A" w:themeColor="text2"/>
        </w:rPr>
        <w:t xml:space="preserve">THI confirms the consumption data for customer # 3 is accurate. During 2018 / </w:t>
      </w:r>
      <w:r w:rsidR="004F016B" w:rsidRPr="00655B0D">
        <w:rPr>
          <w:b/>
          <w:color w:val="44546A" w:themeColor="text2"/>
        </w:rPr>
        <w:t>2019,</w:t>
      </w:r>
      <w:r w:rsidRPr="00655B0D">
        <w:rPr>
          <w:b/>
          <w:color w:val="44546A" w:themeColor="text2"/>
        </w:rPr>
        <w:t xml:space="preserve"> this customer significantly reduced production and ultimately ceased operations. THI </w:t>
      </w:r>
      <w:r w:rsidR="004F016B" w:rsidRPr="00655B0D">
        <w:rPr>
          <w:b/>
          <w:color w:val="44546A" w:themeColor="text2"/>
        </w:rPr>
        <w:t>cannot</w:t>
      </w:r>
      <w:r w:rsidRPr="00655B0D">
        <w:rPr>
          <w:b/>
          <w:color w:val="44546A" w:themeColor="text2"/>
        </w:rPr>
        <w:t xml:space="preserve"> comment further on why these business decisions </w:t>
      </w:r>
      <w:proofErr w:type="gramStart"/>
      <w:r w:rsidRPr="00655B0D">
        <w:rPr>
          <w:b/>
          <w:color w:val="44546A" w:themeColor="text2"/>
        </w:rPr>
        <w:t>were made</w:t>
      </w:r>
      <w:proofErr w:type="gramEnd"/>
      <w:r w:rsidRPr="00655B0D">
        <w:rPr>
          <w:b/>
          <w:color w:val="44546A" w:themeColor="text2"/>
        </w:rPr>
        <w:t>.</w:t>
      </w:r>
    </w:p>
    <w:p w14:paraId="4B99A1D8" w14:textId="77777777" w:rsidR="00655B0D" w:rsidRDefault="00655B0D" w:rsidP="00655B0D">
      <w:pPr>
        <w:pStyle w:val="ListParagraph"/>
        <w:spacing w:after="0"/>
      </w:pPr>
    </w:p>
    <w:p w14:paraId="5978D04D" w14:textId="0D2B2791" w:rsidR="0094765D" w:rsidRPr="00A67AB1" w:rsidRDefault="00680AC3" w:rsidP="00A67AB1">
      <w:pPr>
        <w:pStyle w:val="ListParagraph"/>
        <w:numPr>
          <w:ilvl w:val="0"/>
          <w:numId w:val="1"/>
        </w:numPr>
        <w:spacing w:after="0"/>
      </w:pPr>
      <w:r w:rsidRPr="00A67AB1">
        <w:t>OEB staff notes</w:t>
      </w:r>
      <w:r w:rsidR="00096305" w:rsidRPr="00A67AB1">
        <w:t>,</w:t>
      </w:r>
      <w:r w:rsidRPr="00A67AB1">
        <w:t xml:space="preserve"> for Customer 7 </w:t>
      </w:r>
      <w:r w:rsidR="00881C65" w:rsidRPr="00A67AB1">
        <w:t xml:space="preserve">that there was </w:t>
      </w:r>
      <w:r w:rsidR="00096305" w:rsidRPr="00A67AB1">
        <w:t xml:space="preserve">significant </w:t>
      </w:r>
      <w:r w:rsidR="00881C65" w:rsidRPr="00A67AB1">
        <w:t xml:space="preserve">increase in </w:t>
      </w:r>
      <w:r w:rsidR="00096305" w:rsidRPr="00A67AB1">
        <w:t xml:space="preserve">usage in </w:t>
      </w:r>
      <w:r w:rsidR="003C3EFF" w:rsidRPr="00A67AB1">
        <w:t xml:space="preserve">during the period of January to June 2017 </w:t>
      </w:r>
      <w:r w:rsidR="000B2ADE">
        <w:t xml:space="preserve">(to 4 million kWh) </w:t>
      </w:r>
      <w:r w:rsidR="003C3EFF" w:rsidRPr="00A67AB1">
        <w:t xml:space="preserve">and a </w:t>
      </w:r>
      <w:r w:rsidR="007F5F1A" w:rsidRPr="00A67AB1">
        <w:t>precipitous decrease in 2019</w:t>
      </w:r>
      <w:r w:rsidR="000B2ADE">
        <w:t xml:space="preserve"> (0.5 million kWh and </w:t>
      </w:r>
      <w:proofErr w:type="gramStart"/>
      <w:r w:rsidR="000B2ADE">
        <w:t>0</w:t>
      </w:r>
      <w:proofErr w:type="gramEnd"/>
      <w:r w:rsidR="000B2ADE">
        <w:t xml:space="preserve"> kWh)</w:t>
      </w:r>
      <w:r w:rsidR="007F5F1A" w:rsidRPr="00A67AB1">
        <w:t xml:space="preserve">. </w:t>
      </w:r>
    </w:p>
    <w:p w14:paraId="3FC6BE46" w14:textId="1260BA4F" w:rsidR="007F5F1A" w:rsidRPr="00A67AB1" w:rsidRDefault="007F5F1A" w:rsidP="00A67AB1">
      <w:pPr>
        <w:pStyle w:val="ListParagraph"/>
        <w:numPr>
          <w:ilvl w:val="1"/>
          <w:numId w:val="2"/>
        </w:numPr>
        <w:spacing w:after="0"/>
      </w:pPr>
      <w:r w:rsidRPr="00A67AB1">
        <w:t xml:space="preserve">Please confirm </w:t>
      </w:r>
      <w:r w:rsidR="00496FA2" w:rsidRPr="00A67AB1">
        <w:t>the consumption data for Customer 7.</w:t>
      </w:r>
    </w:p>
    <w:p w14:paraId="6B95C9DE" w14:textId="7A8E50C6" w:rsidR="00496FA2" w:rsidRPr="00A67AB1" w:rsidRDefault="00496FA2" w:rsidP="00A67AB1">
      <w:pPr>
        <w:pStyle w:val="ListParagraph"/>
        <w:numPr>
          <w:ilvl w:val="1"/>
          <w:numId w:val="2"/>
        </w:numPr>
        <w:spacing w:after="0"/>
      </w:pPr>
      <w:r w:rsidRPr="00A67AB1">
        <w:t>Please explain the increase in 2017.</w:t>
      </w:r>
    </w:p>
    <w:p w14:paraId="1B501C98" w14:textId="063751D7" w:rsidR="003E0577" w:rsidRPr="00A67AB1" w:rsidRDefault="00496FA2" w:rsidP="00A67AB1">
      <w:pPr>
        <w:pStyle w:val="ListParagraph"/>
        <w:numPr>
          <w:ilvl w:val="1"/>
          <w:numId w:val="2"/>
        </w:numPr>
        <w:spacing w:after="0"/>
      </w:pPr>
      <w:r w:rsidRPr="00A67AB1">
        <w:t>Please explain the decrease in 2019.</w:t>
      </w:r>
    </w:p>
    <w:p w14:paraId="07C2EF48" w14:textId="0BEB86A8" w:rsidR="00655B0D" w:rsidRDefault="00655B0D" w:rsidP="00655B0D">
      <w:pPr>
        <w:spacing w:after="0"/>
      </w:pPr>
    </w:p>
    <w:p w14:paraId="65999027" w14:textId="6170475E" w:rsidR="00655B0D" w:rsidRPr="00655B0D" w:rsidRDefault="00655B0D" w:rsidP="00655B0D">
      <w:pPr>
        <w:spacing w:after="0"/>
        <w:ind w:left="360"/>
        <w:rPr>
          <w:b/>
          <w:color w:val="44546A" w:themeColor="text2"/>
        </w:rPr>
      </w:pPr>
      <w:r w:rsidRPr="00655B0D">
        <w:rPr>
          <w:b/>
          <w:color w:val="44546A" w:themeColor="text2"/>
        </w:rPr>
        <w:t>Response</w:t>
      </w:r>
    </w:p>
    <w:p w14:paraId="4DB70823" w14:textId="101DCDF8" w:rsidR="00655B0D" w:rsidRDefault="00655B0D" w:rsidP="00655B0D">
      <w:pPr>
        <w:spacing w:after="0"/>
        <w:ind w:left="360"/>
        <w:rPr>
          <w:b/>
          <w:color w:val="44546A" w:themeColor="text2"/>
        </w:rPr>
      </w:pPr>
    </w:p>
    <w:p w14:paraId="62734D20" w14:textId="103306AD" w:rsidR="00655B0D" w:rsidRDefault="00655B0D" w:rsidP="00655B0D">
      <w:pPr>
        <w:spacing w:after="0"/>
        <w:ind w:left="360"/>
        <w:rPr>
          <w:b/>
          <w:color w:val="44546A" w:themeColor="text2"/>
        </w:rPr>
      </w:pPr>
      <w:r>
        <w:rPr>
          <w:b/>
          <w:color w:val="44546A" w:themeColor="text2"/>
        </w:rPr>
        <w:t xml:space="preserve">THI confirms the consumption data for customer # 7. The decrease in 2019 relates to the business closing and ceasing operations. THI </w:t>
      </w:r>
      <w:r w:rsidR="004F016B">
        <w:rPr>
          <w:b/>
          <w:color w:val="44546A" w:themeColor="text2"/>
        </w:rPr>
        <w:t>cannot</w:t>
      </w:r>
      <w:r>
        <w:rPr>
          <w:b/>
          <w:color w:val="44546A" w:themeColor="text2"/>
        </w:rPr>
        <w:t xml:space="preserve"> confirm the business reasons that customer # 7 had increases in usage in 2017, however, assumes it relates to the production level of the facility.</w:t>
      </w:r>
    </w:p>
    <w:p w14:paraId="5E8702F1" w14:textId="77777777" w:rsidR="00655B0D" w:rsidRPr="00655B0D" w:rsidRDefault="00655B0D" w:rsidP="00655B0D">
      <w:pPr>
        <w:spacing w:after="0"/>
        <w:ind w:left="360"/>
        <w:rPr>
          <w:b/>
          <w:color w:val="44546A" w:themeColor="text2"/>
        </w:rPr>
      </w:pPr>
    </w:p>
    <w:p w14:paraId="7E98BAFA" w14:textId="395C3386" w:rsidR="004562AE" w:rsidRDefault="004562AE" w:rsidP="00A67AB1">
      <w:pPr>
        <w:pStyle w:val="ListParagraph"/>
        <w:numPr>
          <w:ilvl w:val="0"/>
          <w:numId w:val="1"/>
        </w:numPr>
        <w:spacing w:after="0"/>
      </w:pPr>
      <w:r w:rsidRPr="00A67AB1">
        <w:t xml:space="preserve">Please confirm </w:t>
      </w:r>
      <w:proofErr w:type="gramStart"/>
      <w:r w:rsidRPr="00A67AB1">
        <w:t>that there were no customers who were Class A for the full year during the period the Account 1589 GA or account 1580 CBR B balance accumulated</w:t>
      </w:r>
      <w:proofErr w:type="gramEnd"/>
      <w:r w:rsidRPr="00A67AB1">
        <w:t xml:space="preserve">. </w:t>
      </w:r>
      <w:r w:rsidR="00FE10D4" w:rsidRPr="00A67AB1">
        <w:t>If there are please fill out 3b</w:t>
      </w:r>
      <w:r w:rsidR="000B2ADE">
        <w:t xml:space="preserve"> (starting at cell 487A)</w:t>
      </w:r>
      <w:r w:rsidR="00FE10D4" w:rsidRPr="00A67AB1">
        <w:t xml:space="preserve"> in Tab 6 Class Consumption Data</w:t>
      </w:r>
      <w:r w:rsidR="000B2ADE">
        <w:t>.</w:t>
      </w:r>
    </w:p>
    <w:p w14:paraId="21316051" w14:textId="0F869FDC" w:rsidR="00655B0D" w:rsidRDefault="00655B0D" w:rsidP="00655B0D">
      <w:pPr>
        <w:spacing w:after="0"/>
      </w:pPr>
    </w:p>
    <w:p w14:paraId="1C9E3C0B" w14:textId="204BAD4C" w:rsidR="00655B0D" w:rsidRDefault="00655B0D" w:rsidP="00655B0D">
      <w:pPr>
        <w:spacing w:after="0"/>
        <w:ind w:left="360"/>
        <w:rPr>
          <w:b/>
          <w:color w:val="44546A" w:themeColor="text2"/>
        </w:rPr>
      </w:pPr>
      <w:r w:rsidRPr="00655B0D">
        <w:rPr>
          <w:b/>
          <w:color w:val="44546A" w:themeColor="text2"/>
        </w:rPr>
        <w:t>Response</w:t>
      </w:r>
      <w:bookmarkStart w:id="1" w:name="_GoBack"/>
      <w:bookmarkEnd w:id="1"/>
    </w:p>
    <w:p w14:paraId="1244103C" w14:textId="036BFAC9" w:rsidR="00655B0D" w:rsidRDefault="00655B0D" w:rsidP="00655B0D">
      <w:pPr>
        <w:spacing w:after="0"/>
        <w:ind w:left="360"/>
        <w:rPr>
          <w:b/>
          <w:color w:val="44546A" w:themeColor="text2"/>
        </w:rPr>
      </w:pPr>
    </w:p>
    <w:p w14:paraId="6080980E" w14:textId="6BB12324" w:rsidR="00655B0D" w:rsidRPr="00655B0D" w:rsidRDefault="00655B0D" w:rsidP="00655B0D">
      <w:pPr>
        <w:spacing w:after="0"/>
        <w:ind w:left="360"/>
        <w:rPr>
          <w:b/>
          <w:color w:val="44546A" w:themeColor="text2"/>
        </w:rPr>
      </w:pPr>
      <w:r>
        <w:rPr>
          <w:b/>
          <w:color w:val="44546A" w:themeColor="text2"/>
        </w:rPr>
        <w:t>THI confirms that customer # 1 was our first Class A customer and started in Class A as of July 1, 2016. The period of Jan. 1, 2016 to June 30, 2016</w:t>
      </w:r>
      <w:r w:rsidR="007A023B">
        <w:rPr>
          <w:b/>
          <w:color w:val="44546A" w:themeColor="text2"/>
        </w:rPr>
        <w:t xml:space="preserve"> this customer was Class B and is included in the recovery period. THI has no customers who were Class A for the full recovery period requested.</w:t>
      </w:r>
    </w:p>
    <w:p w14:paraId="538BA78C" w14:textId="69209B42" w:rsidR="00BB5E73" w:rsidRPr="00A67AB1" w:rsidRDefault="00BB5E73" w:rsidP="00A67AB1">
      <w:pPr>
        <w:spacing w:after="0"/>
        <w:rPr>
          <w:b/>
          <w:bCs/>
        </w:rPr>
      </w:pPr>
      <w:r w:rsidRPr="00A67AB1">
        <w:rPr>
          <w:b/>
          <w:bCs/>
        </w:rPr>
        <w:lastRenderedPageBreak/>
        <w:t>Staff Question #</w:t>
      </w:r>
      <w:r w:rsidR="00A602C1" w:rsidRPr="00A67AB1">
        <w:rPr>
          <w:b/>
          <w:bCs/>
        </w:rPr>
        <w:t>2</w:t>
      </w:r>
    </w:p>
    <w:p w14:paraId="7E0D86E2" w14:textId="1D153F11" w:rsidR="00FE10D4" w:rsidRPr="00A67AB1" w:rsidRDefault="00BB5E73" w:rsidP="00A67AB1">
      <w:pPr>
        <w:spacing w:after="0"/>
      </w:pPr>
      <w:r w:rsidRPr="00A67AB1">
        <w:t>Ref:</w:t>
      </w:r>
      <w:r w:rsidRPr="00A67AB1">
        <w:tab/>
      </w:r>
      <w:r w:rsidR="00B86E9D" w:rsidRPr="00A67AB1">
        <w:t xml:space="preserve">IRM Rate Generator, </w:t>
      </w:r>
      <w:r w:rsidR="00FE10D4" w:rsidRPr="00A67AB1">
        <w:t xml:space="preserve">Tab </w:t>
      </w:r>
      <w:r w:rsidR="00B86E9D" w:rsidRPr="00A67AB1">
        <w:t>6.1</w:t>
      </w:r>
      <w:r w:rsidR="00FE10D4" w:rsidRPr="00A67AB1">
        <w:t>: GA Allocation</w:t>
      </w:r>
    </w:p>
    <w:p w14:paraId="532122F3" w14:textId="77777777" w:rsidR="00BE028F" w:rsidRPr="00A67AB1" w:rsidRDefault="00BE028F" w:rsidP="00A67AB1">
      <w:pPr>
        <w:spacing w:after="0"/>
      </w:pPr>
    </w:p>
    <w:p w14:paraId="35C8CC71" w14:textId="4C141F10" w:rsidR="00BA5534" w:rsidRDefault="00B86E9D" w:rsidP="00A67AB1">
      <w:pPr>
        <w:spacing w:after="0"/>
      </w:pPr>
      <w:r w:rsidRPr="00A67AB1">
        <w:t xml:space="preserve">Tillsonburg </w:t>
      </w:r>
      <w:r w:rsidR="00A52C2E">
        <w:t xml:space="preserve">Hydro </w:t>
      </w:r>
      <w:r w:rsidRPr="00A67AB1">
        <w:t xml:space="preserve">had indicated that the </w:t>
      </w:r>
      <w:r w:rsidR="00C932E5" w:rsidRPr="00A67AB1">
        <w:t>2019 Non-RPP Consumption less WMP Consumption was 99</w:t>
      </w:r>
      <w:r w:rsidR="00361891" w:rsidRPr="00A67AB1">
        <w:t>,994,058</w:t>
      </w:r>
      <w:r w:rsidR="00E83466" w:rsidRPr="00A67AB1">
        <w:t xml:space="preserve"> kWh</w:t>
      </w:r>
      <w:r w:rsidR="00361891" w:rsidRPr="00A67AB1">
        <w:t xml:space="preserve">. OEB staff notes that </w:t>
      </w:r>
      <w:proofErr w:type="gramStart"/>
      <w:r w:rsidR="00361891" w:rsidRPr="00A67AB1">
        <w:t>between 20</w:t>
      </w:r>
      <w:r w:rsidR="00E83466" w:rsidRPr="00A67AB1">
        <w:t>16 to 2018,</w:t>
      </w:r>
      <w:proofErr w:type="gramEnd"/>
      <w:r w:rsidR="00E83466" w:rsidRPr="00A67AB1">
        <w:t xml:space="preserve"> the average was approximately 143 million kWh. </w:t>
      </w:r>
    </w:p>
    <w:p w14:paraId="74C9F886" w14:textId="77777777" w:rsidR="00E63BC0" w:rsidRPr="00A67AB1" w:rsidRDefault="00E63BC0" w:rsidP="00A67AB1">
      <w:pPr>
        <w:spacing w:after="0"/>
      </w:pPr>
    </w:p>
    <w:p w14:paraId="048BAF4B" w14:textId="77777777" w:rsidR="00BA5534" w:rsidRPr="00A67AB1" w:rsidRDefault="00FE10D4" w:rsidP="00A67AB1">
      <w:pPr>
        <w:pStyle w:val="ListParagraph"/>
        <w:numPr>
          <w:ilvl w:val="0"/>
          <w:numId w:val="3"/>
        </w:numPr>
        <w:spacing w:after="0"/>
      </w:pPr>
      <w:r w:rsidRPr="00A67AB1">
        <w:t xml:space="preserve">Please confirm the 2019 Non-RPP Consumption Less WMP Consumption (Cell D19). </w:t>
      </w:r>
    </w:p>
    <w:p w14:paraId="21980923" w14:textId="1EEA7F92" w:rsidR="00FE10D4" w:rsidRPr="00A67AB1" w:rsidRDefault="00FE10D4" w:rsidP="00A67AB1">
      <w:pPr>
        <w:pStyle w:val="ListParagraph"/>
        <w:numPr>
          <w:ilvl w:val="0"/>
          <w:numId w:val="3"/>
        </w:numPr>
        <w:spacing w:after="0"/>
      </w:pPr>
      <w:r w:rsidRPr="00A67AB1">
        <w:t>Please explain the precipitous drop in 2019 relative to the previous years.</w:t>
      </w:r>
    </w:p>
    <w:p w14:paraId="252CB57E" w14:textId="292D5103" w:rsidR="002F3EEA" w:rsidRDefault="002F3EEA" w:rsidP="00A67AB1">
      <w:pPr>
        <w:spacing w:after="0"/>
      </w:pPr>
    </w:p>
    <w:p w14:paraId="13987902" w14:textId="77777777" w:rsidR="007A023B" w:rsidRDefault="007A023B" w:rsidP="007A023B">
      <w:pPr>
        <w:spacing w:after="0"/>
        <w:rPr>
          <w:b/>
          <w:color w:val="44546A" w:themeColor="text2"/>
        </w:rPr>
      </w:pPr>
      <w:r w:rsidRPr="00655B0D">
        <w:rPr>
          <w:b/>
          <w:color w:val="44546A" w:themeColor="text2"/>
        </w:rPr>
        <w:t>Response</w:t>
      </w:r>
    </w:p>
    <w:p w14:paraId="4A899A75" w14:textId="2A61E715" w:rsidR="007A023B" w:rsidRDefault="007A023B" w:rsidP="00A67AB1">
      <w:pPr>
        <w:spacing w:after="0"/>
      </w:pPr>
    </w:p>
    <w:p w14:paraId="08EACC80" w14:textId="39281014" w:rsidR="007A023B" w:rsidRPr="00F43C25" w:rsidRDefault="007A023B" w:rsidP="00A67AB1">
      <w:pPr>
        <w:spacing w:after="0"/>
        <w:rPr>
          <w:b/>
          <w:color w:val="44546A" w:themeColor="text2"/>
        </w:rPr>
      </w:pPr>
      <w:r w:rsidRPr="00F43C25">
        <w:rPr>
          <w:b/>
          <w:color w:val="44546A" w:themeColor="text2"/>
        </w:rPr>
        <w:t xml:space="preserve">THI confirms the 2019 Non-RPP Consumption less WMP Consumption in cell D19. The changes are a result of </w:t>
      </w:r>
      <w:r w:rsidR="004F016B" w:rsidRPr="00F43C25">
        <w:rPr>
          <w:b/>
          <w:color w:val="44546A" w:themeColor="text2"/>
        </w:rPr>
        <w:t>two</w:t>
      </w:r>
      <w:r w:rsidRPr="00F43C25">
        <w:rPr>
          <w:b/>
          <w:color w:val="44546A" w:themeColor="text2"/>
        </w:rPr>
        <w:t xml:space="preserve"> </w:t>
      </w:r>
      <w:r w:rsidR="00F43C25">
        <w:rPr>
          <w:b/>
          <w:color w:val="44546A" w:themeColor="text2"/>
        </w:rPr>
        <w:t xml:space="preserve">economic </w:t>
      </w:r>
      <w:r w:rsidRPr="00F43C25">
        <w:rPr>
          <w:b/>
          <w:color w:val="44546A" w:themeColor="text2"/>
        </w:rPr>
        <w:t xml:space="preserve">factors. The first </w:t>
      </w:r>
      <w:r w:rsidR="00F43C25" w:rsidRPr="00F43C25">
        <w:rPr>
          <w:b/>
          <w:color w:val="44546A" w:themeColor="text2"/>
        </w:rPr>
        <w:t>factor is that overall consumption flow through dropped by 25,000,000 kWh in 2019 (174,174,760 kWh as reported in GA work</w:t>
      </w:r>
      <w:r w:rsidR="00BF29AD">
        <w:rPr>
          <w:b/>
          <w:color w:val="44546A" w:themeColor="text2"/>
        </w:rPr>
        <w:t xml:space="preserve"> </w:t>
      </w:r>
      <w:r w:rsidR="00F43C25" w:rsidRPr="00F43C25">
        <w:rPr>
          <w:b/>
          <w:color w:val="44546A" w:themeColor="text2"/>
        </w:rPr>
        <w:t>form)</w:t>
      </w:r>
      <w:r w:rsidR="00F43C25">
        <w:rPr>
          <w:b/>
          <w:color w:val="44546A" w:themeColor="text2"/>
        </w:rPr>
        <w:t xml:space="preserve"> compared</w:t>
      </w:r>
      <w:r w:rsidR="00F43C25" w:rsidRPr="00F43C25">
        <w:rPr>
          <w:b/>
          <w:color w:val="44546A" w:themeColor="text2"/>
        </w:rPr>
        <w:t xml:space="preserve"> to 2016 (199,578,689 kWh as reported in GA work</w:t>
      </w:r>
      <w:r w:rsidR="00BF29AD">
        <w:rPr>
          <w:b/>
          <w:color w:val="44546A" w:themeColor="text2"/>
        </w:rPr>
        <w:t xml:space="preserve"> </w:t>
      </w:r>
      <w:r w:rsidR="00F43C25" w:rsidRPr="00F43C25">
        <w:rPr>
          <w:b/>
          <w:color w:val="44546A" w:themeColor="text2"/>
        </w:rPr>
        <w:t>from)</w:t>
      </w:r>
      <w:r w:rsidR="00F43C25">
        <w:rPr>
          <w:b/>
          <w:color w:val="44546A" w:themeColor="text2"/>
        </w:rPr>
        <w:t>, this would be an overall economic issue and results from CDM initiatives</w:t>
      </w:r>
      <w:r w:rsidR="00F43C25" w:rsidRPr="00F43C25">
        <w:rPr>
          <w:b/>
          <w:color w:val="44546A" w:themeColor="text2"/>
        </w:rPr>
        <w:t xml:space="preserve">. The second factor </w:t>
      </w:r>
      <w:r w:rsidR="00F43C25">
        <w:rPr>
          <w:b/>
          <w:color w:val="44546A" w:themeColor="text2"/>
        </w:rPr>
        <w:t xml:space="preserve">would be the loss of significant customers and closed businesses. Two of these significant customers </w:t>
      </w:r>
      <w:proofErr w:type="gramStart"/>
      <w:r w:rsidR="00F43C25">
        <w:rPr>
          <w:b/>
          <w:color w:val="44546A" w:themeColor="text2"/>
        </w:rPr>
        <w:t>are discussed</w:t>
      </w:r>
      <w:proofErr w:type="gramEnd"/>
      <w:r w:rsidR="00F43C25">
        <w:rPr>
          <w:b/>
          <w:color w:val="44546A" w:themeColor="text2"/>
        </w:rPr>
        <w:t xml:space="preserve"> in IR # 1 above.</w:t>
      </w:r>
    </w:p>
    <w:p w14:paraId="2818FB3D" w14:textId="77777777" w:rsidR="006748D2" w:rsidRPr="00A67AB1" w:rsidRDefault="006748D2" w:rsidP="00A67AB1">
      <w:pPr>
        <w:spacing w:after="0"/>
      </w:pPr>
    </w:p>
    <w:p w14:paraId="70217028" w14:textId="77777777" w:rsidR="00FC2A3F" w:rsidRDefault="00FC2A3F">
      <w:pPr>
        <w:rPr>
          <w:b/>
          <w:bCs/>
        </w:rPr>
      </w:pPr>
      <w:r>
        <w:rPr>
          <w:b/>
          <w:bCs/>
        </w:rPr>
        <w:br w:type="page"/>
      </w:r>
    </w:p>
    <w:p w14:paraId="7718B21C" w14:textId="017B3EB6" w:rsidR="002F3EEA" w:rsidRPr="00A67AB1" w:rsidRDefault="002F3EEA" w:rsidP="00A67AB1">
      <w:pPr>
        <w:spacing w:after="0"/>
        <w:rPr>
          <w:b/>
          <w:bCs/>
        </w:rPr>
      </w:pPr>
      <w:r w:rsidRPr="00A67AB1">
        <w:rPr>
          <w:b/>
          <w:bCs/>
        </w:rPr>
        <w:lastRenderedPageBreak/>
        <w:t>Staff Question #</w:t>
      </w:r>
      <w:r w:rsidR="00A602C1" w:rsidRPr="00A67AB1">
        <w:rPr>
          <w:b/>
          <w:bCs/>
        </w:rPr>
        <w:t>3</w:t>
      </w:r>
    </w:p>
    <w:p w14:paraId="0975D183" w14:textId="11F1967D" w:rsidR="002F3EEA" w:rsidRPr="00A67AB1" w:rsidRDefault="002F3EEA" w:rsidP="00A67AB1">
      <w:pPr>
        <w:spacing w:after="0"/>
      </w:pPr>
      <w:r w:rsidRPr="00A67AB1">
        <w:t>Ref:</w:t>
      </w:r>
      <w:r w:rsidRPr="00A67AB1">
        <w:tab/>
        <w:t>IRM Rate Generator, Tab 6.1: GA Allocation</w:t>
      </w:r>
    </w:p>
    <w:p w14:paraId="7C26F44D" w14:textId="465FA62D" w:rsidR="00081DDB" w:rsidRPr="00A67AB1" w:rsidRDefault="00081DDB" w:rsidP="00A67AB1">
      <w:pPr>
        <w:spacing w:after="0"/>
      </w:pPr>
      <w:r w:rsidRPr="00A67AB1">
        <w:tab/>
        <w:t>EB-2019-0069, Decision and Rate Order, April 16, 2020</w:t>
      </w:r>
    </w:p>
    <w:p w14:paraId="4FB8C4AE" w14:textId="38AF4A6B" w:rsidR="008834FA" w:rsidRPr="00A67AB1" w:rsidRDefault="008834FA" w:rsidP="00A67AB1">
      <w:pPr>
        <w:spacing w:after="0"/>
      </w:pPr>
      <w:r w:rsidRPr="00A67AB1">
        <w:tab/>
        <w:t xml:space="preserve">EB-2018-0070, Decision and Rate Order, </w:t>
      </w:r>
      <w:r w:rsidR="00BF28EA" w:rsidRPr="00A67AB1">
        <w:t>March 28, 2019</w:t>
      </w:r>
      <w:r w:rsidR="00210389" w:rsidRPr="00A67AB1">
        <w:t xml:space="preserve">, page </w:t>
      </w:r>
      <w:proofErr w:type="gramStart"/>
      <w:r w:rsidR="00210389" w:rsidRPr="00A67AB1">
        <w:t>7</w:t>
      </w:r>
      <w:proofErr w:type="gramEnd"/>
    </w:p>
    <w:p w14:paraId="333A13A1" w14:textId="77777777" w:rsidR="00081DDB" w:rsidRPr="00A67AB1" w:rsidRDefault="00081DDB" w:rsidP="00A67AB1">
      <w:pPr>
        <w:spacing w:after="0"/>
      </w:pPr>
    </w:p>
    <w:p w14:paraId="07F35374" w14:textId="34F3338A" w:rsidR="002F3EEA" w:rsidRPr="00A67AB1" w:rsidRDefault="00081DDB" w:rsidP="00A67AB1">
      <w:pPr>
        <w:autoSpaceDE w:val="0"/>
        <w:autoSpaceDN w:val="0"/>
        <w:adjustRightInd w:val="0"/>
        <w:spacing w:after="0" w:line="240" w:lineRule="auto"/>
      </w:pPr>
      <w:proofErr w:type="gramStart"/>
      <w:r w:rsidRPr="00A67AB1">
        <w:t xml:space="preserve">OEB staff notes that </w:t>
      </w:r>
      <w:r w:rsidR="00222DDF" w:rsidRPr="00A67AB1">
        <w:t>in Tillsonburg</w:t>
      </w:r>
      <w:r w:rsidR="00A52C2E">
        <w:t xml:space="preserve"> Hydro</w:t>
      </w:r>
      <w:r w:rsidR="00222DDF" w:rsidRPr="00A67AB1">
        <w:t>’s 20</w:t>
      </w:r>
      <w:r w:rsidR="00260ECC" w:rsidRPr="00A67AB1">
        <w:t>19</w:t>
      </w:r>
      <w:r w:rsidR="00222DDF" w:rsidRPr="00A67AB1">
        <w:t xml:space="preserve"> Decision and Order</w:t>
      </w:r>
      <w:r w:rsidR="00AD5C59" w:rsidRPr="00A67AB1">
        <w:t xml:space="preserve">, </w:t>
      </w:r>
      <w:r w:rsidR="00260ECC" w:rsidRPr="00A67AB1">
        <w:t>“</w:t>
      </w:r>
      <w:r w:rsidR="00ED627D" w:rsidRPr="00A67AB1">
        <w:t>The audit will focus on the</w:t>
      </w:r>
      <w:r w:rsidR="00A87B7E" w:rsidRPr="00A67AB1">
        <w:t xml:space="preserve"> </w:t>
      </w:r>
      <w:r w:rsidR="00ED627D" w:rsidRPr="00A67AB1">
        <w:t>aforementioned</w:t>
      </w:r>
      <w:r w:rsidR="00A87B7E" w:rsidRPr="00A67AB1">
        <w:t xml:space="preserve"> [accounts 1588, 1589 and 1595 (2015)] </w:t>
      </w:r>
      <w:r w:rsidR="00ED627D" w:rsidRPr="00A67AB1">
        <w:t xml:space="preserve"> account balances as at December 31, 2017 and is to include a review</w:t>
      </w:r>
      <w:r w:rsidR="00260ECC" w:rsidRPr="00A67AB1">
        <w:t xml:space="preserve"> </w:t>
      </w:r>
      <w:r w:rsidR="00ED627D" w:rsidRPr="00A67AB1">
        <w:t xml:space="preserve">of the utility’s </w:t>
      </w:r>
      <w:r w:rsidR="00ED627D" w:rsidRPr="00C72BFA">
        <w:rPr>
          <w:b/>
          <w:bCs/>
        </w:rPr>
        <w:t>processes</w:t>
      </w:r>
      <w:r w:rsidR="00A52C2E">
        <w:rPr>
          <w:b/>
          <w:bCs/>
        </w:rPr>
        <w:t xml:space="preserve"> </w:t>
      </w:r>
      <w:r w:rsidR="00ED627D" w:rsidRPr="00A67AB1">
        <w:t xml:space="preserve">regarding its </w:t>
      </w:r>
      <w:r w:rsidR="00F95EBD" w:rsidRPr="00A67AB1">
        <w:t>monthly</w:t>
      </w:r>
      <w:r w:rsidR="00ED627D" w:rsidRPr="00A67AB1">
        <w:t xml:space="preserve"> RPP wholesale settlements, the</w:t>
      </w:r>
      <w:r w:rsidR="00260ECC" w:rsidRPr="00A67AB1">
        <w:t xml:space="preserve"> </w:t>
      </w:r>
      <w:r w:rsidR="00ED627D" w:rsidRPr="00A67AB1">
        <w:t>subsequent true-up of those settlements, and a review of the balance in the subaccounts</w:t>
      </w:r>
      <w:r w:rsidR="00260ECC" w:rsidRPr="00A67AB1">
        <w:t xml:space="preserve"> </w:t>
      </w:r>
      <w:r w:rsidR="00ED627D" w:rsidRPr="00A67AB1">
        <w:t>of account 1595.</w:t>
      </w:r>
      <w:r w:rsidR="00466E7F" w:rsidRPr="00A67AB1">
        <w:t>”</w:t>
      </w:r>
      <w:proofErr w:type="gramEnd"/>
    </w:p>
    <w:p w14:paraId="363B8088" w14:textId="77777777" w:rsidR="00EA5864" w:rsidRPr="00A67AB1" w:rsidRDefault="00EA5864" w:rsidP="00A67AB1">
      <w:pPr>
        <w:autoSpaceDE w:val="0"/>
        <w:autoSpaceDN w:val="0"/>
        <w:adjustRightInd w:val="0"/>
        <w:spacing w:after="0" w:line="240" w:lineRule="auto"/>
      </w:pPr>
    </w:p>
    <w:p w14:paraId="45B5C6B8" w14:textId="6427705C" w:rsidR="00BA5534" w:rsidRDefault="00466E7F" w:rsidP="00A67AB1">
      <w:pPr>
        <w:pStyle w:val="ListParagraph"/>
        <w:numPr>
          <w:ilvl w:val="0"/>
          <w:numId w:val="4"/>
        </w:numPr>
        <w:spacing w:after="0"/>
      </w:pPr>
      <w:r w:rsidRPr="00A67AB1">
        <w:t xml:space="preserve">Please provide the </w:t>
      </w:r>
      <w:r w:rsidR="0096565E" w:rsidRPr="00A67AB1">
        <w:t xml:space="preserve">section that provides the review of </w:t>
      </w:r>
      <w:r w:rsidR="00B5773B" w:rsidRPr="00A67AB1">
        <w:t>Tillsonburg</w:t>
      </w:r>
      <w:r w:rsidR="00A52C2E">
        <w:t xml:space="preserve"> Hydro</w:t>
      </w:r>
      <w:r w:rsidR="00B5773B" w:rsidRPr="00A67AB1">
        <w:t xml:space="preserve">’s </w:t>
      </w:r>
      <w:r w:rsidR="00B5773B" w:rsidRPr="00C72BFA">
        <w:t>processes</w:t>
      </w:r>
      <w:r w:rsidR="00B5773B" w:rsidRPr="00A67AB1">
        <w:t xml:space="preserve"> regarding its monthly RPP wholesale settlements, the </w:t>
      </w:r>
      <w:r w:rsidR="00F95EBD" w:rsidRPr="00A67AB1">
        <w:t xml:space="preserve">subsequent </w:t>
      </w:r>
      <w:proofErr w:type="gramStart"/>
      <w:r w:rsidR="00F95EBD" w:rsidRPr="00A67AB1">
        <w:t>true-up</w:t>
      </w:r>
      <w:proofErr w:type="gramEnd"/>
      <w:r w:rsidR="00F95EBD" w:rsidRPr="00A67AB1">
        <w:t xml:space="preserve"> of the settlements and the review of the balances in the subaccounts of account 1595. </w:t>
      </w:r>
      <w:r w:rsidR="0096565E" w:rsidRPr="00A67AB1">
        <w:t xml:space="preserve"> </w:t>
      </w:r>
    </w:p>
    <w:p w14:paraId="580E76A0" w14:textId="5D58E447" w:rsidR="00C42056" w:rsidRDefault="00C42056" w:rsidP="00C42056">
      <w:pPr>
        <w:spacing w:after="0"/>
      </w:pPr>
    </w:p>
    <w:p w14:paraId="363A72FA" w14:textId="168FDF62" w:rsidR="00C42056" w:rsidRPr="00C42056" w:rsidRDefault="00C42056" w:rsidP="00C42056">
      <w:pPr>
        <w:spacing w:after="0"/>
        <w:rPr>
          <w:b/>
          <w:color w:val="44546A" w:themeColor="text2"/>
        </w:rPr>
      </w:pPr>
      <w:r w:rsidRPr="00C42056">
        <w:rPr>
          <w:b/>
          <w:color w:val="44546A" w:themeColor="text2"/>
        </w:rPr>
        <w:t>Response</w:t>
      </w:r>
    </w:p>
    <w:p w14:paraId="581218F8" w14:textId="3AF62B0B" w:rsidR="00533D38" w:rsidRDefault="00533D38" w:rsidP="00A67AB1">
      <w:pPr>
        <w:spacing w:after="0"/>
        <w:rPr>
          <w:b/>
          <w:color w:val="44546A" w:themeColor="text2"/>
        </w:rPr>
      </w:pPr>
    </w:p>
    <w:p w14:paraId="10DE297A" w14:textId="68DFDA56" w:rsidR="00C42056" w:rsidRDefault="004C1ED4" w:rsidP="00A67AB1">
      <w:pPr>
        <w:spacing w:after="0"/>
        <w:rPr>
          <w:b/>
          <w:color w:val="44546A" w:themeColor="text2"/>
        </w:rPr>
      </w:pPr>
      <w:r>
        <w:rPr>
          <w:b/>
          <w:color w:val="44546A" w:themeColor="text2"/>
        </w:rPr>
        <w:t xml:space="preserve">THI provided the entire audit report as Appendix I to the application (starting on page 148 of the application). </w:t>
      </w:r>
    </w:p>
    <w:p w14:paraId="4D0ADB83" w14:textId="2B90A6F6" w:rsidR="004C1ED4" w:rsidRDefault="004C1ED4" w:rsidP="00A67AB1">
      <w:pPr>
        <w:spacing w:after="0"/>
        <w:rPr>
          <w:b/>
          <w:color w:val="44546A" w:themeColor="text2"/>
        </w:rPr>
      </w:pPr>
    </w:p>
    <w:p w14:paraId="67620761" w14:textId="733FEEA6" w:rsidR="004C1ED4" w:rsidRDefault="004C1ED4" w:rsidP="00A67AB1">
      <w:pPr>
        <w:spacing w:after="0"/>
        <w:rPr>
          <w:b/>
          <w:color w:val="44546A" w:themeColor="text2"/>
        </w:rPr>
      </w:pPr>
      <w:r>
        <w:rPr>
          <w:b/>
          <w:color w:val="44546A" w:themeColor="text2"/>
        </w:rPr>
        <w:t>THI provides the following excerpts of the Special Purpose Audit:</w:t>
      </w:r>
    </w:p>
    <w:p w14:paraId="76B3456C" w14:textId="22202EBF" w:rsidR="004C1ED4" w:rsidRDefault="004C1ED4" w:rsidP="00A67AB1">
      <w:pPr>
        <w:spacing w:after="0"/>
        <w:rPr>
          <w:b/>
          <w:color w:val="44546A" w:themeColor="text2"/>
        </w:rPr>
      </w:pPr>
    </w:p>
    <w:p w14:paraId="47AE1932" w14:textId="6B4EAEC8" w:rsidR="004C1ED4" w:rsidRDefault="004C1ED4" w:rsidP="00A67AB1">
      <w:pPr>
        <w:spacing w:after="0"/>
        <w:rPr>
          <w:b/>
          <w:color w:val="44546A" w:themeColor="text2"/>
        </w:rPr>
      </w:pPr>
      <w:r w:rsidRPr="004C1ED4">
        <w:rPr>
          <w:b/>
          <w:noProof/>
          <w:color w:val="44546A" w:themeColor="text2"/>
          <w:lang w:val="en-CA" w:eastAsia="en-CA"/>
        </w:rPr>
        <w:drawing>
          <wp:inline distT="0" distB="0" distL="0" distR="0" wp14:anchorId="44941D1A" wp14:editId="095A5DBA">
            <wp:extent cx="5943600" cy="15741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74165"/>
                    </a:xfrm>
                    <a:prstGeom prst="rect">
                      <a:avLst/>
                    </a:prstGeom>
                  </pic:spPr>
                </pic:pic>
              </a:graphicData>
            </a:graphic>
          </wp:inline>
        </w:drawing>
      </w:r>
    </w:p>
    <w:p w14:paraId="73464D45" w14:textId="788216C5" w:rsidR="00C42056" w:rsidRDefault="00C42056" w:rsidP="00A67AB1">
      <w:pPr>
        <w:spacing w:after="0"/>
        <w:rPr>
          <w:b/>
          <w:color w:val="44546A" w:themeColor="text2"/>
        </w:rPr>
      </w:pPr>
    </w:p>
    <w:p w14:paraId="1A9D0843" w14:textId="77777777" w:rsidR="004C1ED4" w:rsidRDefault="004C1ED4" w:rsidP="004C1ED4">
      <w:pPr>
        <w:spacing w:after="0"/>
        <w:rPr>
          <w:b/>
          <w:color w:val="44546A" w:themeColor="text2"/>
        </w:rPr>
      </w:pPr>
      <w:r>
        <w:rPr>
          <w:b/>
          <w:color w:val="44546A" w:themeColor="text2"/>
        </w:rPr>
        <w:t xml:space="preserve">The above references Article 490 of the </w:t>
      </w:r>
      <w:proofErr w:type="gramStart"/>
      <w:r>
        <w:rPr>
          <w:b/>
          <w:color w:val="44546A" w:themeColor="text2"/>
        </w:rPr>
        <w:t>APH,</w:t>
      </w:r>
      <w:proofErr w:type="gramEnd"/>
      <w:r>
        <w:rPr>
          <w:b/>
          <w:color w:val="44546A" w:themeColor="text2"/>
        </w:rPr>
        <w:t xml:space="preserve"> this would include the numerous documents, letters and guidance provided by the OEB. The entire process of identifying settlements and settlement </w:t>
      </w:r>
      <w:proofErr w:type="gramStart"/>
      <w:r>
        <w:rPr>
          <w:b/>
          <w:color w:val="44546A" w:themeColor="text2"/>
        </w:rPr>
        <w:t>true-up</w:t>
      </w:r>
      <w:proofErr w:type="gramEnd"/>
      <w:r>
        <w:rPr>
          <w:b/>
          <w:color w:val="44546A" w:themeColor="text2"/>
        </w:rPr>
        <w:t xml:space="preserve"> would be contained with this general statement. The notes included on pages 3 &amp; 4 of the SPA also discuss the settlement process.</w:t>
      </w:r>
    </w:p>
    <w:p w14:paraId="012EA09D" w14:textId="67A60B12" w:rsidR="004C1ED4" w:rsidRDefault="004C1ED4" w:rsidP="00A67AB1">
      <w:pPr>
        <w:spacing w:after="0"/>
        <w:rPr>
          <w:b/>
          <w:color w:val="44546A" w:themeColor="text2"/>
        </w:rPr>
      </w:pPr>
    </w:p>
    <w:p w14:paraId="45D526A3" w14:textId="56D2895D" w:rsidR="004C1ED4" w:rsidRDefault="004C1ED4" w:rsidP="00A67AB1">
      <w:pPr>
        <w:spacing w:after="0"/>
        <w:rPr>
          <w:b/>
          <w:color w:val="44546A" w:themeColor="text2"/>
        </w:rPr>
      </w:pPr>
      <w:r>
        <w:rPr>
          <w:b/>
          <w:color w:val="44546A" w:themeColor="text2"/>
        </w:rPr>
        <w:t xml:space="preserve">With respect to the 1595 account, the excerpt above discusses the </w:t>
      </w:r>
      <w:r w:rsidR="00844FE7">
        <w:rPr>
          <w:b/>
          <w:color w:val="44546A" w:themeColor="text2"/>
        </w:rPr>
        <w:t>including</w:t>
      </w:r>
      <w:r>
        <w:rPr>
          <w:b/>
          <w:color w:val="44546A" w:themeColor="text2"/>
        </w:rPr>
        <w:t xml:space="preserve"> of the 1595 accounts and the schedules contained on pages 3 &amp; 4 </w:t>
      </w:r>
      <w:r w:rsidR="00434D9A">
        <w:rPr>
          <w:b/>
          <w:color w:val="44546A" w:themeColor="text2"/>
        </w:rPr>
        <w:t>show the 1595 values and adjustments (there were none), indicating that these accounts were reviewed.</w:t>
      </w:r>
    </w:p>
    <w:p w14:paraId="31B08113" w14:textId="6E797D9F" w:rsidR="004C1ED4" w:rsidRDefault="004C1ED4" w:rsidP="00A67AB1">
      <w:pPr>
        <w:spacing w:after="0"/>
        <w:rPr>
          <w:b/>
          <w:color w:val="44546A" w:themeColor="text2"/>
        </w:rPr>
      </w:pPr>
      <w:r>
        <w:rPr>
          <w:b/>
          <w:color w:val="44546A" w:themeColor="text2"/>
        </w:rPr>
        <w:t xml:space="preserve"> </w:t>
      </w:r>
    </w:p>
    <w:p w14:paraId="44302DB1" w14:textId="77777777" w:rsidR="004C1ED4" w:rsidRPr="00C42056" w:rsidRDefault="004C1ED4" w:rsidP="00A67AB1">
      <w:pPr>
        <w:spacing w:after="0"/>
        <w:rPr>
          <w:b/>
          <w:color w:val="44546A" w:themeColor="text2"/>
        </w:rPr>
      </w:pPr>
    </w:p>
    <w:p w14:paraId="796996B8" w14:textId="77777777" w:rsidR="00FC2A3F" w:rsidRDefault="00FC2A3F">
      <w:pPr>
        <w:rPr>
          <w:b/>
          <w:bCs/>
        </w:rPr>
      </w:pPr>
      <w:r>
        <w:rPr>
          <w:b/>
          <w:bCs/>
        </w:rPr>
        <w:br w:type="page"/>
      </w:r>
    </w:p>
    <w:p w14:paraId="22F2DCEF" w14:textId="6E66D0EA" w:rsidR="00533D38" w:rsidRPr="00A67AB1" w:rsidRDefault="00533D38" w:rsidP="00A67AB1">
      <w:pPr>
        <w:spacing w:after="0"/>
        <w:rPr>
          <w:b/>
          <w:bCs/>
        </w:rPr>
      </w:pPr>
      <w:r w:rsidRPr="00A67AB1">
        <w:rPr>
          <w:b/>
          <w:bCs/>
        </w:rPr>
        <w:lastRenderedPageBreak/>
        <w:t>Staff Question #</w:t>
      </w:r>
      <w:r w:rsidR="00A602C1" w:rsidRPr="00A67AB1">
        <w:rPr>
          <w:b/>
          <w:bCs/>
        </w:rPr>
        <w:t>4</w:t>
      </w:r>
    </w:p>
    <w:p w14:paraId="4EEE7ABD" w14:textId="4346894B" w:rsidR="00533D38" w:rsidRPr="00A67AB1" w:rsidRDefault="00533D38" w:rsidP="00A67AB1">
      <w:pPr>
        <w:spacing w:after="0"/>
      </w:pPr>
      <w:r w:rsidRPr="00A67AB1">
        <w:t>Ref:</w:t>
      </w:r>
      <w:r w:rsidRPr="00A67AB1">
        <w:tab/>
      </w:r>
      <w:r w:rsidR="00A602C1" w:rsidRPr="00A67AB1">
        <w:t xml:space="preserve">Manager’s summary, </w:t>
      </w:r>
      <w:r w:rsidRPr="00A67AB1">
        <w:t>Adjustments to Deferral and Variance Accounts</w:t>
      </w:r>
      <w:r w:rsidR="00A602C1" w:rsidRPr="00A67AB1">
        <w:t>,</w:t>
      </w:r>
      <w:r w:rsidRPr="00A67AB1">
        <w:t xml:space="preserve"> </w:t>
      </w:r>
      <w:r w:rsidR="00A602C1" w:rsidRPr="00A67AB1">
        <w:t>page</w:t>
      </w:r>
      <w:r w:rsidRPr="00A67AB1">
        <w:t xml:space="preserve"> 9</w:t>
      </w:r>
    </w:p>
    <w:p w14:paraId="136C574B" w14:textId="7017F948" w:rsidR="00A602C1" w:rsidRPr="00A67AB1" w:rsidRDefault="00533D38" w:rsidP="00A67AB1">
      <w:pPr>
        <w:spacing w:after="0"/>
      </w:pPr>
      <w:r w:rsidRPr="00A67AB1">
        <w:tab/>
      </w:r>
      <w:r w:rsidR="00A602C1" w:rsidRPr="00A67AB1">
        <w:t>IRM Rate Generator, Tab 3. Continuity Schedule</w:t>
      </w:r>
    </w:p>
    <w:p w14:paraId="62C33145" w14:textId="77777777" w:rsidR="00A67AB1" w:rsidRPr="00A67AB1" w:rsidRDefault="00A67AB1" w:rsidP="00A67AB1">
      <w:pPr>
        <w:spacing w:after="0"/>
      </w:pPr>
    </w:p>
    <w:p w14:paraId="165C7C42" w14:textId="118E1946" w:rsidR="00533D38" w:rsidRPr="00A67AB1" w:rsidRDefault="00533D38" w:rsidP="00A67AB1">
      <w:pPr>
        <w:spacing w:after="0"/>
      </w:pPr>
      <w:r w:rsidRPr="00A67AB1">
        <w:t xml:space="preserve">Typically, large balances </w:t>
      </w:r>
      <w:proofErr w:type="gramStart"/>
      <w:r w:rsidRPr="00A67AB1">
        <w:t>are not expected</w:t>
      </w:r>
      <w:proofErr w:type="gramEnd"/>
      <w:r w:rsidRPr="00A67AB1">
        <w:t xml:space="preserve"> for Account 1588 as it should only hold the variance between commodity costs based on actual line losses and commodity revenues calculated using values for line losses approved by the OEB in the utility’s last rebasing application.  Based on RRR data filed for Tillsonburg Hydro for Account 4705 Cost of Power, OEB staff calculates the annual net activity (i.e. transactions plus principal adjustments) from the DVA Continuity Schedule as a percentage of annual Account 4705 to be as follows:</w:t>
      </w:r>
    </w:p>
    <w:p w14:paraId="53FC8303" w14:textId="193AE248" w:rsidR="00533D38" w:rsidRPr="00A67AB1" w:rsidRDefault="00533D38" w:rsidP="00A67AB1">
      <w:pPr>
        <w:pStyle w:val="ListParagraph"/>
        <w:spacing w:after="0"/>
      </w:pPr>
    </w:p>
    <w:p w14:paraId="0307B5FB" w14:textId="72069B94" w:rsidR="00533D38" w:rsidRPr="00A67AB1" w:rsidRDefault="00533D38" w:rsidP="00A67AB1">
      <w:pPr>
        <w:pStyle w:val="ListParagraph"/>
        <w:spacing w:after="0"/>
      </w:pPr>
      <w:r w:rsidRPr="00A67AB1">
        <w:rPr>
          <w:noProof/>
          <w:lang w:val="en-CA" w:eastAsia="en-CA"/>
        </w:rPr>
        <w:drawing>
          <wp:inline distT="0" distB="0" distL="0" distR="0" wp14:anchorId="028B81C4" wp14:editId="3CFDFF90">
            <wp:extent cx="514858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8580" cy="1562100"/>
                    </a:xfrm>
                    <a:prstGeom prst="rect">
                      <a:avLst/>
                    </a:prstGeom>
                    <a:noFill/>
                    <a:ln>
                      <a:noFill/>
                    </a:ln>
                  </pic:spPr>
                </pic:pic>
              </a:graphicData>
            </a:graphic>
          </wp:inline>
        </w:drawing>
      </w:r>
    </w:p>
    <w:p w14:paraId="59663A84" w14:textId="1ABA010E" w:rsidR="00533D38" w:rsidRPr="00A67AB1" w:rsidRDefault="00533D38" w:rsidP="00A67AB1">
      <w:pPr>
        <w:spacing w:after="0"/>
      </w:pPr>
    </w:p>
    <w:p w14:paraId="0287E578" w14:textId="7512CB4E" w:rsidR="00533D38" w:rsidRPr="00A67AB1" w:rsidRDefault="00533D38" w:rsidP="00A67AB1">
      <w:pPr>
        <w:pStyle w:val="ListParagraph"/>
        <w:numPr>
          <w:ilvl w:val="0"/>
          <w:numId w:val="10"/>
        </w:numPr>
        <w:spacing w:after="0"/>
      </w:pPr>
      <w:r w:rsidRPr="00A67AB1">
        <w:t>Please confirm this calculation or provide a revised calculation</w:t>
      </w:r>
      <w:r w:rsidR="00AC71BA">
        <w:t>, if necessary</w:t>
      </w:r>
      <w:r w:rsidRPr="00A67AB1">
        <w:t>.</w:t>
      </w:r>
    </w:p>
    <w:p w14:paraId="327ADD00" w14:textId="7D59BDA1" w:rsidR="00533D38" w:rsidRPr="00A67AB1" w:rsidRDefault="00533D38" w:rsidP="00A67AB1">
      <w:pPr>
        <w:pStyle w:val="ListParagraph"/>
        <w:numPr>
          <w:ilvl w:val="0"/>
          <w:numId w:val="10"/>
        </w:numPr>
        <w:spacing w:after="0"/>
      </w:pPr>
      <w:r w:rsidRPr="00A67AB1">
        <w:t>Each of the above years shows that, as a percentage of total cost of power purchases, the net activity recorded in the account is much greater than +/-1%. Please provide an explanation for why the Account 1588 activity is so large, with due consideration to line losses.</w:t>
      </w:r>
    </w:p>
    <w:p w14:paraId="6CC73027" w14:textId="62F780F7" w:rsidR="00533D38" w:rsidRDefault="00533D38" w:rsidP="00A67AB1">
      <w:pPr>
        <w:spacing w:after="0"/>
      </w:pPr>
    </w:p>
    <w:p w14:paraId="4C1B6117" w14:textId="36C7D380" w:rsidR="006748D2" w:rsidRDefault="00707CE3" w:rsidP="00A67AB1">
      <w:pPr>
        <w:spacing w:after="0"/>
        <w:rPr>
          <w:b/>
          <w:color w:val="44546A" w:themeColor="text2"/>
        </w:rPr>
      </w:pPr>
      <w:r w:rsidRPr="00707CE3">
        <w:rPr>
          <w:b/>
          <w:color w:val="44546A" w:themeColor="text2"/>
        </w:rPr>
        <w:t>Response</w:t>
      </w:r>
    </w:p>
    <w:p w14:paraId="2B0999C3" w14:textId="252F3E0A" w:rsidR="00707CE3" w:rsidRDefault="00707CE3" w:rsidP="00A67AB1">
      <w:pPr>
        <w:spacing w:after="0"/>
        <w:rPr>
          <w:b/>
          <w:color w:val="44546A" w:themeColor="text2"/>
        </w:rPr>
      </w:pPr>
    </w:p>
    <w:p w14:paraId="2BDA08C4" w14:textId="3EF130F7" w:rsidR="003C252F" w:rsidRPr="003C252F" w:rsidRDefault="003C252F" w:rsidP="003C252F">
      <w:pPr>
        <w:spacing w:after="0"/>
        <w:rPr>
          <w:b/>
          <w:color w:val="44546A" w:themeColor="text2"/>
        </w:rPr>
      </w:pPr>
      <w:r w:rsidRPr="003C252F">
        <w:rPr>
          <w:b/>
          <w:color w:val="44546A" w:themeColor="text2"/>
        </w:rPr>
        <w:t>This confirms the accura</w:t>
      </w:r>
      <w:r w:rsidR="004F016B">
        <w:rPr>
          <w:b/>
          <w:color w:val="44546A" w:themeColor="text2"/>
        </w:rPr>
        <w:t>cy</w:t>
      </w:r>
      <w:r w:rsidRPr="003C252F">
        <w:rPr>
          <w:b/>
          <w:color w:val="44546A" w:themeColor="text2"/>
        </w:rPr>
        <w:t xml:space="preserve"> of the activity in 1588 from the Continuity Schedule and generally the 4705 values from account 4705 as referenced. Note: COP expenses in 4705 </w:t>
      </w:r>
      <w:proofErr w:type="gramStart"/>
      <w:r w:rsidRPr="003C252F">
        <w:rPr>
          <w:b/>
          <w:color w:val="44546A" w:themeColor="text2"/>
        </w:rPr>
        <w:t xml:space="preserve">were not </w:t>
      </w:r>
      <w:r w:rsidR="004F016B">
        <w:rPr>
          <w:b/>
          <w:color w:val="44546A" w:themeColor="text2"/>
        </w:rPr>
        <w:t>adjusted</w:t>
      </w:r>
      <w:proofErr w:type="gramEnd"/>
      <w:r w:rsidR="004F016B">
        <w:rPr>
          <w:b/>
          <w:color w:val="44546A" w:themeColor="text2"/>
        </w:rPr>
        <w:t xml:space="preserve"> </w:t>
      </w:r>
      <w:r w:rsidRPr="003C252F">
        <w:rPr>
          <w:b/>
          <w:color w:val="44546A" w:themeColor="text2"/>
        </w:rPr>
        <w:t xml:space="preserve">for the SPA findings and incorporate the annual net movement entries. Note </w:t>
      </w:r>
      <w:proofErr w:type="gramStart"/>
      <w:r w:rsidRPr="003C252F">
        <w:rPr>
          <w:b/>
          <w:color w:val="44546A" w:themeColor="text2"/>
        </w:rPr>
        <w:t>2</w:t>
      </w:r>
      <w:proofErr w:type="gramEnd"/>
      <w:r w:rsidRPr="003C252F">
        <w:rPr>
          <w:b/>
          <w:color w:val="44546A" w:themeColor="text2"/>
        </w:rPr>
        <w:t>, the cumulative values were not calculated correctly in the Staff IR, THI has provided a corrected table below.</w:t>
      </w:r>
    </w:p>
    <w:p w14:paraId="5DBD0D28" w14:textId="77777777" w:rsidR="003C252F" w:rsidRDefault="003C252F">
      <w:pPr>
        <w:rPr>
          <w:b/>
          <w:bCs/>
        </w:rPr>
      </w:pPr>
    </w:p>
    <w:p w14:paraId="2D8C373A" w14:textId="212CA7A3" w:rsidR="002C718E" w:rsidRDefault="002C718E">
      <w:pPr>
        <w:rPr>
          <w:b/>
          <w:bCs/>
        </w:rPr>
      </w:pPr>
      <w:r>
        <w:rPr>
          <w:b/>
          <w:bCs/>
        </w:rPr>
        <w:br w:type="page"/>
      </w:r>
      <w:r w:rsidR="00462BBC" w:rsidRPr="00462BBC">
        <w:rPr>
          <w:noProof/>
          <w:lang w:val="en-CA" w:eastAsia="en-CA"/>
        </w:rPr>
        <w:lastRenderedPageBreak/>
        <w:drawing>
          <wp:inline distT="0" distB="0" distL="0" distR="0" wp14:anchorId="315A6CE2" wp14:editId="2C890FB7">
            <wp:extent cx="4429125" cy="1343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1343025"/>
                    </a:xfrm>
                    <a:prstGeom prst="rect">
                      <a:avLst/>
                    </a:prstGeom>
                    <a:noFill/>
                    <a:ln>
                      <a:noFill/>
                    </a:ln>
                  </pic:spPr>
                </pic:pic>
              </a:graphicData>
            </a:graphic>
          </wp:inline>
        </w:drawing>
      </w:r>
    </w:p>
    <w:p w14:paraId="0EC2BD59" w14:textId="72E3CD56" w:rsidR="007760C7" w:rsidRDefault="00462BBC">
      <w:pPr>
        <w:rPr>
          <w:b/>
          <w:color w:val="44546A" w:themeColor="text2"/>
        </w:rPr>
      </w:pPr>
      <w:r w:rsidRPr="00462BBC">
        <w:rPr>
          <w:b/>
          <w:color w:val="44546A" w:themeColor="text2"/>
        </w:rPr>
        <w:t xml:space="preserve">Looking in isolation at the 1588 movement only looks at half of the picture, the table below provides THI’s Cost of Power (CoP) and Global Adjustment (GA) values for each year, as well as providing the actual year loss factor. </w:t>
      </w:r>
    </w:p>
    <w:p w14:paraId="703F7B42" w14:textId="77777777" w:rsidR="007760C7" w:rsidRDefault="007760C7">
      <w:pPr>
        <w:rPr>
          <w:b/>
          <w:bCs/>
        </w:rPr>
      </w:pPr>
      <w:r w:rsidRPr="007760C7">
        <w:rPr>
          <w:noProof/>
          <w:lang w:val="en-CA" w:eastAsia="en-CA"/>
        </w:rPr>
        <w:drawing>
          <wp:inline distT="0" distB="0" distL="0" distR="0" wp14:anchorId="0B156E62" wp14:editId="70246BD6">
            <wp:extent cx="5943600" cy="111980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19809"/>
                    </a:xfrm>
                    <a:prstGeom prst="rect">
                      <a:avLst/>
                    </a:prstGeom>
                    <a:noFill/>
                    <a:ln>
                      <a:noFill/>
                    </a:ln>
                  </pic:spPr>
                </pic:pic>
              </a:graphicData>
            </a:graphic>
          </wp:inline>
        </w:drawing>
      </w:r>
    </w:p>
    <w:p w14:paraId="7CB493DC" w14:textId="77777777" w:rsidR="007760C7" w:rsidRPr="007760C7" w:rsidRDefault="007760C7">
      <w:pPr>
        <w:rPr>
          <w:b/>
          <w:color w:val="44546A" w:themeColor="text2"/>
        </w:rPr>
      </w:pPr>
      <w:r w:rsidRPr="007760C7">
        <w:rPr>
          <w:b/>
          <w:color w:val="44546A" w:themeColor="text2"/>
        </w:rPr>
        <w:t>If the 1588 balances are in question, it appears to be an allocation issues between the 1588 / 1589 accounts, as opposed to an over or under collection through billings.</w:t>
      </w:r>
    </w:p>
    <w:p w14:paraId="1EE279DE" w14:textId="77777777" w:rsidR="0046125C" w:rsidRDefault="007760C7">
      <w:pPr>
        <w:rPr>
          <w:b/>
          <w:color w:val="44546A" w:themeColor="text2"/>
        </w:rPr>
      </w:pPr>
      <w:r w:rsidRPr="007760C7">
        <w:rPr>
          <w:b/>
          <w:color w:val="44546A" w:themeColor="text2"/>
        </w:rPr>
        <w:t>THI is requesting that Board Staff review this interrogatory and advise what further analysis and details are required.</w:t>
      </w:r>
    </w:p>
    <w:p w14:paraId="4503FF39" w14:textId="77777777" w:rsidR="0046125C" w:rsidRDefault="0046125C">
      <w:pPr>
        <w:rPr>
          <w:b/>
          <w:color w:val="44546A" w:themeColor="text2"/>
        </w:rPr>
      </w:pPr>
      <w:r>
        <w:rPr>
          <w:b/>
          <w:color w:val="44546A" w:themeColor="text2"/>
        </w:rPr>
        <w:t>Addendum:</w:t>
      </w:r>
    </w:p>
    <w:p w14:paraId="3C543D48" w14:textId="3D851EDB" w:rsidR="0046125C" w:rsidRDefault="0046125C">
      <w:pPr>
        <w:rPr>
          <w:b/>
          <w:color w:val="44546A" w:themeColor="text2"/>
        </w:rPr>
      </w:pPr>
      <w:r>
        <w:rPr>
          <w:b/>
          <w:color w:val="44546A" w:themeColor="text2"/>
        </w:rPr>
        <w:t xml:space="preserve">Discussions with Board Staff occurred after the submission of THI’s IRRs. THI calculated the allocation of Regulated Price Plan related charges using the monthly identified RPP kWh and the Final GA Rate, as opposed to using an allocation basis of RPP </w:t>
      </w:r>
      <w:proofErr w:type="spellStart"/>
      <w:proofErr w:type="gramStart"/>
      <w:r>
        <w:rPr>
          <w:b/>
          <w:color w:val="44546A" w:themeColor="text2"/>
        </w:rPr>
        <w:t>kWH</w:t>
      </w:r>
      <w:proofErr w:type="spellEnd"/>
      <w:proofErr w:type="gramEnd"/>
      <w:r>
        <w:rPr>
          <w:b/>
          <w:color w:val="44546A" w:themeColor="text2"/>
        </w:rPr>
        <w:t xml:space="preserve"> compared to Adjusted AQEW. This has made the following changes to the principal balance:</w:t>
      </w:r>
    </w:p>
    <w:p w14:paraId="34623D75" w14:textId="77777777" w:rsidR="0046125C" w:rsidRDefault="0046125C" w:rsidP="0046125C">
      <w:pPr>
        <w:pStyle w:val="ListParagraph"/>
        <w:numPr>
          <w:ilvl w:val="0"/>
          <w:numId w:val="16"/>
        </w:numPr>
        <w:rPr>
          <w:b/>
          <w:bCs/>
        </w:rPr>
      </w:pPr>
      <w:r>
        <w:rPr>
          <w:b/>
          <w:bCs/>
        </w:rPr>
        <w:t>2016</w:t>
      </w:r>
    </w:p>
    <w:p w14:paraId="7FDB8B8C" w14:textId="0EBBCE4C" w:rsidR="0046125C" w:rsidRPr="004B77A3" w:rsidRDefault="0046125C" w:rsidP="0046125C">
      <w:pPr>
        <w:pStyle w:val="ListParagraph"/>
        <w:numPr>
          <w:ilvl w:val="1"/>
          <w:numId w:val="16"/>
        </w:numPr>
        <w:rPr>
          <w:bCs/>
        </w:rPr>
      </w:pPr>
      <w:r w:rsidRPr="004B77A3">
        <w:rPr>
          <w:bCs/>
        </w:rPr>
        <w:t>Cost of Power (4705) - $98,827 – reduction to COP expense</w:t>
      </w:r>
    </w:p>
    <w:p w14:paraId="0143E957" w14:textId="77777777" w:rsidR="0046125C" w:rsidRPr="004B77A3" w:rsidRDefault="0046125C" w:rsidP="0046125C">
      <w:pPr>
        <w:pStyle w:val="ListParagraph"/>
        <w:numPr>
          <w:ilvl w:val="1"/>
          <w:numId w:val="16"/>
        </w:numPr>
        <w:rPr>
          <w:bCs/>
        </w:rPr>
      </w:pPr>
      <w:r w:rsidRPr="004B77A3">
        <w:rPr>
          <w:bCs/>
        </w:rPr>
        <w:t>GA (4707) - $98,827 – increase to GA expense</w:t>
      </w:r>
    </w:p>
    <w:p w14:paraId="045314EE" w14:textId="77777777" w:rsidR="0046125C" w:rsidRDefault="0046125C" w:rsidP="0046125C">
      <w:pPr>
        <w:pStyle w:val="ListParagraph"/>
        <w:numPr>
          <w:ilvl w:val="0"/>
          <w:numId w:val="16"/>
        </w:numPr>
        <w:rPr>
          <w:b/>
          <w:bCs/>
        </w:rPr>
      </w:pPr>
      <w:r>
        <w:rPr>
          <w:b/>
          <w:bCs/>
        </w:rPr>
        <w:t>2017</w:t>
      </w:r>
    </w:p>
    <w:p w14:paraId="2B8A411D" w14:textId="724025C9" w:rsidR="0046125C" w:rsidRPr="004B77A3" w:rsidRDefault="0046125C" w:rsidP="0046125C">
      <w:pPr>
        <w:pStyle w:val="ListParagraph"/>
        <w:numPr>
          <w:ilvl w:val="1"/>
          <w:numId w:val="16"/>
        </w:numPr>
        <w:rPr>
          <w:bCs/>
        </w:rPr>
      </w:pPr>
      <w:r w:rsidRPr="004B77A3">
        <w:rPr>
          <w:bCs/>
        </w:rPr>
        <w:t>Cost of Power (4705) – $265,818 reduction to COP Expenses</w:t>
      </w:r>
    </w:p>
    <w:p w14:paraId="2854745D" w14:textId="24897BDC" w:rsidR="00462BBC" w:rsidRPr="004B77A3" w:rsidRDefault="0046125C" w:rsidP="0046125C">
      <w:pPr>
        <w:pStyle w:val="ListParagraph"/>
        <w:numPr>
          <w:ilvl w:val="1"/>
          <w:numId w:val="16"/>
        </w:numPr>
        <w:rPr>
          <w:bCs/>
        </w:rPr>
      </w:pPr>
      <w:r w:rsidRPr="004B77A3">
        <w:rPr>
          <w:bCs/>
        </w:rPr>
        <w:t>GA (4707) - $265,818 increase to GA expense</w:t>
      </w:r>
    </w:p>
    <w:p w14:paraId="49617599" w14:textId="39EF7B0F" w:rsidR="0046125C" w:rsidRDefault="0046125C" w:rsidP="0046125C">
      <w:pPr>
        <w:pStyle w:val="ListParagraph"/>
        <w:numPr>
          <w:ilvl w:val="0"/>
          <w:numId w:val="16"/>
        </w:numPr>
        <w:rPr>
          <w:b/>
          <w:bCs/>
        </w:rPr>
      </w:pPr>
      <w:r>
        <w:rPr>
          <w:b/>
          <w:bCs/>
        </w:rPr>
        <w:t>2018</w:t>
      </w:r>
    </w:p>
    <w:p w14:paraId="7F512741" w14:textId="2047F187" w:rsidR="0046125C" w:rsidRPr="004B77A3" w:rsidRDefault="0046125C" w:rsidP="0046125C">
      <w:pPr>
        <w:pStyle w:val="ListParagraph"/>
        <w:numPr>
          <w:ilvl w:val="1"/>
          <w:numId w:val="16"/>
        </w:numPr>
        <w:rPr>
          <w:bCs/>
        </w:rPr>
      </w:pPr>
      <w:r w:rsidRPr="004B77A3">
        <w:rPr>
          <w:bCs/>
        </w:rPr>
        <w:t>Cost of Power (4705) - $</w:t>
      </w:r>
      <w:r w:rsidRPr="004B77A3">
        <w:rPr>
          <w:bCs/>
        </w:rPr>
        <w:t>115</w:t>
      </w:r>
      <w:r w:rsidRPr="004B77A3">
        <w:rPr>
          <w:bCs/>
        </w:rPr>
        <w:t>,</w:t>
      </w:r>
      <w:r w:rsidRPr="004B77A3">
        <w:rPr>
          <w:bCs/>
        </w:rPr>
        <w:t>102</w:t>
      </w:r>
      <w:r w:rsidRPr="004B77A3">
        <w:rPr>
          <w:bCs/>
        </w:rPr>
        <w:t xml:space="preserve"> – reduction to COP expense</w:t>
      </w:r>
    </w:p>
    <w:p w14:paraId="675BF04E" w14:textId="450839BF" w:rsidR="0046125C" w:rsidRPr="004B77A3" w:rsidRDefault="0046125C" w:rsidP="0046125C">
      <w:pPr>
        <w:pStyle w:val="ListParagraph"/>
        <w:numPr>
          <w:ilvl w:val="1"/>
          <w:numId w:val="16"/>
        </w:numPr>
        <w:rPr>
          <w:bCs/>
        </w:rPr>
      </w:pPr>
      <w:r w:rsidRPr="004B77A3">
        <w:rPr>
          <w:bCs/>
        </w:rPr>
        <w:t>GA (4707) - $</w:t>
      </w:r>
      <w:r w:rsidRPr="004B77A3">
        <w:rPr>
          <w:bCs/>
        </w:rPr>
        <w:t>115102</w:t>
      </w:r>
      <w:r w:rsidRPr="004B77A3">
        <w:rPr>
          <w:bCs/>
        </w:rPr>
        <w:t xml:space="preserve"> – increase to GA expense</w:t>
      </w:r>
    </w:p>
    <w:p w14:paraId="3350B961" w14:textId="37F4B5AE" w:rsidR="0046125C" w:rsidRDefault="0046125C" w:rsidP="0046125C">
      <w:pPr>
        <w:pStyle w:val="ListParagraph"/>
        <w:numPr>
          <w:ilvl w:val="0"/>
          <w:numId w:val="16"/>
        </w:numPr>
        <w:rPr>
          <w:b/>
          <w:bCs/>
        </w:rPr>
      </w:pPr>
      <w:r>
        <w:rPr>
          <w:b/>
          <w:bCs/>
        </w:rPr>
        <w:t>2019</w:t>
      </w:r>
    </w:p>
    <w:p w14:paraId="3D9B9D03" w14:textId="46717F37" w:rsidR="0046125C" w:rsidRPr="004B77A3" w:rsidRDefault="0046125C" w:rsidP="0046125C">
      <w:pPr>
        <w:pStyle w:val="ListParagraph"/>
        <w:numPr>
          <w:ilvl w:val="1"/>
          <w:numId w:val="16"/>
        </w:numPr>
        <w:rPr>
          <w:bCs/>
        </w:rPr>
      </w:pPr>
      <w:r w:rsidRPr="004B77A3">
        <w:rPr>
          <w:bCs/>
        </w:rPr>
        <w:t>Cost of Power (4705) - $</w:t>
      </w:r>
      <w:r w:rsidRPr="004B77A3">
        <w:rPr>
          <w:bCs/>
        </w:rPr>
        <w:t>138,939</w:t>
      </w:r>
      <w:r w:rsidRPr="004B77A3">
        <w:rPr>
          <w:bCs/>
        </w:rPr>
        <w:t xml:space="preserve"> – reduction to COP expense</w:t>
      </w:r>
    </w:p>
    <w:p w14:paraId="15E35FD3" w14:textId="42C0B106" w:rsidR="0046125C" w:rsidRPr="004B77A3" w:rsidRDefault="0046125C" w:rsidP="0046125C">
      <w:pPr>
        <w:pStyle w:val="ListParagraph"/>
        <w:numPr>
          <w:ilvl w:val="1"/>
          <w:numId w:val="16"/>
        </w:numPr>
        <w:rPr>
          <w:bCs/>
        </w:rPr>
      </w:pPr>
      <w:r w:rsidRPr="004B77A3">
        <w:rPr>
          <w:bCs/>
        </w:rPr>
        <w:t>GA (4707) - $</w:t>
      </w:r>
      <w:r w:rsidRPr="004B77A3">
        <w:rPr>
          <w:bCs/>
        </w:rPr>
        <w:t>138,939</w:t>
      </w:r>
      <w:r w:rsidRPr="004B77A3">
        <w:rPr>
          <w:bCs/>
        </w:rPr>
        <w:t xml:space="preserve"> – increase to GA expense</w:t>
      </w:r>
    </w:p>
    <w:p w14:paraId="3FFE58BE" w14:textId="336C2007" w:rsidR="0046125C" w:rsidRPr="004B77A3" w:rsidRDefault="0046125C" w:rsidP="0046125C">
      <w:pPr>
        <w:pStyle w:val="ListParagraph"/>
        <w:numPr>
          <w:ilvl w:val="0"/>
          <w:numId w:val="16"/>
        </w:numPr>
        <w:rPr>
          <w:bCs/>
        </w:rPr>
      </w:pPr>
      <w:r w:rsidRPr="0046125C">
        <w:rPr>
          <w:b/>
          <w:bCs/>
        </w:rPr>
        <w:t xml:space="preserve">Cumulative - </w:t>
      </w:r>
      <w:r w:rsidRPr="004B77A3">
        <w:rPr>
          <w:bCs/>
        </w:rPr>
        <w:t>$</w:t>
      </w:r>
      <w:r w:rsidRPr="004B77A3">
        <w:rPr>
          <w:bCs/>
        </w:rPr>
        <w:t>618,686</w:t>
      </w:r>
      <w:r w:rsidRPr="004B77A3">
        <w:rPr>
          <w:bCs/>
        </w:rPr>
        <w:t xml:space="preserve"> – reduction to COP</w:t>
      </w:r>
      <w:r w:rsidRPr="004B77A3">
        <w:rPr>
          <w:bCs/>
        </w:rPr>
        <w:t xml:space="preserve"> &amp; increase to GA</w:t>
      </w:r>
      <w:r w:rsidRPr="004B77A3">
        <w:rPr>
          <w:bCs/>
        </w:rPr>
        <w:t xml:space="preserve"> expense</w:t>
      </w:r>
    </w:p>
    <w:p w14:paraId="46817B30" w14:textId="75A40F7A" w:rsidR="004B77A3" w:rsidRDefault="004B77A3" w:rsidP="0046125C">
      <w:pPr>
        <w:pStyle w:val="ListParagraph"/>
        <w:ind w:left="2520"/>
        <w:rPr>
          <w:b/>
          <w:bCs/>
        </w:rPr>
      </w:pPr>
    </w:p>
    <w:p w14:paraId="31F2A8F1" w14:textId="042CBCA3" w:rsidR="004B77A3" w:rsidRPr="004B77A3" w:rsidRDefault="004B77A3" w:rsidP="004B77A3">
      <w:pPr>
        <w:rPr>
          <w:bCs/>
        </w:rPr>
      </w:pPr>
      <w:r w:rsidRPr="004B77A3">
        <w:rPr>
          <w:bCs/>
        </w:rPr>
        <w:lastRenderedPageBreak/>
        <w:t>THI is providing an updated IRM Rate Generator as part of this IRR submission</w:t>
      </w:r>
      <w:r>
        <w:rPr>
          <w:bCs/>
        </w:rPr>
        <w:t>, labelled THI Update 20210316, for version control.</w:t>
      </w:r>
    </w:p>
    <w:p w14:paraId="28E109C8" w14:textId="7FBD5663" w:rsidR="0046125C" w:rsidRPr="004B77A3" w:rsidRDefault="004B77A3" w:rsidP="004B77A3">
      <w:pPr>
        <w:rPr>
          <w:bCs/>
        </w:rPr>
      </w:pPr>
      <w:r w:rsidRPr="004B77A3">
        <w:rPr>
          <w:bCs/>
        </w:rPr>
        <w:t>This adjustment does not appear to meet the needs of OEB staff relating to IR#4. THI has reviewed and reconciled the following:</w:t>
      </w:r>
    </w:p>
    <w:p w14:paraId="3FC6CF94" w14:textId="77777777" w:rsidR="004B77A3" w:rsidRDefault="004B77A3" w:rsidP="004B77A3">
      <w:pPr>
        <w:pStyle w:val="ListParagraph"/>
        <w:numPr>
          <w:ilvl w:val="0"/>
          <w:numId w:val="17"/>
        </w:numPr>
        <w:rPr>
          <w:bCs/>
        </w:rPr>
      </w:pPr>
      <w:r w:rsidRPr="004B77A3">
        <w:rPr>
          <w:bCs/>
        </w:rPr>
        <w:t>IESO Settlement</w:t>
      </w:r>
      <w:r>
        <w:rPr>
          <w:bCs/>
        </w:rPr>
        <w:t>s</w:t>
      </w:r>
    </w:p>
    <w:p w14:paraId="1DA81A2A" w14:textId="3151128D" w:rsidR="004B77A3" w:rsidRPr="004B77A3" w:rsidRDefault="004B77A3" w:rsidP="004B77A3">
      <w:pPr>
        <w:pStyle w:val="ListParagraph"/>
        <w:numPr>
          <w:ilvl w:val="1"/>
          <w:numId w:val="17"/>
        </w:numPr>
        <w:rPr>
          <w:bCs/>
        </w:rPr>
      </w:pPr>
      <w:r w:rsidRPr="004B77A3">
        <w:rPr>
          <w:bCs/>
        </w:rPr>
        <w:t xml:space="preserve"> Original and Revised calculations and accounting to ensure the accuracy of currently submitted values</w:t>
      </w:r>
      <w:r>
        <w:rPr>
          <w:bCs/>
        </w:rPr>
        <w:t xml:space="preserve"> and continuity schedules</w:t>
      </w:r>
    </w:p>
    <w:p w14:paraId="3C290927" w14:textId="77777777" w:rsidR="004B77A3" w:rsidRPr="004B77A3" w:rsidRDefault="004B77A3" w:rsidP="004B77A3">
      <w:pPr>
        <w:pStyle w:val="ListParagraph"/>
        <w:numPr>
          <w:ilvl w:val="0"/>
          <w:numId w:val="17"/>
        </w:numPr>
        <w:rPr>
          <w:bCs/>
        </w:rPr>
      </w:pPr>
      <w:r w:rsidRPr="004B77A3">
        <w:rPr>
          <w:bCs/>
        </w:rPr>
        <w:t>Expense Posting to GL accounts 4705 and 4707</w:t>
      </w:r>
    </w:p>
    <w:p w14:paraId="1ABDB01D" w14:textId="3BF2E6E6" w:rsidR="004B77A3" w:rsidRDefault="004B77A3" w:rsidP="004B77A3">
      <w:pPr>
        <w:pStyle w:val="ListParagraph"/>
        <w:numPr>
          <w:ilvl w:val="0"/>
          <w:numId w:val="17"/>
        </w:numPr>
        <w:rPr>
          <w:bCs/>
        </w:rPr>
      </w:pPr>
      <w:r w:rsidRPr="004B77A3">
        <w:rPr>
          <w:bCs/>
        </w:rPr>
        <w:t xml:space="preserve">Allocation method used for RPP kWh relating to GA (to be contained in </w:t>
      </w:r>
      <w:proofErr w:type="spellStart"/>
      <w:r w:rsidRPr="004B77A3">
        <w:rPr>
          <w:bCs/>
        </w:rPr>
        <w:t>USoA</w:t>
      </w:r>
      <w:proofErr w:type="spellEnd"/>
      <w:r w:rsidRPr="004B77A3">
        <w:rPr>
          <w:bCs/>
        </w:rPr>
        <w:t xml:space="preserve"> 4705) </w:t>
      </w:r>
    </w:p>
    <w:p w14:paraId="7090DD38" w14:textId="0A49F897" w:rsidR="004B77A3" w:rsidRDefault="004B77A3" w:rsidP="004B77A3">
      <w:pPr>
        <w:pStyle w:val="ListParagraph"/>
        <w:numPr>
          <w:ilvl w:val="0"/>
          <w:numId w:val="17"/>
        </w:numPr>
        <w:rPr>
          <w:bCs/>
        </w:rPr>
      </w:pPr>
      <w:r>
        <w:rPr>
          <w:bCs/>
        </w:rPr>
        <w:t xml:space="preserve">Revenue posting from Billing System to Financial System – to ensure proper Revenue is contained within the proper </w:t>
      </w:r>
      <w:proofErr w:type="spellStart"/>
      <w:r>
        <w:rPr>
          <w:bCs/>
        </w:rPr>
        <w:t>USoA</w:t>
      </w:r>
      <w:proofErr w:type="spellEnd"/>
      <w:r>
        <w:rPr>
          <w:bCs/>
        </w:rPr>
        <w:t xml:space="preserve"> and ultimately the DVAD balances</w:t>
      </w:r>
    </w:p>
    <w:p w14:paraId="0FB1AA91" w14:textId="295B36D2" w:rsidR="004B77A3" w:rsidRDefault="004B77A3" w:rsidP="004B77A3">
      <w:pPr>
        <w:pStyle w:val="ListParagraph"/>
        <w:numPr>
          <w:ilvl w:val="0"/>
          <w:numId w:val="17"/>
        </w:numPr>
        <w:rPr>
          <w:bCs/>
        </w:rPr>
      </w:pPr>
      <w:r>
        <w:rPr>
          <w:bCs/>
        </w:rPr>
        <w:t>Unbilled Revenue Calculations</w:t>
      </w:r>
    </w:p>
    <w:p w14:paraId="2B52E138" w14:textId="77777777" w:rsidR="004B77A3" w:rsidRPr="004B77A3" w:rsidRDefault="004B77A3" w:rsidP="004B77A3">
      <w:pPr>
        <w:pStyle w:val="ListParagraph"/>
        <w:rPr>
          <w:bCs/>
        </w:rPr>
      </w:pPr>
    </w:p>
    <w:p w14:paraId="5F16BC6E" w14:textId="4163D799" w:rsidR="004B77A3" w:rsidRDefault="004B77A3">
      <w:pPr>
        <w:rPr>
          <w:b/>
          <w:bCs/>
        </w:rPr>
      </w:pPr>
    </w:p>
    <w:p w14:paraId="3D65A0B3" w14:textId="77777777" w:rsidR="004B77A3" w:rsidRDefault="004B77A3" w:rsidP="00A67AB1">
      <w:pPr>
        <w:spacing w:after="0"/>
        <w:rPr>
          <w:b/>
          <w:bCs/>
        </w:rPr>
      </w:pPr>
    </w:p>
    <w:p w14:paraId="7957A351" w14:textId="77777777" w:rsidR="004B77A3" w:rsidRDefault="004B77A3">
      <w:pPr>
        <w:rPr>
          <w:b/>
          <w:bCs/>
        </w:rPr>
      </w:pPr>
      <w:r>
        <w:rPr>
          <w:b/>
          <w:bCs/>
        </w:rPr>
        <w:br w:type="page"/>
      </w:r>
    </w:p>
    <w:p w14:paraId="69256EAE" w14:textId="542FB2FE" w:rsidR="00533D38" w:rsidRPr="00A67AB1" w:rsidRDefault="00533D38" w:rsidP="00A67AB1">
      <w:pPr>
        <w:spacing w:after="0"/>
        <w:rPr>
          <w:b/>
          <w:bCs/>
        </w:rPr>
      </w:pPr>
      <w:r w:rsidRPr="00A67AB1">
        <w:rPr>
          <w:b/>
          <w:bCs/>
        </w:rPr>
        <w:lastRenderedPageBreak/>
        <w:t>Staff Question #</w:t>
      </w:r>
      <w:r w:rsidR="00A602C1" w:rsidRPr="00A67AB1">
        <w:rPr>
          <w:b/>
          <w:bCs/>
        </w:rPr>
        <w:t>5</w:t>
      </w:r>
    </w:p>
    <w:p w14:paraId="181414FA" w14:textId="4D47BF6A" w:rsidR="00533D38" w:rsidRPr="00A67AB1" w:rsidRDefault="00533D38" w:rsidP="00A67AB1">
      <w:pPr>
        <w:spacing w:after="0"/>
      </w:pPr>
      <w:r w:rsidRPr="00A67AB1">
        <w:t>Ref:</w:t>
      </w:r>
      <w:r w:rsidRPr="00A67AB1">
        <w:tab/>
        <w:t>EB-2020-0056, Appendix I – THI Special Purpose Audit Findings (2016 &amp; 2017)</w:t>
      </w:r>
      <w:r w:rsidR="00A67AB1">
        <w:t xml:space="preserve">, page 149 </w:t>
      </w:r>
    </w:p>
    <w:p w14:paraId="120037FB" w14:textId="20967980" w:rsidR="00A67AB1" w:rsidRDefault="00A67AB1" w:rsidP="00A67AB1">
      <w:pPr>
        <w:spacing w:after="0"/>
        <w:ind w:firstLine="720"/>
      </w:pPr>
      <w:r w:rsidRPr="00A67AB1">
        <w:t>IRM Rate Generator, Tab 3. Continuity Schedule</w:t>
      </w:r>
    </w:p>
    <w:p w14:paraId="148304D9" w14:textId="77777777" w:rsidR="00A67AB1" w:rsidRPr="00A67AB1" w:rsidRDefault="00A67AB1" w:rsidP="00C91489">
      <w:pPr>
        <w:spacing w:after="0"/>
      </w:pPr>
    </w:p>
    <w:p w14:paraId="3AC306C7" w14:textId="710D0A40" w:rsidR="00533D38" w:rsidRPr="00A67AB1" w:rsidRDefault="00533D38" w:rsidP="00A67AB1">
      <w:pPr>
        <w:spacing w:after="0"/>
      </w:pPr>
      <w:r w:rsidRPr="00A67AB1">
        <w:t xml:space="preserve">At the above reference, Tillsonburg Hydro confirms that it </w:t>
      </w:r>
      <w:proofErr w:type="gramStart"/>
      <w:r w:rsidRPr="00A67AB1">
        <w:t>is in compliance</w:t>
      </w:r>
      <w:proofErr w:type="gramEnd"/>
      <w:r w:rsidRPr="00A67AB1">
        <w:t xml:space="preserve"> with the OEB’s February 21, 2019 accounting guidance related to Accounts 1588 and 1589.</w:t>
      </w:r>
      <w:r w:rsidR="00A67AB1">
        <w:t xml:space="preserve"> </w:t>
      </w:r>
      <w:r w:rsidRPr="00A67AB1">
        <w:t>OEB staff not</w:t>
      </w:r>
      <w:r w:rsidR="00AC71BA">
        <w:t>es</w:t>
      </w:r>
      <w:r w:rsidRPr="00A67AB1">
        <w:t xml:space="preserve"> significant adjustments were booked in 2016 and 2017. </w:t>
      </w:r>
    </w:p>
    <w:p w14:paraId="3B3368A0" w14:textId="77777777" w:rsidR="00A67AB1" w:rsidRPr="00A67AB1" w:rsidRDefault="00A67AB1" w:rsidP="00A67AB1">
      <w:pPr>
        <w:spacing w:after="0"/>
      </w:pPr>
    </w:p>
    <w:p w14:paraId="5B186F1B" w14:textId="7015F927" w:rsidR="00533D38" w:rsidRPr="00A67AB1" w:rsidRDefault="00533D38" w:rsidP="00A67AB1">
      <w:pPr>
        <w:pStyle w:val="ListParagraph"/>
        <w:numPr>
          <w:ilvl w:val="0"/>
          <w:numId w:val="11"/>
        </w:numPr>
        <w:spacing w:after="0"/>
      </w:pPr>
      <w:r w:rsidRPr="00A67AB1">
        <w:t xml:space="preserve">Please explain the nature of the differences between balances presented on the Schedule of Variance Accounts 1588, 1589, and 1595 included in Appendix </w:t>
      </w:r>
      <w:proofErr w:type="gramStart"/>
      <w:r w:rsidRPr="00A67AB1">
        <w:t>I and the information</w:t>
      </w:r>
      <w:proofErr w:type="gramEnd"/>
      <w:r w:rsidRPr="00A67AB1">
        <w:t xml:space="preserve"> contained in tab 3. Continuity Schedule of the IRM Rate Generator Model.</w:t>
      </w:r>
    </w:p>
    <w:p w14:paraId="57DB56C3" w14:textId="7DE70621" w:rsidR="00533D38" w:rsidRPr="00A67AB1" w:rsidRDefault="00533D38" w:rsidP="00A67AB1">
      <w:pPr>
        <w:pStyle w:val="ListParagraph"/>
        <w:numPr>
          <w:ilvl w:val="0"/>
          <w:numId w:val="11"/>
        </w:numPr>
        <w:spacing w:after="0"/>
      </w:pPr>
      <w:r w:rsidRPr="00A67AB1">
        <w:t>Regarding the adjustments captured in the GA 2018 and GA 2019 tabs of the Tillsonburg Hydro_2021 IRM_GA Analysis Workform_20201123 file, please explain how the entries reconcile with the information entered in tab 3. Continuity Schedule of the _Tillsonburg Hydro_2021 IRM Rate Generator Model V2_20201123.xls file.</w:t>
      </w:r>
    </w:p>
    <w:p w14:paraId="26C66AAA" w14:textId="66DC83A6" w:rsidR="00533D38" w:rsidRDefault="00533D38" w:rsidP="00A67AB1">
      <w:pPr>
        <w:pStyle w:val="ListParagraph"/>
        <w:numPr>
          <w:ilvl w:val="0"/>
          <w:numId w:val="11"/>
        </w:numPr>
        <w:spacing w:after="0"/>
      </w:pPr>
      <w:r w:rsidRPr="00A67AB1">
        <w:t>As a result of confirming that it has implemented the OEB’s February 21, 2019 accounting guidance, please confirm whether Tillsonburg Hydro is seeking final (as opposed to interim) disposition of its Group 1 DVA account balances as part of the current proceeding</w:t>
      </w:r>
    </w:p>
    <w:p w14:paraId="34B3539E" w14:textId="0529C9F6" w:rsidR="00294399" w:rsidRDefault="00294399" w:rsidP="00294399">
      <w:pPr>
        <w:spacing w:after="0"/>
      </w:pPr>
    </w:p>
    <w:p w14:paraId="3240C3E7" w14:textId="77777777" w:rsidR="003C728B" w:rsidRDefault="003C728B" w:rsidP="003C728B">
      <w:pPr>
        <w:spacing w:after="0"/>
        <w:rPr>
          <w:b/>
          <w:color w:val="44546A" w:themeColor="text2"/>
        </w:rPr>
      </w:pPr>
      <w:r w:rsidRPr="00753433">
        <w:rPr>
          <w:b/>
          <w:color w:val="44546A" w:themeColor="text2"/>
        </w:rPr>
        <w:t>Response</w:t>
      </w:r>
    </w:p>
    <w:p w14:paraId="79A84444" w14:textId="77777777" w:rsidR="003C728B" w:rsidRDefault="003C728B" w:rsidP="003C728B">
      <w:pPr>
        <w:spacing w:after="0"/>
        <w:rPr>
          <w:b/>
          <w:color w:val="44546A" w:themeColor="text2"/>
        </w:rPr>
      </w:pPr>
    </w:p>
    <w:p w14:paraId="474FCC41" w14:textId="54234683" w:rsidR="003C728B" w:rsidRDefault="003C728B" w:rsidP="003C728B">
      <w:pPr>
        <w:spacing w:after="0"/>
        <w:rPr>
          <w:b/>
          <w:color w:val="44546A" w:themeColor="text2"/>
        </w:rPr>
      </w:pPr>
      <w:r>
        <w:rPr>
          <w:b/>
          <w:color w:val="44546A" w:themeColor="text2"/>
        </w:rPr>
        <w:t xml:space="preserve">Tillsonburg Hydro’s IRM Generator, Tab 3 </w:t>
      </w:r>
      <w:r w:rsidR="004F016B">
        <w:rPr>
          <w:b/>
          <w:color w:val="44546A" w:themeColor="text2"/>
        </w:rPr>
        <w:t>c</w:t>
      </w:r>
      <w:r>
        <w:rPr>
          <w:b/>
          <w:color w:val="44546A" w:themeColor="text2"/>
        </w:rPr>
        <w:t xml:space="preserve">ontinuity </w:t>
      </w:r>
      <w:r w:rsidR="004F016B">
        <w:rPr>
          <w:b/>
          <w:color w:val="44546A" w:themeColor="text2"/>
        </w:rPr>
        <w:t>s</w:t>
      </w:r>
      <w:r>
        <w:rPr>
          <w:b/>
          <w:color w:val="44546A" w:themeColor="text2"/>
        </w:rPr>
        <w:t xml:space="preserve">chedule </w:t>
      </w:r>
      <w:proofErr w:type="gramStart"/>
      <w:r>
        <w:rPr>
          <w:b/>
          <w:color w:val="44546A" w:themeColor="text2"/>
        </w:rPr>
        <w:t>was reproduced</w:t>
      </w:r>
      <w:proofErr w:type="gramEnd"/>
      <w:r>
        <w:rPr>
          <w:b/>
          <w:color w:val="44546A" w:themeColor="text2"/>
        </w:rPr>
        <w:t xml:space="preserve"> starting with the last approved disposition (2015 Audited Balances) and included the revised annual activity for 2016, 2017, 2018 and 2019 as opposed to utilizing the adjustments noted in Appendix I – THI Special Purpose Audit Findings. The table below reconciles the 2016 and 2017 balances and sources of adjustments:</w:t>
      </w:r>
    </w:p>
    <w:p w14:paraId="5B5BB4A6" w14:textId="03431344" w:rsidR="003C728B" w:rsidRDefault="003C728B" w:rsidP="003C728B">
      <w:pPr>
        <w:spacing w:after="0"/>
        <w:rPr>
          <w:b/>
          <w:color w:val="44546A" w:themeColor="text2"/>
        </w:rPr>
      </w:pPr>
    </w:p>
    <w:p w14:paraId="3E6B210B" w14:textId="76E64688" w:rsidR="003C728B" w:rsidRDefault="003C728B" w:rsidP="003C728B">
      <w:pPr>
        <w:spacing w:after="0"/>
        <w:rPr>
          <w:b/>
          <w:color w:val="44546A" w:themeColor="text2"/>
        </w:rPr>
      </w:pPr>
      <w:r>
        <w:rPr>
          <w:b/>
          <w:color w:val="44546A" w:themeColor="text2"/>
        </w:rPr>
        <w:t xml:space="preserve">Current year activity </w:t>
      </w:r>
      <w:proofErr w:type="gramStart"/>
      <w:r>
        <w:rPr>
          <w:b/>
          <w:color w:val="44546A" w:themeColor="text2"/>
        </w:rPr>
        <w:t>was recorded</w:t>
      </w:r>
      <w:proofErr w:type="gramEnd"/>
      <w:r>
        <w:rPr>
          <w:b/>
          <w:color w:val="44546A" w:themeColor="text2"/>
        </w:rPr>
        <w:t xml:space="preserve"> in “Transaction Debit / (Credit)” columns and GA adjustments were captured in “Principal Adjustments” columns found in Tab 3 of the IRM models.</w:t>
      </w:r>
    </w:p>
    <w:p w14:paraId="44CEBA64" w14:textId="5921BF45" w:rsidR="003C728B" w:rsidRDefault="003C728B" w:rsidP="003C728B">
      <w:pPr>
        <w:spacing w:after="0"/>
        <w:rPr>
          <w:b/>
          <w:color w:val="44546A" w:themeColor="text2"/>
        </w:rPr>
      </w:pPr>
    </w:p>
    <w:p w14:paraId="2F358AE8" w14:textId="14F857AE" w:rsidR="00294399" w:rsidRPr="003C728B" w:rsidRDefault="003C728B" w:rsidP="00294399">
      <w:pPr>
        <w:spacing w:after="0"/>
        <w:rPr>
          <w:b/>
          <w:color w:val="44546A" w:themeColor="text2"/>
        </w:rPr>
      </w:pPr>
      <w:r w:rsidRPr="003C728B">
        <w:rPr>
          <w:b/>
          <w:color w:val="44546A" w:themeColor="text2"/>
        </w:rPr>
        <w:t>Tillsonburg confirms we are seeking final disposition of the Group 1 DVAs.</w:t>
      </w:r>
    </w:p>
    <w:p w14:paraId="16486EE0" w14:textId="1B687E2A" w:rsidR="003C728B" w:rsidRDefault="003C728B" w:rsidP="00294399">
      <w:pPr>
        <w:spacing w:after="0"/>
      </w:pPr>
    </w:p>
    <w:p w14:paraId="12BCE2EF" w14:textId="77777777" w:rsidR="003C728B" w:rsidRPr="00A67AB1" w:rsidRDefault="003C728B" w:rsidP="00294399">
      <w:pPr>
        <w:spacing w:after="0"/>
      </w:pPr>
    </w:p>
    <w:p w14:paraId="4B36E6D3" w14:textId="77777777" w:rsidR="002C718E" w:rsidRDefault="002C718E">
      <w:pPr>
        <w:rPr>
          <w:b/>
          <w:bCs/>
        </w:rPr>
      </w:pPr>
      <w:r w:rsidRPr="002C718E">
        <w:rPr>
          <w:noProof/>
          <w:lang w:val="en-CA" w:eastAsia="en-CA"/>
        </w:rPr>
        <w:drawing>
          <wp:inline distT="0" distB="0" distL="0" distR="0" wp14:anchorId="70977323" wp14:editId="20D9B1EB">
            <wp:extent cx="3899825" cy="227002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0235" cy="2276084"/>
                    </a:xfrm>
                    <a:prstGeom prst="rect">
                      <a:avLst/>
                    </a:prstGeom>
                    <a:noFill/>
                    <a:ln>
                      <a:noFill/>
                    </a:ln>
                  </pic:spPr>
                </pic:pic>
              </a:graphicData>
            </a:graphic>
          </wp:inline>
        </w:drawing>
      </w:r>
    </w:p>
    <w:p w14:paraId="5466FF6F" w14:textId="55D6249B" w:rsidR="002C718E" w:rsidRDefault="004F016B">
      <w:pPr>
        <w:rPr>
          <w:b/>
          <w:bCs/>
        </w:rPr>
      </w:pPr>
      <w:r w:rsidRPr="004F016B">
        <w:rPr>
          <w:noProof/>
          <w:lang w:val="en-CA" w:eastAsia="en-CA"/>
        </w:rPr>
        <w:lastRenderedPageBreak/>
        <w:drawing>
          <wp:inline distT="0" distB="0" distL="0" distR="0" wp14:anchorId="19B73A51" wp14:editId="2D89A427">
            <wp:extent cx="4577611" cy="839320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8681" cy="8413503"/>
                    </a:xfrm>
                    <a:prstGeom prst="rect">
                      <a:avLst/>
                    </a:prstGeom>
                    <a:noFill/>
                    <a:ln>
                      <a:noFill/>
                    </a:ln>
                  </pic:spPr>
                </pic:pic>
              </a:graphicData>
            </a:graphic>
          </wp:inline>
        </w:drawing>
      </w:r>
      <w:r w:rsidR="002C718E">
        <w:rPr>
          <w:b/>
          <w:bCs/>
        </w:rPr>
        <w:br w:type="page"/>
      </w:r>
    </w:p>
    <w:p w14:paraId="174B163D" w14:textId="7486047C" w:rsidR="00533D38" w:rsidRPr="00E63BC0" w:rsidRDefault="00533D38" w:rsidP="00A67AB1">
      <w:pPr>
        <w:spacing w:after="0"/>
        <w:rPr>
          <w:b/>
          <w:bCs/>
        </w:rPr>
      </w:pPr>
      <w:r w:rsidRPr="00E63BC0">
        <w:rPr>
          <w:b/>
          <w:bCs/>
        </w:rPr>
        <w:lastRenderedPageBreak/>
        <w:t>Staff Question #</w:t>
      </w:r>
      <w:r w:rsidR="00A602C1" w:rsidRPr="00E63BC0">
        <w:rPr>
          <w:b/>
          <w:bCs/>
        </w:rPr>
        <w:t>6</w:t>
      </w:r>
    </w:p>
    <w:p w14:paraId="320CD79D" w14:textId="77777777" w:rsidR="00A67AB1" w:rsidRDefault="00533D38" w:rsidP="00A67AB1">
      <w:pPr>
        <w:spacing w:after="0"/>
      </w:pPr>
      <w:r w:rsidRPr="00A67AB1">
        <w:t>Ref:</w:t>
      </w:r>
      <w:r w:rsidRPr="00A67AB1">
        <w:tab/>
        <w:t>2021 IRM</w:t>
      </w:r>
      <w:r w:rsidR="00A67AB1">
        <w:t xml:space="preserve"> </w:t>
      </w:r>
      <w:r w:rsidRPr="00A67AB1">
        <w:t xml:space="preserve">GA Analysis Workform– </w:t>
      </w:r>
    </w:p>
    <w:p w14:paraId="35A770B4" w14:textId="75EF2BEC" w:rsidR="00533D38" w:rsidRPr="00A67AB1" w:rsidRDefault="00533D38" w:rsidP="00A67AB1">
      <w:pPr>
        <w:spacing w:after="0"/>
        <w:ind w:left="720" w:firstLine="720"/>
      </w:pPr>
      <w:r w:rsidRPr="00A67AB1">
        <w:t>Tab GA 2017 – Cell C 80</w:t>
      </w:r>
    </w:p>
    <w:p w14:paraId="739B70F2" w14:textId="202DA182" w:rsidR="00533D38" w:rsidRPr="00A67AB1" w:rsidRDefault="00A67AB1" w:rsidP="00A67AB1">
      <w:pPr>
        <w:pStyle w:val="ListParagraph"/>
        <w:spacing w:after="0"/>
        <w:ind w:firstLine="720"/>
      </w:pPr>
      <w:r>
        <w:t xml:space="preserve">Tab </w:t>
      </w:r>
      <w:r w:rsidR="00533D38" w:rsidRPr="00A67AB1">
        <w:t>GA 2018 – Cell C 84</w:t>
      </w:r>
    </w:p>
    <w:p w14:paraId="32EF0978" w14:textId="6E2110EA" w:rsidR="00533D38" w:rsidRPr="00A67AB1" w:rsidRDefault="00A67AB1" w:rsidP="00A67AB1">
      <w:pPr>
        <w:pStyle w:val="ListParagraph"/>
        <w:spacing w:after="0"/>
        <w:ind w:firstLine="720"/>
      </w:pPr>
      <w:r>
        <w:t xml:space="preserve">Tab </w:t>
      </w:r>
      <w:r w:rsidR="00533D38" w:rsidRPr="00A67AB1">
        <w:t>GA 2016-2017-2018 – Cell C75</w:t>
      </w:r>
    </w:p>
    <w:p w14:paraId="6924B6CE" w14:textId="77777777" w:rsidR="00533D38" w:rsidRPr="00A67AB1" w:rsidRDefault="00533D38" w:rsidP="00A67AB1">
      <w:pPr>
        <w:spacing w:after="0"/>
      </w:pPr>
    </w:p>
    <w:p w14:paraId="2C8A8905" w14:textId="015DB4B4" w:rsidR="00533D38" w:rsidRPr="00A67AB1" w:rsidRDefault="00533D38" w:rsidP="00A67AB1">
      <w:pPr>
        <w:spacing w:after="0"/>
      </w:pPr>
      <w:r w:rsidRPr="00A67AB1">
        <w:t>At the above reference, there are a series of adjustments related to the GA balance.</w:t>
      </w:r>
    </w:p>
    <w:p w14:paraId="02EA15E4" w14:textId="77777777" w:rsidR="00A67AB1" w:rsidRPr="00A67AB1" w:rsidRDefault="00A67AB1" w:rsidP="00A67AB1">
      <w:pPr>
        <w:spacing w:after="0"/>
      </w:pPr>
    </w:p>
    <w:p w14:paraId="361F735A" w14:textId="4F9FDE75" w:rsidR="00A67AB1" w:rsidRPr="00A67AB1" w:rsidRDefault="00533D38" w:rsidP="00A67AB1">
      <w:pPr>
        <w:pStyle w:val="ListParagraph"/>
        <w:numPr>
          <w:ilvl w:val="0"/>
          <w:numId w:val="12"/>
        </w:numPr>
        <w:spacing w:after="0"/>
      </w:pPr>
      <w:r w:rsidRPr="00A67AB1">
        <w:t xml:space="preserve">Please confirm the amounts referenced in the cells above for 2017 and 2018 pertain to the class variance included in the GL balance at the </w:t>
      </w:r>
      <w:proofErr w:type="gramStart"/>
      <w:r w:rsidRPr="00A67AB1">
        <w:t>year end</w:t>
      </w:r>
      <w:proofErr w:type="gramEnd"/>
      <w:r w:rsidRPr="00A67AB1">
        <w:t>.</w:t>
      </w:r>
    </w:p>
    <w:p w14:paraId="7A6C6A40" w14:textId="4325FED4" w:rsidR="00533D38" w:rsidRPr="00A67AB1" w:rsidRDefault="00533D38" w:rsidP="00A67AB1">
      <w:pPr>
        <w:pStyle w:val="ListParagraph"/>
        <w:numPr>
          <w:ilvl w:val="0"/>
          <w:numId w:val="12"/>
        </w:numPr>
        <w:spacing w:after="0"/>
      </w:pPr>
      <w:r w:rsidRPr="00A67AB1">
        <w:t xml:space="preserve">Regarding the reference to Cell C75 for the years listed </w:t>
      </w:r>
      <w:proofErr w:type="gramStart"/>
      <w:r w:rsidRPr="00A67AB1">
        <w:t>above,</w:t>
      </w:r>
      <w:proofErr w:type="gramEnd"/>
      <w:r w:rsidRPr="00A67AB1">
        <w:t xml:space="preserve"> please explain why the true-up recorded in the following year is not reversed each year. For example, in GA 2016 Note 1.b 12,568 (2016 true-up recorded in 2017) is expected to be reversed in GA 2017 in cell C74, however the figure used in note 1a in the 2017 GA is 617,456. </w:t>
      </w:r>
    </w:p>
    <w:p w14:paraId="23ADDA11" w14:textId="1365A3CF" w:rsidR="00A67AB1" w:rsidRDefault="00A67AB1" w:rsidP="00A67AB1">
      <w:pPr>
        <w:pStyle w:val="ListParagraph"/>
        <w:spacing w:after="0"/>
      </w:pPr>
    </w:p>
    <w:p w14:paraId="3D49EF4D" w14:textId="72F2D7A4" w:rsidR="006748D2" w:rsidRPr="00707CE3" w:rsidRDefault="00707CE3" w:rsidP="00707CE3">
      <w:pPr>
        <w:spacing w:after="0"/>
        <w:rPr>
          <w:b/>
          <w:color w:val="44546A" w:themeColor="text2"/>
        </w:rPr>
      </w:pPr>
      <w:r w:rsidRPr="00707CE3">
        <w:rPr>
          <w:b/>
          <w:color w:val="44546A" w:themeColor="text2"/>
        </w:rPr>
        <w:t>Response</w:t>
      </w:r>
    </w:p>
    <w:p w14:paraId="611133BF" w14:textId="77777777" w:rsidR="00707CE3" w:rsidRDefault="00707CE3">
      <w:pPr>
        <w:rPr>
          <w:b/>
          <w:bCs/>
        </w:rPr>
      </w:pPr>
    </w:p>
    <w:p w14:paraId="6561BA6C" w14:textId="3CC21B8E" w:rsidR="000C46A3" w:rsidRDefault="00707CE3" w:rsidP="000C46A3">
      <w:pPr>
        <w:spacing w:after="0"/>
        <w:rPr>
          <w:b/>
          <w:color w:val="44546A" w:themeColor="text2"/>
        </w:rPr>
      </w:pPr>
      <w:r w:rsidRPr="000C46A3">
        <w:rPr>
          <w:b/>
          <w:color w:val="44546A" w:themeColor="text2"/>
        </w:rPr>
        <w:t xml:space="preserve">THI met with OEB Staff to discuss this IR and seek clarification. After </w:t>
      </w:r>
      <w:r w:rsidR="00BF29AD" w:rsidRPr="000C46A3">
        <w:rPr>
          <w:b/>
          <w:color w:val="44546A" w:themeColor="text2"/>
        </w:rPr>
        <w:t>discussions,</w:t>
      </w:r>
      <w:r w:rsidRPr="000C46A3">
        <w:rPr>
          <w:b/>
          <w:color w:val="44546A" w:themeColor="text2"/>
        </w:rPr>
        <w:t xml:space="preserve"> the </w:t>
      </w:r>
      <w:r w:rsidR="00216C6A" w:rsidRPr="000C46A3">
        <w:rPr>
          <w:b/>
          <w:color w:val="44546A" w:themeColor="text2"/>
        </w:rPr>
        <w:t xml:space="preserve">GA 2017 Cell C80 &amp; GA 2018 Cell C84 references </w:t>
      </w:r>
      <w:proofErr w:type="gramStart"/>
      <w:r w:rsidR="00216C6A" w:rsidRPr="000C46A3">
        <w:rPr>
          <w:b/>
          <w:color w:val="44546A" w:themeColor="text2"/>
        </w:rPr>
        <w:t>were shown to be properly reversed</w:t>
      </w:r>
      <w:proofErr w:type="gramEnd"/>
      <w:r w:rsidR="00216C6A" w:rsidRPr="000C46A3">
        <w:rPr>
          <w:b/>
          <w:color w:val="44546A" w:themeColor="text2"/>
        </w:rPr>
        <w:t xml:space="preserve"> in subsequent years. Discussions focused on adjustments 1a and 1b and the associated </w:t>
      </w:r>
      <w:r w:rsidR="00BF29AD" w:rsidRPr="000C46A3">
        <w:rPr>
          <w:b/>
          <w:color w:val="44546A" w:themeColor="text2"/>
        </w:rPr>
        <w:t>reversals</w:t>
      </w:r>
      <w:r w:rsidR="00216C6A" w:rsidRPr="000C46A3">
        <w:rPr>
          <w:b/>
          <w:color w:val="44546A" w:themeColor="text2"/>
        </w:rPr>
        <w:t xml:space="preserve">. The response below focuses on the 2016, 2017 &amp; 2018 </w:t>
      </w:r>
      <w:r w:rsidR="000C46A3" w:rsidRPr="000C46A3">
        <w:rPr>
          <w:b/>
          <w:color w:val="44546A" w:themeColor="text2"/>
        </w:rPr>
        <w:t>1a and 1b adjustments only.</w:t>
      </w:r>
    </w:p>
    <w:p w14:paraId="7E0FC8CB" w14:textId="77777777" w:rsidR="000C46A3" w:rsidRDefault="000C46A3" w:rsidP="000C46A3">
      <w:pPr>
        <w:spacing w:after="0"/>
        <w:rPr>
          <w:b/>
          <w:color w:val="44546A" w:themeColor="text2"/>
        </w:rPr>
      </w:pPr>
    </w:p>
    <w:p w14:paraId="002F8C77" w14:textId="1D4B900B" w:rsidR="00BF29AD" w:rsidRDefault="000C46A3" w:rsidP="000C46A3">
      <w:pPr>
        <w:spacing w:after="0"/>
        <w:rPr>
          <w:b/>
          <w:color w:val="44546A" w:themeColor="text2"/>
        </w:rPr>
      </w:pPr>
      <w:r>
        <w:rPr>
          <w:b/>
          <w:color w:val="44546A" w:themeColor="text2"/>
        </w:rPr>
        <w:t>THI is providing an updated GA work</w:t>
      </w:r>
      <w:r w:rsidR="00BF29AD">
        <w:rPr>
          <w:b/>
          <w:color w:val="44546A" w:themeColor="text2"/>
        </w:rPr>
        <w:t xml:space="preserve"> </w:t>
      </w:r>
      <w:r>
        <w:rPr>
          <w:b/>
          <w:color w:val="44546A" w:themeColor="text2"/>
        </w:rPr>
        <w:t xml:space="preserve">from to these </w:t>
      </w:r>
      <w:proofErr w:type="gramStart"/>
      <w:r>
        <w:rPr>
          <w:b/>
          <w:color w:val="44546A" w:themeColor="text2"/>
        </w:rPr>
        <w:t>IR’s, that</w:t>
      </w:r>
      <w:proofErr w:type="gramEnd"/>
      <w:r>
        <w:rPr>
          <w:b/>
          <w:color w:val="44546A" w:themeColor="text2"/>
        </w:rPr>
        <w:t xml:space="preserve"> incorporates the reversal of Item 1b in the subsequent year 1a adjustment (e.g. 2017 1a, includes reversal of 2016 1b adjustment). </w:t>
      </w:r>
      <w:proofErr w:type="gramStart"/>
      <w:r>
        <w:rPr>
          <w:b/>
          <w:color w:val="44546A" w:themeColor="text2"/>
        </w:rPr>
        <w:t>As a result</w:t>
      </w:r>
      <w:proofErr w:type="gramEnd"/>
      <w:r>
        <w:rPr>
          <w:b/>
          <w:color w:val="44546A" w:themeColor="text2"/>
        </w:rPr>
        <w:t xml:space="preserve"> of the settlement process </w:t>
      </w:r>
      <w:r w:rsidR="00BF29AD">
        <w:rPr>
          <w:b/>
          <w:color w:val="44546A" w:themeColor="text2"/>
        </w:rPr>
        <w:t xml:space="preserve">used historically, there are other values contained in item 1a adjustments other than the reversal discussed. Below is a reconciliation between the original GA work from and the revised GA work </w:t>
      </w:r>
      <w:proofErr w:type="gramStart"/>
      <w:r w:rsidR="00BF29AD">
        <w:rPr>
          <w:b/>
          <w:color w:val="44546A" w:themeColor="text2"/>
        </w:rPr>
        <w:t>from</w:t>
      </w:r>
      <w:proofErr w:type="gramEnd"/>
      <w:r w:rsidR="00BF29AD">
        <w:rPr>
          <w:b/>
          <w:color w:val="44546A" w:themeColor="text2"/>
        </w:rPr>
        <w:t>:</w:t>
      </w:r>
    </w:p>
    <w:p w14:paraId="76E1ABDE" w14:textId="77777777" w:rsidR="00BF29AD" w:rsidRDefault="00BF29AD" w:rsidP="000C46A3">
      <w:pPr>
        <w:spacing w:after="0"/>
        <w:rPr>
          <w:b/>
          <w:color w:val="44546A" w:themeColor="text2"/>
        </w:rPr>
      </w:pPr>
    </w:p>
    <w:p w14:paraId="4D22351A" w14:textId="230F07B6" w:rsidR="002C718E" w:rsidRDefault="00BF29AD" w:rsidP="000C46A3">
      <w:pPr>
        <w:spacing w:after="0"/>
        <w:rPr>
          <w:b/>
          <w:bCs/>
        </w:rPr>
      </w:pPr>
      <w:r w:rsidRPr="00BF29AD">
        <w:rPr>
          <w:noProof/>
          <w:lang w:val="en-CA" w:eastAsia="en-CA"/>
        </w:rPr>
        <w:drawing>
          <wp:inline distT="0" distB="0" distL="0" distR="0" wp14:anchorId="409A6DDE" wp14:editId="2FE687B1">
            <wp:extent cx="3352800" cy="2105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0" cy="2105025"/>
                    </a:xfrm>
                    <a:prstGeom prst="rect">
                      <a:avLst/>
                    </a:prstGeom>
                    <a:noFill/>
                    <a:ln>
                      <a:noFill/>
                    </a:ln>
                  </pic:spPr>
                </pic:pic>
              </a:graphicData>
            </a:graphic>
          </wp:inline>
        </w:drawing>
      </w:r>
    </w:p>
    <w:p w14:paraId="354379C3" w14:textId="77777777" w:rsidR="007160A7" w:rsidRDefault="007160A7">
      <w:pPr>
        <w:rPr>
          <w:b/>
          <w:bCs/>
        </w:rPr>
      </w:pPr>
    </w:p>
    <w:p w14:paraId="56A1D873" w14:textId="77777777" w:rsidR="00F54B11" w:rsidRDefault="007160A7">
      <w:pPr>
        <w:rPr>
          <w:b/>
          <w:color w:val="44546A" w:themeColor="text2"/>
        </w:rPr>
      </w:pPr>
      <w:r w:rsidRPr="007160A7">
        <w:rPr>
          <w:b/>
          <w:color w:val="44546A" w:themeColor="text2"/>
        </w:rPr>
        <w:t>Note</w:t>
      </w:r>
      <w:proofErr w:type="gramStart"/>
      <w:r w:rsidRPr="007160A7">
        <w:rPr>
          <w:b/>
          <w:color w:val="44546A" w:themeColor="text2"/>
        </w:rPr>
        <w:t>,</w:t>
      </w:r>
      <w:proofErr w:type="gramEnd"/>
      <w:r w:rsidRPr="007160A7">
        <w:rPr>
          <w:b/>
          <w:color w:val="44546A" w:themeColor="text2"/>
        </w:rPr>
        <w:t xml:space="preserve"> the GA Work Form “Principal Adjustments” Tab was also revised to ensure double counting of prior year adjustments did not occur. Result was no change to the IRM Continuity Schedule.</w:t>
      </w:r>
    </w:p>
    <w:p w14:paraId="010F6CA8" w14:textId="77777777" w:rsidR="00F54B11" w:rsidRDefault="00F54B11">
      <w:pPr>
        <w:rPr>
          <w:b/>
          <w:color w:val="44546A" w:themeColor="text2"/>
        </w:rPr>
      </w:pPr>
      <w:r>
        <w:rPr>
          <w:b/>
          <w:color w:val="44546A" w:themeColor="text2"/>
        </w:rPr>
        <w:lastRenderedPageBreak/>
        <w:t>Addendum:</w:t>
      </w:r>
    </w:p>
    <w:p w14:paraId="6EA7AFE0" w14:textId="77777777" w:rsidR="00F54B11" w:rsidRDefault="00F54B11">
      <w:pPr>
        <w:rPr>
          <w:b/>
          <w:color w:val="44546A" w:themeColor="text2"/>
        </w:rPr>
      </w:pPr>
      <w:r>
        <w:rPr>
          <w:b/>
          <w:color w:val="44546A" w:themeColor="text2"/>
        </w:rPr>
        <w:t>OEB staff have asked for further clarification on the values contained in Item 1a) for each year 2016, 2017, 2018 &amp; 2019.</w:t>
      </w:r>
    </w:p>
    <w:p w14:paraId="5ACF6D1D" w14:textId="60175C5D" w:rsidR="00F54B11" w:rsidRDefault="00F54B11" w:rsidP="00F54B11">
      <w:pPr>
        <w:pStyle w:val="ListParagraph"/>
        <w:numPr>
          <w:ilvl w:val="0"/>
          <w:numId w:val="15"/>
        </w:numPr>
        <w:rPr>
          <w:b/>
          <w:color w:val="44546A" w:themeColor="text2"/>
        </w:rPr>
      </w:pPr>
      <w:r w:rsidRPr="00F54B11">
        <w:rPr>
          <w:b/>
          <w:color w:val="44546A" w:themeColor="text2"/>
        </w:rPr>
        <w:t>2016</w:t>
      </w:r>
      <w:r>
        <w:rPr>
          <w:b/>
          <w:color w:val="44546A" w:themeColor="text2"/>
        </w:rPr>
        <w:t xml:space="preserve"> 1a)</w:t>
      </w:r>
    </w:p>
    <w:p w14:paraId="601C48E7" w14:textId="2A24371C" w:rsidR="00F54B11" w:rsidRDefault="00F54B11" w:rsidP="00F54B11">
      <w:pPr>
        <w:pStyle w:val="ListParagraph"/>
        <w:numPr>
          <w:ilvl w:val="1"/>
          <w:numId w:val="15"/>
        </w:numPr>
        <w:rPr>
          <w:b/>
          <w:color w:val="44546A" w:themeColor="text2"/>
        </w:rPr>
      </w:pPr>
      <w:r>
        <w:rPr>
          <w:b/>
          <w:color w:val="44546A" w:themeColor="text2"/>
        </w:rPr>
        <w:t>Total Value = $642,257</w:t>
      </w:r>
    </w:p>
    <w:p w14:paraId="4A62E871" w14:textId="74EA3201" w:rsidR="00F54B11" w:rsidRDefault="00F54B11" w:rsidP="00F54B11">
      <w:pPr>
        <w:pStyle w:val="ListParagraph"/>
        <w:numPr>
          <w:ilvl w:val="2"/>
          <w:numId w:val="15"/>
        </w:numPr>
        <w:rPr>
          <w:b/>
          <w:color w:val="44546A" w:themeColor="text2"/>
        </w:rPr>
      </w:pPr>
      <w:r>
        <w:rPr>
          <w:b/>
          <w:color w:val="44546A" w:themeColor="text2"/>
        </w:rPr>
        <w:t>100% relate to 2015 kWh’s billed in 2016 (GA portion) using posted GA rate</w:t>
      </w:r>
    </w:p>
    <w:p w14:paraId="578D3A50" w14:textId="73EB46A4" w:rsidR="006C0F90" w:rsidRDefault="006C0F90" w:rsidP="00F54B11">
      <w:pPr>
        <w:pStyle w:val="ListParagraph"/>
        <w:numPr>
          <w:ilvl w:val="2"/>
          <w:numId w:val="15"/>
        </w:numPr>
        <w:rPr>
          <w:b/>
          <w:color w:val="44546A" w:themeColor="text2"/>
        </w:rPr>
      </w:pPr>
      <w:r>
        <w:rPr>
          <w:b/>
          <w:color w:val="44546A" w:themeColor="text2"/>
        </w:rPr>
        <w:t>2015 Activity recorded in 2016</w:t>
      </w:r>
    </w:p>
    <w:p w14:paraId="2401F379" w14:textId="60DBAC92" w:rsidR="006C0F90" w:rsidRDefault="006C0F90" w:rsidP="006C0F90">
      <w:pPr>
        <w:pStyle w:val="ListParagraph"/>
        <w:numPr>
          <w:ilvl w:val="0"/>
          <w:numId w:val="15"/>
        </w:numPr>
        <w:rPr>
          <w:b/>
          <w:color w:val="44546A" w:themeColor="text2"/>
        </w:rPr>
      </w:pPr>
      <w:r>
        <w:rPr>
          <w:b/>
          <w:color w:val="44546A" w:themeColor="text2"/>
        </w:rPr>
        <w:t>2016 1b)</w:t>
      </w:r>
    </w:p>
    <w:p w14:paraId="667836F3" w14:textId="133AA7F6" w:rsidR="006C0F90" w:rsidRDefault="006C0F90" w:rsidP="006C0F90">
      <w:pPr>
        <w:pStyle w:val="ListParagraph"/>
        <w:numPr>
          <w:ilvl w:val="1"/>
          <w:numId w:val="15"/>
        </w:numPr>
        <w:rPr>
          <w:b/>
          <w:color w:val="44546A" w:themeColor="text2"/>
        </w:rPr>
      </w:pPr>
      <w:r>
        <w:rPr>
          <w:b/>
          <w:color w:val="44546A" w:themeColor="text2"/>
        </w:rPr>
        <w:t>Total value = $12,568</w:t>
      </w:r>
    </w:p>
    <w:p w14:paraId="4C4A4582" w14:textId="265FA03C" w:rsidR="006C0F90" w:rsidRDefault="006C0F90" w:rsidP="006C0F90">
      <w:pPr>
        <w:pStyle w:val="ListParagraph"/>
        <w:numPr>
          <w:ilvl w:val="2"/>
          <w:numId w:val="15"/>
        </w:numPr>
        <w:rPr>
          <w:b/>
          <w:color w:val="44546A" w:themeColor="text2"/>
        </w:rPr>
      </w:pPr>
      <w:r>
        <w:rPr>
          <w:b/>
          <w:color w:val="44546A" w:themeColor="text2"/>
        </w:rPr>
        <w:t>True-up of estimated kWh from Dec 2016, recorded in 2017</w:t>
      </w:r>
    </w:p>
    <w:p w14:paraId="2B3132DE" w14:textId="7BD68A96" w:rsidR="00F54B11" w:rsidRDefault="00F54B11" w:rsidP="00F54B11">
      <w:pPr>
        <w:pStyle w:val="ListParagraph"/>
        <w:numPr>
          <w:ilvl w:val="0"/>
          <w:numId w:val="15"/>
        </w:numPr>
        <w:rPr>
          <w:b/>
          <w:color w:val="44546A" w:themeColor="text2"/>
        </w:rPr>
      </w:pPr>
      <w:r>
        <w:rPr>
          <w:b/>
          <w:color w:val="44546A" w:themeColor="text2"/>
        </w:rPr>
        <w:t>2017 1a)</w:t>
      </w:r>
    </w:p>
    <w:p w14:paraId="708F93ED" w14:textId="7D44D18C" w:rsidR="00F54B11" w:rsidRDefault="00F54B11" w:rsidP="00F54B11">
      <w:pPr>
        <w:pStyle w:val="ListParagraph"/>
        <w:numPr>
          <w:ilvl w:val="1"/>
          <w:numId w:val="15"/>
        </w:numPr>
        <w:rPr>
          <w:b/>
          <w:color w:val="44546A" w:themeColor="text2"/>
        </w:rPr>
      </w:pPr>
      <w:r>
        <w:rPr>
          <w:b/>
          <w:color w:val="44546A" w:themeColor="text2"/>
        </w:rPr>
        <w:t>Total Value = $6</w:t>
      </w:r>
      <w:r w:rsidR="00F401C8">
        <w:rPr>
          <w:b/>
          <w:color w:val="44546A" w:themeColor="text2"/>
        </w:rPr>
        <w:t>04</w:t>
      </w:r>
      <w:r>
        <w:rPr>
          <w:b/>
          <w:color w:val="44546A" w:themeColor="text2"/>
        </w:rPr>
        <w:t>,</w:t>
      </w:r>
      <w:r w:rsidR="00F401C8">
        <w:rPr>
          <w:b/>
          <w:color w:val="44546A" w:themeColor="text2"/>
        </w:rPr>
        <w:t>888</w:t>
      </w:r>
    </w:p>
    <w:p w14:paraId="3960295D" w14:textId="77777777" w:rsidR="00F401C8" w:rsidRDefault="00F401C8" w:rsidP="006C0F90">
      <w:pPr>
        <w:pStyle w:val="ListParagraph"/>
        <w:numPr>
          <w:ilvl w:val="2"/>
          <w:numId w:val="15"/>
        </w:numPr>
        <w:rPr>
          <w:b/>
          <w:color w:val="44546A" w:themeColor="text2"/>
        </w:rPr>
      </w:pPr>
      <w:r>
        <w:rPr>
          <w:b/>
          <w:color w:val="44546A" w:themeColor="text2"/>
        </w:rPr>
        <w:t>$617,456</w:t>
      </w:r>
    </w:p>
    <w:p w14:paraId="6B8E73CA" w14:textId="4E563AB9" w:rsidR="006C0F90" w:rsidRDefault="006C0F90" w:rsidP="00F401C8">
      <w:pPr>
        <w:pStyle w:val="ListParagraph"/>
        <w:numPr>
          <w:ilvl w:val="3"/>
          <w:numId w:val="15"/>
        </w:numPr>
        <w:rPr>
          <w:b/>
          <w:color w:val="44546A" w:themeColor="text2"/>
        </w:rPr>
      </w:pPr>
      <w:r>
        <w:rPr>
          <w:b/>
          <w:color w:val="44546A" w:themeColor="text2"/>
        </w:rPr>
        <w:t>relate</w:t>
      </w:r>
      <w:r w:rsidR="00F401C8">
        <w:rPr>
          <w:b/>
          <w:color w:val="44546A" w:themeColor="text2"/>
        </w:rPr>
        <w:t>s</w:t>
      </w:r>
      <w:r>
        <w:rPr>
          <w:b/>
          <w:color w:val="44546A" w:themeColor="text2"/>
        </w:rPr>
        <w:t xml:space="preserve"> to 2016 kWh’s billed in 2017 (GA portion) using posted GA rate</w:t>
      </w:r>
    </w:p>
    <w:p w14:paraId="178C04A2" w14:textId="27038753" w:rsidR="006C0F90" w:rsidRDefault="006C0F90" w:rsidP="00F401C8">
      <w:pPr>
        <w:pStyle w:val="ListParagraph"/>
        <w:numPr>
          <w:ilvl w:val="3"/>
          <w:numId w:val="15"/>
        </w:numPr>
        <w:rPr>
          <w:b/>
          <w:color w:val="44546A" w:themeColor="text2"/>
        </w:rPr>
      </w:pPr>
      <w:r>
        <w:rPr>
          <w:b/>
          <w:color w:val="44546A" w:themeColor="text2"/>
        </w:rPr>
        <w:t>2016 activity recorded in 2017</w:t>
      </w:r>
    </w:p>
    <w:p w14:paraId="4D6B4B7A" w14:textId="340FC936" w:rsidR="00F401C8" w:rsidRDefault="00F401C8" w:rsidP="00F401C8">
      <w:pPr>
        <w:pStyle w:val="ListParagraph"/>
        <w:numPr>
          <w:ilvl w:val="2"/>
          <w:numId w:val="15"/>
        </w:numPr>
        <w:rPr>
          <w:b/>
          <w:color w:val="44546A" w:themeColor="text2"/>
        </w:rPr>
      </w:pPr>
      <w:r>
        <w:rPr>
          <w:b/>
          <w:color w:val="44546A" w:themeColor="text2"/>
        </w:rPr>
        <w:t>$12,568 – reversal of 2016 item 1b</w:t>
      </w:r>
    </w:p>
    <w:p w14:paraId="16D70327" w14:textId="59ECB735" w:rsidR="006C0F90" w:rsidRDefault="006C0F90" w:rsidP="006C0F90">
      <w:pPr>
        <w:pStyle w:val="ListParagraph"/>
        <w:numPr>
          <w:ilvl w:val="0"/>
          <w:numId w:val="15"/>
        </w:numPr>
        <w:rPr>
          <w:b/>
          <w:color w:val="44546A" w:themeColor="text2"/>
        </w:rPr>
      </w:pPr>
      <w:r>
        <w:rPr>
          <w:b/>
          <w:color w:val="44546A" w:themeColor="text2"/>
        </w:rPr>
        <w:t>2017 1b)</w:t>
      </w:r>
    </w:p>
    <w:p w14:paraId="693D6184" w14:textId="50C9D134" w:rsidR="00F401C8" w:rsidRDefault="00F401C8" w:rsidP="00F401C8">
      <w:pPr>
        <w:pStyle w:val="ListParagraph"/>
        <w:numPr>
          <w:ilvl w:val="1"/>
          <w:numId w:val="15"/>
        </w:numPr>
        <w:rPr>
          <w:b/>
          <w:color w:val="44546A" w:themeColor="text2"/>
        </w:rPr>
      </w:pPr>
      <w:r>
        <w:rPr>
          <w:b/>
          <w:color w:val="44546A" w:themeColor="text2"/>
        </w:rPr>
        <w:t>Total value = $3,046</w:t>
      </w:r>
    </w:p>
    <w:p w14:paraId="696BA2E3" w14:textId="2E91C4A6" w:rsidR="00F401C8" w:rsidRDefault="00F401C8" w:rsidP="00F401C8">
      <w:pPr>
        <w:pStyle w:val="ListParagraph"/>
        <w:numPr>
          <w:ilvl w:val="2"/>
          <w:numId w:val="15"/>
        </w:numPr>
        <w:rPr>
          <w:b/>
          <w:color w:val="44546A" w:themeColor="text2"/>
        </w:rPr>
      </w:pPr>
      <w:r>
        <w:rPr>
          <w:b/>
          <w:color w:val="44546A" w:themeColor="text2"/>
        </w:rPr>
        <w:t>True-up of estimated kWh from Dec 2017, recorded in 2018</w:t>
      </w:r>
    </w:p>
    <w:p w14:paraId="2931DB43" w14:textId="75DB8C5E" w:rsidR="00F401C8" w:rsidRDefault="00F401C8" w:rsidP="00F401C8">
      <w:pPr>
        <w:pStyle w:val="ListParagraph"/>
        <w:numPr>
          <w:ilvl w:val="0"/>
          <w:numId w:val="15"/>
        </w:numPr>
        <w:rPr>
          <w:b/>
          <w:color w:val="44546A" w:themeColor="text2"/>
        </w:rPr>
      </w:pPr>
      <w:r>
        <w:rPr>
          <w:b/>
          <w:color w:val="44546A" w:themeColor="text2"/>
        </w:rPr>
        <w:t>2018 1a)</w:t>
      </w:r>
    </w:p>
    <w:p w14:paraId="19BD83A0" w14:textId="73B7BD1F" w:rsidR="00F401C8" w:rsidRDefault="00F401C8" w:rsidP="00F401C8">
      <w:pPr>
        <w:pStyle w:val="ListParagraph"/>
        <w:numPr>
          <w:ilvl w:val="1"/>
          <w:numId w:val="15"/>
        </w:numPr>
        <w:rPr>
          <w:b/>
          <w:color w:val="44546A" w:themeColor="text2"/>
        </w:rPr>
      </w:pPr>
      <w:r>
        <w:rPr>
          <w:b/>
          <w:color w:val="44546A" w:themeColor="text2"/>
        </w:rPr>
        <w:t>Total Value = $743,783</w:t>
      </w:r>
    </w:p>
    <w:p w14:paraId="166F3DEF" w14:textId="5C17EFBA" w:rsidR="00F401C8" w:rsidRDefault="00F401C8" w:rsidP="00F401C8">
      <w:pPr>
        <w:pStyle w:val="ListParagraph"/>
        <w:numPr>
          <w:ilvl w:val="2"/>
          <w:numId w:val="15"/>
        </w:numPr>
        <w:rPr>
          <w:b/>
          <w:color w:val="44546A" w:themeColor="text2"/>
        </w:rPr>
      </w:pPr>
      <w:r>
        <w:rPr>
          <w:b/>
          <w:color w:val="44546A" w:themeColor="text2"/>
        </w:rPr>
        <w:t>$740,738</w:t>
      </w:r>
    </w:p>
    <w:p w14:paraId="44A7C521" w14:textId="2ADA6E66" w:rsidR="00F401C8" w:rsidRDefault="00F401C8" w:rsidP="00F401C8">
      <w:pPr>
        <w:pStyle w:val="ListParagraph"/>
        <w:numPr>
          <w:ilvl w:val="3"/>
          <w:numId w:val="15"/>
        </w:numPr>
        <w:rPr>
          <w:b/>
          <w:color w:val="44546A" w:themeColor="text2"/>
        </w:rPr>
      </w:pPr>
      <w:r>
        <w:rPr>
          <w:b/>
          <w:color w:val="44546A" w:themeColor="text2"/>
        </w:rPr>
        <w:t>relates to 2017 kWh’s billed in 2018 (GA portion) using posted GA rate</w:t>
      </w:r>
    </w:p>
    <w:p w14:paraId="73424B84" w14:textId="69CE97B1" w:rsidR="00F401C8" w:rsidRDefault="00F401C8" w:rsidP="00F401C8">
      <w:pPr>
        <w:pStyle w:val="ListParagraph"/>
        <w:numPr>
          <w:ilvl w:val="3"/>
          <w:numId w:val="15"/>
        </w:numPr>
        <w:rPr>
          <w:b/>
          <w:color w:val="44546A" w:themeColor="text2"/>
        </w:rPr>
      </w:pPr>
      <w:r>
        <w:rPr>
          <w:b/>
          <w:color w:val="44546A" w:themeColor="text2"/>
        </w:rPr>
        <w:t>2017 activity recorded in 2018</w:t>
      </w:r>
    </w:p>
    <w:p w14:paraId="51580090" w14:textId="757B11AD" w:rsidR="00F401C8" w:rsidRDefault="00F401C8" w:rsidP="00F401C8">
      <w:pPr>
        <w:pStyle w:val="ListParagraph"/>
        <w:numPr>
          <w:ilvl w:val="2"/>
          <w:numId w:val="15"/>
        </w:numPr>
        <w:rPr>
          <w:b/>
          <w:color w:val="44546A" w:themeColor="text2"/>
        </w:rPr>
      </w:pPr>
      <w:r>
        <w:rPr>
          <w:b/>
          <w:color w:val="44546A" w:themeColor="text2"/>
        </w:rPr>
        <w:t>$3,046 – reversal of 2017 item 1b</w:t>
      </w:r>
    </w:p>
    <w:p w14:paraId="02A4E77D" w14:textId="53A1D142" w:rsidR="00F401C8" w:rsidRDefault="00F401C8" w:rsidP="00F401C8">
      <w:pPr>
        <w:pStyle w:val="ListParagraph"/>
        <w:numPr>
          <w:ilvl w:val="0"/>
          <w:numId w:val="15"/>
        </w:numPr>
        <w:rPr>
          <w:b/>
          <w:color w:val="44546A" w:themeColor="text2"/>
        </w:rPr>
      </w:pPr>
      <w:r>
        <w:rPr>
          <w:b/>
          <w:color w:val="44546A" w:themeColor="text2"/>
        </w:rPr>
        <w:t>2018 1b)</w:t>
      </w:r>
    </w:p>
    <w:p w14:paraId="5973D7C2" w14:textId="7A98BC76" w:rsidR="00F401C8" w:rsidRDefault="00F401C8" w:rsidP="00F401C8">
      <w:pPr>
        <w:pStyle w:val="ListParagraph"/>
        <w:numPr>
          <w:ilvl w:val="1"/>
          <w:numId w:val="15"/>
        </w:numPr>
        <w:rPr>
          <w:b/>
          <w:color w:val="44546A" w:themeColor="text2"/>
        </w:rPr>
      </w:pPr>
      <w:r>
        <w:rPr>
          <w:b/>
          <w:color w:val="44546A" w:themeColor="text2"/>
        </w:rPr>
        <w:t>Total value = $24,555</w:t>
      </w:r>
    </w:p>
    <w:p w14:paraId="4C291FD1" w14:textId="6D0517BA" w:rsidR="00F401C8" w:rsidRDefault="00F401C8" w:rsidP="00F401C8">
      <w:pPr>
        <w:pStyle w:val="ListParagraph"/>
        <w:numPr>
          <w:ilvl w:val="2"/>
          <w:numId w:val="15"/>
        </w:numPr>
        <w:rPr>
          <w:b/>
          <w:color w:val="44546A" w:themeColor="text2"/>
        </w:rPr>
      </w:pPr>
      <w:r>
        <w:rPr>
          <w:b/>
          <w:color w:val="44546A" w:themeColor="text2"/>
        </w:rPr>
        <w:t>True-up of estimated kWh from Dec 2018, recorded in 2019</w:t>
      </w:r>
    </w:p>
    <w:p w14:paraId="01E5BDB4" w14:textId="0C9C5CE4" w:rsidR="00F401C8" w:rsidRDefault="00F401C8" w:rsidP="00F401C8">
      <w:pPr>
        <w:pStyle w:val="ListParagraph"/>
        <w:numPr>
          <w:ilvl w:val="0"/>
          <w:numId w:val="15"/>
        </w:numPr>
        <w:rPr>
          <w:b/>
          <w:color w:val="44546A" w:themeColor="text2"/>
        </w:rPr>
      </w:pPr>
      <w:r>
        <w:rPr>
          <w:b/>
          <w:color w:val="44546A" w:themeColor="text2"/>
        </w:rPr>
        <w:t>2019 1a)</w:t>
      </w:r>
    </w:p>
    <w:p w14:paraId="7DA3E696" w14:textId="09C27D86" w:rsidR="00F401C8" w:rsidRDefault="00F401C8" w:rsidP="00F401C8">
      <w:pPr>
        <w:pStyle w:val="ListParagraph"/>
        <w:numPr>
          <w:ilvl w:val="1"/>
          <w:numId w:val="15"/>
        </w:numPr>
        <w:rPr>
          <w:b/>
          <w:color w:val="44546A" w:themeColor="text2"/>
        </w:rPr>
      </w:pPr>
      <w:r>
        <w:rPr>
          <w:b/>
          <w:color w:val="44546A" w:themeColor="text2"/>
        </w:rPr>
        <w:t>Total Value = $597,171</w:t>
      </w:r>
    </w:p>
    <w:p w14:paraId="13D1F24B" w14:textId="2C3AC8D3" w:rsidR="00F401C8" w:rsidRDefault="00F401C8" w:rsidP="00F401C8">
      <w:pPr>
        <w:pStyle w:val="ListParagraph"/>
        <w:numPr>
          <w:ilvl w:val="2"/>
          <w:numId w:val="15"/>
        </w:numPr>
        <w:rPr>
          <w:b/>
          <w:color w:val="44546A" w:themeColor="text2"/>
        </w:rPr>
      </w:pPr>
      <w:r>
        <w:rPr>
          <w:b/>
          <w:color w:val="44546A" w:themeColor="text2"/>
        </w:rPr>
        <w:t>$621,726</w:t>
      </w:r>
    </w:p>
    <w:p w14:paraId="7848ED00" w14:textId="7D220A9A" w:rsidR="00F401C8" w:rsidRDefault="00F401C8" w:rsidP="00F401C8">
      <w:pPr>
        <w:pStyle w:val="ListParagraph"/>
        <w:numPr>
          <w:ilvl w:val="3"/>
          <w:numId w:val="15"/>
        </w:numPr>
        <w:rPr>
          <w:b/>
          <w:color w:val="44546A" w:themeColor="text2"/>
        </w:rPr>
      </w:pPr>
      <w:r>
        <w:rPr>
          <w:b/>
          <w:color w:val="44546A" w:themeColor="text2"/>
        </w:rPr>
        <w:t>relates to 2018 kWh’s billed in 2019 (GA portion) using posted GA rate</w:t>
      </w:r>
    </w:p>
    <w:p w14:paraId="20B91D53" w14:textId="77692DC1" w:rsidR="00F401C8" w:rsidRDefault="00F401C8" w:rsidP="00F401C8">
      <w:pPr>
        <w:pStyle w:val="ListParagraph"/>
        <w:numPr>
          <w:ilvl w:val="3"/>
          <w:numId w:val="15"/>
        </w:numPr>
        <w:rPr>
          <w:b/>
          <w:color w:val="44546A" w:themeColor="text2"/>
        </w:rPr>
      </w:pPr>
      <w:r>
        <w:rPr>
          <w:b/>
          <w:color w:val="44546A" w:themeColor="text2"/>
        </w:rPr>
        <w:t>2018 activity recorded in 2019</w:t>
      </w:r>
    </w:p>
    <w:p w14:paraId="51F5FFF1" w14:textId="51361590" w:rsidR="00F401C8" w:rsidRDefault="00F401C8" w:rsidP="00F401C8">
      <w:pPr>
        <w:pStyle w:val="ListParagraph"/>
        <w:numPr>
          <w:ilvl w:val="1"/>
          <w:numId w:val="15"/>
        </w:numPr>
        <w:rPr>
          <w:b/>
          <w:color w:val="44546A" w:themeColor="text2"/>
        </w:rPr>
      </w:pPr>
      <w:r>
        <w:rPr>
          <w:b/>
          <w:color w:val="44546A" w:themeColor="text2"/>
        </w:rPr>
        <w:t>$24,555 – reversal of 2018 item 1b</w:t>
      </w:r>
    </w:p>
    <w:p w14:paraId="22E61C44" w14:textId="35EE8732" w:rsidR="00F401C8" w:rsidRDefault="00F401C8" w:rsidP="00F401C8">
      <w:pPr>
        <w:pStyle w:val="ListParagraph"/>
        <w:numPr>
          <w:ilvl w:val="0"/>
          <w:numId w:val="15"/>
        </w:numPr>
        <w:rPr>
          <w:b/>
          <w:color w:val="44546A" w:themeColor="text2"/>
        </w:rPr>
      </w:pPr>
      <w:r>
        <w:rPr>
          <w:b/>
          <w:color w:val="44546A" w:themeColor="text2"/>
        </w:rPr>
        <w:t>2019 1b)</w:t>
      </w:r>
    </w:p>
    <w:p w14:paraId="75078E12" w14:textId="7B092E27" w:rsidR="00F401C8" w:rsidRDefault="00F401C8" w:rsidP="00F401C8">
      <w:pPr>
        <w:pStyle w:val="ListParagraph"/>
        <w:numPr>
          <w:ilvl w:val="1"/>
          <w:numId w:val="15"/>
        </w:numPr>
        <w:rPr>
          <w:b/>
          <w:color w:val="44546A" w:themeColor="text2"/>
        </w:rPr>
      </w:pPr>
      <w:r>
        <w:rPr>
          <w:b/>
          <w:color w:val="44546A" w:themeColor="text2"/>
        </w:rPr>
        <w:t>Total value = $4,700</w:t>
      </w:r>
    </w:p>
    <w:p w14:paraId="1AC55897" w14:textId="0B1039B7" w:rsidR="00F401C8" w:rsidRDefault="00F401C8" w:rsidP="00F401C8">
      <w:pPr>
        <w:pStyle w:val="ListParagraph"/>
        <w:numPr>
          <w:ilvl w:val="2"/>
          <w:numId w:val="15"/>
        </w:numPr>
        <w:rPr>
          <w:b/>
          <w:color w:val="44546A" w:themeColor="text2"/>
        </w:rPr>
      </w:pPr>
      <w:r>
        <w:rPr>
          <w:b/>
          <w:color w:val="44546A" w:themeColor="text2"/>
        </w:rPr>
        <w:t>True-up of estimated kWh from Dec 2019, recorded in 2020</w:t>
      </w:r>
    </w:p>
    <w:p w14:paraId="4B182A8A" w14:textId="43F2F5E0" w:rsidR="00BF29AD" w:rsidRPr="00F54B11" w:rsidRDefault="00BF29AD" w:rsidP="00F54B11">
      <w:pPr>
        <w:pStyle w:val="ListParagraph"/>
        <w:numPr>
          <w:ilvl w:val="0"/>
          <w:numId w:val="15"/>
        </w:numPr>
        <w:rPr>
          <w:b/>
          <w:color w:val="44546A" w:themeColor="text2"/>
        </w:rPr>
      </w:pPr>
      <w:r w:rsidRPr="00F54B11">
        <w:rPr>
          <w:b/>
          <w:color w:val="44546A" w:themeColor="text2"/>
        </w:rPr>
        <w:br w:type="page"/>
      </w:r>
    </w:p>
    <w:p w14:paraId="47A36848" w14:textId="51D748FE" w:rsidR="00533D38" w:rsidRPr="00E63BC0" w:rsidRDefault="00533D38" w:rsidP="00A67AB1">
      <w:pPr>
        <w:spacing w:after="0"/>
        <w:rPr>
          <w:b/>
          <w:bCs/>
        </w:rPr>
      </w:pPr>
      <w:r w:rsidRPr="00E63BC0">
        <w:rPr>
          <w:b/>
          <w:bCs/>
        </w:rPr>
        <w:lastRenderedPageBreak/>
        <w:t>Staff Question #</w:t>
      </w:r>
      <w:r w:rsidR="00A602C1" w:rsidRPr="00E63BC0">
        <w:rPr>
          <w:b/>
          <w:bCs/>
        </w:rPr>
        <w:t>7</w:t>
      </w:r>
    </w:p>
    <w:p w14:paraId="0CCDA0ED" w14:textId="4CC08E22" w:rsidR="00533D38" w:rsidRPr="00A67AB1" w:rsidRDefault="00533D38" w:rsidP="00A67AB1">
      <w:pPr>
        <w:pStyle w:val="ListParagraph"/>
        <w:spacing w:after="0"/>
        <w:ind w:left="0"/>
      </w:pPr>
      <w:r w:rsidRPr="00A67AB1">
        <w:t>Ref:</w:t>
      </w:r>
      <w:r w:rsidRPr="00A67AB1">
        <w:tab/>
        <w:t>EB-2020-0056 – Appendix I - THI Special Purpose Audit Findings (2016 &amp; 2017)</w:t>
      </w:r>
    </w:p>
    <w:p w14:paraId="121986B2" w14:textId="7851140E" w:rsidR="00533D38" w:rsidRPr="00A67AB1" w:rsidRDefault="00533D38" w:rsidP="00A67AB1">
      <w:pPr>
        <w:pStyle w:val="ListParagraph"/>
        <w:spacing w:after="0"/>
        <w:ind w:left="0"/>
      </w:pPr>
    </w:p>
    <w:p w14:paraId="6D7FE893" w14:textId="5F9389DA" w:rsidR="00533D38" w:rsidRPr="00A67AB1" w:rsidRDefault="00533D38" w:rsidP="00A67AB1">
      <w:pPr>
        <w:spacing w:after="0"/>
      </w:pPr>
      <w:r w:rsidRPr="00A67AB1">
        <w:t>The revised balance of account 1589 for 2016 and 2017 included in the Schedule of Variance Accounts 1588, 1589 and 1595 in the above-mentioned reference are different from the values reported in Continuity Schedule of the Tillsonburg Hydro_2021 IRM_Rate Generator Model V2_20201123.xls file.</w:t>
      </w:r>
    </w:p>
    <w:p w14:paraId="3A1C5B91" w14:textId="77777777" w:rsidR="00A67AB1" w:rsidRPr="00A67AB1" w:rsidRDefault="00A67AB1" w:rsidP="00A67AB1">
      <w:pPr>
        <w:spacing w:after="0"/>
      </w:pPr>
    </w:p>
    <w:p w14:paraId="3C496110" w14:textId="55B2AD7A" w:rsidR="00533D38" w:rsidRPr="00A67AB1" w:rsidRDefault="00533D38" w:rsidP="00A67AB1">
      <w:pPr>
        <w:pStyle w:val="ListParagraph"/>
        <w:numPr>
          <w:ilvl w:val="0"/>
          <w:numId w:val="13"/>
        </w:numPr>
        <w:spacing w:after="0"/>
      </w:pPr>
      <w:r w:rsidRPr="00A67AB1">
        <w:t>Please explain why the balances reported in Appendix I for account 1589 do not match with the information contained in the Continuity Schedule for 2016 and 2017.</w:t>
      </w:r>
    </w:p>
    <w:p w14:paraId="4EB7D367" w14:textId="3AD63F59" w:rsidR="002C718E" w:rsidRDefault="002C718E" w:rsidP="002C718E">
      <w:pPr>
        <w:spacing w:after="0"/>
      </w:pPr>
    </w:p>
    <w:p w14:paraId="484915DE" w14:textId="131AAB54" w:rsidR="002C718E" w:rsidRDefault="002C718E" w:rsidP="002C718E">
      <w:pPr>
        <w:spacing w:after="0"/>
        <w:rPr>
          <w:b/>
          <w:color w:val="44546A" w:themeColor="text2"/>
        </w:rPr>
      </w:pPr>
      <w:r w:rsidRPr="002C718E">
        <w:rPr>
          <w:b/>
          <w:color w:val="44546A" w:themeColor="text2"/>
        </w:rPr>
        <w:t>Response</w:t>
      </w:r>
    </w:p>
    <w:p w14:paraId="012B7356" w14:textId="08D4A629" w:rsidR="002C718E" w:rsidRDefault="002C718E" w:rsidP="002C718E">
      <w:pPr>
        <w:spacing w:after="0"/>
        <w:rPr>
          <w:b/>
          <w:color w:val="44546A" w:themeColor="text2"/>
        </w:rPr>
      </w:pPr>
    </w:p>
    <w:p w14:paraId="60F73342" w14:textId="52AEED03" w:rsidR="002C718E" w:rsidRPr="002C718E" w:rsidRDefault="002C718E" w:rsidP="002C718E">
      <w:pPr>
        <w:spacing w:after="0"/>
        <w:rPr>
          <w:b/>
          <w:color w:val="44546A" w:themeColor="text2"/>
        </w:rPr>
      </w:pPr>
      <w:r>
        <w:rPr>
          <w:b/>
          <w:color w:val="44546A" w:themeColor="text2"/>
        </w:rPr>
        <w:t>THI has provided an explanation of the SPA findings and the Continuity Schedule</w:t>
      </w:r>
      <w:r w:rsidR="00910980">
        <w:rPr>
          <w:b/>
          <w:color w:val="44546A" w:themeColor="text2"/>
        </w:rPr>
        <w:t xml:space="preserve"> variance in IR # 5 above. If the above response does not answer this question, please let us know.</w:t>
      </w:r>
    </w:p>
    <w:p w14:paraId="5B0D972E" w14:textId="77777777" w:rsidR="002C718E" w:rsidRDefault="002C718E" w:rsidP="002C718E">
      <w:pPr>
        <w:spacing w:after="0"/>
      </w:pPr>
    </w:p>
    <w:p w14:paraId="661D69FE" w14:textId="789A3388" w:rsidR="00533D38" w:rsidRPr="00A67AB1" w:rsidRDefault="00533D38" w:rsidP="00A67AB1">
      <w:pPr>
        <w:pStyle w:val="ListParagraph"/>
        <w:numPr>
          <w:ilvl w:val="0"/>
          <w:numId w:val="13"/>
        </w:numPr>
        <w:spacing w:after="0"/>
      </w:pPr>
      <w:r w:rsidRPr="00A67AB1">
        <w:t xml:space="preserve">Please explain in further detail and provide supporting documentation </w:t>
      </w:r>
      <w:r w:rsidR="009506D2">
        <w:t>with respect to</w:t>
      </w:r>
      <w:r w:rsidRPr="00A67AB1">
        <w:t xml:space="preserve"> how the adjustments for 1588 and 1589 for the years 2016 and 2017 ($1.3M and $2.2M) were calculated</w:t>
      </w:r>
      <w:r w:rsidR="009506D2">
        <w:t xml:space="preserve"> (Please refer to the below</w:t>
      </w:r>
      <w:r w:rsidRPr="00A67AB1">
        <w:t xml:space="preserve"> extract from the Schedule of Variance Accounts 1588, 1589 and 1595 included in Appendix I</w:t>
      </w:r>
      <w:r w:rsidR="009506D2">
        <w:t>)</w:t>
      </w:r>
      <w:r w:rsidR="00C91489">
        <w:t>.</w:t>
      </w:r>
    </w:p>
    <w:p w14:paraId="491EB838" w14:textId="04CBAFEB" w:rsidR="00533D38" w:rsidRPr="00A67AB1" w:rsidRDefault="00533D38" w:rsidP="00A67AB1">
      <w:pPr>
        <w:spacing w:after="0"/>
        <w:ind w:left="360"/>
      </w:pPr>
    </w:p>
    <w:p w14:paraId="597B6288" w14:textId="24A31652" w:rsidR="00533D38" w:rsidRPr="00A67AB1" w:rsidRDefault="00533D38" w:rsidP="00A67AB1">
      <w:pPr>
        <w:pStyle w:val="ListParagraph"/>
        <w:spacing w:after="0"/>
        <w:ind w:left="0"/>
      </w:pPr>
      <w:r w:rsidRPr="00A67AB1">
        <w:rPr>
          <w:noProof/>
          <w:lang w:val="en-CA" w:eastAsia="en-CA"/>
        </w:rPr>
        <mc:AlternateContent>
          <mc:Choice Requires="wps">
            <w:drawing>
              <wp:anchor distT="0" distB="0" distL="114300" distR="114300" simplePos="0" relativeHeight="251659264" behindDoc="0" locked="0" layoutInCell="1" allowOverlap="1" wp14:anchorId="3DB80EEB" wp14:editId="24D49DF0">
                <wp:simplePos x="0" y="0"/>
                <wp:positionH relativeFrom="column">
                  <wp:posOffset>3667125</wp:posOffset>
                </wp:positionH>
                <wp:positionV relativeFrom="paragraph">
                  <wp:posOffset>631825</wp:posOffset>
                </wp:positionV>
                <wp:extent cx="611045" cy="1096413"/>
                <wp:effectExtent l="0" t="0" r="17780" b="27940"/>
                <wp:wrapNone/>
                <wp:docPr id="4" name="Rectangle: Rounded Corners 4"/>
                <wp:cNvGraphicFramePr/>
                <a:graphic xmlns:a="http://schemas.openxmlformats.org/drawingml/2006/main">
                  <a:graphicData uri="http://schemas.microsoft.com/office/word/2010/wordprocessingShape">
                    <wps:wsp>
                      <wps:cNvSpPr/>
                      <wps:spPr>
                        <a:xfrm>
                          <a:off x="0" y="0"/>
                          <a:ext cx="611045" cy="109641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0DC8FBA" id="Rectangle: Rounded Corners 4" o:spid="_x0000_s1026" style="position:absolute;margin-left:288.75pt;margin-top:49.75pt;width:48.1pt;height:86.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" filled="f" strokecolor="red" strokeweight="1pt">
                <v:stroke joinstyle="miter"/>
              </v:roundrect>
            </w:pict>
          </mc:Fallback>
        </mc:AlternateContent>
      </w:r>
      <w:r w:rsidRPr="00A67AB1">
        <w:rPr>
          <w:noProof/>
          <w:lang w:val="en-CA" w:eastAsia="en-CA"/>
        </w:rPr>
        <w:drawing>
          <wp:inline distT="0" distB="0" distL="0" distR="0" wp14:anchorId="64169E1F" wp14:editId="4535B765">
            <wp:extent cx="5943600" cy="1732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1732280"/>
                    </a:xfrm>
                    <a:prstGeom prst="rect">
                      <a:avLst/>
                    </a:prstGeom>
                    <a:noFill/>
                    <a:ln>
                      <a:noFill/>
                    </a:ln>
                  </pic:spPr>
                </pic:pic>
              </a:graphicData>
            </a:graphic>
          </wp:inline>
        </w:drawing>
      </w:r>
    </w:p>
    <w:p w14:paraId="2337F6E0" w14:textId="63F51AA1" w:rsidR="00533D38" w:rsidRPr="00A67AB1" w:rsidRDefault="00533D38" w:rsidP="00A67AB1">
      <w:pPr>
        <w:pStyle w:val="ListParagraph"/>
        <w:spacing w:after="0"/>
        <w:ind w:left="0"/>
      </w:pPr>
    </w:p>
    <w:p w14:paraId="30C32A06" w14:textId="071570BA" w:rsidR="00533D38" w:rsidRPr="00A67AB1" w:rsidRDefault="00533D38" w:rsidP="00A67AB1">
      <w:pPr>
        <w:pStyle w:val="ListParagraph"/>
        <w:spacing w:after="0"/>
        <w:ind w:left="0"/>
      </w:pPr>
      <w:r w:rsidRPr="00A67AB1">
        <w:rPr>
          <w:noProof/>
          <w:lang w:val="en-CA" w:eastAsia="en-CA"/>
        </w:rPr>
        <mc:AlternateContent>
          <mc:Choice Requires="wps">
            <w:drawing>
              <wp:anchor distT="0" distB="0" distL="114300" distR="114300" simplePos="0" relativeHeight="251661312" behindDoc="0" locked="0" layoutInCell="1" allowOverlap="1" wp14:anchorId="5C9253C1" wp14:editId="39537E36">
                <wp:simplePos x="0" y="0"/>
                <wp:positionH relativeFrom="column">
                  <wp:posOffset>3657600</wp:posOffset>
                </wp:positionH>
                <wp:positionV relativeFrom="paragraph">
                  <wp:posOffset>828675</wp:posOffset>
                </wp:positionV>
                <wp:extent cx="611045" cy="1096413"/>
                <wp:effectExtent l="0" t="0" r="17780" b="27940"/>
                <wp:wrapNone/>
                <wp:docPr id="5" name="Rectangle: Rounded Corners 5"/>
                <wp:cNvGraphicFramePr/>
                <a:graphic xmlns:a="http://schemas.openxmlformats.org/drawingml/2006/main">
                  <a:graphicData uri="http://schemas.microsoft.com/office/word/2010/wordprocessingShape">
                    <wps:wsp>
                      <wps:cNvSpPr/>
                      <wps:spPr>
                        <a:xfrm>
                          <a:off x="0" y="0"/>
                          <a:ext cx="611045" cy="109641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A0912DB" id="Rectangle: Rounded Corners 5" o:spid="_x0000_s1026" style="position:absolute;margin-left:4in;margin-top:65.25pt;width:48.1pt;height:86.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" filled="f" strokecolor="red" strokeweight="1pt">
                <v:stroke joinstyle="miter"/>
              </v:roundrect>
            </w:pict>
          </mc:Fallback>
        </mc:AlternateContent>
      </w:r>
      <w:r w:rsidRPr="00A67AB1">
        <w:rPr>
          <w:noProof/>
          <w:lang w:val="en-CA" w:eastAsia="en-CA"/>
        </w:rPr>
        <w:drawing>
          <wp:inline distT="0" distB="0" distL="0" distR="0" wp14:anchorId="30DD7C77" wp14:editId="763DE295">
            <wp:extent cx="5943600" cy="1940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940560"/>
                    </a:xfrm>
                    <a:prstGeom prst="rect">
                      <a:avLst/>
                    </a:prstGeom>
                    <a:noFill/>
                    <a:ln>
                      <a:noFill/>
                    </a:ln>
                  </pic:spPr>
                </pic:pic>
              </a:graphicData>
            </a:graphic>
          </wp:inline>
        </w:drawing>
      </w:r>
    </w:p>
    <w:p w14:paraId="364DE5F6" w14:textId="71E13219" w:rsidR="00533D38" w:rsidRDefault="00533D38" w:rsidP="00A67AB1">
      <w:pPr>
        <w:pStyle w:val="ListParagraph"/>
        <w:spacing w:after="0"/>
      </w:pPr>
    </w:p>
    <w:p w14:paraId="0BBAF676" w14:textId="77777777" w:rsidR="00910980" w:rsidRDefault="00910980" w:rsidP="00910980">
      <w:pPr>
        <w:spacing w:after="0"/>
        <w:rPr>
          <w:b/>
          <w:color w:val="44546A" w:themeColor="text2"/>
        </w:rPr>
      </w:pPr>
    </w:p>
    <w:p w14:paraId="6190C371" w14:textId="77777777" w:rsidR="00910980" w:rsidRDefault="00910980" w:rsidP="00910980">
      <w:pPr>
        <w:spacing w:after="0"/>
        <w:rPr>
          <w:b/>
          <w:color w:val="44546A" w:themeColor="text2"/>
        </w:rPr>
      </w:pPr>
    </w:p>
    <w:p w14:paraId="674BEDB4" w14:textId="37480912" w:rsidR="006748D2" w:rsidRPr="00910980" w:rsidRDefault="00910980" w:rsidP="00910980">
      <w:pPr>
        <w:spacing w:after="0"/>
        <w:rPr>
          <w:b/>
          <w:color w:val="44546A" w:themeColor="text2"/>
        </w:rPr>
      </w:pPr>
      <w:r w:rsidRPr="00910980">
        <w:rPr>
          <w:b/>
          <w:color w:val="44546A" w:themeColor="text2"/>
        </w:rPr>
        <w:lastRenderedPageBreak/>
        <w:t>Response</w:t>
      </w:r>
    </w:p>
    <w:p w14:paraId="1D1B8377" w14:textId="3AA4591A" w:rsidR="00910980" w:rsidRDefault="00910980">
      <w:pPr>
        <w:rPr>
          <w:b/>
          <w:bCs/>
        </w:rPr>
      </w:pPr>
    </w:p>
    <w:p w14:paraId="4DFB0FA3" w14:textId="59F634A4" w:rsidR="00910980" w:rsidRDefault="00910980" w:rsidP="00910980">
      <w:pPr>
        <w:spacing w:after="0"/>
        <w:rPr>
          <w:b/>
          <w:color w:val="44546A" w:themeColor="text2"/>
        </w:rPr>
      </w:pPr>
      <w:r w:rsidRPr="00910980">
        <w:rPr>
          <w:b/>
          <w:color w:val="44546A" w:themeColor="text2"/>
        </w:rPr>
        <w:t>Prior to the</w:t>
      </w:r>
      <w:r>
        <w:rPr>
          <w:b/>
          <w:color w:val="44546A" w:themeColor="text2"/>
        </w:rPr>
        <w:t xml:space="preserve"> SPA, THI attended the OEB Staff training on the 1588/1589 accounting guidance, it was at this training that it was identified that THI has a timing issue impacting 2 values that directly affected the 1588 / 1589 variance accounts. THI </w:t>
      </w:r>
      <w:r w:rsidR="004F016B">
        <w:rPr>
          <w:b/>
          <w:color w:val="44546A" w:themeColor="text2"/>
        </w:rPr>
        <w:t>utilized</w:t>
      </w:r>
      <w:r>
        <w:rPr>
          <w:b/>
          <w:color w:val="44546A" w:themeColor="text2"/>
        </w:rPr>
        <w:t xml:space="preserve"> kWh values that </w:t>
      </w:r>
      <w:proofErr w:type="gramStart"/>
      <w:r>
        <w:rPr>
          <w:b/>
          <w:color w:val="44546A" w:themeColor="text2"/>
        </w:rPr>
        <w:t>were not accrued</w:t>
      </w:r>
      <w:proofErr w:type="gramEnd"/>
      <w:r>
        <w:rPr>
          <w:b/>
          <w:color w:val="44546A" w:themeColor="text2"/>
        </w:rPr>
        <w:t xml:space="preserve"> back to the consumption period, but rather on the billing period. This </w:t>
      </w:r>
      <w:r w:rsidR="00523D4C">
        <w:rPr>
          <w:b/>
          <w:color w:val="44546A" w:themeColor="text2"/>
        </w:rPr>
        <w:t>affected</w:t>
      </w:r>
      <w:r>
        <w:rPr>
          <w:b/>
          <w:color w:val="44546A" w:themeColor="text2"/>
        </w:rPr>
        <w:t xml:space="preserve"> both the settlement timeframe, with a permanent </w:t>
      </w:r>
      <w:r w:rsidR="004F016B">
        <w:rPr>
          <w:b/>
          <w:color w:val="44546A" w:themeColor="text2"/>
        </w:rPr>
        <w:t>1-month</w:t>
      </w:r>
      <w:r>
        <w:rPr>
          <w:b/>
          <w:color w:val="44546A" w:themeColor="text2"/>
        </w:rPr>
        <w:t xml:space="preserve"> delay in settlement submissions, as well as </w:t>
      </w:r>
      <w:r w:rsidR="00523D4C">
        <w:rPr>
          <w:b/>
          <w:color w:val="44546A" w:themeColor="text2"/>
        </w:rPr>
        <w:t>affecting</w:t>
      </w:r>
      <w:r>
        <w:rPr>
          <w:b/>
          <w:color w:val="44546A" w:themeColor="text2"/>
        </w:rPr>
        <w:t xml:space="preserve"> the allocation of RPP/Non-RPP Class B Global Adjustment.</w:t>
      </w:r>
    </w:p>
    <w:p w14:paraId="5F5ED89C" w14:textId="7C4E5485" w:rsidR="00910980" w:rsidRDefault="00910980" w:rsidP="00910980">
      <w:pPr>
        <w:spacing w:after="0"/>
        <w:rPr>
          <w:b/>
          <w:color w:val="44546A" w:themeColor="text2"/>
        </w:rPr>
      </w:pPr>
    </w:p>
    <w:p w14:paraId="640D5A3D" w14:textId="153A7C60" w:rsidR="00910980" w:rsidRDefault="00910980" w:rsidP="00910980">
      <w:pPr>
        <w:spacing w:after="0"/>
        <w:rPr>
          <w:b/>
          <w:color w:val="44546A" w:themeColor="text2"/>
        </w:rPr>
      </w:pPr>
      <w:r>
        <w:rPr>
          <w:b/>
          <w:color w:val="44546A" w:themeColor="text2"/>
        </w:rPr>
        <w:t>Subsequently, THI contracted with Utilismart to provide the consumption month values required for settlement with the IESO and used to allocation RPP/Non-RPP Class B GA charges.</w:t>
      </w:r>
    </w:p>
    <w:p w14:paraId="7FC21D1A" w14:textId="35DDE562" w:rsidR="00910980" w:rsidRDefault="00910980" w:rsidP="00910980">
      <w:pPr>
        <w:spacing w:after="0"/>
        <w:rPr>
          <w:b/>
          <w:color w:val="44546A" w:themeColor="text2"/>
        </w:rPr>
      </w:pPr>
    </w:p>
    <w:p w14:paraId="09C8C83F" w14:textId="77777777" w:rsidR="00B52E41" w:rsidRDefault="00910980" w:rsidP="00910980">
      <w:pPr>
        <w:spacing w:after="0"/>
        <w:rPr>
          <w:b/>
          <w:color w:val="44546A" w:themeColor="text2"/>
        </w:rPr>
      </w:pPr>
      <w:r>
        <w:rPr>
          <w:b/>
          <w:color w:val="44546A" w:themeColor="text2"/>
        </w:rPr>
        <w:t xml:space="preserve">The adjustments noted are the annual variances </w:t>
      </w:r>
      <w:r w:rsidR="00B52E41">
        <w:rPr>
          <w:b/>
          <w:color w:val="44546A" w:themeColor="text2"/>
        </w:rPr>
        <w:t xml:space="preserve">between our incorrect calculations and the revisions. This </w:t>
      </w:r>
      <w:proofErr w:type="gramStart"/>
      <w:r w:rsidR="00B52E41">
        <w:rPr>
          <w:b/>
          <w:color w:val="44546A" w:themeColor="text2"/>
        </w:rPr>
        <w:t>was calculated</w:t>
      </w:r>
      <w:proofErr w:type="gramEnd"/>
      <w:r w:rsidR="00B52E41">
        <w:rPr>
          <w:b/>
          <w:color w:val="44546A" w:themeColor="text2"/>
        </w:rPr>
        <w:t xml:space="preserve"> by recalculating monthly settlement values for January 2016 through to April 2020, when we migrated current IESO settlement values to be fed from the Utilismart data tool.</w:t>
      </w:r>
    </w:p>
    <w:p w14:paraId="7C82F32B" w14:textId="77777777" w:rsidR="00B52E41" w:rsidRDefault="00B52E41" w:rsidP="00910980">
      <w:pPr>
        <w:spacing w:after="0"/>
        <w:rPr>
          <w:b/>
          <w:color w:val="44546A" w:themeColor="text2"/>
        </w:rPr>
      </w:pPr>
    </w:p>
    <w:p w14:paraId="1CB5AE61" w14:textId="17ECFCDE" w:rsidR="00910980" w:rsidRPr="00910980" w:rsidRDefault="00B52E41" w:rsidP="00910980">
      <w:pPr>
        <w:spacing w:after="0"/>
        <w:rPr>
          <w:b/>
          <w:color w:val="44546A" w:themeColor="text2"/>
        </w:rPr>
      </w:pPr>
      <w:r>
        <w:rPr>
          <w:b/>
          <w:color w:val="44546A" w:themeColor="text2"/>
        </w:rPr>
        <w:t xml:space="preserve">The SPA </w:t>
      </w:r>
      <w:proofErr w:type="gramStart"/>
      <w:r>
        <w:rPr>
          <w:b/>
          <w:color w:val="44546A" w:themeColor="text2"/>
        </w:rPr>
        <w:t>was conducted</w:t>
      </w:r>
      <w:proofErr w:type="gramEnd"/>
      <w:r>
        <w:rPr>
          <w:b/>
          <w:color w:val="44546A" w:themeColor="text2"/>
        </w:rPr>
        <w:t xml:space="preserve"> using the revised settlement procedure from the Utilismart data tool. </w:t>
      </w:r>
    </w:p>
    <w:p w14:paraId="71A21754" w14:textId="39701D29" w:rsidR="002C718E" w:rsidRDefault="002C718E">
      <w:pPr>
        <w:rPr>
          <w:b/>
          <w:bCs/>
        </w:rPr>
      </w:pPr>
      <w:r>
        <w:rPr>
          <w:b/>
          <w:bCs/>
        </w:rPr>
        <w:br w:type="page"/>
      </w:r>
    </w:p>
    <w:p w14:paraId="66E61B40" w14:textId="1E139E06" w:rsidR="00A67AB1" w:rsidRPr="00E63BC0" w:rsidRDefault="00A67AB1" w:rsidP="00A67AB1">
      <w:pPr>
        <w:spacing w:after="0"/>
        <w:rPr>
          <w:b/>
          <w:bCs/>
        </w:rPr>
      </w:pPr>
      <w:r w:rsidRPr="00E63BC0">
        <w:rPr>
          <w:b/>
          <w:bCs/>
        </w:rPr>
        <w:lastRenderedPageBreak/>
        <w:t>Staff Question #8</w:t>
      </w:r>
    </w:p>
    <w:p w14:paraId="24B04423" w14:textId="77777777" w:rsidR="00A67AB1" w:rsidRPr="00A67AB1" w:rsidRDefault="00A67AB1" w:rsidP="00A67AB1">
      <w:pPr>
        <w:spacing w:after="0"/>
      </w:pPr>
      <w:r w:rsidRPr="00A67AB1">
        <w:t>Ref:</w:t>
      </w:r>
      <w:r w:rsidRPr="00A67AB1">
        <w:tab/>
        <w:t>IRM Rate Generator, Tab 3. Continuity Schedule</w:t>
      </w:r>
    </w:p>
    <w:p w14:paraId="1932BD0C" w14:textId="77777777" w:rsidR="00A67AB1" w:rsidRPr="00A67AB1" w:rsidRDefault="00A67AB1" w:rsidP="00A67AB1">
      <w:pPr>
        <w:spacing w:after="0"/>
      </w:pPr>
      <w:r w:rsidRPr="00A67AB1">
        <w:tab/>
        <w:t>EB-2020-0056, Appendix I – THI Special Purpose Audit Findings (2016 &amp; 2017)</w:t>
      </w:r>
    </w:p>
    <w:p w14:paraId="4A8B3007" w14:textId="77777777" w:rsidR="00A67AB1" w:rsidRPr="00A67AB1" w:rsidRDefault="00A67AB1" w:rsidP="00A67AB1">
      <w:pPr>
        <w:spacing w:after="0"/>
      </w:pPr>
      <w:r w:rsidRPr="00A67AB1">
        <w:tab/>
        <w:t>EB-2019-0069, Final 2020 Rate Generator Model</w:t>
      </w:r>
    </w:p>
    <w:p w14:paraId="58BE5EFF" w14:textId="77777777" w:rsidR="00A67AB1" w:rsidRPr="00A67AB1" w:rsidRDefault="00A67AB1" w:rsidP="00A67AB1">
      <w:pPr>
        <w:spacing w:after="0"/>
      </w:pPr>
      <w:r w:rsidRPr="00A67AB1">
        <w:tab/>
      </w:r>
    </w:p>
    <w:p w14:paraId="1A4F5067" w14:textId="77777777" w:rsidR="00A67AB1" w:rsidRPr="00A67AB1" w:rsidRDefault="00A67AB1" w:rsidP="00A67AB1">
      <w:pPr>
        <w:spacing w:after="0"/>
      </w:pPr>
      <w:r w:rsidRPr="00A67AB1">
        <w:t>OEB staff noted that in the Special Purpose Audit Findings (SPA), Accounts 1595 had a principal of $156,899 as at December 31, 2016 and $(49,008) as at December 31, 2017.  In the IRM Rate Generator, the closing balance for Account 1595 (2015) as at December 31, 2016 and December 31, 2017 is $(94,632). In EB-2019-0069’s Final 2020 Rate Generator Model, the closing balance for Account 1595 (2015) as at December 31, 2016 and 2017 is $(115,659).</w:t>
      </w:r>
    </w:p>
    <w:p w14:paraId="6FCC4B3E" w14:textId="77777777" w:rsidR="00A67AB1" w:rsidRPr="00A67AB1" w:rsidRDefault="00A67AB1" w:rsidP="00A67AB1">
      <w:pPr>
        <w:spacing w:after="0"/>
      </w:pPr>
    </w:p>
    <w:p w14:paraId="0B6F82D6" w14:textId="77777777" w:rsidR="00A67AB1" w:rsidRPr="00A67AB1" w:rsidRDefault="00A67AB1" w:rsidP="00A67AB1">
      <w:pPr>
        <w:pStyle w:val="ListParagraph"/>
        <w:numPr>
          <w:ilvl w:val="0"/>
          <w:numId w:val="8"/>
        </w:numPr>
        <w:spacing w:after="0"/>
      </w:pPr>
      <w:r w:rsidRPr="00A67AB1">
        <w:t xml:space="preserve">Please confirm that the SPA Accounts 1595 is for subaccount 2015. If not, please provide the sub-accounts the SPA </w:t>
      </w:r>
      <w:proofErr w:type="gramStart"/>
      <w:r w:rsidRPr="00A67AB1">
        <w:t>was completed</w:t>
      </w:r>
      <w:proofErr w:type="gramEnd"/>
      <w:r w:rsidRPr="00A67AB1">
        <w:t xml:space="preserve"> for.</w:t>
      </w:r>
    </w:p>
    <w:p w14:paraId="4FFB0237" w14:textId="77777777" w:rsidR="00A67AB1" w:rsidRPr="00A67AB1" w:rsidRDefault="00A67AB1" w:rsidP="00A67AB1">
      <w:pPr>
        <w:pStyle w:val="ListParagraph"/>
        <w:numPr>
          <w:ilvl w:val="0"/>
          <w:numId w:val="8"/>
        </w:numPr>
        <w:spacing w:after="0"/>
      </w:pPr>
      <w:r w:rsidRPr="00A67AB1">
        <w:t xml:space="preserve">Please reconcile the sub-accounts in the SPA to the continuity schedule in the 2021 rate generator model. </w:t>
      </w:r>
    </w:p>
    <w:p w14:paraId="6B90D3D7" w14:textId="2E1BD378" w:rsidR="00A67AB1" w:rsidRDefault="00A67AB1" w:rsidP="00A67AB1">
      <w:pPr>
        <w:pStyle w:val="ListParagraph"/>
        <w:numPr>
          <w:ilvl w:val="0"/>
          <w:numId w:val="8"/>
        </w:numPr>
        <w:spacing w:after="0"/>
      </w:pPr>
      <w:r w:rsidRPr="00A67AB1">
        <w:t xml:space="preserve">Please reconcile Account 1595 subaccount 2015 between the 2020 and 2021 rate generators. </w:t>
      </w:r>
    </w:p>
    <w:p w14:paraId="7C8C7FE0" w14:textId="66EAFFB5" w:rsidR="00A67AB1" w:rsidRDefault="00A67AB1" w:rsidP="00A67AB1">
      <w:pPr>
        <w:pStyle w:val="ListParagraph"/>
        <w:spacing w:after="0"/>
      </w:pPr>
    </w:p>
    <w:p w14:paraId="6060C37B" w14:textId="57A4918A" w:rsidR="006748D2" w:rsidRPr="00B52E41" w:rsidRDefault="00B52E41" w:rsidP="00B52E41">
      <w:pPr>
        <w:spacing w:after="0"/>
        <w:rPr>
          <w:b/>
          <w:color w:val="44546A" w:themeColor="text2"/>
        </w:rPr>
      </w:pPr>
      <w:r w:rsidRPr="00B52E41">
        <w:rPr>
          <w:b/>
          <w:color w:val="44546A" w:themeColor="text2"/>
        </w:rPr>
        <w:t>Response</w:t>
      </w:r>
    </w:p>
    <w:p w14:paraId="5F705052" w14:textId="77777777" w:rsidR="00B52E41" w:rsidRPr="00B52E41" w:rsidRDefault="00B52E41" w:rsidP="00B52E41">
      <w:pPr>
        <w:spacing w:after="0"/>
        <w:rPr>
          <w:b/>
          <w:color w:val="44546A" w:themeColor="text2"/>
        </w:rPr>
      </w:pPr>
    </w:p>
    <w:p w14:paraId="3C35026B" w14:textId="06B53602" w:rsidR="00FC2A3F" w:rsidRPr="00B52E41" w:rsidRDefault="00B52E41" w:rsidP="00B52E41">
      <w:pPr>
        <w:spacing w:after="0"/>
        <w:rPr>
          <w:b/>
          <w:color w:val="44546A" w:themeColor="text2"/>
        </w:rPr>
      </w:pPr>
      <w:r>
        <w:rPr>
          <w:b/>
          <w:color w:val="44546A" w:themeColor="text2"/>
        </w:rPr>
        <w:t xml:space="preserve">Responses for part a) and b) of IR #8 </w:t>
      </w:r>
      <w:proofErr w:type="gramStart"/>
      <w:r>
        <w:rPr>
          <w:b/>
          <w:color w:val="44546A" w:themeColor="text2"/>
        </w:rPr>
        <w:t>have been provided in IR # 5 above and referenced in IR # 7</w:t>
      </w:r>
      <w:proofErr w:type="gramEnd"/>
      <w:r>
        <w:rPr>
          <w:b/>
          <w:color w:val="44546A" w:themeColor="text2"/>
        </w:rPr>
        <w:t xml:space="preserve">. With respect to part c) of IR # 8, the 2020 IRM model had the same error and change identified in IR # 5 above, namely the Opening Balance carry-forward of the 2015 DVADs from 2015 to 2016. These reconciliations </w:t>
      </w:r>
      <w:proofErr w:type="gramStart"/>
      <w:r>
        <w:rPr>
          <w:b/>
          <w:color w:val="44546A" w:themeColor="text2"/>
        </w:rPr>
        <w:t>have been provided</w:t>
      </w:r>
      <w:proofErr w:type="gramEnd"/>
      <w:r>
        <w:rPr>
          <w:b/>
          <w:color w:val="44546A" w:themeColor="text2"/>
        </w:rPr>
        <w:t xml:space="preserve"> in IR # 5 above.</w:t>
      </w:r>
      <w:r w:rsidR="00FC2A3F" w:rsidRPr="00B52E41">
        <w:rPr>
          <w:b/>
          <w:color w:val="44546A" w:themeColor="text2"/>
        </w:rPr>
        <w:br w:type="page"/>
      </w:r>
    </w:p>
    <w:p w14:paraId="2876728B" w14:textId="491B6D18" w:rsidR="0018209D" w:rsidRPr="00E63BC0" w:rsidRDefault="0018209D" w:rsidP="00A67AB1">
      <w:pPr>
        <w:spacing w:after="0"/>
        <w:rPr>
          <w:b/>
          <w:bCs/>
        </w:rPr>
      </w:pPr>
      <w:r w:rsidRPr="00E63BC0">
        <w:rPr>
          <w:b/>
          <w:bCs/>
        </w:rPr>
        <w:lastRenderedPageBreak/>
        <w:t>Staff Question #</w:t>
      </w:r>
      <w:r w:rsidR="00A67AB1" w:rsidRPr="00E63BC0">
        <w:rPr>
          <w:b/>
          <w:bCs/>
        </w:rPr>
        <w:t>9</w:t>
      </w:r>
    </w:p>
    <w:p w14:paraId="5E7B2963" w14:textId="46F9BEBF" w:rsidR="0018209D" w:rsidRPr="00A67AB1" w:rsidRDefault="0018209D" w:rsidP="00A67AB1">
      <w:pPr>
        <w:spacing w:after="0"/>
      </w:pPr>
      <w:r w:rsidRPr="00A67AB1">
        <w:t>Ref:</w:t>
      </w:r>
      <w:r w:rsidRPr="00A67AB1">
        <w:tab/>
      </w:r>
      <w:r w:rsidR="00A4247D" w:rsidRPr="00A67AB1">
        <w:t>IRM Rate Generator, Tab 16</w:t>
      </w:r>
      <w:r w:rsidR="00024CB7" w:rsidRPr="00A67AB1">
        <w:t>:</w:t>
      </w:r>
      <w:r w:rsidR="00682984" w:rsidRPr="00A67AB1">
        <w:t xml:space="preserve"> Rev2 Cost G</w:t>
      </w:r>
      <w:r w:rsidR="00903FFE" w:rsidRPr="00A67AB1">
        <w:t>DP IPI</w:t>
      </w:r>
    </w:p>
    <w:p w14:paraId="7A2842A6" w14:textId="0EADDA99" w:rsidR="005E79F6" w:rsidRPr="00A67AB1" w:rsidRDefault="005E79F6" w:rsidP="00A67AB1">
      <w:pPr>
        <w:spacing w:after="0"/>
        <w:ind w:left="720"/>
      </w:pPr>
      <w:r w:rsidRPr="00A67AB1">
        <w:t>Ontario Energy Board 2021 Electricity Distribution Rate applications webpage– November 9. 2020</w:t>
      </w:r>
    </w:p>
    <w:p w14:paraId="17C74F51" w14:textId="77777777" w:rsidR="00BE028F" w:rsidRPr="00A67AB1" w:rsidRDefault="00BE028F" w:rsidP="00A67AB1">
      <w:pPr>
        <w:spacing w:after="0"/>
      </w:pPr>
    </w:p>
    <w:p w14:paraId="7215AF3D" w14:textId="6B9FC475" w:rsidR="00110B43" w:rsidRPr="00A67AB1" w:rsidRDefault="00110B43" w:rsidP="00A67AB1">
      <w:pPr>
        <w:spacing w:after="0"/>
      </w:pPr>
      <w:r w:rsidRPr="00A67AB1">
        <w:t xml:space="preserve">The OEB calculated the 2021 inflation factor for electricity distributors to be 2.2%. </w:t>
      </w:r>
      <w:r w:rsidR="006F37AB" w:rsidRPr="00A67AB1">
        <w:t xml:space="preserve">OEB staff has updated the price escalator from 2.00% to 2.20% in </w:t>
      </w:r>
      <w:r w:rsidR="00B01245" w:rsidRPr="00A67AB1">
        <w:t>Tillsonburg</w:t>
      </w:r>
      <w:r w:rsidR="00A52C2E">
        <w:t xml:space="preserve"> Hydro</w:t>
      </w:r>
      <w:r w:rsidR="00B01245" w:rsidRPr="00A67AB1">
        <w:t>’s IRM rate generator</w:t>
      </w:r>
      <w:r w:rsidR="006F37AB" w:rsidRPr="00A67AB1">
        <w:t xml:space="preserve">. </w:t>
      </w:r>
      <w:proofErr w:type="gramStart"/>
      <w:r w:rsidRPr="00A67AB1">
        <w:t>The OEB issued a letter providing all utilities the discretion of electing the calculated IPI level per the OEB-approved methodology (offset by the applicable stretch factor and other adjustments for some plans) or a lower value or forgo the inflationary increase entirely.</w:t>
      </w:r>
      <w:proofErr w:type="gramEnd"/>
      <w:r w:rsidRPr="00A67AB1">
        <w:t xml:space="preserve"> </w:t>
      </w:r>
    </w:p>
    <w:p w14:paraId="0EC71D5C" w14:textId="77777777" w:rsidR="00A67AB1" w:rsidRPr="00A67AB1" w:rsidRDefault="00A67AB1" w:rsidP="00A67AB1">
      <w:pPr>
        <w:spacing w:after="0"/>
      </w:pPr>
    </w:p>
    <w:p w14:paraId="6598F3C7" w14:textId="7D28CBBB" w:rsidR="009506D2" w:rsidRDefault="009506D2" w:rsidP="009506D2">
      <w:pPr>
        <w:pStyle w:val="ListParagraph"/>
        <w:numPr>
          <w:ilvl w:val="0"/>
          <w:numId w:val="6"/>
        </w:numPr>
        <w:spacing w:after="0"/>
      </w:pPr>
      <w:r>
        <w:t>Please confirm that Tillsonburg Hydro intends to file its letter, on the record of this proceeding, by the date stipulated in the OEB’s letter</w:t>
      </w:r>
      <w:r w:rsidR="00FE0678">
        <w:t>.</w:t>
      </w:r>
    </w:p>
    <w:p w14:paraId="211CB464" w14:textId="2618C375" w:rsidR="00D25767" w:rsidRDefault="00D25767" w:rsidP="00D25767">
      <w:pPr>
        <w:spacing w:after="0"/>
      </w:pPr>
    </w:p>
    <w:p w14:paraId="1F0F29C3" w14:textId="47273A3F" w:rsidR="00D25767" w:rsidRPr="00D25767" w:rsidRDefault="00D25767" w:rsidP="00D25767">
      <w:pPr>
        <w:spacing w:after="0"/>
        <w:rPr>
          <w:b/>
          <w:color w:val="44546A" w:themeColor="text2"/>
        </w:rPr>
      </w:pPr>
      <w:r w:rsidRPr="00D25767">
        <w:rPr>
          <w:b/>
          <w:color w:val="44546A" w:themeColor="text2"/>
        </w:rPr>
        <w:t>Response</w:t>
      </w:r>
    </w:p>
    <w:p w14:paraId="1687476F" w14:textId="2D6BA6AB" w:rsidR="00294399" w:rsidRDefault="00294399" w:rsidP="00294399">
      <w:pPr>
        <w:spacing w:after="0"/>
      </w:pPr>
    </w:p>
    <w:p w14:paraId="15E5C68A" w14:textId="4F3247DB" w:rsidR="00D25767" w:rsidRPr="00D25767" w:rsidRDefault="00D25767" w:rsidP="00294399">
      <w:pPr>
        <w:spacing w:after="0"/>
        <w:rPr>
          <w:b/>
          <w:color w:val="44546A" w:themeColor="text2"/>
        </w:rPr>
      </w:pPr>
      <w:r w:rsidRPr="00D25767">
        <w:rPr>
          <w:b/>
          <w:color w:val="44546A" w:themeColor="text2"/>
        </w:rPr>
        <w:t>Tillsonburg Hydro will be applying for the maximum IPI (2.2%) less the Annual IRM Stretch Factor (0.6%) for a net increase of 1.</w:t>
      </w:r>
      <w:r>
        <w:rPr>
          <w:b/>
          <w:color w:val="44546A" w:themeColor="text2"/>
        </w:rPr>
        <w:t>6</w:t>
      </w:r>
      <w:r w:rsidRPr="00D25767">
        <w:rPr>
          <w:b/>
          <w:color w:val="44546A" w:themeColor="text2"/>
        </w:rPr>
        <w:t xml:space="preserve">%. A formal letter </w:t>
      </w:r>
      <w:proofErr w:type="gramStart"/>
      <w:r w:rsidRPr="00D25767">
        <w:rPr>
          <w:b/>
          <w:color w:val="44546A" w:themeColor="text2"/>
        </w:rPr>
        <w:t>was sent</w:t>
      </w:r>
      <w:proofErr w:type="gramEnd"/>
      <w:r w:rsidRPr="00D25767">
        <w:rPr>
          <w:b/>
          <w:color w:val="44546A" w:themeColor="text2"/>
        </w:rPr>
        <w:t xml:space="preserve"> </w:t>
      </w:r>
      <w:r w:rsidR="005A2965">
        <w:rPr>
          <w:b/>
          <w:color w:val="44546A" w:themeColor="text2"/>
        </w:rPr>
        <w:t>on February 10, 2021</w:t>
      </w:r>
      <w:r w:rsidRPr="00D25767">
        <w:rPr>
          <w:b/>
          <w:color w:val="44546A" w:themeColor="text2"/>
        </w:rPr>
        <w:t>.</w:t>
      </w:r>
    </w:p>
    <w:p w14:paraId="032E21D0" w14:textId="77777777" w:rsidR="00294399" w:rsidRPr="00A67AB1" w:rsidRDefault="00294399" w:rsidP="00294399">
      <w:pPr>
        <w:spacing w:after="0"/>
      </w:pPr>
    </w:p>
    <w:p w14:paraId="3D3F8145" w14:textId="77777777" w:rsidR="00FC2A3F" w:rsidRDefault="00FC2A3F">
      <w:pPr>
        <w:rPr>
          <w:b/>
          <w:bCs/>
        </w:rPr>
      </w:pPr>
      <w:r>
        <w:rPr>
          <w:b/>
          <w:bCs/>
        </w:rPr>
        <w:br w:type="page"/>
      </w:r>
    </w:p>
    <w:p w14:paraId="2BD7C742" w14:textId="28DCE4BA" w:rsidR="00B01245" w:rsidRPr="00E63BC0" w:rsidRDefault="00B01245" w:rsidP="00A67AB1">
      <w:pPr>
        <w:spacing w:after="0"/>
        <w:rPr>
          <w:b/>
          <w:bCs/>
        </w:rPr>
      </w:pPr>
      <w:r w:rsidRPr="00E63BC0">
        <w:rPr>
          <w:b/>
          <w:bCs/>
        </w:rPr>
        <w:lastRenderedPageBreak/>
        <w:t>Staff Question #</w:t>
      </w:r>
      <w:r w:rsidR="00A67AB1" w:rsidRPr="00E63BC0">
        <w:rPr>
          <w:b/>
          <w:bCs/>
        </w:rPr>
        <w:t>10</w:t>
      </w:r>
    </w:p>
    <w:p w14:paraId="1003EBAC" w14:textId="4361A167" w:rsidR="00B01245" w:rsidRDefault="00B01245" w:rsidP="00A67AB1">
      <w:pPr>
        <w:spacing w:after="0"/>
      </w:pPr>
      <w:r w:rsidRPr="00A67AB1">
        <w:t>Ref:</w:t>
      </w:r>
      <w:r w:rsidRPr="00A67AB1">
        <w:tab/>
        <w:t xml:space="preserve">IRM Rate Generator, Tab </w:t>
      </w:r>
      <w:r w:rsidR="00024CB7" w:rsidRPr="00A67AB1">
        <w:t xml:space="preserve">11: </w:t>
      </w:r>
      <w:r w:rsidR="00D04ACE" w:rsidRPr="00A67AB1">
        <w:t>RTSR- UTRs &amp; Sub-tx</w:t>
      </w:r>
    </w:p>
    <w:p w14:paraId="1379B57A" w14:textId="44F391F5" w:rsidR="00B90A02" w:rsidRPr="00A67AB1" w:rsidRDefault="00B90A02" w:rsidP="00A67AB1">
      <w:pPr>
        <w:spacing w:after="0"/>
      </w:pPr>
      <w:r>
        <w:tab/>
      </w:r>
      <w:r w:rsidRPr="00A67AB1">
        <w:t xml:space="preserve">IRM Rate Generator, Tab </w:t>
      </w:r>
      <w:r>
        <w:t>8</w:t>
      </w:r>
      <w:r w:rsidRPr="00A67AB1">
        <w:t xml:space="preserve">: </w:t>
      </w:r>
      <w:r>
        <w:t>STS- Tax Changes</w:t>
      </w:r>
    </w:p>
    <w:p w14:paraId="3CB31C53" w14:textId="1D7B2DDC" w:rsidR="00D04ACE" w:rsidRPr="00A67AB1" w:rsidRDefault="00D04ACE" w:rsidP="00A67AB1">
      <w:pPr>
        <w:spacing w:after="0"/>
        <w:rPr>
          <w:rFonts w:eastAsia="Times New Roman"/>
        </w:rPr>
      </w:pPr>
      <w:r w:rsidRPr="00A67AB1">
        <w:tab/>
      </w:r>
      <w:r w:rsidR="0032378E" w:rsidRPr="00A67AB1">
        <w:rPr>
          <w:rFonts w:eastAsia="Times New Roman"/>
        </w:rPr>
        <w:t>EB-2020-0251</w:t>
      </w:r>
      <w:r w:rsidR="00461B79" w:rsidRPr="00A67AB1">
        <w:rPr>
          <w:rFonts w:eastAsia="Times New Roman"/>
        </w:rPr>
        <w:t xml:space="preserve">, </w:t>
      </w:r>
      <w:r w:rsidR="00F5193C" w:rsidRPr="00A67AB1">
        <w:rPr>
          <w:rFonts w:eastAsia="Times New Roman"/>
        </w:rPr>
        <w:t>Decision and Rate Order for 2021 Uniform Transmission Rates</w:t>
      </w:r>
    </w:p>
    <w:p w14:paraId="199B1F13" w14:textId="77777777" w:rsidR="00BE028F" w:rsidRPr="00A67AB1" w:rsidRDefault="00BE028F" w:rsidP="00A67AB1">
      <w:pPr>
        <w:spacing w:after="0"/>
        <w:rPr>
          <w:rFonts w:eastAsia="Times New Roman"/>
        </w:rPr>
      </w:pPr>
    </w:p>
    <w:p w14:paraId="0C5F9A9A" w14:textId="4F334FE6" w:rsidR="00FE0678" w:rsidRDefault="00EC0BF9" w:rsidP="005554C9">
      <w:pPr>
        <w:pStyle w:val="ListParagraph"/>
        <w:numPr>
          <w:ilvl w:val="0"/>
          <w:numId w:val="7"/>
        </w:numPr>
        <w:spacing w:after="0"/>
        <w:rPr>
          <w:rFonts w:eastAsia="Times New Roman"/>
        </w:rPr>
      </w:pPr>
      <w:r w:rsidRPr="00A67AB1">
        <w:rPr>
          <w:rFonts w:eastAsia="Times New Roman"/>
        </w:rPr>
        <w:t xml:space="preserve">The OEB has issued the updated UTR’s </w:t>
      </w:r>
      <w:r w:rsidR="004C3B52" w:rsidRPr="00A67AB1">
        <w:rPr>
          <w:rFonts w:eastAsia="Times New Roman"/>
        </w:rPr>
        <w:t xml:space="preserve">for 2021. </w:t>
      </w:r>
      <w:r w:rsidR="00F2046E">
        <w:rPr>
          <w:rFonts w:eastAsia="Times New Roman"/>
        </w:rPr>
        <w:t xml:space="preserve">OEB staff has updated the </w:t>
      </w:r>
      <w:proofErr w:type="gramStart"/>
      <w:r w:rsidR="00F2046E">
        <w:rPr>
          <w:rFonts w:eastAsia="Times New Roman"/>
        </w:rPr>
        <w:t>model,</w:t>
      </w:r>
      <w:proofErr w:type="gramEnd"/>
      <w:r w:rsidR="00F2046E">
        <w:rPr>
          <w:rFonts w:eastAsia="Times New Roman"/>
        </w:rPr>
        <w:t xml:space="preserve"> p</w:t>
      </w:r>
      <w:r w:rsidR="004C3B52" w:rsidRPr="00A67AB1">
        <w:rPr>
          <w:rFonts w:eastAsia="Times New Roman"/>
        </w:rPr>
        <w:t>lease confirm the UTRs are correct in the model.</w:t>
      </w:r>
    </w:p>
    <w:p w14:paraId="7E8D19F8" w14:textId="1528B367" w:rsidR="00B90A02" w:rsidRDefault="00B90A02" w:rsidP="005554C9">
      <w:pPr>
        <w:pStyle w:val="ListParagraph"/>
        <w:numPr>
          <w:ilvl w:val="0"/>
          <w:numId w:val="7"/>
        </w:numPr>
        <w:spacing w:after="0"/>
        <w:rPr>
          <w:rFonts w:eastAsia="Times New Roman"/>
        </w:rPr>
      </w:pPr>
      <w:r>
        <w:rPr>
          <w:rFonts w:eastAsia="Times New Roman"/>
        </w:rPr>
        <w:t xml:space="preserve">Tillsonburg Hydro has requested that the effective tax rate </w:t>
      </w:r>
      <w:proofErr w:type="gramStart"/>
      <w:r>
        <w:rPr>
          <w:rFonts w:eastAsia="Times New Roman"/>
        </w:rPr>
        <w:t>be reduced</w:t>
      </w:r>
      <w:proofErr w:type="gramEnd"/>
      <w:r>
        <w:rPr>
          <w:rFonts w:eastAsia="Times New Roman"/>
        </w:rPr>
        <w:t xml:space="preserve"> to 0.0%. OEB staff has updated the model, please confirm that the tax rate has been reduced accordingly (</w:t>
      </w:r>
      <w:proofErr w:type="gramStart"/>
      <w:r>
        <w:rPr>
          <w:rFonts w:eastAsia="Times New Roman"/>
        </w:rPr>
        <w:t>See Tab 8</w:t>
      </w:r>
      <w:proofErr w:type="gramEnd"/>
      <w:r>
        <w:rPr>
          <w:rFonts w:eastAsia="Times New Roman"/>
        </w:rPr>
        <w:t xml:space="preserve">, </w:t>
      </w:r>
      <w:proofErr w:type="gramStart"/>
      <w:r>
        <w:rPr>
          <w:rFonts w:eastAsia="Times New Roman"/>
        </w:rPr>
        <w:t>cell J36</w:t>
      </w:r>
      <w:proofErr w:type="gramEnd"/>
      <w:r>
        <w:rPr>
          <w:rFonts w:eastAsia="Times New Roman"/>
        </w:rPr>
        <w:t xml:space="preserve">). </w:t>
      </w:r>
    </w:p>
    <w:p w14:paraId="55773DE6" w14:textId="217743D7" w:rsidR="00F5527D" w:rsidRDefault="00F5527D" w:rsidP="00F5527D">
      <w:pPr>
        <w:spacing w:after="0"/>
        <w:rPr>
          <w:rFonts w:eastAsia="Times New Roman"/>
        </w:rPr>
      </w:pPr>
    </w:p>
    <w:p w14:paraId="77724606" w14:textId="3971F568" w:rsidR="00F5527D" w:rsidRDefault="00F5527D" w:rsidP="00F5527D">
      <w:pPr>
        <w:spacing w:after="0"/>
        <w:rPr>
          <w:rFonts w:eastAsia="Times New Roman"/>
        </w:rPr>
      </w:pPr>
    </w:p>
    <w:p w14:paraId="619DAE23" w14:textId="77777777" w:rsidR="00F5527D" w:rsidRPr="00D25767" w:rsidRDefault="00F5527D" w:rsidP="00F5527D">
      <w:pPr>
        <w:spacing w:after="0"/>
        <w:rPr>
          <w:b/>
          <w:color w:val="44546A" w:themeColor="text2"/>
        </w:rPr>
      </w:pPr>
      <w:r w:rsidRPr="00D25767">
        <w:rPr>
          <w:b/>
          <w:color w:val="44546A" w:themeColor="text2"/>
        </w:rPr>
        <w:t>Response</w:t>
      </w:r>
    </w:p>
    <w:p w14:paraId="63E0630E" w14:textId="460D27D9" w:rsidR="00F5527D" w:rsidRDefault="00F5527D" w:rsidP="00F5527D">
      <w:pPr>
        <w:spacing w:after="0"/>
        <w:rPr>
          <w:rFonts w:eastAsia="Times New Roman"/>
        </w:rPr>
      </w:pPr>
    </w:p>
    <w:p w14:paraId="01BE7BD0" w14:textId="670D8EB5" w:rsidR="00F5527D" w:rsidRPr="00F5527D" w:rsidRDefault="00F5527D" w:rsidP="00F5527D">
      <w:pPr>
        <w:spacing w:after="0"/>
        <w:rPr>
          <w:b/>
          <w:color w:val="44546A" w:themeColor="text2"/>
        </w:rPr>
      </w:pPr>
      <w:proofErr w:type="gramStart"/>
      <w:r w:rsidRPr="00F5527D">
        <w:rPr>
          <w:b/>
          <w:color w:val="44546A" w:themeColor="text2"/>
        </w:rPr>
        <w:t>THI has reviewed the decision on EB-2020-0251 and confirms the rates entered by OEB Staff reconcile to th</w:t>
      </w:r>
      <w:r w:rsidR="004F016B">
        <w:rPr>
          <w:b/>
          <w:color w:val="44546A" w:themeColor="text2"/>
        </w:rPr>
        <w:t>e 2021 UTR decision.</w:t>
      </w:r>
      <w:proofErr w:type="gramEnd"/>
    </w:p>
    <w:p w14:paraId="07C7C92A" w14:textId="42F5D290" w:rsidR="00F5527D" w:rsidRDefault="00F5527D" w:rsidP="00F5527D">
      <w:pPr>
        <w:spacing w:after="0"/>
        <w:rPr>
          <w:rFonts w:eastAsia="Times New Roman"/>
        </w:rPr>
      </w:pPr>
    </w:p>
    <w:p w14:paraId="6B9BB42E" w14:textId="0216FE98" w:rsidR="00F5527D" w:rsidRPr="00F5527D" w:rsidRDefault="00F5527D" w:rsidP="00F5527D">
      <w:pPr>
        <w:spacing w:after="0"/>
        <w:rPr>
          <w:b/>
          <w:color w:val="44546A" w:themeColor="text2"/>
        </w:rPr>
      </w:pPr>
      <w:r w:rsidRPr="00F5527D">
        <w:rPr>
          <w:b/>
          <w:color w:val="44546A" w:themeColor="text2"/>
        </w:rPr>
        <w:t>THI confirms that the tax rate in Schedule 8 of the IRM generator ha</w:t>
      </w:r>
      <w:r w:rsidR="004F016B">
        <w:rPr>
          <w:b/>
          <w:color w:val="44546A" w:themeColor="text2"/>
        </w:rPr>
        <w:t xml:space="preserve">ve </w:t>
      </w:r>
      <w:r w:rsidRPr="00F5527D">
        <w:rPr>
          <w:b/>
          <w:color w:val="44546A" w:themeColor="text2"/>
        </w:rPr>
        <w:t>been updated consistent with prior year’s decisions.</w:t>
      </w:r>
    </w:p>
    <w:sectPr w:rsidR="00F5527D" w:rsidRPr="00F5527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7B0FF" w14:textId="77777777" w:rsidR="00F2046E" w:rsidRDefault="00F2046E" w:rsidP="00F2046E">
      <w:pPr>
        <w:spacing w:after="0" w:line="240" w:lineRule="auto"/>
      </w:pPr>
      <w:r>
        <w:separator/>
      </w:r>
    </w:p>
  </w:endnote>
  <w:endnote w:type="continuationSeparator" w:id="0">
    <w:p w14:paraId="2F4E26FF" w14:textId="77777777" w:rsidR="00F2046E" w:rsidRDefault="00F2046E" w:rsidP="00F2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773983"/>
      <w:docPartObj>
        <w:docPartGallery w:val="Page Numbers (Bottom of Page)"/>
        <w:docPartUnique/>
      </w:docPartObj>
    </w:sdtPr>
    <w:sdtEndPr>
      <w:rPr>
        <w:noProof/>
      </w:rPr>
    </w:sdtEndPr>
    <w:sdtContent>
      <w:p w14:paraId="00E52C2E" w14:textId="5E76B7E4" w:rsidR="0076592B" w:rsidRDefault="0076592B">
        <w:pPr>
          <w:pStyle w:val="Footer"/>
          <w:jc w:val="right"/>
        </w:pPr>
        <w:r>
          <w:fldChar w:fldCharType="begin"/>
        </w:r>
        <w:r>
          <w:instrText xml:space="preserve"> PAGE   \* MERGEFORMAT </w:instrText>
        </w:r>
        <w:r>
          <w:fldChar w:fldCharType="separate"/>
        </w:r>
        <w:r w:rsidR="004B77A3">
          <w:rPr>
            <w:noProof/>
          </w:rPr>
          <w:t>15</w:t>
        </w:r>
        <w:r>
          <w:rPr>
            <w:noProof/>
          </w:rPr>
          <w:fldChar w:fldCharType="end"/>
        </w:r>
        <w:r>
          <w:rPr>
            <w:noProof/>
          </w:rPr>
          <w:t xml:space="preserve"> of </w:t>
        </w:r>
        <w:r w:rsidR="00F401C8">
          <w:rPr>
            <w:noProof/>
          </w:rPr>
          <w:t>1</w:t>
        </w:r>
        <w:r w:rsidR="004B77A3">
          <w:rPr>
            <w:noProof/>
          </w:rPr>
          <w:t>5</w:t>
        </w:r>
      </w:p>
    </w:sdtContent>
  </w:sdt>
  <w:p w14:paraId="4B43EC61" w14:textId="77777777" w:rsidR="0076592B" w:rsidRDefault="0076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BAC2A" w14:textId="77777777" w:rsidR="00F2046E" w:rsidRDefault="00F2046E" w:rsidP="00F2046E">
      <w:pPr>
        <w:spacing w:after="0" w:line="240" w:lineRule="auto"/>
      </w:pPr>
      <w:r>
        <w:separator/>
      </w:r>
    </w:p>
  </w:footnote>
  <w:footnote w:type="continuationSeparator" w:id="0">
    <w:p w14:paraId="545847DA" w14:textId="77777777" w:rsidR="00F2046E" w:rsidRDefault="00F2046E" w:rsidP="00F2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1588F" w14:textId="3365C1D1" w:rsidR="00294399" w:rsidRDefault="00F2046E" w:rsidP="00294399">
    <w:pPr>
      <w:pStyle w:val="Header"/>
    </w:pPr>
    <w:r>
      <w:ptab w:relativeTo="margin" w:alignment="right" w:leader="none"/>
    </w:r>
    <w:r w:rsidR="00294399" w:rsidRPr="00294399">
      <w:t xml:space="preserve"> </w:t>
    </w:r>
    <w:r w:rsidR="00294399">
      <w:t>Tillsonburg Hydro</w:t>
    </w:r>
  </w:p>
  <w:p w14:paraId="61C93608" w14:textId="42E1A8B4" w:rsidR="00A52C2E" w:rsidRDefault="00A52C2E" w:rsidP="00294399">
    <w:pPr>
      <w:pStyle w:val="Header"/>
    </w:pPr>
    <w:r>
      <w:tab/>
    </w:r>
    <w:r>
      <w:tab/>
      <w:t>OEB Staff Questions</w:t>
    </w:r>
  </w:p>
  <w:p w14:paraId="7A13659A" w14:textId="477A0E6A" w:rsidR="00F2046E" w:rsidRDefault="00294399" w:rsidP="00294399">
    <w:pPr>
      <w:pStyle w:val="Header"/>
    </w:pPr>
    <w:r>
      <w:tab/>
    </w:r>
    <w:r>
      <w:tab/>
      <w:t>EB-2020-0056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1FE4"/>
    <w:multiLevelType w:val="hybridMultilevel"/>
    <w:tmpl w:val="31C0F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D1DA0"/>
    <w:multiLevelType w:val="hybridMultilevel"/>
    <w:tmpl w:val="E82211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E19F8"/>
    <w:multiLevelType w:val="hybridMultilevel"/>
    <w:tmpl w:val="5CD4B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5071C"/>
    <w:multiLevelType w:val="hybridMultilevel"/>
    <w:tmpl w:val="2EC45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24485"/>
    <w:multiLevelType w:val="hybridMultilevel"/>
    <w:tmpl w:val="B4362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10D70"/>
    <w:multiLevelType w:val="hybridMultilevel"/>
    <w:tmpl w:val="4F54CE5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EB80B9E"/>
    <w:multiLevelType w:val="hybridMultilevel"/>
    <w:tmpl w:val="933C0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15787"/>
    <w:multiLevelType w:val="hybridMultilevel"/>
    <w:tmpl w:val="31C0F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E01E5"/>
    <w:multiLevelType w:val="hybridMultilevel"/>
    <w:tmpl w:val="B4362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E765F"/>
    <w:multiLevelType w:val="hybridMultilevel"/>
    <w:tmpl w:val="E716F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04AFF"/>
    <w:multiLevelType w:val="hybridMultilevel"/>
    <w:tmpl w:val="96221DB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C5421FA"/>
    <w:multiLevelType w:val="hybridMultilevel"/>
    <w:tmpl w:val="90024956"/>
    <w:lvl w:ilvl="0" w:tplc="04090017">
      <w:start w:val="1"/>
      <w:numFmt w:val="lowerLetter"/>
      <w:lvlText w:val="%1)"/>
      <w:lvlJc w:val="left"/>
      <w:pPr>
        <w:ind w:left="720" w:hanging="360"/>
      </w:pPr>
      <w:rPr>
        <w:rFonts w:hint="default"/>
      </w:rPr>
    </w:lvl>
    <w:lvl w:ilvl="1" w:tplc="ED00B650">
      <w:start w:val="1"/>
      <w:numFmt w:val="lowerRoman"/>
      <w:lvlText w:val="%2."/>
      <w:lvlJc w:val="left"/>
      <w:pPr>
        <w:ind w:left="1440" w:hanging="360"/>
      </w:pPr>
      <w:rPr>
        <w:rFonts w:ascii="Arial" w:eastAsiaTheme="minorHAnsi" w:hAnsi="Arial"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71179"/>
    <w:multiLevelType w:val="hybridMultilevel"/>
    <w:tmpl w:val="933C0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030BA"/>
    <w:multiLevelType w:val="hybridMultilevel"/>
    <w:tmpl w:val="B43625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06375"/>
    <w:multiLevelType w:val="hybridMultilevel"/>
    <w:tmpl w:val="9528A8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59677C9"/>
    <w:multiLevelType w:val="hybridMultilevel"/>
    <w:tmpl w:val="55C4A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9147441"/>
    <w:multiLevelType w:val="hybridMultilevel"/>
    <w:tmpl w:val="53EE4B8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4"/>
  </w:num>
  <w:num w:numId="4">
    <w:abstractNumId w:val="8"/>
  </w:num>
  <w:num w:numId="5">
    <w:abstractNumId w:val="1"/>
  </w:num>
  <w:num w:numId="6">
    <w:abstractNumId w:val="3"/>
  </w:num>
  <w:num w:numId="7">
    <w:abstractNumId w:val="0"/>
  </w:num>
  <w:num w:numId="8">
    <w:abstractNumId w:val="7"/>
  </w:num>
  <w:num w:numId="9">
    <w:abstractNumId w:val="2"/>
  </w:num>
  <w:num w:numId="10">
    <w:abstractNumId w:val="13"/>
  </w:num>
  <w:num w:numId="11">
    <w:abstractNumId w:val="11"/>
  </w:num>
  <w:num w:numId="12">
    <w:abstractNumId w:val="6"/>
  </w:num>
  <w:num w:numId="13">
    <w:abstractNumId w:val="12"/>
  </w:num>
  <w:num w:numId="14">
    <w:abstractNumId w:val="15"/>
  </w:num>
  <w:num w:numId="15">
    <w:abstractNumId w:val="1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AE"/>
    <w:rsid w:val="00023893"/>
    <w:rsid w:val="00024CB7"/>
    <w:rsid w:val="00057888"/>
    <w:rsid w:val="00073126"/>
    <w:rsid w:val="00081DDB"/>
    <w:rsid w:val="00096305"/>
    <w:rsid w:val="000A0121"/>
    <w:rsid w:val="000B2ADE"/>
    <w:rsid w:val="000C46A3"/>
    <w:rsid w:val="000C52AF"/>
    <w:rsid w:val="00107206"/>
    <w:rsid w:val="00110B43"/>
    <w:rsid w:val="001162BA"/>
    <w:rsid w:val="001579E1"/>
    <w:rsid w:val="0018209D"/>
    <w:rsid w:val="0019418A"/>
    <w:rsid w:val="001C033F"/>
    <w:rsid w:val="001E4FBF"/>
    <w:rsid w:val="00210389"/>
    <w:rsid w:val="00216C6A"/>
    <w:rsid w:val="00222DDF"/>
    <w:rsid w:val="00260ECC"/>
    <w:rsid w:val="002941C0"/>
    <w:rsid w:val="00294399"/>
    <w:rsid w:val="0029479C"/>
    <w:rsid w:val="002C6830"/>
    <w:rsid w:val="002C718E"/>
    <w:rsid w:val="002F3EEA"/>
    <w:rsid w:val="00306853"/>
    <w:rsid w:val="0032378E"/>
    <w:rsid w:val="00361891"/>
    <w:rsid w:val="0036495E"/>
    <w:rsid w:val="00364B74"/>
    <w:rsid w:val="003B6B59"/>
    <w:rsid w:val="003C252F"/>
    <w:rsid w:val="003C3EFF"/>
    <w:rsid w:val="003C728B"/>
    <w:rsid w:val="003D1CA3"/>
    <w:rsid w:val="003E0577"/>
    <w:rsid w:val="00406E3B"/>
    <w:rsid w:val="00422500"/>
    <w:rsid w:val="00434D9A"/>
    <w:rsid w:val="004562AE"/>
    <w:rsid w:val="0046125C"/>
    <w:rsid w:val="00461B79"/>
    <w:rsid w:val="00462BBC"/>
    <w:rsid w:val="00466E7F"/>
    <w:rsid w:val="00476750"/>
    <w:rsid w:val="00496FA2"/>
    <w:rsid w:val="004B08B6"/>
    <w:rsid w:val="004B77A3"/>
    <w:rsid w:val="004C1ED4"/>
    <w:rsid w:val="004C3B52"/>
    <w:rsid w:val="004C578B"/>
    <w:rsid w:val="004F016B"/>
    <w:rsid w:val="00500EA9"/>
    <w:rsid w:val="00502881"/>
    <w:rsid w:val="00523D4C"/>
    <w:rsid w:val="00527B1F"/>
    <w:rsid w:val="00527E02"/>
    <w:rsid w:val="00531E97"/>
    <w:rsid w:val="00533D38"/>
    <w:rsid w:val="005554C9"/>
    <w:rsid w:val="005607F1"/>
    <w:rsid w:val="005A2965"/>
    <w:rsid w:val="005D7457"/>
    <w:rsid w:val="005E79F6"/>
    <w:rsid w:val="006058B2"/>
    <w:rsid w:val="00655B0D"/>
    <w:rsid w:val="006675E6"/>
    <w:rsid w:val="006748D2"/>
    <w:rsid w:val="006768F7"/>
    <w:rsid w:val="00680AC3"/>
    <w:rsid w:val="00682984"/>
    <w:rsid w:val="006A35D2"/>
    <w:rsid w:val="006C0F90"/>
    <w:rsid w:val="006F37AB"/>
    <w:rsid w:val="00707CE3"/>
    <w:rsid w:val="007160A7"/>
    <w:rsid w:val="00723145"/>
    <w:rsid w:val="00744211"/>
    <w:rsid w:val="00753433"/>
    <w:rsid w:val="0076592B"/>
    <w:rsid w:val="007760C7"/>
    <w:rsid w:val="007A023B"/>
    <w:rsid w:val="007F5F1A"/>
    <w:rsid w:val="008364A0"/>
    <w:rsid w:val="00844FE7"/>
    <w:rsid w:val="00881C65"/>
    <w:rsid w:val="008834FA"/>
    <w:rsid w:val="00903FFE"/>
    <w:rsid w:val="00910980"/>
    <w:rsid w:val="0092169C"/>
    <w:rsid w:val="0094592E"/>
    <w:rsid w:val="0094765D"/>
    <w:rsid w:val="009506D2"/>
    <w:rsid w:val="0096374C"/>
    <w:rsid w:val="0096565E"/>
    <w:rsid w:val="009D5D0F"/>
    <w:rsid w:val="009E25B3"/>
    <w:rsid w:val="00A02F4D"/>
    <w:rsid w:val="00A05978"/>
    <w:rsid w:val="00A352E6"/>
    <w:rsid w:val="00A4247D"/>
    <w:rsid w:val="00A52C2E"/>
    <w:rsid w:val="00A602C1"/>
    <w:rsid w:val="00A67AB1"/>
    <w:rsid w:val="00A87B7E"/>
    <w:rsid w:val="00AA27B3"/>
    <w:rsid w:val="00AA2EB6"/>
    <w:rsid w:val="00AC71BA"/>
    <w:rsid w:val="00AD5C59"/>
    <w:rsid w:val="00B01245"/>
    <w:rsid w:val="00B47FFA"/>
    <w:rsid w:val="00B52E41"/>
    <w:rsid w:val="00B5773B"/>
    <w:rsid w:val="00B86E9D"/>
    <w:rsid w:val="00B90A02"/>
    <w:rsid w:val="00BA5534"/>
    <w:rsid w:val="00BB5E73"/>
    <w:rsid w:val="00BC7CF5"/>
    <w:rsid w:val="00BD16C5"/>
    <w:rsid w:val="00BE028F"/>
    <w:rsid w:val="00BF28EA"/>
    <w:rsid w:val="00BF29AD"/>
    <w:rsid w:val="00C42056"/>
    <w:rsid w:val="00C470C6"/>
    <w:rsid w:val="00C62AE8"/>
    <w:rsid w:val="00C72BFA"/>
    <w:rsid w:val="00C75A84"/>
    <w:rsid w:val="00C91489"/>
    <w:rsid w:val="00C932E5"/>
    <w:rsid w:val="00D04ACE"/>
    <w:rsid w:val="00D25767"/>
    <w:rsid w:val="00D33AEB"/>
    <w:rsid w:val="00D41E1A"/>
    <w:rsid w:val="00DB2FCC"/>
    <w:rsid w:val="00E2793E"/>
    <w:rsid w:val="00E51559"/>
    <w:rsid w:val="00E63BC0"/>
    <w:rsid w:val="00E75634"/>
    <w:rsid w:val="00E83466"/>
    <w:rsid w:val="00EA15B6"/>
    <w:rsid w:val="00EA5864"/>
    <w:rsid w:val="00EC0BF9"/>
    <w:rsid w:val="00ED0D8D"/>
    <w:rsid w:val="00ED627D"/>
    <w:rsid w:val="00F178AC"/>
    <w:rsid w:val="00F2046E"/>
    <w:rsid w:val="00F401C8"/>
    <w:rsid w:val="00F43C25"/>
    <w:rsid w:val="00F5193C"/>
    <w:rsid w:val="00F54B11"/>
    <w:rsid w:val="00F5527D"/>
    <w:rsid w:val="00F95EBD"/>
    <w:rsid w:val="00FA69A2"/>
    <w:rsid w:val="00FB576A"/>
    <w:rsid w:val="00FC2A3F"/>
    <w:rsid w:val="00FD450A"/>
    <w:rsid w:val="00FE0678"/>
    <w:rsid w:val="00FE1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73567E"/>
  <w15:chartTrackingRefBased/>
  <w15:docId w15:val="{A4B1A274-483B-44A5-A924-006B4C41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18A"/>
    <w:pPr>
      <w:ind w:left="720"/>
      <w:contextualSpacing/>
    </w:pPr>
  </w:style>
  <w:style w:type="paragraph" w:styleId="BalloonText">
    <w:name w:val="Balloon Text"/>
    <w:basedOn w:val="Normal"/>
    <w:link w:val="BalloonTextChar"/>
    <w:uiPriority w:val="99"/>
    <w:semiHidden/>
    <w:unhideWhenUsed/>
    <w:rsid w:val="00883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4FA"/>
    <w:rPr>
      <w:rFonts w:ascii="Segoe UI" w:hAnsi="Segoe UI" w:cs="Segoe UI"/>
      <w:sz w:val="18"/>
      <w:szCs w:val="18"/>
    </w:rPr>
  </w:style>
  <w:style w:type="character" w:styleId="CommentReference">
    <w:name w:val="annotation reference"/>
    <w:basedOn w:val="DefaultParagraphFont"/>
    <w:uiPriority w:val="99"/>
    <w:semiHidden/>
    <w:unhideWhenUsed/>
    <w:rsid w:val="00533D38"/>
    <w:rPr>
      <w:sz w:val="16"/>
      <w:szCs w:val="16"/>
    </w:rPr>
  </w:style>
  <w:style w:type="paragraph" w:styleId="CommentText">
    <w:name w:val="annotation text"/>
    <w:basedOn w:val="Normal"/>
    <w:link w:val="CommentTextChar"/>
    <w:uiPriority w:val="99"/>
    <w:semiHidden/>
    <w:unhideWhenUsed/>
    <w:rsid w:val="00533D38"/>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533D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7AB1"/>
    <w:rPr>
      <w:rFonts w:asciiTheme="minorHAnsi" w:hAnsiTheme="minorHAnsi"/>
      <w:b/>
      <w:bCs/>
    </w:rPr>
  </w:style>
  <w:style w:type="character" w:customStyle="1" w:styleId="CommentSubjectChar">
    <w:name w:val="Comment Subject Char"/>
    <w:basedOn w:val="CommentTextChar"/>
    <w:link w:val="CommentSubject"/>
    <w:uiPriority w:val="99"/>
    <w:semiHidden/>
    <w:rsid w:val="00A67AB1"/>
    <w:rPr>
      <w:rFonts w:ascii="Arial" w:hAnsi="Arial"/>
      <w:b/>
      <w:bCs/>
      <w:sz w:val="20"/>
      <w:szCs w:val="20"/>
    </w:rPr>
  </w:style>
  <w:style w:type="paragraph" w:styleId="Header">
    <w:name w:val="header"/>
    <w:basedOn w:val="Normal"/>
    <w:link w:val="HeaderChar"/>
    <w:uiPriority w:val="99"/>
    <w:unhideWhenUsed/>
    <w:rsid w:val="00F2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46E"/>
  </w:style>
  <w:style w:type="paragraph" w:styleId="Footer">
    <w:name w:val="footer"/>
    <w:basedOn w:val="Normal"/>
    <w:link w:val="FooterChar"/>
    <w:uiPriority w:val="99"/>
    <w:unhideWhenUsed/>
    <w:rsid w:val="00F2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5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12" ma:contentTypeDescription="Create a new document." ma:contentTypeScope="" ma:versionID="892e8e39b30ec31af7ae5ce60acf2547">
  <xsd:schema xmlns:xsd="http://www.w3.org/2001/XMLSchema" xmlns:xs="http://www.w3.org/2001/XMLSchema" xmlns:p="http://schemas.microsoft.com/office/2006/metadata/properties" xmlns:ns3="67bd9f97-d8a4-4110-aa76-ac06fd6996e3" xmlns:ns4="4b265e71-f343-4c34-bd05-826252c51855" targetNamespace="http://schemas.microsoft.com/office/2006/metadata/properties" ma:root="true" ma:fieldsID="fa5969718c80427d0bbc5083d4e14b6d" ns3:_="" ns4:_="">
    <xsd:import namespace="67bd9f97-d8a4-4110-aa76-ac06fd6996e3"/>
    <xsd:import namespace="4b265e71-f343-4c34-bd05-826252c51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9f97-d8a4-4110-aa76-ac06fd699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DAE4F-34C5-4637-9B38-A227092B53A6}">
  <ds:schemaRefs>
    <ds:schemaRef ds:uri="http://schemas.microsoft.com/sharepoint/v3/contenttype/forms"/>
  </ds:schemaRefs>
</ds:datastoreItem>
</file>

<file path=customXml/itemProps2.xml><?xml version="1.0" encoding="utf-8"?>
<ds:datastoreItem xmlns:ds="http://schemas.openxmlformats.org/officeDocument/2006/customXml" ds:itemID="{5B91BB89-C0F1-4E5A-9477-C31D6DC24378}">
  <ds:schemaRefs>
    <ds:schemaRef ds:uri="http://schemas.microsoft.com/office/2006/documentManagement/types"/>
    <ds:schemaRef ds:uri="http://purl.org/dc/dcmitype/"/>
    <ds:schemaRef ds:uri="67bd9f97-d8a4-4110-aa76-ac06fd6996e3"/>
    <ds:schemaRef ds:uri="http://schemas.microsoft.com/office/infopath/2007/PartnerControls"/>
    <ds:schemaRef ds:uri="http://schemas.openxmlformats.org/package/2006/metadata/core-properties"/>
    <ds:schemaRef ds:uri="http://www.w3.org/XML/1998/namespace"/>
    <ds:schemaRef ds:uri="4b265e71-f343-4c34-bd05-826252c51855"/>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96D7981A-51D0-4449-ADE8-6473320E8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9f97-d8a4-4110-aa76-ac06fd6996e3"/>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15</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Lau</dc:creator>
  <cp:keywords/>
  <dc:description/>
  <cp:lastModifiedBy>Ian McKenzie</cp:lastModifiedBy>
  <cp:revision>18</cp:revision>
  <dcterms:created xsi:type="dcterms:W3CDTF">2021-01-27T15:33:00Z</dcterms:created>
  <dcterms:modified xsi:type="dcterms:W3CDTF">2021-03-16T18:54:00Z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