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47FDB" w14:textId="77777777" w:rsidR="009C6BAD" w:rsidRPr="003E0483" w:rsidRDefault="009C6BAD" w:rsidP="009C6BAD">
      <w:pPr>
        <w:spacing w:after="0" w:line="264" w:lineRule="auto"/>
        <w:rPr>
          <w:b/>
          <w:bCs/>
          <w:sz w:val="24"/>
          <w:szCs w:val="24"/>
          <w:u w:val="single"/>
        </w:rPr>
      </w:pPr>
      <w:r w:rsidRPr="003E0483">
        <w:rPr>
          <w:b/>
          <w:bCs/>
          <w:sz w:val="24"/>
          <w:szCs w:val="24"/>
          <w:u w:val="single"/>
        </w:rPr>
        <w:t>Hydro 2000</w:t>
      </w:r>
    </w:p>
    <w:p w14:paraId="5519B06D" w14:textId="7D650E4B" w:rsidR="009C6BAD" w:rsidRPr="003E0483" w:rsidRDefault="009C6BAD" w:rsidP="009C6BAD">
      <w:pPr>
        <w:spacing w:after="0" w:line="264" w:lineRule="auto"/>
        <w:rPr>
          <w:b/>
          <w:bCs/>
          <w:sz w:val="24"/>
          <w:szCs w:val="24"/>
          <w:u w:val="single"/>
        </w:rPr>
      </w:pPr>
      <w:r w:rsidRPr="003E0483">
        <w:rPr>
          <w:b/>
          <w:bCs/>
          <w:sz w:val="24"/>
          <w:szCs w:val="24"/>
          <w:u w:val="single"/>
        </w:rPr>
        <w:t>Follow-up Questions #</w:t>
      </w:r>
      <w:r>
        <w:rPr>
          <w:b/>
          <w:bCs/>
          <w:sz w:val="24"/>
          <w:szCs w:val="24"/>
          <w:u w:val="single"/>
        </w:rPr>
        <w:t>4</w:t>
      </w:r>
    </w:p>
    <w:p w14:paraId="55922475" w14:textId="77777777" w:rsidR="009C6BAD" w:rsidRPr="000242AC" w:rsidRDefault="009C6BAD" w:rsidP="009C6BAD">
      <w:pPr>
        <w:spacing w:after="0" w:line="264" w:lineRule="auto"/>
        <w:rPr>
          <w:b/>
          <w:bCs/>
          <w:sz w:val="24"/>
          <w:szCs w:val="24"/>
        </w:rPr>
      </w:pPr>
    </w:p>
    <w:p w14:paraId="628D74B1" w14:textId="0F76FFA2" w:rsidR="009C6BAD" w:rsidRPr="000242AC" w:rsidRDefault="009C6BAD" w:rsidP="009C6BAD">
      <w:pPr>
        <w:spacing w:after="0" w:line="264" w:lineRule="auto"/>
        <w:rPr>
          <w:b/>
          <w:bCs/>
          <w:sz w:val="24"/>
          <w:szCs w:val="24"/>
        </w:rPr>
      </w:pPr>
      <w:r w:rsidRPr="000242AC">
        <w:rPr>
          <w:b/>
          <w:bCs/>
          <w:sz w:val="24"/>
          <w:szCs w:val="24"/>
        </w:rPr>
        <w:t>Follow-up #</w:t>
      </w:r>
      <w:r>
        <w:rPr>
          <w:b/>
          <w:bCs/>
          <w:sz w:val="24"/>
          <w:szCs w:val="24"/>
        </w:rPr>
        <w:t>4</w:t>
      </w:r>
      <w:r w:rsidRPr="000242AC">
        <w:rPr>
          <w:b/>
          <w:bCs/>
          <w:sz w:val="24"/>
          <w:szCs w:val="24"/>
        </w:rPr>
        <w:t xml:space="preserve"> – Staff Question #1</w:t>
      </w:r>
    </w:p>
    <w:p w14:paraId="67C2A27C" w14:textId="51C5F041" w:rsidR="009C6BAD" w:rsidRDefault="009C6BAD" w:rsidP="009C6BAD">
      <w:pPr>
        <w:spacing w:before="40" w:after="40" w:line="240" w:lineRule="auto"/>
        <w:rPr>
          <w:b/>
          <w:bCs/>
          <w:sz w:val="24"/>
          <w:szCs w:val="24"/>
        </w:rPr>
      </w:pPr>
      <w:r w:rsidRPr="000242AC">
        <w:rPr>
          <w:b/>
          <w:bCs/>
          <w:sz w:val="24"/>
          <w:szCs w:val="24"/>
        </w:rPr>
        <w:t>Ref: Follow-up #</w:t>
      </w:r>
      <w:r>
        <w:rPr>
          <w:b/>
          <w:bCs/>
          <w:sz w:val="24"/>
          <w:szCs w:val="24"/>
        </w:rPr>
        <w:t>3</w:t>
      </w:r>
      <w:r w:rsidRPr="000242AC">
        <w:rPr>
          <w:b/>
          <w:bCs/>
          <w:sz w:val="24"/>
          <w:szCs w:val="24"/>
        </w:rPr>
        <w:t xml:space="preserve"> – Staff Question 1</w:t>
      </w:r>
      <w:r>
        <w:rPr>
          <w:b/>
          <w:bCs/>
          <w:sz w:val="24"/>
          <w:szCs w:val="24"/>
        </w:rPr>
        <w:t>bii</w:t>
      </w:r>
    </w:p>
    <w:p w14:paraId="319ECFB2" w14:textId="3492B096" w:rsidR="009C6BAD" w:rsidRDefault="009C6BAD" w:rsidP="009C6BAD">
      <w:pPr>
        <w:spacing w:before="40" w:after="40" w:line="240" w:lineRule="auto"/>
        <w:rPr>
          <w:b/>
          <w:bCs/>
          <w:sz w:val="24"/>
          <w:szCs w:val="24"/>
        </w:rPr>
      </w:pPr>
    </w:p>
    <w:p w14:paraId="7A8D4AEC" w14:textId="28374035" w:rsidR="009C6BAD" w:rsidRDefault="009C6BAD" w:rsidP="009C6BAD">
      <w:pPr>
        <w:spacing w:before="40" w:after="40" w:line="240" w:lineRule="auto"/>
        <w:rPr>
          <w:sz w:val="24"/>
          <w:szCs w:val="24"/>
        </w:rPr>
      </w:pPr>
      <w:r>
        <w:rPr>
          <w:sz w:val="24"/>
          <w:szCs w:val="24"/>
        </w:rPr>
        <w:t>In response to Follow-up #3 Staff Question 1b, Hydro 2000 has revised the accounts 1588 and 1589 2016 balances to agree to that in the Inspection Report. However, Hydro 2000 has also added the following principal adjustments:</w:t>
      </w:r>
    </w:p>
    <w:p w14:paraId="6AA6FECD" w14:textId="2389FE9A" w:rsidR="009C6BAD" w:rsidRDefault="009C6BAD" w:rsidP="009C6BAD">
      <w:pPr>
        <w:spacing w:before="40" w:after="40" w:line="240" w:lineRule="auto"/>
        <w:rPr>
          <w:sz w:val="24"/>
          <w:szCs w:val="24"/>
        </w:rPr>
      </w:pPr>
    </w:p>
    <w:tbl>
      <w:tblPr>
        <w:tblW w:w="6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397"/>
        <w:gridCol w:w="1739"/>
        <w:gridCol w:w="1596"/>
        <w:gridCol w:w="1596"/>
      </w:tblGrid>
      <w:tr w:rsidR="00E97744" w:rsidRPr="00E97744" w14:paraId="084EB150" w14:textId="77777777" w:rsidTr="00E97744">
        <w:trPr>
          <w:trHeight w:val="288"/>
        </w:trPr>
        <w:tc>
          <w:tcPr>
            <w:tcW w:w="661" w:type="dxa"/>
            <w:shd w:val="clear" w:color="auto" w:fill="auto"/>
            <w:noWrap/>
            <w:vAlign w:val="bottom"/>
            <w:hideMark/>
          </w:tcPr>
          <w:p w14:paraId="0DF10D26" w14:textId="77777777" w:rsidR="00E97744" w:rsidRPr="00E97744" w:rsidRDefault="00E97744" w:rsidP="00E97744">
            <w:pPr>
              <w:spacing w:after="0" w:line="240" w:lineRule="auto"/>
              <w:rPr>
                <w:rFonts w:eastAsia="Times New Roman" w:cs="Arial"/>
                <w:sz w:val="20"/>
                <w:szCs w:val="20"/>
              </w:rPr>
            </w:pPr>
          </w:p>
        </w:tc>
        <w:tc>
          <w:tcPr>
            <w:tcW w:w="3136" w:type="dxa"/>
            <w:gridSpan w:val="2"/>
            <w:shd w:val="clear" w:color="auto" w:fill="auto"/>
            <w:noWrap/>
            <w:vAlign w:val="bottom"/>
            <w:hideMark/>
          </w:tcPr>
          <w:p w14:paraId="73922F70" w14:textId="77777777" w:rsidR="00E97744" w:rsidRPr="00E97744" w:rsidRDefault="00E97744" w:rsidP="00E97744">
            <w:pPr>
              <w:spacing w:after="0" w:line="240" w:lineRule="auto"/>
              <w:rPr>
                <w:rFonts w:eastAsia="Times New Roman" w:cs="Arial"/>
                <w:b/>
                <w:bCs/>
                <w:color w:val="000000"/>
                <w:sz w:val="20"/>
                <w:szCs w:val="20"/>
                <w:u w:val="single"/>
              </w:rPr>
            </w:pPr>
            <w:r w:rsidRPr="00E97744">
              <w:rPr>
                <w:rFonts w:eastAsia="Times New Roman" w:cs="Arial"/>
                <w:b/>
                <w:bCs/>
                <w:color w:val="000000"/>
                <w:sz w:val="20"/>
                <w:szCs w:val="20"/>
                <w:u w:val="single"/>
              </w:rPr>
              <w:t>Principal Adjustments</w:t>
            </w:r>
          </w:p>
        </w:tc>
        <w:tc>
          <w:tcPr>
            <w:tcW w:w="1596" w:type="dxa"/>
            <w:shd w:val="clear" w:color="auto" w:fill="auto"/>
            <w:noWrap/>
            <w:vAlign w:val="bottom"/>
            <w:hideMark/>
          </w:tcPr>
          <w:p w14:paraId="4A32C436" w14:textId="77777777" w:rsidR="00E97744" w:rsidRPr="00E97744" w:rsidRDefault="00E97744" w:rsidP="00E97744">
            <w:pPr>
              <w:spacing w:after="0" w:line="240" w:lineRule="auto"/>
              <w:rPr>
                <w:rFonts w:eastAsia="Times New Roman" w:cs="Arial"/>
                <w:color w:val="000000"/>
                <w:sz w:val="20"/>
                <w:szCs w:val="20"/>
              </w:rPr>
            </w:pPr>
          </w:p>
        </w:tc>
        <w:tc>
          <w:tcPr>
            <w:tcW w:w="1596" w:type="dxa"/>
            <w:shd w:val="clear" w:color="auto" w:fill="auto"/>
            <w:noWrap/>
            <w:vAlign w:val="bottom"/>
            <w:hideMark/>
          </w:tcPr>
          <w:p w14:paraId="189E3472" w14:textId="77777777" w:rsidR="00E97744" w:rsidRPr="00E97744" w:rsidRDefault="00E97744" w:rsidP="00E97744">
            <w:pPr>
              <w:spacing w:after="0" w:line="240" w:lineRule="auto"/>
              <w:rPr>
                <w:rFonts w:eastAsia="Times New Roman" w:cs="Arial"/>
                <w:sz w:val="20"/>
                <w:szCs w:val="20"/>
              </w:rPr>
            </w:pPr>
          </w:p>
        </w:tc>
      </w:tr>
      <w:tr w:rsidR="00E97744" w:rsidRPr="00E97744" w14:paraId="483773A0" w14:textId="77777777" w:rsidTr="00E97744">
        <w:trPr>
          <w:trHeight w:val="300"/>
        </w:trPr>
        <w:tc>
          <w:tcPr>
            <w:tcW w:w="661" w:type="dxa"/>
            <w:shd w:val="clear" w:color="auto" w:fill="auto"/>
            <w:noWrap/>
            <w:vAlign w:val="bottom"/>
            <w:hideMark/>
          </w:tcPr>
          <w:p w14:paraId="4DF510DF" w14:textId="77777777" w:rsidR="00E97744" w:rsidRPr="00E97744" w:rsidRDefault="00E97744" w:rsidP="00E97744">
            <w:pPr>
              <w:spacing w:after="0" w:line="240" w:lineRule="auto"/>
              <w:jc w:val="center"/>
              <w:rPr>
                <w:rFonts w:eastAsia="Times New Roman" w:cs="Arial"/>
                <w:sz w:val="20"/>
                <w:szCs w:val="20"/>
              </w:rPr>
            </w:pPr>
          </w:p>
        </w:tc>
        <w:tc>
          <w:tcPr>
            <w:tcW w:w="1397" w:type="dxa"/>
            <w:shd w:val="clear" w:color="auto" w:fill="auto"/>
            <w:noWrap/>
            <w:vAlign w:val="bottom"/>
            <w:hideMark/>
          </w:tcPr>
          <w:p w14:paraId="4D950770" w14:textId="77777777" w:rsidR="00E97744" w:rsidRPr="00E97744" w:rsidRDefault="00E97744" w:rsidP="00EC2182">
            <w:pPr>
              <w:spacing w:after="0" w:line="240" w:lineRule="auto"/>
              <w:jc w:val="center"/>
              <w:rPr>
                <w:rFonts w:eastAsia="Times New Roman" w:cs="Arial"/>
                <w:b/>
                <w:bCs/>
                <w:color w:val="000000"/>
                <w:sz w:val="20"/>
                <w:szCs w:val="20"/>
              </w:rPr>
            </w:pPr>
            <w:r w:rsidRPr="00E97744">
              <w:rPr>
                <w:rFonts w:eastAsia="Times New Roman" w:cs="Arial"/>
                <w:b/>
                <w:bCs/>
                <w:color w:val="000000"/>
                <w:sz w:val="20"/>
                <w:szCs w:val="20"/>
              </w:rPr>
              <w:t>2017</w:t>
            </w:r>
          </w:p>
        </w:tc>
        <w:tc>
          <w:tcPr>
            <w:tcW w:w="1739" w:type="dxa"/>
            <w:shd w:val="clear" w:color="auto" w:fill="auto"/>
            <w:noWrap/>
            <w:vAlign w:val="bottom"/>
            <w:hideMark/>
          </w:tcPr>
          <w:p w14:paraId="694B3804" w14:textId="77777777" w:rsidR="00E97744" w:rsidRPr="00E97744" w:rsidRDefault="00E97744" w:rsidP="00EC2182">
            <w:pPr>
              <w:spacing w:after="0" w:line="240" w:lineRule="auto"/>
              <w:jc w:val="center"/>
              <w:rPr>
                <w:rFonts w:eastAsia="Times New Roman" w:cs="Arial"/>
                <w:b/>
                <w:bCs/>
                <w:color w:val="000000"/>
                <w:sz w:val="20"/>
                <w:szCs w:val="20"/>
              </w:rPr>
            </w:pPr>
            <w:r w:rsidRPr="00E97744">
              <w:rPr>
                <w:rFonts w:eastAsia="Times New Roman" w:cs="Arial"/>
                <w:b/>
                <w:bCs/>
                <w:color w:val="000000"/>
                <w:sz w:val="20"/>
                <w:szCs w:val="20"/>
              </w:rPr>
              <w:t>2018</w:t>
            </w:r>
          </w:p>
        </w:tc>
        <w:tc>
          <w:tcPr>
            <w:tcW w:w="1596" w:type="dxa"/>
            <w:shd w:val="clear" w:color="auto" w:fill="auto"/>
            <w:noWrap/>
            <w:vAlign w:val="bottom"/>
            <w:hideMark/>
          </w:tcPr>
          <w:p w14:paraId="05B0D39D" w14:textId="77777777" w:rsidR="00E97744" w:rsidRPr="00E97744" w:rsidRDefault="00E97744" w:rsidP="00EC2182">
            <w:pPr>
              <w:spacing w:after="0" w:line="240" w:lineRule="auto"/>
              <w:jc w:val="center"/>
              <w:rPr>
                <w:rFonts w:eastAsia="Times New Roman" w:cs="Arial"/>
                <w:b/>
                <w:bCs/>
                <w:color w:val="000000"/>
                <w:sz w:val="20"/>
                <w:szCs w:val="20"/>
              </w:rPr>
            </w:pPr>
            <w:r w:rsidRPr="00E97744">
              <w:rPr>
                <w:rFonts w:eastAsia="Times New Roman" w:cs="Arial"/>
                <w:b/>
                <w:bCs/>
                <w:color w:val="000000"/>
                <w:sz w:val="20"/>
                <w:szCs w:val="20"/>
              </w:rPr>
              <w:t>2019</w:t>
            </w:r>
          </w:p>
        </w:tc>
        <w:tc>
          <w:tcPr>
            <w:tcW w:w="1596" w:type="dxa"/>
            <w:shd w:val="clear" w:color="auto" w:fill="auto"/>
            <w:noWrap/>
            <w:vAlign w:val="bottom"/>
            <w:hideMark/>
          </w:tcPr>
          <w:p w14:paraId="6BB2DF8F" w14:textId="77777777" w:rsidR="00E97744" w:rsidRPr="00E97744" w:rsidRDefault="00E97744" w:rsidP="00EC2182">
            <w:pPr>
              <w:spacing w:after="0" w:line="240" w:lineRule="auto"/>
              <w:jc w:val="center"/>
              <w:rPr>
                <w:rFonts w:eastAsia="Times New Roman" w:cs="Arial"/>
                <w:b/>
                <w:bCs/>
                <w:color w:val="000000"/>
                <w:sz w:val="20"/>
                <w:szCs w:val="20"/>
              </w:rPr>
            </w:pPr>
            <w:r w:rsidRPr="00E97744">
              <w:rPr>
                <w:rFonts w:eastAsia="Times New Roman" w:cs="Arial"/>
                <w:b/>
                <w:bCs/>
                <w:color w:val="000000"/>
                <w:sz w:val="20"/>
                <w:szCs w:val="20"/>
              </w:rPr>
              <w:t>Total</w:t>
            </w:r>
          </w:p>
        </w:tc>
      </w:tr>
      <w:tr w:rsidR="00E97744" w:rsidRPr="00E97744" w14:paraId="001C8A28" w14:textId="77777777" w:rsidTr="00E97744">
        <w:trPr>
          <w:trHeight w:val="387"/>
        </w:trPr>
        <w:tc>
          <w:tcPr>
            <w:tcW w:w="661" w:type="dxa"/>
            <w:shd w:val="clear" w:color="auto" w:fill="auto"/>
            <w:noWrap/>
            <w:vAlign w:val="bottom"/>
            <w:hideMark/>
          </w:tcPr>
          <w:p w14:paraId="125B9293" w14:textId="77777777" w:rsidR="00E97744" w:rsidRPr="00E97744" w:rsidRDefault="00E97744" w:rsidP="00E97744">
            <w:pPr>
              <w:spacing w:after="0" w:line="240" w:lineRule="auto"/>
              <w:jc w:val="right"/>
              <w:rPr>
                <w:rFonts w:eastAsia="Times New Roman" w:cs="Arial"/>
                <w:color w:val="000000"/>
                <w:sz w:val="20"/>
                <w:szCs w:val="20"/>
              </w:rPr>
            </w:pPr>
            <w:r w:rsidRPr="00E97744">
              <w:rPr>
                <w:rFonts w:eastAsia="Times New Roman" w:cs="Arial"/>
                <w:color w:val="000000"/>
                <w:sz w:val="20"/>
                <w:szCs w:val="20"/>
              </w:rPr>
              <w:t>1588</w:t>
            </w:r>
          </w:p>
        </w:tc>
        <w:tc>
          <w:tcPr>
            <w:tcW w:w="1397" w:type="dxa"/>
            <w:shd w:val="clear" w:color="auto" w:fill="auto"/>
            <w:noWrap/>
            <w:vAlign w:val="bottom"/>
            <w:hideMark/>
          </w:tcPr>
          <w:p w14:paraId="5E12D5E3" w14:textId="28924A46" w:rsidR="00E97744" w:rsidRPr="00E97744" w:rsidRDefault="00E97744" w:rsidP="00EC2182">
            <w:pPr>
              <w:spacing w:after="0" w:line="240" w:lineRule="auto"/>
              <w:jc w:val="center"/>
              <w:rPr>
                <w:rFonts w:eastAsia="Times New Roman" w:cs="Arial"/>
                <w:color w:val="000000"/>
                <w:sz w:val="20"/>
                <w:szCs w:val="20"/>
              </w:rPr>
            </w:pPr>
            <w:r w:rsidRPr="00E97744">
              <w:rPr>
                <w:rFonts w:eastAsia="Times New Roman" w:cs="Arial"/>
                <w:color w:val="000000"/>
                <w:sz w:val="20"/>
                <w:szCs w:val="20"/>
              </w:rPr>
              <w:t>$67,77</w:t>
            </w:r>
            <w:r w:rsidR="005E79DA">
              <w:rPr>
                <w:rFonts w:eastAsia="Times New Roman" w:cs="Arial"/>
                <w:color w:val="000000"/>
                <w:sz w:val="20"/>
                <w:szCs w:val="20"/>
              </w:rPr>
              <w:t>9</w:t>
            </w:r>
          </w:p>
        </w:tc>
        <w:tc>
          <w:tcPr>
            <w:tcW w:w="1739" w:type="dxa"/>
            <w:shd w:val="clear" w:color="auto" w:fill="auto"/>
            <w:noWrap/>
            <w:vAlign w:val="bottom"/>
            <w:hideMark/>
          </w:tcPr>
          <w:p w14:paraId="13A4400E" w14:textId="53A43065" w:rsidR="00E97744" w:rsidRPr="00E97744" w:rsidRDefault="00E97744" w:rsidP="00EC2182">
            <w:pPr>
              <w:spacing w:after="0" w:line="240" w:lineRule="auto"/>
              <w:jc w:val="center"/>
              <w:rPr>
                <w:rFonts w:eastAsia="Times New Roman" w:cs="Arial"/>
                <w:color w:val="000000"/>
                <w:sz w:val="20"/>
                <w:szCs w:val="20"/>
              </w:rPr>
            </w:pPr>
            <w:r w:rsidRPr="00E97744">
              <w:rPr>
                <w:rFonts w:eastAsia="Times New Roman" w:cs="Arial"/>
                <w:color w:val="FF0000"/>
                <w:sz w:val="20"/>
                <w:szCs w:val="20"/>
              </w:rPr>
              <w:t>($784,478)</w:t>
            </w:r>
          </w:p>
        </w:tc>
        <w:tc>
          <w:tcPr>
            <w:tcW w:w="1596" w:type="dxa"/>
            <w:shd w:val="clear" w:color="auto" w:fill="auto"/>
            <w:noWrap/>
            <w:vAlign w:val="bottom"/>
            <w:hideMark/>
          </w:tcPr>
          <w:p w14:paraId="1F3A23B8" w14:textId="0F381635" w:rsidR="00E97744" w:rsidRPr="00E97744" w:rsidRDefault="00E97744" w:rsidP="00EC2182">
            <w:pPr>
              <w:spacing w:after="0" w:line="240" w:lineRule="auto"/>
              <w:jc w:val="center"/>
              <w:rPr>
                <w:rFonts w:eastAsia="Times New Roman" w:cs="Arial"/>
                <w:color w:val="000000"/>
                <w:sz w:val="20"/>
                <w:szCs w:val="20"/>
              </w:rPr>
            </w:pPr>
            <w:r w:rsidRPr="00E97744">
              <w:rPr>
                <w:rFonts w:eastAsia="Times New Roman" w:cs="Arial"/>
                <w:color w:val="000000"/>
                <w:sz w:val="20"/>
                <w:szCs w:val="20"/>
              </w:rPr>
              <w:t>$188,17</w:t>
            </w:r>
            <w:r w:rsidR="003478E1">
              <w:rPr>
                <w:rFonts w:eastAsia="Times New Roman" w:cs="Arial"/>
                <w:color w:val="000000"/>
                <w:sz w:val="20"/>
                <w:szCs w:val="20"/>
              </w:rPr>
              <w:t>3</w:t>
            </w:r>
          </w:p>
        </w:tc>
        <w:tc>
          <w:tcPr>
            <w:tcW w:w="1596" w:type="dxa"/>
            <w:shd w:val="clear" w:color="auto" w:fill="auto"/>
            <w:noWrap/>
            <w:vAlign w:val="bottom"/>
            <w:hideMark/>
          </w:tcPr>
          <w:p w14:paraId="1478FA07" w14:textId="7416A57D" w:rsidR="00E97744" w:rsidRPr="00E97744" w:rsidRDefault="00E97744" w:rsidP="00EC2182">
            <w:pPr>
              <w:spacing w:after="0" w:line="240" w:lineRule="auto"/>
              <w:jc w:val="center"/>
              <w:rPr>
                <w:rFonts w:eastAsia="Times New Roman" w:cs="Arial"/>
                <w:color w:val="000000"/>
                <w:sz w:val="20"/>
                <w:szCs w:val="20"/>
              </w:rPr>
            </w:pPr>
            <w:r w:rsidRPr="00E97744">
              <w:rPr>
                <w:rFonts w:eastAsia="Times New Roman" w:cs="Arial"/>
                <w:color w:val="FF0000"/>
                <w:sz w:val="20"/>
                <w:szCs w:val="20"/>
              </w:rPr>
              <w:t>($528,52</w:t>
            </w:r>
            <w:r w:rsidR="003478E1">
              <w:rPr>
                <w:rFonts w:eastAsia="Times New Roman" w:cs="Arial"/>
                <w:color w:val="FF0000"/>
                <w:sz w:val="20"/>
                <w:szCs w:val="20"/>
              </w:rPr>
              <w:t>7</w:t>
            </w:r>
            <w:r w:rsidRPr="00E97744">
              <w:rPr>
                <w:rFonts w:eastAsia="Times New Roman" w:cs="Arial"/>
                <w:color w:val="FF0000"/>
                <w:sz w:val="20"/>
                <w:szCs w:val="20"/>
              </w:rPr>
              <w:t>)</w:t>
            </w:r>
          </w:p>
        </w:tc>
      </w:tr>
      <w:tr w:rsidR="00E97744" w:rsidRPr="00E97744" w14:paraId="3B93B173" w14:textId="77777777" w:rsidTr="00E97744">
        <w:trPr>
          <w:trHeight w:val="348"/>
        </w:trPr>
        <w:tc>
          <w:tcPr>
            <w:tcW w:w="661" w:type="dxa"/>
            <w:shd w:val="clear" w:color="auto" w:fill="auto"/>
            <w:noWrap/>
            <w:vAlign w:val="bottom"/>
            <w:hideMark/>
          </w:tcPr>
          <w:p w14:paraId="61ECC911" w14:textId="77777777" w:rsidR="00E97744" w:rsidRPr="00E97744" w:rsidRDefault="00E97744" w:rsidP="00E97744">
            <w:pPr>
              <w:spacing w:after="0" w:line="240" w:lineRule="auto"/>
              <w:jc w:val="right"/>
              <w:rPr>
                <w:rFonts w:eastAsia="Times New Roman" w:cs="Arial"/>
                <w:color w:val="000000"/>
                <w:sz w:val="20"/>
                <w:szCs w:val="20"/>
              </w:rPr>
            </w:pPr>
            <w:r w:rsidRPr="00E97744">
              <w:rPr>
                <w:rFonts w:eastAsia="Times New Roman" w:cs="Arial"/>
                <w:color w:val="000000"/>
                <w:sz w:val="20"/>
                <w:szCs w:val="20"/>
              </w:rPr>
              <w:t>1589</w:t>
            </w:r>
          </w:p>
        </w:tc>
        <w:tc>
          <w:tcPr>
            <w:tcW w:w="1397" w:type="dxa"/>
            <w:shd w:val="clear" w:color="auto" w:fill="auto"/>
            <w:noWrap/>
            <w:vAlign w:val="bottom"/>
            <w:hideMark/>
          </w:tcPr>
          <w:p w14:paraId="53EA7548" w14:textId="75B89A43" w:rsidR="00E97744" w:rsidRPr="00E97744" w:rsidRDefault="00E97744" w:rsidP="00EC2182">
            <w:pPr>
              <w:spacing w:after="0" w:line="240" w:lineRule="auto"/>
              <w:jc w:val="center"/>
              <w:rPr>
                <w:rFonts w:eastAsia="Times New Roman" w:cs="Arial"/>
                <w:color w:val="000000"/>
                <w:sz w:val="20"/>
                <w:szCs w:val="20"/>
              </w:rPr>
            </w:pPr>
            <w:r w:rsidRPr="00E97744">
              <w:rPr>
                <w:rFonts w:eastAsia="Times New Roman" w:cs="Arial"/>
                <w:color w:val="000000"/>
                <w:sz w:val="20"/>
                <w:szCs w:val="20"/>
              </w:rPr>
              <w:t>$34,13</w:t>
            </w:r>
            <w:r w:rsidR="005E79DA">
              <w:rPr>
                <w:rFonts w:eastAsia="Times New Roman" w:cs="Arial"/>
                <w:color w:val="000000"/>
                <w:sz w:val="20"/>
                <w:szCs w:val="20"/>
              </w:rPr>
              <w:t>9</w:t>
            </w:r>
          </w:p>
        </w:tc>
        <w:tc>
          <w:tcPr>
            <w:tcW w:w="1739" w:type="dxa"/>
            <w:shd w:val="clear" w:color="auto" w:fill="auto"/>
            <w:noWrap/>
            <w:vAlign w:val="bottom"/>
            <w:hideMark/>
          </w:tcPr>
          <w:p w14:paraId="64A226CB" w14:textId="4602E038" w:rsidR="00E97744" w:rsidRPr="00E97744" w:rsidRDefault="00E97744" w:rsidP="00EC2182">
            <w:pPr>
              <w:spacing w:after="0" w:line="240" w:lineRule="auto"/>
              <w:jc w:val="center"/>
              <w:rPr>
                <w:rFonts w:eastAsia="Times New Roman" w:cs="Arial"/>
                <w:color w:val="000000"/>
                <w:sz w:val="20"/>
                <w:szCs w:val="20"/>
              </w:rPr>
            </w:pPr>
            <w:r w:rsidRPr="00E97744">
              <w:rPr>
                <w:rFonts w:eastAsia="Times New Roman" w:cs="Arial"/>
                <w:color w:val="000000"/>
                <w:sz w:val="20"/>
                <w:szCs w:val="20"/>
              </w:rPr>
              <w:t>$2,997</w:t>
            </w:r>
          </w:p>
        </w:tc>
        <w:tc>
          <w:tcPr>
            <w:tcW w:w="1596" w:type="dxa"/>
            <w:shd w:val="clear" w:color="auto" w:fill="auto"/>
            <w:noWrap/>
            <w:vAlign w:val="bottom"/>
            <w:hideMark/>
          </w:tcPr>
          <w:p w14:paraId="3BB71935" w14:textId="27B64A59" w:rsidR="00E97744" w:rsidRPr="00E97744" w:rsidRDefault="00E97744" w:rsidP="00EC2182">
            <w:pPr>
              <w:spacing w:after="0" w:line="240" w:lineRule="auto"/>
              <w:jc w:val="center"/>
              <w:rPr>
                <w:rFonts w:eastAsia="Times New Roman" w:cs="Arial"/>
                <w:color w:val="000000"/>
                <w:sz w:val="20"/>
                <w:szCs w:val="20"/>
              </w:rPr>
            </w:pPr>
            <w:r w:rsidRPr="00E97744">
              <w:rPr>
                <w:rFonts w:eastAsia="Times New Roman" w:cs="Arial"/>
                <w:color w:val="FF0000"/>
                <w:sz w:val="20"/>
                <w:szCs w:val="20"/>
              </w:rPr>
              <w:t>($5,87</w:t>
            </w:r>
            <w:r w:rsidR="003478E1">
              <w:rPr>
                <w:rFonts w:eastAsia="Times New Roman" w:cs="Arial"/>
                <w:color w:val="FF0000"/>
                <w:sz w:val="20"/>
                <w:szCs w:val="20"/>
              </w:rPr>
              <w:t>9</w:t>
            </w:r>
            <w:r w:rsidRPr="00E97744">
              <w:rPr>
                <w:rFonts w:eastAsia="Times New Roman" w:cs="Arial"/>
                <w:color w:val="FF0000"/>
                <w:sz w:val="20"/>
                <w:szCs w:val="20"/>
              </w:rPr>
              <w:t>)</w:t>
            </w:r>
          </w:p>
        </w:tc>
        <w:tc>
          <w:tcPr>
            <w:tcW w:w="1596" w:type="dxa"/>
            <w:shd w:val="clear" w:color="auto" w:fill="auto"/>
            <w:noWrap/>
            <w:vAlign w:val="bottom"/>
            <w:hideMark/>
          </w:tcPr>
          <w:p w14:paraId="7A4EC976" w14:textId="7760A320" w:rsidR="00E97744" w:rsidRPr="00E97744" w:rsidRDefault="00E97744" w:rsidP="00EC2182">
            <w:pPr>
              <w:spacing w:after="0" w:line="240" w:lineRule="auto"/>
              <w:jc w:val="center"/>
              <w:rPr>
                <w:rFonts w:eastAsia="Times New Roman" w:cs="Arial"/>
                <w:color w:val="000000"/>
                <w:sz w:val="20"/>
                <w:szCs w:val="20"/>
              </w:rPr>
            </w:pPr>
            <w:r w:rsidRPr="00E97744">
              <w:rPr>
                <w:rFonts w:eastAsia="Times New Roman" w:cs="Arial"/>
                <w:color w:val="000000"/>
                <w:sz w:val="20"/>
                <w:szCs w:val="20"/>
              </w:rPr>
              <w:t>$31,257</w:t>
            </w:r>
          </w:p>
        </w:tc>
      </w:tr>
    </w:tbl>
    <w:p w14:paraId="7FF924A5" w14:textId="77777777" w:rsidR="009C6BAD" w:rsidRPr="009C6BAD" w:rsidRDefault="009C6BAD" w:rsidP="009C6BAD">
      <w:pPr>
        <w:spacing w:before="40" w:after="40" w:line="240" w:lineRule="auto"/>
        <w:rPr>
          <w:sz w:val="24"/>
          <w:szCs w:val="24"/>
        </w:rPr>
      </w:pPr>
    </w:p>
    <w:p w14:paraId="5FA5BE68" w14:textId="2609B3D7" w:rsidR="009C6BAD" w:rsidRDefault="00E97744" w:rsidP="009C6BAD">
      <w:pPr>
        <w:spacing w:before="40" w:after="40" w:line="240" w:lineRule="auto"/>
        <w:rPr>
          <w:sz w:val="24"/>
          <w:szCs w:val="24"/>
        </w:rPr>
      </w:pPr>
      <w:r>
        <w:rPr>
          <w:sz w:val="24"/>
          <w:szCs w:val="24"/>
        </w:rPr>
        <w:t xml:space="preserve">In response to Follow-up #3 </w:t>
      </w:r>
      <w:r w:rsidRPr="00E97744">
        <w:rPr>
          <w:sz w:val="24"/>
          <w:szCs w:val="24"/>
        </w:rPr>
        <w:t>Staff Question 1bii, Hydro 2000 stated “Hydro 2000 was told to put the differences in the adjustment columns in 2016 and to reverse it in the adjustment column in 2017”</w:t>
      </w:r>
      <w:r>
        <w:rPr>
          <w:sz w:val="24"/>
          <w:szCs w:val="24"/>
        </w:rPr>
        <w:t xml:space="preserve">. The 2016 principal adjustments Hydro 2000 previously included </w:t>
      </w:r>
      <w:r w:rsidR="005112C1">
        <w:rPr>
          <w:sz w:val="24"/>
          <w:szCs w:val="24"/>
        </w:rPr>
        <w:t>(in the 2021</w:t>
      </w:r>
      <w:r w:rsidR="009F4AE2">
        <w:rPr>
          <w:sz w:val="24"/>
          <w:szCs w:val="24"/>
        </w:rPr>
        <w:t xml:space="preserve">0224 version of the IRM Rate Generator) </w:t>
      </w:r>
      <w:r>
        <w:rPr>
          <w:sz w:val="24"/>
          <w:szCs w:val="24"/>
        </w:rPr>
        <w:t xml:space="preserve">was $158,168 and $32,891 for accounts 1588 and 1589, respectively. </w:t>
      </w:r>
    </w:p>
    <w:p w14:paraId="4C12CB8A" w14:textId="08175B35" w:rsidR="00E97744" w:rsidRDefault="00E97744" w:rsidP="009C6BAD">
      <w:pPr>
        <w:spacing w:before="40" w:after="40" w:line="240" w:lineRule="auto"/>
        <w:rPr>
          <w:sz w:val="24"/>
          <w:szCs w:val="24"/>
        </w:rPr>
      </w:pPr>
    </w:p>
    <w:p w14:paraId="0312AD37" w14:textId="57358689" w:rsidR="00E97744" w:rsidRDefault="00E97744" w:rsidP="00E97744">
      <w:pPr>
        <w:pStyle w:val="ListParagraph"/>
        <w:numPr>
          <w:ilvl w:val="0"/>
          <w:numId w:val="1"/>
        </w:numPr>
        <w:spacing w:before="40" w:after="40" w:line="240" w:lineRule="auto"/>
        <w:rPr>
          <w:sz w:val="24"/>
          <w:szCs w:val="24"/>
        </w:rPr>
      </w:pPr>
      <w:r>
        <w:rPr>
          <w:sz w:val="24"/>
          <w:szCs w:val="24"/>
        </w:rPr>
        <w:t>Please explain how the revised principal adjustments for 2017 to 2019 as shown in the table</w:t>
      </w:r>
      <w:r w:rsidR="002A4F76">
        <w:rPr>
          <w:sz w:val="24"/>
          <w:szCs w:val="24"/>
        </w:rPr>
        <w:t xml:space="preserve"> above totaling ($528,427) and $31,257 for accounts 1588 and 1589, respectively</w:t>
      </w:r>
      <w:r>
        <w:rPr>
          <w:sz w:val="24"/>
          <w:szCs w:val="24"/>
        </w:rPr>
        <w:t xml:space="preserve"> relate to the 2016 principal adjustments</w:t>
      </w:r>
      <w:r w:rsidR="002A4F76">
        <w:rPr>
          <w:sz w:val="24"/>
          <w:szCs w:val="24"/>
        </w:rPr>
        <w:t xml:space="preserve"> of $158,168 and $32,891 for accounts 1588 and 1589, respectively</w:t>
      </w:r>
      <w:r>
        <w:rPr>
          <w:sz w:val="24"/>
          <w:szCs w:val="24"/>
        </w:rPr>
        <w:t xml:space="preserve">. </w:t>
      </w:r>
    </w:p>
    <w:p w14:paraId="3B7718AD" w14:textId="1E3BD313" w:rsidR="00590859" w:rsidRDefault="00590859" w:rsidP="00590859">
      <w:pPr>
        <w:spacing w:before="40" w:after="40" w:line="240" w:lineRule="auto"/>
        <w:rPr>
          <w:sz w:val="24"/>
          <w:szCs w:val="24"/>
        </w:rPr>
      </w:pPr>
    </w:p>
    <w:p w14:paraId="1715B0B4" w14:textId="77777777" w:rsidR="003532E8" w:rsidRDefault="00A84DF7" w:rsidP="00590859">
      <w:pPr>
        <w:spacing w:before="40" w:after="40" w:line="240" w:lineRule="auto"/>
        <w:ind w:left="720"/>
        <w:rPr>
          <w:color w:val="FF0000"/>
          <w:sz w:val="24"/>
          <w:szCs w:val="24"/>
        </w:rPr>
      </w:pPr>
      <w:r>
        <w:rPr>
          <w:color w:val="FF0000"/>
          <w:sz w:val="24"/>
          <w:szCs w:val="24"/>
        </w:rPr>
        <w:t xml:space="preserve">Errors were made </w:t>
      </w:r>
      <w:r w:rsidR="00C84C8A">
        <w:rPr>
          <w:color w:val="FF0000"/>
          <w:sz w:val="24"/>
          <w:szCs w:val="24"/>
        </w:rPr>
        <w:t xml:space="preserve">in the </w:t>
      </w:r>
      <w:r w:rsidR="00AA7597">
        <w:rPr>
          <w:color w:val="FF0000"/>
          <w:sz w:val="24"/>
          <w:szCs w:val="24"/>
        </w:rPr>
        <w:t xml:space="preserve">RPP </w:t>
      </w:r>
      <w:r w:rsidR="00C84C8A">
        <w:rPr>
          <w:color w:val="FF0000"/>
          <w:sz w:val="24"/>
          <w:szCs w:val="24"/>
        </w:rPr>
        <w:t xml:space="preserve">settlement with Hydro One </w:t>
      </w:r>
      <w:r w:rsidR="00F8319C">
        <w:rPr>
          <w:color w:val="FF0000"/>
          <w:sz w:val="24"/>
          <w:szCs w:val="24"/>
        </w:rPr>
        <w:t>in 2016 and 2017. Those errors were discovered by the new general manager who adjusted the settlement</w:t>
      </w:r>
      <w:r w:rsidR="00F60E37">
        <w:rPr>
          <w:color w:val="FF0000"/>
          <w:sz w:val="24"/>
          <w:szCs w:val="24"/>
        </w:rPr>
        <w:t>s</w:t>
      </w:r>
      <w:r w:rsidR="00F8319C">
        <w:rPr>
          <w:color w:val="FF0000"/>
          <w:sz w:val="24"/>
          <w:szCs w:val="24"/>
        </w:rPr>
        <w:t>.</w:t>
      </w:r>
      <w:r w:rsidR="00F60E37">
        <w:rPr>
          <w:color w:val="FF0000"/>
          <w:sz w:val="24"/>
          <w:szCs w:val="24"/>
        </w:rPr>
        <w:t xml:space="preserve"> Those adjustments were made in 2018 and 2019. </w:t>
      </w:r>
      <w:r w:rsidR="00E01BFC">
        <w:rPr>
          <w:color w:val="FF0000"/>
          <w:sz w:val="24"/>
          <w:szCs w:val="24"/>
        </w:rPr>
        <w:t>Since these amounts were corrections of past years, they have been put in the adjustment</w:t>
      </w:r>
      <w:r w:rsidR="00EA6643">
        <w:rPr>
          <w:color w:val="FF0000"/>
          <w:sz w:val="24"/>
          <w:szCs w:val="24"/>
        </w:rPr>
        <w:t xml:space="preserve"> columns.</w:t>
      </w:r>
    </w:p>
    <w:p w14:paraId="4EE5E485" w14:textId="77777777" w:rsidR="003532E8" w:rsidRDefault="003532E8" w:rsidP="00590859">
      <w:pPr>
        <w:spacing w:before="40" w:after="40" w:line="240" w:lineRule="auto"/>
        <w:ind w:left="720"/>
        <w:rPr>
          <w:color w:val="FF0000"/>
          <w:sz w:val="24"/>
          <w:szCs w:val="24"/>
        </w:rPr>
      </w:pPr>
    </w:p>
    <w:p w14:paraId="662C12B0" w14:textId="77777777" w:rsidR="00B01391" w:rsidRDefault="00AB0241" w:rsidP="00590859">
      <w:pPr>
        <w:spacing w:before="40" w:after="40" w:line="240" w:lineRule="auto"/>
        <w:ind w:left="720"/>
        <w:rPr>
          <w:color w:val="FF0000"/>
          <w:sz w:val="24"/>
          <w:szCs w:val="24"/>
        </w:rPr>
      </w:pPr>
      <w:r>
        <w:rPr>
          <w:color w:val="FF0000"/>
          <w:sz w:val="24"/>
          <w:szCs w:val="24"/>
        </w:rPr>
        <w:t xml:space="preserve">The explanation to have an adjustment </w:t>
      </w:r>
      <w:r w:rsidR="00DA7B40">
        <w:rPr>
          <w:color w:val="FF0000"/>
          <w:sz w:val="24"/>
          <w:szCs w:val="24"/>
        </w:rPr>
        <w:t xml:space="preserve">in the 2016 adjustment column and to reverse it in the 2017 adjustments was to match with the RRR. </w:t>
      </w:r>
      <w:r w:rsidR="00AA2EF5">
        <w:rPr>
          <w:color w:val="FF0000"/>
          <w:sz w:val="24"/>
          <w:szCs w:val="24"/>
        </w:rPr>
        <w:t xml:space="preserve">In the process of the 2021 IRM, Hydro 2000 was asked that the balance at the end of </w:t>
      </w:r>
      <w:r w:rsidR="002B4B95">
        <w:rPr>
          <w:color w:val="FF0000"/>
          <w:sz w:val="24"/>
          <w:szCs w:val="24"/>
        </w:rPr>
        <w:t>2016 should match the inspection report. The balance per the inspection report did not match the RRR</w:t>
      </w:r>
      <w:r w:rsidR="00E5698C">
        <w:rPr>
          <w:color w:val="FF0000"/>
          <w:sz w:val="24"/>
          <w:szCs w:val="24"/>
        </w:rPr>
        <w:t xml:space="preserve"> (to match the inspection report)</w:t>
      </w:r>
      <w:r w:rsidR="002B4B95">
        <w:rPr>
          <w:color w:val="FF0000"/>
          <w:sz w:val="24"/>
          <w:szCs w:val="24"/>
        </w:rPr>
        <w:t>.</w:t>
      </w:r>
    </w:p>
    <w:p w14:paraId="7C232B2F" w14:textId="77777777" w:rsidR="00B01391" w:rsidRDefault="00B01391" w:rsidP="00590859">
      <w:pPr>
        <w:spacing w:before="40" w:after="40" w:line="240" w:lineRule="auto"/>
        <w:ind w:left="720"/>
        <w:rPr>
          <w:color w:val="FF0000"/>
          <w:sz w:val="24"/>
          <w:szCs w:val="24"/>
        </w:rPr>
      </w:pPr>
    </w:p>
    <w:p w14:paraId="781D395F" w14:textId="42A1C4F0" w:rsidR="00590859" w:rsidRPr="00B31347" w:rsidRDefault="00A72D4F" w:rsidP="00590859">
      <w:pPr>
        <w:spacing w:before="40" w:after="40" w:line="240" w:lineRule="auto"/>
        <w:ind w:left="720"/>
        <w:rPr>
          <w:color w:val="FF0000"/>
          <w:sz w:val="24"/>
          <w:szCs w:val="24"/>
        </w:rPr>
      </w:pPr>
      <w:r>
        <w:rPr>
          <w:color w:val="FF0000"/>
          <w:sz w:val="24"/>
          <w:szCs w:val="24"/>
        </w:rPr>
        <w:t xml:space="preserve">The adjustments of $158K and $32K to which you are referring, are </w:t>
      </w:r>
      <w:r w:rsidR="00EC3F6D">
        <w:rPr>
          <w:color w:val="FF0000"/>
          <w:sz w:val="24"/>
          <w:szCs w:val="24"/>
        </w:rPr>
        <w:t xml:space="preserve">adjustments on the variances on December 31, 2014 balances. </w:t>
      </w:r>
      <w:r w:rsidR="008F565E">
        <w:rPr>
          <w:color w:val="FF0000"/>
          <w:sz w:val="24"/>
          <w:szCs w:val="24"/>
        </w:rPr>
        <w:t>During the inspection, there were also differences noted in 2015 and 2016.</w:t>
      </w:r>
      <w:r w:rsidR="002B4B95">
        <w:rPr>
          <w:color w:val="FF0000"/>
          <w:sz w:val="24"/>
          <w:szCs w:val="24"/>
        </w:rPr>
        <w:t xml:space="preserve"> </w:t>
      </w:r>
      <w:r w:rsidR="00F8319C">
        <w:rPr>
          <w:color w:val="FF0000"/>
          <w:sz w:val="24"/>
          <w:szCs w:val="24"/>
        </w:rPr>
        <w:t xml:space="preserve"> </w:t>
      </w:r>
    </w:p>
    <w:p w14:paraId="3CEE54E6" w14:textId="77777777" w:rsidR="00590859" w:rsidRPr="00590859" w:rsidRDefault="00590859" w:rsidP="00590859">
      <w:pPr>
        <w:spacing w:before="40" w:after="40" w:line="240" w:lineRule="auto"/>
        <w:rPr>
          <w:sz w:val="24"/>
          <w:szCs w:val="24"/>
        </w:rPr>
      </w:pPr>
    </w:p>
    <w:p w14:paraId="5837F63C" w14:textId="1EF4DBAC" w:rsidR="00E97744" w:rsidRDefault="00E97744" w:rsidP="00E97744">
      <w:pPr>
        <w:pStyle w:val="ListParagraph"/>
        <w:numPr>
          <w:ilvl w:val="0"/>
          <w:numId w:val="1"/>
        </w:numPr>
        <w:spacing w:before="40" w:after="40" w:line="240" w:lineRule="auto"/>
        <w:rPr>
          <w:sz w:val="24"/>
          <w:szCs w:val="24"/>
        </w:rPr>
      </w:pPr>
      <w:r>
        <w:rPr>
          <w:sz w:val="24"/>
          <w:szCs w:val="24"/>
        </w:rPr>
        <w:lastRenderedPageBreak/>
        <w:t xml:space="preserve">Please confirm that the transactions for </w:t>
      </w:r>
      <w:r w:rsidR="006E6DEF">
        <w:rPr>
          <w:sz w:val="24"/>
          <w:szCs w:val="24"/>
        </w:rPr>
        <w:t>a</w:t>
      </w:r>
      <w:r>
        <w:rPr>
          <w:sz w:val="24"/>
          <w:szCs w:val="24"/>
        </w:rPr>
        <w:t>ccounts 1588 and 1589 pertaining to 2017 as Hydro 2000 recalculated from the Illustrative Model is $13,796 and $2,065 for accounts 1588 and 1589, respectively</w:t>
      </w:r>
      <w:r w:rsidR="00A324FF">
        <w:rPr>
          <w:sz w:val="24"/>
          <w:szCs w:val="24"/>
        </w:rPr>
        <w:t xml:space="preserve"> as shown in the DVA Continuity Schedule</w:t>
      </w:r>
      <w:r>
        <w:rPr>
          <w:sz w:val="24"/>
          <w:szCs w:val="24"/>
        </w:rPr>
        <w:t xml:space="preserve">. </w:t>
      </w:r>
    </w:p>
    <w:p w14:paraId="7CB28761" w14:textId="4FE30495" w:rsidR="00E97744" w:rsidRDefault="00E97744" w:rsidP="00E97744">
      <w:pPr>
        <w:pStyle w:val="ListParagraph"/>
        <w:numPr>
          <w:ilvl w:val="1"/>
          <w:numId w:val="1"/>
        </w:numPr>
        <w:spacing w:before="40" w:after="40" w:line="240" w:lineRule="auto"/>
        <w:rPr>
          <w:sz w:val="24"/>
          <w:szCs w:val="24"/>
        </w:rPr>
      </w:pPr>
      <w:r>
        <w:rPr>
          <w:sz w:val="24"/>
          <w:szCs w:val="24"/>
        </w:rPr>
        <w:t>If confirmed, please explain why principal adjustments of $67,78</w:t>
      </w:r>
      <w:r w:rsidR="005E79DA">
        <w:rPr>
          <w:sz w:val="24"/>
          <w:szCs w:val="24"/>
        </w:rPr>
        <w:t>9</w:t>
      </w:r>
      <w:r>
        <w:rPr>
          <w:sz w:val="24"/>
          <w:szCs w:val="24"/>
        </w:rPr>
        <w:t xml:space="preserve"> and $34,13</w:t>
      </w:r>
      <w:r w:rsidR="005E79DA">
        <w:rPr>
          <w:sz w:val="24"/>
          <w:szCs w:val="24"/>
        </w:rPr>
        <w:t>9</w:t>
      </w:r>
      <w:r>
        <w:rPr>
          <w:sz w:val="24"/>
          <w:szCs w:val="24"/>
        </w:rPr>
        <w:t xml:space="preserve"> for accounts 1588 and 1589, respectively is required for 2017.</w:t>
      </w:r>
    </w:p>
    <w:p w14:paraId="53339587" w14:textId="276D79EC" w:rsidR="004B4A83" w:rsidRDefault="004B4A83" w:rsidP="004B4A83">
      <w:pPr>
        <w:spacing w:before="40" w:after="40" w:line="240" w:lineRule="auto"/>
        <w:rPr>
          <w:sz w:val="24"/>
          <w:szCs w:val="24"/>
        </w:rPr>
      </w:pPr>
    </w:p>
    <w:p w14:paraId="2DEB1C17" w14:textId="1D413A3B" w:rsidR="004B4A83" w:rsidRPr="004B4A83" w:rsidRDefault="00D7428B" w:rsidP="004B4A83">
      <w:pPr>
        <w:spacing w:before="40" w:after="40" w:line="240" w:lineRule="auto"/>
        <w:ind w:left="1440"/>
        <w:rPr>
          <w:color w:val="FF0000"/>
          <w:sz w:val="24"/>
          <w:szCs w:val="24"/>
        </w:rPr>
      </w:pPr>
      <w:r>
        <w:rPr>
          <w:color w:val="FF0000"/>
          <w:sz w:val="24"/>
          <w:szCs w:val="24"/>
        </w:rPr>
        <w:t xml:space="preserve">Yes $13K and $2K are the variances calculated with the new model. </w:t>
      </w:r>
      <w:proofErr w:type="gramStart"/>
      <w:r w:rsidR="006A60C6">
        <w:rPr>
          <w:color w:val="FF0000"/>
          <w:sz w:val="24"/>
          <w:szCs w:val="24"/>
        </w:rPr>
        <w:t>The majority of</w:t>
      </w:r>
      <w:proofErr w:type="gramEnd"/>
      <w:r w:rsidR="006A60C6">
        <w:rPr>
          <w:color w:val="FF0000"/>
          <w:sz w:val="24"/>
          <w:szCs w:val="24"/>
        </w:rPr>
        <w:t xml:space="preserve"> the differences relates to errors in the </w:t>
      </w:r>
      <w:r w:rsidR="00370D8E">
        <w:rPr>
          <w:color w:val="FF0000"/>
          <w:sz w:val="24"/>
          <w:szCs w:val="24"/>
        </w:rPr>
        <w:t xml:space="preserve">RPP settlement. </w:t>
      </w:r>
      <w:r w:rsidR="00017BFA">
        <w:rPr>
          <w:color w:val="FF0000"/>
          <w:sz w:val="24"/>
          <w:szCs w:val="24"/>
        </w:rPr>
        <w:t xml:space="preserve">These differences have been </w:t>
      </w:r>
      <w:r w:rsidR="00E05EBE">
        <w:rPr>
          <w:color w:val="FF0000"/>
          <w:sz w:val="24"/>
          <w:szCs w:val="24"/>
        </w:rPr>
        <w:t>claimed to Hydro One for RPP adjustments.</w:t>
      </w:r>
    </w:p>
    <w:p w14:paraId="5F8D1358" w14:textId="77777777" w:rsidR="004B4A83" w:rsidRPr="004B4A83" w:rsidRDefault="004B4A83" w:rsidP="004B4A83">
      <w:pPr>
        <w:spacing w:before="40" w:after="40" w:line="240" w:lineRule="auto"/>
        <w:rPr>
          <w:sz w:val="24"/>
          <w:szCs w:val="24"/>
        </w:rPr>
      </w:pPr>
    </w:p>
    <w:p w14:paraId="2227C8F9" w14:textId="77777777" w:rsidR="00B900AC" w:rsidRDefault="00E97744" w:rsidP="00E97744">
      <w:pPr>
        <w:pStyle w:val="ListParagraph"/>
        <w:numPr>
          <w:ilvl w:val="1"/>
          <w:numId w:val="1"/>
        </w:numPr>
        <w:spacing w:before="40" w:after="40" w:line="240" w:lineRule="auto"/>
        <w:rPr>
          <w:sz w:val="24"/>
          <w:szCs w:val="24"/>
        </w:rPr>
      </w:pPr>
      <w:r>
        <w:rPr>
          <w:sz w:val="24"/>
          <w:szCs w:val="24"/>
        </w:rPr>
        <w:t xml:space="preserve">If not confirmed, please provide the correct transactions for </w:t>
      </w:r>
      <w:r w:rsidR="00166F3F">
        <w:rPr>
          <w:sz w:val="24"/>
          <w:szCs w:val="24"/>
        </w:rPr>
        <w:t>a</w:t>
      </w:r>
      <w:r>
        <w:rPr>
          <w:sz w:val="24"/>
          <w:szCs w:val="24"/>
        </w:rPr>
        <w:t>ccount</w:t>
      </w:r>
      <w:r w:rsidR="00166F3F">
        <w:rPr>
          <w:sz w:val="24"/>
          <w:szCs w:val="24"/>
        </w:rPr>
        <w:t>s</w:t>
      </w:r>
      <w:r>
        <w:rPr>
          <w:sz w:val="24"/>
          <w:szCs w:val="24"/>
        </w:rPr>
        <w:t xml:space="preserve"> 1588 and 1589 pertaining to 2017 as recalculated from the Illustrative Model.</w:t>
      </w:r>
    </w:p>
    <w:p w14:paraId="35FACBE2" w14:textId="77777777" w:rsidR="00B900AC" w:rsidRDefault="00B900AC" w:rsidP="00B900AC">
      <w:pPr>
        <w:spacing w:before="40" w:after="40" w:line="240" w:lineRule="auto"/>
        <w:rPr>
          <w:sz w:val="24"/>
          <w:szCs w:val="24"/>
        </w:rPr>
      </w:pPr>
    </w:p>
    <w:p w14:paraId="6901EE62" w14:textId="46924920" w:rsidR="00B900AC" w:rsidRPr="00B900AC" w:rsidRDefault="00B900AC" w:rsidP="00B900AC">
      <w:pPr>
        <w:spacing w:before="40" w:after="40" w:line="240" w:lineRule="auto"/>
        <w:ind w:left="1440"/>
        <w:rPr>
          <w:color w:val="FF0000"/>
          <w:sz w:val="24"/>
          <w:szCs w:val="24"/>
          <w:lang w:val="en-CA"/>
        </w:rPr>
      </w:pPr>
      <w:r>
        <w:rPr>
          <w:color w:val="FF0000"/>
          <w:sz w:val="24"/>
          <w:szCs w:val="24"/>
        </w:rPr>
        <w:t>N</w:t>
      </w:r>
      <w:r>
        <w:rPr>
          <w:color w:val="FF0000"/>
          <w:sz w:val="24"/>
          <w:szCs w:val="24"/>
          <w:lang w:val="en-CA"/>
        </w:rPr>
        <w:t>/A</w:t>
      </w:r>
    </w:p>
    <w:p w14:paraId="656B5434" w14:textId="716C7643" w:rsidR="00E97744" w:rsidRPr="00B900AC" w:rsidRDefault="00E97744" w:rsidP="00B900AC">
      <w:pPr>
        <w:spacing w:before="40" w:after="40" w:line="240" w:lineRule="auto"/>
        <w:rPr>
          <w:sz w:val="24"/>
          <w:szCs w:val="24"/>
        </w:rPr>
      </w:pPr>
      <w:r w:rsidRPr="00B900AC">
        <w:rPr>
          <w:sz w:val="24"/>
          <w:szCs w:val="24"/>
        </w:rPr>
        <w:t xml:space="preserve"> </w:t>
      </w:r>
    </w:p>
    <w:p w14:paraId="76466E1A" w14:textId="244C0B57" w:rsidR="00A324FF" w:rsidRPr="00A324FF" w:rsidRDefault="00A324FF" w:rsidP="00A324FF">
      <w:pPr>
        <w:pStyle w:val="ListParagraph"/>
        <w:numPr>
          <w:ilvl w:val="0"/>
          <w:numId w:val="1"/>
        </w:numPr>
        <w:spacing w:before="40" w:after="40" w:line="240" w:lineRule="auto"/>
        <w:rPr>
          <w:sz w:val="24"/>
          <w:szCs w:val="24"/>
        </w:rPr>
      </w:pPr>
      <w:r>
        <w:rPr>
          <w:sz w:val="24"/>
          <w:szCs w:val="24"/>
        </w:rPr>
        <w:t xml:space="preserve">Please confirm that the transactions for </w:t>
      </w:r>
      <w:r w:rsidR="006E6DEF">
        <w:rPr>
          <w:sz w:val="24"/>
          <w:szCs w:val="24"/>
        </w:rPr>
        <w:t>a</w:t>
      </w:r>
      <w:r>
        <w:rPr>
          <w:sz w:val="24"/>
          <w:szCs w:val="24"/>
        </w:rPr>
        <w:t>ccounts 1588 and 1589 pertaining to 2018 as Hydro 2000 recalculated from the Illustrative Model is $1</w:t>
      </w:r>
      <w:r w:rsidR="00553F3D">
        <w:rPr>
          <w:sz w:val="24"/>
          <w:szCs w:val="24"/>
        </w:rPr>
        <w:t>6</w:t>
      </w:r>
      <w:r w:rsidR="00E96AA4">
        <w:rPr>
          <w:sz w:val="24"/>
          <w:szCs w:val="24"/>
        </w:rPr>
        <w:t>,363</w:t>
      </w:r>
      <w:r>
        <w:rPr>
          <w:sz w:val="24"/>
          <w:szCs w:val="24"/>
        </w:rPr>
        <w:t xml:space="preserve"> and </w:t>
      </w:r>
      <w:r w:rsidR="00E96AA4">
        <w:rPr>
          <w:sz w:val="24"/>
          <w:szCs w:val="24"/>
        </w:rPr>
        <w:t xml:space="preserve">($7,034) </w:t>
      </w:r>
      <w:r>
        <w:rPr>
          <w:sz w:val="24"/>
          <w:szCs w:val="24"/>
        </w:rPr>
        <w:t xml:space="preserve">for accounts 1588 and 1589, respectively as shown in the DVA Continuity Schedule. </w:t>
      </w:r>
    </w:p>
    <w:p w14:paraId="06FAC925" w14:textId="267C073F" w:rsidR="00A324FF" w:rsidRDefault="00A324FF" w:rsidP="00A324FF">
      <w:pPr>
        <w:pStyle w:val="ListParagraph"/>
        <w:numPr>
          <w:ilvl w:val="1"/>
          <w:numId w:val="1"/>
        </w:numPr>
        <w:spacing w:before="40" w:after="40" w:line="240" w:lineRule="auto"/>
        <w:rPr>
          <w:sz w:val="24"/>
          <w:szCs w:val="24"/>
        </w:rPr>
      </w:pPr>
      <w:r>
        <w:rPr>
          <w:sz w:val="24"/>
          <w:szCs w:val="24"/>
        </w:rPr>
        <w:t xml:space="preserve">If confirmed, please explain why principal adjustments of </w:t>
      </w:r>
      <w:r w:rsidR="00E96AA4">
        <w:rPr>
          <w:sz w:val="24"/>
          <w:szCs w:val="24"/>
        </w:rPr>
        <w:t xml:space="preserve">($784,478) </w:t>
      </w:r>
      <w:r>
        <w:rPr>
          <w:sz w:val="24"/>
          <w:szCs w:val="24"/>
        </w:rPr>
        <w:t xml:space="preserve">and </w:t>
      </w:r>
      <w:r w:rsidR="00E96AA4">
        <w:rPr>
          <w:sz w:val="24"/>
          <w:szCs w:val="24"/>
        </w:rPr>
        <w:t>$2,997</w:t>
      </w:r>
      <w:r>
        <w:rPr>
          <w:sz w:val="24"/>
          <w:szCs w:val="24"/>
        </w:rPr>
        <w:t xml:space="preserve"> for accounts 1588 and 1589, respectively is required for 201</w:t>
      </w:r>
      <w:r w:rsidR="003D0A0C">
        <w:rPr>
          <w:sz w:val="24"/>
          <w:szCs w:val="24"/>
        </w:rPr>
        <w:t>8</w:t>
      </w:r>
      <w:r>
        <w:rPr>
          <w:sz w:val="24"/>
          <w:szCs w:val="24"/>
        </w:rPr>
        <w:t>.</w:t>
      </w:r>
    </w:p>
    <w:p w14:paraId="7F2EB5A7" w14:textId="09CC47D3" w:rsidR="00733ABD" w:rsidRDefault="00733ABD" w:rsidP="00733ABD">
      <w:pPr>
        <w:spacing w:before="40" w:after="40" w:line="240" w:lineRule="auto"/>
        <w:rPr>
          <w:sz w:val="24"/>
          <w:szCs w:val="24"/>
        </w:rPr>
      </w:pPr>
    </w:p>
    <w:p w14:paraId="7CEC26DE" w14:textId="76B0CC35" w:rsidR="00733ABD" w:rsidRPr="00733ABD" w:rsidRDefault="00733ABD" w:rsidP="00733ABD">
      <w:pPr>
        <w:spacing w:before="40" w:after="40" w:line="240" w:lineRule="auto"/>
        <w:ind w:left="1440"/>
        <w:rPr>
          <w:color w:val="FF0000"/>
          <w:sz w:val="24"/>
          <w:szCs w:val="24"/>
        </w:rPr>
      </w:pPr>
      <w:proofErr w:type="gramStart"/>
      <w:r>
        <w:rPr>
          <w:color w:val="FF0000"/>
          <w:sz w:val="24"/>
          <w:szCs w:val="24"/>
        </w:rPr>
        <w:t>Yes</w:t>
      </w:r>
      <w:proofErr w:type="gramEnd"/>
      <w:r>
        <w:rPr>
          <w:color w:val="FF0000"/>
          <w:sz w:val="24"/>
          <w:szCs w:val="24"/>
        </w:rPr>
        <w:t xml:space="preserve"> the </w:t>
      </w:r>
      <w:r w:rsidR="0006611C">
        <w:rPr>
          <w:color w:val="FF0000"/>
          <w:sz w:val="24"/>
          <w:szCs w:val="24"/>
        </w:rPr>
        <w:t>$16K and -$7K are the variances calculated</w:t>
      </w:r>
      <w:r w:rsidR="00A5539B">
        <w:rPr>
          <w:color w:val="FF0000"/>
          <w:sz w:val="24"/>
          <w:szCs w:val="24"/>
        </w:rPr>
        <w:t xml:space="preserve"> with the new model.</w:t>
      </w:r>
      <w:r w:rsidR="004D2EB7">
        <w:rPr>
          <w:color w:val="FF0000"/>
          <w:sz w:val="24"/>
          <w:szCs w:val="24"/>
        </w:rPr>
        <w:t xml:space="preserve"> There were differences when calculating the variances with the new methodology</w:t>
      </w:r>
      <w:r w:rsidR="005B3C2F">
        <w:rPr>
          <w:color w:val="FF0000"/>
          <w:sz w:val="24"/>
          <w:szCs w:val="24"/>
        </w:rPr>
        <w:t xml:space="preserve">. </w:t>
      </w:r>
      <w:proofErr w:type="gramStart"/>
      <w:r w:rsidR="005B3C2F">
        <w:rPr>
          <w:color w:val="FF0000"/>
          <w:sz w:val="24"/>
          <w:szCs w:val="24"/>
        </w:rPr>
        <w:t>The majority of</w:t>
      </w:r>
      <w:proofErr w:type="gramEnd"/>
      <w:r w:rsidR="005B3C2F">
        <w:rPr>
          <w:color w:val="FF0000"/>
          <w:sz w:val="24"/>
          <w:szCs w:val="24"/>
        </w:rPr>
        <w:t xml:space="preserve"> the differences were due to adjustments claimed to Hydro One for </w:t>
      </w:r>
      <w:r w:rsidR="00DF3728">
        <w:rPr>
          <w:color w:val="FF0000"/>
          <w:sz w:val="24"/>
          <w:szCs w:val="24"/>
        </w:rPr>
        <w:t>RPP settlement.</w:t>
      </w:r>
    </w:p>
    <w:p w14:paraId="1D198E93" w14:textId="77777777" w:rsidR="00733ABD" w:rsidRPr="00733ABD" w:rsidRDefault="00733ABD" w:rsidP="00733ABD">
      <w:pPr>
        <w:spacing w:before="40" w:after="40" w:line="240" w:lineRule="auto"/>
        <w:rPr>
          <w:sz w:val="24"/>
          <w:szCs w:val="24"/>
        </w:rPr>
      </w:pPr>
    </w:p>
    <w:p w14:paraId="5E0340EB" w14:textId="787F4F9A" w:rsidR="00A324FF" w:rsidRDefault="00A324FF" w:rsidP="00A324FF">
      <w:pPr>
        <w:pStyle w:val="ListParagraph"/>
        <w:numPr>
          <w:ilvl w:val="1"/>
          <w:numId w:val="1"/>
        </w:numPr>
        <w:spacing w:before="40" w:after="40" w:line="240" w:lineRule="auto"/>
        <w:rPr>
          <w:sz w:val="24"/>
          <w:szCs w:val="24"/>
        </w:rPr>
      </w:pPr>
      <w:r>
        <w:rPr>
          <w:sz w:val="24"/>
          <w:szCs w:val="24"/>
        </w:rPr>
        <w:t xml:space="preserve">If not confirmed, please provide the correct transactions for </w:t>
      </w:r>
      <w:r w:rsidR="00166F3F">
        <w:rPr>
          <w:sz w:val="24"/>
          <w:szCs w:val="24"/>
        </w:rPr>
        <w:t>a</w:t>
      </w:r>
      <w:r>
        <w:rPr>
          <w:sz w:val="24"/>
          <w:szCs w:val="24"/>
        </w:rPr>
        <w:t>ccount</w:t>
      </w:r>
      <w:r w:rsidR="00166F3F">
        <w:rPr>
          <w:sz w:val="24"/>
          <w:szCs w:val="24"/>
        </w:rPr>
        <w:t>s</w:t>
      </w:r>
      <w:r>
        <w:rPr>
          <w:sz w:val="24"/>
          <w:szCs w:val="24"/>
        </w:rPr>
        <w:t xml:space="preserve"> 1588 and 1589 pertaining to 201</w:t>
      </w:r>
      <w:r w:rsidR="003D0A0C">
        <w:rPr>
          <w:sz w:val="24"/>
          <w:szCs w:val="24"/>
        </w:rPr>
        <w:t>8</w:t>
      </w:r>
      <w:r>
        <w:rPr>
          <w:sz w:val="24"/>
          <w:szCs w:val="24"/>
        </w:rPr>
        <w:t xml:space="preserve"> as recalculated from the Illustrative Model. </w:t>
      </w:r>
    </w:p>
    <w:p w14:paraId="471DBB9C" w14:textId="4C330613" w:rsidR="00733ABD" w:rsidRDefault="00733ABD" w:rsidP="00733ABD">
      <w:pPr>
        <w:spacing w:before="40" w:after="40" w:line="240" w:lineRule="auto"/>
        <w:rPr>
          <w:sz w:val="24"/>
          <w:szCs w:val="24"/>
        </w:rPr>
      </w:pPr>
    </w:p>
    <w:p w14:paraId="5C7CF785" w14:textId="2A970076" w:rsidR="00733ABD" w:rsidRPr="00733ABD" w:rsidRDefault="00733ABD" w:rsidP="00733ABD">
      <w:pPr>
        <w:spacing w:before="40" w:after="40" w:line="240" w:lineRule="auto"/>
        <w:ind w:left="1440"/>
        <w:rPr>
          <w:color w:val="FF0000"/>
          <w:sz w:val="24"/>
          <w:szCs w:val="24"/>
        </w:rPr>
      </w:pPr>
      <w:r>
        <w:rPr>
          <w:color w:val="FF0000"/>
          <w:sz w:val="24"/>
          <w:szCs w:val="24"/>
        </w:rPr>
        <w:t>N/A</w:t>
      </w:r>
    </w:p>
    <w:p w14:paraId="7D2D06D0" w14:textId="77777777" w:rsidR="00733ABD" w:rsidRPr="00733ABD" w:rsidRDefault="00733ABD" w:rsidP="00733ABD">
      <w:pPr>
        <w:spacing w:before="40" w:after="40" w:line="240" w:lineRule="auto"/>
        <w:rPr>
          <w:sz w:val="24"/>
          <w:szCs w:val="24"/>
        </w:rPr>
      </w:pPr>
    </w:p>
    <w:p w14:paraId="15707E82" w14:textId="4CCEDE05" w:rsidR="003440C6" w:rsidRPr="00A324FF" w:rsidRDefault="003440C6" w:rsidP="003440C6">
      <w:pPr>
        <w:pStyle w:val="ListParagraph"/>
        <w:numPr>
          <w:ilvl w:val="0"/>
          <w:numId w:val="1"/>
        </w:numPr>
        <w:spacing w:before="40" w:after="40" w:line="240" w:lineRule="auto"/>
        <w:rPr>
          <w:sz w:val="24"/>
          <w:szCs w:val="24"/>
        </w:rPr>
      </w:pPr>
      <w:r>
        <w:rPr>
          <w:sz w:val="24"/>
          <w:szCs w:val="24"/>
        </w:rPr>
        <w:t xml:space="preserve">Please confirm that the transactions for </w:t>
      </w:r>
      <w:r w:rsidR="00E7365B">
        <w:rPr>
          <w:sz w:val="24"/>
          <w:szCs w:val="24"/>
        </w:rPr>
        <w:t>a</w:t>
      </w:r>
      <w:r>
        <w:rPr>
          <w:sz w:val="24"/>
          <w:szCs w:val="24"/>
        </w:rPr>
        <w:t xml:space="preserve">ccounts 1588 and 1589 pertaining to 2019 as Hydro 2000 recalculated from the Illustrative Model is ($5,926) and </w:t>
      </w:r>
      <w:r w:rsidR="00B946F6">
        <w:rPr>
          <w:sz w:val="24"/>
          <w:szCs w:val="24"/>
        </w:rPr>
        <w:t>$6,886</w:t>
      </w:r>
      <w:r>
        <w:rPr>
          <w:sz w:val="24"/>
          <w:szCs w:val="24"/>
        </w:rPr>
        <w:t xml:space="preserve"> for accounts 1588 and 1589, respectively as shown in the DVA Continuity Schedule. </w:t>
      </w:r>
    </w:p>
    <w:p w14:paraId="17B206C3" w14:textId="57E98710" w:rsidR="003440C6" w:rsidRDefault="003440C6" w:rsidP="003440C6">
      <w:pPr>
        <w:pStyle w:val="ListParagraph"/>
        <w:numPr>
          <w:ilvl w:val="1"/>
          <w:numId w:val="1"/>
        </w:numPr>
        <w:spacing w:before="40" w:after="40" w:line="240" w:lineRule="auto"/>
        <w:rPr>
          <w:sz w:val="24"/>
          <w:szCs w:val="24"/>
        </w:rPr>
      </w:pPr>
      <w:r>
        <w:rPr>
          <w:sz w:val="24"/>
          <w:szCs w:val="24"/>
        </w:rPr>
        <w:t xml:space="preserve">If confirmed, please explain why principal adjustments of </w:t>
      </w:r>
      <w:r w:rsidR="00B946F6">
        <w:rPr>
          <w:sz w:val="24"/>
          <w:szCs w:val="24"/>
        </w:rPr>
        <w:t>$188,17</w:t>
      </w:r>
      <w:r w:rsidR="003478E1">
        <w:rPr>
          <w:sz w:val="24"/>
          <w:szCs w:val="24"/>
        </w:rPr>
        <w:t>3</w:t>
      </w:r>
      <w:r>
        <w:rPr>
          <w:sz w:val="24"/>
          <w:szCs w:val="24"/>
        </w:rPr>
        <w:t xml:space="preserve"> and $</w:t>
      </w:r>
      <w:r w:rsidR="00B946F6">
        <w:rPr>
          <w:sz w:val="24"/>
          <w:szCs w:val="24"/>
        </w:rPr>
        <w:t>($5,87</w:t>
      </w:r>
      <w:r w:rsidR="005E79DA">
        <w:rPr>
          <w:sz w:val="24"/>
          <w:szCs w:val="24"/>
        </w:rPr>
        <w:t>9)</w:t>
      </w:r>
      <w:r>
        <w:rPr>
          <w:sz w:val="24"/>
          <w:szCs w:val="24"/>
        </w:rPr>
        <w:t xml:space="preserve"> for accounts 1588 and 1589, respectively is required for 2018.</w:t>
      </w:r>
    </w:p>
    <w:p w14:paraId="34EF5418" w14:textId="34D29604" w:rsidR="00B44254" w:rsidRDefault="00B44254" w:rsidP="00B44254">
      <w:pPr>
        <w:spacing w:before="40" w:after="40" w:line="240" w:lineRule="auto"/>
        <w:rPr>
          <w:sz w:val="24"/>
          <w:szCs w:val="24"/>
        </w:rPr>
      </w:pPr>
    </w:p>
    <w:p w14:paraId="2653773D" w14:textId="65181AF1" w:rsidR="007012CD" w:rsidRPr="00733ABD" w:rsidRDefault="00F22A2D" w:rsidP="007012CD">
      <w:pPr>
        <w:spacing w:before="40" w:after="40" w:line="240" w:lineRule="auto"/>
        <w:ind w:left="1440"/>
        <w:rPr>
          <w:color w:val="FF0000"/>
          <w:sz w:val="24"/>
          <w:szCs w:val="24"/>
        </w:rPr>
      </w:pPr>
      <w:proofErr w:type="gramStart"/>
      <w:r>
        <w:rPr>
          <w:color w:val="FF0000"/>
          <w:sz w:val="24"/>
          <w:szCs w:val="24"/>
        </w:rPr>
        <w:t>Yes</w:t>
      </w:r>
      <w:proofErr w:type="gramEnd"/>
      <w:r>
        <w:rPr>
          <w:color w:val="FF0000"/>
          <w:sz w:val="24"/>
          <w:szCs w:val="24"/>
        </w:rPr>
        <w:t xml:space="preserve"> </w:t>
      </w:r>
      <w:r w:rsidR="001A77AE">
        <w:rPr>
          <w:color w:val="FF0000"/>
          <w:sz w:val="24"/>
          <w:szCs w:val="24"/>
        </w:rPr>
        <w:t>the $5K and -$6K are the variances calculated with the new model.</w:t>
      </w:r>
      <w:r w:rsidR="007012CD" w:rsidRPr="007012CD">
        <w:rPr>
          <w:color w:val="FF0000"/>
          <w:sz w:val="24"/>
          <w:szCs w:val="24"/>
        </w:rPr>
        <w:t xml:space="preserve"> </w:t>
      </w:r>
      <w:r w:rsidR="007012CD">
        <w:rPr>
          <w:color w:val="FF0000"/>
          <w:sz w:val="24"/>
          <w:szCs w:val="24"/>
        </w:rPr>
        <w:t xml:space="preserve">There were differences when calculating the variances with the new methodology. </w:t>
      </w:r>
      <w:proofErr w:type="gramStart"/>
      <w:r w:rsidR="007012CD">
        <w:rPr>
          <w:color w:val="FF0000"/>
          <w:sz w:val="24"/>
          <w:szCs w:val="24"/>
        </w:rPr>
        <w:t>The majority of</w:t>
      </w:r>
      <w:proofErr w:type="gramEnd"/>
      <w:r w:rsidR="007012CD">
        <w:rPr>
          <w:color w:val="FF0000"/>
          <w:sz w:val="24"/>
          <w:szCs w:val="24"/>
        </w:rPr>
        <w:t xml:space="preserve"> the differences were due to adjustments claimed to Hydro One for RPP settlement.</w:t>
      </w:r>
    </w:p>
    <w:p w14:paraId="6B1214BB" w14:textId="77777777" w:rsidR="007012CD" w:rsidRPr="00733ABD" w:rsidRDefault="007012CD" w:rsidP="007012CD">
      <w:pPr>
        <w:spacing w:before="40" w:after="40" w:line="240" w:lineRule="auto"/>
        <w:rPr>
          <w:sz w:val="24"/>
          <w:szCs w:val="24"/>
        </w:rPr>
      </w:pPr>
    </w:p>
    <w:p w14:paraId="22E4941F" w14:textId="77777777" w:rsidR="00B44254" w:rsidRPr="00B44254" w:rsidRDefault="00B44254" w:rsidP="00B44254">
      <w:pPr>
        <w:spacing w:before="40" w:after="40" w:line="240" w:lineRule="auto"/>
        <w:rPr>
          <w:sz w:val="24"/>
          <w:szCs w:val="24"/>
        </w:rPr>
      </w:pPr>
    </w:p>
    <w:p w14:paraId="23BA2FE6" w14:textId="1B1C1877" w:rsidR="003440C6" w:rsidRDefault="003440C6" w:rsidP="003440C6">
      <w:pPr>
        <w:pStyle w:val="ListParagraph"/>
        <w:numPr>
          <w:ilvl w:val="1"/>
          <w:numId w:val="1"/>
        </w:numPr>
        <w:spacing w:before="40" w:after="40" w:line="240" w:lineRule="auto"/>
        <w:rPr>
          <w:sz w:val="24"/>
          <w:szCs w:val="24"/>
        </w:rPr>
      </w:pPr>
      <w:r>
        <w:rPr>
          <w:sz w:val="24"/>
          <w:szCs w:val="24"/>
        </w:rPr>
        <w:t xml:space="preserve">If not confirmed, please provide the correct transactions for Account 1588 and 1589 pertaining to 2018 as recalculated from the Illustrative Model. </w:t>
      </w:r>
    </w:p>
    <w:p w14:paraId="1FE3570A" w14:textId="11146828" w:rsidR="00B44254" w:rsidRDefault="00B44254" w:rsidP="00B44254">
      <w:pPr>
        <w:spacing w:before="40" w:after="40" w:line="240" w:lineRule="auto"/>
        <w:rPr>
          <w:sz w:val="24"/>
          <w:szCs w:val="24"/>
        </w:rPr>
      </w:pPr>
    </w:p>
    <w:p w14:paraId="56EC79B5" w14:textId="4DA5553B" w:rsidR="00B44254" w:rsidRPr="00B44254" w:rsidRDefault="00B44254" w:rsidP="00B44254">
      <w:pPr>
        <w:spacing w:before="40" w:after="40" w:line="240" w:lineRule="auto"/>
        <w:ind w:left="1440"/>
        <w:rPr>
          <w:color w:val="FF0000"/>
          <w:sz w:val="24"/>
          <w:szCs w:val="24"/>
        </w:rPr>
      </w:pPr>
      <w:r>
        <w:rPr>
          <w:color w:val="FF0000"/>
          <w:sz w:val="24"/>
          <w:szCs w:val="24"/>
        </w:rPr>
        <w:t>N/A</w:t>
      </w:r>
    </w:p>
    <w:p w14:paraId="03F82AE3" w14:textId="77777777" w:rsidR="00B44254" w:rsidRPr="00B44254" w:rsidRDefault="00B44254" w:rsidP="00B44254">
      <w:pPr>
        <w:spacing w:before="40" w:after="40" w:line="240" w:lineRule="auto"/>
        <w:rPr>
          <w:sz w:val="24"/>
          <w:szCs w:val="24"/>
        </w:rPr>
      </w:pPr>
    </w:p>
    <w:p w14:paraId="473C6EC9" w14:textId="52D9CA02" w:rsidR="00302177" w:rsidRDefault="00302177" w:rsidP="00D06C05">
      <w:pPr>
        <w:pStyle w:val="ListParagraph"/>
        <w:numPr>
          <w:ilvl w:val="0"/>
          <w:numId w:val="1"/>
        </w:numPr>
        <w:spacing w:before="40" w:after="40" w:line="240" w:lineRule="auto"/>
        <w:rPr>
          <w:sz w:val="24"/>
          <w:szCs w:val="24"/>
        </w:rPr>
      </w:pPr>
      <w:r>
        <w:rPr>
          <w:sz w:val="24"/>
          <w:szCs w:val="24"/>
        </w:rPr>
        <w:t>If parts b, c, d above are confirmed, please re</w:t>
      </w:r>
      <w:r w:rsidR="00EC7C3B">
        <w:rPr>
          <w:sz w:val="24"/>
          <w:szCs w:val="24"/>
        </w:rPr>
        <w:t xml:space="preserve">vise the DVA Continuity Schedule to remove the 2017 to 2019 principal adjustments as </w:t>
      </w:r>
      <w:r w:rsidR="00CA50C2">
        <w:rPr>
          <w:sz w:val="24"/>
          <w:szCs w:val="24"/>
        </w:rPr>
        <w:t xml:space="preserve">2016 balance is per the Inspection Report and 2017 to 2019 amounts reflect </w:t>
      </w:r>
      <w:r w:rsidR="00EF1553">
        <w:rPr>
          <w:sz w:val="24"/>
          <w:szCs w:val="24"/>
        </w:rPr>
        <w:t xml:space="preserve">only transactions pertaining to each of 2017, 2018 and 2019. </w:t>
      </w:r>
      <w:r w:rsidR="007F21E9">
        <w:rPr>
          <w:sz w:val="24"/>
          <w:szCs w:val="24"/>
        </w:rPr>
        <w:t>That is,</w:t>
      </w:r>
      <w:r w:rsidR="000E70B1">
        <w:rPr>
          <w:sz w:val="24"/>
          <w:szCs w:val="24"/>
        </w:rPr>
        <w:t xml:space="preserve"> </w:t>
      </w:r>
      <w:r w:rsidR="004A697E">
        <w:rPr>
          <w:sz w:val="24"/>
          <w:szCs w:val="24"/>
        </w:rPr>
        <w:t xml:space="preserve">since </w:t>
      </w:r>
      <w:r w:rsidR="000E70B1">
        <w:rPr>
          <w:sz w:val="24"/>
          <w:szCs w:val="24"/>
        </w:rPr>
        <w:t>the 2016 balance</w:t>
      </w:r>
      <w:r w:rsidR="00FF7191">
        <w:rPr>
          <w:sz w:val="24"/>
          <w:szCs w:val="24"/>
        </w:rPr>
        <w:t>s are</w:t>
      </w:r>
      <w:r w:rsidR="004A697E">
        <w:rPr>
          <w:sz w:val="24"/>
          <w:szCs w:val="24"/>
        </w:rPr>
        <w:t xml:space="preserve"> already</w:t>
      </w:r>
      <w:r w:rsidR="00FF7191">
        <w:rPr>
          <w:sz w:val="24"/>
          <w:szCs w:val="24"/>
        </w:rPr>
        <w:t xml:space="preserve"> the adjusted balances per the Inspection Report, </w:t>
      </w:r>
      <w:r w:rsidR="007F21E9">
        <w:rPr>
          <w:sz w:val="24"/>
          <w:szCs w:val="24"/>
        </w:rPr>
        <w:t>the 2017 to 2019 balances should not have any adjustments relating to the Inspection.</w:t>
      </w:r>
      <w:r w:rsidR="00B252F0" w:rsidRPr="00B252F0">
        <w:rPr>
          <w:sz w:val="24"/>
          <w:szCs w:val="24"/>
        </w:rPr>
        <w:t xml:space="preserve"> </w:t>
      </w:r>
      <w:r w:rsidR="00B252F0">
        <w:rPr>
          <w:sz w:val="24"/>
          <w:szCs w:val="24"/>
        </w:rPr>
        <w:t>Please revise the DVA Continuity Schedule as necessary.</w:t>
      </w:r>
    </w:p>
    <w:p w14:paraId="08277FBA" w14:textId="011F5662" w:rsidR="00744E2C" w:rsidRDefault="00744E2C" w:rsidP="00744E2C">
      <w:pPr>
        <w:spacing w:before="40" w:after="40" w:line="240" w:lineRule="auto"/>
        <w:rPr>
          <w:sz w:val="24"/>
          <w:szCs w:val="24"/>
        </w:rPr>
      </w:pPr>
    </w:p>
    <w:p w14:paraId="2A419B89" w14:textId="46375DD5" w:rsidR="00744E2C" w:rsidRPr="00744E2C" w:rsidRDefault="0081287C" w:rsidP="00744E2C">
      <w:pPr>
        <w:spacing w:before="40" w:after="40" w:line="240" w:lineRule="auto"/>
        <w:ind w:left="720"/>
        <w:rPr>
          <w:color w:val="FF0000"/>
          <w:sz w:val="24"/>
          <w:szCs w:val="24"/>
        </w:rPr>
      </w:pPr>
      <w:r>
        <w:rPr>
          <w:color w:val="FF0000"/>
          <w:sz w:val="24"/>
          <w:szCs w:val="24"/>
        </w:rPr>
        <w:t xml:space="preserve">The adjustments are necessary to match the RRR. </w:t>
      </w:r>
      <w:r w:rsidR="000D5D1A">
        <w:rPr>
          <w:color w:val="FF0000"/>
          <w:sz w:val="24"/>
          <w:szCs w:val="24"/>
        </w:rPr>
        <w:t xml:space="preserve">The balances in the RRR represents the difference between the revenues and expenses. </w:t>
      </w:r>
      <w:r w:rsidR="001E1B5E">
        <w:rPr>
          <w:color w:val="FF0000"/>
          <w:sz w:val="24"/>
          <w:szCs w:val="24"/>
        </w:rPr>
        <w:t>The energy revenues and expenses are equal for all those years.</w:t>
      </w:r>
    </w:p>
    <w:p w14:paraId="273A42BF" w14:textId="77777777" w:rsidR="00744E2C" w:rsidRPr="00744E2C" w:rsidRDefault="00744E2C" w:rsidP="00744E2C">
      <w:pPr>
        <w:spacing w:before="40" w:after="40" w:line="240" w:lineRule="auto"/>
        <w:rPr>
          <w:sz w:val="24"/>
          <w:szCs w:val="24"/>
        </w:rPr>
      </w:pPr>
    </w:p>
    <w:p w14:paraId="6C0F1CA7" w14:textId="04B4DCC1" w:rsidR="00D06C05" w:rsidRDefault="00DC66C9" w:rsidP="00D06C05">
      <w:pPr>
        <w:pStyle w:val="ListParagraph"/>
        <w:numPr>
          <w:ilvl w:val="0"/>
          <w:numId w:val="1"/>
        </w:numPr>
        <w:spacing w:before="40" w:after="40" w:line="240" w:lineRule="auto"/>
        <w:rPr>
          <w:sz w:val="24"/>
          <w:szCs w:val="24"/>
        </w:rPr>
      </w:pPr>
      <w:r>
        <w:rPr>
          <w:sz w:val="24"/>
          <w:szCs w:val="24"/>
        </w:rPr>
        <w:t xml:space="preserve">If parts </w:t>
      </w:r>
      <w:proofErr w:type="spellStart"/>
      <w:proofErr w:type="gramStart"/>
      <w:r>
        <w:rPr>
          <w:sz w:val="24"/>
          <w:szCs w:val="24"/>
        </w:rPr>
        <w:t>b,c</w:t>
      </w:r>
      <w:proofErr w:type="gramEnd"/>
      <w:r>
        <w:rPr>
          <w:sz w:val="24"/>
          <w:szCs w:val="24"/>
        </w:rPr>
        <w:t>,d</w:t>
      </w:r>
      <w:proofErr w:type="spellEnd"/>
      <w:r>
        <w:rPr>
          <w:sz w:val="24"/>
          <w:szCs w:val="24"/>
        </w:rPr>
        <w:t xml:space="preserve"> above are not confirmed, please complete the following table using information provided in </w:t>
      </w:r>
      <w:proofErr w:type="spellStart"/>
      <w:r>
        <w:rPr>
          <w:sz w:val="24"/>
          <w:szCs w:val="24"/>
        </w:rPr>
        <w:t>bii</w:t>
      </w:r>
      <w:proofErr w:type="spellEnd"/>
      <w:r>
        <w:rPr>
          <w:sz w:val="24"/>
          <w:szCs w:val="24"/>
        </w:rPr>
        <w:t>, cii, dii</w:t>
      </w:r>
      <w:r w:rsidR="00D43D87">
        <w:rPr>
          <w:sz w:val="24"/>
          <w:szCs w:val="24"/>
        </w:rPr>
        <w:t xml:space="preserve">. Note that the total balance for disposition should agree to </w:t>
      </w:r>
      <w:r w:rsidR="00A85783">
        <w:rPr>
          <w:sz w:val="24"/>
          <w:szCs w:val="24"/>
        </w:rPr>
        <w:t>the “Closing Principal Balance as of Dec. 31, 2019”</w:t>
      </w:r>
      <w:r w:rsidR="00D43D87">
        <w:rPr>
          <w:sz w:val="24"/>
          <w:szCs w:val="24"/>
        </w:rPr>
        <w:t xml:space="preserve"> in the DVA Continuity Schedule. </w:t>
      </w:r>
      <w:r w:rsidR="00B252F0">
        <w:rPr>
          <w:sz w:val="24"/>
          <w:szCs w:val="24"/>
        </w:rPr>
        <w:t xml:space="preserve">Please revise the DVA Continuity Schedule as necessary. </w:t>
      </w:r>
    </w:p>
    <w:tbl>
      <w:tblPr>
        <w:tblStyle w:val="TableGrid"/>
        <w:tblW w:w="0" w:type="auto"/>
        <w:tblLook w:val="04A0" w:firstRow="1" w:lastRow="0" w:firstColumn="1" w:lastColumn="0" w:noHBand="0" w:noVBand="1"/>
      </w:tblPr>
      <w:tblGrid>
        <w:gridCol w:w="2040"/>
        <w:gridCol w:w="3265"/>
        <w:gridCol w:w="4045"/>
      </w:tblGrid>
      <w:tr w:rsidR="00437DCE" w14:paraId="6B2BC06E" w14:textId="4024A5F9" w:rsidTr="00F26760">
        <w:tc>
          <w:tcPr>
            <w:tcW w:w="2040" w:type="dxa"/>
          </w:tcPr>
          <w:p w14:paraId="3B44FBD8" w14:textId="77777777" w:rsidR="00437DCE" w:rsidRDefault="00437DCE" w:rsidP="00DC66C9">
            <w:pPr>
              <w:spacing w:before="40" w:after="40"/>
              <w:rPr>
                <w:sz w:val="24"/>
                <w:szCs w:val="24"/>
              </w:rPr>
            </w:pPr>
          </w:p>
        </w:tc>
        <w:tc>
          <w:tcPr>
            <w:tcW w:w="7310" w:type="dxa"/>
            <w:gridSpan w:val="2"/>
          </w:tcPr>
          <w:p w14:paraId="5900063D" w14:textId="6194B776" w:rsidR="00437DCE" w:rsidRPr="00302177" w:rsidRDefault="00437DCE" w:rsidP="00437DCE">
            <w:pPr>
              <w:spacing w:before="40" w:after="40"/>
              <w:jc w:val="center"/>
              <w:rPr>
                <w:b/>
                <w:bCs/>
                <w:sz w:val="24"/>
                <w:szCs w:val="24"/>
              </w:rPr>
            </w:pPr>
            <w:r w:rsidRPr="00302177">
              <w:rPr>
                <w:b/>
                <w:bCs/>
                <w:sz w:val="24"/>
                <w:szCs w:val="24"/>
              </w:rPr>
              <w:t xml:space="preserve">Transactions for </w:t>
            </w:r>
            <w:r>
              <w:rPr>
                <w:b/>
                <w:bCs/>
                <w:sz w:val="24"/>
                <w:szCs w:val="24"/>
              </w:rPr>
              <w:t>D</w:t>
            </w:r>
            <w:r w:rsidRPr="00302177">
              <w:rPr>
                <w:b/>
                <w:bCs/>
                <w:sz w:val="24"/>
                <w:szCs w:val="24"/>
              </w:rPr>
              <w:t>isposition</w:t>
            </w:r>
          </w:p>
        </w:tc>
      </w:tr>
      <w:tr w:rsidR="00437DCE" w14:paraId="1F0276ED" w14:textId="19611B1C" w:rsidTr="00437DCE">
        <w:tc>
          <w:tcPr>
            <w:tcW w:w="2040" w:type="dxa"/>
          </w:tcPr>
          <w:p w14:paraId="088235F3" w14:textId="735219CF" w:rsidR="00437DCE" w:rsidRDefault="00437DCE" w:rsidP="00DC66C9">
            <w:pPr>
              <w:spacing w:before="40" w:after="40"/>
              <w:rPr>
                <w:sz w:val="24"/>
                <w:szCs w:val="24"/>
              </w:rPr>
            </w:pPr>
          </w:p>
        </w:tc>
        <w:tc>
          <w:tcPr>
            <w:tcW w:w="3265" w:type="dxa"/>
          </w:tcPr>
          <w:p w14:paraId="065C53AB" w14:textId="4CC7D0C9" w:rsidR="00437DCE" w:rsidRPr="00096DC1" w:rsidRDefault="00096DC1" w:rsidP="00096DC1">
            <w:pPr>
              <w:spacing w:before="40" w:after="40"/>
              <w:jc w:val="center"/>
              <w:rPr>
                <w:b/>
                <w:bCs/>
                <w:sz w:val="24"/>
                <w:szCs w:val="24"/>
              </w:rPr>
            </w:pPr>
            <w:r w:rsidRPr="00096DC1">
              <w:rPr>
                <w:b/>
                <w:bCs/>
                <w:sz w:val="24"/>
                <w:szCs w:val="24"/>
              </w:rPr>
              <w:t>Account 1588</w:t>
            </w:r>
          </w:p>
        </w:tc>
        <w:tc>
          <w:tcPr>
            <w:tcW w:w="4045" w:type="dxa"/>
          </w:tcPr>
          <w:p w14:paraId="3D59C50F" w14:textId="644E2C31" w:rsidR="00437DCE" w:rsidRPr="00096DC1" w:rsidRDefault="00096DC1" w:rsidP="00096DC1">
            <w:pPr>
              <w:spacing w:before="40" w:after="40"/>
              <w:jc w:val="center"/>
              <w:rPr>
                <w:b/>
                <w:bCs/>
                <w:sz w:val="24"/>
                <w:szCs w:val="24"/>
              </w:rPr>
            </w:pPr>
            <w:r w:rsidRPr="00096DC1">
              <w:rPr>
                <w:b/>
                <w:bCs/>
                <w:sz w:val="24"/>
                <w:szCs w:val="24"/>
              </w:rPr>
              <w:t>Account 1589</w:t>
            </w:r>
          </w:p>
        </w:tc>
      </w:tr>
      <w:tr w:rsidR="00437DCE" w14:paraId="7780CEA6" w14:textId="1D2A0F40" w:rsidTr="00437DCE">
        <w:tc>
          <w:tcPr>
            <w:tcW w:w="2040" w:type="dxa"/>
          </w:tcPr>
          <w:p w14:paraId="3C993797" w14:textId="73F57932" w:rsidR="00437DCE" w:rsidRDefault="00437DCE" w:rsidP="00437DCE">
            <w:pPr>
              <w:spacing w:before="40" w:after="40"/>
              <w:rPr>
                <w:sz w:val="24"/>
                <w:szCs w:val="24"/>
              </w:rPr>
            </w:pPr>
            <w:r>
              <w:rPr>
                <w:sz w:val="24"/>
                <w:szCs w:val="24"/>
              </w:rPr>
              <w:t>2016</w:t>
            </w:r>
          </w:p>
        </w:tc>
        <w:tc>
          <w:tcPr>
            <w:tcW w:w="3265" w:type="dxa"/>
          </w:tcPr>
          <w:p w14:paraId="5CF67F5C" w14:textId="1568B861" w:rsidR="00437DCE" w:rsidRDefault="00096DC1" w:rsidP="00096DC1">
            <w:pPr>
              <w:spacing w:before="40" w:after="40"/>
              <w:jc w:val="center"/>
              <w:rPr>
                <w:sz w:val="24"/>
                <w:szCs w:val="24"/>
              </w:rPr>
            </w:pPr>
            <w:r>
              <w:rPr>
                <w:sz w:val="24"/>
                <w:szCs w:val="24"/>
              </w:rPr>
              <w:t>$204,494</w:t>
            </w:r>
          </w:p>
        </w:tc>
        <w:tc>
          <w:tcPr>
            <w:tcW w:w="4045" w:type="dxa"/>
          </w:tcPr>
          <w:p w14:paraId="7197D207" w14:textId="168664BC" w:rsidR="00437DCE" w:rsidRDefault="00096DC1" w:rsidP="00096DC1">
            <w:pPr>
              <w:spacing w:before="40" w:after="40"/>
              <w:jc w:val="center"/>
              <w:rPr>
                <w:sz w:val="24"/>
                <w:szCs w:val="24"/>
              </w:rPr>
            </w:pPr>
            <w:r>
              <w:rPr>
                <w:sz w:val="24"/>
                <w:szCs w:val="24"/>
              </w:rPr>
              <w:t>$49,433</w:t>
            </w:r>
          </w:p>
        </w:tc>
      </w:tr>
      <w:tr w:rsidR="00437DCE" w14:paraId="4537495C" w14:textId="3077070E" w:rsidTr="00437DCE">
        <w:tc>
          <w:tcPr>
            <w:tcW w:w="2040" w:type="dxa"/>
          </w:tcPr>
          <w:p w14:paraId="2384BB87" w14:textId="2B377730" w:rsidR="00437DCE" w:rsidRDefault="00437DCE" w:rsidP="00437DCE">
            <w:pPr>
              <w:spacing w:before="40" w:after="40"/>
              <w:rPr>
                <w:sz w:val="24"/>
                <w:szCs w:val="24"/>
              </w:rPr>
            </w:pPr>
            <w:r>
              <w:rPr>
                <w:sz w:val="24"/>
                <w:szCs w:val="24"/>
              </w:rPr>
              <w:t>2017</w:t>
            </w:r>
          </w:p>
        </w:tc>
        <w:tc>
          <w:tcPr>
            <w:tcW w:w="3265" w:type="dxa"/>
          </w:tcPr>
          <w:p w14:paraId="361B0262" w14:textId="77777777" w:rsidR="00437DCE" w:rsidRDefault="00437DCE" w:rsidP="00437DCE">
            <w:pPr>
              <w:spacing w:before="40" w:after="40"/>
              <w:rPr>
                <w:sz w:val="24"/>
                <w:szCs w:val="24"/>
              </w:rPr>
            </w:pPr>
          </w:p>
        </w:tc>
        <w:tc>
          <w:tcPr>
            <w:tcW w:w="4045" w:type="dxa"/>
          </w:tcPr>
          <w:p w14:paraId="61567070" w14:textId="77777777" w:rsidR="00437DCE" w:rsidRDefault="00437DCE" w:rsidP="00437DCE">
            <w:pPr>
              <w:spacing w:before="40" w:after="40"/>
              <w:rPr>
                <w:sz w:val="24"/>
                <w:szCs w:val="24"/>
              </w:rPr>
            </w:pPr>
          </w:p>
        </w:tc>
      </w:tr>
      <w:tr w:rsidR="00437DCE" w14:paraId="43A194D3" w14:textId="63ED74BB" w:rsidTr="00437DCE">
        <w:tc>
          <w:tcPr>
            <w:tcW w:w="2040" w:type="dxa"/>
          </w:tcPr>
          <w:p w14:paraId="75062D81" w14:textId="09E44861" w:rsidR="00437DCE" w:rsidRDefault="00437DCE" w:rsidP="00437DCE">
            <w:pPr>
              <w:spacing w:before="40" w:after="40"/>
              <w:rPr>
                <w:sz w:val="24"/>
                <w:szCs w:val="24"/>
              </w:rPr>
            </w:pPr>
            <w:r>
              <w:rPr>
                <w:sz w:val="24"/>
                <w:szCs w:val="24"/>
              </w:rPr>
              <w:t>2018</w:t>
            </w:r>
          </w:p>
        </w:tc>
        <w:tc>
          <w:tcPr>
            <w:tcW w:w="3265" w:type="dxa"/>
          </w:tcPr>
          <w:p w14:paraId="090C9AF6" w14:textId="77777777" w:rsidR="00437DCE" w:rsidRDefault="00437DCE" w:rsidP="00437DCE">
            <w:pPr>
              <w:spacing w:before="40" w:after="40"/>
              <w:rPr>
                <w:sz w:val="24"/>
                <w:szCs w:val="24"/>
              </w:rPr>
            </w:pPr>
          </w:p>
        </w:tc>
        <w:tc>
          <w:tcPr>
            <w:tcW w:w="4045" w:type="dxa"/>
          </w:tcPr>
          <w:p w14:paraId="27A409C5" w14:textId="77777777" w:rsidR="00437DCE" w:rsidRDefault="00437DCE" w:rsidP="00437DCE">
            <w:pPr>
              <w:spacing w:before="40" w:after="40"/>
              <w:rPr>
                <w:sz w:val="24"/>
                <w:szCs w:val="24"/>
              </w:rPr>
            </w:pPr>
          </w:p>
        </w:tc>
      </w:tr>
      <w:tr w:rsidR="00437DCE" w14:paraId="5A376143" w14:textId="2B5F0EB1" w:rsidTr="00437DCE">
        <w:tc>
          <w:tcPr>
            <w:tcW w:w="2040" w:type="dxa"/>
          </w:tcPr>
          <w:p w14:paraId="33D52047" w14:textId="15B95FD9" w:rsidR="00437DCE" w:rsidRDefault="00437DCE" w:rsidP="00437DCE">
            <w:pPr>
              <w:spacing w:before="40" w:after="40"/>
              <w:rPr>
                <w:sz w:val="24"/>
                <w:szCs w:val="24"/>
              </w:rPr>
            </w:pPr>
            <w:r>
              <w:rPr>
                <w:sz w:val="24"/>
                <w:szCs w:val="24"/>
              </w:rPr>
              <w:t>2019</w:t>
            </w:r>
          </w:p>
        </w:tc>
        <w:tc>
          <w:tcPr>
            <w:tcW w:w="3265" w:type="dxa"/>
          </w:tcPr>
          <w:p w14:paraId="12441DC9" w14:textId="77777777" w:rsidR="00437DCE" w:rsidRDefault="00437DCE" w:rsidP="00437DCE">
            <w:pPr>
              <w:spacing w:before="40" w:after="40"/>
              <w:rPr>
                <w:sz w:val="24"/>
                <w:szCs w:val="24"/>
              </w:rPr>
            </w:pPr>
          </w:p>
        </w:tc>
        <w:tc>
          <w:tcPr>
            <w:tcW w:w="4045" w:type="dxa"/>
          </w:tcPr>
          <w:p w14:paraId="78C35ADD" w14:textId="77777777" w:rsidR="00437DCE" w:rsidRDefault="00437DCE" w:rsidP="00437DCE">
            <w:pPr>
              <w:spacing w:before="40" w:after="40"/>
              <w:rPr>
                <w:sz w:val="24"/>
                <w:szCs w:val="24"/>
              </w:rPr>
            </w:pPr>
          </w:p>
        </w:tc>
      </w:tr>
      <w:tr w:rsidR="00437DCE" w14:paraId="74FB9FCA" w14:textId="457A6050" w:rsidTr="00437DCE">
        <w:tc>
          <w:tcPr>
            <w:tcW w:w="2040" w:type="dxa"/>
          </w:tcPr>
          <w:p w14:paraId="022A3DEA" w14:textId="21CAE6DB" w:rsidR="00437DCE" w:rsidRDefault="00A6372F" w:rsidP="00437DCE">
            <w:pPr>
              <w:spacing w:before="40" w:after="40"/>
              <w:rPr>
                <w:sz w:val="24"/>
                <w:szCs w:val="24"/>
              </w:rPr>
            </w:pPr>
            <w:r w:rsidRPr="00096DC1">
              <w:rPr>
                <w:b/>
                <w:bCs/>
                <w:sz w:val="24"/>
                <w:szCs w:val="24"/>
              </w:rPr>
              <w:t>Total balance for disposition</w:t>
            </w:r>
          </w:p>
        </w:tc>
        <w:tc>
          <w:tcPr>
            <w:tcW w:w="3265" w:type="dxa"/>
          </w:tcPr>
          <w:p w14:paraId="2995DAE7" w14:textId="77777777" w:rsidR="00437DCE" w:rsidRDefault="00437DCE" w:rsidP="00437DCE">
            <w:pPr>
              <w:spacing w:before="40" w:after="40"/>
              <w:rPr>
                <w:sz w:val="24"/>
                <w:szCs w:val="24"/>
              </w:rPr>
            </w:pPr>
          </w:p>
        </w:tc>
        <w:tc>
          <w:tcPr>
            <w:tcW w:w="4045" w:type="dxa"/>
          </w:tcPr>
          <w:p w14:paraId="02CDB76F" w14:textId="77777777" w:rsidR="00437DCE" w:rsidRDefault="00437DCE" w:rsidP="00437DCE">
            <w:pPr>
              <w:spacing w:before="40" w:after="40"/>
              <w:rPr>
                <w:sz w:val="24"/>
                <w:szCs w:val="24"/>
              </w:rPr>
            </w:pPr>
          </w:p>
        </w:tc>
      </w:tr>
    </w:tbl>
    <w:p w14:paraId="36FF275F" w14:textId="77777777" w:rsidR="00DC66C9" w:rsidRPr="00DC66C9" w:rsidRDefault="00DC66C9" w:rsidP="00DC66C9">
      <w:pPr>
        <w:spacing w:before="40" w:after="40" w:line="240" w:lineRule="auto"/>
        <w:rPr>
          <w:sz w:val="24"/>
          <w:szCs w:val="24"/>
        </w:rPr>
      </w:pPr>
    </w:p>
    <w:p w14:paraId="35F692F9" w14:textId="09F686CA" w:rsidR="00DC66C9" w:rsidRPr="001E1B5E" w:rsidRDefault="001E1B5E" w:rsidP="00DC66C9">
      <w:pPr>
        <w:spacing w:before="40" w:after="40" w:line="240" w:lineRule="auto"/>
        <w:rPr>
          <w:color w:val="FF0000"/>
          <w:sz w:val="24"/>
          <w:szCs w:val="24"/>
        </w:rPr>
      </w:pPr>
      <w:r>
        <w:rPr>
          <w:sz w:val="24"/>
          <w:szCs w:val="24"/>
        </w:rPr>
        <w:tab/>
      </w:r>
      <w:r>
        <w:rPr>
          <w:color w:val="FF0000"/>
          <w:sz w:val="24"/>
          <w:szCs w:val="24"/>
        </w:rPr>
        <w:t>N/A</w:t>
      </w:r>
    </w:p>
    <w:p w14:paraId="6A41B840" w14:textId="77777777" w:rsidR="00A324FF" w:rsidRPr="00E97744" w:rsidRDefault="00A324FF" w:rsidP="003478E1">
      <w:pPr>
        <w:pStyle w:val="ListParagraph"/>
        <w:spacing w:before="40" w:after="40" w:line="240" w:lineRule="auto"/>
        <w:rPr>
          <w:sz w:val="24"/>
          <w:szCs w:val="24"/>
        </w:rPr>
      </w:pPr>
    </w:p>
    <w:p w14:paraId="659D4375" w14:textId="77777777" w:rsidR="009C6BAD" w:rsidRPr="000242AC" w:rsidRDefault="009C6BAD" w:rsidP="009C6BAD">
      <w:pPr>
        <w:spacing w:before="40" w:after="40" w:line="240" w:lineRule="auto"/>
        <w:rPr>
          <w:b/>
          <w:bCs/>
          <w:sz w:val="24"/>
          <w:szCs w:val="24"/>
        </w:rPr>
      </w:pPr>
    </w:p>
    <w:p w14:paraId="681AC830" w14:textId="77777777" w:rsidR="00DE73C5" w:rsidRDefault="00DE73C5"/>
    <w:sectPr w:rsidR="00DE7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64427"/>
    <w:multiLevelType w:val="hybridMultilevel"/>
    <w:tmpl w:val="90EC257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3MDMwALJMQBwlHaXg1OLizPw8kALDWgBQDIUsLAAAAA=="/>
  </w:docVars>
  <w:rsids>
    <w:rsidRoot w:val="009C6BAD"/>
    <w:rsid w:val="00017BFA"/>
    <w:rsid w:val="0006611C"/>
    <w:rsid w:val="00096DC1"/>
    <w:rsid w:val="000D5D1A"/>
    <w:rsid w:val="000E70B1"/>
    <w:rsid w:val="00166F3F"/>
    <w:rsid w:val="001A0D54"/>
    <w:rsid w:val="001A77AE"/>
    <w:rsid w:val="001E1B5E"/>
    <w:rsid w:val="0025003D"/>
    <w:rsid w:val="002A4F76"/>
    <w:rsid w:val="002B4B95"/>
    <w:rsid w:val="00302177"/>
    <w:rsid w:val="003440C6"/>
    <w:rsid w:val="003478E1"/>
    <w:rsid w:val="003532E8"/>
    <w:rsid w:val="00370D8E"/>
    <w:rsid w:val="003A6AC6"/>
    <w:rsid w:val="003D0A0C"/>
    <w:rsid w:val="00437DCE"/>
    <w:rsid w:val="00497DD7"/>
    <w:rsid w:val="004A697E"/>
    <w:rsid w:val="004B4A83"/>
    <w:rsid w:val="004D2EB7"/>
    <w:rsid w:val="005112C1"/>
    <w:rsid w:val="00553F3D"/>
    <w:rsid w:val="00590859"/>
    <w:rsid w:val="005B3C2F"/>
    <w:rsid w:val="005E79DA"/>
    <w:rsid w:val="006A60C6"/>
    <w:rsid w:val="006E6DEF"/>
    <w:rsid w:val="007012CD"/>
    <w:rsid w:val="007306DF"/>
    <w:rsid w:val="00733ABD"/>
    <w:rsid w:val="00744E2C"/>
    <w:rsid w:val="007F21E9"/>
    <w:rsid w:val="0081287C"/>
    <w:rsid w:val="008F565E"/>
    <w:rsid w:val="0096429E"/>
    <w:rsid w:val="009C6BAD"/>
    <w:rsid w:val="009F4AE2"/>
    <w:rsid w:val="00A324FF"/>
    <w:rsid w:val="00A5539B"/>
    <w:rsid w:val="00A6372F"/>
    <w:rsid w:val="00A72D4F"/>
    <w:rsid w:val="00A84DF7"/>
    <w:rsid w:val="00A85783"/>
    <w:rsid w:val="00AA2EF5"/>
    <w:rsid w:val="00AA7597"/>
    <w:rsid w:val="00AB0241"/>
    <w:rsid w:val="00B01391"/>
    <w:rsid w:val="00B252F0"/>
    <w:rsid w:val="00B31347"/>
    <w:rsid w:val="00B44254"/>
    <w:rsid w:val="00B900AC"/>
    <w:rsid w:val="00B946F6"/>
    <w:rsid w:val="00BE28AD"/>
    <w:rsid w:val="00C84C8A"/>
    <w:rsid w:val="00CA50C2"/>
    <w:rsid w:val="00D06C05"/>
    <w:rsid w:val="00D43D87"/>
    <w:rsid w:val="00D7428B"/>
    <w:rsid w:val="00DA7B40"/>
    <w:rsid w:val="00DC66C9"/>
    <w:rsid w:val="00DE73C5"/>
    <w:rsid w:val="00DF3728"/>
    <w:rsid w:val="00E01BFC"/>
    <w:rsid w:val="00E05EBE"/>
    <w:rsid w:val="00E5698C"/>
    <w:rsid w:val="00E7365B"/>
    <w:rsid w:val="00E96AA4"/>
    <w:rsid w:val="00E97744"/>
    <w:rsid w:val="00EA6643"/>
    <w:rsid w:val="00EC2182"/>
    <w:rsid w:val="00EC3F6D"/>
    <w:rsid w:val="00EC7C3B"/>
    <w:rsid w:val="00EF1553"/>
    <w:rsid w:val="00F22A2D"/>
    <w:rsid w:val="00F60E37"/>
    <w:rsid w:val="00F8319C"/>
    <w:rsid w:val="00FF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DBEF"/>
  <w15:chartTrackingRefBased/>
  <w15:docId w15:val="{D39FF40F-3CF0-428F-9D9A-EF3F4CE3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744"/>
    <w:pPr>
      <w:ind w:left="720"/>
      <w:contextualSpacing/>
    </w:pPr>
  </w:style>
  <w:style w:type="paragraph" w:styleId="BalloonText">
    <w:name w:val="Balloon Text"/>
    <w:basedOn w:val="Normal"/>
    <w:link w:val="BalloonTextChar"/>
    <w:uiPriority w:val="99"/>
    <w:semiHidden/>
    <w:unhideWhenUsed/>
    <w:rsid w:val="00D06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C05"/>
    <w:rPr>
      <w:rFonts w:ascii="Segoe UI" w:hAnsi="Segoe UI" w:cs="Segoe UI"/>
      <w:sz w:val="18"/>
      <w:szCs w:val="18"/>
    </w:rPr>
  </w:style>
  <w:style w:type="table" w:styleId="TableGrid">
    <w:name w:val="Table Grid"/>
    <w:basedOn w:val="TableNormal"/>
    <w:uiPriority w:val="39"/>
    <w:rsid w:val="00730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859093">
      <w:bodyDiv w:val="1"/>
      <w:marLeft w:val="0"/>
      <w:marRight w:val="0"/>
      <w:marTop w:val="0"/>
      <w:marBottom w:val="0"/>
      <w:divBdr>
        <w:top w:val="none" w:sz="0" w:space="0" w:color="auto"/>
        <w:left w:val="none" w:sz="0" w:space="0" w:color="auto"/>
        <w:bottom w:val="none" w:sz="0" w:space="0" w:color="auto"/>
        <w:right w:val="none" w:sz="0" w:space="0" w:color="auto"/>
      </w:divBdr>
    </w:div>
    <w:div w:id="15354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4684</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Abdullah Navid</cp:lastModifiedBy>
  <cp:revision>2</cp:revision>
  <dcterms:created xsi:type="dcterms:W3CDTF">2021-03-19T17:02:00Z</dcterms:created>
  <dcterms:modified xsi:type="dcterms:W3CDTF">2021-03-19T17:02:00Z</dcterms:modified>
</cp:coreProperties>
</file>