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639AA" w14:textId="77777777" w:rsidR="00896D8B" w:rsidRPr="003E0483" w:rsidRDefault="00896D8B" w:rsidP="00896D8B">
      <w:pPr>
        <w:spacing w:after="0" w:line="264" w:lineRule="auto"/>
        <w:rPr>
          <w:b/>
          <w:bCs/>
          <w:sz w:val="24"/>
          <w:szCs w:val="24"/>
          <w:u w:val="single"/>
        </w:rPr>
      </w:pPr>
      <w:r w:rsidRPr="003E0483">
        <w:rPr>
          <w:b/>
          <w:bCs/>
          <w:sz w:val="24"/>
          <w:szCs w:val="24"/>
          <w:u w:val="single"/>
        </w:rPr>
        <w:t>Hydro 2000</w:t>
      </w:r>
    </w:p>
    <w:p w14:paraId="668B2CF1" w14:textId="47BFDACB" w:rsidR="00896D8B" w:rsidRPr="003E0483" w:rsidRDefault="00896D8B" w:rsidP="00896D8B">
      <w:pPr>
        <w:spacing w:after="0" w:line="264" w:lineRule="auto"/>
        <w:rPr>
          <w:b/>
          <w:bCs/>
          <w:sz w:val="24"/>
          <w:szCs w:val="24"/>
          <w:u w:val="single"/>
        </w:rPr>
      </w:pPr>
      <w:r w:rsidRPr="003E0483">
        <w:rPr>
          <w:b/>
          <w:bCs/>
          <w:sz w:val="24"/>
          <w:szCs w:val="24"/>
          <w:u w:val="single"/>
        </w:rPr>
        <w:t>Follow-up Questions #3</w:t>
      </w:r>
    </w:p>
    <w:p w14:paraId="5B6D25AA" w14:textId="77777777" w:rsidR="00896D8B" w:rsidRPr="000242AC" w:rsidRDefault="00896D8B" w:rsidP="00896D8B">
      <w:pPr>
        <w:spacing w:after="0" w:line="264" w:lineRule="auto"/>
        <w:rPr>
          <w:b/>
          <w:bCs/>
          <w:sz w:val="24"/>
          <w:szCs w:val="24"/>
        </w:rPr>
      </w:pPr>
    </w:p>
    <w:p w14:paraId="390B10B3" w14:textId="26398380" w:rsidR="00DE73C5" w:rsidRPr="000242AC" w:rsidRDefault="00896D8B" w:rsidP="00896D8B">
      <w:pPr>
        <w:spacing w:after="0" w:line="264" w:lineRule="auto"/>
        <w:rPr>
          <w:b/>
          <w:bCs/>
          <w:sz w:val="24"/>
          <w:szCs w:val="24"/>
        </w:rPr>
      </w:pPr>
      <w:r w:rsidRPr="000242AC">
        <w:rPr>
          <w:b/>
          <w:bCs/>
          <w:sz w:val="24"/>
          <w:szCs w:val="24"/>
        </w:rPr>
        <w:t>Follow-up #3 – Staff Question #1</w:t>
      </w:r>
    </w:p>
    <w:p w14:paraId="25C1C17E" w14:textId="77777777" w:rsidR="00896D8B" w:rsidRPr="000242AC" w:rsidRDefault="00896D8B" w:rsidP="00896D8B">
      <w:pPr>
        <w:spacing w:before="40" w:after="40" w:line="240" w:lineRule="auto"/>
        <w:rPr>
          <w:b/>
          <w:bCs/>
          <w:sz w:val="24"/>
          <w:szCs w:val="24"/>
        </w:rPr>
      </w:pPr>
      <w:r w:rsidRPr="000242AC">
        <w:rPr>
          <w:b/>
          <w:bCs/>
          <w:sz w:val="24"/>
          <w:szCs w:val="24"/>
        </w:rPr>
        <w:t>Ref: Follow-up #2 – Staff Question 1</w:t>
      </w:r>
    </w:p>
    <w:p w14:paraId="0776929B" w14:textId="12201CF8" w:rsidR="00896D8B" w:rsidRPr="000242AC" w:rsidRDefault="00896D8B" w:rsidP="00896D8B">
      <w:pPr>
        <w:spacing w:after="0" w:line="264" w:lineRule="auto"/>
        <w:rPr>
          <w:b/>
          <w:bCs/>
          <w:sz w:val="24"/>
          <w:szCs w:val="24"/>
        </w:rPr>
      </w:pPr>
    </w:p>
    <w:p w14:paraId="75040D9D" w14:textId="5CD878A8" w:rsidR="00896D8B" w:rsidRPr="000242AC" w:rsidRDefault="0016638F" w:rsidP="00896D8B">
      <w:pPr>
        <w:spacing w:after="0" w:line="264" w:lineRule="auto"/>
        <w:rPr>
          <w:sz w:val="24"/>
          <w:szCs w:val="24"/>
        </w:rPr>
      </w:pPr>
      <w:r w:rsidRPr="000242AC">
        <w:rPr>
          <w:sz w:val="24"/>
          <w:szCs w:val="24"/>
        </w:rPr>
        <w:t xml:space="preserve">In follow-up #2- Staff Question 1, Hydro 2000 indicated that </w:t>
      </w:r>
      <w:r w:rsidR="00DA525D" w:rsidRPr="000242AC">
        <w:rPr>
          <w:sz w:val="24"/>
          <w:szCs w:val="24"/>
        </w:rPr>
        <w:t>2015 and 2016 balances were not recalculated using the Illustrative Model</w:t>
      </w:r>
      <w:r w:rsidR="00842D94" w:rsidRPr="000242AC">
        <w:rPr>
          <w:sz w:val="24"/>
          <w:szCs w:val="24"/>
        </w:rPr>
        <w:t xml:space="preserve">. </w:t>
      </w:r>
    </w:p>
    <w:p w14:paraId="439BAA25" w14:textId="4D0490B6" w:rsidR="00DC38C5" w:rsidRPr="000242AC" w:rsidRDefault="00237A41" w:rsidP="00237A41">
      <w:pPr>
        <w:pStyle w:val="ListParagraph"/>
        <w:numPr>
          <w:ilvl w:val="0"/>
          <w:numId w:val="1"/>
        </w:numPr>
        <w:spacing w:after="0" w:line="264" w:lineRule="auto"/>
        <w:rPr>
          <w:sz w:val="24"/>
          <w:szCs w:val="24"/>
        </w:rPr>
      </w:pPr>
      <w:r w:rsidRPr="000242AC">
        <w:rPr>
          <w:sz w:val="24"/>
          <w:szCs w:val="24"/>
        </w:rPr>
        <w:t xml:space="preserve">Please confirm </w:t>
      </w:r>
      <w:r w:rsidR="00DC38C5" w:rsidRPr="000242AC">
        <w:rPr>
          <w:sz w:val="24"/>
          <w:szCs w:val="24"/>
        </w:rPr>
        <w:t xml:space="preserve">the account balances </w:t>
      </w:r>
      <w:r w:rsidR="002B42B1">
        <w:rPr>
          <w:sz w:val="24"/>
          <w:szCs w:val="24"/>
        </w:rPr>
        <w:t xml:space="preserve">in the table below </w:t>
      </w:r>
      <w:r w:rsidR="00743F2B">
        <w:rPr>
          <w:sz w:val="24"/>
          <w:szCs w:val="24"/>
        </w:rPr>
        <w:t xml:space="preserve">are the balances in accordance to the Inspection. </w:t>
      </w:r>
    </w:p>
    <w:tbl>
      <w:tblPr>
        <w:tblW w:w="7290" w:type="dxa"/>
        <w:tblInd w:w="1027" w:type="dxa"/>
        <w:tblLook w:val="04A0" w:firstRow="1" w:lastRow="0" w:firstColumn="1" w:lastColumn="0" w:noHBand="0" w:noVBand="1"/>
      </w:tblPr>
      <w:tblGrid>
        <w:gridCol w:w="222"/>
        <w:gridCol w:w="4782"/>
        <w:gridCol w:w="2286"/>
      </w:tblGrid>
      <w:tr w:rsidR="000242AC" w:rsidRPr="000242AC" w14:paraId="3F4C202C" w14:textId="77777777" w:rsidTr="008D0469">
        <w:trPr>
          <w:trHeight w:val="288"/>
        </w:trPr>
        <w:tc>
          <w:tcPr>
            <w:tcW w:w="222" w:type="dxa"/>
            <w:tcBorders>
              <w:top w:val="single" w:sz="4" w:space="0" w:color="auto"/>
              <w:left w:val="single" w:sz="4" w:space="0" w:color="auto"/>
              <w:bottom w:val="nil"/>
              <w:right w:val="nil"/>
            </w:tcBorders>
          </w:tcPr>
          <w:p w14:paraId="4F10B0B2" w14:textId="77777777" w:rsidR="000242AC" w:rsidRPr="000242AC" w:rsidRDefault="000242AC" w:rsidP="00965A8E">
            <w:pPr>
              <w:spacing w:after="0" w:line="240" w:lineRule="auto"/>
              <w:jc w:val="center"/>
              <w:rPr>
                <w:rFonts w:eastAsia="Times New Roman" w:cs="Arial"/>
                <w:b/>
                <w:bCs/>
                <w:color w:val="000000"/>
                <w:sz w:val="24"/>
                <w:szCs w:val="24"/>
              </w:rPr>
            </w:pPr>
          </w:p>
        </w:tc>
        <w:tc>
          <w:tcPr>
            <w:tcW w:w="4782" w:type="dxa"/>
            <w:tcBorders>
              <w:top w:val="single" w:sz="4" w:space="0" w:color="auto"/>
              <w:left w:val="nil"/>
              <w:bottom w:val="nil"/>
              <w:right w:val="nil"/>
            </w:tcBorders>
            <w:shd w:val="clear" w:color="auto" w:fill="auto"/>
            <w:noWrap/>
            <w:vAlign w:val="bottom"/>
            <w:hideMark/>
          </w:tcPr>
          <w:p w14:paraId="45DB2B8D" w14:textId="50A11789" w:rsidR="000242AC" w:rsidRPr="000242AC" w:rsidRDefault="000242AC" w:rsidP="00965A8E">
            <w:pPr>
              <w:spacing w:after="0" w:line="240" w:lineRule="auto"/>
              <w:jc w:val="center"/>
              <w:rPr>
                <w:rFonts w:eastAsia="Times New Roman" w:cs="Arial"/>
                <w:b/>
                <w:bCs/>
                <w:color w:val="000000"/>
                <w:sz w:val="24"/>
                <w:szCs w:val="24"/>
              </w:rPr>
            </w:pPr>
            <w:r w:rsidRPr="000242AC">
              <w:rPr>
                <w:rFonts w:eastAsia="Times New Roman" w:cs="Arial"/>
                <w:b/>
                <w:bCs/>
                <w:color w:val="000000"/>
                <w:sz w:val="24"/>
                <w:szCs w:val="24"/>
              </w:rPr>
              <w:t>Account 1588</w:t>
            </w:r>
          </w:p>
        </w:tc>
        <w:tc>
          <w:tcPr>
            <w:tcW w:w="2286" w:type="dxa"/>
            <w:tcBorders>
              <w:top w:val="single" w:sz="4" w:space="0" w:color="auto"/>
              <w:left w:val="nil"/>
              <w:bottom w:val="nil"/>
              <w:right w:val="single" w:sz="4" w:space="0" w:color="auto"/>
            </w:tcBorders>
            <w:shd w:val="clear" w:color="auto" w:fill="auto"/>
            <w:noWrap/>
            <w:vAlign w:val="bottom"/>
            <w:hideMark/>
          </w:tcPr>
          <w:p w14:paraId="04229F76" w14:textId="77777777" w:rsidR="000242AC" w:rsidRPr="000242AC" w:rsidRDefault="000242AC" w:rsidP="00965A8E">
            <w:pPr>
              <w:spacing w:after="0" w:line="240" w:lineRule="auto"/>
              <w:jc w:val="center"/>
              <w:rPr>
                <w:rFonts w:eastAsia="Times New Roman" w:cs="Arial"/>
                <w:b/>
                <w:bCs/>
                <w:color w:val="000000"/>
                <w:sz w:val="24"/>
                <w:szCs w:val="24"/>
              </w:rPr>
            </w:pPr>
            <w:r w:rsidRPr="000242AC">
              <w:rPr>
                <w:rFonts w:eastAsia="Times New Roman" w:cs="Arial"/>
                <w:b/>
                <w:bCs/>
                <w:color w:val="000000"/>
                <w:sz w:val="24"/>
                <w:szCs w:val="24"/>
              </w:rPr>
              <w:t>Account 1589</w:t>
            </w:r>
          </w:p>
        </w:tc>
      </w:tr>
      <w:tr w:rsidR="000242AC" w:rsidRPr="000242AC" w14:paraId="13CD1855" w14:textId="77777777" w:rsidTr="008D0469">
        <w:trPr>
          <w:trHeight w:val="288"/>
        </w:trPr>
        <w:tc>
          <w:tcPr>
            <w:tcW w:w="222" w:type="dxa"/>
            <w:tcBorders>
              <w:top w:val="nil"/>
              <w:left w:val="single" w:sz="4" w:space="0" w:color="auto"/>
              <w:bottom w:val="nil"/>
              <w:right w:val="nil"/>
            </w:tcBorders>
          </w:tcPr>
          <w:p w14:paraId="328E7002" w14:textId="77777777" w:rsidR="000242AC" w:rsidRPr="000242AC" w:rsidRDefault="000242AC" w:rsidP="00965A8E">
            <w:pPr>
              <w:spacing w:after="0" w:line="240" w:lineRule="auto"/>
              <w:rPr>
                <w:rFonts w:eastAsia="Times New Roman" w:cs="Arial"/>
                <w:sz w:val="24"/>
                <w:szCs w:val="24"/>
              </w:rPr>
            </w:pPr>
          </w:p>
        </w:tc>
        <w:tc>
          <w:tcPr>
            <w:tcW w:w="4782" w:type="dxa"/>
            <w:tcBorders>
              <w:top w:val="nil"/>
              <w:left w:val="nil"/>
              <w:bottom w:val="nil"/>
              <w:right w:val="nil"/>
            </w:tcBorders>
            <w:shd w:val="clear" w:color="auto" w:fill="auto"/>
            <w:noWrap/>
            <w:vAlign w:val="bottom"/>
            <w:hideMark/>
          </w:tcPr>
          <w:p w14:paraId="667B1B90" w14:textId="12F43D90" w:rsidR="000242AC" w:rsidRPr="000242AC" w:rsidRDefault="000242AC" w:rsidP="00965A8E">
            <w:pPr>
              <w:spacing w:after="0" w:line="240" w:lineRule="auto"/>
              <w:rPr>
                <w:rFonts w:eastAsia="Times New Roman" w:cs="Arial"/>
                <w:sz w:val="24"/>
                <w:szCs w:val="24"/>
              </w:rPr>
            </w:pPr>
            <w:r w:rsidRPr="000242AC">
              <w:rPr>
                <w:rFonts w:eastAsia="Times New Roman" w:cs="Arial"/>
                <w:sz w:val="24"/>
                <w:szCs w:val="24"/>
              </w:rPr>
              <w:t xml:space="preserve">Principal          204,494 </w:t>
            </w:r>
          </w:p>
        </w:tc>
        <w:tc>
          <w:tcPr>
            <w:tcW w:w="2286" w:type="dxa"/>
            <w:tcBorders>
              <w:top w:val="nil"/>
              <w:left w:val="nil"/>
              <w:bottom w:val="nil"/>
              <w:right w:val="single" w:sz="4" w:space="0" w:color="auto"/>
            </w:tcBorders>
            <w:shd w:val="clear" w:color="auto" w:fill="auto"/>
            <w:noWrap/>
            <w:vAlign w:val="bottom"/>
            <w:hideMark/>
          </w:tcPr>
          <w:p w14:paraId="1BDD4C84" w14:textId="77777777" w:rsidR="000242AC" w:rsidRPr="000242AC" w:rsidRDefault="000242AC" w:rsidP="00965A8E">
            <w:pPr>
              <w:spacing w:after="0" w:line="240" w:lineRule="auto"/>
              <w:rPr>
                <w:rFonts w:eastAsia="Times New Roman" w:cs="Arial"/>
                <w:sz w:val="24"/>
                <w:szCs w:val="24"/>
              </w:rPr>
            </w:pPr>
            <w:r w:rsidRPr="000242AC">
              <w:rPr>
                <w:rFonts w:eastAsia="Times New Roman" w:cs="Arial"/>
                <w:sz w:val="24"/>
                <w:szCs w:val="24"/>
              </w:rPr>
              <w:t xml:space="preserve">         49,433 </w:t>
            </w:r>
          </w:p>
        </w:tc>
      </w:tr>
      <w:tr w:rsidR="000242AC" w:rsidRPr="000242AC" w14:paraId="12BA632F" w14:textId="77777777" w:rsidTr="008D0469">
        <w:trPr>
          <w:trHeight w:val="288"/>
        </w:trPr>
        <w:tc>
          <w:tcPr>
            <w:tcW w:w="222" w:type="dxa"/>
            <w:tcBorders>
              <w:top w:val="nil"/>
              <w:left w:val="single" w:sz="4" w:space="0" w:color="auto"/>
              <w:bottom w:val="single" w:sz="4" w:space="0" w:color="auto"/>
              <w:right w:val="nil"/>
            </w:tcBorders>
          </w:tcPr>
          <w:p w14:paraId="70A84646" w14:textId="77777777" w:rsidR="000242AC" w:rsidRPr="000242AC" w:rsidRDefault="000242AC" w:rsidP="00965A8E">
            <w:pPr>
              <w:spacing w:after="0" w:line="240" w:lineRule="auto"/>
              <w:rPr>
                <w:rFonts w:eastAsia="Times New Roman" w:cs="Arial"/>
                <w:color w:val="000000"/>
                <w:sz w:val="24"/>
                <w:szCs w:val="24"/>
              </w:rPr>
            </w:pPr>
          </w:p>
        </w:tc>
        <w:tc>
          <w:tcPr>
            <w:tcW w:w="4782" w:type="dxa"/>
            <w:tcBorders>
              <w:top w:val="nil"/>
              <w:left w:val="nil"/>
              <w:bottom w:val="single" w:sz="4" w:space="0" w:color="auto"/>
              <w:right w:val="nil"/>
            </w:tcBorders>
            <w:shd w:val="clear" w:color="auto" w:fill="auto"/>
            <w:noWrap/>
            <w:vAlign w:val="bottom"/>
            <w:hideMark/>
          </w:tcPr>
          <w:p w14:paraId="3E2B2715" w14:textId="147D9B15" w:rsidR="000242AC" w:rsidRPr="000242AC" w:rsidRDefault="000242AC" w:rsidP="00965A8E">
            <w:pPr>
              <w:spacing w:after="0" w:line="240" w:lineRule="auto"/>
              <w:rPr>
                <w:rFonts w:eastAsia="Times New Roman" w:cs="Arial"/>
                <w:color w:val="000000"/>
                <w:sz w:val="24"/>
                <w:szCs w:val="24"/>
              </w:rPr>
            </w:pPr>
            <w:r w:rsidRPr="000242AC">
              <w:rPr>
                <w:rFonts w:eastAsia="Times New Roman" w:cs="Arial"/>
                <w:color w:val="000000"/>
                <w:sz w:val="24"/>
                <w:szCs w:val="24"/>
              </w:rPr>
              <w:t xml:space="preserve">Interest              3,193 </w:t>
            </w:r>
          </w:p>
        </w:tc>
        <w:tc>
          <w:tcPr>
            <w:tcW w:w="2286" w:type="dxa"/>
            <w:tcBorders>
              <w:top w:val="nil"/>
              <w:left w:val="nil"/>
              <w:bottom w:val="single" w:sz="4" w:space="0" w:color="auto"/>
              <w:right w:val="single" w:sz="4" w:space="0" w:color="auto"/>
            </w:tcBorders>
            <w:shd w:val="clear" w:color="auto" w:fill="auto"/>
            <w:noWrap/>
            <w:vAlign w:val="bottom"/>
            <w:hideMark/>
          </w:tcPr>
          <w:p w14:paraId="18871EEF" w14:textId="77777777" w:rsidR="000242AC" w:rsidRPr="000242AC" w:rsidRDefault="000242AC" w:rsidP="00965A8E">
            <w:pPr>
              <w:spacing w:after="0" w:line="240" w:lineRule="auto"/>
              <w:rPr>
                <w:rFonts w:eastAsia="Times New Roman" w:cs="Arial"/>
                <w:color w:val="000000"/>
                <w:sz w:val="24"/>
                <w:szCs w:val="24"/>
              </w:rPr>
            </w:pPr>
            <w:r w:rsidRPr="000242AC">
              <w:rPr>
                <w:rFonts w:eastAsia="Times New Roman" w:cs="Arial"/>
                <w:color w:val="000000"/>
                <w:sz w:val="24"/>
                <w:szCs w:val="24"/>
              </w:rPr>
              <w:t xml:space="preserve">           1,184 </w:t>
            </w:r>
          </w:p>
        </w:tc>
      </w:tr>
      <w:tr w:rsidR="000242AC" w:rsidRPr="000242AC" w14:paraId="5702B3D7" w14:textId="77777777" w:rsidTr="008D0469">
        <w:trPr>
          <w:trHeight w:val="288"/>
        </w:trPr>
        <w:tc>
          <w:tcPr>
            <w:tcW w:w="222" w:type="dxa"/>
            <w:tcBorders>
              <w:top w:val="nil"/>
              <w:left w:val="single" w:sz="4" w:space="0" w:color="auto"/>
              <w:bottom w:val="single" w:sz="4" w:space="0" w:color="auto"/>
              <w:right w:val="nil"/>
            </w:tcBorders>
          </w:tcPr>
          <w:p w14:paraId="4829786D" w14:textId="77777777" w:rsidR="000242AC" w:rsidRPr="000242AC" w:rsidRDefault="000242AC" w:rsidP="00965A8E">
            <w:pPr>
              <w:spacing w:after="0" w:line="240" w:lineRule="auto"/>
              <w:rPr>
                <w:rFonts w:eastAsia="Times New Roman" w:cs="Arial"/>
                <w:color w:val="000000"/>
                <w:sz w:val="24"/>
                <w:szCs w:val="24"/>
              </w:rPr>
            </w:pPr>
          </w:p>
        </w:tc>
        <w:tc>
          <w:tcPr>
            <w:tcW w:w="4782" w:type="dxa"/>
            <w:tcBorders>
              <w:top w:val="nil"/>
              <w:left w:val="nil"/>
              <w:bottom w:val="single" w:sz="4" w:space="0" w:color="auto"/>
              <w:right w:val="nil"/>
            </w:tcBorders>
            <w:shd w:val="clear" w:color="auto" w:fill="auto"/>
            <w:noWrap/>
            <w:vAlign w:val="bottom"/>
            <w:hideMark/>
          </w:tcPr>
          <w:p w14:paraId="137BC9EF" w14:textId="7E2AB9DE" w:rsidR="000242AC" w:rsidRPr="000242AC" w:rsidRDefault="000242AC" w:rsidP="000242AC">
            <w:pPr>
              <w:spacing w:after="0" w:line="240" w:lineRule="auto"/>
              <w:ind w:left="1014"/>
              <w:rPr>
                <w:rFonts w:eastAsia="Times New Roman" w:cs="Arial"/>
                <w:color w:val="000000"/>
                <w:sz w:val="24"/>
                <w:szCs w:val="24"/>
              </w:rPr>
            </w:pPr>
            <w:r w:rsidRPr="000242AC">
              <w:rPr>
                <w:rFonts w:eastAsia="Times New Roman" w:cs="Arial"/>
                <w:color w:val="000000"/>
                <w:sz w:val="24"/>
                <w:szCs w:val="24"/>
              </w:rPr>
              <w:t xml:space="preserve">         207,687 </w:t>
            </w:r>
          </w:p>
        </w:tc>
        <w:tc>
          <w:tcPr>
            <w:tcW w:w="2286" w:type="dxa"/>
            <w:tcBorders>
              <w:top w:val="nil"/>
              <w:left w:val="nil"/>
              <w:bottom w:val="single" w:sz="4" w:space="0" w:color="auto"/>
              <w:right w:val="single" w:sz="4" w:space="0" w:color="auto"/>
            </w:tcBorders>
            <w:shd w:val="clear" w:color="auto" w:fill="auto"/>
            <w:noWrap/>
            <w:vAlign w:val="bottom"/>
            <w:hideMark/>
          </w:tcPr>
          <w:p w14:paraId="0EFE90B9" w14:textId="77777777" w:rsidR="000242AC" w:rsidRPr="000242AC" w:rsidRDefault="000242AC" w:rsidP="00965A8E">
            <w:pPr>
              <w:spacing w:after="0" w:line="240" w:lineRule="auto"/>
              <w:rPr>
                <w:rFonts w:eastAsia="Times New Roman" w:cs="Arial"/>
                <w:color w:val="000000"/>
                <w:sz w:val="24"/>
                <w:szCs w:val="24"/>
              </w:rPr>
            </w:pPr>
            <w:r w:rsidRPr="000242AC">
              <w:rPr>
                <w:rFonts w:eastAsia="Times New Roman" w:cs="Arial"/>
                <w:color w:val="000000"/>
                <w:sz w:val="24"/>
                <w:szCs w:val="24"/>
              </w:rPr>
              <w:t xml:space="preserve">         50,617 </w:t>
            </w:r>
          </w:p>
        </w:tc>
      </w:tr>
    </w:tbl>
    <w:p w14:paraId="3FFED88D" w14:textId="49D0E2A8" w:rsidR="0095634A" w:rsidRDefault="0095634A" w:rsidP="0095634A">
      <w:pPr>
        <w:pStyle w:val="ListParagraph"/>
        <w:spacing w:after="0" w:line="264" w:lineRule="auto"/>
        <w:rPr>
          <w:sz w:val="24"/>
          <w:szCs w:val="24"/>
        </w:rPr>
      </w:pPr>
    </w:p>
    <w:p w14:paraId="6D942630" w14:textId="128219B7" w:rsidR="001144A1" w:rsidRPr="00D04E9A" w:rsidRDefault="00D04E9A" w:rsidP="0095634A">
      <w:pPr>
        <w:pStyle w:val="ListParagraph"/>
        <w:spacing w:after="0" w:line="264" w:lineRule="auto"/>
        <w:rPr>
          <w:color w:val="FF0000"/>
          <w:sz w:val="24"/>
          <w:szCs w:val="24"/>
        </w:rPr>
      </w:pPr>
      <w:proofErr w:type="gramStart"/>
      <w:r>
        <w:rPr>
          <w:color w:val="FF0000"/>
          <w:sz w:val="24"/>
          <w:szCs w:val="24"/>
        </w:rPr>
        <w:t>Yes</w:t>
      </w:r>
      <w:proofErr w:type="gramEnd"/>
      <w:r>
        <w:rPr>
          <w:color w:val="FF0000"/>
          <w:sz w:val="24"/>
          <w:szCs w:val="24"/>
        </w:rPr>
        <w:t xml:space="preserve"> those balances are in accordance to the inspection.</w:t>
      </w:r>
    </w:p>
    <w:p w14:paraId="324F5D47" w14:textId="77777777" w:rsidR="001144A1" w:rsidRDefault="001144A1" w:rsidP="0095634A">
      <w:pPr>
        <w:pStyle w:val="ListParagraph"/>
        <w:spacing w:after="0" w:line="264" w:lineRule="auto"/>
        <w:rPr>
          <w:sz w:val="24"/>
          <w:szCs w:val="24"/>
        </w:rPr>
      </w:pPr>
    </w:p>
    <w:p w14:paraId="77999BDF" w14:textId="64120921" w:rsidR="00237A41" w:rsidRDefault="00743F2B" w:rsidP="00237A41">
      <w:pPr>
        <w:pStyle w:val="ListParagraph"/>
        <w:numPr>
          <w:ilvl w:val="0"/>
          <w:numId w:val="1"/>
        </w:numPr>
        <w:spacing w:after="0" w:line="264" w:lineRule="auto"/>
        <w:rPr>
          <w:sz w:val="24"/>
          <w:szCs w:val="24"/>
        </w:rPr>
      </w:pPr>
      <w:r>
        <w:rPr>
          <w:sz w:val="24"/>
          <w:szCs w:val="24"/>
        </w:rPr>
        <w:t xml:space="preserve">In the DVA Continuity Schedule in this proceeding, </w:t>
      </w:r>
      <w:r w:rsidR="00A5127C">
        <w:rPr>
          <w:sz w:val="24"/>
          <w:szCs w:val="24"/>
        </w:rPr>
        <w:t>the 2016 balances that form the balances requested for disposition is</w:t>
      </w:r>
      <w:r w:rsidR="002B42B1">
        <w:rPr>
          <w:sz w:val="24"/>
          <w:szCs w:val="24"/>
        </w:rPr>
        <w:t xml:space="preserve"> </w:t>
      </w:r>
      <w:r w:rsidR="00407409">
        <w:rPr>
          <w:sz w:val="24"/>
          <w:szCs w:val="24"/>
        </w:rPr>
        <w:t>table below.</w:t>
      </w:r>
    </w:p>
    <w:tbl>
      <w:tblPr>
        <w:tblW w:w="6884" w:type="dxa"/>
        <w:tblInd w:w="727" w:type="dxa"/>
        <w:tblLook w:val="04A0" w:firstRow="1" w:lastRow="0" w:firstColumn="1" w:lastColumn="0" w:noHBand="0" w:noVBand="1"/>
      </w:tblPr>
      <w:tblGrid>
        <w:gridCol w:w="1525"/>
        <w:gridCol w:w="2387"/>
        <w:gridCol w:w="2972"/>
      </w:tblGrid>
      <w:tr w:rsidR="0095634A" w:rsidRPr="00703EC9" w14:paraId="438649B5" w14:textId="77777777" w:rsidTr="008D0469">
        <w:trPr>
          <w:trHeight w:val="288"/>
        </w:trPr>
        <w:tc>
          <w:tcPr>
            <w:tcW w:w="1525" w:type="dxa"/>
            <w:tcBorders>
              <w:top w:val="single" w:sz="4" w:space="0" w:color="auto"/>
              <w:left w:val="single" w:sz="4" w:space="0" w:color="auto"/>
              <w:bottom w:val="nil"/>
              <w:right w:val="nil"/>
            </w:tcBorders>
            <w:shd w:val="clear" w:color="auto" w:fill="auto"/>
            <w:noWrap/>
            <w:vAlign w:val="bottom"/>
            <w:hideMark/>
          </w:tcPr>
          <w:p w14:paraId="5F003A94" w14:textId="77777777" w:rsidR="0095634A" w:rsidRPr="00703EC9" w:rsidRDefault="0095634A" w:rsidP="00965A8E">
            <w:pPr>
              <w:spacing w:after="0" w:line="240" w:lineRule="auto"/>
              <w:rPr>
                <w:rFonts w:eastAsia="Times New Roman" w:cs="Arial"/>
                <w:b/>
                <w:bCs/>
                <w:color w:val="000000"/>
                <w:sz w:val="24"/>
                <w:szCs w:val="24"/>
              </w:rPr>
            </w:pPr>
            <w:r w:rsidRPr="00703EC9">
              <w:rPr>
                <w:rFonts w:eastAsia="Times New Roman" w:cs="Arial"/>
                <w:b/>
                <w:bCs/>
                <w:color w:val="000000"/>
                <w:sz w:val="24"/>
                <w:szCs w:val="24"/>
              </w:rPr>
              <w:t> </w:t>
            </w:r>
          </w:p>
        </w:tc>
        <w:tc>
          <w:tcPr>
            <w:tcW w:w="2387" w:type="dxa"/>
            <w:tcBorders>
              <w:top w:val="single" w:sz="4" w:space="0" w:color="auto"/>
              <w:left w:val="single" w:sz="4" w:space="0" w:color="auto"/>
              <w:bottom w:val="nil"/>
              <w:right w:val="nil"/>
            </w:tcBorders>
            <w:shd w:val="clear" w:color="auto" w:fill="auto"/>
            <w:noWrap/>
            <w:vAlign w:val="bottom"/>
            <w:hideMark/>
          </w:tcPr>
          <w:p w14:paraId="26D42D63" w14:textId="77777777" w:rsidR="0095634A" w:rsidRPr="00703EC9" w:rsidRDefault="0095634A" w:rsidP="00965A8E">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1588</w:t>
            </w:r>
          </w:p>
        </w:tc>
        <w:tc>
          <w:tcPr>
            <w:tcW w:w="2972" w:type="dxa"/>
            <w:tcBorders>
              <w:top w:val="single" w:sz="4" w:space="0" w:color="auto"/>
              <w:left w:val="nil"/>
              <w:bottom w:val="nil"/>
              <w:right w:val="single" w:sz="4" w:space="0" w:color="auto"/>
            </w:tcBorders>
            <w:shd w:val="clear" w:color="auto" w:fill="auto"/>
            <w:noWrap/>
            <w:vAlign w:val="bottom"/>
            <w:hideMark/>
          </w:tcPr>
          <w:p w14:paraId="34DDFED7" w14:textId="77777777" w:rsidR="0095634A" w:rsidRPr="00703EC9" w:rsidRDefault="0095634A" w:rsidP="00965A8E">
            <w:pPr>
              <w:spacing w:after="0" w:line="240" w:lineRule="auto"/>
              <w:jc w:val="center"/>
              <w:rPr>
                <w:rFonts w:eastAsia="Times New Roman" w:cs="Arial"/>
                <w:b/>
                <w:bCs/>
                <w:color w:val="000000"/>
                <w:sz w:val="24"/>
                <w:szCs w:val="24"/>
              </w:rPr>
            </w:pPr>
            <w:r w:rsidRPr="00703EC9">
              <w:rPr>
                <w:rFonts w:eastAsia="Times New Roman" w:cs="Arial"/>
                <w:b/>
                <w:bCs/>
                <w:color w:val="000000"/>
                <w:sz w:val="24"/>
                <w:szCs w:val="24"/>
              </w:rPr>
              <w:t>Account 1589</w:t>
            </w:r>
          </w:p>
        </w:tc>
      </w:tr>
      <w:tr w:rsidR="0095634A" w:rsidRPr="00703EC9" w14:paraId="0A44A12A" w14:textId="77777777" w:rsidTr="008D0469">
        <w:trPr>
          <w:trHeight w:val="288"/>
        </w:trPr>
        <w:tc>
          <w:tcPr>
            <w:tcW w:w="1525" w:type="dxa"/>
            <w:tcBorders>
              <w:top w:val="nil"/>
              <w:left w:val="single" w:sz="4" w:space="0" w:color="auto"/>
              <w:bottom w:val="nil"/>
              <w:right w:val="nil"/>
            </w:tcBorders>
            <w:shd w:val="clear" w:color="auto" w:fill="auto"/>
            <w:noWrap/>
            <w:vAlign w:val="bottom"/>
            <w:hideMark/>
          </w:tcPr>
          <w:p w14:paraId="11C68929" w14:textId="77777777" w:rsidR="0095634A" w:rsidRPr="00703EC9" w:rsidRDefault="0095634A" w:rsidP="00965A8E">
            <w:pPr>
              <w:spacing w:after="0" w:line="240" w:lineRule="auto"/>
              <w:rPr>
                <w:rFonts w:eastAsia="Times New Roman" w:cs="Arial"/>
                <w:b/>
                <w:bCs/>
                <w:color w:val="000000"/>
                <w:sz w:val="24"/>
                <w:szCs w:val="24"/>
              </w:rPr>
            </w:pPr>
            <w:r w:rsidRPr="00703EC9">
              <w:rPr>
                <w:rFonts w:eastAsia="Times New Roman" w:cs="Arial"/>
                <w:b/>
                <w:bCs/>
                <w:color w:val="000000"/>
                <w:sz w:val="24"/>
                <w:szCs w:val="24"/>
              </w:rPr>
              <w:t>Principal</w:t>
            </w:r>
          </w:p>
        </w:tc>
        <w:tc>
          <w:tcPr>
            <w:tcW w:w="2387" w:type="dxa"/>
            <w:tcBorders>
              <w:top w:val="nil"/>
              <w:left w:val="single" w:sz="4" w:space="0" w:color="auto"/>
              <w:bottom w:val="nil"/>
              <w:right w:val="nil"/>
            </w:tcBorders>
            <w:shd w:val="clear" w:color="auto" w:fill="auto"/>
            <w:noWrap/>
            <w:vAlign w:val="bottom"/>
            <w:hideMark/>
          </w:tcPr>
          <w:p w14:paraId="0888ACA9" w14:textId="77777777" w:rsidR="0095634A" w:rsidRPr="00703EC9" w:rsidRDefault="0095634A" w:rsidP="00965A8E">
            <w:pPr>
              <w:spacing w:after="0" w:line="240" w:lineRule="auto"/>
              <w:rPr>
                <w:rFonts w:eastAsia="Times New Roman" w:cs="Arial"/>
                <w:sz w:val="24"/>
                <w:szCs w:val="24"/>
              </w:rPr>
            </w:pPr>
            <w:r w:rsidRPr="00703EC9">
              <w:rPr>
                <w:rFonts w:eastAsia="Times New Roman" w:cs="Arial"/>
                <w:sz w:val="24"/>
                <w:szCs w:val="24"/>
              </w:rPr>
              <w:t xml:space="preserve">         65,187 </w:t>
            </w:r>
          </w:p>
        </w:tc>
        <w:tc>
          <w:tcPr>
            <w:tcW w:w="2972" w:type="dxa"/>
            <w:tcBorders>
              <w:top w:val="nil"/>
              <w:left w:val="nil"/>
              <w:bottom w:val="nil"/>
              <w:right w:val="single" w:sz="4" w:space="0" w:color="auto"/>
            </w:tcBorders>
            <w:shd w:val="clear" w:color="auto" w:fill="auto"/>
            <w:noWrap/>
            <w:vAlign w:val="bottom"/>
            <w:hideMark/>
          </w:tcPr>
          <w:p w14:paraId="7E547CCC" w14:textId="77777777" w:rsidR="0095634A" w:rsidRPr="00703EC9" w:rsidRDefault="0095634A" w:rsidP="00965A8E">
            <w:pPr>
              <w:spacing w:after="0" w:line="240" w:lineRule="auto"/>
              <w:rPr>
                <w:rFonts w:eastAsia="Times New Roman" w:cs="Arial"/>
                <w:sz w:val="24"/>
                <w:szCs w:val="24"/>
              </w:rPr>
            </w:pPr>
            <w:r w:rsidRPr="00703EC9">
              <w:rPr>
                <w:rFonts w:eastAsia="Times New Roman" w:cs="Arial"/>
                <w:sz w:val="24"/>
                <w:szCs w:val="24"/>
              </w:rPr>
              <w:t xml:space="preserve">         113,142 </w:t>
            </w:r>
          </w:p>
        </w:tc>
      </w:tr>
      <w:tr w:rsidR="0095634A" w:rsidRPr="00703EC9" w14:paraId="0F38063D" w14:textId="77777777" w:rsidTr="008D0469">
        <w:trPr>
          <w:trHeight w:val="288"/>
        </w:trPr>
        <w:tc>
          <w:tcPr>
            <w:tcW w:w="1525" w:type="dxa"/>
            <w:tcBorders>
              <w:top w:val="nil"/>
              <w:left w:val="single" w:sz="4" w:space="0" w:color="auto"/>
              <w:bottom w:val="nil"/>
              <w:right w:val="nil"/>
            </w:tcBorders>
            <w:shd w:val="clear" w:color="auto" w:fill="auto"/>
            <w:noWrap/>
            <w:vAlign w:val="bottom"/>
            <w:hideMark/>
          </w:tcPr>
          <w:p w14:paraId="05E76FE6" w14:textId="77777777" w:rsidR="0095634A" w:rsidRPr="00703EC9" w:rsidRDefault="0095634A" w:rsidP="00965A8E">
            <w:pPr>
              <w:spacing w:after="0" w:line="240" w:lineRule="auto"/>
              <w:rPr>
                <w:rFonts w:eastAsia="Times New Roman" w:cs="Arial"/>
                <w:b/>
                <w:bCs/>
                <w:color w:val="000000"/>
                <w:sz w:val="24"/>
                <w:szCs w:val="24"/>
              </w:rPr>
            </w:pPr>
            <w:r w:rsidRPr="00703EC9">
              <w:rPr>
                <w:rFonts w:eastAsia="Times New Roman" w:cs="Arial"/>
                <w:b/>
                <w:bCs/>
                <w:color w:val="000000"/>
                <w:sz w:val="24"/>
                <w:szCs w:val="24"/>
              </w:rPr>
              <w:t xml:space="preserve"> Interest </w:t>
            </w:r>
          </w:p>
        </w:tc>
        <w:tc>
          <w:tcPr>
            <w:tcW w:w="2387" w:type="dxa"/>
            <w:tcBorders>
              <w:top w:val="nil"/>
              <w:left w:val="single" w:sz="4" w:space="0" w:color="auto"/>
              <w:bottom w:val="single" w:sz="4" w:space="0" w:color="auto"/>
              <w:right w:val="nil"/>
            </w:tcBorders>
            <w:shd w:val="clear" w:color="auto" w:fill="auto"/>
            <w:noWrap/>
            <w:vAlign w:val="bottom"/>
            <w:hideMark/>
          </w:tcPr>
          <w:p w14:paraId="1ABC8168" w14:textId="77777777" w:rsidR="0095634A" w:rsidRPr="00703EC9" w:rsidRDefault="0095634A" w:rsidP="00965A8E">
            <w:pPr>
              <w:spacing w:after="0" w:line="240" w:lineRule="auto"/>
              <w:rPr>
                <w:rFonts w:eastAsia="Times New Roman" w:cs="Arial"/>
                <w:color w:val="000000"/>
                <w:sz w:val="24"/>
                <w:szCs w:val="24"/>
              </w:rPr>
            </w:pPr>
            <w:r w:rsidRPr="00703EC9">
              <w:rPr>
                <w:rFonts w:eastAsia="Times New Roman" w:cs="Arial"/>
                <w:color w:val="000000"/>
                <w:sz w:val="24"/>
                <w:szCs w:val="24"/>
              </w:rPr>
              <w:t xml:space="preserve">              296 </w:t>
            </w:r>
          </w:p>
        </w:tc>
        <w:tc>
          <w:tcPr>
            <w:tcW w:w="2972" w:type="dxa"/>
            <w:tcBorders>
              <w:top w:val="nil"/>
              <w:left w:val="nil"/>
              <w:bottom w:val="single" w:sz="4" w:space="0" w:color="auto"/>
              <w:right w:val="single" w:sz="4" w:space="0" w:color="auto"/>
            </w:tcBorders>
            <w:shd w:val="clear" w:color="auto" w:fill="auto"/>
            <w:noWrap/>
            <w:vAlign w:val="bottom"/>
            <w:hideMark/>
          </w:tcPr>
          <w:p w14:paraId="4CBD24C2" w14:textId="77777777" w:rsidR="0095634A" w:rsidRPr="00703EC9" w:rsidRDefault="0095634A" w:rsidP="00965A8E">
            <w:pPr>
              <w:spacing w:after="0" w:line="240" w:lineRule="auto"/>
              <w:rPr>
                <w:rFonts w:eastAsia="Times New Roman" w:cs="Arial"/>
                <w:color w:val="000000"/>
                <w:sz w:val="24"/>
                <w:szCs w:val="24"/>
              </w:rPr>
            </w:pPr>
            <w:r w:rsidRPr="00703EC9">
              <w:rPr>
                <w:rFonts w:eastAsia="Times New Roman" w:cs="Arial"/>
                <w:color w:val="000000"/>
                <w:sz w:val="24"/>
                <w:szCs w:val="24"/>
              </w:rPr>
              <w:t xml:space="preserve">             3,255 </w:t>
            </w:r>
          </w:p>
        </w:tc>
      </w:tr>
      <w:tr w:rsidR="0095634A" w:rsidRPr="00703EC9" w14:paraId="6B6F9E0D" w14:textId="77777777" w:rsidTr="008D0469">
        <w:trPr>
          <w:trHeight w:val="288"/>
        </w:trPr>
        <w:tc>
          <w:tcPr>
            <w:tcW w:w="1525" w:type="dxa"/>
            <w:tcBorders>
              <w:top w:val="nil"/>
              <w:left w:val="single" w:sz="4" w:space="0" w:color="auto"/>
              <w:bottom w:val="single" w:sz="4" w:space="0" w:color="auto"/>
              <w:right w:val="nil"/>
            </w:tcBorders>
            <w:shd w:val="clear" w:color="auto" w:fill="auto"/>
            <w:noWrap/>
            <w:vAlign w:val="bottom"/>
            <w:hideMark/>
          </w:tcPr>
          <w:p w14:paraId="73540AE1" w14:textId="77777777" w:rsidR="0095634A" w:rsidRPr="00703EC9" w:rsidRDefault="0095634A" w:rsidP="00965A8E">
            <w:pPr>
              <w:spacing w:after="0" w:line="240" w:lineRule="auto"/>
              <w:rPr>
                <w:rFonts w:eastAsia="Times New Roman" w:cs="Arial"/>
                <w:b/>
                <w:bCs/>
                <w:color w:val="000000"/>
                <w:sz w:val="24"/>
                <w:szCs w:val="24"/>
              </w:rPr>
            </w:pPr>
            <w:r w:rsidRPr="00703EC9">
              <w:rPr>
                <w:rFonts w:eastAsia="Times New Roman" w:cs="Arial"/>
                <w:b/>
                <w:bCs/>
                <w:color w:val="000000"/>
                <w:sz w:val="24"/>
                <w:szCs w:val="24"/>
              </w:rPr>
              <w:t> Total</w:t>
            </w:r>
          </w:p>
        </w:tc>
        <w:tc>
          <w:tcPr>
            <w:tcW w:w="2387" w:type="dxa"/>
            <w:tcBorders>
              <w:top w:val="nil"/>
              <w:left w:val="single" w:sz="4" w:space="0" w:color="auto"/>
              <w:bottom w:val="single" w:sz="4" w:space="0" w:color="auto"/>
              <w:right w:val="nil"/>
            </w:tcBorders>
            <w:shd w:val="clear" w:color="auto" w:fill="auto"/>
            <w:noWrap/>
            <w:vAlign w:val="bottom"/>
            <w:hideMark/>
          </w:tcPr>
          <w:p w14:paraId="7A3246D5" w14:textId="77777777" w:rsidR="0095634A" w:rsidRPr="00703EC9" w:rsidRDefault="0095634A" w:rsidP="00965A8E">
            <w:pPr>
              <w:spacing w:after="0" w:line="240" w:lineRule="auto"/>
              <w:rPr>
                <w:rFonts w:eastAsia="Times New Roman" w:cs="Arial"/>
                <w:color w:val="000000"/>
                <w:sz w:val="24"/>
                <w:szCs w:val="24"/>
              </w:rPr>
            </w:pPr>
            <w:r w:rsidRPr="00703EC9">
              <w:rPr>
                <w:rFonts w:eastAsia="Times New Roman" w:cs="Arial"/>
                <w:color w:val="000000"/>
                <w:sz w:val="24"/>
                <w:szCs w:val="24"/>
              </w:rPr>
              <w:t xml:space="preserve">         65,482 </w:t>
            </w:r>
          </w:p>
        </w:tc>
        <w:tc>
          <w:tcPr>
            <w:tcW w:w="2972" w:type="dxa"/>
            <w:tcBorders>
              <w:top w:val="nil"/>
              <w:left w:val="nil"/>
              <w:bottom w:val="single" w:sz="4" w:space="0" w:color="auto"/>
              <w:right w:val="single" w:sz="4" w:space="0" w:color="auto"/>
            </w:tcBorders>
            <w:shd w:val="clear" w:color="auto" w:fill="auto"/>
            <w:noWrap/>
            <w:vAlign w:val="bottom"/>
            <w:hideMark/>
          </w:tcPr>
          <w:p w14:paraId="75D44533" w14:textId="77777777" w:rsidR="0095634A" w:rsidRPr="00703EC9" w:rsidRDefault="0095634A" w:rsidP="00965A8E">
            <w:pPr>
              <w:spacing w:after="0" w:line="240" w:lineRule="auto"/>
              <w:rPr>
                <w:rFonts w:eastAsia="Times New Roman" w:cs="Arial"/>
                <w:color w:val="000000"/>
                <w:sz w:val="24"/>
                <w:szCs w:val="24"/>
              </w:rPr>
            </w:pPr>
            <w:r w:rsidRPr="00703EC9">
              <w:rPr>
                <w:rFonts w:eastAsia="Times New Roman" w:cs="Arial"/>
                <w:color w:val="000000"/>
                <w:sz w:val="24"/>
                <w:szCs w:val="24"/>
              </w:rPr>
              <w:t xml:space="preserve">         116,397 </w:t>
            </w:r>
          </w:p>
        </w:tc>
      </w:tr>
    </w:tbl>
    <w:p w14:paraId="2BA7CA14" w14:textId="2421461E" w:rsidR="0095634A" w:rsidRDefault="00407409" w:rsidP="00407409">
      <w:pPr>
        <w:pStyle w:val="ListParagraph"/>
        <w:numPr>
          <w:ilvl w:val="1"/>
          <w:numId w:val="1"/>
        </w:numPr>
        <w:spacing w:after="0" w:line="264" w:lineRule="auto"/>
        <w:rPr>
          <w:sz w:val="24"/>
          <w:szCs w:val="24"/>
        </w:rPr>
      </w:pPr>
      <w:r>
        <w:rPr>
          <w:sz w:val="24"/>
          <w:szCs w:val="24"/>
        </w:rPr>
        <w:t xml:space="preserve">Please confirm that these </w:t>
      </w:r>
      <w:r w:rsidR="000F19CB">
        <w:rPr>
          <w:sz w:val="24"/>
          <w:szCs w:val="24"/>
        </w:rPr>
        <w:t xml:space="preserve">are the balances recalculated by the second </w:t>
      </w:r>
      <w:r w:rsidR="007A350A">
        <w:rPr>
          <w:sz w:val="24"/>
          <w:szCs w:val="24"/>
        </w:rPr>
        <w:t xml:space="preserve">general manager as noted in </w:t>
      </w:r>
      <w:r w:rsidR="006F4F06">
        <w:rPr>
          <w:sz w:val="24"/>
          <w:szCs w:val="24"/>
        </w:rPr>
        <w:t xml:space="preserve">Follow-up #1 regarding Staff Question </w:t>
      </w:r>
      <w:r w:rsidR="00A1076E">
        <w:rPr>
          <w:sz w:val="24"/>
          <w:szCs w:val="24"/>
        </w:rPr>
        <w:t xml:space="preserve">#4. </w:t>
      </w:r>
    </w:p>
    <w:p w14:paraId="2B8BAF10" w14:textId="6F42605D" w:rsidR="00D04E9A" w:rsidRPr="00D04E9A" w:rsidRDefault="00D04E9A" w:rsidP="00D04E9A">
      <w:pPr>
        <w:pStyle w:val="ListParagraph"/>
        <w:spacing w:after="0" w:line="264" w:lineRule="auto"/>
        <w:ind w:left="1440"/>
        <w:rPr>
          <w:color w:val="FF0000"/>
          <w:sz w:val="24"/>
          <w:szCs w:val="24"/>
        </w:rPr>
      </w:pPr>
      <w:proofErr w:type="gramStart"/>
      <w:r>
        <w:rPr>
          <w:color w:val="FF0000"/>
          <w:sz w:val="24"/>
          <w:szCs w:val="24"/>
        </w:rPr>
        <w:t>Yes</w:t>
      </w:r>
      <w:proofErr w:type="gramEnd"/>
      <w:r>
        <w:rPr>
          <w:color w:val="FF0000"/>
          <w:sz w:val="24"/>
          <w:szCs w:val="24"/>
        </w:rPr>
        <w:t xml:space="preserve"> these balances are the balances calculated by the second manager.</w:t>
      </w:r>
    </w:p>
    <w:p w14:paraId="208529E6" w14:textId="6077CD97" w:rsidR="00A1076E" w:rsidRDefault="00A1076E" w:rsidP="00407409">
      <w:pPr>
        <w:pStyle w:val="ListParagraph"/>
        <w:numPr>
          <w:ilvl w:val="1"/>
          <w:numId w:val="1"/>
        </w:numPr>
        <w:spacing w:after="0" w:line="264" w:lineRule="auto"/>
        <w:rPr>
          <w:sz w:val="24"/>
          <w:szCs w:val="24"/>
        </w:rPr>
      </w:pPr>
      <w:r>
        <w:rPr>
          <w:sz w:val="24"/>
          <w:szCs w:val="24"/>
        </w:rPr>
        <w:t xml:space="preserve">Please explain why these are the balances reflected in DVA Continuity Schedule </w:t>
      </w:r>
      <w:r w:rsidR="006D67BF">
        <w:rPr>
          <w:sz w:val="24"/>
          <w:szCs w:val="24"/>
        </w:rPr>
        <w:t xml:space="preserve">and not the balances </w:t>
      </w:r>
      <w:r w:rsidR="001D145B">
        <w:rPr>
          <w:sz w:val="24"/>
          <w:szCs w:val="24"/>
        </w:rPr>
        <w:t xml:space="preserve">per the Inspection as shown </w:t>
      </w:r>
      <w:r w:rsidR="006D67BF">
        <w:rPr>
          <w:sz w:val="24"/>
          <w:szCs w:val="24"/>
        </w:rPr>
        <w:t xml:space="preserve">in the table presented under part a above. </w:t>
      </w:r>
    </w:p>
    <w:p w14:paraId="6F16F2CB" w14:textId="09FD92F5" w:rsidR="00D04E9A" w:rsidRPr="002A1A60" w:rsidRDefault="002A1A60" w:rsidP="00D04E9A">
      <w:pPr>
        <w:pStyle w:val="ListParagraph"/>
        <w:spacing w:after="0" w:line="264" w:lineRule="auto"/>
        <w:ind w:left="1440"/>
        <w:rPr>
          <w:color w:val="FF0000"/>
          <w:sz w:val="24"/>
          <w:szCs w:val="24"/>
        </w:rPr>
      </w:pPr>
      <w:r>
        <w:rPr>
          <w:color w:val="FF0000"/>
          <w:sz w:val="24"/>
          <w:szCs w:val="24"/>
        </w:rPr>
        <w:t xml:space="preserve">Hydro 2000 was told to put the differences in the adjustment columns in 2016 and to reverse it in the adjustment column in 2017. Revenues and expenses related to energy were equal for each year. The differences </w:t>
      </w:r>
      <w:proofErr w:type="gramStart"/>
      <w:r>
        <w:rPr>
          <w:color w:val="FF0000"/>
          <w:sz w:val="24"/>
          <w:szCs w:val="24"/>
        </w:rPr>
        <w:t>have to</w:t>
      </w:r>
      <w:proofErr w:type="gramEnd"/>
      <w:r>
        <w:rPr>
          <w:color w:val="FF0000"/>
          <w:sz w:val="24"/>
          <w:szCs w:val="24"/>
        </w:rPr>
        <w:t xml:space="preserve"> stay in the variances.</w:t>
      </w:r>
    </w:p>
    <w:p w14:paraId="13FA3395" w14:textId="5FFB815E" w:rsidR="008A4AA9" w:rsidRDefault="008A4AA9" w:rsidP="00407409">
      <w:pPr>
        <w:pStyle w:val="ListParagraph"/>
        <w:numPr>
          <w:ilvl w:val="1"/>
          <w:numId w:val="1"/>
        </w:numPr>
        <w:spacing w:after="0" w:line="264" w:lineRule="auto"/>
        <w:rPr>
          <w:sz w:val="24"/>
          <w:szCs w:val="24"/>
        </w:rPr>
      </w:pPr>
      <w:r>
        <w:rPr>
          <w:sz w:val="24"/>
          <w:szCs w:val="24"/>
        </w:rPr>
        <w:t>Please revise the DVA Continuity Schedule as necessary.</w:t>
      </w:r>
    </w:p>
    <w:p w14:paraId="4E9ECE1C" w14:textId="098433F1" w:rsidR="002A1A60" w:rsidRPr="002A1A60" w:rsidRDefault="00B94D7F" w:rsidP="002A1A60">
      <w:pPr>
        <w:pStyle w:val="ListParagraph"/>
        <w:spacing w:after="0" w:line="264" w:lineRule="auto"/>
        <w:ind w:left="1440"/>
        <w:rPr>
          <w:color w:val="FF0000"/>
          <w:sz w:val="24"/>
          <w:szCs w:val="24"/>
        </w:rPr>
      </w:pPr>
      <w:r>
        <w:rPr>
          <w:color w:val="FF0000"/>
          <w:sz w:val="24"/>
          <w:szCs w:val="24"/>
        </w:rPr>
        <w:t>See attached revised DVA Continuity Schedule.</w:t>
      </w:r>
    </w:p>
    <w:sectPr w:rsidR="002A1A60" w:rsidRPr="002A1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5E4413"/>
    <w:multiLevelType w:val="hybridMultilevel"/>
    <w:tmpl w:val="2D3CB246"/>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NDA3MTY0MbMwMTFT0lEKTi0uzszPAykwrAUANxX29SwAAAA="/>
  </w:docVars>
  <w:rsids>
    <w:rsidRoot w:val="00896D8B"/>
    <w:rsid w:val="000242AC"/>
    <w:rsid w:val="00084B7B"/>
    <w:rsid w:val="000F19CB"/>
    <w:rsid w:val="001144A1"/>
    <w:rsid w:val="0016638F"/>
    <w:rsid w:val="001D145B"/>
    <w:rsid w:val="00237A41"/>
    <w:rsid w:val="002A1A60"/>
    <w:rsid w:val="002B42B1"/>
    <w:rsid w:val="00392E12"/>
    <w:rsid w:val="003E0483"/>
    <w:rsid w:val="00407409"/>
    <w:rsid w:val="006D67BF"/>
    <w:rsid w:val="006F4F06"/>
    <w:rsid w:val="00743F2B"/>
    <w:rsid w:val="007A350A"/>
    <w:rsid w:val="00842D94"/>
    <w:rsid w:val="00896D8B"/>
    <w:rsid w:val="008A4AA9"/>
    <w:rsid w:val="008D0469"/>
    <w:rsid w:val="0095634A"/>
    <w:rsid w:val="00A1076E"/>
    <w:rsid w:val="00A5127C"/>
    <w:rsid w:val="00B87784"/>
    <w:rsid w:val="00B94D7F"/>
    <w:rsid w:val="00D04E9A"/>
    <w:rsid w:val="00DA525D"/>
    <w:rsid w:val="00DC38C5"/>
    <w:rsid w:val="00DE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F0D"/>
  <w15:chartTrackingRefBased/>
  <w15:docId w15:val="{93FFD18E-E9C5-44F3-84B8-49C3E067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8F"/>
    <w:rPr>
      <w:rFonts w:ascii="Segoe UI" w:hAnsi="Segoe UI" w:cs="Segoe UI"/>
      <w:sz w:val="18"/>
      <w:szCs w:val="18"/>
    </w:rPr>
  </w:style>
  <w:style w:type="paragraph" w:styleId="ListParagraph">
    <w:name w:val="List Paragraph"/>
    <w:basedOn w:val="Normal"/>
    <w:uiPriority w:val="34"/>
    <w:qFormat/>
    <w:rsid w:val="0023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Abdullah Navid</cp:lastModifiedBy>
  <cp:revision>2</cp:revision>
  <dcterms:created xsi:type="dcterms:W3CDTF">2021-03-19T17:01:00Z</dcterms:created>
  <dcterms:modified xsi:type="dcterms:W3CDTF">2021-03-19T17:01:00Z</dcterms:modified>
</cp:coreProperties>
</file>