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9B17" w14:textId="38729333" w:rsidR="00476CBB" w:rsidRPr="00FB4CF2" w:rsidRDefault="00476CBB" w:rsidP="00476CBB">
      <w:pPr>
        <w:spacing w:before="40" w:after="40" w:line="240" w:lineRule="auto"/>
        <w:rPr>
          <w:b/>
          <w:bCs/>
          <w:sz w:val="24"/>
          <w:szCs w:val="24"/>
        </w:rPr>
      </w:pPr>
      <w:r w:rsidRPr="00FB4CF2">
        <w:rPr>
          <w:b/>
          <w:bCs/>
          <w:sz w:val="24"/>
          <w:szCs w:val="24"/>
        </w:rPr>
        <w:t>Staff Question-</w:t>
      </w:r>
      <w:r>
        <w:rPr>
          <w:b/>
          <w:bCs/>
          <w:sz w:val="24"/>
          <w:szCs w:val="24"/>
        </w:rPr>
        <w:t>X</w:t>
      </w:r>
    </w:p>
    <w:p w14:paraId="3253A756" w14:textId="4C533EC2" w:rsidR="00476CBB" w:rsidRDefault="00476CBB" w:rsidP="00476CBB">
      <w:pPr>
        <w:spacing w:before="40" w:after="40" w:line="240" w:lineRule="auto"/>
        <w:rPr>
          <w:b/>
          <w:bCs/>
          <w:sz w:val="24"/>
          <w:szCs w:val="24"/>
        </w:rPr>
      </w:pPr>
      <w:r w:rsidRPr="00FB4CF2">
        <w:rPr>
          <w:b/>
          <w:bCs/>
          <w:sz w:val="24"/>
          <w:szCs w:val="24"/>
        </w:rPr>
        <w:t xml:space="preserve">Ref: </w:t>
      </w:r>
      <w:r>
        <w:rPr>
          <w:b/>
          <w:bCs/>
          <w:sz w:val="24"/>
          <w:szCs w:val="24"/>
        </w:rPr>
        <w:t>Staff Question 5</w:t>
      </w:r>
    </w:p>
    <w:p w14:paraId="309B6DF9" w14:textId="55D6A699" w:rsidR="00476CBB" w:rsidRDefault="00476CBB" w:rsidP="00476CBB">
      <w:pPr>
        <w:spacing w:before="40" w:after="40" w:line="240" w:lineRule="auto"/>
        <w:rPr>
          <w:b/>
          <w:bCs/>
          <w:sz w:val="24"/>
          <w:szCs w:val="24"/>
        </w:rPr>
      </w:pPr>
    </w:p>
    <w:p w14:paraId="57FFF5F0" w14:textId="402ABDF7" w:rsidR="005E64A5" w:rsidRDefault="00476CBB" w:rsidP="00476CBB">
      <w:pPr>
        <w:spacing w:before="40" w:after="40" w:line="240" w:lineRule="auto"/>
        <w:rPr>
          <w:sz w:val="24"/>
          <w:szCs w:val="24"/>
        </w:rPr>
      </w:pPr>
      <w:r>
        <w:rPr>
          <w:sz w:val="24"/>
          <w:szCs w:val="24"/>
        </w:rPr>
        <w:t xml:space="preserve">In response to </w:t>
      </w:r>
      <w:r w:rsidR="006A34C6">
        <w:rPr>
          <w:sz w:val="24"/>
          <w:szCs w:val="24"/>
        </w:rPr>
        <w:t>S</w:t>
      </w:r>
      <w:r>
        <w:rPr>
          <w:sz w:val="24"/>
          <w:szCs w:val="24"/>
        </w:rPr>
        <w:t xml:space="preserve">taff </w:t>
      </w:r>
      <w:r w:rsidR="006A34C6">
        <w:rPr>
          <w:sz w:val="24"/>
          <w:szCs w:val="24"/>
        </w:rPr>
        <w:t>Q</w:t>
      </w:r>
      <w:r>
        <w:rPr>
          <w:sz w:val="24"/>
          <w:szCs w:val="24"/>
        </w:rPr>
        <w:t xml:space="preserve">uestion, </w:t>
      </w:r>
    </w:p>
    <w:p w14:paraId="1626A287" w14:textId="77777777" w:rsidR="005E64A5" w:rsidRDefault="005E64A5" w:rsidP="00476CBB">
      <w:pPr>
        <w:spacing w:before="40" w:after="40" w:line="240" w:lineRule="auto"/>
        <w:rPr>
          <w:sz w:val="24"/>
          <w:szCs w:val="24"/>
        </w:rPr>
      </w:pPr>
    </w:p>
    <w:p w14:paraId="26C21DD1" w14:textId="18F0F35F" w:rsidR="00476CBB" w:rsidRDefault="003C2EE5" w:rsidP="005E64A5">
      <w:pPr>
        <w:pStyle w:val="ListParagraph"/>
        <w:numPr>
          <w:ilvl w:val="0"/>
          <w:numId w:val="3"/>
        </w:numPr>
        <w:spacing w:before="40" w:after="40" w:line="240" w:lineRule="auto"/>
        <w:rPr>
          <w:sz w:val="24"/>
          <w:szCs w:val="24"/>
        </w:rPr>
      </w:pPr>
      <w:r>
        <w:rPr>
          <w:sz w:val="24"/>
          <w:szCs w:val="24"/>
        </w:rPr>
        <w:t xml:space="preserve">5a </w:t>
      </w:r>
      <w:r w:rsidR="00476CBB" w:rsidRPr="005E64A5">
        <w:rPr>
          <w:sz w:val="24"/>
          <w:szCs w:val="24"/>
        </w:rPr>
        <w:t xml:space="preserve">Hydro 2000 indicated that it revised its methodology for RPP settlements and </w:t>
      </w:r>
      <w:proofErr w:type="spellStart"/>
      <w:r w:rsidR="00476CBB" w:rsidRPr="005E64A5">
        <w:rPr>
          <w:sz w:val="24"/>
          <w:szCs w:val="24"/>
        </w:rPr>
        <w:t>microFits</w:t>
      </w:r>
      <w:proofErr w:type="spellEnd"/>
      <w:r w:rsidR="00476CBB" w:rsidRPr="005E64A5">
        <w:rPr>
          <w:sz w:val="24"/>
          <w:szCs w:val="24"/>
        </w:rPr>
        <w:t xml:space="preserve"> to use estimated amounts for the preceding month. Please confirm that Hydro 2000 performs an estimate to actual true-up for RPP settlements and </w:t>
      </w:r>
      <w:proofErr w:type="spellStart"/>
      <w:r w:rsidR="00476CBB" w:rsidRPr="005E64A5">
        <w:rPr>
          <w:sz w:val="24"/>
          <w:szCs w:val="24"/>
        </w:rPr>
        <w:t>microFits</w:t>
      </w:r>
      <w:proofErr w:type="spellEnd"/>
      <w:r w:rsidR="00476CBB" w:rsidRPr="005E64A5">
        <w:rPr>
          <w:sz w:val="24"/>
          <w:szCs w:val="24"/>
        </w:rPr>
        <w:t xml:space="preserve"> in subsequent months</w:t>
      </w:r>
      <w:r w:rsidR="00D279D4">
        <w:rPr>
          <w:sz w:val="24"/>
          <w:szCs w:val="24"/>
        </w:rPr>
        <w:t xml:space="preserve"> for both any price and quantity differences.</w:t>
      </w:r>
    </w:p>
    <w:p w14:paraId="6EB53317" w14:textId="4EADB86D" w:rsidR="004C7B5B" w:rsidRDefault="004C7B5B" w:rsidP="004C7B5B">
      <w:pPr>
        <w:pStyle w:val="ListParagraph"/>
        <w:spacing w:before="40" w:after="40" w:line="240" w:lineRule="auto"/>
        <w:rPr>
          <w:sz w:val="24"/>
          <w:szCs w:val="24"/>
        </w:rPr>
      </w:pPr>
      <w:r w:rsidRPr="00E4762F">
        <w:rPr>
          <w:sz w:val="24"/>
          <w:szCs w:val="24"/>
          <w:highlight w:val="yellow"/>
        </w:rPr>
        <w:t xml:space="preserve">Correct for the RPP settlements.  </w:t>
      </w:r>
      <w:proofErr w:type="spellStart"/>
      <w:r w:rsidRPr="00E4762F">
        <w:rPr>
          <w:sz w:val="24"/>
          <w:szCs w:val="24"/>
          <w:highlight w:val="yellow"/>
        </w:rPr>
        <w:t>MicroFits</w:t>
      </w:r>
      <w:proofErr w:type="spellEnd"/>
      <w:r w:rsidRPr="00E4762F">
        <w:rPr>
          <w:sz w:val="24"/>
          <w:szCs w:val="24"/>
          <w:highlight w:val="yellow"/>
        </w:rPr>
        <w:t xml:space="preserve"> are actual</w:t>
      </w:r>
    </w:p>
    <w:p w14:paraId="709398A8" w14:textId="28660A09" w:rsidR="00D971F7" w:rsidRDefault="00D971F7" w:rsidP="005E64A5">
      <w:pPr>
        <w:pStyle w:val="ListParagraph"/>
        <w:numPr>
          <w:ilvl w:val="0"/>
          <w:numId w:val="3"/>
        </w:numPr>
        <w:spacing w:before="40" w:after="40" w:line="240" w:lineRule="auto"/>
        <w:rPr>
          <w:sz w:val="24"/>
          <w:szCs w:val="24"/>
        </w:rPr>
      </w:pPr>
      <w:r>
        <w:rPr>
          <w:sz w:val="24"/>
          <w:szCs w:val="24"/>
        </w:rPr>
        <w:t xml:space="preserve">5b, it appears that </w:t>
      </w:r>
      <w:r w:rsidR="00D279D4">
        <w:rPr>
          <w:sz w:val="24"/>
          <w:szCs w:val="24"/>
        </w:rPr>
        <w:t>Hydro 2000’s</w:t>
      </w:r>
      <w:r w:rsidR="00BD5688">
        <w:rPr>
          <w:sz w:val="24"/>
          <w:szCs w:val="24"/>
        </w:rPr>
        <w:t xml:space="preserve"> RPP settlement is based on retail consumption as consumption is derived </w:t>
      </w:r>
      <w:r w:rsidR="00F4223F">
        <w:rPr>
          <w:sz w:val="24"/>
          <w:szCs w:val="24"/>
        </w:rPr>
        <w:t>from</w:t>
      </w:r>
      <w:r w:rsidR="00BD5688">
        <w:rPr>
          <w:sz w:val="24"/>
          <w:szCs w:val="24"/>
        </w:rPr>
        <w:t xml:space="preserve"> RPP revenues</w:t>
      </w:r>
      <w:r w:rsidR="00F4223F">
        <w:rPr>
          <w:sz w:val="24"/>
          <w:szCs w:val="24"/>
        </w:rPr>
        <w:t xml:space="preserve">. </w:t>
      </w:r>
      <w:r w:rsidR="00B5027B">
        <w:rPr>
          <w:sz w:val="24"/>
          <w:szCs w:val="24"/>
        </w:rPr>
        <w:t>In response to Staff Question 6</w:t>
      </w:r>
      <w:r w:rsidR="00C4094B">
        <w:rPr>
          <w:sz w:val="24"/>
          <w:szCs w:val="24"/>
        </w:rPr>
        <w:t xml:space="preserve">, Hydro 2000 appears to </w:t>
      </w:r>
      <w:r w:rsidR="00D52251">
        <w:rPr>
          <w:sz w:val="24"/>
          <w:szCs w:val="24"/>
        </w:rPr>
        <w:t xml:space="preserve">be performing RPP settlements based on wholesale consumption. </w:t>
      </w:r>
      <w:r w:rsidR="008B7CC9">
        <w:rPr>
          <w:sz w:val="24"/>
          <w:szCs w:val="24"/>
        </w:rPr>
        <w:t>The OEB’s Feb. 21, 2019 Accounting Guidance on Accounts 1588 and 1589 requires RPP settlements to be done on wholesale consumption</w:t>
      </w:r>
      <w:r w:rsidR="00FD44BB">
        <w:rPr>
          <w:sz w:val="24"/>
          <w:szCs w:val="24"/>
        </w:rPr>
        <w:t xml:space="preserve">. </w:t>
      </w:r>
      <w:r w:rsidR="00963FC6">
        <w:rPr>
          <w:sz w:val="24"/>
          <w:szCs w:val="24"/>
        </w:rPr>
        <w:t xml:space="preserve">Please clarify if Hydro 2000 is settling RPP </w:t>
      </w:r>
      <w:r w:rsidR="00965D0B">
        <w:rPr>
          <w:sz w:val="24"/>
          <w:szCs w:val="24"/>
        </w:rPr>
        <w:t>based on</w:t>
      </w:r>
      <w:r w:rsidR="00963FC6">
        <w:rPr>
          <w:sz w:val="24"/>
          <w:szCs w:val="24"/>
        </w:rPr>
        <w:t xml:space="preserve"> wholesale or retail consumption. </w:t>
      </w:r>
    </w:p>
    <w:p w14:paraId="6D9BBC01" w14:textId="30E0DFF7" w:rsidR="004C7B5B" w:rsidRDefault="00682E29" w:rsidP="004C7B5B">
      <w:pPr>
        <w:pStyle w:val="ListParagraph"/>
        <w:spacing w:before="40" w:after="40" w:line="240" w:lineRule="auto"/>
        <w:rPr>
          <w:sz w:val="24"/>
          <w:szCs w:val="24"/>
        </w:rPr>
      </w:pPr>
      <w:r>
        <w:rPr>
          <w:sz w:val="24"/>
          <w:szCs w:val="24"/>
          <w:highlight w:val="yellow"/>
        </w:rPr>
        <w:t>Hydro 2000 is following the OEB’s Feb 21, 2019 Accounting Guidance on Accounts 1588 and 1589. Hydro 2000 is using the wholesale consumption</w:t>
      </w:r>
      <w:r w:rsidR="00E4762F" w:rsidRPr="00E4762F">
        <w:rPr>
          <w:sz w:val="24"/>
          <w:szCs w:val="24"/>
          <w:highlight w:val="yellow"/>
        </w:rPr>
        <w:t>.</w:t>
      </w:r>
    </w:p>
    <w:p w14:paraId="263C4E79" w14:textId="62330FF2" w:rsidR="00946A07" w:rsidRDefault="00CA0932" w:rsidP="005E64A5">
      <w:pPr>
        <w:pStyle w:val="ListParagraph"/>
        <w:numPr>
          <w:ilvl w:val="0"/>
          <w:numId w:val="3"/>
        </w:numPr>
        <w:spacing w:before="40" w:after="40" w:line="240" w:lineRule="auto"/>
        <w:rPr>
          <w:sz w:val="24"/>
          <w:szCs w:val="24"/>
        </w:rPr>
      </w:pPr>
      <w:r>
        <w:rPr>
          <w:sz w:val="24"/>
          <w:szCs w:val="24"/>
        </w:rPr>
        <w:t xml:space="preserve">5b, Hydro 2000 only discussed the RPP revenues and HOEP portion of RPP settlements. Please </w:t>
      </w:r>
      <w:r w:rsidR="00BA4116">
        <w:rPr>
          <w:sz w:val="24"/>
          <w:szCs w:val="24"/>
        </w:rPr>
        <w:t>confirm that</w:t>
      </w:r>
      <w:r>
        <w:rPr>
          <w:sz w:val="24"/>
          <w:szCs w:val="24"/>
        </w:rPr>
        <w:t xml:space="preserve"> Hydro 2000</w:t>
      </w:r>
      <w:r w:rsidR="00BA4116">
        <w:rPr>
          <w:sz w:val="24"/>
          <w:szCs w:val="24"/>
        </w:rPr>
        <w:t xml:space="preserve"> is also</w:t>
      </w:r>
      <w:r w:rsidR="00946A07">
        <w:rPr>
          <w:sz w:val="24"/>
          <w:szCs w:val="24"/>
        </w:rPr>
        <w:t xml:space="preserve"> settling the GA portion in RPP settlements. </w:t>
      </w:r>
    </w:p>
    <w:p w14:paraId="5EF11CFB" w14:textId="60398AA9" w:rsidR="00CA0932" w:rsidRDefault="00946A07" w:rsidP="00946A07">
      <w:pPr>
        <w:pStyle w:val="ListParagraph"/>
        <w:numPr>
          <w:ilvl w:val="1"/>
          <w:numId w:val="3"/>
        </w:numPr>
        <w:spacing w:before="40" w:after="40" w:line="240" w:lineRule="auto"/>
        <w:rPr>
          <w:sz w:val="24"/>
          <w:szCs w:val="24"/>
        </w:rPr>
      </w:pPr>
      <w:r>
        <w:rPr>
          <w:sz w:val="24"/>
          <w:szCs w:val="24"/>
        </w:rPr>
        <w:t xml:space="preserve">Please confirm that any GA estimate to actual price and quantity variances are trued-up in subsequent months. </w:t>
      </w:r>
    </w:p>
    <w:p w14:paraId="1A8971C7" w14:textId="4BE196E1" w:rsidR="004C7B5B" w:rsidRDefault="004C7B5B" w:rsidP="004C7B5B">
      <w:pPr>
        <w:pStyle w:val="ListParagraph"/>
        <w:spacing w:before="40" w:after="40" w:line="240" w:lineRule="auto"/>
        <w:ind w:left="1440"/>
        <w:rPr>
          <w:sz w:val="24"/>
          <w:szCs w:val="24"/>
        </w:rPr>
      </w:pPr>
      <w:r w:rsidRPr="004C7B5B">
        <w:rPr>
          <w:sz w:val="24"/>
          <w:szCs w:val="24"/>
          <w:highlight w:val="yellow"/>
        </w:rPr>
        <w:t>Correct</w:t>
      </w:r>
    </w:p>
    <w:p w14:paraId="66F024B6" w14:textId="5BF79061" w:rsidR="00F441E3" w:rsidRPr="005E64A5" w:rsidRDefault="00F441E3" w:rsidP="00F441E3">
      <w:pPr>
        <w:pStyle w:val="ListParagraph"/>
        <w:numPr>
          <w:ilvl w:val="0"/>
          <w:numId w:val="3"/>
        </w:numPr>
        <w:spacing w:before="40" w:after="40" w:line="240" w:lineRule="auto"/>
        <w:rPr>
          <w:sz w:val="24"/>
          <w:szCs w:val="24"/>
        </w:rPr>
      </w:pPr>
      <w:r>
        <w:rPr>
          <w:sz w:val="24"/>
          <w:szCs w:val="24"/>
        </w:rPr>
        <w:t>5c</w:t>
      </w:r>
      <w:r w:rsidR="00745F1D">
        <w:rPr>
          <w:sz w:val="24"/>
          <w:szCs w:val="24"/>
        </w:rPr>
        <w:t xml:space="preserve">, Hydro 2000 indicated that </w:t>
      </w:r>
      <w:r w:rsidR="009B19E5">
        <w:rPr>
          <w:sz w:val="24"/>
          <w:szCs w:val="24"/>
        </w:rPr>
        <w:t>it adapted its methodology to be aligned with the Feb. 21,</w:t>
      </w:r>
      <w:r w:rsidR="00BA4116">
        <w:rPr>
          <w:sz w:val="24"/>
          <w:szCs w:val="24"/>
        </w:rPr>
        <w:t xml:space="preserve"> </w:t>
      </w:r>
      <w:r w:rsidR="009B19E5">
        <w:rPr>
          <w:sz w:val="24"/>
          <w:szCs w:val="24"/>
        </w:rPr>
        <w:t>2019 Accounting Guidance in July 2019. Please confirm that the methodology was applied to account balances effective January 1, 2019.</w:t>
      </w:r>
    </w:p>
    <w:p w14:paraId="18FBC019" w14:textId="412FBCD7" w:rsidR="004C7B5B" w:rsidRDefault="001F2467" w:rsidP="004C7B5B">
      <w:pPr>
        <w:spacing w:before="40" w:after="40" w:line="240" w:lineRule="auto"/>
        <w:ind w:left="720"/>
        <w:rPr>
          <w:sz w:val="24"/>
          <w:szCs w:val="24"/>
        </w:rPr>
      </w:pPr>
      <w:r>
        <w:rPr>
          <w:sz w:val="24"/>
          <w:szCs w:val="24"/>
          <w:highlight w:val="yellow"/>
        </w:rPr>
        <w:t>Hydro 2000 started using the new methodology in July 2019 but redid all its calculations since January</w:t>
      </w:r>
      <w:r w:rsidR="004C7B5B" w:rsidRPr="004C7B5B">
        <w:rPr>
          <w:sz w:val="24"/>
          <w:szCs w:val="24"/>
          <w:highlight w:val="yellow"/>
        </w:rPr>
        <w:t>.</w:t>
      </w:r>
    </w:p>
    <w:p w14:paraId="37BBB07D" w14:textId="77777777" w:rsidR="00B27F94" w:rsidRPr="00FB4CF2" w:rsidRDefault="00B27F94" w:rsidP="00B27F94">
      <w:pPr>
        <w:spacing w:before="40" w:after="40" w:line="240" w:lineRule="auto"/>
        <w:rPr>
          <w:b/>
          <w:bCs/>
          <w:sz w:val="24"/>
          <w:szCs w:val="24"/>
        </w:rPr>
      </w:pPr>
      <w:r w:rsidRPr="00FB4CF2">
        <w:rPr>
          <w:b/>
          <w:bCs/>
          <w:sz w:val="24"/>
          <w:szCs w:val="24"/>
        </w:rPr>
        <w:t>Staff Question-</w:t>
      </w:r>
      <w:r>
        <w:rPr>
          <w:b/>
          <w:bCs/>
          <w:sz w:val="24"/>
          <w:szCs w:val="24"/>
        </w:rPr>
        <w:t>X</w:t>
      </w:r>
    </w:p>
    <w:p w14:paraId="366E7C42" w14:textId="4800DACB" w:rsidR="00B27F94" w:rsidRDefault="00B27F94" w:rsidP="00B27F94">
      <w:pPr>
        <w:spacing w:before="40" w:after="40" w:line="240" w:lineRule="auto"/>
        <w:rPr>
          <w:b/>
          <w:bCs/>
          <w:sz w:val="24"/>
          <w:szCs w:val="24"/>
        </w:rPr>
      </w:pPr>
      <w:r w:rsidRPr="00FB4CF2">
        <w:rPr>
          <w:b/>
          <w:bCs/>
          <w:sz w:val="24"/>
          <w:szCs w:val="24"/>
        </w:rPr>
        <w:t>Ref:</w:t>
      </w:r>
      <w:r w:rsidR="006A34C6">
        <w:rPr>
          <w:b/>
          <w:bCs/>
          <w:sz w:val="24"/>
          <w:szCs w:val="24"/>
        </w:rPr>
        <w:tab/>
      </w:r>
      <w:r>
        <w:rPr>
          <w:b/>
          <w:bCs/>
          <w:sz w:val="24"/>
          <w:szCs w:val="24"/>
        </w:rPr>
        <w:t xml:space="preserve">Staff Question </w:t>
      </w:r>
      <w:r w:rsidR="006A34C6">
        <w:rPr>
          <w:b/>
          <w:bCs/>
          <w:sz w:val="24"/>
          <w:szCs w:val="24"/>
        </w:rPr>
        <w:t>4</w:t>
      </w:r>
    </w:p>
    <w:p w14:paraId="35F06BC6" w14:textId="067D17E0" w:rsidR="006A34C6" w:rsidRDefault="006A34C6" w:rsidP="00B27F94">
      <w:pPr>
        <w:spacing w:before="40" w:after="40" w:line="240" w:lineRule="auto"/>
        <w:rPr>
          <w:b/>
          <w:bCs/>
          <w:sz w:val="24"/>
          <w:szCs w:val="24"/>
        </w:rPr>
      </w:pPr>
      <w:r>
        <w:rPr>
          <w:b/>
          <w:bCs/>
          <w:sz w:val="24"/>
          <w:szCs w:val="24"/>
        </w:rPr>
        <w:tab/>
        <w:t>Updated DVA Continuity Schedule</w:t>
      </w:r>
    </w:p>
    <w:p w14:paraId="0809AD1E" w14:textId="764308F9" w:rsidR="006A34C6" w:rsidRDefault="006A34C6" w:rsidP="00B27F94">
      <w:pPr>
        <w:spacing w:before="40" w:after="40" w:line="240" w:lineRule="auto"/>
        <w:rPr>
          <w:b/>
          <w:bCs/>
          <w:sz w:val="24"/>
          <w:szCs w:val="24"/>
        </w:rPr>
      </w:pPr>
    </w:p>
    <w:p w14:paraId="59B96099" w14:textId="3440E01F" w:rsidR="00B27F94" w:rsidRDefault="006A34C6" w:rsidP="00476CBB">
      <w:pPr>
        <w:spacing w:before="40" w:after="40" w:line="240" w:lineRule="auto"/>
        <w:rPr>
          <w:sz w:val="24"/>
          <w:szCs w:val="24"/>
        </w:rPr>
      </w:pPr>
      <w:r w:rsidRPr="006A34C6">
        <w:rPr>
          <w:sz w:val="24"/>
          <w:szCs w:val="24"/>
        </w:rPr>
        <w:t xml:space="preserve">In </w:t>
      </w:r>
      <w:r>
        <w:rPr>
          <w:sz w:val="24"/>
          <w:szCs w:val="24"/>
        </w:rPr>
        <w:t>response to Staff Question 4, Hydro 2000 updated its</w:t>
      </w:r>
      <w:r w:rsidR="00953EAE">
        <w:rPr>
          <w:sz w:val="24"/>
          <w:szCs w:val="24"/>
        </w:rPr>
        <w:t xml:space="preserve"> DVA Continuity Schedule to start from 2014. </w:t>
      </w:r>
      <w:r w:rsidR="00440A1C">
        <w:rPr>
          <w:sz w:val="24"/>
          <w:szCs w:val="24"/>
        </w:rPr>
        <w:t xml:space="preserve">Hydro 2000 states that the </w:t>
      </w:r>
      <w:r w:rsidR="00440A1C">
        <w:rPr>
          <w:color w:val="4472C4" w:themeColor="accent1"/>
          <w:sz w:val="24"/>
          <w:szCs w:val="24"/>
        </w:rPr>
        <w:t>y</w:t>
      </w:r>
      <w:r w:rsidR="00440A1C" w:rsidRPr="007A503F">
        <w:rPr>
          <w:sz w:val="24"/>
          <w:szCs w:val="24"/>
        </w:rPr>
        <w:t>ear</w:t>
      </w:r>
      <w:r w:rsidR="007A503F" w:rsidRPr="007A503F">
        <w:rPr>
          <w:sz w:val="24"/>
          <w:szCs w:val="24"/>
        </w:rPr>
        <w:t>-</w:t>
      </w:r>
      <w:r w:rsidR="00440A1C" w:rsidRPr="007A503F">
        <w:rPr>
          <w:sz w:val="24"/>
          <w:szCs w:val="24"/>
        </w:rPr>
        <w:t xml:space="preserve">end balances in the </w:t>
      </w:r>
      <w:r w:rsidR="007A503F" w:rsidRPr="007A503F">
        <w:rPr>
          <w:sz w:val="24"/>
          <w:szCs w:val="24"/>
        </w:rPr>
        <w:t>DVA Continuity Schedule</w:t>
      </w:r>
      <w:r w:rsidR="00440A1C" w:rsidRPr="007A503F">
        <w:rPr>
          <w:sz w:val="24"/>
          <w:szCs w:val="24"/>
        </w:rPr>
        <w:t xml:space="preserve"> match the </w:t>
      </w:r>
      <w:r w:rsidR="007A503F" w:rsidRPr="007A503F">
        <w:rPr>
          <w:sz w:val="24"/>
          <w:szCs w:val="24"/>
        </w:rPr>
        <w:t>inspection</w:t>
      </w:r>
      <w:r w:rsidR="00440A1C" w:rsidRPr="007A503F">
        <w:rPr>
          <w:sz w:val="24"/>
          <w:szCs w:val="24"/>
        </w:rPr>
        <w:t xml:space="preserve"> report. </w:t>
      </w:r>
      <w:r w:rsidR="00953EAE">
        <w:rPr>
          <w:sz w:val="24"/>
          <w:szCs w:val="24"/>
        </w:rPr>
        <w:t>In the revised DVA Continuity Schedule, the ending 2016</w:t>
      </w:r>
      <w:r w:rsidR="000D163D">
        <w:rPr>
          <w:sz w:val="24"/>
          <w:szCs w:val="24"/>
        </w:rPr>
        <w:t xml:space="preserve"> account 1588 and 1589</w:t>
      </w:r>
      <w:r w:rsidR="00953EAE">
        <w:rPr>
          <w:sz w:val="24"/>
          <w:szCs w:val="24"/>
        </w:rPr>
        <w:t xml:space="preserve"> balances are different than that in the DVA Continuity Schedule filed in Hydro 2000’s 2020 Cost of Service</w:t>
      </w:r>
      <w:r w:rsidR="00FE77EB">
        <w:rPr>
          <w:sz w:val="24"/>
          <w:szCs w:val="24"/>
        </w:rPr>
        <w:t xml:space="preserve"> (COS)</w:t>
      </w:r>
      <w:r w:rsidR="00953EAE">
        <w:rPr>
          <w:sz w:val="24"/>
          <w:szCs w:val="24"/>
        </w:rPr>
        <w:t xml:space="preserve"> </w:t>
      </w:r>
      <w:r w:rsidR="009B2733">
        <w:rPr>
          <w:sz w:val="24"/>
          <w:szCs w:val="24"/>
        </w:rPr>
        <w:t xml:space="preserve">settlement proposal. </w:t>
      </w:r>
      <w:r w:rsidR="00AF4CD6">
        <w:rPr>
          <w:sz w:val="24"/>
          <w:szCs w:val="24"/>
        </w:rPr>
        <w:t>The difference</w:t>
      </w:r>
      <w:r w:rsidR="00AE402A">
        <w:rPr>
          <w:sz w:val="24"/>
          <w:szCs w:val="24"/>
        </w:rPr>
        <w:t>s are</w:t>
      </w:r>
      <w:r w:rsidR="00AF4CD6">
        <w:rPr>
          <w:sz w:val="24"/>
          <w:szCs w:val="24"/>
        </w:rPr>
        <w:t xml:space="preserve"> shown in the table below. </w:t>
      </w:r>
      <w:r w:rsidR="009B2733">
        <w:rPr>
          <w:sz w:val="24"/>
          <w:szCs w:val="24"/>
        </w:rPr>
        <w:t xml:space="preserve">The difference appears to be due to 2016 principal adjustments of </w:t>
      </w:r>
      <w:r w:rsidR="00AF4CD6">
        <w:rPr>
          <w:sz w:val="24"/>
          <w:szCs w:val="24"/>
        </w:rPr>
        <w:t>($139,307) and $63,710 for Accounts 1588 and 1589</w:t>
      </w:r>
      <w:r w:rsidR="00AE402A">
        <w:rPr>
          <w:sz w:val="24"/>
          <w:szCs w:val="24"/>
        </w:rPr>
        <w:t>,</w:t>
      </w:r>
      <w:r w:rsidR="00AF4CD6">
        <w:rPr>
          <w:sz w:val="24"/>
          <w:szCs w:val="24"/>
        </w:rPr>
        <w:t xml:space="preserve"> respectively. </w:t>
      </w:r>
    </w:p>
    <w:p w14:paraId="4168053C" w14:textId="4E9D9D19" w:rsidR="00AF4CD6" w:rsidRDefault="00AF4CD6" w:rsidP="00476CBB">
      <w:pPr>
        <w:spacing w:before="40" w:after="40" w:line="240" w:lineRule="auto"/>
        <w:rPr>
          <w:sz w:val="24"/>
          <w:szCs w:val="24"/>
        </w:rPr>
      </w:pPr>
    </w:p>
    <w:tbl>
      <w:tblPr>
        <w:tblW w:w="9355" w:type="dxa"/>
        <w:tblLook w:val="04A0" w:firstRow="1" w:lastRow="0" w:firstColumn="1" w:lastColumn="0" w:noHBand="0" w:noVBand="1"/>
      </w:tblPr>
      <w:tblGrid>
        <w:gridCol w:w="1061"/>
        <w:gridCol w:w="1461"/>
        <w:gridCol w:w="1253"/>
        <w:gridCol w:w="1461"/>
        <w:gridCol w:w="1329"/>
        <w:gridCol w:w="1461"/>
        <w:gridCol w:w="1329"/>
      </w:tblGrid>
      <w:tr w:rsidR="00E171EA" w:rsidRPr="00E171EA" w14:paraId="5F99A5E4" w14:textId="77777777" w:rsidTr="00E171EA">
        <w:trPr>
          <w:trHeight w:val="476"/>
        </w:trPr>
        <w:tc>
          <w:tcPr>
            <w:tcW w:w="1061" w:type="dxa"/>
            <w:tcBorders>
              <w:top w:val="single" w:sz="4" w:space="0" w:color="auto"/>
              <w:left w:val="single" w:sz="4" w:space="0" w:color="auto"/>
              <w:bottom w:val="single" w:sz="4" w:space="0" w:color="auto"/>
              <w:right w:val="nil"/>
            </w:tcBorders>
            <w:shd w:val="clear" w:color="auto" w:fill="auto"/>
            <w:noWrap/>
            <w:vAlign w:val="bottom"/>
            <w:hideMark/>
          </w:tcPr>
          <w:p w14:paraId="491CB78C" w14:textId="77777777" w:rsidR="00E171EA" w:rsidRPr="00E171EA" w:rsidRDefault="00E171EA" w:rsidP="00E171EA">
            <w:pPr>
              <w:spacing w:after="0" w:line="240" w:lineRule="auto"/>
              <w:rPr>
                <w:rFonts w:eastAsia="Times New Roman" w:cs="Arial"/>
                <w:b/>
                <w:bCs/>
                <w:color w:val="000000"/>
                <w:sz w:val="20"/>
                <w:szCs w:val="20"/>
              </w:rPr>
            </w:pPr>
            <w:r w:rsidRPr="00E171EA">
              <w:rPr>
                <w:rFonts w:eastAsia="Times New Roman" w:cs="Arial"/>
                <w:b/>
                <w:bCs/>
                <w:color w:val="000000"/>
                <w:sz w:val="20"/>
                <w:szCs w:val="20"/>
              </w:rPr>
              <w:t> </w:t>
            </w:r>
          </w:p>
        </w:tc>
        <w:tc>
          <w:tcPr>
            <w:tcW w:w="2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BA5132"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 xml:space="preserve"> Updated DVA Continuity Schedule </w:t>
            </w:r>
          </w:p>
        </w:tc>
        <w:tc>
          <w:tcPr>
            <w:tcW w:w="2790" w:type="dxa"/>
            <w:gridSpan w:val="2"/>
            <w:tcBorders>
              <w:top w:val="single" w:sz="4" w:space="0" w:color="auto"/>
              <w:left w:val="nil"/>
              <w:bottom w:val="single" w:sz="4" w:space="0" w:color="auto"/>
              <w:right w:val="single" w:sz="4" w:space="0" w:color="000000"/>
            </w:tcBorders>
            <w:shd w:val="clear" w:color="auto" w:fill="auto"/>
            <w:vAlign w:val="bottom"/>
            <w:hideMark/>
          </w:tcPr>
          <w:p w14:paraId="1FC9D51D"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 xml:space="preserve"> 2020 COS DVA Continuity Schedule </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018D62"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Difference</w:t>
            </w:r>
          </w:p>
        </w:tc>
      </w:tr>
      <w:tr w:rsidR="00E171EA" w:rsidRPr="00E171EA" w14:paraId="566D04EC" w14:textId="77777777" w:rsidTr="00E171EA">
        <w:trPr>
          <w:trHeight w:val="288"/>
        </w:trPr>
        <w:tc>
          <w:tcPr>
            <w:tcW w:w="1061" w:type="dxa"/>
            <w:tcBorders>
              <w:top w:val="nil"/>
              <w:left w:val="single" w:sz="4" w:space="0" w:color="auto"/>
              <w:bottom w:val="nil"/>
              <w:right w:val="nil"/>
            </w:tcBorders>
            <w:shd w:val="clear" w:color="auto" w:fill="auto"/>
            <w:noWrap/>
            <w:vAlign w:val="bottom"/>
            <w:hideMark/>
          </w:tcPr>
          <w:p w14:paraId="247E0BFF" w14:textId="77777777" w:rsidR="00E171EA" w:rsidRPr="00E171EA" w:rsidRDefault="00E171EA" w:rsidP="00E171EA">
            <w:pPr>
              <w:spacing w:after="0" w:line="240" w:lineRule="auto"/>
              <w:rPr>
                <w:rFonts w:eastAsia="Times New Roman" w:cs="Arial"/>
                <w:b/>
                <w:bCs/>
                <w:color w:val="000000"/>
                <w:sz w:val="20"/>
                <w:szCs w:val="20"/>
              </w:rPr>
            </w:pPr>
            <w:r w:rsidRPr="00E171EA">
              <w:rPr>
                <w:rFonts w:eastAsia="Times New Roman" w:cs="Arial"/>
                <w:b/>
                <w:bCs/>
                <w:color w:val="000000"/>
                <w:sz w:val="20"/>
                <w:szCs w:val="20"/>
              </w:rPr>
              <w:lastRenderedPageBreak/>
              <w:t> </w:t>
            </w:r>
          </w:p>
        </w:tc>
        <w:tc>
          <w:tcPr>
            <w:tcW w:w="1461" w:type="dxa"/>
            <w:tcBorders>
              <w:top w:val="nil"/>
              <w:left w:val="single" w:sz="4" w:space="0" w:color="auto"/>
              <w:bottom w:val="nil"/>
              <w:right w:val="nil"/>
            </w:tcBorders>
            <w:shd w:val="clear" w:color="auto" w:fill="auto"/>
            <w:noWrap/>
            <w:vAlign w:val="bottom"/>
            <w:hideMark/>
          </w:tcPr>
          <w:p w14:paraId="129F0C42"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1588</w:t>
            </w:r>
          </w:p>
        </w:tc>
        <w:tc>
          <w:tcPr>
            <w:tcW w:w="1253" w:type="dxa"/>
            <w:tcBorders>
              <w:top w:val="nil"/>
              <w:left w:val="nil"/>
              <w:bottom w:val="nil"/>
              <w:right w:val="single" w:sz="4" w:space="0" w:color="auto"/>
            </w:tcBorders>
            <w:shd w:val="clear" w:color="auto" w:fill="auto"/>
            <w:noWrap/>
            <w:vAlign w:val="bottom"/>
            <w:hideMark/>
          </w:tcPr>
          <w:p w14:paraId="7AA5F28D" w14:textId="53FAF4B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1589</w:t>
            </w:r>
          </w:p>
        </w:tc>
        <w:tc>
          <w:tcPr>
            <w:tcW w:w="1461" w:type="dxa"/>
            <w:tcBorders>
              <w:top w:val="nil"/>
              <w:left w:val="nil"/>
              <w:bottom w:val="nil"/>
              <w:right w:val="nil"/>
            </w:tcBorders>
            <w:shd w:val="clear" w:color="auto" w:fill="auto"/>
            <w:noWrap/>
            <w:vAlign w:val="bottom"/>
            <w:hideMark/>
          </w:tcPr>
          <w:p w14:paraId="4B56FC5D"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1588</w:t>
            </w:r>
          </w:p>
        </w:tc>
        <w:tc>
          <w:tcPr>
            <w:tcW w:w="1329" w:type="dxa"/>
            <w:tcBorders>
              <w:top w:val="nil"/>
              <w:left w:val="nil"/>
              <w:bottom w:val="nil"/>
              <w:right w:val="single" w:sz="4" w:space="0" w:color="auto"/>
            </w:tcBorders>
            <w:shd w:val="clear" w:color="auto" w:fill="auto"/>
            <w:noWrap/>
            <w:vAlign w:val="bottom"/>
            <w:hideMark/>
          </w:tcPr>
          <w:p w14:paraId="631C6069" w14:textId="381D9D00"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1589</w:t>
            </w:r>
          </w:p>
        </w:tc>
        <w:tc>
          <w:tcPr>
            <w:tcW w:w="1461" w:type="dxa"/>
            <w:tcBorders>
              <w:top w:val="nil"/>
              <w:left w:val="nil"/>
              <w:bottom w:val="nil"/>
              <w:right w:val="nil"/>
            </w:tcBorders>
            <w:shd w:val="clear" w:color="auto" w:fill="auto"/>
            <w:noWrap/>
            <w:vAlign w:val="bottom"/>
            <w:hideMark/>
          </w:tcPr>
          <w:p w14:paraId="52AB9A2C" w14:textId="77777777"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1588</w:t>
            </w:r>
          </w:p>
        </w:tc>
        <w:tc>
          <w:tcPr>
            <w:tcW w:w="1329" w:type="dxa"/>
            <w:tcBorders>
              <w:top w:val="nil"/>
              <w:left w:val="nil"/>
              <w:bottom w:val="nil"/>
              <w:right w:val="single" w:sz="4" w:space="0" w:color="auto"/>
            </w:tcBorders>
            <w:shd w:val="clear" w:color="auto" w:fill="auto"/>
            <w:noWrap/>
            <w:vAlign w:val="bottom"/>
            <w:hideMark/>
          </w:tcPr>
          <w:p w14:paraId="1C4677C2" w14:textId="665C8218" w:rsidR="00E171EA" w:rsidRPr="00E171EA" w:rsidRDefault="00E171EA" w:rsidP="00E171EA">
            <w:pPr>
              <w:spacing w:after="0" w:line="240" w:lineRule="auto"/>
              <w:jc w:val="center"/>
              <w:rPr>
                <w:rFonts w:eastAsia="Times New Roman" w:cs="Arial"/>
                <w:b/>
                <w:bCs/>
                <w:color w:val="000000"/>
                <w:sz w:val="20"/>
                <w:szCs w:val="20"/>
              </w:rPr>
            </w:pPr>
            <w:r w:rsidRPr="00E171EA">
              <w:rPr>
                <w:rFonts w:eastAsia="Times New Roman" w:cs="Arial"/>
                <w:b/>
                <w:bCs/>
                <w:color w:val="000000"/>
                <w:sz w:val="20"/>
                <w:szCs w:val="20"/>
              </w:rPr>
              <w:t>Account 1589</w:t>
            </w:r>
          </w:p>
        </w:tc>
      </w:tr>
      <w:tr w:rsidR="00E171EA" w:rsidRPr="00E171EA" w14:paraId="3416A888" w14:textId="77777777" w:rsidTr="00E171EA">
        <w:trPr>
          <w:trHeight w:val="288"/>
        </w:trPr>
        <w:tc>
          <w:tcPr>
            <w:tcW w:w="1061" w:type="dxa"/>
            <w:tcBorders>
              <w:top w:val="nil"/>
              <w:left w:val="single" w:sz="4" w:space="0" w:color="auto"/>
              <w:bottom w:val="nil"/>
              <w:right w:val="nil"/>
            </w:tcBorders>
            <w:shd w:val="clear" w:color="auto" w:fill="auto"/>
            <w:noWrap/>
            <w:vAlign w:val="bottom"/>
            <w:hideMark/>
          </w:tcPr>
          <w:p w14:paraId="2F62BB76" w14:textId="77777777" w:rsidR="00E171EA" w:rsidRPr="00E171EA" w:rsidRDefault="00E171EA" w:rsidP="00E171EA">
            <w:pPr>
              <w:spacing w:after="0" w:line="240" w:lineRule="auto"/>
              <w:rPr>
                <w:rFonts w:eastAsia="Times New Roman" w:cs="Arial"/>
                <w:b/>
                <w:bCs/>
                <w:color w:val="000000"/>
                <w:sz w:val="20"/>
                <w:szCs w:val="20"/>
              </w:rPr>
            </w:pPr>
            <w:r w:rsidRPr="00E171EA">
              <w:rPr>
                <w:rFonts w:eastAsia="Times New Roman" w:cs="Arial"/>
                <w:b/>
                <w:bCs/>
                <w:color w:val="000000"/>
                <w:sz w:val="20"/>
                <w:szCs w:val="20"/>
              </w:rPr>
              <w:t>Principal</w:t>
            </w:r>
          </w:p>
        </w:tc>
        <w:tc>
          <w:tcPr>
            <w:tcW w:w="1461" w:type="dxa"/>
            <w:tcBorders>
              <w:top w:val="nil"/>
              <w:left w:val="single" w:sz="4" w:space="0" w:color="auto"/>
              <w:bottom w:val="nil"/>
              <w:right w:val="nil"/>
            </w:tcBorders>
            <w:shd w:val="clear" w:color="auto" w:fill="auto"/>
            <w:noWrap/>
            <w:vAlign w:val="bottom"/>
            <w:hideMark/>
          </w:tcPr>
          <w:p w14:paraId="79BE5CA7" w14:textId="77777777" w:rsidR="00E171EA" w:rsidRPr="00E171EA" w:rsidRDefault="00E171EA" w:rsidP="00E171EA">
            <w:pPr>
              <w:spacing w:after="0" w:line="240" w:lineRule="auto"/>
              <w:rPr>
                <w:rFonts w:eastAsia="Times New Roman" w:cs="Arial"/>
                <w:sz w:val="20"/>
                <w:szCs w:val="20"/>
              </w:rPr>
            </w:pPr>
            <w:r w:rsidRPr="00E171EA">
              <w:rPr>
                <w:rFonts w:eastAsia="Times New Roman" w:cs="Arial"/>
                <w:sz w:val="20"/>
                <w:szCs w:val="20"/>
              </w:rPr>
              <w:t xml:space="preserve">         65,187 </w:t>
            </w:r>
          </w:p>
        </w:tc>
        <w:tc>
          <w:tcPr>
            <w:tcW w:w="1253" w:type="dxa"/>
            <w:tcBorders>
              <w:top w:val="nil"/>
              <w:left w:val="nil"/>
              <w:bottom w:val="nil"/>
              <w:right w:val="single" w:sz="4" w:space="0" w:color="auto"/>
            </w:tcBorders>
            <w:shd w:val="clear" w:color="auto" w:fill="auto"/>
            <w:noWrap/>
            <w:vAlign w:val="bottom"/>
            <w:hideMark/>
          </w:tcPr>
          <w:p w14:paraId="16F57B1D" w14:textId="77777777" w:rsidR="00E171EA" w:rsidRPr="00E171EA" w:rsidRDefault="00E171EA" w:rsidP="00E171EA">
            <w:pPr>
              <w:spacing w:after="0" w:line="240" w:lineRule="auto"/>
              <w:rPr>
                <w:rFonts w:eastAsia="Times New Roman" w:cs="Arial"/>
                <w:sz w:val="20"/>
                <w:szCs w:val="20"/>
              </w:rPr>
            </w:pPr>
            <w:r w:rsidRPr="00E171EA">
              <w:rPr>
                <w:rFonts w:eastAsia="Times New Roman" w:cs="Arial"/>
                <w:sz w:val="20"/>
                <w:szCs w:val="20"/>
              </w:rPr>
              <w:t xml:space="preserve">         113,142 </w:t>
            </w:r>
          </w:p>
        </w:tc>
        <w:tc>
          <w:tcPr>
            <w:tcW w:w="1461" w:type="dxa"/>
            <w:tcBorders>
              <w:top w:val="nil"/>
              <w:left w:val="nil"/>
              <w:bottom w:val="nil"/>
              <w:right w:val="nil"/>
            </w:tcBorders>
            <w:shd w:val="clear" w:color="auto" w:fill="auto"/>
            <w:noWrap/>
            <w:vAlign w:val="bottom"/>
            <w:hideMark/>
          </w:tcPr>
          <w:p w14:paraId="6280D888" w14:textId="77777777" w:rsidR="00E171EA" w:rsidRPr="00E171EA" w:rsidRDefault="00E171EA" w:rsidP="00E171EA">
            <w:pPr>
              <w:spacing w:after="0" w:line="240" w:lineRule="auto"/>
              <w:rPr>
                <w:rFonts w:eastAsia="Times New Roman" w:cs="Arial"/>
                <w:sz w:val="20"/>
                <w:szCs w:val="20"/>
              </w:rPr>
            </w:pPr>
            <w:r w:rsidRPr="00E171EA">
              <w:rPr>
                <w:rFonts w:eastAsia="Times New Roman" w:cs="Arial"/>
                <w:sz w:val="20"/>
                <w:szCs w:val="20"/>
              </w:rPr>
              <w:t xml:space="preserve">         204,494 </w:t>
            </w:r>
          </w:p>
        </w:tc>
        <w:tc>
          <w:tcPr>
            <w:tcW w:w="1329" w:type="dxa"/>
            <w:tcBorders>
              <w:top w:val="nil"/>
              <w:left w:val="nil"/>
              <w:bottom w:val="nil"/>
              <w:right w:val="single" w:sz="4" w:space="0" w:color="auto"/>
            </w:tcBorders>
            <w:shd w:val="clear" w:color="auto" w:fill="auto"/>
            <w:noWrap/>
            <w:vAlign w:val="bottom"/>
            <w:hideMark/>
          </w:tcPr>
          <w:p w14:paraId="03FFC0D0" w14:textId="77777777" w:rsidR="00E171EA" w:rsidRPr="00E171EA" w:rsidRDefault="00E171EA" w:rsidP="00E171EA">
            <w:pPr>
              <w:spacing w:after="0" w:line="240" w:lineRule="auto"/>
              <w:rPr>
                <w:rFonts w:eastAsia="Times New Roman" w:cs="Arial"/>
                <w:sz w:val="20"/>
                <w:szCs w:val="20"/>
              </w:rPr>
            </w:pPr>
            <w:r w:rsidRPr="00E171EA">
              <w:rPr>
                <w:rFonts w:eastAsia="Times New Roman" w:cs="Arial"/>
                <w:sz w:val="20"/>
                <w:szCs w:val="20"/>
              </w:rPr>
              <w:t xml:space="preserve">         49,433 </w:t>
            </w:r>
          </w:p>
        </w:tc>
        <w:tc>
          <w:tcPr>
            <w:tcW w:w="1461" w:type="dxa"/>
            <w:tcBorders>
              <w:top w:val="nil"/>
              <w:left w:val="nil"/>
              <w:bottom w:val="nil"/>
              <w:right w:val="nil"/>
            </w:tcBorders>
            <w:shd w:val="clear" w:color="auto" w:fill="auto"/>
            <w:noWrap/>
            <w:vAlign w:val="bottom"/>
            <w:hideMark/>
          </w:tcPr>
          <w:p w14:paraId="05949228"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(139,307)</w:t>
            </w:r>
          </w:p>
        </w:tc>
        <w:tc>
          <w:tcPr>
            <w:tcW w:w="1329" w:type="dxa"/>
            <w:tcBorders>
              <w:top w:val="nil"/>
              <w:left w:val="nil"/>
              <w:bottom w:val="nil"/>
              <w:right w:val="single" w:sz="4" w:space="0" w:color="auto"/>
            </w:tcBorders>
            <w:shd w:val="clear" w:color="auto" w:fill="auto"/>
            <w:noWrap/>
            <w:vAlign w:val="bottom"/>
            <w:hideMark/>
          </w:tcPr>
          <w:p w14:paraId="2FB7AA8D"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63,709 </w:t>
            </w:r>
          </w:p>
        </w:tc>
      </w:tr>
      <w:tr w:rsidR="00E171EA" w:rsidRPr="00E171EA" w14:paraId="76FF3707" w14:textId="77777777" w:rsidTr="00E171EA">
        <w:trPr>
          <w:trHeight w:val="288"/>
        </w:trPr>
        <w:tc>
          <w:tcPr>
            <w:tcW w:w="1061" w:type="dxa"/>
            <w:tcBorders>
              <w:top w:val="nil"/>
              <w:left w:val="single" w:sz="4" w:space="0" w:color="auto"/>
              <w:bottom w:val="nil"/>
              <w:right w:val="nil"/>
            </w:tcBorders>
            <w:shd w:val="clear" w:color="auto" w:fill="auto"/>
            <w:noWrap/>
            <w:vAlign w:val="bottom"/>
            <w:hideMark/>
          </w:tcPr>
          <w:p w14:paraId="644C43EB" w14:textId="77777777" w:rsidR="00E171EA" w:rsidRPr="00E171EA" w:rsidRDefault="00E171EA" w:rsidP="00E171EA">
            <w:pPr>
              <w:spacing w:after="0" w:line="240" w:lineRule="auto"/>
              <w:rPr>
                <w:rFonts w:eastAsia="Times New Roman" w:cs="Arial"/>
                <w:b/>
                <w:bCs/>
                <w:color w:val="000000"/>
                <w:sz w:val="20"/>
                <w:szCs w:val="20"/>
              </w:rPr>
            </w:pPr>
            <w:r w:rsidRPr="00E171EA">
              <w:rPr>
                <w:rFonts w:eastAsia="Times New Roman" w:cs="Arial"/>
                <w:b/>
                <w:bCs/>
                <w:color w:val="000000"/>
                <w:sz w:val="20"/>
                <w:szCs w:val="20"/>
              </w:rPr>
              <w:t xml:space="preserve"> Interest </w:t>
            </w:r>
          </w:p>
        </w:tc>
        <w:tc>
          <w:tcPr>
            <w:tcW w:w="1461" w:type="dxa"/>
            <w:tcBorders>
              <w:top w:val="nil"/>
              <w:left w:val="single" w:sz="4" w:space="0" w:color="auto"/>
              <w:bottom w:val="single" w:sz="4" w:space="0" w:color="auto"/>
              <w:right w:val="nil"/>
            </w:tcBorders>
            <w:shd w:val="clear" w:color="auto" w:fill="auto"/>
            <w:noWrap/>
            <w:vAlign w:val="bottom"/>
            <w:hideMark/>
          </w:tcPr>
          <w:p w14:paraId="5CD67865"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296 </w:t>
            </w:r>
          </w:p>
        </w:tc>
        <w:tc>
          <w:tcPr>
            <w:tcW w:w="1253" w:type="dxa"/>
            <w:tcBorders>
              <w:top w:val="nil"/>
              <w:left w:val="nil"/>
              <w:bottom w:val="single" w:sz="4" w:space="0" w:color="auto"/>
              <w:right w:val="single" w:sz="4" w:space="0" w:color="auto"/>
            </w:tcBorders>
            <w:shd w:val="clear" w:color="auto" w:fill="auto"/>
            <w:noWrap/>
            <w:vAlign w:val="bottom"/>
            <w:hideMark/>
          </w:tcPr>
          <w:p w14:paraId="2AD5955B"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3,255 </w:t>
            </w:r>
          </w:p>
        </w:tc>
        <w:tc>
          <w:tcPr>
            <w:tcW w:w="1461" w:type="dxa"/>
            <w:tcBorders>
              <w:top w:val="nil"/>
              <w:left w:val="nil"/>
              <w:bottom w:val="single" w:sz="4" w:space="0" w:color="auto"/>
              <w:right w:val="nil"/>
            </w:tcBorders>
            <w:shd w:val="clear" w:color="auto" w:fill="auto"/>
            <w:noWrap/>
            <w:vAlign w:val="bottom"/>
            <w:hideMark/>
          </w:tcPr>
          <w:p w14:paraId="5ECF95A7"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3,193 </w:t>
            </w:r>
          </w:p>
        </w:tc>
        <w:tc>
          <w:tcPr>
            <w:tcW w:w="1329" w:type="dxa"/>
            <w:tcBorders>
              <w:top w:val="nil"/>
              <w:left w:val="nil"/>
              <w:bottom w:val="single" w:sz="4" w:space="0" w:color="auto"/>
              <w:right w:val="single" w:sz="4" w:space="0" w:color="auto"/>
            </w:tcBorders>
            <w:shd w:val="clear" w:color="auto" w:fill="auto"/>
            <w:noWrap/>
            <w:vAlign w:val="bottom"/>
            <w:hideMark/>
          </w:tcPr>
          <w:p w14:paraId="5CAD2073"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1,184 </w:t>
            </w:r>
          </w:p>
        </w:tc>
        <w:tc>
          <w:tcPr>
            <w:tcW w:w="1461" w:type="dxa"/>
            <w:tcBorders>
              <w:top w:val="nil"/>
              <w:left w:val="nil"/>
              <w:bottom w:val="single" w:sz="4" w:space="0" w:color="auto"/>
              <w:right w:val="nil"/>
            </w:tcBorders>
            <w:shd w:val="clear" w:color="auto" w:fill="auto"/>
            <w:noWrap/>
            <w:vAlign w:val="bottom"/>
            <w:hideMark/>
          </w:tcPr>
          <w:p w14:paraId="78C2D47C"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(2,898)</w:t>
            </w:r>
          </w:p>
        </w:tc>
        <w:tc>
          <w:tcPr>
            <w:tcW w:w="1329" w:type="dxa"/>
            <w:tcBorders>
              <w:top w:val="nil"/>
              <w:left w:val="nil"/>
              <w:bottom w:val="single" w:sz="4" w:space="0" w:color="auto"/>
              <w:right w:val="single" w:sz="4" w:space="0" w:color="auto"/>
            </w:tcBorders>
            <w:shd w:val="clear" w:color="auto" w:fill="auto"/>
            <w:noWrap/>
            <w:vAlign w:val="bottom"/>
            <w:hideMark/>
          </w:tcPr>
          <w:p w14:paraId="655E8AC9"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2,071 </w:t>
            </w:r>
          </w:p>
        </w:tc>
      </w:tr>
      <w:tr w:rsidR="00E171EA" w:rsidRPr="00E171EA" w14:paraId="3C3B4D14" w14:textId="77777777" w:rsidTr="00E171EA">
        <w:trPr>
          <w:trHeight w:val="288"/>
        </w:trPr>
        <w:tc>
          <w:tcPr>
            <w:tcW w:w="1061" w:type="dxa"/>
            <w:tcBorders>
              <w:top w:val="nil"/>
              <w:left w:val="single" w:sz="4" w:space="0" w:color="auto"/>
              <w:bottom w:val="single" w:sz="4" w:space="0" w:color="auto"/>
              <w:right w:val="nil"/>
            </w:tcBorders>
            <w:shd w:val="clear" w:color="auto" w:fill="auto"/>
            <w:noWrap/>
            <w:vAlign w:val="bottom"/>
            <w:hideMark/>
          </w:tcPr>
          <w:p w14:paraId="37EF0AF8" w14:textId="06CBD12B" w:rsidR="00E171EA" w:rsidRPr="00E171EA" w:rsidRDefault="00E171EA" w:rsidP="00E171EA">
            <w:pPr>
              <w:spacing w:after="0" w:line="240" w:lineRule="auto"/>
              <w:rPr>
                <w:rFonts w:eastAsia="Times New Roman" w:cs="Arial"/>
                <w:b/>
                <w:bCs/>
                <w:color w:val="000000"/>
                <w:sz w:val="20"/>
                <w:szCs w:val="20"/>
              </w:rPr>
            </w:pPr>
            <w:r w:rsidRPr="00E171EA">
              <w:rPr>
                <w:rFonts w:eastAsia="Times New Roman" w:cs="Arial"/>
                <w:b/>
                <w:bCs/>
                <w:color w:val="000000"/>
                <w:sz w:val="20"/>
                <w:szCs w:val="20"/>
              </w:rPr>
              <w:t> </w:t>
            </w:r>
            <w:r w:rsidR="006A2AB2" w:rsidRPr="006A2AB2">
              <w:rPr>
                <w:rFonts w:eastAsia="Times New Roman" w:cs="Arial"/>
                <w:b/>
                <w:bCs/>
                <w:color w:val="000000"/>
                <w:sz w:val="20"/>
                <w:szCs w:val="20"/>
              </w:rPr>
              <w:t>Total</w:t>
            </w:r>
          </w:p>
        </w:tc>
        <w:tc>
          <w:tcPr>
            <w:tcW w:w="1461" w:type="dxa"/>
            <w:tcBorders>
              <w:top w:val="nil"/>
              <w:left w:val="single" w:sz="4" w:space="0" w:color="auto"/>
              <w:bottom w:val="single" w:sz="4" w:space="0" w:color="auto"/>
              <w:right w:val="nil"/>
            </w:tcBorders>
            <w:shd w:val="clear" w:color="auto" w:fill="auto"/>
            <w:noWrap/>
            <w:vAlign w:val="bottom"/>
            <w:hideMark/>
          </w:tcPr>
          <w:p w14:paraId="688496A5"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65,482 </w:t>
            </w:r>
          </w:p>
        </w:tc>
        <w:tc>
          <w:tcPr>
            <w:tcW w:w="1253" w:type="dxa"/>
            <w:tcBorders>
              <w:top w:val="nil"/>
              <w:left w:val="nil"/>
              <w:bottom w:val="single" w:sz="4" w:space="0" w:color="auto"/>
              <w:right w:val="single" w:sz="4" w:space="0" w:color="auto"/>
            </w:tcBorders>
            <w:shd w:val="clear" w:color="auto" w:fill="auto"/>
            <w:noWrap/>
            <w:vAlign w:val="bottom"/>
            <w:hideMark/>
          </w:tcPr>
          <w:p w14:paraId="41942DE1"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116,397 </w:t>
            </w:r>
          </w:p>
        </w:tc>
        <w:tc>
          <w:tcPr>
            <w:tcW w:w="1461" w:type="dxa"/>
            <w:tcBorders>
              <w:top w:val="nil"/>
              <w:left w:val="nil"/>
              <w:bottom w:val="single" w:sz="4" w:space="0" w:color="auto"/>
              <w:right w:val="nil"/>
            </w:tcBorders>
            <w:shd w:val="clear" w:color="auto" w:fill="auto"/>
            <w:noWrap/>
            <w:vAlign w:val="bottom"/>
            <w:hideMark/>
          </w:tcPr>
          <w:p w14:paraId="6CB0E6D4"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207,687 </w:t>
            </w:r>
          </w:p>
        </w:tc>
        <w:tc>
          <w:tcPr>
            <w:tcW w:w="1329" w:type="dxa"/>
            <w:tcBorders>
              <w:top w:val="nil"/>
              <w:left w:val="nil"/>
              <w:bottom w:val="single" w:sz="4" w:space="0" w:color="auto"/>
              <w:right w:val="single" w:sz="4" w:space="0" w:color="auto"/>
            </w:tcBorders>
            <w:shd w:val="clear" w:color="auto" w:fill="auto"/>
            <w:noWrap/>
            <w:vAlign w:val="bottom"/>
            <w:hideMark/>
          </w:tcPr>
          <w:p w14:paraId="599447E7"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50,617 </w:t>
            </w:r>
          </w:p>
        </w:tc>
        <w:tc>
          <w:tcPr>
            <w:tcW w:w="1461" w:type="dxa"/>
            <w:tcBorders>
              <w:top w:val="nil"/>
              <w:left w:val="nil"/>
              <w:bottom w:val="single" w:sz="4" w:space="0" w:color="auto"/>
              <w:right w:val="nil"/>
            </w:tcBorders>
            <w:shd w:val="clear" w:color="auto" w:fill="auto"/>
            <w:noWrap/>
            <w:vAlign w:val="bottom"/>
            <w:hideMark/>
          </w:tcPr>
          <w:p w14:paraId="2897508C"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(142,205)</w:t>
            </w:r>
          </w:p>
        </w:tc>
        <w:tc>
          <w:tcPr>
            <w:tcW w:w="1329" w:type="dxa"/>
            <w:tcBorders>
              <w:top w:val="nil"/>
              <w:left w:val="nil"/>
              <w:bottom w:val="single" w:sz="4" w:space="0" w:color="auto"/>
              <w:right w:val="single" w:sz="4" w:space="0" w:color="auto"/>
            </w:tcBorders>
            <w:shd w:val="clear" w:color="auto" w:fill="auto"/>
            <w:noWrap/>
            <w:vAlign w:val="bottom"/>
            <w:hideMark/>
          </w:tcPr>
          <w:p w14:paraId="4FF9C65A" w14:textId="77777777" w:rsidR="00E171EA" w:rsidRPr="00E171EA" w:rsidRDefault="00E171EA" w:rsidP="00E171EA">
            <w:pPr>
              <w:spacing w:after="0" w:line="240" w:lineRule="auto"/>
              <w:rPr>
                <w:rFonts w:eastAsia="Times New Roman" w:cs="Arial"/>
                <w:color w:val="000000"/>
                <w:sz w:val="20"/>
                <w:szCs w:val="20"/>
              </w:rPr>
            </w:pPr>
            <w:r w:rsidRPr="00E171EA">
              <w:rPr>
                <w:rFonts w:eastAsia="Times New Roman" w:cs="Arial"/>
                <w:color w:val="000000"/>
                <w:sz w:val="20"/>
                <w:szCs w:val="20"/>
              </w:rPr>
              <w:t xml:space="preserve">    65,780 </w:t>
            </w:r>
          </w:p>
        </w:tc>
      </w:tr>
    </w:tbl>
    <w:p w14:paraId="6CBF7DC5" w14:textId="1D411BD1" w:rsidR="00DE73C5" w:rsidRPr="00FC1BD0" w:rsidRDefault="00DE73C5">
      <w:pPr>
        <w:rPr>
          <w:sz w:val="24"/>
          <w:szCs w:val="24"/>
        </w:rPr>
      </w:pPr>
    </w:p>
    <w:p w14:paraId="70DC6691" w14:textId="5F6C6848" w:rsidR="0008166C" w:rsidRDefault="0008166C" w:rsidP="0008166C">
      <w:pPr>
        <w:pStyle w:val="ListParagraph"/>
        <w:numPr>
          <w:ilvl w:val="0"/>
          <w:numId w:val="1"/>
        </w:numPr>
        <w:rPr>
          <w:sz w:val="24"/>
          <w:szCs w:val="24"/>
        </w:rPr>
      </w:pPr>
      <w:r w:rsidRPr="00FC1BD0">
        <w:rPr>
          <w:sz w:val="24"/>
          <w:szCs w:val="24"/>
        </w:rPr>
        <w:t>Please explain the differences between the two DVA Continuity Schedules.</w:t>
      </w:r>
    </w:p>
    <w:p w14:paraId="5CE98CBD" w14:textId="5D6D8A5B" w:rsidR="001F2467" w:rsidRPr="00FC1BD0" w:rsidRDefault="001F2467" w:rsidP="001F2467">
      <w:pPr>
        <w:pStyle w:val="ListParagraph"/>
        <w:rPr>
          <w:sz w:val="24"/>
          <w:szCs w:val="24"/>
        </w:rPr>
      </w:pPr>
      <w:r>
        <w:rPr>
          <w:sz w:val="24"/>
          <w:szCs w:val="24"/>
          <w:highlight w:val="yellow"/>
        </w:rPr>
        <w:t xml:space="preserve">Hydro 2000 had a general manager almost since its incorporation. In 2015 or 2016 he resigned. A new general manager was hired. She stayed at that position for a bit more than 1 year. Then, the actual general manager was hired. One of the reasons the second general manager was replaced was because she did many errors. The majority of those errors were corrected by the actual general manager in 2017 and 2018. The variances for 1588 and 1589 for 2015 and 2016 were inspected by OEB staff. </w:t>
      </w:r>
      <w:r w:rsidR="004262CE">
        <w:rPr>
          <w:sz w:val="24"/>
          <w:szCs w:val="24"/>
          <w:highlight w:val="yellow"/>
        </w:rPr>
        <w:t>At the beginning of the inspection, OEB staff tried to explain the reasons for the differences. Then, it was agreed between OEB inspectors and Hydro 2000 to recalculate the variances for those 2 years instead of explaining all the differences. Hydro 2000 recalculated the variances for the 24 months. OEB inspectors reviewed and agreed with the recalculated variances. The inspection report mentions some of the errors found. The amounts in the adjustments columns represents the differences between the variances calculated by the second general manager and the variances recalculated and approved by OEB inspectors.</w:t>
      </w:r>
      <w:r>
        <w:rPr>
          <w:sz w:val="24"/>
          <w:szCs w:val="24"/>
          <w:highlight w:val="yellow"/>
        </w:rPr>
        <w:t xml:space="preserve">  </w:t>
      </w:r>
    </w:p>
    <w:p w14:paraId="23A9BCE6" w14:textId="38A77E40" w:rsidR="0008166C" w:rsidRPr="00FC1BD0" w:rsidRDefault="0008166C" w:rsidP="0008166C">
      <w:pPr>
        <w:pStyle w:val="ListParagraph"/>
        <w:numPr>
          <w:ilvl w:val="0"/>
          <w:numId w:val="1"/>
        </w:numPr>
        <w:rPr>
          <w:sz w:val="24"/>
          <w:szCs w:val="24"/>
        </w:rPr>
      </w:pPr>
      <w:r w:rsidRPr="00FC1BD0">
        <w:rPr>
          <w:sz w:val="24"/>
          <w:szCs w:val="24"/>
        </w:rPr>
        <w:t>If the 201</w:t>
      </w:r>
      <w:r w:rsidR="000D163D" w:rsidRPr="00FC1BD0">
        <w:rPr>
          <w:sz w:val="24"/>
          <w:szCs w:val="24"/>
        </w:rPr>
        <w:t>6 ending balances</w:t>
      </w:r>
      <w:r w:rsidR="00FE77EB" w:rsidRPr="00FC1BD0">
        <w:rPr>
          <w:sz w:val="24"/>
          <w:szCs w:val="24"/>
        </w:rPr>
        <w:t xml:space="preserve"> in the </w:t>
      </w:r>
      <w:r w:rsidR="003A327E" w:rsidRPr="00FC1BD0">
        <w:rPr>
          <w:sz w:val="24"/>
          <w:szCs w:val="24"/>
        </w:rPr>
        <w:t>2020 COS DVA Continuity Schedule are not the appropriate ending balances, please explain why not.</w:t>
      </w:r>
    </w:p>
    <w:p w14:paraId="0CA341E2" w14:textId="0A138BFA" w:rsidR="003E20A9" w:rsidRDefault="003E20A9" w:rsidP="003E20A9">
      <w:pPr>
        <w:pStyle w:val="ListParagraph"/>
        <w:numPr>
          <w:ilvl w:val="1"/>
          <w:numId w:val="1"/>
        </w:numPr>
        <w:rPr>
          <w:sz w:val="24"/>
          <w:szCs w:val="24"/>
        </w:rPr>
      </w:pPr>
      <w:r w:rsidRPr="00FC1BD0">
        <w:rPr>
          <w:sz w:val="24"/>
          <w:szCs w:val="24"/>
        </w:rPr>
        <w:t xml:space="preserve">Please also show a how the 2016 ending balance is derived </w:t>
      </w:r>
      <w:r w:rsidR="00B14306" w:rsidRPr="00FC1BD0">
        <w:rPr>
          <w:sz w:val="24"/>
          <w:szCs w:val="24"/>
        </w:rPr>
        <w:t>from the 2014 opening balances and how the transactions/adjustments</w:t>
      </w:r>
      <w:r w:rsidR="007C3F60" w:rsidRPr="00FC1BD0">
        <w:rPr>
          <w:sz w:val="24"/>
          <w:szCs w:val="24"/>
        </w:rPr>
        <w:t xml:space="preserve"> reconcile to the Inspection Report of Hydro 2000’s Account 1588 and Account 1589 balances.</w:t>
      </w:r>
    </w:p>
    <w:p w14:paraId="2AEDB104" w14:textId="01EBC9C4" w:rsidR="00CF3DCC" w:rsidRPr="00FC1BD0" w:rsidRDefault="0019527A" w:rsidP="00CF3DCC">
      <w:pPr>
        <w:pStyle w:val="ListParagraph"/>
        <w:rPr>
          <w:sz w:val="24"/>
          <w:szCs w:val="24"/>
        </w:rPr>
      </w:pPr>
      <w:r>
        <w:rPr>
          <w:sz w:val="24"/>
          <w:szCs w:val="24"/>
          <w:highlight w:val="yellow"/>
        </w:rPr>
        <w:t xml:space="preserve">Because most errors were corrected in 2017 and 2018, Hydro 2000 was told by OEB inspectors to reverse those amounts in 2017. The balances at the end of 2019 matches the balances in Hydro 2000’s books.  </w:t>
      </w:r>
    </w:p>
    <w:p w14:paraId="57935F63" w14:textId="408910A9" w:rsidR="008717E4" w:rsidRPr="00FC1BD0" w:rsidRDefault="008717E4" w:rsidP="008717E4">
      <w:pPr>
        <w:rPr>
          <w:sz w:val="24"/>
          <w:szCs w:val="24"/>
        </w:rPr>
      </w:pPr>
    </w:p>
    <w:p w14:paraId="6C5817C3" w14:textId="77777777" w:rsidR="008717E4" w:rsidRPr="00FC1BD0" w:rsidRDefault="008717E4" w:rsidP="008717E4">
      <w:pPr>
        <w:spacing w:before="40" w:after="40" w:line="240" w:lineRule="auto"/>
        <w:rPr>
          <w:b/>
          <w:bCs/>
          <w:sz w:val="24"/>
          <w:szCs w:val="24"/>
        </w:rPr>
      </w:pPr>
      <w:r w:rsidRPr="00FC1BD0">
        <w:rPr>
          <w:b/>
          <w:bCs/>
          <w:sz w:val="24"/>
          <w:szCs w:val="24"/>
        </w:rPr>
        <w:t>Staff Question-X</w:t>
      </w:r>
    </w:p>
    <w:p w14:paraId="0A949372" w14:textId="77777777" w:rsidR="008717E4" w:rsidRPr="00FC1BD0" w:rsidRDefault="008717E4" w:rsidP="008717E4">
      <w:pPr>
        <w:spacing w:before="40" w:after="40" w:line="240" w:lineRule="auto"/>
        <w:rPr>
          <w:b/>
          <w:bCs/>
          <w:sz w:val="24"/>
          <w:szCs w:val="24"/>
        </w:rPr>
      </w:pPr>
      <w:r w:rsidRPr="00FC1BD0">
        <w:rPr>
          <w:b/>
          <w:bCs/>
          <w:sz w:val="24"/>
          <w:szCs w:val="24"/>
        </w:rPr>
        <w:t>Ref:</w:t>
      </w:r>
      <w:r w:rsidRPr="00FC1BD0">
        <w:rPr>
          <w:b/>
          <w:bCs/>
          <w:sz w:val="24"/>
          <w:szCs w:val="24"/>
        </w:rPr>
        <w:tab/>
        <w:t>Staff Question 4</w:t>
      </w:r>
    </w:p>
    <w:p w14:paraId="00E93CC8" w14:textId="77777777" w:rsidR="008717E4" w:rsidRDefault="008717E4" w:rsidP="008717E4">
      <w:pPr>
        <w:spacing w:before="40" w:after="40" w:line="240" w:lineRule="auto"/>
        <w:rPr>
          <w:b/>
          <w:bCs/>
          <w:sz w:val="24"/>
          <w:szCs w:val="24"/>
        </w:rPr>
      </w:pPr>
      <w:r>
        <w:rPr>
          <w:b/>
          <w:bCs/>
          <w:sz w:val="24"/>
          <w:szCs w:val="24"/>
        </w:rPr>
        <w:tab/>
        <w:t>Updated DVA Continuity Schedule</w:t>
      </w:r>
    </w:p>
    <w:p w14:paraId="6550EB19" w14:textId="0ECD7942" w:rsidR="008717E4" w:rsidRPr="008717E4" w:rsidRDefault="008717E4" w:rsidP="008717E4">
      <w:pPr>
        <w:rPr>
          <w:sz w:val="24"/>
          <w:szCs w:val="24"/>
        </w:rPr>
      </w:pPr>
    </w:p>
    <w:p w14:paraId="7BB1A015" w14:textId="4E67BCE6" w:rsidR="008717E4" w:rsidRPr="00460FCB" w:rsidRDefault="008717E4" w:rsidP="008717E4">
      <w:pPr>
        <w:rPr>
          <w:sz w:val="24"/>
          <w:szCs w:val="24"/>
        </w:rPr>
      </w:pPr>
      <w:r w:rsidRPr="00460FCB">
        <w:rPr>
          <w:sz w:val="24"/>
          <w:szCs w:val="24"/>
        </w:rPr>
        <w:t xml:space="preserve">In the updated DVA Continuity Schedule, column </w:t>
      </w:r>
      <w:r w:rsidR="00F54FA3" w:rsidRPr="00460FCB">
        <w:rPr>
          <w:sz w:val="24"/>
          <w:szCs w:val="24"/>
        </w:rPr>
        <w:t>BW shows the RRR to DVA Continuity Schedule variances</w:t>
      </w:r>
      <w:r w:rsidR="00A379C5">
        <w:rPr>
          <w:sz w:val="24"/>
          <w:szCs w:val="24"/>
        </w:rPr>
        <w:t xml:space="preserve"> for Account 1588 and Account 1589</w:t>
      </w:r>
      <w:r w:rsidR="00F54FA3" w:rsidRPr="00460FCB">
        <w:rPr>
          <w:sz w:val="24"/>
          <w:szCs w:val="24"/>
        </w:rPr>
        <w:t xml:space="preserve"> to be ($407,757) and ($30,388)</w:t>
      </w:r>
      <w:r w:rsidR="00A379C5">
        <w:rPr>
          <w:sz w:val="24"/>
          <w:szCs w:val="24"/>
        </w:rPr>
        <w:t>, respectively</w:t>
      </w:r>
      <w:r w:rsidR="00F54FA3" w:rsidRPr="00460FCB">
        <w:rPr>
          <w:sz w:val="24"/>
          <w:szCs w:val="24"/>
        </w:rPr>
        <w:t xml:space="preserve">. </w:t>
      </w:r>
    </w:p>
    <w:p w14:paraId="41CA179A" w14:textId="77777777" w:rsidR="0019527A" w:rsidRDefault="0063001A" w:rsidP="0063001A">
      <w:pPr>
        <w:pStyle w:val="ListParagraph"/>
        <w:numPr>
          <w:ilvl w:val="0"/>
          <w:numId w:val="2"/>
        </w:numPr>
        <w:rPr>
          <w:sz w:val="24"/>
          <w:szCs w:val="24"/>
        </w:rPr>
      </w:pPr>
      <w:r w:rsidRPr="00460FCB">
        <w:rPr>
          <w:sz w:val="24"/>
          <w:szCs w:val="24"/>
        </w:rPr>
        <w:lastRenderedPageBreak/>
        <w:t xml:space="preserve">Please confirm that </w:t>
      </w:r>
      <w:r w:rsidR="00460FCB" w:rsidRPr="00460FCB">
        <w:rPr>
          <w:sz w:val="24"/>
          <w:szCs w:val="24"/>
        </w:rPr>
        <w:t xml:space="preserve">all the adjustments from the Inspection Report </w:t>
      </w:r>
      <w:r w:rsidR="008F31B6">
        <w:rPr>
          <w:sz w:val="24"/>
          <w:szCs w:val="24"/>
        </w:rPr>
        <w:t>have</w:t>
      </w:r>
      <w:r w:rsidR="00460FCB" w:rsidRPr="00460FCB">
        <w:rPr>
          <w:sz w:val="24"/>
          <w:szCs w:val="24"/>
        </w:rPr>
        <w:t xml:space="preserve"> been recorded in the general ledger already.</w:t>
      </w:r>
    </w:p>
    <w:p w14:paraId="69826ED3" w14:textId="0FF31098" w:rsidR="0063001A" w:rsidRDefault="0019527A" w:rsidP="0019527A">
      <w:pPr>
        <w:pStyle w:val="ListParagraph"/>
        <w:rPr>
          <w:sz w:val="24"/>
          <w:szCs w:val="24"/>
        </w:rPr>
      </w:pPr>
      <w:r>
        <w:rPr>
          <w:sz w:val="24"/>
          <w:szCs w:val="24"/>
          <w:highlight w:val="yellow"/>
        </w:rPr>
        <w:t xml:space="preserve">The differences were timing differences. Adjustments have been made with </w:t>
      </w:r>
      <w:r>
        <w:rPr>
          <w:sz w:val="24"/>
          <w:szCs w:val="24"/>
          <w:highlight w:val="yellow"/>
          <w:lang w:val="en-CA"/>
        </w:rPr>
        <w:t>Hydro One in 2017 and 2018. The balances at the end of 2019 reflect the balances after all adjustments per OEB inspection report.</w:t>
      </w:r>
      <w:r w:rsidR="00460FCB" w:rsidRPr="00460FCB">
        <w:rPr>
          <w:sz w:val="24"/>
          <w:szCs w:val="24"/>
        </w:rPr>
        <w:t xml:space="preserve"> </w:t>
      </w:r>
    </w:p>
    <w:p w14:paraId="01AC3074" w14:textId="7266CCCA" w:rsidR="00460FCB" w:rsidRDefault="00460FCB" w:rsidP="0063001A">
      <w:pPr>
        <w:pStyle w:val="ListParagraph"/>
        <w:numPr>
          <w:ilvl w:val="0"/>
          <w:numId w:val="2"/>
        </w:numPr>
        <w:rPr>
          <w:sz w:val="24"/>
          <w:szCs w:val="24"/>
        </w:rPr>
      </w:pPr>
      <w:r>
        <w:rPr>
          <w:sz w:val="24"/>
          <w:szCs w:val="24"/>
        </w:rPr>
        <w:t xml:space="preserve">If confirmed, please explain </w:t>
      </w:r>
      <w:r w:rsidR="00F149EF">
        <w:rPr>
          <w:sz w:val="24"/>
          <w:szCs w:val="24"/>
        </w:rPr>
        <w:t xml:space="preserve">whether Hydro 2000 has recorded all the adjustments necessary </w:t>
      </w:r>
      <w:r w:rsidR="00CD3FCA">
        <w:rPr>
          <w:sz w:val="24"/>
          <w:szCs w:val="24"/>
        </w:rPr>
        <w:t>for</w:t>
      </w:r>
      <w:r w:rsidR="00AB405C">
        <w:rPr>
          <w:sz w:val="24"/>
          <w:szCs w:val="24"/>
        </w:rPr>
        <w:t xml:space="preserve"> 2017 to 2019 </w:t>
      </w:r>
      <w:r w:rsidR="00F149EF">
        <w:rPr>
          <w:sz w:val="24"/>
          <w:szCs w:val="24"/>
        </w:rPr>
        <w:t xml:space="preserve">in the </w:t>
      </w:r>
      <w:r w:rsidR="00AB405C">
        <w:rPr>
          <w:sz w:val="24"/>
          <w:szCs w:val="24"/>
        </w:rPr>
        <w:t xml:space="preserve">general ledger balances. </w:t>
      </w:r>
    </w:p>
    <w:p w14:paraId="6CCB4EB3" w14:textId="663F1658" w:rsidR="00CF148C" w:rsidRDefault="00CF148C" w:rsidP="00CF148C">
      <w:pPr>
        <w:pStyle w:val="ListParagraph"/>
        <w:rPr>
          <w:sz w:val="24"/>
          <w:szCs w:val="24"/>
        </w:rPr>
      </w:pPr>
      <w:r w:rsidRPr="00CF148C">
        <w:rPr>
          <w:sz w:val="24"/>
          <w:szCs w:val="24"/>
          <w:highlight w:val="yellow"/>
        </w:rPr>
        <w:t>Ye</w:t>
      </w:r>
      <w:r>
        <w:rPr>
          <w:sz w:val="24"/>
          <w:szCs w:val="24"/>
          <w:highlight w:val="yellow"/>
        </w:rPr>
        <w:t>s all adjustments have been recorded in 2017 to 2019.</w:t>
      </w:r>
      <w:r>
        <w:rPr>
          <w:sz w:val="24"/>
          <w:szCs w:val="24"/>
        </w:rPr>
        <w:t xml:space="preserve">  </w:t>
      </w:r>
    </w:p>
    <w:p w14:paraId="4F812827" w14:textId="6C36B3AA" w:rsidR="00AB405C" w:rsidRDefault="00AB405C" w:rsidP="0063001A">
      <w:pPr>
        <w:pStyle w:val="ListParagraph"/>
        <w:numPr>
          <w:ilvl w:val="0"/>
          <w:numId w:val="2"/>
        </w:numPr>
        <w:rPr>
          <w:sz w:val="24"/>
          <w:szCs w:val="24"/>
        </w:rPr>
      </w:pPr>
      <w:r>
        <w:rPr>
          <w:sz w:val="24"/>
          <w:szCs w:val="24"/>
        </w:rPr>
        <w:t xml:space="preserve">If part b is confirmed, please explain why there would be RRR to DVA Continuity Schedule variances for </w:t>
      </w:r>
      <w:r w:rsidR="008F31B6">
        <w:rPr>
          <w:sz w:val="24"/>
          <w:szCs w:val="24"/>
        </w:rPr>
        <w:t>accounts 1588 and 1589 if all adjustments have been made and the balances between the general ledger and DVA Continuity Schedule should be aligned.</w:t>
      </w:r>
    </w:p>
    <w:p w14:paraId="09977294" w14:textId="76482D01" w:rsidR="00CF148C" w:rsidRPr="007B700A" w:rsidRDefault="007B700A" w:rsidP="00CF148C">
      <w:pPr>
        <w:pStyle w:val="ListParagraph"/>
        <w:rPr>
          <w:sz w:val="24"/>
          <w:szCs w:val="24"/>
        </w:rPr>
      </w:pPr>
      <w:r>
        <w:rPr>
          <w:sz w:val="24"/>
          <w:szCs w:val="24"/>
          <w:highlight w:val="yellow"/>
        </w:rPr>
        <w:t>The continuity schedule has been completed based on the inspection</w:t>
      </w:r>
      <w:r w:rsidR="009A6B4F">
        <w:rPr>
          <w:sz w:val="24"/>
          <w:szCs w:val="24"/>
          <w:highlight w:val="yellow"/>
        </w:rPr>
        <w:t xml:space="preserve"> report</w:t>
      </w:r>
      <w:r>
        <w:rPr>
          <w:sz w:val="24"/>
          <w:szCs w:val="24"/>
          <w:highlight w:val="yellow"/>
        </w:rPr>
        <w:t xml:space="preserve"> for 2015 and 2016. For 2017, 2018 and 2019, the variances reported in the continuity schedule are based on the new methodology</w:t>
      </w:r>
      <w:r w:rsidR="008602BE">
        <w:rPr>
          <w:sz w:val="24"/>
          <w:szCs w:val="24"/>
          <w:highlight w:val="yellow"/>
        </w:rPr>
        <w:t xml:space="preserve">. </w:t>
      </w:r>
      <w:r w:rsidR="009A6B4F">
        <w:rPr>
          <w:sz w:val="24"/>
          <w:szCs w:val="24"/>
          <w:highlight w:val="yellow"/>
        </w:rPr>
        <w:t>Hydro 2000 agrees to remit the amounts per RRR.</w:t>
      </w:r>
    </w:p>
    <w:p w14:paraId="174A1007" w14:textId="4F49E9C6" w:rsidR="00CF148C" w:rsidRDefault="00CF148C" w:rsidP="00CF148C">
      <w:pPr>
        <w:rPr>
          <w:sz w:val="24"/>
          <w:szCs w:val="24"/>
        </w:rPr>
      </w:pPr>
    </w:p>
    <w:p w14:paraId="619A412C" w14:textId="77777777" w:rsidR="00CF148C" w:rsidRPr="00CF148C" w:rsidRDefault="00CF148C" w:rsidP="00CF148C">
      <w:pPr>
        <w:rPr>
          <w:sz w:val="24"/>
          <w:szCs w:val="24"/>
        </w:rPr>
      </w:pPr>
    </w:p>
    <w:sectPr w:rsidR="00CF148C" w:rsidRPr="00CF1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2C0B"/>
    <w:multiLevelType w:val="hybridMultilevel"/>
    <w:tmpl w:val="D2327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30DEE"/>
    <w:multiLevelType w:val="hybridMultilevel"/>
    <w:tmpl w:val="BA946054"/>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850D0"/>
    <w:multiLevelType w:val="hybridMultilevel"/>
    <w:tmpl w:val="DC1A94D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BB"/>
    <w:rsid w:val="000528B2"/>
    <w:rsid w:val="0008166C"/>
    <w:rsid w:val="0009095E"/>
    <w:rsid w:val="000D163D"/>
    <w:rsid w:val="0019527A"/>
    <w:rsid w:val="001F2467"/>
    <w:rsid w:val="003A327E"/>
    <w:rsid w:val="003C2EE5"/>
    <w:rsid w:val="003E20A9"/>
    <w:rsid w:val="004262CE"/>
    <w:rsid w:val="00440A1C"/>
    <w:rsid w:val="00460FCB"/>
    <w:rsid w:val="00476CBB"/>
    <w:rsid w:val="004C7B5B"/>
    <w:rsid w:val="005E64A5"/>
    <w:rsid w:val="0063001A"/>
    <w:rsid w:val="00682E29"/>
    <w:rsid w:val="006A2AB2"/>
    <w:rsid w:val="006A34C6"/>
    <w:rsid w:val="00745F1D"/>
    <w:rsid w:val="007742D0"/>
    <w:rsid w:val="00786D7A"/>
    <w:rsid w:val="007A503F"/>
    <w:rsid w:val="007B700A"/>
    <w:rsid w:val="007C3F60"/>
    <w:rsid w:val="008602BE"/>
    <w:rsid w:val="008717E4"/>
    <w:rsid w:val="008B7CC9"/>
    <w:rsid w:val="008F31B6"/>
    <w:rsid w:val="00946A07"/>
    <w:rsid w:val="00953EAE"/>
    <w:rsid w:val="00963FC6"/>
    <w:rsid w:val="00965D0B"/>
    <w:rsid w:val="009A6B4F"/>
    <w:rsid w:val="009B19E5"/>
    <w:rsid w:val="009B2733"/>
    <w:rsid w:val="00A379C5"/>
    <w:rsid w:val="00AB405C"/>
    <w:rsid w:val="00AE402A"/>
    <w:rsid w:val="00AF4CD6"/>
    <w:rsid w:val="00B14306"/>
    <w:rsid w:val="00B27F94"/>
    <w:rsid w:val="00B5027B"/>
    <w:rsid w:val="00BA4116"/>
    <w:rsid w:val="00BD5688"/>
    <w:rsid w:val="00C07179"/>
    <w:rsid w:val="00C4094B"/>
    <w:rsid w:val="00C92637"/>
    <w:rsid w:val="00CA0932"/>
    <w:rsid w:val="00CD3FCA"/>
    <w:rsid w:val="00CF148C"/>
    <w:rsid w:val="00CF3DCC"/>
    <w:rsid w:val="00D279D4"/>
    <w:rsid w:val="00D52251"/>
    <w:rsid w:val="00D971F7"/>
    <w:rsid w:val="00DE73C5"/>
    <w:rsid w:val="00E171EA"/>
    <w:rsid w:val="00E4762F"/>
    <w:rsid w:val="00F149EF"/>
    <w:rsid w:val="00F4223F"/>
    <w:rsid w:val="00F441E3"/>
    <w:rsid w:val="00F54FA3"/>
    <w:rsid w:val="00F75B52"/>
    <w:rsid w:val="00FC1BD0"/>
    <w:rsid w:val="00FD44BB"/>
    <w:rsid w:val="00FE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DBCC"/>
  <w15:chartTrackingRefBased/>
  <w15:docId w15:val="{556390A3-123A-4158-A148-FA9DFD6B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6C"/>
    <w:pPr>
      <w:ind w:left="720"/>
      <w:contextualSpacing/>
    </w:pPr>
  </w:style>
  <w:style w:type="paragraph" w:styleId="BalloonText">
    <w:name w:val="Balloon Text"/>
    <w:basedOn w:val="Normal"/>
    <w:link w:val="BalloonTextChar"/>
    <w:uiPriority w:val="99"/>
    <w:semiHidden/>
    <w:unhideWhenUsed/>
    <w:rsid w:val="005E6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037216">
      <w:bodyDiv w:val="1"/>
      <w:marLeft w:val="0"/>
      <w:marRight w:val="0"/>
      <w:marTop w:val="0"/>
      <w:marBottom w:val="0"/>
      <w:divBdr>
        <w:top w:val="none" w:sz="0" w:space="0" w:color="auto"/>
        <w:left w:val="none" w:sz="0" w:space="0" w:color="auto"/>
        <w:bottom w:val="none" w:sz="0" w:space="0" w:color="auto"/>
        <w:right w:val="none" w:sz="0" w:space="0" w:color="auto"/>
      </w:divBdr>
    </w:div>
    <w:div w:id="18814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2021-03-19T17:00:00Z</dcterms:created>
  <dcterms:modified xsi:type="dcterms:W3CDTF">2021-03-19T17:00:00Z</dcterms:modified>
</cp:coreProperties>
</file>