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EDF49" w14:textId="0C6A7758" w:rsidR="005E4148" w:rsidRDefault="002320F2" w:rsidP="005E4148">
      <w:pPr>
        <w:pStyle w:val="Default"/>
        <w:jc w:val="center"/>
        <w:rPr>
          <w:rFonts w:ascii="Arial" w:hAnsi="Arial" w:cs="Arial"/>
          <w:sz w:val="28"/>
          <w:szCs w:val="28"/>
        </w:rPr>
      </w:pPr>
      <w:r>
        <w:rPr>
          <w:rFonts w:ascii="Arial" w:hAnsi="Arial" w:cs="Arial"/>
          <w:b/>
          <w:bCs/>
          <w:sz w:val="28"/>
          <w:szCs w:val="28"/>
        </w:rPr>
        <w:t>Hydro 2000 Inc.</w:t>
      </w:r>
    </w:p>
    <w:p w14:paraId="3868AA4B" w14:textId="4747E6DD" w:rsidR="005E4148" w:rsidRDefault="005E4148" w:rsidP="005E4148">
      <w:pPr>
        <w:pStyle w:val="Default"/>
        <w:jc w:val="center"/>
        <w:rPr>
          <w:rFonts w:ascii="Arial" w:hAnsi="Arial" w:cs="Arial"/>
          <w:b/>
          <w:bCs/>
          <w:sz w:val="28"/>
          <w:szCs w:val="28"/>
        </w:rPr>
      </w:pPr>
      <w:r>
        <w:rPr>
          <w:rFonts w:ascii="Arial" w:hAnsi="Arial" w:cs="Arial"/>
          <w:b/>
          <w:bCs/>
          <w:sz w:val="28"/>
          <w:szCs w:val="28"/>
        </w:rPr>
        <w:t>EB-2020-00</w:t>
      </w:r>
      <w:r w:rsidR="00A43F90">
        <w:rPr>
          <w:rFonts w:ascii="Arial" w:hAnsi="Arial" w:cs="Arial"/>
          <w:b/>
          <w:bCs/>
          <w:sz w:val="28"/>
          <w:szCs w:val="28"/>
        </w:rPr>
        <w:t>28</w:t>
      </w:r>
    </w:p>
    <w:p w14:paraId="517967B0" w14:textId="77777777" w:rsidR="00BC13D0" w:rsidRDefault="00BC13D0" w:rsidP="00067CDB">
      <w:pPr>
        <w:autoSpaceDE w:val="0"/>
        <w:autoSpaceDN w:val="0"/>
        <w:adjustRightInd w:val="0"/>
        <w:spacing w:after="0" w:line="240" w:lineRule="auto"/>
        <w:rPr>
          <w:rFonts w:eastAsia="Calibri" w:cs="Arial"/>
          <w:sz w:val="24"/>
          <w:szCs w:val="24"/>
        </w:rPr>
      </w:pPr>
      <w:bookmarkStart w:id="0" w:name="_Hlk55806661"/>
    </w:p>
    <w:p w14:paraId="3D24548D" w14:textId="6F5A3D41" w:rsidR="00067CDB" w:rsidRDefault="00067CDB" w:rsidP="00067CDB">
      <w:pPr>
        <w:autoSpaceDE w:val="0"/>
        <w:autoSpaceDN w:val="0"/>
        <w:adjustRightInd w:val="0"/>
        <w:spacing w:after="0" w:line="240" w:lineRule="auto"/>
        <w:rPr>
          <w:rFonts w:eastAsia="Calibri" w:cs="Arial"/>
          <w:sz w:val="24"/>
          <w:szCs w:val="24"/>
        </w:rPr>
      </w:pPr>
      <w:r>
        <w:rPr>
          <w:rFonts w:eastAsia="Calibri" w:cs="Arial"/>
          <w:sz w:val="24"/>
          <w:szCs w:val="24"/>
        </w:rPr>
        <w:t xml:space="preserve">Please note, </w:t>
      </w:r>
      <w:r w:rsidR="00BC13D0">
        <w:rPr>
          <w:rFonts w:eastAsia="Calibri" w:cs="Arial"/>
          <w:sz w:val="24"/>
          <w:szCs w:val="24"/>
        </w:rPr>
        <w:t>Hydro 2000</w:t>
      </w:r>
      <w:r w:rsidR="00F7745B">
        <w:rPr>
          <w:rFonts w:eastAsia="Calibri" w:cs="Arial"/>
          <w:sz w:val="24"/>
          <w:szCs w:val="24"/>
        </w:rPr>
        <w:t xml:space="preserve"> Inc.</w:t>
      </w:r>
      <w:r>
        <w:rPr>
          <w:rFonts w:eastAsia="Calibri"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Pr>
          <w:rFonts w:eastAsia="Calibri" w:cs="Arial"/>
          <w:i/>
          <w:iCs/>
          <w:sz w:val="24"/>
          <w:szCs w:val="24"/>
        </w:rPr>
        <w:t>Freedom of Information and Protection of Privacy Act</w:t>
      </w:r>
      <w:r>
        <w:rPr>
          <w:rFonts w:eastAsia="Calibri" w:cs="Arial"/>
          <w:sz w:val="24"/>
          <w:szCs w:val="24"/>
        </w:rPr>
        <w:t xml:space="preserve">), unless filed in accordance with rule 9A of the OEB’s </w:t>
      </w:r>
      <w:r>
        <w:rPr>
          <w:rFonts w:eastAsia="Calibri" w:cs="Arial"/>
          <w:i/>
          <w:iCs/>
          <w:sz w:val="24"/>
          <w:szCs w:val="24"/>
        </w:rPr>
        <w:t>Rules of Practice and Procedure</w:t>
      </w:r>
      <w:r>
        <w:rPr>
          <w:rFonts w:eastAsia="Calibri" w:cs="Arial"/>
          <w:sz w:val="24"/>
          <w:szCs w:val="24"/>
        </w:rPr>
        <w:t>.</w:t>
      </w:r>
      <w:bookmarkEnd w:id="0"/>
    </w:p>
    <w:p w14:paraId="1239E4F2" w14:textId="61D8F5CA" w:rsidR="00917236" w:rsidRDefault="00917236" w:rsidP="00067CDB">
      <w:pPr>
        <w:spacing w:before="40" w:after="40" w:line="240" w:lineRule="auto"/>
        <w:contextualSpacing/>
        <w:rPr>
          <w:b/>
          <w:bCs/>
          <w:sz w:val="24"/>
          <w:szCs w:val="24"/>
          <w:u w:val="single"/>
        </w:rPr>
      </w:pPr>
    </w:p>
    <w:p w14:paraId="5B5A20BF" w14:textId="77777777" w:rsidR="005F70CB" w:rsidRDefault="005F70CB" w:rsidP="00067CDB">
      <w:pPr>
        <w:spacing w:before="40" w:after="40" w:line="240" w:lineRule="auto"/>
        <w:contextualSpacing/>
        <w:rPr>
          <w:b/>
          <w:bCs/>
          <w:sz w:val="24"/>
          <w:szCs w:val="24"/>
          <w:u w:val="single"/>
        </w:rPr>
      </w:pPr>
    </w:p>
    <w:p w14:paraId="00C66D2D" w14:textId="75759104" w:rsidR="009C5151" w:rsidRPr="00FB4CF2" w:rsidRDefault="009C5151" w:rsidP="009C5151">
      <w:pPr>
        <w:spacing w:before="40" w:after="40" w:line="240" w:lineRule="auto"/>
        <w:rPr>
          <w:b/>
          <w:bCs/>
          <w:sz w:val="24"/>
          <w:szCs w:val="24"/>
        </w:rPr>
      </w:pPr>
      <w:r w:rsidRPr="00FB4CF2">
        <w:rPr>
          <w:b/>
          <w:bCs/>
          <w:sz w:val="24"/>
          <w:szCs w:val="24"/>
        </w:rPr>
        <w:t>Staff Question-</w:t>
      </w:r>
      <w:r w:rsidR="0071757C">
        <w:rPr>
          <w:b/>
          <w:bCs/>
          <w:sz w:val="24"/>
          <w:szCs w:val="24"/>
        </w:rPr>
        <w:t>1</w:t>
      </w:r>
      <w:r w:rsidR="00473384">
        <w:rPr>
          <w:b/>
          <w:bCs/>
          <w:sz w:val="24"/>
          <w:szCs w:val="24"/>
        </w:rPr>
        <w:t xml:space="preserve"> </w:t>
      </w:r>
    </w:p>
    <w:p w14:paraId="57570760" w14:textId="0823B735" w:rsidR="009C5151" w:rsidRPr="00FB4CF2" w:rsidRDefault="009C5151" w:rsidP="009C5151">
      <w:pPr>
        <w:spacing w:before="40" w:after="40" w:line="240" w:lineRule="auto"/>
        <w:rPr>
          <w:b/>
          <w:bCs/>
          <w:sz w:val="24"/>
          <w:szCs w:val="24"/>
        </w:rPr>
      </w:pPr>
      <w:r w:rsidRPr="00FB4CF2">
        <w:rPr>
          <w:b/>
          <w:bCs/>
          <w:sz w:val="24"/>
          <w:szCs w:val="24"/>
        </w:rPr>
        <w:t xml:space="preserve">Ref: Manager’s Summary, p. </w:t>
      </w:r>
      <w:r>
        <w:rPr>
          <w:b/>
          <w:bCs/>
          <w:sz w:val="24"/>
          <w:szCs w:val="24"/>
        </w:rPr>
        <w:t>10</w:t>
      </w:r>
    </w:p>
    <w:p w14:paraId="4EC8B77E" w14:textId="40C2D846" w:rsidR="009C5151" w:rsidRDefault="009C5151" w:rsidP="00DE0E85">
      <w:pPr>
        <w:spacing w:before="40" w:after="40" w:line="240" w:lineRule="auto"/>
        <w:rPr>
          <w:b/>
          <w:bCs/>
          <w:sz w:val="24"/>
          <w:szCs w:val="24"/>
        </w:rPr>
      </w:pPr>
    </w:p>
    <w:p w14:paraId="0DEFD80A" w14:textId="639C3843" w:rsidR="009C5151" w:rsidRPr="009C5151" w:rsidRDefault="009C5151" w:rsidP="00DE0E85">
      <w:pPr>
        <w:spacing w:before="40" w:after="40" w:line="240" w:lineRule="auto"/>
        <w:rPr>
          <w:sz w:val="24"/>
          <w:szCs w:val="24"/>
        </w:rPr>
      </w:pPr>
      <w:r w:rsidRPr="009C5151">
        <w:rPr>
          <w:sz w:val="24"/>
          <w:szCs w:val="24"/>
        </w:rPr>
        <w:t>In the Manager’s Summary</w:t>
      </w:r>
      <w:r>
        <w:rPr>
          <w:sz w:val="24"/>
          <w:szCs w:val="24"/>
        </w:rPr>
        <w:t>, it states that Hydro 2000 confirms its distribution rates are fully fixed. However, in the same page, Hydro 2000 provides the following statement</w:t>
      </w:r>
      <w:r w:rsidR="00CB3CB7">
        <w:rPr>
          <w:sz w:val="24"/>
          <w:szCs w:val="24"/>
        </w:rPr>
        <w:t>:</w:t>
      </w:r>
      <w:r>
        <w:rPr>
          <w:sz w:val="24"/>
          <w:szCs w:val="24"/>
        </w:rPr>
        <w:t xml:space="preserve"> “Hydro 2000 has not yet completed its transition to fully fixed residential rates. Hydro 2000 indicated in its 2020 Cost of Service application that it had two years remaining in its transition period, which would mean that the utility would go to fully fixed rates in this application”</w:t>
      </w:r>
      <w:r w:rsidR="00755F00">
        <w:rPr>
          <w:sz w:val="24"/>
          <w:szCs w:val="24"/>
        </w:rPr>
        <w:t>.</w:t>
      </w:r>
      <w:r>
        <w:rPr>
          <w:sz w:val="24"/>
          <w:szCs w:val="24"/>
        </w:rPr>
        <w:t xml:space="preserve"> Please explain the contradictory statements.</w:t>
      </w:r>
    </w:p>
    <w:p w14:paraId="42D1AC29" w14:textId="3B2FBA29" w:rsidR="009C5151" w:rsidRDefault="009C5151" w:rsidP="00DE0E85">
      <w:pPr>
        <w:spacing w:before="40" w:after="40" w:line="240" w:lineRule="auto"/>
        <w:rPr>
          <w:b/>
          <w:bCs/>
          <w:sz w:val="24"/>
          <w:szCs w:val="24"/>
        </w:rPr>
      </w:pPr>
    </w:p>
    <w:p w14:paraId="76049720" w14:textId="07349F90" w:rsidR="006D27B3" w:rsidRPr="006D27B3" w:rsidRDefault="006D27B3" w:rsidP="006D27B3">
      <w:pPr>
        <w:spacing w:before="40" w:after="40" w:line="240" w:lineRule="auto"/>
        <w:rPr>
          <w:color w:val="4472C4" w:themeColor="accent1"/>
          <w:sz w:val="24"/>
          <w:szCs w:val="24"/>
        </w:rPr>
      </w:pPr>
      <w:r w:rsidRPr="007C0057">
        <w:rPr>
          <w:b/>
          <w:bCs/>
          <w:color w:val="4472C4" w:themeColor="accent1"/>
          <w:sz w:val="24"/>
          <w:szCs w:val="24"/>
        </w:rPr>
        <w:t>H2000 Response:</w:t>
      </w:r>
      <w:r w:rsidRPr="006D27B3">
        <w:rPr>
          <w:color w:val="4472C4" w:themeColor="accent1"/>
          <w:sz w:val="24"/>
          <w:szCs w:val="24"/>
        </w:rPr>
        <w:t xml:space="preserve"> </w:t>
      </w:r>
      <w:r>
        <w:rPr>
          <w:color w:val="4472C4" w:themeColor="accent1"/>
          <w:sz w:val="24"/>
          <w:szCs w:val="24"/>
        </w:rPr>
        <w:t xml:space="preserve">H2000 confirms that it is proposing to go to fully fixed rates in this application. </w:t>
      </w:r>
    </w:p>
    <w:p w14:paraId="31057F5A" w14:textId="3AF36BF9" w:rsidR="009C5151" w:rsidRDefault="009C5151" w:rsidP="00DE0E85">
      <w:pPr>
        <w:spacing w:before="40" w:after="40" w:line="240" w:lineRule="auto"/>
        <w:rPr>
          <w:b/>
          <w:bCs/>
          <w:sz w:val="24"/>
          <w:szCs w:val="24"/>
        </w:rPr>
      </w:pPr>
    </w:p>
    <w:p w14:paraId="4227403B" w14:textId="3A492C22" w:rsidR="009C5151" w:rsidRPr="00FB4CF2" w:rsidRDefault="009C5151" w:rsidP="009C5151">
      <w:pPr>
        <w:spacing w:before="40" w:after="40" w:line="240" w:lineRule="auto"/>
        <w:rPr>
          <w:b/>
          <w:bCs/>
          <w:sz w:val="24"/>
          <w:szCs w:val="24"/>
        </w:rPr>
      </w:pPr>
      <w:r w:rsidRPr="00FB4CF2">
        <w:rPr>
          <w:b/>
          <w:bCs/>
          <w:sz w:val="24"/>
          <w:szCs w:val="24"/>
        </w:rPr>
        <w:t>Staff Question-</w:t>
      </w:r>
      <w:r w:rsidR="0071757C">
        <w:rPr>
          <w:b/>
          <w:bCs/>
          <w:sz w:val="24"/>
          <w:szCs w:val="24"/>
        </w:rPr>
        <w:t>2</w:t>
      </w:r>
      <w:r w:rsidR="00473384">
        <w:rPr>
          <w:b/>
          <w:bCs/>
          <w:sz w:val="24"/>
          <w:szCs w:val="24"/>
        </w:rPr>
        <w:t xml:space="preserve"> </w:t>
      </w:r>
    </w:p>
    <w:p w14:paraId="76D7EE92" w14:textId="511D6FC6" w:rsidR="009C5151" w:rsidRPr="00FB4CF2" w:rsidRDefault="009C5151" w:rsidP="009C5151">
      <w:pPr>
        <w:spacing w:before="40" w:after="40" w:line="240" w:lineRule="auto"/>
        <w:rPr>
          <w:b/>
          <w:bCs/>
          <w:sz w:val="24"/>
          <w:szCs w:val="24"/>
        </w:rPr>
      </w:pPr>
      <w:r w:rsidRPr="00FB4CF2">
        <w:rPr>
          <w:b/>
          <w:bCs/>
          <w:sz w:val="24"/>
          <w:szCs w:val="24"/>
        </w:rPr>
        <w:t xml:space="preserve">Ref: Manager’s Summary, p. </w:t>
      </w:r>
      <w:r>
        <w:rPr>
          <w:b/>
          <w:bCs/>
          <w:sz w:val="24"/>
          <w:szCs w:val="24"/>
        </w:rPr>
        <w:t>12</w:t>
      </w:r>
    </w:p>
    <w:p w14:paraId="54E860C2" w14:textId="77777777" w:rsidR="009C5151" w:rsidRDefault="009C5151" w:rsidP="009C5151">
      <w:pPr>
        <w:spacing w:before="40" w:after="40" w:line="240" w:lineRule="auto"/>
        <w:rPr>
          <w:b/>
          <w:bCs/>
          <w:sz w:val="24"/>
          <w:szCs w:val="24"/>
        </w:rPr>
      </w:pPr>
    </w:p>
    <w:p w14:paraId="71D4C6EB" w14:textId="5EE9EBCA" w:rsidR="009C5151" w:rsidRDefault="009C5151" w:rsidP="009C5151">
      <w:pPr>
        <w:spacing w:before="40" w:after="40" w:line="240" w:lineRule="auto"/>
        <w:rPr>
          <w:sz w:val="24"/>
          <w:szCs w:val="24"/>
        </w:rPr>
      </w:pPr>
      <w:r w:rsidRPr="009C5151">
        <w:rPr>
          <w:sz w:val="24"/>
          <w:szCs w:val="24"/>
        </w:rPr>
        <w:t>In the Manager’s Summary</w:t>
      </w:r>
      <w:r>
        <w:rPr>
          <w:sz w:val="24"/>
          <w:szCs w:val="24"/>
        </w:rPr>
        <w:t>, it states “Since the threshold was met, Hydro 2000 is therefore not seeking disposal of its deferral and variance account in this proceeding”</w:t>
      </w:r>
      <w:r w:rsidR="00755F00">
        <w:rPr>
          <w:sz w:val="24"/>
          <w:szCs w:val="24"/>
        </w:rPr>
        <w:t>.</w:t>
      </w:r>
      <w:r>
        <w:rPr>
          <w:sz w:val="24"/>
          <w:szCs w:val="24"/>
        </w:rPr>
        <w:t xml:space="preserve"> OEB staff notes this may be a</w:t>
      </w:r>
      <w:r w:rsidR="00CB3CB7">
        <w:rPr>
          <w:sz w:val="24"/>
          <w:szCs w:val="24"/>
        </w:rPr>
        <w:t>n erroneous statement</w:t>
      </w:r>
      <w:r>
        <w:rPr>
          <w:sz w:val="24"/>
          <w:szCs w:val="24"/>
        </w:rPr>
        <w:t xml:space="preserve"> because the rest of the application indicates otherwise. Please confirm </w:t>
      </w:r>
      <w:r w:rsidR="00CB3CB7">
        <w:rPr>
          <w:sz w:val="24"/>
          <w:szCs w:val="24"/>
        </w:rPr>
        <w:t>that</w:t>
      </w:r>
      <w:r>
        <w:rPr>
          <w:sz w:val="24"/>
          <w:szCs w:val="24"/>
        </w:rPr>
        <w:t xml:space="preserve"> Hydro 2000 is seeking disposal of its deferral and variance account in this proceeding.</w:t>
      </w:r>
    </w:p>
    <w:p w14:paraId="7FF5ECB7" w14:textId="5F53C9F2" w:rsidR="009C5151" w:rsidRDefault="009C5151" w:rsidP="009C5151">
      <w:pPr>
        <w:spacing w:before="40" w:after="40" w:line="240" w:lineRule="auto"/>
        <w:rPr>
          <w:sz w:val="24"/>
          <w:szCs w:val="24"/>
        </w:rPr>
      </w:pPr>
    </w:p>
    <w:p w14:paraId="6FBB0868" w14:textId="2487199C" w:rsidR="006D27B3" w:rsidRPr="006D27B3" w:rsidRDefault="007C0057" w:rsidP="006D27B3">
      <w:pPr>
        <w:spacing w:before="40" w:after="40" w:line="240" w:lineRule="auto"/>
        <w:rPr>
          <w:color w:val="4472C4" w:themeColor="accent1"/>
          <w:sz w:val="24"/>
          <w:szCs w:val="24"/>
        </w:rPr>
      </w:pPr>
      <w:r w:rsidRPr="007C0057">
        <w:rPr>
          <w:b/>
          <w:bCs/>
          <w:color w:val="4472C4" w:themeColor="accent1"/>
          <w:sz w:val="24"/>
          <w:szCs w:val="24"/>
        </w:rPr>
        <w:t>H2000 Response:</w:t>
      </w:r>
      <w:r w:rsidRPr="006D27B3">
        <w:rPr>
          <w:color w:val="4472C4" w:themeColor="accent1"/>
          <w:sz w:val="24"/>
          <w:szCs w:val="24"/>
        </w:rPr>
        <w:t xml:space="preserve"> </w:t>
      </w:r>
      <w:r w:rsidR="006D27B3">
        <w:rPr>
          <w:color w:val="4472C4" w:themeColor="accent1"/>
          <w:sz w:val="24"/>
          <w:szCs w:val="24"/>
        </w:rPr>
        <w:t xml:space="preserve">H2000 is proposing to dispose of its outstanding balances in this application. </w:t>
      </w:r>
    </w:p>
    <w:p w14:paraId="2C77455F" w14:textId="77777777" w:rsidR="009C5151" w:rsidRDefault="009C5151" w:rsidP="009C5151">
      <w:pPr>
        <w:spacing w:before="40" w:after="40" w:line="240" w:lineRule="auto"/>
        <w:rPr>
          <w:sz w:val="24"/>
          <w:szCs w:val="24"/>
        </w:rPr>
      </w:pPr>
    </w:p>
    <w:p w14:paraId="4E6A3728" w14:textId="242EDA90" w:rsidR="009C5151" w:rsidRPr="00FB4CF2" w:rsidRDefault="009C5151" w:rsidP="009C5151">
      <w:pPr>
        <w:spacing w:before="40" w:after="40" w:line="240" w:lineRule="auto"/>
        <w:rPr>
          <w:b/>
          <w:bCs/>
          <w:sz w:val="24"/>
          <w:szCs w:val="24"/>
        </w:rPr>
      </w:pPr>
      <w:r w:rsidRPr="00FB4CF2">
        <w:rPr>
          <w:b/>
          <w:bCs/>
          <w:sz w:val="24"/>
          <w:szCs w:val="24"/>
        </w:rPr>
        <w:t>Staff Question-</w:t>
      </w:r>
      <w:r w:rsidR="0071757C">
        <w:rPr>
          <w:b/>
          <w:bCs/>
          <w:sz w:val="24"/>
          <w:szCs w:val="24"/>
        </w:rPr>
        <w:t>3</w:t>
      </w:r>
      <w:r w:rsidR="00473384">
        <w:rPr>
          <w:b/>
          <w:bCs/>
          <w:sz w:val="24"/>
          <w:szCs w:val="24"/>
        </w:rPr>
        <w:t xml:space="preserve"> </w:t>
      </w:r>
    </w:p>
    <w:p w14:paraId="5BD2DB50" w14:textId="6A196CE5" w:rsidR="009C5151" w:rsidRPr="00FB4CF2" w:rsidRDefault="009C5151" w:rsidP="009C5151">
      <w:pPr>
        <w:spacing w:before="40" w:after="40" w:line="240" w:lineRule="auto"/>
        <w:rPr>
          <w:b/>
          <w:bCs/>
          <w:sz w:val="24"/>
          <w:szCs w:val="24"/>
        </w:rPr>
      </w:pPr>
      <w:r w:rsidRPr="00FB4CF2">
        <w:rPr>
          <w:b/>
          <w:bCs/>
          <w:sz w:val="24"/>
          <w:szCs w:val="24"/>
        </w:rPr>
        <w:t xml:space="preserve">Ref: Manager’s Summary, p. </w:t>
      </w:r>
      <w:r>
        <w:rPr>
          <w:b/>
          <w:bCs/>
          <w:sz w:val="24"/>
          <w:szCs w:val="24"/>
        </w:rPr>
        <w:t>14</w:t>
      </w:r>
    </w:p>
    <w:p w14:paraId="4334677A" w14:textId="77777777" w:rsidR="009C5151" w:rsidRDefault="009C5151" w:rsidP="009C5151">
      <w:pPr>
        <w:spacing w:before="40" w:after="40" w:line="240" w:lineRule="auto"/>
        <w:rPr>
          <w:b/>
          <w:bCs/>
          <w:sz w:val="24"/>
          <w:szCs w:val="24"/>
        </w:rPr>
      </w:pPr>
    </w:p>
    <w:p w14:paraId="4C727DE0" w14:textId="0A2120DC" w:rsidR="009C5151" w:rsidRPr="009C5151" w:rsidRDefault="009C5151" w:rsidP="009C5151">
      <w:pPr>
        <w:spacing w:before="40" w:after="40" w:line="240" w:lineRule="auto"/>
        <w:rPr>
          <w:sz w:val="24"/>
          <w:szCs w:val="24"/>
        </w:rPr>
      </w:pPr>
      <w:r w:rsidRPr="009C5151">
        <w:rPr>
          <w:sz w:val="24"/>
          <w:szCs w:val="24"/>
        </w:rPr>
        <w:t>In the Manager’s Summary</w:t>
      </w:r>
      <w:r>
        <w:rPr>
          <w:sz w:val="24"/>
          <w:szCs w:val="24"/>
        </w:rPr>
        <w:t>, it states “</w:t>
      </w:r>
      <w:bookmarkStart w:id="1" w:name="_Hlk64374280"/>
      <w:r w:rsidR="00755F00">
        <w:rPr>
          <w:sz w:val="24"/>
          <w:szCs w:val="24"/>
        </w:rPr>
        <w:t xml:space="preserve">GA rate riders calculated on an energy basis </w:t>
      </w:r>
      <w:bookmarkEnd w:id="1"/>
      <w:r w:rsidR="00755F00">
        <w:rPr>
          <w:sz w:val="24"/>
          <w:szCs w:val="24"/>
        </w:rPr>
        <w:t>(kWh) (not applicable in this case)”. Please explain why it is not applicable.</w:t>
      </w:r>
    </w:p>
    <w:p w14:paraId="3C42B8D4" w14:textId="77777777" w:rsidR="007C0057" w:rsidRDefault="007C0057" w:rsidP="006D27B3">
      <w:pPr>
        <w:spacing w:before="40" w:after="40" w:line="240" w:lineRule="auto"/>
        <w:rPr>
          <w:b/>
          <w:bCs/>
          <w:color w:val="4472C4" w:themeColor="accent1"/>
          <w:sz w:val="24"/>
          <w:szCs w:val="24"/>
        </w:rPr>
      </w:pPr>
    </w:p>
    <w:p w14:paraId="31274A2F" w14:textId="16BBC35E" w:rsidR="006D27B3" w:rsidRPr="006D27B3" w:rsidRDefault="007C0057" w:rsidP="006D27B3">
      <w:pPr>
        <w:spacing w:before="40" w:after="40" w:line="240" w:lineRule="auto"/>
        <w:rPr>
          <w:color w:val="4472C4" w:themeColor="accent1"/>
          <w:sz w:val="24"/>
          <w:szCs w:val="24"/>
        </w:rPr>
      </w:pPr>
      <w:r w:rsidRPr="007C0057">
        <w:rPr>
          <w:b/>
          <w:bCs/>
          <w:color w:val="4472C4" w:themeColor="accent1"/>
          <w:sz w:val="24"/>
          <w:szCs w:val="24"/>
        </w:rPr>
        <w:lastRenderedPageBreak/>
        <w:t>H2000 Response:</w:t>
      </w:r>
      <w:r w:rsidRPr="006D27B3">
        <w:rPr>
          <w:color w:val="4472C4" w:themeColor="accent1"/>
          <w:sz w:val="24"/>
          <w:szCs w:val="24"/>
        </w:rPr>
        <w:t xml:space="preserve"> </w:t>
      </w:r>
      <w:r w:rsidR="006D27B3">
        <w:rPr>
          <w:color w:val="4472C4" w:themeColor="accent1"/>
          <w:sz w:val="24"/>
          <w:szCs w:val="24"/>
        </w:rPr>
        <w:t>H2000 confirms that the</w:t>
      </w:r>
      <w:r w:rsidR="006D27B3" w:rsidRPr="006D27B3">
        <w:t xml:space="preserve"> </w:t>
      </w:r>
      <w:r w:rsidR="006D27B3" w:rsidRPr="006D27B3">
        <w:rPr>
          <w:color w:val="4472C4" w:themeColor="accent1"/>
          <w:sz w:val="24"/>
          <w:szCs w:val="24"/>
        </w:rPr>
        <w:t>GA rate riders calculated on an energy basis</w:t>
      </w:r>
      <w:r w:rsidR="006D27B3">
        <w:rPr>
          <w:color w:val="4472C4" w:themeColor="accent1"/>
          <w:sz w:val="24"/>
          <w:szCs w:val="24"/>
        </w:rPr>
        <w:t xml:space="preserve"> and that it’s applicable in this case.</w:t>
      </w:r>
    </w:p>
    <w:p w14:paraId="58FCBEE4" w14:textId="7334238A" w:rsidR="005F70CB" w:rsidRDefault="005F70CB" w:rsidP="00DE0E85">
      <w:pPr>
        <w:spacing w:before="40" w:after="40" w:line="240" w:lineRule="auto"/>
        <w:rPr>
          <w:b/>
          <w:bCs/>
          <w:sz w:val="24"/>
          <w:szCs w:val="24"/>
        </w:rPr>
      </w:pPr>
    </w:p>
    <w:p w14:paraId="12E89EC2" w14:textId="3483815B" w:rsidR="00DE0E85" w:rsidRPr="00FB4CF2" w:rsidRDefault="00DE0E85" w:rsidP="00DE0E85">
      <w:pPr>
        <w:spacing w:before="40" w:after="40" w:line="240" w:lineRule="auto"/>
        <w:rPr>
          <w:b/>
          <w:bCs/>
          <w:sz w:val="24"/>
          <w:szCs w:val="24"/>
        </w:rPr>
      </w:pPr>
      <w:r w:rsidRPr="00FB4CF2">
        <w:rPr>
          <w:b/>
          <w:bCs/>
          <w:sz w:val="24"/>
          <w:szCs w:val="24"/>
        </w:rPr>
        <w:t>Staff-Question-</w:t>
      </w:r>
      <w:r w:rsidR="0071757C">
        <w:rPr>
          <w:b/>
          <w:bCs/>
          <w:sz w:val="24"/>
          <w:szCs w:val="24"/>
        </w:rPr>
        <w:t>4</w:t>
      </w:r>
      <w:r w:rsidR="00473384">
        <w:rPr>
          <w:b/>
          <w:bCs/>
          <w:sz w:val="24"/>
          <w:szCs w:val="24"/>
        </w:rPr>
        <w:t xml:space="preserve"> </w:t>
      </w:r>
    </w:p>
    <w:p w14:paraId="043731DC" w14:textId="2F954F82" w:rsidR="00ED25FB" w:rsidRPr="00FB4CF2" w:rsidRDefault="00ED25FB" w:rsidP="00DE0E85">
      <w:pPr>
        <w:spacing w:before="40" w:after="40" w:line="240" w:lineRule="auto"/>
        <w:rPr>
          <w:b/>
          <w:bCs/>
          <w:sz w:val="24"/>
          <w:szCs w:val="24"/>
        </w:rPr>
      </w:pPr>
      <w:r w:rsidRPr="00FB4CF2">
        <w:rPr>
          <w:b/>
          <w:bCs/>
          <w:sz w:val="24"/>
          <w:szCs w:val="24"/>
        </w:rPr>
        <w:t>Ref: Manager’s Summary, p. 14</w:t>
      </w:r>
    </w:p>
    <w:p w14:paraId="011F27C3" w14:textId="77777777" w:rsidR="00DE0E85" w:rsidRPr="00FB4CF2" w:rsidRDefault="00DE0E85" w:rsidP="00DE0E85">
      <w:pPr>
        <w:spacing w:before="40" w:after="40" w:line="240" w:lineRule="auto"/>
        <w:rPr>
          <w:b/>
          <w:bCs/>
          <w:sz w:val="24"/>
          <w:szCs w:val="24"/>
        </w:rPr>
      </w:pPr>
      <w:r w:rsidRPr="00FB4CF2">
        <w:rPr>
          <w:b/>
          <w:bCs/>
          <w:sz w:val="24"/>
          <w:szCs w:val="24"/>
        </w:rPr>
        <w:t>Ref: DVA Continuity Schedule</w:t>
      </w:r>
    </w:p>
    <w:p w14:paraId="2345088F" w14:textId="77777777" w:rsidR="00DE0E85" w:rsidRPr="00FB4CF2" w:rsidRDefault="00DE0E85" w:rsidP="00DE0E85">
      <w:pPr>
        <w:spacing w:before="40" w:after="40" w:line="240" w:lineRule="auto"/>
        <w:contextualSpacing/>
        <w:rPr>
          <w:sz w:val="24"/>
          <w:szCs w:val="24"/>
        </w:rPr>
      </w:pPr>
    </w:p>
    <w:p w14:paraId="367C3A43" w14:textId="63C628AF" w:rsidR="00ED25FB" w:rsidRPr="00FB4CF2" w:rsidRDefault="00ED25FB" w:rsidP="00ED25FB">
      <w:pPr>
        <w:spacing w:before="40" w:after="40" w:line="240" w:lineRule="auto"/>
        <w:contextualSpacing/>
        <w:rPr>
          <w:sz w:val="24"/>
          <w:szCs w:val="24"/>
        </w:rPr>
      </w:pPr>
      <w:r w:rsidRPr="00FB4CF2">
        <w:rPr>
          <w:sz w:val="24"/>
          <w:szCs w:val="24"/>
        </w:rPr>
        <w:t xml:space="preserve">In the Manager’s Summary, it states that Hydro 2000’s balances up to Dec 31, 2016, were approved on a final basis in its 2020 </w:t>
      </w:r>
      <w:r w:rsidR="0005304D">
        <w:rPr>
          <w:sz w:val="24"/>
          <w:szCs w:val="24"/>
        </w:rPr>
        <w:t>c</w:t>
      </w:r>
      <w:r w:rsidRPr="00FB4CF2">
        <w:rPr>
          <w:sz w:val="24"/>
          <w:szCs w:val="24"/>
        </w:rPr>
        <w:t xml:space="preserve">ost of </w:t>
      </w:r>
      <w:r w:rsidR="0005304D">
        <w:rPr>
          <w:sz w:val="24"/>
          <w:szCs w:val="24"/>
        </w:rPr>
        <w:t>s</w:t>
      </w:r>
      <w:r w:rsidRPr="00FB4CF2">
        <w:rPr>
          <w:sz w:val="24"/>
          <w:szCs w:val="24"/>
        </w:rPr>
        <w:t>ervice application</w:t>
      </w:r>
      <w:r w:rsidR="00494430">
        <w:rPr>
          <w:sz w:val="24"/>
          <w:szCs w:val="24"/>
        </w:rPr>
        <w:t>.</w:t>
      </w:r>
      <w:r w:rsidR="00494430">
        <w:rPr>
          <w:rStyle w:val="FootnoteReference"/>
          <w:sz w:val="24"/>
          <w:szCs w:val="24"/>
        </w:rPr>
        <w:footnoteReference w:id="1"/>
      </w:r>
    </w:p>
    <w:p w14:paraId="198757B1" w14:textId="77777777" w:rsidR="00ED25FB" w:rsidRPr="00FB4CF2" w:rsidRDefault="00ED25FB" w:rsidP="00DE0E85">
      <w:pPr>
        <w:spacing w:before="40" w:after="40" w:line="240" w:lineRule="auto"/>
        <w:contextualSpacing/>
        <w:rPr>
          <w:sz w:val="24"/>
          <w:szCs w:val="24"/>
        </w:rPr>
      </w:pPr>
    </w:p>
    <w:p w14:paraId="2A660994" w14:textId="56D3E1B9" w:rsidR="00DE0E85" w:rsidRPr="00FB4CF2" w:rsidRDefault="00DE0E85" w:rsidP="00DE0E85">
      <w:pPr>
        <w:spacing w:before="40" w:after="40" w:line="240" w:lineRule="auto"/>
        <w:contextualSpacing/>
        <w:rPr>
          <w:sz w:val="24"/>
          <w:szCs w:val="24"/>
        </w:rPr>
      </w:pPr>
      <w:r w:rsidRPr="00FB4CF2">
        <w:rPr>
          <w:sz w:val="24"/>
          <w:szCs w:val="24"/>
        </w:rPr>
        <w:t xml:space="preserve">In Hydro 2000’s settlement proposal that was approved in its 2020 cost of service rate application, it states </w:t>
      </w:r>
    </w:p>
    <w:p w14:paraId="278A3784" w14:textId="77777777" w:rsidR="00DE0E85" w:rsidRPr="00FB4CF2" w:rsidRDefault="00DE0E85" w:rsidP="00DE0E85">
      <w:pPr>
        <w:spacing w:before="40" w:after="40" w:line="240" w:lineRule="auto"/>
        <w:contextualSpacing/>
        <w:rPr>
          <w:sz w:val="24"/>
          <w:szCs w:val="24"/>
        </w:rPr>
      </w:pPr>
    </w:p>
    <w:p w14:paraId="7C807C62" w14:textId="77777777" w:rsidR="00DE0E85" w:rsidRPr="00FB4CF2" w:rsidRDefault="00DE0E85" w:rsidP="00DE0E85">
      <w:pPr>
        <w:spacing w:before="40" w:after="40" w:line="240" w:lineRule="auto"/>
        <w:ind w:left="720"/>
        <w:contextualSpacing/>
        <w:rPr>
          <w:sz w:val="24"/>
          <w:szCs w:val="24"/>
        </w:rPr>
      </w:pPr>
      <w:r w:rsidRPr="00FB4CF2">
        <w:rPr>
          <w:sz w:val="24"/>
          <w:szCs w:val="24"/>
        </w:rPr>
        <w:t xml:space="preserve">With respect to accounts 1588 and 1589, OEB staff had identified </w:t>
      </w:r>
      <w:proofErr w:type="gramStart"/>
      <w:r w:rsidRPr="00FB4CF2">
        <w:rPr>
          <w:sz w:val="24"/>
          <w:szCs w:val="24"/>
        </w:rPr>
        <w:t>a number of</w:t>
      </w:r>
      <w:proofErr w:type="gramEnd"/>
      <w:r w:rsidRPr="00FB4CF2">
        <w:rPr>
          <w:sz w:val="24"/>
          <w:szCs w:val="24"/>
        </w:rPr>
        <w:t xml:space="preserve"> issues during the proceeding with the 2017 and 2018 balances in these two accounts and suggested further review was required before disposing of these balances. As </w:t>
      </w:r>
      <w:proofErr w:type="gramStart"/>
      <w:r w:rsidRPr="00FB4CF2">
        <w:rPr>
          <w:sz w:val="24"/>
          <w:szCs w:val="24"/>
        </w:rPr>
        <w:t>agreed</w:t>
      </w:r>
      <w:proofErr w:type="gramEnd"/>
      <w:r w:rsidRPr="00FB4CF2">
        <w:rPr>
          <w:sz w:val="24"/>
          <w:szCs w:val="24"/>
        </w:rPr>
        <w:t xml:space="preserve"> to by the parties, H2000 will not dispose of balances in this proceeding. Instead H2000 will be permitted to dispose the balance to December 31, 2016 and bring forward a request for approval and clearance of amounts post December 31, 2016 in its 2021 IRM application. </w:t>
      </w:r>
    </w:p>
    <w:p w14:paraId="6830B159" w14:textId="77777777" w:rsidR="00DE0E85" w:rsidRPr="00FB4CF2" w:rsidRDefault="00DE0E85" w:rsidP="00DE0E85">
      <w:pPr>
        <w:spacing w:before="40" w:after="40" w:line="240" w:lineRule="auto"/>
        <w:contextualSpacing/>
        <w:rPr>
          <w:sz w:val="24"/>
          <w:szCs w:val="24"/>
        </w:rPr>
      </w:pPr>
    </w:p>
    <w:p w14:paraId="2F10A196" w14:textId="77777777" w:rsidR="00DE0E85" w:rsidRPr="00FB4CF2" w:rsidRDefault="00DE0E85" w:rsidP="00DE0E85">
      <w:pPr>
        <w:spacing w:before="40" w:after="40" w:line="240" w:lineRule="auto"/>
        <w:contextualSpacing/>
        <w:rPr>
          <w:sz w:val="24"/>
          <w:szCs w:val="24"/>
        </w:rPr>
      </w:pPr>
      <w:r w:rsidRPr="00FB4CF2">
        <w:rPr>
          <w:sz w:val="24"/>
          <w:szCs w:val="24"/>
        </w:rPr>
        <w:t>Table 21 of the settlement proposal and the attached DVA Continuity Schedule show $0 claim amounts for both accounts 1588 and 1589. The associated tariffs also do not appear to reflect the disposition of these two accounts.</w:t>
      </w:r>
    </w:p>
    <w:p w14:paraId="2C13D3CE" w14:textId="77777777" w:rsidR="00DE0E85" w:rsidRPr="00FB4CF2" w:rsidRDefault="00DE0E85" w:rsidP="00DE0E85">
      <w:pPr>
        <w:spacing w:before="40" w:after="40" w:line="240" w:lineRule="auto"/>
        <w:contextualSpacing/>
        <w:rPr>
          <w:sz w:val="24"/>
          <w:szCs w:val="24"/>
        </w:rPr>
      </w:pPr>
    </w:p>
    <w:p w14:paraId="0FB15749" w14:textId="2AA3B337" w:rsidR="00DE0E85" w:rsidRDefault="00DE0E85" w:rsidP="00DE0E85">
      <w:pPr>
        <w:pStyle w:val="ListParagraph"/>
        <w:numPr>
          <w:ilvl w:val="0"/>
          <w:numId w:val="4"/>
        </w:numPr>
        <w:spacing w:before="40" w:after="40" w:line="240" w:lineRule="auto"/>
        <w:rPr>
          <w:sz w:val="24"/>
          <w:szCs w:val="24"/>
        </w:rPr>
      </w:pPr>
      <w:r w:rsidRPr="00FB4CF2">
        <w:rPr>
          <w:sz w:val="24"/>
          <w:szCs w:val="24"/>
        </w:rPr>
        <w:t>Please confirm that the 2015 and 2016 Account 1588 and Account 1589 balances were not included for disposition in the 2020 cost of service rate application.</w:t>
      </w:r>
    </w:p>
    <w:p w14:paraId="1BE872C2" w14:textId="77777777" w:rsidR="006D27B3" w:rsidRDefault="006D27B3" w:rsidP="003E255E">
      <w:pPr>
        <w:pStyle w:val="ListParagraph"/>
        <w:spacing w:before="40" w:after="40" w:line="240" w:lineRule="auto"/>
        <w:rPr>
          <w:color w:val="4472C4" w:themeColor="accent1"/>
          <w:sz w:val="24"/>
          <w:szCs w:val="24"/>
        </w:rPr>
      </w:pPr>
    </w:p>
    <w:p w14:paraId="524A06DA" w14:textId="59C123F5" w:rsidR="003E255E" w:rsidRDefault="007C0057" w:rsidP="003E255E">
      <w:pPr>
        <w:pStyle w:val="ListParagraph"/>
        <w:spacing w:before="40" w:after="40" w:line="240" w:lineRule="auto"/>
        <w:rPr>
          <w:color w:val="4472C4" w:themeColor="accent1"/>
          <w:sz w:val="24"/>
          <w:szCs w:val="24"/>
        </w:rPr>
      </w:pPr>
      <w:r w:rsidRPr="007C0057">
        <w:rPr>
          <w:b/>
          <w:bCs/>
          <w:color w:val="4472C4" w:themeColor="accent1"/>
          <w:sz w:val="24"/>
          <w:szCs w:val="24"/>
        </w:rPr>
        <w:t>H2000 Response:</w:t>
      </w:r>
      <w:r w:rsidR="003E255E">
        <w:rPr>
          <w:color w:val="4472C4" w:themeColor="accent1"/>
          <w:sz w:val="24"/>
          <w:szCs w:val="24"/>
        </w:rPr>
        <w:t xml:space="preserve"> </w:t>
      </w:r>
      <w:r w:rsidR="005A260B">
        <w:rPr>
          <w:color w:val="4472C4" w:themeColor="accent1"/>
          <w:sz w:val="24"/>
          <w:szCs w:val="24"/>
        </w:rPr>
        <w:t>Co</w:t>
      </w:r>
      <w:r w:rsidR="003E255E">
        <w:rPr>
          <w:color w:val="4472C4" w:themeColor="accent1"/>
          <w:sz w:val="24"/>
          <w:szCs w:val="24"/>
        </w:rPr>
        <w:t xml:space="preserve">nfirmed. </w:t>
      </w:r>
      <w:r w:rsidR="005A260B">
        <w:rPr>
          <w:color w:val="4472C4" w:themeColor="accent1"/>
          <w:sz w:val="24"/>
          <w:szCs w:val="24"/>
        </w:rPr>
        <w:t>Although t</w:t>
      </w:r>
      <w:r w:rsidR="003E255E">
        <w:rPr>
          <w:color w:val="4472C4" w:themeColor="accent1"/>
          <w:sz w:val="24"/>
          <w:szCs w:val="24"/>
        </w:rPr>
        <w:t xml:space="preserve">he settlement agreement states </w:t>
      </w:r>
      <w:r w:rsidR="00821611">
        <w:rPr>
          <w:color w:val="4472C4" w:themeColor="accent1"/>
          <w:sz w:val="24"/>
          <w:szCs w:val="24"/>
        </w:rPr>
        <w:t xml:space="preserve">that </w:t>
      </w:r>
      <w:r w:rsidR="005A260B" w:rsidRPr="003E255E">
        <w:rPr>
          <w:b/>
          <w:bCs/>
          <w:i/>
          <w:iCs/>
          <w:color w:val="4472C4" w:themeColor="accent1"/>
          <w:sz w:val="24"/>
          <w:szCs w:val="24"/>
          <w:u w:val="single"/>
        </w:rPr>
        <w:t>H2000 will be permitted to dispose the balance to December 31, 2016</w:t>
      </w:r>
      <w:r w:rsidR="005A260B" w:rsidRPr="003E255E">
        <w:rPr>
          <w:i/>
          <w:iCs/>
          <w:color w:val="4472C4" w:themeColor="accent1"/>
          <w:sz w:val="24"/>
          <w:szCs w:val="24"/>
        </w:rPr>
        <w:t xml:space="preserve"> and bring forward a request for approval and clearance of amounts post December 31, 2016 in its 2021 IRM application</w:t>
      </w:r>
      <w:r w:rsidR="00821611">
        <w:rPr>
          <w:i/>
          <w:iCs/>
          <w:color w:val="4472C4" w:themeColor="accent1"/>
          <w:sz w:val="24"/>
          <w:szCs w:val="24"/>
        </w:rPr>
        <w:t xml:space="preserve">, </w:t>
      </w:r>
      <w:r w:rsidR="005A260B" w:rsidRPr="003E255E">
        <w:rPr>
          <w:i/>
          <w:iCs/>
          <w:color w:val="4472C4" w:themeColor="accent1"/>
          <w:sz w:val="24"/>
          <w:szCs w:val="24"/>
        </w:rPr>
        <w:t xml:space="preserve">. </w:t>
      </w:r>
      <w:r w:rsidR="005A260B">
        <w:rPr>
          <w:color w:val="4472C4" w:themeColor="accent1"/>
          <w:sz w:val="24"/>
          <w:szCs w:val="24"/>
        </w:rPr>
        <w:t>the models used for the final rate making purposes and to draft the decision and order did not include</w:t>
      </w:r>
      <w:r w:rsidR="00821611">
        <w:rPr>
          <w:color w:val="4472C4" w:themeColor="accent1"/>
          <w:sz w:val="24"/>
          <w:szCs w:val="24"/>
        </w:rPr>
        <w:t xml:space="preserve"> the balances for 2015 and 2016. </w:t>
      </w:r>
      <w:r w:rsidR="005A260B">
        <w:rPr>
          <w:color w:val="4472C4" w:themeColor="accent1"/>
          <w:sz w:val="24"/>
          <w:szCs w:val="24"/>
        </w:rPr>
        <w:t xml:space="preserve"> </w:t>
      </w:r>
    </w:p>
    <w:p w14:paraId="7AD65B6F" w14:textId="77777777" w:rsidR="003E255E" w:rsidRDefault="003E255E" w:rsidP="003E255E">
      <w:pPr>
        <w:pStyle w:val="ListParagraph"/>
        <w:spacing w:before="40" w:after="40" w:line="240" w:lineRule="auto"/>
        <w:rPr>
          <w:color w:val="4472C4" w:themeColor="accent1"/>
          <w:sz w:val="24"/>
          <w:szCs w:val="24"/>
        </w:rPr>
      </w:pPr>
    </w:p>
    <w:p w14:paraId="5DF9A161" w14:textId="77777777" w:rsidR="003E255E" w:rsidRPr="003E255E" w:rsidRDefault="003E255E" w:rsidP="003E255E">
      <w:pPr>
        <w:spacing w:before="40" w:after="40" w:line="240" w:lineRule="auto"/>
        <w:rPr>
          <w:sz w:val="24"/>
          <w:szCs w:val="24"/>
        </w:rPr>
      </w:pPr>
    </w:p>
    <w:p w14:paraId="216E5002" w14:textId="14088766" w:rsidR="00DE0E85" w:rsidRDefault="00DE0E85" w:rsidP="00DE0E85">
      <w:pPr>
        <w:pStyle w:val="ListParagraph"/>
        <w:numPr>
          <w:ilvl w:val="0"/>
          <w:numId w:val="4"/>
        </w:numPr>
        <w:spacing w:before="40" w:after="40" w:line="240" w:lineRule="auto"/>
        <w:rPr>
          <w:sz w:val="24"/>
          <w:szCs w:val="24"/>
        </w:rPr>
      </w:pPr>
      <w:r w:rsidRPr="00FB4CF2">
        <w:rPr>
          <w:sz w:val="24"/>
          <w:szCs w:val="24"/>
        </w:rPr>
        <w:t>If confirmed, please update the DVA Continuity Schedule to start from the ending 2014 balances for accounts 1588 and 1589.</w:t>
      </w:r>
      <w:r w:rsidR="002447B6" w:rsidRPr="00FB4CF2">
        <w:rPr>
          <w:sz w:val="24"/>
          <w:szCs w:val="24"/>
        </w:rPr>
        <w:t xml:space="preserve"> Please ensure that the amounts pertaining to 2015 and 2016 agree to the Inspection Report</w:t>
      </w:r>
      <w:r w:rsidR="00414ECF" w:rsidRPr="00FB4CF2">
        <w:rPr>
          <w:sz w:val="24"/>
          <w:szCs w:val="24"/>
        </w:rPr>
        <w:t xml:space="preserve"> filed in Hydro 2000’s 2020 cost of service proceeding for the inspection of Hydro 2000’s 2015 and 2016 account 1588 and 1589 balances</w:t>
      </w:r>
      <w:r w:rsidR="002447B6" w:rsidRPr="00FB4CF2">
        <w:rPr>
          <w:sz w:val="24"/>
          <w:szCs w:val="24"/>
        </w:rPr>
        <w:t xml:space="preserve">. </w:t>
      </w:r>
    </w:p>
    <w:p w14:paraId="7DB1FC23" w14:textId="77777777" w:rsidR="007C0057" w:rsidRDefault="007C0057" w:rsidP="007C0057">
      <w:pPr>
        <w:spacing w:before="40" w:after="40" w:line="240" w:lineRule="auto"/>
        <w:ind w:left="420" w:firstLine="300"/>
        <w:rPr>
          <w:color w:val="4472C4" w:themeColor="accent1"/>
          <w:sz w:val="24"/>
          <w:szCs w:val="24"/>
        </w:rPr>
      </w:pPr>
    </w:p>
    <w:p w14:paraId="5C35F0E3" w14:textId="407916E8" w:rsidR="007C0057" w:rsidRPr="007C0057" w:rsidRDefault="007C0057" w:rsidP="007C0057">
      <w:pPr>
        <w:spacing w:before="40" w:after="40" w:line="240" w:lineRule="auto"/>
        <w:ind w:left="420" w:firstLine="300"/>
        <w:rPr>
          <w:color w:val="4472C4" w:themeColor="accent1"/>
          <w:sz w:val="24"/>
          <w:szCs w:val="24"/>
        </w:rPr>
      </w:pPr>
      <w:r w:rsidRPr="007C0057">
        <w:rPr>
          <w:b/>
          <w:bCs/>
          <w:color w:val="4472C4" w:themeColor="accent1"/>
          <w:sz w:val="24"/>
          <w:szCs w:val="24"/>
        </w:rPr>
        <w:t>H2000 Response:</w:t>
      </w:r>
      <w:r w:rsidRPr="007C0057">
        <w:rPr>
          <w:color w:val="4472C4" w:themeColor="accent1"/>
          <w:sz w:val="24"/>
          <w:szCs w:val="24"/>
        </w:rPr>
        <w:t xml:space="preserve"> </w:t>
      </w:r>
      <w:r w:rsidR="00821611">
        <w:rPr>
          <w:color w:val="4472C4" w:themeColor="accent1"/>
          <w:sz w:val="24"/>
          <w:szCs w:val="24"/>
        </w:rPr>
        <w:t>Please see the attached model for revised balances of 1588/1589.</w:t>
      </w:r>
    </w:p>
    <w:p w14:paraId="263F0F2D" w14:textId="77777777" w:rsidR="007C0057" w:rsidRPr="007C0057" w:rsidRDefault="007C0057" w:rsidP="007C0057">
      <w:pPr>
        <w:spacing w:before="40" w:after="40" w:line="240" w:lineRule="auto"/>
        <w:ind w:left="420"/>
        <w:rPr>
          <w:sz w:val="24"/>
          <w:szCs w:val="24"/>
        </w:rPr>
      </w:pPr>
    </w:p>
    <w:p w14:paraId="589E80EB" w14:textId="62FE9B6E" w:rsidR="009E3A96" w:rsidRPr="00FB4CF2" w:rsidRDefault="009E3A96" w:rsidP="00DE0E85">
      <w:pPr>
        <w:pStyle w:val="ListParagraph"/>
        <w:numPr>
          <w:ilvl w:val="0"/>
          <w:numId w:val="4"/>
        </w:numPr>
        <w:spacing w:before="40" w:after="40" w:line="240" w:lineRule="auto"/>
        <w:rPr>
          <w:sz w:val="24"/>
          <w:szCs w:val="24"/>
        </w:rPr>
      </w:pPr>
      <w:r w:rsidRPr="00FB4CF2">
        <w:rPr>
          <w:sz w:val="24"/>
          <w:szCs w:val="24"/>
        </w:rPr>
        <w:t xml:space="preserve">If </w:t>
      </w:r>
      <w:r w:rsidR="00BD11E6">
        <w:rPr>
          <w:sz w:val="24"/>
          <w:szCs w:val="24"/>
        </w:rPr>
        <w:t xml:space="preserve">part a above is </w:t>
      </w:r>
      <w:r w:rsidRPr="00FB4CF2">
        <w:rPr>
          <w:sz w:val="24"/>
          <w:szCs w:val="24"/>
        </w:rPr>
        <w:t xml:space="preserve">not confirmed, please reconcile the differences </w:t>
      </w:r>
      <w:r w:rsidR="005A3B7F" w:rsidRPr="00FB4CF2">
        <w:rPr>
          <w:sz w:val="24"/>
          <w:szCs w:val="24"/>
        </w:rPr>
        <w:t>in</w:t>
      </w:r>
      <w:r w:rsidRPr="00FB4CF2">
        <w:rPr>
          <w:sz w:val="24"/>
          <w:szCs w:val="24"/>
        </w:rPr>
        <w:t xml:space="preserve"> the account 1588 and 1589 ending 2016 balances</w:t>
      </w:r>
      <w:r w:rsidR="005A3B7F" w:rsidRPr="00FB4CF2">
        <w:rPr>
          <w:sz w:val="24"/>
          <w:szCs w:val="24"/>
        </w:rPr>
        <w:t xml:space="preserve"> between </w:t>
      </w:r>
      <w:r w:rsidRPr="00FB4CF2">
        <w:rPr>
          <w:sz w:val="24"/>
          <w:szCs w:val="24"/>
        </w:rPr>
        <w:t>the</w:t>
      </w:r>
      <w:r w:rsidR="005A3B7F" w:rsidRPr="00FB4CF2">
        <w:rPr>
          <w:sz w:val="24"/>
          <w:szCs w:val="24"/>
        </w:rPr>
        <w:t xml:space="preserve"> </w:t>
      </w:r>
      <w:r w:rsidR="00D06A90" w:rsidRPr="00FB4CF2">
        <w:rPr>
          <w:sz w:val="24"/>
          <w:szCs w:val="24"/>
        </w:rPr>
        <w:t>D</w:t>
      </w:r>
      <w:r w:rsidRPr="00FB4CF2">
        <w:rPr>
          <w:sz w:val="24"/>
          <w:szCs w:val="24"/>
        </w:rPr>
        <w:t>VA C</w:t>
      </w:r>
      <w:r w:rsidR="005A3B7F" w:rsidRPr="00FB4CF2">
        <w:rPr>
          <w:sz w:val="24"/>
          <w:szCs w:val="24"/>
        </w:rPr>
        <w:t>ontinuity Schedule included in Hydro 2000’s 2020 cost of service settlement proposal and th</w:t>
      </w:r>
      <w:r w:rsidR="00D06A90" w:rsidRPr="00FB4CF2">
        <w:rPr>
          <w:sz w:val="24"/>
          <w:szCs w:val="24"/>
        </w:rPr>
        <w:t xml:space="preserve">e DVA Continuity Schedule in this proceeding. </w:t>
      </w:r>
    </w:p>
    <w:p w14:paraId="1C4B9B61" w14:textId="77777777" w:rsidR="007C0057" w:rsidRPr="007C0057" w:rsidRDefault="007C0057" w:rsidP="007C0057">
      <w:pPr>
        <w:spacing w:before="40" w:after="40" w:line="240" w:lineRule="auto"/>
        <w:ind w:left="720"/>
        <w:rPr>
          <w:color w:val="4472C4" w:themeColor="accent1"/>
          <w:sz w:val="24"/>
          <w:szCs w:val="24"/>
        </w:rPr>
      </w:pPr>
    </w:p>
    <w:p w14:paraId="1B949BC0" w14:textId="0B71E093" w:rsidR="007C0057" w:rsidRPr="007C0057" w:rsidRDefault="007C0057" w:rsidP="007C0057">
      <w:pPr>
        <w:spacing w:before="40" w:after="40" w:line="240" w:lineRule="auto"/>
        <w:ind w:left="720"/>
        <w:rPr>
          <w:color w:val="4472C4" w:themeColor="accent1"/>
          <w:sz w:val="24"/>
          <w:szCs w:val="24"/>
        </w:rPr>
      </w:pPr>
      <w:r w:rsidRPr="007C0057">
        <w:rPr>
          <w:b/>
          <w:bCs/>
          <w:color w:val="4472C4" w:themeColor="accent1"/>
          <w:sz w:val="24"/>
          <w:szCs w:val="24"/>
        </w:rPr>
        <w:t>H2000 Response:</w:t>
      </w:r>
      <w:r w:rsidRPr="006D27B3">
        <w:rPr>
          <w:color w:val="4472C4" w:themeColor="accent1"/>
          <w:sz w:val="24"/>
          <w:szCs w:val="24"/>
        </w:rPr>
        <w:t xml:space="preserve"> </w:t>
      </w:r>
      <w:r w:rsidR="00821611">
        <w:rPr>
          <w:color w:val="4472C4" w:themeColor="accent1"/>
          <w:sz w:val="24"/>
          <w:szCs w:val="24"/>
        </w:rPr>
        <w:t xml:space="preserve">The year end balances in the </w:t>
      </w:r>
      <w:r w:rsidR="004B62CB">
        <w:rPr>
          <w:color w:val="4472C4" w:themeColor="accent1"/>
          <w:sz w:val="24"/>
          <w:szCs w:val="24"/>
        </w:rPr>
        <w:t xml:space="preserve">attached model match the audit report. </w:t>
      </w:r>
    </w:p>
    <w:p w14:paraId="200010F4" w14:textId="77777777" w:rsidR="00DE0E85" w:rsidRPr="00FB4CF2" w:rsidRDefault="00DE0E85" w:rsidP="00DE0E85">
      <w:pPr>
        <w:spacing w:before="40" w:after="40" w:line="240" w:lineRule="auto"/>
        <w:contextualSpacing/>
        <w:rPr>
          <w:sz w:val="24"/>
          <w:szCs w:val="24"/>
        </w:rPr>
      </w:pPr>
    </w:p>
    <w:p w14:paraId="3D972B45" w14:textId="77777777" w:rsidR="00DE0E85" w:rsidRPr="00FB4CF2" w:rsidRDefault="00DE0E85" w:rsidP="00DE0E85">
      <w:pPr>
        <w:spacing w:before="40" w:after="40" w:line="240" w:lineRule="auto"/>
        <w:contextualSpacing/>
        <w:rPr>
          <w:b/>
          <w:bCs/>
          <w:sz w:val="24"/>
          <w:szCs w:val="24"/>
        </w:rPr>
      </w:pPr>
    </w:p>
    <w:p w14:paraId="7722F058" w14:textId="132BD8CC" w:rsidR="00925CEC" w:rsidRPr="00FB4CF2" w:rsidRDefault="00925CEC" w:rsidP="00925CEC">
      <w:pPr>
        <w:spacing w:before="40" w:after="40" w:line="240" w:lineRule="auto"/>
        <w:rPr>
          <w:b/>
          <w:bCs/>
          <w:sz w:val="24"/>
          <w:szCs w:val="24"/>
        </w:rPr>
      </w:pPr>
      <w:r w:rsidRPr="00FB4CF2">
        <w:rPr>
          <w:b/>
          <w:bCs/>
          <w:sz w:val="24"/>
          <w:szCs w:val="24"/>
        </w:rPr>
        <w:t>Staff Question-</w:t>
      </w:r>
      <w:r w:rsidR="0071757C">
        <w:rPr>
          <w:b/>
          <w:bCs/>
          <w:sz w:val="24"/>
          <w:szCs w:val="24"/>
        </w:rPr>
        <w:t>5</w:t>
      </w:r>
      <w:r w:rsidR="00473384">
        <w:rPr>
          <w:b/>
          <w:bCs/>
          <w:sz w:val="24"/>
          <w:szCs w:val="24"/>
        </w:rPr>
        <w:t xml:space="preserve"> </w:t>
      </w:r>
    </w:p>
    <w:p w14:paraId="126B4B7E" w14:textId="77777777" w:rsidR="00925CEC" w:rsidRPr="00FB4CF2" w:rsidRDefault="00925CEC" w:rsidP="00925CEC">
      <w:pPr>
        <w:spacing w:before="40" w:after="40" w:line="240" w:lineRule="auto"/>
        <w:rPr>
          <w:b/>
          <w:bCs/>
          <w:sz w:val="24"/>
          <w:szCs w:val="24"/>
        </w:rPr>
      </w:pPr>
      <w:r w:rsidRPr="00FB4CF2">
        <w:rPr>
          <w:b/>
          <w:bCs/>
          <w:sz w:val="24"/>
          <w:szCs w:val="24"/>
        </w:rPr>
        <w:t>Ref: Manager’s Summary, p. 16</w:t>
      </w:r>
    </w:p>
    <w:p w14:paraId="393BED6D" w14:textId="77777777" w:rsidR="00925CEC" w:rsidRPr="00FB4CF2" w:rsidRDefault="00925CEC" w:rsidP="00925CEC">
      <w:pPr>
        <w:spacing w:before="40" w:after="40" w:line="240" w:lineRule="auto"/>
        <w:rPr>
          <w:sz w:val="24"/>
          <w:szCs w:val="24"/>
        </w:rPr>
      </w:pPr>
    </w:p>
    <w:p w14:paraId="3B7304E1" w14:textId="44E81DB4" w:rsidR="008A6482" w:rsidRPr="00FB4CF2" w:rsidRDefault="00925CEC" w:rsidP="00925CEC">
      <w:pPr>
        <w:spacing w:before="40" w:after="40" w:line="240" w:lineRule="auto"/>
        <w:rPr>
          <w:sz w:val="24"/>
          <w:szCs w:val="24"/>
        </w:rPr>
      </w:pPr>
      <w:r w:rsidRPr="00FB4CF2">
        <w:rPr>
          <w:sz w:val="24"/>
          <w:szCs w:val="24"/>
        </w:rPr>
        <w:t xml:space="preserve">The </w:t>
      </w:r>
      <w:r w:rsidR="00446570" w:rsidRPr="00FB4CF2">
        <w:rPr>
          <w:sz w:val="24"/>
          <w:szCs w:val="24"/>
        </w:rPr>
        <w:t xml:space="preserve">OEB’s </w:t>
      </w:r>
      <w:r w:rsidRPr="00FB4CF2">
        <w:rPr>
          <w:sz w:val="24"/>
          <w:szCs w:val="24"/>
        </w:rPr>
        <w:t xml:space="preserve">February 21, 2019 Accounting Guidance </w:t>
      </w:r>
      <w:r w:rsidR="00D06A90" w:rsidRPr="00FB4CF2">
        <w:rPr>
          <w:sz w:val="24"/>
          <w:szCs w:val="24"/>
        </w:rPr>
        <w:t>for Account 1588 and Account 1589</w:t>
      </w:r>
      <w:r w:rsidR="00D06A90" w:rsidRPr="00FB4CF2">
        <w:rPr>
          <w:rStyle w:val="FootnoteReference"/>
          <w:sz w:val="24"/>
          <w:szCs w:val="24"/>
        </w:rPr>
        <w:footnoteReference w:id="2"/>
      </w:r>
      <w:r w:rsidR="00D06A90" w:rsidRPr="00FB4CF2">
        <w:rPr>
          <w:sz w:val="24"/>
          <w:szCs w:val="24"/>
        </w:rPr>
        <w:t xml:space="preserve"> (Accounting Guidance) </w:t>
      </w:r>
      <w:r w:rsidRPr="00FB4CF2">
        <w:rPr>
          <w:sz w:val="24"/>
          <w:szCs w:val="24"/>
        </w:rPr>
        <w:t>was effective January 1, 2019 and to be implemented by August 1, 2019. It appears that Hydro 2000 was not able to implement the Accounting Guidance in 2019</w:t>
      </w:r>
      <w:r w:rsidR="008A6482" w:rsidRPr="00FB4CF2">
        <w:rPr>
          <w:sz w:val="24"/>
          <w:szCs w:val="24"/>
        </w:rPr>
        <w:t xml:space="preserve">, </w:t>
      </w:r>
      <w:r w:rsidR="0082060D">
        <w:rPr>
          <w:sz w:val="24"/>
          <w:szCs w:val="24"/>
        </w:rPr>
        <w:t>as</w:t>
      </w:r>
      <w:r w:rsidR="006A76F1">
        <w:rPr>
          <w:sz w:val="24"/>
          <w:szCs w:val="24"/>
        </w:rPr>
        <w:t xml:space="preserve"> the </w:t>
      </w:r>
      <w:r w:rsidR="008A6482" w:rsidRPr="00FB4CF2">
        <w:rPr>
          <w:sz w:val="24"/>
          <w:szCs w:val="24"/>
        </w:rPr>
        <w:t>2019 account 1588 and 1589 balances</w:t>
      </w:r>
      <w:r w:rsidR="006A76F1">
        <w:rPr>
          <w:sz w:val="24"/>
          <w:szCs w:val="24"/>
        </w:rPr>
        <w:t xml:space="preserve"> were recalculated </w:t>
      </w:r>
      <w:r w:rsidR="00D00FEF">
        <w:rPr>
          <w:sz w:val="24"/>
          <w:szCs w:val="24"/>
        </w:rPr>
        <w:t>after the year-end RRR 2019 balances were filed</w:t>
      </w:r>
      <w:r w:rsidRPr="00FB4CF2">
        <w:rPr>
          <w:sz w:val="24"/>
          <w:szCs w:val="24"/>
        </w:rPr>
        <w:t xml:space="preserve">. </w:t>
      </w:r>
    </w:p>
    <w:p w14:paraId="76829FB2" w14:textId="77777777" w:rsidR="008A6482" w:rsidRPr="00FB4CF2" w:rsidRDefault="008A6482" w:rsidP="00925CEC">
      <w:pPr>
        <w:spacing w:before="40" w:after="40" w:line="240" w:lineRule="auto"/>
        <w:rPr>
          <w:sz w:val="24"/>
          <w:szCs w:val="24"/>
        </w:rPr>
      </w:pPr>
    </w:p>
    <w:p w14:paraId="4B104178" w14:textId="2AB8D5D0" w:rsidR="00925CEC" w:rsidRDefault="00925CEC" w:rsidP="008A6482">
      <w:pPr>
        <w:pStyle w:val="ListParagraph"/>
        <w:numPr>
          <w:ilvl w:val="0"/>
          <w:numId w:val="8"/>
        </w:numPr>
        <w:spacing w:before="40" w:after="40" w:line="240" w:lineRule="auto"/>
        <w:rPr>
          <w:sz w:val="24"/>
          <w:szCs w:val="24"/>
        </w:rPr>
      </w:pPr>
      <w:r w:rsidRPr="00FB4CF2">
        <w:rPr>
          <w:sz w:val="24"/>
          <w:szCs w:val="24"/>
        </w:rPr>
        <w:t xml:space="preserve">Please explain when Hydro 2000 implemented the Accounting Guidance. </w:t>
      </w:r>
    </w:p>
    <w:p w14:paraId="30ACD8D5" w14:textId="77777777" w:rsidR="002561EB" w:rsidRDefault="002561EB" w:rsidP="002561EB">
      <w:pPr>
        <w:pStyle w:val="ListParagraph"/>
        <w:spacing w:before="40" w:after="40" w:line="240" w:lineRule="auto"/>
        <w:rPr>
          <w:sz w:val="24"/>
          <w:szCs w:val="24"/>
        </w:rPr>
      </w:pPr>
    </w:p>
    <w:p w14:paraId="0FEF5180" w14:textId="5D9BE916" w:rsidR="002561EB" w:rsidRPr="003B4142" w:rsidRDefault="007C0057" w:rsidP="002561EB">
      <w:pPr>
        <w:pStyle w:val="ListParagraph"/>
        <w:spacing w:before="40" w:after="40" w:line="240" w:lineRule="auto"/>
        <w:rPr>
          <w:color w:val="4472C4" w:themeColor="accent1"/>
          <w:sz w:val="24"/>
          <w:szCs w:val="24"/>
        </w:rPr>
      </w:pPr>
      <w:r w:rsidRPr="007C0057">
        <w:rPr>
          <w:b/>
          <w:bCs/>
          <w:color w:val="4472C4" w:themeColor="accent1"/>
          <w:sz w:val="24"/>
          <w:szCs w:val="24"/>
        </w:rPr>
        <w:t>H2000 Response:</w:t>
      </w:r>
      <w:r w:rsidRPr="006D27B3">
        <w:rPr>
          <w:color w:val="4472C4" w:themeColor="accent1"/>
          <w:sz w:val="24"/>
          <w:szCs w:val="24"/>
        </w:rPr>
        <w:t xml:space="preserve"> </w:t>
      </w:r>
      <w:r w:rsidR="002561EB" w:rsidRPr="003B4142">
        <w:rPr>
          <w:color w:val="4472C4" w:themeColor="accent1"/>
          <w:sz w:val="24"/>
          <w:szCs w:val="24"/>
        </w:rPr>
        <w:t>Hydro 2000 Manager attended the OEB presentation 3 times and could not understand how the new form would apply to the methodology of an embedded Distributor reporting to Hydro One and not to IESO.  During the 2015-2016 Accounts 1588 &amp; 1589, it was indicated that Hydro 2000 would need to remove the month lag in filing to meet OEB requirement.  Hydro 2000 explained that all clients are unbilled at the end of the month since all clients are bill from the 1</w:t>
      </w:r>
      <w:r w:rsidR="002561EB" w:rsidRPr="003B4142">
        <w:rPr>
          <w:color w:val="4472C4" w:themeColor="accent1"/>
          <w:sz w:val="24"/>
          <w:szCs w:val="24"/>
          <w:vertAlign w:val="superscript"/>
        </w:rPr>
        <w:t>st</w:t>
      </w:r>
      <w:r w:rsidR="002561EB" w:rsidRPr="003B4142">
        <w:rPr>
          <w:color w:val="4472C4" w:themeColor="accent1"/>
          <w:sz w:val="24"/>
          <w:szCs w:val="24"/>
        </w:rPr>
        <w:t xml:space="preserve"> to the 31</w:t>
      </w:r>
      <w:r w:rsidR="002561EB" w:rsidRPr="003B4142">
        <w:rPr>
          <w:color w:val="4472C4" w:themeColor="accent1"/>
          <w:sz w:val="24"/>
          <w:szCs w:val="24"/>
          <w:vertAlign w:val="superscript"/>
        </w:rPr>
        <w:t>st</w:t>
      </w:r>
      <w:r w:rsidR="002561EB" w:rsidRPr="003B4142">
        <w:rPr>
          <w:color w:val="4472C4" w:themeColor="accent1"/>
          <w:sz w:val="24"/>
          <w:szCs w:val="24"/>
        </w:rPr>
        <w:t xml:space="preserve"> on or about the 17</w:t>
      </w:r>
      <w:r w:rsidR="002561EB" w:rsidRPr="003B4142">
        <w:rPr>
          <w:color w:val="4472C4" w:themeColor="accent1"/>
          <w:sz w:val="24"/>
          <w:szCs w:val="24"/>
          <w:vertAlign w:val="superscript"/>
        </w:rPr>
        <w:t>th</w:t>
      </w:r>
      <w:r w:rsidR="002561EB" w:rsidRPr="003B4142">
        <w:rPr>
          <w:color w:val="4472C4" w:themeColor="accent1"/>
          <w:sz w:val="24"/>
          <w:szCs w:val="24"/>
        </w:rPr>
        <w:t xml:space="preserve"> day of the following month.  Hydro 2000 was advised to report based on </w:t>
      </w:r>
      <w:proofErr w:type="spellStart"/>
      <w:proofErr w:type="gramStart"/>
      <w:r w:rsidR="002561EB" w:rsidRPr="003B4142">
        <w:rPr>
          <w:color w:val="4472C4" w:themeColor="accent1"/>
          <w:sz w:val="24"/>
          <w:szCs w:val="24"/>
        </w:rPr>
        <w:t>a</w:t>
      </w:r>
      <w:proofErr w:type="spellEnd"/>
      <w:proofErr w:type="gramEnd"/>
      <w:r w:rsidR="002561EB" w:rsidRPr="003B4142">
        <w:rPr>
          <w:color w:val="4472C4" w:themeColor="accent1"/>
          <w:sz w:val="24"/>
          <w:szCs w:val="24"/>
        </w:rPr>
        <w:t xml:space="preserve"> estimate of the most accuracy as possible thus the same period of the previous year.  Hydro 2000 was also informed to change the methodology to report the </w:t>
      </w:r>
      <w:proofErr w:type="spellStart"/>
      <w:r w:rsidR="002561EB" w:rsidRPr="003B4142">
        <w:rPr>
          <w:color w:val="4472C4" w:themeColor="accent1"/>
          <w:sz w:val="24"/>
          <w:szCs w:val="24"/>
        </w:rPr>
        <w:t>Microfits</w:t>
      </w:r>
      <w:proofErr w:type="spellEnd"/>
      <w:r w:rsidR="002561EB" w:rsidRPr="003B4142">
        <w:rPr>
          <w:color w:val="4472C4" w:themeColor="accent1"/>
          <w:sz w:val="24"/>
          <w:szCs w:val="24"/>
        </w:rPr>
        <w:t xml:space="preserve">.  This method was applied as of July 2019.  Hydro 2000 has always reported with the actual amount causing a month lag in reporting.  Yet, the reporting </w:t>
      </w:r>
      <w:proofErr w:type="gramStart"/>
      <w:r w:rsidR="002561EB" w:rsidRPr="003B4142">
        <w:rPr>
          <w:color w:val="4472C4" w:themeColor="accent1"/>
          <w:sz w:val="24"/>
          <w:szCs w:val="24"/>
        </w:rPr>
        <w:t>were</w:t>
      </w:r>
      <w:proofErr w:type="gramEnd"/>
      <w:r w:rsidR="002561EB" w:rsidRPr="003B4142">
        <w:rPr>
          <w:color w:val="4472C4" w:themeColor="accent1"/>
          <w:sz w:val="24"/>
          <w:szCs w:val="24"/>
        </w:rPr>
        <w:t xml:space="preserve"> based on actual hourly HOEP and mostly accurate.  OEB new methodology seem to be based on monthly average thus not as accurate.  On the other hand, OEB staff had Hydro 2000 change the methodology for </w:t>
      </w:r>
      <w:proofErr w:type="spellStart"/>
      <w:r w:rsidR="002561EB" w:rsidRPr="003B4142">
        <w:rPr>
          <w:color w:val="4472C4" w:themeColor="accent1"/>
          <w:sz w:val="24"/>
          <w:szCs w:val="24"/>
        </w:rPr>
        <w:t>Microfits</w:t>
      </w:r>
      <w:proofErr w:type="spellEnd"/>
      <w:r w:rsidR="002561EB" w:rsidRPr="003B4142">
        <w:rPr>
          <w:color w:val="4472C4" w:themeColor="accent1"/>
          <w:sz w:val="24"/>
          <w:szCs w:val="24"/>
        </w:rPr>
        <w:t xml:space="preserve"> from average to actual hourly production to be more accurate.  This is a confusing message.</w:t>
      </w:r>
    </w:p>
    <w:p w14:paraId="5C412D38" w14:textId="77777777" w:rsidR="00B21941" w:rsidRPr="00FB4CF2" w:rsidRDefault="00B21941" w:rsidP="002561EB">
      <w:pPr>
        <w:pStyle w:val="ListParagraph"/>
        <w:spacing w:before="40" w:after="40" w:line="240" w:lineRule="auto"/>
        <w:rPr>
          <w:sz w:val="24"/>
          <w:szCs w:val="24"/>
        </w:rPr>
      </w:pPr>
    </w:p>
    <w:p w14:paraId="40117773" w14:textId="59BA0961" w:rsidR="008A6482" w:rsidRDefault="008A6482" w:rsidP="008A6482">
      <w:pPr>
        <w:pStyle w:val="ListParagraph"/>
        <w:numPr>
          <w:ilvl w:val="0"/>
          <w:numId w:val="8"/>
        </w:numPr>
        <w:spacing w:before="40" w:after="40" w:line="240" w:lineRule="auto"/>
        <w:rPr>
          <w:sz w:val="24"/>
          <w:szCs w:val="24"/>
        </w:rPr>
      </w:pPr>
      <w:r w:rsidRPr="00FB4CF2">
        <w:rPr>
          <w:sz w:val="24"/>
          <w:szCs w:val="24"/>
        </w:rPr>
        <w:lastRenderedPageBreak/>
        <w:t xml:space="preserve">Please </w:t>
      </w:r>
      <w:r w:rsidR="0086672E" w:rsidRPr="00FB4CF2">
        <w:rPr>
          <w:sz w:val="24"/>
          <w:szCs w:val="24"/>
        </w:rPr>
        <w:t>provide a narrative of Hydro 2000’s current RPP settlement process with Hydro One</w:t>
      </w:r>
      <w:r w:rsidR="00E8232B" w:rsidRPr="00FB4CF2">
        <w:rPr>
          <w:sz w:val="24"/>
          <w:szCs w:val="24"/>
        </w:rPr>
        <w:t xml:space="preserve"> and confirm that this process was used when </w:t>
      </w:r>
      <w:r w:rsidR="00E37BCB">
        <w:rPr>
          <w:sz w:val="24"/>
          <w:szCs w:val="24"/>
        </w:rPr>
        <w:t>recalculating</w:t>
      </w:r>
      <w:r w:rsidR="00E37BCB" w:rsidRPr="00FB4CF2">
        <w:rPr>
          <w:sz w:val="24"/>
          <w:szCs w:val="24"/>
        </w:rPr>
        <w:t xml:space="preserve"> </w:t>
      </w:r>
      <w:r w:rsidR="00E8232B" w:rsidRPr="00FB4CF2">
        <w:rPr>
          <w:sz w:val="24"/>
          <w:szCs w:val="24"/>
        </w:rPr>
        <w:t xml:space="preserve">the 2017 to 2019 account balances. </w:t>
      </w:r>
    </w:p>
    <w:p w14:paraId="5106B2DE" w14:textId="4B70B441" w:rsidR="002561EB" w:rsidRDefault="002561EB" w:rsidP="002561EB">
      <w:pPr>
        <w:pStyle w:val="ListParagraph"/>
        <w:spacing w:before="40" w:after="40" w:line="240" w:lineRule="auto"/>
        <w:rPr>
          <w:sz w:val="24"/>
          <w:szCs w:val="24"/>
        </w:rPr>
      </w:pPr>
    </w:p>
    <w:p w14:paraId="3DC00591" w14:textId="4CA08498" w:rsidR="00B21941" w:rsidRPr="003B4142" w:rsidRDefault="007C0057" w:rsidP="002561EB">
      <w:pPr>
        <w:pStyle w:val="ListParagraph"/>
        <w:spacing w:before="40" w:after="40" w:line="240" w:lineRule="auto"/>
        <w:rPr>
          <w:color w:val="4472C4" w:themeColor="accent1"/>
          <w:sz w:val="24"/>
          <w:szCs w:val="24"/>
        </w:rPr>
      </w:pPr>
      <w:r w:rsidRPr="007C0057">
        <w:rPr>
          <w:b/>
          <w:bCs/>
          <w:color w:val="4472C4" w:themeColor="accent1"/>
          <w:sz w:val="24"/>
          <w:szCs w:val="24"/>
        </w:rPr>
        <w:t>H2000 Response:</w:t>
      </w:r>
      <w:r w:rsidRPr="006D27B3">
        <w:rPr>
          <w:color w:val="4472C4" w:themeColor="accent1"/>
          <w:sz w:val="24"/>
          <w:szCs w:val="24"/>
        </w:rPr>
        <w:t xml:space="preserve"> </w:t>
      </w:r>
      <w:r w:rsidR="00B21941" w:rsidRPr="003B4142">
        <w:rPr>
          <w:color w:val="4472C4" w:themeColor="accent1"/>
          <w:sz w:val="24"/>
          <w:szCs w:val="24"/>
        </w:rPr>
        <w:t>When completing RPP settlement process with Hydro One, Hydro 2000 uses a bottom up approach.  The utility pulls out the RPP revenues for the month, divide that amount by the fixed OEB power rate to determine the kWh.  With the total amount of kWh sold obtained, Hydro 2000 then multiplies the amount with the estimated power rate, and that results in the amount of dollars claimed/paid from/to Hydro One.  Since applying the new method Hydro 2000 proceed in the same manner but estimate the current month power revenue and price then proceed to adjust with actual data in the following month.  The difference found from the estimate and the actual is then adjusted to the following month estimate.</w:t>
      </w:r>
    </w:p>
    <w:p w14:paraId="66CDBEC7" w14:textId="7E1CBF8A" w:rsidR="0035247F" w:rsidRPr="003B4142" w:rsidRDefault="0035247F" w:rsidP="002561EB">
      <w:pPr>
        <w:pStyle w:val="ListParagraph"/>
        <w:spacing w:before="40" w:after="40" w:line="240" w:lineRule="auto"/>
        <w:rPr>
          <w:color w:val="4472C4" w:themeColor="accent1"/>
          <w:sz w:val="24"/>
          <w:szCs w:val="24"/>
        </w:rPr>
      </w:pPr>
    </w:p>
    <w:p w14:paraId="2FED1CE0" w14:textId="7704A91B" w:rsidR="0035247F" w:rsidRDefault="0035247F" w:rsidP="002561EB">
      <w:pPr>
        <w:pStyle w:val="ListParagraph"/>
        <w:spacing w:before="40" w:after="40" w:line="240" w:lineRule="auto"/>
        <w:rPr>
          <w:sz w:val="24"/>
          <w:szCs w:val="24"/>
        </w:rPr>
      </w:pPr>
      <w:r w:rsidRPr="003B4142">
        <w:rPr>
          <w:color w:val="4472C4" w:themeColor="accent1"/>
          <w:sz w:val="24"/>
          <w:szCs w:val="24"/>
        </w:rPr>
        <w:t xml:space="preserve">Hydro 2000 admits the change in administration </w:t>
      </w:r>
      <w:r w:rsidR="003B4142" w:rsidRPr="003B4142">
        <w:rPr>
          <w:color w:val="4472C4" w:themeColor="accent1"/>
          <w:sz w:val="24"/>
          <w:szCs w:val="24"/>
        </w:rPr>
        <w:t>created some differences in the settlement process with Hydro One.  Upon new Management in 2018, 2017 and 2018 settlements were revised and resubmitted to Hydro One.  The Manager found an issue with the formula used in the worksheet and rectified as soon as the issue was found</w:t>
      </w:r>
      <w:r w:rsidR="003B4142">
        <w:rPr>
          <w:sz w:val="24"/>
          <w:szCs w:val="24"/>
        </w:rPr>
        <w:t>.</w:t>
      </w:r>
    </w:p>
    <w:p w14:paraId="79B7992F" w14:textId="77777777" w:rsidR="000237F3" w:rsidRDefault="000237F3" w:rsidP="002561EB">
      <w:pPr>
        <w:pStyle w:val="ListParagraph"/>
        <w:spacing w:before="40" w:after="40" w:line="240" w:lineRule="auto"/>
        <w:rPr>
          <w:sz w:val="24"/>
          <w:szCs w:val="24"/>
        </w:rPr>
      </w:pPr>
    </w:p>
    <w:p w14:paraId="0246AC00" w14:textId="76CE375E" w:rsidR="0016421C" w:rsidRDefault="00270F52" w:rsidP="008A6482">
      <w:pPr>
        <w:pStyle w:val="ListParagraph"/>
        <w:numPr>
          <w:ilvl w:val="0"/>
          <w:numId w:val="8"/>
        </w:numPr>
        <w:spacing w:before="40" w:after="40" w:line="240" w:lineRule="auto"/>
        <w:rPr>
          <w:sz w:val="24"/>
          <w:szCs w:val="24"/>
        </w:rPr>
      </w:pPr>
      <w:r>
        <w:rPr>
          <w:sz w:val="24"/>
          <w:szCs w:val="24"/>
        </w:rPr>
        <w:t xml:space="preserve">An Inspection Report for an inspection of Hydro 2000’s 2015 and 2016 account 1588 and 1589 balances </w:t>
      </w:r>
      <w:proofErr w:type="gramStart"/>
      <w:r w:rsidR="00D352A4">
        <w:rPr>
          <w:sz w:val="24"/>
          <w:szCs w:val="24"/>
        </w:rPr>
        <w:t>was</w:t>
      </w:r>
      <w:proofErr w:type="gramEnd"/>
      <w:r>
        <w:rPr>
          <w:sz w:val="24"/>
          <w:szCs w:val="24"/>
        </w:rPr>
        <w:t xml:space="preserve"> filed in Hydro 2000’s 2020 cost of service </w:t>
      </w:r>
      <w:r w:rsidR="00AD475C">
        <w:rPr>
          <w:sz w:val="24"/>
          <w:szCs w:val="24"/>
        </w:rPr>
        <w:t xml:space="preserve">proceeding. The Inspection Report noted </w:t>
      </w:r>
      <w:proofErr w:type="gramStart"/>
      <w:r w:rsidR="00AD475C">
        <w:rPr>
          <w:sz w:val="24"/>
          <w:szCs w:val="24"/>
        </w:rPr>
        <w:t>a number of</w:t>
      </w:r>
      <w:proofErr w:type="gramEnd"/>
      <w:r w:rsidR="00AD475C">
        <w:rPr>
          <w:sz w:val="24"/>
          <w:szCs w:val="24"/>
        </w:rPr>
        <w:t xml:space="preserve"> findings. Please confirm that Hydro 2000 has addressed and resolved all these finding</w:t>
      </w:r>
      <w:r w:rsidR="007D31B7">
        <w:rPr>
          <w:sz w:val="24"/>
          <w:szCs w:val="24"/>
        </w:rPr>
        <w:t>s</w:t>
      </w:r>
      <w:r w:rsidR="004C1550">
        <w:rPr>
          <w:sz w:val="24"/>
          <w:szCs w:val="24"/>
        </w:rPr>
        <w:t xml:space="preserve"> and have revised its accounting practice </w:t>
      </w:r>
      <w:r w:rsidR="00B92EE4">
        <w:rPr>
          <w:sz w:val="24"/>
          <w:szCs w:val="24"/>
        </w:rPr>
        <w:t xml:space="preserve">applicable to </w:t>
      </w:r>
      <w:r w:rsidR="00CE72EC">
        <w:rPr>
          <w:sz w:val="24"/>
          <w:szCs w:val="24"/>
        </w:rPr>
        <w:t xml:space="preserve">the </w:t>
      </w:r>
      <w:r w:rsidR="00E37BCB">
        <w:rPr>
          <w:sz w:val="24"/>
          <w:szCs w:val="24"/>
        </w:rPr>
        <w:t xml:space="preserve">recalculated </w:t>
      </w:r>
      <w:r w:rsidR="00B92EE4">
        <w:rPr>
          <w:sz w:val="24"/>
          <w:szCs w:val="24"/>
        </w:rPr>
        <w:t>2017 balances onwards.</w:t>
      </w:r>
      <w:r w:rsidR="00550DC8">
        <w:rPr>
          <w:sz w:val="24"/>
          <w:szCs w:val="24"/>
        </w:rPr>
        <w:t xml:space="preserve"> </w:t>
      </w:r>
    </w:p>
    <w:p w14:paraId="6BDA6832" w14:textId="734068BA" w:rsidR="00F47055" w:rsidRDefault="00550DC8" w:rsidP="005F70CB">
      <w:pPr>
        <w:pStyle w:val="ListParagraph"/>
        <w:numPr>
          <w:ilvl w:val="1"/>
          <w:numId w:val="8"/>
        </w:numPr>
        <w:spacing w:before="40" w:after="40" w:line="240" w:lineRule="auto"/>
        <w:rPr>
          <w:sz w:val="24"/>
          <w:szCs w:val="24"/>
        </w:rPr>
      </w:pPr>
      <w:r>
        <w:rPr>
          <w:sz w:val="24"/>
          <w:szCs w:val="24"/>
        </w:rPr>
        <w:t xml:space="preserve">For each finding, please </w:t>
      </w:r>
      <w:r w:rsidR="00D63340">
        <w:rPr>
          <w:sz w:val="24"/>
          <w:szCs w:val="24"/>
        </w:rPr>
        <w:t xml:space="preserve">explain how Hydro 2000 has addressed the finding applicable to the </w:t>
      </w:r>
      <w:r w:rsidR="00493AEE">
        <w:rPr>
          <w:sz w:val="24"/>
          <w:szCs w:val="24"/>
        </w:rPr>
        <w:t xml:space="preserve">recalculated </w:t>
      </w:r>
      <w:r w:rsidR="00D63340">
        <w:rPr>
          <w:sz w:val="24"/>
          <w:szCs w:val="24"/>
        </w:rPr>
        <w:t>2017 balances onward.</w:t>
      </w:r>
    </w:p>
    <w:p w14:paraId="1C0856C0" w14:textId="77777777" w:rsidR="003B4142" w:rsidRDefault="003B4142" w:rsidP="003B4142">
      <w:pPr>
        <w:pStyle w:val="ListParagraph"/>
        <w:spacing w:before="40" w:after="40" w:line="240" w:lineRule="auto"/>
        <w:ind w:left="1440"/>
        <w:rPr>
          <w:sz w:val="24"/>
          <w:szCs w:val="24"/>
        </w:rPr>
      </w:pPr>
    </w:p>
    <w:p w14:paraId="08FE9D36" w14:textId="0C510A64" w:rsidR="003B4142" w:rsidRPr="003B4142" w:rsidRDefault="003B4142" w:rsidP="003B4142">
      <w:pPr>
        <w:pStyle w:val="ListParagraph"/>
        <w:spacing w:before="40" w:after="40" w:line="240" w:lineRule="auto"/>
        <w:ind w:left="1440"/>
        <w:rPr>
          <w:color w:val="4472C4" w:themeColor="accent1"/>
          <w:sz w:val="24"/>
          <w:szCs w:val="24"/>
        </w:rPr>
      </w:pPr>
      <w:r w:rsidRPr="003B4142">
        <w:rPr>
          <w:color w:val="4472C4" w:themeColor="accent1"/>
          <w:sz w:val="24"/>
          <w:szCs w:val="24"/>
        </w:rPr>
        <w:t xml:space="preserve">H2000 revised all </w:t>
      </w:r>
      <w:proofErr w:type="spellStart"/>
      <w:r w:rsidRPr="003B4142">
        <w:rPr>
          <w:color w:val="4472C4" w:themeColor="accent1"/>
          <w:sz w:val="24"/>
          <w:szCs w:val="24"/>
        </w:rPr>
        <w:t>Microfits</w:t>
      </w:r>
      <w:proofErr w:type="spellEnd"/>
      <w:r w:rsidRPr="003B4142">
        <w:rPr>
          <w:color w:val="4472C4" w:themeColor="accent1"/>
          <w:sz w:val="24"/>
          <w:szCs w:val="24"/>
        </w:rPr>
        <w:t xml:space="preserve"> calculation and settlements for 2017-2018 and adapted the new method as of July 2019 as instructed.</w:t>
      </w:r>
    </w:p>
    <w:p w14:paraId="6D22F0DF" w14:textId="23AA5A1A" w:rsidR="003B4142" w:rsidRDefault="003B4142" w:rsidP="003B4142">
      <w:pPr>
        <w:pStyle w:val="ListParagraph"/>
        <w:spacing w:before="40" w:after="40" w:line="240" w:lineRule="auto"/>
        <w:ind w:left="1440"/>
        <w:rPr>
          <w:color w:val="4472C4" w:themeColor="accent1"/>
          <w:sz w:val="24"/>
          <w:szCs w:val="24"/>
        </w:rPr>
      </w:pPr>
      <w:r w:rsidRPr="003B4142">
        <w:rPr>
          <w:color w:val="4472C4" w:themeColor="accent1"/>
          <w:sz w:val="24"/>
          <w:szCs w:val="24"/>
        </w:rPr>
        <w:t xml:space="preserve">H2000 </w:t>
      </w:r>
      <w:r w:rsidR="00206C0D">
        <w:rPr>
          <w:color w:val="4472C4" w:themeColor="accent1"/>
          <w:sz w:val="24"/>
          <w:szCs w:val="24"/>
        </w:rPr>
        <w:t>has revised the formulas used for the method to do the settlements with Hydro One.</w:t>
      </w:r>
    </w:p>
    <w:p w14:paraId="367A6510" w14:textId="71C5781A" w:rsidR="00206C0D" w:rsidRDefault="00206C0D" w:rsidP="003B4142">
      <w:pPr>
        <w:pStyle w:val="ListParagraph"/>
        <w:spacing w:before="40" w:after="40" w:line="240" w:lineRule="auto"/>
        <w:ind w:left="1440"/>
        <w:rPr>
          <w:sz w:val="24"/>
          <w:szCs w:val="24"/>
        </w:rPr>
      </w:pPr>
      <w:r>
        <w:rPr>
          <w:color w:val="4472C4" w:themeColor="accent1"/>
          <w:sz w:val="24"/>
          <w:szCs w:val="24"/>
        </w:rPr>
        <w:t>H2000 is striving for accuracy.</w:t>
      </w:r>
    </w:p>
    <w:p w14:paraId="79118257" w14:textId="77777777" w:rsidR="003B4142" w:rsidRDefault="003B4142" w:rsidP="003B4142">
      <w:pPr>
        <w:pStyle w:val="ListParagraph"/>
        <w:spacing w:before="40" w:after="40" w:line="240" w:lineRule="auto"/>
        <w:ind w:left="1440"/>
        <w:rPr>
          <w:sz w:val="24"/>
          <w:szCs w:val="24"/>
        </w:rPr>
      </w:pPr>
    </w:p>
    <w:p w14:paraId="142E9A26" w14:textId="2DD91BFA" w:rsidR="00391993" w:rsidRPr="00FB4CF2" w:rsidRDefault="00391993" w:rsidP="008A6482">
      <w:pPr>
        <w:pStyle w:val="ListParagraph"/>
        <w:numPr>
          <w:ilvl w:val="0"/>
          <w:numId w:val="8"/>
        </w:numPr>
        <w:spacing w:before="40" w:after="40" w:line="240" w:lineRule="auto"/>
        <w:rPr>
          <w:sz w:val="24"/>
          <w:szCs w:val="24"/>
        </w:rPr>
      </w:pPr>
      <w:r>
        <w:rPr>
          <w:sz w:val="24"/>
          <w:szCs w:val="24"/>
        </w:rPr>
        <w:t>Please confirm that Hydro 2000 is requesting final disposition of its 2017 to 2019 account 1588 and 1589 balances.</w:t>
      </w:r>
    </w:p>
    <w:p w14:paraId="7713A4FA" w14:textId="486D239C" w:rsidR="00925CEC" w:rsidRDefault="00925CEC" w:rsidP="00DE0E85">
      <w:pPr>
        <w:spacing w:before="40" w:after="40" w:line="240" w:lineRule="auto"/>
        <w:rPr>
          <w:b/>
          <w:bCs/>
          <w:sz w:val="24"/>
          <w:szCs w:val="24"/>
        </w:rPr>
      </w:pPr>
    </w:p>
    <w:p w14:paraId="1DFBEAD9" w14:textId="7377156E" w:rsidR="009D1DEB" w:rsidRPr="007C0057" w:rsidRDefault="007C0057" w:rsidP="0048707D">
      <w:pPr>
        <w:spacing w:before="40" w:after="40" w:line="240" w:lineRule="auto"/>
        <w:ind w:left="720"/>
        <w:rPr>
          <w:b/>
          <w:bCs/>
          <w:color w:val="0070C0"/>
          <w:sz w:val="24"/>
          <w:szCs w:val="24"/>
        </w:rPr>
      </w:pPr>
      <w:r w:rsidRPr="007C0057">
        <w:rPr>
          <w:b/>
          <w:bCs/>
          <w:color w:val="0070C0"/>
          <w:sz w:val="24"/>
          <w:szCs w:val="24"/>
        </w:rPr>
        <w:t>H2000 Response:</w:t>
      </w:r>
      <w:r w:rsidRPr="007C0057">
        <w:rPr>
          <w:color w:val="0070C0"/>
          <w:sz w:val="24"/>
          <w:szCs w:val="24"/>
        </w:rPr>
        <w:t xml:space="preserve"> </w:t>
      </w:r>
      <w:r w:rsidR="009D1DEB" w:rsidRPr="007C0057">
        <w:rPr>
          <w:color w:val="0070C0"/>
          <w:sz w:val="24"/>
          <w:szCs w:val="24"/>
        </w:rPr>
        <w:t>Hydro 2000</w:t>
      </w:r>
      <w:r w:rsidR="00285098" w:rsidRPr="007C0057">
        <w:rPr>
          <w:color w:val="0070C0"/>
          <w:sz w:val="24"/>
          <w:szCs w:val="24"/>
        </w:rPr>
        <w:t xml:space="preserve"> is requesting final disposition of its 2017 to 2019 account 1588 and 1589 balances</w:t>
      </w:r>
      <w:r w:rsidR="0048707D" w:rsidRPr="007C0057">
        <w:rPr>
          <w:color w:val="0070C0"/>
          <w:sz w:val="24"/>
          <w:szCs w:val="24"/>
        </w:rPr>
        <w:t>.</w:t>
      </w:r>
    </w:p>
    <w:p w14:paraId="14AD8207" w14:textId="77777777" w:rsidR="00DE0E85" w:rsidRPr="00FB4CF2" w:rsidRDefault="00DE0E85" w:rsidP="00917236">
      <w:pPr>
        <w:spacing w:before="40" w:after="40" w:line="240" w:lineRule="auto"/>
        <w:contextualSpacing/>
        <w:rPr>
          <w:b/>
          <w:bCs/>
          <w:sz w:val="24"/>
          <w:szCs w:val="24"/>
        </w:rPr>
      </w:pPr>
    </w:p>
    <w:p w14:paraId="695966FF" w14:textId="77777777" w:rsidR="008B449A" w:rsidRDefault="008B449A" w:rsidP="00917236">
      <w:pPr>
        <w:spacing w:before="40" w:after="40" w:line="240" w:lineRule="auto"/>
        <w:contextualSpacing/>
        <w:rPr>
          <w:b/>
          <w:bCs/>
          <w:sz w:val="24"/>
          <w:szCs w:val="24"/>
        </w:rPr>
      </w:pPr>
    </w:p>
    <w:p w14:paraId="66DACE54" w14:textId="77777777" w:rsidR="008B449A" w:rsidRDefault="008B449A" w:rsidP="00917236">
      <w:pPr>
        <w:spacing w:before="40" w:after="40" w:line="240" w:lineRule="auto"/>
        <w:contextualSpacing/>
        <w:rPr>
          <w:b/>
          <w:bCs/>
          <w:sz w:val="24"/>
          <w:szCs w:val="24"/>
        </w:rPr>
      </w:pPr>
    </w:p>
    <w:p w14:paraId="3C1871D9" w14:textId="77777777" w:rsidR="008B449A" w:rsidRDefault="008B449A" w:rsidP="00917236">
      <w:pPr>
        <w:spacing w:before="40" w:after="40" w:line="240" w:lineRule="auto"/>
        <w:contextualSpacing/>
        <w:rPr>
          <w:b/>
          <w:bCs/>
          <w:sz w:val="24"/>
          <w:szCs w:val="24"/>
        </w:rPr>
      </w:pPr>
    </w:p>
    <w:p w14:paraId="3CA72006" w14:textId="77777777" w:rsidR="008B449A" w:rsidRDefault="008B449A" w:rsidP="00917236">
      <w:pPr>
        <w:spacing w:before="40" w:after="40" w:line="240" w:lineRule="auto"/>
        <w:contextualSpacing/>
        <w:rPr>
          <w:b/>
          <w:bCs/>
          <w:sz w:val="24"/>
          <w:szCs w:val="24"/>
        </w:rPr>
      </w:pPr>
    </w:p>
    <w:p w14:paraId="69184FD8" w14:textId="10D453FF" w:rsidR="00917236" w:rsidRPr="00FB4CF2" w:rsidRDefault="00917236" w:rsidP="00917236">
      <w:pPr>
        <w:spacing w:before="40" w:after="40" w:line="240" w:lineRule="auto"/>
        <w:contextualSpacing/>
        <w:rPr>
          <w:b/>
          <w:bCs/>
          <w:sz w:val="24"/>
          <w:szCs w:val="24"/>
        </w:rPr>
      </w:pPr>
      <w:r w:rsidRPr="00FB4CF2">
        <w:rPr>
          <w:b/>
          <w:bCs/>
          <w:sz w:val="24"/>
          <w:szCs w:val="24"/>
        </w:rPr>
        <w:lastRenderedPageBreak/>
        <w:t>Staff Question-</w:t>
      </w:r>
      <w:r w:rsidR="0071757C">
        <w:rPr>
          <w:b/>
          <w:bCs/>
          <w:sz w:val="24"/>
          <w:szCs w:val="24"/>
        </w:rPr>
        <w:t>6</w:t>
      </w:r>
      <w:r w:rsidR="00473384" w:rsidRPr="00473384">
        <w:rPr>
          <w:b/>
          <w:bCs/>
          <w:color w:val="FF0000"/>
          <w:sz w:val="24"/>
          <w:szCs w:val="24"/>
        </w:rPr>
        <w:t xml:space="preserve"> </w:t>
      </w:r>
    </w:p>
    <w:p w14:paraId="320A1821" w14:textId="2DCFB20E" w:rsidR="00917236" w:rsidRPr="00FB4CF2" w:rsidRDefault="00917236" w:rsidP="00917236">
      <w:pPr>
        <w:spacing w:before="40" w:after="40" w:line="240" w:lineRule="auto"/>
        <w:contextualSpacing/>
        <w:rPr>
          <w:b/>
          <w:bCs/>
          <w:sz w:val="24"/>
          <w:szCs w:val="24"/>
        </w:rPr>
      </w:pPr>
      <w:r w:rsidRPr="00FB4CF2">
        <w:rPr>
          <w:b/>
          <w:bCs/>
          <w:sz w:val="24"/>
          <w:szCs w:val="24"/>
        </w:rPr>
        <w:t>Ref: Manager’s Summary, p. 13</w:t>
      </w:r>
      <w:r w:rsidR="006B31E8" w:rsidRPr="00FB4CF2">
        <w:rPr>
          <w:b/>
          <w:bCs/>
          <w:sz w:val="24"/>
          <w:szCs w:val="24"/>
        </w:rPr>
        <w:t>, 16-17</w:t>
      </w:r>
    </w:p>
    <w:p w14:paraId="02C2094A" w14:textId="68EB076A" w:rsidR="00917236" w:rsidRPr="00FB4CF2" w:rsidRDefault="00917236" w:rsidP="00917236">
      <w:pPr>
        <w:spacing w:before="40" w:after="40" w:line="240" w:lineRule="auto"/>
        <w:contextualSpacing/>
        <w:rPr>
          <w:b/>
          <w:bCs/>
          <w:sz w:val="24"/>
          <w:szCs w:val="24"/>
        </w:rPr>
      </w:pPr>
    </w:p>
    <w:p w14:paraId="00062BDE" w14:textId="69B2F8FF" w:rsidR="006B31E8" w:rsidRPr="00FB4CF2" w:rsidRDefault="00917236" w:rsidP="00917236">
      <w:pPr>
        <w:spacing w:before="40" w:after="40" w:line="240" w:lineRule="auto"/>
        <w:contextualSpacing/>
        <w:rPr>
          <w:sz w:val="24"/>
          <w:szCs w:val="24"/>
        </w:rPr>
      </w:pPr>
      <w:r w:rsidRPr="00FB4CF2">
        <w:rPr>
          <w:sz w:val="24"/>
          <w:szCs w:val="24"/>
        </w:rPr>
        <w:t xml:space="preserve">Table 5 shows the difference in Account 1588 and Account 1589 balances using Hydro 2000’s old method and that from the February 21, 2019 Accounting Guidance. </w:t>
      </w:r>
      <w:r w:rsidR="006B31E8" w:rsidRPr="00FB4CF2">
        <w:rPr>
          <w:sz w:val="24"/>
          <w:szCs w:val="24"/>
        </w:rPr>
        <w:t xml:space="preserve">Account 1588 has been revised by $407,756 and Account 1589 has been revised by $30,338. </w:t>
      </w:r>
    </w:p>
    <w:p w14:paraId="27FC8121" w14:textId="76705418" w:rsidR="00FC37C5" w:rsidRPr="00FB4CF2" w:rsidRDefault="00FC37C5" w:rsidP="00917236">
      <w:pPr>
        <w:spacing w:before="40" w:after="40" w:line="240" w:lineRule="auto"/>
        <w:contextualSpacing/>
        <w:rPr>
          <w:sz w:val="24"/>
          <w:szCs w:val="24"/>
        </w:rPr>
      </w:pPr>
    </w:p>
    <w:p w14:paraId="4E571FFE" w14:textId="2C8505F2" w:rsidR="00FC37C5" w:rsidRDefault="00FC37C5" w:rsidP="00917236">
      <w:pPr>
        <w:spacing w:before="40" w:after="40" w:line="240" w:lineRule="auto"/>
        <w:contextualSpacing/>
        <w:rPr>
          <w:sz w:val="24"/>
          <w:szCs w:val="24"/>
        </w:rPr>
      </w:pPr>
      <w:r w:rsidRPr="00FB4CF2">
        <w:rPr>
          <w:sz w:val="24"/>
          <w:szCs w:val="24"/>
        </w:rPr>
        <w:t>Hydro 2000 notes differences were noted in the amounts claimed from Hydro One</w:t>
      </w:r>
      <w:r w:rsidR="000431EF" w:rsidRPr="00FB4CF2">
        <w:rPr>
          <w:sz w:val="24"/>
          <w:szCs w:val="24"/>
        </w:rPr>
        <w:t xml:space="preserve"> for GA in the RPP settlement. Differences were also noted in revenue and expense</w:t>
      </w:r>
      <w:r w:rsidR="00D37415" w:rsidRPr="00FB4CF2">
        <w:rPr>
          <w:sz w:val="24"/>
          <w:szCs w:val="24"/>
        </w:rPr>
        <w:t xml:space="preserve"> accounts. </w:t>
      </w:r>
    </w:p>
    <w:p w14:paraId="0641D475" w14:textId="77777777" w:rsidR="00A03D2A" w:rsidRPr="00FB4CF2" w:rsidRDefault="00A03D2A" w:rsidP="00917236">
      <w:pPr>
        <w:spacing w:before="40" w:after="40" w:line="240" w:lineRule="auto"/>
        <w:contextualSpacing/>
        <w:rPr>
          <w:sz w:val="24"/>
          <w:szCs w:val="24"/>
        </w:rPr>
      </w:pPr>
    </w:p>
    <w:p w14:paraId="67D6B5A9" w14:textId="137CA91F" w:rsidR="00D37415" w:rsidRDefault="00D37415" w:rsidP="006B31E8">
      <w:pPr>
        <w:pStyle w:val="ListParagraph"/>
        <w:numPr>
          <w:ilvl w:val="0"/>
          <w:numId w:val="1"/>
        </w:numPr>
        <w:spacing w:before="40" w:after="40" w:line="240" w:lineRule="auto"/>
        <w:rPr>
          <w:sz w:val="24"/>
          <w:szCs w:val="24"/>
        </w:rPr>
      </w:pPr>
      <w:r w:rsidRPr="00FB4CF2">
        <w:rPr>
          <w:sz w:val="24"/>
          <w:szCs w:val="24"/>
        </w:rPr>
        <w:t xml:space="preserve">Regarding the difference in RPP settlement relating to GA, please explain the reason for the difference. </w:t>
      </w:r>
      <w:r w:rsidR="00F828A6" w:rsidRPr="00FB4CF2">
        <w:rPr>
          <w:sz w:val="24"/>
          <w:szCs w:val="24"/>
        </w:rPr>
        <w:t xml:space="preserve">Please </w:t>
      </w:r>
      <w:r w:rsidR="00550E2F" w:rsidRPr="00FB4CF2">
        <w:rPr>
          <w:sz w:val="24"/>
          <w:szCs w:val="24"/>
        </w:rPr>
        <w:t>explain</w:t>
      </w:r>
      <w:r w:rsidR="00F828A6" w:rsidRPr="00FB4CF2">
        <w:rPr>
          <w:sz w:val="24"/>
          <w:szCs w:val="24"/>
        </w:rPr>
        <w:t xml:space="preserve"> whether Hydro 2000 has </w:t>
      </w:r>
      <w:r w:rsidR="001E47C4" w:rsidRPr="00FB4CF2">
        <w:rPr>
          <w:sz w:val="24"/>
          <w:szCs w:val="24"/>
        </w:rPr>
        <w:t>already submitted these RPP settlement adjustments to Hydro One</w:t>
      </w:r>
      <w:r w:rsidR="004F4177" w:rsidRPr="00FB4CF2">
        <w:rPr>
          <w:sz w:val="24"/>
          <w:szCs w:val="24"/>
        </w:rPr>
        <w:t xml:space="preserve"> and whether the submissions have been processed already.</w:t>
      </w:r>
    </w:p>
    <w:p w14:paraId="3070C648" w14:textId="71737E96" w:rsidR="000237F3" w:rsidRDefault="000237F3" w:rsidP="000237F3">
      <w:pPr>
        <w:pStyle w:val="ListParagraph"/>
        <w:spacing w:before="40" w:after="40" w:line="240" w:lineRule="auto"/>
        <w:rPr>
          <w:sz w:val="24"/>
          <w:szCs w:val="24"/>
        </w:rPr>
      </w:pPr>
    </w:p>
    <w:p w14:paraId="76CC36CD" w14:textId="024D3099" w:rsidR="000237F3" w:rsidRPr="003B4142" w:rsidRDefault="007C0057" w:rsidP="000237F3">
      <w:pPr>
        <w:pStyle w:val="ListParagraph"/>
        <w:spacing w:before="40" w:after="40" w:line="240" w:lineRule="auto"/>
        <w:rPr>
          <w:color w:val="4472C4" w:themeColor="accent1"/>
          <w:sz w:val="24"/>
          <w:szCs w:val="24"/>
        </w:rPr>
      </w:pPr>
      <w:r w:rsidRPr="007C0057">
        <w:rPr>
          <w:b/>
          <w:bCs/>
          <w:color w:val="4472C4" w:themeColor="accent1"/>
          <w:sz w:val="24"/>
          <w:szCs w:val="24"/>
        </w:rPr>
        <w:t>H2000 Response:</w:t>
      </w:r>
      <w:r w:rsidRPr="006D27B3">
        <w:rPr>
          <w:color w:val="4472C4" w:themeColor="accent1"/>
          <w:sz w:val="24"/>
          <w:szCs w:val="24"/>
        </w:rPr>
        <w:t xml:space="preserve"> </w:t>
      </w:r>
      <w:r w:rsidR="000237F3" w:rsidRPr="003B4142">
        <w:rPr>
          <w:color w:val="4472C4" w:themeColor="accent1"/>
          <w:sz w:val="24"/>
          <w:szCs w:val="24"/>
        </w:rPr>
        <w:t>H2000 submitted these RPP settlement adjustments to Hydro One as soon as it became aware of the discrepancy.  The difference was created by an erroneous worksheet formula which was corrected then.</w:t>
      </w:r>
    </w:p>
    <w:p w14:paraId="10B4F1C1" w14:textId="77777777" w:rsidR="000237F3" w:rsidRPr="00FB4CF2" w:rsidRDefault="000237F3" w:rsidP="000237F3">
      <w:pPr>
        <w:pStyle w:val="ListParagraph"/>
        <w:spacing w:before="40" w:after="40" w:line="240" w:lineRule="auto"/>
        <w:rPr>
          <w:sz w:val="24"/>
          <w:szCs w:val="24"/>
        </w:rPr>
      </w:pPr>
    </w:p>
    <w:p w14:paraId="2F511DA2" w14:textId="08AB3596" w:rsidR="006B31E8" w:rsidRDefault="00D37415" w:rsidP="006B31E8">
      <w:pPr>
        <w:pStyle w:val="ListParagraph"/>
        <w:numPr>
          <w:ilvl w:val="0"/>
          <w:numId w:val="1"/>
        </w:numPr>
        <w:spacing w:before="40" w:after="40" w:line="240" w:lineRule="auto"/>
        <w:rPr>
          <w:sz w:val="24"/>
          <w:szCs w:val="24"/>
        </w:rPr>
      </w:pPr>
      <w:r w:rsidRPr="00FB4CF2">
        <w:rPr>
          <w:sz w:val="24"/>
          <w:szCs w:val="24"/>
        </w:rPr>
        <w:t xml:space="preserve">Regarding differences in revenue and expense accounts, please explain </w:t>
      </w:r>
      <w:r w:rsidR="00D16F93" w:rsidRPr="00FB4CF2">
        <w:rPr>
          <w:sz w:val="24"/>
          <w:szCs w:val="24"/>
        </w:rPr>
        <w:t xml:space="preserve">the reason for the difference. </w:t>
      </w:r>
    </w:p>
    <w:p w14:paraId="2B335F03" w14:textId="3FE9E142" w:rsidR="000237F3" w:rsidRPr="007C0057" w:rsidRDefault="000237F3" w:rsidP="000237F3">
      <w:pPr>
        <w:pStyle w:val="ListParagraph"/>
        <w:spacing w:before="40" w:after="40" w:line="240" w:lineRule="auto"/>
        <w:rPr>
          <w:color w:val="0070C0"/>
          <w:sz w:val="24"/>
          <w:szCs w:val="24"/>
        </w:rPr>
      </w:pPr>
    </w:p>
    <w:p w14:paraId="0A7372CD" w14:textId="53FE4D6A" w:rsidR="000B50CB" w:rsidRPr="007C0057" w:rsidRDefault="007C0057" w:rsidP="000237F3">
      <w:pPr>
        <w:pStyle w:val="ListParagraph"/>
        <w:spacing w:before="40" w:after="40" w:line="240" w:lineRule="auto"/>
        <w:rPr>
          <w:color w:val="0070C0"/>
          <w:sz w:val="24"/>
          <w:szCs w:val="24"/>
        </w:rPr>
      </w:pPr>
      <w:r w:rsidRPr="007C0057">
        <w:rPr>
          <w:b/>
          <w:bCs/>
          <w:color w:val="0070C0"/>
          <w:sz w:val="24"/>
          <w:szCs w:val="24"/>
        </w:rPr>
        <w:t>H2000 Response:</w:t>
      </w:r>
      <w:r w:rsidRPr="007C0057">
        <w:rPr>
          <w:color w:val="0070C0"/>
          <w:sz w:val="24"/>
          <w:szCs w:val="24"/>
        </w:rPr>
        <w:t xml:space="preserve"> </w:t>
      </w:r>
      <w:r w:rsidR="00185D0F" w:rsidRPr="007C0057">
        <w:rPr>
          <w:color w:val="0070C0"/>
          <w:sz w:val="24"/>
          <w:szCs w:val="24"/>
        </w:rPr>
        <w:t>In its sprea</w:t>
      </w:r>
      <w:r w:rsidR="00471370" w:rsidRPr="007C0057">
        <w:rPr>
          <w:color w:val="0070C0"/>
          <w:sz w:val="24"/>
          <w:szCs w:val="24"/>
        </w:rPr>
        <w:t xml:space="preserve">dsheet, Hydro 2000 was using </w:t>
      </w:r>
      <w:r w:rsidR="00F7605D" w:rsidRPr="007C0057">
        <w:rPr>
          <w:color w:val="0070C0"/>
          <w:sz w:val="24"/>
          <w:szCs w:val="24"/>
        </w:rPr>
        <w:t>the wrong sign for the actual RPP ene</w:t>
      </w:r>
      <w:r w:rsidR="00BE21AC" w:rsidRPr="007C0057">
        <w:rPr>
          <w:color w:val="0070C0"/>
          <w:sz w:val="24"/>
          <w:szCs w:val="24"/>
        </w:rPr>
        <w:t>rgy.</w:t>
      </w:r>
      <w:r w:rsidR="00877925" w:rsidRPr="007C0057">
        <w:rPr>
          <w:color w:val="0070C0"/>
          <w:sz w:val="24"/>
          <w:szCs w:val="24"/>
        </w:rPr>
        <w:t xml:space="preserve"> Hydro 2000 was </w:t>
      </w:r>
      <w:r w:rsidR="000D45F5" w:rsidRPr="007C0057">
        <w:rPr>
          <w:color w:val="0070C0"/>
          <w:sz w:val="24"/>
          <w:szCs w:val="24"/>
        </w:rPr>
        <w:t xml:space="preserve">also using the kWh sold rather than the kWh purchased </w:t>
      </w:r>
      <w:r w:rsidR="00431A6B" w:rsidRPr="007C0057">
        <w:rPr>
          <w:color w:val="0070C0"/>
          <w:sz w:val="24"/>
          <w:szCs w:val="24"/>
        </w:rPr>
        <w:t xml:space="preserve">in its calculations. </w:t>
      </w:r>
      <w:r w:rsidR="00F74B84" w:rsidRPr="007C0057">
        <w:rPr>
          <w:color w:val="0070C0"/>
          <w:sz w:val="24"/>
          <w:szCs w:val="24"/>
        </w:rPr>
        <w:t xml:space="preserve">Some calculation errors were also identified. </w:t>
      </w:r>
      <w:r w:rsidR="00DF510B" w:rsidRPr="007C0057">
        <w:rPr>
          <w:color w:val="0070C0"/>
          <w:sz w:val="24"/>
          <w:szCs w:val="24"/>
        </w:rPr>
        <w:t>Hydro 2000 is confident that the variances calculated with the new accounting guidance is more ac</w:t>
      </w:r>
      <w:r w:rsidR="00B321AB" w:rsidRPr="007C0057">
        <w:rPr>
          <w:color w:val="0070C0"/>
          <w:sz w:val="24"/>
          <w:szCs w:val="24"/>
        </w:rPr>
        <w:t>c</w:t>
      </w:r>
      <w:r w:rsidR="00DF510B" w:rsidRPr="007C0057">
        <w:rPr>
          <w:color w:val="0070C0"/>
          <w:sz w:val="24"/>
          <w:szCs w:val="24"/>
        </w:rPr>
        <w:t>ura</w:t>
      </w:r>
      <w:r w:rsidR="00B321AB" w:rsidRPr="007C0057">
        <w:rPr>
          <w:color w:val="0070C0"/>
          <w:sz w:val="24"/>
          <w:szCs w:val="24"/>
        </w:rPr>
        <w:t>te.</w:t>
      </w:r>
      <w:r w:rsidR="00BE21AC" w:rsidRPr="007C0057">
        <w:rPr>
          <w:color w:val="0070C0"/>
          <w:sz w:val="24"/>
          <w:szCs w:val="24"/>
        </w:rPr>
        <w:t xml:space="preserve"> </w:t>
      </w:r>
    </w:p>
    <w:p w14:paraId="1C95AAE2" w14:textId="77777777" w:rsidR="000237F3" w:rsidRPr="00FB4CF2" w:rsidRDefault="000237F3" w:rsidP="000237F3">
      <w:pPr>
        <w:pStyle w:val="ListParagraph"/>
        <w:spacing w:before="40" w:after="40" w:line="240" w:lineRule="auto"/>
        <w:rPr>
          <w:sz w:val="24"/>
          <w:szCs w:val="24"/>
        </w:rPr>
      </w:pPr>
    </w:p>
    <w:p w14:paraId="0A021839" w14:textId="34C96B41" w:rsidR="00D16F93" w:rsidRDefault="00D16F93" w:rsidP="006B31E8">
      <w:pPr>
        <w:pStyle w:val="ListParagraph"/>
        <w:numPr>
          <w:ilvl w:val="0"/>
          <w:numId w:val="1"/>
        </w:numPr>
        <w:spacing w:before="40" w:after="40" w:line="240" w:lineRule="auto"/>
        <w:rPr>
          <w:sz w:val="24"/>
          <w:szCs w:val="24"/>
        </w:rPr>
      </w:pPr>
      <w:r w:rsidRPr="00FB4CF2">
        <w:rPr>
          <w:sz w:val="24"/>
          <w:szCs w:val="24"/>
        </w:rPr>
        <w:t xml:space="preserve">Please explain whether there were any other systemic differences between </w:t>
      </w:r>
      <w:r w:rsidR="00D102AA" w:rsidRPr="00FB4CF2">
        <w:rPr>
          <w:sz w:val="24"/>
          <w:szCs w:val="24"/>
        </w:rPr>
        <w:t xml:space="preserve">Hydro 2000’s old methodology and the methodology in the February 21, 2019 Accounting Guidance. </w:t>
      </w:r>
    </w:p>
    <w:p w14:paraId="2E247D92" w14:textId="6E6F9928" w:rsidR="000237F3" w:rsidRDefault="000237F3" w:rsidP="000237F3">
      <w:pPr>
        <w:pStyle w:val="ListParagraph"/>
        <w:spacing w:before="40" w:after="40" w:line="240" w:lineRule="auto"/>
        <w:rPr>
          <w:sz w:val="24"/>
          <w:szCs w:val="24"/>
        </w:rPr>
      </w:pPr>
    </w:p>
    <w:p w14:paraId="4A53856C" w14:textId="664E0D32" w:rsidR="0035247F" w:rsidRPr="003B4142" w:rsidRDefault="007C0057" w:rsidP="000237F3">
      <w:pPr>
        <w:pStyle w:val="ListParagraph"/>
        <w:spacing w:before="40" w:after="40" w:line="240" w:lineRule="auto"/>
        <w:rPr>
          <w:color w:val="4472C4" w:themeColor="accent1"/>
          <w:sz w:val="24"/>
          <w:szCs w:val="24"/>
        </w:rPr>
      </w:pPr>
      <w:r w:rsidRPr="007C0057">
        <w:rPr>
          <w:b/>
          <w:bCs/>
          <w:color w:val="4472C4" w:themeColor="accent1"/>
          <w:sz w:val="24"/>
          <w:szCs w:val="24"/>
        </w:rPr>
        <w:t>H2000 Response:</w:t>
      </w:r>
      <w:r w:rsidRPr="006D27B3">
        <w:rPr>
          <w:color w:val="4472C4" w:themeColor="accent1"/>
          <w:sz w:val="24"/>
          <w:szCs w:val="24"/>
        </w:rPr>
        <w:t xml:space="preserve"> </w:t>
      </w:r>
      <w:r w:rsidR="0035247F" w:rsidRPr="003B4142">
        <w:rPr>
          <w:color w:val="4472C4" w:themeColor="accent1"/>
          <w:sz w:val="24"/>
          <w:szCs w:val="24"/>
        </w:rPr>
        <w:t>Since H2000 Manager is under the impression OEB model should not be altered to meet their needs since there would be no uniformity; H2000 does not have actual bill and unbilled revenues at the 4</w:t>
      </w:r>
      <w:r w:rsidR="0035247F" w:rsidRPr="003B4142">
        <w:rPr>
          <w:color w:val="4472C4" w:themeColor="accent1"/>
          <w:sz w:val="24"/>
          <w:szCs w:val="24"/>
          <w:vertAlign w:val="superscript"/>
        </w:rPr>
        <w:t>th</w:t>
      </w:r>
      <w:r w:rsidR="0035247F" w:rsidRPr="003B4142">
        <w:rPr>
          <w:color w:val="4472C4" w:themeColor="accent1"/>
          <w:sz w:val="24"/>
          <w:szCs w:val="24"/>
        </w:rPr>
        <w:t xml:space="preserve"> of the following month nor at the 16</w:t>
      </w:r>
      <w:r w:rsidR="0035247F" w:rsidRPr="003B4142">
        <w:rPr>
          <w:color w:val="4472C4" w:themeColor="accent1"/>
          <w:sz w:val="24"/>
          <w:szCs w:val="24"/>
          <w:vertAlign w:val="superscript"/>
        </w:rPr>
        <w:t>th</w:t>
      </w:r>
      <w:r w:rsidR="0035247F" w:rsidRPr="003B4142">
        <w:rPr>
          <w:color w:val="4472C4" w:themeColor="accent1"/>
          <w:sz w:val="24"/>
          <w:szCs w:val="24"/>
        </w:rPr>
        <w:t xml:space="preserve"> of the following month; H2000 does not report to IESO but to Hydro One; H2000 is not a market participant; </w:t>
      </w:r>
      <w:r w:rsidR="00206C0D">
        <w:rPr>
          <w:color w:val="4472C4" w:themeColor="accent1"/>
          <w:sz w:val="24"/>
          <w:szCs w:val="24"/>
        </w:rPr>
        <w:t xml:space="preserve">there was a misunderstanding how to report the estimated average unit cost of power sold for RPP &amp; non-RPP for initial Settlement since the form does not have </w:t>
      </w:r>
      <w:r w:rsidR="00CD47B4">
        <w:rPr>
          <w:color w:val="4472C4" w:themeColor="accent1"/>
          <w:sz w:val="24"/>
          <w:szCs w:val="24"/>
        </w:rPr>
        <w:t>a cell to include the Average Weight; after using the methodology of February 21, 2019 to establish the variances, H2000 could see the accuracy of the new method.</w:t>
      </w:r>
      <w:r w:rsidR="0035247F" w:rsidRPr="003B4142">
        <w:rPr>
          <w:color w:val="4472C4" w:themeColor="accent1"/>
          <w:sz w:val="24"/>
          <w:szCs w:val="24"/>
        </w:rPr>
        <w:t xml:space="preserve"> </w:t>
      </w:r>
    </w:p>
    <w:p w14:paraId="6DCE3893" w14:textId="77777777" w:rsidR="0035247F" w:rsidRPr="00FB4CF2" w:rsidRDefault="0035247F" w:rsidP="000237F3">
      <w:pPr>
        <w:pStyle w:val="ListParagraph"/>
        <w:spacing w:before="40" w:after="40" w:line="240" w:lineRule="auto"/>
        <w:rPr>
          <w:sz w:val="24"/>
          <w:szCs w:val="24"/>
        </w:rPr>
      </w:pPr>
    </w:p>
    <w:p w14:paraId="7F64B6B5" w14:textId="2924A5E4" w:rsidR="006B31E8" w:rsidRPr="00FB4CF2" w:rsidRDefault="006B31E8" w:rsidP="006B31E8">
      <w:pPr>
        <w:pStyle w:val="ListParagraph"/>
        <w:numPr>
          <w:ilvl w:val="0"/>
          <w:numId w:val="1"/>
        </w:numPr>
        <w:spacing w:before="40" w:after="40" w:line="240" w:lineRule="auto"/>
        <w:rPr>
          <w:sz w:val="24"/>
          <w:szCs w:val="24"/>
        </w:rPr>
      </w:pPr>
      <w:r w:rsidRPr="00FB4CF2">
        <w:rPr>
          <w:sz w:val="24"/>
          <w:szCs w:val="24"/>
        </w:rPr>
        <w:t xml:space="preserve">Please breakdown the revisions for each account by </w:t>
      </w:r>
      <w:r w:rsidR="00575FDB">
        <w:rPr>
          <w:sz w:val="24"/>
          <w:szCs w:val="24"/>
        </w:rPr>
        <w:t xml:space="preserve">year. Please also breakdown the revisions by </w:t>
      </w:r>
      <w:r w:rsidR="00D16F93" w:rsidRPr="00FB4CF2">
        <w:rPr>
          <w:sz w:val="24"/>
          <w:szCs w:val="24"/>
        </w:rPr>
        <w:t xml:space="preserve">type of </w:t>
      </w:r>
      <w:r w:rsidR="00D102AA" w:rsidRPr="00FB4CF2">
        <w:rPr>
          <w:sz w:val="24"/>
          <w:szCs w:val="24"/>
        </w:rPr>
        <w:t>revision</w:t>
      </w:r>
      <w:r w:rsidR="00575FDB">
        <w:rPr>
          <w:sz w:val="24"/>
          <w:szCs w:val="24"/>
        </w:rPr>
        <w:t xml:space="preserve">, if readily available. </w:t>
      </w:r>
    </w:p>
    <w:p w14:paraId="1ACA0A6A" w14:textId="77777777" w:rsidR="007C0057" w:rsidRDefault="007C0057" w:rsidP="00EF1D12">
      <w:pPr>
        <w:spacing w:before="40" w:after="40" w:line="240" w:lineRule="auto"/>
        <w:ind w:left="720"/>
        <w:contextualSpacing/>
        <w:rPr>
          <w:b/>
          <w:bCs/>
          <w:color w:val="4472C4" w:themeColor="accent1"/>
          <w:sz w:val="24"/>
          <w:szCs w:val="24"/>
        </w:rPr>
      </w:pPr>
    </w:p>
    <w:p w14:paraId="5475CC00" w14:textId="5B064676" w:rsidR="005F70CB" w:rsidRPr="007C0057" w:rsidRDefault="007C0057" w:rsidP="00EF1D12">
      <w:pPr>
        <w:spacing w:before="40" w:after="40" w:line="240" w:lineRule="auto"/>
        <w:ind w:left="720"/>
        <w:contextualSpacing/>
        <w:rPr>
          <w:b/>
          <w:bCs/>
          <w:color w:val="0070C0"/>
          <w:sz w:val="24"/>
          <w:szCs w:val="24"/>
        </w:rPr>
      </w:pPr>
      <w:r w:rsidRPr="007C0057">
        <w:rPr>
          <w:b/>
          <w:bCs/>
          <w:color w:val="0070C0"/>
          <w:sz w:val="24"/>
          <w:szCs w:val="24"/>
        </w:rPr>
        <w:t>H2000 Response:</w:t>
      </w:r>
      <w:r w:rsidRPr="007C0057">
        <w:rPr>
          <w:color w:val="0070C0"/>
          <w:sz w:val="24"/>
          <w:szCs w:val="24"/>
        </w:rPr>
        <w:t xml:space="preserve"> </w:t>
      </w:r>
      <w:r w:rsidR="000B50CB" w:rsidRPr="007C0057">
        <w:rPr>
          <w:color w:val="0070C0"/>
          <w:sz w:val="24"/>
          <w:szCs w:val="24"/>
        </w:rPr>
        <w:t>H</w:t>
      </w:r>
      <w:r w:rsidR="00773B5B" w:rsidRPr="007C0057">
        <w:rPr>
          <w:color w:val="0070C0"/>
          <w:sz w:val="24"/>
          <w:szCs w:val="24"/>
        </w:rPr>
        <w:t xml:space="preserve">ydro 2000 recalculated its variances </w:t>
      </w:r>
      <w:r w:rsidR="00B30E71" w:rsidRPr="007C0057">
        <w:rPr>
          <w:color w:val="0070C0"/>
          <w:sz w:val="24"/>
          <w:szCs w:val="24"/>
        </w:rPr>
        <w:t xml:space="preserve">with the new model provided by OEB. </w:t>
      </w:r>
      <w:r w:rsidR="00406998" w:rsidRPr="007C0057">
        <w:rPr>
          <w:color w:val="0070C0"/>
          <w:sz w:val="24"/>
          <w:szCs w:val="24"/>
        </w:rPr>
        <w:t xml:space="preserve">Hydro 2000 did not summarize all the differences by type and </w:t>
      </w:r>
      <w:r w:rsidR="0003694A" w:rsidRPr="007C0057">
        <w:rPr>
          <w:color w:val="0070C0"/>
          <w:sz w:val="24"/>
          <w:szCs w:val="24"/>
        </w:rPr>
        <w:t xml:space="preserve">by year. In order to have this information, Hydro 2000 would have to analyze </w:t>
      </w:r>
      <w:r w:rsidR="005551E4" w:rsidRPr="007C0057">
        <w:rPr>
          <w:color w:val="0070C0"/>
          <w:sz w:val="24"/>
          <w:szCs w:val="24"/>
        </w:rPr>
        <w:t>every month one by one. This would represent a significant amount of work.</w:t>
      </w:r>
    </w:p>
    <w:p w14:paraId="52D0CEA8" w14:textId="77777777" w:rsidR="005F70CB" w:rsidRDefault="005F70CB" w:rsidP="00FE442B">
      <w:pPr>
        <w:spacing w:before="40" w:after="40" w:line="240" w:lineRule="auto"/>
        <w:contextualSpacing/>
        <w:rPr>
          <w:b/>
          <w:bCs/>
          <w:sz w:val="24"/>
          <w:szCs w:val="24"/>
        </w:rPr>
      </w:pPr>
    </w:p>
    <w:p w14:paraId="7E209AB7" w14:textId="77777777" w:rsidR="005F70CB" w:rsidRDefault="005F70CB" w:rsidP="00FE442B">
      <w:pPr>
        <w:spacing w:before="40" w:after="40" w:line="240" w:lineRule="auto"/>
        <w:contextualSpacing/>
        <w:rPr>
          <w:b/>
          <w:bCs/>
          <w:sz w:val="24"/>
          <w:szCs w:val="24"/>
        </w:rPr>
      </w:pPr>
    </w:p>
    <w:p w14:paraId="3AA21CDD" w14:textId="5D71FBDC" w:rsidR="00FE442B" w:rsidRPr="00FB4CF2" w:rsidRDefault="00FE442B" w:rsidP="00FE442B">
      <w:pPr>
        <w:spacing w:before="40" w:after="40" w:line="240" w:lineRule="auto"/>
        <w:contextualSpacing/>
        <w:rPr>
          <w:b/>
          <w:bCs/>
          <w:sz w:val="24"/>
          <w:szCs w:val="24"/>
        </w:rPr>
      </w:pPr>
      <w:r w:rsidRPr="00FB4CF2">
        <w:rPr>
          <w:b/>
          <w:bCs/>
          <w:sz w:val="24"/>
          <w:szCs w:val="24"/>
        </w:rPr>
        <w:t>Staff Question-</w:t>
      </w:r>
      <w:r w:rsidR="0071757C">
        <w:rPr>
          <w:b/>
          <w:bCs/>
          <w:sz w:val="24"/>
          <w:szCs w:val="24"/>
        </w:rPr>
        <w:t>7</w:t>
      </w:r>
      <w:r w:rsidR="00473384" w:rsidRPr="00473384">
        <w:rPr>
          <w:b/>
          <w:bCs/>
          <w:color w:val="FF0000"/>
          <w:sz w:val="24"/>
          <w:szCs w:val="24"/>
        </w:rPr>
        <w:t xml:space="preserve"> </w:t>
      </w:r>
    </w:p>
    <w:p w14:paraId="15DE7DA7" w14:textId="5AB5A37A" w:rsidR="000037B5" w:rsidRPr="00FB4CF2" w:rsidRDefault="00DB13E1" w:rsidP="00917236">
      <w:pPr>
        <w:spacing w:before="40" w:after="40" w:line="240" w:lineRule="auto"/>
        <w:contextualSpacing/>
        <w:rPr>
          <w:b/>
          <w:bCs/>
          <w:sz w:val="24"/>
          <w:szCs w:val="24"/>
        </w:rPr>
      </w:pPr>
      <w:r w:rsidRPr="00FB4CF2">
        <w:rPr>
          <w:b/>
          <w:bCs/>
          <w:sz w:val="24"/>
          <w:szCs w:val="24"/>
        </w:rPr>
        <w:t>Ref: Manager’s Summary, p.14</w:t>
      </w:r>
    </w:p>
    <w:p w14:paraId="0772DCC1" w14:textId="77777777" w:rsidR="00DB13E1" w:rsidRPr="00FB4CF2" w:rsidRDefault="00DB13E1" w:rsidP="00917236">
      <w:pPr>
        <w:spacing w:before="40" w:after="40" w:line="240" w:lineRule="auto"/>
        <w:contextualSpacing/>
        <w:rPr>
          <w:sz w:val="24"/>
          <w:szCs w:val="24"/>
        </w:rPr>
      </w:pPr>
    </w:p>
    <w:p w14:paraId="4552F1F9" w14:textId="65C78144" w:rsidR="000037B5" w:rsidRPr="00FB4CF2" w:rsidRDefault="00FE442B" w:rsidP="00917236">
      <w:pPr>
        <w:spacing w:before="40" w:after="40" w:line="240" w:lineRule="auto"/>
        <w:contextualSpacing/>
        <w:rPr>
          <w:sz w:val="24"/>
          <w:szCs w:val="24"/>
        </w:rPr>
      </w:pPr>
      <w:r w:rsidRPr="00FB4CF2">
        <w:rPr>
          <w:sz w:val="24"/>
          <w:szCs w:val="24"/>
        </w:rPr>
        <w:t>As state</w:t>
      </w:r>
      <w:r w:rsidR="000D1BEC" w:rsidRPr="00FB4CF2">
        <w:rPr>
          <w:sz w:val="24"/>
          <w:szCs w:val="24"/>
        </w:rPr>
        <w:t>d</w:t>
      </w:r>
      <w:r w:rsidR="00DB13E1" w:rsidRPr="00FB4CF2">
        <w:rPr>
          <w:sz w:val="24"/>
          <w:szCs w:val="24"/>
        </w:rPr>
        <w:t xml:space="preserve"> in Hydro 2000’s </w:t>
      </w:r>
      <w:r w:rsidR="008C3927" w:rsidRPr="00FB4CF2">
        <w:rPr>
          <w:sz w:val="24"/>
          <w:szCs w:val="24"/>
        </w:rPr>
        <w:t>approved settlement proposal in its 2020 cost of service rate application “</w:t>
      </w:r>
      <w:r w:rsidR="005D11D4" w:rsidRPr="00FB4CF2">
        <w:rPr>
          <w:sz w:val="24"/>
          <w:szCs w:val="24"/>
        </w:rPr>
        <w:t>With respect to accounts 1588 and 1589, OEB staff had identified a number of issues during the proceeding with the 2017 and 2018 balances in these two accounts and suggested further review was required before disposing of these balances.</w:t>
      </w:r>
      <w:r w:rsidR="00D52956" w:rsidRPr="00FB4CF2">
        <w:rPr>
          <w:sz w:val="24"/>
          <w:szCs w:val="24"/>
        </w:rPr>
        <w:t xml:space="preserve">” Please explain </w:t>
      </w:r>
      <w:r w:rsidR="00066E6C" w:rsidRPr="00FB4CF2">
        <w:rPr>
          <w:sz w:val="24"/>
          <w:szCs w:val="24"/>
        </w:rPr>
        <w:t xml:space="preserve">the issues identified and how Hydro 2000 has addressed each of the issues. </w:t>
      </w:r>
    </w:p>
    <w:p w14:paraId="02273115" w14:textId="1A4D57AE" w:rsidR="00066E6C" w:rsidRDefault="00066E6C" w:rsidP="00917236">
      <w:pPr>
        <w:spacing w:before="40" w:after="40" w:line="240" w:lineRule="auto"/>
        <w:contextualSpacing/>
        <w:rPr>
          <w:sz w:val="24"/>
          <w:szCs w:val="24"/>
        </w:rPr>
      </w:pPr>
    </w:p>
    <w:p w14:paraId="24297EFC" w14:textId="25564276" w:rsidR="00321E5A" w:rsidRPr="007C0057" w:rsidRDefault="007C0057" w:rsidP="00917236">
      <w:pPr>
        <w:spacing w:before="40" w:after="40" w:line="240" w:lineRule="auto"/>
        <w:contextualSpacing/>
        <w:rPr>
          <w:color w:val="0070C0"/>
          <w:sz w:val="24"/>
          <w:szCs w:val="24"/>
        </w:rPr>
      </w:pPr>
      <w:r w:rsidRPr="007C0057">
        <w:rPr>
          <w:b/>
          <w:bCs/>
          <w:color w:val="0070C0"/>
          <w:sz w:val="24"/>
          <w:szCs w:val="24"/>
        </w:rPr>
        <w:t>H2000 Response:</w:t>
      </w:r>
      <w:r w:rsidRPr="007C0057">
        <w:rPr>
          <w:color w:val="0070C0"/>
          <w:sz w:val="24"/>
          <w:szCs w:val="24"/>
        </w:rPr>
        <w:t xml:space="preserve"> </w:t>
      </w:r>
      <w:r w:rsidR="00D4658A" w:rsidRPr="007C0057">
        <w:rPr>
          <w:color w:val="0070C0"/>
          <w:sz w:val="24"/>
          <w:szCs w:val="24"/>
        </w:rPr>
        <w:t>With the change o</w:t>
      </w:r>
      <w:r w:rsidR="00EC34D6" w:rsidRPr="007C0057">
        <w:rPr>
          <w:color w:val="0070C0"/>
          <w:sz w:val="24"/>
          <w:szCs w:val="24"/>
        </w:rPr>
        <w:t>f</w:t>
      </w:r>
      <w:r w:rsidR="00D4658A" w:rsidRPr="007C0057">
        <w:rPr>
          <w:color w:val="0070C0"/>
          <w:sz w:val="24"/>
          <w:szCs w:val="24"/>
        </w:rPr>
        <w:t xml:space="preserve"> general manager</w:t>
      </w:r>
      <w:r w:rsidR="00191E93" w:rsidRPr="007C0057">
        <w:rPr>
          <w:color w:val="0070C0"/>
          <w:sz w:val="24"/>
          <w:szCs w:val="24"/>
        </w:rPr>
        <w:t xml:space="preserve"> a few years ago, many errors were discovered. </w:t>
      </w:r>
      <w:r w:rsidR="00F47632" w:rsidRPr="007C0057">
        <w:rPr>
          <w:color w:val="0070C0"/>
          <w:sz w:val="24"/>
          <w:szCs w:val="24"/>
        </w:rPr>
        <w:t xml:space="preserve">Many of these errors </w:t>
      </w:r>
      <w:r w:rsidRPr="007C0057">
        <w:rPr>
          <w:color w:val="0070C0"/>
          <w:sz w:val="24"/>
          <w:szCs w:val="24"/>
        </w:rPr>
        <w:t>were</w:t>
      </w:r>
      <w:r w:rsidR="00F47632" w:rsidRPr="007C0057">
        <w:rPr>
          <w:color w:val="0070C0"/>
          <w:sz w:val="24"/>
          <w:szCs w:val="24"/>
        </w:rPr>
        <w:t xml:space="preserve"> corrected </w:t>
      </w:r>
      <w:r w:rsidRPr="007C0057">
        <w:rPr>
          <w:color w:val="0070C0"/>
          <w:sz w:val="24"/>
          <w:szCs w:val="24"/>
        </w:rPr>
        <w:t>over the last two years</w:t>
      </w:r>
      <w:r w:rsidR="00F47632" w:rsidRPr="007C0057">
        <w:rPr>
          <w:color w:val="0070C0"/>
          <w:sz w:val="24"/>
          <w:szCs w:val="24"/>
        </w:rPr>
        <w:t xml:space="preserve">. </w:t>
      </w:r>
      <w:r w:rsidR="006105E6" w:rsidRPr="007C0057">
        <w:rPr>
          <w:color w:val="0070C0"/>
          <w:sz w:val="24"/>
          <w:szCs w:val="24"/>
        </w:rPr>
        <w:t>These errors created di</w:t>
      </w:r>
      <w:r w:rsidR="007173E1" w:rsidRPr="007C0057">
        <w:rPr>
          <w:color w:val="0070C0"/>
          <w:sz w:val="24"/>
          <w:szCs w:val="24"/>
        </w:rPr>
        <w:t>fferences in every year. Variances</w:t>
      </w:r>
      <w:r w:rsidR="00FB5DC6" w:rsidRPr="007C0057">
        <w:rPr>
          <w:color w:val="0070C0"/>
          <w:sz w:val="24"/>
          <w:szCs w:val="24"/>
        </w:rPr>
        <w:t xml:space="preserve"> for 2015 and 2016 have been recalculated in the</w:t>
      </w:r>
      <w:r w:rsidR="00ED446D" w:rsidRPr="007C0057">
        <w:rPr>
          <w:color w:val="0070C0"/>
          <w:sz w:val="24"/>
          <w:szCs w:val="24"/>
        </w:rPr>
        <w:t xml:space="preserve"> inspection</w:t>
      </w:r>
      <w:r w:rsidR="00FB5DC6" w:rsidRPr="007C0057">
        <w:rPr>
          <w:color w:val="0070C0"/>
          <w:sz w:val="24"/>
          <w:szCs w:val="24"/>
        </w:rPr>
        <w:t xml:space="preserve"> process with OEB staff. Variances for 2017 to 2019 have been </w:t>
      </w:r>
      <w:r w:rsidR="00735CCC" w:rsidRPr="007C0057">
        <w:rPr>
          <w:color w:val="0070C0"/>
          <w:sz w:val="24"/>
          <w:szCs w:val="24"/>
        </w:rPr>
        <w:t>calculated with the template provided by OEB with the February 21, 2019 Accounting Guidance.</w:t>
      </w:r>
    </w:p>
    <w:p w14:paraId="591223F9" w14:textId="27FAF65A" w:rsidR="00735CCC" w:rsidRDefault="00735CCC" w:rsidP="00917236">
      <w:pPr>
        <w:spacing w:before="40" w:after="40" w:line="240" w:lineRule="auto"/>
        <w:contextualSpacing/>
        <w:rPr>
          <w:color w:val="00B050"/>
          <w:sz w:val="24"/>
          <w:szCs w:val="24"/>
        </w:rPr>
      </w:pPr>
    </w:p>
    <w:p w14:paraId="074CEB50" w14:textId="77777777" w:rsidR="00321E5A" w:rsidRPr="00FB4CF2" w:rsidRDefault="00321E5A" w:rsidP="00917236">
      <w:pPr>
        <w:spacing w:before="40" w:after="40" w:line="240" w:lineRule="auto"/>
        <w:contextualSpacing/>
        <w:rPr>
          <w:sz w:val="24"/>
          <w:szCs w:val="24"/>
        </w:rPr>
      </w:pPr>
    </w:p>
    <w:p w14:paraId="7A205E4A" w14:textId="28DA656E" w:rsidR="00066E6C" w:rsidRPr="00FB4CF2" w:rsidRDefault="00066E6C" w:rsidP="00917236">
      <w:pPr>
        <w:spacing w:before="40" w:after="40" w:line="240" w:lineRule="auto"/>
        <w:contextualSpacing/>
        <w:rPr>
          <w:b/>
          <w:bCs/>
          <w:sz w:val="24"/>
          <w:szCs w:val="24"/>
        </w:rPr>
      </w:pPr>
      <w:r w:rsidRPr="00FB4CF2">
        <w:rPr>
          <w:b/>
          <w:bCs/>
          <w:sz w:val="24"/>
          <w:szCs w:val="24"/>
        </w:rPr>
        <w:t>Staff Question-</w:t>
      </w:r>
      <w:r w:rsidR="0071757C">
        <w:rPr>
          <w:b/>
          <w:bCs/>
          <w:sz w:val="24"/>
          <w:szCs w:val="24"/>
        </w:rPr>
        <w:t>8</w:t>
      </w:r>
      <w:r w:rsidR="00473384" w:rsidRPr="00473384">
        <w:rPr>
          <w:b/>
          <w:bCs/>
          <w:color w:val="FF0000"/>
          <w:sz w:val="24"/>
          <w:szCs w:val="24"/>
        </w:rPr>
        <w:t xml:space="preserve"> </w:t>
      </w:r>
    </w:p>
    <w:p w14:paraId="1FC96041" w14:textId="3C8AB960" w:rsidR="00066E6C" w:rsidRPr="00FB4CF2" w:rsidRDefault="00066E6C" w:rsidP="00917236">
      <w:pPr>
        <w:spacing w:before="40" w:after="40" w:line="240" w:lineRule="auto"/>
        <w:contextualSpacing/>
        <w:rPr>
          <w:b/>
          <w:bCs/>
          <w:sz w:val="24"/>
          <w:szCs w:val="24"/>
        </w:rPr>
      </w:pPr>
      <w:r w:rsidRPr="00FB4CF2">
        <w:rPr>
          <w:b/>
          <w:bCs/>
          <w:sz w:val="24"/>
          <w:szCs w:val="24"/>
        </w:rPr>
        <w:t xml:space="preserve">Ref: </w:t>
      </w:r>
      <w:r w:rsidR="00145AA1" w:rsidRPr="00FB4CF2">
        <w:rPr>
          <w:b/>
          <w:bCs/>
          <w:sz w:val="24"/>
          <w:szCs w:val="24"/>
        </w:rPr>
        <w:t>Manager’s Summary, p. 14</w:t>
      </w:r>
    </w:p>
    <w:p w14:paraId="30F671B7" w14:textId="79754B26" w:rsidR="00145AA1" w:rsidRPr="00FB4CF2" w:rsidRDefault="00145AA1" w:rsidP="00917236">
      <w:pPr>
        <w:spacing w:before="40" w:after="40" w:line="240" w:lineRule="auto"/>
        <w:contextualSpacing/>
        <w:rPr>
          <w:sz w:val="24"/>
          <w:szCs w:val="24"/>
        </w:rPr>
      </w:pPr>
    </w:p>
    <w:p w14:paraId="6B46AD4C" w14:textId="602F1A91" w:rsidR="001D328D" w:rsidRPr="00FB4CF2" w:rsidRDefault="00145AA1" w:rsidP="00917236">
      <w:pPr>
        <w:spacing w:before="40" w:after="40" w:line="240" w:lineRule="auto"/>
        <w:contextualSpacing/>
        <w:rPr>
          <w:sz w:val="24"/>
          <w:szCs w:val="24"/>
        </w:rPr>
      </w:pPr>
      <w:r w:rsidRPr="00FB4CF2">
        <w:rPr>
          <w:sz w:val="24"/>
          <w:szCs w:val="24"/>
        </w:rPr>
        <w:t>Hydro 2000 filed an Inspection Report o</w:t>
      </w:r>
      <w:r w:rsidR="00FD06B0">
        <w:rPr>
          <w:sz w:val="24"/>
          <w:szCs w:val="24"/>
        </w:rPr>
        <w:t>n</w:t>
      </w:r>
      <w:r w:rsidRPr="00FB4CF2">
        <w:rPr>
          <w:sz w:val="24"/>
          <w:szCs w:val="24"/>
        </w:rPr>
        <w:t xml:space="preserve"> its 2015 and 2016 </w:t>
      </w:r>
      <w:r w:rsidR="00D54C01">
        <w:rPr>
          <w:sz w:val="24"/>
          <w:szCs w:val="24"/>
        </w:rPr>
        <w:t>a</w:t>
      </w:r>
      <w:r w:rsidRPr="00FB4CF2">
        <w:rPr>
          <w:sz w:val="24"/>
          <w:szCs w:val="24"/>
        </w:rPr>
        <w:t xml:space="preserve">ccount 1588 and 1589 balances in its 2020 cost of service rate application. </w:t>
      </w:r>
      <w:r w:rsidR="00E971D9" w:rsidRPr="00FB4CF2">
        <w:rPr>
          <w:sz w:val="24"/>
          <w:szCs w:val="24"/>
        </w:rPr>
        <w:t xml:space="preserve">In the Inspection Report, Hydro 2000 </w:t>
      </w:r>
      <w:r w:rsidR="00E37BCB">
        <w:rPr>
          <w:sz w:val="24"/>
          <w:szCs w:val="24"/>
        </w:rPr>
        <w:t xml:space="preserve">recalculated </w:t>
      </w:r>
      <w:r w:rsidR="00E971D9" w:rsidRPr="00FB4CF2">
        <w:rPr>
          <w:sz w:val="24"/>
          <w:szCs w:val="24"/>
        </w:rPr>
        <w:t>the</w:t>
      </w:r>
      <w:r w:rsidR="000D1BEC" w:rsidRPr="00FB4CF2">
        <w:rPr>
          <w:sz w:val="24"/>
          <w:szCs w:val="24"/>
        </w:rPr>
        <w:t xml:space="preserve"> 2015 and 2016</w:t>
      </w:r>
      <w:r w:rsidR="00E971D9" w:rsidRPr="00FB4CF2">
        <w:rPr>
          <w:sz w:val="24"/>
          <w:szCs w:val="24"/>
        </w:rPr>
        <w:t xml:space="preserve"> </w:t>
      </w:r>
      <w:r w:rsidR="00D54C01">
        <w:rPr>
          <w:sz w:val="24"/>
          <w:szCs w:val="24"/>
        </w:rPr>
        <w:t>a</w:t>
      </w:r>
      <w:r w:rsidR="00E971D9" w:rsidRPr="00FB4CF2">
        <w:rPr>
          <w:sz w:val="24"/>
          <w:szCs w:val="24"/>
        </w:rPr>
        <w:t xml:space="preserve">ccount 1588 and 1589 balances. </w:t>
      </w:r>
    </w:p>
    <w:p w14:paraId="0D4FA4F8" w14:textId="77777777" w:rsidR="001D328D" w:rsidRPr="00FB4CF2" w:rsidRDefault="001D328D" w:rsidP="00917236">
      <w:pPr>
        <w:spacing w:before="40" w:after="40" w:line="240" w:lineRule="auto"/>
        <w:contextualSpacing/>
        <w:rPr>
          <w:sz w:val="24"/>
          <w:szCs w:val="24"/>
        </w:rPr>
      </w:pPr>
    </w:p>
    <w:p w14:paraId="23D0F08F" w14:textId="4A993ED5" w:rsidR="00145AA1" w:rsidRPr="00FB4CF2" w:rsidRDefault="00BB0C80" w:rsidP="001D328D">
      <w:pPr>
        <w:pStyle w:val="ListParagraph"/>
        <w:numPr>
          <w:ilvl w:val="0"/>
          <w:numId w:val="2"/>
        </w:numPr>
        <w:spacing w:before="40" w:after="40" w:line="240" w:lineRule="auto"/>
        <w:rPr>
          <w:sz w:val="24"/>
          <w:szCs w:val="24"/>
        </w:rPr>
      </w:pPr>
      <w:r w:rsidRPr="00FB4CF2">
        <w:rPr>
          <w:sz w:val="24"/>
          <w:szCs w:val="24"/>
        </w:rPr>
        <w:t xml:space="preserve">For the 2017 to 2019 </w:t>
      </w:r>
      <w:r w:rsidR="00D54C01">
        <w:rPr>
          <w:sz w:val="24"/>
          <w:szCs w:val="24"/>
        </w:rPr>
        <w:t>a</w:t>
      </w:r>
      <w:r w:rsidRPr="00FB4CF2">
        <w:rPr>
          <w:sz w:val="24"/>
          <w:szCs w:val="24"/>
        </w:rPr>
        <w:t>ccount 1588 and 1589 balances</w:t>
      </w:r>
      <w:r w:rsidR="001E1554">
        <w:rPr>
          <w:sz w:val="24"/>
          <w:szCs w:val="24"/>
        </w:rPr>
        <w:t xml:space="preserve"> presented in this application</w:t>
      </w:r>
      <w:r w:rsidRPr="00FB4CF2">
        <w:rPr>
          <w:sz w:val="24"/>
          <w:szCs w:val="24"/>
        </w:rPr>
        <w:t>, please explain whether the methodology</w:t>
      </w:r>
      <w:r w:rsidR="00C16A76" w:rsidRPr="00FB4CF2">
        <w:rPr>
          <w:sz w:val="24"/>
          <w:szCs w:val="24"/>
        </w:rPr>
        <w:t xml:space="preserve"> used to </w:t>
      </w:r>
      <w:r w:rsidR="00E37BCB">
        <w:rPr>
          <w:sz w:val="24"/>
          <w:szCs w:val="24"/>
        </w:rPr>
        <w:t>calculate</w:t>
      </w:r>
      <w:r w:rsidR="00E37BCB" w:rsidRPr="00FB4CF2">
        <w:rPr>
          <w:sz w:val="24"/>
          <w:szCs w:val="24"/>
        </w:rPr>
        <w:t xml:space="preserve"> </w:t>
      </w:r>
      <w:r w:rsidR="00C16A76" w:rsidRPr="00FB4CF2">
        <w:rPr>
          <w:sz w:val="24"/>
          <w:szCs w:val="24"/>
        </w:rPr>
        <w:t xml:space="preserve">the </w:t>
      </w:r>
      <w:r w:rsidR="001D328D" w:rsidRPr="00FB4CF2">
        <w:rPr>
          <w:sz w:val="24"/>
          <w:szCs w:val="24"/>
        </w:rPr>
        <w:t xml:space="preserve">2015 and 2016 </w:t>
      </w:r>
      <w:r w:rsidR="00C16A76" w:rsidRPr="00FB4CF2">
        <w:rPr>
          <w:sz w:val="24"/>
          <w:szCs w:val="24"/>
        </w:rPr>
        <w:t>balances in the Inspection Report was</w:t>
      </w:r>
      <w:r w:rsidRPr="00FB4CF2">
        <w:rPr>
          <w:sz w:val="24"/>
          <w:szCs w:val="24"/>
        </w:rPr>
        <w:t xml:space="preserve"> used </w:t>
      </w:r>
      <w:r w:rsidR="00C16A76" w:rsidRPr="00FB4CF2">
        <w:rPr>
          <w:sz w:val="24"/>
          <w:szCs w:val="24"/>
        </w:rPr>
        <w:t xml:space="preserve">to </w:t>
      </w:r>
      <w:r w:rsidR="00E37BCB">
        <w:rPr>
          <w:sz w:val="24"/>
          <w:szCs w:val="24"/>
        </w:rPr>
        <w:t>calculate</w:t>
      </w:r>
      <w:r w:rsidR="00E37BCB" w:rsidRPr="00FB4CF2">
        <w:rPr>
          <w:sz w:val="24"/>
          <w:szCs w:val="24"/>
        </w:rPr>
        <w:t xml:space="preserve"> </w:t>
      </w:r>
      <w:r w:rsidR="00C16A76" w:rsidRPr="00FB4CF2">
        <w:rPr>
          <w:sz w:val="24"/>
          <w:szCs w:val="24"/>
        </w:rPr>
        <w:t>the 2017 to 2019 balances.</w:t>
      </w:r>
    </w:p>
    <w:p w14:paraId="77EAEBFA" w14:textId="48EDA215" w:rsidR="001D328D" w:rsidRPr="00FB4CF2" w:rsidRDefault="001D328D" w:rsidP="006C12B8">
      <w:pPr>
        <w:pStyle w:val="ListParagraph"/>
        <w:numPr>
          <w:ilvl w:val="1"/>
          <w:numId w:val="2"/>
        </w:numPr>
        <w:spacing w:before="40" w:after="40" w:line="240" w:lineRule="auto"/>
        <w:rPr>
          <w:sz w:val="24"/>
          <w:szCs w:val="24"/>
        </w:rPr>
      </w:pPr>
      <w:r w:rsidRPr="00FB4CF2">
        <w:rPr>
          <w:sz w:val="24"/>
          <w:szCs w:val="24"/>
        </w:rPr>
        <w:t>If not, please explain why not.</w:t>
      </w:r>
    </w:p>
    <w:p w14:paraId="5F6FE920" w14:textId="7A13D0A9" w:rsidR="006C12B8" w:rsidRDefault="007375AD" w:rsidP="006C12B8">
      <w:pPr>
        <w:pStyle w:val="ListParagraph"/>
        <w:numPr>
          <w:ilvl w:val="1"/>
          <w:numId w:val="2"/>
        </w:numPr>
        <w:spacing w:before="40" w:after="40" w:line="240" w:lineRule="auto"/>
        <w:rPr>
          <w:sz w:val="24"/>
          <w:szCs w:val="24"/>
        </w:rPr>
      </w:pPr>
      <w:r w:rsidRPr="00FB4CF2">
        <w:rPr>
          <w:sz w:val="24"/>
          <w:szCs w:val="24"/>
        </w:rPr>
        <w:t>If the methodologies are different, p</w:t>
      </w:r>
      <w:r w:rsidR="006C12B8" w:rsidRPr="00FB4CF2">
        <w:rPr>
          <w:sz w:val="24"/>
          <w:szCs w:val="24"/>
        </w:rPr>
        <w:t>lease explain the differences between the methodology used</w:t>
      </w:r>
      <w:r w:rsidR="0071279C" w:rsidRPr="00FB4CF2">
        <w:rPr>
          <w:sz w:val="24"/>
          <w:szCs w:val="24"/>
        </w:rPr>
        <w:t xml:space="preserve"> for the 2015 and 2016 </w:t>
      </w:r>
      <w:r w:rsidR="00AF061A" w:rsidRPr="00FB4CF2">
        <w:rPr>
          <w:sz w:val="24"/>
          <w:szCs w:val="24"/>
        </w:rPr>
        <w:t xml:space="preserve">balances </w:t>
      </w:r>
      <w:r w:rsidR="0071279C" w:rsidRPr="00FB4CF2">
        <w:rPr>
          <w:sz w:val="24"/>
          <w:szCs w:val="24"/>
        </w:rPr>
        <w:t>in the Inspection Report and that used for the 2017 to 2019 balances</w:t>
      </w:r>
      <w:r w:rsidRPr="00FB4CF2">
        <w:rPr>
          <w:sz w:val="24"/>
          <w:szCs w:val="24"/>
        </w:rPr>
        <w:t xml:space="preserve"> as shown in this proceeding</w:t>
      </w:r>
      <w:r w:rsidR="0071279C" w:rsidRPr="00FB4CF2">
        <w:rPr>
          <w:sz w:val="24"/>
          <w:szCs w:val="24"/>
        </w:rPr>
        <w:t xml:space="preserve">. </w:t>
      </w:r>
    </w:p>
    <w:p w14:paraId="6538D55C" w14:textId="3C0D8FE5" w:rsidR="00321E5A" w:rsidRPr="007C0057" w:rsidRDefault="00321E5A" w:rsidP="00321E5A">
      <w:pPr>
        <w:spacing w:before="40" w:after="40" w:line="240" w:lineRule="auto"/>
        <w:rPr>
          <w:color w:val="0070C0"/>
          <w:sz w:val="24"/>
          <w:szCs w:val="24"/>
        </w:rPr>
      </w:pPr>
    </w:p>
    <w:p w14:paraId="091C29CB" w14:textId="7940803B" w:rsidR="002378E9" w:rsidRPr="007C0057" w:rsidRDefault="007C0057" w:rsidP="00765FB0">
      <w:pPr>
        <w:spacing w:before="40" w:after="40" w:line="240" w:lineRule="auto"/>
        <w:ind w:left="1080"/>
        <w:rPr>
          <w:color w:val="0070C0"/>
          <w:sz w:val="24"/>
          <w:szCs w:val="24"/>
        </w:rPr>
      </w:pPr>
      <w:r w:rsidRPr="007C0057">
        <w:rPr>
          <w:b/>
          <w:bCs/>
          <w:color w:val="0070C0"/>
          <w:sz w:val="24"/>
          <w:szCs w:val="24"/>
        </w:rPr>
        <w:t>H2000 Response:</w:t>
      </w:r>
      <w:r w:rsidRPr="007C0057">
        <w:rPr>
          <w:color w:val="0070C0"/>
          <w:sz w:val="24"/>
          <w:szCs w:val="24"/>
        </w:rPr>
        <w:t xml:space="preserve"> </w:t>
      </w:r>
      <w:r w:rsidR="00ED446D" w:rsidRPr="007C0057">
        <w:rPr>
          <w:color w:val="0070C0"/>
          <w:sz w:val="24"/>
          <w:szCs w:val="24"/>
        </w:rPr>
        <w:t xml:space="preserve">No Hydro 2000 did not use the same method </w:t>
      </w:r>
      <w:r w:rsidR="00033F95" w:rsidRPr="007C0057">
        <w:rPr>
          <w:color w:val="0070C0"/>
          <w:sz w:val="24"/>
          <w:szCs w:val="24"/>
        </w:rPr>
        <w:t xml:space="preserve">as for 2015 and 2016. </w:t>
      </w:r>
      <w:r w:rsidR="00841235" w:rsidRPr="007C0057">
        <w:rPr>
          <w:color w:val="0070C0"/>
          <w:sz w:val="24"/>
          <w:szCs w:val="24"/>
        </w:rPr>
        <w:t xml:space="preserve">Hydro 2000 followed the </w:t>
      </w:r>
      <w:r w:rsidR="002378E9" w:rsidRPr="007C0057">
        <w:rPr>
          <w:color w:val="0070C0"/>
          <w:sz w:val="24"/>
          <w:szCs w:val="24"/>
        </w:rPr>
        <w:t>February 21, 2019 Accounting Guidance</w:t>
      </w:r>
      <w:r w:rsidR="00841235" w:rsidRPr="007C0057">
        <w:rPr>
          <w:color w:val="0070C0"/>
          <w:sz w:val="24"/>
          <w:szCs w:val="24"/>
        </w:rPr>
        <w:t xml:space="preserve">. The template provided by </w:t>
      </w:r>
      <w:r w:rsidR="001D3EA1" w:rsidRPr="007C0057">
        <w:rPr>
          <w:color w:val="0070C0"/>
          <w:sz w:val="24"/>
          <w:szCs w:val="24"/>
        </w:rPr>
        <w:t>OEB with the Accounting Guidance was used to recalculate the variances</w:t>
      </w:r>
      <w:r w:rsidR="008A459B" w:rsidRPr="007C0057">
        <w:rPr>
          <w:color w:val="0070C0"/>
          <w:sz w:val="24"/>
          <w:szCs w:val="24"/>
        </w:rPr>
        <w:t xml:space="preserve"> for 2017, 2018</w:t>
      </w:r>
      <w:r w:rsidR="00910644" w:rsidRPr="007C0057">
        <w:rPr>
          <w:color w:val="0070C0"/>
          <w:sz w:val="24"/>
          <w:szCs w:val="24"/>
        </w:rPr>
        <w:t>, 2019 and 2020</w:t>
      </w:r>
      <w:r w:rsidR="001D3EA1" w:rsidRPr="007C0057">
        <w:rPr>
          <w:color w:val="0070C0"/>
          <w:sz w:val="24"/>
          <w:szCs w:val="24"/>
        </w:rPr>
        <w:t xml:space="preserve">. </w:t>
      </w:r>
    </w:p>
    <w:p w14:paraId="3BCB8824" w14:textId="77777777" w:rsidR="00765FB0" w:rsidRPr="00321E5A" w:rsidRDefault="00765FB0" w:rsidP="00321E5A">
      <w:pPr>
        <w:spacing w:before="40" w:after="40" w:line="240" w:lineRule="auto"/>
        <w:rPr>
          <w:sz w:val="24"/>
          <w:szCs w:val="24"/>
        </w:rPr>
      </w:pPr>
    </w:p>
    <w:p w14:paraId="0784516B" w14:textId="14A7AE53" w:rsidR="001D4C93" w:rsidRPr="00FB4CF2" w:rsidRDefault="001D4C93" w:rsidP="001D328D">
      <w:pPr>
        <w:pStyle w:val="ListParagraph"/>
        <w:numPr>
          <w:ilvl w:val="0"/>
          <w:numId w:val="2"/>
        </w:numPr>
        <w:spacing w:before="40" w:after="40" w:line="240" w:lineRule="auto"/>
        <w:rPr>
          <w:sz w:val="24"/>
          <w:szCs w:val="24"/>
        </w:rPr>
      </w:pPr>
      <w:r w:rsidRPr="00FB4CF2">
        <w:rPr>
          <w:sz w:val="24"/>
          <w:szCs w:val="24"/>
        </w:rPr>
        <w:t xml:space="preserve">Please explain whether the 2017 to 2019 balances that were brought forth for disposition in Hydro 2000’s </w:t>
      </w:r>
      <w:r w:rsidR="006C12B8" w:rsidRPr="00FB4CF2">
        <w:rPr>
          <w:sz w:val="24"/>
          <w:szCs w:val="24"/>
        </w:rPr>
        <w:t>2020 cost of service rate application</w:t>
      </w:r>
      <w:r w:rsidR="000E61C7">
        <w:rPr>
          <w:sz w:val="24"/>
          <w:szCs w:val="24"/>
        </w:rPr>
        <w:t xml:space="preserve"> used Hydro 2000’s old methodology</w:t>
      </w:r>
      <w:r w:rsidR="006C12B8" w:rsidRPr="00FB4CF2">
        <w:rPr>
          <w:sz w:val="24"/>
          <w:szCs w:val="24"/>
        </w:rPr>
        <w:t>.</w:t>
      </w:r>
    </w:p>
    <w:p w14:paraId="2D55FA63" w14:textId="740C3F14" w:rsidR="00076FDB" w:rsidRDefault="006C12B8" w:rsidP="006C12B8">
      <w:pPr>
        <w:pStyle w:val="ListParagraph"/>
        <w:numPr>
          <w:ilvl w:val="1"/>
          <w:numId w:val="2"/>
        </w:numPr>
        <w:spacing w:before="40" w:after="40" w:line="240" w:lineRule="auto"/>
        <w:rPr>
          <w:sz w:val="24"/>
          <w:szCs w:val="24"/>
        </w:rPr>
      </w:pPr>
      <w:r w:rsidRPr="00FB4CF2">
        <w:rPr>
          <w:sz w:val="24"/>
          <w:szCs w:val="24"/>
        </w:rPr>
        <w:t xml:space="preserve">If </w:t>
      </w:r>
      <w:r w:rsidR="00076FDB">
        <w:rPr>
          <w:sz w:val="24"/>
          <w:szCs w:val="24"/>
        </w:rPr>
        <w:t>not</w:t>
      </w:r>
      <w:r w:rsidRPr="00FB4CF2">
        <w:rPr>
          <w:sz w:val="24"/>
          <w:szCs w:val="24"/>
        </w:rPr>
        <w:t>, please explain</w:t>
      </w:r>
      <w:r w:rsidR="00076FDB">
        <w:rPr>
          <w:sz w:val="24"/>
          <w:szCs w:val="24"/>
        </w:rPr>
        <w:t xml:space="preserve"> how the methodology used for the 2017 to 2019 balances brought forth in Hydro 2000’s 2020 cost of service rate application differs from the </w:t>
      </w:r>
      <w:r w:rsidR="00790A0F">
        <w:rPr>
          <w:sz w:val="24"/>
          <w:szCs w:val="24"/>
        </w:rPr>
        <w:t xml:space="preserve">methodology used to </w:t>
      </w:r>
      <w:r w:rsidR="00040B36">
        <w:rPr>
          <w:sz w:val="24"/>
          <w:szCs w:val="24"/>
        </w:rPr>
        <w:t>calculate</w:t>
      </w:r>
      <w:r w:rsidR="00790A0F">
        <w:rPr>
          <w:sz w:val="24"/>
          <w:szCs w:val="24"/>
        </w:rPr>
        <w:t xml:space="preserve"> the 2017 to 2019 balances as shown in this application. </w:t>
      </w:r>
    </w:p>
    <w:p w14:paraId="4C7D89DB" w14:textId="53E13B0D" w:rsidR="00BB3868" w:rsidRDefault="00BB3868" w:rsidP="00BB3868">
      <w:pPr>
        <w:spacing w:before="40" w:after="40" w:line="240" w:lineRule="auto"/>
        <w:rPr>
          <w:sz w:val="24"/>
          <w:szCs w:val="24"/>
        </w:rPr>
      </w:pPr>
    </w:p>
    <w:p w14:paraId="02A347C7" w14:textId="3A844FB2" w:rsidR="00765FB0" w:rsidRPr="007C0057" w:rsidRDefault="007C0057" w:rsidP="007C0057">
      <w:pPr>
        <w:spacing w:before="40" w:after="40" w:line="240" w:lineRule="auto"/>
        <w:ind w:left="1080"/>
        <w:rPr>
          <w:color w:val="0070C0"/>
          <w:sz w:val="24"/>
          <w:szCs w:val="24"/>
        </w:rPr>
      </w:pPr>
      <w:r w:rsidRPr="007C0057">
        <w:rPr>
          <w:b/>
          <w:bCs/>
          <w:color w:val="0070C0"/>
          <w:sz w:val="24"/>
          <w:szCs w:val="24"/>
        </w:rPr>
        <w:t>H2000 Response:</w:t>
      </w:r>
      <w:r w:rsidRPr="007C0057">
        <w:rPr>
          <w:color w:val="0070C0"/>
          <w:sz w:val="24"/>
          <w:szCs w:val="24"/>
        </w:rPr>
        <w:t xml:space="preserve"> </w:t>
      </w:r>
      <w:r w:rsidR="000B7D99" w:rsidRPr="007C0057">
        <w:rPr>
          <w:color w:val="0070C0"/>
          <w:sz w:val="24"/>
          <w:szCs w:val="24"/>
        </w:rPr>
        <w:t xml:space="preserve">In the DVA continuity schedule </w:t>
      </w:r>
      <w:r w:rsidR="00987DE0" w:rsidRPr="007C0057">
        <w:rPr>
          <w:color w:val="0070C0"/>
          <w:sz w:val="24"/>
          <w:szCs w:val="24"/>
        </w:rPr>
        <w:t xml:space="preserve">posted on OEB’s website on August 2, 2020, there were no numbers reported for </w:t>
      </w:r>
      <w:r w:rsidR="00782EBD" w:rsidRPr="007C0057">
        <w:rPr>
          <w:color w:val="0070C0"/>
          <w:sz w:val="24"/>
          <w:szCs w:val="24"/>
        </w:rPr>
        <w:t xml:space="preserve">accounts 1588 and 1589 </w:t>
      </w:r>
      <w:r w:rsidR="00007979" w:rsidRPr="007C0057">
        <w:rPr>
          <w:color w:val="0070C0"/>
          <w:sz w:val="24"/>
          <w:szCs w:val="24"/>
        </w:rPr>
        <w:t xml:space="preserve">for 2017 and 2018. 2019 amounts were not reported in this continuity schedule. </w:t>
      </w:r>
    </w:p>
    <w:p w14:paraId="16445C60" w14:textId="579885DF" w:rsidR="00381295" w:rsidRPr="007C0057" w:rsidRDefault="00381295" w:rsidP="007C0057">
      <w:pPr>
        <w:spacing w:before="40" w:after="40" w:line="240" w:lineRule="auto"/>
        <w:ind w:left="1080"/>
        <w:rPr>
          <w:color w:val="0070C0"/>
          <w:sz w:val="24"/>
          <w:szCs w:val="24"/>
        </w:rPr>
      </w:pPr>
    </w:p>
    <w:p w14:paraId="1154A24B" w14:textId="589CAA3A" w:rsidR="00381295" w:rsidRPr="007C0057" w:rsidRDefault="00381295" w:rsidP="007C0057">
      <w:pPr>
        <w:spacing w:before="40" w:after="40" w:line="240" w:lineRule="auto"/>
        <w:ind w:left="1080"/>
        <w:rPr>
          <w:color w:val="0070C0"/>
          <w:sz w:val="24"/>
          <w:szCs w:val="24"/>
        </w:rPr>
      </w:pPr>
      <w:r w:rsidRPr="007C0057">
        <w:rPr>
          <w:color w:val="0070C0"/>
          <w:sz w:val="24"/>
          <w:szCs w:val="24"/>
        </w:rPr>
        <w:t xml:space="preserve">The numbers presented in this application </w:t>
      </w:r>
      <w:r w:rsidR="0023230B" w:rsidRPr="007C0057">
        <w:rPr>
          <w:color w:val="0070C0"/>
          <w:sz w:val="24"/>
          <w:szCs w:val="24"/>
        </w:rPr>
        <w:t>are based on the February 21, 2019 Accounting Guidance and are calculated with the template provided by OEB.</w:t>
      </w:r>
    </w:p>
    <w:p w14:paraId="623D0D1D" w14:textId="77777777" w:rsidR="00765FB0" w:rsidRPr="00FB4CF2" w:rsidRDefault="00765FB0" w:rsidP="00BB3868">
      <w:pPr>
        <w:spacing w:before="40" w:after="40" w:line="240" w:lineRule="auto"/>
        <w:rPr>
          <w:sz w:val="24"/>
          <w:szCs w:val="24"/>
        </w:rPr>
      </w:pPr>
    </w:p>
    <w:p w14:paraId="00C0868B" w14:textId="36DF1FF9" w:rsidR="00BB3868" w:rsidRPr="00FB4CF2" w:rsidRDefault="00BB3868" w:rsidP="00BB3868">
      <w:pPr>
        <w:spacing w:before="40" w:after="40" w:line="240" w:lineRule="auto"/>
        <w:contextualSpacing/>
        <w:rPr>
          <w:b/>
          <w:bCs/>
          <w:sz w:val="24"/>
          <w:szCs w:val="24"/>
        </w:rPr>
      </w:pPr>
      <w:r w:rsidRPr="00FB4CF2">
        <w:rPr>
          <w:b/>
          <w:bCs/>
          <w:sz w:val="24"/>
          <w:szCs w:val="24"/>
        </w:rPr>
        <w:t>Staff Question-</w:t>
      </w:r>
      <w:r w:rsidR="0071757C">
        <w:rPr>
          <w:b/>
          <w:bCs/>
          <w:sz w:val="24"/>
          <w:szCs w:val="24"/>
        </w:rPr>
        <w:t>9</w:t>
      </w:r>
      <w:r w:rsidR="00473384" w:rsidRPr="00473384">
        <w:rPr>
          <w:b/>
          <w:bCs/>
          <w:color w:val="FF0000"/>
          <w:sz w:val="24"/>
          <w:szCs w:val="24"/>
        </w:rPr>
        <w:t xml:space="preserve"> </w:t>
      </w:r>
    </w:p>
    <w:p w14:paraId="74F62D81" w14:textId="2E6FF682" w:rsidR="00BB3868" w:rsidRPr="00FB4CF2" w:rsidRDefault="00BB3868" w:rsidP="00BB3868">
      <w:pPr>
        <w:spacing w:before="40" w:after="40" w:line="240" w:lineRule="auto"/>
        <w:contextualSpacing/>
        <w:rPr>
          <w:b/>
          <w:bCs/>
          <w:sz w:val="24"/>
          <w:szCs w:val="24"/>
        </w:rPr>
      </w:pPr>
      <w:r w:rsidRPr="00FB4CF2">
        <w:rPr>
          <w:b/>
          <w:bCs/>
          <w:sz w:val="24"/>
          <w:szCs w:val="24"/>
        </w:rPr>
        <w:t>Ref: Manager’s Summary, p. 17</w:t>
      </w:r>
    </w:p>
    <w:p w14:paraId="18509A58" w14:textId="673DCF86" w:rsidR="00BB3868" w:rsidRPr="00FB4CF2" w:rsidRDefault="00BB3868" w:rsidP="00BB3868">
      <w:pPr>
        <w:spacing w:before="40" w:after="40" w:line="240" w:lineRule="auto"/>
        <w:contextualSpacing/>
        <w:rPr>
          <w:b/>
          <w:bCs/>
          <w:sz w:val="24"/>
          <w:szCs w:val="24"/>
        </w:rPr>
      </w:pPr>
    </w:p>
    <w:p w14:paraId="40456752" w14:textId="6DADEC45" w:rsidR="00B413EA" w:rsidRDefault="00A92CD4" w:rsidP="00B413EA">
      <w:pPr>
        <w:spacing w:before="40" w:after="40" w:line="240" w:lineRule="auto"/>
        <w:contextualSpacing/>
        <w:rPr>
          <w:sz w:val="24"/>
          <w:szCs w:val="24"/>
        </w:rPr>
      </w:pPr>
      <w:r w:rsidRPr="00FB4CF2">
        <w:rPr>
          <w:sz w:val="24"/>
          <w:szCs w:val="24"/>
        </w:rPr>
        <w:t xml:space="preserve">In the Manager’s Summary, </w:t>
      </w:r>
      <w:r w:rsidR="00D84A96" w:rsidRPr="00FB4CF2">
        <w:rPr>
          <w:sz w:val="24"/>
          <w:szCs w:val="24"/>
        </w:rPr>
        <w:t>Hydro 2000’s auditor provided the following statement on Hydro 2000’s</w:t>
      </w:r>
      <w:r w:rsidRPr="00FB4CF2">
        <w:rPr>
          <w:sz w:val="24"/>
          <w:szCs w:val="24"/>
        </w:rPr>
        <w:t xml:space="preserve"> revised</w:t>
      </w:r>
      <w:r w:rsidR="00D84A96" w:rsidRPr="00FB4CF2">
        <w:rPr>
          <w:sz w:val="24"/>
          <w:szCs w:val="24"/>
        </w:rPr>
        <w:t xml:space="preserve"> Account 1588 and Account 1589 balances</w:t>
      </w:r>
      <w:r w:rsidR="0006226D" w:rsidRPr="00FB4CF2">
        <w:rPr>
          <w:sz w:val="24"/>
          <w:szCs w:val="24"/>
        </w:rPr>
        <w:t xml:space="preserve"> “The adjustment made in 2020 to correct the existing variance account balances was deemed to be appropriate”. </w:t>
      </w:r>
      <w:r w:rsidR="00B413EA" w:rsidRPr="00FB4CF2">
        <w:rPr>
          <w:sz w:val="24"/>
          <w:szCs w:val="24"/>
        </w:rPr>
        <w:t xml:space="preserve">Please explain what level of assurance Hydro 2000’s auditor is providing. For example, has the auditor performed an audit or a review of the Account 1588 and Account 1589 balances? </w:t>
      </w:r>
      <w:r w:rsidR="00FC7C75">
        <w:rPr>
          <w:sz w:val="24"/>
          <w:szCs w:val="24"/>
        </w:rPr>
        <w:t>If a report is available from the auditors, please file it on the record of this proceeding.</w:t>
      </w:r>
    </w:p>
    <w:p w14:paraId="1DD36122" w14:textId="6A6A78B4" w:rsidR="00755F00" w:rsidRDefault="00755F00" w:rsidP="00B413EA">
      <w:pPr>
        <w:spacing w:before="40" w:after="40" w:line="240" w:lineRule="auto"/>
        <w:contextualSpacing/>
        <w:rPr>
          <w:sz w:val="24"/>
          <w:szCs w:val="24"/>
        </w:rPr>
      </w:pPr>
    </w:p>
    <w:p w14:paraId="11A56F81" w14:textId="4F407E2F" w:rsidR="00765FB0" w:rsidRPr="007C0057" w:rsidRDefault="007C0057" w:rsidP="00B413EA">
      <w:pPr>
        <w:spacing w:before="40" w:after="40" w:line="240" w:lineRule="auto"/>
        <w:contextualSpacing/>
        <w:rPr>
          <w:color w:val="0070C0"/>
          <w:sz w:val="24"/>
          <w:szCs w:val="24"/>
        </w:rPr>
      </w:pPr>
      <w:r w:rsidRPr="007C0057">
        <w:rPr>
          <w:b/>
          <w:bCs/>
          <w:color w:val="0070C0"/>
          <w:sz w:val="24"/>
          <w:szCs w:val="24"/>
        </w:rPr>
        <w:t>H2000 Response:</w:t>
      </w:r>
      <w:r w:rsidRPr="007C0057">
        <w:rPr>
          <w:color w:val="0070C0"/>
          <w:sz w:val="24"/>
          <w:szCs w:val="24"/>
        </w:rPr>
        <w:t xml:space="preserve"> </w:t>
      </w:r>
      <w:r w:rsidR="009B770A" w:rsidRPr="007C0057">
        <w:rPr>
          <w:color w:val="0070C0"/>
          <w:sz w:val="24"/>
          <w:szCs w:val="24"/>
        </w:rPr>
        <w:t xml:space="preserve">When an adjustment is being made to </w:t>
      </w:r>
      <w:r w:rsidR="0096207E" w:rsidRPr="007C0057">
        <w:rPr>
          <w:color w:val="0070C0"/>
          <w:sz w:val="24"/>
          <w:szCs w:val="24"/>
        </w:rPr>
        <w:t xml:space="preserve">accounts 1588 and 1589, </w:t>
      </w:r>
      <w:r w:rsidR="0037006C" w:rsidRPr="007C0057">
        <w:rPr>
          <w:color w:val="0070C0"/>
          <w:sz w:val="24"/>
          <w:szCs w:val="24"/>
        </w:rPr>
        <w:t xml:space="preserve">the differences </w:t>
      </w:r>
      <w:proofErr w:type="gramStart"/>
      <w:r w:rsidR="00921027" w:rsidRPr="007C0057">
        <w:rPr>
          <w:color w:val="0070C0"/>
          <w:sz w:val="24"/>
          <w:szCs w:val="24"/>
        </w:rPr>
        <w:t>have to</w:t>
      </w:r>
      <w:proofErr w:type="gramEnd"/>
      <w:r w:rsidR="00921027" w:rsidRPr="007C0057">
        <w:rPr>
          <w:color w:val="0070C0"/>
          <w:sz w:val="24"/>
          <w:szCs w:val="24"/>
        </w:rPr>
        <w:t xml:space="preserve"> be </w:t>
      </w:r>
      <w:r w:rsidR="008101D1" w:rsidRPr="007C0057">
        <w:rPr>
          <w:color w:val="0070C0"/>
          <w:sz w:val="24"/>
          <w:szCs w:val="24"/>
        </w:rPr>
        <w:t>accounted for. After the entries have been made for the variances, the revenues and expenses for energy are equal</w:t>
      </w:r>
      <w:r w:rsidR="001B23A0" w:rsidRPr="007C0057">
        <w:rPr>
          <w:color w:val="0070C0"/>
          <w:sz w:val="24"/>
          <w:szCs w:val="24"/>
        </w:rPr>
        <w:t xml:space="preserve">. </w:t>
      </w:r>
      <w:r w:rsidR="0027575E" w:rsidRPr="007C0057">
        <w:rPr>
          <w:color w:val="0070C0"/>
          <w:sz w:val="24"/>
          <w:szCs w:val="24"/>
        </w:rPr>
        <w:t>The auditor with the help of the general manager</w:t>
      </w:r>
      <w:r w:rsidR="00C46D56" w:rsidRPr="007C0057">
        <w:rPr>
          <w:color w:val="0070C0"/>
          <w:sz w:val="24"/>
          <w:szCs w:val="24"/>
        </w:rPr>
        <w:t xml:space="preserve">, completed the new templates to recalculate the variances. </w:t>
      </w:r>
      <w:r w:rsidR="005512B5" w:rsidRPr="007C0057">
        <w:rPr>
          <w:color w:val="0070C0"/>
          <w:sz w:val="24"/>
          <w:szCs w:val="24"/>
        </w:rPr>
        <w:t xml:space="preserve">The auditor did not issue a special report on those variances. </w:t>
      </w:r>
      <w:r w:rsidR="00F44286" w:rsidRPr="007C0057">
        <w:rPr>
          <w:color w:val="0070C0"/>
          <w:sz w:val="24"/>
          <w:szCs w:val="24"/>
        </w:rPr>
        <w:t>Those are audited through the annual audit of the financial statement.</w:t>
      </w:r>
    </w:p>
    <w:p w14:paraId="6FEEAC71" w14:textId="325A5E4B" w:rsidR="00755F00" w:rsidRDefault="00755F00" w:rsidP="00B413EA">
      <w:pPr>
        <w:spacing w:before="40" w:after="40" w:line="240" w:lineRule="auto"/>
        <w:contextualSpacing/>
        <w:rPr>
          <w:sz w:val="24"/>
          <w:szCs w:val="24"/>
        </w:rPr>
      </w:pPr>
    </w:p>
    <w:p w14:paraId="64F0F090" w14:textId="64D92A8D" w:rsidR="00755F00" w:rsidRPr="00FB4CF2" w:rsidRDefault="00755F00" w:rsidP="00755F00">
      <w:pPr>
        <w:spacing w:before="40" w:after="40" w:line="240" w:lineRule="auto"/>
        <w:contextualSpacing/>
        <w:rPr>
          <w:b/>
          <w:bCs/>
          <w:sz w:val="24"/>
          <w:szCs w:val="24"/>
        </w:rPr>
      </w:pPr>
      <w:r w:rsidRPr="00FB4CF2">
        <w:rPr>
          <w:b/>
          <w:bCs/>
          <w:sz w:val="24"/>
          <w:szCs w:val="24"/>
        </w:rPr>
        <w:t>Staff Question-</w:t>
      </w:r>
      <w:r w:rsidR="0071757C">
        <w:rPr>
          <w:b/>
          <w:bCs/>
          <w:sz w:val="24"/>
          <w:szCs w:val="24"/>
        </w:rPr>
        <w:t>10</w:t>
      </w:r>
      <w:r w:rsidR="00473384" w:rsidRPr="00473384">
        <w:rPr>
          <w:b/>
          <w:bCs/>
          <w:color w:val="FF0000"/>
          <w:sz w:val="24"/>
          <w:szCs w:val="24"/>
        </w:rPr>
        <w:t xml:space="preserve"> </w:t>
      </w:r>
    </w:p>
    <w:p w14:paraId="0A49BC93" w14:textId="6EB1C8A2" w:rsidR="00755F00" w:rsidRPr="00FB4CF2" w:rsidRDefault="00755F00" w:rsidP="00755F00">
      <w:pPr>
        <w:spacing w:before="40" w:after="40" w:line="240" w:lineRule="auto"/>
        <w:contextualSpacing/>
        <w:rPr>
          <w:b/>
          <w:bCs/>
          <w:sz w:val="24"/>
          <w:szCs w:val="24"/>
        </w:rPr>
      </w:pPr>
      <w:r w:rsidRPr="00FB4CF2">
        <w:rPr>
          <w:b/>
          <w:bCs/>
          <w:sz w:val="24"/>
          <w:szCs w:val="24"/>
        </w:rPr>
        <w:t xml:space="preserve">Ref: Manager’s Summary, p. </w:t>
      </w:r>
      <w:r>
        <w:rPr>
          <w:b/>
          <w:bCs/>
          <w:sz w:val="24"/>
          <w:szCs w:val="24"/>
        </w:rPr>
        <w:t>24</w:t>
      </w:r>
    </w:p>
    <w:p w14:paraId="49D41B55" w14:textId="77777777" w:rsidR="00755F00" w:rsidRPr="00FB4CF2" w:rsidRDefault="00755F00" w:rsidP="00755F00">
      <w:pPr>
        <w:spacing w:before="40" w:after="40" w:line="240" w:lineRule="auto"/>
        <w:contextualSpacing/>
        <w:rPr>
          <w:b/>
          <w:bCs/>
          <w:sz w:val="24"/>
          <w:szCs w:val="24"/>
        </w:rPr>
      </w:pPr>
    </w:p>
    <w:p w14:paraId="6929741A" w14:textId="5C044234" w:rsidR="00755F00" w:rsidRPr="00FB4CF2" w:rsidRDefault="00755F00" w:rsidP="00755F00">
      <w:pPr>
        <w:spacing w:before="40" w:after="40" w:line="240" w:lineRule="auto"/>
        <w:contextualSpacing/>
        <w:rPr>
          <w:sz w:val="24"/>
          <w:szCs w:val="24"/>
        </w:rPr>
      </w:pPr>
      <w:r w:rsidRPr="00FB4CF2">
        <w:rPr>
          <w:sz w:val="24"/>
          <w:szCs w:val="24"/>
        </w:rPr>
        <w:t>In the Manager’s Summary</w:t>
      </w:r>
      <w:r>
        <w:rPr>
          <w:sz w:val="24"/>
          <w:szCs w:val="24"/>
        </w:rPr>
        <w:t xml:space="preserve">, it states “Hydro 2000 has explored all rate mitigation tools at its disposal (e.g. exploring longer disposition period for its DVAs) and although it did somewhat lower the bill impacts, it did not reduce them enough to bring them under the 10% threshold”. Please provide a list of the rate mitigation strategies </w:t>
      </w:r>
      <w:r w:rsidR="00A40A6C">
        <w:rPr>
          <w:sz w:val="24"/>
          <w:szCs w:val="24"/>
        </w:rPr>
        <w:t>Hydro 2000 considered and the effect on the bill impacts it had.</w:t>
      </w:r>
      <w:r w:rsidRPr="00FB4CF2">
        <w:rPr>
          <w:sz w:val="24"/>
          <w:szCs w:val="24"/>
        </w:rPr>
        <w:t xml:space="preserve"> </w:t>
      </w:r>
    </w:p>
    <w:p w14:paraId="4FE024CF" w14:textId="77777777" w:rsidR="00755F00" w:rsidRPr="00FB4CF2" w:rsidRDefault="00755F00" w:rsidP="00B413EA">
      <w:pPr>
        <w:spacing w:before="40" w:after="40" w:line="240" w:lineRule="auto"/>
        <w:contextualSpacing/>
        <w:rPr>
          <w:sz w:val="24"/>
          <w:szCs w:val="24"/>
        </w:rPr>
      </w:pPr>
    </w:p>
    <w:p w14:paraId="2F0DE8EE" w14:textId="6192D962" w:rsidR="001A4B25" w:rsidRDefault="001A4B25" w:rsidP="001A4B25">
      <w:pPr>
        <w:spacing w:before="40" w:after="40" w:line="240" w:lineRule="auto"/>
        <w:contextualSpacing/>
        <w:rPr>
          <w:color w:val="0070C0"/>
          <w:sz w:val="24"/>
          <w:szCs w:val="24"/>
        </w:rPr>
      </w:pPr>
      <w:r w:rsidRPr="007C0057">
        <w:rPr>
          <w:b/>
          <w:bCs/>
          <w:color w:val="0070C0"/>
          <w:sz w:val="24"/>
          <w:szCs w:val="24"/>
        </w:rPr>
        <w:t>H2000 Response:</w:t>
      </w:r>
      <w:r w:rsidRPr="007C0057">
        <w:rPr>
          <w:color w:val="0070C0"/>
          <w:sz w:val="24"/>
          <w:szCs w:val="24"/>
        </w:rPr>
        <w:t xml:space="preserve"> </w:t>
      </w:r>
      <w:r>
        <w:rPr>
          <w:color w:val="0070C0"/>
          <w:sz w:val="24"/>
          <w:szCs w:val="24"/>
        </w:rPr>
        <w:t xml:space="preserve">The IRM process if formulaic in nature and does not give utilities much leeway in rate mitigation other than adjusting the disposition period of deferral and variance account. H2000 notes that some of the bill impacts greater than 10% are because of previously approved rate riders. (i.e., 1576, 1568, DVA(2019) etc.). </w:t>
      </w:r>
    </w:p>
    <w:p w14:paraId="59AA7AC3" w14:textId="62E77750" w:rsidR="001A4B25" w:rsidRPr="007C0057" w:rsidRDefault="001A4B25" w:rsidP="001A4B25">
      <w:pPr>
        <w:spacing w:before="40" w:after="40" w:line="240" w:lineRule="auto"/>
        <w:contextualSpacing/>
        <w:rPr>
          <w:color w:val="0070C0"/>
          <w:sz w:val="24"/>
          <w:szCs w:val="24"/>
        </w:rPr>
      </w:pPr>
      <w:r>
        <w:rPr>
          <w:color w:val="0070C0"/>
          <w:sz w:val="24"/>
          <w:szCs w:val="24"/>
        </w:rPr>
        <w:t>H2000 notes that some of the larger DVA balances were requested to be disposed of in its Cost of Service but were denied therefore</w:t>
      </w:r>
      <w:r w:rsidR="00461622">
        <w:rPr>
          <w:color w:val="0070C0"/>
          <w:sz w:val="24"/>
          <w:szCs w:val="24"/>
        </w:rPr>
        <w:t xml:space="preserve">, as instructed by the Board, </w:t>
      </w:r>
      <w:r>
        <w:rPr>
          <w:color w:val="0070C0"/>
          <w:sz w:val="24"/>
          <w:szCs w:val="24"/>
        </w:rPr>
        <w:t xml:space="preserve"> they are </w:t>
      </w:r>
      <w:r w:rsidR="00461622">
        <w:rPr>
          <w:color w:val="0070C0"/>
          <w:sz w:val="24"/>
          <w:szCs w:val="24"/>
        </w:rPr>
        <w:t xml:space="preserve">included in the herein application. </w:t>
      </w:r>
    </w:p>
    <w:p w14:paraId="36B60A93" w14:textId="5DA65527" w:rsidR="00BB3868" w:rsidRPr="00FB4CF2" w:rsidRDefault="00BB3868" w:rsidP="00BB3868">
      <w:pPr>
        <w:spacing w:before="40" w:after="40" w:line="240" w:lineRule="auto"/>
        <w:rPr>
          <w:sz w:val="24"/>
          <w:szCs w:val="24"/>
        </w:rPr>
      </w:pPr>
    </w:p>
    <w:p w14:paraId="0DA8FC93" w14:textId="5D523C46" w:rsidR="001516AA" w:rsidRPr="00FB4CF2" w:rsidRDefault="001516AA" w:rsidP="001516AA">
      <w:pPr>
        <w:spacing w:before="40" w:after="40" w:line="240" w:lineRule="auto"/>
        <w:rPr>
          <w:b/>
          <w:bCs/>
          <w:sz w:val="24"/>
          <w:szCs w:val="24"/>
        </w:rPr>
      </w:pPr>
      <w:r w:rsidRPr="00FB4CF2">
        <w:rPr>
          <w:b/>
          <w:bCs/>
          <w:sz w:val="24"/>
          <w:szCs w:val="24"/>
        </w:rPr>
        <w:t>Staff-Question-</w:t>
      </w:r>
      <w:r w:rsidR="0071757C">
        <w:rPr>
          <w:b/>
          <w:bCs/>
          <w:sz w:val="24"/>
          <w:szCs w:val="24"/>
        </w:rPr>
        <w:t>11</w:t>
      </w:r>
      <w:r w:rsidR="00473384" w:rsidRPr="00473384">
        <w:rPr>
          <w:b/>
          <w:bCs/>
          <w:color w:val="FF0000"/>
          <w:sz w:val="24"/>
          <w:szCs w:val="24"/>
        </w:rPr>
        <w:t xml:space="preserve"> </w:t>
      </w:r>
    </w:p>
    <w:p w14:paraId="26EE3F63" w14:textId="77777777" w:rsidR="001516AA" w:rsidRPr="00FB4CF2" w:rsidRDefault="001516AA" w:rsidP="001516AA">
      <w:pPr>
        <w:spacing w:before="40" w:after="40" w:line="240" w:lineRule="auto"/>
        <w:rPr>
          <w:b/>
          <w:bCs/>
          <w:sz w:val="24"/>
          <w:szCs w:val="24"/>
        </w:rPr>
      </w:pPr>
      <w:r w:rsidRPr="00FB4CF2">
        <w:rPr>
          <w:b/>
          <w:bCs/>
          <w:sz w:val="24"/>
          <w:szCs w:val="24"/>
        </w:rPr>
        <w:t>Ref: DVA Continuity Schedule</w:t>
      </w:r>
    </w:p>
    <w:p w14:paraId="50C7BD84" w14:textId="1D028458" w:rsidR="00917236" w:rsidRPr="00FB4CF2" w:rsidRDefault="00917236" w:rsidP="00917236">
      <w:pPr>
        <w:spacing w:before="40" w:after="40" w:line="240" w:lineRule="auto"/>
        <w:contextualSpacing/>
        <w:rPr>
          <w:sz w:val="24"/>
          <w:szCs w:val="24"/>
        </w:rPr>
      </w:pPr>
    </w:p>
    <w:p w14:paraId="5F260602" w14:textId="21382B7A" w:rsidR="0087304A" w:rsidRPr="00FB4CF2" w:rsidRDefault="0087304A" w:rsidP="0087304A">
      <w:pPr>
        <w:rPr>
          <w:rFonts w:cs="Arial"/>
          <w:sz w:val="24"/>
          <w:szCs w:val="24"/>
        </w:rPr>
      </w:pPr>
      <w:r w:rsidRPr="00FB4CF2">
        <w:rPr>
          <w:rFonts w:cs="Arial"/>
          <w:sz w:val="24"/>
          <w:szCs w:val="24"/>
        </w:rPr>
        <w:t>Typically, large balances are not expected for Account 1588 as it should only hold the variance between commodity costs based on actual line losses and commodity revenues calculated using values for line losses approved by the</w:t>
      </w:r>
      <w:r w:rsidR="00FB4CF2" w:rsidRPr="00FB4CF2">
        <w:rPr>
          <w:rFonts w:cs="Arial"/>
          <w:sz w:val="24"/>
          <w:szCs w:val="24"/>
        </w:rPr>
        <w:t xml:space="preserve"> OEB</w:t>
      </w:r>
      <w:r w:rsidRPr="00FB4CF2">
        <w:rPr>
          <w:rFonts w:cs="Arial"/>
          <w:sz w:val="24"/>
          <w:szCs w:val="24"/>
        </w:rPr>
        <w:t xml:space="preserve">.  Based on RRR data filed for </w:t>
      </w:r>
      <w:r w:rsidR="007409DB" w:rsidRPr="00FB4CF2">
        <w:rPr>
          <w:rFonts w:cs="Arial"/>
          <w:sz w:val="24"/>
          <w:szCs w:val="24"/>
        </w:rPr>
        <w:t>Hydro 2000</w:t>
      </w:r>
      <w:r w:rsidRPr="00FB4CF2">
        <w:rPr>
          <w:rFonts w:cs="Arial"/>
          <w:sz w:val="24"/>
          <w:szCs w:val="24"/>
        </w:rPr>
        <w:t xml:space="preserve"> for Account 4705 Cost of Power, OEB staff calculates </w:t>
      </w:r>
      <w:bookmarkStart w:id="2" w:name="_Hlk52531483"/>
      <w:r w:rsidRPr="00FB4CF2">
        <w:rPr>
          <w:rFonts w:cs="Arial"/>
          <w:sz w:val="24"/>
          <w:szCs w:val="24"/>
        </w:rPr>
        <w:t>the annual net activity (i.e. transactions plus principal adjustments) from the DVA Continuity Schedule as a percentage of annual Account 4705</w:t>
      </w:r>
      <w:r w:rsidR="00040B36">
        <w:rPr>
          <w:rFonts w:cs="Arial"/>
          <w:sz w:val="24"/>
          <w:szCs w:val="24"/>
        </w:rPr>
        <w:t xml:space="preserve"> amounts</w:t>
      </w:r>
      <w:r w:rsidRPr="00FB4CF2">
        <w:rPr>
          <w:rFonts w:cs="Arial"/>
          <w:sz w:val="24"/>
          <w:szCs w:val="24"/>
        </w:rPr>
        <w:t xml:space="preserve"> to be as follows</w:t>
      </w:r>
      <w:bookmarkEnd w:id="2"/>
      <w:r w:rsidR="007409DB" w:rsidRPr="00FB4CF2">
        <w:rPr>
          <w:rFonts w:cs="Arial"/>
          <w:sz w:val="24"/>
          <w:szCs w:val="24"/>
        </w:rPr>
        <w:t>:</w:t>
      </w:r>
    </w:p>
    <w:tbl>
      <w:tblPr>
        <w:tblpPr w:leftFromText="180" w:rightFromText="180" w:vertAnchor="text" w:horzAnchor="margin" w:tblpY="144"/>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58"/>
        <w:gridCol w:w="2425"/>
        <w:gridCol w:w="3150"/>
      </w:tblGrid>
      <w:tr w:rsidR="003E192A" w:rsidRPr="00FB4CF2" w14:paraId="63D172C6" w14:textId="77777777" w:rsidTr="00561E74">
        <w:trPr>
          <w:trHeight w:val="285"/>
        </w:trPr>
        <w:tc>
          <w:tcPr>
            <w:tcW w:w="1417" w:type="dxa"/>
            <w:shd w:val="clear" w:color="auto" w:fill="auto"/>
            <w:noWrap/>
            <w:vAlign w:val="bottom"/>
          </w:tcPr>
          <w:p w14:paraId="2FA663A2" w14:textId="77777777" w:rsidR="003E192A" w:rsidRPr="00FB4CF2" w:rsidRDefault="003E192A" w:rsidP="009F69AF">
            <w:pPr>
              <w:spacing w:after="0" w:line="240" w:lineRule="auto"/>
              <w:jc w:val="right"/>
              <w:rPr>
                <w:rFonts w:eastAsia="Times New Roman" w:cs="Arial"/>
                <w:color w:val="000000"/>
                <w:sz w:val="24"/>
                <w:szCs w:val="24"/>
              </w:rPr>
            </w:pPr>
          </w:p>
        </w:tc>
        <w:tc>
          <w:tcPr>
            <w:tcW w:w="2358" w:type="dxa"/>
            <w:vAlign w:val="bottom"/>
          </w:tcPr>
          <w:p w14:paraId="1D491AEA" w14:textId="77777777" w:rsidR="003E192A" w:rsidRPr="00FB4CF2" w:rsidRDefault="003E192A" w:rsidP="009F69AF">
            <w:pPr>
              <w:spacing w:after="0" w:line="240" w:lineRule="auto"/>
              <w:jc w:val="center"/>
              <w:rPr>
                <w:rFonts w:cs="Arial"/>
                <w:b/>
                <w:bCs/>
                <w:color w:val="000000"/>
                <w:sz w:val="24"/>
                <w:szCs w:val="24"/>
              </w:rPr>
            </w:pPr>
            <w:r w:rsidRPr="00FB4CF2">
              <w:rPr>
                <w:rFonts w:eastAsia="Times New Roman" w:cs="Arial"/>
                <w:b/>
                <w:bCs/>
                <w:color w:val="000000"/>
                <w:sz w:val="24"/>
                <w:szCs w:val="24"/>
              </w:rPr>
              <w:t xml:space="preserve">Account 4705 ($) </w:t>
            </w:r>
            <w:r w:rsidRPr="00FB4CF2">
              <w:rPr>
                <w:rFonts w:cs="Arial"/>
                <w:b/>
                <w:bCs/>
                <w:color w:val="000000"/>
                <w:sz w:val="24"/>
                <w:szCs w:val="24"/>
              </w:rPr>
              <w:t xml:space="preserve"> </w:t>
            </w:r>
          </w:p>
        </w:tc>
        <w:tc>
          <w:tcPr>
            <w:tcW w:w="2425" w:type="dxa"/>
          </w:tcPr>
          <w:p w14:paraId="189A4D6A" w14:textId="77777777" w:rsidR="003E192A" w:rsidRPr="00FB4CF2" w:rsidRDefault="003E192A" w:rsidP="009F69AF">
            <w:pPr>
              <w:spacing w:after="0" w:line="240" w:lineRule="auto"/>
              <w:jc w:val="center"/>
              <w:rPr>
                <w:rFonts w:eastAsia="Times New Roman" w:cs="Arial"/>
                <w:b/>
                <w:bCs/>
                <w:color w:val="000000"/>
                <w:sz w:val="24"/>
                <w:szCs w:val="24"/>
              </w:rPr>
            </w:pPr>
            <w:r w:rsidRPr="00FB4CF2">
              <w:rPr>
                <w:rFonts w:cs="Arial"/>
                <w:b/>
                <w:bCs/>
                <w:color w:val="000000"/>
                <w:sz w:val="24"/>
                <w:szCs w:val="24"/>
              </w:rPr>
              <w:t>Net Activity in Account 1588 ($)</w:t>
            </w:r>
          </w:p>
        </w:tc>
        <w:tc>
          <w:tcPr>
            <w:tcW w:w="3150" w:type="dxa"/>
            <w:shd w:val="clear" w:color="auto" w:fill="auto"/>
            <w:noWrap/>
            <w:vAlign w:val="bottom"/>
          </w:tcPr>
          <w:p w14:paraId="72989D24" w14:textId="77777777" w:rsidR="003E192A" w:rsidRPr="00FB4CF2" w:rsidDel="00A93962" w:rsidRDefault="003E192A" w:rsidP="009F69AF">
            <w:pPr>
              <w:spacing w:after="0" w:line="240" w:lineRule="auto"/>
              <w:jc w:val="center"/>
              <w:rPr>
                <w:rFonts w:eastAsia="Times New Roman" w:cs="Arial"/>
                <w:b/>
                <w:bCs/>
                <w:color w:val="000000"/>
                <w:sz w:val="24"/>
                <w:szCs w:val="24"/>
              </w:rPr>
            </w:pPr>
            <w:r w:rsidRPr="00FB4CF2">
              <w:rPr>
                <w:rFonts w:eastAsia="Times New Roman" w:cs="Arial"/>
                <w:b/>
                <w:bCs/>
                <w:color w:val="000000"/>
                <w:sz w:val="24"/>
                <w:szCs w:val="24"/>
              </w:rPr>
              <w:t>% of net activity compared to Account 4705</w:t>
            </w:r>
          </w:p>
        </w:tc>
      </w:tr>
      <w:tr w:rsidR="00D378F3" w:rsidRPr="00FB4CF2" w14:paraId="2B514733" w14:textId="77777777" w:rsidTr="00561E74">
        <w:trPr>
          <w:trHeight w:val="285"/>
        </w:trPr>
        <w:tc>
          <w:tcPr>
            <w:tcW w:w="1417" w:type="dxa"/>
            <w:shd w:val="clear" w:color="auto" w:fill="auto"/>
            <w:noWrap/>
            <w:vAlign w:val="bottom"/>
          </w:tcPr>
          <w:p w14:paraId="752D0A24" w14:textId="6D2B439D" w:rsidR="00D378F3" w:rsidRPr="00FB4CF2" w:rsidRDefault="00D378F3" w:rsidP="00D378F3">
            <w:pPr>
              <w:spacing w:after="0" w:line="240" w:lineRule="auto"/>
              <w:jc w:val="right"/>
              <w:rPr>
                <w:rFonts w:eastAsia="Times New Roman" w:cs="Arial"/>
                <w:color w:val="000000"/>
                <w:sz w:val="24"/>
                <w:szCs w:val="24"/>
              </w:rPr>
            </w:pPr>
            <w:r w:rsidRPr="00FB4CF2">
              <w:rPr>
                <w:rFonts w:cs="Arial"/>
                <w:sz w:val="24"/>
                <w:szCs w:val="24"/>
              </w:rPr>
              <w:t>2017</w:t>
            </w:r>
          </w:p>
        </w:tc>
        <w:tc>
          <w:tcPr>
            <w:tcW w:w="2358" w:type="dxa"/>
            <w:vAlign w:val="bottom"/>
          </w:tcPr>
          <w:p w14:paraId="5BEAFCB7" w14:textId="3141EA54"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1,688,797 </w:t>
            </w:r>
          </w:p>
        </w:tc>
        <w:tc>
          <w:tcPr>
            <w:tcW w:w="2425" w:type="dxa"/>
            <w:vAlign w:val="bottom"/>
          </w:tcPr>
          <w:p w14:paraId="60EDD936" w14:textId="15908F48" w:rsidR="00D378F3" w:rsidRPr="00FB4CF2" w:rsidDel="00A9396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13,796 </w:t>
            </w:r>
          </w:p>
        </w:tc>
        <w:tc>
          <w:tcPr>
            <w:tcW w:w="3150" w:type="dxa"/>
            <w:shd w:val="clear" w:color="auto" w:fill="auto"/>
            <w:noWrap/>
            <w:vAlign w:val="bottom"/>
          </w:tcPr>
          <w:p w14:paraId="1FB2D991" w14:textId="2FA32952"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0.8%</w:t>
            </w:r>
          </w:p>
        </w:tc>
      </w:tr>
      <w:tr w:rsidR="00D378F3" w:rsidRPr="00FB4CF2" w14:paraId="7601A0CC" w14:textId="77777777" w:rsidTr="00561E74">
        <w:trPr>
          <w:trHeight w:val="285"/>
        </w:trPr>
        <w:tc>
          <w:tcPr>
            <w:tcW w:w="1417" w:type="dxa"/>
            <w:shd w:val="clear" w:color="auto" w:fill="auto"/>
            <w:noWrap/>
            <w:vAlign w:val="bottom"/>
          </w:tcPr>
          <w:p w14:paraId="682539DB" w14:textId="77777777" w:rsidR="00D378F3" w:rsidRPr="00FB4CF2" w:rsidRDefault="00D378F3" w:rsidP="00D378F3">
            <w:pPr>
              <w:spacing w:after="0" w:line="240" w:lineRule="auto"/>
              <w:jc w:val="right"/>
              <w:rPr>
                <w:rFonts w:eastAsia="Times New Roman" w:cs="Arial"/>
                <w:color w:val="000000"/>
                <w:sz w:val="24"/>
                <w:szCs w:val="24"/>
              </w:rPr>
            </w:pPr>
            <w:r w:rsidRPr="00FB4CF2">
              <w:rPr>
                <w:rFonts w:cs="Arial"/>
                <w:sz w:val="24"/>
                <w:szCs w:val="24"/>
              </w:rPr>
              <w:t>2018</w:t>
            </w:r>
          </w:p>
        </w:tc>
        <w:tc>
          <w:tcPr>
            <w:tcW w:w="2358" w:type="dxa"/>
            <w:vAlign w:val="bottom"/>
          </w:tcPr>
          <w:p w14:paraId="77296796" w14:textId="24BA72E8"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621,818 </w:t>
            </w:r>
          </w:p>
        </w:tc>
        <w:tc>
          <w:tcPr>
            <w:tcW w:w="2425" w:type="dxa"/>
            <w:vAlign w:val="bottom"/>
          </w:tcPr>
          <w:p w14:paraId="0A77EE51" w14:textId="4BE97F02" w:rsidR="00D378F3" w:rsidRPr="00FB4CF2" w:rsidDel="00A9396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16,363 </w:t>
            </w:r>
          </w:p>
        </w:tc>
        <w:tc>
          <w:tcPr>
            <w:tcW w:w="3150" w:type="dxa"/>
            <w:shd w:val="clear" w:color="auto" w:fill="auto"/>
            <w:noWrap/>
            <w:vAlign w:val="bottom"/>
          </w:tcPr>
          <w:p w14:paraId="35FE409D" w14:textId="1DF3728A"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2.6%</w:t>
            </w:r>
          </w:p>
        </w:tc>
      </w:tr>
      <w:tr w:rsidR="00D378F3" w:rsidRPr="00FB4CF2" w14:paraId="422871C0" w14:textId="77777777" w:rsidTr="00561E74">
        <w:trPr>
          <w:trHeight w:val="285"/>
        </w:trPr>
        <w:tc>
          <w:tcPr>
            <w:tcW w:w="1417" w:type="dxa"/>
            <w:shd w:val="clear" w:color="auto" w:fill="auto"/>
            <w:noWrap/>
            <w:vAlign w:val="bottom"/>
          </w:tcPr>
          <w:p w14:paraId="3782A32D" w14:textId="068BEAA7" w:rsidR="00D378F3" w:rsidRPr="00FB4CF2" w:rsidRDefault="00D378F3" w:rsidP="00D378F3">
            <w:pPr>
              <w:spacing w:after="0" w:line="240" w:lineRule="auto"/>
              <w:jc w:val="right"/>
              <w:rPr>
                <w:rFonts w:eastAsia="Times New Roman" w:cs="Arial"/>
                <w:color w:val="000000"/>
                <w:sz w:val="24"/>
                <w:szCs w:val="24"/>
              </w:rPr>
            </w:pPr>
            <w:r w:rsidRPr="00FB4CF2">
              <w:rPr>
                <w:rFonts w:cs="Arial"/>
                <w:sz w:val="24"/>
                <w:szCs w:val="24"/>
              </w:rPr>
              <w:t>2019</w:t>
            </w:r>
          </w:p>
        </w:tc>
        <w:tc>
          <w:tcPr>
            <w:tcW w:w="2358" w:type="dxa"/>
            <w:vAlign w:val="bottom"/>
          </w:tcPr>
          <w:p w14:paraId="29BAD2EF" w14:textId="15E9AFC0"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1,068,208 </w:t>
            </w:r>
          </w:p>
        </w:tc>
        <w:tc>
          <w:tcPr>
            <w:tcW w:w="2425" w:type="dxa"/>
            <w:vAlign w:val="bottom"/>
          </w:tcPr>
          <w:p w14:paraId="7F3AEFA4" w14:textId="238D8FDB"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(5,926)</w:t>
            </w:r>
          </w:p>
        </w:tc>
        <w:tc>
          <w:tcPr>
            <w:tcW w:w="3150" w:type="dxa"/>
            <w:shd w:val="clear" w:color="auto" w:fill="auto"/>
            <w:noWrap/>
            <w:vAlign w:val="bottom"/>
          </w:tcPr>
          <w:p w14:paraId="13085819" w14:textId="3BAEF69A"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-0.6%</w:t>
            </w:r>
          </w:p>
        </w:tc>
      </w:tr>
      <w:tr w:rsidR="00D378F3" w:rsidRPr="00FB4CF2" w14:paraId="2D92B67C" w14:textId="77777777" w:rsidTr="00561E74">
        <w:trPr>
          <w:trHeight w:val="58"/>
        </w:trPr>
        <w:tc>
          <w:tcPr>
            <w:tcW w:w="1417" w:type="dxa"/>
            <w:shd w:val="clear" w:color="auto" w:fill="auto"/>
            <w:noWrap/>
            <w:vAlign w:val="bottom"/>
          </w:tcPr>
          <w:p w14:paraId="24A0B535" w14:textId="3D804182" w:rsidR="00D378F3" w:rsidRPr="00FB4CF2" w:rsidRDefault="00D378F3" w:rsidP="00D378F3">
            <w:pPr>
              <w:spacing w:after="0" w:line="240" w:lineRule="auto"/>
              <w:rPr>
                <w:rFonts w:eastAsia="Times New Roman" w:cs="Arial"/>
                <w:color w:val="000000"/>
                <w:sz w:val="24"/>
                <w:szCs w:val="24"/>
              </w:rPr>
            </w:pPr>
            <w:r w:rsidRPr="00FB4CF2">
              <w:rPr>
                <w:rFonts w:eastAsia="Times New Roman" w:cs="Arial"/>
                <w:color w:val="000000"/>
                <w:sz w:val="24"/>
                <w:szCs w:val="24"/>
              </w:rPr>
              <w:t xml:space="preserve">Cumulative </w:t>
            </w:r>
          </w:p>
        </w:tc>
        <w:tc>
          <w:tcPr>
            <w:tcW w:w="2358" w:type="dxa"/>
            <w:vAlign w:val="bottom"/>
          </w:tcPr>
          <w:p w14:paraId="44547FA8" w14:textId="6C84E1D8"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3,378,824 </w:t>
            </w:r>
          </w:p>
        </w:tc>
        <w:tc>
          <w:tcPr>
            <w:tcW w:w="2425" w:type="dxa"/>
            <w:vAlign w:val="bottom"/>
          </w:tcPr>
          <w:p w14:paraId="78B21BDB" w14:textId="5B0217F3" w:rsidR="00D378F3" w:rsidRPr="00FB4CF2" w:rsidDel="00A9396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 xml:space="preserve"> $                24,233 </w:t>
            </w:r>
          </w:p>
        </w:tc>
        <w:tc>
          <w:tcPr>
            <w:tcW w:w="3150" w:type="dxa"/>
            <w:shd w:val="clear" w:color="auto" w:fill="auto"/>
            <w:noWrap/>
            <w:vAlign w:val="bottom"/>
          </w:tcPr>
          <w:p w14:paraId="63E399DE" w14:textId="5E4DA09F" w:rsidR="00D378F3" w:rsidRPr="00FB4CF2" w:rsidRDefault="00D378F3" w:rsidP="00D378F3">
            <w:pPr>
              <w:spacing w:after="0" w:line="240" w:lineRule="auto"/>
              <w:jc w:val="center"/>
              <w:rPr>
                <w:rFonts w:eastAsia="Times New Roman" w:cs="Arial"/>
                <w:color w:val="000000"/>
                <w:sz w:val="24"/>
                <w:szCs w:val="24"/>
              </w:rPr>
            </w:pPr>
            <w:r w:rsidRPr="00FB4CF2">
              <w:rPr>
                <w:rFonts w:cs="Arial"/>
                <w:color w:val="000000"/>
                <w:sz w:val="24"/>
                <w:szCs w:val="24"/>
              </w:rPr>
              <w:t>0.7%</w:t>
            </w:r>
          </w:p>
        </w:tc>
      </w:tr>
    </w:tbl>
    <w:p w14:paraId="049BF379" w14:textId="349D50FC" w:rsidR="001516AA" w:rsidRPr="00FB4CF2" w:rsidRDefault="001516AA" w:rsidP="00917236">
      <w:pPr>
        <w:spacing w:before="40" w:after="40" w:line="240" w:lineRule="auto"/>
        <w:contextualSpacing/>
        <w:rPr>
          <w:sz w:val="24"/>
          <w:szCs w:val="24"/>
        </w:rPr>
      </w:pPr>
    </w:p>
    <w:p w14:paraId="1238B4A8" w14:textId="0692E0F8" w:rsidR="00D378F3" w:rsidRDefault="00D378F3" w:rsidP="00D378F3">
      <w:pPr>
        <w:pStyle w:val="ListParagraph"/>
        <w:numPr>
          <w:ilvl w:val="0"/>
          <w:numId w:val="5"/>
        </w:numPr>
        <w:spacing w:before="40" w:after="40" w:line="240" w:lineRule="auto"/>
        <w:rPr>
          <w:sz w:val="24"/>
          <w:szCs w:val="24"/>
        </w:rPr>
      </w:pPr>
      <w:r w:rsidRPr="00FB4CF2">
        <w:rPr>
          <w:sz w:val="24"/>
          <w:szCs w:val="24"/>
        </w:rPr>
        <w:t>Please confirm whether the amounts reported in RRR for Account 4705 are accurate</w:t>
      </w:r>
      <w:r w:rsidR="00040B36">
        <w:rPr>
          <w:sz w:val="24"/>
          <w:szCs w:val="24"/>
        </w:rPr>
        <w:t>,</w:t>
      </w:r>
      <w:r w:rsidRPr="00FB4CF2">
        <w:rPr>
          <w:sz w:val="24"/>
          <w:szCs w:val="24"/>
        </w:rPr>
        <w:t xml:space="preserve"> </w:t>
      </w:r>
      <w:r w:rsidR="00005679" w:rsidRPr="00FB4CF2">
        <w:rPr>
          <w:sz w:val="24"/>
          <w:szCs w:val="24"/>
        </w:rPr>
        <w:t xml:space="preserve">as Hydro 2000 has indicated adjustments to revenue and expense accounts were required in relation to </w:t>
      </w:r>
      <w:r w:rsidR="006A5382">
        <w:rPr>
          <w:sz w:val="24"/>
          <w:szCs w:val="24"/>
        </w:rPr>
        <w:t xml:space="preserve">adjustments for </w:t>
      </w:r>
      <w:r w:rsidR="00005679" w:rsidRPr="00FB4CF2">
        <w:rPr>
          <w:sz w:val="24"/>
          <w:szCs w:val="24"/>
        </w:rPr>
        <w:t>Account 1588 and Account 1589.</w:t>
      </w:r>
    </w:p>
    <w:p w14:paraId="4BCD474F" w14:textId="296ABF21" w:rsidR="00765FB0" w:rsidRDefault="00765FB0" w:rsidP="00765FB0">
      <w:pPr>
        <w:spacing w:before="40" w:after="40" w:line="240" w:lineRule="auto"/>
        <w:ind w:left="360"/>
        <w:rPr>
          <w:sz w:val="24"/>
          <w:szCs w:val="24"/>
        </w:rPr>
      </w:pPr>
    </w:p>
    <w:p w14:paraId="7F244C2D" w14:textId="071F08BD" w:rsidR="0061736B" w:rsidRPr="001A4B25" w:rsidRDefault="001A4B25" w:rsidP="004E1D6A">
      <w:pPr>
        <w:spacing w:before="40" w:after="40" w:line="240" w:lineRule="auto"/>
        <w:ind w:left="720"/>
        <w:rPr>
          <w:color w:val="0070C0"/>
          <w:sz w:val="24"/>
          <w:szCs w:val="24"/>
        </w:rPr>
      </w:pPr>
      <w:r w:rsidRPr="001A4B25">
        <w:rPr>
          <w:b/>
          <w:bCs/>
          <w:color w:val="0070C0"/>
          <w:sz w:val="24"/>
          <w:szCs w:val="24"/>
        </w:rPr>
        <w:t>H2000 Response:</w:t>
      </w:r>
      <w:r w:rsidRPr="001A4B25">
        <w:rPr>
          <w:color w:val="0070C0"/>
          <w:sz w:val="24"/>
          <w:szCs w:val="24"/>
        </w:rPr>
        <w:t xml:space="preserve"> </w:t>
      </w:r>
      <w:r w:rsidR="006D7857" w:rsidRPr="001A4B25">
        <w:rPr>
          <w:color w:val="0070C0"/>
          <w:sz w:val="24"/>
          <w:szCs w:val="24"/>
        </w:rPr>
        <w:t xml:space="preserve">In 2018, the new general manager discovered some errors made by the previous </w:t>
      </w:r>
      <w:r w:rsidR="00514CBE" w:rsidRPr="001A4B25">
        <w:rPr>
          <w:color w:val="0070C0"/>
          <w:sz w:val="24"/>
          <w:szCs w:val="24"/>
        </w:rPr>
        <w:t>ge</w:t>
      </w:r>
      <w:r w:rsidR="00FD2D1E" w:rsidRPr="001A4B25">
        <w:rPr>
          <w:color w:val="0070C0"/>
          <w:sz w:val="24"/>
          <w:szCs w:val="24"/>
        </w:rPr>
        <w:t>neral manager.</w:t>
      </w:r>
      <w:r w:rsidR="00113B21" w:rsidRPr="001A4B25">
        <w:rPr>
          <w:color w:val="0070C0"/>
          <w:sz w:val="24"/>
          <w:szCs w:val="24"/>
        </w:rPr>
        <w:t xml:space="preserve"> The claims made on form 1598 </w:t>
      </w:r>
      <w:r w:rsidR="004B63C0" w:rsidRPr="001A4B25">
        <w:rPr>
          <w:color w:val="0070C0"/>
          <w:sz w:val="24"/>
          <w:szCs w:val="24"/>
        </w:rPr>
        <w:t xml:space="preserve">in </w:t>
      </w:r>
      <w:r w:rsidR="00103727" w:rsidRPr="001A4B25">
        <w:rPr>
          <w:color w:val="0070C0"/>
          <w:sz w:val="24"/>
          <w:szCs w:val="24"/>
        </w:rPr>
        <w:t xml:space="preserve">2017 </w:t>
      </w:r>
      <w:r w:rsidR="00113B21" w:rsidRPr="001A4B25">
        <w:rPr>
          <w:color w:val="0070C0"/>
          <w:sz w:val="24"/>
          <w:szCs w:val="24"/>
        </w:rPr>
        <w:t xml:space="preserve">were incorrect. </w:t>
      </w:r>
      <w:proofErr w:type="gramStart"/>
      <w:r w:rsidR="00BC6D94" w:rsidRPr="001A4B25">
        <w:rPr>
          <w:color w:val="0070C0"/>
          <w:sz w:val="24"/>
          <w:szCs w:val="24"/>
        </w:rPr>
        <w:t>This is why</w:t>
      </w:r>
      <w:proofErr w:type="gramEnd"/>
      <w:r w:rsidR="00BC6D94" w:rsidRPr="001A4B25">
        <w:rPr>
          <w:color w:val="0070C0"/>
          <w:sz w:val="24"/>
          <w:szCs w:val="24"/>
        </w:rPr>
        <w:t xml:space="preserve"> the expense in 2018 is</w:t>
      </w:r>
      <w:r w:rsidR="007E5CE1" w:rsidRPr="001A4B25">
        <w:rPr>
          <w:color w:val="0070C0"/>
          <w:sz w:val="24"/>
          <w:szCs w:val="24"/>
        </w:rPr>
        <w:t xml:space="preserve"> lower. </w:t>
      </w:r>
      <w:r w:rsidR="00F301EB" w:rsidRPr="001A4B25">
        <w:rPr>
          <w:color w:val="0070C0"/>
          <w:sz w:val="24"/>
          <w:szCs w:val="24"/>
        </w:rPr>
        <w:t xml:space="preserve">The average for the 3 years is $1.1M. </w:t>
      </w:r>
      <w:r w:rsidR="00C23389" w:rsidRPr="001A4B25">
        <w:rPr>
          <w:color w:val="0070C0"/>
          <w:sz w:val="24"/>
          <w:szCs w:val="24"/>
        </w:rPr>
        <w:t>In total, the expenses are correct.</w:t>
      </w:r>
    </w:p>
    <w:p w14:paraId="1F028247" w14:textId="77777777" w:rsidR="00765FB0" w:rsidRPr="00765FB0" w:rsidRDefault="00765FB0" w:rsidP="00765FB0">
      <w:pPr>
        <w:spacing w:before="40" w:after="40" w:line="240" w:lineRule="auto"/>
        <w:rPr>
          <w:sz w:val="24"/>
          <w:szCs w:val="24"/>
        </w:rPr>
      </w:pPr>
    </w:p>
    <w:p w14:paraId="555DCEFE" w14:textId="7D5A9458" w:rsidR="00EA419E" w:rsidRDefault="00005679" w:rsidP="00EA419E">
      <w:pPr>
        <w:pStyle w:val="ListParagraph"/>
        <w:numPr>
          <w:ilvl w:val="0"/>
          <w:numId w:val="5"/>
        </w:numPr>
        <w:spacing w:before="40" w:after="40" w:line="240" w:lineRule="auto"/>
        <w:rPr>
          <w:sz w:val="24"/>
          <w:szCs w:val="24"/>
        </w:rPr>
      </w:pPr>
      <w:r w:rsidRPr="00FB4CF2">
        <w:rPr>
          <w:sz w:val="24"/>
          <w:szCs w:val="24"/>
        </w:rPr>
        <w:t>If</w:t>
      </w:r>
      <w:r w:rsidR="00561E74">
        <w:rPr>
          <w:sz w:val="24"/>
          <w:szCs w:val="24"/>
        </w:rPr>
        <w:t xml:space="preserve"> the</w:t>
      </w:r>
      <w:r w:rsidRPr="00FB4CF2">
        <w:rPr>
          <w:sz w:val="24"/>
          <w:szCs w:val="24"/>
        </w:rPr>
        <w:t xml:space="preserve"> Account 4705 amounts are not correct, please revise the calculation above.</w:t>
      </w:r>
    </w:p>
    <w:p w14:paraId="16F9E9E9" w14:textId="0C769AF6" w:rsidR="004E1D6A" w:rsidRDefault="004E1D6A" w:rsidP="004E1D6A">
      <w:pPr>
        <w:spacing w:before="40" w:after="40" w:line="240" w:lineRule="auto"/>
        <w:rPr>
          <w:sz w:val="24"/>
          <w:szCs w:val="24"/>
        </w:rPr>
      </w:pPr>
    </w:p>
    <w:tbl>
      <w:tblPr>
        <w:tblpPr w:leftFromText="180" w:rightFromText="180" w:vertAnchor="text" w:horzAnchor="margin" w:tblpY="144"/>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58"/>
        <w:gridCol w:w="2425"/>
        <w:gridCol w:w="3150"/>
      </w:tblGrid>
      <w:tr w:rsidR="001A4B25" w:rsidRPr="001A4B25" w:rsidDel="00A93962" w14:paraId="2E0AF959" w14:textId="77777777" w:rsidTr="00455A44">
        <w:trPr>
          <w:trHeight w:val="285"/>
        </w:trPr>
        <w:tc>
          <w:tcPr>
            <w:tcW w:w="1417" w:type="dxa"/>
            <w:shd w:val="clear" w:color="auto" w:fill="auto"/>
            <w:noWrap/>
            <w:vAlign w:val="bottom"/>
          </w:tcPr>
          <w:p w14:paraId="0F941FC5" w14:textId="77777777" w:rsidR="005260FB" w:rsidRPr="001A4B25" w:rsidRDefault="005260FB" w:rsidP="00455A44">
            <w:pPr>
              <w:spacing w:after="0" w:line="240" w:lineRule="auto"/>
              <w:jc w:val="right"/>
              <w:rPr>
                <w:rFonts w:eastAsia="Times New Roman" w:cs="Arial"/>
                <w:color w:val="0070C0"/>
                <w:sz w:val="24"/>
                <w:szCs w:val="24"/>
              </w:rPr>
            </w:pPr>
          </w:p>
        </w:tc>
        <w:tc>
          <w:tcPr>
            <w:tcW w:w="2358" w:type="dxa"/>
            <w:vAlign w:val="bottom"/>
          </w:tcPr>
          <w:p w14:paraId="40937F90" w14:textId="77777777" w:rsidR="005260FB" w:rsidRPr="001A4B25" w:rsidRDefault="005260FB" w:rsidP="00455A44">
            <w:pPr>
              <w:spacing w:after="0" w:line="240" w:lineRule="auto"/>
              <w:jc w:val="center"/>
              <w:rPr>
                <w:rFonts w:cs="Arial"/>
                <w:b/>
                <w:bCs/>
                <w:color w:val="0070C0"/>
                <w:sz w:val="24"/>
                <w:szCs w:val="24"/>
              </w:rPr>
            </w:pPr>
            <w:r w:rsidRPr="001A4B25">
              <w:rPr>
                <w:rFonts w:eastAsia="Times New Roman" w:cs="Arial"/>
                <w:b/>
                <w:bCs/>
                <w:color w:val="0070C0"/>
                <w:sz w:val="24"/>
                <w:szCs w:val="24"/>
              </w:rPr>
              <w:t xml:space="preserve">Account 4705 ($) </w:t>
            </w:r>
            <w:r w:rsidRPr="001A4B25">
              <w:rPr>
                <w:rFonts w:cs="Arial"/>
                <w:b/>
                <w:bCs/>
                <w:color w:val="0070C0"/>
                <w:sz w:val="24"/>
                <w:szCs w:val="24"/>
              </w:rPr>
              <w:t xml:space="preserve"> </w:t>
            </w:r>
          </w:p>
        </w:tc>
        <w:tc>
          <w:tcPr>
            <w:tcW w:w="2425" w:type="dxa"/>
          </w:tcPr>
          <w:p w14:paraId="75919D96" w14:textId="77777777" w:rsidR="005260FB" w:rsidRPr="001A4B25" w:rsidRDefault="005260FB" w:rsidP="00455A44">
            <w:pPr>
              <w:spacing w:after="0" w:line="240" w:lineRule="auto"/>
              <w:jc w:val="center"/>
              <w:rPr>
                <w:rFonts w:eastAsia="Times New Roman" w:cs="Arial"/>
                <w:b/>
                <w:bCs/>
                <w:color w:val="0070C0"/>
                <w:sz w:val="24"/>
                <w:szCs w:val="24"/>
              </w:rPr>
            </w:pPr>
            <w:r w:rsidRPr="001A4B25">
              <w:rPr>
                <w:rFonts w:cs="Arial"/>
                <w:b/>
                <w:bCs/>
                <w:color w:val="0070C0"/>
                <w:sz w:val="24"/>
                <w:szCs w:val="24"/>
              </w:rPr>
              <w:t>Net Activity in Account 1588 ($)</w:t>
            </w:r>
          </w:p>
        </w:tc>
        <w:tc>
          <w:tcPr>
            <w:tcW w:w="3150" w:type="dxa"/>
            <w:shd w:val="clear" w:color="auto" w:fill="auto"/>
            <w:noWrap/>
            <w:vAlign w:val="bottom"/>
          </w:tcPr>
          <w:p w14:paraId="6E57815F" w14:textId="77777777" w:rsidR="005260FB" w:rsidRPr="001A4B25" w:rsidDel="00A93962" w:rsidRDefault="005260FB" w:rsidP="00455A44">
            <w:pPr>
              <w:spacing w:after="0" w:line="240" w:lineRule="auto"/>
              <w:jc w:val="center"/>
              <w:rPr>
                <w:rFonts w:eastAsia="Times New Roman" w:cs="Arial"/>
                <w:b/>
                <w:bCs/>
                <w:color w:val="0070C0"/>
                <w:sz w:val="24"/>
                <w:szCs w:val="24"/>
              </w:rPr>
            </w:pPr>
            <w:r w:rsidRPr="001A4B25">
              <w:rPr>
                <w:rFonts w:eastAsia="Times New Roman" w:cs="Arial"/>
                <w:b/>
                <w:bCs/>
                <w:color w:val="0070C0"/>
                <w:sz w:val="24"/>
                <w:szCs w:val="24"/>
              </w:rPr>
              <w:t>% of net activity compared to Account 4705</w:t>
            </w:r>
          </w:p>
        </w:tc>
      </w:tr>
      <w:tr w:rsidR="001A4B25" w:rsidRPr="001A4B25" w14:paraId="4C83EAFD" w14:textId="77777777" w:rsidTr="00455A44">
        <w:trPr>
          <w:trHeight w:val="285"/>
        </w:trPr>
        <w:tc>
          <w:tcPr>
            <w:tcW w:w="1417" w:type="dxa"/>
            <w:shd w:val="clear" w:color="auto" w:fill="auto"/>
            <w:noWrap/>
            <w:vAlign w:val="bottom"/>
          </w:tcPr>
          <w:p w14:paraId="760C8B18" w14:textId="77777777" w:rsidR="005260FB" w:rsidRPr="001A4B25" w:rsidRDefault="005260FB" w:rsidP="00455A44">
            <w:pPr>
              <w:spacing w:after="0" w:line="240" w:lineRule="auto"/>
              <w:jc w:val="right"/>
              <w:rPr>
                <w:rFonts w:eastAsia="Times New Roman" w:cs="Arial"/>
                <w:color w:val="0070C0"/>
                <w:sz w:val="24"/>
                <w:szCs w:val="24"/>
              </w:rPr>
            </w:pPr>
            <w:r w:rsidRPr="001A4B25">
              <w:rPr>
                <w:rFonts w:cs="Arial"/>
                <w:color w:val="0070C0"/>
                <w:sz w:val="24"/>
                <w:szCs w:val="24"/>
              </w:rPr>
              <w:lastRenderedPageBreak/>
              <w:t>2017</w:t>
            </w:r>
          </w:p>
        </w:tc>
        <w:tc>
          <w:tcPr>
            <w:tcW w:w="2358" w:type="dxa"/>
            <w:vAlign w:val="bottom"/>
          </w:tcPr>
          <w:p w14:paraId="5A4107A9" w14:textId="1428C814" w:rsidR="005260FB" w:rsidRPr="001A4B25"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 xml:space="preserve"> $1,</w:t>
            </w:r>
            <w:r w:rsidR="0048608A" w:rsidRPr="001A4B25">
              <w:rPr>
                <w:rFonts w:cs="Arial"/>
                <w:color w:val="0070C0"/>
                <w:sz w:val="24"/>
                <w:szCs w:val="24"/>
              </w:rPr>
              <w:t>043</w:t>
            </w:r>
            <w:r w:rsidRPr="001A4B25">
              <w:rPr>
                <w:rFonts w:cs="Arial"/>
                <w:color w:val="0070C0"/>
                <w:sz w:val="24"/>
                <w:szCs w:val="24"/>
              </w:rPr>
              <w:t>,</w:t>
            </w:r>
            <w:r w:rsidR="00C06120" w:rsidRPr="001A4B25">
              <w:rPr>
                <w:rFonts w:cs="Arial"/>
                <w:color w:val="0070C0"/>
                <w:sz w:val="24"/>
                <w:szCs w:val="24"/>
              </w:rPr>
              <w:t>606</w:t>
            </w:r>
            <w:r w:rsidRPr="001A4B25">
              <w:rPr>
                <w:rFonts w:cs="Arial"/>
                <w:color w:val="0070C0"/>
                <w:sz w:val="24"/>
                <w:szCs w:val="24"/>
              </w:rPr>
              <w:t xml:space="preserve"> </w:t>
            </w:r>
          </w:p>
        </w:tc>
        <w:tc>
          <w:tcPr>
            <w:tcW w:w="2425" w:type="dxa"/>
            <w:vAlign w:val="bottom"/>
          </w:tcPr>
          <w:p w14:paraId="0BCFC6A0" w14:textId="279717C4" w:rsidR="005260FB" w:rsidRPr="001A4B25" w:rsidDel="00A93962"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 xml:space="preserve"> $13,796 </w:t>
            </w:r>
          </w:p>
        </w:tc>
        <w:tc>
          <w:tcPr>
            <w:tcW w:w="3150" w:type="dxa"/>
            <w:shd w:val="clear" w:color="auto" w:fill="auto"/>
            <w:noWrap/>
            <w:vAlign w:val="bottom"/>
          </w:tcPr>
          <w:p w14:paraId="3D038EA3" w14:textId="7CC47E8F" w:rsidR="005260FB" w:rsidRPr="001A4B25" w:rsidRDefault="00980CC9" w:rsidP="00455A44">
            <w:pPr>
              <w:spacing w:after="0" w:line="240" w:lineRule="auto"/>
              <w:jc w:val="center"/>
              <w:rPr>
                <w:rFonts w:eastAsia="Times New Roman" w:cs="Arial"/>
                <w:color w:val="0070C0"/>
                <w:sz w:val="24"/>
                <w:szCs w:val="24"/>
              </w:rPr>
            </w:pPr>
            <w:r w:rsidRPr="001A4B25">
              <w:rPr>
                <w:rFonts w:cs="Arial"/>
                <w:color w:val="0070C0"/>
                <w:sz w:val="24"/>
                <w:szCs w:val="24"/>
              </w:rPr>
              <w:t>1</w:t>
            </w:r>
            <w:r w:rsidR="005260FB" w:rsidRPr="001A4B25">
              <w:rPr>
                <w:rFonts w:cs="Arial"/>
                <w:color w:val="0070C0"/>
                <w:sz w:val="24"/>
                <w:szCs w:val="24"/>
              </w:rPr>
              <w:t>.</w:t>
            </w:r>
            <w:r w:rsidRPr="001A4B25">
              <w:rPr>
                <w:rFonts w:cs="Arial"/>
                <w:color w:val="0070C0"/>
                <w:sz w:val="24"/>
                <w:szCs w:val="24"/>
              </w:rPr>
              <w:t>3</w:t>
            </w:r>
            <w:r w:rsidR="005260FB" w:rsidRPr="001A4B25">
              <w:rPr>
                <w:rFonts w:cs="Arial"/>
                <w:color w:val="0070C0"/>
                <w:sz w:val="24"/>
                <w:szCs w:val="24"/>
              </w:rPr>
              <w:t>%</w:t>
            </w:r>
          </w:p>
        </w:tc>
      </w:tr>
      <w:tr w:rsidR="001A4B25" w:rsidRPr="001A4B25" w14:paraId="5FDCE974" w14:textId="77777777" w:rsidTr="00455A44">
        <w:trPr>
          <w:trHeight w:val="285"/>
        </w:trPr>
        <w:tc>
          <w:tcPr>
            <w:tcW w:w="1417" w:type="dxa"/>
            <w:shd w:val="clear" w:color="auto" w:fill="auto"/>
            <w:noWrap/>
            <w:vAlign w:val="bottom"/>
          </w:tcPr>
          <w:p w14:paraId="7BDADBB3" w14:textId="77777777" w:rsidR="005260FB" w:rsidRPr="001A4B25" w:rsidRDefault="005260FB" w:rsidP="00455A44">
            <w:pPr>
              <w:spacing w:after="0" w:line="240" w:lineRule="auto"/>
              <w:jc w:val="right"/>
              <w:rPr>
                <w:rFonts w:eastAsia="Times New Roman" w:cs="Arial"/>
                <w:color w:val="0070C0"/>
                <w:sz w:val="24"/>
                <w:szCs w:val="24"/>
              </w:rPr>
            </w:pPr>
            <w:r w:rsidRPr="001A4B25">
              <w:rPr>
                <w:rFonts w:cs="Arial"/>
                <w:color w:val="0070C0"/>
                <w:sz w:val="24"/>
                <w:szCs w:val="24"/>
              </w:rPr>
              <w:t>2018</w:t>
            </w:r>
          </w:p>
        </w:tc>
        <w:tc>
          <w:tcPr>
            <w:tcW w:w="2358" w:type="dxa"/>
            <w:vAlign w:val="bottom"/>
          </w:tcPr>
          <w:p w14:paraId="162B6288" w14:textId="7B90630E" w:rsidR="005260FB" w:rsidRPr="001A4B25"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 xml:space="preserve"> </w:t>
            </w:r>
            <w:r w:rsidR="00C06120" w:rsidRPr="001A4B25">
              <w:rPr>
                <w:rFonts w:cs="Arial"/>
                <w:color w:val="0070C0"/>
                <w:sz w:val="24"/>
                <w:szCs w:val="24"/>
              </w:rPr>
              <w:t>$1,267,009</w:t>
            </w:r>
          </w:p>
        </w:tc>
        <w:tc>
          <w:tcPr>
            <w:tcW w:w="2425" w:type="dxa"/>
            <w:vAlign w:val="bottom"/>
          </w:tcPr>
          <w:p w14:paraId="196FC2AA" w14:textId="6A778188" w:rsidR="005260FB" w:rsidRPr="001A4B25" w:rsidDel="00A93962"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 xml:space="preserve"> $16,363 </w:t>
            </w:r>
          </w:p>
        </w:tc>
        <w:tc>
          <w:tcPr>
            <w:tcW w:w="3150" w:type="dxa"/>
            <w:shd w:val="clear" w:color="auto" w:fill="auto"/>
            <w:noWrap/>
            <w:vAlign w:val="bottom"/>
          </w:tcPr>
          <w:p w14:paraId="6F8BC3A1" w14:textId="32D41F18" w:rsidR="005260FB" w:rsidRPr="001A4B25" w:rsidRDefault="00980CC9" w:rsidP="00455A44">
            <w:pPr>
              <w:spacing w:after="0" w:line="240" w:lineRule="auto"/>
              <w:jc w:val="center"/>
              <w:rPr>
                <w:rFonts w:eastAsia="Times New Roman" w:cs="Arial"/>
                <w:color w:val="0070C0"/>
                <w:sz w:val="24"/>
                <w:szCs w:val="24"/>
              </w:rPr>
            </w:pPr>
            <w:r w:rsidRPr="001A4B25">
              <w:rPr>
                <w:rFonts w:cs="Arial"/>
                <w:color w:val="0070C0"/>
                <w:sz w:val="24"/>
                <w:szCs w:val="24"/>
              </w:rPr>
              <w:t>1</w:t>
            </w:r>
            <w:r w:rsidR="005260FB" w:rsidRPr="001A4B25">
              <w:rPr>
                <w:rFonts w:cs="Arial"/>
                <w:color w:val="0070C0"/>
                <w:sz w:val="24"/>
                <w:szCs w:val="24"/>
              </w:rPr>
              <w:t>.</w:t>
            </w:r>
            <w:r w:rsidRPr="001A4B25">
              <w:rPr>
                <w:rFonts w:cs="Arial"/>
                <w:color w:val="0070C0"/>
                <w:sz w:val="24"/>
                <w:szCs w:val="24"/>
              </w:rPr>
              <w:t>3</w:t>
            </w:r>
            <w:r w:rsidR="005260FB" w:rsidRPr="001A4B25">
              <w:rPr>
                <w:rFonts w:cs="Arial"/>
                <w:color w:val="0070C0"/>
                <w:sz w:val="24"/>
                <w:szCs w:val="24"/>
              </w:rPr>
              <w:t>%</w:t>
            </w:r>
          </w:p>
        </w:tc>
      </w:tr>
      <w:tr w:rsidR="001A4B25" w:rsidRPr="001A4B25" w14:paraId="78DC6F03" w14:textId="77777777" w:rsidTr="00455A44">
        <w:trPr>
          <w:trHeight w:val="285"/>
        </w:trPr>
        <w:tc>
          <w:tcPr>
            <w:tcW w:w="1417" w:type="dxa"/>
            <w:shd w:val="clear" w:color="auto" w:fill="auto"/>
            <w:noWrap/>
            <w:vAlign w:val="bottom"/>
          </w:tcPr>
          <w:p w14:paraId="38F4EB9F" w14:textId="77777777" w:rsidR="005260FB" w:rsidRPr="001A4B25" w:rsidRDefault="005260FB" w:rsidP="00455A44">
            <w:pPr>
              <w:spacing w:after="0" w:line="240" w:lineRule="auto"/>
              <w:jc w:val="right"/>
              <w:rPr>
                <w:rFonts w:eastAsia="Times New Roman" w:cs="Arial"/>
                <w:color w:val="0070C0"/>
                <w:sz w:val="24"/>
                <w:szCs w:val="24"/>
              </w:rPr>
            </w:pPr>
            <w:r w:rsidRPr="001A4B25">
              <w:rPr>
                <w:rFonts w:cs="Arial"/>
                <w:color w:val="0070C0"/>
                <w:sz w:val="24"/>
                <w:szCs w:val="24"/>
              </w:rPr>
              <w:t>2019</w:t>
            </w:r>
          </w:p>
        </w:tc>
        <w:tc>
          <w:tcPr>
            <w:tcW w:w="2358" w:type="dxa"/>
            <w:vAlign w:val="bottom"/>
          </w:tcPr>
          <w:p w14:paraId="26FFFC7E" w14:textId="6D350E56" w:rsidR="005260FB" w:rsidRPr="001A4B25"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 xml:space="preserve"> $1,068,208 </w:t>
            </w:r>
          </w:p>
        </w:tc>
        <w:tc>
          <w:tcPr>
            <w:tcW w:w="2425" w:type="dxa"/>
            <w:vAlign w:val="bottom"/>
          </w:tcPr>
          <w:p w14:paraId="45863D6C" w14:textId="7B48BD83" w:rsidR="005260FB" w:rsidRPr="001A4B25"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 xml:space="preserve"> $(5,926)</w:t>
            </w:r>
          </w:p>
        </w:tc>
        <w:tc>
          <w:tcPr>
            <w:tcW w:w="3150" w:type="dxa"/>
            <w:shd w:val="clear" w:color="auto" w:fill="auto"/>
            <w:noWrap/>
            <w:vAlign w:val="bottom"/>
          </w:tcPr>
          <w:p w14:paraId="49EF354C" w14:textId="77777777" w:rsidR="005260FB" w:rsidRPr="001A4B25"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-0.6%</w:t>
            </w:r>
          </w:p>
        </w:tc>
      </w:tr>
      <w:tr w:rsidR="001A4B25" w:rsidRPr="001A4B25" w14:paraId="1139A2BF" w14:textId="77777777" w:rsidTr="00455A44">
        <w:trPr>
          <w:trHeight w:val="58"/>
        </w:trPr>
        <w:tc>
          <w:tcPr>
            <w:tcW w:w="1417" w:type="dxa"/>
            <w:shd w:val="clear" w:color="auto" w:fill="auto"/>
            <w:noWrap/>
            <w:vAlign w:val="bottom"/>
          </w:tcPr>
          <w:p w14:paraId="3B9BAE17" w14:textId="77777777" w:rsidR="005260FB" w:rsidRPr="001A4B25" w:rsidRDefault="005260FB" w:rsidP="00455A44">
            <w:pPr>
              <w:spacing w:after="0" w:line="240" w:lineRule="auto"/>
              <w:rPr>
                <w:rFonts w:eastAsia="Times New Roman" w:cs="Arial"/>
                <w:color w:val="0070C0"/>
                <w:sz w:val="24"/>
                <w:szCs w:val="24"/>
              </w:rPr>
            </w:pPr>
            <w:r w:rsidRPr="001A4B25">
              <w:rPr>
                <w:rFonts w:eastAsia="Times New Roman" w:cs="Arial"/>
                <w:color w:val="0070C0"/>
                <w:sz w:val="24"/>
                <w:szCs w:val="24"/>
              </w:rPr>
              <w:t xml:space="preserve">Cumulative </w:t>
            </w:r>
          </w:p>
        </w:tc>
        <w:tc>
          <w:tcPr>
            <w:tcW w:w="2358" w:type="dxa"/>
            <w:vAlign w:val="bottom"/>
          </w:tcPr>
          <w:p w14:paraId="5E7286B0" w14:textId="2773FBFE" w:rsidR="005260FB" w:rsidRPr="001A4B25"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 xml:space="preserve"> $3,378,824 </w:t>
            </w:r>
          </w:p>
        </w:tc>
        <w:tc>
          <w:tcPr>
            <w:tcW w:w="2425" w:type="dxa"/>
            <w:vAlign w:val="bottom"/>
          </w:tcPr>
          <w:p w14:paraId="6AA60213" w14:textId="309B55BC" w:rsidR="005260FB" w:rsidRPr="001A4B25" w:rsidDel="00A93962"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 xml:space="preserve"> $24,233 </w:t>
            </w:r>
          </w:p>
        </w:tc>
        <w:tc>
          <w:tcPr>
            <w:tcW w:w="3150" w:type="dxa"/>
            <w:shd w:val="clear" w:color="auto" w:fill="auto"/>
            <w:noWrap/>
            <w:vAlign w:val="bottom"/>
          </w:tcPr>
          <w:p w14:paraId="7DAA8191" w14:textId="77777777" w:rsidR="005260FB" w:rsidRPr="001A4B25" w:rsidRDefault="005260FB" w:rsidP="00455A44">
            <w:pPr>
              <w:spacing w:after="0" w:line="240" w:lineRule="auto"/>
              <w:jc w:val="center"/>
              <w:rPr>
                <w:rFonts w:eastAsia="Times New Roman" w:cs="Arial"/>
                <w:color w:val="0070C0"/>
                <w:sz w:val="24"/>
                <w:szCs w:val="24"/>
              </w:rPr>
            </w:pPr>
            <w:r w:rsidRPr="001A4B25">
              <w:rPr>
                <w:rFonts w:cs="Arial"/>
                <w:color w:val="0070C0"/>
                <w:sz w:val="24"/>
                <w:szCs w:val="24"/>
              </w:rPr>
              <w:t>0.7%</w:t>
            </w:r>
          </w:p>
        </w:tc>
      </w:tr>
    </w:tbl>
    <w:p w14:paraId="3D2378F4" w14:textId="2CF27F44" w:rsidR="004E1D6A" w:rsidRDefault="004E1D6A" w:rsidP="004E1D6A">
      <w:pPr>
        <w:spacing w:before="40" w:after="40" w:line="240" w:lineRule="auto"/>
        <w:ind w:left="720"/>
        <w:rPr>
          <w:sz w:val="24"/>
          <w:szCs w:val="24"/>
        </w:rPr>
      </w:pPr>
    </w:p>
    <w:p w14:paraId="092926E7" w14:textId="77777777" w:rsidR="004E1D6A" w:rsidRPr="004E1D6A" w:rsidRDefault="004E1D6A" w:rsidP="004E1D6A">
      <w:pPr>
        <w:spacing w:before="40" w:after="40" w:line="240" w:lineRule="auto"/>
        <w:rPr>
          <w:sz w:val="24"/>
          <w:szCs w:val="24"/>
        </w:rPr>
      </w:pPr>
    </w:p>
    <w:p w14:paraId="6B4E4115" w14:textId="7007FC55" w:rsidR="00EA419E" w:rsidRDefault="00005679" w:rsidP="00EA419E">
      <w:pPr>
        <w:pStyle w:val="ListParagraph"/>
        <w:numPr>
          <w:ilvl w:val="0"/>
          <w:numId w:val="5"/>
        </w:numPr>
        <w:spacing w:before="40" w:after="40" w:line="240" w:lineRule="auto"/>
        <w:rPr>
          <w:sz w:val="24"/>
          <w:szCs w:val="24"/>
        </w:rPr>
      </w:pPr>
      <w:r w:rsidRPr="00FB4CF2">
        <w:rPr>
          <w:sz w:val="24"/>
          <w:szCs w:val="24"/>
        </w:rPr>
        <w:t>For each year where the % of net activity compared to Account 4705 is greater tha</w:t>
      </w:r>
      <w:r w:rsidR="00EA419E" w:rsidRPr="00FB4CF2">
        <w:rPr>
          <w:sz w:val="24"/>
          <w:szCs w:val="24"/>
        </w:rPr>
        <w:t>n</w:t>
      </w:r>
      <w:r w:rsidRPr="00FB4CF2">
        <w:rPr>
          <w:sz w:val="24"/>
          <w:szCs w:val="24"/>
        </w:rPr>
        <w:t xml:space="preserve"> +/-1%</w:t>
      </w:r>
      <w:r w:rsidR="00040B36">
        <w:rPr>
          <w:sz w:val="24"/>
          <w:szCs w:val="24"/>
        </w:rPr>
        <w:t xml:space="preserve"> (namely 2018, subject to any corrections made by Hydro 2000 to the table)</w:t>
      </w:r>
      <w:r w:rsidRPr="00FB4CF2">
        <w:rPr>
          <w:sz w:val="24"/>
          <w:szCs w:val="24"/>
        </w:rPr>
        <w:t xml:space="preserve">, please provide an explanation </w:t>
      </w:r>
      <w:r w:rsidR="00EA419E" w:rsidRPr="00FB4CF2">
        <w:rPr>
          <w:sz w:val="24"/>
          <w:szCs w:val="24"/>
        </w:rPr>
        <w:t>as to why the Account 1588 activity would be high in consideration of line losses.</w:t>
      </w:r>
    </w:p>
    <w:p w14:paraId="7D683752" w14:textId="7F83B3DE" w:rsidR="004E1D6A" w:rsidRDefault="004E1D6A" w:rsidP="004E1D6A">
      <w:pPr>
        <w:spacing w:before="40" w:after="40" w:line="240" w:lineRule="auto"/>
        <w:rPr>
          <w:sz w:val="24"/>
          <w:szCs w:val="24"/>
        </w:rPr>
      </w:pPr>
    </w:p>
    <w:p w14:paraId="7A985391" w14:textId="675692BB" w:rsidR="004E1D6A" w:rsidRPr="001A4B25" w:rsidRDefault="001A4B25" w:rsidP="004E1D6A">
      <w:pPr>
        <w:spacing w:before="40" w:after="40" w:line="240" w:lineRule="auto"/>
        <w:ind w:left="720"/>
        <w:rPr>
          <w:color w:val="0070C0"/>
          <w:sz w:val="24"/>
          <w:szCs w:val="24"/>
        </w:rPr>
      </w:pPr>
      <w:r w:rsidRPr="001A4B25">
        <w:rPr>
          <w:b/>
          <w:bCs/>
          <w:color w:val="0070C0"/>
          <w:sz w:val="24"/>
          <w:szCs w:val="24"/>
        </w:rPr>
        <w:t>H2000 Response:</w:t>
      </w:r>
      <w:r w:rsidRPr="001A4B25">
        <w:rPr>
          <w:color w:val="0070C0"/>
          <w:sz w:val="24"/>
          <w:szCs w:val="24"/>
        </w:rPr>
        <w:t xml:space="preserve"> </w:t>
      </w:r>
      <w:r w:rsidR="00A7043D" w:rsidRPr="001A4B25">
        <w:rPr>
          <w:color w:val="0070C0"/>
          <w:sz w:val="24"/>
          <w:szCs w:val="24"/>
        </w:rPr>
        <w:t xml:space="preserve">2017 and 2018 are </w:t>
      </w:r>
      <w:r w:rsidR="00D230EE" w:rsidRPr="001A4B25">
        <w:rPr>
          <w:color w:val="0070C0"/>
          <w:sz w:val="24"/>
          <w:szCs w:val="24"/>
        </w:rPr>
        <w:t xml:space="preserve">slightly higher than 1%. </w:t>
      </w:r>
      <w:r w:rsidR="001A2687" w:rsidRPr="001A4B25">
        <w:rPr>
          <w:color w:val="0070C0"/>
          <w:sz w:val="24"/>
          <w:szCs w:val="24"/>
        </w:rPr>
        <w:t>Monthly v</w:t>
      </w:r>
      <w:r w:rsidR="00FE20E2" w:rsidRPr="001A4B25">
        <w:rPr>
          <w:color w:val="0070C0"/>
          <w:sz w:val="24"/>
          <w:szCs w:val="24"/>
        </w:rPr>
        <w:t xml:space="preserve">ariances </w:t>
      </w:r>
      <w:r w:rsidR="001A2687" w:rsidRPr="001A4B25">
        <w:rPr>
          <w:color w:val="0070C0"/>
          <w:sz w:val="24"/>
          <w:szCs w:val="24"/>
        </w:rPr>
        <w:t xml:space="preserve">are stable. There are no large </w:t>
      </w:r>
      <w:r w:rsidR="009B0F4D" w:rsidRPr="001A4B25">
        <w:rPr>
          <w:color w:val="0070C0"/>
          <w:sz w:val="24"/>
          <w:szCs w:val="24"/>
        </w:rPr>
        <w:t>amounts.</w:t>
      </w:r>
    </w:p>
    <w:p w14:paraId="3F686798" w14:textId="77777777" w:rsidR="004E1D6A" w:rsidRPr="004E1D6A" w:rsidRDefault="004E1D6A" w:rsidP="004E1D6A">
      <w:pPr>
        <w:spacing w:before="40" w:after="40" w:line="240" w:lineRule="auto"/>
        <w:rPr>
          <w:sz w:val="24"/>
          <w:szCs w:val="24"/>
        </w:rPr>
      </w:pPr>
    </w:p>
    <w:p w14:paraId="39884294" w14:textId="5F1125AA" w:rsidR="00005679" w:rsidRPr="00FB4CF2" w:rsidRDefault="00005679" w:rsidP="00C54C66">
      <w:pPr>
        <w:spacing w:before="40" w:after="40" w:line="240" w:lineRule="auto"/>
        <w:rPr>
          <w:sz w:val="24"/>
          <w:szCs w:val="24"/>
        </w:rPr>
      </w:pPr>
    </w:p>
    <w:p w14:paraId="2FDEC26D" w14:textId="7A42520A" w:rsidR="00C54C66" w:rsidRPr="00FB4CF2" w:rsidRDefault="00C54C66" w:rsidP="00C54C66">
      <w:pPr>
        <w:spacing w:before="40" w:after="40" w:line="240" w:lineRule="auto"/>
        <w:rPr>
          <w:b/>
          <w:bCs/>
          <w:sz w:val="24"/>
          <w:szCs w:val="24"/>
        </w:rPr>
      </w:pPr>
      <w:r w:rsidRPr="00FB4CF2">
        <w:rPr>
          <w:b/>
          <w:bCs/>
          <w:sz w:val="24"/>
          <w:szCs w:val="24"/>
        </w:rPr>
        <w:t xml:space="preserve">Staff Question – </w:t>
      </w:r>
      <w:r w:rsidR="0071757C">
        <w:rPr>
          <w:b/>
          <w:bCs/>
          <w:sz w:val="24"/>
          <w:szCs w:val="24"/>
        </w:rPr>
        <w:t>12</w:t>
      </w:r>
      <w:r w:rsidR="00473384" w:rsidRPr="00473384">
        <w:rPr>
          <w:b/>
          <w:bCs/>
          <w:color w:val="FF0000"/>
          <w:sz w:val="24"/>
          <w:szCs w:val="24"/>
        </w:rPr>
        <w:t xml:space="preserve"> </w:t>
      </w:r>
    </w:p>
    <w:p w14:paraId="6602E6C3" w14:textId="2E0FD250" w:rsidR="00C54C66" w:rsidRPr="00FB4CF2" w:rsidRDefault="00C54C66" w:rsidP="00C54C66">
      <w:pPr>
        <w:spacing w:before="40" w:after="40" w:line="240" w:lineRule="auto"/>
        <w:rPr>
          <w:b/>
          <w:bCs/>
          <w:sz w:val="24"/>
          <w:szCs w:val="24"/>
        </w:rPr>
      </w:pPr>
      <w:r w:rsidRPr="00FB4CF2">
        <w:rPr>
          <w:b/>
          <w:bCs/>
          <w:sz w:val="24"/>
          <w:szCs w:val="24"/>
        </w:rPr>
        <w:t>Ref: GA Analysis Workform</w:t>
      </w:r>
    </w:p>
    <w:p w14:paraId="30040C86" w14:textId="266132C5" w:rsidR="00C54C66" w:rsidRPr="00FB4CF2" w:rsidRDefault="00C54C66" w:rsidP="00C54C66">
      <w:pPr>
        <w:spacing w:before="40" w:after="40" w:line="240" w:lineRule="auto"/>
        <w:rPr>
          <w:b/>
          <w:bCs/>
          <w:sz w:val="24"/>
          <w:szCs w:val="24"/>
        </w:rPr>
      </w:pPr>
    </w:p>
    <w:p w14:paraId="739897B8" w14:textId="77777777" w:rsidR="006E3A5C" w:rsidRPr="00FB4CF2" w:rsidRDefault="00C54C66" w:rsidP="00C54C66">
      <w:pPr>
        <w:spacing w:before="40" w:after="40" w:line="240" w:lineRule="auto"/>
        <w:rPr>
          <w:sz w:val="24"/>
          <w:szCs w:val="24"/>
        </w:rPr>
      </w:pPr>
      <w:r w:rsidRPr="00FB4CF2">
        <w:rPr>
          <w:sz w:val="24"/>
          <w:szCs w:val="24"/>
        </w:rPr>
        <w:t xml:space="preserve">In the 2017 to 2019 GA Analysis </w:t>
      </w:r>
      <w:proofErr w:type="spellStart"/>
      <w:r w:rsidRPr="00FB4CF2">
        <w:rPr>
          <w:sz w:val="24"/>
          <w:szCs w:val="24"/>
        </w:rPr>
        <w:t>Workforms</w:t>
      </w:r>
      <w:proofErr w:type="spellEnd"/>
      <w:r w:rsidRPr="00FB4CF2">
        <w:rPr>
          <w:sz w:val="24"/>
          <w:szCs w:val="24"/>
        </w:rPr>
        <w:t xml:space="preserve">, </w:t>
      </w:r>
      <w:r w:rsidR="00FD42E6" w:rsidRPr="00FB4CF2">
        <w:rPr>
          <w:sz w:val="24"/>
          <w:szCs w:val="24"/>
        </w:rPr>
        <w:t xml:space="preserve">Hydro 2000 indicated that the RRR data used to calculate the loss factor is incorrect. </w:t>
      </w:r>
    </w:p>
    <w:p w14:paraId="79E56AFB" w14:textId="2FC244A2" w:rsidR="00C54C66" w:rsidRDefault="00FD42E6" w:rsidP="006E3A5C">
      <w:pPr>
        <w:pStyle w:val="ListParagraph"/>
        <w:numPr>
          <w:ilvl w:val="0"/>
          <w:numId w:val="7"/>
        </w:numPr>
        <w:spacing w:before="40" w:after="40" w:line="240" w:lineRule="auto"/>
        <w:rPr>
          <w:sz w:val="24"/>
          <w:szCs w:val="24"/>
        </w:rPr>
      </w:pPr>
      <w:r w:rsidRPr="00FB4CF2">
        <w:rPr>
          <w:sz w:val="24"/>
          <w:szCs w:val="24"/>
        </w:rPr>
        <w:t xml:space="preserve">For each year, please provide the correct </w:t>
      </w:r>
      <w:r w:rsidR="000B7BA0" w:rsidRPr="00FB4CF2">
        <w:rPr>
          <w:sz w:val="24"/>
          <w:szCs w:val="24"/>
        </w:rPr>
        <w:t xml:space="preserve">consumption data </w:t>
      </w:r>
      <w:r w:rsidR="00AB0677" w:rsidRPr="00FB4CF2">
        <w:rPr>
          <w:sz w:val="24"/>
          <w:szCs w:val="24"/>
        </w:rPr>
        <w:t xml:space="preserve">for the table in the GA Analysis Workform and recalculate the loss factor. </w:t>
      </w:r>
    </w:p>
    <w:p w14:paraId="4ACFCC99" w14:textId="7504A2F9" w:rsidR="003B4142" w:rsidRDefault="003B4142" w:rsidP="003B4142">
      <w:pPr>
        <w:pStyle w:val="ListParagraph"/>
        <w:spacing w:before="40" w:after="40" w:line="240" w:lineRule="auto"/>
        <w:rPr>
          <w:sz w:val="24"/>
          <w:szCs w:val="24"/>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8"/>
        <w:gridCol w:w="260"/>
        <w:gridCol w:w="1520"/>
        <w:gridCol w:w="1580"/>
        <w:gridCol w:w="1540"/>
      </w:tblGrid>
      <w:tr w:rsidR="001A4B25" w:rsidRPr="001A4B25" w14:paraId="330D9A8B" w14:textId="77777777" w:rsidTr="007C0057">
        <w:trPr>
          <w:trHeight w:val="228"/>
        </w:trPr>
        <w:tc>
          <w:tcPr>
            <w:tcW w:w="4380" w:type="dxa"/>
            <w:shd w:val="clear" w:color="auto" w:fill="auto"/>
            <w:noWrap/>
            <w:tcMar>
              <w:top w:w="15" w:type="dxa"/>
              <w:left w:w="15" w:type="dxa"/>
              <w:bottom w:w="0" w:type="dxa"/>
              <w:right w:w="15" w:type="dxa"/>
            </w:tcMar>
            <w:vAlign w:val="bottom"/>
            <w:hideMark/>
          </w:tcPr>
          <w:p w14:paraId="08F19EE3" w14:textId="77777777" w:rsidR="005560D3" w:rsidRPr="001A4B25" w:rsidRDefault="005560D3">
            <w:pPr>
              <w:rPr>
                <w:rFonts w:cs="Arial"/>
                <w:color w:val="0070C0"/>
              </w:rPr>
            </w:pPr>
          </w:p>
        </w:tc>
        <w:tc>
          <w:tcPr>
            <w:tcW w:w="260" w:type="dxa"/>
            <w:shd w:val="clear" w:color="auto" w:fill="auto"/>
            <w:noWrap/>
            <w:tcMar>
              <w:top w:w="15" w:type="dxa"/>
              <w:left w:w="15" w:type="dxa"/>
              <w:bottom w:w="0" w:type="dxa"/>
              <w:right w:w="15" w:type="dxa"/>
            </w:tcMar>
            <w:vAlign w:val="bottom"/>
            <w:hideMark/>
          </w:tcPr>
          <w:p w14:paraId="38691506" w14:textId="77777777" w:rsidR="005560D3" w:rsidRPr="001A4B25" w:rsidRDefault="005560D3">
            <w:pPr>
              <w:rPr>
                <w:rFonts w:cs="Arial"/>
                <w:color w:val="0070C0"/>
              </w:rPr>
            </w:pPr>
          </w:p>
        </w:tc>
        <w:tc>
          <w:tcPr>
            <w:tcW w:w="1520" w:type="dxa"/>
            <w:shd w:val="clear" w:color="auto" w:fill="auto"/>
            <w:noWrap/>
            <w:tcMar>
              <w:top w:w="15" w:type="dxa"/>
              <w:left w:w="15" w:type="dxa"/>
              <w:bottom w:w="0" w:type="dxa"/>
              <w:right w:w="15" w:type="dxa"/>
            </w:tcMar>
            <w:vAlign w:val="bottom"/>
            <w:hideMark/>
          </w:tcPr>
          <w:p w14:paraId="3258679D" w14:textId="77777777" w:rsidR="005560D3" w:rsidRPr="001A4B25" w:rsidRDefault="005560D3">
            <w:pPr>
              <w:jc w:val="center"/>
              <w:rPr>
                <w:rFonts w:cs="Arial"/>
                <w:b/>
                <w:bCs/>
                <w:color w:val="0070C0"/>
              </w:rPr>
            </w:pPr>
            <w:r w:rsidRPr="001A4B25">
              <w:rPr>
                <w:rFonts w:cs="Arial"/>
                <w:b/>
                <w:bCs/>
                <w:color w:val="0070C0"/>
              </w:rPr>
              <w:t>2017</w:t>
            </w:r>
          </w:p>
        </w:tc>
        <w:tc>
          <w:tcPr>
            <w:tcW w:w="1580" w:type="dxa"/>
            <w:shd w:val="clear" w:color="auto" w:fill="auto"/>
            <w:noWrap/>
            <w:tcMar>
              <w:top w:w="15" w:type="dxa"/>
              <w:left w:w="15" w:type="dxa"/>
              <w:bottom w:w="0" w:type="dxa"/>
              <w:right w:w="15" w:type="dxa"/>
            </w:tcMar>
            <w:vAlign w:val="bottom"/>
            <w:hideMark/>
          </w:tcPr>
          <w:p w14:paraId="048BC31D" w14:textId="77777777" w:rsidR="005560D3" w:rsidRPr="001A4B25" w:rsidRDefault="005560D3">
            <w:pPr>
              <w:jc w:val="center"/>
              <w:rPr>
                <w:rFonts w:cs="Arial"/>
                <w:b/>
                <w:bCs/>
                <w:color w:val="0070C0"/>
              </w:rPr>
            </w:pPr>
            <w:r w:rsidRPr="001A4B25">
              <w:rPr>
                <w:rFonts w:cs="Arial"/>
                <w:b/>
                <w:bCs/>
                <w:color w:val="0070C0"/>
              </w:rPr>
              <w:t>2018</w:t>
            </w:r>
          </w:p>
        </w:tc>
        <w:tc>
          <w:tcPr>
            <w:tcW w:w="1540" w:type="dxa"/>
            <w:shd w:val="clear" w:color="auto" w:fill="auto"/>
            <w:noWrap/>
            <w:tcMar>
              <w:top w:w="15" w:type="dxa"/>
              <w:left w:w="15" w:type="dxa"/>
              <w:bottom w:w="0" w:type="dxa"/>
              <w:right w:w="15" w:type="dxa"/>
            </w:tcMar>
            <w:vAlign w:val="bottom"/>
            <w:hideMark/>
          </w:tcPr>
          <w:p w14:paraId="00C8D12F" w14:textId="77777777" w:rsidR="005560D3" w:rsidRPr="001A4B25" w:rsidRDefault="005560D3">
            <w:pPr>
              <w:jc w:val="center"/>
              <w:rPr>
                <w:rFonts w:cs="Arial"/>
                <w:b/>
                <w:bCs/>
                <w:color w:val="0070C0"/>
              </w:rPr>
            </w:pPr>
            <w:r w:rsidRPr="001A4B25">
              <w:rPr>
                <w:rFonts w:cs="Arial"/>
                <w:b/>
                <w:bCs/>
                <w:color w:val="0070C0"/>
              </w:rPr>
              <w:t>2019</w:t>
            </w:r>
          </w:p>
        </w:tc>
      </w:tr>
      <w:tr w:rsidR="001A4B25" w:rsidRPr="001A4B25" w14:paraId="3B40B815"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2BEE8F41" w14:textId="77777777" w:rsidR="005560D3" w:rsidRPr="001A4B25" w:rsidRDefault="005560D3">
            <w:pPr>
              <w:jc w:val="center"/>
              <w:rPr>
                <w:rFonts w:cs="Arial"/>
                <w:b/>
                <w:bCs/>
                <w:color w:val="0070C0"/>
              </w:rPr>
            </w:pPr>
          </w:p>
        </w:tc>
        <w:tc>
          <w:tcPr>
            <w:tcW w:w="0" w:type="auto"/>
            <w:shd w:val="clear" w:color="auto" w:fill="auto"/>
            <w:noWrap/>
            <w:tcMar>
              <w:top w:w="15" w:type="dxa"/>
              <w:left w:w="15" w:type="dxa"/>
              <w:bottom w:w="0" w:type="dxa"/>
              <w:right w:w="15" w:type="dxa"/>
            </w:tcMar>
            <w:vAlign w:val="bottom"/>
            <w:hideMark/>
          </w:tcPr>
          <w:p w14:paraId="79FA7DE6"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19BCDB7A"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7D3C9D60"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196E65B6" w14:textId="77777777" w:rsidR="005560D3" w:rsidRPr="001A4B25" w:rsidRDefault="005560D3">
            <w:pPr>
              <w:rPr>
                <w:rFonts w:cs="Arial"/>
                <w:color w:val="0070C0"/>
              </w:rPr>
            </w:pPr>
          </w:p>
        </w:tc>
      </w:tr>
      <w:tr w:rsidR="001A4B25" w:rsidRPr="001A4B25" w14:paraId="4B4E4CE4"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3CE2C39D" w14:textId="77777777" w:rsidR="005560D3" w:rsidRPr="001A4B25" w:rsidRDefault="005560D3">
            <w:pPr>
              <w:rPr>
                <w:rFonts w:cs="Arial"/>
                <w:color w:val="0070C0"/>
              </w:rPr>
            </w:pPr>
            <w:r w:rsidRPr="001A4B25">
              <w:rPr>
                <w:rFonts w:cs="Arial"/>
                <w:color w:val="0070C0"/>
              </w:rPr>
              <w:t xml:space="preserve"> Total metered excluding WMP </w:t>
            </w:r>
          </w:p>
        </w:tc>
        <w:tc>
          <w:tcPr>
            <w:tcW w:w="0" w:type="auto"/>
            <w:shd w:val="clear" w:color="auto" w:fill="auto"/>
            <w:noWrap/>
            <w:tcMar>
              <w:top w:w="15" w:type="dxa"/>
              <w:left w:w="15" w:type="dxa"/>
              <w:bottom w:w="0" w:type="dxa"/>
              <w:right w:w="15" w:type="dxa"/>
            </w:tcMar>
            <w:vAlign w:val="bottom"/>
            <w:hideMark/>
          </w:tcPr>
          <w:p w14:paraId="62772A89"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10A7B512" w14:textId="77777777" w:rsidR="005560D3" w:rsidRPr="001A4B25" w:rsidRDefault="005560D3">
            <w:pPr>
              <w:rPr>
                <w:rFonts w:cs="Arial"/>
                <w:color w:val="0070C0"/>
              </w:rPr>
            </w:pPr>
            <w:r w:rsidRPr="001A4B25">
              <w:rPr>
                <w:rFonts w:cs="Arial"/>
                <w:color w:val="0070C0"/>
              </w:rPr>
              <w:t xml:space="preserve">     20,599,296 </w:t>
            </w:r>
          </w:p>
        </w:tc>
        <w:tc>
          <w:tcPr>
            <w:tcW w:w="0" w:type="auto"/>
            <w:shd w:val="clear" w:color="auto" w:fill="auto"/>
            <w:noWrap/>
            <w:tcMar>
              <w:top w:w="15" w:type="dxa"/>
              <w:left w:w="15" w:type="dxa"/>
              <w:bottom w:w="0" w:type="dxa"/>
              <w:right w:w="15" w:type="dxa"/>
            </w:tcMar>
            <w:vAlign w:val="bottom"/>
            <w:hideMark/>
          </w:tcPr>
          <w:p w14:paraId="0CDA2B37" w14:textId="77777777" w:rsidR="005560D3" w:rsidRPr="001A4B25" w:rsidRDefault="005560D3">
            <w:pPr>
              <w:rPr>
                <w:rFonts w:cs="Arial"/>
                <w:color w:val="0070C0"/>
              </w:rPr>
            </w:pPr>
            <w:r w:rsidRPr="001A4B25">
              <w:rPr>
                <w:rFonts w:cs="Arial"/>
                <w:color w:val="0070C0"/>
              </w:rPr>
              <w:t xml:space="preserve">     21,485,471 </w:t>
            </w:r>
          </w:p>
        </w:tc>
        <w:tc>
          <w:tcPr>
            <w:tcW w:w="0" w:type="auto"/>
            <w:shd w:val="clear" w:color="auto" w:fill="auto"/>
            <w:noWrap/>
            <w:tcMar>
              <w:top w:w="15" w:type="dxa"/>
              <w:left w:w="15" w:type="dxa"/>
              <w:bottom w:w="0" w:type="dxa"/>
              <w:right w:w="15" w:type="dxa"/>
            </w:tcMar>
            <w:vAlign w:val="bottom"/>
            <w:hideMark/>
          </w:tcPr>
          <w:p w14:paraId="28B88EE2" w14:textId="77777777" w:rsidR="005560D3" w:rsidRPr="001A4B25" w:rsidRDefault="005560D3">
            <w:pPr>
              <w:rPr>
                <w:rFonts w:cs="Arial"/>
                <w:color w:val="0070C0"/>
              </w:rPr>
            </w:pPr>
            <w:r w:rsidRPr="001A4B25">
              <w:rPr>
                <w:rFonts w:cs="Arial"/>
                <w:color w:val="0070C0"/>
              </w:rPr>
              <w:t xml:space="preserve">     20,932,120 </w:t>
            </w:r>
          </w:p>
        </w:tc>
      </w:tr>
      <w:tr w:rsidR="001A4B25" w:rsidRPr="001A4B25" w14:paraId="74DEF29E"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15E8AA09" w14:textId="77777777" w:rsidR="005560D3" w:rsidRPr="001A4B25" w:rsidRDefault="005560D3">
            <w:pPr>
              <w:rPr>
                <w:rFonts w:cs="Arial"/>
                <w:color w:val="0070C0"/>
              </w:rPr>
            </w:pPr>
            <w:r w:rsidRPr="001A4B25">
              <w:rPr>
                <w:rFonts w:cs="Arial"/>
                <w:color w:val="0070C0"/>
              </w:rPr>
              <w:t xml:space="preserve"> RPP </w:t>
            </w:r>
          </w:p>
        </w:tc>
        <w:tc>
          <w:tcPr>
            <w:tcW w:w="0" w:type="auto"/>
            <w:shd w:val="clear" w:color="auto" w:fill="auto"/>
            <w:noWrap/>
            <w:tcMar>
              <w:top w:w="15" w:type="dxa"/>
              <w:left w:w="15" w:type="dxa"/>
              <w:bottom w:w="0" w:type="dxa"/>
              <w:right w:w="15" w:type="dxa"/>
            </w:tcMar>
            <w:vAlign w:val="bottom"/>
            <w:hideMark/>
          </w:tcPr>
          <w:p w14:paraId="19CFE1A1"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570FA678" w14:textId="77777777" w:rsidR="005560D3" w:rsidRPr="001A4B25" w:rsidRDefault="005560D3">
            <w:pPr>
              <w:rPr>
                <w:rFonts w:cs="Arial"/>
                <w:color w:val="0070C0"/>
              </w:rPr>
            </w:pPr>
            <w:r w:rsidRPr="001A4B25">
              <w:rPr>
                <w:rFonts w:cs="Arial"/>
                <w:color w:val="0070C0"/>
              </w:rPr>
              <w:t xml:space="preserve">     16,685,207 </w:t>
            </w:r>
          </w:p>
        </w:tc>
        <w:tc>
          <w:tcPr>
            <w:tcW w:w="0" w:type="auto"/>
            <w:shd w:val="clear" w:color="auto" w:fill="auto"/>
            <w:noWrap/>
            <w:tcMar>
              <w:top w:w="15" w:type="dxa"/>
              <w:left w:w="15" w:type="dxa"/>
              <w:bottom w:w="0" w:type="dxa"/>
              <w:right w:w="15" w:type="dxa"/>
            </w:tcMar>
            <w:vAlign w:val="bottom"/>
            <w:hideMark/>
          </w:tcPr>
          <w:p w14:paraId="0E72204A" w14:textId="77777777" w:rsidR="005560D3" w:rsidRPr="001A4B25" w:rsidRDefault="005560D3">
            <w:pPr>
              <w:rPr>
                <w:rFonts w:cs="Arial"/>
                <w:color w:val="0070C0"/>
              </w:rPr>
            </w:pPr>
            <w:r w:rsidRPr="001A4B25">
              <w:rPr>
                <w:rFonts w:cs="Arial"/>
                <w:color w:val="0070C0"/>
              </w:rPr>
              <w:t xml:space="preserve">     17,437,157 </w:t>
            </w:r>
          </w:p>
        </w:tc>
        <w:tc>
          <w:tcPr>
            <w:tcW w:w="0" w:type="auto"/>
            <w:shd w:val="clear" w:color="auto" w:fill="auto"/>
            <w:noWrap/>
            <w:tcMar>
              <w:top w:w="15" w:type="dxa"/>
              <w:left w:w="15" w:type="dxa"/>
              <w:bottom w:w="0" w:type="dxa"/>
              <w:right w:w="15" w:type="dxa"/>
            </w:tcMar>
            <w:vAlign w:val="bottom"/>
            <w:hideMark/>
          </w:tcPr>
          <w:p w14:paraId="4B4D706D" w14:textId="77777777" w:rsidR="005560D3" w:rsidRPr="001A4B25" w:rsidRDefault="005560D3">
            <w:pPr>
              <w:rPr>
                <w:rFonts w:cs="Arial"/>
                <w:color w:val="0070C0"/>
              </w:rPr>
            </w:pPr>
            <w:r w:rsidRPr="001A4B25">
              <w:rPr>
                <w:rFonts w:cs="Arial"/>
                <w:color w:val="0070C0"/>
              </w:rPr>
              <w:t xml:space="preserve">     17,037,700 </w:t>
            </w:r>
          </w:p>
        </w:tc>
      </w:tr>
      <w:tr w:rsidR="001A4B25" w:rsidRPr="001A4B25" w14:paraId="22569056"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280E7C41" w14:textId="77777777" w:rsidR="005560D3" w:rsidRPr="001A4B25" w:rsidRDefault="005560D3">
            <w:pPr>
              <w:rPr>
                <w:rFonts w:cs="Arial"/>
                <w:color w:val="0070C0"/>
              </w:rPr>
            </w:pPr>
            <w:r w:rsidRPr="001A4B25">
              <w:rPr>
                <w:rFonts w:cs="Arial"/>
                <w:color w:val="0070C0"/>
              </w:rPr>
              <w:t xml:space="preserve"> Non-RPP </w:t>
            </w:r>
          </w:p>
        </w:tc>
        <w:tc>
          <w:tcPr>
            <w:tcW w:w="0" w:type="auto"/>
            <w:shd w:val="clear" w:color="auto" w:fill="auto"/>
            <w:noWrap/>
            <w:tcMar>
              <w:top w:w="15" w:type="dxa"/>
              <w:left w:w="15" w:type="dxa"/>
              <w:bottom w:w="0" w:type="dxa"/>
              <w:right w:w="15" w:type="dxa"/>
            </w:tcMar>
            <w:vAlign w:val="bottom"/>
            <w:hideMark/>
          </w:tcPr>
          <w:p w14:paraId="4EC18FF8"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72BD0C6F" w14:textId="77777777" w:rsidR="005560D3" w:rsidRPr="001A4B25" w:rsidRDefault="005560D3">
            <w:pPr>
              <w:rPr>
                <w:rFonts w:cs="Arial"/>
                <w:color w:val="0070C0"/>
              </w:rPr>
            </w:pPr>
            <w:r w:rsidRPr="001A4B25">
              <w:rPr>
                <w:rFonts w:cs="Arial"/>
                <w:color w:val="0070C0"/>
              </w:rPr>
              <w:t xml:space="preserve">       3,914,089 </w:t>
            </w:r>
          </w:p>
        </w:tc>
        <w:tc>
          <w:tcPr>
            <w:tcW w:w="0" w:type="auto"/>
            <w:shd w:val="clear" w:color="auto" w:fill="auto"/>
            <w:noWrap/>
            <w:tcMar>
              <w:top w:w="15" w:type="dxa"/>
              <w:left w:w="15" w:type="dxa"/>
              <w:bottom w:w="0" w:type="dxa"/>
              <w:right w:w="15" w:type="dxa"/>
            </w:tcMar>
            <w:vAlign w:val="bottom"/>
            <w:hideMark/>
          </w:tcPr>
          <w:p w14:paraId="5992FB61" w14:textId="77777777" w:rsidR="005560D3" w:rsidRPr="001A4B25" w:rsidRDefault="005560D3">
            <w:pPr>
              <w:rPr>
                <w:rFonts w:cs="Arial"/>
                <w:color w:val="0070C0"/>
              </w:rPr>
            </w:pPr>
            <w:r w:rsidRPr="001A4B25">
              <w:rPr>
                <w:rFonts w:cs="Arial"/>
                <w:color w:val="0070C0"/>
              </w:rPr>
              <w:t xml:space="preserve">       4,048,314 </w:t>
            </w:r>
          </w:p>
        </w:tc>
        <w:tc>
          <w:tcPr>
            <w:tcW w:w="0" w:type="auto"/>
            <w:shd w:val="clear" w:color="auto" w:fill="auto"/>
            <w:noWrap/>
            <w:tcMar>
              <w:top w:w="15" w:type="dxa"/>
              <w:left w:w="15" w:type="dxa"/>
              <w:bottom w:w="0" w:type="dxa"/>
              <w:right w:w="15" w:type="dxa"/>
            </w:tcMar>
            <w:vAlign w:val="bottom"/>
            <w:hideMark/>
          </w:tcPr>
          <w:p w14:paraId="76C29838" w14:textId="77777777" w:rsidR="005560D3" w:rsidRPr="001A4B25" w:rsidRDefault="005560D3">
            <w:pPr>
              <w:rPr>
                <w:rFonts w:cs="Arial"/>
                <w:color w:val="0070C0"/>
              </w:rPr>
            </w:pPr>
            <w:r w:rsidRPr="001A4B25">
              <w:rPr>
                <w:rFonts w:cs="Arial"/>
                <w:color w:val="0070C0"/>
              </w:rPr>
              <w:t xml:space="preserve">       3,894,421 </w:t>
            </w:r>
          </w:p>
        </w:tc>
      </w:tr>
      <w:tr w:rsidR="001A4B25" w:rsidRPr="001A4B25" w14:paraId="72985925"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6DEBED9C" w14:textId="77777777" w:rsidR="005560D3" w:rsidRPr="001A4B25" w:rsidRDefault="005560D3">
            <w:pPr>
              <w:rPr>
                <w:rFonts w:cs="Arial"/>
                <w:color w:val="0070C0"/>
              </w:rPr>
            </w:pPr>
            <w:r w:rsidRPr="001A4B25">
              <w:rPr>
                <w:rFonts w:cs="Arial"/>
                <w:color w:val="0070C0"/>
              </w:rPr>
              <w:t xml:space="preserve"> Non-RPP Class A </w:t>
            </w:r>
          </w:p>
        </w:tc>
        <w:tc>
          <w:tcPr>
            <w:tcW w:w="0" w:type="auto"/>
            <w:shd w:val="clear" w:color="auto" w:fill="auto"/>
            <w:noWrap/>
            <w:tcMar>
              <w:top w:w="15" w:type="dxa"/>
              <w:left w:w="15" w:type="dxa"/>
              <w:bottom w:w="0" w:type="dxa"/>
              <w:right w:w="15" w:type="dxa"/>
            </w:tcMar>
            <w:vAlign w:val="bottom"/>
            <w:hideMark/>
          </w:tcPr>
          <w:p w14:paraId="0F07669F"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29F8996F" w14:textId="77777777" w:rsidR="005560D3" w:rsidRPr="001A4B25" w:rsidRDefault="005560D3">
            <w:pPr>
              <w:rPr>
                <w:rFonts w:cs="Arial"/>
                <w:color w:val="0070C0"/>
              </w:rPr>
            </w:pPr>
            <w:r w:rsidRPr="001A4B25">
              <w:rPr>
                <w:rFonts w:cs="Arial"/>
                <w:color w:val="0070C0"/>
              </w:rPr>
              <w:t xml:space="preserve">                   -   </w:t>
            </w:r>
          </w:p>
        </w:tc>
        <w:tc>
          <w:tcPr>
            <w:tcW w:w="0" w:type="auto"/>
            <w:shd w:val="clear" w:color="auto" w:fill="auto"/>
            <w:noWrap/>
            <w:tcMar>
              <w:top w:w="15" w:type="dxa"/>
              <w:left w:w="15" w:type="dxa"/>
              <w:bottom w:w="0" w:type="dxa"/>
              <w:right w:w="15" w:type="dxa"/>
            </w:tcMar>
            <w:vAlign w:val="bottom"/>
            <w:hideMark/>
          </w:tcPr>
          <w:p w14:paraId="41230F97" w14:textId="77777777" w:rsidR="005560D3" w:rsidRPr="001A4B25" w:rsidRDefault="005560D3">
            <w:pPr>
              <w:rPr>
                <w:rFonts w:cs="Arial"/>
                <w:color w:val="0070C0"/>
              </w:rPr>
            </w:pPr>
            <w:r w:rsidRPr="001A4B25">
              <w:rPr>
                <w:rFonts w:cs="Arial"/>
                <w:color w:val="0070C0"/>
              </w:rPr>
              <w:t xml:space="preserve">                    -   </w:t>
            </w:r>
          </w:p>
        </w:tc>
        <w:tc>
          <w:tcPr>
            <w:tcW w:w="0" w:type="auto"/>
            <w:shd w:val="clear" w:color="auto" w:fill="auto"/>
            <w:noWrap/>
            <w:tcMar>
              <w:top w:w="15" w:type="dxa"/>
              <w:left w:w="15" w:type="dxa"/>
              <w:bottom w:w="0" w:type="dxa"/>
              <w:right w:w="15" w:type="dxa"/>
            </w:tcMar>
            <w:vAlign w:val="bottom"/>
            <w:hideMark/>
          </w:tcPr>
          <w:p w14:paraId="7919ECA4" w14:textId="77777777" w:rsidR="005560D3" w:rsidRPr="001A4B25" w:rsidRDefault="005560D3">
            <w:pPr>
              <w:rPr>
                <w:rFonts w:cs="Arial"/>
                <w:color w:val="0070C0"/>
              </w:rPr>
            </w:pPr>
            <w:r w:rsidRPr="001A4B25">
              <w:rPr>
                <w:rFonts w:cs="Arial"/>
                <w:color w:val="0070C0"/>
              </w:rPr>
              <w:t xml:space="preserve">                   -   </w:t>
            </w:r>
          </w:p>
        </w:tc>
      </w:tr>
      <w:tr w:rsidR="001A4B25" w:rsidRPr="001A4B25" w14:paraId="102FFD75"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59A0CD29" w14:textId="77777777" w:rsidR="005560D3" w:rsidRPr="001A4B25" w:rsidRDefault="005560D3">
            <w:pPr>
              <w:rPr>
                <w:rFonts w:cs="Arial"/>
                <w:color w:val="0070C0"/>
              </w:rPr>
            </w:pPr>
            <w:r w:rsidRPr="001A4B25">
              <w:rPr>
                <w:rFonts w:cs="Arial"/>
                <w:color w:val="0070C0"/>
              </w:rPr>
              <w:t xml:space="preserve"> Non-RPP Class B </w:t>
            </w:r>
          </w:p>
        </w:tc>
        <w:tc>
          <w:tcPr>
            <w:tcW w:w="0" w:type="auto"/>
            <w:shd w:val="clear" w:color="auto" w:fill="auto"/>
            <w:noWrap/>
            <w:tcMar>
              <w:top w:w="15" w:type="dxa"/>
              <w:left w:w="15" w:type="dxa"/>
              <w:bottom w:w="0" w:type="dxa"/>
              <w:right w:w="15" w:type="dxa"/>
            </w:tcMar>
            <w:vAlign w:val="bottom"/>
            <w:hideMark/>
          </w:tcPr>
          <w:p w14:paraId="08EB8D51"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4F9913B9" w14:textId="77777777" w:rsidR="005560D3" w:rsidRPr="001A4B25" w:rsidRDefault="005560D3">
            <w:pPr>
              <w:rPr>
                <w:rFonts w:cs="Arial"/>
                <w:color w:val="0070C0"/>
              </w:rPr>
            </w:pPr>
            <w:r w:rsidRPr="001A4B25">
              <w:rPr>
                <w:rFonts w:cs="Arial"/>
                <w:color w:val="0070C0"/>
              </w:rPr>
              <w:t xml:space="preserve">       3,914,089 </w:t>
            </w:r>
          </w:p>
        </w:tc>
        <w:tc>
          <w:tcPr>
            <w:tcW w:w="0" w:type="auto"/>
            <w:shd w:val="clear" w:color="auto" w:fill="auto"/>
            <w:noWrap/>
            <w:tcMar>
              <w:top w:w="15" w:type="dxa"/>
              <w:left w:w="15" w:type="dxa"/>
              <w:bottom w:w="0" w:type="dxa"/>
              <w:right w:w="15" w:type="dxa"/>
            </w:tcMar>
            <w:vAlign w:val="bottom"/>
            <w:hideMark/>
          </w:tcPr>
          <w:p w14:paraId="3E967BFF" w14:textId="77777777" w:rsidR="005560D3" w:rsidRPr="001A4B25" w:rsidRDefault="005560D3">
            <w:pPr>
              <w:rPr>
                <w:rFonts w:cs="Arial"/>
                <w:color w:val="0070C0"/>
              </w:rPr>
            </w:pPr>
            <w:r w:rsidRPr="001A4B25">
              <w:rPr>
                <w:rFonts w:cs="Arial"/>
                <w:color w:val="0070C0"/>
              </w:rPr>
              <w:t xml:space="preserve">       4,048,314 </w:t>
            </w:r>
          </w:p>
        </w:tc>
        <w:tc>
          <w:tcPr>
            <w:tcW w:w="0" w:type="auto"/>
            <w:shd w:val="clear" w:color="auto" w:fill="auto"/>
            <w:noWrap/>
            <w:tcMar>
              <w:top w:w="15" w:type="dxa"/>
              <w:left w:w="15" w:type="dxa"/>
              <w:bottom w:w="0" w:type="dxa"/>
              <w:right w:w="15" w:type="dxa"/>
            </w:tcMar>
            <w:vAlign w:val="bottom"/>
            <w:hideMark/>
          </w:tcPr>
          <w:p w14:paraId="2E1FACAC" w14:textId="77777777" w:rsidR="005560D3" w:rsidRPr="001A4B25" w:rsidRDefault="005560D3">
            <w:pPr>
              <w:rPr>
                <w:rFonts w:cs="Arial"/>
                <w:color w:val="0070C0"/>
              </w:rPr>
            </w:pPr>
            <w:r w:rsidRPr="001A4B25">
              <w:rPr>
                <w:rFonts w:cs="Arial"/>
                <w:color w:val="0070C0"/>
              </w:rPr>
              <w:t xml:space="preserve">       3,894,421 </w:t>
            </w:r>
          </w:p>
        </w:tc>
      </w:tr>
      <w:tr w:rsidR="001A4B25" w:rsidRPr="001A4B25" w14:paraId="1D42FCB8"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1C1B231C"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581EA616"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2AD68DAF"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04063770"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7D897463" w14:textId="77777777" w:rsidR="005560D3" w:rsidRPr="001A4B25" w:rsidRDefault="005560D3">
            <w:pPr>
              <w:rPr>
                <w:rFonts w:cs="Arial"/>
                <w:color w:val="0070C0"/>
              </w:rPr>
            </w:pPr>
          </w:p>
        </w:tc>
      </w:tr>
      <w:tr w:rsidR="001A4B25" w:rsidRPr="001A4B25" w14:paraId="501F2E9A"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2DE5D0F9"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648EA7C9"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4FC7C739"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3E32C38D"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3C84DD00" w14:textId="77777777" w:rsidR="005560D3" w:rsidRPr="001A4B25" w:rsidRDefault="005560D3">
            <w:pPr>
              <w:rPr>
                <w:rFonts w:cs="Arial"/>
                <w:color w:val="0070C0"/>
              </w:rPr>
            </w:pPr>
          </w:p>
        </w:tc>
      </w:tr>
      <w:tr w:rsidR="001A4B25" w:rsidRPr="001A4B25" w14:paraId="3498F77E"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574BAF79" w14:textId="77777777" w:rsidR="005560D3" w:rsidRPr="001A4B25" w:rsidRDefault="005560D3">
            <w:pPr>
              <w:rPr>
                <w:rFonts w:cs="Arial"/>
                <w:color w:val="0070C0"/>
              </w:rPr>
            </w:pPr>
            <w:r w:rsidRPr="001A4B25">
              <w:rPr>
                <w:rFonts w:cs="Arial"/>
                <w:color w:val="0070C0"/>
              </w:rPr>
              <w:t xml:space="preserve"> Non-RPP Class B including loss factor billed </w:t>
            </w:r>
          </w:p>
        </w:tc>
        <w:tc>
          <w:tcPr>
            <w:tcW w:w="0" w:type="auto"/>
            <w:shd w:val="clear" w:color="auto" w:fill="auto"/>
            <w:noWrap/>
            <w:tcMar>
              <w:top w:w="15" w:type="dxa"/>
              <w:left w:w="15" w:type="dxa"/>
              <w:bottom w:w="0" w:type="dxa"/>
              <w:right w:w="15" w:type="dxa"/>
            </w:tcMar>
            <w:vAlign w:val="bottom"/>
            <w:hideMark/>
          </w:tcPr>
          <w:p w14:paraId="0D979385"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0B0311A3" w14:textId="77777777" w:rsidR="005560D3" w:rsidRPr="001A4B25" w:rsidRDefault="005560D3">
            <w:pPr>
              <w:rPr>
                <w:rFonts w:cs="Arial"/>
                <w:color w:val="0070C0"/>
              </w:rPr>
            </w:pPr>
            <w:r w:rsidRPr="001A4B25">
              <w:rPr>
                <w:rFonts w:cs="Arial"/>
                <w:color w:val="0070C0"/>
              </w:rPr>
              <w:t xml:space="preserve">       4,198,318 </w:t>
            </w:r>
          </w:p>
        </w:tc>
        <w:tc>
          <w:tcPr>
            <w:tcW w:w="0" w:type="auto"/>
            <w:shd w:val="clear" w:color="auto" w:fill="auto"/>
            <w:noWrap/>
            <w:tcMar>
              <w:top w:w="15" w:type="dxa"/>
              <w:left w:w="15" w:type="dxa"/>
              <w:bottom w:w="0" w:type="dxa"/>
              <w:right w:w="15" w:type="dxa"/>
            </w:tcMar>
            <w:vAlign w:val="bottom"/>
            <w:hideMark/>
          </w:tcPr>
          <w:p w14:paraId="0FC85629" w14:textId="77777777" w:rsidR="005560D3" w:rsidRPr="001A4B25" w:rsidRDefault="005560D3">
            <w:pPr>
              <w:rPr>
                <w:rFonts w:cs="Arial"/>
                <w:color w:val="0070C0"/>
              </w:rPr>
            </w:pPr>
            <w:r w:rsidRPr="001A4B25">
              <w:rPr>
                <w:rFonts w:cs="Arial"/>
                <w:color w:val="0070C0"/>
              </w:rPr>
              <w:t xml:space="preserve">       4,323,438 </w:t>
            </w:r>
          </w:p>
        </w:tc>
        <w:tc>
          <w:tcPr>
            <w:tcW w:w="0" w:type="auto"/>
            <w:shd w:val="clear" w:color="auto" w:fill="auto"/>
            <w:noWrap/>
            <w:tcMar>
              <w:top w:w="15" w:type="dxa"/>
              <w:left w:w="15" w:type="dxa"/>
              <w:bottom w:w="0" w:type="dxa"/>
              <w:right w:w="15" w:type="dxa"/>
            </w:tcMar>
            <w:vAlign w:val="bottom"/>
            <w:hideMark/>
          </w:tcPr>
          <w:p w14:paraId="139E225D" w14:textId="77777777" w:rsidR="005560D3" w:rsidRPr="001A4B25" w:rsidRDefault="005560D3">
            <w:pPr>
              <w:rPr>
                <w:rFonts w:cs="Arial"/>
                <w:color w:val="0070C0"/>
              </w:rPr>
            </w:pPr>
            <w:r w:rsidRPr="001A4B25">
              <w:rPr>
                <w:rFonts w:cs="Arial"/>
                <w:color w:val="0070C0"/>
              </w:rPr>
              <w:t xml:space="preserve">       4,206,211 </w:t>
            </w:r>
          </w:p>
        </w:tc>
      </w:tr>
      <w:tr w:rsidR="001A4B25" w:rsidRPr="001A4B25" w14:paraId="0F1B67E6"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6B5B6EF8"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2DBD03E6"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474B664C"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32A03FFC"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48C3803C" w14:textId="77777777" w:rsidR="005560D3" w:rsidRPr="001A4B25" w:rsidRDefault="005560D3">
            <w:pPr>
              <w:rPr>
                <w:rFonts w:cs="Arial"/>
                <w:color w:val="0070C0"/>
              </w:rPr>
            </w:pPr>
          </w:p>
        </w:tc>
      </w:tr>
      <w:tr w:rsidR="001A4B25" w:rsidRPr="001A4B25" w14:paraId="0B3F5293"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296D9DD3" w14:textId="77777777" w:rsidR="005560D3" w:rsidRPr="001A4B25" w:rsidRDefault="005560D3">
            <w:pPr>
              <w:rPr>
                <w:rFonts w:cs="Arial"/>
                <w:color w:val="0070C0"/>
              </w:rPr>
            </w:pPr>
            <w:r w:rsidRPr="001A4B25">
              <w:rPr>
                <w:rFonts w:cs="Arial"/>
                <w:color w:val="0070C0"/>
              </w:rPr>
              <w:t xml:space="preserve"> Calculated loss factor </w:t>
            </w:r>
          </w:p>
        </w:tc>
        <w:tc>
          <w:tcPr>
            <w:tcW w:w="0" w:type="auto"/>
            <w:shd w:val="clear" w:color="auto" w:fill="auto"/>
            <w:noWrap/>
            <w:tcMar>
              <w:top w:w="15" w:type="dxa"/>
              <w:left w:w="15" w:type="dxa"/>
              <w:bottom w:w="0" w:type="dxa"/>
              <w:right w:w="15" w:type="dxa"/>
            </w:tcMar>
            <w:vAlign w:val="bottom"/>
            <w:hideMark/>
          </w:tcPr>
          <w:p w14:paraId="6D4C7520"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293645C9" w14:textId="77777777" w:rsidR="005560D3" w:rsidRPr="001A4B25" w:rsidRDefault="005560D3">
            <w:pPr>
              <w:rPr>
                <w:rFonts w:cs="Arial"/>
                <w:color w:val="0070C0"/>
              </w:rPr>
            </w:pPr>
            <w:r w:rsidRPr="001A4B25">
              <w:rPr>
                <w:rFonts w:cs="Arial"/>
                <w:color w:val="0070C0"/>
              </w:rPr>
              <w:t xml:space="preserve">          1.07262 </w:t>
            </w:r>
          </w:p>
        </w:tc>
        <w:tc>
          <w:tcPr>
            <w:tcW w:w="0" w:type="auto"/>
            <w:shd w:val="clear" w:color="auto" w:fill="auto"/>
            <w:noWrap/>
            <w:tcMar>
              <w:top w:w="15" w:type="dxa"/>
              <w:left w:w="15" w:type="dxa"/>
              <w:bottom w:w="0" w:type="dxa"/>
              <w:right w:w="15" w:type="dxa"/>
            </w:tcMar>
            <w:vAlign w:val="bottom"/>
            <w:hideMark/>
          </w:tcPr>
          <w:p w14:paraId="221FFEEC" w14:textId="77777777" w:rsidR="005560D3" w:rsidRPr="001A4B25" w:rsidRDefault="005560D3">
            <w:pPr>
              <w:rPr>
                <w:rFonts w:cs="Arial"/>
                <w:color w:val="0070C0"/>
              </w:rPr>
            </w:pPr>
            <w:r w:rsidRPr="001A4B25">
              <w:rPr>
                <w:rFonts w:cs="Arial"/>
                <w:color w:val="0070C0"/>
              </w:rPr>
              <w:t xml:space="preserve">          1.06796 </w:t>
            </w:r>
          </w:p>
        </w:tc>
        <w:tc>
          <w:tcPr>
            <w:tcW w:w="0" w:type="auto"/>
            <w:shd w:val="clear" w:color="auto" w:fill="auto"/>
            <w:noWrap/>
            <w:tcMar>
              <w:top w:w="15" w:type="dxa"/>
              <w:left w:w="15" w:type="dxa"/>
              <w:bottom w:w="0" w:type="dxa"/>
              <w:right w:w="15" w:type="dxa"/>
            </w:tcMar>
            <w:vAlign w:val="bottom"/>
            <w:hideMark/>
          </w:tcPr>
          <w:p w14:paraId="4083617A" w14:textId="77777777" w:rsidR="005560D3" w:rsidRPr="001A4B25" w:rsidRDefault="005560D3">
            <w:pPr>
              <w:rPr>
                <w:rFonts w:cs="Arial"/>
                <w:color w:val="0070C0"/>
              </w:rPr>
            </w:pPr>
            <w:r w:rsidRPr="001A4B25">
              <w:rPr>
                <w:rFonts w:cs="Arial"/>
                <w:color w:val="0070C0"/>
              </w:rPr>
              <w:t xml:space="preserve">          1.08006 </w:t>
            </w:r>
          </w:p>
        </w:tc>
      </w:tr>
      <w:tr w:rsidR="001A4B25" w:rsidRPr="001A4B25" w14:paraId="1903894E"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174F8F4C" w14:textId="77777777" w:rsidR="005560D3" w:rsidRPr="001A4B25" w:rsidRDefault="005560D3">
            <w:pPr>
              <w:rPr>
                <w:rFonts w:cs="Arial"/>
                <w:color w:val="0070C0"/>
              </w:rPr>
            </w:pPr>
            <w:r w:rsidRPr="001A4B25">
              <w:rPr>
                <w:rFonts w:cs="Arial"/>
                <w:color w:val="0070C0"/>
              </w:rPr>
              <w:t xml:space="preserve"> Approved loss factor </w:t>
            </w:r>
          </w:p>
        </w:tc>
        <w:tc>
          <w:tcPr>
            <w:tcW w:w="0" w:type="auto"/>
            <w:shd w:val="clear" w:color="auto" w:fill="auto"/>
            <w:noWrap/>
            <w:tcMar>
              <w:top w:w="15" w:type="dxa"/>
              <w:left w:w="15" w:type="dxa"/>
              <w:bottom w:w="0" w:type="dxa"/>
              <w:right w:w="15" w:type="dxa"/>
            </w:tcMar>
            <w:vAlign w:val="bottom"/>
            <w:hideMark/>
          </w:tcPr>
          <w:p w14:paraId="62390B6F"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41787D56" w14:textId="77777777" w:rsidR="005560D3" w:rsidRPr="001A4B25" w:rsidRDefault="005560D3">
            <w:pPr>
              <w:rPr>
                <w:rFonts w:cs="Arial"/>
                <w:color w:val="0070C0"/>
              </w:rPr>
            </w:pPr>
            <w:r w:rsidRPr="001A4B25">
              <w:rPr>
                <w:rFonts w:cs="Arial"/>
                <w:color w:val="0070C0"/>
              </w:rPr>
              <w:t xml:space="preserve">          1.07720 </w:t>
            </w:r>
          </w:p>
        </w:tc>
        <w:tc>
          <w:tcPr>
            <w:tcW w:w="0" w:type="auto"/>
            <w:shd w:val="clear" w:color="auto" w:fill="auto"/>
            <w:noWrap/>
            <w:tcMar>
              <w:top w:w="15" w:type="dxa"/>
              <w:left w:w="15" w:type="dxa"/>
              <w:bottom w:w="0" w:type="dxa"/>
              <w:right w:w="15" w:type="dxa"/>
            </w:tcMar>
            <w:vAlign w:val="bottom"/>
            <w:hideMark/>
          </w:tcPr>
          <w:p w14:paraId="466D282E" w14:textId="77777777" w:rsidR="005560D3" w:rsidRPr="001A4B25" w:rsidRDefault="005560D3">
            <w:pPr>
              <w:rPr>
                <w:rFonts w:cs="Arial"/>
                <w:color w:val="0070C0"/>
              </w:rPr>
            </w:pPr>
            <w:r w:rsidRPr="001A4B25">
              <w:rPr>
                <w:rFonts w:cs="Arial"/>
                <w:color w:val="0070C0"/>
              </w:rPr>
              <w:t xml:space="preserve">          1.07720 </w:t>
            </w:r>
          </w:p>
        </w:tc>
        <w:tc>
          <w:tcPr>
            <w:tcW w:w="0" w:type="auto"/>
            <w:shd w:val="clear" w:color="auto" w:fill="auto"/>
            <w:noWrap/>
            <w:tcMar>
              <w:top w:w="15" w:type="dxa"/>
              <w:left w:w="15" w:type="dxa"/>
              <w:bottom w:w="0" w:type="dxa"/>
              <w:right w:w="15" w:type="dxa"/>
            </w:tcMar>
            <w:vAlign w:val="bottom"/>
            <w:hideMark/>
          </w:tcPr>
          <w:p w14:paraId="64AB41AD" w14:textId="77777777" w:rsidR="005560D3" w:rsidRPr="001A4B25" w:rsidRDefault="005560D3">
            <w:pPr>
              <w:rPr>
                <w:rFonts w:cs="Arial"/>
                <w:color w:val="0070C0"/>
              </w:rPr>
            </w:pPr>
            <w:r w:rsidRPr="001A4B25">
              <w:rPr>
                <w:rFonts w:cs="Arial"/>
                <w:color w:val="0070C0"/>
              </w:rPr>
              <w:t xml:space="preserve">          1.07720 </w:t>
            </w:r>
          </w:p>
        </w:tc>
      </w:tr>
      <w:tr w:rsidR="001A4B25" w:rsidRPr="001A4B25" w14:paraId="434791F8" w14:textId="77777777" w:rsidTr="007C0057">
        <w:trPr>
          <w:trHeight w:val="228"/>
        </w:trPr>
        <w:tc>
          <w:tcPr>
            <w:tcW w:w="0" w:type="auto"/>
            <w:shd w:val="clear" w:color="auto" w:fill="auto"/>
            <w:noWrap/>
            <w:tcMar>
              <w:top w:w="15" w:type="dxa"/>
              <w:left w:w="15" w:type="dxa"/>
              <w:bottom w:w="0" w:type="dxa"/>
              <w:right w:w="15" w:type="dxa"/>
            </w:tcMar>
            <w:vAlign w:val="bottom"/>
            <w:hideMark/>
          </w:tcPr>
          <w:p w14:paraId="37B727B0" w14:textId="77777777" w:rsidR="005560D3" w:rsidRPr="001A4B25" w:rsidRDefault="005560D3">
            <w:pPr>
              <w:rPr>
                <w:rFonts w:cs="Arial"/>
                <w:color w:val="0070C0"/>
              </w:rPr>
            </w:pPr>
            <w:r w:rsidRPr="001A4B25">
              <w:rPr>
                <w:rFonts w:cs="Arial"/>
                <w:color w:val="0070C0"/>
              </w:rPr>
              <w:t xml:space="preserve"> Difference </w:t>
            </w:r>
          </w:p>
        </w:tc>
        <w:tc>
          <w:tcPr>
            <w:tcW w:w="0" w:type="auto"/>
            <w:shd w:val="clear" w:color="auto" w:fill="auto"/>
            <w:noWrap/>
            <w:tcMar>
              <w:top w:w="15" w:type="dxa"/>
              <w:left w:w="15" w:type="dxa"/>
              <w:bottom w:w="0" w:type="dxa"/>
              <w:right w:w="15" w:type="dxa"/>
            </w:tcMar>
            <w:vAlign w:val="bottom"/>
            <w:hideMark/>
          </w:tcPr>
          <w:p w14:paraId="087A672E" w14:textId="77777777" w:rsidR="005560D3" w:rsidRPr="001A4B25" w:rsidRDefault="005560D3">
            <w:pPr>
              <w:rPr>
                <w:rFonts w:cs="Arial"/>
                <w:color w:val="0070C0"/>
              </w:rPr>
            </w:pPr>
          </w:p>
        </w:tc>
        <w:tc>
          <w:tcPr>
            <w:tcW w:w="0" w:type="auto"/>
            <w:shd w:val="clear" w:color="auto" w:fill="auto"/>
            <w:noWrap/>
            <w:tcMar>
              <w:top w:w="15" w:type="dxa"/>
              <w:left w:w="15" w:type="dxa"/>
              <w:bottom w:w="0" w:type="dxa"/>
              <w:right w:w="15" w:type="dxa"/>
            </w:tcMar>
            <w:vAlign w:val="bottom"/>
            <w:hideMark/>
          </w:tcPr>
          <w:p w14:paraId="5AD4F3D3" w14:textId="77777777" w:rsidR="005560D3" w:rsidRPr="001A4B25" w:rsidRDefault="005560D3">
            <w:pPr>
              <w:rPr>
                <w:rFonts w:cs="Arial"/>
                <w:color w:val="0070C0"/>
              </w:rPr>
            </w:pPr>
            <w:r w:rsidRPr="001A4B25">
              <w:rPr>
                <w:rFonts w:cs="Arial"/>
                <w:color w:val="0070C0"/>
              </w:rPr>
              <w:t xml:space="preserve">        (0.00458)</w:t>
            </w:r>
          </w:p>
        </w:tc>
        <w:tc>
          <w:tcPr>
            <w:tcW w:w="0" w:type="auto"/>
            <w:shd w:val="clear" w:color="auto" w:fill="auto"/>
            <w:noWrap/>
            <w:tcMar>
              <w:top w:w="15" w:type="dxa"/>
              <w:left w:w="15" w:type="dxa"/>
              <w:bottom w:w="0" w:type="dxa"/>
              <w:right w:w="15" w:type="dxa"/>
            </w:tcMar>
            <w:vAlign w:val="bottom"/>
            <w:hideMark/>
          </w:tcPr>
          <w:p w14:paraId="369AD49F" w14:textId="77777777" w:rsidR="005560D3" w:rsidRPr="001A4B25" w:rsidRDefault="005560D3">
            <w:pPr>
              <w:rPr>
                <w:rFonts w:cs="Arial"/>
                <w:color w:val="0070C0"/>
              </w:rPr>
            </w:pPr>
            <w:r w:rsidRPr="001A4B25">
              <w:rPr>
                <w:rFonts w:cs="Arial"/>
                <w:color w:val="0070C0"/>
              </w:rPr>
              <w:t xml:space="preserve">         (0.00924)</w:t>
            </w:r>
          </w:p>
        </w:tc>
        <w:tc>
          <w:tcPr>
            <w:tcW w:w="0" w:type="auto"/>
            <w:shd w:val="clear" w:color="auto" w:fill="auto"/>
            <w:noWrap/>
            <w:tcMar>
              <w:top w:w="15" w:type="dxa"/>
              <w:left w:w="15" w:type="dxa"/>
              <w:bottom w:w="0" w:type="dxa"/>
              <w:right w:w="15" w:type="dxa"/>
            </w:tcMar>
            <w:vAlign w:val="bottom"/>
            <w:hideMark/>
          </w:tcPr>
          <w:p w14:paraId="6CDBB1F9" w14:textId="77777777" w:rsidR="005560D3" w:rsidRPr="001A4B25" w:rsidRDefault="005560D3">
            <w:pPr>
              <w:rPr>
                <w:rFonts w:cs="Arial"/>
                <w:color w:val="0070C0"/>
              </w:rPr>
            </w:pPr>
            <w:r w:rsidRPr="001A4B25">
              <w:rPr>
                <w:rFonts w:cs="Arial"/>
                <w:color w:val="0070C0"/>
              </w:rPr>
              <w:t xml:space="preserve">          0.00286 </w:t>
            </w:r>
          </w:p>
        </w:tc>
      </w:tr>
    </w:tbl>
    <w:p w14:paraId="4DED3021" w14:textId="778CB01E" w:rsidR="004E1D6A" w:rsidRPr="005560D3" w:rsidRDefault="005560D3" w:rsidP="003B4142">
      <w:pPr>
        <w:pStyle w:val="ListParagraph"/>
        <w:spacing w:before="40" w:after="40" w:line="240" w:lineRule="auto"/>
        <w:rPr>
          <w:sz w:val="24"/>
          <w:szCs w:val="24"/>
          <w:lang w:val="en-CA"/>
        </w:rPr>
      </w:pPr>
      <w:r w:rsidRPr="00327A87">
        <w:rPr>
          <w:color w:val="00B050"/>
          <w:sz w:val="24"/>
          <w:szCs w:val="24"/>
        </w:rPr>
        <w:lastRenderedPageBreak/>
        <w:t xml:space="preserve"> </w:t>
      </w:r>
    </w:p>
    <w:p w14:paraId="30B50296" w14:textId="77777777" w:rsidR="004E1D6A" w:rsidRPr="00FB4CF2" w:rsidRDefault="004E1D6A" w:rsidP="003B4142">
      <w:pPr>
        <w:pStyle w:val="ListParagraph"/>
        <w:spacing w:before="40" w:after="40" w:line="240" w:lineRule="auto"/>
        <w:rPr>
          <w:sz w:val="24"/>
          <w:szCs w:val="24"/>
        </w:rPr>
      </w:pPr>
    </w:p>
    <w:p w14:paraId="30F00A70" w14:textId="7CC5C97B" w:rsidR="006E3A5C" w:rsidRPr="00FB4CF2" w:rsidRDefault="006E3A5C" w:rsidP="006E3A5C">
      <w:pPr>
        <w:pStyle w:val="ListParagraph"/>
        <w:numPr>
          <w:ilvl w:val="0"/>
          <w:numId w:val="7"/>
        </w:numPr>
        <w:spacing w:before="40" w:after="40" w:line="240" w:lineRule="auto"/>
        <w:rPr>
          <w:sz w:val="24"/>
          <w:szCs w:val="24"/>
        </w:rPr>
      </w:pPr>
      <w:r w:rsidRPr="00FB4CF2">
        <w:rPr>
          <w:sz w:val="24"/>
          <w:szCs w:val="24"/>
        </w:rPr>
        <w:t xml:space="preserve">For each where the difference </w:t>
      </w:r>
      <w:r w:rsidR="00B716DF">
        <w:rPr>
          <w:sz w:val="24"/>
          <w:szCs w:val="24"/>
        </w:rPr>
        <w:t xml:space="preserve">between the </w:t>
      </w:r>
      <w:r w:rsidRPr="00FB4CF2">
        <w:rPr>
          <w:sz w:val="24"/>
          <w:szCs w:val="24"/>
        </w:rPr>
        <w:t xml:space="preserve">recalculated loss factor and the approved loss factor is greater than 1%, please reconcile the difference and provide an explanation for the high difference. </w:t>
      </w:r>
    </w:p>
    <w:p w14:paraId="1CC494AC" w14:textId="109B8B9C" w:rsidR="006E3A5C" w:rsidRDefault="006E3A5C" w:rsidP="006E3A5C">
      <w:pPr>
        <w:spacing w:before="40" w:after="40" w:line="240" w:lineRule="auto"/>
        <w:rPr>
          <w:sz w:val="24"/>
          <w:szCs w:val="24"/>
        </w:rPr>
      </w:pPr>
    </w:p>
    <w:p w14:paraId="3A47A3A2" w14:textId="7F47F8C1" w:rsidR="004E1D6A" w:rsidRPr="001A4B25" w:rsidRDefault="001A4B25" w:rsidP="004E1D6A">
      <w:pPr>
        <w:spacing w:before="40" w:after="40" w:line="240" w:lineRule="auto"/>
        <w:ind w:left="720"/>
        <w:rPr>
          <w:color w:val="0070C0"/>
          <w:sz w:val="24"/>
          <w:szCs w:val="24"/>
        </w:rPr>
      </w:pPr>
      <w:r w:rsidRPr="001A4B25">
        <w:rPr>
          <w:b/>
          <w:bCs/>
          <w:color w:val="0070C0"/>
          <w:sz w:val="24"/>
          <w:szCs w:val="24"/>
        </w:rPr>
        <w:t>H2000 Response:</w:t>
      </w:r>
      <w:r w:rsidRPr="001A4B25">
        <w:rPr>
          <w:color w:val="0070C0"/>
          <w:sz w:val="24"/>
          <w:szCs w:val="24"/>
        </w:rPr>
        <w:t xml:space="preserve"> </w:t>
      </w:r>
      <w:r w:rsidR="00C757A3" w:rsidRPr="001A4B25">
        <w:rPr>
          <w:color w:val="0070C0"/>
          <w:sz w:val="24"/>
          <w:szCs w:val="24"/>
        </w:rPr>
        <w:t>All differences are below 1%.</w:t>
      </w:r>
    </w:p>
    <w:sectPr w:rsidR="004E1D6A" w:rsidRPr="001A4B2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33CD5" w14:textId="77777777" w:rsidR="0092792E" w:rsidRDefault="0092792E" w:rsidP="00917236">
      <w:pPr>
        <w:spacing w:after="0" w:line="240" w:lineRule="auto"/>
      </w:pPr>
      <w:r>
        <w:separator/>
      </w:r>
    </w:p>
  </w:endnote>
  <w:endnote w:type="continuationSeparator" w:id="0">
    <w:p w14:paraId="6F96AB38" w14:textId="77777777" w:rsidR="0092792E" w:rsidRDefault="0092792E" w:rsidP="0091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2D5DA" w14:textId="77777777" w:rsidR="0092792E" w:rsidRDefault="0092792E" w:rsidP="00917236">
      <w:pPr>
        <w:spacing w:after="0" w:line="240" w:lineRule="auto"/>
      </w:pPr>
      <w:r>
        <w:separator/>
      </w:r>
    </w:p>
  </w:footnote>
  <w:footnote w:type="continuationSeparator" w:id="0">
    <w:p w14:paraId="68BE64E9" w14:textId="77777777" w:rsidR="0092792E" w:rsidRDefault="0092792E" w:rsidP="00917236">
      <w:pPr>
        <w:spacing w:after="0" w:line="240" w:lineRule="auto"/>
      </w:pPr>
      <w:r>
        <w:continuationSeparator/>
      </w:r>
    </w:p>
  </w:footnote>
  <w:footnote w:id="1">
    <w:p w14:paraId="4BC3D8C6" w14:textId="2E1BDB33" w:rsidR="00494430" w:rsidRDefault="00494430">
      <w:pPr>
        <w:pStyle w:val="FootnoteText"/>
      </w:pPr>
      <w:r>
        <w:rPr>
          <w:rStyle w:val="FootnoteReference"/>
        </w:rPr>
        <w:footnoteRef/>
      </w:r>
      <w:r>
        <w:t xml:space="preserve"> EB-2019-0041</w:t>
      </w:r>
    </w:p>
  </w:footnote>
  <w:footnote w:id="2">
    <w:p w14:paraId="537D65E9" w14:textId="1C8BB33A" w:rsidR="00D06A90" w:rsidRDefault="00D06A90">
      <w:pPr>
        <w:pStyle w:val="FootnoteText"/>
      </w:pPr>
      <w:r>
        <w:rPr>
          <w:rStyle w:val="FootnoteReference"/>
        </w:rPr>
        <w:footnoteRef/>
      </w:r>
      <w:r>
        <w:t xml:space="preserve"> Accounting Procedures Handbook Update – Accounting Guidance </w:t>
      </w:r>
      <w:r w:rsidR="0006698B">
        <w:t>Related to Pass-Through Commodity Accounts 1588 &amp; 1589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5BF33" w14:textId="0A82ABD8" w:rsidR="00AF24FB" w:rsidRDefault="00A43F90" w:rsidP="00AF24FB">
    <w:pPr>
      <w:pStyle w:val="Default"/>
      <w:jc w:val="right"/>
      <w:rPr>
        <w:rFonts w:ascii="Arial" w:hAnsi="Arial" w:cs="Arial"/>
        <w:sz w:val="22"/>
        <w:szCs w:val="22"/>
      </w:rPr>
    </w:pPr>
    <w:r>
      <w:rPr>
        <w:rFonts w:ascii="Arial" w:hAnsi="Arial" w:cs="Arial"/>
        <w:bCs/>
        <w:sz w:val="22"/>
        <w:szCs w:val="22"/>
        <w:lang w:val="en-US"/>
      </w:rPr>
      <w:t>Hydro 2000 Inc.</w:t>
    </w:r>
  </w:p>
  <w:p w14:paraId="3DB4C99D" w14:textId="77777777" w:rsidR="00AF24FB" w:rsidRDefault="00AF24FB" w:rsidP="00AF24FB">
    <w:pPr>
      <w:pStyle w:val="Default"/>
      <w:jc w:val="right"/>
      <w:rPr>
        <w:rFonts w:ascii="Arial" w:hAnsi="Arial" w:cs="Arial"/>
        <w:sz w:val="22"/>
        <w:szCs w:val="22"/>
      </w:rPr>
    </w:pPr>
    <w:r>
      <w:rPr>
        <w:rFonts w:ascii="Arial" w:hAnsi="Arial" w:cs="Arial"/>
        <w:sz w:val="22"/>
        <w:szCs w:val="22"/>
      </w:rPr>
      <w:t>OEB Staff Questions</w:t>
    </w:r>
  </w:p>
  <w:p w14:paraId="5BA76DD1" w14:textId="17B59ACA" w:rsidR="00AF24FB" w:rsidRDefault="00AF24FB" w:rsidP="00AF24FB">
    <w:pPr>
      <w:pStyle w:val="Default"/>
      <w:jc w:val="right"/>
      <w:rPr>
        <w:rFonts w:ascii="Arial" w:hAnsi="Arial" w:cs="Arial"/>
        <w:sz w:val="22"/>
        <w:szCs w:val="22"/>
      </w:rPr>
    </w:pPr>
    <w:r>
      <w:rPr>
        <w:rFonts w:ascii="Arial" w:hAnsi="Arial" w:cs="Arial"/>
        <w:sz w:val="22"/>
        <w:szCs w:val="22"/>
      </w:rPr>
      <w:t>EB-2020-00</w:t>
    </w:r>
    <w:r w:rsidR="00A43F90">
      <w:rPr>
        <w:rFonts w:ascii="Arial" w:hAnsi="Arial" w:cs="Arial"/>
        <w:sz w:val="22"/>
        <w:szCs w:val="22"/>
      </w:rPr>
      <w:t>28</w:t>
    </w:r>
  </w:p>
  <w:p w14:paraId="5944EF0F" w14:textId="77777777" w:rsidR="00E35383" w:rsidRDefault="00E35383" w:rsidP="00AF24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74D1"/>
    <w:multiLevelType w:val="hybridMultilevel"/>
    <w:tmpl w:val="E7A666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20F23"/>
    <w:multiLevelType w:val="hybridMultilevel"/>
    <w:tmpl w:val="B02051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E6AC6"/>
    <w:multiLevelType w:val="hybridMultilevel"/>
    <w:tmpl w:val="D6587726"/>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878C4"/>
    <w:multiLevelType w:val="hybridMultilevel"/>
    <w:tmpl w:val="7B3E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B6B9C"/>
    <w:multiLevelType w:val="hybridMultilevel"/>
    <w:tmpl w:val="140EA16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67E3AE7"/>
    <w:multiLevelType w:val="hybridMultilevel"/>
    <w:tmpl w:val="ECE4A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D30CD"/>
    <w:multiLevelType w:val="hybridMultilevel"/>
    <w:tmpl w:val="C9545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8535A"/>
    <w:multiLevelType w:val="hybridMultilevel"/>
    <w:tmpl w:val="7DCC9314"/>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LM0NDcwMjGwsDRU0lEKTi0uzszPAykwrgUAezXUfiwAAAA="/>
  </w:docVars>
  <w:rsids>
    <w:rsidRoot w:val="00917236"/>
    <w:rsid w:val="000037B5"/>
    <w:rsid w:val="00005679"/>
    <w:rsid w:val="00007979"/>
    <w:rsid w:val="00010679"/>
    <w:rsid w:val="000237F3"/>
    <w:rsid w:val="00027239"/>
    <w:rsid w:val="00033F95"/>
    <w:rsid w:val="0003694A"/>
    <w:rsid w:val="00040B36"/>
    <w:rsid w:val="000431EF"/>
    <w:rsid w:val="0005304D"/>
    <w:rsid w:val="00061C5E"/>
    <w:rsid w:val="0006226D"/>
    <w:rsid w:val="0006237A"/>
    <w:rsid w:val="0006698B"/>
    <w:rsid w:val="00066E6C"/>
    <w:rsid w:val="00067CDB"/>
    <w:rsid w:val="00074CC6"/>
    <w:rsid w:val="00076FDB"/>
    <w:rsid w:val="000B50CB"/>
    <w:rsid w:val="000B7BA0"/>
    <w:rsid w:val="000B7D99"/>
    <w:rsid w:val="000D1BEC"/>
    <w:rsid w:val="000D45F5"/>
    <w:rsid w:val="000E61C7"/>
    <w:rsid w:val="00103727"/>
    <w:rsid w:val="0011302C"/>
    <w:rsid w:val="00113B21"/>
    <w:rsid w:val="00126342"/>
    <w:rsid w:val="00145AA1"/>
    <w:rsid w:val="00147F83"/>
    <w:rsid w:val="001516AA"/>
    <w:rsid w:val="0016421C"/>
    <w:rsid w:val="00185D0F"/>
    <w:rsid w:val="00191E93"/>
    <w:rsid w:val="001937E5"/>
    <w:rsid w:val="001A2687"/>
    <w:rsid w:val="001A4B25"/>
    <w:rsid w:val="001B23A0"/>
    <w:rsid w:val="001D328D"/>
    <w:rsid w:val="001D3E4E"/>
    <w:rsid w:val="001D3EA1"/>
    <w:rsid w:val="001D4C93"/>
    <w:rsid w:val="001E1554"/>
    <w:rsid w:val="001E2111"/>
    <w:rsid w:val="001E47C4"/>
    <w:rsid w:val="001F53A8"/>
    <w:rsid w:val="00206C0D"/>
    <w:rsid w:val="00226538"/>
    <w:rsid w:val="002320F2"/>
    <w:rsid w:val="0023230B"/>
    <w:rsid w:val="002342B6"/>
    <w:rsid w:val="002378E9"/>
    <w:rsid w:val="002447B6"/>
    <w:rsid w:val="002561EB"/>
    <w:rsid w:val="00270F52"/>
    <w:rsid w:val="0027575E"/>
    <w:rsid w:val="002807C8"/>
    <w:rsid w:val="00285098"/>
    <w:rsid w:val="002A78FA"/>
    <w:rsid w:val="003153C0"/>
    <w:rsid w:val="00321E5A"/>
    <w:rsid w:val="00327A87"/>
    <w:rsid w:val="00334E2D"/>
    <w:rsid w:val="00346E03"/>
    <w:rsid w:val="0035247F"/>
    <w:rsid w:val="0037006C"/>
    <w:rsid w:val="00372866"/>
    <w:rsid w:val="00381295"/>
    <w:rsid w:val="00385850"/>
    <w:rsid w:val="00391993"/>
    <w:rsid w:val="00393909"/>
    <w:rsid w:val="003B4142"/>
    <w:rsid w:val="003E04EE"/>
    <w:rsid w:val="003E192A"/>
    <w:rsid w:val="003E255E"/>
    <w:rsid w:val="00403CB6"/>
    <w:rsid w:val="00406998"/>
    <w:rsid w:val="00414ECF"/>
    <w:rsid w:val="00431A6B"/>
    <w:rsid w:val="00436E76"/>
    <w:rsid w:val="00446570"/>
    <w:rsid w:val="00461622"/>
    <w:rsid w:val="00471370"/>
    <w:rsid w:val="00473384"/>
    <w:rsid w:val="0048608A"/>
    <w:rsid w:val="0048707D"/>
    <w:rsid w:val="004875BA"/>
    <w:rsid w:val="00493AEE"/>
    <w:rsid w:val="00494430"/>
    <w:rsid w:val="004969E2"/>
    <w:rsid w:val="004B62CB"/>
    <w:rsid w:val="004B63C0"/>
    <w:rsid w:val="004C1550"/>
    <w:rsid w:val="004E1D6A"/>
    <w:rsid w:val="004E55AE"/>
    <w:rsid w:val="004F4177"/>
    <w:rsid w:val="00514CBE"/>
    <w:rsid w:val="00521E74"/>
    <w:rsid w:val="005260FB"/>
    <w:rsid w:val="00550DC8"/>
    <w:rsid w:val="00550E2F"/>
    <w:rsid w:val="005512B5"/>
    <w:rsid w:val="005551E4"/>
    <w:rsid w:val="005560D3"/>
    <w:rsid w:val="00561E74"/>
    <w:rsid w:val="00571CA2"/>
    <w:rsid w:val="00575FDB"/>
    <w:rsid w:val="005A260B"/>
    <w:rsid w:val="005A3B7F"/>
    <w:rsid w:val="005D11D4"/>
    <w:rsid w:val="005E4148"/>
    <w:rsid w:val="005F70CB"/>
    <w:rsid w:val="006105E6"/>
    <w:rsid w:val="0061736B"/>
    <w:rsid w:val="006330D2"/>
    <w:rsid w:val="006956AB"/>
    <w:rsid w:val="006A5382"/>
    <w:rsid w:val="006A76F1"/>
    <w:rsid w:val="006B31E8"/>
    <w:rsid w:val="006C12B8"/>
    <w:rsid w:val="006D27B3"/>
    <w:rsid w:val="006D7857"/>
    <w:rsid w:val="006E3A5C"/>
    <w:rsid w:val="006F3055"/>
    <w:rsid w:val="007006E2"/>
    <w:rsid w:val="0071279C"/>
    <w:rsid w:val="007173E1"/>
    <w:rsid w:val="0071757C"/>
    <w:rsid w:val="00735CCC"/>
    <w:rsid w:val="007375AD"/>
    <w:rsid w:val="007409DB"/>
    <w:rsid w:val="00742382"/>
    <w:rsid w:val="00755F00"/>
    <w:rsid w:val="00765FB0"/>
    <w:rsid w:val="00773B5B"/>
    <w:rsid w:val="00782EBD"/>
    <w:rsid w:val="00790786"/>
    <w:rsid w:val="00790A0F"/>
    <w:rsid w:val="007C0057"/>
    <w:rsid w:val="007D31B7"/>
    <w:rsid w:val="007E5CE1"/>
    <w:rsid w:val="008101D1"/>
    <w:rsid w:val="00817ABE"/>
    <w:rsid w:val="0082060D"/>
    <w:rsid w:val="00821333"/>
    <w:rsid w:val="00821611"/>
    <w:rsid w:val="00841235"/>
    <w:rsid w:val="008556B4"/>
    <w:rsid w:val="0086672E"/>
    <w:rsid w:val="00867F36"/>
    <w:rsid w:val="0087304A"/>
    <w:rsid w:val="00873973"/>
    <w:rsid w:val="00877925"/>
    <w:rsid w:val="00883D15"/>
    <w:rsid w:val="008A459B"/>
    <w:rsid w:val="008A6482"/>
    <w:rsid w:val="008B449A"/>
    <w:rsid w:val="008C3927"/>
    <w:rsid w:val="008E3CBD"/>
    <w:rsid w:val="00905A2A"/>
    <w:rsid w:val="00910644"/>
    <w:rsid w:val="00917236"/>
    <w:rsid w:val="00921027"/>
    <w:rsid w:val="00925CEC"/>
    <w:rsid w:val="0092792E"/>
    <w:rsid w:val="0095014C"/>
    <w:rsid w:val="0096207E"/>
    <w:rsid w:val="00974C09"/>
    <w:rsid w:val="00980CC9"/>
    <w:rsid w:val="00987A50"/>
    <w:rsid w:val="00987DE0"/>
    <w:rsid w:val="009B0F4D"/>
    <w:rsid w:val="009B770A"/>
    <w:rsid w:val="009C5151"/>
    <w:rsid w:val="009D1DEB"/>
    <w:rsid w:val="009E3A96"/>
    <w:rsid w:val="009E6DD0"/>
    <w:rsid w:val="00A010BF"/>
    <w:rsid w:val="00A03D2A"/>
    <w:rsid w:val="00A36EE2"/>
    <w:rsid w:val="00A40A6C"/>
    <w:rsid w:val="00A4158A"/>
    <w:rsid w:val="00A43F90"/>
    <w:rsid w:val="00A7043D"/>
    <w:rsid w:val="00A92CD4"/>
    <w:rsid w:val="00AB0677"/>
    <w:rsid w:val="00AD475C"/>
    <w:rsid w:val="00AF061A"/>
    <w:rsid w:val="00AF24FB"/>
    <w:rsid w:val="00AF5E8B"/>
    <w:rsid w:val="00AF6271"/>
    <w:rsid w:val="00B21941"/>
    <w:rsid w:val="00B306E4"/>
    <w:rsid w:val="00B30E71"/>
    <w:rsid w:val="00B321AB"/>
    <w:rsid w:val="00B413EA"/>
    <w:rsid w:val="00B52E9B"/>
    <w:rsid w:val="00B716DF"/>
    <w:rsid w:val="00B92EE4"/>
    <w:rsid w:val="00BB0C80"/>
    <w:rsid w:val="00BB3868"/>
    <w:rsid w:val="00BC13D0"/>
    <w:rsid w:val="00BC6D94"/>
    <w:rsid w:val="00BD11E6"/>
    <w:rsid w:val="00BE21AC"/>
    <w:rsid w:val="00BF4FD6"/>
    <w:rsid w:val="00C0440C"/>
    <w:rsid w:val="00C06120"/>
    <w:rsid w:val="00C16A76"/>
    <w:rsid w:val="00C23389"/>
    <w:rsid w:val="00C33ACB"/>
    <w:rsid w:val="00C46D56"/>
    <w:rsid w:val="00C52F90"/>
    <w:rsid w:val="00C54C66"/>
    <w:rsid w:val="00C60C93"/>
    <w:rsid w:val="00C74557"/>
    <w:rsid w:val="00C757A3"/>
    <w:rsid w:val="00C86BC2"/>
    <w:rsid w:val="00CB3CB7"/>
    <w:rsid w:val="00CB55A9"/>
    <w:rsid w:val="00CD35A6"/>
    <w:rsid w:val="00CD47B4"/>
    <w:rsid w:val="00CE72EC"/>
    <w:rsid w:val="00CF4609"/>
    <w:rsid w:val="00CF7690"/>
    <w:rsid w:val="00D00FEF"/>
    <w:rsid w:val="00D06438"/>
    <w:rsid w:val="00D06A90"/>
    <w:rsid w:val="00D102AA"/>
    <w:rsid w:val="00D16F93"/>
    <w:rsid w:val="00D230EE"/>
    <w:rsid w:val="00D352A4"/>
    <w:rsid w:val="00D37415"/>
    <w:rsid w:val="00D378F3"/>
    <w:rsid w:val="00D4658A"/>
    <w:rsid w:val="00D52956"/>
    <w:rsid w:val="00D54C01"/>
    <w:rsid w:val="00D63340"/>
    <w:rsid w:val="00D84A96"/>
    <w:rsid w:val="00D94481"/>
    <w:rsid w:val="00D973CC"/>
    <w:rsid w:val="00DB13E1"/>
    <w:rsid w:val="00DE0E85"/>
    <w:rsid w:val="00DE7143"/>
    <w:rsid w:val="00DE73C5"/>
    <w:rsid w:val="00DF510B"/>
    <w:rsid w:val="00E35383"/>
    <w:rsid w:val="00E37BCB"/>
    <w:rsid w:val="00E8232B"/>
    <w:rsid w:val="00E85553"/>
    <w:rsid w:val="00E971D9"/>
    <w:rsid w:val="00EA419E"/>
    <w:rsid w:val="00EB1DD2"/>
    <w:rsid w:val="00EC34D6"/>
    <w:rsid w:val="00ED25FB"/>
    <w:rsid w:val="00ED446D"/>
    <w:rsid w:val="00EF1D12"/>
    <w:rsid w:val="00F209F3"/>
    <w:rsid w:val="00F301EB"/>
    <w:rsid w:val="00F3293B"/>
    <w:rsid w:val="00F44286"/>
    <w:rsid w:val="00F47055"/>
    <w:rsid w:val="00F47632"/>
    <w:rsid w:val="00F74B84"/>
    <w:rsid w:val="00F7605D"/>
    <w:rsid w:val="00F7745B"/>
    <w:rsid w:val="00F828A6"/>
    <w:rsid w:val="00FB3534"/>
    <w:rsid w:val="00FB4CF2"/>
    <w:rsid w:val="00FB5DC6"/>
    <w:rsid w:val="00FC37C5"/>
    <w:rsid w:val="00FC7C75"/>
    <w:rsid w:val="00FD06B0"/>
    <w:rsid w:val="00FD2D1E"/>
    <w:rsid w:val="00FD42E6"/>
    <w:rsid w:val="00FE20E2"/>
    <w:rsid w:val="00FE442B"/>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CA76"/>
  <w15:chartTrackingRefBased/>
  <w15:docId w15:val="{437D3CC1-DB54-4888-8909-3EEA2B4E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7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236"/>
    <w:rPr>
      <w:sz w:val="20"/>
      <w:szCs w:val="20"/>
    </w:rPr>
  </w:style>
  <w:style w:type="character" w:styleId="FootnoteReference">
    <w:name w:val="footnote reference"/>
    <w:basedOn w:val="DefaultParagraphFont"/>
    <w:uiPriority w:val="99"/>
    <w:semiHidden/>
    <w:unhideWhenUsed/>
    <w:rsid w:val="00917236"/>
    <w:rPr>
      <w:vertAlign w:val="superscript"/>
    </w:rPr>
  </w:style>
  <w:style w:type="paragraph" w:styleId="ListParagraph">
    <w:name w:val="List Paragraph"/>
    <w:basedOn w:val="Normal"/>
    <w:uiPriority w:val="34"/>
    <w:qFormat/>
    <w:rsid w:val="006B31E8"/>
    <w:pPr>
      <w:ind w:left="720"/>
      <w:contextualSpacing/>
    </w:pPr>
  </w:style>
  <w:style w:type="paragraph" w:styleId="BalloonText">
    <w:name w:val="Balloon Text"/>
    <w:basedOn w:val="Normal"/>
    <w:link w:val="BalloonTextChar"/>
    <w:uiPriority w:val="99"/>
    <w:semiHidden/>
    <w:unhideWhenUsed/>
    <w:rsid w:val="00151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6AA"/>
    <w:rPr>
      <w:rFonts w:ascii="Segoe UI" w:hAnsi="Segoe UI" w:cs="Segoe UI"/>
      <w:sz w:val="18"/>
      <w:szCs w:val="18"/>
    </w:rPr>
  </w:style>
  <w:style w:type="character" w:styleId="CommentReference">
    <w:name w:val="annotation reference"/>
    <w:basedOn w:val="DefaultParagraphFont"/>
    <w:uiPriority w:val="99"/>
    <w:semiHidden/>
    <w:unhideWhenUsed/>
    <w:rsid w:val="00B52E9B"/>
    <w:rPr>
      <w:sz w:val="16"/>
      <w:szCs w:val="16"/>
    </w:rPr>
  </w:style>
  <w:style w:type="paragraph" w:styleId="CommentText">
    <w:name w:val="annotation text"/>
    <w:basedOn w:val="Normal"/>
    <w:link w:val="CommentTextChar"/>
    <w:uiPriority w:val="99"/>
    <w:semiHidden/>
    <w:unhideWhenUsed/>
    <w:rsid w:val="00B52E9B"/>
    <w:pPr>
      <w:spacing w:line="240" w:lineRule="auto"/>
    </w:pPr>
    <w:rPr>
      <w:sz w:val="20"/>
      <w:szCs w:val="20"/>
    </w:rPr>
  </w:style>
  <w:style w:type="character" w:customStyle="1" w:styleId="CommentTextChar">
    <w:name w:val="Comment Text Char"/>
    <w:basedOn w:val="DefaultParagraphFont"/>
    <w:link w:val="CommentText"/>
    <w:uiPriority w:val="99"/>
    <w:semiHidden/>
    <w:rsid w:val="00B52E9B"/>
    <w:rPr>
      <w:sz w:val="20"/>
      <w:szCs w:val="20"/>
    </w:rPr>
  </w:style>
  <w:style w:type="paragraph" w:styleId="CommentSubject">
    <w:name w:val="annotation subject"/>
    <w:basedOn w:val="CommentText"/>
    <w:next w:val="CommentText"/>
    <w:link w:val="CommentSubjectChar"/>
    <w:uiPriority w:val="99"/>
    <w:semiHidden/>
    <w:unhideWhenUsed/>
    <w:rsid w:val="00B52E9B"/>
    <w:rPr>
      <w:b/>
      <w:bCs/>
    </w:rPr>
  </w:style>
  <w:style w:type="character" w:customStyle="1" w:styleId="CommentSubjectChar">
    <w:name w:val="Comment Subject Char"/>
    <w:basedOn w:val="CommentTextChar"/>
    <w:link w:val="CommentSubject"/>
    <w:uiPriority w:val="99"/>
    <w:semiHidden/>
    <w:rsid w:val="00B52E9B"/>
    <w:rPr>
      <w:b/>
      <w:bCs/>
      <w:sz w:val="20"/>
      <w:szCs w:val="20"/>
    </w:rPr>
  </w:style>
  <w:style w:type="paragraph" w:styleId="Header">
    <w:name w:val="header"/>
    <w:basedOn w:val="Normal"/>
    <w:link w:val="HeaderChar"/>
    <w:uiPriority w:val="99"/>
    <w:unhideWhenUsed/>
    <w:rsid w:val="00E3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383"/>
  </w:style>
  <w:style w:type="paragraph" w:styleId="Footer">
    <w:name w:val="footer"/>
    <w:basedOn w:val="Normal"/>
    <w:link w:val="FooterChar"/>
    <w:uiPriority w:val="99"/>
    <w:unhideWhenUsed/>
    <w:rsid w:val="00E3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383"/>
  </w:style>
  <w:style w:type="paragraph" w:customStyle="1" w:styleId="Default">
    <w:name w:val="Default"/>
    <w:rsid w:val="00AF24FB"/>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62973">
      <w:bodyDiv w:val="1"/>
      <w:marLeft w:val="0"/>
      <w:marRight w:val="0"/>
      <w:marTop w:val="0"/>
      <w:marBottom w:val="0"/>
      <w:divBdr>
        <w:top w:val="none" w:sz="0" w:space="0" w:color="auto"/>
        <w:left w:val="none" w:sz="0" w:space="0" w:color="auto"/>
        <w:bottom w:val="none" w:sz="0" w:space="0" w:color="auto"/>
        <w:right w:val="none" w:sz="0" w:space="0" w:color="auto"/>
      </w:divBdr>
    </w:div>
    <w:div w:id="200637074">
      <w:bodyDiv w:val="1"/>
      <w:marLeft w:val="0"/>
      <w:marRight w:val="0"/>
      <w:marTop w:val="0"/>
      <w:marBottom w:val="0"/>
      <w:divBdr>
        <w:top w:val="none" w:sz="0" w:space="0" w:color="auto"/>
        <w:left w:val="none" w:sz="0" w:space="0" w:color="auto"/>
        <w:bottom w:val="none" w:sz="0" w:space="0" w:color="auto"/>
        <w:right w:val="none" w:sz="0" w:space="0" w:color="auto"/>
      </w:divBdr>
    </w:div>
    <w:div w:id="339164109">
      <w:bodyDiv w:val="1"/>
      <w:marLeft w:val="0"/>
      <w:marRight w:val="0"/>
      <w:marTop w:val="0"/>
      <w:marBottom w:val="0"/>
      <w:divBdr>
        <w:top w:val="none" w:sz="0" w:space="0" w:color="auto"/>
        <w:left w:val="none" w:sz="0" w:space="0" w:color="auto"/>
        <w:bottom w:val="none" w:sz="0" w:space="0" w:color="auto"/>
        <w:right w:val="none" w:sz="0" w:space="0" w:color="auto"/>
      </w:divBdr>
    </w:div>
    <w:div w:id="2052267937">
      <w:bodyDiv w:val="1"/>
      <w:marLeft w:val="0"/>
      <w:marRight w:val="0"/>
      <w:marTop w:val="0"/>
      <w:marBottom w:val="0"/>
      <w:divBdr>
        <w:top w:val="none" w:sz="0" w:space="0" w:color="auto"/>
        <w:left w:val="none" w:sz="0" w:space="0" w:color="auto"/>
        <w:bottom w:val="none" w:sz="0" w:space="0" w:color="auto"/>
        <w:right w:val="none" w:sz="0" w:space="0" w:color="auto"/>
      </w:divBdr>
    </w:div>
    <w:div w:id="20855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7" ma:contentTypeDescription="Create a new document." ma:contentTypeScope="" ma:versionID="33dee3125c8d770677ca2003e2fc7ea3">
  <xsd:schema xmlns:xsd="http://www.w3.org/2001/XMLSchema" xmlns:xs="http://www.w3.org/2001/XMLSchema" xmlns:p="http://schemas.microsoft.com/office/2006/metadata/properties" xmlns:ns3="4b265e71-f343-4c34-bd05-826252c51855" targetNamespace="http://schemas.microsoft.com/office/2006/metadata/properties" ma:root="true" ma:fieldsID="d083dad25d08e81ad1558d95a4525ef7" ns3:_="">
    <xsd:import namespace="4b265e71-f343-4c34-bd05-826252c51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7EC4C-3C35-4B3E-837D-883C3913B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659CE-FADC-452B-B81B-E19297A65C59}">
  <ds:schemaRefs>
    <ds:schemaRef ds:uri="http://schemas.microsoft.com/sharepoint/v3/contenttype/forms"/>
  </ds:schemaRefs>
</ds:datastoreItem>
</file>

<file path=customXml/itemProps3.xml><?xml version="1.0" encoding="utf-8"?>
<ds:datastoreItem xmlns:ds="http://schemas.openxmlformats.org/officeDocument/2006/customXml" ds:itemID="{6BEBC860-FD68-464B-BA56-48B448082D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1FF0D4-C10C-475E-97A1-EE81EAA2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2877</Words>
  <Characters>16403</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Abdullah Navid</cp:lastModifiedBy>
  <cp:revision>2</cp:revision>
  <dcterms:created xsi:type="dcterms:W3CDTF">2021-03-19T16:58:00Z</dcterms:created>
  <dcterms:modified xsi:type="dcterms:W3CDTF">2021-03-19T16:58:00Z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