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E1CB1" w14:textId="5131BA32" w:rsidR="0094767B" w:rsidRDefault="0094767B" w:rsidP="0094767B">
      <w:pPr>
        <w:spacing w:before="40" w:after="40" w:line="240" w:lineRule="auto"/>
        <w:rPr>
          <w:b/>
          <w:bCs/>
          <w:sz w:val="24"/>
          <w:szCs w:val="24"/>
        </w:rPr>
      </w:pPr>
      <w:bookmarkStart w:id="0" w:name="_GoBack"/>
      <w:bookmarkEnd w:id="0"/>
      <w:r>
        <w:rPr>
          <w:b/>
          <w:bCs/>
          <w:sz w:val="24"/>
          <w:szCs w:val="24"/>
        </w:rPr>
        <w:t>Follow-up #2 – Staff Question 1</w:t>
      </w:r>
    </w:p>
    <w:p w14:paraId="77534554" w14:textId="76EAA7A3" w:rsidR="0094767B" w:rsidRDefault="0094767B" w:rsidP="0094767B">
      <w:pPr>
        <w:spacing w:before="40" w:after="40" w:line="240" w:lineRule="auto"/>
        <w:rPr>
          <w:b/>
          <w:bCs/>
          <w:sz w:val="24"/>
          <w:szCs w:val="24"/>
        </w:rPr>
      </w:pPr>
      <w:r w:rsidRPr="00FB4CF2">
        <w:rPr>
          <w:b/>
          <w:bCs/>
          <w:sz w:val="24"/>
          <w:szCs w:val="24"/>
        </w:rPr>
        <w:t>Ref:</w:t>
      </w:r>
      <w:r>
        <w:rPr>
          <w:b/>
          <w:bCs/>
          <w:sz w:val="24"/>
          <w:szCs w:val="24"/>
        </w:rPr>
        <w:tab/>
        <w:t>Follow-up Staff Question 4</w:t>
      </w:r>
    </w:p>
    <w:p w14:paraId="5097913D" w14:textId="77777777" w:rsidR="0094767B" w:rsidRDefault="0094767B" w:rsidP="0094767B">
      <w:pPr>
        <w:spacing w:before="40" w:after="40" w:line="240" w:lineRule="auto"/>
        <w:rPr>
          <w:b/>
          <w:bCs/>
          <w:sz w:val="24"/>
          <w:szCs w:val="24"/>
        </w:rPr>
      </w:pPr>
      <w:r>
        <w:rPr>
          <w:b/>
          <w:bCs/>
          <w:sz w:val="24"/>
          <w:szCs w:val="24"/>
        </w:rPr>
        <w:tab/>
        <w:t>Updated DVA Continuity Schedule</w:t>
      </w:r>
    </w:p>
    <w:p w14:paraId="6B258F95" w14:textId="77777777" w:rsidR="0094767B" w:rsidRDefault="0094767B"/>
    <w:p w14:paraId="0DF2598B" w14:textId="4E746F79" w:rsidR="00703EC9" w:rsidRPr="00703EC9" w:rsidRDefault="000A21A8" w:rsidP="00703EC9">
      <w:pPr>
        <w:rPr>
          <w:sz w:val="24"/>
          <w:szCs w:val="24"/>
        </w:rPr>
      </w:pPr>
      <w:r w:rsidRPr="00703EC9">
        <w:rPr>
          <w:sz w:val="24"/>
          <w:szCs w:val="24"/>
        </w:rPr>
        <w:t xml:space="preserve">In response to </w:t>
      </w:r>
      <w:r w:rsidR="0094767B" w:rsidRPr="00703EC9">
        <w:rPr>
          <w:sz w:val="24"/>
          <w:szCs w:val="24"/>
        </w:rPr>
        <w:t>the follow-up questions of S</w:t>
      </w:r>
      <w:r w:rsidRPr="00703EC9">
        <w:rPr>
          <w:sz w:val="24"/>
          <w:szCs w:val="24"/>
        </w:rPr>
        <w:t xml:space="preserve">taff Question </w:t>
      </w:r>
      <w:r w:rsidR="0094767B" w:rsidRPr="00703EC9">
        <w:rPr>
          <w:sz w:val="24"/>
          <w:szCs w:val="24"/>
        </w:rPr>
        <w:t>4</w:t>
      </w:r>
      <w:r w:rsidRPr="00703EC9">
        <w:rPr>
          <w:sz w:val="24"/>
          <w:szCs w:val="24"/>
        </w:rPr>
        <w:t xml:space="preserve">, </w:t>
      </w:r>
      <w:r w:rsidR="0094767B" w:rsidRPr="00703EC9">
        <w:rPr>
          <w:sz w:val="24"/>
          <w:szCs w:val="24"/>
        </w:rPr>
        <w:t>in the revised DVA Continuity Schedule, the ending 2016 account 1588 and 1589 balances are different than that in the DVA Continuity Schedule filed in Hydro 2000’s 2020 Cost of Service (COS) settlement proposal</w:t>
      </w:r>
      <w:r w:rsidR="001E10AD">
        <w:rPr>
          <w:sz w:val="24"/>
          <w:szCs w:val="24"/>
        </w:rPr>
        <w:t>, which was based on the Inspection Report</w:t>
      </w:r>
      <w:r w:rsidR="0094767B" w:rsidRPr="00703EC9">
        <w:rPr>
          <w:sz w:val="24"/>
          <w:szCs w:val="24"/>
        </w:rPr>
        <w:t xml:space="preserve">. </w:t>
      </w:r>
      <w:r w:rsidR="00703EC9" w:rsidRPr="00703EC9">
        <w:rPr>
          <w:sz w:val="24"/>
          <w:szCs w:val="24"/>
        </w:rPr>
        <w:t xml:space="preserve">Hydro 2000 indicated that the difference is due to the recalculation of the balances using the OEB’s February 21, 2019 Illustrative Model. </w:t>
      </w:r>
    </w:p>
    <w:p w14:paraId="29591271" w14:textId="2561D422" w:rsidR="0094767B" w:rsidRPr="00703EC9" w:rsidRDefault="0094767B">
      <w:pPr>
        <w:rPr>
          <w:sz w:val="24"/>
          <w:szCs w:val="24"/>
        </w:rPr>
      </w:pPr>
      <w:r w:rsidRPr="00703EC9">
        <w:rPr>
          <w:sz w:val="24"/>
          <w:szCs w:val="24"/>
        </w:rPr>
        <w:t>The differences are shown in the table below.</w:t>
      </w:r>
    </w:p>
    <w:tbl>
      <w:tblPr>
        <w:tblW w:w="9355" w:type="dxa"/>
        <w:tblLook w:val="04A0" w:firstRow="1" w:lastRow="0" w:firstColumn="1" w:lastColumn="0" w:noHBand="0" w:noVBand="1"/>
      </w:tblPr>
      <w:tblGrid>
        <w:gridCol w:w="1230"/>
        <w:gridCol w:w="1461"/>
        <w:gridCol w:w="1253"/>
        <w:gridCol w:w="1461"/>
        <w:gridCol w:w="1329"/>
        <w:gridCol w:w="1461"/>
        <w:gridCol w:w="1329"/>
      </w:tblGrid>
      <w:tr w:rsidR="0094767B" w:rsidRPr="00703EC9" w14:paraId="5B5A953C" w14:textId="77777777" w:rsidTr="00C54855">
        <w:trPr>
          <w:trHeight w:val="476"/>
        </w:trPr>
        <w:tc>
          <w:tcPr>
            <w:tcW w:w="1061" w:type="dxa"/>
            <w:tcBorders>
              <w:top w:val="single" w:sz="4" w:space="0" w:color="auto"/>
              <w:left w:val="single" w:sz="4" w:space="0" w:color="auto"/>
              <w:bottom w:val="single" w:sz="4" w:space="0" w:color="auto"/>
              <w:right w:val="nil"/>
            </w:tcBorders>
            <w:shd w:val="clear" w:color="auto" w:fill="auto"/>
            <w:noWrap/>
            <w:vAlign w:val="bottom"/>
            <w:hideMark/>
          </w:tcPr>
          <w:p w14:paraId="3C5CC3DF" w14:textId="77777777" w:rsidR="0094767B" w:rsidRPr="00703EC9" w:rsidRDefault="0094767B" w:rsidP="00C54855">
            <w:pPr>
              <w:spacing w:after="0" w:line="240" w:lineRule="auto"/>
              <w:rPr>
                <w:rFonts w:eastAsia="Times New Roman" w:cs="Arial"/>
                <w:b/>
                <w:bCs/>
                <w:color w:val="000000"/>
                <w:sz w:val="24"/>
                <w:szCs w:val="24"/>
              </w:rPr>
            </w:pPr>
            <w:r w:rsidRPr="00703EC9">
              <w:rPr>
                <w:rFonts w:eastAsia="Times New Roman" w:cs="Arial"/>
                <w:b/>
                <w:bCs/>
                <w:color w:val="000000"/>
                <w:sz w:val="24"/>
                <w:szCs w:val="24"/>
              </w:rPr>
              <w:t> </w:t>
            </w:r>
          </w:p>
        </w:tc>
        <w:tc>
          <w:tcPr>
            <w:tcW w:w="271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DD31B40" w14:textId="62B397FB"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 xml:space="preserve"> Updated DVA Continuity Schedule </w:t>
            </w:r>
            <w:r w:rsidR="00AD59F8">
              <w:rPr>
                <w:rFonts w:eastAsia="Times New Roman" w:cs="Arial"/>
                <w:b/>
                <w:bCs/>
                <w:color w:val="000000"/>
                <w:sz w:val="24"/>
                <w:szCs w:val="24"/>
              </w:rPr>
              <w:t>recalculated using Illustrative Model</w:t>
            </w:r>
          </w:p>
        </w:tc>
        <w:tc>
          <w:tcPr>
            <w:tcW w:w="2790" w:type="dxa"/>
            <w:gridSpan w:val="2"/>
            <w:tcBorders>
              <w:top w:val="single" w:sz="4" w:space="0" w:color="auto"/>
              <w:left w:val="nil"/>
              <w:bottom w:val="single" w:sz="4" w:space="0" w:color="auto"/>
              <w:right w:val="single" w:sz="4" w:space="0" w:color="000000"/>
            </w:tcBorders>
            <w:shd w:val="clear" w:color="auto" w:fill="auto"/>
            <w:vAlign w:val="bottom"/>
            <w:hideMark/>
          </w:tcPr>
          <w:p w14:paraId="36C94CE7" w14:textId="3872867A"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 xml:space="preserve"> 2020 COS DVA Continuity Schedule</w:t>
            </w:r>
            <w:r w:rsidR="00A37896">
              <w:rPr>
                <w:rFonts w:eastAsia="Times New Roman" w:cs="Arial"/>
                <w:b/>
                <w:bCs/>
                <w:color w:val="000000"/>
                <w:sz w:val="24"/>
                <w:szCs w:val="24"/>
              </w:rPr>
              <w:t xml:space="preserve"> derived from Inspection</w:t>
            </w:r>
            <w:r w:rsidRPr="00703EC9">
              <w:rPr>
                <w:rFonts w:eastAsia="Times New Roman" w:cs="Arial"/>
                <w:b/>
                <w:bCs/>
                <w:color w:val="000000"/>
                <w:sz w:val="24"/>
                <w:szCs w:val="24"/>
              </w:rPr>
              <w:t xml:space="preserve"> </w:t>
            </w:r>
          </w:p>
        </w:tc>
        <w:tc>
          <w:tcPr>
            <w:tcW w:w="27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980DE9"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Difference</w:t>
            </w:r>
          </w:p>
        </w:tc>
      </w:tr>
      <w:tr w:rsidR="0094767B" w:rsidRPr="00703EC9" w14:paraId="1199B4D8" w14:textId="77777777" w:rsidTr="00C54855">
        <w:trPr>
          <w:trHeight w:val="288"/>
        </w:trPr>
        <w:tc>
          <w:tcPr>
            <w:tcW w:w="1061" w:type="dxa"/>
            <w:tcBorders>
              <w:top w:val="nil"/>
              <w:left w:val="single" w:sz="4" w:space="0" w:color="auto"/>
              <w:bottom w:val="nil"/>
              <w:right w:val="nil"/>
            </w:tcBorders>
            <w:shd w:val="clear" w:color="auto" w:fill="auto"/>
            <w:noWrap/>
            <w:vAlign w:val="bottom"/>
            <w:hideMark/>
          </w:tcPr>
          <w:p w14:paraId="3D1C06B9" w14:textId="77777777" w:rsidR="0094767B" w:rsidRPr="00703EC9" w:rsidRDefault="0094767B" w:rsidP="00C54855">
            <w:pPr>
              <w:spacing w:after="0" w:line="240" w:lineRule="auto"/>
              <w:rPr>
                <w:rFonts w:eastAsia="Times New Roman" w:cs="Arial"/>
                <w:b/>
                <w:bCs/>
                <w:color w:val="000000"/>
                <w:sz w:val="24"/>
                <w:szCs w:val="24"/>
              </w:rPr>
            </w:pPr>
            <w:r w:rsidRPr="00703EC9">
              <w:rPr>
                <w:rFonts w:eastAsia="Times New Roman" w:cs="Arial"/>
                <w:b/>
                <w:bCs/>
                <w:color w:val="000000"/>
                <w:sz w:val="24"/>
                <w:szCs w:val="24"/>
              </w:rPr>
              <w:t> </w:t>
            </w:r>
          </w:p>
        </w:tc>
        <w:tc>
          <w:tcPr>
            <w:tcW w:w="1461" w:type="dxa"/>
            <w:tcBorders>
              <w:top w:val="nil"/>
              <w:left w:val="single" w:sz="4" w:space="0" w:color="auto"/>
              <w:bottom w:val="nil"/>
              <w:right w:val="nil"/>
            </w:tcBorders>
            <w:shd w:val="clear" w:color="auto" w:fill="auto"/>
            <w:noWrap/>
            <w:vAlign w:val="bottom"/>
            <w:hideMark/>
          </w:tcPr>
          <w:p w14:paraId="773ABE92"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1588</w:t>
            </w:r>
          </w:p>
        </w:tc>
        <w:tc>
          <w:tcPr>
            <w:tcW w:w="1253" w:type="dxa"/>
            <w:tcBorders>
              <w:top w:val="nil"/>
              <w:left w:val="nil"/>
              <w:bottom w:val="nil"/>
              <w:right w:val="single" w:sz="4" w:space="0" w:color="auto"/>
            </w:tcBorders>
            <w:shd w:val="clear" w:color="auto" w:fill="auto"/>
            <w:noWrap/>
            <w:vAlign w:val="bottom"/>
            <w:hideMark/>
          </w:tcPr>
          <w:p w14:paraId="23ADDF4D"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1589</w:t>
            </w:r>
          </w:p>
        </w:tc>
        <w:tc>
          <w:tcPr>
            <w:tcW w:w="1461" w:type="dxa"/>
            <w:tcBorders>
              <w:top w:val="nil"/>
              <w:left w:val="nil"/>
              <w:bottom w:val="nil"/>
              <w:right w:val="nil"/>
            </w:tcBorders>
            <w:shd w:val="clear" w:color="auto" w:fill="auto"/>
            <w:noWrap/>
            <w:vAlign w:val="bottom"/>
            <w:hideMark/>
          </w:tcPr>
          <w:p w14:paraId="605C54FA"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1588</w:t>
            </w:r>
          </w:p>
        </w:tc>
        <w:tc>
          <w:tcPr>
            <w:tcW w:w="1329" w:type="dxa"/>
            <w:tcBorders>
              <w:top w:val="nil"/>
              <w:left w:val="nil"/>
              <w:bottom w:val="nil"/>
              <w:right w:val="single" w:sz="4" w:space="0" w:color="auto"/>
            </w:tcBorders>
            <w:shd w:val="clear" w:color="auto" w:fill="auto"/>
            <w:noWrap/>
            <w:vAlign w:val="bottom"/>
            <w:hideMark/>
          </w:tcPr>
          <w:p w14:paraId="5134EA03"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1589</w:t>
            </w:r>
          </w:p>
        </w:tc>
        <w:tc>
          <w:tcPr>
            <w:tcW w:w="1461" w:type="dxa"/>
            <w:tcBorders>
              <w:top w:val="nil"/>
              <w:left w:val="nil"/>
              <w:bottom w:val="nil"/>
              <w:right w:val="nil"/>
            </w:tcBorders>
            <w:shd w:val="clear" w:color="auto" w:fill="auto"/>
            <w:noWrap/>
            <w:vAlign w:val="bottom"/>
            <w:hideMark/>
          </w:tcPr>
          <w:p w14:paraId="76026435"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1588</w:t>
            </w:r>
          </w:p>
        </w:tc>
        <w:tc>
          <w:tcPr>
            <w:tcW w:w="1329" w:type="dxa"/>
            <w:tcBorders>
              <w:top w:val="nil"/>
              <w:left w:val="nil"/>
              <w:bottom w:val="nil"/>
              <w:right w:val="single" w:sz="4" w:space="0" w:color="auto"/>
            </w:tcBorders>
            <w:shd w:val="clear" w:color="auto" w:fill="auto"/>
            <w:noWrap/>
            <w:vAlign w:val="bottom"/>
            <w:hideMark/>
          </w:tcPr>
          <w:p w14:paraId="54CB2D67"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1589</w:t>
            </w:r>
          </w:p>
        </w:tc>
      </w:tr>
      <w:tr w:rsidR="0094767B" w:rsidRPr="00703EC9" w14:paraId="21821DCC" w14:textId="77777777" w:rsidTr="00C54855">
        <w:trPr>
          <w:trHeight w:val="288"/>
        </w:trPr>
        <w:tc>
          <w:tcPr>
            <w:tcW w:w="1061" w:type="dxa"/>
            <w:tcBorders>
              <w:top w:val="nil"/>
              <w:left w:val="single" w:sz="4" w:space="0" w:color="auto"/>
              <w:bottom w:val="nil"/>
              <w:right w:val="nil"/>
            </w:tcBorders>
            <w:shd w:val="clear" w:color="auto" w:fill="auto"/>
            <w:noWrap/>
            <w:vAlign w:val="bottom"/>
            <w:hideMark/>
          </w:tcPr>
          <w:p w14:paraId="50BB6F93" w14:textId="77777777" w:rsidR="0094767B" w:rsidRPr="00703EC9" w:rsidRDefault="0094767B" w:rsidP="00C54855">
            <w:pPr>
              <w:spacing w:after="0" w:line="240" w:lineRule="auto"/>
              <w:rPr>
                <w:rFonts w:eastAsia="Times New Roman" w:cs="Arial"/>
                <w:b/>
                <w:bCs/>
                <w:color w:val="000000"/>
                <w:sz w:val="24"/>
                <w:szCs w:val="24"/>
              </w:rPr>
            </w:pPr>
            <w:r w:rsidRPr="00703EC9">
              <w:rPr>
                <w:rFonts w:eastAsia="Times New Roman" w:cs="Arial"/>
                <w:b/>
                <w:bCs/>
                <w:color w:val="000000"/>
                <w:sz w:val="24"/>
                <w:szCs w:val="24"/>
              </w:rPr>
              <w:t>Principal</w:t>
            </w:r>
          </w:p>
        </w:tc>
        <w:tc>
          <w:tcPr>
            <w:tcW w:w="1461" w:type="dxa"/>
            <w:tcBorders>
              <w:top w:val="nil"/>
              <w:left w:val="single" w:sz="4" w:space="0" w:color="auto"/>
              <w:bottom w:val="nil"/>
              <w:right w:val="nil"/>
            </w:tcBorders>
            <w:shd w:val="clear" w:color="auto" w:fill="auto"/>
            <w:noWrap/>
            <w:vAlign w:val="bottom"/>
            <w:hideMark/>
          </w:tcPr>
          <w:p w14:paraId="41B44194" w14:textId="77777777" w:rsidR="0094767B" w:rsidRPr="00703EC9" w:rsidRDefault="0094767B" w:rsidP="00C54855">
            <w:pPr>
              <w:spacing w:after="0" w:line="240" w:lineRule="auto"/>
              <w:rPr>
                <w:rFonts w:eastAsia="Times New Roman" w:cs="Arial"/>
                <w:sz w:val="24"/>
                <w:szCs w:val="24"/>
              </w:rPr>
            </w:pPr>
            <w:r w:rsidRPr="00703EC9">
              <w:rPr>
                <w:rFonts w:eastAsia="Times New Roman" w:cs="Arial"/>
                <w:sz w:val="24"/>
                <w:szCs w:val="24"/>
              </w:rPr>
              <w:t xml:space="preserve">         65,187 </w:t>
            </w:r>
          </w:p>
        </w:tc>
        <w:tc>
          <w:tcPr>
            <w:tcW w:w="1253" w:type="dxa"/>
            <w:tcBorders>
              <w:top w:val="nil"/>
              <w:left w:val="nil"/>
              <w:bottom w:val="nil"/>
              <w:right w:val="single" w:sz="4" w:space="0" w:color="auto"/>
            </w:tcBorders>
            <w:shd w:val="clear" w:color="auto" w:fill="auto"/>
            <w:noWrap/>
            <w:vAlign w:val="bottom"/>
            <w:hideMark/>
          </w:tcPr>
          <w:p w14:paraId="3B44A92D" w14:textId="77777777" w:rsidR="0094767B" w:rsidRPr="00703EC9" w:rsidRDefault="0094767B" w:rsidP="00C54855">
            <w:pPr>
              <w:spacing w:after="0" w:line="240" w:lineRule="auto"/>
              <w:rPr>
                <w:rFonts w:eastAsia="Times New Roman" w:cs="Arial"/>
                <w:sz w:val="24"/>
                <w:szCs w:val="24"/>
              </w:rPr>
            </w:pPr>
            <w:r w:rsidRPr="00703EC9">
              <w:rPr>
                <w:rFonts w:eastAsia="Times New Roman" w:cs="Arial"/>
                <w:sz w:val="24"/>
                <w:szCs w:val="24"/>
              </w:rPr>
              <w:t xml:space="preserve">         113,142 </w:t>
            </w:r>
          </w:p>
        </w:tc>
        <w:tc>
          <w:tcPr>
            <w:tcW w:w="1461" w:type="dxa"/>
            <w:tcBorders>
              <w:top w:val="nil"/>
              <w:left w:val="nil"/>
              <w:bottom w:val="nil"/>
              <w:right w:val="nil"/>
            </w:tcBorders>
            <w:shd w:val="clear" w:color="auto" w:fill="auto"/>
            <w:noWrap/>
            <w:vAlign w:val="bottom"/>
            <w:hideMark/>
          </w:tcPr>
          <w:p w14:paraId="541AF817" w14:textId="77777777" w:rsidR="0094767B" w:rsidRPr="00703EC9" w:rsidRDefault="0094767B" w:rsidP="00C54855">
            <w:pPr>
              <w:spacing w:after="0" w:line="240" w:lineRule="auto"/>
              <w:rPr>
                <w:rFonts w:eastAsia="Times New Roman" w:cs="Arial"/>
                <w:sz w:val="24"/>
                <w:szCs w:val="24"/>
              </w:rPr>
            </w:pPr>
            <w:r w:rsidRPr="00703EC9">
              <w:rPr>
                <w:rFonts w:eastAsia="Times New Roman" w:cs="Arial"/>
                <w:sz w:val="24"/>
                <w:szCs w:val="24"/>
              </w:rPr>
              <w:t xml:space="preserve">         204,494 </w:t>
            </w:r>
          </w:p>
        </w:tc>
        <w:tc>
          <w:tcPr>
            <w:tcW w:w="1329" w:type="dxa"/>
            <w:tcBorders>
              <w:top w:val="nil"/>
              <w:left w:val="nil"/>
              <w:bottom w:val="nil"/>
              <w:right w:val="single" w:sz="4" w:space="0" w:color="auto"/>
            </w:tcBorders>
            <w:shd w:val="clear" w:color="auto" w:fill="auto"/>
            <w:noWrap/>
            <w:vAlign w:val="bottom"/>
            <w:hideMark/>
          </w:tcPr>
          <w:p w14:paraId="29AC74E8" w14:textId="77777777" w:rsidR="0094767B" w:rsidRPr="00703EC9" w:rsidRDefault="0094767B" w:rsidP="00C54855">
            <w:pPr>
              <w:spacing w:after="0" w:line="240" w:lineRule="auto"/>
              <w:rPr>
                <w:rFonts w:eastAsia="Times New Roman" w:cs="Arial"/>
                <w:sz w:val="24"/>
                <w:szCs w:val="24"/>
              </w:rPr>
            </w:pPr>
            <w:r w:rsidRPr="00703EC9">
              <w:rPr>
                <w:rFonts w:eastAsia="Times New Roman" w:cs="Arial"/>
                <w:sz w:val="24"/>
                <w:szCs w:val="24"/>
              </w:rPr>
              <w:t xml:space="preserve">         49,433 </w:t>
            </w:r>
          </w:p>
        </w:tc>
        <w:tc>
          <w:tcPr>
            <w:tcW w:w="1461" w:type="dxa"/>
            <w:tcBorders>
              <w:top w:val="nil"/>
              <w:left w:val="nil"/>
              <w:bottom w:val="nil"/>
              <w:right w:val="nil"/>
            </w:tcBorders>
            <w:shd w:val="clear" w:color="auto" w:fill="auto"/>
            <w:noWrap/>
            <w:vAlign w:val="bottom"/>
            <w:hideMark/>
          </w:tcPr>
          <w:p w14:paraId="580DA6FF"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(139,307)</w:t>
            </w:r>
          </w:p>
        </w:tc>
        <w:tc>
          <w:tcPr>
            <w:tcW w:w="1329" w:type="dxa"/>
            <w:tcBorders>
              <w:top w:val="nil"/>
              <w:left w:val="nil"/>
              <w:bottom w:val="nil"/>
              <w:right w:val="single" w:sz="4" w:space="0" w:color="auto"/>
            </w:tcBorders>
            <w:shd w:val="clear" w:color="auto" w:fill="auto"/>
            <w:noWrap/>
            <w:vAlign w:val="bottom"/>
            <w:hideMark/>
          </w:tcPr>
          <w:p w14:paraId="1ECC5FC0"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63,709 </w:t>
            </w:r>
          </w:p>
        </w:tc>
      </w:tr>
      <w:tr w:rsidR="0094767B" w:rsidRPr="00703EC9" w14:paraId="77EA346B" w14:textId="77777777" w:rsidTr="00C54855">
        <w:trPr>
          <w:trHeight w:val="288"/>
        </w:trPr>
        <w:tc>
          <w:tcPr>
            <w:tcW w:w="1061" w:type="dxa"/>
            <w:tcBorders>
              <w:top w:val="nil"/>
              <w:left w:val="single" w:sz="4" w:space="0" w:color="auto"/>
              <w:bottom w:val="nil"/>
              <w:right w:val="nil"/>
            </w:tcBorders>
            <w:shd w:val="clear" w:color="auto" w:fill="auto"/>
            <w:noWrap/>
            <w:vAlign w:val="bottom"/>
            <w:hideMark/>
          </w:tcPr>
          <w:p w14:paraId="17BDD4CF" w14:textId="77777777" w:rsidR="0094767B" w:rsidRPr="00703EC9" w:rsidRDefault="0094767B" w:rsidP="00C54855">
            <w:pPr>
              <w:spacing w:after="0" w:line="240" w:lineRule="auto"/>
              <w:rPr>
                <w:rFonts w:eastAsia="Times New Roman" w:cs="Arial"/>
                <w:b/>
                <w:bCs/>
                <w:color w:val="000000"/>
                <w:sz w:val="24"/>
                <w:szCs w:val="24"/>
              </w:rPr>
            </w:pPr>
            <w:r w:rsidRPr="00703EC9">
              <w:rPr>
                <w:rFonts w:eastAsia="Times New Roman" w:cs="Arial"/>
                <w:b/>
                <w:bCs/>
                <w:color w:val="000000"/>
                <w:sz w:val="24"/>
                <w:szCs w:val="24"/>
              </w:rPr>
              <w:t xml:space="preserve"> Interest </w:t>
            </w:r>
          </w:p>
        </w:tc>
        <w:tc>
          <w:tcPr>
            <w:tcW w:w="1461" w:type="dxa"/>
            <w:tcBorders>
              <w:top w:val="nil"/>
              <w:left w:val="single" w:sz="4" w:space="0" w:color="auto"/>
              <w:bottom w:val="single" w:sz="4" w:space="0" w:color="auto"/>
              <w:right w:val="nil"/>
            </w:tcBorders>
            <w:shd w:val="clear" w:color="auto" w:fill="auto"/>
            <w:noWrap/>
            <w:vAlign w:val="bottom"/>
            <w:hideMark/>
          </w:tcPr>
          <w:p w14:paraId="6899B76E"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296 </w:t>
            </w:r>
          </w:p>
        </w:tc>
        <w:tc>
          <w:tcPr>
            <w:tcW w:w="1253" w:type="dxa"/>
            <w:tcBorders>
              <w:top w:val="nil"/>
              <w:left w:val="nil"/>
              <w:bottom w:val="single" w:sz="4" w:space="0" w:color="auto"/>
              <w:right w:val="single" w:sz="4" w:space="0" w:color="auto"/>
            </w:tcBorders>
            <w:shd w:val="clear" w:color="auto" w:fill="auto"/>
            <w:noWrap/>
            <w:vAlign w:val="bottom"/>
            <w:hideMark/>
          </w:tcPr>
          <w:p w14:paraId="6C1ED392"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3,255 </w:t>
            </w:r>
          </w:p>
        </w:tc>
        <w:tc>
          <w:tcPr>
            <w:tcW w:w="1461" w:type="dxa"/>
            <w:tcBorders>
              <w:top w:val="nil"/>
              <w:left w:val="nil"/>
              <w:bottom w:val="single" w:sz="4" w:space="0" w:color="auto"/>
              <w:right w:val="nil"/>
            </w:tcBorders>
            <w:shd w:val="clear" w:color="auto" w:fill="auto"/>
            <w:noWrap/>
            <w:vAlign w:val="bottom"/>
            <w:hideMark/>
          </w:tcPr>
          <w:p w14:paraId="75A7755B"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3,193 </w:t>
            </w:r>
          </w:p>
        </w:tc>
        <w:tc>
          <w:tcPr>
            <w:tcW w:w="1329" w:type="dxa"/>
            <w:tcBorders>
              <w:top w:val="nil"/>
              <w:left w:val="nil"/>
              <w:bottom w:val="single" w:sz="4" w:space="0" w:color="auto"/>
              <w:right w:val="single" w:sz="4" w:space="0" w:color="auto"/>
            </w:tcBorders>
            <w:shd w:val="clear" w:color="auto" w:fill="auto"/>
            <w:noWrap/>
            <w:vAlign w:val="bottom"/>
            <w:hideMark/>
          </w:tcPr>
          <w:p w14:paraId="344E24DD"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1,184 </w:t>
            </w:r>
          </w:p>
        </w:tc>
        <w:tc>
          <w:tcPr>
            <w:tcW w:w="1461" w:type="dxa"/>
            <w:tcBorders>
              <w:top w:val="nil"/>
              <w:left w:val="nil"/>
              <w:bottom w:val="single" w:sz="4" w:space="0" w:color="auto"/>
              <w:right w:val="nil"/>
            </w:tcBorders>
            <w:shd w:val="clear" w:color="auto" w:fill="auto"/>
            <w:noWrap/>
            <w:vAlign w:val="bottom"/>
            <w:hideMark/>
          </w:tcPr>
          <w:p w14:paraId="34E8EF0E"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(2,898)</w:t>
            </w:r>
          </w:p>
        </w:tc>
        <w:tc>
          <w:tcPr>
            <w:tcW w:w="1329" w:type="dxa"/>
            <w:tcBorders>
              <w:top w:val="nil"/>
              <w:left w:val="nil"/>
              <w:bottom w:val="single" w:sz="4" w:space="0" w:color="auto"/>
              <w:right w:val="single" w:sz="4" w:space="0" w:color="auto"/>
            </w:tcBorders>
            <w:shd w:val="clear" w:color="auto" w:fill="auto"/>
            <w:noWrap/>
            <w:vAlign w:val="bottom"/>
            <w:hideMark/>
          </w:tcPr>
          <w:p w14:paraId="6727AB79"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2,071 </w:t>
            </w:r>
          </w:p>
        </w:tc>
      </w:tr>
      <w:tr w:rsidR="0094767B" w:rsidRPr="00703EC9" w14:paraId="26984A40" w14:textId="77777777" w:rsidTr="00C54855">
        <w:trPr>
          <w:trHeight w:val="288"/>
        </w:trPr>
        <w:tc>
          <w:tcPr>
            <w:tcW w:w="1061" w:type="dxa"/>
            <w:tcBorders>
              <w:top w:val="nil"/>
              <w:left w:val="single" w:sz="4" w:space="0" w:color="auto"/>
              <w:bottom w:val="single" w:sz="4" w:space="0" w:color="auto"/>
              <w:right w:val="nil"/>
            </w:tcBorders>
            <w:shd w:val="clear" w:color="auto" w:fill="auto"/>
            <w:noWrap/>
            <w:vAlign w:val="bottom"/>
            <w:hideMark/>
          </w:tcPr>
          <w:p w14:paraId="6EE9E98D" w14:textId="77777777" w:rsidR="0094767B" w:rsidRPr="00703EC9" w:rsidRDefault="0094767B" w:rsidP="00C54855">
            <w:pPr>
              <w:spacing w:after="0" w:line="240" w:lineRule="auto"/>
              <w:rPr>
                <w:rFonts w:eastAsia="Times New Roman" w:cs="Arial"/>
                <w:b/>
                <w:bCs/>
                <w:color w:val="000000"/>
                <w:sz w:val="24"/>
                <w:szCs w:val="24"/>
              </w:rPr>
            </w:pPr>
            <w:r w:rsidRPr="00703EC9">
              <w:rPr>
                <w:rFonts w:eastAsia="Times New Roman" w:cs="Arial"/>
                <w:b/>
                <w:bCs/>
                <w:color w:val="000000"/>
                <w:sz w:val="24"/>
                <w:szCs w:val="24"/>
              </w:rPr>
              <w:t> Total</w:t>
            </w:r>
          </w:p>
        </w:tc>
        <w:tc>
          <w:tcPr>
            <w:tcW w:w="1461" w:type="dxa"/>
            <w:tcBorders>
              <w:top w:val="nil"/>
              <w:left w:val="single" w:sz="4" w:space="0" w:color="auto"/>
              <w:bottom w:val="single" w:sz="4" w:space="0" w:color="auto"/>
              <w:right w:val="nil"/>
            </w:tcBorders>
            <w:shd w:val="clear" w:color="auto" w:fill="auto"/>
            <w:noWrap/>
            <w:vAlign w:val="bottom"/>
            <w:hideMark/>
          </w:tcPr>
          <w:p w14:paraId="1EB1A9A8"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65,482 </w:t>
            </w:r>
          </w:p>
        </w:tc>
        <w:tc>
          <w:tcPr>
            <w:tcW w:w="1253" w:type="dxa"/>
            <w:tcBorders>
              <w:top w:val="nil"/>
              <w:left w:val="nil"/>
              <w:bottom w:val="single" w:sz="4" w:space="0" w:color="auto"/>
              <w:right w:val="single" w:sz="4" w:space="0" w:color="auto"/>
            </w:tcBorders>
            <w:shd w:val="clear" w:color="auto" w:fill="auto"/>
            <w:noWrap/>
            <w:vAlign w:val="bottom"/>
            <w:hideMark/>
          </w:tcPr>
          <w:p w14:paraId="20C64702"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116,397 </w:t>
            </w:r>
          </w:p>
        </w:tc>
        <w:tc>
          <w:tcPr>
            <w:tcW w:w="1461" w:type="dxa"/>
            <w:tcBorders>
              <w:top w:val="nil"/>
              <w:left w:val="nil"/>
              <w:bottom w:val="single" w:sz="4" w:space="0" w:color="auto"/>
              <w:right w:val="nil"/>
            </w:tcBorders>
            <w:shd w:val="clear" w:color="auto" w:fill="auto"/>
            <w:noWrap/>
            <w:vAlign w:val="bottom"/>
            <w:hideMark/>
          </w:tcPr>
          <w:p w14:paraId="719EDB4F"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207,687 </w:t>
            </w:r>
          </w:p>
        </w:tc>
        <w:tc>
          <w:tcPr>
            <w:tcW w:w="1329" w:type="dxa"/>
            <w:tcBorders>
              <w:top w:val="nil"/>
              <w:left w:val="nil"/>
              <w:bottom w:val="single" w:sz="4" w:space="0" w:color="auto"/>
              <w:right w:val="single" w:sz="4" w:space="0" w:color="auto"/>
            </w:tcBorders>
            <w:shd w:val="clear" w:color="auto" w:fill="auto"/>
            <w:noWrap/>
            <w:vAlign w:val="bottom"/>
            <w:hideMark/>
          </w:tcPr>
          <w:p w14:paraId="76505FC1"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50,617 </w:t>
            </w:r>
          </w:p>
        </w:tc>
        <w:tc>
          <w:tcPr>
            <w:tcW w:w="1461" w:type="dxa"/>
            <w:tcBorders>
              <w:top w:val="nil"/>
              <w:left w:val="nil"/>
              <w:bottom w:val="single" w:sz="4" w:space="0" w:color="auto"/>
              <w:right w:val="nil"/>
            </w:tcBorders>
            <w:shd w:val="clear" w:color="auto" w:fill="auto"/>
            <w:noWrap/>
            <w:vAlign w:val="bottom"/>
            <w:hideMark/>
          </w:tcPr>
          <w:p w14:paraId="04766B46"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(142,205)</w:t>
            </w:r>
          </w:p>
        </w:tc>
        <w:tc>
          <w:tcPr>
            <w:tcW w:w="1329" w:type="dxa"/>
            <w:tcBorders>
              <w:top w:val="nil"/>
              <w:left w:val="nil"/>
              <w:bottom w:val="single" w:sz="4" w:space="0" w:color="auto"/>
              <w:right w:val="single" w:sz="4" w:space="0" w:color="auto"/>
            </w:tcBorders>
            <w:shd w:val="clear" w:color="auto" w:fill="auto"/>
            <w:noWrap/>
            <w:vAlign w:val="bottom"/>
            <w:hideMark/>
          </w:tcPr>
          <w:p w14:paraId="4DFE0F28"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65,780 </w:t>
            </w:r>
          </w:p>
        </w:tc>
      </w:tr>
    </w:tbl>
    <w:p w14:paraId="0717EFF2" w14:textId="33CDA91B" w:rsidR="0094767B" w:rsidRPr="00703EC9" w:rsidRDefault="0094767B">
      <w:pPr>
        <w:rPr>
          <w:sz w:val="24"/>
          <w:szCs w:val="24"/>
        </w:rPr>
      </w:pPr>
    </w:p>
    <w:p w14:paraId="102E1216" w14:textId="51917616" w:rsidR="0094767B" w:rsidRPr="00703EC9" w:rsidRDefault="0094767B" w:rsidP="0094767B">
      <w:pPr>
        <w:pStyle w:val="ListParagraph"/>
        <w:numPr>
          <w:ilvl w:val="0"/>
          <w:numId w:val="1"/>
        </w:numPr>
        <w:rPr>
          <w:sz w:val="24"/>
          <w:szCs w:val="24"/>
        </w:rPr>
      </w:pPr>
      <w:r w:rsidRPr="00703EC9">
        <w:rPr>
          <w:sz w:val="24"/>
          <w:szCs w:val="24"/>
        </w:rPr>
        <w:t xml:space="preserve">For the ($139,307) and $63,709 </w:t>
      </w:r>
      <w:r w:rsidR="007A4154">
        <w:rPr>
          <w:sz w:val="24"/>
          <w:szCs w:val="24"/>
        </w:rPr>
        <w:t>principal</w:t>
      </w:r>
      <w:r w:rsidR="006C6B61">
        <w:rPr>
          <w:sz w:val="24"/>
          <w:szCs w:val="24"/>
        </w:rPr>
        <w:t xml:space="preserve"> balance</w:t>
      </w:r>
      <w:r w:rsidR="007A4154">
        <w:rPr>
          <w:sz w:val="24"/>
          <w:szCs w:val="24"/>
        </w:rPr>
        <w:t xml:space="preserve"> </w:t>
      </w:r>
      <w:r w:rsidR="001F3A1F">
        <w:rPr>
          <w:sz w:val="24"/>
          <w:szCs w:val="24"/>
        </w:rPr>
        <w:t>differences</w:t>
      </w:r>
      <w:r w:rsidRPr="00703EC9">
        <w:rPr>
          <w:sz w:val="24"/>
          <w:szCs w:val="24"/>
        </w:rPr>
        <w:t xml:space="preserve"> </w:t>
      </w:r>
      <w:r w:rsidR="007A4154">
        <w:rPr>
          <w:sz w:val="24"/>
          <w:szCs w:val="24"/>
        </w:rPr>
        <w:t>for</w:t>
      </w:r>
      <w:r w:rsidRPr="00703EC9">
        <w:rPr>
          <w:sz w:val="24"/>
          <w:szCs w:val="24"/>
        </w:rPr>
        <w:t xml:space="preserve"> Account 1588 and </w:t>
      </w:r>
      <w:r w:rsidR="00A15EA8">
        <w:rPr>
          <w:sz w:val="24"/>
          <w:szCs w:val="24"/>
        </w:rPr>
        <w:t xml:space="preserve">Account </w:t>
      </w:r>
      <w:r w:rsidRPr="00703EC9">
        <w:rPr>
          <w:sz w:val="24"/>
          <w:szCs w:val="24"/>
        </w:rPr>
        <w:t xml:space="preserve">1589, please </w:t>
      </w:r>
      <w:r w:rsidR="00A15EA8">
        <w:rPr>
          <w:sz w:val="24"/>
          <w:szCs w:val="24"/>
        </w:rPr>
        <w:t>breakdown the differences to</w:t>
      </w:r>
      <w:r w:rsidRPr="00703EC9">
        <w:rPr>
          <w:sz w:val="24"/>
          <w:szCs w:val="24"/>
        </w:rPr>
        <w:t xml:space="preserve"> the </w:t>
      </w:r>
      <w:r w:rsidR="00703EC9">
        <w:rPr>
          <w:sz w:val="24"/>
          <w:szCs w:val="24"/>
        </w:rPr>
        <w:t>differences</w:t>
      </w:r>
      <w:r w:rsidRPr="00703EC9">
        <w:rPr>
          <w:sz w:val="24"/>
          <w:szCs w:val="24"/>
        </w:rPr>
        <w:t xml:space="preserve"> pertaining to 2015 and </w:t>
      </w:r>
      <w:r w:rsidR="00703EC9">
        <w:rPr>
          <w:sz w:val="24"/>
          <w:szCs w:val="24"/>
        </w:rPr>
        <w:t>differences</w:t>
      </w:r>
      <w:r w:rsidRPr="00703EC9">
        <w:rPr>
          <w:sz w:val="24"/>
          <w:szCs w:val="24"/>
        </w:rPr>
        <w:t xml:space="preserve"> pertaining to 2016.</w:t>
      </w:r>
    </w:p>
    <w:p w14:paraId="06B22A12" w14:textId="6C3F47B7" w:rsidR="0094767B" w:rsidRPr="00703EC9" w:rsidRDefault="0094767B" w:rsidP="0094767B">
      <w:pPr>
        <w:pStyle w:val="ListParagraph"/>
        <w:numPr>
          <w:ilvl w:val="0"/>
          <w:numId w:val="1"/>
        </w:numPr>
        <w:rPr>
          <w:sz w:val="24"/>
          <w:szCs w:val="24"/>
        </w:rPr>
      </w:pPr>
      <w:r w:rsidRPr="00703EC9">
        <w:rPr>
          <w:sz w:val="24"/>
          <w:szCs w:val="24"/>
        </w:rPr>
        <w:t xml:space="preserve">The use of the Illustrative Model should produce the same balances for Accounts 1588 and 1589 as that was recalculated during the Inspection. For each of the 2015 and 2016 differences in Account 1588 and Account 1589 balances between that in the 2020 COS DVA Continuity Schedule and the updated DVA Continuity Schedule in this proceeding, please explain </w:t>
      </w:r>
      <w:r w:rsidR="00972DEA">
        <w:rPr>
          <w:sz w:val="24"/>
          <w:szCs w:val="24"/>
        </w:rPr>
        <w:t>each of the</w:t>
      </w:r>
      <w:r w:rsidRPr="00703EC9">
        <w:rPr>
          <w:sz w:val="24"/>
          <w:szCs w:val="24"/>
        </w:rPr>
        <w:t xml:space="preserve"> reasons for the differences in the balances (e.g. was different consumption used for RPP settlements, pro-ration of charge type 148 </w:t>
      </w:r>
      <w:proofErr w:type="spellStart"/>
      <w:r w:rsidRPr="00703EC9">
        <w:rPr>
          <w:sz w:val="24"/>
          <w:szCs w:val="24"/>
        </w:rPr>
        <w:t>etc</w:t>
      </w:r>
      <w:proofErr w:type="spellEnd"/>
      <w:r w:rsidRPr="00703EC9">
        <w:rPr>
          <w:sz w:val="24"/>
          <w:szCs w:val="24"/>
        </w:rPr>
        <w:t xml:space="preserve">). </w:t>
      </w:r>
    </w:p>
    <w:p w14:paraId="21017A80" w14:textId="699E5B96" w:rsidR="000A21A8" w:rsidRDefault="000A21A8"/>
    <w:sectPr w:rsidR="000A2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29D5"/>
    <w:multiLevelType w:val="hybridMultilevel"/>
    <w:tmpl w:val="2D1A9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A8"/>
    <w:rsid w:val="000A21A8"/>
    <w:rsid w:val="001E10AD"/>
    <w:rsid w:val="001F3A1F"/>
    <w:rsid w:val="006C6B61"/>
    <w:rsid w:val="00703EC9"/>
    <w:rsid w:val="007703D5"/>
    <w:rsid w:val="007A4154"/>
    <w:rsid w:val="0094767B"/>
    <w:rsid w:val="00972DEA"/>
    <w:rsid w:val="00A15EA8"/>
    <w:rsid w:val="00A37896"/>
    <w:rsid w:val="00AD59F8"/>
    <w:rsid w:val="00BB5EC7"/>
    <w:rsid w:val="00DE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2546"/>
  <w15:chartTrackingRefBased/>
  <w15:docId w15:val="{7EFD88F2-7DEA-4359-BC7B-7095CD05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A8"/>
    <w:rPr>
      <w:rFonts w:ascii="Segoe UI" w:hAnsi="Segoe UI" w:cs="Segoe UI"/>
      <w:sz w:val="18"/>
      <w:szCs w:val="18"/>
    </w:rPr>
  </w:style>
  <w:style w:type="paragraph" w:styleId="ListParagraph">
    <w:name w:val="List Paragraph"/>
    <w:basedOn w:val="Normal"/>
    <w:uiPriority w:val="34"/>
    <w:qFormat/>
    <w:rsid w:val="00947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Abdullah Navid</cp:lastModifiedBy>
  <cp:revision>2</cp:revision>
  <dcterms:created xsi:type="dcterms:W3CDTF">2021-03-02T15:54:00Z</dcterms:created>
  <dcterms:modified xsi:type="dcterms:W3CDTF">2021-03-02T15:54:00Z</dcterms:modified>
</cp:coreProperties>
</file>