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D9B17" w14:textId="38729333" w:rsidR="00476CBB" w:rsidRPr="00FB4CF2" w:rsidRDefault="00476CBB" w:rsidP="00476CBB">
      <w:pPr>
        <w:spacing w:before="40" w:after="40" w:line="240" w:lineRule="auto"/>
        <w:rPr>
          <w:b/>
          <w:bCs/>
          <w:sz w:val="24"/>
          <w:szCs w:val="24"/>
        </w:rPr>
      </w:pPr>
      <w:bookmarkStart w:id="0" w:name="_GoBack"/>
      <w:bookmarkEnd w:id="0"/>
      <w:r w:rsidRPr="00FB4CF2">
        <w:rPr>
          <w:b/>
          <w:bCs/>
          <w:sz w:val="24"/>
          <w:szCs w:val="24"/>
        </w:rPr>
        <w:t>Staff Question-</w:t>
      </w:r>
      <w:r>
        <w:rPr>
          <w:b/>
          <w:bCs/>
          <w:sz w:val="24"/>
          <w:szCs w:val="24"/>
        </w:rPr>
        <w:t>X</w:t>
      </w:r>
    </w:p>
    <w:p w14:paraId="3253A756" w14:textId="4C533EC2" w:rsidR="00476CBB" w:rsidRDefault="00476CBB" w:rsidP="00476CBB">
      <w:pPr>
        <w:spacing w:before="40" w:after="40" w:line="240" w:lineRule="auto"/>
        <w:rPr>
          <w:b/>
          <w:bCs/>
          <w:sz w:val="24"/>
          <w:szCs w:val="24"/>
        </w:rPr>
      </w:pPr>
      <w:r w:rsidRPr="00FB4CF2">
        <w:rPr>
          <w:b/>
          <w:bCs/>
          <w:sz w:val="24"/>
          <w:szCs w:val="24"/>
        </w:rPr>
        <w:t xml:space="preserve">Ref: </w:t>
      </w:r>
      <w:r>
        <w:rPr>
          <w:b/>
          <w:bCs/>
          <w:sz w:val="24"/>
          <w:szCs w:val="24"/>
        </w:rPr>
        <w:t>Staff Question 5</w:t>
      </w:r>
    </w:p>
    <w:p w14:paraId="309B6DF9" w14:textId="55D6A699" w:rsidR="00476CBB" w:rsidRDefault="00476CBB" w:rsidP="00476CBB">
      <w:pPr>
        <w:spacing w:before="40" w:after="40" w:line="240" w:lineRule="auto"/>
        <w:rPr>
          <w:b/>
          <w:bCs/>
          <w:sz w:val="24"/>
          <w:szCs w:val="24"/>
        </w:rPr>
      </w:pPr>
    </w:p>
    <w:p w14:paraId="57FFF5F0" w14:textId="402ABDF7" w:rsidR="005E64A5" w:rsidRDefault="00476CBB" w:rsidP="00476CBB">
      <w:p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 response to </w:t>
      </w:r>
      <w:r w:rsidR="006A34C6">
        <w:rPr>
          <w:sz w:val="24"/>
          <w:szCs w:val="24"/>
        </w:rPr>
        <w:t>S</w:t>
      </w:r>
      <w:r>
        <w:rPr>
          <w:sz w:val="24"/>
          <w:szCs w:val="24"/>
        </w:rPr>
        <w:t xml:space="preserve">taff </w:t>
      </w:r>
      <w:r w:rsidR="006A34C6">
        <w:rPr>
          <w:sz w:val="24"/>
          <w:szCs w:val="24"/>
        </w:rPr>
        <w:t>Q</w:t>
      </w:r>
      <w:r>
        <w:rPr>
          <w:sz w:val="24"/>
          <w:szCs w:val="24"/>
        </w:rPr>
        <w:t xml:space="preserve">uestion, </w:t>
      </w:r>
    </w:p>
    <w:p w14:paraId="1626A287" w14:textId="77777777" w:rsidR="005E64A5" w:rsidRDefault="005E64A5" w:rsidP="00476CBB">
      <w:pPr>
        <w:spacing w:before="40" w:after="40" w:line="240" w:lineRule="auto"/>
        <w:rPr>
          <w:sz w:val="24"/>
          <w:szCs w:val="24"/>
        </w:rPr>
      </w:pPr>
    </w:p>
    <w:p w14:paraId="26C21DD1" w14:textId="3AFEA99C" w:rsidR="00476CBB" w:rsidRDefault="003C2EE5" w:rsidP="005E64A5">
      <w:pPr>
        <w:pStyle w:val="ListParagraph"/>
        <w:numPr>
          <w:ilvl w:val="0"/>
          <w:numId w:val="3"/>
        </w:num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5a </w:t>
      </w:r>
      <w:r w:rsidR="00476CBB" w:rsidRPr="005E64A5">
        <w:rPr>
          <w:sz w:val="24"/>
          <w:szCs w:val="24"/>
        </w:rPr>
        <w:t xml:space="preserve">Hydro 2000 indicated that it revised its methodology for RPP settlements and </w:t>
      </w:r>
      <w:proofErr w:type="spellStart"/>
      <w:r w:rsidR="00476CBB" w:rsidRPr="005E64A5">
        <w:rPr>
          <w:sz w:val="24"/>
          <w:szCs w:val="24"/>
        </w:rPr>
        <w:t>microFits</w:t>
      </w:r>
      <w:proofErr w:type="spellEnd"/>
      <w:r w:rsidR="00476CBB" w:rsidRPr="005E64A5">
        <w:rPr>
          <w:sz w:val="24"/>
          <w:szCs w:val="24"/>
        </w:rPr>
        <w:t xml:space="preserve"> to use estimated amounts for the preceding month. Please confirm that Hydro 2000 performs an estimate to actual true-up for RPP settlements and </w:t>
      </w:r>
      <w:proofErr w:type="spellStart"/>
      <w:r w:rsidR="00476CBB" w:rsidRPr="005E64A5">
        <w:rPr>
          <w:sz w:val="24"/>
          <w:szCs w:val="24"/>
        </w:rPr>
        <w:t>microFits</w:t>
      </w:r>
      <w:proofErr w:type="spellEnd"/>
      <w:r w:rsidR="00476CBB" w:rsidRPr="005E64A5">
        <w:rPr>
          <w:sz w:val="24"/>
          <w:szCs w:val="24"/>
        </w:rPr>
        <w:t xml:space="preserve"> in subsequent months</w:t>
      </w:r>
      <w:r w:rsidR="00D279D4">
        <w:rPr>
          <w:sz w:val="24"/>
          <w:szCs w:val="24"/>
        </w:rPr>
        <w:t xml:space="preserve"> for both any price and quantity differences.</w:t>
      </w:r>
    </w:p>
    <w:p w14:paraId="709398A8" w14:textId="6C1F0948" w:rsidR="00D971F7" w:rsidRDefault="00D971F7" w:rsidP="005E64A5">
      <w:pPr>
        <w:pStyle w:val="ListParagraph"/>
        <w:numPr>
          <w:ilvl w:val="0"/>
          <w:numId w:val="3"/>
        </w:num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5b, it appears that </w:t>
      </w:r>
      <w:r w:rsidR="00D279D4">
        <w:rPr>
          <w:sz w:val="24"/>
          <w:szCs w:val="24"/>
        </w:rPr>
        <w:t>Hydro 2000’s</w:t>
      </w:r>
      <w:r w:rsidR="00BD5688">
        <w:rPr>
          <w:sz w:val="24"/>
          <w:szCs w:val="24"/>
        </w:rPr>
        <w:t xml:space="preserve"> RPP settlement is based on retail consumption as consumption is derived </w:t>
      </w:r>
      <w:r w:rsidR="00F4223F">
        <w:rPr>
          <w:sz w:val="24"/>
          <w:szCs w:val="24"/>
        </w:rPr>
        <w:t>from</w:t>
      </w:r>
      <w:r w:rsidR="00BD5688">
        <w:rPr>
          <w:sz w:val="24"/>
          <w:szCs w:val="24"/>
        </w:rPr>
        <w:t xml:space="preserve"> RPP revenues</w:t>
      </w:r>
      <w:r w:rsidR="00F4223F">
        <w:rPr>
          <w:sz w:val="24"/>
          <w:szCs w:val="24"/>
        </w:rPr>
        <w:t xml:space="preserve">. </w:t>
      </w:r>
      <w:r w:rsidR="00B5027B">
        <w:rPr>
          <w:sz w:val="24"/>
          <w:szCs w:val="24"/>
        </w:rPr>
        <w:t>In response to Staff Question 6</w:t>
      </w:r>
      <w:r w:rsidR="00C4094B">
        <w:rPr>
          <w:sz w:val="24"/>
          <w:szCs w:val="24"/>
        </w:rPr>
        <w:t xml:space="preserve">, Hydro 2000 appears to </w:t>
      </w:r>
      <w:r w:rsidR="00D52251">
        <w:rPr>
          <w:sz w:val="24"/>
          <w:szCs w:val="24"/>
        </w:rPr>
        <w:t xml:space="preserve">be performing RPP settlements based on wholesale consumption. </w:t>
      </w:r>
      <w:r w:rsidR="008B7CC9">
        <w:rPr>
          <w:sz w:val="24"/>
          <w:szCs w:val="24"/>
        </w:rPr>
        <w:t>The OEB’s Feb. 21, 2019 Accounting Guidance on Accounts 1588 and 1589 requires RPP settlements to be done on wholesale consumption</w:t>
      </w:r>
      <w:r w:rsidR="00FD44BB">
        <w:rPr>
          <w:sz w:val="24"/>
          <w:szCs w:val="24"/>
        </w:rPr>
        <w:t xml:space="preserve">. </w:t>
      </w:r>
      <w:r w:rsidR="00963FC6">
        <w:rPr>
          <w:sz w:val="24"/>
          <w:szCs w:val="24"/>
        </w:rPr>
        <w:t xml:space="preserve">Please clarify if Hydro 2000 is settling RPP </w:t>
      </w:r>
      <w:r w:rsidR="00965D0B">
        <w:rPr>
          <w:sz w:val="24"/>
          <w:szCs w:val="24"/>
        </w:rPr>
        <w:t>based on</w:t>
      </w:r>
      <w:r w:rsidR="00963FC6">
        <w:rPr>
          <w:sz w:val="24"/>
          <w:szCs w:val="24"/>
        </w:rPr>
        <w:t xml:space="preserve"> wholesale or retail consumption. </w:t>
      </w:r>
    </w:p>
    <w:p w14:paraId="263C4E79" w14:textId="62330FF2" w:rsidR="00946A07" w:rsidRDefault="00CA0932" w:rsidP="005E64A5">
      <w:pPr>
        <w:pStyle w:val="ListParagraph"/>
        <w:numPr>
          <w:ilvl w:val="0"/>
          <w:numId w:val="3"/>
        </w:num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5b, Hydro 2000 only discussed the RPP revenues and HOEP portion of RPP settlements. Please </w:t>
      </w:r>
      <w:r w:rsidR="00BA4116">
        <w:rPr>
          <w:sz w:val="24"/>
          <w:szCs w:val="24"/>
        </w:rPr>
        <w:t>confirm that</w:t>
      </w:r>
      <w:r>
        <w:rPr>
          <w:sz w:val="24"/>
          <w:szCs w:val="24"/>
        </w:rPr>
        <w:t xml:space="preserve"> Hydro 2000</w:t>
      </w:r>
      <w:r w:rsidR="00BA4116">
        <w:rPr>
          <w:sz w:val="24"/>
          <w:szCs w:val="24"/>
        </w:rPr>
        <w:t xml:space="preserve"> is also</w:t>
      </w:r>
      <w:r w:rsidR="00946A07">
        <w:rPr>
          <w:sz w:val="24"/>
          <w:szCs w:val="24"/>
        </w:rPr>
        <w:t xml:space="preserve"> settling the GA portion in RPP settlements. </w:t>
      </w:r>
    </w:p>
    <w:p w14:paraId="5EF11CFB" w14:textId="3FE59E21" w:rsidR="00CA0932" w:rsidRDefault="00946A07" w:rsidP="00946A07">
      <w:pPr>
        <w:pStyle w:val="ListParagraph"/>
        <w:numPr>
          <w:ilvl w:val="1"/>
          <w:numId w:val="3"/>
        </w:num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Please confirm that any GA estimate to actual price and quantity variances are trued-up in subsequent months. </w:t>
      </w:r>
    </w:p>
    <w:p w14:paraId="66F024B6" w14:textId="5BF79061" w:rsidR="00F441E3" w:rsidRPr="005E64A5" w:rsidRDefault="00F441E3" w:rsidP="00F441E3">
      <w:pPr>
        <w:pStyle w:val="ListParagraph"/>
        <w:numPr>
          <w:ilvl w:val="0"/>
          <w:numId w:val="3"/>
        </w:numPr>
        <w:spacing w:before="40" w:after="40" w:line="240" w:lineRule="auto"/>
        <w:rPr>
          <w:sz w:val="24"/>
          <w:szCs w:val="24"/>
        </w:rPr>
      </w:pPr>
      <w:r>
        <w:rPr>
          <w:sz w:val="24"/>
          <w:szCs w:val="24"/>
        </w:rPr>
        <w:t>5c</w:t>
      </w:r>
      <w:r w:rsidR="00745F1D">
        <w:rPr>
          <w:sz w:val="24"/>
          <w:szCs w:val="24"/>
        </w:rPr>
        <w:t xml:space="preserve">, Hydro 2000 indicated that </w:t>
      </w:r>
      <w:r w:rsidR="009B19E5">
        <w:rPr>
          <w:sz w:val="24"/>
          <w:szCs w:val="24"/>
        </w:rPr>
        <w:t>it adapted its methodology to be aligned with the Feb. 21,</w:t>
      </w:r>
      <w:r w:rsidR="00BA4116">
        <w:rPr>
          <w:sz w:val="24"/>
          <w:szCs w:val="24"/>
        </w:rPr>
        <w:t xml:space="preserve"> </w:t>
      </w:r>
      <w:r w:rsidR="009B19E5">
        <w:rPr>
          <w:sz w:val="24"/>
          <w:szCs w:val="24"/>
        </w:rPr>
        <w:t>2019 Accounting Guidance in July 2019. Please confirm that the methodology was applied to account balances effective January 1, 2019.</w:t>
      </w:r>
    </w:p>
    <w:p w14:paraId="657521EA" w14:textId="59A2E85F" w:rsidR="00B27F94" w:rsidRDefault="00B27F94" w:rsidP="00476CBB">
      <w:pPr>
        <w:spacing w:before="40" w:after="40" w:line="240" w:lineRule="auto"/>
        <w:rPr>
          <w:sz w:val="24"/>
          <w:szCs w:val="24"/>
        </w:rPr>
      </w:pPr>
    </w:p>
    <w:p w14:paraId="37BBB07D" w14:textId="77777777" w:rsidR="00B27F94" w:rsidRPr="00FB4CF2" w:rsidRDefault="00B27F94" w:rsidP="00B27F94">
      <w:pPr>
        <w:spacing w:before="40" w:after="40" w:line="240" w:lineRule="auto"/>
        <w:rPr>
          <w:b/>
          <w:bCs/>
          <w:sz w:val="24"/>
          <w:szCs w:val="24"/>
        </w:rPr>
      </w:pPr>
      <w:r w:rsidRPr="00FB4CF2">
        <w:rPr>
          <w:b/>
          <w:bCs/>
          <w:sz w:val="24"/>
          <w:szCs w:val="24"/>
        </w:rPr>
        <w:t>Staff Question-</w:t>
      </w:r>
      <w:r>
        <w:rPr>
          <w:b/>
          <w:bCs/>
          <w:sz w:val="24"/>
          <w:szCs w:val="24"/>
        </w:rPr>
        <w:t>X</w:t>
      </w:r>
    </w:p>
    <w:p w14:paraId="366E7C42" w14:textId="4800DACB" w:rsidR="00B27F94" w:rsidRDefault="00B27F94" w:rsidP="00B27F94">
      <w:pPr>
        <w:spacing w:before="40" w:after="40" w:line="240" w:lineRule="auto"/>
        <w:rPr>
          <w:b/>
          <w:bCs/>
          <w:sz w:val="24"/>
          <w:szCs w:val="24"/>
        </w:rPr>
      </w:pPr>
      <w:r w:rsidRPr="00FB4CF2">
        <w:rPr>
          <w:b/>
          <w:bCs/>
          <w:sz w:val="24"/>
          <w:szCs w:val="24"/>
        </w:rPr>
        <w:t>Ref:</w:t>
      </w:r>
      <w:r w:rsidR="006A34C6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Staff Question </w:t>
      </w:r>
      <w:r w:rsidR="006A34C6">
        <w:rPr>
          <w:b/>
          <w:bCs/>
          <w:sz w:val="24"/>
          <w:szCs w:val="24"/>
        </w:rPr>
        <w:t>4</w:t>
      </w:r>
    </w:p>
    <w:p w14:paraId="35F06BC6" w14:textId="067D17E0" w:rsidR="006A34C6" w:rsidRDefault="006A34C6" w:rsidP="00B27F94">
      <w:pPr>
        <w:spacing w:before="40"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Updated DVA Continuity Schedule</w:t>
      </w:r>
    </w:p>
    <w:p w14:paraId="0809AD1E" w14:textId="764308F9" w:rsidR="006A34C6" w:rsidRDefault="006A34C6" w:rsidP="00B27F94">
      <w:pPr>
        <w:spacing w:before="40" w:after="40" w:line="240" w:lineRule="auto"/>
        <w:rPr>
          <w:b/>
          <w:bCs/>
          <w:sz w:val="24"/>
          <w:szCs w:val="24"/>
        </w:rPr>
      </w:pPr>
    </w:p>
    <w:p w14:paraId="59B96099" w14:textId="3440E01F" w:rsidR="00B27F94" w:rsidRDefault="006A34C6" w:rsidP="00476CBB">
      <w:pPr>
        <w:spacing w:before="40" w:after="40" w:line="240" w:lineRule="auto"/>
        <w:rPr>
          <w:sz w:val="24"/>
          <w:szCs w:val="24"/>
        </w:rPr>
      </w:pPr>
      <w:r w:rsidRPr="006A34C6">
        <w:rPr>
          <w:sz w:val="24"/>
          <w:szCs w:val="24"/>
        </w:rPr>
        <w:t xml:space="preserve">In </w:t>
      </w:r>
      <w:r>
        <w:rPr>
          <w:sz w:val="24"/>
          <w:szCs w:val="24"/>
        </w:rPr>
        <w:t>response to Staff Question 4, Hydro 2000 updated its</w:t>
      </w:r>
      <w:r w:rsidR="00953EAE">
        <w:rPr>
          <w:sz w:val="24"/>
          <w:szCs w:val="24"/>
        </w:rPr>
        <w:t xml:space="preserve"> DVA Continuity Schedule to start from 2014. </w:t>
      </w:r>
      <w:r w:rsidR="00440A1C">
        <w:rPr>
          <w:sz w:val="24"/>
          <w:szCs w:val="24"/>
        </w:rPr>
        <w:t xml:space="preserve">Hydro 2000 states that the </w:t>
      </w:r>
      <w:r w:rsidR="00440A1C">
        <w:rPr>
          <w:color w:val="4472C4" w:themeColor="accent1"/>
          <w:sz w:val="24"/>
          <w:szCs w:val="24"/>
        </w:rPr>
        <w:t>y</w:t>
      </w:r>
      <w:r w:rsidR="00440A1C" w:rsidRPr="007A503F">
        <w:rPr>
          <w:sz w:val="24"/>
          <w:szCs w:val="24"/>
        </w:rPr>
        <w:t>ear</w:t>
      </w:r>
      <w:r w:rsidR="007A503F" w:rsidRPr="007A503F">
        <w:rPr>
          <w:sz w:val="24"/>
          <w:szCs w:val="24"/>
        </w:rPr>
        <w:t>-</w:t>
      </w:r>
      <w:r w:rsidR="00440A1C" w:rsidRPr="007A503F">
        <w:rPr>
          <w:sz w:val="24"/>
          <w:szCs w:val="24"/>
        </w:rPr>
        <w:t xml:space="preserve">end balances in the </w:t>
      </w:r>
      <w:r w:rsidR="007A503F" w:rsidRPr="007A503F">
        <w:rPr>
          <w:sz w:val="24"/>
          <w:szCs w:val="24"/>
        </w:rPr>
        <w:t>DVA Continuity Schedule</w:t>
      </w:r>
      <w:r w:rsidR="00440A1C" w:rsidRPr="007A503F">
        <w:rPr>
          <w:sz w:val="24"/>
          <w:szCs w:val="24"/>
        </w:rPr>
        <w:t xml:space="preserve"> match the </w:t>
      </w:r>
      <w:r w:rsidR="007A503F" w:rsidRPr="007A503F">
        <w:rPr>
          <w:sz w:val="24"/>
          <w:szCs w:val="24"/>
        </w:rPr>
        <w:t>inspection</w:t>
      </w:r>
      <w:r w:rsidR="00440A1C" w:rsidRPr="007A503F">
        <w:rPr>
          <w:sz w:val="24"/>
          <w:szCs w:val="24"/>
        </w:rPr>
        <w:t xml:space="preserve"> report. </w:t>
      </w:r>
      <w:r w:rsidR="00953EAE">
        <w:rPr>
          <w:sz w:val="24"/>
          <w:szCs w:val="24"/>
        </w:rPr>
        <w:t>In the revised DVA Continuity Schedule, the ending 2016</w:t>
      </w:r>
      <w:r w:rsidR="000D163D">
        <w:rPr>
          <w:sz w:val="24"/>
          <w:szCs w:val="24"/>
        </w:rPr>
        <w:t xml:space="preserve"> account 1588 and 1589</w:t>
      </w:r>
      <w:r w:rsidR="00953EAE">
        <w:rPr>
          <w:sz w:val="24"/>
          <w:szCs w:val="24"/>
        </w:rPr>
        <w:t xml:space="preserve"> balances are different than that in the DVA Continuity Schedule filed in Hydro 2000’s 2020 Cost of Service</w:t>
      </w:r>
      <w:r w:rsidR="00FE77EB">
        <w:rPr>
          <w:sz w:val="24"/>
          <w:szCs w:val="24"/>
        </w:rPr>
        <w:t xml:space="preserve"> (COS)</w:t>
      </w:r>
      <w:r w:rsidR="00953EAE">
        <w:rPr>
          <w:sz w:val="24"/>
          <w:szCs w:val="24"/>
        </w:rPr>
        <w:t xml:space="preserve"> </w:t>
      </w:r>
      <w:r w:rsidR="009B2733">
        <w:rPr>
          <w:sz w:val="24"/>
          <w:szCs w:val="24"/>
        </w:rPr>
        <w:t xml:space="preserve">settlement proposal. </w:t>
      </w:r>
      <w:r w:rsidR="00AF4CD6">
        <w:rPr>
          <w:sz w:val="24"/>
          <w:szCs w:val="24"/>
        </w:rPr>
        <w:t>The difference</w:t>
      </w:r>
      <w:r w:rsidR="00AE402A">
        <w:rPr>
          <w:sz w:val="24"/>
          <w:szCs w:val="24"/>
        </w:rPr>
        <w:t>s are</w:t>
      </w:r>
      <w:r w:rsidR="00AF4CD6">
        <w:rPr>
          <w:sz w:val="24"/>
          <w:szCs w:val="24"/>
        </w:rPr>
        <w:t xml:space="preserve"> shown in the table below. </w:t>
      </w:r>
      <w:r w:rsidR="009B2733">
        <w:rPr>
          <w:sz w:val="24"/>
          <w:szCs w:val="24"/>
        </w:rPr>
        <w:t xml:space="preserve">The difference appears to be due to 2016 principal adjustments of </w:t>
      </w:r>
      <w:r w:rsidR="00AF4CD6">
        <w:rPr>
          <w:sz w:val="24"/>
          <w:szCs w:val="24"/>
        </w:rPr>
        <w:t>($139,307) and $63,710 for Accounts 1588 and 1589</w:t>
      </w:r>
      <w:r w:rsidR="00AE402A">
        <w:rPr>
          <w:sz w:val="24"/>
          <w:szCs w:val="24"/>
        </w:rPr>
        <w:t>,</w:t>
      </w:r>
      <w:r w:rsidR="00AF4CD6">
        <w:rPr>
          <w:sz w:val="24"/>
          <w:szCs w:val="24"/>
        </w:rPr>
        <w:t xml:space="preserve"> respectively. </w:t>
      </w:r>
    </w:p>
    <w:p w14:paraId="4168053C" w14:textId="4E9D9D19" w:rsidR="00AF4CD6" w:rsidRDefault="00AF4CD6" w:rsidP="00476CBB">
      <w:pPr>
        <w:spacing w:before="40" w:after="40" w:line="240" w:lineRule="auto"/>
        <w:rPr>
          <w:sz w:val="24"/>
          <w:szCs w:val="24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061"/>
        <w:gridCol w:w="1461"/>
        <w:gridCol w:w="1253"/>
        <w:gridCol w:w="1461"/>
        <w:gridCol w:w="1329"/>
        <w:gridCol w:w="1461"/>
        <w:gridCol w:w="1329"/>
      </w:tblGrid>
      <w:tr w:rsidR="00E171EA" w:rsidRPr="00E171EA" w14:paraId="5F99A5E4" w14:textId="77777777" w:rsidTr="00E171EA">
        <w:trPr>
          <w:trHeight w:val="476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1CB78C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A5132" w14:textId="7777777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Updated DVA Continuity Schedule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9D51D" w14:textId="7777777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2020 COS DVA Continuity Schedule </w:t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18D62" w14:textId="7777777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Difference</w:t>
            </w:r>
          </w:p>
        </w:tc>
      </w:tr>
      <w:tr w:rsidR="00E171EA" w:rsidRPr="00E171EA" w14:paraId="566D04EC" w14:textId="77777777" w:rsidTr="00E171E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0BFF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0C42" w14:textId="7777777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Account 1588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5F28D" w14:textId="53FAF4B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Account 1589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6FC5D" w14:textId="7777777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Account 1588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6069" w14:textId="381D9D00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Account 1589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9A2C" w14:textId="77777777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Account 1588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677C2" w14:textId="665C8218" w:rsidR="00E171EA" w:rsidRPr="00E171EA" w:rsidRDefault="00E171EA" w:rsidP="00E171EA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Account 1589</w:t>
            </w:r>
          </w:p>
        </w:tc>
      </w:tr>
      <w:tr w:rsidR="00E171EA" w:rsidRPr="00E171EA" w14:paraId="3416A888" w14:textId="77777777" w:rsidTr="00E171E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BB76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Principal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E5CA7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171EA">
              <w:rPr>
                <w:rFonts w:eastAsia="Times New Roman" w:cs="Arial"/>
                <w:sz w:val="20"/>
                <w:szCs w:val="20"/>
              </w:rPr>
              <w:t xml:space="preserve">         65,187 </w:t>
            </w: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7B1D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171EA">
              <w:rPr>
                <w:rFonts w:eastAsia="Times New Roman" w:cs="Arial"/>
                <w:sz w:val="20"/>
                <w:szCs w:val="20"/>
              </w:rPr>
              <w:t xml:space="preserve">         113,142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0D888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171EA">
              <w:rPr>
                <w:rFonts w:eastAsia="Times New Roman" w:cs="Arial"/>
                <w:sz w:val="20"/>
                <w:szCs w:val="20"/>
              </w:rPr>
              <w:t xml:space="preserve">         204,494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FC0D0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E171EA">
              <w:rPr>
                <w:rFonts w:eastAsia="Times New Roman" w:cs="Arial"/>
                <w:sz w:val="20"/>
                <w:szCs w:val="20"/>
              </w:rPr>
              <w:t xml:space="preserve">         49,433 </w:t>
            </w: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49228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(139,307)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7AA8D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63,709 </w:t>
            </w:r>
          </w:p>
        </w:tc>
      </w:tr>
      <w:tr w:rsidR="00E171EA" w:rsidRPr="00E171EA" w14:paraId="76FF3707" w14:textId="77777777" w:rsidTr="00E171E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C43EB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 Interest 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D67865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 296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955B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3,255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F95A7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  3,193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D2073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  1,184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2D47C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(2,898)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8AC9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2,071 </w:t>
            </w:r>
          </w:p>
        </w:tc>
      </w:tr>
      <w:tr w:rsidR="00E171EA" w:rsidRPr="00E171EA" w14:paraId="3C3B4D14" w14:textId="77777777" w:rsidTr="00E171EA">
        <w:trPr>
          <w:trHeight w:val="288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EF0AF8" w14:textId="06CBD12B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  <w:r w:rsidR="006A2AB2" w:rsidRPr="006A2AB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496A5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65,482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42DE1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116,397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0E6D4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207,687 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447E7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     50,617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97508C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(142,205)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9C65A" w14:textId="77777777" w:rsidR="00E171EA" w:rsidRPr="00E171EA" w:rsidRDefault="00E171EA" w:rsidP="00E171EA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E171EA">
              <w:rPr>
                <w:rFonts w:eastAsia="Times New Roman" w:cs="Arial"/>
                <w:color w:val="000000"/>
                <w:sz w:val="20"/>
                <w:szCs w:val="20"/>
              </w:rPr>
              <w:t xml:space="preserve">    65,780 </w:t>
            </w:r>
          </w:p>
        </w:tc>
      </w:tr>
    </w:tbl>
    <w:p w14:paraId="6CBF7DC5" w14:textId="1D411BD1" w:rsidR="00DE73C5" w:rsidRPr="00FC1BD0" w:rsidRDefault="00DE73C5">
      <w:pPr>
        <w:rPr>
          <w:sz w:val="24"/>
          <w:szCs w:val="24"/>
        </w:rPr>
      </w:pPr>
    </w:p>
    <w:p w14:paraId="70DC6691" w14:textId="2BA99444" w:rsidR="0008166C" w:rsidRPr="00FC1BD0" w:rsidRDefault="0008166C" w:rsidP="000816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BD0">
        <w:rPr>
          <w:sz w:val="24"/>
          <w:szCs w:val="24"/>
        </w:rPr>
        <w:t>Please explain the differences between the two DVA Continuity Schedules.</w:t>
      </w:r>
    </w:p>
    <w:p w14:paraId="23A9BCE6" w14:textId="38A77E40" w:rsidR="0008166C" w:rsidRPr="00FC1BD0" w:rsidRDefault="0008166C" w:rsidP="0008166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C1BD0">
        <w:rPr>
          <w:sz w:val="24"/>
          <w:szCs w:val="24"/>
        </w:rPr>
        <w:t>If the 201</w:t>
      </w:r>
      <w:r w:rsidR="000D163D" w:rsidRPr="00FC1BD0">
        <w:rPr>
          <w:sz w:val="24"/>
          <w:szCs w:val="24"/>
        </w:rPr>
        <w:t>6 ending balances</w:t>
      </w:r>
      <w:r w:rsidR="00FE77EB" w:rsidRPr="00FC1BD0">
        <w:rPr>
          <w:sz w:val="24"/>
          <w:szCs w:val="24"/>
        </w:rPr>
        <w:t xml:space="preserve"> in the </w:t>
      </w:r>
      <w:r w:rsidR="003A327E" w:rsidRPr="00FC1BD0">
        <w:rPr>
          <w:sz w:val="24"/>
          <w:szCs w:val="24"/>
        </w:rPr>
        <w:t>2020 COS DVA Continuity Schedule are not the appropriate ending balances, please explain why not.</w:t>
      </w:r>
    </w:p>
    <w:p w14:paraId="0CA341E2" w14:textId="20722F75" w:rsidR="003E20A9" w:rsidRPr="00FC1BD0" w:rsidRDefault="003E20A9" w:rsidP="003E20A9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00FC1BD0">
        <w:rPr>
          <w:sz w:val="24"/>
          <w:szCs w:val="24"/>
        </w:rPr>
        <w:t xml:space="preserve">Please also show a how the 2016 ending balance is derived </w:t>
      </w:r>
      <w:r w:rsidR="00B14306" w:rsidRPr="00FC1BD0">
        <w:rPr>
          <w:sz w:val="24"/>
          <w:szCs w:val="24"/>
        </w:rPr>
        <w:t>from the 2014 opening balances and how the transactions/adjustments</w:t>
      </w:r>
      <w:r w:rsidR="007C3F60" w:rsidRPr="00FC1BD0">
        <w:rPr>
          <w:sz w:val="24"/>
          <w:szCs w:val="24"/>
        </w:rPr>
        <w:t xml:space="preserve"> reconcile to the Inspection Report of Hydro 2000’s Account 1588 and Account 1589 balances.</w:t>
      </w:r>
    </w:p>
    <w:p w14:paraId="57935F63" w14:textId="408910A9" w:rsidR="008717E4" w:rsidRPr="00FC1BD0" w:rsidRDefault="008717E4" w:rsidP="008717E4">
      <w:pPr>
        <w:rPr>
          <w:sz w:val="24"/>
          <w:szCs w:val="24"/>
        </w:rPr>
      </w:pPr>
    </w:p>
    <w:p w14:paraId="6C5817C3" w14:textId="77777777" w:rsidR="008717E4" w:rsidRPr="00FC1BD0" w:rsidRDefault="008717E4" w:rsidP="008717E4">
      <w:pPr>
        <w:spacing w:before="40" w:after="40" w:line="240" w:lineRule="auto"/>
        <w:rPr>
          <w:b/>
          <w:bCs/>
          <w:sz w:val="24"/>
          <w:szCs w:val="24"/>
        </w:rPr>
      </w:pPr>
      <w:r w:rsidRPr="00FC1BD0">
        <w:rPr>
          <w:b/>
          <w:bCs/>
          <w:sz w:val="24"/>
          <w:szCs w:val="24"/>
        </w:rPr>
        <w:t>Staff Question-X</w:t>
      </w:r>
    </w:p>
    <w:p w14:paraId="0A949372" w14:textId="77777777" w:rsidR="008717E4" w:rsidRPr="00FC1BD0" w:rsidRDefault="008717E4" w:rsidP="008717E4">
      <w:pPr>
        <w:spacing w:before="40" w:after="40" w:line="240" w:lineRule="auto"/>
        <w:rPr>
          <w:b/>
          <w:bCs/>
          <w:sz w:val="24"/>
          <w:szCs w:val="24"/>
        </w:rPr>
      </w:pPr>
      <w:r w:rsidRPr="00FC1BD0">
        <w:rPr>
          <w:b/>
          <w:bCs/>
          <w:sz w:val="24"/>
          <w:szCs w:val="24"/>
        </w:rPr>
        <w:t>Ref:</w:t>
      </w:r>
      <w:r w:rsidRPr="00FC1BD0">
        <w:rPr>
          <w:b/>
          <w:bCs/>
          <w:sz w:val="24"/>
          <w:szCs w:val="24"/>
        </w:rPr>
        <w:tab/>
        <w:t>Staff Question 4</w:t>
      </w:r>
    </w:p>
    <w:p w14:paraId="00E93CC8" w14:textId="77777777" w:rsidR="008717E4" w:rsidRDefault="008717E4" w:rsidP="008717E4">
      <w:pPr>
        <w:spacing w:before="40"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Updated DVA Continuity Schedule</w:t>
      </w:r>
    </w:p>
    <w:p w14:paraId="6550EB19" w14:textId="0ECD7942" w:rsidR="008717E4" w:rsidRPr="008717E4" w:rsidRDefault="008717E4" w:rsidP="008717E4">
      <w:pPr>
        <w:rPr>
          <w:sz w:val="24"/>
          <w:szCs w:val="24"/>
        </w:rPr>
      </w:pPr>
    </w:p>
    <w:p w14:paraId="7BB1A015" w14:textId="4E67BCE6" w:rsidR="008717E4" w:rsidRPr="00460FCB" w:rsidRDefault="008717E4" w:rsidP="008717E4">
      <w:pPr>
        <w:rPr>
          <w:sz w:val="24"/>
          <w:szCs w:val="24"/>
        </w:rPr>
      </w:pPr>
      <w:r w:rsidRPr="00460FCB">
        <w:rPr>
          <w:sz w:val="24"/>
          <w:szCs w:val="24"/>
        </w:rPr>
        <w:t xml:space="preserve">In the updated DVA Continuity Schedule, column </w:t>
      </w:r>
      <w:r w:rsidR="00F54FA3" w:rsidRPr="00460FCB">
        <w:rPr>
          <w:sz w:val="24"/>
          <w:szCs w:val="24"/>
        </w:rPr>
        <w:t>BW shows the RRR to DVA Continuity Schedule variances</w:t>
      </w:r>
      <w:r w:rsidR="00A379C5">
        <w:rPr>
          <w:sz w:val="24"/>
          <w:szCs w:val="24"/>
        </w:rPr>
        <w:t xml:space="preserve"> for Account 1588 and Account 1589</w:t>
      </w:r>
      <w:r w:rsidR="00F54FA3" w:rsidRPr="00460FCB">
        <w:rPr>
          <w:sz w:val="24"/>
          <w:szCs w:val="24"/>
        </w:rPr>
        <w:t xml:space="preserve"> to be ($407,757) and ($30,388)</w:t>
      </w:r>
      <w:r w:rsidR="00A379C5">
        <w:rPr>
          <w:sz w:val="24"/>
          <w:szCs w:val="24"/>
        </w:rPr>
        <w:t>, respectively</w:t>
      </w:r>
      <w:r w:rsidR="00F54FA3" w:rsidRPr="00460FCB">
        <w:rPr>
          <w:sz w:val="24"/>
          <w:szCs w:val="24"/>
        </w:rPr>
        <w:t xml:space="preserve">. </w:t>
      </w:r>
    </w:p>
    <w:p w14:paraId="69826ED3" w14:textId="6CC9C1E7" w:rsidR="0063001A" w:rsidRDefault="0063001A" w:rsidP="0063001A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460FCB">
        <w:rPr>
          <w:sz w:val="24"/>
          <w:szCs w:val="24"/>
        </w:rPr>
        <w:t xml:space="preserve">Please confirm that </w:t>
      </w:r>
      <w:r w:rsidR="00460FCB" w:rsidRPr="00460FCB">
        <w:rPr>
          <w:sz w:val="24"/>
          <w:szCs w:val="24"/>
        </w:rPr>
        <w:t xml:space="preserve">all the adjustments from the Inspection Report </w:t>
      </w:r>
      <w:r w:rsidR="008F31B6">
        <w:rPr>
          <w:sz w:val="24"/>
          <w:szCs w:val="24"/>
        </w:rPr>
        <w:t>have</w:t>
      </w:r>
      <w:r w:rsidR="00460FCB" w:rsidRPr="00460FCB">
        <w:rPr>
          <w:sz w:val="24"/>
          <w:szCs w:val="24"/>
        </w:rPr>
        <w:t xml:space="preserve"> been recorded in the general ledger already. </w:t>
      </w:r>
    </w:p>
    <w:p w14:paraId="01AC3074" w14:textId="14B8B586" w:rsidR="00460FCB" w:rsidRDefault="00460FCB" w:rsidP="006300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confirmed, please explain </w:t>
      </w:r>
      <w:r w:rsidR="00F149EF">
        <w:rPr>
          <w:sz w:val="24"/>
          <w:szCs w:val="24"/>
        </w:rPr>
        <w:t xml:space="preserve">whether Hydro 2000 has recorded all the adjustments necessary </w:t>
      </w:r>
      <w:r w:rsidR="00CD3FCA">
        <w:rPr>
          <w:sz w:val="24"/>
          <w:szCs w:val="24"/>
        </w:rPr>
        <w:t>for</w:t>
      </w:r>
      <w:r w:rsidR="00AB405C">
        <w:rPr>
          <w:sz w:val="24"/>
          <w:szCs w:val="24"/>
        </w:rPr>
        <w:t xml:space="preserve"> 2017 to 2019 </w:t>
      </w:r>
      <w:r w:rsidR="00F149EF">
        <w:rPr>
          <w:sz w:val="24"/>
          <w:szCs w:val="24"/>
        </w:rPr>
        <w:t xml:space="preserve">in the </w:t>
      </w:r>
      <w:r w:rsidR="00AB405C">
        <w:rPr>
          <w:sz w:val="24"/>
          <w:szCs w:val="24"/>
        </w:rPr>
        <w:t xml:space="preserve">general ledger balances. </w:t>
      </w:r>
    </w:p>
    <w:p w14:paraId="4F812827" w14:textId="00180BF1" w:rsidR="00AB405C" w:rsidRPr="00460FCB" w:rsidRDefault="00AB405C" w:rsidP="0063001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If part b is confirmed, please explain why there would be RRR to DVA Continuity Schedule variances for </w:t>
      </w:r>
      <w:r w:rsidR="008F31B6">
        <w:rPr>
          <w:sz w:val="24"/>
          <w:szCs w:val="24"/>
        </w:rPr>
        <w:t xml:space="preserve">accounts 1588 and 1589 if all adjustments have been made and the balances between the general ledger and DVA Continuity Schedule should be aligned. </w:t>
      </w:r>
    </w:p>
    <w:sectPr w:rsidR="00AB405C" w:rsidRPr="00460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2C0B"/>
    <w:multiLevelType w:val="hybridMultilevel"/>
    <w:tmpl w:val="D23270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30DEE"/>
    <w:multiLevelType w:val="hybridMultilevel"/>
    <w:tmpl w:val="BA9460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E850D0"/>
    <w:multiLevelType w:val="hybridMultilevel"/>
    <w:tmpl w:val="DC1A94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C043B34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CBB"/>
    <w:rsid w:val="000528B2"/>
    <w:rsid w:val="0008166C"/>
    <w:rsid w:val="0009095E"/>
    <w:rsid w:val="000D163D"/>
    <w:rsid w:val="003A327E"/>
    <w:rsid w:val="003C2EE5"/>
    <w:rsid w:val="003E20A9"/>
    <w:rsid w:val="00440A1C"/>
    <w:rsid w:val="00460FCB"/>
    <w:rsid w:val="00476CBB"/>
    <w:rsid w:val="005E64A5"/>
    <w:rsid w:val="0063001A"/>
    <w:rsid w:val="006A2AB2"/>
    <w:rsid w:val="006A34C6"/>
    <w:rsid w:val="00745F1D"/>
    <w:rsid w:val="00786D7A"/>
    <w:rsid w:val="007A503F"/>
    <w:rsid w:val="007C3F60"/>
    <w:rsid w:val="008717E4"/>
    <w:rsid w:val="008B7CC9"/>
    <w:rsid w:val="008F31B6"/>
    <w:rsid w:val="00946A07"/>
    <w:rsid w:val="00953EAE"/>
    <w:rsid w:val="00963FC6"/>
    <w:rsid w:val="00965D0B"/>
    <w:rsid w:val="009B19E5"/>
    <w:rsid w:val="009B2733"/>
    <w:rsid w:val="00A379C5"/>
    <w:rsid w:val="00AB405C"/>
    <w:rsid w:val="00AE402A"/>
    <w:rsid w:val="00AF4CD6"/>
    <w:rsid w:val="00B14306"/>
    <w:rsid w:val="00B27F94"/>
    <w:rsid w:val="00B5027B"/>
    <w:rsid w:val="00BA4116"/>
    <w:rsid w:val="00BD5688"/>
    <w:rsid w:val="00C07179"/>
    <w:rsid w:val="00C4094B"/>
    <w:rsid w:val="00CA0932"/>
    <w:rsid w:val="00CD3FCA"/>
    <w:rsid w:val="00D279D4"/>
    <w:rsid w:val="00D52251"/>
    <w:rsid w:val="00D971F7"/>
    <w:rsid w:val="00DE73C5"/>
    <w:rsid w:val="00E171EA"/>
    <w:rsid w:val="00F149EF"/>
    <w:rsid w:val="00F4223F"/>
    <w:rsid w:val="00F441E3"/>
    <w:rsid w:val="00F54FA3"/>
    <w:rsid w:val="00FC1BD0"/>
    <w:rsid w:val="00FD44BB"/>
    <w:rsid w:val="00FE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ADBCC"/>
  <w15:chartTrackingRefBased/>
  <w15:docId w15:val="{556390A3-123A-4158-A148-FA9DFD6B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4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0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550</Words>
  <Characters>3141</Characters>
  <Application>Microsoft Office Word</Application>
  <DocSecurity>4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Kwan</dc:creator>
  <cp:keywords/>
  <dc:description/>
  <cp:lastModifiedBy>Abdullah Navid</cp:lastModifiedBy>
  <cp:revision>2</cp:revision>
  <dcterms:created xsi:type="dcterms:W3CDTF">2021-02-25T19:00:00Z</dcterms:created>
  <dcterms:modified xsi:type="dcterms:W3CDTF">2021-02-25T19:00:00Z</dcterms:modified>
</cp:coreProperties>
</file>