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5562649" w:rsidR="00240D77" w:rsidRDefault="009F0072">
      <w:r>
        <w:t xml:space="preserve">September </w:t>
      </w:r>
      <w:r w:rsidR="00E158D4">
        <w:t>7</w:t>
      </w:r>
      <w:r w:rsidR="00FB09DA">
        <w:t xml:space="preserve">, </w:t>
      </w:r>
      <w:proofErr w:type="gramStart"/>
      <w:r w:rsidR="00FB09DA">
        <w:t>2021</w:t>
      </w:r>
      <w:proofErr w:type="gramEnd"/>
      <w:r w:rsidR="00ED31F4">
        <w:tab/>
      </w:r>
      <w:r w:rsidR="00ED31F4">
        <w:tab/>
      </w:r>
      <w:r w:rsidR="00ED31F4">
        <w:tab/>
      </w:r>
      <w:r w:rsidR="00ED31F4">
        <w:tab/>
      </w:r>
      <w:r w:rsidR="00ED31F4">
        <w:tab/>
      </w:r>
      <w:r w:rsidR="00ED31F4">
        <w:tab/>
      </w:r>
      <w:r w:rsidR="00ED31F4">
        <w:tab/>
      </w:r>
      <w:r w:rsidR="00ED31F4">
        <w:tab/>
      </w:r>
      <w:r w:rsidR="00ED31F4">
        <w:tab/>
      </w:r>
      <w:r w:rsidR="00B4655B">
        <w:t>Via</w:t>
      </w:r>
      <w:r w:rsidR="00ED31F4">
        <w:t xml:space="preserve"> E-Mail</w:t>
      </w:r>
    </w:p>
    <w:p w14:paraId="00000002" w14:textId="13213C9C" w:rsidR="00240D77" w:rsidRDefault="00240D77"/>
    <w:p w14:paraId="7D1EEEC1" w14:textId="77777777" w:rsidR="00B4655B" w:rsidRDefault="00B4655B"/>
    <w:p w14:paraId="5E51F85F" w14:textId="77777777" w:rsidR="002B740B" w:rsidRDefault="002B740B">
      <w:r>
        <w:t>Ms. Christine Long, Registrar</w:t>
      </w:r>
    </w:p>
    <w:p w14:paraId="20C028CC" w14:textId="77777777" w:rsidR="002B740B" w:rsidRDefault="002B740B">
      <w:r>
        <w:t>Ontario Energy Board</w:t>
      </w:r>
    </w:p>
    <w:p w14:paraId="033A2F86" w14:textId="77777777" w:rsidR="00650357" w:rsidRDefault="00650357"/>
    <w:p w14:paraId="1E892002" w14:textId="1698E948" w:rsidR="009B1FCE" w:rsidRDefault="009B1FCE">
      <w:r>
        <w:tab/>
      </w:r>
      <w:r>
        <w:tab/>
      </w:r>
      <w:r>
        <w:tab/>
      </w:r>
      <w:r>
        <w:tab/>
      </w:r>
      <w:r>
        <w:tab/>
      </w:r>
    </w:p>
    <w:p w14:paraId="1BAA25C0" w14:textId="77777777" w:rsidR="00B4655B" w:rsidRDefault="00B4655B"/>
    <w:p w14:paraId="6D31EF2F" w14:textId="213DAA43" w:rsidR="00ED31F4" w:rsidRPr="00FB417D" w:rsidRDefault="00ED31F4" w:rsidP="00882F53">
      <w:pPr>
        <w:ind w:left="720" w:hanging="720"/>
        <w:rPr>
          <w:b/>
          <w:bCs/>
        </w:rPr>
      </w:pPr>
      <w:r w:rsidRPr="00FB417D">
        <w:rPr>
          <w:b/>
          <w:bCs/>
        </w:rPr>
        <w:t>Re:</w:t>
      </w:r>
      <w:r w:rsidR="00FB417D" w:rsidRPr="00FB417D">
        <w:rPr>
          <w:b/>
          <w:bCs/>
        </w:rPr>
        <w:t xml:space="preserve"> </w:t>
      </w:r>
      <w:r w:rsidR="00FB417D" w:rsidRPr="00FB417D">
        <w:rPr>
          <w:b/>
          <w:bCs/>
        </w:rPr>
        <w:tab/>
      </w:r>
      <w:r w:rsidR="009F0072">
        <w:rPr>
          <w:b/>
          <w:bCs/>
        </w:rPr>
        <w:t xml:space="preserve">Written Submission by </w:t>
      </w:r>
      <w:r w:rsidR="00E158D4">
        <w:rPr>
          <w:b/>
          <w:bCs/>
        </w:rPr>
        <w:t xml:space="preserve">Individual </w:t>
      </w:r>
      <w:r w:rsidR="009F0072">
        <w:rPr>
          <w:b/>
          <w:bCs/>
        </w:rPr>
        <w:t xml:space="preserve">Intervenor to the Ontario Energy Board re: </w:t>
      </w:r>
      <w:r w:rsidRPr="00FB417D">
        <w:rPr>
          <w:b/>
          <w:bCs/>
        </w:rPr>
        <w:t>Implementing the Decision to Eliminate the Hydro</w:t>
      </w:r>
      <w:r w:rsidR="00FB417D" w:rsidRPr="00FB417D">
        <w:rPr>
          <w:b/>
          <w:bCs/>
        </w:rPr>
        <w:t xml:space="preserve"> One </w:t>
      </w:r>
      <w:r w:rsidRPr="00FB417D">
        <w:rPr>
          <w:b/>
          <w:bCs/>
        </w:rPr>
        <w:t>Networks Inc. Distribution Seasonal Rate Class</w:t>
      </w:r>
      <w:r w:rsidR="00882F53">
        <w:rPr>
          <w:b/>
          <w:bCs/>
        </w:rPr>
        <w:t xml:space="preserve">:  </w:t>
      </w:r>
      <w:r w:rsidRPr="00FB417D">
        <w:rPr>
          <w:b/>
          <w:bCs/>
        </w:rPr>
        <w:t>File Number: EB-2020-0246</w:t>
      </w:r>
    </w:p>
    <w:p w14:paraId="23CD625B" w14:textId="6A3DDC47" w:rsidR="00D813C1" w:rsidRDefault="00D813C1"/>
    <w:p w14:paraId="5CDA5195" w14:textId="77777777" w:rsidR="00092145" w:rsidRDefault="00092145"/>
    <w:p w14:paraId="1A58BD41" w14:textId="66C73749" w:rsidR="00950773" w:rsidRDefault="0045152F">
      <w:r>
        <w:t xml:space="preserve">I </w:t>
      </w:r>
      <w:r w:rsidR="0095608D">
        <w:t xml:space="preserve">am an individual intervenor, </w:t>
      </w:r>
      <w:r w:rsidR="00277546">
        <w:t>one of the 3</w:t>
      </w:r>
      <w:r w:rsidR="000973E4">
        <w:t>6</w:t>
      </w:r>
      <w:r w:rsidR="00277546">
        <w:t>,</w:t>
      </w:r>
      <w:r w:rsidR="000973E4">
        <w:t>224</w:t>
      </w:r>
      <w:r w:rsidR="00277546">
        <w:t xml:space="preserve"> low</w:t>
      </w:r>
      <w:r w:rsidR="00D36153">
        <w:t>est</w:t>
      </w:r>
      <w:r w:rsidR="00277546">
        <w:t xml:space="preserve"> </w:t>
      </w:r>
      <w:proofErr w:type="gramStart"/>
      <w:r w:rsidR="00277546">
        <w:t>volume</w:t>
      </w:r>
      <w:proofErr w:type="gramEnd"/>
      <w:r w:rsidR="00277546">
        <w:t xml:space="preserve"> (</w:t>
      </w:r>
      <w:r w:rsidR="00882F53">
        <w:t xml:space="preserve">i.e. </w:t>
      </w:r>
      <w:r w:rsidR="00277546">
        <w:t xml:space="preserve">under 150 kWh monthly) seasonal class consumers </w:t>
      </w:r>
      <w:r w:rsidR="00E158D4">
        <w:t xml:space="preserve">according to </w:t>
      </w:r>
      <w:r w:rsidR="000973E4">
        <w:t xml:space="preserve">Hydro One’s Interrogatory Responses dated August 17, 2021, </w:t>
      </w:r>
      <w:r w:rsidR="004F61C6">
        <w:t>(i.e.</w:t>
      </w:r>
      <w:r w:rsidR="00636DA6">
        <w:t xml:space="preserve"> </w:t>
      </w:r>
      <w:r w:rsidR="0024620E">
        <w:t>the</w:t>
      </w:r>
      <w:r w:rsidR="000973E4">
        <w:t xml:space="preserve"> Exhibit</w:t>
      </w:r>
      <w:r w:rsidR="0024620E">
        <w:t>) at I</w:t>
      </w:r>
      <w:r w:rsidR="000973E4">
        <w:t>-07-06, that are</w:t>
      </w:r>
      <w:r w:rsidR="00277546">
        <w:t xml:space="preserve"> destined for the residential low density (R2) class</w:t>
      </w:r>
      <w:r w:rsidR="0024620E">
        <w:t>.</w:t>
      </w:r>
      <w:r w:rsidR="00950773">
        <w:t xml:space="preserve"> </w:t>
      </w:r>
      <w:r w:rsidR="00882F53">
        <w:t>In the comments</w:t>
      </w:r>
      <w:r w:rsidR="00E158D4">
        <w:t xml:space="preserve"> that follow</w:t>
      </w:r>
      <w:r w:rsidR="00882F53">
        <w:t xml:space="preserve">, </w:t>
      </w:r>
      <w:r w:rsidR="00950773">
        <w:t xml:space="preserve">I </w:t>
      </w:r>
      <w:r w:rsidR="00882F53">
        <w:t xml:space="preserve">generally </w:t>
      </w:r>
      <w:r w:rsidR="00950773">
        <w:t xml:space="preserve">refer to </w:t>
      </w:r>
      <w:r w:rsidR="00882F53">
        <w:t xml:space="preserve">the </w:t>
      </w:r>
      <w:r w:rsidR="00950773">
        <w:t xml:space="preserve">data </w:t>
      </w:r>
      <w:r w:rsidR="00882F53">
        <w:t xml:space="preserve">supplied </w:t>
      </w:r>
      <w:r w:rsidR="00950773">
        <w:t>by Hydro One</w:t>
      </w:r>
      <w:r w:rsidR="00882F53">
        <w:t xml:space="preserve"> associated with </w:t>
      </w:r>
      <w:r w:rsidR="00E158D4">
        <w:t>a</w:t>
      </w:r>
      <w:r w:rsidR="00950773">
        <w:t xml:space="preserve"> seasonal </w:t>
      </w:r>
      <w:r w:rsidR="00882F53">
        <w:t>customer at</w:t>
      </w:r>
      <w:r w:rsidR="00950773">
        <w:t xml:space="preserve"> an average </w:t>
      </w:r>
      <w:r w:rsidR="00E158D4">
        <w:t xml:space="preserve">hydro consumption </w:t>
      </w:r>
      <w:r w:rsidR="00950773">
        <w:t>of 50 kWh per month</w:t>
      </w:r>
      <w:r w:rsidR="00882F53">
        <w:t>, since</w:t>
      </w:r>
      <w:r w:rsidR="00950773">
        <w:t xml:space="preserve"> this is the </w:t>
      </w:r>
      <w:r w:rsidR="00882F53">
        <w:t xml:space="preserve">situation </w:t>
      </w:r>
      <w:r w:rsidR="00950773">
        <w:t>closest to my own</w:t>
      </w:r>
      <w:r w:rsidR="00E158D4">
        <w:t xml:space="preserve"> amongst the various data sets provided.</w:t>
      </w:r>
    </w:p>
    <w:p w14:paraId="7DB13055" w14:textId="77777777" w:rsidR="00950773" w:rsidRDefault="00950773"/>
    <w:p w14:paraId="35EDAB9C" w14:textId="57F0CC4B" w:rsidR="0045152F" w:rsidRDefault="00882F53">
      <w:r>
        <w:t xml:space="preserve">Also, </w:t>
      </w:r>
      <w:r w:rsidR="00950773">
        <w:t xml:space="preserve">I </w:t>
      </w:r>
      <w:r w:rsidR="0045152F">
        <w:t xml:space="preserve">do </w:t>
      </w:r>
      <w:r w:rsidR="0045152F" w:rsidRPr="001D1425">
        <w:t xml:space="preserve">not </w:t>
      </w:r>
      <w:r w:rsidR="0045152F">
        <w:t xml:space="preserve">represent any </w:t>
      </w:r>
      <w:r w:rsidR="00277546">
        <w:t xml:space="preserve">interest group, </w:t>
      </w:r>
      <w:r w:rsidR="0045152F">
        <w:t>organization</w:t>
      </w:r>
      <w:r w:rsidR="00277546">
        <w:t xml:space="preserve"> </w:t>
      </w:r>
      <w:r w:rsidR="0045152F">
        <w:t xml:space="preserve">or </w:t>
      </w:r>
      <w:r w:rsidR="0095608D">
        <w:t>association</w:t>
      </w:r>
      <w:r w:rsidR="00B4655B">
        <w:t xml:space="preserve"> in this matter</w:t>
      </w:r>
      <w:r w:rsidR="0095608D">
        <w:t xml:space="preserve">. </w:t>
      </w:r>
      <w:r w:rsidR="00A3385C">
        <w:t xml:space="preserve">The comments that follow are respectfully submitted for consideration by the Ontario Energy Board (the OEB) within the parameters that are in scope as outlined in </w:t>
      </w:r>
      <w:r w:rsidR="00E158D4">
        <w:t xml:space="preserve">OEB </w:t>
      </w:r>
      <w:r w:rsidR="00A3385C">
        <w:t>Procedural Order No. 2</w:t>
      </w:r>
      <w:r w:rsidR="00E158D4">
        <w:t>,</w:t>
      </w:r>
      <w:r w:rsidR="00A3385C">
        <w:t xml:space="preserve"> dated May 26, 2021.</w:t>
      </w:r>
    </w:p>
    <w:p w14:paraId="64670993" w14:textId="5FE74A0E" w:rsidR="00636DA6" w:rsidRDefault="00636DA6"/>
    <w:p w14:paraId="76247670" w14:textId="0CBDCA85" w:rsidR="00D813C1" w:rsidRPr="007C768F" w:rsidRDefault="00636DA6">
      <w:pPr>
        <w:rPr>
          <w:b/>
          <w:u w:val="single"/>
        </w:rPr>
      </w:pPr>
      <w:r>
        <w:rPr>
          <w:b/>
          <w:u w:val="single"/>
        </w:rPr>
        <w:t xml:space="preserve">Another </w:t>
      </w:r>
      <w:r w:rsidR="00E158D4">
        <w:rPr>
          <w:b/>
          <w:u w:val="single"/>
        </w:rPr>
        <w:t xml:space="preserve">perspective </w:t>
      </w:r>
      <w:r w:rsidR="00A3385C">
        <w:rPr>
          <w:b/>
          <w:u w:val="single"/>
        </w:rPr>
        <w:t xml:space="preserve">on </w:t>
      </w:r>
      <w:r>
        <w:rPr>
          <w:b/>
          <w:u w:val="single"/>
        </w:rPr>
        <w:t>t</w:t>
      </w:r>
      <w:r w:rsidR="006A1DB3" w:rsidRPr="007C768F">
        <w:rPr>
          <w:b/>
          <w:u w:val="single"/>
        </w:rPr>
        <w:t xml:space="preserve">he </w:t>
      </w:r>
      <w:r>
        <w:rPr>
          <w:b/>
          <w:u w:val="single"/>
        </w:rPr>
        <w:t>n</w:t>
      </w:r>
      <w:r w:rsidR="006A1DB3" w:rsidRPr="007C768F">
        <w:rPr>
          <w:b/>
          <w:u w:val="single"/>
        </w:rPr>
        <w:t>umbers</w:t>
      </w:r>
    </w:p>
    <w:p w14:paraId="26E212C4" w14:textId="49F6C284" w:rsidR="008B6209" w:rsidRDefault="008B6209">
      <w:pPr>
        <w:rPr>
          <w:bCs/>
          <w:u w:val="single"/>
        </w:rPr>
      </w:pPr>
    </w:p>
    <w:p w14:paraId="1A912F93" w14:textId="7FD6360A" w:rsidR="008B6209" w:rsidRPr="008B6209" w:rsidRDefault="00977E2C">
      <w:pPr>
        <w:rPr>
          <w:bCs/>
        </w:rPr>
      </w:pPr>
      <w:r>
        <w:rPr>
          <w:bCs/>
        </w:rPr>
        <w:t>In February 2021, Hydro One mailed a</w:t>
      </w:r>
      <w:r w:rsidR="008B6209" w:rsidRPr="008B6209">
        <w:rPr>
          <w:bCs/>
        </w:rPr>
        <w:t xml:space="preserve"> </w:t>
      </w:r>
      <w:r w:rsidR="00273524">
        <w:rPr>
          <w:bCs/>
        </w:rPr>
        <w:t>c</w:t>
      </w:r>
      <w:r w:rsidR="00273524">
        <w:t xml:space="preserve">ustomized </w:t>
      </w:r>
      <w:r>
        <w:t xml:space="preserve">letter </w:t>
      </w:r>
      <w:r w:rsidR="00273524">
        <w:t>(</w:t>
      </w:r>
      <w:proofErr w:type="gramStart"/>
      <w:r w:rsidR="00273524">
        <w:t>i.e.</w:t>
      </w:r>
      <w:proofErr w:type="gramEnd"/>
      <w:r w:rsidR="00273524">
        <w:t xml:space="preserve"> the </w:t>
      </w:r>
      <w:r w:rsidR="002B43E8">
        <w:t xml:space="preserve">Hydro One </w:t>
      </w:r>
      <w:r w:rsidR="00273524">
        <w:t xml:space="preserve">Notice) </w:t>
      </w:r>
      <w:r>
        <w:t>to its</w:t>
      </w:r>
      <w:r w:rsidR="00273524">
        <w:t xml:space="preserve"> seasonal customers </w:t>
      </w:r>
      <w:r>
        <w:t xml:space="preserve">which </w:t>
      </w:r>
      <w:r w:rsidR="00273524">
        <w:t>provid</w:t>
      </w:r>
      <w:r>
        <w:t>ed</w:t>
      </w:r>
      <w:r w:rsidR="00273524">
        <w:t xml:space="preserve"> information on </w:t>
      </w:r>
      <w:r>
        <w:t xml:space="preserve">the </w:t>
      </w:r>
      <w:r w:rsidR="00273524">
        <w:t>customer specific impacts from the planned elimination of the seasonal rate</w:t>
      </w:r>
      <w:r>
        <w:t xml:space="preserve">. </w:t>
      </w:r>
      <w:r w:rsidR="007751FF">
        <w:t xml:space="preserve">The Notice </w:t>
      </w:r>
      <w:r w:rsidR="006C734A">
        <w:rPr>
          <w:bCs/>
        </w:rPr>
        <w:t xml:space="preserve">would lead </w:t>
      </w:r>
      <w:r>
        <w:rPr>
          <w:bCs/>
        </w:rPr>
        <w:t>a</w:t>
      </w:r>
      <w:r w:rsidR="00273524">
        <w:rPr>
          <w:bCs/>
        </w:rPr>
        <w:t xml:space="preserve"> recipient t</w:t>
      </w:r>
      <w:r w:rsidR="006C734A">
        <w:rPr>
          <w:bCs/>
        </w:rPr>
        <w:t xml:space="preserve">o conclude that at a monthly hydro consumption level of 50 kWh, </w:t>
      </w:r>
      <w:r>
        <w:rPr>
          <w:bCs/>
        </w:rPr>
        <w:t>such a customer moving to the R2 class</w:t>
      </w:r>
      <w:r w:rsidR="006C734A">
        <w:rPr>
          <w:bCs/>
        </w:rPr>
        <w:t xml:space="preserve"> could expect to see </w:t>
      </w:r>
      <w:r w:rsidR="002A3B19">
        <w:rPr>
          <w:bCs/>
        </w:rPr>
        <w:t xml:space="preserve">either </w:t>
      </w:r>
      <w:r w:rsidR="006C734A">
        <w:rPr>
          <w:bCs/>
        </w:rPr>
        <w:t>a</w:t>
      </w:r>
      <w:r w:rsidR="00F23736">
        <w:rPr>
          <w:bCs/>
        </w:rPr>
        <w:t>n</w:t>
      </w:r>
      <w:r w:rsidR="006C734A">
        <w:rPr>
          <w:bCs/>
        </w:rPr>
        <w:t xml:space="preserve"> </w:t>
      </w:r>
      <w:r w:rsidR="00936027">
        <w:rPr>
          <w:bCs/>
        </w:rPr>
        <w:t xml:space="preserve">estimated </w:t>
      </w:r>
      <w:r w:rsidR="002A3B19">
        <w:rPr>
          <w:bCs/>
        </w:rPr>
        <w:t>100%</w:t>
      </w:r>
      <w:r w:rsidR="00F23736">
        <w:rPr>
          <w:bCs/>
        </w:rPr>
        <w:t>,</w:t>
      </w:r>
      <w:r w:rsidR="002A3B19">
        <w:rPr>
          <w:bCs/>
        </w:rPr>
        <w:t xml:space="preserve"> or a </w:t>
      </w:r>
      <w:r w:rsidR="006C734A">
        <w:rPr>
          <w:bCs/>
        </w:rPr>
        <w:t>112%</w:t>
      </w:r>
      <w:r w:rsidR="00F23736">
        <w:rPr>
          <w:bCs/>
        </w:rPr>
        <w:t>,</w:t>
      </w:r>
      <w:r w:rsidR="006C734A">
        <w:rPr>
          <w:bCs/>
        </w:rPr>
        <w:t xml:space="preserve"> increase </w:t>
      </w:r>
      <w:r>
        <w:rPr>
          <w:bCs/>
        </w:rPr>
        <w:t xml:space="preserve">from </w:t>
      </w:r>
      <w:r w:rsidR="00F23736">
        <w:rPr>
          <w:bCs/>
        </w:rPr>
        <w:t xml:space="preserve">2022 as the baseline year </w:t>
      </w:r>
      <w:r w:rsidR="006C734A">
        <w:rPr>
          <w:bCs/>
        </w:rPr>
        <w:t xml:space="preserve">in </w:t>
      </w:r>
      <w:r>
        <w:rPr>
          <w:bCs/>
        </w:rPr>
        <w:t>her/his</w:t>
      </w:r>
      <w:r w:rsidR="006C734A">
        <w:rPr>
          <w:bCs/>
        </w:rPr>
        <w:t xml:space="preserve"> total hydro bill</w:t>
      </w:r>
      <w:r w:rsidR="00936027">
        <w:rPr>
          <w:bCs/>
        </w:rPr>
        <w:t xml:space="preserve"> prior to any rate mitigation measures</w:t>
      </w:r>
      <w:r w:rsidR="002A3B19">
        <w:rPr>
          <w:bCs/>
        </w:rPr>
        <w:t xml:space="preserve">, depending on one’s reading of </w:t>
      </w:r>
      <w:r>
        <w:rPr>
          <w:bCs/>
        </w:rPr>
        <w:t>the Notice</w:t>
      </w:r>
      <w:r w:rsidR="002A3B19">
        <w:rPr>
          <w:bCs/>
        </w:rPr>
        <w:t>. The Updated 2019 Seasonal Report (</w:t>
      </w:r>
      <w:proofErr w:type="gramStart"/>
      <w:r w:rsidR="00273524">
        <w:rPr>
          <w:bCs/>
        </w:rPr>
        <w:t>i.e.</w:t>
      </w:r>
      <w:proofErr w:type="gramEnd"/>
      <w:r w:rsidR="00273524">
        <w:rPr>
          <w:bCs/>
        </w:rPr>
        <w:t xml:space="preserve"> </w:t>
      </w:r>
      <w:r w:rsidR="002A3B19">
        <w:rPr>
          <w:bCs/>
        </w:rPr>
        <w:t xml:space="preserve">the </w:t>
      </w:r>
      <w:r w:rsidR="00273524">
        <w:rPr>
          <w:bCs/>
        </w:rPr>
        <w:t xml:space="preserve">2020 </w:t>
      </w:r>
      <w:r w:rsidR="002A3B19">
        <w:rPr>
          <w:bCs/>
        </w:rPr>
        <w:t xml:space="preserve">Report) submitted by Hydro One on October 15, 2020, reflects identical </w:t>
      </w:r>
      <w:r w:rsidR="007751FF">
        <w:rPr>
          <w:bCs/>
        </w:rPr>
        <w:t xml:space="preserve">percentages </w:t>
      </w:r>
      <w:r w:rsidR="002A3B19">
        <w:rPr>
          <w:bCs/>
        </w:rPr>
        <w:t>in Table 10.</w:t>
      </w:r>
    </w:p>
    <w:p w14:paraId="053ADEC9" w14:textId="6ED2DA34" w:rsidR="006A1DB3" w:rsidRDefault="006A1DB3">
      <w:pPr>
        <w:rPr>
          <w:bCs/>
        </w:rPr>
      </w:pPr>
    </w:p>
    <w:p w14:paraId="2A09FE98" w14:textId="1CABD230" w:rsidR="00F23736" w:rsidRDefault="00F23736">
      <w:pPr>
        <w:rPr>
          <w:bCs/>
        </w:rPr>
      </w:pPr>
      <w:r>
        <w:rPr>
          <w:bCs/>
        </w:rPr>
        <w:t xml:space="preserve">With </w:t>
      </w:r>
      <w:r w:rsidR="007A2550">
        <w:rPr>
          <w:bCs/>
        </w:rPr>
        <w:t>the information p</w:t>
      </w:r>
      <w:r>
        <w:rPr>
          <w:bCs/>
        </w:rPr>
        <w:t>rovided in Exhibit I-02-01, parts a</w:t>
      </w:r>
      <w:r w:rsidR="007A2550">
        <w:rPr>
          <w:bCs/>
        </w:rPr>
        <w:t>)</w:t>
      </w:r>
      <w:r>
        <w:rPr>
          <w:bCs/>
        </w:rPr>
        <w:t xml:space="preserve"> and b</w:t>
      </w:r>
      <w:r w:rsidR="007A2550">
        <w:rPr>
          <w:bCs/>
        </w:rPr>
        <w:t>)</w:t>
      </w:r>
      <w:r>
        <w:rPr>
          <w:bCs/>
        </w:rPr>
        <w:t xml:space="preserve">, </w:t>
      </w:r>
      <w:r w:rsidR="007A2550">
        <w:rPr>
          <w:bCs/>
        </w:rPr>
        <w:t>total distribution charges</w:t>
      </w:r>
      <w:r w:rsidR="00FD00E5">
        <w:rPr>
          <w:bCs/>
        </w:rPr>
        <w:t xml:space="preserve"> </w:t>
      </w:r>
      <w:r w:rsidR="007A2550">
        <w:rPr>
          <w:bCs/>
        </w:rPr>
        <w:t xml:space="preserve">for that low consumption (at 50 kWh monthly) </w:t>
      </w:r>
      <w:r w:rsidR="00774B6C">
        <w:rPr>
          <w:bCs/>
        </w:rPr>
        <w:t xml:space="preserve">seasonal customer </w:t>
      </w:r>
      <w:r w:rsidR="00977E2C">
        <w:rPr>
          <w:bCs/>
        </w:rPr>
        <w:t xml:space="preserve">now </w:t>
      </w:r>
      <w:r w:rsidR="00774B6C">
        <w:rPr>
          <w:bCs/>
        </w:rPr>
        <w:t xml:space="preserve">destined for the residential low density (R2) class </w:t>
      </w:r>
      <w:r w:rsidR="007A2550">
        <w:rPr>
          <w:bCs/>
        </w:rPr>
        <w:t>were $32.44</w:t>
      </w:r>
      <w:r w:rsidR="00774B6C">
        <w:rPr>
          <w:bCs/>
        </w:rPr>
        <w:t xml:space="preserve"> in 2015, are currently $52.93 in 2021, and will eventually top out at </w:t>
      </w:r>
      <w:r w:rsidR="004F61C6">
        <w:rPr>
          <w:bCs/>
        </w:rPr>
        <w:t xml:space="preserve">an estimated </w:t>
      </w:r>
      <w:r w:rsidR="00774B6C">
        <w:rPr>
          <w:bCs/>
        </w:rPr>
        <w:t>$131.66</w:t>
      </w:r>
      <w:r w:rsidR="005330AD">
        <w:rPr>
          <w:bCs/>
        </w:rPr>
        <w:t>, once fully transitioned</w:t>
      </w:r>
      <w:r w:rsidR="00774B6C">
        <w:rPr>
          <w:bCs/>
        </w:rPr>
        <w:t xml:space="preserve">. </w:t>
      </w:r>
      <w:r w:rsidR="006E34FF">
        <w:rPr>
          <w:bCs/>
        </w:rPr>
        <w:t xml:space="preserve">From its </w:t>
      </w:r>
      <w:r w:rsidR="004F61C6">
        <w:rPr>
          <w:bCs/>
        </w:rPr>
        <w:t xml:space="preserve">current </w:t>
      </w:r>
      <w:r w:rsidR="006E34FF">
        <w:rPr>
          <w:bCs/>
        </w:rPr>
        <w:t>2021 level, that amount</w:t>
      </w:r>
      <w:r w:rsidR="009865F8">
        <w:rPr>
          <w:bCs/>
        </w:rPr>
        <w:t>s</w:t>
      </w:r>
      <w:r w:rsidR="004F61C6">
        <w:rPr>
          <w:bCs/>
        </w:rPr>
        <w:t xml:space="preserve"> to</w:t>
      </w:r>
      <w:r w:rsidR="006E34FF">
        <w:rPr>
          <w:bCs/>
        </w:rPr>
        <w:t xml:space="preserve"> a </w:t>
      </w:r>
      <w:r w:rsidR="004F61C6">
        <w:rPr>
          <w:bCs/>
        </w:rPr>
        <w:t>further</w:t>
      </w:r>
      <w:r w:rsidR="009865F8">
        <w:rPr>
          <w:bCs/>
        </w:rPr>
        <w:t xml:space="preserve"> </w:t>
      </w:r>
      <w:r w:rsidR="004F61C6">
        <w:rPr>
          <w:bCs/>
        </w:rPr>
        <w:t>1</w:t>
      </w:r>
      <w:r w:rsidR="006E34FF">
        <w:rPr>
          <w:bCs/>
        </w:rPr>
        <w:t xml:space="preserve">48% </w:t>
      </w:r>
      <w:r w:rsidR="00774B6C">
        <w:rPr>
          <w:bCs/>
        </w:rPr>
        <w:t>increase</w:t>
      </w:r>
      <w:r w:rsidR="006E34FF">
        <w:rPr>
          <w:bCs/>
        </w:rPr>
        <w:t xml:space="preserve"> </w:t>
      </w:r>
      <w:r w:rsidR="004F61C6">
        <w:rPr>
          <w:bCs/>
        </w:rPr>
        <w:t xml:space="preserve">in the distribution charge component of a hydro bill that are </w:t>
      </w:r>
      <w:r w:rsidR="006E34FF">
        <w:rPr>
          <w:bCs/>
        </w:rPr>
        <w:t>yet to come</w:t>
      </w:r>
      <w:r w:rsidR="007751FF">
        <w:rPr>
          <w:bCs/>
        </w:rPr>
        <w:t xml:space="preserve"> for these customers</w:t>
      </w:r>
      <w:r w:rsidR="00774B6C">
        <w:rPr>
          <w:bCs/>
        </w:rPr>
        <w:t xml:space="preserve">.  </w:t>
      </w:r>
    </w:p>
    <w:p w14:paraId="7E6BD546" w14:textId="09E1C8FB" w:rsidR="00774B6C" w:rsidRDefault="00774B6C">
      <w:pPr>
        <w:rPr>
          <w:bCs/>
        </w:rPr>
      </w:pPr>
    </w:p>
    <w:p w14:paraId="7CA47CCA" w14:textId="57C60692" w:rsidR="006E34FF" w:rsidRDefault="006E34FF">
      <w:pPr>
        <w:rPr>
          <w:bCs/>
        </w:rPr>
      </w:pPr>
      <w:r>
        <w:rPr>
          <w:bCs/>
        </w:rPr>
        <w:t>In part c) of th</w:t>
      </w:r>
      <w:r w:rsidR="004F61C6">
        <w:rPr>
          <w:bCs/>
        </w:rPr>
        <w:t xml:space="preserve">at </w:t>
      </w:r>
      <w:r>
        <w:rPr>
          <w:bCs/>
        </w:rPr>
        <w:t>Exhibit, Hydro One states that it is:</w:t>
      </w:r>
    </w:p>
    <w:p w14:paraId="3E706CA6" w14:textId="77777777" w:rsidR="006E34FF" w:rsidRDefault="006E34FF">
      <w:pPr>
        <w:rPr>
          <w:bCs/>
        </w:rPr>
      </w:pPr>
    </w:p>
    <w:p w14:paraId="6EB8DD3C" w14:textId="36D87016" w:rsidR="006E34FF" w:rsidRDefault="006E34FF" w:rsidP="006E34FF">
      <w:pPr>
        <w:ind w:left="720"/>
      </w:pPr>
      <w:r w:rsidRPr="001719FC">
        <w:rPr>
          <w:i/>
          <w:iCs/>
        </w:rPr>
        <w:t>… a customer’s total bill, which Hydro One believes to be most relevant given that all residential customer bills in Ontario, including those of seasonal customers, are subject to the Ontario Energy Rebate</w:t>
      </w:r>
      <w:r>
        <w:t>.</w:t>
      </w:r>
    </w:p>
    <w:p w14:paraId="7D364F5A" w14:textId="278F245C" w:rsidR="001719FC" w:rsidRDefault="001719FC" w:rsidP="001719FC">
      <w:pPr>
        <w:rPr>
          <w:i/>
          <w:iCs/>
        </w:rPr>
      </w:pPr>
    </w:p>
    <w:p w14:paraId="7452ADD2" w14:textId="7801E07F" w:rsidR="00C413B2" w:rsidRDefault="009865F8" w:rsidP="001719FC">
      <w:r>
        <w:t>I</w:t>
      </w:r>
      <w:r w:rsidR="005330AD">
        <w:t xml:space="preserve">t would </w:t>
      </w:r>
      <w:r w:rsidR="007751FF">
        <w:t xml:space="preserve">indeed </w:t>
      </w:r>
      <w:r w:rsidR="005330AD">
        <w:t xml:space="preserve">seem most reasonable that </w:t>
      </w:r>
      <w:proofErr w:type="gramStart"/>
      <w:r w:rsidR="004F61C6">
        <w:t>the vast majority of</w:t>
      </w:r>
      <w:proofErr w:type="gramEnd"/>
      <w:r w:rsidR="004F61C6">
        <w:t xml:space="preserve"> </w:t>
      </w:r>
      <w:r w:rsidR="00F545D6">
        <w:t xml:space="preserve">the low volume </w:t>
      </w:r>
      <w:r w:rsidR="004F61C6">
        <w:t>hydro</w:t>
      </w:r>
      <w:r w:rsidR="00C413B2">
        <w:t xml:space="preserve"> consumers </w:t>
      </w:r>
      <w:r w:rsidR="00F545D6">
        <w:t xml:space="preserve">destined for the R2 class </w:t>
      </w:r>
      <w:r w:rsidR="00C413B2">
        <w:t xml:space="preserve">would </w:t>
      </w:r>
      <w:r w:rsidR="007751FF">
        <w:t xml:space="preserve">clearly and </w:t>
      </w:r>
      <w:r w:rsidR="004F61C6">
        <w:t xml:space="preserve">simply </w:t>
      </w:r>
      <w:r w:rsidR="00C413B2">
        <w:t xml:space="preserve">want to know how much their </w:t>
      </w:r>
      <w:r w:rsidR="004F61C6" w:rsidRPr="005330AD">
        <w:rPr>
          <w:u w:val="single"/>
        </w:rPr>
        <w:t xml:space="preserve">total </w:t>
      </w:r>
      <w:r w:rsidR="00C413B2" w:rsidRPr="005330AD">
        <w:rPr>
          <w:u w:val="single"/>
        </w:rPr>
        <w:t>hydro bill</w:t>
      </w:r>
      <w:r w:rsidR="00C413B2">
        <w:t xml:space="preserve"> </w:t>
      </w:r>
      <w:r w:rsidR="006F1AB5">
        <w:t xml:space="preserve">is </w:t>
      </w:r>
      <w:r w:rsidR="00C413B2">
        <w:t xml:space="preserve">going to change from what they </w:t>
      </w:r>
      <w:r w:rsidR="00C413B2" w:rsidRPr="00BF4301">
        <w:rPr>
          <w:u w:val="single"/>
        </w:rPr>
        <w:t>currently pay</w:t>
      </w:r>
      <w:r w:rsidR="00C413B2">
        <w:t xml:space="preserve">, rather than </w:t>
      </w:r>
      <w:r w:rsidR="00F545D6">
        <w:t xml:space="preserve">a </w:t>
      </w:r>
      <w:r w:rsidR="00C413B2">
        <w:t>future baseline</w:t>
      </w:r>
      <w:r>
        <w:t xml:space="preserve"> starting in 2022.</w:t>
      </w:r>
    </w:p>
    <w:p w14:paraId="02C62276" w14:textId="77777777" w:rsidR="00C413B2" w:rsidRDefault="00C413B2" w:rsidP="001719FC"/>
    <w:p w14:paraId="3972B038" w14:textId="5DC262C2" w:rsidR="001719FC" w:rsidRPr="001719FC" w:rsidRDefault="001719FC" w:rsidP="001719FC">
      <w:pPr>
        <w:rPr>
          <w:bCs/>
        </w:rPr>
      </w:pPr>
      <w:r>
        <w:t xml:space="preserve">On that premise and extracting information from updated Tables 8 and 10 at Exhibit I-05-01, </w:t>
      </w:r>
      <w:r w:rsidR="00C413B2">
        <w:t xml:space="preserve">part f), </w:t>
      </w:r>
      <w:r>
        <w:t xml:space="preserve">that low volume seasonal customer’s monthly total hydro bill in 2021 is currently </w:t>
      </w:r>
      <w:r w:rsidR="007751FF">
        <w:t xml:space="preserve">set </w:t>
      </w:r>
      <w:proofErr w:type="gramStart"/>
      <w:r w:rsidR="007751FF">
        <w:t xml:space="preserve">at </w:t>
      </w:r>
      <w:r w:rsidR="00BF4301">
        <w:t xml:space="preserve"> </w:t>
      </w:r>
      <w:r>
        <w:t>$</w:t>
      </w:r>
      <w:proofErr w:type="gramEnd"/>
      <w:r>
        <w:t>50.11</w:t>
      </w:r>
      <w:r w:rsidR="009865F8">
        <w:t>,</w:t>
      </w:r>
      <w:r w:rsidR="00F545D6">
        <w:t xml:space="preserve"> but </w:t>
      </w:r>
      <w:r>
        <w:t xml:space="preserve">will eventually </w:t>
      </w:r>
      <w:r w:rsidR="009865F8">
        <w:t xml:space="preserve">climb </w:t>
      </w:r>
      <w:r>
        <w:t>to an estimated $115.63 monthly, amounting to a 130% increase</w:t>
      </w:r>
      <w:r w:rsidR="00577291">
        <w:t xml:space="preserve"> due </w:t>
      </w:r>
      <w:r w:rsidR="00BF4301">
        <w:t xml:space="preserve">apparently </w:t>
      </w:r>
      <w:r w:rsidR="00577291">
        <w:t xml:space="preserve">to the combined impacts of the </w:t>
      </w:r>
      <w:r w:rsidR="009865F8">
        <w:t xml:space="preserve">transition </w:t>
      </w:r>
      <w:r w:rsidR="00577291">
        <w:t xml:space="preserve">changes yet to be made </w:t>
      </w:r>
      <w:r w:rsidR="009865F8">
        <w:t xml:space="preserve">in </w:t>
      </w:r>
      <w:r w:rsidR="00577291">
        <w:t xml:space="preserve">moving to all-fixed distribution rates as well </w:t>
      </w:r>
      <w:r w:rsidR="00F545D6">
        <w:t xml:space="preserve">as </w:t>
      </w:r>
      <w:r w:rsidR="00577291">
        <w:t>eliminati</w:t>
      </w:r>
      <w:r w:rsidR="009865F8">
        <w:t>on of</w:t>
      </w:r>
      <w:r w:rsidR="00577291">
        <w:t xml:space="preserve"> the seasonal class.</w:t>
      </w:r>
    </w:p>
    <w:p w14:paraId="0012DF19" w14:textId="77777777" w:rsidR="006E34FF" w:rsidRDefault="006E34FF" w:rsidP="006E34FF">
      <w:pPr>
        <w:ind w:left="720"/>
        <w:rPr>
          <w:bCs/>
        </w:rPr>
      </w:pPr>
    </w:p>
    <w:p w14:paraId="35E8040D" w14:textId="3E94D60A" w:rsidR="00774B6C" w:rsidRDefault="00577291" w:rsidP="00577291">
      <w:pPr>
        <w:rPr>
          <w:bCs/>
        </w:rPr>
      </w:pPr>
      <w:r>
        <w:rPr>
          <w:bCs/>
        </w:rPr>
        <w:t xml:space="preserve">In a footnote added at Exhibit I-02-01, part a), Hydro One </w:t>
      </w:r>
      <w:r w:rsidR="00D54661">
        <w:rPr>
          <w:bCs/>
        </w:rPr>
        <w:t xml:space="preserve">advises </w:t>
      </w:r>
      <w:r>
        <w:rPr>
          <w:bCs/>
        </w:rPr>
        <w:t>that:</w:t>
      </w:r>
    </w:p>
    <w:p w14:paraId="705C9107" w14:textId="2A34C031" w:rsidR="00577291" w:rsidRDefault="00577291" w:rsidP="00577291">
      <w:pPr>
        <w:rPr>
          <w:bCs/>
        </w:rPr>
      </w:pPr>
    </w:p>
    <w:p w14:paraId="44BDDB03" w14:textId="08EA0A56" w:rsidR="00577291" w:rsidRDefault="00577291" w:rsidP="00577291">
      <w:pPr>
        <w:ind w:left="720"/>
        <w:rPr>
          <w:i/>
          <w:iCs/>
        </w:rPr>
      </w:pPr>
      <w:r w:rsidRPr="00577291">
        <w:rPr>
          <w:i/>
          <w:iCs/>
        </w:rPr>
        <w:t>The total bill is lower than the distribution charge because of the inclusion of</w:t>
      </w:r>
      <w:r w:rsidR="009865F8">
        <w:rPr>
          <w:i/>
          <w:iCs/>
        </w:rPr>
        <w:t xml:space="preserve"> </w:t>
      </w:r>
      <w:r w:rsidRPr="00577291">
        <w:rPr>
          <w:i/>
          <w:iCs/>
        </w:rPr>
        <w:t xml:space="preserve">Ontario Energy Rebate </w:t>
      </w:r>
      <w:r w:rsidRPr="00577291">
        <w:rPr>
          <w:i/>
          <w:iCs/>
          <w:u w:val="single"/>
        </w:rPr>
        <w:t>in place at time of this report</w:t>
      </w:r>
      <w:r w:rsidRPr="00577291">
        <w:rPr>
          <w:i/>
          <w:iCs/>
        </w:rPr>
        <w:t xml:space="preserve"> was prepared (which reduces the total bill, before taxes, by 31.8%).</w:t>
      </w:r>
      <w:r w:rsidR="000E741D">
        <w:rPr>
          <w:i/>
          <w:iCs/>
        </w:rPr>
        <w:t xml:space="preserve"> </w:t>
      </w:r>
      <w:r>
        <w:rPr>
          <w:i/>
          <w:iCs/>
        </w:rPr>
        <w:t xml:space="preserve"> </w:t>
      </w:r>
      <w:r w:rsidR="00F545D6" w:rsidRPr="002B43E8">
        <w:rPr>
          <w:i/>
          <w:iCs/>
          <w:sz w:val="16"/>
          <w:szCs w:val="16"/>
        </w:rPr>
        <w:t xml:space="preserve">Note: </w:t>
      </w:r>
      <w:r w:rsidRPr="002B43E8">
        <w:rPr>
          <w:i/>
          <w:iCs/>
          <w:sz w:val="16"/>
          <w:szCs w:val="16"/>
        </w:rPr>
        <w:t xml:space="preserve">Underlining </w:t>
      </w:r>
      <w:r w:rsidR="00F8451E" w:rsidRPr="002B43E8">
        <w:rPr>
          <w:i/>
          <w:iCs/>
          <w:sz w:val="16"/>
          <w:szCs w:val="16"/>
        </w:rPr>
        <w:t xml:space="preserve">to </w:t>
      </w:r>
      <w:r w:rsidR="009865F8">
        <w:rPr>
          <w:i/>
          <w:iCs/>
          <w:sz w:val="16"/>
          <w:szCs w:val="16"/>
        </w:rPr>
        <w:t xml:space="preserve">the </w:t>
      </w:r>
      <w:r w:rsidR="00F8451E" w:rsidRPr="002B43E8">
        <w:rPr>
          <w:i/>
          <w:iCs/>
          <w:sz w:val="16"/>
          <w:szCs w:val="16"/>
        </w:rPr>
        <w:t xml:space="preserve">quote </w:t>
      </w:r>
      <w:r w:rsidR="00F545D6" w:rsidRPr="002B43E8">
        <w:rPr>
          <w:i/>
          <w:iCs/>
          <w:sz w:val="16"/>
          <w:szCs w:val="16"/>
        </w:rPr>
        <w:t xml:space="preserve">here </w:t>
      </w:r>
      <w:r w:rsidR="00F8451E" w:rsidRPr="002B43E8">
        <w:rPr>
          <w:i/>
          <w:iCs/>
          <w:sz w:val="16"/>
          <w:szCs w:val="16"/>
        </w:rPr>
        <w:t xml:space="preserve">has been </w:t>
      </w:r>
      <w:r w:rsidRPr="002B43E8">
        <w:rPr>
          <w:i/>
          <w:iCs/>
          <w:sz w:val="16"/>
          <w:szCs w:val="16"/>
        </w:rPr>
        <w:t>added.</w:t>
      </w:r>
    </w:p>
    <w:p w14:paraId="4B88FA9E" w14:textId="61035C28" w:rsidR="00577291" w:rsidRDefault="00577291" w:rsidP="00577291">
      <w:pPr>
        <w:rPr>
          <w:i/>
          <w:iCs/>
        </w:rPr>
      </w:pPr>
    </w:p>
    <w:p w14:paraId="58F365C9" w14:textId="2EDE680A" w:rsidR="00577291" w:rsidRDefault="00BF4301" w:rsidP="00577291">
      <w:r>
        <w:t xml:space="preserve">I’m sure I speak on behalf of most hydro consumers in saying that it is certainly </w:t>
      </w:r>
      <w:r w:rsidR="00C413B2">
        <w:t>hope</w:t>
      </w:r>
      <w:r>
        <w:t>d</w:t>
      </w:r>
      <w:r w:rsidR="00C413B2">
        <w:t xml:space="preserve"> that the Ontario Energy Rebate </w:t>
      </w:r>
      <w:r w:rsidR="00D54661">
        <w:t xml:space="preserve">which was introduced in November 2019 providing relief for hydro consumers </w:t>
      </w:r>
      <w:r w:rsidR="00C413B2">
        <w:t>is still in effect as the impacts from eliminating the seasonal class unfold.</w:t>
      </w:r>
    </w:p>
    <w:p w14:paraId="1B166354" w14:textId="44ED4975" w:rsidR="001322B6" w:rsidRDefault="001322B6" w:rsidP="00577291"/>
    <w:p w14:paraId="7ED5EC70" w14:textId="6E74B2AF" w:rsidR="00C413B2" w:rsidRDefault="00D54661" w:rsidP="00577291">
      <w:r>
        <w:t xml:space="preserve">It is noted that </w:t>
      </w:r>
      <w:r w:rsidR="00BF4301">
        <w:t>t</w:t>
      </w:r>
      <w:r w:rsidR="006F1AB5">
        <w:t>he</w:t>
      </w:r>
      <w:r w:rsidR="00F8451E">
        <w:t xml:space="preserve"> </w:t>
      </w:r>
      <w:r w:rsidR="00BF4301">
        <w:t xml:space="preserve">increases </w:t>
      </w:r>
      <w:r w:rsidR="00FD00E5">
        <w:t>to the distribution charge</w:t>
      </w:r>
      <w:r>
        <w:t>s</w:t>
      </w:r>
      <w:r w:rsidR="00FD00E5">
        <w:t xml:space="preserve"> component that </w:t>
      </w:r>
      <w:r>
        <w:t>is</w:t>
      </w:r>
      <w:r w:rsidR="00FD00E5">
        <w:t xml:space="preserve"> </w:t>
      </w:r>
      <w:r w:rsidR="00CE09C1">
        <w:t>com</w:t>
      </w:r>
      <w:r w:rsidR="00636DA6">
        <w:t xml:space="preserve">ing </w:t>
      </w:r>
      <w:r w:rsidR="00CE09C1">
        <w:t xml:space="preserve">to </w:t>
      </w:r>
      <w:r w:rsidR="00B515B4">
        <w:t xml:space="preserve">hydro bills </w:t>
      </w:r>
      <w:r w:rsidR="005412EF" w:rsidRPr="005412EF">
        <w:rPr>
          <w:u w:val="single"/>
        </w:rPr>
        <w:t>do</w:t>
      </w:r>
      <w:r>
        <w:rPr>
          <w:u w:val="single"/>
        </w:rPr>
        <w:t>es</w:t>
      </w:r>
      <w:r w:rsidR="005412EF" w:rsidRPr="005412EF">
        <w:rPr>
          <w:u w:val="single"/>
        </w:rPr>
        <w:t xml:space="preserve"> not </w:t>
      </w:r>
      <w:proofErr w:type="gramStart"/>
      <w:r>
        <w:rPr>
          <w:u w:val="single"/>
        </w:rPr>
        <w:t>as yet</w:t>
      </w:r>
      <w:proofErr w:type="gramEnd"/>
      <w:r>
        <w:rPr>
          <w:u w:val="single"/>
        </w:rPr>
        <w:t xml:space="preserve"> </w:t>
      </w:r>
      <w:r w:rsidR="005412EF" w:rsidRPr="005412EF">
        <w:rPr>
          <w:u w:val="single"/>
        </w:rPr>
        <w:t>include</w:t>
      </w:r>
      <w:r w:rsidR="005412EF">
        <w:t xml:space="preserve"> any </w:t>
      </w:r>
      <w:r w:rsidR="00F8451E">
        <w:t xml:space="preserve">additional increases </w:t>
      </w:r>
      <w:r w:rsidR="005412EF">
        <w:t xml:space="preserve">that would </w:t>
      </w:r>
      <w:r w:rsidR="00CE09C1">
        <w:t xml:space="preserve">also </w:t>
      </w:r>
      <w:r w:rsidR="00F8451E">
        <w:t xml:space="preserve">arise </w:t>
      </w:r>
      <w:r w:rsidR="00FD00E5">
        <w:t xml:space="preserve">from </w:t>
      </w:r>
      <w:r w:rsidR="00F8451E">
        <w:t>the following</w:t>
      </w:r>
      <w:r w:rsidR="005412EF">
        <w:t>:</w:t>
      </w:r>
    </w:p>
    <w:p w14:paraId="2421540B" w14:textId="2DA1E1BF" w:rsidR="005412EF" w:rsidRDefault="005412EF" w:rsidP="00577291"/>
    <w:p w14:paraId="590D81AE" w14:textId="0F485A76" w:rsidR="005412EF" w:rsidRDefault="00B4655B" w:rsidP="005412EF">
      <w:pPr>
        <w:pStyle w:val="ListParagraph"/>
        <w:numPr>
          <w:ilvl w:val="0"/>
          <w:numId w:val="16"/>
        </w:numPr>
      </w:pPr>
      <w:r>
        <w:t>W</w:t>
      </w:r>
      <w:r w:rsidR="00FB09DA">
        <w:t xml:space="preserve">ith </w:t>
      </w:r>
      <w:r w:rsidR="00F8451E">
        <w:t xml:space="preserve">such </w:t>
      </w:r>
      <w:r w:rsidR="00317031">
        <w:t xml:space="preserve">significant </w:t>
      </w:r>
      <w:r w:rsidR="00FB09DA">
        <w:t xml:space="preserve">hydro </w:t>
      </w:r>
      <w:r>
        <w:t>bill</w:t>
      </w:r>
      <w:r w:rsidR="00FB09DA">
        <w:t xml:space="preserve"> increases</w:t>
      </w:r>
      <w:r w:rsidR="00C23BAC">
        <w:t xml:space="preserve"> coming</w:t>
      </w:r>
      <w:r>
        <w:t xml:space="preserve">, one </w:t>
      </w:r>
      <w:r w:rsidR="00BF4301">
        <w:t xml:space="preserve">would </w:t>
      </w:r>
      <w:r w:rsidRPr="00B4655B">
        <w:t xml:space="preserve">expect </w:t>
      </w:r>
      <w:r w:rsidR="00861C63">
        <w:t xml:space="preserve">– especially for low volume </w:t>
      </w:r>
      <w:r w:rsidR="00BF4301">
        <w:t xml:space="preserve">seasonal R2 </w:t>
      </w:r>
      <w:r w:rsidR="00861C63">
        <w:t xml:space="preserve">consumers – that </w:t>
      </w:r>
      <w:r w:rsidR="00FB09DA">
        <w:t xml:space="preserve">it would </w:t>
      </w:r>
      <w:r>
        <w:t xml:space="preserve">act as an incentive and </w:t>
      </w:r>
      <w:r w:rsidR="00FB09DA">
        <w:t xml:space="preserve">accelerate the number of current </w:t>
      </w:r>
      <w:r w:rsidR="00CD48D9">
        <w:t xml:space="preserve">customers </w:t>
      </w:r>
      <w:r w:rsidR="00FB09DA">
        <w:t xml:space="preserve">deciding to go “off-grid” </w:t>
      </w:r>
      <w:r w:rsidR="00174E7F">
        <w:t xml:space="preserve">whether through solar, propane or other means, </w:t>
      </w:r>
      <w:r w:rsidR="00FB09DA">
        <w:t xml:space="preserve">and strand additional Hydro One assets. This point </w:t>
      </w:r>
      <w:r w:rsidR="00B233D8">
        <w:t xml:space="preserve">has been raised </w:t>
      </w:r>
      <w:r w:rsidR="00861C63">
        <w:t>by m</w:t>
      </w:r>
      <w:r w:rsidR="005412EF">
        <w:t xml:space="preserve">any </w:t>
      </w:r>
      <w:r w:rsidR="00BF4301">
        <w:t xml:space="preserve">different </w:t>
      </w:r>
      <w:r w:rsidR="00C23BAC">
        <w:t xml:space="preserve">and diverse </w:t>
      </w:r>
      <w:r w:rsidR="00861C63">
        <w:t>part</w:t>
      </w:r>
      <w:r w:rsidR="005412EF">
        <w:t>ies</w:t>
      </w:r>
      <w:r w:rsidR="00861C63">
        <w:t xml:space="preserve"> </w:t>
      </w:r>
      <w:r w:rsidR="00B233D8">
        <w:t xml:space="preserve">starting </w:t>
      </w:r>
      <w:r w:rsidR="00861C63">
        <w:t xml:space="preserve">as early as </w:t>
      </w:r>
      <w:r w:rsidR="002723BB">
        <w:t>the June 10, 2015</w:t>
      </w:r>
      <w:r w:rsidR="00174E7F">
        <w:t xml:space="preserve">, </w:t>
      </w:r>
      <w:r w:rsidR="00053994">
        <w:t xml:space="preserve">stakeholder consultation </w:t>
      </w:r>
      <w:r w:rsidR="002723BB">
        <w:t xml:space="preserve">referred to </w:t>
      </w:r>
      <w:r w:rsidR="00174E7F">
        <w:t xml:space="preserve">in </w:t>
      </w:r>
      <w:r w:rsidR="00CD48D9">
        <w:t>Appendix A</w:t>
      </w:r>
      <w:r>
        <w:t xml:space="preserve"> of the</w:t>
      </w:r>
      <w:r w:rsidR="0002072A">
        <w:t xml:space="preserve"> </w:t>
      </w:r>
      <w:r w:rsidR="002B43E8">
        <w:t xml:space="preserve">2020 </w:t>
      </w:r>
      <w:r w:rsidR="0002072A">
        <w:t>Report</w:t>
      </w:r>
      <w:r w:rsidR="005412EF">
        <w:t xml:space="preserve"> thr</w:t>
      </w:r>
      <w:r w:rsidR="002B43E8">
        <w:t>ough</w:t>
      </w:r>
      <w:r w:rsidR="005412EF">
        <w:t xml:space="preserve"> to </w:t>
      </w:r>
      <w:r w:rsidR="00B515B4">
        <w:t xml:space="preserve">reference in </w:t>
      </w:r>
      <w:r w:rsidR="005412EF">
        <w:t xml:space="preserve">numerous letters of comment received by </w:t>
      </w:r>
      <w:r w:rsidR="002B43E8">
        <w:t>the Ontario Energy Board (</w:t>
      </w:r>
      <w:proofErr w:type="gramStart"/>
      <w:r w:rsidR="002B43E8">
        <w:t>i.e.</w:t>
      </w:r>
      <w:proofErr w:type="gramEnd"/>
      <w:r w:rsidR="002B43E8">
        <w:t xml:space="preserve"> </w:t>
      </w:r>
      <w:r w:rsidR="005412EF">
        <w:t>the OEB</w:t>
      </w:r>
      <w:r w:rsidR="002B43E8">
        <w:t>)</w:t>
      </w:r>
      <w:r w:rsidR="005412EF">
        <w:t xml:space="preserve"> in this matter </w:t>
      </w:r>
      <w:r w:rsidR="002B43E8">
        <w:t xml:space="preserve">since the </w:t>
      </w:r>
      <w:r w:rsidR="00C23BAC">
        <w:t xml:space="preserve">direct </w:t>
      </w:r>
      <w:r w:rsidR="002B43E8">
        <w:t xml:space="preserve">mailout of the Hydro One Notice </w:t>
      </w:r>
      <w:r w:rsidR="00C23BAC">
        <w:t xml:space="preserve">to its seasonal customers </w:t>
      </w:r>
      <w:r w:rsidR="002B43E8">
        <w:t>in February 2021.</w:t>
      </w:r>
    </w:p>
    <w:p w14:paraId="58CDEC8A" w14:textId="77777777" w:rsidR="005412EF" w:rsidRDefault="005412EF" w:rsidP="005412EF"/>
    <w:p w14:paraId="6323DBCA" w14:textId="5CC2DB70" w:rsidR="005412EF" w:rsidRDefault="00724726" w:rsidP="005412EF">
      <w:pPr>
        <w:pStyle w:val="ListParagraph"/>
      </w:pPr>
      <w:r>
        <w:t>When asked about</w:t>
      </w:r>
      <w:r w:rsidR="000E741D">
        <w:t xml:space="preserve"> this a</w:t>
      </w:r>
      <w:r w:rsidR="005412EF">
        <w:t xml:space="preserve">t Exhibit </w:t>
      </w:r>
      <w:r w:rsidR="00B515B4">
        <w:t>I-02-01, part d), Hydro One confirmed that:</w:t>
      </w:r>
    </w:p>
    <w:p w14:paraId="43FA2E94" w14:textId="6FD9C399" w:rsidR="00B515B4" w:rsidRDefault="00B515B4" w:rsidP="005412EF">
      <w:pPr>
        <w:pStyle w:val="ListParagraph"/>
      </w:pPr>
    </w:p>
    <w:p w14:paraId="1031AAA3" w14:textId="57EF97B1" w:rsidR="00B515B4" w:rsidRPr="002B43E8" w:rsidRDefault="00724726" w:rsidP="002B43E8">
      <w:pPr>
        <w:pStyle w:val="ListParagraph"/>
        <w:ind w:left="1440"/>
        <w:rPr>
          <w:sz w:val="16"/>
          <w:szCs w:val="16"/>
        </w:rPr>
      </w:pPr>
      <w:r>
        <w:rPr>
          <w:i/>
          <w:iCs/>
        </w:rPr>
        <w:t>No, t</w:t>
      </w:r>
      <w:r w:rsidR="00B515B4" w:rsidRPr="007C768F">
        <w:rPr>
          <w:i/>
          <w:iCs/>
        </w:rPr>
        <w:t xml:space="preserve">he impact of seasonal customers potentially going “off-grid” has not been factored into any potential rate increases. Hydro One does not have any research or estimates on the number of customers that could go off-grid and </w:t>
      </w:r>
      <w:r w:rsidR="00B515B4" w:rsidRPr="007C768F">
        <w:rPr>
          <w:i/>
          <w:iCs/>
        </w:rPr>
        <w:lastRenderedPageBreak/>
        <w:t>potentially cancel their service as a result of the increases to seasonal-R2 customer bills.</w:t>
      </w:r>
      <w:r w:rsidR="00B515B4" w:rsidRPr="00B515B4">
        <w:rPr>
          <w:i/>
          <w:iCs/>
        </w:rPr>
        <w:t xml:space="preserve"> </w:t>
      </w:r>
      <w:r w:rsidR="00B515B4" w:rsidRPr="00C23BAC">
        <w:rPr>
          <w:i/>
          <w:iCs/>
        </w:rPr>
        <w:t xml:space="preserve">Hydro One does not have an estimate of how this would impact future distribution </w:t>
      </w:r>
      <w:proofErr w:type="gramStart"/>
      <w:r w:rsidR="00B515B4" w:rsidRPr="00C23BAC">
        <w:rPr>
          <w:i/>
          <w:iCs/>
        </w:rPr>
        <w:t>rates</w:t>
      </w:r>
      <w:r w:rsidR="000E741D" w:rsidRPr="00C23BAC">
        <w:rPr>
          <w:i/>
          <w:iCs/>
        </w:rPr>
        <w:t>,</w:t>
      </w:r>
      <w:r>
        <w:rPr>
          <w:i/>
          <w:iCs/>
        </w:rPr>
        <w:t xml:space="preserve"> </w:t>
      </w:r>
      <w:r w:rsidR="00B515B4" w:rsidRPr="00B515B4">
        <w:rPr>
          <w:i/>
          <w:iCs/>
        </w:rPr>
        <w:t>but</w:t>
      </w:r>
      <w:proofErr w:type="gramEnd"/>
      <w:r w:rsidR="00B515B4" w:rsidRPr="00B515B4">
        <w:rPr>
          <w:i/>
          <w:iCs/>
        </w:rPr>
        <w:t xml:space="preserve"> does note that any impacts would affect all customers, not just seasonal-R2 customers</w:t>
      </w:r>
      <w:r w:rsidR="00B515B4">
        <w:t>.</w:t>
      </w:r>
      <w:r w:rsidR="002B43E8">
        <w:t xml:space="preserve"> </w:t>
      </w:r>
      <w:r w:rsidR="000E741D">
        <w:t xml:space="preserve"> </w:t>
      </w:r>
    </w:p>
    <w:p w14:paraId="3D8CD4C7" w14:textId="77777777" w:rsidR="001322B6" w:rsidRDefault="001322B6" w:rsidP="001322B6"/>
    <w:p w14:paraId="28F13BCA" w14:textId="60351A61" w:rsidR="00C23BAC" w:rsidRDefault="00C23BAC" w:rsidP="00724726">
      <w:pPr>
        <w:ind w:left="720"/>
      </w:pPr>
      <w:proofErr w:type="gramStart"/>
      <w:r>
        <w:t xml:space="preserve">Interestingly </w:t>
      </w:r>
      <w:r w:rsidR="00724726">
        <w:t xml:space="preserve">enough, </w:t>
      </w:r>
      <w:r>
        <w:t>it</w:t>
      </w:r>
      <w:proofErr w:type="gramEnd"/>
      <w:r>
        <w:t xml:space="preserve"> does however state </w:t>
      </w:r>
      <w:r w:rsidR="00724726">
        <w:t>a</w:t>
      </w:r>
      <w:r w:rsidR="001322B6">
        <w:t>t Exhibit I-03-12, that:</w:t>
      </w:r>
    </w:p>
    <w:p w14:paraId="21086CA2" w14:textId="77777777" w:rsidR="00C23BAC" w:rsidRDefault="00C23BAC" w:rsidP="00724726">
      <w:pPr>
        <w:ind w:left="720"/>
      </w:pPr>
    </w:p>
    <w:p w14:paraId="1988EF94" w14:textId="2844D5B1" w:rsidR="001322B6" w:rsidRDefault="001322B6" w:rsidP="00C23BAC">
      <w:pPr>
        <w:ind w:left="1440"/>
      </w:pPr>
      <w:r>
        <w:t>“</w:t>
      </w:r>
      <w:r w:rsidRPr="00724726">
        <w:rPr>
          <w:i/>
          <w:iCs/>
        </w:rPr>
        <w:t>Hydro One also expects to see an increase in customer enquiries about self-generation and disconnection from the grid</w:t>
      </w:r>
      <w:r>
        <w:t>.</w:t>
      </w:r>
      <w:r w:rsidR="00724726">
        <w:t>”</w:t>
      </w:r>
    </w:p>
    <w:p w14:paraId="00000039" w14:textId="4F2070AB" w:rsidR="00240D77" w:rsidRDefault="00861C63" w:rsidP="00B515B4">
      <w:r>
        <w:t xml:space="preserve">. </w:t>
      </w:r>
    </w:p>
    <w:p w14:paraId="0000003E" w14:textId="7C689B20" w:rsidR="00240D77" w:rsidRDefault="000E741D" w:rsidP="00B515B4">
      <w:pPr>
        <w:pStyle w:val="ListParagraph"/>
        <w:numPr>
          <w:ilvl w:val="0"/>
          <w:numId w:val="16"/>
        </w:numPr>
      </w:pPr>
      <w:r>
        <w:t>Secondly, o</w:t>
      </w:r>
      <w:r w:rsidR="00FB09DA">
        <w:t xml:space="preserve">ne would </w:t>
      </w:r>
      <w:r w:rsidR="00D16C37">
        <w:t xml:space="preserve">also </w:t>
      </w:r>
      <w:r w:rsidR="00FB09DA">
        <w:t>expect payment defaults to rise</w:t>
      </w:r>
      <w:r w:rsidR="00D16C37">
        <w:t>,</w:t>
      </w:r>
      <w:r w:rsidR="00FB09DA">
        <w:t xml:space="preserve"> and with them</w:t>
      </w:r>
      <w:r w:rsidR="0002072A">
        <w:t>,</w:t>
      </w:r>
      <w:r w:rsidR="00FB09DA">
        <w:t xml:space="preserve"> increases in Hydro One initiated service disconnects. If no such disconnects were to occur </w:t>
      </w:r>
      <w:r w:rsidR="00D844C4">
        <w:t xml:space="preserve">in future </w:t>
      </w:r>
      <w:r w:rsidR="00FB09DA">
        <w:t>per policy (</w:t>
      </w:r>
      <w:proofErr w:type="spellStart"/>
      <w:proofErr w:type="gramStart"/>
      <w:r w:rsidR="00FB09DA">
        <w:t>ie</w:t>
      </w:r>
      <w:proofErr w:type="spellEnd"/>
      <w:proofErr w:type="gramEnd"/>
      <w:r w:rsidR="00FB09DA">
        <w:t xml:space="preserve"> </w:t>
      </w:r>
      <w:r w:rsidR="00174E7F">
        <w:t xml:space="preserve">due to </w:t>
      </w:r>
      <w:r w:rsidR="00FB09DA">
        <w:t xml:space="preserve">the Covid-19 pandemic) or otherwise due to government </w:t>
      </w:r>
      <w:r w:rsidR="00D54661">
        <w:t xml:space="preserve">or other </w:t>
      </w:r>
      <w:r w:rsidR="00FB09DA">
        <w:t xml:space="preserve">direction, subsidization of such defaulted payments would </w:t>
      </w:r>
      <w:r w:rsidR="00B233D8">
        <w:t xml:space="preserve">appear to be </w:t>
      </w:r>
      <w:r w:rsidR="00FB09DA">
        <w:t xml:space="preserve">required. The result would either </w:t>
      </w:r>
      <w:r w:rsidR="00B233D8">
        <w:t xml:space="preserve">be </w:t>
      </w:r>
      <w:r w:rsidR="00FB09DA">
        <w:t xml:space="preserve">a </w:t>
      </w:r>
      <w:r w:rsidR="00174E7F">
        <w:t xml:space="preserve">further </w:t>
      </w:r>
      <w:r w:rsidR="00FB09DA">
        <w:t xml:space="preserve">reduction in customers with additional abandoned Hydro One assets or an added cost burden on the </w:t>
      </w:r>
      <w:r w:rsidR="0002072A">
        <w:t>r</w:t>
      </w:r>
      <w:r w:rsidR="00FB09DA">
        <w:t xml:space="preserve">esidential </w:t>
      </w:r>
      <w:r w:rsidR="0002072A">
        <w:t>l</w:t>
      </w:r>
      <w:r w:rsidR="00FB09DA">
        <w:t xml:space="preserve">ow </w:t>
      </w:r>
      <w:r w:rsidR="0002072A">
        <w:t>d</w:t>
      </w:r>
      <w:r w:rsidR="00FB09DA">
        <w:t xml:space="preserve">ensity (R2) </w:t>
      </w:r>
      <w:r w:rsidR="0002072A">
        <w:t>c</w:t>
      </w:r>
      <w:r w:rsidR="00FB09DA">
        <w:t xml:space="preserve">lass including the </w:t>
      </w:r>
      <w:r w:rsidR="0002072A">
        <w:t>s</w:t>
      </w:r>
      <w:r w:rsidR="00FB09DA">
        <w:t xml:space="preserve">easonal customers moved there. </w:t>
      </w:r>
    </w:p>
    <w:p w14:paraId="22DF08B2" w14:textId="36C20498" w:rsidR="00724726" w:rsidRDefault="00724726" w:rsidP="00724726"/>
    <w:p w14:paraId="0000003F" w14:textId="2F29A899" w:rsidR="00240D77" w:rsidRDefault="00B515B4" w:rsidP="00B515B4">
      <w:pPr>
        <w:ind w:left="720"/>
      </w:pPr>
      <w:r>
        <w:t xml:space="preserve">At Exhibit I-02-01, part e), Hydro One </w:t>
      </w:r>
      <w:r w:rsidR="00C23BAC">
        <w:t xml:space="preserve">once again confirmed </w:t>
      </w:r>
      <w:r>
        <w:t>that:</w:t>
      </w:r>
    </w:p>
    <w:p w14:paraId="57AF8F36" w14:textId="77777777" w:rsidR="00B515B4" w:rsidRDefault="00B515B4" w:rsidP="00B515B4">
      <w:pPr>
        <w:ind w:left="720"/>
      </w:pPr>
    </w:p>
    <w:p w14:paraId="57E288EF" w14:textId="3E59831B" w:rsidR="000E741D" w:rsidRPr="002B43E8" w:rsidRDefault="00B64931" w:rsidP="000E741D">
      <w:pPr>
        <w:pStyle w:val="ListParagraph"/>
        <w:ind w:left="1440"/>
        <w:rPr>
          <w:sz w:val="16"/>
          <w:szCs w:val="16"/>
        </w:rPr>
      </w:pPr>
      <w:r>
        <w:rPr>
          <w:i/>
          <w:iCs/>
        </w:rPr>
        <w:t>No, t</w:t>
      </w:r>
      <w:r w:rsidR="00B515B4" w:rsidRPr="007C768F">
        <w:rPr>
          <w:i/>
          <w:iCs/>
        </w:rPr>
        <w:t>he impact of a rise in payment defaults or service disconnects has not been factored into any potential rate increases. Hydro One does not have any analysis of the impact on payment defaults resulting from the increase in seasonal-R2 electricity bills.</w:t>
      </w:r>
      <w:r w:rsidR="00B515B4" w:rsidRPr="00B515B4">
        <w:rPr>
          <w:i/>
          <w:iCs/>
        </w:rPr>
        <w:t xml:space="preserve"> </w:t>
      </w:r>
      <w:r w:rsidR="00B515B4" w:rsidRPr="00C23BAC">
        <w:rPr>
          <w:i/>
          <w:iCs/>
        </w:rPr>
        <w:t xml:space="preserve">Hydro One does not have an estimate of how this would impact future distribution </w:t>
      </w:r>
      <w:proofErr w:type="gramStart"/>
      <w:r w:rsidR="00B515B4" w:rsidRPr="00C23BAC">
        <w:rPr>
          <w:i/>
          <w:iCs/>
        </w:rPr>
        <w:t>rates</w:t>
      </w:r>
      <w:r w:rsidR="000E741D">
        <w:rPr>
          <w:i/>
          <w:iCs/>
        </w:rPr>
        <w:t>,</w:t>
      </w:r>
      <w:r w:rsidR="000E741D" w:rsidRPr="000E741D">
        <w:rPr>
          <w:i/>
          <w:iCs/>
        </w:rPr>
        <w:t xml:space="preserve"> </w:t>
      </w:r>
      <w:r w:rsidR="00B515B4" w:rsidRPr="00B515B4">
        <w:rPr>
          <w:i/>
          <w:iCs/>
        </w:rPr>
        <w:t>but</w:t>
      </w:r>
      <w:proofErr w:type="gramEnd"/>
      <w:r w:rsidR="00B515B4" w:rsidRPr="00B515B4">
        <w:rPr>
          <w:i/>
          <w:iCs/>
        </w:rPr>
        <w:t xml:space="preserve"> does note that any impacts would affect all R2 customers, not just seasonal-R2 customers</w:t>
      </w:r>
      <w:r w:rsidR="007C768F">
        <w:rPr>
          <w:i/>
          <w:iCs/>
        </w:rPr>
        <w:t>.</w:t>
      </w:r>
      <w:r w:rsidR="000E741D">
        <w:rPr>
          <w:i/>
          <w:iCs/>
        </w:rPr>
        <w:t xml:space="preserve"> </w:t>
      </w:r>
    </w:p>
    <w:p w14:paraId="00000041" w14:textId="77777777" w:rsidR="00240D77" w:rsidRDefault="00240D77" w:rsidP="00B515B4"/>
    <w:p w14:paraId="00000046" w14:textId="7A9C65FF" w:rsidR="00240D77" w:rsidRDefault="000E741D" w:rsidP="00B515B4">
      <w:pPr>
        <w:pStyle w:val="ListParagraph"/>
        <w:numPr>
          <w:ilvl w:val="0"/>
          <w:numId w:val="16"/>
        </w:numPr>
      </w:pPr>
      <w:r>
        <w:t xml:space="preserve">Thirdly, </w:t>
      </w:r>
      <w:r w:rsidR="00FB09DA">
        <w:t xml:space="preserve">ongoing or generalized inflationary hydro rate increases </w:t>
      </w:r>
      <w:r w:rsidR="004E39EF">
        <w:t>(ie</w:t>
      </w:r>
      <w:r w:rsidR="00B5332B">
        <w:t>.</w:t>
      </w:r>
      <w:r w:rsidR="00DC23CE">
        <w:t xml:space="preserve">in </w:t>
      </w:r>
      <w:r>
        <w:t xml:space="preserve">the </w:t>
      </w:r>
      <w:r w:rsidR="004E39EF">
        <w:t xml:space="preserve">non-distribution </w:t>
      </w:r>
      <w:r>
        <w:t>charge components</w:t>
      </w:r>
      <w:r w:rsidR="004E39EF">
        <w:t xml:space="preserve">) </w:t>
      </w:r>
      <w:r w:rsidR="00FB09DA">
        <w:t>c</w:t>
      </w:r>
      <w:r w:rsidR="00C23BAC">
        <w:t xml:space="preserve">ould </w:t>
      </w:r>
      <w:r>
        <w:t xml:space="preserve">also </w:t>
      </w:r>
      <w:r w:rsidR="00FB09DA">
        <w:t>be expected in the years ahead that w</w:t>
      </w:r>
      <w:r w:rsidR="00C23BAC">
        <w:t xml:space="preserve">ould further </w:t>
      </w:r>
      <w:r w:rsidR="00FB09DA">
        <w:t>add to the financial burden faced by hydro customers</w:t>
      </w:r>
      <w:r>
        <w:t xml:space="preserve">, but </w:t>
      </w:r>
      <w:proofErr w:type="gramStart"/>
      <w:r>
        <w:t>in particular for</w:t>
      </w:r>
      <w:proofErr w:type="gramEnd"/>
      <w:r>
        <w:t xml:space="preserve"> the </w:t>
      </w:r>
      <w:r w:rsidR="00DB4FF2">
        <w:t xml:space="preserve">low </w:t>
      </w:r>
      <w:r>
        <w:t>volume seasonal customers destined for the R2 class</w:t>
      </w:r>
      <w:r w:rsidR="00FB09DA">
        <w:t xml:space="preserve">. From page 49 of the </w:t>
      </w:r>
      <w:proofErr w:type="gramStart"/>
      <w:r w:rsidR="00DB4FF2">
        <w:t xml:space="preserve">Feedback </w:t>
      </w:r>
      <w:r w:rsidR="00FB09DA">
        <w:t xml:space="preserve"> </w:t>
      </w:r>
      <w:r w:rsidR="00D66056">
        <w:t>section</w:t>
      </w:r>
      <w:proofErr w:type="gramEnd"/>
      <w:r w:rsidR="00D66056">
        <w:t xml:space="preserve"> </w:t>
      </w:r>
      <w:r w:rsidR="00B64931">
        <w:t xml:space="preserve">from the June 10, 2015, stakeholder session found </w:t>
      </w:r>
      <w:r w:rsidR="00DC23CE">
        <w:t xml:space="preserve">in Appendix A of the </w:t>
      </w:r>
      <w:r w:rsidR="00B64931">
        <w:t xml:space="preserve">2020 </w:t>
      </w:r>
      <w:r w:rsidR="00DC23CE">
        <w:t>Report</w:t>
      </w:r>
      <w:r w:rsidR="00FB09DA">
        <w:t xml:space="preserve">, the following comments from a representative </w:t>
      </w:r>
      <w:r w:rsidR="00DB4FF2">
        <w:t xml:space="preserve">of Energy Probe </w:t>
      </w:r>
      <w:r w:rsidR="00FB09DA">
        <w:t>are germane to the issue:</w:t>
      </w:r>
    </w:p>
    <w:p w14:paraId="00000047" w14:textId="77777777" w:rsidR="00240D77" w:rsidRDefault="00240D77">
      <w:pPr>
        <w:rPr>
          <w:i/>
        </w:rPr>
      </w:pPr>
    </w:p>
    <w:p w14:paraId="00000049" w14:textId="34B30D89" w:rsidR="00240D77" w:rsidRDefault="00FB09DA" w:rsidP="00DB4FF2">
      <w:pPr>
        <w:ind w:left="1440"/>
        <w:rPr>
          <w:i/>
        </w:rPr>
      </w:pPr>
      <w:r>
        <w:rPr>
          <w:i/>
        </w:rPr>
        <w:t>I understand Hydro One is eliminating the seasonal rate class at the request of the Board, but it needs to fully detail to the Board how much of an impact it will have on ratepayers’ bills when combined with the fixed charge proposal. Furthermore, Hydro One should also detail the impact of those charges when combined with – at the minimum – inflationary increases in other components of the bill</w:t>
      </w:r>
      <w:r w:rsidR="00DB4FF2">
        <w:rPr>
          <w:i/>
        </w:rPr>
        <w:t>.</w:t>
      </w:r>
    </w:p>
    <w:p w14:paraId="541B13B7" w14:textId="77777777" w:rsidR="00DB4FF2" w:rsidRDefault="00DB4FF2" w:rsidP="00DB4FF2">
      <w:pPr>
        <w:ind w:left="1440"/>
        <w:rPr>
          <w:i/>
        </w:rPr>
      </w:pPr>
    </w:p>
    <w:p w14:paraId="0000004A" w14:textId="2E37E904" w:rsidR="00240D77" w:rsidRDefault="00FB09DA" w:rsidP="00DC23CE">
      <w:pPr>
        <w:ind w:left="720"/>
      </w:pPr>
      <w:r>
        <w:lastRenderedPageBreak/>
        <w:t xml:space="preserve">Similar thoughts are found on page 4 </w:t>
      </w:r>
      <w:r w:rsidR="00D66056">
        <w:t xml:space="preserve">of the same Appendix A from the </w:t>
      </w:r>
      <w:r w:rsidR="004E39EF">
        <w:t xml:space="preserve">stakeholder </w:t>
      </w:r>
      <w:r>
        <w:t xml:space="preserve">summary notes from a representative of the </w:t>
      </w:r>
      <w:r w:rsidR="00A07B30">
        <w:t>Vulnerable Energy Consumers Coalition (</w:t>
      </w:r>
      <w:r>
        <w:t>VECC</w:t>
      </w:r>
      <w:r w:rsidR="00A07B30">
        <w:t>)</w:t>
      </w:r>
      <w:r w:rsidR="00B4655B">
        <w:t xml:space="preserve"> as follows</w:t>
      </w:r>
      <w:r>
        <w:t>:</w:t>
      </w:r>
    </w:p>
    <w:p w14:paraId="0000004B" w14:textId="77777777" w:rsidR="00240D77" w:rsidRDefault="00240D77"/>
    <w:p w14:paraId="0000004C" w14:textId="6BEED70A" w:rsidR="00240D77" w:rsidRDefault="00FB09DA" w:rsidP="007C768F">
      <w:pPr>
        <w:ind w:left="1440"/>
        <w:rPr>
          <w:i/>
        </w:rPr>
      </w:pPr>
      <w:r>
        <w:rPr>
          <w:i/>
        </w:rPr>
        <w:t xml:space="preserve">Hydro One needs to be clear about its interpretation of the 10% stipulated by the Ontario Energy Board – whether just looking at the impact of eliminating the Seasonal class or all factors …  impacting rates. </w:t>
      </w:r>
    </w:p>
    <w:p w14:paraId="44BC7E10" w14:textId="0E3D0727" w:rsidR="00DC23CE" w:rsidRDefault="00DC23CE">
      <w:pPr>
        <w:ind w:left="720"/>
        <w:rPr>
          <w:i/>
        </w:rPr>
      </w:pPr>
    </w:p>
    <w:p w14:paraId="564826C1" w14:textId="69C4AA3F" w:rsidR="00DC23CE" w:rsidRDefault="00D66056">
      <w:pPr>
        <w:ind w:left="720"/>
        <w:rPr>
          <w:iCs/>
        </w:rPr>
      </w:pPr>
      <w:r>
        <w:rPr>
          <w:iCs/>
        </w:rPr>
        <w:t>When asked about this issue, Hydro One stated a</w:t>
      </w:r>
      <w:r w:rsidR="00CE09C1">
        <w:rPr>
          <w:iCs/>
        </w:rPr>
        <w:t>t Exhibit I-02-01, part f), that:</w:t>
      </w:r>
    </w:p>
    <w:p w14:paraId="1E734786" w14:textId="77777777" w:rsidR="00CE09C1" w:rsidRDefault="00CE09C1">
      <w:pPr>
        <w:ind w:left="720"/>
        <w:rPr>
          <w:iCs/>
        </w:rPr>
      </w:pPr>
    </w:p>
    <w:p w14:paraId="3A9A3142" w14:textId="7F9E7754" w:rsidR="00CE09C1" w:rsidRPr="00614F73" w:rsidRDefault="00CE09C1" w:rsidP="00D66056">
      <w:pPr>
        <w:ind w:left="1440"/>
        <w:rPr>
          <w:i/>
          <w:iCs/>
        </w:rPr>
      </w:pPr>
      <w:r w:rsidRPr="00CE09C1">
        <w:rPr>
          <w:i/>
          <w:iCs/>
        </w:rPr>
        <w:t xml:space="preserve">Hydro One has provided bill impacts in accordance with the OEB’s Chapter 2 Filing Requirements for electricity distribution cost of service rate applications (Section 2.8.12), which require that bill impacts be calculated assuming commodity and regulatory charges remain constant. </w:t>
      </w:r>
      <w:r w:rsidRPr="00614F73">
        <w:rPr>
          <w:i/>
          <w:iCs/>
        </w:rPr>
        <w:t xml:space="preserve">Hydro One does not have any projections of total bill impacts assuming inflationary increases in the other components of the </w:t>
      </w:r>
      <w:proofErr w:type="gramStart"/>
      <w:r w:rsidRPr="00614F73">
        <w:rPr>
          <w:i/>
          <w:iCs/>
        </w:rPr>
        <w:t>bill.</w:t>
      </w:r>
      <w:r w:rsidR="007C768F" w:rsidRPr="00614F73">
        <w:rPr>
          <w:i/>
          <w:iCs/>
        </w:rPr>
        <w:t xml:space="preserve"> </w:t>
      </w:r>
      <w:r w:rsidR="00D66056" w:rsidRPr="00614F73">
        <w:rPr>
          <w:i/>
          <w:iCs/>
        </w:rPr>
        <w:t xml:space="preserve">  </w:t>
      </w:r>
      <w:proofErr w:type="gramEnd"/>
      <w:r w:rsidR="00D66056" w:rsidRPr="00614F73">
        <w:rPr>
          <w:i/>
          <w:iCs/>
          <w:sz w:val="16"/>
          <w:szCs w:val="16"/>
        </w:rPr>
        <w:t>.</w:t>
      </w:r>
    </w:p>
    <w:p w14:paraId="086413EC" w14:textId="025CF06C" w:rsidR="00DC23CE" w:rsidRPr="00614F73" w:rsidRDefault="00DC23CE">
      <w:pPr>
        <w:ind w:left="720"/>
        <w:rPr>
          <w:i/>
          <w:iCs/>
        </w:rPr>
      </w:pPr>
    </w:p>
    <w:p w14:paraId="42800EBD" w14:textId="3558F24A" w:rsidR="00DC23CE" w:rsidRDefault="00504589" w:rsidP="007C768F">
      <w:pPr>
        <w:rPr>
          <w:i/>
        </w:rPr>
      </w:pPr>
      <w:r>
        <w:rPr>
          <w:iCs/>
        </w:rPr>
        <w:t xml:space="preserve">In summary, low volume seasonal customers destined for the R2 residential class </w:t>
      </w:r>
      <w:r w:rsidR="0010703F">
        <w:rPr>
          <w:iCs/>
        </w:rPr>
        <w:t>-</w:t>
      </w:r>
      <w:r>
        <w:rPr>
          <w:iCs/>
        </w:rPr>
        <w:t xml:space="preserve"> already facing the largest increases in their future hydro bills - face the additional uncertainty of </w:t>
      </w:r>
      <w:r w:rsidRPr="00504589">
        <w:rPr>
          <w:iCs/>
          <w:u w:val="single"/>
        </w:rPr>
        <w:t>how much more</w:t>
      </w:r>
      <w:r>
        <w:rPr>
          <w:iCs/>
        </w:rPr>
        <w:t xml:space="preserve"> their hydro bills </w:t>
      </w:r>
      <w:r w:rsidR="00614F73">
        <w:rPr>
          <w:iCs/>
        </w:rPr>
        <w:t xml:space="preserve">may well </w:t>
      </w:r>
      <w:r>
        <w:rPr>
          <w:iCs/>
        </w:rPr>
        <w:t xml:space="preserve">increase in the years ahead due to the </w:t>
      </w:r>
      <w:r w:rsidR="00614F73">
        <w:rPr>
          <w:iCs/>
        </w:rPr>
        <w:t xml:space="preserve">unquantified </w:t>
      </w:r>
      <w:r>
        <w:rPr>
          <w:iCs/>
        </w:rPr>
        <w:t xml:space="preserve">financial impact of each of these three </w:t>
      </w:r>
      <w:r w:rsidR="0010703F">
        <w:rPr>
          <w:iCs/>
        </w:rPr>
        <w:t>items</w:t>
      </w:r>
      <w:r>
        <w:rPr>
          <w:iCs/>
        </w:rPr>
        <w:t xml:space="preserve">. </w:t>
      </w:r>
    </w:p>
    <w:p w14:paraId="0000004F" w14:textId="77777777" w:rsidR="00240D77" w:rsidRDefault="00240D77"/>
    <w:p w14:paraId="00000054" w14:textId="38012CD2" w:rsidR="00240D77" w:rsidRDefault="007C768F">
      <w:pPr>
        <w:rPr>
          <w:b/>
          <w:u w:val="single"/>
        </w:rPr>
      </w:pPr>
      <w:r w:rsidRPr="007C768F">
        <w:rPr>
          <w:b/>
          <w:u w:val="single"/>
        </w:rPr>
        <w:t>Communications</w:t>
      </w:r>
    </w:p>
    <w:p w14:paraId="20214D02" w14:textId="3893FB9A" w:rsidR="007E5A76" w:rsidRDefault="007E5A76">
      <w:pPr>
        <w:rPr>
          <w:b/>
          <w:u w:val="single"/>
        </w:rPr>
      </w:pPr>
    </w:p>
    <w:p w14:paraId="1C5669FD" w14:textId="18D6DED2" w:rsidR="00243DD4" w:rsidRDefault="00243DD4" w:rsidP="00243DD4">
      <w:r>
        <w:t xml:space="preserve">Many sources have identified the need for clear and effective communication of the </w:t>
      </w:r>
      <w:r w:rsidR="00636DA6">
        <w:t>OEB’s</w:t>
      </w:r>
      <w:r>
        <w:t xml:space="preserve"> decision to eliminate the seasonal class, some </w:t>
      </w:r>
      <w:r w:rsidR="00614F73">
        <w:t xml:space="preserve">now </w:t>
      </w:r>
      <w:r w:rsidR="00B64931">
        <w:t xml:space="preserve">dating </w:t>
      </w:r>
      <w:r>
        <w:t xml:space="preserve">back </w:t>
      </w:r>
      <w:r w:rsidR="00DD4487">
        <w:t xml:space="preserve">several years </w:t>
      </w:r>
      <w:r>
        <w:t xml:space="preserve">as indicated by the following: </w:t>
      </w:r>
    </w:p>
    <w:p w14:paraId="3A2CCF93" w14:textId="77777777" w:rsidR="00243DD4" w:rsidRDefault="00243DD4" w:rsidP="00243DD4"/>
    <w:p w14:paraId="64240AE0" w14:textId="1F634106" w:rsidR="00243DD4" w:rsidRDefault="00243DD4" w:rsidP="00DD4487">
      <w:pPr>
        <w:pStyle w:val="ListParagraph"/>
        <w:numPr>
          <w:ilvl w:val="0"/>
          <w:numId w:val="16"/>
        </w:numPr>
      </w:pPr>
      <w:r>
        <w:t xml:space="preserve">At page 21 of the Consumers Council of Canada (CCC) submission </w:t>
      </w:r>
      <w:r w:rsidR="00614F73">
        <w:t>to the OEB on</w:t>
      </w:r>
      <w:r>
        <w:t xml:space="preserve"> October 16, 2014, it was stated that:</w:t>
      </w:r>
    </w:p>
    <w:p w14:paraId="55C2105C" w14:textId="77777777" w:rsidR="00243DD4" w:rsidRDefault="00243DD4" w:rsidP="00243DD4"/>
    <w:p w14:paraId="10FA8339" w14:textId="1D9DE679" w:rsidR="00243DD4" w:rsidRDefault="00243DD4" w:rsidP="00614F73">
      <w:pPr>
        <w:ind w:left="1440"/>
        <w:rPr>
          <w:i/>
        </w:rPr>
      </w:pPr>
      <w:r>
        <w:rPr>
          <w:i/>
        </w:rPr>
        <w:t>One of the problems Hydro One has encountered are complaints from Seasonal customers that they do not understand how their rates are structured</w:t>
      </w:r>
      <w:r w:rsidR="00636DA6">
        <w:rPr>
          <w:i/>
        </w:rPr>
        <w:t xml:space="preserve"> and the fact that fixed costs do not vary with consumption.</w:t>
      </w:r>
      <w:r>
        <w:rPr>
          <w:i/>
        </w:rPr>
        <w:t xml:space="preserve"> Hydro One should be encouraged to undertake more comprehensive customer education regarding these issues.</w:t>
      </w:r>
    </w:p>
    <w:p w14:paraId="7588E776" w14:textId="77777777" w:rsidR="00243DD4" w:rsidRDefault="00243DD4" w:rsidP="00243DD4"/>
    <w:p w14:paraId="20249E31" w14:textId="421C6EC2" w:rsidR="00243DD4" w:rsidRDefault="00243DD4" w:rsidP="00DD4487">
      <w:pPr>
        <w:pStyle w:val="ListParagraph"/>
        <w:numPr>
          <w:ilvl w:val="0"/>
          <w:numId w:val="16"/>
        </w:numPr>
      </w:pPr>
      <w:r>
        <w:t xml:space="preserve">And from page 4 of the </w:t>
      </w:r>
      <w:r w:rsidR="00636DA6">
        <w:t>F</w:t>
      </w:r>
      <w:r>
        <w:t xml:space="preserve">eedback </w:t>
      </w:r>
      <w:r w:rsidR="00636DA6">
        <w:t>S</w:t>
      </w:r>
      <w:r>
        <w:t xml:space="preserve">ummary </w:t>
      </w:r>
      <w:r w:rsidR="00636DA6">
        <w:t xml:space="preserve">notes </w:t>
      </w:r>
      <w:r w:rsidR="00E46DA7">
        <w:t>of the June 10, 2015, stakeholder session found in Appendix A of the 2020 Hydro Report</w:t>
      </w:r>
      <w:r>
        <w:t>, the CCC further reiterated that:</w:t>
      </w:r>
    </w:p>
    <w:p w14:paraId="37D58F40" w14:textId="77777777" w:rsidR="00243DD4" w:rsidRDefault="00243DD4" w:rsidP="00243DD4"/>
    <w:p w14:paraId="16E54EBD" w14:textId="77777777" w:rsidR="00243DD4" w:rsidRDefault="00243DD4" w:rsidP="00614F73">
      <w:pPr>
        <w:ind w:left="1440"/>
        <w:rPr>
          <w:i/>
        </w:rPr>
      </w:pPr>
      <w:r>
        <w:rPr>
          <w:i/>
        </w:rPr>
        <w:t xml:space="preserve">No matter which option is implemented, effectively communicating the elimination of the Seasonal Rate Class to customers presents an enormous challenge. It would be useful to start communicating this change to customers now. </w:t>
      </w:r>
    </w:p>
    <w:p w14:paraId="760A5CE2" w14:textId="77777777" w:rsidR="00243DD4" w:rsidRDefault="00243DD4" w:rsidP="00243DD4">
      <w:pPr>
        <w:ind w:left="720"/>
        <w:rPr>
          <w:i/>
        </w:rPr>
      </w:pPr>
    </w:p>
    <w:p w14:paraId="069A3B19" w14:textId="224A9E49" w:rsidR="00243DD4" w:rsidRDefault="00243DD4" w:rsidP="00DD4487">
      <w:pPr>
        <w:pStyle w:val="ListParagraph"/>
        <w:numPr>
          <w:ilvl w:val="0"/>
          <w:numId w:val="16"/>
        </w:numPr>
      </w:pPr>
      <w:r>
        <w:lastRenderedPageBreak/>
        <w:t xml:space="preserve">Similarly, </w:t>
      </w:r>
      <w:r w:rsidR="00E46DA7">
        <w:t xml:space="preserve">at </w:t>
      </w:r>
      <w:r>
        <w:t>page 4</w:t>
      </w:r>
      <w:r w:rsidR="00E46DA7">
        <w:t>9</w:t>
      </w:r>
      <w:r>
        <w:t xml:space="preserve"> of th</w:t>
      </w:r>
      <w:r w:rsidR="00E46DA7">
        <w:t>at Appendix,</w:t>
      </w:r>
      <w:r>
        <w:t xml:space="preserve"> Feedback from </w:t>
      </w:r>
      <w:r w:rsidR="00E46DA7">
        <w:t xml:space="preserve">Energy Probe’s </w:t>
      </w:r>
      <w:r>
        <w:t>submission asked:</w:t>
      </w:r>
    </w:p>
    <w:p w14:paraId="65D9DE42" w14:textId="77777777" w:rsidR="00243DD4" w:rsidRDefault="00243DD4" w:rsidP="00243DD4">
      <w:pPr>
        <w:rPr>
          <w:i/>
        </w:rPr>
      </w:pPr>
      <w:r>
        <w:tab/>
      </w:r>
    </w:p>
    <w:p w14:paraId="7230824F" w14:textId="77777777" w:rsidR="00243DD4" w:rsidRDefault="00243DD4" w:rsidP="00614F73">
      <w:pPr>
        <w:ind w:left="1440"/>
        <w:rPr>
          <w:i/>
        </w:rPr>
      </w:pPr>
      <w:r>
        <w:t>A</w:t>
      </w:r>
      <w:r>
        <w:rPr>
          <w:i/>
        </w:rPr>
        <w:t>nd finally, will Hydro One present a detailed plan on how they will explain these changes to effected customers? It’s no secret that bill increases are the number one concern among ratepayers. Under this proposal, a significant number of ratepayers will experience near double digit bill increases or more in the years to come – and that’s not considering other components of the bill that are also expected to increase. Is Hydro One preparing a detailed program to deal with how customers will react to these changes?</w:t>
      </w:r>
    </w:p>
    <w:p w14:paraId="4A0405F6" w14:textId="77777777" w:rsidR="00243DD4" w:rsidRDefault="00243DD4" w:rsidP="00243DD4">
      <w:pPr>
        <w:ind w:left="720"/>
        <w:rPr>
          <w:i/>
        </w:rPr>
      </w:pPr>
    </w:p>
    <w:p w14:paraId="1765928D" w14:textId="37596F19" w:rsidR="00243DD4" w:rsidRDefault="00243DD4" w:rsidP="00DD4487">
      <w:pPr>
        <w:pStyle w:val="ListParagraph"/>
        <w:numPr>
          <w:ilvl w:val="0"/>
          <w:numId w:val="16"/>
        </w:numPr>
      </w:pPr>
      <w:r>
        <w:t xml:space="preserve">And more recently, </w:t>
      </w:r>
      <w:r w:rsidR="00E46DA7">
        <w:t>the Federation of Ontario Cottagers’ Associations (</w:t>
      </w:r>
      <w:r>
        <w:t>FOCA</w:t>
      </w:r>
      <w:r w:rsidR="00E46DA7">
        <w:t>)</w:t>
      </w:r>
      <w:r>
        <w:t xml:space="preserve"> commented on the </w:t>
      </w:r>
      <w:r w:rsidR="00E46DA7">
        <w:t xml:space="preserve">overall </w:t>
      </w:r>
      <w:r>
        <w:t xml:space="preserve">status of communications by assessing the landscape and summarizing their </w:t>
      </w:r>
      <w:r w:rsidR="00E46DA7">
        <w:t xml:space="preserve">thoughts </w:t>
      </w:r>
      <w:r>
        <w:t xml:space="preserve">in their May 27, 2020, letter </w:t>
      </w:r>
      <w:r w:rsidR="00E46DA7">
        <w:t xml:space="preserve">to the OEB </w:t>
      </w:r>
      <w:r>
        <w:t>stating that:</w:t>
      </w:r>
    </w:p>
    <w:p w14:paraId="2EB3D915" w14:textId="77777777" w:rsidR="00243DD4" w:rsidRDefault="00243DD4" w:rsidP="00243DD4"/>
    <w:p w14:paraId="449BB466" w14:textId="77777777" w:rsidR="00243DD4" w:rsidRDefault="00243DD4" w:rsidP="00614F73">
      <w:pPr>
        <w:ind w:left="1440"/>
        <w:rPr>
          <w:i/>
        </w:rPr>
      </w:pPr>
      <w:r>
        <w:rPr>
          <w:i/>
        </w:rPr>
        <w:t xml:space="preserve">The multitude of rate changes within the past few years has meant that almost no one understands the bill system and how and why we got to this point. </w:t>
      </w:r>
    </w:p>
    <w:p w14:paraId="4ED8065C" w14:textId="3046D6DC" w:rsidR="007C768F" w:rsidRDefault="007C768F">
      <w:pPr>
        <w:rPr>
          <w:b/>
        </w:rPr>
      </w:pPr>
    </w:p>
    <w:p w14:paraId="3B5C537E" w14:textId="22DD4181" w:rsidR="00243DD4" w:rsidRDefault="00DD4487">
      <w:r>
        <w:t xml:space="preserve">Clear, concise, and easy to understand materials make for </w:t>
      </w:r>
      <w:r w:rsidR="007C0E61">
        <w:t>effective communications</w:t>
      </w:r>
      <w:r>
        <w:t xml:space="preserve">. This will be of </w:t>
      </w:r>
      <w:r w:rsidR="007C0E61">
        <w:t>paramount importance</w:t>
      </w:r>
      <w:r w:rsidR="00B64931">
        <w:t xml:space="preserve"> </w:t>
      </w:r>
      <w:r>
        <w:t>going forward</w:t>
      </w:r>
      <w:r w:rsidR="00614F73">
        <w:t xml:space="preserve"> </w:t>
      </w:r>
      <w:r w:rsidR="00B64931">
        <w:t>with better communications for</w:t>
      </w:r>
      <w:r w:rsidR="00650357">
        <w:t xml:space="preserve"> hydro customers </w:t>
      </w:r>
      <w:r w:rsidR="0073596F">
        <w:t xml:space="preserve">that cover both the OEB’s </w:t>
      </w:r>
      <w:r w:rsidR="00614F73">
        <w:t>past</w:t>
      </w:r>
      <w:r w:rsidR="00650357">
        <w:t>,</w:t>
      </w:r>
      <w:r w:rsidR="00614F73">
        <w:t xml:space="preserve"> </w:t>
      </w:r>
      <w:r w:rsidR="0073596F">
        <w:t xml:space="preserve">as well as its </w:t>
      </w:r>
      <w:r w:rsidR="00614F73">
        <w:t>further decision(s) yet to come in implementi</w:t>
      </w:r>
      <w:r w:rsidR="00650357">
        <w:t>ng</w:t>
      </w:r>
      <w:r w:rsidR="00614F73">
        <w:t xml:space="preserve"> of the elimination of the seasonal class. </w:t>
      </w:r>
      <w:r w:rsidR="00243DD4">
        <w:t xml:space="preserve">There are </w:t>
      </w:r>
      <w:r w:rsidR="004D449D">
        <w:t>2</w:t>
      </w:r>
      <w:r w:rsidR="00243DD4">
        <w:t xml:space="preserve"> </w:t>
      </w:r>
      <w:r>
        <w:t xml:space="preserve">critical </w:t>
      </w:r>
      <w:r w:rsidR="00243DD4">
        <w:t>points in particular</w:t>
      </w:r>
      <w:r>
        <w:t xml:space="preserve"> </w:t>
      </w:r>
      <w:r w:rsidR="00243DD4">
        <w:t>that</w:t>
      </w:r>
      <w:r w:rsidR="004D449D">
        <w:t>, in the writer’s view</w:t>
      </w:r>
      <w:r w:rsidR="0073596F">
        <w:t xml:space="preserve"> should be kept </w:t>
      </w:r>
      <w:r w:rsidR="00243DD4">
        <w:t xml:space="preserve">top of mind in developing </w:t>
      </w:r>
      <w:r w:rsidR="0073596F">
        <w:t xml:space="preserve">a future </w:t>
      </w:r>
      <w:r w:rsidR="00243DD4">
        <w:t>communications strategy</w:t>
      </w:r>
      <w:r w:rsidR="0073596F">
        <w:t>.</w:t>
      </w:r>
    </w:p>
    <w:p w14:paraId="5BCD02BE" w14:textId="77777777" w:rsidR="00243DD4" w:rsidRDefault="00243DD4"/>
    <w:p w14:paraId="3BA3590C" w14:textId="7370212C" w:rsidR="00243DD4" w:rsidRPr="00EB2AA2" w:rsidRDefault="00EB2AA2" w:rsidP="00EB2AA2">
      <w:pPr>
        <w:rPr>
          <w:u w:val="single"/>
        </w:rPr>
      </w:pPr>
      <w:r>
        <w:rPr>
          <w:u w:val="single"/>
        </w:rPr>
        <w:t>1.</w:t>
      </w:r>
      <w:r w:rsidRPr="00EB2AA2">
        <w:rPr>
          <w:u w:val="single"/>
        </w:rPr>
        <w:t xml:space="preserve"> </w:t>
      </w:r>
      <w:r w:rsidR="00F52B52">
        <w:rPr>
          <w:u w:val="single"/>
        </w:rPr>
        <w:t xml:space="preserve">Vastly </w:t>
      </w:r>
      <w:r>
        <w:rPr>
          <w:u w:val="single"/>
        </w:rPr>
        <w:t>D</w:t>
      </w:r>
      <w:r w:rsidR="00243DD4" w:rsidRPr="00EB2AA2">
        <w:rPr>
          <w:u w:val="single"/>
        </w:rPr>
        <w:t>ifferent Bills</w:t>
      </w:r>
      <w:r w:rsidR="00AB3283">
        <w:rPr>
          <w:u w:val="single"/>
        </w:rPr>
        <w:t xml:space="preserve"> Amongst </w:t>
      </w:r>
      <w:proofErr w:type="spellStart"/>
      <w:r w:rsidR="00AB3283">
        <w:rPr>
          <w:u w:val="single"/>
        </w:rPr>
        <w:t>Neighbours</w:t>
      </w:r>
      <w:proofErr w:type="spellEnd"/>
    </w:p>
    <w:p w14:paraId="6EB8C86E" w14:textId="77777777" w:rsidR="00243DD4" w:rsidRDefault="00243DD4" w:rsidP="00243DD4"/>
    <w:p w14:paraId="1228EF0D" w14:textId="714EF8B0" w:rsidR="00103B9D" w:rsidRDefault="009E279A" w:rsidP="00243DD4">
      <w:r>
        <w:t>In addition to the Ontario Energy Rebate program currently in effect broadly, t</w:t>
      </w:r>
      <w:r w:rsidR="00103B9D">
        <w:t xml:space="preserve">he Rural and Remote Electricity Rate Protection (RRRP) and the Distribution Rate Protection (DRP) programs have a profound impact on the total hydro bills of distinct </w:t>
      </w:r>
      <w:r w:rsidR="00B4655B">
        <w:t xml:space="preserve">Hydro One </w:t>
      </w:r>
      <w:r w:rsidR="00103B9D">
        <w:t>customer</w:t>
      </w:r>
      <w:r>
        <w:t>s.</w:t>
      </w:r>
    </w:p>
    <w:p w14:paraId="6856830D" w14:textId="77777777" w:rsidR="00103B9D" w:rsidRDefault="00103B9D"/>
    <w:p w14:paraId="0000005A" w14:textId="243AC540" w:rsidR="00240D77" w:rsidRDefault="00A07B30">
      <w:r>
        <w:t xml:space="preserve">FOCA stated </w:t>
      </w:r>
      <w:r w:rsidR="00FB09DA">
        <w:t>in its letter of June 19, 2015</w:t>
      </w:r>
      <w:r w:rsidR="0074286A">
        <w:t>,</w:t>
      </w:r>
      <w:r w:rsidR="00FB09DA">
        <w:t xml:space="preserve"> </w:t>
      </w:r>
      <w:r w:rsidR="00AB3283">
        <w:t xml:space="preserve">found at page 52 </w:t>
      </w:r>
      <w:r w:rsidR="00650357">
        <w:t>of</w:t>
      </w:r>
      <w:r w:rsidR="00AB3283">
        <w:t xml:space="preserve"> Appendix A to the 2020 Hydro One Report </w:t>
      </w:r>
      <w:r w:rsidR="00CB163F">
        <w:t>with regards to the stakeholder consultations th</w:t>
      </w:r>
      <w:r w:rsidR="00B4655B">
        <w:t>at</w:t>
      </w:r>
      <w:r w:rsidR="00CB163F">
        <w:t>:</w:t>
      </w:r>
    </w:p>
    <w:p w14:paraId="25BE84E8" w14:textId="77777777" w:rsidR="00CB163F" w:rsidRDefault="00CB163F"/>
    <w:p w14:paraId="0000005B" w14:textId="59B93DB7" w:rsidR="00240D77" w:rsidRDefault="00FB09DA">
      <w:pPr>
        <w:ind w:left="720"/>
      </w:pPr>
      <w:r>
        <w:rPr>
          <w:i/>
        </w:rPr>
        <w:t>..</w:t>
      </w:r>
      <w:r w:rsidR="00AB3283">
        <w:rPr>
          <w:i/>
        </w:rPr>
        <w:t xml:space="preserve"> </w:t>
      </w:r>
      <w:proofErr w:type="gramStart"/>
      <w:r>
        <w:rPr>
          <w:i/>
        </w:rPr>
        <w:t>.there</w:t>
      </w:r>
      <w:proofErr w:type="gramEnd"/>
      <w:r>
        <w:rPr>
          <w:i/>
        </w:rPr>
        <w:t xml:space="preserve"> will be many situations where reassigned </w:t>
      </w:r>
      <w:proofErr w:type="spellStart"/>
      <w:r>
        <w:rPr>
          <w:i/>
        </w:rPr>
        <w:t>Seasonals</w:t>
      </w:r>
      <w:proofErr w:type="spellEnd"/>
      <w:r>
        <w:rPr>
          <w:i/>
        </w:rPr>
        <w:t xml:space="preserve"> will have close </w:t>
      </w:r>
      <w:proofErr w:type="spellStart"/>
      <w:r>
        <w:rPr>
          <w:i/>
        </w:rPr>
        <w:t>neighbo</w:t>
      </w:r>
      <w:r w:rsidR="00AB3283">
        <w:rPr>
          <w:i/>
        </w:rPr>
        <w:t>u</w:t>
      </w:r>
      <w:r>
        <w:rPr>
          <w:i/>
        </w:rPr>
        <w:t>rs</w:t>
      </w:r>
      <w:proofErr w:type="spellEnd"/>
      <w:r>
        <w:rPr>
          <w:i/>
        </w:rPr>
        <w:t xml:space="preserve">, family and friends with the alternate reclassification and significantly different bill ramifications; and ... there may be a lake where one shoreline has a customer density of 14 per </w:t>
      </w:r>
      <w:proofErr w:type="spellStart"/>
      <w:r>
        <w:rPr>
          <w:i/>
        </w:rPr>
        <w:t>kilometre</w:t>
      </w:r>
      <w:proofErr w:type="spellEnd"/>
      <w:r>
        <w:rPr>
          <w:i/>
        </w:rPr>
        <w:t xml:space="preserve"> of circuit and the other side has 16 per </w:t>
      </w:r>
      <w:proofErr w:type="spellStart"/>
      <w:r>
        <w:rPr>
          <w:i/>
        </w:rPr>
        <w:t>kilometre</w:t>
      </w:r>
      <w:proofErr w:type="spellEnd"/>
      <w:r>
        <w:rPr>
          <w:i/>
        </w:rPr>
        <w:t xml:space="preserve">… (which) … results in profound bill differences of similar customers. </w:t>
      </w:r>
    </w:p>
    <w:p w14:paraId="0000005C" w14:textId="77777777" w:rsidR="00240D77" w:rsidRDefault="00240D77">
      <w:pPr>
        <w:rPr>
          <w:b/>
        </w:rPr>
      </w:pPr>
    </w:p>
    <w:p w14:paraId="00000061" w14:textId="6FEB13ED" w:rsidR="00240D77" w:rsidRDefault="00B4655B">
      <w:r>
        <w:t>H</w:t>
      </w:r>
      <w:r w:rsidR="00103B9D">
        <w:t xml:space="preserve">ead-to-head comparisons </w:t>
      </w:r>
      <w:r>
        <w:t>of Hydro One customer</w:t>
      </w:r>
      <w:r w:rsidR="00AB3283">
        <w:t>s in different</w:t>
      </w:r>
      <w:r>
        <w:t xml:space="preserve"> classes </w:t>
      </w:r>
      <w:r w:rsidR="00FB09DA">
        <w:t xml:space="preserve">were found in the May 15, 2020, submission by Hydro One in reply to the </w:t>
      </w:r>
      <w:r w:rsidR="00650357">
        <w:t xml:space="preserve">OEB’s </w:t>
      </w:r>
      <w:r w:rsidR="00FB09DA">
        <w:t>Procedural Order No. 3</w:t>
      </w:r>
      <w:r w:rsidR="00103B9D">
        <w:t>.</w:t>
      </w:r>
      <w:r w:rsidR="00FB09DA">
        <w:t xml:space="preserve"> The calculations provided in Tables 3 and 4 therein found </w:t>
      </w:r>
      <w:r w:rsidR="002660FC">
        <w:t>at</w:t>
      </w:r>
      <w:r w:rsidR="00FB09DA">
        <w:t xml:space="preserve"> pages 8 and 9</w:t>
      </w:r>
      <w:r w:rsidR="00103B9D">
        <w:t>,</w:t>
      </w:r>
      <w:r w:rsidR="00965FA8">
        <w:t xml:space="preserve"> (reproduced below</w:t>
      </w:r>
      <w:r w:rsidR="009E279A">
        <w:t xml:space="preserve"> for convenience</w:t>
      </w:r>
      <w:r w:rsidR="00965FA8">
        <w:t>)</w:t>
      </w:r>
      <w:r w:rsidR="009E279A">
        <w:t xml:space="preserve"> </w:t>
      </w:r>
      <w:r w:rsidR="00FB09DA">
        <w:t>provide</w:t>
      </w:r>
      <w:r w:rsidR="009E279A">
        <w:t>d</w:t>
      </w:r>
      <w:r w:rsidR="00FB09DA">
        <w:t xml:space="preserve"> details </w:t>
      </w:r>
      <w:r w:rsidR="009E279A" w:rsidRPr="00650357">
        <w:rPr>
          <w:u w:val="single"/>
        </w:rPr>
        <w:t>at that time</w:t>
      </w:r>
      <w:r w:rsidR="009E279A">
        <w:t xml:space="preserve"> </w:t>
      </w:r>
      <w:r w:rsidR="00FB09DA">
        <w:t xml:space="preserve">forecasting the total 2021 hydro bill calculations </w:t>
      </w:r>
      <w:r w:rsidR="002660FC">
        <w:t>of the various residential groups</w:t>
      </w:r>
      <w:r w:rsidR="00CC36A1">
        <w:t>,</w:t>
      </w:r>
      <w:r w:rsidR="002660FC">
        <w:t xml:space="preserve"> </w:t>
      </w:r>
      <w:r w:rsidR="00FB09DA">
        <w:t xml:space="preserve">assuming the </w:t>
      </w:r>
      <w:r w:rsidR="00103B9D">
        <w:t>elimination of the s</w:t>
      </w:r>
      <w:r w:rsidR="00FB09DA">
        <w:t>easonal rate class</w:t>
      </w:r>
      <w:r w:rsidR="00AB3283">
        <w:t xml:space="preserve"> was in effect</w:t>
      </w:r>
      <w:r w:rsidR="00103B9D">
        <w:t>.</w:t>
      </w:r>
    </w:p>
    <w:p w14:paraId="7C914578" w14:textId="6A53EC20" w:rsidR="00AC4302" w:rsidRPr="00AC4302" w:rsidRDefault="00AC4302" w:rsidP="00AC4302">
      <w:pPr>
        <w:pStyle w:val="Heading2"/>
        <w:ind w:left="1212"/>
        <w:rPr>
          <w:b/>
          <w:bCs/>
          <w:sz w:val="22"/>
          <w:szCs w:val="22"/>
        </w:rPr>
      </w:pPr>
      <w:r w:rsidRPr="00AC4302">
        <w:rPr>
          <w:b/>
          <w:bCs/>
          <w:sz w:val="22"/>
          <w:szCs w:val="22"/>
        </w:rPr>
        <w:lastRenderedPageBreak/>
        <w:t xml:space="preserve"> </w:t>
      </w:r>
      <w:r>
        <w:rPr>
          <w:rFonts w:ascii="Times New Roman" w:hAnsi="Times New Roman" w:cs="Times New Roman"/>
          <w:b/>
          <w:bCs/>
          <w:sz w:val="22"/>
          <w:szCs w:val="22"/>
        </w:rPr>
        <w:t>Table 3: C</w:t>
      </w:r>
      <w:r w:rsidRPr="00AC4302">
        <w:rPr>
          <w:rFonts w:ascii="Times New Roman" w:hAnsi="Times New Roman" w:cs="Times New Roman"/>
          <w:b/>
          <w:bCs/>
          <w:sz w:val="22"/>
          <w:szCs w:val="22"/>
        </w:rPr>
        <w:t>omparison</w:t>
      </w:r>
      <w:r w:rsidRPr="00AC4302">
        <w:rPr>
          <w:b/>
          <w:bCs/>
          <w:sz w:val="22"/>
          <w:szCs w:val="22"/>
        </w:rPr>
        <w:t xml:space="preserve"> </w:t>
      </w:r>
      <w:r w:rsidRPr="00AC4302">
        <w:rPr>
          <w:rFonts w:ascii="Times New Roman" w:hAnsi="Times New Roman" w:cs="Times New Roman"/>
          <w:b/>
          <w:bCs/>
          <w:sz w:val="22"/>
          <w:szCs w:val="22"/>
        </w:rPr>
        <w:t>of 2021 Charges for R2 Residential Customers Assuming</w:t>
      </w:r>
      <w:r w:rsidRPr="00AC4302">
        <w:rPr>
          <w:b/>
          <w:bCs/>
          <w:sz w:val="22"/>
          <w:szCs w:val="22"/>
        </w:rPr>
        <w:t xml:space="preserve"> </w:t>
      </w:r>
    </w:p>
    <w:p w14:paraId="6C230920" w14:textId="3C8214D7" w:rsidR="00AC4302" w:rsidRDefault="00AC4302" w:rsidP="00AC4302">
      <w:pPr>
        <w:spacing w:line="259" w:lineRule="auto"/>
        <w:ind w:left="1241" w:right="569" w:hanging="10"/>
        <w:jc w:val="center"/>
        <w:rPr>
          <w:rFonts w:ascii="Times New Roman" w:eastAsia="Times New Roman" w:hAnsi="Times New Roman" w:cs="Times New Roman"/>
          <w:b/>
        </w:rPr>
      </w:pPr>
      <w:r>
        <w:rPr>
          <w:rFonts w:ascii="Times New Roman" w:eastAsia="Times New Roman" w:hAnsi="Times New Roman" w:cs="Times New Roman"/>
          <w:b/>
        </w:rPr>
        <w:t xml:space="preserve">Elimination of Seasonal Class </w:t>
      </w:r>
    </w:p>
    <w:p w14:paraId="65665019" w14:textId="77777777" w:rsidR="00AC4302" w:rsidRDefault="00AC4302" w:rsidP="00AC4302">
      <w:pPr>
        <w:spacing w:line="259" w:lineRule="auto"/>
        <w:ind w:left="1241" w:right="569" w:hanging="10"/>
        <w:jc w:val="center"/>
      </w:pPr>
    </w:p>
    <w:tbl>
      <w:tblPr>
        <w:tblStyle w:val="TableGrid"/>
        <w:tblW w:w="9341" w:type="dxa"/>
        <w:tblInd w:w="366" w:type="dxa"/>
        <w:tblCellMar>
          <w:top w:w="55" w:type="dxa"/>
          <w:left w:w="72" w:type="dxa"/>
          <w:right w:w="75" w:type="dxa"/>
        </w:tblCellMar>
        <w:tblLook w:val="04A0" w:firstRow="1" w:lastRow="0" w:firstColumn="1" w:lastColumn="0" w:noHBand="0" w:noVBand="1"/>
      </w:tblPr>
      <w:tblGrid>
        <w:gridCol w:w="1784"/>
        <w:gridCol w:w="1375"/>
        <w:gridCol w:w="1066"/>
        <w:gridCol w:w="987"/>
        <w:gridCol w:w="1053"/>
        <w:gridCol w:w="987"/>
        <w:gridCol w:w="1039"/>
        <w:gridCol w:w="1050"/>
      </w:tblGrid>
      <w:tr w:rsidR="00AC4302" w14:paraId="4D431160" w14:textId="77777777" w:rsidTr="005F3A0D">
        <w:trPr>
          <w:trHeight w:val="408"/>
        </w:trPr>
        <w:tc>
          <w:tcPr>
            <w:tcW w:w="1783" w:type="dxa"/>
            <w:vMerge w:val="restart"/>
            <w:tcBorders>
              <w:top w:val="single" w:sz="5" w:space="0" w:color="000000"/>
              <w:left w:val="single" w:sz="5" w:space="0" w:color="000000"/>
              <w:bottom w:val="single" w:sz="10" w:space="0" w:color="000000"/>
              <w:right w:val="single" w:sz="11" w:space="0" w:color="000000"/>
            </w:tcBorders>
            <w:vAlign w:val="center"/>
          </w:tcPr>
          <w:p w14:paraId="1721FD33" w14:textId="77777777" w:rsidR="00AC4302" w:rsidRDefault="00AC4302" w:rsidP="005F3A0D">
            <w:pPr>
              <w:spacing w:line="259" w:lineRule="auto"/>
              <w:ind w:left="20"/>
              <w:jc w:val="center"/>
            </w:pPr>
            <w:r>
              <w:rPr>
                <w:rFonts w:ascii="Calibri" w:eastAsia="Calibri" w:hAnsi="Calibri" w:cs="Calibri"/>
                <w:sz w:val="20"/>
              </w:rPr>
              <w:t>Customers</w:t>
            </w:r>
          </w:p>
        </w:tc>
        <w:tc>
          <w:tcPr>
            <w:tcW w:w="1375" w:type="dxa"/>
            <w:vMerge w:val="restart"/>
            <w:tcBorders>
              <w:top w:val="single" w:sz="5" w:space="0" w:color="000000"/>
              <w:left w:val="single" w:sz="11" w:space="0" w:color="000000"/>
              <w:bottom w:val="single" w:sz="10" w:space="0" w:color="000000"/>
              <w:right w:val="single" w:sz="5" w:space="0" w:color="000000"/>
            </w:tcBorders>
          </w:tcPr>
          <w:p w14:paraId="0DFB48A6" w14:textId="77777777" w:rsidR="00AC4302" w:rsidRDefault="00AC4302" w:rsidP="005F3A0D">
            <w:pPr>
              <w:spacing w:after="3" w:line="259" w:lineRule="auto"/>
              <w:ind w:left="19"/>
              <w:jc w:val="center"/>
            </w:pPr>
            <w:r>
              <w:rPr>
                <w:rFonts w:ascii="Calibri" w:eastAsia="Calibri" w:hAnsi="Calibri" w:cs="Calibri"/>
                <w:sz w:val="20"/>
              </w:rPr>
              <w:t xml:space="preserve">Monthly </w:t>
            </w:r>
          </w:p>
          <w:p w14:paraId="7C1EC7D7" w14:textId="77777777" w:rsidR="00AC4302" w:rsidRDefault="00AC4302" w:rsidP="005F3A0D">
            <w:pPr>
              <w:spacing w:after="3" w:line="259" w:lineRule="auto"/>
              <w:ind w:left="72"/>
            </w:pPr>
            <w:r>
              <w:rPr>
                <w:rFonts w:ascii="Calibri" w:eastAsia="Calibri" w:hAnsi="Calibri" w:cs="Calibri"/>
                <w:sz w:val="20"/>
              </w:rPr>
              <w:t xml:space="preserve">Consumption </w:t>
            </w:r>
          </w:p>
          <w:p w14:paraId="43E58482" w14:textId="77777777" w:rsidR="00AC4302" w:rsidRDefault="00AC4302" w:rsidP="005F3A0D">
            <w:pPr>
              <w:spacing w:line="259" w:lineRule="auto"/>
              <w:ind w:left="16"/>
              <w:jc w:val="center"/>
            </w:pPr>
            <w:r>
              <w:rPr>
                <w:rFonts w:ascii="Calibri" w:eastAsia="Calibri" w:hAnsi="Calibri" w:cs="Calibri"/>
                <w:sz w:val="20"/>
              </w:rPr>
              <w:t>(kWh)</w:t>
            </w:r>
          </w:p>
        </w:tc>
        <w:tc>
          <w:tcPr>
            <w:tcW w:w="2053" w:type="dxa"/>
            <w:gridSpan w:val="2"/>
            <w:tcBorders>
              <w:top w:val="single" w:sz="5" w:space="0" w:color="000000"/>
              <w:left w:val="single" w:sz="5" w:space="0" w:color="000000"/>
              <w:bottom w:val="single" w:sz="5" w:space="0" w:color="000000"/>
              <w:right w:val="single" w:sz="5" w:space="0" w:color="000000"/>
            </w:tcBorders>
          </w:tcPr>
          <w:p w14:paraId="57193D60" w14:textId="77777777" w:rsidR="00AC4302" w:rsidRDefault="00AC4302" w:rsidP="005F3A0D">
            <w:pPr>
              <w:spacing w:line="259" w:lineRule="auto"/>
              <w:ind w:left="105"/>
            </w:pPr>
            <w:r>
              <w:rPr>
                <w:rFonts w:ascii="Calibri" w:eastAsia="Calibri" w:hAnsi="Calibri" w:cs="Calibri"/>
                <w:sz w:val="20"/>
              </w:rPr>
              <w:t>Without RRRP or DRP</w:t>
            </w:r>
          </w:p>
        </w:tc>
        <w:tc>
          <w:tcPr>
            <w:tcW w:w="2040" w:type="dxa"/>
            <w:gridSpan w:val="2"/>
            <w:tcBorders>
              <w:top w:val="single" w:sz="5" w:space="0" w:color="000000"/>
              <w:left w:val="single" w:sz="5" w:space="0" w:color="000000"/>
              <w:bottom w:val="single" w:sz="5" w:space="0" w:color="000000"/>
              <w:right w:val="single" w:sz="5" w:space="0" w:color="000000"/>
            </w:tcBorders>
          </w:tcPr>
          <w:p w14:paraId="7E547705" w14:textId="77777777" w:rsidR="00AC4302" w:rsidRDefault="00AC4302" w:rsidP="005F3A0D">
            <w:pPr>
              <w:spacing w:line="259" w:lineRule="auto"/>
              <w:ind w:left="13"/>
              <w:jc w:val="center"/>
            </w:pPr>
            <w:r>
              <w:rPr>
                <w:rFonts w:ascii="Calibri" w:eastAsia="Calibri" w:hAnsi="Calibri" w:cs="Calibri"/>
                <w:sz w:val="20"/>
              </w:rPr>
              <w:t>With RRRP</w:t>
            </w:r>
          </w:p>
        </w:tc>
        <w:tc>
          <w:tcPr>
            <w:tcW w:w="2089" w:type="dxa"/>
            <w:gridSpan w:val="2"/>
            <w:tcBorders>
              <w:top w:val="single" w:sz="5" w:space="0" w:color="000000"/>
              <w:left w:val="single" w:sz="5" w:space="0" w:color="000000"/>
              <w:bottom w:val="single" w:sz="5" w:space="0" w:color="000000"/>
              <w:right w:val="single" w:sz="11" w:space="0" w:color="000000"/>
            </w:tcBorders>
          </w:tcPr>
          <w:p w14:paraId="0966F148" w14:textId="77777777" w:rsidR="00AC4302" w:rsidRDefault="00AC4302" w:rsidP="005F3A0D">
            <w:pPr>
              <w:spacing w:line="259" w:lineRule="auto"/>
              <w:ind w:left="14"/>
              <w:jc w:val="center"/>
            </w:pPr>
            <w:r>
              <w:rPr>
                <w:rFonts w:ascii="Calibri" w:eastAsia="Calibri" w:hAnsi="Calibri" w:cs="Calibri"/>
                <w:sz w:val="20"/>
              </w:rPr>
              <w:t>With RRRP and DRP</w:t>
            </w:r>
          </w:p>
        </w:tc>
      </w:tr>
      <w:tr w:rsidR="00AC4302" w14:paraId="402D0275" w14:textId="77777777" w:rsidTr="005F3A0D">
        <w:trPr>
          <w:trHeight w:val="506"/>
        </w:trPr>
        <w:tc>
          <w:tcPr>
            <w:tcW w:w="0" w:type="auto"/>
            <w:vMerge/>
            <w:tcBorders>
              <w:top w:val="nil"/>
              <w:left w:val="single" w:sz="5" w:space="0" w:color="000000"/>
              <w:bottom w:val="single" w:sz="10" w:space="0" w:color="000000"/>
              <w:right w:val="single" w:sz="11" w:space="0" w:color="000000"/>
            </w:tcBorders>
          </w:tcPr>
          <w:p w14:paraId="20FE6EE3" w14:textId="77777777" w:rsidR="00AC4302" w:rsidRDefault="00AC4302" w:rsidP="005F3A0D">
            <w:pPr>
              <w:spacing w:after="160" w:line="259" w:lineRule="auto"/>
            </w:pPr>
          </w:p>
        </w:tc>
        <w:tc>
          <w:tcPr>
            <w:tcW w:w="0" w:type="auto"/>
            <w:vMerge/>
            <w:tcBorders>
              <w:top w:val="nil"/>
              <w:left w:val="single" w:sz="11" w:space="0" w:color="000000"/>
              <w:bottom w:val="single" w:sz="10" w:space="0" w:color="000000"/>
              <w:right w:val="single" w:sz="5" w:space="0" w:color="000000"/>
            </w:tcBorders>
          </w:tcPr>
          <w:p w14:paraId="5BF0BA3A" w14:textId="77777777" w:rsidR="00AC4302" w:rsidRDefault="00AC4302" w:rsidP="005F3A0D">
            <w:pPr>
              <w:spacing w:after="160" w:line="259" w:lineRule="auto"/>
            </w:pPr>
          </w:p>
        </w:tc>
        <w:tc>
          <w:tcPr>
            <w:tcW w:w="1066" w:type="dxa"/>
            <w:tcBorders>
              <w:top w:val="single" w:sz="5" w:space="0" w:color="000000"/>
              <w:left w:val="single" w:sz="5" w:space="0" w:color="000000"/>
              <w:bottom w:val="single" w:sz="10" w:space="0" w:color="000000"/>
              <w:right w:val="single" w:sz="5" w:space="0" w:color="000000"/>
            </w:tcBorders>
            <w:vAlign w:val="center"/>
          </w:tcPr>
          <w:p w14:paraId="3D253304" w14:textId="77777777" w:rsidR="00AC4302" w:rsidRDefault="00AC4302" w:rsidP="005F3A0D">
            <w:pPr>
              <w:spacing w:line="259" w:lineRule="auto"/>
              <w:ind w:left="13"/>
            </w:pPr>
            <w:r>
              <w:rPr>
                <w:rFonts w:ascii="Calibri" w:eastAsia="Calibri" w:hAnsi="Calibri" w:cs="Calibri"/>
                <w:sz w:val="20"/>
              </w:rPr>
              <w:t>Dx Charges</w:t>
            </w:r>
          </w:p>
        </w:tc>
        <w:tc>
          <w:tcPr>
            <w:tcW w:w="987" w:type="dxa"/>
            <w:tcBorders>
              <w:top w:val="single" w:sz="5" w:space="0" w:color="000000"/>
              <w:left w:val="single" w:sz="5" w:space="0" w:color="000000"/>
              <w:bottom w:val="single" w:sz="10" w:space="0" w:color="000000"/>
              <w:right w:val="single" w:sz="5" w:space="0" w:color="000000"/>
            </w:tcBorders>
            <w:vAlign w:val="center"/>
          </w:tcPr>
          <w:p w14:paraId="5722E22A" w14:textId="77777777" w:rsidR="00AC4302" w:rsidRDefault="00AC4302" w:rsidP="005F3A0D">
            <w:pPr>
              <w:spacing w:line="259" w:lineRule="auto"/>
              <w:ind w:left="66"/>
            </w:pPr>
            <w:r>
              <w:rPr>
                <w:rFonts w:ascii="Calibri" w:eastAsia="Calibri" w:hAnsi="Calibri" w:cs="Calibri"/>
                <w:sz w:val="20"/>
              </w:rPr>
              <w:t>Total Bill</w:t>
            </w:r>
          </w:p>
        </w:tc>
        <w:tc>
          <w:tcPr>
            <w:tcW w:w="1053" w:type="dxa"/>
            <w:tcBorders>
              <w:top w:val="single" w:sz="5" w:space="0" w:color="000000"/>
              <w:left w:val="single" w:sz="5" w:space="0" w:color="000000"/>
              <w:bottom w:val="single" w:sz="10" w:space="0" w:color="000000"/>
              <w:right w:val="single" w:sz="5" w:space="0" w:color="000000"/>
            </w:tcBorders>
            <w:vAlign w:val="center"/>
          </w:tcPr>
          <w:p w14:paraId="704B4A8F" w14:textId="77777777" w:rsidR="00AC4302" w:rsidRDefault="00AC4302" w:rsidP="005F3A0D">
            <w:pPr>
              <w:spacing w:line="259" w:lineRule="auto"/>
              <w:ind w:left="13"/>
            </w:pPr>
            <w:r>
              <w:rPr>
                <w:rFonts w:ascii="Calibri" w:eastAsia="Calibri" w:hAnsi="Calibri" w:cs="Calibri"/>
                <w:sz w:val="20"/>
              </w:rPr>
              <w:t>Dx Charges</w:t>
            </w:r>
          </w:p>
        </w:tc>
        <w:tc>
          <w:tcPr>
            <w:tcW w:w="987" w:type="dxa"/>
            <w:tcBorders>
              <w:top w:val="single" w:sz="5" w:space="0" w:color="000000"/>
              <w:left w:val="single" w:sz="5" w:space="0" w:color="000000"/>
              <w:bottom w:val="single" w:sz="10" w:space="0" w:color="000000"/>
              <w:right w:val="single" w:sz="5" w:space="0" w:color="000000"/>
            </w:tcBorders>
            <w:vAlign w:val="center"/>
          </w:tcPr>
          <w:p w14:paraId="13783FF8" w14:textId="77777777" w:rsidR="00AC4302" w:rsidRDefault="00AC4302" w:rsidP="005F3A0D">
            <w:pPr>
              <w:spacing w:line="259" w:lineRule="auto"/>
              <w:ind w:left="66"/>
            </w:pPr>
            <w:r>
              <w:rPr>
                <w:rFonts w:ascii="Calibri" w:eastAsia="Calibri" w:hAnsi="Calibri" w:cs="Calibri"/>
                <w:sz w:val="20"/>
              </w:rPr>
              <w:t>Total Bill</w:t>
            </w:r>
          </w:p>
        </w:tc>
        <w:tc>
          <w:tcPr>
            <w:tcW w:w="1039" w:type="dxa"/>
            <w:tcBorders>
              <w:top w:val="single" w:sz="5" w:space="0" w:color="000000"/>
              <w:left w:val="single" w:sz="5" w:space="0" w:color="000000"/>
              <w:bottom w:val="single" w:sz="10" w:space="0" w:color="000000"/>
              <w:right w:val="single" w:sz="5" w:space="0" w:color="000000"/>
            </w:tcBorders>
            <w:vAlign w:val="center"/>
          </w:tcPr>
          <w:p w14:paraId="073AD5DA" w14:textId="77777777" w:rsidR="00AC4302" w:rsidRDefault="00AC4302" w:rsidP="005F3A0D">
            <w:pPr>
              <w:spacing w:line="259" w:lineRule="auto"/>
            </w:pPr>
            <w:r>
              <w:rPr>
                <w:rFonts w:ascii="Calibri" w:eastAsia="Calibri" w:hAnsi="Calibri" w:cs="Calibri"/>
                <w:sz w:val="20"/>
              </w:rPr>
              <w:t>Dx Charges</w:t>
            </w:r>
          </w:p>
        </w:tc>
        <w:tc>
          <w:tcPr>
            <w:tcW w:w="1050" w:type="dxa"/>
            <w:tcBorders>
              <w:top w:val="single" w:sz="5" w:space="0" w:color="000000"/>
              <w:left w:val="single" w:sz="5" w:space="0" w:color="000000"/>
              <w:bottom w:val="single" w:sz="10" w:space="0" w:color="000000"/>
              <w:right w:val="single" w:sz="11" w:space="0" w:color="000000"/>
            </w:tcBorders>
            <w:vAlign w:val="center"/>
          </w:tcPr>
          <w:p w14:paraId="772ACDFB" w14:textId="77777777" w:rsidR="00AC4302" w:rsidRDefault="00AC4302" w:rsidP="005F3A0D">
            <w:pPr>
              <w:spacing w:line="259" w:lineRule="auto"/>
              <w:ind w:left="11"/>
              <w:jc w:val="center"/>
            </w:pPr>
            <w:r>
              <w:rPr>
                <w:rFonts w:ascii="Calibri" w:eastAsia="Calibri" w:hAnsi="Calibri" w:cs="Calibri"/>
                <w:sz w:val="20"/>
              </w:rPr>
              <w:t>Total Bill</w:t>
            </w:r>
          </w:p>
        </w:tc>
      </w:tr>
      <w:tr w:rsidR="00AC4302" w14:paraId="6AEB5A39" w14:textId="77777777" w:rsidTr="005F3A0D">
        <w:trPr>
          <w:trHeight w:val="270"/>
        </w:trPr>
        <w:tc>
          <w:tcPr>
            <w:tcW w:w="1783" w:type="dxa"/>
            <w:vMerge w:val="restart"/>
            <w:tcBorders>
              <w:top w:val="single" w:sz="10" w:space="0" w:color="000000"/>
              <w:left w:val="single" w:sz="5" w:space="0" w:color="000000"/>
              <w:bottom w:val="single" w:sz="10" w:space="0" w:color="000000"/>
              <w:right w:val="single" w:sz="11" w:space="0" w:color="000000"/>
            </w:tcBorders>
            <w:vAlign w:val="center"/>
          </w:tcPr>
          <w:p w14:paraId="19C4081D" w14:textId="77777777" w:rsidR="00AC4302" w:rsidRDefault="00AC4302" w:rsidP="005F3A0D">
            <w:pPr>
              <w:spacing w:line="259" w:lineRule="auto"/>
              <w:ind w:left="15"/>
              <w:jc w:val="center"/>
            </w:pPr>
            <w:r>
              <w:rPr>
                <w:rFonts w:ascii="Calibri" w:eastAsia="Calibri" w:hAnsi="Calibri" w:cs="Calibri"/>
                <w:sz w:val="20"/>
              </w:rPr>
              <w:t>Year-round R2</w:t>
            </w:r>
          </w:p>
        </w:tc>
        <w:tc>
          <w:tcPr>
            <w:tcW w:w="1375" w:type="dxa"/>
            <w:tcBorders>
              <w:top w:val="single" w:sz="10" w:space="0" w:color="000000"/>
              <w:left w:val="single" w:sz="11" w:space="0" w:color="000000"/>
              <w:bottom w:val="single" w:sz="5" w:space="0" w:color="000000"/>
              <w:right w:val="single" w:sz="5" w:space="0" w:color="000000"/>
            </w:tcBorders>
          </w:tcPr>
          <w:p w14:paraId="10781090" w14:textId="77777777" w:rsidR="00AC4302" w:rsidRDefault="00AC4302" w:rsidP="005F3A0D">
            <w:pPr>
              <w:spacing w:line="259" w:lineRule="auto"/>
              <w:ind w:left="31"/>
              <w:jc w:val="center"/>
            </w:pPr>
            <w:r>
              <w:rPr>
                <w:rFonts w:ascii="Calibri" w:eastAsia="Calibri" w:hAnsi="Calibri" w:cs="Calibri"/>
                <w:sz w:val="20"/>
              </w:rPr>
              <w:t>50</w:t>
            </w:r>
          </w:p>
        </w:tc>
        <w:tc>
          <w:tcPr>
            <w:tcW w:w="1066" w:type="dxa"/>
            <w:tcBorders>
              <w:top w:val="single" w:sz="10" w:space="0" w:color="000000"/>
              <w:left w:val="single" w:sz="5" w:space="0" w:color="000000"/>
              <w:bottom w:val="single" w:sz="5" w:space="0" w:color="000000"/>
              <w:right w:val="single" w:sz="5" w:space="0" w:color="000000"/>
            </w:tcBorders>
          </w:tcPr>
          <w:p w14:paraId="6920177D" w14:textId="77777777" w:rsidR="00AC4302" w:rsidRDefault="00AC4302" w:rsidP="005F3A0D">
            <w:pPr>
              <w:spacing w:line="259" w:lineRule="auto"/>
              <w:ind w:left="11"/>
              <w:jc w:val="center"/>
            </w:pPr>
            <w:r>
              <w:rPr>
                <w:rFonts w:ascii="Calibri" w:eastAsia="Calibri" w:hAnsi="Calibri" w:cs="Calibri"/>
                <w:sz w:val="20"/>
              </w:rPr>
              <w:t>$106.92</w:t>
            </w:r>
          </w:p>
        </w:tc>
        <w:tc>
          <w:tcPr>
            <w:tcW w:w="987" w:type="dxa"/>
            <w:tcBorders>
              <w:top w:val="single" w:sz="10" w:space="0" w:color="000000"/>
              <w:left w:val="single" w:sz="5" w:space="0" w:color="000000"/>
              <w:bottom w:val="single" w:sz="5" w:space="0" w:color="000000"/>
              <w:right w:val="single" w:sz="5" w:space="0" w:color="000000"/>
            </w:tcBorders>
          </w:tcPr>
          <w:p w14:paraId="0F31F293" w14:textId="77777777" w:rsidR="00AC4302" w:rsidRDefault="00AC4302" w:rsidP="005F3A0D">
            <w:pPr>
              <w:spacing w:line="259" w:lineRule="auto"/>
              <w:ind w:left="11"/>
              <w:jc w:val="center"/>
            </w:pPr>
            <w:r>
              <w:rPr>
                <w:rFonts w:ascii="Calibri" w:eastAsia="Calibri" w:hAnsi="Calibri" w:cs="Calibri"/>
                <w:sz w:val="20"/>
              </w:rPr>
              <w:t>$118.92</w:t>
            </w:r>
          </w:p>
        </w:tc>
        <w:tc>
          <w:tcPr>
            <w:tcW w:w="1053" w:type="dxa"/>
            <w:tcBorders>
              <w:top w:val="single" w:sz="10" w:space="0" w:color="000000"/>
              <w:left w:val="single" w:sz="5" w:space="0" w:color="000000"/>
              <w:bottom w:val="single" w:sz="5" w:space="0" w:color="000000"/>
              <w:right w:val="single" w:sz="5" w:space="0" w:color="000000"/>
            </w:tcBorders>
          </w:tcPr>
          <w:p w14:paraId="0A33B4EB" w14:textId="77777777" w:rsidR="00AC4302" w:rsidRDefault="00AC4302" w:rsidP="005F3A0D">
            <w:pPr>
              <w:spacing w:line="259" w:lineRule="auto"/>
              <w:ind w:left="10"/>
              <w:jc w:val="center"/>
            </w:pPr>
            <w:r>
              <w:rPr>
                <w:rFonts w:ascii="Calibri" w:eastAsia="Calibri" w:hAnsi="Calibri" w:cs="Calibri"/>
                <w:sz w:val="20"/>
              </w:rPr>
              <w:t>$46.42</w:t>
            </w:r>
          </w:p>
        </w:tc>
        <w:tc>
          <w:tcPr>
            <w:tcW w:w="987" w:type="dxa"/>
            <w:tcBorders>
              <w:top w:val="single" w:sz="10" w:space="0" w:color="000000"/>
              <w:left w:val="single" w:sz="5" w:space="0" w:color="000000"/>
              <w:bottom w:val="single" w:sz="5" w:space="0" w:color="000000"/>
              <w:right w:val="single" w:sz="5" w:space="0" w:color="000000"/>
            </w:tcBorders>
          </w:tcPr>
          <w:p w14:paraId="7CB041BB" w14:textId="77777777" w:rsidR="00AC4302" w:rsidRDefault="00AC4302" w:rsidP="005F3A0D">
            <w:pPr>
              <w:spacing w:line="259" w:lineRule="auto"/>
              <w:ind w:left="24"/>
              <w:jc w:val="center"/>
            </w:pPr>
            <w:r>
              <w:rPr>
                <w:rFonts w:ascii="Calibri" w:eastAsia="Calibri" w:hAnsi="Calibri" w:cs="Calibri"/>
                <w:sz w:val="20"/>
              </w:rPr>
              <w:t>$55.40</w:t>
            </w:r>
          </w:p>
        </w:tc>
        <w:tc>
          <w:tcPr>
            <w:tcW w:w="1039" w:type="dxa"/>
            <w:tcBorders>
              <w:top w:val="single" w:sz="10" w:space="0" w:color="000000"/>
              <w:left w:val="single" w:sz="5" w:space="0" w:color="000000"/>
              <w:bottom w:val="single" w:sz="5" w:space="0" w:color="000000"/>
              <w:right w:val="single" w:sz="5" w:space="0" w:color="000000"/>
            </w:tcBorders>
          </w:tcPr>
          <w:p w14:paraId="10D6A324" w14:textId="77777777" w:rsidR="00AC4302" w:rsidRDefault="00AC4302" w:rsidP="005F3A0D">
            <w:pPr>
              <w:spacing w:line="259" w:lineRule="auto"/>
              <w:ind w:left="24"/>
              <w:jc w:val="center"/>
            </w:pPr>
            <w:r>
              <w:rPr>
                <w:rFonts w:ascii="Calibri" w:eastAsia="Calibri" w:hAnsi="Calibri" w:cs="Calibri"/>
                <w:sz w:val="20"/>
              </w:rPr>
              <w:t>$36.86</w:t>
            </w:r>
          </w:p>
        </w:tc>
        <w:tc>
          <w:tcPr>
            <w:tcW w:w="1050" w:type="dxa"/>
            <w:tcBorders>
              <w:top w:val="single" w:sz="10" w:space="0" w:color="000000"/>
              <w:left w:val="single" w:sz="5" w:space="0" w:color="000000"/>
              <w:bottom w:val="single" w:sz="5" w:space="0" w:color="000000"/>
              <w:right w:val="single" w:sz="11" w:space="0" w:color="000000"/>
            </w:tcBorders>
          </w:tcPr>
          <w:p w14:paraId="153D4777" w14:textId="77777777" w:rsidR="00AC4302" w:rsidRDefault="00AC4302" w:rsidP="005F3A0D">
            <w:pPr>
              <w:spacing w:line="259" w:lineRule="auto"/>
              <w:ind w:left="14"/>
              <w:jc w:val="center"/>
            </w:pPr>
            <w:r>
              <w:rPr>
                <w:rFonts w:ascii="Calibri" w:eastAsia="Calibri" w:hAnsi="Calibri" w:cs="Calibri"/>
                <w:sz w:val="20"/>
              </w:rPr>
              <w:t>$45.36</w:t>
            </w:r>
          </w:p>
        </w:tc>
      </w:tr>
      <w:tr w:rsidR="00AC4302" w14:paraId="4502D657" w14:textId="77777777" w:rsidTr="005F3A0D">
        <w:trPr>
          <w:trHeight w:val="263"/>
        </w:trPr>
        <w:tc>
          <w:tcPr>
            <w:tcW w:w="0" w:type="auto"/>
            <w:vMerge/>
            <w:tcBorders>
              <w:top w:val="nil"/>
              <w:left w:val="single" w:sz="5" w:space="0" w:color="000000"/>
              <w:bottom w:val="nil"/>
              <w:right w:val="single" w:sz="11" w:space="0" w:color="000000"/>
            </w:tcBorders>
          </w:tcPr>
          <w:p w14:paraId="61F12D2C" w14:textId="77777777" w:rsidR="00AC4302" w:rsidRDefault="00AC4302" w:rsidP="005F3A0D">
            <w:pPr>
              <w:spacing w:after="160" w:line="259" w:lineRule="auto"/>
            </w:pPr>
          </w:p>
        </w:tc>
        <w:tc>
          <w:tcPr>
            <w:tcW w:w="1375" w:type="dxa"/>
            <w:tcBorders>
              <w:top w:val="single" w:sz="5" w:space="0" w:color="000000"/>
              <w:left w:val="single" w:sz="11" w:space="0" w:color="000000"/>
              <w:bottom w:val="single" w:sz="5" w:space="0" w:color="000000"/>
              <w:right w:val="single" w:sz="5" w:space="0" w:color="000000"/>
            </w:tcBorders>
          </w:tcPr>
          <w:p w14:paraId="7C5EE38C" w14:textId="77777777" w:rsidR="00AC4302" w:rsidRDefault="00AC4302" w:rsidP="005F3A0D">
            <w:pPr>
              <w:spacing w:line="259" w:lineRule="auto"/>
              <w:ind w:left="17"/>
              <w:jc w:val="center"/>
            </w:pPr>
            <w:r>
              <w:rPr>
                <w:rFonts w:ascii="Calibri" w:eastAsia="Calibri" w:hAnsi="Calibri" w:cs="Calibri"/>
                <w:sz w:val="20"/>
              </w:rPr>
              <w:t>350</w:t>
            </w:r>
          </w:p>
        </w:tc>
        <w:tc>
          <w:tcPr>
            <w:tcW w:w="1066" w:type="dxa"/>
            <w:tcBorders>
              <w:top w:val="single" w:sz="5" w:space="0" w:color="000000"/>
              <w:left w:val="single" w:sz="5" w:space="0" w:color="000000"/>
              <w:bottom w:val="single" w:sz="5" w:space="0" w:color="000000"/>
              <w:right w:val="single" w:sz="5" w:space="0" w:color="000000"/>
            </w:tcBorders>
          </w:tcPr>
          <w:p w14:paraId="5F4C67A5" w14:textId="77777777" w:rsidR="00AC4302" w:rsidRDefault="00AC4302" w:rsidP="005F3A0D">
            <w:pPr>
              <w:spacing w:line="259" w:lineRule="auto"/>
              <w:ind w:left="11"/>
              <w:jc w:val="center"/>
            </w:pPr>
            <w:r>
              <w:rPr>
                <w:rFonts w:ascii="Calibri" w:eastAsia="Calibri" w:hAnsi="Calibri" w:cs="Calibri"/>
                <w:sz w:val="20"/>
              </w:rPr>
              <w:t>$114.21</w:t>
            </w:r>
          </w:p>
        </w:tc>
        <w:tc>
          <w:tcPr>
            <w:tcW w:w="987" w:type="dxa"/>
            <w:tcBorders>
              <w:top w:val="single" w:sz="5" w:space="0" w:color="000000"/>
              <w:left w:val="single" w:sz="5" w:space="0" w:color="000000"/>
              <w:bottom w:val="single" w:sz="5" w:space="0" w:color="000000"/>
              <w:right w:val="single" w:sz="5" w:space="0" w:color="000000"/>
            </w:tcBorders>
          </w:tcPr>
          <w:p w14:paraId="11311377" w14:textId="77777777" w:rsidR="00AC4302" w:rsidRDefault="00AC4302" w:rsidP="005F3A0D">
            <w:pPr>
              <w:spacing w:line="259" w:lineRule="auto"/>
              <w:ind w:left="11"/>
              <w:jc w:val="center"/>
            </w:pPr>
            <w:r>
              <w:rPr>
                <w:rFonts w:ascii="Calibri" w:eastAsia="Calibri" w:hAnsi="Calibri" w:cs="Calibri"/>
                <w:sz w:val="20"/>
              </w:rPr>
              <w:t>$161.36</w:t>
            </w:r>
          </w:p>
        </w:tc>
        <w:tc>
          <w:tcPr>
            <w:tcW w:w="1053" w:type="dxa"/>
            <w:tcBorders>
              <w:top w:val="single" w:sz="5" w:space="0" w:color="000000"/>
              <w:left w:val="single" w:sz="5" w:space="0" w:color="000000"/>
              <w:bottom w:val="single" w:sz="5" w:space="0" w:color="000000"/>
              <w:right w:val="single" w:sz="5" w:space="0" w:color="000000"/>
            </w:tcBorders>
          </w:tcPr>
          <w:p w14:paraId="22C46CA3" w14:textId="77777777" w:rsidR="00AC4302" w:rsidRDefault="00AC4302" w:rsidP="005F3A0D">
            <w:pPr>
              <w:spacing w:line="259" w:lineRule="auto"/>
              <w:ind w:left="10"/>
              <w:jc w:val="center"/>
            </w:pPr>
            <w:r>
              <w:rPr>
                <w:rFonts w:ascii="Calibri" w:eastAsia="Calibri" w:hAnsi="Calibri" w:cs="Calibri"/>
                <w:sz w:val="20"/>
              </w:rPr>
              <w:t>$53.71</w:t>
            </w:r>
          </w:p>
        </w:tc>
        <w:tc>
          <w:tcPr>
            <w:tcW w:w="987" w:type="dxa"/>
            <w:tcBorders>
              <w:top w:val="single" w:sz="5" w:space="0" w:color="000000"/>
              <w:left w:val="single" w:sz="5" w:space="0" w:color="000000"/>
              <w:bottom w:val="single" w:sz="5" w:space="0" w:color="000000"/>
              <w:right w:val="single" w:sz="5" w:space="0" w:color="000000"/>
            </w:tcBorders>
          </w:tcPr>
          <w:p w14:paraId="648869BA" w14:textId="77777777" w:rsidR="00AC4302" w:rsidRDefault="00AC4302" w:rsidP="005F3A0D">
            <w:pPr>
              <w:spacing w:line="259" w:lineRule="auto"/>
              <w:ind w:left="24"/>
              <w:jc w:val="center"/>
            </w:pPr>
            <w:r>
              <w:rPr>
                <w:rFonts w:ascii="Calibri" w:eastAsia="Calibri" w:hAnsi="Calibri" w:cs="Calibri"/>
                <w:sz w:val="20"/>
              </w:rPr>
              <w:t>$97.84</w:t>
            </w:r>
          </w:p>
        </w:tc>
        <w:tc>
          <w:tcPr>
            <w:tcW w:w="1039" w:type="dxa"/>
            <w:tcBorders>
              <w:top w:val="single" w:sz="5" w:space="0" w:color="000000"/>
              <w:left w:val="single" w:sz="5" w:space="0" w:color="000000"/>
              <w:bottom w:val="single" w:sz="5" w:space="0" w:color="000000"/>
              <w:right w:val="single" w:sz="5" w:space="0" w:color="000000"/>
            </w:tcBorders>
          </w:tcPr>
          <w:p w14:paraId="604CED78" w14:textId="77777777" w:rsidR="00AC4302" w:rsidRDefault="00AC4302" w:rsidP="005F3A0D">
            <w:pPr>
              <w:spacing w:line="259" w:lineRule="auto"/>
              <w:ind w:left="24"/>
              <w:jc w:val="center"/>
            </w:pPr>
            <w:r>
              <w:rPr>
                <w:rFonts w:ascii="Calibri" w:eastAsia="Calibri" w:hAnsi="Calibri" w:cs="Calibri"/>
                <w:sz w:val="20"/>
              </w:rPr>
              <w:t>$36.86</w:t>
            </w:r>
          </w:p>
        </w:tc>
        <w:tc>
          <w:tcPr>
            <w:tcW w:w="1050" w:type="dxa"/>
            <w:tcBorders>
              <w:top w:val="single" w:sz="5" w:space="0" w:color="000000"/>
              <w:left w:val="single" w:sz="5" w:space="0" w:color="000000"/>
              <w:bottom w:val="single" w:sz="5" w:space="0" w:color="000000"/>
              <w:right w:val="single" w:sz="11" w:space="0" w:color="000000"/>
            </w:tcBorders>
          </w:tcPr>
          <w:p w14:paraId="023EF9D3" w14:textId="77777777" w:rsidR="00AC4302" w:rsidRDefault="00AC4302" w:rsidP="005F3A0D">
            <w:pPr>
              <w:spacing w:line="259" w:lineRule="auto"/>
              <w:ind w:left="14"/>
              <w:jc w:val="center"/>
            </w:pPr>
            <w:r>
              <w:rPr>
                <w:rFonts w:ascii="Calibri" w:eastAsia="Calibri" w:hAnsi="Calibri" w:cs="Calibri"/>
                <w:sz w:val="20"/>
              </w:rPr>
              <w:t>$80.15</w:t>
            </w:r>
          </w:p>
        </w:tc>
      </w:tr>
      <w:tr w:rsidR="00AC4302" w14:paraId="39FD6B6F" w14:textId="77777777" w:rsidTr="005F3A0D">
        <w:trPr>
          <w:trHeight w:val="269"/>
        </w:trPr>
        <w:tc>
          <w:tcPr>
            <w:tcW w:w="0" w:type="auto"/>
            <w:vMerge/>
            <w:tcBorders>
              <w:top w:val="nil"/>
              <w:left w:val="single" w:sz="5" w:space="0" w:color="000000"/>
              <w:bottom w:val="single" w:sz="10" w:space="0" w:color="000000"/>
              <w:right w:val="single" w:sz="11" w:space="0" w:color="000000"/>
            </w:tcBorders>
          </w:tcPr>
          <w:p w14:paraId="18E59469" w14:textId="77777777" w:rsidR="00AC4302" w:rsidRDefault="00AC4302" w:rsidP="005F3A0D">
            <w:pPr>
              <w:spacing w:after="160" w:line="259" w:lineRule="auto"/>
            </w:pPr>
          </w:p>
        </w:tc>
        <w:tc>
          <w:tcPr>
            <w:tcW w:w="1375" w:type="dxa"/>
            <w:tcBorders>
              <w:top w:val="single" w:sz="5" w:space="0" w:color="000000"/>
              <w:left w:val="single" w:sz="11" w:space="0" w:color="000000"/>
              <w:bottom w:val="single" w:sz="10" w:space="0" w:color="000000"/>
              <w:right w:val="single" w:sz="5" w:space="0" w:color="000000"/>
            </w:tcBorders>
          </w:tcPr>
          <w:p w14:paraId="3A7B5198" w14:textId="77777777" w:rsidR="00AC4302" w:rsidRDefault="00AC4302" w:rsidP="005F3A0D">
            <w:pPr>
              <w:spacing w:line="259" w:lineRule="auto"/>
              <w:ind w:left="30"/>
              <w:jc w:val="center"/>
            </w:pPr>
            <w:r>
              <w:rPr>
                <w:rFonts w:ascii="Calibri" w:eastAsia="Calibri" w:hAnsi="Calibri" w:cs="Calibri"/>
                <w:sz w:val="20"/>
              </w:rPr>
              <w:t>1000</w:t>
            </w:r>
          </w:p>
        </w:tc>
        <w:tc>
          <w:tcPr>
            <w:tcW w:w="1066" w:type="dxa"/>
            <w:tcBorders>
              <w:top w:val="single" w:sz="5" w:space="0" w:color="000000"/>
              <w:left w:val="single" w:sz="5" w:space="0" w:color="000000"/>
              <w:bottom w:val="single" w:sz="10" w:space="0" w:color="000000"/>
              <w:right w:val="single" w:sz="5" w:space="0" w:color="000000"/>
            </w:tcBorders>
          </w:tcPr>
          <w:p w14:paraId="27F5F8B4" w14:textId="77777777" w:rsidR="00AC4302" w:rsidRDefault="00AC4302" w:rsidP="005F3A0D">
            <w:pPr>
              <w:spacing w:line="259" w:lineRule="auto"/>
              <w:ind w:left="11"/>
              <w:jc w:val="center"/>
            </w:pPr>
            <w:r>
              <w:rPr>
                <w:rFonts w:ascii="Calibri" w:eastAsia="Calibri" w:hAnsi="Calibri" w:cs="Calibri"/>
                <w:sz w:val="20"/>
              </w:rPr>
              <w:t>$130.00</w:t>
            </w:r>
          </w:p>
        </w:tc>
        <w:tc>
          <w:tcPr>
            <w:tcW w:w="987" w:type="dxa"/>
            <w:tcBorders>
              <w:top w:val="single" w:sz="5" w:space="0" w:color="000000"/>
              <w:left w:val="single" w:sz="5" w:space="0" w:color="000000"/>
              <w:bottom w:val="single" w:sz="10" w:space="0" w:color="000000"/>
              <w:right w:val="single" w:sz="5" w:space="0" w:color="000000"/>
            </w:tcBorders>
          </w:tcPr>
          <w:p w14:paraId="2252EBFB" w14:textId="77777777" w:rsidR="00AC4302" w:rsidRDefault="00AC4302" w:rsidP="005F3A0D">
            <w:pPr>
              <w:spacing w:line="259" w:lineRule="auto"/>
              <w:ind w:left="11"/>
              <w:jc w:val="center"/>
            </w:pPr>
            <w:r>
              <w:rPr>
                <w:rFonts w:ascii="Calibri" w:eastAsia="Calibri" w:hAnsi="Calibri" w:cs="Calibri"/>
                <w:sz w:val="20"/>
              </w:rPr>
              <w:t>$253.33</w:t>
            </w:r>
          </w:p>
        </w:tc>
        <w:tc>
          <w:tcPr>
            <w:tcW w:w="1053" w:type="dxa"/>
            <w:tcBorders>
              <w:top w:val="single" w:sz="5" w:space="0" w:color="000000"/>
              <w:left w:val="single" w:sz="5" w:space="0" w:color="000000"/>
              <w:bottom w:val="single" w:sz="10" w:space="0" w:color="000000"/>
              <w:right w:val="single" w:sz="5" w:space="0" w:color="000000"/>
            </w:tcBorders>
          </w:tcPr>
          <w:p w14:paraId="6233C6CF" w14:textId="77777777" w:rsidR="00AC4302" w:rsidRDefault="00AC4302" w:rsidP="005F3A0D">
            <w:pPr>
              <w:spacing w:line="259" w:lineRule="auto"/>
              <w:ind w:left="10"/>
              <w:jc w:val="center"/>
            </w:pPr>
            <w:r>
              <w:rPr>
                <w:rFonts w:ascii="Calibri" w:eastAsia="Calibri" w:hAnsi="Calibri" w:cs="Calibri"/>
                <w:sz w:val="20"/>
              </w:rPr>
              <w:t>$69.50</w:t>
            </w:r>
          </w:p>
        </w:tc>
        <w:tc>
          <w:tcPr>
            <w:tcW w:w="987" w:type="dxa"/>
            <w:tcBorders>
              <w:top w:val="single" w:sz="5" w:space="0" w:color="000000"/>
              <w:left w:val="single" w:sz="5" w:space="0" w:color="000000"/>
              <w:bottom w:val="single" w:sz="10" w:space="0" w:color="000000"/>
              <w:right w:val="single" w:sz="5" w:space="0" w:color="000000"/>
            </w:tcBorders>
          </w:tcPr>
          <w:p w14:paraId="775EF01A" w14:textId="77777777" w:rsidR="00AC4302" w:rsidRDefault="00AC4302" w:rsidP="005F3A0D">
            <w:pPr>
              <w:spacing w:line="259" w:lineRule="auto"/>
              <w:ind w:left="11"/>
              <w:jc w:val="center"/>
            </w:pPr>
            <w:r>
              <w:rPr>
                <w:rFonts w:ascii="Calibri" w:eastAsia="Calibri" w:hAnsi="Calibri" w:cs="Calibri"/>
                <w:sz w:val="20"/>
              </w:rPr>
              <w:t>$189.80</w:t>
            </w:r>
          </w:p>
        </w:tc>
        <w:tc>
          <w:tcPr>
            <w:tcW w:w="1039" w:type="dxa"/>
            <w:tcBorders>
              <w:top w:val="single" w:sz="5" w:space="0" w:color="000000"/>
              <w:left w:val="single" w:sz="5" w:space="0" w:color="000000"/>
              <w:bottom w:val="single" w:sz="10" w:space="0" w:color="000000"/>
              <w:right w:val="single" w:sz="5" w:space="0" w:color="000000"/>
            </w:tcBorders>
          </w:tcPr>
          <w:p w14:paraId="102E0DC9" w14:textId="77777777" w:rsidR="00AC4302" w:rsidRDefault="00AC4302" w:rsidP="005F3A0D">
            <w:pPr>
              <w:spacing w:line="259" w:lineRule="auto"/>
              <w:ind w:left="24"/>
              <w:jc w:val="center"/>
            </w:pPr>
            <w:r>
              <w:rPr>
                <w:rFonts w:ascii="Calibri" w:eastAsia="Calibri" w:hAnsi="Calibri" w:cs="Calibri"/>
                <w:sz w:val="20"/>
              </w:rPr>
              <w:t>$36.86</w:t>
            </w:r>
          </w:p>
        </w:tc>
        <w:tc>
          <w:tcPr>
            <w:tcW w:w="1050" w:type="dxa"/>
            <w:tcBorders>
              <w:top w:val="single" w:sz="5" w:space="0" w:color="000000"/>
              <w:left w:val="single" w:sz="5" w:space="0" w:color="000000"/>
              <w:bottom w:val="single" w:sz="10" w:space="0" w:color="000000"/>
              <w:right w:val="single" w:sz="11" w:space="0" w:color="000000"/>
            </w:tcBorders>
          </w:tcPr>
          <w:p w14:paraId="51D380B4" w14:textId="77777777" w:rsidR="00AC4302" w:rsidRDefault="00AC4302" w:rsidP="005F3A0D">
            <w:pPr>
              <w:spacing w:line="259" w:lineRule="auto"/>
              <w:ind w:left="27"/>
              <w:jc w:val="center"/>
            </w:pPr>
            <w:r>
              <w:rPr>
                <w:rFonts w:ascii="Calibri" w:eastAsia="Calibri" w:hAnsi="Calibri" w:cs="Calibri"/>
                <w:sz w:val="20"/>
              </w:rPr>
              <w:t>$155.53</w:t>
            </w:r>
          </w:p>
        </w:tc>
      </w:tr>
      <w:tr w:rsidR="00AC4302" w14:paraId="4956FE0B" w14:textId="77777777" w:rsidTr="005F3A0D">
        <w:trPr>
          <w:trHeight w:val="270"/>
        </w:trPr>
        <w:tc>
          <w:tcPr>
            <w:tcW w:w="1783" w:type="dxa"/>
            <w:vMerge w:val="restart"/>
            <w:tcBorders>
              <w:top w:val="single" w:sz="10" w:space="0" w:color="000000"/>
              <w:left w:val="single" w:sz="5" w:space="0" w:color="000000"/>
              <w:bottom w:val="single" w:sz="11" w:space="0" w:color="000000"/>
              <w:right w:val="single" w:sz="11" w:space="0" w:color="000000"/>
            </w:tcBorders>
            <w:vAlign w:val="center"/>
          </w:tcPr>
          <w:p w14:paraId="4A0F4655" w14:textId="77777777" w:rsidR="00AC4302" w:rsidRDefault="00AC4302" w:rsidP="005F3A0D">
            <w:pPr>
              <w:spacing w:line="259" w:lineRule="auto"/>
              <w:jc w:val="center"/>
            </w:pPr>
            <w:r>
              <w:rPr>
                <w:rFonts w:ascii="Calibri" w:eastAsia="Calibri" w:hAnsi="Calibri" w:cs="Calibri"/>
                <w:sz w:val="20"/>
              </w:rPr>
              <w:t>R2-Seasonal</w:t>
            </w:r>
          </w:p>
        </w:tc>
        <w:tc>
          <w:tcPr>
            <w:tcW w:w="1375" w:type="dxa"/>
            <w:tcBorders>
              <w:top w:val="single" w:sz="10" w:space="0" w:color="000000"/>
              <w:left w:val="single" w:sz="11" w:space="0" w:color="000000"/>
              <w:bottom w:val="single" w:sz="5" w:space="0" w:color="000000"/>
              <w:right w:val="single" w:sz="5" w:space="0" w:color="000000"/>
            </w:tcBorders>
          </w:tcPr>
          <w:p w14:paraId="470A0FE2" w14:textId="77777777" w:rsidR="00AC4302" w:rsidRDefault="00AC4302" w:rsidP="005F3A0D">
            <w:pPr>
              <w:spacing w:line="259" w:lineRule="auto"/>
              <w:ind w:left="31"/>
              <w:jc w:val="center"/>
            </w:pPr>
            <w:r>
              <w:rPr>
                <w:rFonts w:ascii="Calibri" w:eastAsia="Calibri" w:hAnsi="Calibri" w:cs="Calibri"/>
                <w:sz w:val="20"/>
              </w:rPr>
              <w:t>50</w:t>
            </w:r>
          </w:p>
        </w:tc>
        <w:tc>
          <w:tcPr>
            <w:tcW w:w="1066" w:type="dxa"/>
            <w:tcBorders>
              <w:top w:val="single" w:sz="10" w:space="0" w:color="000000"/>
              <w:left w:val="single" w:sz="5" w:space="0" w:color="000000"/>
              <w:bottom w:val="single" w:sz="5" w:space="0" w:color="000000"/>
              <w:right w:val="single" w:sz="5" w:space="0" w:color="000000"/>
            </w:tcBorders>
          </w:tcPr>
          <w:p w14:paraId="6810253E" w14:textId="77777777" w:rsidR="00AC4302" w:rsidRDefault="00AC4302" w:rsidP="005F3A0D">
            <w:pPr>
              <w:spacing w:line="259" w:lineRule="auto"/>
              <w:ind w:left="11"/>
              <w:jc w:val="center"/>
            </w:pPr>
            <w:r>
              <w:rPr>
                <w:rFonts w:ascii="Calibri" w:eastAsia="Calibri" w:hAnsi="Calibri" w:cs="Calibri"/>
                <w:sz w:val="20"/>
              </w:rPr>
              <w:t>$106.92</w:t>
            </w:r>
          </w:p>
        </w:tc>
        <w:tc>
          <w:tcPr>
            <w:tcW w:w="987" w:type="dxa"/>
            <w:tcBorders>
              <w:top w:val="single" w:sz="10" w:space="0" w:color="000000"/>
              <w:left w:val="single" w:sz="5" w:space="0" w:color="000000"/>
              <w:bottom w:val="single" w:sz="5" w:space="0" w:color="000000"/>
              <w:right w:val="single" w:sz="5" w:space="0" w:color="000000"/>
            </w:tcBorders>
          </w:tcPr>
          <w:p w14:paraId="4E71BB0D" w14:textId="77777777" w:rsidR="00AC4302" w:rsidRDefault="00AC4302" w:rsidP="005F3A0D">
            <w:pPr>
              <w:spacing w:line="259" w:lineRule="auto"/>
              <w:ind w:left="11"/>
              <w:jc w:val="center"/>
            </w:pPr>
            <w:r>
              <w:rPr>
                <w:rFonts w:ascii="Calibri" w:eastAsia="Calibri" w:hAnsi="Calibri" w:cs="Calibri"/>
                <w:sz w:val="20"/>
              </w:rPr>
              <w:t>$118.92</w:t>
            </w:r>
          </w:p>
        </w:tc>
        <w:tc>
          <w:tcPr>
            <w:tcW w:w="1053" w:type="dxa"/>
            <w:tcBorders>
              <w:top w:val="single" w:sz="10" w:space="0" w:color="000000"/>
              <w:left w:val="single" w:sz="5" w:space="0" w:color="000000"/>
              <w:bottom w:val="single" w:sz="5" w:space="0" w:color="000000"/>
              <w:right w:val="single" w:sz="5" w:space="0" w:color="000000"/>
            </w:tcBorders>
          </w:tcPr>
          <w:p w14:paraId="7C21C167" w14:textId="77777777" w:rsidR="00AC4302" w:rsidRDefault="00AC4302" w:rsidP="005F3A0D">
            <w:pPr>
              <w:spacing w:line="259" w:lineRule="auto"/>
              <w:ind w:left="23"/>
              <w:jc w:val="center"/>
            </w:pPr>
            <w:r>
              <w:rPr>
                <w:rFonts w:ascii="Calibri" w:eastAsia="Calibri" w:hAnsi="Calibri" w:cs="Calibri"/>
                <w:sz w:val="20"/>
              </w:rPr>
              <w:t>$106.92</w:t>
            </w:r>
          </w:p>
        </w:tc>
        <w:tc>
          <w:tcPr>
            <w:tcW w:w="987" w:type="dxa"/>
            <w:tcBorders>
              <w:top w:val="single" w:sz="10" w:space="0" w:color="000000"/>
              <w:left w:val="single" w:sz="5" w:space="0" w:color="000000"/>
              <w:bottom w:val="single" w:sz="5" w:space="0" w:color="000000"/>
              <w:right w:val="single" w:sz="5" w:space="0" w:color="000000"/>
            </w:tcBorders>
          </w:tcPr>
          <w:p w14:paraId="36058AE6" w14:textId="77777777" w:rsidR="00AC4302" w:rsidRDefault="00AC4302" w:rsidP="005F3A0D">
            <w:pPr>
              <w:spacing w:line="259" w:lineRule="auto"/>
              <w:ind w:left="11"/>
              <w:jc w:val="center"/>
            </w:pPr>
            <w:r>
              <w:rPr>
                <w:rFonts w:ascii="Calibri" w:eastAsia="Calibri" w:hAnsi="Calibri" w:cs="Calibri"/>
                <w:sz w:val="20"/>
              </w:rPr>
              <w:t>$118.92</w:t>
            </w:r>
          </w:p>
        </w:tc>
        <w:tc>
          <w:tcPr>
            <w:tcW w:w="1039" w:type="dxa"/>
            <w:tcBorders>
              <w:top w:val="single" w:sz="10" w:space="0" w:color="000000"/>
              <w:left w:val="single" w:sz="5" w:space="0" w:color="000000"/>
              <w:bottom w:val="single" w:sz="5" w:space="0" w:color="000000"/>
              <w:right w:val="single" w:sz="5" w:space="0" w:color="000000"/>
            </w:tcBorders>
          </w:tcPr>
          <w:p w14:paraId="0DAE6469" w14:textId="77777777" w:rsidR="00AC4302" w:rsidRDefault="00AC4302" w:rsidP="005F3A0D">
            <w:pPr>
              <w:spacing w:line="259" w:lineRule="auto"/>
              <w:ind w:left="11"/>
              <w:jc w:val="center"/>
            </w:pPr>
            <w:r>
              <w:rPr>
                <w:rFonts w:ascii="Calibri" w:eastAsia="Calibri" w:hAnsi="Calibri" w:cs="Calibri"/>
                <w:sz w:val="20"/>
              </w:rPr>
              <w:t>$106.92</w:t>
            </w:r>
          </w:p>
        </w:tc>
        <w:tc>
          <w:tcPr>
            <w:tcW w:w="1050" w:type="dxa"/>
            <w:tcBorders>
              <w:top w:val="single" w:sz="10" w:space="0" w:color="000000"/>
              <w:left w:val="single" w:sz="5" w:space="0" w:color="000000"/>
              <w:bottom w:val="single" w:sz="5" w:space="0" w:color="000000"/>
              <w:right w:val="single" w:sz="11" w:space="0" w:color="000000"/>
            </w:tcBorders>
          </w:tcPr>
          <w:p w14:paraId="764ED53A" w14:textId="77777777" w:rsidR="00AC4302" w:rsidRDefault="00AC4302" w:rsidP="005F3A0D">
            <w:pPr>
              <w:spacing w:line="259" w:lineRule="auto"/>
              <w:ind w:left="27"/>
              <w:jc w:val="center"/>
            </w:pPr>
            <w:r>
              <w:rPr>
                <w:rFonts w:ascii="Calibri" w:eastAsia="Calibri" w:hAnsi="Calibri" w:cs="Calibri"/>
                <w:sz w:val="20"/>
              </w:rPr>
              <w:t>$118.92</w:t>
            </w:r>
          </w:p>
        </w:tc>
      </w:tr>
      <w:tr w:rsidR="00AC4302" w14:paraId="0A890E4C" w14:textId="77777777" w:rsidTr="005F3A0D">
        <w:trPr>
          <w:trHeight w:val="263"/>
        </w:trPr>
        <w:tc>
          <w:tcPr>
            <w:tcW w:w="0" w:type="auto"/>
            <w:vMerge/>
            <w:tcBorders>
              <w:top w:val="nil"/>
              <w:left w:val="single" w:sz="5" w:space="0" w:color="000000"/>
              <w:bottom w:val="nil"/>
              <w:right w:val="single" w:sz="11" w:space="0" w:color="000000"/>
            </w:tcBorders>
          </w:tcPr>
          <w:p w14:paraId="295CBC19" w14:textId="77777777" w:rsidR="00AC4302" w:rsidRDefault="00AC4302" w:rsidP="005F3A0D">
            <w:pPr>
              <w:spacing w:after="160" w:line="259" w:lineRule="auto"/>
            </w:pPr>
          </w:p>
        </w:tc>
        <w:tc>
          <w:tcPr>
            <w:tcW w:w="1375" w:type="dxa"/>
            <w:tcBorders>
              <w:top w:val="single" w:sz="5" w:space="0" w:color="000000"/>
              <w:left w:val="single" w:sz="11" w:space="0" w:color="000000"/>
              <w:bottom w:val="single" w:sz="5" w:space="0" w:color="000000"/>
              <w:right w:val="single" w:sz="5" w:space="0" w:color="000000"/>
            </w:tcBorders>
          </w:tcPr>
          <w:p w14:paraId="65A8C539" w14:textId="77777777" w:rsidR="00AC4302" w:rsidRDefault="00AC4302" w:rsidP="005F3A0D">
            <w:pPr>
              <w:spacing w:line="259" w:lineRule="auto"/>
              <w:ind w:left="17"/>
              <w:jc w:val="center"/>
            </w:pPr>
            <w:r>
              <w:rPr>
                <w:rFonts w:ascii="Calibri" w:eastAsia="Calibri" w:hAnsi="Calibri" w:cs="Calibri"/>
                <w:sz w:val="20"/>
              </w:rPr>
              <w:t>350</w:t>
            </w:r>
          </w:p>
        </w:tc>
        <w:tc>
          <w:tcPr>
            <w:tcW w:w="1066" w:type="dxa"/>
            <w:tcBorders>
              <w:top w:val="single" w:sz="5" w:space="0" w:color="000000"/>
              <w:left w:val="single" w:sz="5" w:space="0" w:color="000000"/>
              <w:bottom w:val="single" w:sz="5" w:space="0" w:color="000000"/>
              <w:right w:val="single" w:sz="5" w:space="0" w:color="000000"/>
            </w:tcBorders>
          </w:tcPr>
          <w:p w14:paraId="16A31A1D" w14:textId="77777777" w:rsidR="00AC4302" w:rsidRDefault="00AC4302" w:rsidP="005F3A0D">
            <w:pPr>
              <w:spacing w:line="259" w:lineRule="auto"/>
              <w:ind w:left="11"/>
              <w:jc w:val="center"/>
            </w:pPr>
            <w:r>
              <w:rPr>
                <w:rFonts w:ascii="Calibri" w:eastAsia="Calibri" w:hAnsi="Calibri" w:cs="Calibri"/>
                <w:sz w:val="20"/>
              </w:rPr>
              <w:t>$114.21</w:t>
            </w:r>
          </w:p>
        </w:tc>
        <w:tc>
          <w:tcPr>
            <w:tcW w:w="987" w:type="dxa"/>
            <w:tcBorders>
              <w:top w:val="single" w:sz="5" w:space="0" w:color="000000"/>
              <w:left w:val="single" w:sz="5" w:space="0" w:color="000000"/>
              <w:bottom w:val="single" w:sz="5" w:space="0" w:color="000000"/>
              <w:right w:val="single" w:sz="5" w:space="0" w:color="000000"/>
            </w:tcBorders>
          </w:tcPr>
          <w:p w14:paraId="0A2D8E6C" w14:textId="77777777" w:rsidR="00AC4302" w:rsidRDefault="00AC4302" w:rsidP="005F3A0D">
            <w:pPr>
              <w:spacing w:line="259" w:lineRule="auto"/>
              <w:ind w:left="11"/>
              <w:jc w:val="center"/>
            </w:pPr>
            <w:r>
              <w:rPr>
                <w:rFonts w:ascii="Calibri" w:eastAsia="Calibri" w:hAnsi="Calibri" w:cs="Calibri"/>
                <w:sz w:val="20"/>
              </w:rPr>
              <w:t>$161.36</w:t>
            </w:r>
          </w:p>
        </w:tc>
        <w:tc>
          <w:tcPr>
            <w:tcW w:w="1053" w:type="dxa"/>
            <w:tcBorders>
              <w:top w:val="single" w:sz="5" w:space="0" w:color="000000"/>
              <w:left w:val="single" w:sz="5" w:space="0" w:color="000000"/>
              <w:bottom w:val="single" w:sz="5" w:space="0" w:color="000000"/>
              <w:right w:val="single" w:sz="5" w:space="0" w:color="000000"/>
            </w:tcBorders>
          </w:tcPr>
          <w:p w14:paraId="10BD8E71" w14:textId="77777777" w:rsidR="00AC4302" w:rsidRDefault="00AC4302" w:rsidP="005F3A0D">
            <w:pPr>
              <w:spacing w:line="259" w:lineRule="auto"/>
              <w:ind w:left="23"/>
              <w:jc w:val="center"/>
            </w:pPr>
            <w:r>
              <w:rPr>
                <w:rFonts w:ascii="Calibri" w:eastAsia="Calibri" w:hAnsi="Calibri" w:cs="Calibri"/>
                <w:sz w:val="20"/>
              </w:rPr>
              <w:t>$114.21</w:t>
            </w:r>
          </w:p>
        </w:tc>
        <w:tc>
          <w:tcPr>
            <w:tcW w:w="987" w:type="dxa"/>
            <w:tcBorders>
              <w:top w:val="single" w:sz="5" w:space="0" w:color="000000"/>
              <w:left w:val="single" w:sz="5" w:space="0" w:color="000000"/>
              <w:bottom w:val="single" w:sz="5" w:space="0" w:color="000000"/>
              <w:right w:val="single" w:sz="5" w:space="0" w:color="000000"/>
            </w:tcBorders>
          </w:tcPr>
          <w:p w14:paraId="530E4A49" w14:textId="77777777" w:rsidR="00AC4302" w:rsidRDefault="00AC4302" w:rsidP="005F3A0D">
            <w:pPr>
              <w:spacing w:line="259" w:lineRule="auto"/>
              <w:ind w:left="11"/>
              <w:jc w:val="center"/>
            </w:pPr>
            <w:r>
              <w:rPr>
                <w:rFonts w:ascii="Calibri" w:eastAsia="Calibri" w:hAnsi="Calibri" w:cs="Calibri"/>
                <w:sz w:val="20"/>
              </w:rPr>
              <w:t>$161.36</w:t>
            </w:r>
          </w:p>
        </w:tc>
        <w:tc>
          <w:tcPr>
            <w:tcW w:w="1039" w:type="dxa"/>
            <w:tcBorders>
              <w:top w:val="single" w:sz="5" w:space="0" w:color="000000"/>
              <w:left w:val="single" w:sz="5" w:space="0" w:color="000000"/>
              <w:bottom w:val="single" w:sz="5" w:space="0" w:color="000000"/>
              <w:right w:val="single" w:sz="5" w:space="0" w:color="000000"/>
            </w:tcBorders>
          </w:tcPr>
          <w:p w14:paraId="6644A610" w14:textId="77777777" w:rsidR="00AC4302" w:rsidRDefault="00AC4302" w:rsidP="005F3A0D">
            <w:pPr>
              <w:spacing w:line="259" w:lineRule="auto"/>
              <w:ind w:left="11"/>
              <w:jc w:val="center"/>
            </w:pPr>
            <w:r>
              <w:rPr>
                <w:rFonts w:ascii="Calibri" w:eastAsia="Calibri" w:hAnsi="Calibri" w:cs="Calibri"/>
                <w:sz w:val="20"/>
              </w:rPr>
              <w:t>$114.21</w:t>
            </w:r>
          </w:p>
        </w:tc>
        <w:tc>
          <w:tcPr>
            <w:tcW w:w="1050" w:type="dxa"/>
            <w:tcBorders>
              <w:top w:val="single" w:sz="5" w:space="0" w:color="000000"/>
              <w:left w:val="single" w:sz="5" w:space="0" w:color="000000"/>
              <w:bottom w:val="single" w:sz="5" w:space="0" w:color="000000"/>
              <w:right w:val="single" w:sz="11" w:space="0" w:color="000000"/>
            </w:tcBorders>
          </w:tcPr>
          <w:p w14:paraId="72A3A1F4" w14:textId="77777777" w:rsidR="00AC4302" w:rsidRDefault="00AC4302" w:rsidP="005F3A0D">
            <w:pPr>
              <w:spacing w:line="259" w:lineRule="auto"/>
              <w:ind w:left="27"/>
              <w:jc w:val="center"/>
            </w:pPr>
            <w:r>
              <w:rPr>
                <w:rFonts w:ascii="Calibri" w:eastAsia="Calibri" w:hAnsi="Calibri" w:cs="Calibri"/>
                <w:sz w:val="20"/>
              </w:rPr>
              <w:t>$161.36</w:t>
            </w:r>
          </w:p>
        </w:tc>
      </w:tr>
      <w:tr w:rsidR="00AC4302" w14:paraId="0412AADA" w14:textId="77777777" w:rsidTr="005F3A0D">
        <w:trPr>
          <w:trHeight w:val="270"/>
        </w:trPr>
        <w:tc>
          <w:tcPr>
            <w:tcW w:w="0" w:type="auto"/>
            <w:vMerge/>
            <w:tcBorders>
              <w:top w:val="nil"/>
              <w:left w:val="single" w:sz="5" w:space="0" w:color="000000"/>
              <w:bottom w:val="single" w:sz="11" w:space="0" w:color="000000"/>
              <w:right w:val="single" w:sz="11" w:space="0" w:color="000000"/>
            </w:tcBorders>
          </w:tcPr>
          <w:p w14:paraId="46F62871" w14:textId="77777777" w:rsidR="00AC4302" w:rsidRDefault="00AC4302" w:rsidP="005F3A0D">
            <w:pPr>
              <w:spacing w:after="160" w:line="259" w:lineRule="auto"/>
            </w:pPr>
          </w:p>
        </w:tc>
        <w:tc>
          <w:tcPr>
            <w:tcW w:w="1375" w:type="dxa"/>
            <w:tcBorders>
              <w:top w:val="single" w:sz="5" w:space="0" w:color="000000"/>
              <w:left w:val="single" w:sz="11" w:space="0" w:color="000000"/>
              <w:bottom w:val="single" w:sz="11" w:space="0" w:color="000000"/>
              <w:right w:val="single" w:sz="5" w:space="0" w:color="000000"/>
            </w:tcBorders>
          </w:tcPr>
          <w:p w14:paraId="6C7A3EAE" w14:textId="77777777" w:rsidR="00AC4302" w:rsidRDefault="00AC4302" w:rsidP="005F3A0D">
            <w:pPr>
              <w:spacing w:line="259" w:lineRule="auto"/>
              <w:ind w:left="30"/>
              <w:jc w:val="center"/>
            </w:pPr>
            <w:r>
              <w:rPr>
                <w:rFonts w:ascii="Calibri" w:eastAsia="Calibri" w:hAnsi="Calibri" w:cs="Calibri"/>
                <w:sz w:val="20"/>
              </w:rPr>
              <w:t>1000</w:t>
            </w:r>
          </w:p>
        </w:tc>
        <w:tc>
          <w:tcPr>
            <w:tcW w:w="1066" w:type="dxa"/>
            <w:tcBorders>
              <w:top w:val="single" w:sz="5" w:space="0" w:color="000000"/>
              <w:left w:val="single" w:sz="5" w:space="0" w:color="000000"/>
              <w:bottom w:val="single" w:sz="11" w:space="0" w:color="000000"/>
              <w:right w:val="single" w:sz="5" w:space="0" w:color="000000"/>
            </w:tcBorders>
          </w:tcPr>
          <w:p w14:paraId="28C38BEE" w14:textId="77777777" w:rsidR="00AC4302" w:rsidRDefault="00AC4302" w:rsidP="005F3A0D">
            <w:pPr>
              <w:spacing w:line="259" w:lineRule="auto"/>
              <w:ind w:left="11"/>
              <w:jc w:val="center"/>
            </w:pPr>
            <w:r>
              <w:rPr>
                <w:rFonts w:ascii="Calibri" w:eastAsia="Calibri" w:hAnsi="Calibri" w:cs="Calibri"/>
                <w:sz w:val="20"/>
              </w:rPr>
              <w:t>$130.00</w:t>
            </w:r>
          </w:p>
        </w:tc>
        <w:tc>
          <w:tcPr>
            <w:tcW w:w="987" w:type="dxa"/>
            <w:tcBorders>
              <w:top w:val="single" w:sz="5" w:space="0" w:color="000000"/>
              <w:left w:val="single" w:sz="5" w:space="0" w:color="000000"/>
              <w:bottom w:val="single" w:sz="11" w:space="0" w:color="000000"/>
              <w:right w:val="single" w:sz="5" w:space="0" w:color="000000"/>
            </w:tcBorders>
          </w:tcPr>
          <w:p w14:paraId="70DBE088" w14:textId="77777777" w:rsidR="00AC4302" w:rsidRDefault="00AC4302" w:rsidP="005F3A0D">
            <w:pPr>
              <w:spacing w:line="259" w:lineRule="auto"/>
              <w:ind w:left="11"/>
              <w:jc w:val="center"/>
            </w:pPr>
            <w:r>
              <w:rPr>
                <w:rFonts w:ascii="Calibri" w:eastAsia="Calibri" w:hAnsi="Calibri" w:cs="Calibri"/>
                <w:sz w:val="20"/>
              </w:rPr>
              <w:t>$253.33</w:t>
            </w:r>
          </w:p>
        </w:tc>
        <w:tc>
          <w:tcPr>
            <w:tcW w:w="1053" w:type="dxa"/>
            <w:tcBorders>
              <w:top w:val="single" w:sz="5" w:space="0" w:color="000000"/>
              <w:left w:val="single" w:sz="5" w:space="0" w:color="000000"/>
              <w:bottom w:val="single" w:sz="11" w:space="0" w:color="000000"/>
              <w:right w:val="single" w:sz="5" w:space="0" w:color="000000"/>
            </w:tcBorders>
          </w:tcPr>
          <w:p w14:paraId="3E41AEA7" w14:textId="77777777" w:rsidR="00AC4302" w:rsidRDefault="00AC4302" w:rsidP="005F3A0D">
            <w:pPr>
              <w:spacing w:line="259" w:lineRule="auto"/>
              <w:ind w:left="23"/>
              <w:jc w:val="center"/>
            </w:pPr>
            <w:r>
              <w:rPr>
                <w:rFonts w:ascii="Calibri" w:eastAsia="Calibri" w:hAnsi="Calibri" w:cs="Calibri"/>
                <w:sz w:val="20"/>
              </w:rPr>
              <w:t>$130.00</w:t>
            </w:r>
          </w:p>
        </w:tc>
        <w:tc>
          <w:tcPr>
            <w:tcW w:w="987" w:type="dxa"/>
            <w:tcBorders>
              <w:top w:val="single" w:sz="5" w:space="0" w:color="000000"/>
              <w:left w:val="single" w:sz="5" w:space="0" w:color="000000"/>
              <w:bottom w:val="single" w:sz="11" w:space="0" w:color="000000"/>
              <w:right w:val="single" w:sz="5" w:space="0" w:color="000000"/>
            </w:tcBorders>
          </w:tcPr>
          <w:p w14:paraId="78D61036" w14:textId="77777777" w:rsidR="00AC4302" w:rsidRDefault="00AC4302" w:rsidP="005F3A0D">
            <w:pPr>
              <w:spacing w:line="259" w:lineRule="auto"/>
              <w:ind w:left="11"/>
              <w:jc w:val="center"/>
            </w:pPr>
            <w:r>
              <w:rPr>
                <w:rFonts w:ascii="Calibri" w:eastAsia="Calibri" w:hAnsi="Calibri" w:cs="Calibri"/>
                <w:sz w:val="20"/>
              </w:rPr>
              <w:t>$253.33</w:t>
            </w:r>
          </w:p>
        </w:tc>
        <w:tc>
          <w:tcPr>
            <w:tcW w:w="1039" w:type="dxa"/>
            <w:tcBorders>
              <w:top w:val="single" w:sz="5" w:space="0" w:color="000000"/>
              <w:left w:val="single" w:sz="5" w:space="0" w:color="000000"/>
              <w:bottom w:val="single" w:sz="11" w:space="0" w:color="000000"/>
              <w:right w:val="single" w:sz="5" w:space="0" w:color="000000"/>
            </w:tcBorders>
          </w:tcPr>
          <w:p w14:paraId="4738D5C3" w14:textId="77777777" w:rsidR="00AC4302" w:rsidRDefault="00AC4302" w:rsidP="005F3A0D">
            <w:pPr>
              <w:spacing w:line="259" w:lineRule="auto"/>
              <w:ind w:left="11"/>
              <w:jc w:val="center"/>
            </w:pPr>
            <w:r>
              <w:rPr>
                <w:rFonts w:ascii="Calibri" w:eastAsia="Calibri" w:hAnsi="Calibri" w:cs="Calibri"/>
                <w:sz w:val="20"/>
              </w:rPr>
              <w:t>$130.00</w:t>
            </w:r>
          </w:p>
        </w:tc>
        <w:tc>
          <w:tcPr>
            <w:tcW w:w="1050" w:type="dxa"/>
            <w:tcBorders>
              <w:top w:val="single" w:sz="5" w:space="0" w:color="000000"/>
              <w:left w:val="single" w:sz="5" w:space="0" w:color="000000"/>
              <w:bottom w:val="single" w:sz="11" w:space="0" w:color="000000"/>
              <w:right w:val="single" w:sz="11" w:space="0" w:color="000000"/>
            </w:tcBorders>
          </w:tcPr>
          <w:p w14:paraId="6A6D7447" w14:textId="77777777" w:rsidR="00AC4302" w:rsidRDefault="00AC4302" w:rsidP="005F3A0D">
            <w:pPr>
              <w:spacing w:line="259" w:lineRule="auto"/>
              <w:ind w:left="27"/>
              <w:jc w:val="center"/>
            </w:pPr>
            <w:r>
              <w:rPr>
                <w:rFonts w:ascii="Calibri" w:eastAsia="Calibri" w:hAnsi="Calibri" w:cs="Calibri"/>
                <w:sz w:val="20"/>
              </w:rPr>
              <w:t>$253.33</w:t>
            </w:r>
          </w:p>
        </w:tc>
      </w:tr>
      <w:tr w:rsidR="00AC4302" w14:paraId="3340AF41" w14:textId="77777777" w:rsidTr="005F3A0D">
        <w:trPr>
          <w:trHeight w:val="270"/>
        </w:trPr>
        <w:tc>
          <w:tcPr>
            <w:tcW w:w="1783" w:type="dxa"/>
            <w:vMerge w:val="restart"/>
            <w:tcBorders>
              <w:top w:val="single" w:sz="11" w:space="0" w:color="000000"/>
              <w:left w:val="single" w:sz="5" w:space="0" w:color="000000"/>
              <w:bottom w:val="single" w:sz="11" w:space="0" w:color="000000"/>
              <w:right w:val="single" w:sz="11" w:space="0" w:color="000000"/>
            </w:tcBorders>
          </w:tcPr>
          <w:p w14:paraId="5B31259D" w14:textId="11906903" w:rsidR="00AC4302" w:rsidRDefault="00AC4302" w:rsidP="005F3A0D">
            <w:pPr>
              <w:spacing w:line="259" w:lineRule="auto"/>
              <w:ind w:left="119" w:right="131" w:firstLine="131"/>
            </w:pPr>
            <w:r>
              <w:rPr>
                <w:rFonts w:ascii="Calibri" w:eastAsia="Calibri" w:hAnsi="Calibri" w:cs="Calibri"/>
                <w:sz w:val="20"/>
              </w:rPr>
              <w:t>% Increase for Seasonal vs year</w:t>
            </w:r>
            <w:r w:rsidR="00AB3283">
              <w:rPr>
                <w:rFonts w:ascii="Calibri" w:eastAsia="Calibri" w:hAnsi="Calibri" w:cs="Calibri"/>
                <w:sz w:val="20"/>
              </w:rPr>
              <w:t>-</w:t>
            </w:r>
            <w:r>
              <w:rPr>
                <w:rFonts w:ascii="Calibri" w:eastAsia="Calibri" w:hAnsi="Calibri" w:cs="Calibri"/>
                <w:sz w:val="20"/>
              </w:rPr>
              <w:t>round customers</w:t>
            </w:r>
          </w:p>
        </w:tc>
        <w:tc>
          <w:tcPr>
            <w:tcW w:w="1375" w:type="dxa"/>
            <w:tcBorders>
              <w:top w:val="single" w:sz="11" w:space="0" w:color="000000"/>
              <w:left w:val="single" w:sz="11" w:space="0" w:color="000000"/>
              <w:bottom w:val="single" w:sz="5" w:space="0" w:color="000000"/>
              <w:right w:val="single" w:sz="5" w:space="0" w:color="000000"/>
            </w:tcBorders>
          </w:tcPr>
          <w:p w14:paraId="077CEFA0" w14:textId="77777777" w:rsidR="00AC4302" w:rsidRDefault="00AC4302" w:rsidP="005F3A0D">
            <w:pPr>
              <w:spacing w:line="259" w:lineRule="auto"/>
              <w:ind w:left="31"/>
              <w:jc w:val="center"/>
            </w:pPr>
            <w:r>
              <w:rPr>
                <w:rFonts w:ascii="Calibri" w:eastAsia="Calibri" w:hAnsi="Calibri" w:cs="Calibri"/>
                <w:sz w:val="20"/>
              </w:rPr>
              <w:t>50</w:t>
            </w:r>
          </w:p>
        </w:tc>
        <w:tc>
          <w:tcPr>
            <w:tcW w:w="1066" w:type="dxa"/>
            <w:tcBorders>
              <w:top w:val="single" w:sz="11" w:space="0" w:color="000000"/>
              <w:left w:val="single" w:sz="5" w:space="0" w:color="000000"/>
              <w:bottom w:val="single" w:sz="5" w:space="0" w:color="000000"/>
              <w:right w:val="single" w:sz="5" w:space="0" w:color="000000"/>
            </w:tcBorders>
          </w:tcPr>
          <w:p w14:paraId="5F017CB4" w14:textId="77777777" w:rsidR="00AC4302" w:rsidRDefault="00AC4302" w:rsidP="005F3A0D">
            <w:pPr>
              <w:spacing w:line="259" w:lineRule="auto"/>
              <w:ind w:right="1"/>
              <w:jc w:val="center"/>
            </w:pPr>
            <w:r>
              <w:rPr>
                <w:rFonts w:ascii="Calibri" w:eastAsia="Calibri" w:hAnsi="Calibri" w:cs="Calibri"/>
                <w:sz w:val="20"/>
              </w:rPr>
              <w:t>0%</w:t>
            </w:r>
          </w:p>
        </w:tc>
        <w:tc>
          <w:tcPr>
            <w:tcW w:w="987" w:type="dxa"/>
            <w:tcBorders>
              <w:top w:val="single" w:sz="11" w:space="0" w:color="000000"/>
              <w:left w:val="single" w:sz="5" w:space="0" w:color="000000"/>
              <w:bottom w:val="single" w:sz="5" w:space="0" w:color="000000"/>
              <w:right w:val="single" w:sz="5" w:space="0" w:color="000000"/>
            </w:tcBorders>
          </w:tcPr>
          <w:p w14:paraId="5719EC57" w14:textId="77777777" w:rsidR="00AC4302" w:rsidRDefault="00AC4302" w:rsidP="005F3A0D">
            <w:pPr>
              <w:spacing w:line="259" w:lineRule="auto"/>
              <w:jc w:val="center"/>
            </w:pPr>
            <w:r>
              <w:rPr>
                <w:rFonts w:ascii="Calibri" w:eastAsia="Calibri" w:hAnsi="Calibri" w:cs="Calibri"/>
                <w:sz w:val="20"/>
              </w:rPr>
              <w:t>0%</w:t>
            </w:r>
          </w:p>
        </w:tc>
        <w:tc>
          <w:tcPr>
            <w:tcW w:w="1053" w:type="dxa"/>
            <w:tcBorders>
              <w:top w:val="single" w:sz="11" w:space="0" w:color="000000"/>
              <w:left w:val="single" w:sz="5" w:space="0" w:color="000000"/>
              <w:bottom w:val="single" w:sz="5" w:space="0" w:color="000000"/>
              <w:right w:val="single" w:sz="5" w:space="0" w:color="000000"/>
            </w:tcBorders>
          </w:tcPr>
          <w:p w14:paraId="188CB57A" w14:textId="77777777" w:rsidR="00AC4302" w:rsidRDefault="00AC4302" w:rsidP="005F3A0D">
            <w:pPr>
              <w:spacing w:line="259" w:lineRule="auto"/>
              <w:ind w:left="13"/>
              <w:jc w:val="center"/>
            </w:pPr>
            <w:r>
              <w:rPr>
                <w:rFonts w:ascii="Calibri" w:eastAsia="Calibri" w:hAnsi="Calibri" w:cs="Calibri"/>
                <w:sz w:val="20"/>
              </w:rPr>
              <w:t>130%</w:t>
            </w:r>
          </w:p>
        </w:tc>
        <w:tc>
          <w:tcPr>
            <w:tcW w:w="987" w:type="dxa"/>
            <w:tcBorders>
              <w:top w:val="single" w:sz="11" w:space="0" w:color="000000"/>
              <w:left w:val="single" w:sz="5" w:space="0" w:color="000000"/>
              <w:bottom w:val="single" w:sz="5" w:space="0" w:color="000000"/>
              <w:right w:val="single" w:sz="5" w:space="0" w:color="000000"/>
            </w:tcBorders>
          </w:tcPr>
          <w:p w14:paraId="691AC410" w14:textId="77777777" w:rsidR="00AC4302" w:rsidRDefault="00AC4302" w:rsidP="005F3A0D">
            <w:pPr>
              <w:spacing w:line="259" w:lineRule="auto"/>
              <w:jc w:val="center"/>
            </w:pPr>
            <w:r>
              <w:rPr>
                <w:rFonts w:ascii="Calibri" w:eastAsia="Calibri" w:hAnsi="Calibri" w:cs="Calibri"/>
                <w:sz w:val="20"/>
              </w:rPr>
              <w:t>115%</w:t>
            </w:r>
          </w:p>
        </w:tc>
        <w:tc>
          <w:tcPr>
            <w:tcW w:w="1039" w:type="dxa"/>
            <w:tcBorders>
              <w:top w:val="single" w:sz="11" w:space="0" w:color="000000"/>
              <w:left w:val="single" w:sz="5" w:space="0" w:color="000000"/>
              <w:bottom w:val="single" w:sz="5" w:space="0" w:color="000000"/>
              <w:right w:val="single" w:sz="5" w:space="0" w:color="000000"/>
            </w:tcBorders>
          </w:tcPr>
          <w:p w14:paraId="42E0833D" w14:textId="77777777" w:rsidR="00AC4302" w:rsidRDefault="00AC4302" w:rsidP="005F3A0D">
            <w:pPr>
              <w:spacing w:line="259" w:lineRule="auto"/>
              <w:jc w:val="center"/>
            </w:pPr>
            <w:r>
              <w:rPr>
                <w:rFonts w:ascii="Calibri" w:eastAsia="Calibri" w:hAnsi="Calibri" w:cs="Calibri"/>
                <w:sz w:val="20"/>
              </w:rPr>
              <w:t>190%</w:t>
            </w:r>
          </w:p>
        </w:tc>
        <w:tc>
          <w:tcPr>
            <w:tcW w:w="1050" w:type="dxa"/>
            <w:tcBorders>
              <w:top w:val="single" w:sz="11" w:space="0" w:color="000000"/>
              <w:left w:val="single" w:sz="5" w:space="0" w:color="000000"/>
              <w:bottom w:val="single" w:sz="5" w:space="0" w:color="000000"/>
              <w:right w:val="single" w:sz="11" w:space="0" w:color="000000"/>
            </w:tcBorders>
          </w:tcPr>
          <w:p w14:paraId="3A178471" w14:textId="77777777" w:rsidR="00AC4302" w:rsidRDefault="00AC4302" w:rsidP="005F3A0D">
            <w:pPr>
              <w:spacing w:line="259" w:lineRule="auto"/>
              <w:ind w:left="15"/>
              <w:jc w:val="center"/>
            </w:pPr>
            <w:r>
              <w:rPr>
                <w:rFonts w:ascii="Calibri" w:eastAsia="Calibri" w:hAnsi="Calibri" w:cs="Calibri"/>
                <w:sz w:val="20"/>
              </w:rPr>
              <w:t>162%</w:t>
            </w:r>
          </w:p>
        </w:tc>
      </w:tr>
      <w:tr w:rsidR="00AC4302" w14:paraId="3A0B68D9" w14:textId="77777777" w:rsidTr="005F3A0D">
        <w:trPr>
          <w:trHeight w:val="263"/>
        </w:trPr>
        <w:tc>
          <w:tcPr>
            <w:tcW w:w="0" w:type="auto"/>
            <w:vMerge/>
            <w:tcBorders>
              <w:top w:val="nil"/>
              <w:left w:val="single" w:sz="5" w:space="0" w:color="000000"/>
              <w:bottom w:val="nil"/>
              <w:right w:val="single" w:sz="11" w:space="0" w:color="000000"/>
            </w:tcBorders>
          </w:tcPr>
          <w:p w14:paraId="53902009" w14:textId="77777777" w:rsidR="00AC4302" w:rsidRDefault="00AC4302" w:rsidP="005F3A0D">
            <w:pPr>
              <w:spacing w:after="160" w:line="259" w:lineRule="auto"/>
            </w:pPr>
          </w:p>
        </w:tc>
        <w:tc>
          <w:tcPr>
            <w:tcW w:w="1375" w:type="dxa"/>
            <w:tcBorders>
              <w:top w:val="single" w:sz="5" w:space="0" w:color="000000"/>
              <w:left w:val="single" w:sz="11" w:space="0" w:color="000000"/>
              <w:bottom w:val="single" w:sz="5" w:space="0" w:color="000000"/>
              <w:right w:val="single" w:sz="5" w:space="0" w:color="000000"/>
            </w:tcBorders>
          </w:tcPr>
          <w:p w14:paraId="5B29E7CA" w14:textId="77777777" w:rsidR="00AC4302" w:rsidRDefault="00AC4302" w:rsidP="005F3A0D">
            <w:pPr>
              <w:spacing w:line="259" w:lineRule="auto"/>
              <w:ind w:left="17"/>
              <w:jc w:val="center"/>
            </w:pPr>
            <w:r>
              <w:rPr>
                <w:rFonts w:ascii="Calibri" w:eastAsia="Calibri" w:hAnsi="Calibri" w:cs="Calibri"/>
                <w:sz w:val="20"/>
              </w:rPr>
              <w:t>350</w:t>
            </w:r>
          </w:p>
        </w:tc>
        <w:tc>
          <w:tcPr>
            <w:tcW w:w="1066" w:type="dxa"/>
            <w:tcBorders>
              <w:top w:val="single" w:sz="5" w:space="0" w:color="000000"/>
              <w:left w:val="single" w:sz="5" w:space="0" w:color="000000"/>
              <w:bottom w:val="single" w:sz="5" w:space="0" w:color="000000"/>
              <w:right w:val="single" w:sz="5" w:space="0" w:color="000000"/>
            </w:tcBorders>
          </w:tcPr>
          <w:p w14:paraId="71AE0726" w14:textId="77777777" w:rsidR="00AC4302" w:rsidRDefault="00AC4302" w:rsidP="005F3A0D">
            <w:pPr>
              <w:spacing w:line="259" w:lineRule="auto"/>
              <w:ind w:right="1"/>
              <w:jc w:val="center"/>
            </w:pPr>
            <w:r>
              <w:rPr>
                <w:rFonts w:ascii="Calibri" w:eastAsia="Calibri" w:hAnsi="Calibri" w:cs="Calibri"/>
                <w:sz w:val="20"/>
              </w:rPr>
              <w:t>0%</w:t>
            </w:r>
          </w:p>
        </w:tc>
        <w:tc>
          <w:tcPr>
            <w:tcW w:w="987" w:type="dxa"/>
            <w:tcBorders>
              <w:top w:val="single" w:sz="5" w:space="0" w:color="000000"/>
              <w:left w:val="single" w:sz="5" w:space="0" w:color="000000"/>
              <w:bottom w:val="single" w:sz="5" w:space="0" w:color="000000"/>
              <w:right w:val="single" w:sz="5" w:space="0" w:color="000000"/>
            </w:tcBorders>
          </w:tcPr>
          <w:p w14:paraId="3C5523AF" w14:textId="77777777" w:rsidR="00AC4302" w:rsidRDefault="00AC4302" w:rsidP="005F3A0D">
            <w:pPr>
              <w:spacing w:line="259" w:lineRule="auto"/>
              <w:jc w:val="center"/>
            </w:pPr>
            <w:r>
              <w:rPr>
                <w:rFonts w:ascii="Calibri" w:eastAsia="Calibri" w:hAnsi="Calibri" w:cs="Calibri"/>
                <w:sz w:val="20"/>
              </w:rPr>
              <w:t>0%</w:t>
            </w:r>
          </w:p>
        </w:tc>
        <w:tc>
          <w:tcPr>
            <w:tcW w:w="1053" w:type="dxa"/>
            <w:tcBorders>
              <w:top w:val="single" w:sz="5" w:space="0" w:color="000000"/>
              <w:left w:val="single" w:sz="5" w:space="0" w:color="000000"/>
              <w:bottom w:val="single" w:sz="5" w:space="0" w:color="000000"/>
              <w:right w:val="single" w:sz="5" w:space="0" w:color="000000"/>
            </w:tcBorders>
          </w:tcPr>
          <w:p w14:paraId="2946B330" w14:textId="77777777" w:rsidR="00AC4302" w:rsidRDefault="00AC4302" w:rsidP="005F3A0D">
            <w:pPr>
              <w:spacing w:line="259" w:lineRule="auto"/>
              <w:ind w:left="13"/>
              <w:jc w:val="center"/>
            </w:pPr>
            <w:r>
              <w:rPr>
                <w:rFonts w:ascii="Calibri" w:eastAsia="Calibri" w:hAnsi="Calibri" w:cs="Calibri"/>
                <w:sz w:val="20"/>
              </w:rPr>
              <w:t>113%</w:t>
            </w:r>
          </w:p>
        </w:tc>
        <w:tc>
          <w:tcPr>
            <w:tcW w:w="987" w:type="dxa"/>
            <w:tcBorders>
              <w:top w:val="single" w:sz="5" w:space="0" w:color="000000"/>
              <w:left w:val="single" w:sz="5" w:space="0" w:color="000000"/>
              <w:bottom w:val="single" w:sz="5" w:space="0" w:color="000000"/>
              <w:right w:val="single" w:sz="5" w:space="0" w:color="000000"/>
            </w:tcBorders>
          </w:tcPr>
          <w:p w14:paraId="1854FE46" w14:textId="77777777" w:rsidR="00AC4302" w:rsidRDefault="00AC4302" w:rsidP="005F3A0D">
            <w:pPr>
              <w:spacing w:line="259" w:lineRule="auto"/>
              <w:ind w:left="13"/>
              <w:jc w:val="center"/>
            </w:pPr>
            <w:r>
              <w:rPr>
                <w:rFonts w:ascii="Calibri" w:eastAsia="Calibri" w:hAnsi="Calibri" w:cs="Calibri"/>
                <w:sz w:val="20"/>
              </w:rPr>
              <w:t>65%</w:t>
            </w:r>
          </w:p>
        </w:tc>
        <w:tc>
          <w:tcPr>
            <w:tcW w:w="1039" w:type="dxa"/>
            <w:tcBorders>
              <w:top w:val="single" w:sz="5" w:space="0" w:color="000000"/>
              <w:left w:val="single" w:sz="5" w:space="0" w:color="000000"/>
              <w:bottom w:val="single" w:sz="5" w:space="0" w:color="000000"/>
              <w:right w:val="single" w:sz="5" w:space="0" w:color="000000"/>
            </w:tcBorders>
          </w:tcPr>
          <w:p w14:paraId="0FAB8200" w14:textId="77777777" w:rsidR="00AC4302" w:rsidRDefault="00AC4302" w:rsidP="005F3A0D">
            <w:pPr>
              <w:spacing w:line="259" w:lineRule="auto"/>
              <w:jc w:val="center"/>
            </w:pPr>
            <w:r>
              <w:rPr>
                <w:rFonts w:ascii="Calibri" w:eastAsia="Calibri" w:hAnsi="Calibri" w:cs="Calibri"/>
                <w:sz w:val="20"/>
              </w:rPr>
              <w:t>210%</w:t>
            </w:r>
          </w:p>
        </w:tc>
        <w:tc>
          <w:tcPr>
            <w:tcW w:w="1050" w:type="dxa"/>
            <w:tcBorders>
              <w:top w:val="single" w:sz="5" w:space="0" w:color="000000"/>
              <w:left w:val="single" w:sz="5" w:space="0" w:color="000000"/>
              <w:bottom w:val="single" w:sz="5" w:space="0" w:color="000000"/>
              <w:right w:val="single" w:sz="11" w:space="0" w:color="000000"/>
            </w:tcBorders>
          </w:tcPr>
          <w:p w14:paraId="41A6E0D0" w14:textId="77777777" w:rsidR="00AC4302" w:rsidRDefault="00AC4302" w:rsidP="005F3A0D">
            <w:pPr>
              <w:spacing w:line="259" w:lineRule="auto"/>
              <w:ind w:left="15"/>
              <w:jc w:val="center"/>
            </w:pPr>
            <w:r>
              <w:rPr>
                <w:rFonts w:ascii="Calibri" w:eastAsia="Calibri" w:hAnsi="Calibri" w:cs="Calibri"/>
                <w:sz w:val="20"/>
              </w:rPr>
              <w:t>101%</w:t>
            </w:r>
          </w:p>
        </w:tc>
      </w:tr>
      <w:tr w:rsidR="00AC4302" w14:paraId="13157D95" w14:textId="77777777" w:rsidTr="005F3A0D">
        <w:trPr>
          <w:trHeight w:val="270"/>
        </w:trPr>
        <w:tc>
          <w:tcPr>
            <w:tcW w:w="0" w:type="auto"/>
            <w:vMerge/>
            <w:tcBorders>
              <w:top w:val="nil"/>
              <w:left w:val="single" w:sz="5" w:space="0" w:color="000000"/>
              <w:bottom w:val="single" w:sz="11" w:space="0" w:color="000000"/>
              <w:right w:val="single" w:sz="11" w:space="0" w:color="000000"/>
            </w:tcBorders>
          </w:tcPr>
          <w:p w14:paraId="62C22C24" w14:textId="77777777" w:rsidR="00AC4302" w:rsidRDefault="00AC4302" w:rsidP="005F3A0D">
            <w:pPr>
              <w:spacing w:after="160" w:line="259" w:lineRule="auto"/>
            </w:pPr>
          </w:p>
        </w:tc>
        <w:tc>
          <w:tcPr>
            <w:tcW w:w="1375" w:type="dxa"/>
            <w:tcBorders>
              <w:top w:val="single" w:sz="5" w:space="0" w:color="000000"/>
              <w:left w:val="single" w:sz="11" w:space="0" w:color="000000"/>
              <w:bottom w:val="single" w:sz="11" w:space="0" w:color="000000"/>
              <w:right w:val="single" w:sz="5" w:space="0" w:color="000000"/>
            </w:tcBorders>
          </w:tcPr>
          <w:p w14:paraId="4E243CB7" w14:textId="77777777" w:rsidR="00AC4302" w:rsidRDefault="00AC4302" w:rsidP="005F3A0D">
            <w:pPr>
              <w:spacing w:line="259" w:lineRule="auto"/>
              <w:ind w:left="30"/>
              <w:jc w:val="center"/>
            </w:pPr>
            <w:r>
              <w:rPr>
                <w:rFonts w:ascii="Calibri" w:eastAsia="Calibri" w:hAnsi="Calibri" w:cs="Calibri"/>
                <w:sz w:val="20"/>
              </w:rPr>
              <w:t>1000</w:t>
            </w:r>
          </w:p>
        </w:tc>
        <w:tc>
          <w:tcPr>
            <w:tcW w:w="1066" w:type="dxa"/>
            <w:tcBorders>
              <w:top w:val="single" w:sz="5" w:space="0" w:color="000000"/>
              <w:left w:val="single" w:sz="5" w:space="0" w:color="000000"/>
              <w:bottom w:val="single" w:sz="11" w:space="0" w:color="000000"/>
              <w:right w:val="single" w:sz="5" w:space="0" w:color="000000"/>
            </w:tcBorders>
          </w:tcPr>
          <w:p w14:paraId="5F3A17F0" w14:textId="77777777" w:rsidR="00AC4302" w:rsidRDefault="00AC4302" w:rsidP="005F3A0D">
            <w:pPr>
              <w:spacing w:line="259" w:lineRule="auto"/>
              <w:ind w:right="1"/>
              <w:jc w:val="center"/>
            </w:pPr>
            <w:r>
              <w:rPr>
                <w:rFonts w:ascii="Calibri" w:eastAsia="Calibri" w:hAnsi="Calibri" w:cs="Calibri"/>
                <w:sz w:val="20"/>
              </w:rPr>
              <w:t>0%</w:t>
            </w:r>
          </w:p>
        </w:tc>
        <w:tc>
          <w:tcPr>
            <w:tcW w:w="987" w:type="dxa"/>
            <w:tcBorders>
              <w:top w:val="single" w:sz="5" w:space="0" w:color="000000"/>
              <w:left w:val="single" w:sz="5" w:space="0" w:color="000000"/>
              <w:bottom w:val="single" w:sz="11" w:space="0" w:color="000000"/>
              <w:right w:val="single" w:sz="5" w:space="0" w:color="000000"/>
            </w:tcBorders>
          </w:tcPr>
          <w:p w14:paraId="52B53BC3" w14:textId="77777777" w:rsidR="00AC4302" w:rsidRDefault="00AC4302" w:rsidP="005F3A0D">
            <w:pPr>
              <w:spacing w:line="259" w:lineRule="auto"/>
              <w:jc w:val="center"/>
            </w:pPr>
            <w:r>
              <w:rPr>
                <w:rFonts w:ascii="Calibri" w:eastAsia="Calibri" w:hAnsi="Calibri" w:cs="Calibri"/>
                <w:sz w:val="20"/>
              </w:rPr>
              <w:t>0%</w:t>
            </w:r>
          </w:p>
        </w:tc>
        <w:tc>
          <w:tcPr>
            <w:tcW w:w="1053" w:type="dxa"/>
            <w:tcBorders>
              <w:top w:val="single" w:sz="5" w:space="0" w:color="000000"/>
              <w:left w:val="single" w:sz="5" w:space="0" w:color="000000"/>
              <w:bottom w:val="single" w:sz="11" w:space="0" w:color="000000"/>
              <w:right w:val="single" w:sz="5" w:space="0" w:color="000000"/>
            </w:tcBorders>
          </w:tcPr>
          <w:p w14:paraId="0DC27F0F" w14:textId="77777777" w:rsidR="00AC4302" w:rsidRDefault="00AC4302" w:rsidP="005F3A0D">
            <w:pPr>
              <w:spacing w:line="259" w:lineRule="auto"/>
              <w:jc w:val="center"/>
            </w:pPr>
            <w:r>
              <w:rPr>
                <w:rFonts w:ascii="Calibri" w:eastAsia="Calibri" w:hAnsi="Calibri" w:cs="Calibri"/>
                <w:sz w:val="20"/>
              </w:rPr>
              <w:t>87%</w:t>
            </w:r>
          </w:p>
        </w:tc>
        <w:tc>
          <w:tcPr>
            <w:tcW w:w="987" w:type="dxa"/>
            <w:tcBorders>
              <w:top w:val="single" w:sz="5" w:space="0" w:color="000000"/>
              <w:left w:val="single" w:sz="5" w:space="0" w:color="000000"/>
              <w:bottom w:val="single" w:sz="11" w:space="0" w:color="000000"/>
              <w:right w:val="single" w:sz="5" w:space="0" w:color="000000"/>
            </w:tcBorders>
          </w:tcPr>
          <w:p w14:paraId="79912668" w14:textId="77777777" w:rsidR="00AC4302" w:rsidRDefault="00AC4302" w:rsidP="005F3A0D">
            <w:pPr>
              <w:spacing w:line="259" w:lineRule="auto"/>
              <w:ind w:left="13"/>
              <w:jc w:val="center"/>
            </w:pPr>
            <w:r>
              <w:rPr>
                <w:rFonts w:ascii="Calibri" w:eastAsia="Calibri" w:hAnsi="Calibri" w:cs="Calibri"/>
                <w:sz w:val="20"/>
              </w:rPr>
              <w:t>33%</w:t>
            </w:r>
          </w:p>
        </w:tc>
        <w:tc>
          <w:tcPr>
            <w:tcW w:w="1039" w:type="dxa"/>
            <w:tcBorders>
              <w:top w:val="single" w:sz="5" w:space="0" w:color="000000"/>
              <w:left w:val="single" w:sz="5" w:space="0" w:color="000000"/>
              <w:bottom w:val="single" w:sz="11" w:space="0" w:color="000000"/>
              <w:right w:val="single" w:sz="5" w:space="0" w:color="000000"/>
            </w:tcBorders>
          </w:tcPr>
          <w:p w14:paraId="507B5A51" w14:textId="77777777" w:rsidR="00AC4302" w:rsidRDefault="00AC4302" w:rsidP="005F3A0D">
            <w:pPr>
              <w:spacing w:line="259" w:lineRule="auto"/>
              <w:jc w:val="center"/>
            </w:pPr>
            <w:r>
              <w:rPr>
                <w:rFonts w:ascii="Calibri" w:eastAsia="Calibri" w:hAnsi="Calibri" w:cs="Calibri"/>
                <w:sz w:val="20"/>
              </w:rPr>
              <w:t>253%</w:t>
            </w:r>
          </w:p>
        </w:tc>
        <w:tc>
          <w:tcPr>
            <w:tcW w:w="1050" w:type="dxa"/>
            <w:tcBorders>
              <w:top w:val="single" w:sz="5" w:space="0" w:color="000000"/>
              <w:left w:val="single" w:sz="5" w:space="0" w:color="000000"/>
              <w:bottom w:val="single" w:sz="11" w:space="0" w:color="000000"/>
              <w:right w:val="single" w:sz="11" w:space="0" w:color="000000"/>
            </w:tcBorders>
          </w:tcPr>
          <w:p w14:paraId="2744BD0E" w14:textId="77777777" w:rsidR="00AC4302" w:rsidRDefault="00AC4302" w:rsidP="005F3A0D">
            <w:pPr>
              <w:spacing w:line="259" w:lineRule="auto"/>
              <w:ind w:left="3"/>
              <w:jc w:val="center"/>
            </w:pPr>
            <w:r>
              <w:rPr>
                <w:rFonts w:ascii="Calibri" w:eastAsia="Calibri" w:hAnsi="Calibri" w:cs="Calibri"/>
                <w:sz w:val="20"/>
              </w:rPr>
              <w:t>63%</w:t>
            </w:r>
          </w:p>
        </w:tc>
      </w:tr>
    </w:tbl>
    <w:p w14:paraId="1E4A4FB7" w14:textId="23E0E8D6" w:rsidR="00AC4302" w:rsidRDefault="00AC4302"/>
    <w:p w14:paraId="06512CEB" w14:textId="7334D84F" w:rsidR="00AC4302" w:rsidRDefault="00AC4302"/>
    <w:p w14:paraId="4D5B3D98" w14:textId="4056C377" w:rsidR="00AC4302" w:rsidRDefault="00AC4302"/>
    <w:p w14:paraId="0F86E0D5" w14:textId="77777777" w:rsidR="00AC4302" w:rsidRDefault="00AC4302" w:rsidP="00AC4302">
      <w:pPr>
        <w:spacing w:line="358" w:lineRule="auto"/>
        <w:ind w:left="1241" w:right="509" w:hanging="10"/>
        <w:jc w:val="center"/>
      </w:pPr>
      <w:r>
        <w:rPr>
          <w:rFonts w:ascii="Times New Roman" w:eastAsia="Times New Roman" w:hAnsi="Times New Roman" w:cs="Times New Roman"/>
          <w:b/>
        </w:rPr>
        <w:t xml:space="preserve">Table 4. Comparison of 2021 Charges for R1 Residential Customers Assuming Elimination of Seasonal Class </w:t>
      </w:r>
    </w:p>
    <w:p w14:paraId="446C0F57" w14:textId="77777777" w:rsidR="00AC4302" w:rsidRDefault="00AC4302" w:rsidP="00AC4302">
      <w:pPr>
        <w:spacing w:line="259" w:lineRule="auto"/>
        <w:ind w:left="1080"/>
      </w:pPr>
      <w:r>
        <w:t xml:space="preserve"> </w:t>
      </w:r>
    </w:p>
    <w:tbl>
      <w:tblPr>
        <w:tblStyle w:val="TableGrid"/>
        <w:tblW w:w="8255" w:type="dxa"/>
        <w:tblInd w:w="1087" w:type="dxa"/>
        <w:tblCellMar>
          <w:top w:w="63" w:type="dxa"/>
          <w:left w:w="97" w:type="dxa"/>
          <w:right w:w="86" w:type="dxa"/>
        </w:tblCellMar>
        <w:tblLook w:val="04A0" w:firstRow="1" w:lastRow="0" w:firstColumn="1" w:lastColumn="0" w:noHBand="0" w:noVBand="1"/>
      </w:tblPr>
      <w:tblGrid>
        <w:gridCol w:w="2032"/>
        <w:gridCol w:w="1567"/>
        <w:gridCol w:w="1215"/>
        <w:gridCol w:w="1125"/>
        <w:gridCol w:w="1199"/>
        <w:gridCol w:w="1117"/>
      </w:tblGrid>
      <w:tr w:rsidR="00AC4302" w14:paraId="485284AE" w14:textId="77777777" w:rsidTr="005F3A0D">
        <w:trPr>
          <w:trHeight w:val="510"/>
        </w:trPr>
        <w:tc>
          <w:tcPr>
            <w:tcW w:w="2032" w:type="dxa"/>
            <w:vMerge w:val="restart"/>
            <w:tcBorders>
              <w:top w:val="single" w:sz="6" w:space="0" w:color="000000"/>
              <w:left w:val="single" w:sz="6" w:space="0" w:color="000000"/>
              <w:bottom w:val="single" w:sz="12" w:space="0" w:color="000000"/>
              <w:right w:val="single" w:sz="12" w:space="0" w:color="000000"/>
            </w:tcBorders>
            <w:vAlign w:val="center"/>
          </w:tcPr>
          <w:p w14:paraId="00954CC8" w14:textId="77777777" w:rsidR="00AC4302" w:rsidRDefault="00AC4302" w:rsidP="005F3A0D">
            <w:pPr>
              <w:spacing w:line="259" w:lineRule="auto"/>
              <w:ind w:left="8"/>
              <w:jc w:val="center"/>
            </w:pPr>
            <w:r>
              <w:rPr>
                <w:rFonts w:ascii="Calibri" w:eastAsia="Calibri" w:hAnsi="Calibri" w:cs="Calibri"/>
                <w:sz w:val="23"/>
              </w:rPr>
              <w:t>Customers</w:t>
            </w:r>
          </w:p>
        </w:tc>
        <w:tc>
          <w:tcPr>
            <w:tcW w:w="1567" w:type="dxa"/>
            <w:vMerge w:val="restart"/>
            <w:tcBorders>
              <w:top w:val="single" w:sz="6" w:space="0" w:color="000000"/>
              <w:left w:val="single" w:sz="12" w:space="0" w:color="000000"/>
              <w:bottom w:val="single" w:sz="12" w:space="0" w:color="000000"/>
              <w:right w:val="single" w:sz="6" w:space="0" w:color="000000"/>
            </w:tcBorders>
            <w:vAlign w:val="center"/>
          </w:tcPr>
          <w:p w14:paraId="7AAF55C4" w14:textId="77777777" w:rsidR="00AC4302" w:rsidRDefault="00AC4302" w:rsidP="005F3A0D">
            <w:pPr>
              <w:spacing w:after="3" w:line="259" w:lineRule="auto"/>
              <w:ind w:left="8"/>
              <w:jc w:val="center"/>
            </w:pPr>
            <w:r>
              <w:rPr>
                <w:rFonts w:ascii="Calibri" w:eastAsia="Calibri" w:hAnsi="Calibri" w:cs="Calibri"/>
                <w:sz w:val="23"/>
              </w:rPr>
              <w:t xml:space="preserve">Monthly </w:t>
            </w:r>
          </w:p>
          <w:p w14:paraId="337A3A7D" w14:textId="77777777" w:rsidR="00AC4302" w:rsidRDefault="00AC4302" w:rsidP="005F3A0D">
            <w:pPr>
              <w:spacing w:after="3" w:line="259" w:lineRule="auto"/>
              <w:ind w:left="68"/>
            </w:pPr>
            <w:r>
              <w:rPr>
                <w:rFonts w:ascii="Calibri" w:eastAsia="Calibri" w:hAnsi="Calibri" w:cs="Calibri"/>
                <w:sz w:val="23"/>
              </w:rPr>
              <w:t xml:space="preserve">Consumption </w:t>
            </w:r>
          </w:p>
          <w:p w14:paraId="73229D35" w14:textId="77777777" w:rsidR="00AC4302" w:rsidRDefault="00AC4302" w:rsidP="005F3A0D">
            <w:pPr>
              <w:spacing w:line="259" w:lineRule="auto"/>
              <w:ind w:left="4"/>
              <w:jc w:val="center"/>
            </w:pPr>
            <w:r>
              <w:rPr>
                <w:rFonts w:ascii="Calibri" w:eastAsia="Calibri" w:hAnsi="Calibri" w:cs="Calibri"/>
                <w:sz w:val="23"/>
              </w:rPr>
              <w:t>(kWh)</w:t>
            </w:r>
          </w:p>
        </w:tc>
        <w:tc>
          <w:tcPr>
            <w:tcW w:w="2339" w:type="dxa"/>
            <w:gridSpan w:val="2"/>
            <w:tcBorders>
              <w:top w:val="single" w:sz="6" w:space="0" w:color="000000"/>
              <w:left w:val="single" w:sz="6" w:space="0" w:color="000000"/>
              <w:bottom w:val="single" w:sz="6" w:space="0" w:color="000000"/>
              <w:right w:val="single" w:sz="6" w:space="0" w:color="000000"/>
            </w:tcBorders>
            <w:vAlign w:val="center"/>
          </w:tcPr>
          <w:p w14:paraId="11F5E541" w14:textId="77777777" w:rsidR="00AC4302" w:rsidRDefault="00AC4302" w:rsidP="005F3A0D">
            <w:pPr>
              <w:spacing w:line="259" w:lineRule="auto"/>
              <w:ind w:right="17"/>
              <w:jc w:val="center"/>
            </w:pPr>
            <w:r>
              <w:rPr>
                <w:rFonts w:ascii="Calibri" w:eastAsia="Calibri" w:hAnsi="Calibri" w:cs="Calibri"/>
                <w:sz w:val="23"/>
              </w:rPr>
              <w:t>Without DRP</w:t>
            </w:r>
          </w:p>
        </w:tc>
        <w:tc>
          <w:tcPr>
            <w:tcW w:w="2316" w:type="dxa"/>
            <w:gridSpan w:val="2"/>
            <w:tcBorders>
              <w:top w:val="single" w:sz="6" w:space="0" w:color="000000"/>
              <w:left w:val="single" w:sz="6" w:space="0" w:color="000000"/>
              <w:bottom w:val="single" w:sz="6" w:space="0" w:color="000000"/>
              <w:right w:val="single" w:sz="12" w:space="0" w:color="000000"/>
            </w:tcBorders>
            <w:vAlign w:val="center"/>
          </w:tcPr>
          <w:p w14:paraId="2168B0C7" w14:textId="77777777" w:rsidR="00AC4302" w:rsidRDefault="00AC4302" w:rsidP="005F3A0D">
            <w:pPr>
              <w:spacing w:line="259" w:lineRule="auto"/>
              <w:ind w:right="9"/>
              <w:jc w:val="center"/>
            </w:pPr>
            <w:r>
              <w:rPr>
                <w:rFonts w:ascii="Calibri" w:eastAsia="Calibri" w:hAnsi="Calibri" w:cs="Calibri"/>
                <w:sz w:val="23"/>
              </w:rPr>
              <w:t>With DRP</w:t>
            </w:r>
          </w:p>
        </w:tc>
      </w:tr>
      <w:tr w:rsidR="00AC4302" w14:paraId="07075D78" w14:textId="77777777" w:rsidTr="005F3A0D">
        <w:trPr>
          <w:trHeight w:val="592"/>
        </w:trPr>
        <w:tc>
          <w:tcPr>
            <w:tcW w:w="0" w:type="auto"/>
            <w:vMerge/>
            <w:tcBorders>
              <w:top w:val="nil"/>
              <w:left w:val="single" w:sz="6" w:space="0" w:color="000000"/>
              <w:bottom w:val="single" w:sz="12" w:space="0" w:color="000000"/>
              <w:right w:val="single" w:sz="12" w:space="0" w:color="000000"/>
            </w:tcBorders>
          </w:tcPr>
          <w:p w14:paraId="20B8DE81" w14:textId="77777777" w:rsidR="00AC4302" w:rsidRDefault="00AC4302" w:rsidP="005F3A0D">
            <w:pPr>
              <w:spacing w:after="160" w:line="259" w:lineRule="auto"/>
            </w:pPr>
          </w:p>
        </w:tc>
        <w:tc>
          <w:tcPr>
            <w:tcW w:w="0" w:type="auto"/>
            <w:vMerge/>
            <w:tcBorders>
              <w:top w:val="nil"/>
              <w:left w:val="single" w:sz="12" w:space="0" w:color="000000"/>
              <w:bottom w:val="single" w:sz="12" w:space="0" w:color="000000"/>
              <w:right w:val="single" w:sz="6" w:space="0" w:color="000000"/>
            </w:tcBorders>
          </w:tcPr>
          <w:p w14:paraId="6F3CC5CA" w14:textId="77777777" w:rsidR="00AC4302" w:rsidRDefault="00AC4302" w:rsidP="005F3A0D">
            <w:pPr>
              <w:spacing w:after="160" w:line="259" w:lineRule="auto"/>
            </w:pPr>
          </w:p>
        </w:tc>
        <w:tc>
          <w:tcPr>
            <w:tcW w:w="1215" w:type="dxa"/>
            <w:tcBorders>
              <w:top w:val="single" w:sz="6" w:space="0" w:color="000000"/>
              <w:left w:val="single" w:sz="6" w:space="0" w:color="000000"/>
              <w:bottom w:val="single" w:sz="12" w:space="0" w:color="000000"/>
              <w:right w:val="single" w:sz="6" w:space="0" w:color="000000"/>
            </w:tcBorders>
            <w:vAlign w:val="center"/>
          </w:tcPr>
          <w:p w14:paraId="097CC8CD" w14:textId="77777777" w:rsidR="00AC4302" w:rsidRDefault="00AC4302" w:rsidP="005F3A0D">
            <w:pPr>
              <w:spacing w:line="259" w:lineRule="auto"/>
            </w:pPr>
            <w:r>
              <w:rPr>
                <w:rFonts w:ascii="Calibri" w:eastAsia="Calibri" w:hAnsi="Calibri" w:cs="Calibri"/>
                <w:sz w:val="23"/>
              </w:rPr>
              <w:t>Dx Charges</w:t>
            </w:r>
          </w:p>
        </w:tc>
        <w:tc>
          <w:tcPr>
            <w:tcW w:w="1125" w:type="dxa"/>
            <w:tcBorders>
              <w:top w:val="single" w:sz="6" w:space="0" w:color="000000"/>
              <w:left w:val="single" w:sz="6" w:space="0" w:color="000000"/>
              <w:bottom w:val="single" w:sz="12" w:space="0" w:color="000000"/>
              <w:right w:val="single" w:sz="6" w:space="0" w:color="000000"/>
            </w:tcBorders>
            <w:vAlign w:val="center"/>
          </w:tcPr>
          <w:p w14:paraId="1330220A" w14:textId="77777777" w:rsidR="00AC4302" w:rsidRDefault="00AC4302" w:rsidP="005F3A0D">
            <w:pPr>
              <w:spacing w:line="259" w:lineRule="auto"/>
              <w:ind w:left="60"/>
            </w:pPr>
            <w:r>
              <w:rPr>
                <w:rFonts w:ascii="Calibri" w:eastAsia="Calibri" w:hAnsi="Calibri" w:cs="Calibri"/>
                <w:sz w:val="23"/>
              </w:rPr>
              <w:t>Total Bill</w:t>
            </w:r>
          </w:p>
        </w:tc>
        <w:tc>
          <w:tcPr>
            <w:tcW w:w="1199" w:type="dxa"/>
            <w:tcBorders>
              <w:top w:val="single" w:sz="6" w:space="0" w:color="000000"/>
              <w:left w:val="single" w:sz="6" w:space="0" w:color="000000"/>
              <w:bottom w:val="single" w:sz="12" w:space="0" w:color="000000"/>
              <w:right w:val="single" w:sz="6" w:space="0" w:color="000000"/>
            </w:tcBorders>
            <w:vAlign w:val="center"/>
          </w:tcPr>
          <w:p w14:paraId="38968AA3" w14:textId="77777777" w:rsidR="00AC4302" w:rsidRDefault="00AC4302" w:rsidP="005F3A0D">
            <w:pPr>
              <w:spacing w:line="259" w:lineRule="auto"/>
            </w:pPr>
            <w:r>
              <w:rPr>
                <w:rFonts w:ascii="Calibri" w:eastAsia="Calibri" w:hAnsi="Calibri" w:cs="Calibri"/>
                <w:sz w:val="23"/>
              </w:rPr>
              <w:t>Dx Charges</w:t>
            </w:r>
          </w:p>
        </w:tc>
        <w:tc>
          <w:tcPr>
            <w:tcW w:w="1117" w:type="dxa"/>
            <w:tcBorders>
              <w:top w:val="single" w:sz="6" w:space="0" w:color="000000"/>
              <w:left w:val="single" w:sz="6" w:space="0" w:color="000000"/>
              <w:bottom w:val="single" w:sz="12" w:space="0" w:color="000000"/>
              <w:right w:val="single" w:sz="12" w:space="0" w:color="000000"/>
            </w:tcBorders>
            <w:vAlign w:val="center"/>
          </w:tcPr>
          <w:p w14:paraId="0251611E" w14:textId="77777777" w:rsidR="00AC4302" w:rsidRDefault="00AC4302" w:rsidP="005F3A0D">
            <w:pPr>
              <w:spacing w:line="259" w:lineRule="auto"/>
              <w:ind w:left="60"/>
            </w:pPr>
            <w:r>
              <w:rPr>
                <w:rFonts w:ascii="Calibri" w:eastAsia="Calibri" w:hAnsi="Calibri" w:cs="Calibri"/>
                <w:sz w:val="23"/>
              </w:rPr>
              <w:t>Total Bill</w:t>
            </w:r>
          </w:p>
        </w:tc>
      </w:tr>
      <w:tr w:rsidR="00AC4302" w14:paraId="3C67628D" w14:textId="77777777" w:rsidTr="005F3A0D">
        <w:trPr>
          <w:trHeight w:val="307"/>
        </w:trPr>
        <w:tc>
          <w:tcPr>
            <w:tcW w:w="2032" w:type="dxa"/>
            <w:vMerge w:val="restart"/>
            <w:tcBorders>
              <w:top w:val="single" w:sz="12" w:space="0" w:color="000000"/>
              <w:left w:val="single" w:sz="6" w:space="0" w:color="000000"/>
              <w:bottom w:val="single" w:sz="12" w:space="0" w:color="000000"/>
              <w:right w:val="single" w:sz="12" w:space="0" w:color="000000"/>
            </w:tcBorders>
            <w:vAlign w:val="center"/>
          </w:tcPr>
          <w:p w14:paraId="40998675" w14:textId="77777777" w:rsidR="00AC4302" w:rsidRDefault="00AC4302" w:rsidP="005F3A0D">
            <w:pPr>
              <w:spacing w:line="259" w:lineRule="auto"/>
              <w:ind w:left="3"/>
              <w:jc w:val="center"/>
            </w:pPr>
            <w:r>
              <w:rPr>
                <w:rFonts w:ascii="Calibri" w:eastAsia="Calibri" w:hAnsi="Calibri" w:cs="Calibri"/>
                <w:sz w:val="23"/>
              </w:rPr>
              <w:t>Year-round R1</w:t>
            </w:r>
          </w:p>
        </w:tc>
        <w:tc>
          <w:tcPr>
            <w:tcW w:w="1567" w:type="dxa"/>
            <w:tcBorders>
              <w:top w:val="single" w:sz="12" w:space="0" w:color="000000"/>
              <w:left w:val="single" w:sz="12" w:space="0" w:color="000000"/>
              <w:bottom w:val="single" w:sz="6" w:space="0" w:color="000000"/>
              <w:right w:val="single" w:sz="6" w:space="0" w:color="000000"/>
            </w:tcBorders>
          </w:tcPr>
          <w:p w14:paraId="5CC81A5F" w14:textId="77777777" w:rsidR="00AC4302" w:rsidRDefault="00AC4302" w:rsidP="005F3A0D">
            <w:pPr>
              <w:spacing w:line="259" w:lineRule="auto"/>
              <w:ind w:left="21"/>
              <w:jc w:val="center"/>
            </w:pPr>
            <w:r>
              <w:rPr>
                <w:rFonts w:ascii="Calibri" w:eastAsia="Calibri" w:hAnsi="Calibri" w:cs="Calibri"/>
                <w:sz w:val="23"/>
              </w:rPr>
              <w:t>50</w:t>
            </w:r>
          </w:p>
        </w:tc>
        <w:tc>
          <w:tcPr>
            <w:tcW w:w="1215" w:type="dxa"/>
            <w:tcBorders>
              <w:top w:val="single" w:sz="12" w:space="0" w:color="000000"/>
              <w:left w:val="single" w:sz="6" w:space="0" w:color="000000"/>
              <w:bottom w:val="single" w:sz="6" w:space="0" w:color="000000"/>
              <w:right w:val="single" w:sz="6" w:space="0" w:color="000000"/>
            </w:tcBorders>
          </w:tcPr>
          <w:p w14:paraId="03A8A44E" w14:textId="77777777" w:rsidR="00AC4302" w:rsidRDefault="00AC4302" w:rsidP="005F3A0D">
            <w:pPr>
              <w:spacing w:line="259" w:lineRule="auto"/>
              <w:ind w:left="12"/>
              <w:jc w:val="center"/>
            </w:pPr>
            <w:r>
              <w:rPr>
                <w:rFonts w:ascii="Calibri" w:eastAsia="Calibri" w:hAnsi="Calibri" w:cs="Calibri"/>
                <w:sz w:val="23"/>
              </w:rPr>
              <w:t>$46.94</w:t>
            </w:r>
          </w:p>
        </w:tc>
        <w:tc>
          <w:tcPr>
            <w:tcW w:w="1125" w:type="dxa"/>
            <w:tcBorders>
              <w:top w:val="single" w:sz="12" w:space="0" w:color="000000"/>
              <w:left w:val="single" w:sz="6" w:space="0" w:color="000000"/>
              <w:bottom w:val="single" w:sz="6" w:space="0" w:color="000000"/>
              <w:right w:val="single" w:sz="6" w:space="0" w:color="000000"/>
            </w:tcBorders>
          </w:tcPr>
          <w:p w14:paraId="77B3E620" w14:textId="77777777" w:rsidR="00AC4302" w:rsidRDefault="00AC4302" w:rsidP="005F3A0D">
            <w:pPr>
              <w:spacing w:line="259" w:lineRule="auto"/>
              <w:ind w:left="12"/>
              <w:jc w:val="center"/>
            </w:pPr>
            <w:r>
              <w:rPr>
                <w:rFonts w:ascii="Calibri" w:eastAsia="Calibri" w:hAnsi="Calibri" w:cs="Calibri"/>
                <w:sz w:val="23"/>
              </w:rPr>
              <w:t>$55.85</w:t>
            </w:r>
          </w:p>
        </w:tc>
        <w:tc>
          <w:tcPr>
            <w:tcW w:w="1199" w:type="dxa"/>
            <w:tcBorders>
              <w:top w:val="single" w:sz="12" w:space="0" w:color="000000"/>
              <w:left w:val="single" w:sz="6" w:space="0" w:color="000000"/>
              <w:bottom w:val="single" w:sz="6" w:space="0" w:color="000000"/>
              <w:right w:val="single" w:sz="6" w:space="0" w:color="000000"/>
            </w:tcBorders>
          </w:tcPr>
          <w:p w14:paraId="4B9056C1" w14:textId="77777777" w:rsidR="00AC4302" w:rsidRDefault="00AC4302" w:rsidP="005F3A0D">
            <w:pPr>
              <w:spacing w:line="259" w:lineRule="auto"/>
              <w:ind w:right="2"/>
              <w:jc w:val="center"/>
            </w:pPr>
            <w:r>
              <w:rPr>
                <w:rFonts w:ascii="Calibri" w:eastAsia="Calibri" w:hAnsi="Calibri" w:cs="Calibri"/>
                <w:sz w:val="23"/>
              </w:rPr>
              <w:t>$36.86</w:t>
            </w:r>
          </w:p>
        </w:tc>
        <w:tc>
          <w:tcPr>
            <w:tcW w:w="1117" w:type="dxa"/>
            <w:tcBorders>
              <w:top w:val="single" w:sz="12" w:space="0" w:color="000000"/>
              <w:left w:val="single" w:sz="6" w:space="0" w:color="000000"/>
              <w:bottom w:val="single" w:sz="6" w:space="0" w:color="000000"/>
              <w:right w:val="single" w:sz="12" w:space="0" w:color="000000"/>
            </w:tcBorders>
          </w:tcPr>
          <w:p w14:paraId="7B5D1123" w14:textId="77777777" w:rsidR="00AC4302" w:rsidRDefault="00AC4302" w:rsidP="005F3A0D">
            <w:pPr>
              <w:spacing w:line="259" w:lineRule="auto"/>
              <w:ind w:left="20"/>
              <w:jc w:val="center"/>
            </w:pPr>
            <w:r>
              <w:rPr>
                <w:rFonts w:ascii="Calibri" w:eastAsia="Calibri" w:hAnsi="Calibri" w:cs="Calibri"/>
                <w:sz w:val="23"/>
              </w:rPr>
              <w:t>$45.27</w:t>
            </w:r>
          </w:p>
        </w:tc>
      </w:tr>
      <w:tr w:rsidR="00AC4302" w14:paraId="20BB9DC2" w14:textId="77777777" w:rsidTr="005F3A0D">
        <w:trPr>
          <w:trHeight w:val="300"/>
        </w:trPr>
        <w:tc>
          <w:tcPr>
            <w:tcW w:w="0" w:type="auto"/>
            <w:vMerge/>
            <w:tcBorders>
              <w:top w:val="nil"/>
              <w:left w:val="single" w:sz="6" w:space="0" w:color="000000"/>
              <w:bottom w:val="nil"/>
              <w:right w:val="single" w:sz="12" w:space="0" w:color="000000"/>
            </w:tcBorders>
          </w:tcPr>
          <w:p w14:paraId="653C985B" w14:textId="77777777" w:rsidR="00AC4302" w:rsidRDefault="00AC4302" w:rsidP="005F3A0D">
            <w:pPr>
              <w:spacing w:after="160" w:line="259" w:lineRule="auto"/>
            </w:pPr>
          </w:p>
        </w:tc>
        <w:tc>
          <w:tcPr>
            <w:tcW w:w="1567" w:type="dxa"/>
            <w:tcBorders>
              <w:top w:val="single" w:sz="6" w:space="0" w:color="000000"/>
              <w:left w:val="single" w:sz="12" w:space="0" w:color="000000"/>
              <w:bottom w:val="single" w:sz="6" w:space="0" w:color="000000"/>
              <w:right w:val="single" w:sz="6" w:space="0" w:color="000000"/>
            </w:tcBorders>
          </w:tcPr>
          <w:p w14:paraId="60ADD2CB" w14:textId="77777777" w:rsidR="00AC4302" w:rsidRDefault="00AC4302" w:rsidP="005F3A0D">
            <w:pPr>
              <w:spacing w:line="259" w:lineRule="auto"/>
              <w:ind w:left="6"/>
              <w:jc w:val="center"/>
            </w:pPr>
            <w:r>
              <w:rPr>
                <w:rFonts w:ascii="Calibri" w:eastAsia="Calibri" w:hAnsi="Calibri" w:cs="Calibri"/>
                <w:sz w:val="23"/>
              </w:rPr>
              <w:t>350</w:t>
            </w:r>
          </w:p>
        </w:tc>
        <w:tc>
          <w:tcPr>
            <w:tcW w:w="1215" w:type="dxa"/>
            <w:tcBorders>
              <w:top w:val="single" w:sz="6" w:space="0" w:color="000000"/>
              <w:left w:val="single" w:sz="6" w:space="0" w:color="000000"/>
              <w:bottom w:val="single" w:sz="6" w:space="0" w:color="000000"/>
              <w:right w:val="single" w:sz="6" w:space="0" w:color="000000"/>
            </w:tcBorders>
          </w:tcPr>
          <w:p w14:paraId="077C99A1" w14:textId="77777777" w:rsidR="00AC4302" w:rsidRDefault="00AC4302" w:rsidP="005F3A0D">
            <w:pPr>
              <w:spacing w:line="259" w:lineRule="auto"/>
              <w:ind w:left="12"/>
              <w:jc w:val="center"/>
            </w:pPr>
            <w:r>
              <w:rPr>
                <w:rFonts w:ascii="Calibri" w:eastAsia="Calibri" w:hAnsi="Calibri" w:cs="Calibri"/>
                <w:sz w:val="23"/>
              </w:rPr>
              <w:t>$51.32</w:t>
            </w:r>
          </w:p>
        </w:tc>
        <w:tc>
          <w:tcPr>
            <w:tcW w:w="1125" w:type="dxa"/>
            <w:tcBorders>
              <w:top w:val="single" w:sz="6" w:space="0" w:color="000000"/>
              <w:left w:val="single" w:sz="6" w:space="0" w:color="000000"/>
              <w:bottom w:val="single" w:sz="6" w:space="0" w:color="000000"/>
              <w:right w:val="single" w:sz="6" w:space="0" w:color="000000"/>
            </w:tcBorders>
          </w:tcPr>
          <w:p w14:paraId="521E6DD5" w14:textId="77777777" w:rsidR="00AC4302" w:rsidRDefault="00AC4302" w:rsidP="005F3A0D">
            <w:pPr>
              <w:spacing w:line="259" w:lineRule="auto"/>
              <w:ind w:left="12"/>
              <w:jc w:val="center"/>
            </w:pPr>
            <w:r>
              <w:rPr>
                <w:rFonts w:ascii="Calibri" w:eastAsia="Calibri" w:hAnsi="Calibri" w:cs="Calibri"/>
                <w:sz w:val="23"/>
              </w:rPr>
              <w:t>$94.67</w:t>
            </w:r>
          </w:p>
        </w:tc>
        <w:tc>
          <w:tcPr>
            <w:tcW w:w="1199" w:type="dxa"/>
            <w:tcBorders>
              <w:top w:val="single" w:sz="6" w:space="0" w:color="000000"/>
              <w:left w:val="single" w:sz="6" w:space="0" w:color="000000"/>
              <w:bottom w:val="single" w:sz="6" w:space="0" w:color="000000"/>
              <w:right w:val="single" w:sz="6" w:space="0" w:color="000000"/>
            </w:tcBorders>
          </w:tcPr>
          <w:p w14:paraId="746874FE" w14:textId="77777777" w:rsidR="00AC4302" w:rsidRDefault="00AC4302" w:rsidP="005F3A0D">
            <w:pPr>
              <w:spacing w:line="259" w:lineRule="auto"/>
              <w:ind w:right="2"/>
              <w:jc w:val="center"/>
            </w:pPr>
            <w:r>
              <w:rPr>
                <w:rFonts w:ascii="Calibri" w:eastAsia="Calibri" w:hAnsi="Calibri" w:cs="Calibri"/>
                <w:sz w:val="23"/>
              </w:rPr>
              <w:t>$36.86</w:t>
            </w:r>
          </w:p>
        </w:tc>
        <w:tc>
          <w:tcPr>
            <w:tcW w:w="1117" w:type="dxa"/>
            <w:tcBorders>
              <w:top w:val="single" w:sz="6" w:space="0" w:color="000000"/>
              <w:left w:val="single" w:sz="6" w:space="0" w:color="000000"/>
              <w:bottom w:val="single" w:sz="6" w:space="0" w:color="000000"/>
              <w:right w:val="single" w:sz="12" w:space="0" w:color="000000"/>
            </w:tcBorders>
          </w:tcPr>
          <w:p w14:paraId="665D34B3" w14:textId="77777777" w:rsidR="00AC4302" w:rsidRDefault="00AC4302" w:rsidP="005F3A0D">
            <w:pPr>
              <w:spacing w:line="259" w:lineRule="auto"/>
              <w:ind w:left="20"/>
              <w:jc w:val="center"/>
            </w:pPr>
            <w:r>
              <w:rPr>
                <w:rFonts w:ascii="Calibri" w:eastAsia="Calibri" w:hAnsi="Calibri" w:cs="Calibri"/>
                <w:sz w:val="23"/>
              </w:rPr>
              <w:t>$79.48</w:t>
            </w:r>
          </w:p>
        </w:tc>
      </w:tr>
      <w:tr w:rsidR="00AC4302" w14:paraId="568FC064" w14:textId="77777777" w:rsidTr="005F3A0D">
        <w:trPr>
          <w:trHeight w:val="308"/>
        </w:trPr>
        <w:tc>
          <w:tcPr>
            <w:tcW w:w="0" w:type="auto"/>
            <w:vMerge/>
            <w:tcBorders>
              <w:top w:val="nil"/>
              <w:left w:val="single" w:sz="6" w:space="0" w:color="000000"/>
              <w:bottom w:val="single" w:sz="12" w:space="0" w:color="000000"/>
              <w:right w:val="single" w:sz="12" w:space="0" w:color="000000"/>
            </w:tcBorders>
          </w:tcPr>
          <w:p w14:paraId="589FD013" w14:textId="77777777" w:rsidR="00AC4302" w:rsidRDefault="00AC4302" w:rsidP="005F3A0D">
            <w:pPr>
              <w:spacing w:after="160" w:line="259" w:lineRule="auto"/>
            </w:pPr>
          </w:p>
        </w:tc>
        <w:tc>
          <w:tcPr>
            <w:tcW w:w="1567" w:type="dxa"/>
            <w:tcBorders>
              <w:top w:val="single" w:sz="6" w:space="0" w:color="000000"/>
              <w:left w:val="single" w:sz="12" w:space="0" w:color="000000"/>
              <w:bottom w:val="single" w:sz="12" w:space="0" w:color="000000"/>
              <w:right w:val="single" w:sz="6" w:space="0" w:color="000000"/>
            </w:tcBorders>
          </w:tcPr>
          <w:p w14:paraId="05FE5660" w14:textId="77777777" w:rsidR="00AC4302" w:rsidRDefault="00AC4302" w:rsidP="005F3A0D">
            <w:pPr>
              <w:spacing w:line="259" w:lineRule="auto"/>
              <w:ind w:left="21"/>
              <w:jc w:val="center"/>
            </w:pPr>
            <w:r>
              <w:rPr>
                <w:rFonts w:ascii="Calibri" w:eastAsia="Calibri" w:hAnsi="Calibri" w:cs="Calibri"/>
                <w:sz w:val="23"/>
              </w:rPr>
              <w:t>1000</w:t>
            </w:r>
          </w:p>
        </w:tc>
        <w:tc>
          <w:tcPr>
            <w:tcW w:w="1215" w:type="dxa"/>
            <w:tcBorders>
              <w:top w:val="single" w:sz="6" w:space="0" w:color="000000"/>
              <w:left w:val="single" w:sz="6" w:space="0" w:color="000000"/>
              <w:bottom w:val="single" w:sz="12" w:space="0" w:color="000000"/>
              <w:right w:val="single" w:sz="6" w:space="0" w:color="000000"/>
            </w:tcBorders>
          </w:tcPr>
          <w:p w14:paraId="094462D1" w14:textId="77777777" w:rsidR="00AC4302" w:rsidRDefault="00AC4302" w:rsidP="005F3A0D">
            <w:pPr>
              <w:spacing w:line="259" w:lineRule="auto"/>
              <w:ind w:left="12"/>
              <w:jc w:val="center"/>
            </w:pPr>
            <w:r>
              <w:rPr>
                <w:rFonts w:ascii="Calibri" w:eastAsia="Calibri" w:hAnsi="Calibri" w:cs="Calibri"/>
                <w:sz w:val="23"/>
              </w:rPr>
              <w:t>$60.81</w:t>
            </w:r>
          </w:p>
        </w:tc>
        <w:tc>
          <w:tcPr>
            <w:tcW w:w="1125" w:type="dxa"/>
            <w:tcBorders>
              <w:top w:val="single" w:sz="6" w:space="0" w:color="000000"/>
              <w:left w:val="single" w:sz="6" w:space="0" w:color="000000"/>
              <w:bottom w:val="single" w:sz="12" w:space="0" w:color="000000"/>
              <w:right w:val="single" w:sz="6" w:space="0" w:color="000000"/>
            </w:tcBorders>
          </w:tcPr>
          <w:p w14:paraId="1F8F9969" w14:textId="77777777" w:rsidR="00AC4302" w:rsidRDefault="00AC4302" w:rsidP="005F3A0D">
            <w:pPr>
              <w:spacing w:line="259" w:lineRule="auto"/>
              <w:ind w:right="3"/>
              <w:jc w:val="center"/>
            </w:pPr>
            <w:r>
              <w:rPr>
                <w:rFonts w:ascii="Calibri" w:eastAsia="Calibri" w:hAnsi="Calibri" w:cs="Calibri"/>
                <w:sz w:val="23"/>
              </w:rPr>
              <w:t>$178.76</w:t>
            </w:r>
          </w:p>
        </w:tc>
        <w:tc>
          <w:tcPr>
            <w:tcW w:w="1199" w:type="dxa"/>
            <w:tcBorders>
              <w:top w:val="single" w:sz="6" w:space="0" w:color="000000"/>
              <w:left w:val="single" w:sz="6" w:space="0" w:color="000000"/>
              <w:bottom w:val="single" w:sz="12" w:space="0" w:color="000000"/>
              <w:right w:val="single" w:sz="6" w:space="0" w:color="000000"/>
            </w:tcBorders>
          </w:tcPr>
          <w:p w14:paraId="62FD0E6F" w14:textId="77777777" w:rsidR="00AC4302" w:rsidRDefault="00AC4302" w:rsidP="005F3A0D">
            <w:pPr>
              <w:spacing w:line="259" w:lineRule="auto"/>
              <w:ind w:right="2"/>
              <w:jc w:val="center"/>
            </w:pPr>
            <w:r>
              <w:rPr>
                <w:rFonts w:ascii="Calibri" w:eastAsia="Calibri" w:hAnsi="Calibri" w:cs="Calibri"/>
                <w:sz w:val="23"/>
              </w:rPr>
              <w:t>$36.86</w:t>
            </w:r>
          </w:p>
        </w:tc>
        <w:tc>
          <w:tcPr>
            <w:tcW w:w="1117" w:type="dxa"/>
            <w:tcBorders>
              <w:top w:val="single" w:sz="6" w:space="0" w:color="000000"/>
              <w:left w:val="single" w:sz="6" w:space="0" w:color="000000"/>
              <w:bottom w:val="single" w:sz="12" w:space="0" w:color="000000"/>
              <w:right w:val="single" w:sz="12" w:space="0" w:color="000000"/>
            </w:tcBorders>
          </w:tcPr>
          <w:p w14:paraId="211FA87E" w14:textId="77777777" w:rsidR="00AC4302" w:rsidRDefault="00AC4302" w:rsidP="005F3A0D">
            <w:pPr>
              <w:spacing w:line="259" w:lineRule="auto"/>
              <w:ind w:left="5"/>
              <w:jc w:val="center"/>
            </w:pPr>
            <w:r>
              <w:rPr>
                <w:rFonts w:ascii="Calibri" w:eastAsia="Calibri" w:hAnsi="Calibri" w:cs="Calibri"/>
                <w:sz w:val="23"/>
              </w:rPr>
              <w:t>$153.62</w:t>
            </w:r>
          </w:p>
        </w:tc>
      </w:tr>
      <w:tr w:rsidR="00AC4302" w14:paraId="2C42FC42" w14:textId="77777777" w:rsidTr="005F3A0D">
        <w:trPr>
          <w:trHeight w:val="307"/>
        </w:trPr>
        <w:tc>
          <w:tcPr>
            <w:tcW w:w="2032" w:type="dxa"/>
            <w:vMerge w:val="restart"/>
            <w:tcBorders>
              <w:top w:val="single" w:sz="12" w:space="0" w:color="000000"/>
              <w:left w:val="single" w:sz="6" w:space="0" w:color="000000"/>
              <w:bottom w:val="single" w:sz="12" w:space="0" w:color="000000"/>
              <w:right w:val="single" w:sz="12" w:space="0" w:color="000000"/>
            </w:tcBorders>
            <w:vAlign w:val="center"/>
          </w:tcPr>
          <w:p w14:paraId="63D49544" w14:textId="77777777" w:rsidR="00AC4302" w:rsidRDefault="00AC4302" w:rsidP="005F3A0D">
            <w:pPr>
              <w:spacing w:line="259" w:lineRule="auto"/>
              <w:ind w:right="14"/>
              <w:jc w:val="center"/>
            </w:pPr>
            <w:r>
              <w:rPr>
                <w:rFonts w:ascii="Calibri" w:eastAsia="Calibri" w:hAnsi="Calibri" w:cs="Calibri"/>
                <w:sz w:val="23"/>
              </w:rPr>
              <w:t>R1-Seasonal</w:t>
            </w:r>
          </w:p>
        </w:tc>
        <w:tc>
          <w:tcPr>
            <w:tcW w:w="1567" w:type="dxa"/>
            <w:tcBorders>
              <w:top w:val="single" w:sz="12" w:space="0" w:color="000000"/>
              <w:left w:val="single" w:sz="12" w:space="0" w:color="000000"/>
              <w:bottom w:val="single" w:sz="6" w:space="0" w:color="000000"/>
              <w:right w:val="single" w:sz="6" w:space="0" w:color="000000"/>
            </w:tcBorders>
          </w:tcPr>
          <w:p w14:paraId="6D6F42D8" w14:textId="77777777" w:rsidR="00AC4302" w:rsidRDefault="00AC4302" w:rsidP="005F3A0D">
            <w:pPr>
              <w:spacing w:line="259" w:lineRule="auto"/>
              <w:ind w:left="21"/>
              <w:jc w:val="center"/>
            </w:pPr>
            <w:r>
              <w:rPr>
                <w:rFonts w:ascii="Calibri" w:eastAsia="Calibri" w:hAnsi="Calibri" w:cs="Calibri"/>
                <w:sz w:val="23"/>
              </w:rPr>
              <w:t>50</w:t>
            </w:r>
          </w:p>
        </w:tc>
        <w:tc>
          <w:tcPr>
            <w:tcW w:w="1215" w:type="dxa"/>
            <w:tcBorders>
              <w:top w:val="single" w:sz="12" w:space="0" w:color="000000"/>
              <w:left w:val="single" w:sz="6" w:space="0" w:color="000000"/>
              <w:bottom w:val="single" w:sz="6" w:space="0" w:color="000000"/>
              <w:right w:val="single" w:sz="6" w:space="0" w:color="000000"/>
            </w:tcBorders>
          </w:tcPr>
          <w:p w14:paraId="60643CF2" w14:textId="77777777" w:rsidR="00AC4302" w:rsidRDefault="00AC4302" w:rsidP="005F3A0D">
            <w:pPr>
              <w:spacing w:line="259" w:lineRule="auto"/>
              <w:ind w:left="12"/>
              <w:jc w:val="center"/>
            </w:pPr>
            <w:r>
              <w:rPr>
                <w:rFonts w:ascii="Calibri" w:eastAsia="Calibri" w:hAnsi="Calibri" w:cs="Calibri"/>
                <w:sz w:val="23"/>
              </w:rPr>
              <w:t>$46.94</w:t>
            </w:r>
          </w:p>
        </w:tc>
        <w:tc>
          <w:tcPr>
            <w:tcW w:w="1125" w:type="dxa"/>
            <w:tcBorders>
              <w:top w:val="single" w:sz="12" w:space="0" w:color="000000"/>
              <w:left w:val="single" w:sz="6" w:space="0" w:color="000000"/>
              <w:bottom w:val="single" w:sz="6" w:space="0" w:color="000000"/>
              <w:right w:val="single" w:sz="6" w:space="0" w:color="000000"/>
            </w:tcBorders>
          </w:tcPr>
          <w:p w14:paraId="00830016" w14:textId="77777777" w:rsidR="00AC4302" w:rsidRDefault="00AC4302" w:rsidP="005F3A0D">
            <w:pPr>
              <w:spacing w:line="259" w:lineRule="auto"/>
              <w:ind w:left="12"/>
              <w:jc w:val="center"/>
            </w:pPr>
            <w:r>
              <w:rPr>
                <w:rFonts w:ascii="Calibri" w:eastAsia="Calibri" w:hAnsi="Calibri" w:cs="Calibri"/>
                <w:sz w:val="23"/>
              </w:rPr>
              <w:t>$55.85</w:t>
            </w:r>
          </w:p>
        </w:tc>
        <w:tc>
          <w:tcPr>
            <w:tcW w:w="1199" w:type="dxa"/>
            <w:tcBorders>
              <w:top w:val="single" w:sz="12" w:space="0" w:color="000000"/>
              <w:left w:val="single" w:sz="6" w:space="0" w:color="000000"/>
              <w:bottom w:val="single" w:sz="6" w:space="0" w:color="000000"/>
              <w:right w:val="single" w:sz="6" w:space="0" w:color="000000"/>
            </w:tcBorders>
          </w:tcPr>
          <w:p w14:paraId="3CA6FC3F" w14:textId="77777777" w:rsidR="00AC4302" w:rsidRDefault="00AC4302" w:rsidP="005F3A0D">
            <w:pPr>
              <w:spacing w:line="259" w:lineRule="auto"/>
              <w:ind w:right="2"/>
              <w:jc w:val="center"/>
            </w:pPr>
            <w:r>
              <w:rPr>
                <w:rFonts w:ascii="Calibri" w:eastAsia="Calibri" w:hAnsi="Calibri" w:cs="Calibri"/>
                <w:sz w:val="23"/>
              </w:rPr>
              <w:t>$46.94</w:t>
            </w:r>
          </w:p>
        </w:tc>
        <w:tc>
          <w:tcPr>
            <w:tcW w:w="1117" w:type="dxa"/>
            <w:tcBorders>
              <w:top w:val="single" w:sz="12" w:space="0" w:color="000000"/>
              <w:left w:val="single" w:sz="6" w:space="0" w:color="000000"/>
              <w:bottom w:val="single" w:sz="6" w:space="0" w:color="000000"/>
              <w:right w:val="single" w:sz="12" w:space="0" w:color="000000"/>
            </w:tcBorders>
          </w:tcPr>
          <w:p w14:paraId="6D27D5D3" w14:textId="77777777" w:rsidR="00AC4302" w:rsidRDefault="00AC4302" w:rsidP="005F3A0D">
            <w:pPr>
              <w:spacing w:line="259" w:lineRule="auto"/>
              <w:ind w:left="20"/>
              <w:jc w:val="center"/>
            </w:pPr>
            <w:r>
              <w:rPr>
                <w:rFonts w:ascii="Calibri" w:eastAsia="Calibri" w:hAnsi="Calibri" w:cs="Calibri"/>
                <w:sz w:val="23"/>
              </w:rPr>
              <w:t>$55.85</w:t>
            </w:r>
          </w:p>
        </w:tc>
      </w:tr>
      <w:tr w:rsidR="00AC4302" w14:paraId="12C59F2D" w14:textId="77777777" w:rsidTr="005F3A0D">
        <w:trPr>
          <w:trHeight w:val="300"/>
        </w:trPr>
        <w:tc>
          <w:tcPr>
            <w:tcW w:w="0" w:type="auto"/>
            <w:vMerge/>
            <w:tcBorders>
              <w:top w:val="nil"/>
              <w:left w:val="single" w:sz="6" w:space="0" w:color="000000"/>
              <w:bottom w:val="nil"/>
              <w:right w:val="single" w:sz="12" w:space="0" w:color="000000"/>
            </w:tcBorders>
          </w:tcPr>
          <w:p w14:paraId="20D44C84" w14:textId="77777777" w:rsidR="00AC4302" w:rsidRDefault="00AC4302" w:rsidP="005F3A0D">
            <w:pPr>
              <w:spacing w:after="160" w:line="259" w:lineRule="auto"/>
            </w:pPr>
          </w:p>
        </w:tc>
        <w:tc>
          <w:tcPr>
            <w:tcW w:w="1567" w:type="dxa"/>
            <w:tcBorders>
              <w:top w:val="single" w:sz="6" w:space="0" w:color="000000"/>
              <w:left w:val="single" w:sz="12" w:space="0" w:color="000000"/>
              <w:bottom w:val="single" w:sz="6" w:space="0" w:color="000000"/>
              <w:right w:val="single" w:sz="6" w:space="0" w:color="000000"/>
            </w:tcBorders>
          </w:tcPr>
          <w:p w14:paraId="0B8823F2" w14:textId="77777777" w:rsidR="00AC4302" w:rsidRDefault="00AC4302" w:rsidP="005F3A0D">
            <w:pPr>
              <w:spacing w:line="259" w:lineRule="auto"/>
              <w:ind w:left="6"/>
              <w:jc w:val="center"/>
            </w:pPr>
            <w:r>
              <w:rPr>
                <w:rFonts w:ascii="Calibri" w:eastAsia="Calibri" w:hAnsi="Calibri" w:cs="Calibri"/>
                <w:sz w:val="23"/>
              </w:rPr>
              <w:t>350</w:t>
            </w:r>
          </w:p>
        </w:tc>
        <w:tc>
          <w:tcPr>
            <w:tcW w:w="1215" w:type="dxa"/>
            <w:tcBorders>
              <w:top w:val="single" w:sz="6" w:space="0" w:color="000000"/>
              <w:left w:val="single" w:sz="6" w:space="0" w:color="000000"/>
              <w:bottom w:val="single" w:sz="6" w:space="0" w:color="000000"/>
              <w:right w:val="single" w:sz="6" w:space="0" w:color="000000"/>
            </w:tcBorders>
          </w:tcPr>
          <w:p w14:paraId="00D7B30A" w14:textId="77777777" w:rsidR="00AC4302" w:rsidRDefault="00AC4302" w:rsidP="005F3A0D">
            <w:pPr>
              <w:spacing w:line="259" w:lineRule="auto"/>
              <w:ind w:left="12"/>
              <w:jc w:val="center"/>
            </w:pPr>
            <w:r>
              <w:rPr>
                <w:rFonts w:ascii="Calibri" w:eastAsia="Calibri" w:hAnsi="Calibri" w:cs="Calibri"/>
                <w:sz w:val="23"/>
              </w:rPr>
              <w:t>$51.32</w:t>
            </w:r>
          </w:p>
        </w:tc>
        <w:tc>
          <w:tcPr>
            <w:tcW w:w="1125" w:type="dxa"/>
            <w:tcBorders>
              <w:top w:val="single" w:sz="6" w:space="0" w:color="000000"/>
              <w:left w:val="single" w:sz="6" w:space="0" w:color="000000"/>
              <w:bottom w:val="single" w:sz="6" w:space="0" w:color="000000"/>
              <w:right w:val="single" w:sz="6" w:space="0" w:color="000000"/>
            </w:tcBorders>
          </w:tcPr>
          <w:p w14:paraId="6DFC3BFB" w14:textId="77777777" w:rsidR="00AC4302" w:rsidRDefault="00AC4302" w:rsidP="005F3A0D">
            <w:pPr>
              <w:spacing w:line="259" w:lineRule="auto"/>
              <w:ind w:left="12"/>
              <w:jc w:val="center"/>
            </w:pPr>
            <w:r>
              <w:rPr>
                <w:rFonts w:ascii="Calibri" w:eastAsia="Calibri" w:hAnsi="Calibri" w:cs="Calibri"/>
                <w:sz w:val="23"/>
              </w:rPr>
              <w:t>$94.67</w:t>
            </w:r>
          </w:p>
        </w:tc>
        <w:tc>
          <w:tcPr>
            <w:tcW w:w="1199" w:type="dxa"/>
            <w:tcBorders>
              <w:top w:val="single" w:sz="6" w:space="0" w:color="000000"/>
              <w:left w:val="single" w:sz="6" w:space="0" w:color="000000"/>
              <w:bottom w:val="single" w:sz="6" w:space="0" w:color="000000"/>
              <w:right w:val="single" w:sz="6" w:space="0" w:color="000000"/>
            </w:tcBorders>
          </w:tcPr>
          <w:p w14:paraId="0095F29E" w14:textId="77777777" w:rsidR="00AC4302" w:rsidRDefault="00AC4302" w:rsidP="005F3A0D">
            <w:pPr>
              <w:spacing w:line="259" w:lineRule="auto"/>
              <w:ind w:right="2"/>
              <w:jc w:val="center"/>
            </w:pPr>
            <w:r>
              <w:rPr>
                <w:rFonts w:ascii="Calibri" w:eastAsia="Calibri" w:hAnsi="Calibri" w:cs="Calibri"/>
                <w:sz w:val="23"/>
              </w:rPr>
              <w:t>$51.32</w:t>
            </w:r>
          </w:p>
        </w:tc>
        <w:tc>
          <w:tcPr>
            <w:tcW w:w="1117" w:type="dxa"/>
            <w:tcBorders>
              <w:top w:val="single" w:sz="6" w:space="0" w:color="000000"/>
              <w:left w:val="single" w:sz="6" w:space="0" w:color="000000"/>
              <w:bottom w:val="single" w:sz="6" w:space="0" w:color="000000"/>
              <w:right w:val="single" w:sz="12" w:space="0" w:color="000000"/>
            </w:tcBorders>
          </w:tcPr>
          <w:p w14:paraId="13893BBE" w14:textId="77777777" w:rsidR="00AC4302" w:rsidRDefault="00AC4302" w:rsidP="005F3A0D">
            <w:pPr>
              <w:spacing w:line="259" w:lineRule="auto"/>
              <w:ind w:left="20"/>
              <w:jc w:val="center"/>
            </w:pPr>
            <w:r>
              <w:rPr>
                <w:rFonts w:ascii="Calibri" w:eastAsia="Calibri" w:hAnsi="Calibri" w:cs="Calibri"/>
                <w:sz w:val="23"/>
              </w:rPr>
              <w:t>$94.67</w:t>
            </w:r>
          </w:p>
        </w:tc>
      </w:tr>
      <w:tr w:rsidR="00AC4302" w14:paraId="487C9050" w14:textId="77777777" w:rsidTr="005F3A0D">
        <w:trPr>
          <w:trHeight w:val="308"/>
        </w:trPr>
        <w:tc>
          <w:tcPr>
            <w:tcW w:w="0" w:type="auto"/>
            <w:vMerge/>
            <w:tcBorders>
              <w:top w:val="nil"/>
              <w:left w:val="single" w:sz="6" w:space="0" w:color="000000"/>
              <w:bottom w:val="single" w:sz="12" w:space="0" w:color="000000"/>
              <w:right w:val="single" w:sz="12" w:space="0" w:color="000000"/>
            </w:tcBorders>
          </w:tcPr>
          <w:p w14:paraId="42783456" w14:textId="77777777" w:rsidR="00AC4302" w:rsidRDefault="00AC4302" w:rsidP="005F3A0D">
            <w:pPr>
              <w:spacing w:after="160" w:line="259" w:lineRule="auto"/>
            </w:pPr>
          </w:p>
        </w:tc>
        <w:tc>
          <w:tcPr>
            <w:tcW w:w="1567" w:type="dxa"/>
            <w:tcBorders>
              <w:top w:val="single" w:sz="6" w:space="0" w:color="000000"/>
              <w:left w:val="single" w:sz="12" w:space="0" w:color="000000"/>
              <w:bottom w:val="single" w:sz="12" w:space="0" w:color="000000"/>
              <w:right w:val="single" w:sz="6" w:space="0" w:color="000000"/>
            </w:tcBorders>
          </w:tcPr>
          <w:p w14:paraId="187CA52B" w14:textId="77777777" w:rsidR="00AC4302" w:rsidRDefault="00AC4302" w:rsidP="005F3A0D">
            <w:pPr>
              <w:spacing w:line="259" w:lineRule="auto"/>
              <w:ind w:left="21"/>
              <w:jc w:val="center"/>
            </w:pPr>
            <w:r>
              <w:rPr>
                <w:rFonts w:ascii="Calibri" w:eastAsia="Calibri" w:hAnsi="Calibri" w:cs="Calibri"/>
                <w:sz w:val="23"/>
              </w:rPr>
              <w:t>1000</w:t>
            </w:r>
          </w:p>
        </w:tc>
        <w:tc>
          <w:tcPr>
            <w:tcW w:w="1215" w:type="dxa"/>
            <w:tcBorders>
              <w:top w:val="single" w:sz="6" w:space="0" w:color="000000"/>
              <w:left w:val="single" w:sz="6" w:space="0" w:color="000000"/>
              <w:bottom w:val="single" w:sz="12" w:space="0" w:color="000000"/>
              <w:right w:val="single" w:sz="6" w:space="0" w:color="000000"/>
            </w:tcBorders>
          </w:tcPr>
          <w:p w14:paraId="00D91D38" w14:textId="77777777" w:rsidR="00AC4302" w:rsidRDefault="00AC4302" w:rsidP="005F3A0D">
            <w:pPr>
              <w:spacing w:line="259" w:lineRule="auto"/>
              <w:ind w:left="12"/>
              <w:jc w:val="center"/>
            </w:pPr>
            <w:r>
              <w:rPr>
                <w:rFonts w:ascii="Calibri" w:eastAsia="Calibri" w:hAnsi="Calibri" w:cs="Calibri"/>
                <w:sz w:val="23"/>
              </w:rPr>
              <w:t>$60.81</w:t>
            </w:r>
          </w:p>
        </w:tc>
        <w:tc>
          <w:tcPr>
            <w:tcW w:w="1125" w:type="dxa"/>
            <w:tcBorders>
              <w:top w:val="single" w:sz="6" w:space="0" w:color="000000"/>
              <w:left w:val="single" w:sz="6" w:space="0" w:color="000000"/>
              <w:bottom w:val="single" w:sz="12" w:space="0" w:color="000000"/>
              <w:right w:val="single" w:sz="6" w:space="0" w:color="000000"/>
            </w:tcBorders>
          </w:tcPr>
          <w:p w14:paraId="2442A278" w14:textId="77777777" w:rsidR="00AC4302" w:rsidRDefault="00AC4302" w:rsidP="005F3A0D">
            <w:pPr>
              <w:spacing w:line="259" w:lineRule="auto"/>
              <w:ind w:right="3"/>
              <w:jc w:val="center"/>
            </w:pPr>
            <w:r>
              <w:rPr>
                <w:rFonts w:ascii="Calibri" w:eastAsia="Calibri" w:hAnsi="Calibri" w:cs="Calibri"/>
                <w:sz w:val="23"/>
              </w:rPr>
              <w:t>$178.76</w:t>
            </w:r>
          </w:p>
        </w:tc>
        <w:tc>
          <w:tcPr>
            <w:tcW w:w="1199" w:type="dxa"/>
            <w:tcBorders>
              <w:top w:val="single" w:sz="6" w:space="0" w:color="000000"/>
              <w:left w:val="single" w:sz="6" w:space="0" w:color="000000"/>
              <w:bottom w:val="single" w:sz="12" w:space="0" w:color="000000"/>
              <w:right w:val="single" w:sz="6" w:space="0" w:color="000000"/>
            </w:tcBorders>
          </w:tcPr>
          <w:p w14:paraId="2B5FA71E" w14:textId="77777777" w:rsidR="00AC4302" w:rsidRDefault="00AC4302" w:rsidP="005F3A0D">
            <w:pPr>
              <w:spacing w:line="259" w:lineRule="auto"/>
              <w:ind w:right="2"/>
              <w:jc w:val="center"/>
            </w:pPr>
            <w:r>
              <w:rPr>
                <w:rFonts w:ascii="Calibri" w:eastAsia="Calibri" w:hAnsi="Calibri" w:cs="Calibri"/>
                <w:sz w:val="23"/>
              </w:rPr>
              <w:t>$60.81</w:t>
            </w:r>
          </w:p>
        </w:tc>
        <w:tc>
          <w:tcPr>
            <w:tcW w:w="1117" w:type="dxa"/>
            <w:tcBorders>
              <w:top w:val="single" w:sz="6" w:space="0" w:color="000000"/>
              <w:left w:val="single" w:sz="6" w:space="0" w:color="000000"/>
              <w:bottom w:val="single" w:sz="12" w:space="0" w:color="000000"/>
              <w:right w:val="single" w:sz="12" w:space="0" w:color="000000"/>
            </w:tcBorders>
          </w:tcPr>
          <w:p w14:paraId="0F9B00DB" w14:textId="77777777" w:rsidR="00AC4302" w:rsidRDefault="00AC4302" w:rsidP="005F3A0D">
            <w:pPr>
              <w:spacing w:line="259" w:lineRule="auto"/>
              <w:ind w:left="5"/>
              <w:jc w:val="center"/>
            </w:pPr>
            <w:r>
              <w:rPr>
                <w:rFonts w:ascii="Calibri" w:eastAsia="Calibri" w:hAnsi="Calibri" w:cs="Calibri"/>
                <w:sz w:val="23"/>
              </w:rPr>
              <w:t>$178.76</w:t>
            </w:r>
          </w:p>
        </w:tc>
      </w:tr>
      <w:tr w:rsidR="00AC4302" w14:paraId="36EB8FBB" w14:textId="77777777" w:rsidTr="005F3A0D">
        <w:trPr>
          <w:trHeight w:val="307"/>
        </w:trPr>
        <w:tc>
          <w:tcPr>
            <w:tcW w:w="2032" w:type="dxa"/>
            <w:vMerge w:val="restart"/>
            <w:tcBorders>
              <w:top w:val="single" w:sz="12" w:space="0" w:color="000000"/>
              <w:left w:val="single" w:sz="6" w:space="0" w:color="000000"/>
              <w:bottom w:val="single" w:sz="12" w:space="0" w:color="000000"/>
              <w:right w:val="single" w:sz="12" w:space="0" w:color="000000"/>
            </w:tcBorders>
          </w:tcPr>
          <w:p w14:paraId="6DB9187A" w14:textId="372A75F1" w:rsidR="00AC4302" w:rsidRDefault="00AC4302" w:rsidP="005F3A0D">
            <w:pPr>
              <w:spacing w:line="259" w:lineRule="auto"/>
              <w:ind w:left="120" w:right="149" w:firstLine="150"/>
            </w:pPr>
            <w:r>
              <w:rPr>
                <w:rFonts w:ascii="Calibri" w:eastAsia="Calibri" w:hAnsi="Calibri" w:cs="Calibri"/>
                <w:sz w:val="23"/>
              </w:rPr>
              <w:t>% Increase for Seasonal vs year</w:t>
            </w:r>
            <w:r w:rsidR="00464213">
              <w:rPr>
                <w:rFonts w:ascii="Calibri" w:eastAsia="Calibri" w:hAnsi="Calibri" w:cs="Calibri"/>
                <w:sz w:val="23"/>
              </w:rPr>
              <w:t>-</w:t>
            </w:r>
            <w:r>
              <w:rPr>
                <w:rFonts w:ascii="Calibri" w:eastAsia="Calibri" w:hAnsi="Calibri" w:cs="Calibri"/>
                <w:sz w:val="23"/>
              </w:rPr>
              <w:t>round customers</w:t>
            </w:r>
          </w:p>
        </w:tc>
        <w:tc>
          <w:tcPr>
            <w:tcW w:w="1567" w:type="dxa"/>
            <w:tcBorders>
              <w:top w:val="single" w:sz="12" w:space="0" w:color="000000"/>
              <w:left w:val="single" w:sz="12" w:space="0" w:color="000000"/>
              <w:bottom w:val="single" w:sz="6" w:space="0" w:color="000000"/>
              <w:right w:val="single" w:sz="6" w:space="0" w:color="000000"/>
            </w:tcBorders>
          </w:tcPr>
          <w:p w14:paraId="70ECE685" w14:textId="77777777" w:rsidR="00AC4302" w:rsidRDefault="00AC4302" w:rsidP="005F3A0D">
            <w:pPr>
              <w:spacing w:line="259" w:lineRule="auto"/>
              <w:ind w:left="21"/>
              <w:jc w:val="center"/>
            </w:pPr>
            <w:r>
              <w:rPr>
                <w:rFonts w:ascii="Calibri" w:eastAsia="Calibri" w:hAnsi="Calibri" w:cs="Calibri"/>
                <w:sz w:val="23"/>
              </w:rPr>
              <w:t>50</w:t>
            </w:r>
          </w:p>
        </w:tc>
        <w:tc>
          <w:tcPr>
            <w:tcW w:w="1215" w:type="dxa"/>
            <w:tcBorders>
              <w:top w:val="single" w:sz="12" w:space="0" w:color="000000"/>
              <w:left w:val="single" w:sz="6" w:space="0" w:color="000000"/>
              <w:bottom w:val="single" w:sz="6" w:space="0" w:color="000000"/>
              <w:right w:val="single" w:sz="6" w:space="0" w:color="000000"/>
            </w:tcBorders>
          </w:tcPr>
          <w:p w14:paraId="4B54733A" w14:textId="77777777" w:rsidR="00AC4302" w:rsidRDefault="00AC4302" w:rsidP="005F3A0D">
            <w:pPr>
              <w:spacing w:line="259" w:lineRule="auto"/>
              <w:ind w:right="15"/>
              <w:jc w:val="center"/>
            </w:pPr>
            <w:r>
              <w:rPr>
                <w:rFonts w:ascii="Calibri" w:eastAsia="Calibri" w:hAnsi="Calibri" w:cs="Calibri"/>
                <w:sz w:val="23"/>
              </w:rPr>
              <w:t>0%</w:t>
            </w:r>
          </w:p>
        </w:tc>
        <w:tc>
          <w:tcPr>
            <w:tcW w:w="1125" w:type="dxa"/>
            <w:tcBorders>
              <w:top w:val="single" w:sz="12" w:space="0" w:color="000000"/>
              <w:left w:val="single" w:sz="6" w:space="0" w:color="000000"/>
              <w:bottom w:val="single" w:sz="6" w:space="0" w:color="000000"/>
              <w:right w:val="single" w:sz="6" w:space="0" w:color="000000"/>
            </w:tcBorders>
          </w:tcPr>
          <w:p w14:paraId="01D55C1B" w14:textId="77777777" w:rsidR="00AC4302" w:rsidRDefault="00AC4302" w:rsidP="005F3A0D">
            <w:pPr>
              <w:spacing w:line="259" w:lineRule="auto"/>
              <w:ind w:right="15"/>
              <w:jc w:val="center"/>
            </w:pPr>
            <w:r>
              <w:rPr>
                <w:rFonts w:ascii="Calibri" w:eastAsia="Calibri" w:hAnsi="Calibri" w:cs="Calibri"/>
                <w:sz w:val="23"/>
              </w:rPr>
              <w:t>0%</w:t>
            </w:r>
          </w:p>
        </w:tc>
        <w:tc>
          <w:tcPr>
            <w:tcW w:w="1199" w:type="dxa"/>
            <w:tcBorders>
              <w:top w:val="single" w:sz="12" w:space="0" w:color="000000"/>
              <w:left w:val="single" w:sz="6" w:space="0" w:color="000000"/>
              <w:bottom w:val="single" w:sz="6" w:space="0" w:color="000000"/>
              <w:right w:val="single" w:sz="6" w:space="0" w:color="000000"/>
            </w:tcBorders>
          </w:tcPr>
          <w:p w14:paraId="713B17BA" w14:textId="77777777" w:rsidR="00AC4302" w:rsidRDefault="00AC4302" w:rsidP="005F3A0D">
            <w:pPr>
              <w:spacing w:line="259" w:lineRule="auto"/>
              <w:ind w:right="15"/>
              <w:jc w:val="center"/>
            </w:pPr>
            <w:r>
              <w:rPr>
                <w:rFonts w:ascii="Calibri" w:eastAsia="Calibri" w:hAnsi="Calibri" w:cs="Calibri"/>
                <w:sz w:val="23"/>
              </w:rPr>
              <w:t>27%</w:t>
            </w:r>
          </w:p>
        </w:tc>
        <w:tc>
          <w:tcPr>
            <w:tcW w:w="1117" w:type="dxa"/>
            <w:tcBorders>
              <w:top w:val="single" w:sz="12" w:space="0" w:color="000000"/>
              <w:left w:val="single" w:sz="6" w:space="0" w:color="000000"/>
              <w:bottom w:val="single" w:sz="6" w:space="0" w:color="000000"/>
              <w:right w:val="single" w:sz="12" w:space="0" w:color="000000"/>
            </w:tcBorders>
          </w:tcPr>
          <w:p w14:paraId="030A22F4" w14:textId="77777777" w:rsidR="00AC4302" w:rsidRDefault="00AC4302" w:rsidP="005F3A0D">
            <w:pPr>
              <w:spacing w:line="259" w:lineRule="auto"/>
              <w:ind w:left="7"/>
              <w:jc w:val="center"/>
            </w:pPr>
            <w:r>
              <w:rPr>
                <w:rFonts w:ascii="Calibri" w:eastAsia="Calibri" w:hAnsi="Calibri" w:cs="Calibri"/>
                <w:sz w:val="23"/>
              </w:rPr>
              <w:t>23%</w:t>
            </w:r>
          </w:p>
        </w:tc>
      </w:tr>
      <w:tr w:rsidR="00AC4302" w14:paraId="74EFF2E8" w14:textId="77777777" w:rsidTr="005F3A0D">
        <w:trPr>
          <w:trHeight w:val="300"/>
        </w:trPr>
        <w:tc>
          <w:tcPr>
            <w:tcW w:w="0" w:type="auto"/>
            <w:vMerge/>
            <w:tcBorders>
              <w:top w:val="nil"/>
              <w:left w:val="single" w:sz="6" w:space="0" w:color="000000"/>
              <w:bottom w:val="nil"/>
              <w:right w:val="single" w:sz="12" w:space="0" w:color="000000"/>
            </w:tcBorders>
          </w:tcPr>
          <w:p w14:paraId="05F5CF68" w14:textId="77777777" w:rsidR="00AC4302" w:rsidRDefault="00AC4302" w:rsidP="005F3A0D">
            <w:pPr>
              <w:spacing w:after="160" w:line="259" w:lineRule="auto"/>
            </w:pPr>
          </w:p>
        </w:tc>
        <w:tc>
          <w:tcPr>
            <w:tcW w:w="1567" w:type="dxa"/>
            <w:tcBorders>
              <w:top w:val="single" w:sz="6" w:space="0" w:color="000000"/>
              <w:left w:val="single" w:sz="12" w:space="0" w:color="000000"/>
              <w:bottom w:val="single" w:sz="6" w:space="0" w:color="000000"/>
              <w:right w:val="single" w:sz="6" w:space="0" w:color="000000"/>
            </w:tcBorders>
          </w:tcPr>
          <w:p w14:paraId="4222846D" w14:textId="77777777" w:rsidR="00AC4302" w:rsidRDefault="00AC4302" w:rsidP="005F3A0D">
            <w:pPr>
              <w:spacing w:line="259" w:lineRule="auto"/>
              <w:ind w:left="6"/>
              <w:jc w:val="center"/>
            </w:pPr>
            <w:r>
              <w:rPr>
                <w:rFonts w:ascii="Calibri" w:eastAsia="Calibri" w:hAnsi="Calibri" w:cs="Calibri"/>
                <w:sz w:val="23"/>
              </w:rPr>
              <w:t>350</w:t>
            </w:r>
          </w:p>
        </w:tc>
        <w:tc>
          <w:tcPr>
            <w:tcW w:w="1215" w:type="dxa"/>
            <w:tcBorders>
              <w:top w:val="single" w:sz="6" w:space="0" w:color="000000"/>
              <w:left w:val="single" w:sz="6" w:space="0" w:color="000000"/>
              <w:bottom w:val="single" w:sz="6" w:space="0" w:color="000000"/>
              <w:right w:val="single" w:sz="6" w:space="0" w:color="000000"/>
            </w:tcBorders>
          </w:tcPr>
          <w:p w14:paraId="413F138D" w14:textId="77777777" w:rsidR="00AC4302" w:rsidRDefault="00AC4302" w:rsidP="005F3A0D">
            <w:pPr>
              <w:spacing w:line="259" w:lineRule="auto"/>
              <w:ind w:right="15"/>
              <w:jc w:val="center"/>
            </w:pPr>
            <w:r>
              <w:rPr>
                <w:rFonts w:ascii="Calibri" w:eastAsia="Calibri" w:hAnsi="Calibri" w:cs="Calibri"/>
                <w:sz w:val="23"/>
              </w:rPr>
              <w:t>0%</w:t>
            </w:r>
          </w:p>
        </w:tc>
        <w:tc>
          <w:tcPr>
            <w:tcW w:w="1125" w:type="dxa"/>
            <w:tcBorders>
              <w:top w:val="single" w:sz="6" w:space="0" w:color="000000"/>
              <w:left w:val="single" w:sz="6" w:space="0" w:color="000000"/>
              <w:bottom w:val="single" w:sz="6" w:space="0" w:color="000000"/>
              <w:right w:val="single" w:sz="6" w:space="0" w:color="000000"/>
            </w:tcBorders>
          </w:tcPr>
          <w:p w14:paraId="2BDDECC7" w14:textId="77777777" w:rsidR="00AC4302" w:rsidRDefault="00AC4302" w:rsidP="005F3A0D">
            <w:pPr>
              <w:spacing w:line="259" w:lineRule="auto"/>
              <w:ind w:right="15"/>
              <w:jc w:val="center"/>
            </w:pPr>
            <w:r>
              <w:rPr>
                <w:rFonts w:ascii="Calibri" w:eastAsia="Calibri" w:hAnsi="Calibri" w:cs="Calibri"/>
                <w:sz w:val="23"/>
              </w:rPr>
              <w:t>0%</w:t>
            </w:r>
          </w:p>
        </w:tc>
        <w:tc>
          <w:tcPr>
            <w:tcW w:w="1199" w:type="dxa"/>
            <w:tcBorders>
              <w:top w:val="single" w:sz="6" w:space="0" w:color="000000"/>
              <w:left w:val="single" w:sz="6" w:space="0" w:color="000000"/>
              <w:bottom w:val="single" w:sz="6" w:space="0" w:color="000000"/>
              <w:right w:val="single" w:sz="6" w:space="0" w:color="000000"/>
            </w:tcBorders>
          </w:tcPr>
          <w:p w14:paraId="7BD15EFD" w14:textId="77777777" w:rsidR="00AC4302" w:rsidRDefault="00AC4302" w:rsidP="005F3A0D">
            <w:pPr>
              <w:spacing w:line="259" w:lineRule="auto"/>
              <w:ind w:right="15"/>
              <w:jc w:val="center"/>
            </w:pPr>
            <w:r>
              <w:rPr>
                <w:rFonts w:ascii="Calibri" w:eastAsia="Calibri" w:hAnsi="Calibri" w:cs="Calibri"/>
                <w:sz w:val="23"/>
              </w:rPr>
              <w:t>39%</w:t>
            </w:r>
          </w:p>
        </w:tc>
        <w:tc>
          <w:tcPr>
            <w:tcW w:w="1117" w:type="dxa"/>
            <w:tcBorders>
              <w:top w:val="single" w:sz="6" w:space="0" w:color="000000"/>
              <w:left w:val="single" w:sz="6" w:space="0" w:color="000000"/>
              <w:bottom w:val="single" w:sz="6" w:space="0" w:color="000000"/>
              <w:right w:val="single" w:sz="12" w:space="0" w:color="000000"/>
            </w:tcBorders>
          </w:tcPr>
          <w:p w14:paraId="2A3601CE" w14:textId="77777777" w:rsidR="00AC4302" w:rsidRDefault="00AC4302" w:rsidP="005F3A0D">
            <w:pPr>
              <w:spacing w:line="259" w:lineRule="auto"/>
              <w:ind w:left="7"/>
              <w:jc w:val="center"/>
            </w:pPr>
            <w:r>
              <w:rPr>
                <w:rFonts w:ascii="Calibri" w:eastAsia="Calibri" w:hAnsi="Calibri" w:cs="Calibri"/>
                <w:sz w:val="23"/>
              </w:rPr>
              <w:t>19%</w:t>
            </w:r>
          </w:p>
        </w:tc>
      </w:tr>
      <w:tr w:rsidR="00AC4302" w14:paraId="18357118" w14:textId="77777777" w:rsidTr="005F3A0D">
        <w:trPr>
          <w:trHeight w:val="307"/>
        </w:trPr>
        <w:tc>
          <w:tcPr>
            <w:tcW w:w="0" w:type="auto"/>
            <w:vMerge/>
            <w:tcBorders>
              <w:top w:val="nil"/>
              <w:left w:val="single" w:sz="6" w:space="0" w:color="000000"/>
              <w:bottom w:val="single" w:sz="12" w:space="0" w:color="000000"/>
              <w:right w:val="single" w:sz="12" w:space="0" w:color="000000"/>
            </w:tcBorders>
          </w:tcPr>
          <w:p w14:paraId="34469B87" w14:textId="77777777" w:rsidR="00AC4302" w:rsidRDefault="00AC4302" w:rsidP="005F3A0D">
            <w:pPr>
              <w:spacing w:after="160" w:line="259" w:lineRule="auto"/>
            </w:pPr>
          </w:p>
        </w:tc>
        <w:tc>
          <w:tcPr>
            <w:tcW w:w="1567" w:type="dxa"/>
            <w:tcBorders>
              <w:top w:val="single" w:sz="6" w:space="0" w:color="000000"/>
              <w:left w:val="single" w:sz="12" w:space="0" w:color="000000"/>
              <w:bottom w:val="single" w:sz="12" w:space="0" w:color="000000"/>
              <w:right w:val="single" w:sz="6" w:space="0" w:color="000000"/>
            </w:tcBorders>
          </w:tcPr>
          <w:p w14:paraId="13C95D97" w14:textId="77777777" w:rsidR="00AC4302" w:rsidRDefault="00AC4302" w:rsidP="005F3A0D">
            <w:pPr>
              <w:spacing w:line="259" w:lineRule="auto"/>
              <w:ind w:left="21"/>
              <w:jc w:val="center"/>
            </w:pPr>
            <w:r>
              <w:rPr>
                <w:rFonts w:ascii="Calibri" w:eastAsia="Calibri" w:hAnsi="Calibri" w:cs="Calibri"/>
                <w:sz w:val="23"/>
              </w:rPr>
              <w:t>1000</w:t>
            </w:r>
          </w:p>
        </w:tc>
        <w:tc>
          <w:tcPr>
            <w:tcW w:w="1215" w:type="dxa"/>
            <w:tcBorders>
              <w:top w:val="single" w:sz="6" w:space="0" w:color="000000"/>
              <w:left w:val="single" w:sz="6" w:space="0" w:color="000000"/>
              <w:bottom w:val="single" w:sz="12" w:space="0" w:color="000000"/>
              <w:right w:val="single" w:sz="6" w:space="0" w:color="000000"/>
            </w:tcBorders>
          </w:tcPr>
          <w:p w14:paraId="2F1831A3" w14:textId="77777777" w:rsidR="00AC4302" w:rsidRDefault="00AC4302" w:rsidP="005F3A0D">
            <w:pPr>
              <w:spacing w:line="259" w:lineRule="auto"/>
              <w:ind w:right="15"/>
              <w:jc w:val="center"/>
            </w:pPr>
            <w:r>
              <w:rPr>
                <w:rFonts w:ascii="Calibri" w:eastAsia="Calibri" w:hAnsi="Calibri" w:cs="Calibri"/>
                <w:sz w:val="23"/>
              </w:rPr>
              <w:t>0%</w:t>
            </w:r>
          </w:p>
        </w:tc>
        <w:tc>
          <w:tcPr>
            <w:tcW w:w="1125" w:type="dxa"/>
            <w:tcBorders>
              <w:top w:val="single" w:sz="6" w:space="0" w:color="000000"/>
              <w:left w:val="single" w:sz="6" w:space="0" w:color="000000"/>
              <w:bottom w:val="single" w:sz="12" w:space="0" w:color="000000"/>
              <w:right w:val="single" w:sz="6" w:space="0" w:color="000000"/>
            </w:tcBorders>
          </w:tcPr>
          <w:p w14:paraId="4E351481" w14:textId="77777777" w:rsidR="00AC4302" w:rsidRDefault="00AC4302" w:rsidP="005F3A0D">
            <w:pPr>
              <w:spacing w:line="259" w:lineRule="auto"/>
              <w:ind w:right="15"/>
              <w:jc w:val="center"/>
            </w:pPr>
            <w:r>
              <w:rPr>
                <w:rFonts w:ascii="Calibri" w:eastAsia="Calibri" w:hAnsi="Calibri" w:cs="Calibri"/>
                <w:sz w:val="23"/>
              </w:rPr>
              <w:t>0%</w:t>
            </w:r>
          </w:p>
        </w:tc>
        <w:tc>
          <w:tcPr>
            <w:tcW w:w="1199" w:type="dxa"/>
            <w:tcBorders>
              <w:top w:val="single" w:sz="6" w:space="0" w:color="000000"/>
              <w:left w:val="single" w:sz="6" w:space="0" w:color="000000"/>
              <w:bottom w:val="single" w:sz="12" w:space="0" w:color="000000"/>
              <w:right w:val="single" w:sz="6" w:space="0" w:color="000000"/>
            </w:tcBorders>
          </w:tcPr>
          <w:p w14:paraId="65606DFB" w14:textId="77777777" w:rsidR="00AC4302" w:rsidRDefault="00AC4302" w:rsidP="005F3A0D">
            <w:pPr>
              <w:spacing w:line="259" w:lineRule="auto"/>
              <w:ind w:right="15"/>
              <w:jc w:val="center"/>
            </w:pPr>
            <w:r>
              <w:rPr>
                <w:rFonts w:ascii="Calibri" w:eastAsia="Calibri" w:hAnsi="Calibri" w:cs="Calibri"/>
                <w:sz w:val="23"/>
              </w:rPr>
              <w:t>65%</w:t>
            </w:r>
          </w:p>
        </w:tc>
        <w:tc>
          <w:tcPr>
            <w:tcW w:w="1117" w:type="dxa"/>
            <w:tcBorders>
              <w:top w:val="single" w:sz="6" w:space="0" w:color="000000"/>
              <w:left w:val="single" w:sz="6" w:space="0" w:color="000000"/>
              <w:bottom w:val="single" w:sz="12" w:space="0" w:color="000000"/>
              <w:right w:val="single" w:sz="12" w:space="0" w:color="000000"/>
            </w:tcBorders>
          </w:tcPr>
          <w:p w14:paraId="3F681D36" w14:textId="77777777" w:rsidR="00AC4302" w:rsidRDefault="00AC4302" w:rsidP="005F3A0D">
            <w:pPr>
              <w:spacing w:line="259" w:lineRule="auto"/>
              <w:ind w:left="7"/>
              <w:jc w:val="center"/>
            </w:pPr>
            <w:r>
              <w:rPr>
                <w:rFonts w:ascii="Calibri" w:eastAsia="Calibri" w:hAnsi="Calibri" w:cs="Calibri"/>
                <w:sz w:val="23"/>
              </w:rPr>
              <w:t>16%</w:t>
            </w:r>
          </w:p>
        </w:tc>
      </w:tr>
    </w:tbl>
    <w:p w14:paraId="5B957E80" w14:textId="1122DF47" w:rsidR="00AC4302" w:rsidRDefault="00AC4302"/>
    <w:p w14:paraId="01DC540E" w14:textId="48582A8D" w:rsidR="00AC4302" w:rsidRDefault="00AC4302"/>
    <w:p w14:paraId="31811861" w14:textId="7ED00B38" w:rsidR="00257AE3" w:rsidRDefault="004536C7">
      <w:r>
        <w:lastRenderedPageBreak/>
        <w:t xml:space="preserve">In my </w:t>
      </w:r>
      <w:r w:rsidR="00257AE3">
        <w:t xml:space="preserve">interrogatory </w:t>
      </w:r>
      <w:r w:rsidR="005B73D8">
        <w:t xml:space="preserve">of June 25, 2021, </w:t>
      </w:r>
      <w:r w:rsidR="00650357">
        <w:t xml:space="preserve">asking </w:t>
      </w:r>
      <w:r>
        <w:t>for updated information on the</w:t>
      </w:r>
      <w:r w:rsidR="00257AE3">
        <w:t xml:space="preserve">se </w:t>
      </w:r>
      <w:r w:rsidR="00327DA1">
        <w:t>tables</w:t>
      </w:r>
      <w:r w:rsidR="005B73D8">
        <w:t xml:space="preserve"> and </w:t>
      </w:r>
      <w:r w:rsidR="00257AE3">
        <w:t xml:space="preserve">a request for similar </w:t>
      </w:r>
      <w:r w:rsidR="00327DA1">
        <w:t>ones</w:t>
      </w:r>
      <w:r w:rsidR="00257AE3">
        <w:t xml:space="preserve"> </w:t>
      </w:r>
      <w:r>
        <w:t xml:space="preserve">for </w:t>
      </w:r>
      <w:r w:rsidR="00257AE3">
        <w:t xml:space="preserve">2022 to 2024, I was referred to Exhibit </w:t>
      </w:r>
      <w:r w:rsidR="005B73D8">
        <w:t>L</w:t>
      </w:r>
      <w:r w:rsidR="00257AE3">
        <w:t>-06-01 of Hydro One’s 2023 to 2027 Rate Application (EB-2021-0110, filed on August 5, 2021)</w:t>
      </w:r>
      <w:r w:rsidR="00F952A5">
        <w:t xml:space="preserve"> which </w:t>
      </w:r>
      <w:r w:rsidR="00327DA1">
        <w:t xml:space="preserve">apparently </w:t>
      </w:r>
      <w:r w:rsidR="00F952A5">
        <w:t>assum</w:t>
      </w:r>
      <w:r w:rsidR="00A7562E">
        <w:t>es</w:t>
      </w:r>
      <w:r w:rsidR="00F952A5">
        <w:t xml:space="preserve"> a 2023 implementation</w:t>
      </w:r>
      <w:r w:rsidR="00257AE3">
        <w:t xml:space="preserve">. Unfortunately, Exhibit </w:t>
      </w:r>
      <w:r w:rsidR="00B04CC2">
        <w:t xml:space="preserve">L-06-01 </w:t>
      </w:r>
      <w:r w:rsidR="00257AE3">
        <w:t xml:space="preserve">did not contain information </w:t>
      </w:r>
      <w:r w:rsidR="00327DA1">
        <w:t xml:space="preserve">in a format </w:t>
      </w:r>
      <w:proofErr w:type="gramStart"/>
      <w:r w:rsidR="00257AE3">
        <w:t>similar to</w:t>
      </w:r>
      <w:proofErr w:type="gramEnd"/>
      <w:r w:rsidR="00257AE3">
        <w:t xml:space="preserve"> the above</w:t>
      </w:r>
      <w:r w:rsidR="00B04CC2">
        <w:t>, as different consumption levels were used</w:t>
      </w:r>
      <w:r w:rsidR="00374A53">
        <w:t xml:space="preserve"> in those tables</w:t>
      </w:r>
      <w:r w:rsidR="00B04CC2">
        <w:t>.</w:t>
      </w:r>
      <w:r w:rsidR="00257AE3">
        <w:t xml:space="preserve"> As such, I refer to the </w:t>
      </w:r>
      <w:r w:rsidR="00464213">
        <w:t xml:space="preserve">available </w:t>
      </w:r>
      <w:r w:rsidR="00257AE3">
        <w:t>data in Tables 3 and 4 above in my comments</w:t>
      </w:r>
      <w:r w:rsidR="00464213">
        <w:t xml:space="preserve"> to follow</w:t>
      </w:r>
      <w:r w:rsidR="006B73E6">
        <w:t xml:space="preserve">. While these amounts stand to be </w:t>
      </w:r>
      <w:r w:rsidR="00650357">
        <w:t xml:space="preserve">adjusted </w:t>
      </w:r>
      <w:r w:rsidR="006B73E6">
        <w:t xml:space="preserve">with </w:t>
      </w:r>
      <w:r w:rsidR="00B04CC2">
        <w:t xml:space="preserve">more current </w:t>
      </w:r>
      <w:r w:rsidR="006B73E6">
        <w:t>information, th</w:t>
      </w:r>
      <w:r w:rsidR="00374A53">
        <w:t>o</w:t>
      </w:r>
      <w:r w:rsidR="00B04CC2">
        <w:t>se</w:t>
      </w:r>
      <w:r w:rsidR="006B73E6">
        <w:t xml:space="preserve"> adjustments would not likely be </w:t>
      </w:r>
      <w:r w:rsidR="00B04CC2">
        <w:t xml:space="preserve">of </w:t>
      </w:r>
      <w:r w:rsidR="006B73E6">
        <w:t xml:space="preserve">material </w:t>
      </w:r>
      <w:r w:rsidR="00B04CC2">
        <w:t xml:space="preserve">consequence </w:t>
      </w:r>
      <w:r w:rsidR="006B73E6">
        <w:t xml:space="preserve">to the </w:t>
      </w:r>
      <w:r w:rsidR="00374A53">
        <w:t xml:space="preserve">main </w:t>
      </w:r>
      <w:r w:rsidR="006B73E6">
        <w:t xml:space="preserve">point </w:t>
      </w:r>
      <w:r w:rsidR="00374A53">
        <w:t>here</w:t>
      </w:r>
      <w:r w:rsidR="006B73E6">
        <w:t>.</w:t>
      </w:r>
    </w:p>
    <w:p w14:paraId="051C273E" w14:textId="241A2003" w:rsidR="00257AE3" w:rsidRDefault="00257AE3"/>
    <w:p w14:paraId="194AC632" w14:textId="5FCAD543" w:rsidR="00257AE3" w:rsidRDefault="00464213">
      <w:r>
        <w:t xml:space="preserve">As the heading suggests, this data was prepared on the assumption that the elimination of the seasonal class was already in effect in 2021. On that basis, a low consumption </w:t>
      </w:r>
      <w:proofErr w:type="gramStart"/>
      <w:r>
        <w:t>residential  customer</w:t>
      </w:r>
      <w:proofErr w:type="gramEnd"/>
      <w:r>
        <w:t xml:space="preserve"> at 50 kWh monthly would pay the following each month depending on their classification:</w:t>
      </w:r>
    </w:p>
    <w:p w14:paraId="73B082A9" w14:textId="5591886D" w:rsidR="00464213" w:rsidRDefault="00464213"/>
    <w:p w14:paraId="4B2BA154" w14:textId="021164CB" w:rsidR="00464213" w:rsidRDefault="00464213">
      <w:r>
        <w:tab/>
        <w:t>Year-round R1 (medium density) class:</w:t>
      </w:r>
      <w:r w:rsidR="004D449D">
        <w:t xml:space="preserve"> </w:t>
      </w:r>
      <w:proofErr w:type="spellStart"/>
      <w:r w:rsidR="004D449D">
        <w:t>ie</w:t>
      </w:r>
      <w:proofErr w:type="spellEnd"/>
      <w:r w:rsidR="004D449D">
        <w:t xml:space="preserve">. </w:t>
      </w:r>
      <w:proofErr w:type="spellStart"/>
      <w:r w:rsidR="004D449D">
        <w:t>neighbour</w:t>
      </w:r>
      <w:proofErr w:type="spellEnd"/>
      <w:r w:rsidR="004D449D">
        <w:t xml:space="preserve"> </w:t>
      </w:r>
      <w:r w:rsidR="00B04CC2">
        <w:t>nearby</w:t>
      </w:r>
      <w:r w:rsidR="00B04CC2">
        <w:tab/>
      </w:r>
      <w:r w:rsidR="004D449D">
        <w:t xml:space="preserve"> </w:t>
      </w:r>
      <w:r w:rsidR="004D449D">
        <w:tab/>
      </w:r>
      <w:r>
        <w:t xml:space="preserve">$  </w:t>
      </w:r>
      <w:r w:rsidR="00EB5C2B">
        <w:t xml:space="preserve"> </w:t>
      </w:r>
      <w:r>
        <w:t>45.27</w:t>
      </w:r>
    </w:p>
    <w:p w14:paraId="20AC6601" w14:textId="7B219D61" w:rsidR="00464213" w:rsidRDefault="00464213">
      <w:r>
        <w:tab/>
        <w:t>R1 – Seasonal</w:t>
      </w:r>
      <w:r w:rsidR="004D449D">
        <w:t xml:space="preserve">:  </w:t>
      </w:r>
      <w:proofErr w:type="spellStart"/>
      <w:proofErr w:type="gramStart"/>
      <w:r w:rsidR="004D449D">
        <w:t>ie</w:t>
      </w:r>
      <w:proofErr w:type="spellEnd"/>
      <w:proofErr w:type="gramEnd"/>
      <w:r w:rsidR="004D449D">
        <w:t xml:space="preserve"> </w:t>
      </w:r>
      <w:r w:rsidR="00BE5BE2">
        <w:t xml:space="preserve">another </w:t>
      </w:r>
      <w:proofErr w:type="spellStart"/>
      <w:r w:rsidR="004D449D">
        <w:t>neighbour</w:t>
      </w:r>
      <w:proofErr w:type="spellEnd"/>
      <w:r w:rsidR="004D449D">
        <w:t xml:space="preserve"> </w:t>
      </w:r>
      <w:r w:rsidR="00B04CC2">
        <w:t>nearby</w:t>
      </w:r>
      <w:r w:rsidR="00B04CC2">
        <w:tab/>
      </w:r>
      <w:r>
        <w:tab/>
      </w:r>
      <w:r>
        <w:tab/>
      </w:r>
      <w:r>
        <w:tab/>
        <w:t xml:space="preserve">$  </w:t>
      </w:r>
      <w:r w:rsidR="00EB5C2B">
        <w:t xml:space="preserve"> </w:t>
      </w:r>
      <w:r>
        <w:t>55.85</w:t>
      </w:r>
    </w:p>
    <w:p w14:paraId="34EBA28C" w14:textId="5DD70D0A" w:rsidR="00464213" w:rsidRDefault="00464213">
      <w:r>
        <w:tab/>
        <w:t>Year-round</w:t>
      </w:r>
      <w:r w:rsidR="00EB5C2B">
        <w:t xml:space="preserve"> R2 (low density) class</w:t>
      </w:r>
      <w:r w:rsidR="004D449D">
        <w:t xml:space="preserve">:   </w:t>
      </w:r>
      <w:proofErr w:type="spellStart"/>
      <w:proofErr w:type="gramStart"/>
      <w:r w:rsidR="004D449D">
        <w:t>ie</w:t>
      </w:r>
      <w:proofErr w:type="spellEnd"/>
      <w:proofErr w:type="gramEnd"/>
      <w:r w:rsidR="004D449D">
        <w:t xml:space="preserve"> immediate </w:t>
      </w:r>
      <w:proofErr w:type="spellStart"/>
      <w:r w:rsidR="004D449D">
        <w:t>neighbour</w:t>
      </w:r>
      <w:proofErr w:type="spellEnd"/>
      <w:r w:rsidR="004D449D">
        <w:t xml:space="preserve"> </w:t>
      </w:r>
      <w:r w:rsidR="00EB5C2B">
        <w:tab/>
      </w:r>
      <w:r w:rsidR="00EB5C2B">
        <w:tab/>
        <w:t>$   45.36</w:t>
      </w:r>
    </w:p>
    <w:p w14:paraId="29390927" w14:textId="00CD83A3" w:rsidR="00EB5C2B" w:rsidRDefault="00EB5C2B">
      <w:r>
        <w:tab/>
        <w:t>R2 – Seasonal</w:t>
      </w:r>
      <w:r>
        <w:tab/>
      </w:r>
      <w:r w:rsidR="004D449D">
        <w:tab/>
      </w:r>
      <w:r w:rsidR="004D449D">
        <w:tab/>
      </w:r>
      <w:r w:rsidR="004D449D">
        <w:tab/>
      </w:r>
      <w:r w:rsidR="004D449D">
        <w:tab/>
      </w:r>
      <w:r>
        <w:tab/>
      </w:r>
      <w:r>
        <w:tab/>
      </w:r>
      <w:r>
        <w:tab/>
        <w:t>$ 118.92</w:t>
      </w:r>
    </w:p>
    <w:p w14:paraId="1AC8746E" w14:textId="77777777" w:rsidR="00257AE3" w:rsidRDefault="00257AE3"/>
    <w:p w14:paraId="53F39948" w14:textId="24C8190C" w:rsidR="00FE0265" w:rsidRDefault="00EB5C2B">
      <w:r>
        <w:t xml:space="preserve">The seasonal customer moving to the R2 low density class would end up with a </w:t>
      </w:r>
      <w:r w:rsidRPr="00B04CC2">
        <w:t>monthly</w:t>
      </w:r>
      <w:r>
        <w:t xml:space="preserve"> hydro bill </w:t>
      </w:r>
      <w:r w:rsidR="00B04CC2">
        <w:t xml:space="preserve">that is </w:t>
      </w:r>
      <w:r>
        <w:t>113% higher than h</w:t>
      </w:r>
      <w:r w:rsidR="006B73E6">
        <w:t>er</w:t>
      </w:r>
      <w:r>
        <w:t>/h</w:t>
      </w:r>
      <w:r w:rsidR="006B73E6">
        <w:t>is</w:t>
      </w:r>
      <w:r>
        <w:t xml:space="preserve"> R1 counterpart, and 16</w:t>
      </w:r>
      <w:r w:rsidR="006B73E6">
        <w:t xml:space="preserve">2% higher than his/her year-round counterpart in either the R1 or R2 class. </w:t>
      </w:r>
      <w:r w:rsidR="00374A53">
        <w:t>O</w:t>
      </w:r>
      <w:r w:rsidR="0072360E">
        <w:t>nce the seasonal class elimination is fully transitioned</w:t>
      </w:r>
      <w:r w:rsidR="006B73E6">
        <w:t xml:space="preserve">, this would amount to the R2 seasonal customer paying over $7,500 more </w:t>
      </w:r>
      <w:r w:rsidR="00374A53">
        <w:t xml:space="preserve">over ten years </w:t>
      </w:r>
      <w:r w:rsidR="006B73E6">
        <w:t>than her/his R1 seasonal counterpart</w:t>
      </w:r>
      <w:r w:rsidR="00F52B52">
        <w:t xml:space="preserve"> (</w:t>
      </w:r>
      <w:proofErr w:type="gramStart"/>
      <w:r w:rsidR="00374A53">
        <w:t>i.e.</w:t>
      </w:r>
      <w:proofErr w:type="gramEnd"/>
      <w:r w:rsidR="00374A53">
        <w:t xml:space="preserve"> </w:t>
      </w:r>
      <w:r w:rsidR="00F52B52">
        <w:t>h</w:t>
      </w:r>
      <w:r w:rsidR="0072360E">
        <w:t>is</w:t>
      </w:r>
      <w:r w:rsidR="00F52B52">
        <w:t>/h</w:t>
      </w:r>
      <w:r w:rsidR="0072360E">
        <w:t>er</w:t>
      </w:r>
      <w:r w:rsidR="00F52B52">
        <w:t xml:space="preserve"> </w:t>
      </w:r>
      <w:proofErr w:type="spellStart"/>
      <w:r w:rsidR="00F52B52">
        <w:t>neighbour</w:t>
      </w:r>
      <w:proofErr w:type="spellEnd"/>
      <w:r w:rsidR="00F52B52">
        <w:t xml:space="preserve"> nearby)</w:t>
      </w:r>
      <w:r w:rsidR="006B73E6">
        <w:t xml:space="preserve">, and over $8,800 more </w:t>
      </w:r>
      <w:r w:rsidR="00374A53">
        <w:t xml:space="preserve">over ten years </w:t>
      </w:r>
      <w:r w:rsidR="006B73E6">
        <w:t>than his/her year-round counterpart in either the R1 or R2 class</w:t>
      </w:r>
      <w:r w:rsidR="00F52B52">
        <w:t xml:space="preserve"> (h</w:t>
      </w:r>
      <w:r w:rsidR="0072360E">
        <w:t>er</w:t>
      </w:r>
      <w:r w:rsidR="00F52B52">
        <w:t>/h</w:t>
      </w:r>
      <w:r w:rsidR="0072360E">
        <w:t>is</w:t>
      </w:r>
      <w:r w:rsidR="00F52B52">
        <w:t xml:space="preserve"> immediate </w:t>
      </w:r>
      <w:proofErr w:type="spellStart"/>
      <w:r w:rsidR="00F52B52">
        <w:t>neighbour</w:t>
      </w:r>
      <w:proofErr w:type="spellEnd"/>
      <w:r w:rsidR="00F52B52">
        <w:t>).</w:t>
      </w:r>
    </w:p>
    <w:p w14:paraId="045F02A3" w14:textId="4BF4EC86" w:rsidR="00B04CC2" w:rsidRDefault="00B04CC2"/>
    <w:p w14:paraId="630E60D3" w14:textId="6150389D" w:rsidR="00B04CC2" w:rsidRDefault="00D243DB" w:rsidP="00B04CC2">
      <w:r>
        <w:t>A</w:t>
      </w:r>
      <w:r w:rsidR="00B04CC2">
        <w:t xml:space="preserve">t </w:t>
      </w:r>
      <w:r>
        <w:t xml:space="preserve">the </w:t>
      </w:r>
      <w:r w:rsidR="00B04CC2">
        <w:t xml:space="preserve">medium level consumption </w:t>
      </w:r>
      <w:r>
        <w:t xml:space="preserve">example provided in </w:t>
      </w:r>
      <w:r w:rsidR="00F52B52">
        <w:t xml:space="preserve">Hydro One’s </w:t>
      </w:r>
      <w:r w:rsidR="00374A53">
        <w:t>tables</w:t>
      </w:r>
      <w:r w:rsidR="0072360E">
        <w:t xml:space="preserve"> above</w:t>
      </w:r>
      <w:r>
        <w:t xml:space="preserve">, the results are not as stark but </w:t>
      </w:r>
      <w:r w:rsidR="00B04CC2">
        <w:t>residential customer</w:t>
      </w:r>
      <w:r>
        <w:t>s</w:t>
      </w:r>
      <w:r w:rsidR="00B04CC2">
        <w:t xml:space="preserve"> at 350 kWh monthly would </w:t>
      </w:r>
      <w:r>
        <w:t xml:space="preserve">still see substantial differences in the </w:t>
      </w:r>
      <w:proofErr w:type="gramStart"/>
      <w:r>
        <w:t>amount</w:t>
      </w:r>
      <w:proofErr w:type="gramEnd"/>
      <w:r>
        <w:t xml:space="preserve"> they </w:t>
      </w:r>
      <w:r w:rsidR="00F52B52">
        <w:t xml:space="preserve">would </w:t>
      </w:r>
      <w:r w:rsidR="00B04CC2">
        <w:t xml:space="preserve">pay </w:t>
      </w:r>
      <w:r>
        <w:t>e</w:t>
      </w:r>
      <w:r w:rsidR="00B04CC2">
        <w:t>ach month depending on their classification</w:t>
      </w:r>
      <w:r w:rsidR="00F52B52">
        <w:t xml:space="preserve"> status as detailed below</w:t>
      </w:r>
      <w:r w:rsidR="00B04CC2">
        <w:t>:</w:t>
      </w:r>
    </w:p>
    <w:p w14:paraId="39A55951" w14:textId="77777777" w:rsidR="00B04CC2" w:rsidRDefault="00B04CC2" w:rsidP="00B04CC2"/>
    <w:p w14:paraId="17604A07" w14:textId="77777777" w:rsidR="00B04CC2" w:rsidRDefault="00B04CC2" w:rsidP="00B04CC2">
      <w:r>
        <w:tab/>
        <w:t xml:space="preserve">Year-round R1 (medium density) class: </w:t>
      </w:r>
      <w:proofErr w:type="spellStart"/>
      <w:r>
        <w:t>ie</w:t>
      </w:r>
      <w:proofErr w:type="spellEnd"/>
      <w:r>
        <w:t xml:space="preserve">. </w:t>
      </w:r>
      <w:proofErr w:type="spellStart"/>
      <w:r>
        <w:t>neighbour</w:t>
      </w:r>
      <w:proofErr w:type="spellEnd"/>
      <w:r>
        <w:t xml:space="preserve"> nearby</w:t>
      </w:r>
      <w:r>
        <w:tab/>
        <w:t xml:space="preserve"> </w:t>
      </w:r>
      <w:r>
        <w:tab/>
        <w:t>$   79.48</w:t>
      </w:r>
    </w:p>
    <w:p w14:paraId="64049A99" w14:textId="77777777" w:rsidR="00B04CC2" w:rsidRDefault="00B04CC2" w:rsidP="00B04CC2">
      <w:r>
        <w:tab/>
        <w:t xml:space="preserve">R1 – Seasonal:  </w:t>
      </w:r>
      <w:proofErr w:type="spellStart"/>
      <w:proofErr w:type="gramStart"/>
      <w:r>
        <w:t>ie</w:t>
      </w:r>
      <w:proofErr w:type="spellEnd"/>
      <w:proofErr w:type="gramEnd"/>
      <w:r>
        <w:t xml:space="preserve"> another </w:t>
      </w:r>
      <w:proofErr w:type="spellStart"/>
      <w:r>
        <w:t>neighbour</w:t>
      </w:r>
      <w:proofErr w:type="spellEnd"/>
      <w:r>
        <w:t xml:space="preserve"> nearby</w:t>
      </w:r>
      <w:r>
        <w:tab/>
      </w:r>
      <w:r>
        <w:tab/>
      </w:r>
      <w:r>
        <w:tab/>
      </w:r>
      <w:r>
        <w:tab/>
        <w:t>$   94.67</w:t>
      </w:r>
    </w:p>
    <w:p w14:paraId="1FABD84B" w14:textId="77777777" w:rsidR="00B04CC2" w:rsidRDefault="00B04CC2" w:rsidP="00B04CC2">
      <w:r>
        <w:tab/>
        <w:t xml:space="preserve">Year-round R2 (low density) class:   </w:t>
      </w:r>
      <w:proofErr w:type="spellStart"/>
      <w:proofErr w:type="gramStart"/>
      <w:r>
        <w:t>ie</w:t>
      </w:r>
      <w:proofErr w:type="spellEnd"/>
      <w:proofErr w:type="gramEnd"/>
      <w:r>
        <w:t xml:space="preserve"> immediate </w:t>
      </w:r>
      <w:proofErr w:type="spellStart"/>
      <w:r>
        <w:t>neighbour</w:t>
      </w:r>
      <w:proofErr w:type="spellEnd"/>
      <w:r>
        <w:t xml:space="preserve"> </w:t>
      </w:r>
      <w:r>
        <w:tab/>
      </w:r>
      <w:r>
        <w:tab/>
        <w:t>$   80.15</w:t>
      </w:r>
    </w:p>
    <w:p w14:paraId="1E9580A0" w14:textId="77777777" w:rsidR="00B04CC2" w:rsidRDefault="00B04CC2" w:rsidP="00B04CC2">
      <w:r>
        <w:tab/>
        <w:t>R2 – Seasonal</w:t>
      </w:r>
      <w:r>
        <w:tab/>
      </w:r>
      <w:r>
        <w:tab/>
      </w:r>
      <w:r>
        <w:tab/>
      </w:r>
      <w:r>
        <w:tab/>
      </w:r>
      <w:r>
        <w:tab/>
      </w:r>
      <w:r>
        <w:tab/>
      </w:r>
      <w:r>
        <w:tab/>
      </w:r>
      <w:r>
        <w:tab/>
        <w:t>$ 161.36</w:t>
      </w:r>
    </w:p>
    <w:p w14:paraId="0E22AB32" w14:textId="77777777" w:rsidR="00B04CC2" w:rsidRDefault="00B04CC2"/>
    <w:p w14:paraId="39F27045" w14:textId="24C9D36C" w:rsidR="00257AE3" w:rsidRDefault="00257AE3"/>
    <w:p w14:paraId="5E086883" w14:textId="0C8854DF" w:rsidR="009D5EAF" w:rsidRDefault="00D243DB">
      <w:r>
        <w:t xml:space="preserve">The OEB has made it very clear that the 2 </w:t>
      </w:r>
      <w:r w:rsidR="009D5EAF">
        <w:t xml:space="preserve">programs </w:t>
      </w:r>
      <w:r w:rsidR="00374A53">
        <w:t>responsible for t</w:t>
      </w:r>
      <w:r>
        <w:t xml:space="preserve">his </w:t>
      </w:r>
      <w:r w:rsidR="009D5EAF">
        <w:t xml:space="preserve">wide </w:t>
      </w:r>
      <w:r>
        <w:t xml:space="preserve">difference </w:t>
      </w:r>
      <w:r w:rsidR="009D5EAF">
        <w:t>in end</w:t>
      </w:r>
      <w:r w:rsidR="00F52B52">
        <w:t>-</w:t>
      </w:r>
      <w:r w:rsidR="009D5EAF">
        <w:t xml:space="preserve">results stem from factors beyond their scope. At page 16 of the OEB’s Decision and Order </w:t>
      </w:r>
      <w:r w:rsidR="00130B03">
        <w:t xml:space="preserve">(the Order) </w:t>
      </w:r>
      <w:r w:rsidR="009D5EAF">
        <w:t xml:space="preserve">in this matter dated September 17, 2020, it is stated </w:t>
      </w:r>
      <w:r>
        <w:t>that</w:t>
      </w:r>
      <w:r w:rsidR="009D5EAF">
        <w:t>:</w:t>
      </w:r>
    </w:p>
    <w:p w14:paraId="6B878DDE" w14:textId="77777777" w:rsidR="009D5EAF" w:rsidRDefault="009D5EAF"/>
    <w:p w14:paraId="239C6D14" w14:textId="0D13A084" w:rsidR="00D243DB" w:rsidRDefault="00D243DB" w:rsidP="009D5EAF">
      <w:pPr>
        <w:ind w:left="720"/>
        <w:rPr>
          <w:i/>
          <w:iCs/>
        </w:rPr>
      </w:pPr>
      <w:r w:rsidRPr="009D5EAF">
        <w:rPr>
          <w:i/>
          <w:iCs/>
        </w:rPr>
        <w:t>As with RRRP, eligibility for relief under the DRP is provided for by provincial regulation and is not within the OEB’s mandate.</w:t>
      </w:r>
    </w:p>
    <w:p w14:paraId="6EC7695F" w14:textId="73226143" w:rsidR="009D5EAF" w:rsidRDefault="009D5EAF" w:rsidP="009D5EAF">
      <w:pPr>
        <w:rPr>
          <w:i/>
          <w:iCs/>
        </w:rPr>
      </w:pPr>
    </w:p>
    <w:p w14:paraId="08FA3C02" w14:textId="010B4214" w:rsidR="009D5EAF" w:rsidRPr="009D5EAF" w:rsidRDefault="009D5EAF" w:rsidP="009D5EAF">
      <w:r>
        <w:t xml:space="preserve">Be that as it may, it’s hard to envisage an effective communications strategy that doesn’t directly deal with and address these important components in the determination of the vastly different hydro bills that will emerge upon full implementation for different classes of residential </w:t>
      </w:r>
      <w:r w:rsidR="00F52B52">
        <w:t xml:space="preserve">hydro </w:t>
      </w:r>
      <w:r>
        <w:t xml:space="preserve">customers. </w:t>
      </w:r>
    </w:p>
    <w:p w14:paraId="0A03A4A8" w14:textId="77777777" w:rsidR="00D243DB" w:rsidRPr="009D5EAF" w:rsidRDefault="00D243DB">
      <w:pPr>
        <w:rPr>
          <w:i/>
          <w:iCs/>
        </w:rPr>
      </w:pPr>
    </w:p>
    <w:p w14:paraId="000000B1" w14:textId="2868E11E" w:rsidR="00240D77" w:rsidRPr="007C0E61" w:rsidRDefault="007C0E61" w:rsidP="006B73E6">
      <w:pPr>
        <w:rPr>
          <w:i/>
          <w:u w:val="single"/>
        </w:rPr>
      </w:pPr>
      <w:bookmarkStart w:id="0" w:name="_Hlk81473623"/>
      <w:r w:rsidRPr="007C0E61">
        <w:rPr>
          <w:iCs/>
          <w:u w:val="single"/>
        </w:rPr>
        <w:t>2.</w:t>
      </w:r>
      <w:r w:rsidR="00EB2AA2">
        <w:rPr>
          <w:iCs/>
          <w:u w:val="single"/>
        </w:rPr>
        <w:t xml:space="preserve"> </w:t>
      </w:r>
      <w:r w:rsidRPr="007C0E61">
        <w:rPr>
          <w:iCs/>
          <w:u w:val="single"/>
        </w:rPr>
        <w:t>Diverse Views by the Parties</w:t>
      </w:r>
      <w:r w:rsidR="00FB09DA" w:rsidRPr="007C0E61">
        <w:rPr>
          <w:i/>
          <w:u w:val="single"/>
        </w:rPr>
        <w:t xml:space="preserve"> </w:t>
      </w:r>
    </w:p>
    <w:bookmarkEnd w:id="0"/>
    <w:p w14:paraId="4C2E3492" w14:textId="23A3AF4A" w:rsidR="007541D1" w:rsidRDefault="007541D1" w:rsidP="007541D1">
      <w:pPr>
        <w:rPr>
          <w:i/>
        </w:rPr>
      </w:pPr>
    </w:p>
    <w:p w14:paraId="322CD254" w14:textId="43623AE4" w:rsidR="0072360E" w:rsidRDefault="008A5B60">
      <w:r>
        <w:t>One of the difficulties</w:t>
      </w:r>
      <w:r w:rsidR="00736E77">
        <w:t xml:space="preserve"> </w:t>
      </w:r>
      <w:r w:rsidR="006B73E6">
        <w:t xml:space="preserve">in communications going forward </w:t>
      </w:r>
      <w:r>
        <w:t xml:space="preserve">involves the complexity of the subject matter, but that is </w:t>
      </w:r>
      <w:r w:rsidR="00454F70">
        <w:t xml:space="preserve">certainly enhanced substantially </w:t>
      </w:r>
      <w:r>
        <w:t>by</w:t>
      </w:r>
      <w:r w:rsidR="0072360E">
        <w:t>:</w:t>
      </w:r>
    </w:p>
    <w:p w14:paraId="1130E714" w14:textId="4C1966C8" w:rsidR="0072360E" w:rsidRDefault="008A5B60" w:rsidP="0072360E">
      <w:pPr>
        <w:pStyle w:val="ListParagraph"/>
        <w:numPr>
          <w:ilvl w:val="0"/>
          <w:numId w:val="16"/>
        </w:numPr>
      </w:pPr>
      <w:r>
        <w:t>the extensive diversity of views advanced</w:t>
      </w:r>
      <w:r w:rsidR="009509D6">
        <w:t xml:space="preserve"> </w:t>
      </w:r>
      <w:r w:rsidR="000143EF">
        <w:t xml:space="preserve">to date </w:t>
      </w:r>
      <w:r w:rsidR="00736E77">
        <w:t xml:space="preserve">in this matter </w:t>
      </w:r>
      <w:r w:rsidR="00EB2AA2">
        <w:t>by the various parties including many of the earlier intervenors</w:t>
      </w:r>
    </w:p>
    <w:p w14:paraId="03CAC064" w14:textId="77777777" w:rsidR="0072360E" w:rsidRDefault="00736E77" w:rsidP="0072360E">
      <w:pPr>
        <w:pStyle w:val="ListParagraph"/>
        <w:numPr>
          <w:ilvl w:val="0"/>
          <w:numId w:val="16"/>
        </w:numPr>
      </w:pPr>
      <w:r>
        <w:t>the</w:t>
      </w:r>
      <w:r w:rsidR="00B5332B">
        <w:t xml:space="preserve"> </w:t>
      </w:r>
      <w:r w:rsidR="009509D6">
        <w:t>lack of a consensus</w:t>
      </w:r>
      <w:r w:rsidR="000143EF">
        <w:t xml:space="preserve"> amongst key participants</w:t>
      </w:r>
      <w:r w:rsidR="00132B28">
        <w:t xml:space="preserve">, </w:t>
      </w:r>
      <w:r w:rsidR="00EB2AA2">
        <w:t>and</w:t>
      </w:r>
      <w:r w:rsidR="00B7337E">
        <w:t xml:space="preserve"> </w:t>
      </w:r>
    </w:p>
    <w:p w14:paraId="01B97688" w14:textId="5B7F39FC" w:rsidR="00EB2AA2" w:rsidRDefault="00EB2AA2" w:rsidP="0072360E">
      <w:pPr>
        <w:pStyle w:val="ListParagraph"/>
        <w:numPr>
          <w:ilvl w:val="0"/>
          <w:numId w:val="16"/>
        </w:numPr>
      </w:pPr>
      <w:r>
        <w:t xml:space="preserve">opposition to the OEB’s decision including those who originally advocated </w:t>
      </w:r>
      <w:r w:rsidR="00B7337E">
        <w:t xml:space="preserve">and </w:t>
      </w:r>
      <w:proofErr w:type="gramStart"/>
      <w:r w:rsidR="00B7337E">
        <w:t xml:space="preserve">supported </w:t>
      </w:r>
      <w:r>
        <w:t xml:space="preserve"> change</w:t>
      </w:r>
      <w:r w:rsidR="00454F70">
        <w:t>s</w:t>
      </w:r>
      <w:proofErr w:type="gramEnd"/>
      <w:r w:rsidR="00454F70">
        <w:t xml:space="preserve"> to the seasonal rate class</w:t>
      </w:r>
      <w:r>
        <w:t xml:space="preserve"> but </w:t>
      </w:r>
      <w:r w:rsidR="00B7337E">
        <w:t xml:space="preserve">subsequently </w:t>
      </w:r>
      <w:r>
        <w:t xml:space="preserve">reversed their position </w:t>
      </w:r>
      <w:r w:rsidR="00B7337E">
        <w:t>o</w:t>
      </w:r>
      <w:r>
        <w:t xml:space="preserve">n the </w:t>
      </w:r>
      <w:r w:rsidR="00454F70">
        <w:t xml:space="preserve">2015 </w:t>
      </w:r>
      <w:r>
        <w:t>decision th</w:t>
      </w:r>
      <w:r w:rsidR="00454F70">
        <w:t>at th</w:t>
      </w:r>
      <w:r>
        <w:t>e OEB had reached.</w:t>
      </w:r>
    </w:p>
    <w:p w14:paraId="303A0D06" w14:textId="77777777" w:rsidR="00EB2AA2" w:rsidRDefault="00EB2AA2"/>
    <w:p w14:paraId="571DF824" w14:textId="2C3C4740" w:rsidR="000143EF" w:rsidRDefault="008A5B60">
      <w:r>
        <w:t xml:space="preserve">Reading through </w:t>
      </w:r>
      <w:r w:rsidR="009509D6">
        <w:t xml:space="preserve">pages 8 to 13 of </w:t>
      </w:r>
      <w:r>
        <w:t xml:space="preserve">the </w:t>
      </w:r>
      <w:r w:rsidR="005E0A31">
        <w:t xml:space="preserve">OEB’s </w:t>
      </w:r>
      <w:r>
        <w:t xml:space="preserve">Order, </w:t>
      </w:r>
      <w:r w:rsidR="009509D6">
        <w:t>i</w:t>
      </w:r>
      <w:r w:rsidR="00FB09DA">
        <w:t xml:space="preserve">t </w:t>
      </w:r>
      <w:r w:rsidR="00736E77">
        <w:t>is a</w:t>
      </w:r>
      <w:r w:rsidR="009509D6">
        <w:t xml:space="preserve"> </w:t>
      </w:r>
      <w:r w:rsidR="00065DC7">
        <w:t xml:space="preserve">most </w:t>
      </w:r>
      <w:r w:rsidR="009509D6">
        <w:t xml:space="preserve">challenging task </w:t>
      </w:r>
      <w:r w:rsidR="0072360E">
        <w:t xml:space="preserve">for a non-technical person </w:t>
      </w:r>
      <w:r w:rsidR="005E0A31">
        <w:t xml:space="preserve">to reconcile </w:t>
      </w:r>
      <w:r w:rsidR="00FB09DA">
        <w:t xml:space="preserve">the various </w:t>
      </w:r>
      <w:r w:rsidR="00132B28">
        <w:t xml:space="preserve">positions and </w:t>
      </w:r>
      <w:r w:rsidR="00FB09DA">
        <w:t xml:space="preserve">arguments advanced </w:t>
      </w:r>
      <w:r w:rsidR="00B7337E">
        <w:t>in</w:t>
      </w:r>
      <w:r w:rsidR="00132B28">
        <w:t xml:space="preserve"> this matter </w:t>
      </w:r>
      <w:r w:rsidR="00FB09DA">
        <w:t xml:space="preserve">by </w:t>
      </w:r>
      <w:r w:rsidR="00736E77">
        <w:t xml:space="preserve">the likes of </w:t>
      </w:r>
      <w:r w:rsidR="009509D6">
        <w:t xml:space="preserve">Hydro One, </w:t>
      </w:r>
      <w:r w:rsidR="0072360E">
        <w:t xml:space="preserve">the </w:t>
      </w:r>
      <w:r w:rsidR="009509D6">
        <w:t xml:space="preserve">OEB staff, FOCA, CCC, and BLC, </w:t>
      </w:r>
      <w:r w:rsidR="000143EF">
        <w:t xml:space="preserve">as summarized by the </w:t>
      </w:r>
      <w:r w:rsidR="005E0A31">
        <w:t>OEB</w:t>
      </w:r>
      <w:r w:rsidR="00B7337E">
        <w:t xml:space="preserve"> on those pages</w:t>
      </w:r>
      <w:r w:rsidR="000143EF">
        <w:t>.</w:t>
      </w:r>
      <w:r w:rsidR="00736E77">
        <w:t xml:space="preserve"> </w:t>
      </w:r>
      <w:r w:rsidR="005E0A31">
        <w:t>Frankly, t</w:t>
      </w:r>
      <w:r w:rsidR="00736E77">
        <w:t xml:space="preserve">his leaves </w:t>
      </w:r>
      <w:r w:rsidR="005E0A31">
        <w:t xml:space="preserve">one </w:t>
      </w:r>
      <w:r w:rsidR="00736E77">
        <w:t xml:space="preserve">confused </w:t>
      </w:r>
      <w:r w:rsidR="00B4655B">
        <w:t xml:space="preserve">at the end of the day </w:t>
      </w:r>
      <w:r w:rsidR="00736E77">
        <w:t xml:space="preserve">about the </w:t>
      </w:r>
      <w:r w:rsidR="005E0A31">
        <w:t xml:space="preserve">OEB’s </w:t>
      </w:r>
      <w:r w:rsidR="00736E77">
        <w:t xml:space="preserve">rationale </w:t>
      </w:r>
      <w:r w:rsidR="00B7337E">
        <w:t xml:space="preserve">for </w:t>
      </w:r>
      <w:r w:rsidR="00736E77">
        <w:t>its decision to eliminate the seasonal class.</w:t>
      </w:r>
    </w:p>
    <w:p w14:paraId="5F98470B" w14:textId="77777777" w:rsidR="001939AA" w:rsidRDefault="001939AA"/>
    <w:p w14:paraId="07B8FAA4" w14:textId="2A7A0536" w:rsidR="001939AA" w:rsidRDefault="001939AA">
      <w:r>
        <w:t>On page 8 of the OEB’s</w:t>
      </w:r>
      <w:r w:rsidR="00130B03">
        <w:t xml:space="preserve"> </w:t>
      </w:r>
      <w:r>
        <w:t>Order</w:t>
      </w:r>
      <w:r w:rsidR="00B7337E">
        <w:t>,</w:t>
      </w:r>
      <w:r>
        <w:t xml:space="preserve"> Hydro One’s position is summarized </w:t>
      </w:r>
      <w:r w:rsidR="00EB2AA2">
        <w:t>by the OEB as follows</w:t>
      </w:r>
      <w:r>
        <w:t>:</w:t>
      </w:r>
    </w:p>
    <w:p w14:paraId="5B0925FC" w14:textId="77777777" w:rsidR="00B7337E" w:rsidRDefault="00B7337E"/>
    <w:p w14:paraId="21C494E9" w14:textId="534DCAF4" w:rsidR="001939AA" w:rsidRPr="00130B03" w:rsidRDefault="00B7337E" w:rsidP="00130B03">
      <w:pPr>
        <w:ind w:left="720"/>
        <w:rPr>
          <w:i/>
          <w:iCs/>
        </w:rPr>
      </w:pPr>
      <w:r w:rsidRPr="00130B03">
        <w:rPr>
          <w:i/>
          <w:iCs/>
        </w:rPr>
        <w:t>Hydro One submitted that the seasonal class customers should be maintained in their</w:t>
      </w:r>
      <w:r w:rsidR="001939AA" w:rsidRPr="00130B03">
        <w:rPr>
          <w:i/>
          <w:iCs/>
        </w:rPr>
        <w:t xml:space="preserve"> own rate class and that their distribution rates should continue the transition to a fully</w:t>
      </w:r>
      <w:r w:rsidR="00EB2AA2" w:rsidRPr="00130B03">
        <w:rPr>
          <w:i/>
          <w:iCs/>
        </w:rPr>
        <w:t xml:space="preserve"> </w:t>
      </w:r>
      <w:r w:rsidR="001939AA" w:rsidRPr="00130B03">
        <w:rPr>
          <w:i/>
          <w:iCs/>
        </w:rPr>
        <w:t xml:space="preserve">fixed charge, in accordance with the existing schedule approved by the OEB. </w:t>
      </w:r>
    </w:p>
    <w:p w14:paraId="1F95F81B" w14:textId="5ABFE270" w:rsidR="001939AA" w:rsidRDefault="001939AA">
      <w:r>
        <w:tab/>
        <w:t>and</w:t>
      </w:r>
    </w:p>
    <w:p w14:paraId="1C261DFD" w14:textId="0E5EC4D9" w:rsidR="001939AA" w:rsidRPr="001939AA" w:rsidRDefault="001939AA" w:rsidP="001939AA">
      <w:pPr>
        <w:ind w:left="720"/>
        <w:rPr>
          <w:i/>
          <w:iCs/>
        </w:rPr>
      </w:pPr>
      <w:r w:rsidRPr="001939AA">
        <w:rPr>
          <w:i/>
          <w:iCs/>
        </w:rPr>
        <w:t>… this approach should be adopted because it fully addresses the concerns identified in the 2015 Decision, which were the disparity in costs paid by high and low volume seasonal customers and ensuring that seasonal customers’ rates reflect cost causality</w:t>
      </w:r>
      <w:r>
        <w:rPr>
          <w:i/>
          <w:iCs/>
        </w:rPr>
        <w:t>.</w:t>
      </w:r>
    </w:p>
    <w:p w14:paraId="60507391" w14:textId="77777777" w:rsidR="001939AA" w:rsidRDefault="001939AA"/>
    <w:p w14:paraId="4E1FD305" w14:textId="472FA01D" w:rsidR="00F952A5" w:rsidRDefault="00EB2AA2">
      <w:r>
        <w:t xml:space="preserve">Additionally, </w:t>
      </w:r>
      <w:r w:rsidR="00736E77">
        <w:t xml:space="preserve">on page 9 of the Order, </w:t>
      </w:r>
      <w:r w:rsidR="00454F70">
        <w:t xml:space="preserve">the </w:t>
      </w:r>
      <w:r w:rsidR="00F952A5">
        <w:t>OEB staff</w:t>
      </w:r>
      <w:r w:rsidR="0072360E">
        <w:t xml:space="preserve"> view is summarized as follows</w:t>
      </w:r>
      <w:r w:rsidR="00F952A5">
        <w:t>:</w:t>
      </w:r>
    </w:p>
    <w:p w14:paraId="387328FA" w14:textId="77777777" w:rsidR="00F952A5" w:rsidRDefault="00F952A5"/>
    <w:p w14:paraId="12CB134B" w14:textId="0C085DE3" w:rsidR="000E48F3" w:rsidRDefault="00736E77" w:rsidP="00F952A5">
      <w:pPr>
        <w:ind w:left="360"/>
        <w:rPr>
          <w:i/>
          <w:iCs/>
        </w:rPr>
      </w:pPr>
      <w:r w:rsidRPr="00F952A5">
        <w:rPr>
          <w:i/>
          <w:iCs/>
        </w:rPr>
        <w:t>OEB staff argued that when the impacts of the move to all-fixed rates are considered, it becomes apparent that the incremental benefits of the elimination of the seasonal class are minimal at</w:t>
      </w:r>
      <w:r w:rsidR="00130B03">
        <w:rPr>
          <w:i/>
          <w:iCs/>
        </w:rPr>
        <w:t xml:space="preserve"> best</w:t>
      </w:r>
      <w:r w:rsidRPr="00F952A5">
        <w:rPr>
          <w:i/>
          <w:iCs/>
        </w:rPr>
        <w:t xml:space="preserve"> …”</w:t>
      </w:r>
    </w:p>
    <w:p w14:paraId="2DCA722E" w14:textId="4A8B2D1F" w:rsidR="00994E92" w:rsidRDefault="00994E92" w:rsidP="00994E92">
      <w:pPr>
        <w:rPr>
          <w:i/>
          <w:iCs/>
        </w:rPr>
      </w:pPr>
    </w:p>
    <w:p w14:paraId="584ED301" w14:textId="7DC8B00A" w:rsidR="00994E92" w:rsidRDefault="00130B03" w:rsidP="00994E92">
      <w:r>
        <w:t xml:space="preserve">And </w:t>
      </w:r>
      <w:r w:rsidR="00454F70">
        <w:t xml:space="preserve">finally </w:t>
      </w:r>
      <w:r>
        <w:t>a</w:t>
      </w:r>
      <w:r w:rsidR="00994E92">
        <w:t>t page 12 of the Order, the OEB reported that:</w:t>
      </w:r>
    </w:p>
    <w:p w14:paraId="5ECD4BB3" w14:textId="04DDEF18" w:rsidR="00994E92" w:rsidRDefault="00994E92" w:rsidP="00994E92"/>
    <w:p w14:paraId="512A0FC2" w14:textId="5AE4ED14" w:rsidR="00994E92" w:rsidRPr="00994E92" w:rsidRDefault="00994E92" w:rsidP="00994E92">
      <w:pPr>
        <w:ind w:left="720"/>
        <w:rPr>
          <w:i/>
          <w:iCs/>
        </w:rPr>
      </w:pPr>
      <w:r w:rsidRPr="00994E92">
        <w:rPr>
          <w:i/>
          <w:iCs/>
        </w:rPr>
        <w:t>Hydro One further noted that the submissions from BLC, OEB staff, CCC and FOCA had all agreed that, on the merits, the OEB should grant Hydro One’s request that the 2015 Decision be reviewed and revised.</w:t>
      </w:r>
    </w:p>
    <w:p w14:paraId="6DB29670" w14:textId="77777777" w:rsidR="00065DC7" w:rsidRDefault="00065DC7"/>
    <w:p w14:paraId="034D60EF" w14:textId="3483B4C1" w:rsidR="00D06AB1" w:rsidRDefault="00D06AB1" w:rsidP="004D449D">
      <w:r>
        <w:t xml:space="preserve">The OEB has made it </w:t>
      </w:r>
      <w:r w:rsidR="00454F70">
        <w:t xml:space="preserve">abundantly </w:t>
      </w:r>
      <w:r>
        <w:t>clear on page 4 of Procedural Order No. 2 dated May 26, 2021, that:</w:t>
      </w:r>
    </w:p>
    <w:p w14:paraId="68B7E513" w14:textId="77777777" w:rsidR="00D06AB1" w:rsidRDefault="00D06AB1" w:rsidP="004D449D"/>
    <w:p w14:paraId="03E89292" w14:textId="71DC0768" w:rsidR="00D06AB1" w:rsidRPr="00D06AB1" w:rsidRDefault="00D06AB1" w:rsidP="00D06AB1">
      <w:pPr>
        <w:ind w:left="720"/>
        <w:rPr>
          <w:i/>
          <w:iCs/>
        </w:rPr>
      </w:pPr>
      <w:r w:rsidRPr="00D06AB1">
        <w:rPr>
          <w:i/>
          <w:iCs/>
        </w:rPr>
        <w:t>The OEB wishes to make clear once again that the purpose of this proceeding is not to revisit the elimination of the seasonal rates class. That decision has been made and will not be revisited in the current proceeding</w:t>
      </w:r>
      <w:r>
        <w:rPr>
          <w:i/>
          <w:iCs/>
        </w:rPr>
        <w:t>.</w:t>
      </w:r>
    </w:p>
    <w:p w14:paraId="49B43AA7" w14:textId="223B035E" w:rsidR="00D06AB1" w:rsidRDefault="00D06AB1" w:rsidP="004D449D">
      <w:r>
        <w:tab/>
      </w:r>
    </w:p>
    <w:p w14:paraId="50A17D25" w14:textId="5C9D56E9" w:rsidR="0077619A" w:rsidRDefault="004D449D" w:rsidP="004D449D">
      <w:r>
        <w:t xml:space="preserve">In the writer’s view, </w:t>
      </w:r>
      <w:r w:rsidR="00D06AB1">
        <w:t xml:space="preserve">it is most unfortunate that </w:t>
      </w:r>
      <w:r>
        <w:t xml:space="preserve">the communications to date </w:t>
      </w:r>
      <w:r w:rsidR="00A234E0">
        <w:t xml:space="preserve">in this matter </w:t>
      </w:r>
      <w:r w:rsidR="00130B03">
        <w:t xml:space="preserve">with seasonal customers </w:t>
      </w:r>
      <w:r>
        <w:t>by Hydro One</w:t>
      </w:r>
      <w:r w:rsidR="00130B03">
        <w:t xml:space="preserve">, </w:t>
      </w:r>
      <w:r w:rsidR="00A234E0">
        <w:t>whether OEB ordered or otherwise</w:t>
      </w:r>
      <w:r w:rsidR="00130B03">
        <w:t>,</w:t>
      </w:r>
      <w:r w:rsidR="00A234E0">
        <w:t xml:space="preserve"> as </w:t>
      </w:r>
      <w:r w:rsidR="00130B03">
        <w:t xml:space="preserve">detailed </w:t>
      </w:r>
      <w:r w:rsidR="00A234E0">
        <w:t>i</w:t>
      </w:r>
      <w:r>
        <w:t xml:space="preserve">n Exhibit </w:t>
      </w:r>
      <w:r w:rsidR="00A234E0">
        <w:t xml:space="preserve">I-02-03, part a), have been </w:t>
      </w:r>
      <w:r w:rsidR="00D65CF9">
        <w:t>lacking</w:t>
      </w:r>
      <w:r w:rsidR="00A234E0">
        <w:t xml:space="preserve"> – both in </w:t>
      </w:r>
      <w:r w:rsidR="00454F70">
        <w:t xml:space="preserve">their </w:t>
      </w:r>
      <w:r w:rsidR="00A234E0">
        <w:t xml:space="preserve">frequency and scope. </w:t>
      </w:r>
      <w:r w:rsidR="0077619A">
        <w:t>Th</w:t>
      </w:r>
      <w:r w:rsidR="00130B03">
        <w:t>is</w:t>
      </w:r>
      <w:r w:rsidR="0077619A">
        <w:t xml:space="preserve"> point should be </w:t>
      </w:r>
      <w:r w:rsidR="00454F70">
        <w:t xml:space="preserve">evident </w:t>
      </w:r>
      <w:r w:rsidR="0077619A">
        <w:t xml:space="preserve">when one looks at the volume and </w:t>
      </w:r>
      <w:r w:rsidR="00130B03">
        <w:t xml:space="preserve">the nature </w:t>
      </w:r>
      <w:r w:rsidR="0077619A">
        <w:t xml:space="preserve">of </w:t>
      </w:r>
      <w:r w:rsidR="00130B03">
        <w:t>the c</w:t>
      </w:r>
      <w:r w:rsidR="0077619A">
        <w:t xml:space="preserve">omments </w:t>
      </w:r>
      <w:r w:rsidR="00130B03">
        <w:t xml:space="preserve">submitted </w:t>
      </w:r>
      <w:r w:rsidR="0077619A">
        <w:t xml:space="preserve">in the Letters of Comment that the OEB </w:t>
      </w:r>
      <w:r w:rsidR="00130B03">
        <w:t xml:space="preserve">has </w:t>
      </w:r>
      <w:r w:rsidR="0077619A">
        <w:t xml:space="preserve">received this past winter and spring following the issuance of the </w:t>
      </w:r>
      <w:r w:rsidR="00464AB0">
        <w:t xml:space="preserve">customized direct mail </w:t>
      </w:r>
      <w:r w:rsidR="00454F70">
        <w:t xml:space="preserve">in February 2021 </w:t>
      </w:r>
      <w:r w:rsidR="00464AB0">
        <w:t xml:space="preserve">to seasonal customers in the </w:t>
      </w:r>
      <w:r w:rsidR="0077619A">
        <w:t>Hydro One Notice</w:t>
      </w:r>
      <w:r w:rsidR="00F768B2">
        <w:t>.</w:t>
      </w:r>
      <w:r w:rsidR="00130B03">
        <w:t xml:space="preserve"> </w:t>
      </w:r>
    </w:p>
    <w:p w14:paraId="7A030D5B" w14:textId="77777777" w:rsidR="0077619A" w:rsidRDefault="0077619A" w:rsidP="004D449D"/>
    <w:p w14:paraId="5E970993" w14:textId="5679E4E7" w:rsidR="00790929" w:rsidRDefault="00A234E0" w:rsidP="004D449D">
      <w:r>
        <w:t xml:space="preserve">Reviewing </w:t>
      </w:r>
      <w:r w:rsidR="00790929">
        <w:t xml:space="preserve">the </w:t>
      </w:r>
      <w:r w:rsidR="00130B03">
        <w:t xml:space="preserve">detailed </w:t>
      </w:r>
      <w:r w:rsidR="00790929">
        <w:t>list of communications</w:t>
      </w:r>
      <w:r w:rsidR="0077619A">
        <w:t xml:space="preserve"> </w:t>
      </w:r>
      <w:r w:rsidR="00464AB0">
        <w:t xml:space="preserve">at the referenced Exhibit, the only communication </w:t>
      </w:r>
      <w:r w:rsidR="00E01B5C">
        <w:t xml:space="preserve">the writer </w:t>
      </w:r>
      <w:r w:rsidR="00464AB0">
        <w:t xml:space="preserve">would have received in the </w:t>
      </w:r>
      <w:r w:rsidR="00E01B5C">
        <w:t xml:space="preserve">past </w:t>
      </w:r>
      <w:r w:rsidR="00464AB0">
        <w:t xml:space="preserve">five years of seasonal property </w:t>
      </w:r>
      <w:r w:rsidR="00E01B5C">
        <w:t xml:space="preserve">ownership </w:t>
      </w:r>
      <w:r w:rsidR="00464AB0">
        <w:t xml:space="preserve">would </w:t>
      </w:r>
      <w:r w:rsidR="00790929">
        <w:t xml:space="preserve">have </w:t>
      </w:r>
      <w:r w:rsidR="00464AB0">
        <w:t>been</w:t>
      </w:r>
      <w:r w:rsidR="00790929">
        <w:t xml:space="preserve"> the bill insert/customer newsletters in the Winter/Spring 2017 until the time of receipt of </w:t>
      </w:r>
      <w:r w:rsidR="0077619A">
        <w:t>the Hydro One Notice</w:t>
      </w:r>
      <w:r w:rsidR="00464AB0">
        <w:t xml:space="preserve"> earlier this year. </w:t>
      </w:r>
      <w:r w:rsidR="00AA576A">
        <w:t>That totals o</w:t>
      </w:r>
      <w:r w:rsidR="00464AB0">
        <w:t>ne direct communication in 4 years</w:t>
      </w:r>
      <w:r w:rsidR="00D06AB1">
        <w:t xml:space="preserve"> prior to February 2021.</w:t>
      </w:r>
      <w:r w:rsidR="00464AB0">
        <w:t xml:space="preserve"> While </w:t>
      </w:r>
      <w:r w:rsidR="00E01B5C">
        <w:t xml:space="preserve">Hydro One states that </w:t>
      </w:r>
      <w:r w:rsidR="00464AB0">
        <w:t xml:space="preserve">articles were also published, these were often </w:t>
      </w:r>
      <w:r w:rsidR="00E01B5C">
        <w:t xml:space="preserve">less than clear or </w:t>
      </w:r>
      <w:r w:rsidR="00F03BA5">
        <w:t xml:space="preserve">rather </w:t>
      </w:r>
      <w:r w:rsidR="00E01B5C">
        <w:t>in</w:t>
      </w:r>
      <w:r w:rsidR="00D06AB1">
        <w:t>complete.</w:t>
      </w:r>
      <w:r w:rsidR="00E01B5C">
        <w:t xml:space="preserve"> </w:t>
      </w:r>
    </w:p>
    <w:p w14:paraId="7432F2F7" w14:textId="77777777" w:rsidR="00F03BA5" w:rsidRDefault="00F03BA5" w:rsidP="004D449D"/>
    <w:p w14:paraId="0949A167" w14:textId="37A3B98E" w:rsidR="00BF57EE" w:rsidRDefault="00790929" w:rsidP="004D449D">
      <w:r>
        <w:t>As outlined in Exhibit 1-02-03, parts b) and d), Hydro One’s proposed communications strategy going forward w</w:t>
      </w:r>
      <w:r w:rsidR="00994E92">
        <w:t xml:space="preserve">ould </w:t>
      </w:r>
      <w:r>
        <w:t xml:space="preserve">focus efforts </w:t>
      </w:r>
      <w:r w:rsidR="003E6651">
        <w:t xml:space="preserve">essentially </w:t>
      </w:r>
      <w:r>
        <w:t xml:space="preserve">on detailing the </w:t>
      </w:r>
      <w:r w:rsidR="00D65CF9">
        <w:t>“</w:t>
      </w:r>
      <w:r>
        <w:t>what, how and when</w:t>
      </w:r>
      <w:r w:rsidR="00D65CF9">
        <w:t xml:space="preserve">” of the decision reached by the OEB in this matter, but critically not on the “why”. </w:t>
      </w:r>
      <w:r w:rsidR="00BF57EE">
        <w:t xml:space="preserve">With all due respect, </w:t>
      </w:r>
      <w:r w:rsidR="00AA576A">
        <w:t>proceeding on that basis is most unlikely to be received well by seasonal class customers</w:t>
      </w:r>
      <w:r w:rsidR="0077619A">
        <w:t>.</w:t>
      </w:r>
    </w:p>
    <w:p w14:paraId="69DD464E" w14:textId="77777777" w:rsidR="00BF57EE" w:rsidRDefault="00BF57EE" w:rsidP="004D449D"/>
    <w:p w14:paraId="261FF39F" w14:textId="05FB3FD8" w:rsidR="00790929" w:rsidRDefault="0077619A" w:rsidP="004D449D">
      <w:r>
        <w:t>A much broader communications strategy needs to be developed, one where answers to the question</w:t>
      </w:r>
      <w:r w:rsidR="00AA576A">
        <w:t>s</w:t>
      </w:r>
      <w:r>
        <w:t xml:space="preserve"> about “why” can </w:t>
      </w:r>
      <w:r w:rsidR="00994E92">
        <w:t xml:space="preserve">also </w:t>
      </w:r>
      <w:r w:rsidR="003E6651">
        <w:t xml:space="preserve">be </w:t>
      </w:r>
      <w:r>
        <w:t>addressed and answered</w:t>
      </w:r>
      <w:r w:rsidR="00F03BA5">
        <w:t xml:space="preserve">. This will be of critical </w:t>
      </w:r>
      <w:proofErr w:type="gramStart"/>
      <w:r w:rsidR="00F03BA5">
        <w:t xml:space="preserve">importance </w:t>
      </w:r>
      <w:r>
        <w:t xml:space="preserve"> given</w:t>
      </w:r>
      <w:proofErr w:type="gramEnd"/>
      <w:r>
        <w:t xml:space="preserve"> </w:t>
      </w:r>
      <w:r w:rsidR="00346C27">
        <w:t xml:space="preserve">both </w:t>
      </w:r>
      <w:r>
        <w:t xml:space="preserve">the </w:t>
      </w:r>
      <w:r w:rsidR="003E6651">
        <w:t xml:space="preserve">vast disparity </w:t>
      </w:r>
      <w:r w:rsidR="00346C27">
        <w:t xml:space="preserve">that </w:t>
      </w:r>
      <w:r w:rsidR="003E6651">
        <w:t xml:space="preserve">different residential classes will eventually pay for hydro as well as the </w:t>
      </w:r>
      <w:r>
        <w:t>wide diversity of views in this matte</w:t>
      </w:r>
      <w:r w:rsidR="00994E92">
        <w:t xml:space="preserve">r </w:t>
      </w:r>
      <w:r>
        <w:t xml:space="preserve">as </w:t>
      </w:r>
      <w:r w:rsidR="00994E92">
        <w:t>summarized in the OEB’s Order.</w:t>
      </w:r>
      <w:r>
        <w:t xml:space="preserve"> </w:t>
      </w:r>
      <w:r w:rsidR="00F03BA5">
        <w:t>In addition to the “what, how, and when”, c</w:t>
      </w:r>
      <w:r w:rsidR="003E6651">
        <w:t xml:space="preserve">onsumers want to </w:t>
      </w:r>
      <w:r w:rsidR="00AA576A">
        <w:t xml:space="preserve">better </w:t>
      </w:r>
      <w:r w:rsidR="003E6651">
        <w:t xml:space="preserve">understand </w:t>
      </w:r>
      <w:r w:rsidR="00F03BA5">
        <w:t>the “</w:t>
      </w:r>
      <w:r w:rsidR="003E6651">
        <w:t>why</w:t>
      </w:r>
      <w:r w:rsidR="00F03BA5">
        <w:t>” of the OEB decision</w:t>
      </w:r>
      <w:r w:rsidR="003E6651">
        <w:t xml:space="preserve">, and on that </w:t>
      </w:r>
      <w:r w:rsidR="00F03BA5">
        <w:t xml:space="preserve">point </w:t>
      </w:r>
      <w:r w:rsidR="003E6651">
        <w:t xml:space="preserve">there has been </w:t>
      </w:r>
      <w:r w:rsidR="00F03BA5">
        <w:t xml:space="preserve">too </w:t>
      </w:r>
      <w:r w:rsidR="003E6651">
        <w:t xml:space="preserve">little attention </w:t>
      </w:r>
      <w:r w:rsidR="00AA576A">
        <w:t xml:space="preserve">paid </w:t>
      </w:r>
      <w:r w:rsidR="003E6651">
        <w:t xml:space="preserve">in the communications </w:t>
      </w:r>
      <w:r w:rsidR="00F03BA5">
        <w:t xml:space="preserve">materials </w:t>
      </w:r>
      <w:r w:rsidR="003E6651">
        <w:t>to date.</w:t>
      </w:r>
    </w:p>
    <w:p w14:paraId="12498BD5" w14:textId="77777777" w:rsidR="0083783E" w:rsidRDefault="0083783E" w:rsidP="0083783E">
      <w:pPr>
        <w:pStyle w:val="ListParagraph"/>
      </w:pPr>
    </w:p>
    <w:p w14:paraId="24BDAB15" w14:textId="76616483" w:rsidR="0063139A" w:rsidRDefault="0077619A" w:rsidP="0063139A">
      <w:pPr>
        <w:rPr>
          <w:b/>
        </w:rPr>
      </w:pPr>
      <w:r>
        <w:rPr>
          <w:b/>
        </w:rPr>
        <w:t>Mitigation</w:t>
      </w:r>
    </w:p>
    <w:p w14:paraId="6DFB2E1A" w14:textId="77777777" w:rsidR="0063139A" w:rsidRDefault="0063139A">
      <w:pPr>
        <w:rPr>
          <w:b/>
        </w:rPr>
      </w:pPr>
    </w:p>
    <w:p w14:paraId="4F4D11CB" w14:textId="58F169A2" w:rsidR="00EF701F" w:rsidRDefault="00634034">
      <w:r>
        <w:t xml:space="preserve">In the OEB’s Order, it was encouraging to </w:t>
      </w:r>
      <w:r w:rsidR="00327DA1">
        <w:t xml:space="preserve">read </w:t>
      </w:r>
      <w:r>
        <w:t>at page 7 that</w:t>
      </w:r>
      <w:r w:rsidR="006418DD">
        <w:t>:</w:t>
      </w:r>
      <w:r>
        <w:t xml:space="preserve"> “… </w:t>
      </w:r>
      <w:r w:rsidRPr="00346C27">
        <w:rPr>
          <w:i/>
          <w:iCs/>
        </w:rPr>
        <w:t>the OEB wishes to mitigate any large impacts to seasonal customers</w:t>
      </w:r>
      <w:r w:rsidRPr="00346C27">
        <w:rPr>
          <w:i/>
          <w:iCs/>
          <w:color w:val="212121"/>
        </w:rPr>
        <w:t>.</w:t>
      </w:r>
      <w:r w:rsidR="006418DD" w:rsidRPr="00346C27">
        <w:rPr>
          <w:i/>
          <w:iCs/>
          <w:color w:val="212121"/>
        </w:rPr>
        <w:t>”</w:t>
      </w:r>
      <w:r w:rsidR="00346C27">
        <w:rPr>
          <w:i/>
          <w:iCs/>
          <w:color w:val="212121"/>
        </w:rPr>
        <w:t xml:space="preserve">  </w:t>
      </w:r>
      <w:r w:rsidR="00346C27" w:rsidRPr="00346C27">
        <w:rPr>
          <w:color w:val="212121"/>
        </w:rPr>
        <w:t>And</w:t>
      </w:r>
      <w:r w:rsidR="00346C27">
        <w:rPr>
          <w:i/>
          <w:iCs/>
          <w:color w:val="212121"/>
        </w:rPr>
        <w:t xml:space="preserve"> </w:t>
      </w:r>
      <w:r w:rsidR="00346C27">
        <w:rPr>
          <w:color w:val="212121"/>
        </w:rPr>
        <w:t xml:space="preserve">Hydro One takes a stronger view </w:t>
      </w:r>
      <w:r w:rsidR="00327DA1">
        <w:rPr>
          <w:color w:val="212121"/>
        </w:rPr>
        <w:t xml:space="preserve">on </w:t>
      </w:r>
      <w:proofErr w:type="gramStart"/>
      <w:r w:rsidR="00327DA1">
        <w:rPr>
          <w:color w:val="212121"/>
        </w:rPr>
        <w:t xml:space="preserve">this </w:t>
      </w:r>
      <w:r w:rsidR="00346C27">
        <w:rPr>
          <w:color w:val="212121"/>
        </w:rPr>
        <w:t xml:space="preserve"> </w:t>
      </w:r>
      <w:r w:rsidR="00332794">
        <w:rPr>
          <w:color w:val="212121"/>
        </w:rPr>
        <w:t>stating</w:t>
      </w:r>
      <w:proofErr w:type="gramEnd"/>
      <w:r w:rsidR="00332794">
        <w:rPr>
          <w:color w:val="212121"/>
        </w:rPr>
        <w:t xml:space="preserve"> that: “…</w:t>
      </w:r>
      <w:r w:rsidR="00332794" w:rsidRPr="00346C27">
        <w:rPr>
          <w:i/>
          <w:iCs/>
        </w:rPr>
        <w:t>mitigation will be necessary in any case to limit bill impacts to no more than 10% for seasonal-R2 customers.”</w:t>
      </w:r>
      <w:r w:rsidR="00332794">
        <w:t xml:space="preserve"> (Exhibit I-01-01, part c)</w:t>
      </w:r>
      <w:r w:rsidR="00346C27">
        <w:t xml:space="preserve">.  </w:t>
      </w:r>
      <w:r w:rsidR="00EF701F">
        <w:t xml:space="preserve">Hydro One has </w:t>
      </w:r>
      <w:r w:rsidR="00346C27">
        <w:t xml:space="preserve">also </w:t>
      </w:r>
      <w:r w:rsidR="00EF701F">
        <w:t>presented a strong and convincing case against any retroactive application</w:t>
      </w:r>
      <w:r w:rsidR="008C5F58">
        <w:t xml:space="preserve"> at Exhibit I-01-23</w:t>
      </w:r>
      <w:r w:rsidR="00EF701F">
        <w:t>.</w:t>
      </w:r>
      <w:r w:rsidR="00346C27">
        <w:t xml:space="preserve"> </w:t>
      </w:r>
      <w:r w:rsidR="00AA576A">
        <w:t>T</w:t>
      </w:r>
      <w:r w:rsidR="00346C27">
        <w:t>he writer fully supports Hydro One</w:t>
      </w:r>
      <w:r w:rsidR="00327DA1">
        <w:t xml:space="preserve">’s perspective </w:t>
      </w:r>
      <w:r w:rsidR="00346C27">
        <w:t xml:space="preserve">on </w:t>
      </w:r>
      <w:proofErr w:type="gramStart"/>
      <w:r w:rsidR="00346C27">
        <w:t>both of these</w:t>
      </w:r>
      <w:proofErr w:type="gramEnd"/>
      <w:r w:rsidR="00346C27">
        <w:t xml:space="preserve"> points.</w:t>
      </w:r>
    </w:p>
    <w:p w14:paraId="7714DC56" w14:textId="7655D0F1" w:rsidR="000A7976" w:rsidRDefault="000A7976"/>
    <w:p w14:paraId="0ACB61EC" w14:textId="686C56E6" w:rsidR="00B546B7" w:rsidRDefault="00B546B7">
      <w:r>
        <w:lastRenderedPageBreak/>
        <w:t xml:space="preserve">The mitigation options proposed to date by Hydro One </w:t>
      </w:r>
      <w:r w:rsidR="00346C27">
        <w:t xml:space="preserve">however do </w:t>
      </w:r>
      <w:r>
        <w:t>pose difficulties</w:t>
      </w:r>
      <w:r w:rsidR="00327DA1">
        <w:t xml:space="preserve"> and </w:t>
      </w:r>
      <w:r w:rsidR="003946A8">
        <w:t>challenges</w:t>
      </w:r>
      <w:r w:rsidR="00327DA1">
        <w:t xml:space="preserve"> as follows</w:t>
      </w:r>
      <w:r>
        <w:t>:</w:t>
      </w:r>
    </w:p>
    <w:p w14:paraId="1BA852F3" w14:textId="77777777" w:rsidR="00B546B7" w:rsidRDefault="00B546B7"/>
    <w:p w14:paraId="239FF647" w14:textId="49455348" w:rsidR="00C44164" w:rsidRDefault="00B546B7" w:rsidP="00B546B7">
      <w:pPr>
        <w:pStyle w:val="ListParagraph"/>
        <w:numPr>
          <w:ilvl w:val="0"/>
          <w:numId w:val="16"/>
        </w:numPr>
      </w:pPr>
      <w:r>
        <w:t xml:space="preserve">While the Hydro One Report and other </w:t>
      </w:r>
      <w:r w:rsidR="0043316D">
        <w:t xml:space="preserve">related </w:t>
      </w:r>
      <w:r>
        <w:t xml:space="preserve">materials </w:t>
      </w:r>
      <w:r w:rsidR="0043316D">
        <w:t>routinely</w:t>
      </w:r>
      <w:r>
        <w:t xml:space="preserve"> </w:t>
      </w:r>
      <w:r w:rsidR="00327DA1">
        <w:t xml:space="preserve">state and </w:t>
      </w:r>
      <w:r>
        <w:t xml:space="preserve">refer to capping customers’ </w:t>
      </w:r>
      <w:r w:rsidR="005B516D" w:rsidRPr="005B516D">
        <w:rPr>
          <w:u w:val="single"/>
        </w:rPr>
        <w:t xml:space="preserve">total </w:t>
      </w:r>
      <w:r w:rsidRPr="005B516D">
        <w:rPr>
          <w:u w:val="single"/>
        </w:rPr>
        <w:t>h</w:t>
      </w:r>
      <w:r w:rsidRPr="0043316D">
        <w:rPr>
          <w:u w:val="single"/>
        </w:rPr>
        <w:t>ydro bill</w:t>
      </w:r>
      <w:r>
        <w:t xml:space="preserve"> increases to 10%</w:t>
      </w:r>
      <w:r w:rsidR="005B516D">
        <w:t xml:space="preserve"> under Options 1 and 2A</w:t>
      </w:r>
      <w:r>
        <w:t xml:space="preserve">, </w:t>
      </w:r>
      <w:proofErr w:type="gramStart"/>
      <w:r>
        <w:t xml:space="preserve">it </w:t>
      </w:r>
      <w:r w:rsidR="00E75478">
        <w:t xml:space="preserve">would appear </w:t>
      </w:r>
      <w:r w:rsidR="00C44164">
        <w:t xml:space="preserve">that </w:t>
      </w:r>
      <w:r w:rsidR="0043316D">
        <w:t>this</w:t>
      </w:r>
      <w:proofErr w:type="gramEnd"/>
      <w:r>
        <w:t xml:space="preserve"> </w:t>
      </w:r>
      <w:r w:rsidR="00E75478">
        <w:t>1</w:t>
      </w:r>
      <w:r>
        <w:t xml:space="preserve">0% cap would only </w:t>
      </w:r>
      <w:r w:rsidR="0043316D">
        <w:t>apply to</w:t>
      </w:r>
      <w:r>
        <w:t xml:space="preserve"> the distribution-related items</w:t>
      </w:r>
      <w:r w:rsidR="00E75478">
        <w:t xml:space="preserve"> on a bill</w:t>
      </w:r>
      <w:r w:rsidR="0043316D">
        <w:t>.</w:t>
      </w:r>
    </w:p>
    <w:p w14:paraId="60EAD058" w14:textId="78F4C0AB" w:rsidR="004E3366" w:rsidRDefault="004E3366" w:rsidP="004E3366"/>
    <w:p w14:paraId="60904A85" w14:textId="78685081" w:rsidR="004E3366" w:rsidRPr="004E3366" w:rsidRDefault="004E3366" w:rsidP="004E3366">
      <w:pPr>
        <w:ind w:left="720"/>
      </w:pPr>
      <w:r>
        <w:t xml:space="preserve">Exhibit I-05-11, part a), states that </w:t>
      </w:r>
      <w:r w:rsidR="00E75478">
        <w:t xml:space="preserve">the </w:t>
      </w:r>
      <w:r>
        <w:t xml:space="preserve">changes that will be included in the year-over-year bill impact calculations </w:t>
      </w:r>
      <w:r w:rsidR="000A5077">
        <w:t xml:space="preserve">for purposes of determining the 10% bill impact </w:t>
      </w:r>
      <w:r>
        <w:t xml:space="preserve">pertain to the distribution and transmission components of the total bill, but do </w:t>
      </w:r>
      <w:r w:rsidRPr="004E3366">
        <w:rPr>
          <w:u w:val="single"/>
        </w:rPr>
        <w:t>not</w:t>
      </w:r>
      <w:r w:rsidRPr="004E3366">
        <w:t xml:space="preserve"> include the </w:t>
      </w:r>
      <w:r>
        <w:t>commodity (energy), regulatory, taxes and rebates/subsidies components of the total bill.</w:t>
      </w:r>
    </w:p>
    <w:p w14:paraId="0985F222" w14:textId="77777777" w:rsidR="00C44164" w:rsidRPr="004E3366" w:rsidRDefault="00C44164" w:rsidP="00C44164">
      <w:pPr>
        <w:pStyle w:val="ListParagraph"/>
      </w:pPr>
    </w:p>
    <w:p w14:paraId="3A693A07" w14:textId="54E55973" w:rsidR="00B546B7" w:rsidRDefault="0043316D" w:rsidP="00C44164">
      <w:pPr>
        <w:pStyle w:val="ListParagraph"/>
      </w:pPr>
      <w:r>
        <w:t>Exhibit I-04-44 contains the following comments:</w:t>
      </w:r>
    </w:p>
    <w:p w14:paraId="7D9FAB9E" w14:textId="408842CF" w:rsidR="0043316D" w:rsidRDefault="0043316D" w:rsidP="0043316D"/>
    <w:p w14:paraId="4677D25F" w14:textId="72A6AE08" w:rsidR="0043316D" w:rsidRDefault="003946A8" w:rsidP="00327DA1">
      <w:pPr>
        <w:ind w:left="1440"/>
      </w:pPr>
      <w:r w:rsidRPr="003946A8">
        <w:rPr>
          <w:i/>
          <w:iCs/>
        </w:rPr>
        <w:t>Hydro One notes that the updated Seasonal Report provides bill impacts in accordance with Section 2.8.13 of the OEB’s Chapter 2 Filing Requirements for Electricity Distribution Rate Applications, which require that total bill impacts be calculated assuming commodity and regulatory charges remain constant. Hydro One does not have any projections of total bill impacts assuming inflationary increases in the other non-distribution related components of the bill</w:t>
      </w:r>
      <w:r>
        <w:t>.</w:t>
      </w:r>
    </w:p>
    <w:p w14:paraId="7F6F6522" w14:textId="6F87CFD8" w:rsidR="00C44164" w:rsidRDefault="00C44164" w:rsidP="003946A8">
      <w:pPr>
        <w:ind w:left="720"/>
      </w:pPr>
    </w:p>
    <w:p w14:paraId="59A97BE4" w14:textId="5C68BDC5" w:rsidR="00B546B7" w:rsidRDefault="00AB1C1D" w:rsidP="00AB1C1D">
      <w:pPr>
        <w:pStyle w:val="ListParagraph"/>
      </w:pPr>
      <w:r>
        <w:t>Additionally at Exhibit I-02-04, part b</w:t>
      </w:r>
      <w:r w:rsidR="00327DA1">
        <w:t>)</w:t>
      </w:r>
      <w:r>
        <w:t>, Hydro One has stated that:</w:t>
      </w:r>
    </w:p>
    <w:p w14:paraId="0832D03B" w14:textId="77777777" w:rsidR="00AB1C1D" w:rsidRDefault="00AB1C1D" w:rsidP="00AB1C1D">
      <w:pPr>
        <w:pStyle w:val="ListParagraph"/>
      </w:pPr>
    </w:p>
    <w:p w14:paraId="2ADF41A9" w14:textId="39450615" w:rsidR="00AB1C1D" w:rsidRDefault="00AB1C1D" w:rsidP="00327DA1">
      <w:pPr>
        <w:ind w:left="1440"/>
      </w:pPr>
      <w:r w:rsidRPr="00AB1C1D">
        <w:rPr>
          <w:i/>
          <w:iCs/>
        </w:rPr>
        <w:t xml:space="preserve">The 10% cap will take into account all distribution-related items, including </w:t>
      </w:r>
      <w:proofErr w:type="gramStart"/>
      <w:r w:rsidRPr="00AB1C1D">
        <w:rPr>
          <w:i/>
          <w:iCs/>
        </w:rPr>
        <w:t>Retail  Transmission</w:t>
      </w:r>
      <w:proofErr w:type="gramEnd"/>
      <w:r w:rsidRPr="00AB1C1D">
        <w:rPr>
          <w:i/>
          <w:iCs/>
        </w:rPr>
        <w:t xml:space="preserve"> Service Charges. Hydro One has no control over any non-distribution rate changes in hydro bills. Hence, Hydro One is not able to derive a mitigation plan that includes these non-distribution rate changes. This approach is consistent with the OEB’s Filing Requirements</w:t>
      </w:r>
      <w:r>
        <w:t>…</w:t>
      </w:r>
    </w:p>
    <w:p w14:paraId="455C9258" w14:textId="0B671BC1" w:rsidR="00AB1C1D" w:rsidRDefault="00AB1C1D" w:rsidP="00AB1C1D"/>
    <w:p w14:paraId="23A558B0" w14:textId="6B954E20" w:rsidR="00AB1C1D" w:rsidRDefault="00B97820" w:rsidP="00435038">
      <w:pPr>
        <w:pStyle w:val="ListParagraph"/>
        <w:numPr>
          <w:ilvl w:val="0"/>
          <w:numId w:val="16"/>
        </w:numPr>
      </w:pPr>
      <w:r>
        <w:t xml:space="preserve">Using the immediately prior year’s </w:t>
      </w:r>
      <w:r w:rsidR="00435038">
        <w:t xml:space="preserve">cost </w:t>
      </w:r>
      <w:r>
        <w:t>for calculating the 10% cap</w:t>
      </w:r>
      <w:r w:rsidR="00435038">
        <w:t xml:space="preserve"> </w:t>
      </w:r>
      <w:r>
        <w:t>result</w:t>
      </w:r>
      <w:r w:rsidR="00435038">
        <w:t xml:space="preserve">s </w:t>
      </w:r>
      <w:proofErr w:type="gramStart"/>
      <w:r w:rsidR="00435038">
        <w:t xml:space="preserve">in </w:t>
      </w:r>
      <w:r>
        <w:t xml:space="preserve"> subsequent</w:t>
      </w:r>
      <w:proofErr w:type="gramEnd"/>
      <w:r>
        <w:t xml:space="preserve"> years’ bill increases </w:t>
      </w:r>
      <w:r w:rsidR="00435038">
        <w:t xml:space="preserve">that </w:t>
      </w:r>
      <w:r>
        <w:t>will in fact be at least 11% in year</w:t>
      </w:r>
      <w:r w:rsidR="00435038">
        <w:t xml:space="preserve"> two</w:t>
      </w:r>
      <w:r>
        <w:t xml:space="preserve">, 12.1% in year three, 13.3% in year four etc. of the “base year” amount. Use of a “rolling” 10% threshold based on the immediately prior year’s distribution rate charges would guarantee that subsequent years’ increases will exceed 10% of the base year amount and will continue to grow </w:t>
      </w:r>
      <w:r w:rsidR="00327DA1">
        <w:t xml:space="preserve">in dollar terms </w:t>
      </w:r>
      <w:r>
        <w:t>year over year</w:t>
      </w:r>
      <w:r w:rsidR="00435038">
        <w:t>.</w:t>
      </w:r>
    </w:p>
    <w:p w14:paraId="59CD1EEC" w14:textId="2D282ECF" w:rsidR="00B97820" w:rsidRDefault="00B97820" w:rsidP="00B97820">
      <w:pPr>
        <w:ind w:firstLine="720"/>
      </w:pPr>
    </w:p>
    <w:p w14:paraId="79988453" w14:textId="1780E611" w:rsidR="00B97820" w:rsidRDefault="00F33B51" w:rsidP="00F33B51">
      <w:pPr>
        <w:ind w:left="720"/>
      </w:pPr>
      <w:r>
        <w:t>Put another way</w:t>
      </w:r>
      <w:r w:rsidR="00435038">
        <w:t>, Hydro One confirmed in</w:t>
      </w:r>
      <w:r>
        <w:t xml:space="preserve"> Exhibit I-03-08</w:t>
      </w:r>
      <w:r w:rsidR="00435038">
        <w:t xml:space="preserve"> that</w:t>
      </w:r>
      <w:r>
        <w:t xml:space="preserve"> </w:t>
      </w:r>
      <w:r w:rsidR="008C5F58">
        <w:t xml:space="preserve">the similar </w:t>
      </w:r>
      <w:r w:rsidR="00ED6D54">
        <w:t xml:space="preserve">comments below from the </w:t>
      </w:r>
      <w:r>
        <w:t xml:space="preserve">Tasso, Toad, Camp and Blue Lakes Association </w:t>
      </w:r>
      <w:r w:rsidR="00435038">
        <w:t>w</w:t>
      </w:r>
      <w:r w:rsidR="008C5F58">
        <w:t>ere</w:t>
      </w:r>
      <w:r w:rsidR="00435038">
        <w:t xml:space="preserve"> indeed correct</w:t>
      </w:r>
      <w:r>
        <w:t>:</w:t>
      </w:r>
    </w:p>
    <w:p w14:paraId="29A6FED8" w14:textId="068B6523" w:rsidR="00F33B51" w:rsidRDefault="00F33B51" w:rsidP="00B97820">
      <w:pPr>
        <w:ind w:firstLine="720"/>
      </w:pPr>
    </w:p>
    <w:p w14:paraId="2CB399D3" w14:textId="136F8DCD" w:rsidR="00F33B51" w:rsidRDefault="00F33B51" w:rsidP="00327DA1">
      <w:pPr>
        <w:ind w:left="1440"/>
        <w:rPr>
          <w:i/>
          <w:iCs/>
        </w:rPr>
      </w:pPr>
      <w:r>
        <w:t>…</w:t>
      </w:r>
      <w:r w:rsidRPr="00F33B51">
        <w:rPr>
          <w:i/>
          <w:iCs/>
        </w:rPr>
        <w:t xml:space="preserve">capping a rate increase cost for any given customer at no more than 10% above the previous year’s cost will lead to a compounding effect where the actual costs will increase more than 20% above the base price after the second </w:t>
      </w:r>
      <w:proofErr w:type="gramStart"/>
      <w:r w:rsidRPr="00F33B51">
        <w:rPr>
          <w:i/>
          <w:iCs/>
        </w:rPr>
        <w:t>year, and</w:t>
      </w:r>
      <w:proofErr w:type="gramEnd"/>
      <w:r w:rsidRPr="00F33B51">
        <w:rPr>
          <w:i/>
          <w:iCs/>
        </w:rPr>
        <w:t xml:space="preserve"> compound each year thereafter</w:t>
      </w:r>
      <w:r>
        <w:rPr>
          <w:i/>
          <w:iCs/>
        </w:rPr>
        <w:t>.</w:t>
      </w:r>
    </w:p>
    <w:p w14:paraId="3BB5CAA8" w14:textId="482C5251" w:rsidR="009F5484" w:rsidRDefault="009F5484" w:rsidP="009F5484"/>
    <w:p w14:paraId="2AB4C9FD" w14:textId="681101FB" w:rsidR="009F5484" w:rsidRDefault="009F5484" w:rsidP="009F5484">
      <w:pPr>
        <w:pStyle w:val="ListParagraph"/>
        <w:numPr>
          <w:ilvl w:val="0"/>
          <w:numId w:val="16"/>
        </w:numPr>
      </w:pPr>
      <w:r>
        <w:lastRenderedPageBreak/>
        <w:t xml:space="preserve">Under </w:t>
      </w:r>
      <w:r w:rsidR="00ED6D54">
        <w:t xml:space="preserve">Hydro One’s </w:t>
      </w:r>
      <w:r>
        <w:t xml:space="preserve">Option 1, customers with consumption lower than the midpoint within the consumption band would </w:t>
      </w:r>
      <w:r w:rsidR="00ED6D54">
        <w:t xml:space="preserve">also </w:t>
      </w:r>
      <w:r>
        <w:t>see impacts greater than 10%. Hydro One stated at Exhibit I-01-18, part a), that they:</w:t>
      </w:r>
    </w:p>
    <w:p w14:paraId="79682782" w14:textId="77777777" w:rsidR="009F5484" w:rsidRDefault="009F5484" w:rsidP="009F5484">
      <w:pPr>
        <w:pStyle w:val="ListParagraph"/>
      </w:pPr>
    </w:p>
    <w:p w14:paraId="675ECB9C" w14:textId="67DE943A" w:rsidR="009F5484" w:rsidRPr="009F5484" w:rsidRDefault="009F5484" w:rsidP="00ED6D54">
      <w:pPr>
        <w:pStyle w:val="ListParagraph"/>
        <w:ind w:left="1440"/>
        <w:rPr>
          <w:i/>
          <w:iCs/>
        </w:rPr>
      </w:pPr>
      <w:r w:rsidRPr="009F5484">
        <w:rPr>
          <w:i/>
          <w:iCs/>
        </w:rPr>
        <w:t>…calculated the total bill impacts at the lower boundary of every consumption band (for example, at 0kWh for 0-50kWh consumption band) and the largest total bill impact observed, with the mitigation credit, was 12%</w:t>
      </w:r>
      <w:r w:rsidR="00435038">
        <w:rPr>
          <w:i/>
          <w:iCs/>
        </w:rPr>
        <w:t>.</w:t>
      </w:r>
    </w:p>
    <w:p w14:paraId="5862205F" w14:textId="77777777" w:rsidR="00F33B51" w:rsidRDefault="00F33B51" w:rsidP="00F33B51">
      <w:pPr>
        <w:ind w:left="720"/>
      </w:pPr>
    </w:p>
    <w:p w14:paraId="27F93C60" w14:textId="7DEA869E" w:rsidR="00FA1B80" w:rsidRDefault="00EA1976" w:rsidP="00AB1C1D">
      <w:pPr>
        <w:pStyle w:val="ListParagraph"/>
        <w:numPr>
          <w:ilvl w:val="0"/>
          <w:numId w:val="16"/>
        </w:numPr>
      </w:pPr>
      <w:r>
        <w:t>At Exhibit I-01-14, part a</w:t>
      </w:r>
      <w:r w:rsidR="00FA1B80">
        <w:t xml:space="preserve">), Hydro One has confirmed </w:t>
      </w:r>
      <w:r w:rsidR="00ED6D54">
        <w:t xml:space="preserve">as well </w:t>
      </w:r>
      <w:r w:rsidR="00FA1B80">
        <w:t>that</w:t>
      </w:r>
      <w:r w:rsidR="006218D2">
        <w:t xml:space="preserve"> under their Option 2A</w:t>
      </w:r>
      <w:r w:rsidR="00FA1B80">
        <w:t>:</w:t>
      </w:r>
    </w:p>
    <w:p w14:paraId="26EE4649" w14:textId="77777777" w:rsidR="00FA1B80" w:rsidRDefault="00FA1B80" w:rsidP="00FA1B80">
      <w:pPr>
        <w:pStyle w:val="ListParagraph"/>
      </w:pPr>
    </w:p>
    <w:p w14:paraId="47E81C49" w14:textId="08E41215" w:rsidR="00AB1C1D" w:rsidRPr="00FA1B80" w:rsidRDefault="00EA1976" w:rsidP="00ED6D54">
      <w:pPr>
        <w:pStyle w:val="ListParagraph"/>
        <w:ind w:left="1440"/>
        <w:rPr>
          <w:i/>
          <w:iCs/>
        </w:rPr>
      </w:pPr>
      <w:r w:rsidRPr="00FA1B80">
        <w:rPr>
          <w:i/>
          <w:iCs/>
        </w:rPr>
        <w:t xml:space="preserve">Approximately 17% of total seasonal customers moving to the R2 class will see </w:t>
      </w:r>
      <w:proofErr w:type="gramStart"/>
      <w:r w:rsidRPr="00FA1B80">
        <w:rPr>
          <w:i/>
          <w:iCs/>
        </w:rPr>
        <w:t>bill  impacts</w:t>
      </w:r>
      <w:proofErr w:type="gramEnd"/>
      <w:r w:rsidRPr="00FA1B80">
        <w:rPr>
          <w:i/>
          <w:iCs/>
        </w:rPr>
        <w:t xml:space="preserve"> higher than 10% under mitigation Option 2A. The largest bill increase </w:t>
      </w:r>
      <w:proofErr w:type="gramStart"/>
      <w:r w:rsidRPr="00FA1B80">
        <w:rPr>
          <w:i/>
          <w:iCs/>
        </w:rPr>
        <w:t>is  estimated</w:t>
      </w:r>
      <w:proofErr w:type="gramEnd"/>
      <w:r w:rsidRPr="00FA1B80">
        <w:rPr>
          <w:i/>
          <w:iCs/>
        </w:rPr>
        <w:t xml:space="preserve"> to be 13% for customers with monthly consumption of 0 kWh</w:t>
      </w:r>
      <w:r w:rsidR="00FA1B80">
        <w:rPr>
          <w:i/>
          <w:iCs/>
        </w:rPr>
        <w:t>.</w:t>
      </w:r>
    </w:p>
    <w:p w14:paraId="2E7B6B11" w14:textId="77777777" w:rsidR="00AB1C1D" w:rsidRDefault="00AB1C1D" w:rsidP="00AB1C1D">
      <w:pPr>
        <w:ind w:left="360"/>
      </w:pPr>
    </w:p>
    <w:p w14:paraId="49DCA751" w14:textId="66A3AFFF" w:rsidR="00EB0792" w:rsidRDefault="006218D2" w:rsidP="00FA1B80">
      <w:r>
        <w:t>When presented with an alternative approach in my interrogatories that would cap the annual increase to a set percentage of the “base year” amount for each subsequent year through the transition period</w:t>
      </w:r>
      <w:r w:rsidR="00EB0792">
        <w:t>, Hy</w:t>
      </w:r>
      <w:r w:rsidR="00D2360A">
        <w:t xml:space="preserve">dro One </w:t>
      </w:r>
      <w:r w:rsidR="00EB0792">
        <w:t>stated at Exhibit I-02</w:t>
      </w:r>
      <w:r w:rsidR="008C5F58">
        <w:t>-</w:t>
      </w:r>
      <w:r w:rsidR="00EB0792">
        <w:t>04, part c) that it</w:t>
      </w:r>
      <w:r w:rsidR="00F9528F">
        <w:t xml:space="preserve"> </w:t>
      </w:r>
      <w:r w:rsidR="00EB0792">
        <w:t>had not considered such an approach because it would be i</w:t>
      </w:r>
      <w:r>
        <w:t>nconsiste</w:t>
      </w:r>
      <w:r w:rsidR="00F9528F">
        <w:t>nt</w:t>
      </w:r>
      <w:r>
        <w:t xml:space="preserve"> with the mitigation requirements defined by the OEB’s Filing Requirements</w:t>
      </w:r>
      <w:r w:rsidR="00EB0792">
        <w:t>.</w:t>
      </w:r>
    </w:p>
    <w:p w14:paraId="28CCD8A9" w14:textId="77777777" w:rsidR="00EB0792" w:rsidRDefault="00EB0792" w:rsidP="00FA1B80"/>
    <w:p w14:paraId="553D9793" w14:textId="0E9C6063" w:rsidR="000A7976" w:rsidRDefault="00F9528F" w:rsidP="00FA1B80">
      <w:r>
        <w:t>I</w:t>
      </w:r>
      <w:r w:rsidR="002940CF">
        <w:t xml:space="preserve">t </w:t>
      </w:r>
      <w:r w:rsidR="00D2360A">
        <w:t xml:space="preserve">is indeed curious </w:t>
      </w:r>
      <w:r w:rsidR="00EC5490">
        <w:t xml:space="preserve">that Hydro One has not advanced a mitigation option similar </w:t>
      </w:r>
      <w:r w:rsidR="000D5FD7">
        <w:t xml:space="preserve">to the </w:t>
      </w:r>
      <w:r>
        <w:t xml:space="preserve">one </w:t>
      </w:r>
      <w:r w:rsidR="000D5FD7">
        <w:t xml:space="preserve">used </w:t>
      </w:r>
      <w:r w:rsidR="00ED6D54">
        <w:t xml:space="preserve">earlier </w:t>
      </w:r>
      <w:r w:rsidR="000D5FD7">
        <w:t xml:space="preserve">for </w:t>
      </w:r>
      <w:r>
        <w:t xml:space="preserve">the </w:t>
      </w:r>
      <w:proofErr w:type="gramStart"/>
      <w:r w:rsidR="000D5FD7">
        <w:t>fully-fixed</w:t>
      </w:r>
      <w:proofErr w:type="gramEnd"/>
      <w:r w:rsidR="000D5FD7">
        <w:t xml:space="preserve"> rates </w:t>
      </w:r>
      <w:r>
        <w:t xml:space="preserve">implementation </w:t>
      </w:r>
      <w:r w:rsidR="000D5FD7">
        <w:t xml:space="preserve">for residential class customers. </w:t>
      </w:r>
      <w:r w:rsidR="002940CF">
        <w:t>Hydro One has indicated in Exhibit I-01-16, part b)</w:t>
      </w:r>
      <w:r>
        <w:t>,</w:t>
      </w:r>
      <w:r w:rsidR="002940CF">
        <w:t xml:space="preserve"> </w:t>
      </w:r>
      <w:proofErr w:type="gramStart"/>
      <w:r w:rsidR="002940CF">
        <w:t>that :</w:t>
      </w:r>
      <w:proofErr w:type="gramEnd"/>
    </w:p>
    <w:p w14:paraId="5925995F" w14:textId="1279A4C3" w:rsidR="000A7976" w:rsidRDefault="000A7976"/>
    <w:p w14:paraId="17ADA53F" w14:textId="77777777" w:rsidR="002940CF" w:rsidRPr="001405B7" w:rsidRDefault="000A7976" w:rsidP="002940CF">
      <w:pPr>
        <w:ind w:left="720"/>
        <w:rPr>
          <w:i/>
          <w:iCs/>
        </w:rPr>
      </w:pPr>
      <w:r w:rsidRPr="001405B7">
        <w:rPr>
          <w:i/>
          <w:iCs/>
        </w:rPr>
        <w:t xml:space="preserve">It is not unprecedented for the Board to deviate from its filing requirements, where conditions warrant it. As an example, during the transition to </w:t>
      </w:r>
      <w:proofErr w:type="gramStart"/>
      <w:r w:rsidRPr="001405B7">
        <w:rPr>
          <w:i/>
          <w:iCs/>
        </w:rPr>
        <w:t>fully-fixed</w:t>
      </w:r>
      <w:proofErr w:type="gramEnd"/>
      <w:r w:rsidRPr="001405B7">
        <w:rPr>
          <w:i/>
          <w:iCs/>
        </w:rPr>
        <w:t xml:space="preserve"> rates for residential class customers the Board indicated that they expected distributors to implement the change in equal increments over a four-year period while limiting the increase in the monthly service charge to no more than $4 per year in order to effect this change. </w:t>
      </w:r>
    </w:p>
    <w:p w14:paraId="244018F2" w14:textId="77777777" w:rsidR="002940CF" w:rsidRDefault="002940CF"/>
    <w:p w14:paraId="7D4D2AA0" w14:textId="59B4A8D1" w:rsidR="00C82F0D" w:rsidRPr="001405B7" w:rsidRDefault="001405B7" w:rsidP="001405B7">
      <w:pPr>
        <w:ind w:left="720"/>
        <w:rPr>
          <w:i/>
          <w:iCs/>
        </w:rPr>
      </w:pPr>
      <w:r w:rsidRPr="001405B7">
        <w:rPr>
          <w:i/>
          <w:iCs/>
        </w:rPr>
        <w:t xml:space="preserve">… </w:t>
      </w:r>
      <w:r w:rsidR="000A7976" w:rsidRPr="001405B7">
        <w:rPr>
          <w:i/>
          <w:iCs/>
        </w:rPr>
        <w:t xml:space="preserve">the OEB noted that for the R2 customer class, the transition period required </w:t>
      </w:r>
      <w:proofErr w:type="gramStart"/>
      <w:r w:rsidR="000A7976" w:rsidRPr="001405B7">
        <w:rPr>
          <w:i/>
          <w:iCs/>
        </w:rPr>
        <w:t>to  achieve</w:t>
      </w:r>
      <w:proofErr w:type="gramEnd"/>
      <w:r w:rsidR="000A7976" w:rsidRPr="001405B7">
        <w:rPr>
          <w:i/>
          <w:iCs/>
        </w:rPr>
        <w:t xml:space="preserve"> a $4 annual fixed rate increase would be 15 years, and they found 15 years to be an unreasonable time period to transition to fully fixed rates for this customer class. </w:t>
      </w:r>
      <w:proofErr w:type="gramStart"/>
      <w:r w:rsidR="000A7976" w:rsidRPr="001405B7">
        <w:rPr>
          <w:i/>
          <w:iCs/>
        </w:rPr>
        <w:t>Accordingly</w:t>
      </w:r>
      <w:proofErr w:type="gramEnd"/>
      <w:r w:rsidR="000A7976" w:rsidRPr="001405B7">
        <w:rPr>
          <w:i/>
          <w:iCs/>
        </w:rPr>
        <w:t xml:space="preserve"> they directed Hydro One to transition the R2 class over an eight year period, even though the $ impacts were in excess of the $4 amount prescribed in the filing requirements. </w:t>
      </w:r>
    </w:p>
    <w:p w14:paraId="3E53A595" w14:textId="02BD3F75" w:rsidR="00C82F0D" w:rsidRDefault="00C82F0D"/>
    <w:p w14:paraId="313823B4" w14:textId="49635C37" w:rsidR="001405B7" w:rsidRDefault="001405B7">
      <w:r>
        <w:t>It would be preferable</w:t>
      </w:r>
      <w:r w:rsidR="00ED6D54">
        <w:t xml:space="preserve">, in the writer’s view, </w:t>
      </w:r>
      <w:r>
        <w:t xml:space="preserve">to have a mitigation approach that uses a set </w:t>
      </w:r>
      <w:r w:rsidR="00E15E3B">
        <w:t xml:space="preserve">“baseline </w:t>
      </w:r>
      <w:r>
        <w:t>amount</w:t>
      </w:r>
      <w:r w:rsidR="00E15E3B">
        <w:t>”</w:t>
      </w:r>
      <w:r>
        <w:t xml:space="preserve"> (whether at a fixed dollar level or </w:t>
      </w:r>
      <w:r w:rsidR="00E15E3B">
        <w:t xml:space="preserve">through </w:t>
      </w:r>
      <w:r>
        <w:t xml:space="preserve">a percentage of </w:t>
      </w:r>
      <w:r w:rsidR="00ED6D54">
        <w:t xml:space="preserve">the </w:t>
      </w:r>
      <w:r>
        <w:t xml:space="preserve">base year amount) </w:t>
      </w:r>
      <w:r w:rsidR="008C5F58">
        <w:t xml:space="preserve">that stays constant </w:t>
      </w:r>
      <w:r w:rsidR="00F9528F">
        <w:t xml:space="preserve">throughout the transition period </w:t>
      </w:r>
      <w:r>
        <w:t xml:space="preserve">to give </w:t>
      </w:r>
      <w:r w:rsidR="00E00F80">
        <w:t xml:space="preserve">consumers an additional degree of certainty </w:t>
      </w:r>
      <w:r w:rsidR="00E9065D">
        <w:t xml:space="preserve">and clarity </w:t>
      </w:r>
      <w:r w:rsidR="00E00F80">
        <w:t xml:space="preserve">around their future hydro bill increases, while </w:t>
      </w:r>
      <w:r w:rsidR="00E15E3B">
        <w:t xml:space="preserve">also </w:t>
      </w:r>
      <w:r w:rsidR="00E00F80">
        <w:t xml:space="preserve">simplifying those critical future communications with its affected customers. As outlined earlier, </w:t>
      </w:r>
      <w:r w:rsidR="00E00F80">
        <w:lastRenderedPageBreak/>
        <w:t xml:space="preserve">communications going forward should be of paramount importance give the widespread consumer dissatisfaction and </w:t>
      </w:r>
      <w:r w:rsidR="00E9065D">
        <w:t xml:space="preserve">a widespread </w:t>
      </w:r>
      <w:r w:rsidR="00E15E3B">
        <w:t xml:space="preserve">lack of </w:t>
      </w:r>
      <w:r w:rsidR="00E00F80">
        <w:t xml:space="preserve">understanding </w:t>
      </w:r>
      <w:r w:rsidR="00E9065D">
        <w:t xml:space="preserve">surrounding </w:t>
      </w:r>
      <w:r w:rsidR="00E00F80">
        <w:t xml:space="preserve">the OEB’s decision(s) to date in this matter. The letters of comment the OEB has received </w:t>
      </w:r>
      <w:r w:rsidR="00E15E3B">
        <w:t xml:space="preserve">since February 2021 emphatically </w:t>
      </w:r>
      <w:r w:rsidR="00E9065D">
        <w:t xml:space="preserve">underscore </w:t>
      </w:r>
      <w:r w:rsidR="00E00F80">
        <w:t>that.</w:t>
      </w:r>
    </w:p>
    <w:p w14:paraId="77ACA9B9" w14:textId="77777777" w:rsidR="00C82F0D" w:rsidRDefault="00C82F0D"/>
    <w:p w14:paraId="60E8FBCF" w14:textId="1BEFFDBB" w:rsidR="00114855" w:rsidRDefault="008C5F58">
      <w:r>
        <w:t>Given the very substantial hydro bill increases coming for R2 seasonal customers</w:t>
      </w:r>
      <w:r w:rsidR="00E16AB4">
        <w:t xml:space="preserve"> </w:t>
      </w:r>
      <w:proofErr w:type="gramStart"/>
      <w:r w:rsidR="00E16AB4">
        <w:t xml:space="preserve">and  </w:t>
      </w:r>
      <w:r w:rsidR="00E16AB4">
        <w:t>within</w:t>
      </w:r>
      <w:proofErr w:type="gramEnd"/>
      <w:r w:rsidR="00E16AB4">
        <w:t xml:space="preserve"> the parameters set for this proceeding</w:t>
      </w:r>
      <w:r w:rsidR="00E16AB4">
        <w:t xml:space="preserve"> </w:t>
      </w:r>
      <w:r>
        <w:t xml:space="preserve">, it would be most reasonable </w:t>
      </w:r>
      <w:r w:rsidR="00E16AB4">
        <w:t xml:space="preserve">in the writer’s view </w:t>
      </w:r>
      <w:r w:rsidR="00114855">
        <w:t xml:space="preserve">for </w:t>
      </w:r>
      <w:r w:rsidR="00E16AB4">
        <w:t xml:space="preserve">the OEB to provide for </w:t>
      </w:r>
      <w:r w:rsidR="00EF325E">
        <w:t xml:space="preserve">a </w:t>
      </w:r>
      <w:r>
        <w:t xml:space="preserve">minimum of a </w:t>
      </w:r>
      <w:r w:rsidR="00114855">
        <w:t xml:space="preserve">12 year transition period, for the </w:t>
      </w:r>
      <w:r w:rsidR="00E16AB4">
        <w:t>re</w:t>
      </w:r>
      <w:r w:rsidR="00114855">
        <w:t>asons</w:t>
      </w:r>
      <w:r w:rsidR="00E16AB4">
        <w:t xml:space="preserve"> set out below</w:t>
      </w:r>
      <w:r w:rsidR="00114855">
        <w:t>:</w:t>
      </w:r>
    </w:p>
    <w:p w14:paraId="6BDBF37F" w14:textId="77777777" w:rsidR="00114855" w:rsidRDefault="00114855"/>
    <w:p w14:paraId="5D28B103" w14:textId="7DD751F6" w:rsidR="00562566" w:rsidRDefault="00114855" w:rsidP="00114855">
      <w:pPr>
        <w:pStyle w:val="ListParagraph"/>
        <w:numPr>
          <w:ilvl w:val="0"/>
          <w:numId w:val="16"/>
        </w:numPr>
      </w:pPr>
      <w:r>
        <w:t xml:space="preserve"> Given Hydro One’s comments in </w:t>
      </w:r>
      <w:r w:rsidR="00E15E3B">
        <w:t xml:space="preserve">its </w:t>
      </w:r>
      <w:r w:rsidR="00562566">
        <w:t xml:space="preserve">various </w:t>
      </w:r>
      <w:r>
        <w:t>Responses about its past experience with mitigation and phase-in approach</w:t>
      </w:r>
      <w:r w:rsidR="00562566">
        <w:t>es</w:t>
      </w:r>
      <w:r>
        <w:t>, the remaining steps in the move to fixed distribution rates combined with the elim</w:t>
      </w:r>
      <w:r w:rsidR="00562566">
        <w:t>ina</w:t>
      </w:r>
      <w:r>
        <w:t xml:space="preserve">tion of the </w:t>
      </w:r>
      <w:r w:rsidR="00562566">
        <w:t xml:space="preserve">seasonal class will be amongst, if not the   largest hydro price increase experiences </w:t>
      </w:r>
      <w:r w:rsidR="00E9065D">
        <w:t xml:space="preserve">for a customer group </w:t>
      </w:r>
      <w:r w:rsidR="00562566">
        <w:t>to date</w:t>
      </w:r>
      <w:r w:rsidR="00BF579E">
        <w:t xml:space="preserve">; </w:t>
      </w:r>
      <w:r w:rsidR="00E16AB4">
        <w:t xml:space="preserve"> </w:t>
      </w:r>
      <w:r w:rsidR="00BF579E">
        <w:t xml:space="preserve">at Exhibit I-03-01, Hydro One cites a previous transition where some of the acquired utility customers experienced total bill impacts of up to </w:t>
      </w:r>
      <w:r w:rsidR="00E9065D">
        <w:t xml:space="preserve">only </w:t>
      </w:r>
      <w:r w:rsidR="00BF579E">
        <w:t>36%</w:t>
      </w:r>
      <w:r w:rsidR="00E9065D">
        <w:t xml:space="preserve">; </w:t>
      </w:r>
      <w:r w:rsidR="00E15E3B">
        <w:t xml:space="preserve">the </w:t>
      </w:r>
      <w:r w:rsidR="00E16AB4">
        <w:t xml:space="preserve">hydro bill </w:t>
      </w:r>
      <w:r w:rsidR="00E15E3B">
        <w:t>increases faced here by low volume customers will be multiples of that.</w:t>
      </w:r>
    </w:p>
    <w:p w14:paraId="6816188F" w14:textId="63D39260" w:rsidR="00EF701F" w:rsidRDefault="00EF701F" w:rsidP="00EF701F"/>
    <w:p w14:paraId="2898FE43" w14:textId="316C4F02" w:rsidR="00EF701F" w:rsidRDefault="00EF701F" w:rsidP="00562566">
      <w:pPr>
        <w:pStyle w:val="ListParagraph"/>
        <w:numPr>
          <w:ilvl w:val="0"/>
          <w:numId w:val="16"/>
        </w:numPr>
      </w:pPr>
      <w:r>
        <w:t xml:space="preserve">There is some suggestion </w:t>
      </w:r>
      <w:r w:rsidR="00181A25">
        <w:t xml:space="preserve">in Hydro One’s Responses </w:t>
      </w:r>
      <w:r>
        <w:t xml:space="preserve">that prior transition plans </w:t>
      </w:r>
      <w:r w:rsidR="00181A25">
        <w:t>used</w:t>
      </w:r>
      <w:r>
        <w:t xml:space="preserve"> “total bill” impact</w:t>
      </w:r>
      <w:r w:rsidR="00181A25">
        <w:t>s</w:t>
      </w:r>
      <w:r>
        <w:t xml:space="preserve"> </w:t>
      </w:r>
      <w:r w:rsidR="00181A25">
        <w:t>to mitigate</w:t>
      </w:r>
      <w:r>
        <w:t xml:space="preserve">, wherein Hydro One indicates that only “distribution related” impacts are </w:t>
      </w:r>
      <w:r w:rsidR="00181A25">
        <w:t xml:space="preserve">mitigated </w:t>
      </w:r>
      <w:r w:rsidR="00667FBD">
        <w:t xml:space="preserve">under its </w:t>
      </w:r>
      <w:r w:rsidR="00181A25">
        <w:t xml:space="preserve">current options </w:t>
      </w:r>
      <w:r w:rsidR="00E16AB4">
        <w:t>for the seasonal class elimination</w:t>
      </w:r>
    </w:p>
    <w:p w14:paraId="105F16DA" w14:textId="77777777" w:rsidR="00EF701F" w:rsidRDefault="00EF701F" w:rsidP="00EF701F">
      <w:pPr>
        <w:pStyle w:val="ListParagraph"/>
      </w:pPr>
    </w:p>
    <w:p w14:paraId="45AB04D5" w14:textId="295FF9CE" w:rsidR="00562566" w:rsidRDefault="00EF701F" w:rsidP="00562566">
      <w:pPr>
        <w:pStyle w:val="ListParagraph"/>
        <w:numPr>
          <w:ilvl w:val="0"/>
          <w:numId w:val="16"/>
        </w:numPr>
      </w:pPr>
      <w:r>
        <w:t xml:space="preserve">Inflationary </w:t>
      </w:r>
      <w:r w:rsidR="00667FBD">
        <w:t>and cost increase</w:t>
      </w:r>
      <w:r w:rsidR="00E16AB4">
        <w:t xml:space="preserve">s </w:t>
      </w:r>
      <w:r w:rsidR="00667FBD">
        <w:t xml:space="preserve">in </w:t>
      </w:r>
      <w:r w:rsidR="00E16AB4">
        <w:t xml:space="preserve">other </w:t>
      </w:r>
      <w:r w:rsidR="00667FBD">
        <w:t>“no</w:t>
      </w:r>
      <w:r w:rsidR="00181A25">
        <w:t>n</w:t>
      </w:r>
      <w:r w:rsidR="00667FBD">
        <w:t>-distribution” line items are not factored in</w:t>
      </w:r>
    </w:p>
    <w:p w14:paraId="20138005" w14:textId="77777777" w:rsidR="00667FBD" w:rsidRDefault="00667FBD" w:rsidP="00667FBD">
      <w:pPr>
        <w:pStyle w:val="ListParagraph"/>
      </w:pPr>
    </w:p>
    <w:p w14:paraId="65E7D5AA" w14:textId="4CDB2A0E" w:rsidR="00E00F80" w:rsidRDefault="00667FBD" w:rsidP="00562566">
      <w:pPr>
        <w:pStyle w:val="ListParagraph"/>
        <w:numPr>
          <w:ilvl w:val="0"/>
          <w:numId w:val="16"/>
        </w:numPr>
      </w:pPr>
      <w:r>
        <w:t>T</w:t>
      </w:r>
      <w:r w:rsidR="00562566">
        <w:t xml:space="preserve">he lowest volume hydro consumers </w:t>
      </w:r>
      <w:r w:rsidR="00114DB2">
        <w:t xml:space="preserve">moving to the R2 class </w:t>
      </w:r>
      <w:r w:rsidR="00562566">
        <w:t>will have a</w:t>
      </w:r>
      <w:r w:rsidR="00181A25">
        <w:t xml:space="preserve"> more reasonable and </w:t>
      </w:r>
      <w:r w:rsidR="00562566">
        <w:t xml:space="preserve">smoother transition path </w:t>
      </w:r>
      <w:r w:rsidR="00114DB2">
        <w:t>given the large dollar increases forecast</w:t>
      </w:r>
    </w:p>
    <w:p w14:paraId="4D735461" w14:textId="77777777" w:rsidR="00562566" w:rsidRDefault="00562566" w:rsidP="00562566">
      <w:pPr>
        <w:pStyle w:val="ListParagraph"/>
      </w:pPr>
    </w:p>
    <w:p w14:paraId="338C8DBE" w14:textId="56EF2C35" w:rsidR="00562566" w:rsidRDefault="00181A25" w:rsidP="00562566">
      <w:pPr>
        <w:pStyle w:val="ListParagraph"/>
        <w:numPr>
          <w:ilvl w:val="0"/>
          <w:numId w:val="16"/>
        </w:numPr>
      </w:pPr>
      <w:r>
        <w:t xml:space="preserve">Additional flexibility would be </w:t>
      </w:r>
      <w:r w:rsidR="00E16AB4">
        <w:t xml:space="preserve">implicitly </w:t>
      </w:r>
      <w:proofErr w:type="gramStart"/>
      <w:r>
        <w:t>taken into account</w:t>
      </w:r>
      <w:proofErr w:type="gramEnd"/>
      <w:r>
        <w:t xml:space="preserve"> for </w:t>
      </w:r>
      <w:r w:rsidR="00562566">
        <w:t>further changes to distribution charges resulting from consumers going “off-grid” a</w:t>
      </w:r>
      <w:r w:rsidR="00F768B2">
        <w:t xml:space="preserve">s well as for </w:t>
      </w:r>
      <w:r w:rsidR="00562566">
        <w:t>future payment delin</w:t>
      </w:r>
      <w:r>
        <w:t>quencies</w:t>
      </w:r>
      <w:r w:rsidR="00562566">
        <w:t xml:space="preserve">, neither of which </w:t>
      </w:r>
      <w:r w:rsidR="00F768B2">
        <w:t xml:space="preserve">has </w:t>
      </w:r>
      <w:r w:rsidR="00562566">
        <w:t xml:space="preserve">Hydro One </w:t>
      </w:r>
      <w:r w:rsidR="00F768B2">
        <w:t xml:space="preserve">any </w:t>
      </w:r>
      <w:r w:rsidR="00562566">
        <w:t>estimates for</w:t>
      </w:r>
      <w:r w:rsidR="00A3385C">
        <w:t xml:space="preserve"> at this time</w:t>
      </w:r>
    </w:p>
    <w:p w14:paraId="32266FC4" w14:textId="77777777" w:rsidR="00562566" w:rsidRDefault="00562566" w:rsidP="00562566">
      <w:pPr>
        <w:pStyle w:val="ListParagraph"/>
      </w:pPr>
    </w:p>
    <w:p w14:paraId="60949253" w14:textId="1D018019" w:rsidR="00EF701F" w:rsidRDefault="00562566" w:rsidP="00562566">
      <w:pPr>
        <w:pStyle w:val="ListParagraph"/>
        <w:numPr>
          <w:ilvl w:val="0"/>
          <w:numId w:val="16"/>
        </w:numPr>
      </w:pPr>
      <w:r>
        <w:t>A 12</w:t>
      </w:r>
      <w:r w:rsidR="00BF579E">
        <w:t>-</w:t>
      </w:r>
      <w:r>
        <w:t xml:space="preserve">year phase-in is identical with what </w:t>
      </w:r>
      <w:r w:rsidR="00F768B2">
        <w:t xml:space="preserve">was </w:t>
      </w:r>
      <w:r>
        <w:t>proposed in Option 2A in the Report</w:t>
      </w:r>
      <w:r w:rsidR="00F768B2">
        <w:t>, even though Hydro One has now revised that phase-in period to 10 years per Exhibit I-01-08.</w:t>
      </w:r>
    </w:p>
    <w:p w14:paraId="033951BA" w14:textId="77777777" w:rsidR="00FB417D" w:rsidRDefault="00FB417D" w:rsidP="00FB417D">
      <w:pPr>
        <w:pStyle w:val="ListParagraph"/>
      </w:pPr>
    </w:p>
    <w:p w14:paraId="7437B9E1" w14:textId="3EF8B05F" w:rsidR="007C513F" w:rsidRDefault="00EF325E">
      <w:r>
        <w:t xml:space="preserve">Thank you for providing the opportunity to provide </w:t>
      </w:r>
      <w:r w:rsidR="00E9065D">
        <w:t xml:space="preserve">these </w:t>
      </w:r>
      <w:r>
        <w:t xml:space="preserve">written comments. </w:t>
      </w:r>
      <w:r w:rsidR="00E16AB4">
        <w:t>If any clarification is required, please advise.</w:t>
      </w:r>
    </w:p>
    <w:p w14:paraId="6592F890" w14:textId="5256942A" w:rsidR="00E16AB4" w:rsidRDefault="00E16AB4"/>
    <w:p w14:paraId="51992EF1" w14:textId="77777777" w:rsidR="00B5332B" w:rsidRDefault="00B5332B"/>
    <w:p w14:paraId="00000116" w14:textId="4DC0DC55" w:rsidR="00240D77" w:rsidRDefault="00FB09DA">
      <w:r>
        <w:t>Richard Gruchala</w:t>
      </w:r>
    </w:p>
    <w:p w14:paraId="23D45D31" w14:textId="76095E14" w:rsidR="00B5332B" w:rsidRDefault="00B5332B"/>
    <w:p w14:paraId="3578EAA4" w14:textId="629E9A18" w:rsidR="003B36F0" w:rsidRDefault="00AD1BE3">
      <w:r w:rsidRPr="00AD1BE3">
        <w:rPr>
          <w:u w:val="single"/>
        </w:rPr>
        <w:t>Copies to</w:t>
      </w:r>
      <w:r>
        <w:t>:</w:t>
      </w:r>
      <w:r w:rsidR="00B5332B">
        <w:tab/>
      </w:r>
      <w:r w:rsidR="002B740B">
        <w:t>Henry Andre, Director</w:t>
      </w:r>
      <w:r w:rsidR="00EF325E">
        <w:t>,</w:t>
      </w:r>
      <w:r w:rsidR="002B740B">
        <w:t xml:space="preserve"> Hydro One Networks Inc.</w:t>
      </w:r>
    </w:p>
    <w:p w14:paraId="4B6D2A8D" w14:textId="560FCF6F" w:rsidR="00E75A17" w:rsidRDefault="00E75A17" w:rsidP="00B5332B">
      <w:pPr>
        <w:ind w:left="720" w:firstLine="720"/>
      </w:pPr>
      <w:r>
        <w:t>Martin Davi</w:t>
      </w:r>
      <w:r w:rsidR="00977383">
        <w:t>e</w:t>
      </w:r>
      <w:r>
        <w:t>s, OEB Case Manager</w:t>
      </w:r>
    </w:p>
    <w:p w14:paraId="61161E4B" w14:textId="1125ABE4" w:rsidR="00E75A17" w:rsidRDefault="00E75A17" w:rsidP="00B5332B">
      <w:pPr>
        <w:ind w:left="720" w:firstLine="720"/>
      </w:pPr>
      <w:r>
        <w:t xml:space="preserve">James </w:t>
      </w:r>
      <w:proofErr w:type="spellStart"/>
      <w:r>
        <w:t>Sid</w:t>
      </w:r>
      <w:r w:rsidR="00977383">
        <w:t>l</w:t>
      </w:r>
      <w:r>
        <w:t>ofsky</w:t>
      </w:r>
      <w:proofErr w:type="spellEnd"/>
      <w:r>
        <w:t>, OEB Counsel</w:t>
      </w:r>
    </w:p>
    <w:p w14:paraId="2005BCB1" w14:textId="77777777" w:rsidR="00B4655B" w:rsidRDefault="00B4655B" w:rsidP="00B5332B">
      <w:pPr>
        <w:ind w:left="720" w:firstLine="720"/>
      </w:pPr>
      <w:r>
        <w:t>EB-2020-0246 Intervenors</w:t>
      </w:r>
    </w:p>
    <w:p w14:paraId="6C0294E1" w14:textId="165CBA74" w:rsidR="00B4655B" w:rsidRDefault="00B4655B"/>
    <w:p w14:paraId="7E69A9F0" w14:textId="36A94610" w:rsidR="000E6DA6" w:rsidRDefault="000E6DA6"/>
    <w:p w14:paraId="6AAEB650" w14:textId="77777777" w:rsidR="000E6DA6" w:rsidRDefault="000E6DA6"/>
    <w:sectPr w:rsidR="000E6DA6">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EE936" w14:textId="77777777" w:rsidR="00AB6120" w:rsidRDefault="00AB6120" w:rsidP="00AB6120">
      <w:pPr>
        <w:spacing w:line="240" w:lineRule="auto"/>
      </w:pPr>
      <w:r>
        <w:separator/>
      </w:r>
    </w:p>
  </w:endnote>
  <w:endnote w:type="continuationSeparator" w:id="0">
    <w:p w14:paraId="6E7B8891" w14:textId="77777777" w:rsidR="00AB6120" w:rsidRDefault="00AB6120" w:rsidP="00AB61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949632"/>
      <w:docPartObj>
        <w:docPartGallery w:val="Page Numbers (Bottom of Page)"/>
        <w:docPartUnique/>
      </w:docPartObj>
    </w:sdtPr>
    <w:sdtEndPr>
      <w:rPr>
        <w:noProof/>
      </w:rPr>
    </w:sdtEndPr>
    <w:sdtContent>
      <w:p w14:paraId="6C4B0180" w14:textId="612DD711" w:rsidR="00ED31F4" w:rsidRDefault="00ED31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099F25" w14:textId="77777777" w:rsidR="00ED31F4" w:rsidRDefault="00ED3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E3888" w14:textId="77777777" w:rsidR="00AB6120" w:rsidRDefault="00AB6120" w:rsidP="00AB6120">
      <w:pPr>
        <w:spacing w:line="240" w:lineRule="auto"/>
      </w:pPr>
      <w:r>
        <w:separator/>
      </w:r>
    </w:p>
  </w:footnote>
  <w:footnote w:type="continuationSeparator" w:id="0">
    <w:p w14:paraId="2451D4A0" w14:textId="77777777" w:rsidR="00AB6120" w:rsidRDefault="00AB6120" w:rsidP="00AB61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10DD"/>
    <w:multiLevelType w:val="hybridMultilevel"/>
    <w:tmpl w:val="80D255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779E3"/>
    <w:multiLevelType w:val="hybridMultilevel"/>
    <w:tmpl w:val="8206A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B50F3"/>
    <w:multiLevelType w:val="multilevel"/>
    <w:tmpl w:val="75EEB40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EB8597B"/>
    <w:multiLevelType w:val="hybridMultilevel"/>
    <w:tmpl w:val="1FE056AA"/>
    <w:lvl w:ilvl="0" w:tplc="5C9AF06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97A06"/>
    <w:multiLevelType w:val="hybridMultilevel"/>
    <w:tmpl w:val="5F84A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14235"/>
    <w:multiLevelType w:val="hybridMultilevel"/>
    <w:tmpl w:val="8B52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D108E"/>
    <w:multiLevelType w:val="hybridMultilevel"/>
    <w:tmpl w:val="E244E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F7C03"/>
    <w:multiLevelType w:val="hybridMultilevel"/>
    <w:tmpl w:val="FF4A5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992C29"/>
    <w:multiLevelType w:val="hybridMultilevel"/>
    <w:tmpl w:val="087E4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764B7F"/>
    <w:multiLevelType w:val="hybridMultilevel"/>
    <w:tmpl w:val="335A5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1541B3"/>
    <w:multiLevelType w:val="hybridMultilevel"/>
    <w:tmpl w:val="4EEE8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E84BE9"/>
    <w:multiLevelType w:val="hybridMultilevel"/>
    <w:tmpl w:val="217E2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4D6F86"/>
    <w:multiLevelType w:val="hybridMultilevel"/>
    <w:tmpl w:val="ACC0A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217D70"/>
    <w:multiLevelType w:val="hybridMultilevel"/>
    <w:tmpl w:val="AC8AA332"/>
    <w:lvl w:ilvl="0" w:tplc="ED7424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B81757"/>
    <w:multiLevelType w:val="hybridMultilevel"/>
    <w:tmpl w:val="B4D603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D080F"/>
    <w:multiLevelType w:val="hybridMultilevel"/>
    <w:tmpl w:val="BDDC527A"/>
    <w:lvl w:ilvl="0" w:tplc="3B14E50C">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A876B0"/>
    <w:multiLevelType w:val="hybridMultilevel"/>
    <w:tmpl w:val="47481DEA"/>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63447953"/>
    <w:multiLevelType w:val="hybridMultilevel"/>
    <w:tmpl w:val="4844BBE0"/>
    <w:lvl w:ilvl="0" w:tplc="2F7CF1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AE685D"/>
    <w:multiLevelType w:val="hybridMultilevel"/>
    <w:tmpl w:val="C32AA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B54FD"/>
    <w:multiLevelType w:val="hybridMultilevel"/>
    <w:tmpl w:val="DAFC7E5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0E0C76"/>
    <w:multiLevelType w:val="hybridMultilevel"/>
    <w:tmpl w:val="106A1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8136A5"/>
    <w:multiLevelType w:val="hybridMultilevel"/>
    <w:tmpl w:val="415480B4"/>
    <w:lvl w:ilvl="0" w:tplc="179C24FC">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01679C"/>
    <w:multiLevelType w:val="hybridMultilevel"/>
    <w:tmpl w:val="93F0F9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815B8"/>
    <w:multiLevelType w:val="hybridMultilevel"/>
    <w:tmpl w:val="3B2207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E217CE"/>
    <w:multiLevelType w:val="hybridMultilevel"/>
    <w:tmpl w:val="1FEAA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8"/>
  </w:num>
  <w:num w:numId="3">
    <w:abstractNumId w:val="4"/>
  </w:num>
  <w:num w:numId="4">
    <w:abstractNumId w:val="5"/>
  </w:num>
  <w:num w:numId="5">
    <w:abstractNumId w:val="12"/>
  </w:num>
  <w:num w:numId="6">
    <w:abstractNumId w:val="13"/>
  </w:num>
  <w:num w:numId="7">
    <w:abstractNumId w:val="16"/>
  </w:num>
  <w:num w:numId="8">
    <w:abstractNumId w:val="17"/>
  </w:num>
  <w:num w:numId="9">
    <w:abstractNumId w:val="23"/>
  </w:num>
  <w:num w:numId="10">
    <w:abstractNumId w:val="22"/>
  </w:num>
  <w:num w:numId="11">
    <w:abstractNumId w:val="0"/>
  </w:num>
  <w:num w:numId="12">
    <w:abstractNumId w:val="14"/>
  </w:num>
  <w:num w:numId="13">
    <w:abstractNumId w:val="19"/>
  </w:num>
  <w:num w:numId="14">
    <w:abstractNumId w:val="3"/>
  </w:num>
  <w:num w:numId="15">
    <w:abstractNumId w:val="15"/>
  </w:num>
  <w:num w:numId="16">
    <w:abstractNumId w:val="21"/>
  </w:num>
  <w:num w:numId="17">
    <w:abstractNumId w:val="20"/>
  </w:num>
  <w:num w:numId="18">
    <w:abstractNumId w:val="8"/>
  </w:num>
  <w:num w:numId="19">
    <w:abstractNumId w:val="6"/>
  </w:num>
  <w:num w:numId="20">
    <w:abstractNumId w:val="11"/>
  </w:num>
  <w:num w:numId="21">
    <w:abstractNumId w:val="7"/>
  </w:num>
  <w:num w:numId="22">
    <w:abstractNumId w:val="1"/>
  </w:num>
  <w:num w:numId="23">
    <w:abstractNumId w:val="24"/>
  </w:num>
  <w:num w:numId="24">
    <w:abstractNumId w:val="9"/>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D77"/>
    <w:rsid w:val="00005176"/>
    <w:rsid w:val="000143EF"/>
    <w:rsid w:val="0002072A"/>
    <w:rsid w:val="00053994"/>
    <w:rsid w:val="00065DC7"/>
    <w:rsid w:val="000677F4"/>
    <w:rsid w:val="00092145"/>
    <w:rsid w:val="000973E4"/>
    <w:rsid w:val="000A5077"/>
    <w:rsid w:val="000A7976"/>
    <w:rsid w:val="000B0CC5"/>
    <w:rsid w:val="000D02A3"/>
    <w:rsid w:val="000D5FD7"/>
    <w:rsid w:val="000E48F3"/>
    <w:rsid w:val="000E6DA6"/>
    <w:rsid w:val="000E741D"/>
    <w:rsid w:val="00103B9D"/>
    <w:rsid w:val="0010703F"/>
    <w:rsid w:val="001073F8"/>
    <w:rsid w:val="001074C5"/>
    <w:rsid w:val="00114855"/>
    <w:rsid w:val="00114DB2"/>
    <w:rsid w:val="00130B03"/>
    <w:rsid w:val="001315BC"/>
    <w:rsid w:val="001322B6"/>
    <w:rsid w:val="00132B28"/>
    <w:rsid w:val="00133786"/>
    <w:rsid w:val="001405B7"/>
    <w:rsid w:val="001638F8"/>
    <w:rsid w:val="001719B4"/>
    <w:rsid w:val="001719FC"/>
    <w:rsid w:val="00174E7F"/>
    <w:rsid w:val="00181A25"/>
    <w:rsid w:val="001939AA"/>
    <w:rsid w:val="001D07A0"/>
    <w:rsid w:val="001D1425"/>
    <w:rsid w:val="001E6E24"/>
    <w:rsid w:val="00203E4B"/>
    <w:rsid w:val="00240D77"/>
    <w:rsid w:val="00243DD4"/>
    <w:rsid w:val="0024620E"/>
    <w:rsid w:val="00257AE3"/>
    <w:rsid w:val="002660FC"/>
    <w:rsid w:val="002723BB"/>
    <w:rsid w:val="00273524"/>
    <w:rsid w:val="00277546"/>
    <w:rsid w:val="002940CF"/>
    <w:rsid w:val="002A319F"/>
    <w:rsid w:val="002A3B19"/>
    <w:rsid w:val="002B43E8"/>
    <w:rsid w:val="002B740B"/>
    <w:rsid w:val="00310FF9"/>
    <w:rsid w:val="00317031"/>
    <w:rsid w:val="003279EA"/>
    <w:rsid w:val="00327DA1"/>
    <w:rsid w:val="00332794"/>
    <w:rsid w:val="00346C27"/>
    <w:rsid w:val="00374A53"/>
    <w:rsid w:val="003946A8"/>
    <w:rsid w:val="003B36F0"/>
    <w:rsid w:val="003E6651"/>
    <w:rsid w:val="00404AF9"/>
    <w:rsid w:val="00432BAF"/>
    <w:rsid w:val="0043316D"/>
    <w:rsid w:val="00435038"/>
    <w:rsid w:val="0045152F"/>
    <w:rsid w:val="004536C7"/>
    <w:rsid w:val="00454F70"/>
    <w:rsid w:val="00464213"/>
    <w:rsid w:val="00464AB0"/>
    <w:rsid w:val="00470BFE"/>
    <w:rsid w:val="00480AEA"/>
    <w:rsid w:val="0049090E"/>
    <w:rsid w:val="004B196A"/>
    <w:rsid w:val="004B40A7"/>
    <w:rsid w:val="004D449D"/>
    <w:rsid w:val="004E3366"/>
    <w:rsid w:val="004E39EF"/>
    <w:rsid w:val="004F61C6"/>
    <w:rsid w:val="00504589"/>
    <w:rsid w:val="005330AD"/>
    <w:rsid w:val="005412EF"/>
    <w:rsid w:val="00562566"/>
    <w:rsid w:val="00576F94"/>
    <w:rsid w:val="00577291"/>
    <w:rsid w:val="005B516D"/>
    <w:rsid w:val="005B62E1"/>
    <w:rsid w:val="005B73D8"/>
    <w:rsid w:val="005B7BF6"/>
    <w:rsid w:val="005E0A31"/>
    <w:rsid w:val="00614F73"/>
    <w:rsid w:val="006218D2"/>
    <w:rsid w:val="006239A1"/>
    <w:rsid w:val="0063139A"/>
    <w:rsid w:val="00634034"/>
    <w:rsid w:val="00636DA6"/>
    <w:rsid w:val="006418DD"/>
    <w:rsid w:val="00650357"/>
    <w:rsid w:val="0065770E"/>
    <w:rsid w:val="00667FBD"/>
    <w:rsid w:val="00690679"/>
    <w:rsid w:val="006A1DB3"/>
    <w:rsid w:val="006B73E6"/>
    <w:rsid w:val="006C734A"/>
    <w:rsid w:val="006D7021"/>
    <w:rsid w:val="006E34FF"/>
    <w:rsid w:val="006F1AB5"/>
    <w:rsid w:val="007056E1"/>
    <w:rsid w:val="00713BFF"/>
    <w:rsid w:val="0072360E"/>
    <w:rsid w:val="00724726"/>
    <w:rsid w:val="0073294B"/>
    <w:rsid w:val="0073596F"/>
    <w:rsid w:val="00736E77"/>
    <w:rsid w:val="0074286A"/>
    <w:rsid w:val="007541D1"/>
    <w:rsid w:val="00755CA5"/>
    <w:rsid w:val="00774B6C"/>
    <w:rsid w:val="007751FF"/>
    <w:rsid w:val="00775DA6"/>
    <w:rsid w:val="0077619A"/>
    <w:rsid w:val="00790929"/>
    <w:rsid w:val="007A0A07"/>
    <w:rsid w:val="007A2550"/>
    <w:rsid w:val="007C0E61"/>
    <w:rsid w:val="007C513F"/>
    <w:rsid w:val="007C768F"/>
    <w:rsid w:val="007E5A76"/>
    <w:rsid w:val="008372DF"/>
    <w:rsid w:val="0083783E"/>
    <w:rsid w:val="00861C63"/>
    <w:rsid w:val="00882F53"/>
    <w:rsid w:val="00883F46"/>
    <w:rsid w:val="008A5B60"/>
    <w:rsid w:val="008B6209"/>
    <w:rsid w:val="008C5F58"/>
    <w:rsid w:val="008E4464"/>
    <w:rsid w:val="00903EA1"/>
    <w:rsid w:val="00936027"/>
    <w:rsid w:val="00937228"/>
    <w:rsid w:val="00950773"/>
    <w:rsid w:val="009509D6"/>
    <w:rsid w:val="0095608D"/>
    <w:rsid w:val="00965FA8"/>
    <w:rsid w:val="00973825"/>
    <w:rsid w:val="00977383"/>
    <w:rsid w:val="00977E2C"/>
    <w:rsid w:val="009865F8"/>
    <w:rsid w:val="00994E92"/>
    <w:rsid w:val="009A55C1"/>
    <w:rsid w:val="009B1FCE"/>
    <w:rsid w:val="009B2580"/>
    <w:rsid w:val="009D5EAF"/>
    <w:rsid w:val="009E279A"/>
    <w:rsid w:val="009E629F"/>
    <w:rsid w:val="009F0072"/>
    <w:rsid w:val="009F5484"/>
    <w:rsid w:val="00A07B30"/>
    <w:rsid w:val="00A234E0"/>
    <w:rsid w:val="00A3385C"/>
    <w:rsid w:val="00A447FA"/>
    <w:rsid w:val="00A7562E"/>
    <w:rsid w:val="00A86469"/>
    <w:rsid w:val="00AA576A"/>
    <w:rsid w:val="00AA62ED"/>
    <w:rsid w:val="00AB1C1D"/>
    <w:rsid w:val="00AB3283"/>
    <w:rsid w:val="00AB6120"/>
    <w:rsid w:val="00AC4302"/>
    <w:rsid w:val="00AD1BE3"/>
    <w:rsid w:val="00B04CC2"/>
    <w:rsid w:val="00B12AFB"/>
    <w:rsid w:val="00B233D8"/>
    <w:rsid w:val="00B4655B"/>
    <w:rsid w:val="00B47AEE"/>
    <w:rsid w:val="00B515B4"/>
    <w:rsid w:val="00B5332B"/>
    <w:rsid w:val="00B546B7"/>
    <w:rsid w:val="00B64931"/>
    <w:rsid w:val="00B7337E"/>
    <w:rsid w:val="00B765A9"/>
    <w:rsid w:val="00B97820"/>
    <w:rsid w:val="00BE5BE2"/>
    <w:rsid w:val="00BF4301"/>
    <w:rsid w:val="00BF579E"/>
    <w:rsid w:val="00BF57EE"/>
    <w:rsid w:val="00C12A52"/>
    <w:rsid w:val="00C23BAC"/>
    <w:rsid w:val="00C413B2"/>
    <w:rsid w:val="00C44164"/>
    <w:rsid w:val="00C61B83"/>
    <w:rsid w:val="00C70D88"/>
    <w:rsid w:val="00C82F0D"/>
    <w:rsid w:val="00CA1087"/>
    <w:rsid w:val="00CB163F"/>
    <w:rsid w:val="00CB4D9C"/>
    <w:rsid w:val="00CC36A1"/>
    <w:rsid w:val="00CD48D9"/>
    <w:rsid w:val="00CE09C1"/>
    <w:rsid w:val="00CE4060"/>
    <w:rsid w:val="00CF04BB"/>
    <w:rsid w:val="00CF55B4"/>
    <w:rsid w:val="00D01894"/>
    <w:rsid w:val="00D06AB1"/>
    <w:rsid w:val="00D15C4E"/>
    <w:rsid w:val="00D16C37"/>
    <w:rsid w:val="00D2360A"/>
    <w:rsid w:val="00D243DB"/>
    <w:rsid w:val="00D36153"/>
    <w:rsid w:val="00D40950"/>
    <w:rsid w:val="00D54661"/>
    <w:rsid w:val="00D65CF9"/>
    <w:rsid w:val="00D66056"/>
    <w:rsid w:val="00D732E4"/>
    <w:rsid w:val="00D813C1"/>
    <w:rsid w:val="00D844C4"/>
    <w:rsid w:val="00D928F4"/>
    <w:rsid w:val="00DB4FF2"/>
    <w:rsid w:val="00DC23CE"/>
    <w:rsid w:val="00DD0C4C"/>
    <w:rsid w:val="00DD2C81"/>
    <w:rsid w:val="00DD4487"/>
    <w:rsid w:val="00E00F80"/>
    <w:rsid w:val="00E01B5C"/>
    <w:rsid w:val="00E158D4"/>
    <w:rsid w:val="00E15E3B"/>
    <w:rsid w:val="00E16AB4"/>
    <w:rsid w:val="00E34746"/>
    <w:rsid w:val="00E46DA7"/>
    <w:rsid w:val="00E52092"/>
    <w:rsid w:val="00E63AA9"/>
    <w:rsid w:val="00E75478"/>
    <w:rsid w:val="00E75A17"/>
    <w:rsid w:val="00E9065D"/>
    <w:rsid w:val="00EA1976"/>
    <w:rsid w:val="00EB0792"/>
    <w:rsid w:val="00EB2AA2"/>
    <w:rsid w:val="00EB5C2B"/>
    <w:rsid w:val="00EC5490"/>
    <w:rsid w:val="00ED112C"/>
    <w:rsid w:val="00ED31F4"/>
    <w:rsid w:val="00ED6D54"/>
    <w:rsid w:val="00EF325E"/>
    <w:rsid w:val="00EF701F"/>
    <w:rsid w:val="00F03BA5"/>
    <w:rsid w:val="00F04BDA"/>
    <w:rsid w:val="00F23736"/>
    <w:rsid w:val="00F33B51"/>
    <w:rsid w:val="00F52B52"/>
    <w:rsid w:val="00F545D6"/>
    <w:rsid w:val="00F768B2"/>
    <w:rsid w:val="00F8451E"/>
    <w:rsid w:val="00F9528F"/>
    <w:rsid w:val="00F952A5"/>
    <w:rsid w:val="00FA1B80"/>
    <w:rsid w:val="00FB09DA"/>
    <w:rsid w:val="00FB417D"/>
    <w:rsid w:val="00FD00E5"/>
    <w:rsid w:val="00FD2E8E"/>
    <w:rsid w:val="00FE0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362A6"/>
  <w15:docId w15:val="{93447D22-5E51-4CCC-BA47-5B8891C2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75A17"/>
    <w:rPr>
      <w:color w:val="0000FF" w:themeColor="hyperlink"/>
      <w:u w:val="single"/>
    </w:rPr>
  </w:style>
  <w:style w:type="character" w:styleId="UnresolvedMention">
    <w:name w:val="Unresolved Mention"/>
    <w:basedOn w:val="DefaultParagraphFont"/>
    <w:uiPriority w:val="99"/>
    <w:semiHidden/>
    <w:unhideWhenUsed/>
    <w:rsid w:val="00E75A17"/>
    <w:rPr>
      <w:color w:val="605E5C"/>
      <w:shd w:val="clear" w:color="auto" w:fill="E1DFDD"/>
    </w:rPr>
  </w:style>
  <w:style w:type="paragraph" w:styleId="Header">
    <w:name w:val="header"/>
    <w:basedOn w:val="Normal"/>
    <w:link w:val="HeaderChar"/>
    <w:uiPriority w:val="99"/>
    <w:unhideWhenUsed/>
    <w:rsid w:val="00AB6120"/>
    <w:pPr>
      <w:tabs>
        <w:tab w:val="center" w:pos="4680"/>
        <w:tab w:val="right" w:pos="9360"/>
      </w:tabs>
      <w:spacing w:line="240" w:lineRule="auto"/>
    </w:pPr>
  </w:style>
  <w:style w:type="character" w:customStyle="1" w:styleId="HeaderChar">
    <w:name w:val="Header Char"/>
    <w:basedOn w:val="DefaultParagraphFont"/>
    <w:link w:val="Header"/>
    <w:uiPriority w:val="99"/>
    <w:rsid w:val="00AB6120"/>
  </w:style>
  <w:style w:type="paragraph" w:styleId="Footer">
    <w:name w:val="footer"/>
    <w:basedOn w:val="Normal"/>
    <w:link w:val="FooterChar"/>
    <w:uiPriority w:val="99"/>
    <w:unhideWhenUsed/>
    <w:rsid w:val="00AB6120"/>
    <w:pPr>
      <w:tabs>
        <w:tab w:val="center" w:pos="4680"/>
        <w:tab w:val="right" w:pos="9360"/>
      </w:tabs>
      <w:spacing w:line="240" w:lineRule="auto"/>
    </w:pPr>
  </w:style>
  <w:style w:type="character" w:customStyle="1" w:styleId="FooterChar">
    <w:name w:val="Footer Char"/>
    <w:basedOn w:val="DefaultParagraphFont"/>
    <w:link w:val="Footer"/>
    <w:uiPriority w:val="99"/>
    <w:rsid w:val="00AB6120"/>
  </w:style>
  <w:style w:type="paragraph" w:styleId="ListParagraph">
    <w:name w:val="List Paragraph"/>
    <w:basedOn w:val="Normal"/>
    <w:uiPriority w:val="34"/>
    <w:qFormat/>
    <w:rsid w:val="00D16C37"/>
    <w:pPr>
      <w:ind w:left="720"/>
      <w:contextualSpacing/>
    </w:pPr>
  </w:style>
  <w:style w:type="table" w:customStyle="1" w:styleId="TableGrid">
    <w:name w:val="TableGrid"/>
    <w:rsid w:val="00AC4302"/>
    <w:pPr>
      <w:spacing w:line="240" w:lineRule="auto"/>
    </w:pPr>
    <w:rPr>
      <w:rFonts w:asciiTheme="minorHAnsi" w:eastAsiaTheme="minorEastAsia" w:hAnsiTheme="minorHAnsi" w:cstheme="minorBidi"/>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CCD79-A91E-4A23-9B7B-DFBAC3B60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2257</TotalTime>
  <Pages>13</Pages>
  <Words>4448</Words>
  <Characters>25358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Richard</cp:lastModifiedBy>
  <cp:revision>25</cp:revision>
  <cp:lastPrinted>2021-06-25T15:05:00Z</cp:lastPrinted>
  <dcterms:created xsi:type="dcterms:W3CDTF">2021-08-30T15:43:00Z</dcterms:created>
  <dcterms:modified xsi:type="dcterms:W3CDTF">2021-09-07T19:59:00Z</dcterms:modified>
</cp:coreProperties>
</file>