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D1EF2" w14:textId="77777777" w:rsidR="00A07077" w:rsidRPr="00D57E8C" w:rsidRDefault="00A07077" w:rsidP="00A07077">
      <w:pPr>
        <w:pStyle w:val="Default"/>
        <w:rPr>
          <w:rFonts w:ascii="Arial" w:hAnsi="Arial" w:cs="Arial"/>
          <w:sz w:val="22"/>
          <w:szCs w:val="22"/>
        </w:rPr>
      </w:pPr>
    </w:p>
    <w:p w14:paraId="31F8E0D6" w14:textId="73E08466" w:rsidR="00A07077" w:rsidRPr="00D57E8C" w:rsidRDefault="00C45D34" w:rsidP="00A07077">
      <w:pPr>
        <w:pStyle w:val="Default"/>
        <w:jc w:val="center"/>
        <w:rPr>
          <w:rFonts w:ascii="Arial" w:hAnsi="Arial" w:cs="Arial"/>
          <w:sz w:val="28"/>
          <w:szCs w:val="28"/>
        </w:rPr>
      </w:pPr>
      <w:r>
        <w:rPr>
          <w:rFonts w:ascii="Arial" w:hAnsi="Arial" w:cs="Arial"/>
          <w:b/>
          <w:bCs/>
          <w:sz w:val="28"/>
          <w:szCs w:val="28"/>
        </w:rPr>
        <w:t>Alectra Utilities Corporation</w:t>
      </w:r>
    </w:p>
    <w:p w14:paraId="33D6510D" w14:textId="3F53FEE1" w:rsidR="00A07077" w:rsidRDefault="00623602" w:rsidP="00A07077">
      <w:pPr>
        <w:pStyle w:val="Default"/>
        <w:jc w:val="center"/>
        <w:rPr>
          <w:rFonts w:ascii="Arial" w:hAnsi="Arial" w:cs="Arial"/>
          <w:b/>
          <w:bCs/>
          <w:sz w:val="28"/>
          <w:szCs w:val="28"/>
        </w:rPr>
      </w:pPr>
      <w:r>
        <w:rPr>
          <w:rFonts w:ascii="Arial" w:hAnsi="Arial" w:cs="Arial"/>
          <w:b/>
          <w:bCs/>
          <w:sz w:val="28"/>
          <w:szCs w:val="28"/>
        </w:rPr>
        <w:t>EB-202</w:t>
      </w:r>
      <w:r w:rsidR="00BD7607">
        <w:rPr>
          <w:rFonts w:ascii="Arial" w:hAnsi="Arial" w:cs="Arial"/>
          <w:b/>
          <w:bCs/>
          <w:sz w:val="28"/>
          <w:szCs w:val="28"/>
        </w:rPr>
        <w:t>1</w:t>
      </w:r>
      <w:r w:rsidR="00B069AA" w:rsidRPr="00D57E8C">
        <w:rPr>
          <w:rFonts w:ascii="Arial" w:hAnsi="Arial" w:cs="Arial"/>
          <w:b/>
          <w:bCs/>
          <w:sz w:val="28"/>
          <w:szCs w:val="28"/>
        </w:rPr>
        <w:t>-</w:t>
      </w:r>
      <w:r w:rsidR="00C45D34">
        <w:rPr>
          <w:rFonts w:ascii="Arial" w:hAnsi="Arial" w:cs="Arial"/>
          <w:b/>
          <w:bCs/>
          <w:sz w:val="28"/>
          <w:szCs w:val="28"/>
        </w:rPr>
        <w:t>0005</w:t>
      </w:r>
    </w:p>
    <w:p w14:paraId="1465DB1A" w14:textId="6389F7AF" w:rsidR="00FC5C68" w:rsidRDefault="00FC5C68" w:rsidP="00A07077">
      <w:pPr>
        <w:pStyle w:val="Default"/>
        <w:jc w:val="center"/>
        <w:rPr>
          <w:rFonts w:ascii="Arial" w:hAnsi="Arial" w:cs="Arial"/>
          <w:b/>
          <w:bCs/>
          <w:sz w:val="28"/>
          <w:szCs w:val="28"/>
        </w:rPr>
      </w:pPr>
      <w:r>
        <w:rPr>
          <w:rFonts w:ascii="Arial" w:hAnsi="Arial" w:cs="Arial"/>
          <w:b/>
          <w:bCs/>
          <w:sz w:val="28"/>
          <w:szCs w:val="28"/>
        </w:rPr>
        <w:t>OEB Staff Questions</w:t>
      </w:r>
    </w:p>
    <w:p w14:paraId="63C86BE8" w14:textId="77777777" w:rsidR="00511EC2" w:rsidRDefault="00511EC2" w:rsidP="00511EC2">
      <w:pPr>
        <w:spacing w:after="0" w:line="240" w:lineRule="auto"/>
        <w:rPr>
          <w:rFonts w:ascii="Arial" w:eastAsia="Calibri" w:hAnsi="Arial" w:cs="Arial"/>
          <w:lang w:val="en-US"/>
        </w:rPr>
      </w:pPr>
    </w:p>
    <w:p w14:paraId="2A0CB1B0" w14:textId="091C9463" w:rsidR="00E86F26" w:rsidRPr="00E86F26" w:rsidRDefault="00E86F26" w:rsidP="00E86F26">
      <w:pPr>
        <w:autoSpaceDE w:val="0"/>
        <w:autoSpaceDN w:val="0"/>
        <w:adjustRightInd w:val="0"/>
        <w:spacing w:after="0" w:line="240" w:lineRule="auto"/>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C45D34">
        <w:rPr>
          <w:rFonts w:ascii="Arial" w:eastAsia="Calibri" w:hAnsi="Arial" w:cs="Arial"/>
          <w:sz w:val="24"/>
          <w:szCs w:val="24"/>
        </w:rPr>
        <w:t>Alectra Utilities Corporation</w:t>
      </w:r>
      <w:r w:rsidRPr="00E86F26">
        <w:rPr>
          <w:rFonts w:ascii="Arial" w:eastAsia="Calibri"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0"/>
    <w:p w14:paraId="68103C5C" w14:textId="79B653F2" w:rsidR="00C859E5" w:rsidRDefault="00C859E5" w:rsidP="00302509">
      <w:pPr>
        <w:autoSpaceDE w:val="0"/>
        <w:autoSpaceDN w:val="0"/>
        <w:adjustRightInd w:val="0"/>
        <w:spacing w:after="0" w:line="240" w:lineRule="auto"/>
        <w:rPr>
          <w:rFonts w:ascii="Arial" w:hAnsi="Arial" w:cs="Arial"/>
          <w:b/>
          <w:bCs/>
          <w:color w:val="000000"/>
          <w:sz w:val="24"/>
          <w:szCs w:val="24"/>
        </w:rPr>
      </w:pPr>
    </w:p>
    <w:p w14:paraId="2DFEC512" w14:textId="62ACAF01" w:rsidR="00604539" w:rsidRPr="00B1293C" w:rsidRDefault="00604539" w:rsidP="00604539">
      <w:pPr>
        <w:rPr>
          <w:rFonts w:ascii="Arial" w:hAnsi="Arial" w:cs="Arial"/>
          <w:bCs/>
          <w:sz w:val="24"/>
          <w:szCs w:val="24"/>
        </w:rPr>
      </w:pPr>
      <w:r>
        <w:rPr>
          <w:rFonts w:ascii="Arial" w:hAnsi="Arial" w:cs="Arial"/>
          <w:bCs/>
          <w:sz w:val="24"/>
          <w:szCs w:val="24"/>
        </w:rPr>
        <w:t>Please also not</w:t>
      </w:r>
      <w:r w:rsidR="003027EC">
        <w:rPr>
          <w:rFonts w:ascii="Arial" w:hAnsi="Arial" w:cs="Arial"/>
          <w:bCs/>
          <w:sz w:val="24"/>
          <w:szCs w:val="24"/>
        </w:rPr>
        <w:t>e</w:t>
      </w:r>
      <w:r>
        <w:rPr>
          <w:rFonts w:ascii="Arial" w:hAnsi="Arial" w:cs="Arial"/>
          <w:bCs/>
          <w:sz w:val="24"/>
          <w:szCs w:val="24"/>
        </w:rPr>
        <w:t xml:space="preserve">, </w:t>
      </w:r>
      <w:r w:rsidRPr="00B1293C">
        <w:rPr>
          <w:rFonts w:ascii="Arial" w:hAnsi="Arial" w:cs="Arial"/>
          <w:bCs/>
          <w:sz w:val="24"/>
          <w:szCs w:val="24"/>
        </w:rPr>
        <w:t xml:space="preserve">OEB staff has identified that the Non-RPP Retailer Average Price and Average IESO Wholesale Market Price used at the above reference were incorrectly entered as $0.2689. OEB staff has updated the pricing to reflect the correct amount of $0.1060. </w:t>
      </w:r>
      <w:r>
        <w:rPr>
          <w:rFonts w:ascii="Arial" w:hAnsi="Arial" w:cs="Arial"/>
          <w:bCs/>
          <w:sz w:val="24"/>
          <w:szCs w:val="24"/>
        </w:rPr>
        <w:t>The updated</w:t>
      </w:r>
      <w:r w:rsidRPr="00B1293C">
        <w:rPr>
          <w:rFonts w:ascii="Arial" w:hAnsi="Arial" w:cs="Arial"/>
          <w:bCs/>
          <w:sz w:val="24"/>
          <w:szCs w:val="24"/>
        </w:rPr>
        <w:t xml:space="preserve"> model</w:t>
      </w:r>
      <w:r>
        <w:rPr>
          <w:rFonts w:ascii="Arial" w:hAnsi="Arial" w:cs="Arial"/>
          <w:bCs/>
          <w:sz w:val="24"/>
          <w:szCs w:val="24"/>
        </w:rPr>
        <w:t>s attached with these questions</w:t>
      </w:r>
      <w:r w:rsidRPr="00B1293C">
        <w:rPr>
          <w:rFonts w:ascii="Arial" w:hAnsi="Arial" w:cs="Arial"/>
          <w:bCs/>
          <w:sz w:val="24"/>
          <w:szCs w:val="24"/>
        </w:rPr>
        <w:t xml:space="preserve"> reflect this update.</w:t>
      </w:r>
    </w:p>
    <w:p w14:paraId="7CFAFC4F" w14:textId="70442BC9" w:rsidR="00D57E8C" w:rsidRDefault="00D57E8C" w:rsidP="00C45D34">
      <w:pPr>
        <w:contextualSpacing/>
        <w:rPr>
          <w:rFonts w:ascii="Arial" w:hAnsi="Arial" w:cs="Arial"/>
          <w:b/>
          <w:sz w:val="24"/>
          <w:szCs w:val="24"/>
        </w:rPr>
      </w:pPr>
      <w:r>
        <w:rPr>
          <w:rFonts w:ascii="Arial" w:hAnsi="Arial" w:cs="Arial"/>
          <w:b/>
          <w:sz w:val="24"/>
          <w:szCs w:val="24"/>
        </w:rPr>
        <w:t>Staff Question-1</w:t>
      </w:r>
    </w:p>
    <w:p w14:paraId="0250BED3" w14:textId="1AA61F2A" w:rsidR="00C45D34" w:rsidRDefault="00C45D34" w:rsidP="00C45D34">
      <w:pPr>
        <w:rPr>
          <w:rFonts w:ascii="Arial" w:hAnsi="Arial" w:cs="Arial"/>
          <w:bCs/>
          <w:sz w:val="24"/>
          <w:szCs w:val="24"/>
        </w:rPr>
      </w:pPr>
      <w:r>
        <w:rPr>
          <w:rFonts w:ascii="Arial" w:hAnsi="Arial" w:cs="Arial"/>
          <w:b/>
          <w:sz w:val="24"/>
          <w:szCs w:val="24"/>
        </w:rPr>
        <w:t>Ref:</w:t>
      </w:r>
      <w:r w:rsidR="0056349F">
        <w:rPr>
          <w:rFonts w:ascii="Arial" w:hAnsi="Arial" w:cs="Arial"/>
          <w:b/>
          <w:sz w:val="24"/>
          <w:szCs w:val="24"/>
        </w:rPr>
        <w:t xml:space="preserve"> Rate Generator Models, Tab 1 Information Sheet</w:t>
      </w:r>
    </w:p>
    <w:p w14:paraId="14EFB394" w14:textId="15C2B4B3" w:rsidR="00B1293C" w:rsidRPr="00C7729F" w:rsidRDefault="0056349F" w:rsidP="003603AB">
      <w:pPr>
        <w:rPr>
          <w:rFonts w:ascii="Arial" w:hAnsi="Arial" w:cs="Arial"/>
          <w:bCs/>
          <w:sz w:val="24"/>
          <w:szCs w:val="24"/>
        </w:rPr>
      </w:pPr>
      <w:r>
        <w:rPr>
          <w:rFonts w:ascii="Arial" w:hAnsi="Arial" w:cs="Arial"/>
          <w:bCs/>
          <w:sz w:val="24"/>
          <w:szCs w:val="24"/>
        </w:rPr>
        <w:t>For the Retail Transmission Service Rate (RTSR) scenario, Alectra Utilities Corporation (Alectra Utilities) selected “Transmission Connected” for all five rate zones</w:t>
      </w:r>
      <w:r w:rsidR="00235649">
        <w:rPr>
          <w:rFonts w:ascii="Arial" w:hAnsi="Arial" w:cs="Arial"/>
          <w:bCs/>
          <w:sz w:val="24"/>
          <w:szCs w:val="24"/>
        </w:rPr>
        <w:t xml:space="preserve"> (RZs)</w:t>
      </w:r>
      <w:r>
        <w:rPr>
          <w:rFonts w:ascii="Arial" w:hAnsi="Arial" w:cs="Arial"/>
          <w:bCs/>
          <w:sz w:val="24"/>
          <w:szCs w:val="24"/>
        </w:rPr>
        <w:t xml:space="preserve"> in Tab 1 of the Rate Generator </w:t>
      </w:r>
      <w:r w:rsidR="003603AB">
        <w:rPr>
          <w:rFonts w:ascii="Arial" w:hAnsi="Arial" w:cs="Arial"/>
          <w:bCs/>
          <w:sz w:val="24"/>
          <w:szCs w:val="24"/>
        </w:rPr>
        <w:t>M</w:t>
      </w:r>
      <w:r>
        <w:rPr>
          <w:rFonts w:ascii="Arial" w:hAnsi="Arial" w:cs="Arial"/>
          <w:bCs/>
          <w:sz w:val="24"/>
          <w:szCs w:val="24"/>
        </w:rPr>
        <w:t>odels</w:t>
      </w:r>
      <w:r w:rsidR="00235649">
        <w:rPr>
          <w:rFonts w:ascii="Arial" w:hAnsi="Arial" w:cs="Arial"/>
          <w:bCs/>
          <w:sz w:val="24"/>
          <w:szCs w:val="24"/>
        </w:rPr>
        <w:t xml:space="preserve"> (cell F53)</w:t>
      </w:r>
      <w:r>
        <w:rPr>
          <w:rFonts w:ascii="Arial" w:hAnsi="Arial" w:cs="Arial"/>
          <w:bCs/>
          <w:sz w:val="24"/>
          <w:szCs w:val="24"/>
        </w:rPr>
        <w:t>. Based on the information Alectra Utilities provided in</w:t>
      </w:r>
      <w:r w:rsidR="00235649">
        <w:rPr>
          <w:rFonts w:ascii="Arial" w:hAnsi="Arial" w:cs="Arial"/>
          <w:bCs/>
          <w:sz w:val="24"/>
          <w:szCs w:val="24"/>
        </w:rPr>
        <w:t xml:space="preserve"> the calculation of the RTSRs, OEB staff note</w:t>
      </w:r>
      <w:r w:rsidR="00604539">
        <w:rPr>
          <w:rFonts w:ascii="Arial" w:hAnsi="Arial" w:cs="Arial"/>
          <w:bCs/>
          <w:sz w:val="24"/>
          <w:szCs w:val="24"/>
        </w:rPr>
        <w:t>s</w:t>
      </w:r>
      <w:r w:rsidR="00235649">
        <w:rPr>
          <w:rFonts w:ascii="Arial" w:hAnsi="Arial" w:cs="Arial"/>
          <w:bCs/>
          <w:sz w:val="24"/>
          <w:szCs w:val="24"/>
        </w:rPr>
        <w:t xml:space="preserve"> that for all five RZs, Alectra Utilities is charged both </w:t>
      </w:r>
      <w:r w:rsidR="00235649" w:rsidRPr="00235649">
        <w:rPr>
          <w:rFonts w:ascii="Arial" w:hAnsi="Arial" w:cs="Arial"/>
          <w:bCs/>
          <w:sz w:val="24"/>
          <w:szCs w:val="24"/>
        </w:rPr>
        <w:t>Uniform Transmission Rates (UTRs)</w:t>
      </w:r>
      <w:r w:rsidR="00235649">
        <w:rPr>
          <w:rFonts w:ascii="Arial" w:hAnsi="Arial" w:cs="Arial"/>
          <w:bCs/>
          <w:sz w:val="24"/>
          <w:szCs w:val="24"/>
        </w:rPr>
        <w:t xml:space="preserve"> and Hydro One Networks Inc.’s (Hydro One) host-RTSRs. Therefore, all </w:t>
      </w:r>
      <w:r w:rsidR="00235649" w:rsidRPr="00235649">
        <w:rPr>
          <w:rFonts w:ascii="Arial" w:hAnsi="Arial" w:cs="Arial"/>
          <w:bCs/>
          <w:sz w:val="24"/>
          <w:szCs w:val="24"/>
        </w:rPr>
        <w:t>five of Alectra Utilities’ RZs are partially embedded within Hydro One’s</w:t>
      </w:r>
      <w:r w:rsidR="00235649">
        <w:rPr>
          <w:rFonts w:ascii="Arial" w:hAnsi="Arial" w:cs="Arial"/>
          <w:bCs/>
          <w:sz w:val="24"/>
          <w:szCs w:val="24"/>
        </w:rPr>
        <w:t xml:space="preserve"> </w:t>
      </w:r>
      <w:r w:rsidR="00235649" w:rsidRPr="00235649">
        <w:rPr>
          <w:rFonts w:ascii="Arial" w:hAnsi="Arial" w:cs="Arial"/>
          <w:bCs/>
          <w:sz w:val="24"/>
          <w:szCs w:val="24"/>
        </w:rPr>
        <w:t>distribution system</w:t>
      </w:r>
      <w:r w:rsidR="00235649">
        <w:rPr>
          <w:rFonts w:ascii="Arial" w:hAnsi="Arial" w:cs="Arial"/>
          <w:bCs/>
          <w:sz w:val="24"/>
          <w:szCs w:val="24"/>
        </w:rPr>
        <w:t>. OEB staff has updated the</w:t>
      </w:r>
      <w:r w:rsidR="003603AB">
        <w:rPr>
          <w:rFonts w:ascii="Arial" w:hAnsi="Arial" w:cs="Arial"/>
          <w:bCs/>
          <w:sz w:val="24"/>
          <w:szCs w:val="24"/>
        </w:rPr>
        <w:t xml:space="preserve"> content in cell F53 to “Partially Embedded” in Tab 1 of the Rate Generator Models. Please review and confirm this change. (Please note this input is only for information purposes and has no impact to the RTSR calculations.)</w:t>
      </w:r>
    </w:p>
    <w:p w14:paraId="3AB9DD87" w14:textId="49D3292F" w:rsidR="00F8277D" w:rsidRDefault="00460161" w:rsidP="00F8277D">
      <w:pPr>
        <w:contextualSpacing/>
        <w:rPr>
          <w:rFonts w:ascii="Arial" w:hAnsi="Arial" w:cs="Arial"/>
          <w:b/>
          <w:sz w:val="24"/>
          <w:szCs w:val="24"/>
        </w:rPr>
      </w:pPr>
      <w:r>
        <w:rPr>
          <w:rFonts w:ascii="Arial" w:hAnsi="Arial" w:cs="Arial"/>
          <w:b/>
          <w:sz w:val="24"/>
          <w:szCs w:val="24"/>
        </w:rPr>
        <w:t>S</w:t>
      </w:r>
      <w:r w:rsidR="00F8277D">
        <w:rPr>
          <w:rFonts w:ascii="Arial" w:hAnsi="Arial" w:cs="Arial"/>
          <w:b/>
          <w:sz w:val="24"/>
          <w:szCs w:val="24"/>
        </w:rPr>
        <w:t>taff Question-</w:t>
      </w:r>
      <w:r w:rsidR="003027EC">
        <w:rPr>
          <w:rFonts w:ascii="Arial" w:hAnsi="Arial" w:cs="Arial"/>
          <w:b/>
          <w:sz w:val="24"/>
          <w:szCs w:val="24"/>
        </w:rPr>
        <w:t>2</w:t>
      </w:r>
    </w:p>
    <w:p w14:paraId="2532C5A1" w14:textId="19DD236E" w:rsidR="00F8277D" w:rsidRDefault="00F8277D" w:rsidP="00F8277D">
      <w:pPr>
        <w:rPr>
          <w:rFonts w:ascii="Arial" w:hAnsi="Arial" w:cs="Arial"/>
          <w:b/>
          <w:sz w:val="24"/>
          <w:szCs w:val="24"/>
        </w:rPr>
      </w:pPr>
      <w:r>
        <w:rPr>
          <w:rFonts w:ascii="Arial" w:hAnsi="Arial" w:cs="Arial"/>
          <w:b/>
          <w:sz w:val="24"/>
          <w:szCs w:val="24"/>
        </w:rPr>
        <w:t xml:space="preserve">Ref: </w:t>
      </w:r>
      <w:r w:rsidR="00B95041">
        <w:rPr>
          <w:rFonts w:ascii="Arial" w:hAnsi="Arial" w:cs="Arial"/>
          <w:b/>
          <w:sz w:val="24"/>
          <w:szCs w:val="24"/>
        </w:rPr>
        <w:t xml:space="preserve">Horizon RZ, </w:t>
      </w:r>
      <w:r>
        <w:rPr>
          <w:rFonts w:ascii="Arial" w:hAnsi="Arial" w:cs="Arial"/>
          <w:b/>
          <w:sz w:val="24"/>
          <w:szCs w:val="24"/>
        </w:rPr>
        <w:t>Rate Generator Model</w:t>
      </w:r>
      <w:r w:rsidR="00B95041">
        <w:rPr>
          <w:rFonts w:ascii="Arial" w:hAnsi="Arial" w:cs="Arial"/>
          <w:b/>
          <w:sz w:val="24"/>
          <w:szCs w:val="24"/>
        </w:rPr>
        <w:t>, Tab 6.2a CBR B_Allocation</w:t>
      </w:r>
    </w:p>
    <w:p w14:paraId="5B955869" w14:textId="41CBC241" w:rsidR="00A851CF" w:rsidRDefault="00A851CF" w:rsidP="00F8277D">
      <w:pPr>
        <w:rPr>
          <w:rFonts w:ascii="Arial" w:hAnsi="Arial" w:cs="Arial"/>
          <w:bCs/>
          <w:sz w:val="24"/>
          <w:szCs w:val="24"/>
        </w:rPr>
      </w:pPr>
      <w:r>
        <w:rPr>
          <w:rFonts w:ascii="Arial" w:hAnsi="Arial" w:cs="Arial"/>
          <w:bCs/>
          <w:sz w:val="24"/>
          <w:szCs w:val="24"/>
        </w:rPr>
        <w:t xml:space="preserve">For </w:t>
      </w:r>
      <w:r w:rsidR="00604539">
        <w:rPr>
          <w:rFonts w:ascii="Arial" w:hAnsi="Arial" w:cs="Arial"/>
          <w:bCs/>
          <w:sz w:val="24"/>
          <w:szCs w:val="24"/>
        </w:rPr>
        <w:t xml:space="preserve">the </w:t>
      </w:r>
      <w:r>
        <w:rPr>
          <w:rFonts w:ascii="Arial" w:hAnsi="Arial" w:cs="Arial"/>
          <w:bCs/>
          <w:sz w:val="24"/>
          <w:szCs w:val="24"/>
        </w:rPr>
        <w:t xml:space="preserve">Horizon RZ, as indicated in the model, the year that Account 1580 Sub-account CBR Class was last disposed is 2019. Therefore, only 2020 consumption data should be populated and applied in the first table in Tab 6.2a for the consumption portion calculation. </w:t>
      </w:r>
    </w:p>
    <w:p w14:paraId="53A4E96F" w14:textId="37E3C9A9" w:rsidR="00B95041" w:rsidRPr="00B95041" w:rsidRDefault="00A851CF" w:rsidP="00F8277D">
      <w:pPr>
        <w:rPr>
          <w:rFonts w:ascii="Arial" w:hAnsi="Arial" w:cs="Arial"/>
          <w:bCs/>
          <w:sz w:val="24"/>
          <w:szCs w:val="24"/>
        </w:rPr>
      </w:pPr>
      <w:r>
        <w:rPr>
          <w:rFonts w:ascii="Arial" w:hAnsi="Arial" w:cs="Arial"/>
          <w:bCs/>
          <w:sz w:val="24"/>
          <w:szCs w:val="24"/>
        </w:rPr>
        <w:t>In</w:t>
      </w:r>
      <w:r w:rsidR="00604539">
        <w:rPr>
          <w:rFonts w:ascii="Arial" w:hAnsi="Arial" w:cs="Arial"/>
          <w:bCs/>
          <w:sz w:val="24"/>
          <w:szCs w:val="24"/>
        </w:rPr>
        <w:t xml:space="preserve"> the</w:t>
      </w:r>
      <w:r>
        <w:rPr>
          <w:rFonts w:ascii="Arial" w:hAnsi="Arial" w:cs="Arial"/>
          <w:bCs/>
          <w:sz w:val="24"/>
          <w:szCs w:val="24"/>
        </w:rPr>
        <w:t xml:space="preserve"> Horizon RZ’s Rate Generator Model filed in the application, OEB staff note</w:t>
      </w:r>
      <w:r w:rsidR="00604539">
        <w:rPr>
          <w:rFonts w:ascii="Arial" w:hAnsi="Arial" w:cs="Arial"/>
          <w:bCs/>
          <w:sz w:val="24"/>
          <w:szCs w:val="24"/>
        </w:rPr>
        <w:t>s</w:t>
      </w:r>
      <w:r>
        <w:rPr>
          <w:rFonts w:ascii="Arial" w:hAnsi="Arial" w:cs="Arial"/>
          <w:bCs/>
          <w:sz w:val="24"/>
          <w:szCs w:val="24"/>
        </w:rPr>
        <w:t xml:space="preserve"> that in Tab 6.2a, the model populated both 2019 and 2020 consumption data in the first table where the consumption portion for transition customers is calculated. OEB staff has </w:t>
      </w:r>
      <w:r w:rsidR="00604539">
        <w:rPr>
          <w:rFonts w:ascii="Arial" w:hAnsi="Arial" w:cs="Arial"/>
          <w:bCs/>
          <w:sz w:val="24"/>
          <w:szCs w:val="24"/>
        </w:rPr>
        <w:t xml:space="preserve">corrected </w:t>
      </w:r>
      <w:r>
        <w:rPr>
          <w:rFonts w:ascii="Arial" w:hAnsi="Arial" w:cs="Arial"/>
          <w:bCs/>
          <w:sz w:val="24"/>
          <w:szCs w:val="24"/>
        </w:rPr>
        <w:t xml:space="preserve">the Rate Generator Model to only </w:t>
      </w:r>
      <w:r w:rsidR="001822BD">
        <w:rPr>
          <w:rFonts w:ascii="Arial" w:hAnsi="Arial" w:cs="Arial"/>
          <w:bCs/>
          <w:sz w:val="24"/>
          <w:szCs w:val="24"/>
        </w:rPr>
        <w:t xml:space="preserve">populate 2020 consumption data in Tab </w:t>
      </w:r>
      <w:r w:rsidR="001822BD">
        <w:rPr>
          <w:rFonts w:ascii="Arial" w:hAnsi="Arial" w:cs="Arial"/>
          <w:bCs/>
          <w:sz w:val="24"/>
          <w:szCs w:val="24"/>
        </w:rPr>
        <w:lastRenderedPageBreak/>
        <w:t>6.2a, and note</w:t>
      </w:r>
      <w:r w:rsidR="00604539">
        <w:rPr>
          <w:rFonts w:ascii="Arial" w:hAnsi="Arial" w:cs="Arial"/>
          <w:bCs/>
          <w:sz w:val="24"/>
          <w:szCs w:val="24"/>
        </w:rPr>
        <w:t>s</w:t>
      </w:r>
      <w:r w:rsidR="001822BD">
        <w:rPr>
          <w:rFonts w:ascii="Arial" w:hAnsi="Arial" w:cs="Arial"/>
          <w:bCs/>
          <w:sz w:val="24"/>
          <w:szCs w:val="24"/>
        </w:rPr>
        <w:t xml:space="preserve"> there is no impact to the CBR Class B rate rider calculation. Please review the updated Horizon RZ’s model and confirm the change.</w:t>
      </w:r>
    </w:p>
    <w:p w14:paraId="1E68B8DB" w14:textId="25B7E6CB" w:rsidR="00484452" w:rsidRDefault="00484452" w:rsidP="00484452">
      <w:pPr>
        <w:contextualSpacing/>
        <w:rPr>
          <w:rFonts w:ascii="Arial" w:hAnsi="Arial" w:cs="Arial"/>
          <w:b/>
          <w:sz w:val="24"/>
          <w:szCs w:val="24"/>
        </w:rPr>
      </w:pPr>
      <w:r>
        <w:rPr>
          <w:rFonts w:ascii="Arial" w:hAnsi="Arial" w:cs="Arial"/>
          <w:b/>
          <w:sz w:val="24"/>
          <w:szCs w:val="24"/>
        </w:rPr>
        <w:t>Staff Question-</w:t>
      </w:r>
      <w:r w:rsidR="003027EC">
        <w:rPr>
          <w:rFonts w:ascii="Arial" w:hAnsi="Arial" w:cs="Arial"/>
          <w:b/>
          <w:sz w:val="24"/>
          <w:szCs w:val="24"/>
        </w:rPr>
        <w:t>3</w:t>
      </w:r>
    </w:p>
    <w:p w14:paraId="32885E16" w14:textId="0FEF501D" w:rsidR="00484452" w:rsidRDefault="00484452" w:rsidP="00484452">
      <w:pPr>
        <w:rPr>
          <w:rFonts w:ascii="Arial" w:hAnsi="Arial" w:cs="Arial"/>
          <w:b/>
          <w:sz w:val="24"/>
          <w:szCs w:val="24"/>
        </w:rPr>
      </w:pPr>
      <w:r>
        <w:rPr>
          <w:rFonts w:ascii="Arial" w:hAnsi="Arial" w:cs="Arial"/>
          <w:b/>
          <w:sz w:val="24"/>
          <w:szCs w:val="24"/>
        </w:rPr>
        <w:t>Ref: PowerStream RZ, Rate Generator Model, Tab 3 Continuity Schedule, Account 1595 (2016)</w:t>
      </w:r>
    </w:p>
    <w:p w14:paraId="348E3222" w14:textId="675E9FFE" w:rsidR="00484452" w:rsidRDefault="00484452" w:rsidP="00484452">
      <w:pPr>
        <w:rPr>
          <w:rFonts w:ascii="Arial" w:hAnsi="Arial" w:cs="Arial"/>
          <w:bCs/>
          <w:sz w:val="24"/>
          <w:szCs w:val="24"/>
        </w:rPr>
      </w:pPr>
      <w:r>
        <w:rPr>
          <w:rFonts w:ascii="Arial" w:hAnsi="Arial" w:cs="Arial"/>
          <w:bCs/>
          <w:sz w:val="24"/>
          <w:szCs w:val="24"/>
        </w:rPr>
        <w:t xml:space="preserve">In the Rate Generator Model filed for the PowerStream RZ, the 2020 </w:t>
      </w:r>
      <w:r w:rsidR="00371DB8">
        <w:rPr>
          <w:rFonts w:ascii="Arial" w:hAnsi="Arial" w:cs="Arial"/>
          <w:bCs/>
          <w:sz w:val="24"/>
          <w:szCs w:val="24"/>
        </w:rPr>
        <w:t>opening</w:t>
      </w:r>
      <w:r>
        <w:rPr>
          <w:rFonts w:ascii="Arial" w:hAnsi="Arial" w:cs="Arial"/>
          <w:bCs/>
          <w:sz w:val="24"/>
          <w:szCs w:val="24"/>
        </w:rPr>
        <w:t xml:space="preserve"> principal balance in Account 1595 (2016) is a </w:t>
      </w:r>
      <w:r w:rsidR="00371DB8">
        <w:rPr>
          <w:rFonts w:ascii="Arial" w:hAnsi="Arial" w:cs="Arial"/>
          <w:bCs/>
          <w:sz w:val="24"/>
          <w:szCs w:val="24"/>
        </w:rPr>
        <w:t>credit of $17,476</w:t>
      </w:r>
      <w:r>
        <w:rPr>
          <w:rFonts w:ascii="Arial" w:hAnsi="Arial" w:cs="Arial"/>
          <w:bCs/>
          <w:sz w:val="24"/>
          <w:szCs w:val="24"/>
        </w:rPr>
        <w:t>, and the 2020 closing interest balance in this account is a credit of $</w:t>
      </w:r>
      <w:r w:rsidR="00371DB8">
        <w:rPr>
          <w:rFonts w:ascii="Arial" w:hAnsi="Arial" w:cs="Arial"/>
          <w:bCs/>
          <w:sz w:val="24"/>
          <w:szCs w:val="24"/>
        </w:rPr>
        <w:t>5,544</w:t>
      </w:r>
      <w:r>
        <w:rPr>
          <w:rFonts w:ascii="Arial" w:hAnsi="Arial" w:cs="Arial"/>
          <w:bCs/>
          <w:sz w:val="24"/>
          <w:szCs w:val="24"/>
        </w:rPr>
        <w:t xml:space="preserve">. </w:t>
      </w:r>
    </w:p>
    <w:p w14:paraId="4E260869" w14:textId="0D4FC73A" w:rsidR="00484452" w:rsidRDefault="00484452" w:rsidP="00484452">
      <w:pPr>
        <w:pStyle w:val="ListParagraph"/>
        <w:numPr>
          <w:ilvl w:val="0"/>
          <w:numId w:val="28"/>
        </w:numPr>
        <w:contextualSpacing w:val="0"/>
        <w:rPr>
          <w:rFonts w:ascii="Arial" w:hAnsi="Arial" w:cs="Arial"/>
          <w:bCs/>
          <w:sz w:val="24"/>
          <w:szCs w:val="24"/>
        </w:rPr>
      </w:pPr>
      <w:r>
        <w:rPr>
          <w:rFonts w:ascii="Arial" w:hAnsi="Arial" w:cs="Arial"/>
          <w:bCs/>
          <w:sz w:val="24"/>
          <w:szCs w:val="24"/>
        </w:rPr>
        <w:t xml:space="preserve">Has the residual balance in Account 1595 (2016) been disposed of in any previous rate proceeding after the </w:t>
      </w:r>
      <w:r w:rsidR="00371DB8">
        <w:rPr>
          <w:rFonts w:ascii="Arial" w:hAnsi="Arial" w:cs="Arial"/>
          <w:bCs/>
          <w:sz w:val="24"/>
          <w:szCs w:val="24"/>
        </w:rPr>
        <w:t xml:space="preserve">associated DVA </w:t>
      </w:r>
      <w:r>
        <w:rPr>
          <w:rFonts w:ascii="Arial" w:hAnsi="Arial" w:cs="Arial"/>
          <w:bCs/>
          <w:sz w:val="24"/>
          <w:szCs w:val="24"/>
        </w:rPr>
        <w:t xml:space="preserve">rate rider expired? </w:t>
      </w:r>
      <w:r w:rsidR="00371DB8">
        <w:rPr>
          <w:rFonts w:ascii="Arial" w:hAnsi="Arial" w:cs="Arial"/>
          <w:bCs/>
          <w:sz w:val="24"/>
          <w:szCs w:val="24"/>
        </w:rPr>
        <w:t>(If so, please provide the residual balances approved for disposition and the related OEB</w:t>
      </w:r>
      <w:r w:rsidR="00F72718">
        <w:rPr>
          <w:rFonts w:ascii="Arial" w:hAnsi="Arial" w:cs="Arial"/>
          <w:bCs/>
          <w:sz w:val="24"/>
          <w:szCs w:val="24"/>
        </w:rPr>
        <w:t xml:space="preserve">-approved document </w:t>
      </w:r>
      <w:r w:rsidR="00371DB8">
        <w:rPr>
          <w:rFonts w:ascii="Arial" w:hAnsi="Arial" w:cs="Arial"/>
          <w:bCs/>
          <w:sz w:val="24"/>
          <w:szCs w:val="24"/>
        </w:rPr>
        <w:t xml:space="preserve">for reference.) </w:t>
      </w:r>
      <w:r>
        <w:rPr>
          <w:rFonts w:ascii="Arial" w:hAnsi="Arial" w:cs="Arial"/>
          <w:bCs/>
          <w:sz w:val="24"/>
          <w:szCs w:val="24"/>
        </w:rPr>
        <w:t xml:space="preserve">If the residual balance has been disposed of in previous proceeding, please explain why there were </w:t>
      </w:r>
      <w:r w:rsidR="00371DB8">
        <w:rPr>
          <w:rFonts w:ascii="Arial" w:hAnsi="Arial" w:cs="Arial"/>
          <w:bCs/>
          <w:sz w:val="24"/>
          <w:szCs w:val="24"/>
        </w:rPr>
        <w:t xml:space="preserve">non-zero opening </w:t>
      </w:r>
      <w:r>
        <w:rPr>
          <w:rFonts w:ascii="Arial" w:hAnsi="Arial" w:cs="Arial"/>
          <w:bCs/>
          <w:sz w:val="24"/>
          <w:szCs w:val="24"/>
        </w:rPr>
        <w:t xml:space="preserve">balances in this account </w:t>
      </w:r>
      <w:r w:rsidR="00371DB8">
        <w:rPr>
          <w:rFonts w:ascii="Arial" w:hAnsi="Arial" w:cs="Arial"/>
          <w:bCs/>
          <w:sz w:val="24"/>
          <w:szCs w:val="24"/>
        </w:rPr>
        <w:t xml:space="preserve">in </w:t>
      </w:r>
      <w:r>
        <w:rPr>
          <w:rFonts w:ascii="Arial" w:hAnsi="Arial" w:cs="Arial"/>
          <w:bCs/>
          <w:sz w:val="24"/>
          <w:szCs w:val="24"/>
        </w:rPr>
        <w:t>2020.</w:t>
      </w:r>
    </w:p>
    <w:p w14:paraId="565BFDCE" w14:textId="581D9B30" w:rsidR="003603AB" w:rsidRPr="000920C4" w:rsidRDefault="00484452" w:rsidP="00235649">
      <w:pPr>
        <w:pStyle w:val="ListParagraph"/>
        <w:numPr>
          <w:ilvl w:val="0"/>
          <w:numId w:val="28"/>
        </w:numPr>
        <w:rPr>
          <w:rFonts w:ascii="Arial" w:hAnsi="Arial" w:cs="Arial"/>
          <w:bCs/>
          <w:sz w:val="24"/>
          <w:szCs w:val="24"/>
        </w:rPr>
      </w:pPr>
      <w:r w:rsidRPr="0028414A">
        <w:rPr>
          <w:rFonts w:ascii="Arial" w:hAnsi="Arial" w:cs="Arial"/>
          <w:bCs/>
          <w:sz w:val="24"/>
          <w:szCs w:val="24"/>
        </w:rPr>
        <w:t>OEB staff note</w:t>
      </w:r>
      <w:r w:rsidR="00604539">
        <w:rPr>
          <w:rFonts w:ascii="Arial" w:hAnsi="Arial" w:cs="Arial"/>
          <w:bCs/>
          <w:sz w:val="24"/>
          <w:szCs w:val="24"/>
        </w:rPr>
        <w:t>s</w:t>
      </w:r>
      <w:r w:rsidRPr="0028414A">
        <w:rPr>
          <w:rFonts w:ascii="Arial" w:hAnsi="Arial" w:cs="Arial"/>
          <w:bCs/>
          <w:sz w:val="24"/>
          <w:szCs w:val="24"/>
        </w:rPr>
        <w:t xml:space="preserve"> that Alectra Utilities reported principal and interest transactions (a debit of $</w:t>
      </w:r>
      <w:r w:rsidR="00371DB8">
        <w:rPr>
          <w:rFonts w:ascii="Arial" w:hAnsi="Arial" w:cs="Arial"/>
          <w:bCs/>
          <w:sz w:val="24"/>
          <w:szCs w:val="24"/>
        </w:rPr>
        <w:t>17,476</w:t>
      </w:r>
      <w:r w:rsidRPr="0028414A">
        <w:rPr>
          <w:rFonts w:ascii="Arial" w:hAnsi="Arial" w:cs="Arial"/>
          <w:bCs/>
          <w:sz w:val="24"/>
          <w:szCs w:val="24"/>
        </w:rPr>
        <w:t xml:space="preserve"> and a </w:t>
      </w:r>
      <w:r w:rsidR="00FE05CA">
        <w:rPr>
          <w:rFonts w:ascii="Arial" w:hAnsi="Arial" w:cs="Arial"/>
          <w:bCs/>
          <w:sz w:val="24"/>
          <w:szCs w:val="24"/>
        </w:rPr>
        <w:t xml:space="preserve">debit </w:t>
      </w:r>
      <w:r w:rsidRPr="0028414A">
        <w:rPr>
          <w:rFonts w:ascii="Arial" w:hAnsi="Arial" w:cs="Arial"/>
          <w:bCs/>
          <w:sz w:val="24"/>
          <w:szCs w:val="24"/>
        </w:rPr>
        <w:t>of $</w:t>
      </w:r>
      <w:r w:rsidR="00FE05CA">
        <w:rPr>
          <w:rFonts w:ascii="Arial" w:hAnsi="Arial" w:cs="Arial"/>
          <w:bCs/>
          <w:sz w:val="24"/>
          <w:szCs w:val="24"/>
        </w:rPr>
        <w:t>5,544</w:t>
      </w:r>
      <w:r w:rsidRPr="0028414A">
        <w:rPr>
          <w:rFonts w:ascii="Arial" w:hAnsi="Arial" w:cs="Arial"/>
          <w:bCs/>
          <w:sz w:val="24"/>
          <w:szCs w:val="24"/>
        </w:rPr>
        <w:t xml:space="preserve">) in Account 1595 (2016) </w:t>
      </w:r>
      <w:r w:rsidR="00FE05CA">
        <w:rPr>
          <w:rFonts w:ascii="Arial" w:hAnsi="Arial" w:cs="Arial"/>
          <w:bCs/>
          <w:sz w:val="24"/>
          <w:szCs w:val="24"/>
        </w:rPr>
        <w:t xml:space="preserve">under year </w:t>
      </w:r>
      <w:r w:rsidRPr="0028414A">
        <w:rPr>
          <w:rFonts w:ascii="Arial" w:hAnsi="Arial" w:cs="Arial"/>
          <w:bCs/>
          <w:sz w:val="24"/>
          <w:szCs w:val="24"/>
        </w:rPr>
        <w:t xml:space="preserve">2020. </w:t>
      </w:r>
      <w:r>
        <w:rPr>
          <w:rFonts w:ascii="Arial" w:hAnsi="Arial" w:cs="Arial"/>
          <w:bCs/>
          <w:sz w:val="24"/>
          <w:szCs w:val="24"/>
        </w:rPr>
        <w:t>Please provide</w:t>
      </w:r>
      <w:r w:rsidR="00604539">
        <w:rPr>
          <w:rFonts w:ascii="Arial" w:hAnsi="Arial" w:cs="Arial"/>
          <w:bCs/>
          <w:sz w:val="24"/>
          <w:szCs w:val="24"/>
        </w:rPr>
        <w:t xml:space="preserve"> an</w:t>
      </w:r>
      <w:r>
        <w:rPr>
          <w:rFonts w:ascii="Arial" w:hAnsi="Arial" w:cs="Arial"/>
          <w:bCs/>
          <w:sz w:val="24"/>
          <w:szCs w:val="24"/>
        </w:rPr>
        <w:t xml:space="preserve"> explanation for the</w:t>
      </w:r>
      <w:r w:rsidR="00FE05CA">
        <w:rPr>
          <w:rFonts w:ascii="Arial" w:hAnsi="Arial" w:cs="Arial"/>
          <w:bCs/>
          <w:sz w:val="24"/>
          <w:szCs w:val="24"/>
        </w:rPr>
        <w:t>se</w:t>
      </w:r>
      <w:r>
        <w:rPr>
          <w:rFonts w:ascii="Arial" w:hAnsi="Arial" w:cs="Arial"/>
          <w:bCs/>
          <w:sz w:val="24"/>
          <w:szCs w:val="24"/>
        </w:rPr>
        <w:t xml:space="preserve"> transactions. </w:t>
      </w:r>
      <w:r w:rsidRPr="0028414A">
        <w:rPr>
          <w:rFonts w:ascii="Arial" w:hAnsi="Arial" w:cs="Arial"/>
          <w:bCs/>
          <w:sz w:val="24"/>
          <w:szCs w:val="24"/>
        </w:rPr>
        <w:t xml:space="preserve">Please confirm whether or not these transactions in 2020 were recorded in order to write off the residual balances in Account 1595 (2016). If </w:t>
      </w:r>
      <w:r w:rsidR="00604539">
        <w:rPr>
          <w:rFonts w:ascii="Arial" w:hAnsi="Arial" w:cs="Arial"/>
          <w:bCs/>
          <w:sz w:val="24"/>
          <w:szCs w:val="24"/>
        </w:rPr>
        <w:t>so</w:t>
      </w:r>
      <w:r w:rsidRPr="0028414A">
        <w:rPr>
          <w:rFonts w:ascii="Arial" w:hAnsi="Arial" w:cs="Arial"/>
          <w:bCs/>
          <w:sz w:val="24"/>
          <w:szCs w:val="24"/>
        </w:rPr>
        <w:t xml:space="preserve">, please provide the rationale for this treatment. </w:t>
      </w:r>
      <w:r>
        <w:rPr>
          <w:rFonts w:ascii="Arial" w:hAnsi="Arial" w:cs="Arial"/>
          <w:bCs/>
          <w:sz w:val="24"/>
          <w:szCs w:val="24"/>
        </w:rPr>
        <w:t xml:space="preserve">If the residual balance in Account 1595 (2016) has never been disposed of, please explain why Alectra Utilities is not asking for disposition of this account in the current application. </w:t>
      </w:r>
      <w:r w:rsidRPr="0028414A">
        <w:rPr>
          <w:rFonts w:ascii="Arial" w:hAnsi="Arial" w:cs="Arial"/>
          <w:bCs/>
          <w:sz w:val="24"/>
          <w:szCs w:val="24"/>
        </w:rPr>
        <w:t xml:space="preserve"> </w:t>
      </w:r>
    </w:p>
    <w:p w14:paraId="69162C1E" w14:textId="5CD8D1E3" w:rsidR="001916B2" w:rsidRDefault="001916B2" w:rsidP="001916B2">
      <w:pPr>
        <w:contextualSpacing/>
        <w:rPr>
          <w:rFonts w:ascii="Arial" w:hAnsi="Arial" w:cs="Arial"/>
          <w:b/>
          <w:sz w:val="24"/>
          <w:szCs w:val="24"/>
        </w:rPr>
      </w:pPr>
      <w:r>
        <w:rPr>
          <w:rFonts w:ascii="Arial" w:hAnsi="Arial" w:cs="Arial"/>
          <w:b/>
          <w:sz w:val="24"/>
          <w:szCs w:val="24"/>
        </w:rPr>
        <w:t>Staff Question-</w:t>
      </w:r>
      <w:r w:rsidR="003027EC">
        <w:rPr>
          <w:rFonts w:ascii="Arial" w:hAnsi="Arial" w:cs="Arial"/>
          <w:b/>
          <w:sz w:val="24"/>
          <w:szCs w:val="24"/>
        </w:rPr>
        <w:t>4</w:t>
      </w:r>
    </w:p>
    <w:p w14:paraId="12A77423" w14:textId="4844C015" w:rsidR="001916B2" w:rsidRDefault="001916B2" w:rsidP="001916B2">
      <w:pPr>
        <w:rPr>
          <w:rFonts w:ascii="Arial" w:hAnsi="Arial" w:cs="Arial"/>
          <w:b/>
          <w:sz w:val="24"/>
          <w:szCs w:val="24"/>
        </w:rPr>
      </w:pPr>
      <w:r>
        <w:rPr>
          <w:rFonts w:ascii="Arial" w:hAnsi="Arial" w:cs="Arial"/>
          <w:b/>
          <w:sz w:val="24"/>
          <w:szCs w:val="24"/>
        </w:rPr>
        <w:t>Ref: Enersource RZ, Rate Generator Model, Tab 3 Continuity Schedule, Account 1595 (2016)</w:t>
      </w:r>
    </w:p>
    <w:p w14:paraId="16DAF5D8" w14:textId="02D76033" w:rsidR="001916B2" w:rsidRDefault="000D79BC" w:rsidP="00235649">
      <w:pPr>
        <w:rPr>
          <w:rFonts w:ascii="Arial" w:hAnsi="Arial" w:cs="Arial"/>
          <w:bCs/>
          <w:sz w:val="24"/>
          <w:szCs w:val="24"/>
        </w:rPr>
      </w:pPr>
      <w:r>
        <w:rPr>
          <w:rFonts w:ascii="Arial" w:hAnsi="Arial" w:cs="Arial"/>
          <w:bCs/>
          <w:sz w:val="24"/>
          <w:szCs w:val="24"/>
        </w:rPr>
        <w:t>In the Rate Generator Model filed for the Enersource RZ, the 2020 closing principal balance in Account 1595 (2016) is a debit amount of $49,497, and the 2020 closing interest balance in this account is a credit amount of $49,497. OEB staff note</w:t>
      </w:r>
      <w:r w:rsidR="00604539">
        <w:rPr>
          <w:rFonts w:ascii="Arial" w:hAnsi="Arial" w:cs="Arial"/>
          <w:bCs/>
          <w:sz w:val="24"/>
          <w:szCs w:val="24"/>
        </w:rPr>
        <w:t>s</w:t>
      </w:r>
      <w:r>
        <w:rPr>
          <w:rFonts w:ascii="Arial" w:hAnsi="Arial" w:cs="Arial"/>
          <w:bCs/>
          <w:sz w:val="24"/>
          <w:szCs w:val="24"/>
        </w:rPr>
        <w:t xml:space="preserve"> that the DVA (2016) rate rider (approved in EB-2015-0065) was effective from May 1 to December 31, 2016. </w:t>
      </w:r>
    </w:p>
    <w:p w14:paraId="637EBDA7" w14:textId="757B24FF" w:rsidR="00371DB8" w:rsidRDefault="00371DB8" w:rsidP="00371DB8">
      <w:pPr>
        <w:pStyle w:val="ListParagraph"/>
        <w:numPr>
          <w:ilvl w:val="0"/>
          <w:numId w:val="29"/>
        </w:numPr>
        <w:contextualSpacing w:val="0"/>
        <w:rPr>
          <w:rFonts w:ascii="Arial" w:hAnsi="Arial" w:cs="Arial"/>
          <w:bCs/>
          <w:sz w:val="24"/>
          <w:szCs w:val="24"/>
        </w:rPr>
      </w:pPr>
      <w:r>
        <w:rPr>
          <w:rFonts w:ascii="Arial" w:hAnsi="Arial" w:cs="Arial"/>
          <w:bCs/>
          <w:sz w:val="24"/>
          <w:szCs w:val="24"/>
        </w:rPr>
        <w:t>Has the residual balance in Account 1595 (2016) been disposed of in any previous rate proceeding after the associated DVA rate rider expired? (If so, please provide the residual balances approved for disposition and the related OEB</w:t>
      </w:r>
      <w:r w:rsidR="00F72718">
        <w:rPr>
          <w:rFonts w:ascii="Arial" w:hAnsi="Arial" w:cs="Arial"/>
          <w:bCs/>
          <w:sz w:val="24"/>
          <w:szCs w:val="24"/>
        </w:rPr>
        <w:t>-approved document</w:t>
      </w:r>
      <w:r>
        <w:rPr>
          <w:rFonts w:ascii="Arial" w:hAnsi="Arial" w:cs="Arial"/>
          <w:bCs/>
          <w:sz w:val="24"/>
          <w:szCs w:val="24"/>
        </w:rPr>
        <w:t xml:space="preserve"> for reference.) If the residual balance has been </w:t>
      </w:r>
      <w:r>
        <w:rPr>
          <w:rFonts w:ascii="Arial" w:hAnsi="Arial" w:cs="Arial"/>
          <w:bCs/>
          <w:sz w:val="24"/>
          <w:szCs w:val="24"/>
        </w:rPr>
        <w:lastRenderedPageBreak/>
        <w:t>disposed of in previous proceeding, please explain why there were non-zero opening balances in this account in 2020.</w:t>
      </w:r>
    </w:p>
    <w:p w14:paraId="313407C5" w14:textId="544486FC" w:rsidR="0056349F" w:rsidRPr="00C7729F" w:rsidRDefault="00B701A8" w:rsidP="00C45D34">
      <w:pPr>
        <w:pStyle w:val="ListParagraph"/>
        <w:numPr>
          <w:ilvl w:val="0"/>
          <w:numId w:val="29"/>
        </w:numPr>
        <w:rPr>
          <w:rFonts w:ascii="Arial" w:hAnsi="Arial" w:cs="Arial"/>
          <w:bCs/>
          <w:sz w:val="24"/>
          <w:szCs w:val="24"/>
        </w:rPr>
      </w:pPr>
      <w:r w:rsidRPr="0028414A">
        <w:rPr>
          <w:rFonts w:ascii="Arial" w:hAnsi="Arial" w:cs="Arial"/>
          <w:bCs/>
          <w:sz w:val="24"/>
          <w:szCs w:val="24"/>
        </w:rPr>
        <w:t>OEB staff note</w:t>
      </w:r>
      <w:r w:rsidR="00604539">
        <w:rPr>
          <w:rFonts w:ascii="Arial" w:hAnsi="Arial" w:cs="Arial"/>
          <w:bCs/>
          <w:sz w:val="24"/>
          <w:szCs w:val="24"/>
        </w:rPr>
        <w:t>s</w:t>
      </w:r>
      <w:r w:rsidRPr="0028414A">
        <w:rPr>
          <w:rFonts w:ascii="Arial" w:hAnsi="Arial" w:cs="Arial"/>
          <w:bCs/>
          <w:sz w:val="24"/>
          <w:szCs w:val="24"/>
        </w:rPr>
        <w:t xml:space="preserve"> that Alectra Utilities reported principal and interest transactions </w:t>
      </w:r>
      <w:r w:rsidR="00E3024A" w:rsidRPr="0028414A">
        <w:rPr>
          <w:rFonts w:ascii="Arial" w:hAnsi="Arial" w:cs="Arial"/>
          <w:bCs/>
          <w:sz w:val="24"/>
          <w:szCs w:val="24"/>
        </w:rPr>
        <w:t xml:space="preserve">(a debit amount of $63,268 and a credit amount of $49,330) </w:t>
      </w:r>
      <w:r w:rsidRPr="0028414A">
        <w:rPr>
          <w:rFonts w:ascii="Arial" w:hAnsi="Arial" w:cs="Arial"/>
          <w:bCs/>
          <w:sz w:val="24"/>
          <w:szCs w:val="24"/>
        </w:rPr>
        <w:t xml:space="preserve">in Account 1595 (2016) under year 2020. </w:t>
      </w:r>
      <w:r w:rsidR="0028414A">
        <w:rPr>
          <w:rFonts w:ascii="Arial" w:hAnsi="Arial" w:cs="Arial"/>
          <w:bCs/>
          <w:sz w:val="24"/>
          <w:szCs w:val="24"/>
        </w:rPr>
        <w:t xml:space="preserve">Please provide </w:t>
      </w:r>
      <w:r w:rsidR="00604539">
        <w:rPr>
          <w:rFonts w:ascii="Arial" w:hAnsi="Arial" w:cs="Arial"/>
          <w:bCs/>
          <w:sz w:val="24"/>
          <w:szCs w:val="24"/>
        </w:rPr>
        <w:t xml:space="preserve">an </w:t>
      </w:r>
      <w:r w:rsidR="0028414A">
        <w:rPr>
          <w:rFonts w:ascii="Arial" w:hAnsi="Arial" w:cs="Arial"/>
          <w:bCs/>
          <w:sz w:val="24"/>
          <w:szCs w:val="24"/>
        </w:rPr>
        <w:t>explanation for the</w:t>
      </w:r>
      <w:r w:rsidR="00FE05CA">
        <w:rPr>
          <w:rFonts w:ascii="Arial" w:hAnsi="Arial" w:cs="Arial"/>
          <w:bCs/>
          <w:sz w:val="24"/>
          <w:szCs w:val="24"/>
        </w:rPr>
        <w:t>se</w:t>
      </w:r>
      <w:r w:rsidR="0028414A">
        <w:rPr>
          <w:rFonts w:ascii="Arial" w:hAnsi="Arial" w:cs="Arial"/>
          <w:bCs/>
          <w:sz w:val="24"/>
          <w:szCs w:val="24"/>
        </w:rPr>
        <w:t xml:space="preserve"> transactions. </w:t>
      </w:r>
      <w:r w:rsidRPr="0028414A">
        <w:rPr>
          <w:rFonts w:ascii="Arial" w:hAnsi="Arial" w:cs="Arial"/>
          <w:bCs/>
          <w:sz w:val="24"/>
          <w:szCs w:val="24"/>
        </w:rPr>
        <w:t xml:space="preserve">Please confirm whether or not these transactions in 2020 were recorded </w:t>
      </w:r>
      <w:r w:rsidR="00E3024A" w:rsidRPr="0028414A">
        <w:rPr>
          <w:rFonts w:ascii="Arial" w:hAnsi="Arial" w:cs="Arial"/>
          <w:bCs/>
          <w:sz w:val="24"/>
          <w:szCs w:val="24"/>
        </w:rPr>
        <w:t>in order to</w:t>
      </w:r>
      <w:r w:rsidRPr="0028414A">
        <w:rPr>
          <w:rFonts w:ascii="Arial" w:hAnsi="Arial" w:cs="Arial"/>
          <w:bCs/>
          <w:sz w:val="24"/>
          <w:szCs w:val="24"/>
        </w:rPr>
        <w:t xml:space="preserve"> write off the residual balances in Account 1595 (2016). If </w:t>
      </w:r>
      <w:r w:rsidR="00604539">
        <w:rPr>
          <w:rFonts w:ascii="Arial" w:hAnsi="Arial" w:cs="Arial"/>
          <w:bCs/>
          <w:sz w:val="24"/>
          <w:szCs w:val="24"/>
        </w:rPr>
        <w:t>so</w:t>
      </w:r>
      <w:r w:rsidRPr="0028414A">
        <w:rPr>
          <w:rFonts w:ascii="Arial" w:hAnsi="Arial" w:cs="Arial"/>
          <w:bCs/>
          <w:sz w:val="24"/>
          <w:szCs w:val="24"/>
        </w:rPr>
        <w:t xml:space="preserve">, please provide </w:t>
      </w:r>
      <w:r w:rsidR="00E3024A" w:rsidRPr="0028414A">
        <w:rPr>
          <w:rFonts w:ascii="Arial" w:hAnsi="Arial" w:cs="Arial"/>
          <w:bCs/>
          <w:sz w:val="24"/>
          <w:szCs w:val="24"/>
        </w:rPr>
        <w:t>the rationale for this treatment.</w:t>
      </w:r>
      <w:r w:rsidR="0064602E" w:rsidRPr="0028414A">
        <w:rPr>
          <w:rFonts w:ascii="Arial" w:hAnsi="Arial" w:cs="Arial"/>
          <w:bCs/>
          <w:sz w:val="24"/>
          <w:szCs w:val="24"/>
        </w:rPr>
        <w:t xml:space="preserve"> </w:t>
      </w:r>
      <w:r w:rsidR="0028414A">
        <w:rPr>
          <w:rFonts w:ascii="Arial" w:hAnsi="Arial" w:cs="Arial"/>
          <w:bCs/>
          <w:sz w:val="24"/>
          <w:szCs w:val="24"/>
        </w:rPr>
        <w:t>If the residual balance in Account 1595 (2016) has never been disposed of, please explain why</w:t>
      </w:r>
      <w:r w:rsidR="00885B9A">
        <w:rPr>
          <w:rFonts w:ascii="Arial" w:hAnsi="Arial" w:cs="Arial"/>
          <w:bCs/>
          <w:sz w:val="24"/>
          <w:szCs w:val="24"/>
        </w:rPr>
        <w:t xml:space="preserve"> Alectra Utilities is not asking for disposition of this account in the current application. </w:t>
      </w:r>
      <w:r w:rsidR="0064602E" w:rsidRPr="0028414A">
        <w:rPr>
          <w:rFonts w:ascii="Arial" w:hAnsi="Arial" w:cs="Arial"/>
          <w:bCs/>
          <w:sz w:val="24"/>
          <w:szCs w:val="24"/>
        </w:rPr>
        <w:t xml:space="preserve"> </w:t>
      </w:r>
    </w:p>
    <w:p w14:paraId="21FF6A57" w14:textId="3AEC821C" w:rsidR="000920C4" w:rsidRDefault="000920C4" w:rsidP="000920C4">
      <w:pPr>
        <w:contextualSpacing/>
        <w:rPr>
          <w:rFonts w:ascii="Arial" w:hAnsi="Arial" w:cs="Arial"/>
          <w:b/>
          <w:sz w:val="24"/>
          <w:szCs w:val="24"/>
        </w:rPr>
      </w:pPr>
      <w:r>
        <w:rPr>
          <w:rFonts w:ascii="Arial" w:hAnsi="Arial" w:cs="Arial"/>
          <w:b/>
          <w:sz w:val="24"/>
          <w:szCs w:val="24"/>
        </w:rPr>
        <w:t>Staff Question-</w:t>
      </w:r>
      <w:r w:rsidR="003027EC">
        <w:rPr>
          <w:rFonts w:ascii="Arial" w:hAnsi="Arial" w:cs="Arial"/>
          <w:b/>
          <w:sz w:val="24"/>
          <w:szCs w:val="24"/>
        </w:rPr>
        <w:t>5</w:t>
      </w:r>
    </w:p>
    <w:p w14:paraId="5E9F4380" w14:textId="3E22DE01" w:rsidR="000920C4" w:rsidRDefault="000920C4" w:rsidP="000920C4">
      <w:pPr>
        <w:contextualSpacing/>
        <w:rPr>
          <w:rFonts w:ascii="Arial" w:hAnsi="Arial" w:cs="Arial"/>
          <w:b/>
          <w:sz w:val="24"/>
          <w:szCs w:val="24"/>
        </w:rPr>
      </w:pPr>
      <w:r>
        <w:rPr>
          <w:rFonts w:ascii="Arial" w:hAnsi="Arial" w:cs="Arial"/>
          <w:b/>
          <w:sz w:val="24"/>
          <w:szCs w:val="24"/>
        </w:rPr>
        <w:t xml:space="preserve">Ref: </w:t>
      </w:r>
      <w:r w:rsidR="00527593">
        <w:rPr>
          <w:rFonts w:ascii="Arial" w:hAnsi="Arial" w:cs="Arial"/>
          <w:b/>
          <w:sz w:val="24"/>
          <w:szCs w:val="24"/>
        </w:rPr>
        <w:t>Guelph</w:t>
      </w:r>
      <w:r>
        <w:rPr>
          <w:rFonts w:ascii="Arial" w:hAnsi="Arial" w:cs="Arial"/>
          <w:b/>
          <w:sz w:val="24"/>
          <w:szCs w:val="24"/>
        </w:rPr>
        <w:t xml:space="preserve"> RZ, Rate Generator Model, </w:t>
      </w:r>
      <w:r w:rsidR="00527593">
        <w:rPr>
          <w:rFonts w:ascii="Arial" w:hAnsi="Arial" w:cs="Arial"/>
          <w:b/>
          <w:sz w:val="24"/>
          <w:szCs w:val="24"/>
        </w:rPr>
        <w:t>Tab 3 Continuity Schedule, Account 1595 (2018)</w:t>
      </w:r>
    </w:p>
    <w:p w14:paraId="5AABA4B4" w14:textId="6F1B93EF" w:rsidR="00527593" w:rsidRDefault="00527593" w:rsidP="000920C4">
      <w:pPr>
        <w:rPr>
          <w:rFonts w:ascii="Arial" w:hAnsi="Arial" w:cs="Arial"/>
          <w:b/>
          <w:sz w:val="24"/>
          <w:szCs w:val="24"/>
        </w:rPr>
      </w:pPr>
      <w:r>
        <w:rPr>
          <w:rFonts w:ascii="Arial" w:hAnsi="Arial" w:cs="Arial"/>
          <w:b/>
          <w:sz w:val="24"/>
          <w:szCs w:val="24"/>
        </w:rPr>
        <w:t>Ref: Exhibit 2, Tab 1, Schedule 5, page 54</w:t>
      </w:r>
    </w:p>
    <w:p w14:paraId="100737CE" w14:textId="7EE31A51" w:rsidR="00527593" w:rsidRDefault="00F63646" w:rsidP="000920C4">
      <w:pPr>
        <w:rPr>
          <w:rFonts w:ascii="Arial" w:hAnsi="Arial" w:cs="Arial"/>
          <w:bCs/>
          <w:sz w:val="24"/>
          <w:szCs w:val="24"/>
        </w:rPr>
      </w:pPr>
      <w:r>
        <w:rPr>
          <w:rFonts w:ascii="Arial" w:hAnsi="Arial" w:cs="Arial"/>
          <w:bCs/>
          <w:sz w:val="24"/>
          <w:szCs w:val="24"/>
        </w:rPr>
        <w:t>Alectra Utilities states that it is not requesting disposition of 1595 sub-account balances for the Guelph RZ as it does not meet the requirements for disposition of residual balances. OEB staff note</w:t>
      </w:r>
      <w:r w:rsidR="00604539">
        <w:rPr>
          <w:rFonts w:ascii="Arial" w:hAnsi="Arial" w:cs="Arial"/>
          <w:bCs/>
          <w:sz w:val="24"/>
          <w:szCs w:val="24"/>
        </w:rPr>
        <w:t>s</w:t>
      </w:r>
      <w:r>
        <w:rPr>
          <w:rFonts w:ascii="Arial" w:hAnsi="Arial" w:cs="Arial"/>
          <w:bCs/>
          <w:sz w:val="24"/>
          <w:szCs w:val="24"/>
        </w:rPr>
        <w:t xml:space="preserve"> that </w:t>
      </w:r>
      <w:r w:rsidRPr="00F63646">
        <w:rPr>
          <w:rFonts w:ascii="Arial" w:hAnsi="Arial" w:cs="Arial"/>
          <w:bCs/>
          <w:sz w:val="24"/>
          <w:szCs w:val="24"/>
        </w:rPr>
        <w:t>Guelph Hydro Electric Systems Inc</w:t>
      </w:r>
      <w:r>
        <w:rPr>
          <w:rFonts w:ascii="Arial" w:hAnsi="Arial" w:cs="Arial"/>
          <w:bCs/>
          <w:sz w:val="24"/>
          <w:szCs w:val="24"/>
        </w:rPr>
        <w:t>.</w:t>
      </w:r>
      <w:r w:rsidR="00821291">
        <w:rPr>
          <w:rFonts w:ascii="Arial" w:hAnsi="Arial" w:cs="Arial"/>
          <w:bCs/>
          <w:sz w:val="24"/>
          <w:szCs w:val="24"/>
        </w:rPr>
        <w:t>’s</w:t>
      </w:r>
      <w:r>
        <w:rPr>
          <w:rFonts w:ascii="Arial" w:hAnsi="Arial" w:cs="Arial"/>
          <w:bCs/>
          <w:sz w:val="24"/>
          <w:szCs w:val="24"/>
        </w:rPr>
        <w:t xml:space="preserve"> (Guelph Hydro)</w:t>
      </w:r>
      <w:r w:rsidR="00821291">
        <w:rPr>
          <w:rFonts w:ascii="Arial" w:hAnsi="Arial" w:cs="Arial"/>
          <w:bCs/>
          <w:sz w:val="24"/>
          <w:szCs w:val="24"/>
        </w:rPr>
        <w:t xml:space="preserve"> 2018 rate riders expired as of December 31, 2018.</w:t>
      </w:r>
      <w:r w:rsidR="00821291">
        <w:rPr>
          <w:rStyle w:val="FootnoteReference"/>
          <w:rFonts w:ascii="Arial" w:hAnsi="Arial" w:cs="Arial"/>
          <w:bCs/>
          <w:sz w:val="24"/>
          <w:szCs w:val="24"/>
        </w:rPr>
        <w:footnoteReference w:id="1"/>
      </w:r>
      <w:r w:rsidR="00821291">
        <w:rPr>
          <w:rFonts w:ascii="Arial" w:hAnsi="Arial" w:cs="Arial"/>
          <w:bCs/>
          <w:sz w:val="24"/>
          <w:szCs w:val="24"/>
        </w:rPr>
        <w:t xml:space="preserve"> According to the Chapter 3 Filing Requirements, </w:t>
      </w:r>
      <w:r w:rsidR="00604539">
        <w:rPr>
          <w:rFonts w:ascii="Arial" w:hAnsi="Arial" w:cs="Arial"/>
          <w:bCs/>
          <w:sz w:val="24"/>
          <w:szCs w:val="24"/>
        </w:rPr>
        <w:t xml:space="preserve">the </w:t>
      </w:r>
      <w:r w:rsidR="00821291">
        <w:rPr>
          <w:rFonts w:ascii="Arial" w:hAnsi="Arial" w:cs="Arial"/>
          <w:bCs/>
          <w:sz w:val="24"/>
          <w:szCs w:val="24"/>
        </w:rPr>
        <w:t xml:space="preserve">Guelph RZ’s Account 1595 (2018) </w:t>
      </w:r>
      <w:r w:rsidR="005452FD">
        <w:rPr>
          <w:rFonts w:ascii="Arial" w:hAnsi="Arial" w:cs="Arial"/>
          <w:bCs/>
          <w:sz w:val="24"/>
          <w:szCs w:val="24"/>
        </w:rPr>
        <w:t xml:space="preserve">balance </w:t>
      </w:r>
      <w:r w:rsidR="00604539">
        <w:rPr>
          <w:rFonts w:ascii="Arial" w:hAnsi="Arial" w:cs="Arial"/>
          <w:bCs/>
          <w:sz w:val="24"/>
          <w:szCs w:val="24"/>
        </w:rPr>
        <w:t xml:space="preserve">may </w:t>
      </w:r>
      <w:r w:rsidR="005452FD">
        <w:rPr>
          <w:rFonts w:ascii="Arial" w:hAnsi="Arial" w:cs="Arial"/>
          <w:bCs/>
          <w:sz w:val="24"/>
          <w:szCs w:val="24"/>
        </w:rPr>
        <w:t>be disposed of</w:t>
      </w:r>
      <w:r w:rsidR="00821291">
        <w:rPr>
          <w:rFonts w:ascii="Arial" w:hAnsi="Arial" w:cs="Arial"/>
          <w:bCs/>
          <w:sz w:val="24"/>
          <w:szCs w:val="24"/>
        </w:rPr>
        <w:t xml:space="preserve"> once the December 31, 2020 account balance has been </w:t>
      </w:r>
      <w:r w:rsidR="005452FD">
        <w:rPr>
          <w:rFonts w:ascii="Arial" w:hAnsi="Arial" w:cs="Arial"/>
          <w:bCs/>
          <w:sz w:val="24"/>
          <w:szCs w:val="24"/>
        </w:rPr>
        <w:t xml:space="preserve">audited. Therefore, it </w:t>
      </w:r>
      <w:r w:rsidR="00604539">
        <w:rPr>
          <w:rFonts w:ascii="Arial" w:hAnsi="Arial" w:cs="Arial"/>
          <w:bCs/>
          <w:sz w:val="24"/>
          <w:szCs w:val="24"/>
        </w:rPr>
        <w:t>is</w:t>
      </w:r>
      <w:r w:rsidR="005452FD">
        <w:rPr>
          <w:rFonts w:ascii="Arial" w:hAnsi="Arial" w:cs="Arial"/>
          <w:bCs/>
          <w:sz w:val="24"/>
          <w:szCs w:val="24"/>
        </w:rPr>
        <w:t xml:space="preserve"> eligible for disposition</w:t>
      </w:r>
      <w:r w:rsidR="00821291">
        <w:rPr>
          <w:rFonts w:ascii="Arial" w:hAnsi="Arial" w:cs="Arial"/>
          <w:bCs/>
          <w:sz w:val="24"/>
          <w:szCs w:val="24"/>
        </w:rPr>
        <w:t xml:space="preserve"> in the 2022 rate year.</w:t>
      </w:r>
    </w:p>
    <w:p w14:paraId="2CE84E08" w14:textId="0AA04007" w:rsidR="00F72718" w:rsidRPr="003B429A" w:rsidRDefault="005452FD" w:rsidP="003B429A">
      <w:pPr>
        <w:rPr>
          <w:rFonts w:ascii="Arial" w:hAnsi="Arial" w:cs="Arial"/>
          <w:bCs/>
          <w:sz w:val="24"/>
          <w:szCs w:val="24"/>
        </w:rPr>
      </w:pPr>
      <w:r w:rsidRPr="003B429A">
        <w:rPr>
          <w:rFonts w:ascii="Arial" w:hAnsi="Arial" w:cs="Arial"/>
          <w:bCs/>
          <w:sz w:val="24"/>
          <w:szCs w:val="24"/>
        </w:rPr>
        <w:t xml:space="preserve">Please </w:t>
      </w:r>
      <w:r w:rsidR="000A4038">
        <w:rPr>
          <w:rFonts w:ascii="Arial" w:hAnsi="Arial" w:cs="Arial"/>
          <w:bCs/>
          <w:sz w:val="24"/>
          <w:szCs w:val="24"/>
        </w:rPr>
        <w:t>explain</w:t>
      </w:r>
      <w:r w:rsidR="000A4038" w:rsidRPr="003B429A">
        <w:rPr>
          <w:rFonts w:ascii="Arial" w:hAnsi="Arial" w:cs="Arial"/>
          <w:bCs/>
          <w:sz w:val="24"/>
          <w:szCs w:val="24"/>
        </w:rPr>
        <w:t xml:space="preserve"> </w:t>
      </w:r>
      <w:r w:rsidRPr="003B429A">
        <w:rPr>
          <w:rFonts w:ascii="Arial" w:hAnsi="Arial" w:cs="Arial"/>
          <w:bCs/>
          <w:sz w:val="24"/>
          <w:szCs w:val="24"/>
        </w:rPr>
        <w:t>Alectra Utilities</w:t>
      </w:r>
      <w:r w:rsidR="00604539">
        <w:rPr>
          <w:rFonts w:ascii="Arial" w:hAnsi="Arial" w:cs="Arial"/>
          <w:bCs/>
          <w:sz w:val="24"/>
          <w:szCs w:val="24"/>
        </w:rPr>
        <w:t>’ position with respect to its</w:t>
      </w:r>
      <w:r w:rsidRPr="003B429A">
        <w:rPr>
          <w:rFonts w:ascii="Arial" w:hAnsi="Arial" w:cs="Arial"/>
          <w:bCs/>
          <w:sz w:val="24"/>
          <w:szCs w:val="24"/>
        </w:rPr>
        <w:t xml:space="preserve"> request </w:t>
      </w:r>
      <w:r w:rsidR="00604539">
        <w:rPr>
          <w:rFonts w:ascii="Arial" w:hAnsi="Arial" w:cs="Arial"/>
          <w:bCs/>
          <w:sz w:val="24"/>
          <w:szCs w:val="24"/>
        </w:rPr>
        <w:t xml:space="preserve">not to </w:t>
      </w:r>
      <w:r w:rsidRPr="003B429A">
        <w:rPr>
          <w:rFonts w:ascii="Arial" w:hAnsi="Arial" w:cs="Arial"/>
          <w:bCs/>
          <w:sz w:val="24"/>
          <w:szCs w:val="24"/>
        </w:rPr>
        <w:t>dispos</w:t>
      </w:r>
      <w:r w:rsidR="00604539">
        <w:rPr>
          <w:rFonts w:ascii="Arial" w:hAnsi="Arial" w:cs="Arial"/>
          <w:bCs/>
          <w:sz w:val="24"/>
          <w:szCs w:val="24"/>
        </w:rPr>
        <w:t>e</w:t>
      </w:r>
      <w:r w:rsidRPr="003B429A">
        <w:rPr>
          <w:rFonts w:ascii="Arial" w:hAnsi="Arial" w:cs="Arial"/>
          <w:bCs/>
          <w:sz w:val="24"/>
          <w:szCs w:val="24"/>
        </w:rPr>
        <w:t xml:space="preserve"> of the residual balance in Account 1595 (2018) for </w:t>
      </w:r>
      <w:r w:rsidR="000A4038">
        <w:rPr>
          <w:rFonts w:ascii="Arial" w:hAnsi="Arial" w:cs="Arial"/>
          <w:bCs/>
          <w:sz w:val="24"/>
          <w:szCs w:val="24"/>
        </w:rPr>
        <w:t xml:space="preserve">the </w:t>
      </w:r>
      <w:r w:rsidRPr="003B429A">
        <w:rPr>
          <w:rFonts w:ascii="Arial" w:hAnsi="Arial" w:cs="Arial"/>
          <w:bCs/>
          <w:sz w:val="24"/>
          <w:szCs w:val="24"/>
        </w:rPr>
        <w:t>Guelph RZ in this application</w:t>
      </w:r>
      <w:r w:rsidR="00604539">
        <w:rPr>
          <w:rFonts w:ascii="Arial" w:hAnsi="Arial" w:cs="Arial"/>
          <w:bCs/>
          <w:sz w:val="24"/>
          <w:szCs w:val="24"/>
        </w:rPr>
        <w:t>, with due consideration to the Chapter 3 Filing Requirements</w:t>
      </w:r>
      <w:r w:rsidRPr="003B429A">
        <w:rPr>
          <w:rFonts w:ascii="Arial" w:hAnsi="Arial" w:cs="Arial"/>
          <w:bCs/>
          <w:sz w:val="24"/>
          <w:szCs w:val="24"/>
        </w:rPr>
        <w:t xml:space="preserve">. If </w:t>
      </w:r>
      <w:r w:rsidR="00604539">
        <w:rPr>
          <w:rFonts w:ascii="Arial" w:hAnsi="Arial" w:cs="Arial"/>
          <w:bCs/>
          <w:sz w:val="24"/>
          <w:szCs w:val="24"/>
        </w:rPr>
        <w:t xml:space="preserve">Alectra Utilities </w:t>
      </w:r>
      <w:r w:rsidR="000A4038">
        <w:rPr>
          <w:rFonts w:ascii="Arial" w:hAnsi="Arial" w:cs="Arial"/>
          <w:bCs/>
          <w:sz w:val="24"/>
          <w:szCs w:val="24"/>
        </w:rPr>
        <w:t>revises its position, and elects to dispose of this residual balance</w:t>
      </w:r>
      <w:r w:rsidRPr="003B429A">
        <w:rPr>
          <w:rFonts w:ascii="Arial" w:hAnsi="Arial" w:cs="Arial"/>
          <w:bCs/>
          <w:sz w:val="24"/>
          <w:szCs w:val="24"/>
        </w:rPr>
        <w:t>, please update the Rate Generator Model and file the 1595 Analysis Workform for Guelph RZ.</w:t>
      </w:r>
    </w:p>
    <w:p w14:paraId="3DE30731" w14:textId="6344F2F7" w:rsidR="00F72718" w:rsidRDefault="00F72718" w:rsidP="00F72718">
      <w:pPr>
        <w:contextualSpacing/>
        <w:rPr>
          <w:rFonts w:ascii="Arial" w:hAnsi="Arial" w:cs="Arial"/>
          <w:b/>
          <w:sz w:val="24"/>
          <w:szCs w:val="24"/>
        </w:rPr>
      </w:pPr>
      <w:r>
        <w:rPr>
          <w:rFonts w:ascii="Arial" w:hAnsi="Arial" w:cs="Arial"/>
          <w:b/>
          <w:sz w:val="24"/>
          <w:szCs w:val="24"/>
        </w:rPr>
        <w:t>Staff Question-</w:t>
      </w:r>
      <w:r w:rsidR="003027EC">
        <w:rPr>
          <w:rFonts w:ascii="Arial" w:hAnsi="Arial" w:cs="Arial"/>
          <w:b/>
          <w:sz w:val="24"/>
          <w:szCs w:val="24"/>
        </w:rPr>
        <w:t>6</w:t>
      </w:r>
    </w:p>
    <w:p w14:paraId="4997B7EB" w14:textId="1D478D8B" w:rsidR="00F72718" w:rsidRDefault="00F72718" w:rsidP="00F72718">
      <w:pPr>
        <w:rPr>
          <w:rFonts w:ascii="Arial" w:hAnsi="Arial" w:cs="Arial"/>
          <w:b/>
          <w:bCs/>
          <w:sz w:val="24"/>
          <w:szCs w:val="24"/>
        </w:rPr>
      </w:pPr>
      <w:r>
        <w:rPr>
          <w:rFonts w:ascii="Arial" w:hAnsi="Arial" w:cs="Arial"/>
          <w:b/>
          <w:sz w:val="24"/>
          <w:szCs w:val="24"/>
        </w:rPr>
        <w:t xml:space="preserve">Ref: </w:t>
      </w:r>
      <w:r w:rsidRPr="0075470A">
        <w:rPr>
          <w:rFonts w:ascii="Arial" w:hAnsi="Arial" w:cs="Arial"/>
          <w:b/>
          <w:bCs/>
          <w:sz w:val="24"/>
          <w:szCs w:val="24"/>
        </w:rPr>
        <w:t>B</w:t>
      </w:r>
      <w:r>
        <w:rPr>
          <w:rFonts w:ascii="Arial" w:hAnsi="Arial" w:cs="Arial"/>
          <w:b/>
          <w:bCs/>
          <w:sz w:val="24"/>
          <w:szCs w:val="24"/>
        </w:rPr>
        <w:t xml:space="preserve">rampton </w:t>
      </w:r>
      <w:r w:rsidRPr="0075470A">
        <w:rPr>
          <w:rFonts w:ascii="Arial" w:hAnsi="Arial" w:cs="Arial"/>
          <w:b/>
          <w:bCs/>
          <w:sz w:val="24"/>
          <w:szCs w:val="24"/>
        </w:rPr>
        <w:t>RZ</w:t>
      </w:r>
      <w:r>
        <w:rPr>
          <w:rFonts w:ascii="Arial" w:hAnsi="Arial" w:cs="Arial"/>
          <w:b/>
          <w:bCs/>
          <w:sz w:val="24"/>
          <w:szCs w:val="24"/>
        </w:rPr>
        <w:t>’s</w:t>
      </w:r>
      <w:r w:rsidRPr="0075470A">
        <w:rPr>
          <w:rFonts w:ascii="Arial" w:hAnsi="Arial" w:cs="Arial"/>
          <w:b/>
          <w:bCs/>
          <w:sz w:val="24"/>
          <w:szCs w:val="24"/>
        </w:rPr>
        <w:t xml:space="preserve"> GA Analysis Workform, Principal Adjustments </w:t>
      </w:r>
      <w:r>
        <w:rPr>
          <w:rFonts w:ascii="Arial" w:hAnsi="Arial" w:cs="Arial"/>
          <w:b/>
          <w:bCs/>
          <w:sz w:val="24"/>
          <w:szCs w:val="24"/>
        </w:rPr>
        <w:t>T</w:t>
      </w:r>
      <w:r w:rsidRPr="0075470A">
        <w:rPr>
          <w:rFonts w:ascii="Arial" w:hAnsi="Arial" w:cs="Arial"/>
          <w:b/>
          <w:bCs/>
          <w:sz w:val="24"/>
          <w:szCs w:val="24"/>
        </w:rPr>
        <w:t>ab</w:t>
      </w:r>
    </w:p>
    <w:p w14:paraId="1CDA6FD6" w14:textId="77777777" w:rsidR="00F72718" w:rsidRPr="0075470A" w:rsidRDefault="00F72718" w:rsidP="00F72718">
      <w:pPr>
        <w:rPr>
          <w:rFonts w:ascii="Arial" w:hAnsi="Arial" w:cs="Arial"/>
          <w:sz w:val="24"/>
          <w:szCs w:val="24"/>
        </w:rPr>
      </w:pPr>
      <w:r w:rsidRPr="0075470A">
        <w:rPr>
          <w:rFonts w:ascii="Arial" w:hAnsi="Arial" w:cs="Arial"/>
          <w:sz w:val="24"/>
          <w:szCs w:val="24"/>
        </w:rPr>
        <w:t>Under Note 9 of the GA Analysis Workform, Alectra Utilities included a current year principal adjustment related to CT-148 true-up of GA charges for Account 1589 in 2020:</w:t>
      </w:r>
    </w:p>
    <w:p w14:paraId="0301269C" w14:textId="77777777" w:rsidR="00F72718" w:rsidRPr="0075470A" w:rsidRDefault="00F72718" w:rsidP="00F72718">
      <w:pPr>
        <w:rPr>
          <w:rFonts w:ascii="Arial" w:hAnsi="Arial" w:cs="Arial"/>
          <w:sz w:val="24"/>
          <w:szCs w:val="24"/>
        </w:rPr>
      </w:pPr>
      <w:r w:rsidRPr="0075470A">
        <w:rPr>
          <w:rFonts w:ascii="Arial" w:hAnsi="Arial" w:cs="Arial"/>
          <w:noProof/>
          <w:sz w:val="24"/>
          <w:szCs w:val="24"/>
        </w:rPr>
        <w:drawing>
          <wp:inline distT="0" distB="0" distL="0" distR="0" wp14:anchorId="56C2F6FB" wp14:editId="1089DE04">
            <wp:extent cx="5943600" cy="246380"/>
            <wp:effectExtent l="0" t="0" r="0" b="127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46380"/>
                    </a:xfrm>
                    <a:prstGeom prst="rect">
                      <a:avLst/>
                    </a:prstGeom>
                    <a:noFill/>
                    <a:ln>
                      <a:noFill/>
                    </a:ln>
                  </pic:spPr>
                </pic:pic>
              </a:graphicData>
            </a:graphic>
          </wp:inline>
        </w:drawing>
      </w:r>
    </w:p>
    <w:p w14:paraId="5E32D52F" w14:textId="77777777" w:rsidR="00F72718" w:rsidRPr="0075470A" w:rsidRDefault="00F72718" w:rsidP="00F72718">
      <w:pPr>
        <w:rPr>
          <w:rFonts w:ascii="Arial" w:hAnsi="Arial" w:cs="Arial"/>
          <w:sz w:val="24"/>
          <w:szCs w:val="24"/>
        </w:rPr>
      </w:pPr>
      <w:r w:rsidRPr="0075470A">
        <w:rPr>
          <w:rFonts w:ascii="Arial" w:hAnsi="Arial" w:cs="Arial"/>
          <w:noProof/>
          <w:sz w:val="24"/>
          <w:szCs w:val="24"/>
        </w:rPr>
        <w:drawing>
          <wp:inline distT="0" distB="0" distL="0" distR="0" wp14:anchorId="14170956" wp14:editId="52CDDF77">
            <wp:extent cx="5943600" cy="2508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50825"/>
                    </a:xfrm>
                    <a:prstGeom prst="rect">
                      <a:avLst/>
                    </a:prstGeom>
                    <a:noFill/>
                    <a:ln>
                      <a:noFill/>
                    </a:ln>
                  </pic:spPr>
                </pic:pic>
              </a:graphicData>
            </a:graphic>
          </wp:inline>
        </w:drawing>
      </w:r>
    </w:p>
    <w:p w14:paraId="5F2953DA" w14:textId="6729DFFE" w:rsidR="00F72718" w:rsidRPr="0075470A" w:rsidRDefault="000A4038" w:rsidP="00F72718">
      <w:pPr>
        <w:rPr>
          <w:rFonts w:ascii="Arial" w:hAnsi="Arial" w:cs="Arial"/>
          <w:sz w:val="24"/>
          <w:szCs w:val="24"/>
        </w:rPr>
      </w:pPr>
      <w:r>
        <w:rPr>
          <w:rFonts w:ascii="Arial" w:hAnsi="Arial" w:cs="Arial"/>
          <w:sz w:val="24"/>
          <w:szCs w:val="24"/>
        </w:rPr>
        <w:lastRenderedPageBreak/>
        <w:t>OEB staff believes that t</w:t>
      </w:r>
      <w:r w:rsidR="00F72718" w:rsidRPr="0075470A">
        <w:rPr>
          <w:rFonts w:ascii="Arial" w:hAnsi="Arial" w:cs="Arial"/>
          <w:sz w:val="24"/>
          <w:szCs w:val="24"/>
        </w:rPr>
        <w:t>here should be a corresponding offsetting adjustment in Account 1588 for the same amount. However, Alectra Utilities included the following principal adjustment for Account 1588:</w:t>
      </w:r>
    </w:p>
    <w:p w14:paraId="4F82B2A1" w14:textId="77777777" w:rsidR="00F72718" w:rsidRPr="0075470A" w:rsidRDefault="00F72718" w:rsidP="00F72718">
      <w:pPr>
        <w:rPr>
          <w:rFonts w:ascii="Arial" w:hAnsi="Arial" w:cs="Arial"/>
          <w:sz w:val="24"/>
          <w:szCs w:val="24"/>
        </w:rPr>
      </w:pPr>
      <w:r w:rsidRPr="0075470A">
        <w:rPr>
          <w:rFonts w:ascii="Arial" w:hAnsi="Arial" w:cs="Arial"/>
          <w:noProof/>
          <w:sz w:val="24"/>
          <w:szCs w:val="24"/>
        </w:rPr>
        <w:drawing>
          <wp:inline distT="0" distB="0" distL="0" distR="0" wp14:anchorId="3F02AD0D" wp14:editId="64B596E0">
            <wp:extent cx="5943600" cy="2381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38125"/>
                    </a:xfrm>
                    <a:prstGeom prst="rect">
                      <a:avLst/>
                    </a:prstGeom>
                    <a:noFill/>
                    <a:ln>
                      <a:noFill/>
                    </a:ln>
                  </pic:spPr>
                </pic:pic>
              </a:graphicData>
            </a:graphic>
          </wp:inline>
        </w:drawing>
      </w:r>
      <w:r w:rsidRPr="0075470A">
        <w:rPr>
          <w:rFonts w:ascii="Arial" w:hAnsi="Arial" w:cs="Arial"/>
          <w:sz w:val="24"/>
          <w:szCs w:val="24"/>
        </w:rPr>
        <w:t xml:space="preserve"> </w:t>
      </w:r>
    </w:p>
    <w:p w14:paraId="640B9B8F" w14:textId="77777777" w:rsidR="00F72718" w:rsidRPr="0075470A" w:rsidRDefault="00F72718" w:rsidP="00F72718">
      <w:pPr>
        <w:rPr>
          <w:rFonts w:ascii="Arial" w:hAnsi="Arial" w:cs="Arial"/>
          <w:sz w:val="24"/>
          <w:szCs w:val="24"/>
        </w:rPr>
      </w:pPr>
      <w:r w:rsidRPr="0075470A">
        <w:rPr>
          <w:rFonts w:ascii="Arial" w:hAnsi="Arial" w:cs="Arial"/>
          <w:noProof/>
          <w:sz w:val="24"/>
          <w:szCs w:val="24"/>
        </w:rPr>
        <w:drawing>
          <wp:inline distT="0" distB="0" distL="0" distR="0" wp14:anchorId="2569F056" wp14:editId="6C35C85D">
            <wp:extent cx="5943600" cy="359410"/>
            <wp:effectExtent l="0" t="0" r="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59410"/>
                    </a:xfrm>
                    <a:prstGeom prst="rect">
                      <a:avLst/>
                    </a:prstGeom>
                    <a:noFill/>
                    <a:ln>
                      <a:noFill/>
                    </a:ln>
                  </pic:spPr>
                </pic:pic>
              </a:graphicData>
            </a:graphic>
          </wp:inline>
        </w:drawing>
      </w:r>
    </w:p>
    <w:p w14:paraId="1D77CDC1" w14:textId="6DB0F372" w:rsidR="00C7729F" w:rsidRPr="00C7729F" w:rsidRDefault="00F72718" w:rsidP="00C7729F">
      <w:pPr>
        <w:pStyle w:val="ListParagraph"/>
        <w:numPr>
          <w:ilvl w:val="0"/>
          <w:numId w:val="31"/>
        </w:numPr>
        <w:contextualSpacing w:val="0"/>
        <w:rPr>
          <w:rFonts w:ascii="Arial" w:hAnsi="Arial" w:cs="Arial"/>
          <w:sz w:val="24"/>
          <w:szCs w:val="24"/>
        </w:rPr>
      </w:pPr>
      <w:r w:rsidRPr="00C7729F">
        <w:rPr>
          <w:rFonts w:ascii="Arial" w:hAnsi="Arial" w:cs="Arial"/>
          <w:sz w:val="24"/>
          <w:szCs w:val="24"/>
        </w:rPr>
        <w:t>Please confirm whether the “CT-148 true-up of GA charges based on actual RPP volumes” of ($1,945,016) for Account 1588 has included the adjustment for “CT-1142 true-up based on actuals”.</w:t>
      </w:r>
    </w:p>
    <w:p w14:paraId="42246984" w14:textId="4C83138D" w:rsidR="00F72718" w:rsidRPr="0075470A" w:rsidRDefault="00F72718" w:rsidP="00F72718">
      <w:pPr>
        <w:pStyle w:val="ListParagraph"/>
        <w:numPr>
          <w:ilvl w:val="0"/>
          <w:numId w:val="31"/>
        </w:numPr>
        <w:rPr>
          <w:rFonts w:ascii="Arial" w:hAnsi="Arial" w:cs="Arial"/>
          <w:sz w:val="24"/>
          <w:szCs w:val="24"/>
        </w:rPr>
      </w:pPr>
      <w:r w:rsidRPr="0075470A">
        <w:rPr>
          <w:rFonts w:ascii="Arial" w:hAnsi="Arial" w:cs="Arial"/>
          <w:sz w:val="24"/>
          <w:szCs w:val="24"/>
        </w:rPr>
        <w:t>If a)</w:t>
      </w:r>
      <w:r w:rsidR="000A4038">
        <w:rPr>
          <w:rFonts w:ascii="Arial" w:hAnsi="Arial" w:cs="Arial"/>
          <w:sz w:val="24"/>
          <w:szCs w:val="24"/>
        </w:rPr>
        <w:t xml:space="preserve"> is confirmed</w:t>
      </w:r>
      <w:r w:rsidRPr="0075470A">
        <w:rPr>
          <w:rFonts w:ascii="Arial" w:hAnsi="Arial" w:cs="Arial"/>
          <w:sz w:val="24"/>
          <w:szCs w:val="24"/>
        </w:rPr>
        <w:t>, please provide a breakdown of the adjustments in 2020 between:</w:t>
      </w:r>
    </w:p>
    <w:p w14:paraId="09F0D51B" w14:textId="77777777" w:rsidR="00F72718" w:rsidRPr="0075470A" w:rsidRDefault="00F72718" w:rsidP="00F72718">
      <w:pPr>
        <w:pStyle w:val="ListParagraph"/>
        <w:numPr>
          <w:ilvl w:val="1"/>
          <w:numId w:val="31"/>
        </w:numPr>
        <w:rPr>
          <w:rFonts w:ascii="Arial" w:hAnsi="Arial" w:cs="Arial"/>
          <w:sz w:val="24"/>
          <w:szCs w:val="24"/>
        </w:rPr>
      </w:pPr>
      <w:r w:rsidRPr="0075470A">
        <w:rPr>
          <w:rFonts w:ascii="Arial" w:hAnsi="Arial" w:cs="Arial"/>
          <w:sz w:val="24"/>
          <w:szCs w:val="24"/>
        </w:rPr>
        <w:t>CT-148 true-up of GA charges based on actual RPP volumes</w:t>
      </w:r>
    </w:p>
    <w:p w14:paraId="772C32B7" w14:textId="77777777" w:rsidR="00F72718" w:rsidRPr="0075470A" w:rsidRDefault="00F72718" w:rsidP="009C0895">
      <w:pPr>
        <w:pStyle w:val="ListParagraph"/>
        <w:numPr>
          <w:ilvl w:val="1"/>
          <w:numId w:val="31"/>
        </w:numPr>
        <w:contextualSpacing w:val="0"/>
        <w:rPr>
          <w:rFonts w:ascii="Arial" w:hAnsi="Arial" w:cs="Arial"/>
          <w:sz w:val="24"/>
          <w:szCs w:val="24"/>
        </w:rPr>
      </w:pPr>
      <w:r w:rsidRPr="0075470A">
        <w:rPr>
          <w:rFonts w:ascii="Arial" w:hAnsi="Arial" w:cs="Arial"/>
          <w:sz w:val="24"/>
          <w:szCs w:val="24"/>
        </w:rPr>
        <w:t>CT-1142 true-up based on actuals</w:t>
      </w:r>
    </w:p>
    <w:p w14:paraId="3C0D42FC" w14:textId="74BB27DE" w:rsidR="009C0895" w:rsidRPr="009C0895" w:rsidRDefault="009C0895" w:rsidP="009C0895">
      <w:pPr>
        <w:pStyle w:val="ListParagraph"/>
        <w:contextualSpacing w:val="0"/>
        <w:rPr>
          <w:rFonts w:ascii="Arial" w:hAnsi="Arial" w:cs="Arial"/>
          <w:sz w:val="24"/>
          <w:szCs w:val="24"/>
        </w:rPr>
      </w:pPr>
      <w:r w:rsidRPr="009C0895">
        <w:rPr>
          <w:rFonts w:ascii="Arial" w:hAnsi="Arial" w:cs="Arial"/>
          <w:sz w:val="24"/>
          <w:szCs w:val="24"/>
        </w:rPr>
        <w:t>Please also submit an updated GA Analysis Workform with the appropriate amounts in the principal adjustments for Account 1588.</w:t>
      </w:r>
    </w:p>
    <w:p w14:paraId="5D0DC624" w14:textId="5B91E0DD" w:rsidR="00F72718" w:rsidRPr="00C7729F" w:rsidRDefault="00F72718" w:rsidP="00F72718">
      <w:pPr>
        <w:pStyle w:val="ListParagraph"/>
        <w:numPr>
          <w:ilvl w:val="0"/>
          <w:numId w:val="31"/>
        </w:numPr>
        <w:rPr>
          <w:rFonts w:ascii="Arial" w:hAnsi="Arial" w:cs="Arial"/>
          <w:sz w:val="24"/>
          <w:szCs w:val="24"/>
        </w:rPr>
      </w:pPr>
      <w:r w:rsidRPr="0075470A">
        <w:rPr>
          <w:rFonts w:ascii="Arial" w:hAnsi="Arial" w:cs="Arial"/>
          <w:sz w:val="24"/>
          <w:szCs w:val="24"/>
        </w:rPr>
        <w:t>If a)</w:t>
      </w:r>
      <w:r w:rsidR="000A4038">
        <w:rPr>
          <w:rFonts w:ascii="Arial" w:hAnsi="Arial" w:cs="Arial"/>
          <w:sz w:val="24"/>
          <w:szCs w:val="24"/>
        </w:rPr>
        <w:t xml:space="preserve"> is not confirmed</w:t>
      </w:r>
      <w:r w:rsidRPr="0075470A">
        <w:rPr>
          <w:rFonts w:ascii="Arial" w:hAnsi="Arial" w:cs="Arial"/>
          <w:sz w:val="24"/>
          <w:szCs w:val="24"/>
        </w:rPr>
        <w:t>, please explain why the “CT-148 true-up of GA charges based on actual RPP volumes” of ($1,945,016) in Account 1588 is not equal and offsetting from the “CT 148 true-up of GA charges based on actual non-RPP volumes” of $306,008 in Account 1589.</w:t>
      </w:r>
    </w:p>
    <w:p w14:paraId="08D019EC" w14:textId="5E055415" w:rsidR="00F72718" w:rsidRDefault="00F72718" w:rsidP="00F72718">
      <w:pPr>
        <w:contextualSpacing/>
        <w:rPr>
          <w:rFonts w:ascii="Arial" w:hAnsi="Arial" w:cs="Arial"/>
          <w:b/>
          <w:sz w:val="24"/>
          <w:szCs w:val="24"/>
        </w:rPr>
      </w:pPr>
      <w:r>
        <w:rPr>
          <w:rFonts w:ascii="Arial" w:hAnsi="Arial" w:cs="Arial"/>
          <w:b/>
          <w:sz w:val="24"/>
          <w:szCs w:val="24"/>
        </w:rPr>
        <w:t>Staff Question-</w:t>
      </w:r>
      <w:r w:rsidR="00BB7277">
        <w:rPr>
          <w:rFonts w:ascii="Arial" w:hAnsi="Arial" w:cs="Arial"/>
          <w:b/>
          <w:sz w:val="24"/>
          <w:szCs w:val="24"/>
        </w:rPr>
        <w:t>7</w:t>
      </w:r>
    </w:p>
    <w:p w14:paraId="327F22C4" w14:textId="207D67CB" w:rsidR="00F72718" w:rsidRDefault="00F72718" w:rsidP="00F72718">
      <w:pPr>
        <w:rPr>
          <w:rFonts w:ascii="Arial" w:hAnsi="Arial" w:cs="Arial"/>
          <w:b/>
          <w:bCs/>
          <w:sz w:val="24"/>
          <w:szCs w:val="24"/>
        </w:rPr>
      </w:pPr>
      <w:r>
        <w:rPr>
          <w:rFonts w:ascii="Arial" w:hAnsi="Arial" w:cs="Arial"/>
          <w:b/>
          <w:sz w:val="24"/>
          <w:szCs w:val="24"/>
        </w:rPr>
        <w:t xml:space="preserve">Ref: </w:t>
      </w:r>
      <w:r>
        <w:rPr>
          <w:rFonts w:ascii="Arial" w:hAnsi="Arial" w:cs="Arial"/>
          <w:b/>
          <w:bCs/>
          <w:sz w:val="24"/>
          <w:szCs w:val="24"/>
        </w:rPr>
        <w:t xml:space="preserve">Enersource </w:t>
      </w:r>
      <w:r w:rsidRPr="0075470A">
        <w:rPr>
          <w:rFonts w:ascii="Arial" w:hAnsi="Arial" w:cs="Arial"/>
          <w:b/>
          <w:bCs/>
          <w:sz w:val="24"/>
          <w:szCs w:val="24"/>
        </w:rPr>
        <w:t>RZ</w:t>
      </w:r>
      <w:r>
        <w:rPr>
          <w:rFonts w:ascii="Arial" w:hAnsi="Arial" w:cs="Arial"/>
          <w:b/>
          <w:bCs/>
          <w:sz w:val="24"/>
          <w:szCs w:val="24"/>
        </w:rPr>
        <w:t>’s</w:t>
      </w:r>
      <w:r w:rsidRPr="0075470A">
        <w:rPr>
          <w:rFonts w:ascii="Arial" w:hAnsi="Arial" w:cs="Arial"/>
          <w:b/>
          <w:bCs/>
          <w:sz w:val="24"/>
          <w:szCs w:val="24"/>
        </w:rPr>
        <w:t xml:space="preserve"> GA Analysis Workform, Principal Adjustments </w:t>
      </w:r>
      <w:r>
        <w:rPr>
          <w:rFonts w:ascii="Arial" w:hAnsi="Arial" w:cs="Arial"/>
          <w:b/>
          <w:bCs/>
          <w:sz w:val="24"/>
          <w:szCs w:val="24"/>
        </w:rPr>
        <w:t>T</w:t>
      </w:r>
      <w:r w:rsidRPr="0075470A">
        <w:rPr>
          <w:rFonts w:ascii="Arial" w:hAnsi="Arial" w:cs="Arial"/>
          <w:b/>
          <w:bCs/>
          <w:sz w:val="24"/>
          <w:szCs w:val="24"/>
        </w:rPr>
        <w:t>ab</w:t>
      </w:r>
    </w:p>
    <w:p w14:paraId="4418A17B" w14:textId="77777777" w:rsidR="00F72718" w:rsidRPr="0075470A" w:rsidRDefault="00F72718" w:rsidP="00F72718">
      <w:pPr>
        <w:rPr>
          <w:rFonts w:ascii="Arial" w:hAnsi="Arial" w:cs="Arial"/>
          <w:sz w:val="24"/>
          <w:szCs w:val="24"/>
        </w:rPr>
      </w:pPr>
      <w:r w:rsidRPr="0075470A">
        <w:rPr>
          <w:rFonts w:ascii="Arial" w:hAnsi="Arial" w:cs="Arial"/>
          <w:sz w:val="24"/>
          <w:szCs w:val="24"/>
        </w:rPr>
        <w:t>Under Note 9 of the GA Analysis Workform, Alectra Utilities included a current year principal adjustment related to CT-148 true-up of GA charges for Account 1589:</w:t>
      </w:r>
    </w:p>
    <w:p w14:paraId="7FF7BDA7" w14:textId="77777777" w:rsidR="00F72718" w:rsidRPr="0075470A" w:rsidRDefault="00F72718" w:rsidP="00F72718">
      <w:pPr>
        <w:rPr>
          <w:rFonts w:ascii="Arial" w:hAnsi="Arial" w:cs="Arial"/>
          <w:sz w:val="24"/>
          <w:szCs w:val="24"/>
        </w:rPr>
      </w:pPr>
      <w:r w:rsidRPr="0075470A">
        <w:rPr>
          <w:rFonts w:ascii="Arial" w:hAnsi="Arial" w:cs="Arial"/>
          <w:noProof/>
          <w:sz w:val="24"/>
          <w:szCs w:val="24"/>
        </w:rPr>
        <w:drawing>
          <wp:inline distT="0" distB="0" distL="0" distR="0" wp14:anchorId="44989343" wp14:editId="2C565406">
            <wp:extent cx="5943600" cy="246380"/>
            <wp:effectExtent l="0" t="0" r="0" b="12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46380"/>
                    </a:xfrm>
                    <a:prstGeom prst="rect">
                      <a:avLst/>
                    </a:prstGeom>
                    <a:noFill/>
                    <a:ln>
                      <a:noFill/>
                    </a:ln>
                  </pic:spPr>
                </pic:pic>
              </a:graphicData>
            </a:graphic>
          </wp:inline>
        </w:drawing>
      </w:r>
    </w:p>
    <w:p w14:paraId="5E33A4EE" w14:textId="77777777" w:rsidR="00F72718" w:rsidRPr="0075470A" w:rsidRDefault="00F72718" w:rsidP="00F72718">
      <w:pPr>
        <w:rPr>
          <w:rFonts w:ascii="Arial" w:hAnsi="Arial" w:cs="Arial"/>
          <w:sz w:val="24"/>
          <w:szCs w:val="24"/>
        </w:rPr>
      </w:pPr>
      <w:r w:rsidRPr="0075470A">
        <w:rPr>
          <w:rFonts w:ascii="Arial" w:hAnsi="Arial" w:cs="Arial"/>
          <w:noProof/>
          <w:sz w:val="24"/>
          <w:szCs w:val="24"/>
        </w:rPr>
        <w:drawing>
          <wp:inline distT="0" distB="0" distL="0" distR="0" wp14:anchorId="06E22620" wp14:editId="2CDD5917">
            <wp:extent cx="5943600" cy="2508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50825"/>
                    </a:xfrm>
                    <a:prstGeom prst="rect">
                      <a:avLst/>
                    </a:prstGeom>
                    <a:noFill/>
                    <a:ln>
                      <a:noFill/>
                    </a:ln>
                  </pic:spPr>
                </pic:pic>
              </a:graphicData>
            </a:graphic>
          </wp:inline>
        </w:drawing>
      </w:r>
    </w:p>
    <w:p w14:paraId="7E4B22A3" w14:textId="77777777" w:rsidR="00F72718" w:rsidRPr="0075470A" w:rsidRDefault="00F72718" w:rsidP="00F72718">
      <w:pPr>
        <w:rPr>
          <w:rFonts w:ascii="Arial" w:hAnsi="Arial" w:cs="Arial"/>
          <w:sz w:val="24"/>
          <w:szCs w:val="24"/>
        </w:rPr>
      </w:pPr>
      <w:r w:rsidRPr="0075470A">
        <w:rPr>
          <w:rFonts w:ascii="Arial" w:hAnsi="Arial" w:cs="Arial"/>
          <w:sz w:val="24"/>
          <w:szCs w:val="24"/>
        </w:rPr>
        <w:t>However, there was no corresponding principal adjustment for Account 1588, with an adjustment only for CT-1142 true-up:</w:t>
      </w:r>
    </w:p>
    <w:p w14:paraId="237CC1CD" w14:textId="77777777" w:rsidR="00F72718" w:rsidRPr="0075470A" w:rsidRDefault="00F72718" w:rsidP="00F72718">
      <w:pPr>
        <w:rPr>
          <w:rFonts w:ascii="Arial" w:hAnsi="Arial" w:cs="Arial"/>
          <w:noProof/>
          <w:sz w:val="24"/>
          <w:szCs w:val="24"/>
        </w:rPr>
      </w:pPr>
      <w:r w:rsidRPr="0075470A">
        <w:rPr>
          <w:rFonts w:ascii="Arial" w:hAnsi="Arial" w:cs="Arial"/>
          <w:noProof/>
          <w:sz w:val="24"/>
          <w:szCs w:val="24"/>
        </w:rPr>
        <w:drawing>
          <wp:inline distT="0" distB="0" distL="0" distR="0" wp14:anchorId="42AF9B6D" wp14:editId="65EA76CB">
            <wp:extent cx="5943600" cy="23812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38125"/>
                    </a:xfrm>
                    <a:prstGeom prst="rect">
                      <a:avLst/>
                    </a:prstGeom>
                    <a:noFill/>
                    <a:ln>
                      <a:noFill/>
                    </a:ln>
                  </pic:spPr>
                </pic:pic>
              </a:graphicData>
            </a:graphic>
          </wp:inline>
        </w:drawing>
      </w:r>
    </w:p>
    <w:p w14:paraId="04238F3F" w14:textId="77777777" w:rsidR="00F72718" w:rsidRPr="0075470A" w:rsidRDefault="00F72718" w:rsidP="00F72718">
      <w:pPr>
        <w:rPr>
          <w:rFonts w:ascii="Arial" w:hAnsi="Arial" w:cs="Arial"/>
          <w:sz w:val="24"/>
          <w:szCs w:val="24"/>
        </w:rPr>
      </w:pPr>
      <w:r w:rsidRPr="0075470A">
        <w:rPr>
          <w:rFonts w:ascii="Arial" w:hAnsi="Arial" w:cs="Arial"/>
          <w:noProof/>
          <w:sz w:val="24"/>
          <w:szCs w:val="24"/>
        </w:rPr>
        <w:drawing>
          <wp:inline distT="0" distB="0" distL="0" distR="0" wp14:anchorId="6EDC2D8C" wp14:editId="0FCC51F8">
            <wp:extent cx="5943600" cy="359410"/>
            <wp:effectExtent l="0" t="0" r="0"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59410"/>
                    </a:xfrm>
                    <a:prstGeom prst="rect">
                      <a:avLst/>
                    </a:prstGeom>
                    <a:noFill/>
                    <a:ln>
                      <a:noFill/>
                    </a:ln>
                  </pic:spPr>
                </pic:pic>
              </a:graphicData>
            </a:graphic>
          </wp:inline>
        </w:drawing>
      </w:r>
    </w:p>
    <w:p w14:paraId="6D3E397B" w14:textId="5D9B82BC" w:rsidR="00F72718" w:rsidRPr="00C7729F" w:rsidRDefault="00F72718" w:rsidP="00C7729F">
      <w:pPr>
        <w:pStyle w:val="ListParagraph"/>
        <w:numPr>
          <w:ilvl w:val="0"/>
          <w:numId w:val="32"/>
        </w:numPr>
        <w:contextualSpacing w:val="0"/>
        <w:rPr>
          <w:rFonts w:ascii="Arial" w:hAnsi="Arial" w:cs="Arial"/>
          <w:sz w:val="24"/>
          <w:szCs w:val="24"/>
        </w:rPr>
      </w:pPr>
      <w:r w:rsidRPr="00C7729F">
        <w:rPr>
          <w:rFonts w:ascii="Arial" w:hAnsi="Arial" w:cs="Arial"/>
          <w:sz w:val="24"/>
          <w:szCs w:val="24"/>
        </w:rPr>
        <w:lastRenderedPageBreak/>
        <w:t>Please confirm whether the “CT-148 true-up of GA charges based on actual RPP volumes” for Account 1588 has been included with the ($757,666) adjustment for “CT-1142 true-up based on actuals”.</w:t>
      </w:r>
    </w:p>
    <w:p w14:paraId="07301162" w14:textId="066C538F" w:rsidR="00F72718" w:rsidRPr="0075470A" w:rsidRDefault="00F72718" w:rsidP="00F72718">
      <w:pPr>
        <w:pStyle w:val="ListParagraph"/>
        <w:numPr>
          <w:ilvl w:val="0"/>
          <w:numId w:val="32"/>
        </w:numPr>
        <w:rPr>
          <w:rFonts w:ascii="Arial" w:hAnsi="Arial" w:cs="Arial"/>
          <w:sz w:val="24"/>
          <w:szCs w:val="24"/>
        </w:rPr>
      </w:pPr>
      <w:r w:rsidRPr="0075470A">
        <w:rPr>
          <w:rFonts w:ascii="Arial" w:hAnsi="Arial" w:cs="Arial"/>
          <w:sz w:val="24"/>
          <w:szCs w:val="24"/>
        </w:rPr>
        <w:t>If a)</w:t>
      </w:r>
      <w:r w:rsidR="000A4038">
        <w:rPr>
          <w:rFonts w:ascii="Arial" w:hAnsi="Arial" w:cs="Arial"/>
          <w:sz w:val="24"/>
          <w:szCs w:val="24"/>
        </w:rPr>
        <w:t xml:space="preserve"> is confirmed</w:t>
      </w:r>
      <w:r w:rsidRPr="0075470A">
        <w:rPr>
          <w:rFonts w:ascii="Arial" w:hAnsi="Arial" w:cs="Arial"/>
          <w:sz w:val="24"/>
          <w:szCs w:val="24"/>
        </w:rPr>
        <w:t>, please provide a breakdown of the adjustment between:</w:t>
      </w:r>
    </w:p>
    <w:p w14:paraId="5A178D14" w14:textId="77777777" w:rsidR="00F72718" w:rsidRPr="0075470A" w:rsidRDefault="00F72718" w:rsidP="00F72718">
      <w:pPr>
        <w:pStyle w:val="ListParagraph"/>
        <w:numPr>
          <w:ilvl w:val="1"/>
          <w:numId w:val="32"/>
        </w:numPr>
        <w:rPr>
          <w:rFonts w:ascii="Arial" w:hAnsi="Arial" w:cs="Arial"/>
          <w:sz w:val="24"/>
          <w:szCs w:val="24"/>
        </w:rPr>
      </w:pPr>
      <w:r w:rsidRPr="0075470A">
        <w:rPr>
          <w:rFonts w:ascii="Arial" w:hAnsi="Arial" w:cs="Arial"/>
          <w:sz w:val="24"/>
          <w:szCs w:val="24"/>
        </w:rPr>
        <w:t>CT-148 true-up of GA charges based on actual RPP volumes</w:t>
      </w:r>
    </w:p>
    <w:p w14:paraId="548C261C" w14:textId="77777777" w:rsidR="00F72718" w:rsidRPr="0075470A" w:rsidRDefault="00F72718" w:rsidP="00C7729F">
      <w:pPr>
        <w:pStyle w:val="ListParagraph"/>
        <w:numPr>
          <w:ilvl w:val="1"/>
          <w:numId w:val="32"/>
        </w:numPr>
        <w:contextualSpacing w:val="0"/>
        <w:rPr>
          <w:rFonts w:ascii="Arial" w:hAnsi="Arial" w:cs="Arial"/>
          <w:sz w:val="24"/>
          <w:szCs w:val="24"/>
        </w:rPr>
      </w:pPr>
      <w:r w:rsidRPr="0075470A">
        <w:rPr>
          <w:rFonts w:ascii="Arial" w:hAnsi="Arial" w:cs="Arial"/>
          <w:sz w:val="24"/>
          <w:szCs w:val="24"/>
        </w:rPr>
        <w:t>CT-1142 true-up based on actuals</w:t>
      </w:r>
    </w:p>
    <w:p w14:paraId="2DC223E2" w14:textId="4AD7D58C" w:rsidR="00F72718" w:rsidRPr="00C7729F" w:rsidRDefault="00F72718" w:rsidP="00C7729F">
      <w:pPr>
        <w:pStyle w:val="ListParagraph"/>
        <w:contextualSpacing w:val="0"/>
        <w:rPr>
          <w:rFonts w:ascii="Arial" w:hAnsi="Arial" w:cs="Arial"/>
          <w:sz w:val="24"/>
          <w:szCs w:val="24"/>
        </w:rPr>
      </w:pPr>
      <w:r w:rsidRPr="0075470A">
        <w:rPr>
          <w:rFonts w:ascii="Arial" w:hAnsi="Arial" w:cs="Arial"/>
          <w:sz w:val="24"/>
          <w:szCs w:val="24"/>
        </w:rPr>
        <w:t>Please also submit an updated GA Analysis Workform with the appropriate amounts in the principal adjustments for Account 1588.</w:t>
      </w:r>
    </w:p>
    <w:p w14:paraId="000CE2DC" w14:textId="04CE3D31" w:rsidR="003B429A" w:rsidRPr="00C7729F" w:rsidRDefault="00F72718" w:rsidP="00F72718">
      <w:pPr>
        <w:pStyle w:val="ListParagraph"/>
        <w:numPr>
          <w:ilvl w:val="0"/>
          <w:numId w:val="32"/>
        </w:numPr>
        <w:rPr>
          <w:rFonts w:ascii="Arial" w:hAnsi="Arial" w:cs="Arial"/>
          <w:sz w:val="24"/>
          <w:szCs w:val="24"/>
        </w:rPr>
      </w:pPr>
      <w:r w:rsidRPr="0075470A">
        <w:rPr>
          <w:rFonts w:ascii="Arial" w:hAnsi="Arial" w:cs="Arial"/>
          <w:sz w:val="24"/>
          <w:szCs w:val="24"/>
        </w:rPr>
        <w:t>If a)</w:t>
      </w:r>
      <w:r w:rsidR="000A4038">
        <w:rPr>
          <w:rFonts w:ascii="Arial" w:hAnsi="Arial" w:cs="Arial"/>
          <w:sz w:val="24"/>
          <w:szCs w:val="24"/>
        </w:rPr>
        <w:t xml:space="preserve"> is not confirmed</w:t>
      </w:r>
      <w:r w:rsidRPr="0075470A">
        <w:rPr>
          <w:rFonts w:ascii="Arial" w:hAnsi="Arial" w:cs="Arial"/>
          <w:sz w:val="24"/>
          <w:szCs w:val="24"/>
        </w:rPr>
        <w:t>, please explain why there is no corresponding principal adjustment for CT-148 true-up of GA charges for Account 1588.</w:t>
      </w:r>
    </w:p>
    <w:p w14:paraId="06AD0F94" w14:textId="3D1B02D8" w:rsidR="00C7729F" w:rsidRDefault="00C7729F" w:rsidP="00C7729F">
      <w:pPr>
        <w:contextualSpacing/>
        <w:rPr>
          <w:rFonts w:ascii="Arial" w:hAnsi="Arial" w:cs="Arial"/>
          <w:b/>
          <w:sz w:val="24"/>
          <w:szCs w:val="24"/>
        </w:rPr>
      </w:pPr>
      <w:r>
        <w:rPr>
          <w:rFonts w:ascii="Arial" w:hAnsi="Arial" w:cs="Arial"/>
          <w:b/>
          <w:sz w:val="24"/>
          <w:szCs w:val="24"/>
        </w:rPr>
        <w:t>Staff Question-</w:t>
      </w:r>
      <w:r w:rsidR="00BB7277">
        <w:rPr>
          <w:rFonts w:ascii="Arial" w:hAnsi="Arial" w:cs="Arial"/>
          <w:b/>
          <w:sz w:val="24"/>
          <w:szCs w:val="24"/>
        </w:rPr>
        <w:t>8</w:t>
      </w:r>
    </w:p>
    <w:p w14:paraId="383B4807" w14:textId="77777777" w:rsidR="00C7729F" w:rsidRDefault="00C7729F" w:rsidP="00C7729F">
      <w:pPr>
        <w:rPr>
          <w:rFonts w:ascii="Arial" w:hAnsi="Arial" w:cs="Arial"/>
          <w:b/>
          <w:bCs/>
          <w:sz w:val="24"/>
          <w:szCs w:val="24"/>
        </w:rPr>
      </w:pPr>
      <w:r>
        <w:rPr>
          <w:rFonts w:ascii="Arial" w:hAnsi="Arial" w:cs="Arial"/>
          <w:b/>
          <w:sz w:val="24"/>
          <w:szCs w:val="24"/>
        </w:rPr>
        <w:t xml:space="preserve">Ref: </w:t>
      </w:r>
      <w:r>
        <w:rPr>
          <w:rFonts w:ascii="Arial" w:hAnsi="Arial" w:cs="Arial"/>
          <w:b/>
          <w:bCs/>
          <w:sz w:val="24"/>
          <w:szCs w:val="24"/>
        </w:rPr>
        <w:t xml:space="preserve">Enersource </w:t>
      </w:r>
      <w:r w:rsidRPr="0075470A">
        <w:rPr>
          <w:rFonts w:ascii="Arial" w:hAnsi="Arial" w:cs="Arial"/>
          <w:b/>
          <w:bCs/>
          <w:sz w:val="24"/>
          <w:szCs w:val="24"/>
        </w:rPr>
        <w:t>RZ</w:t>
      </w:r>
      <w:r>
        <w:rPr>
          <w:rFonts w:ascii="Arial" w:hAnsi="Arial" w:cs="Arial"/>
          <w:b/>
          <w:bCs/>
          <w:sz w:val="24"/>
          <w:szCs w:val="24"/>
        </w:rPr>
        <w:t>’s</w:t>
      </w:r>
      <w:r w:rsidRPr="0075470A">
        <w:rPr>
          <w:rFonts w:ascii="Arial" w:hAnsi="Arial" w:cs="Arial"/>
          <w:b/>
          <w:bCs/>
          <w:sz w:val="24"/>
          <w:szCs w:val="24"/>
        </w:rPr>
        <w:t xml:space="preserve"> GA Analysis Workform, Principal Adjustments </w:t>
      </w:r>
      <w:r>
        <w:rPr>
          <w:rFonts w:ascii="Arial" w:hAnsi="Arial" w:cs="Arial"/>
          <w:b/>
          <w:bCs/>
          <w:sz w:val="24"/>
          <w:szCs w:val="24"/>
        </w:rPr>
        <w:t>T</w:t>
      </w:r>
      <w:r w:rsidRPr="0075470A">
        <w:rPr>
          <w:rFonts w:ascii="Arial" w:hAnsi="Arial" w:cs="Arial"/>
          <w:b/>
          <w:bCs/>
          <w:sz w:val="24"/>
          <w:szCs w:val="24"/>
        </w:rPr>
        <w:t>ab</w:t>
      </w:r>
    </w:p>
    <w:p w14:paraId="78133398" w14:textId="77777777" w:rsidR="00C7729F" w:rsidRPr="0075470A" w:rsidRDefault="00C7729F" w:rsidP="00C7729F">
      <w:pPr>
        <w:rPr>
          <w:rFonts w:ascii="Arial" w:hAnsi="Arial" w:cs="Arial"/>
          <w:sz w:val="24"/>
          <w:szCs w:val="24"/>
        </w:rPr>
      </w:pPr>
      <w:r w:rsidRPr="0075470A">
        <w:rPr>
          <w:rFonts w:ascii="Arial" w:hAnsi="Arial" w:cs="Arial"/>
          <w:sz w:val="24"/>
          <w:szCs w:val="24"/>
        </w:rPr>
        <w:t>Under Note 9 of the GA Analysis Workform, Alectra Utilities included a current year principal adjustment of $11,023,822 for Account 1588, related to Unbilled to actual revenue differences:</w:t>
      </w:r>
    </w:p>
    <w:p w14:paraId="13AF46B5" w14:textId="77777777" w:rsidR="00C7729F" w:rsidRPr="0075470A" w:rsidRDefault="00C7729F" w:rsidP="00C7729F">
      <w:pPr>
        <w:rPr>
          <w:rFonts w:ascii="Arial" w:hAnsi="Arial" w:cs="Arial"/>
          <w:sz w:val="24"/>
          <w:szCs w:val="24"/>
        </w:rPr>
      </w:pPr>
      <w:r w:rsidRPr="0075470A">
        <w:rPr>
          <w:rFonts w:ascii="Arial" w:hAnsi="Arial" w:cs="Arial"/>
          <w:noProof/>
          <w:sz w:val="24"/>
          <w:szCs w:val="24"/>
        </w:rPr>
        <w:drawing>
          <wp:inline distT="0" distB="0" distL="0" distR="0" wp14:anchorId="0D2DDED4" wp14:editId="33CA21F0">
            <wp:extent cx="5943600" cy="238125"/>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38125"/>
                    </a:xfrm>
                    <a:prstGeom prst="rect">
                      <a:avLst/>
                    </a:prstGeom>
                    <a:noFill/>
                    <a:ln>
                      <a:noFill/>
                    </a:ln>
                  </pic:spPr>
                </pic:pic>
              </a:graphicData>
            </a:graphic>
          </wp:inline>
        </w:drawing>
      </w:r>
    </w:p>
    <w:p w14:paraId="4638443A" w14:textId="77777777" w:rsidR="00C7729F" w:rsidRPr="0075470A" w:rsidRDefault="00C7729F" w:rsidP="00C7729F">
      <w:pPr>
        <w:rPr>
          <w:rFonts w:ascii="Arial" w:hAnsi="Arial" w:cs="Arial"/>
          <w:sz w:val="24"/>
          <w:szCs w:val="24"/>
        </w:rPr>
      </w:pPr>
      <w:r w:rsidRPr="0075470A">
        <w:rPr>
          <w:rFonts w:ascii="Arial" w:hAnsi="Arial" w:cs="Arial"/>
          <w:noProof/>
          <w:sz w:val="24"/>
          <w:szCs w:val="24"/>
        </w:rPr>
        <w:drawing>
          <wp:inline distT="0" distB="0" distL="0" distR="0" wp14:anchorId="6C84D37E" wp14:editId="3EB28AC6">
            <wp:extent cx="5943600" cy="47625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476250"/>
                    </a:xfrm>
                    <a:prstGeom prst="rect">
                      <a:avLst/>
                    </a:prstGeom>
                    <a:noFill/>
                    <a:ln>
                      <a:noFill/>
                    </a:ln>
                  </pic:spPr>
                </pic:pic>
              </a:graphicData>
            </a:graphic>
          </wp:inline>
        </w:drawing>
      </w:r>
    </w:p>
    <w:p w14:paraId="1219E684" w14:textId="770E22AA" w:rsidR="00C7729F" w:rsidRPr="00C7729F" w:rsidRDefault="00C7729F" w:rsidP="00F72718">
      <w:pPr>
        <w:rPr>
          <w:rFonts w:ascii="Arial" w:hAnsi="Arial" w:cs="Arial"/>
          <w:sz w:val="24"/>
          <w:szCs w:val="24"/>
        </w:rPr>
      </w:pPr>
      <w:r w:rsidRPr="0075470A">
        <w:rPr>
          <w:rFonts w:ascii="Arial" w:hAnsi="Arial" w:cs="Arial"/>
          <w:sz w:val="24"/>
          <w:szCs w:val="24"/>
        </w:rPr>
        <w:t xml:space="preserve">The difference between unbilled to actual revenues of $11,023,822 </w:t>
      </w:r>
      <w:r w:rsidR="000A4038">
        <w:rPr>
          <w:rFonts w:ascii="Arial" w:hAnsi="Arial" w:cs="Arial"/>
          <w:sz w:val="24"/>
          <w:szCs w:val="24"/>
        </w:rPr>
        <w:t>appears unusually</w:t>
      </w:r>
      <w:r w:rsidR="000A4038" w:rsidRPr="0075470A">
        <w:rPr>
          <w:rFonts w:ascii="Arial" w:hAnsi="Arial" w:cs="Arial"/>
          <w:sz w:val="24"/>
          <w:szCs w:val="24"/>
        </w:rPr>
        <w:t xml:space="preserve"> </w:t>
      </w:r>
      <w:r w:rsidRPr="0075470A">
        <w:rPr>
          <w:rFonts w:ascii="Arial" w:hAnsi="Arial" w:cs="Arial"/>
          <w:sz w:val="24"/>
          <w:szCs w:val="24"/>
        </w:rPr>
        <w:t>large. Please explain and provide supporting calculation of this amount.</w:t>
      </w:r>
    </w:p>
    <w:p w14:paraId="09D5B7F5" w14:textId="68B52CB9" w:rsidR="00C7729F" w:rsidRDefault="00C7729F" w:rsidP="00C7729F">
      <w:pPr>
        <w:contextualSpacing/>
        <w:rPr>
          <w:rFonts w:ascii="Arial" w:hAnsi="Arial" w:cs="Arial"/>
          <w:b/>
          <w:sz w:val="24"/>
          <w:szCs w:val="24"/>
        </w:rPr>
      </w:pPr>
      <w:r>
        <w:rPr>
          <w:rFonts w:ascii="Arial" w:hAnsi="Arial" w:cs="Arial"/>
          <w:b/>
          <w:sz w:val="24"/>
          <w:szCs w:val="24"/>
        </w:rPr>
        <w:t>Staff Question-</w:t>
      </w:r>
      <w:r w:rsidR="00BB7277">
        <w:rPr>
          <w:rFonts w:ascii="Arial" w:hAnsi="Arial" w:cs="Arial"/>
          <w:b/>
          <w:sz w:val="24"/>
          <w:szCs w:val="24"/>
        </w:rPr>
        <w:t>9</w:t>
      </w:r>
    </w:p>
    <w:p w14:paraId="66FEEC12" w14:textId="40C2BF59" w:rsidR="00C7729F" w:rsidRDefault="00C7729F" w:rsidP="00C7729F">
      <w:pPr>
        <w:contextualSpacing/>
        <w:rPr>
          <w:rFonts w:ascii="Arial" w:hAnsi="Arial" w:cs="Arial"/>
          <w:b/>
          <w:bCs/>
          <w:sz w:val="24"/>
          <w:szCs w:val="24"/>
        </w:rPr>
      </w:pPr>
      <w:r>
        <w:rPr>
          <w:rFonts w:ascii="Arial" w:hAnsi="Arial" w:cs="Arial"/>
          <w:b/>
          <w:sz w:val="24"/>
          <w:szCs w:val="24"/>
        </w:rPr>
        <w:t xml:space="preserve">Ref1: </w:t>
      </w:r>
      <w:r>
        <w:rPr>
          <w:rFonts w:ascii="Arial" w:hAnsi="Arial" w:cs="Arial"/>
          <w:b/>
          <w:bCs/>
          <w:sz w:val="24"/>
          <w:szCs w:val="24"/>
        </w:rPr>
        <w:t xml:space="preserve">Guelph </w:t>
      </w:r>
      <w:r w:rsidRPr="0075470A">
        <w:rPr>
          <w:rFonts w:ascii="Arial" w:hAnsi="Arial" w:cs="Arial"/>
          <w:b/>
          <w:bCs/>
          <w:sz w:val="24"/>
          <w:szCs w:val="24"/>
        </w:rPr>
        <w:t>RZ</w:t>
      </w:r>
      <w:r>
        <w:rPr>
          <w:rFonts w:ascii="Arial" w:hAnsi="Arial" w:cs="Arial"/>
          <w:b/>
          <w:bCs/>
          <w:sz w:val="24"/>
          <w:szCs w:val="24"/>
        </w:rPr>
        <w:t>’s</w:t>
      </w:r>
      <w:r w:rsidRPr="0075470A">
        <w:rPr>
          <w:rFonts w:ascii="Arial" w:hAnsi="Arial" w:cs="Arial"/>
          <w:b/>
          <w:bCs/>
          <w:sz w:val="24"/>
          <w:szCs w:val="24"/>
        </w:rPr>
        <w:t xml:space="preserve"> </w:t>
      </w:r>
      <w:r>
        <w:rPr>
          <w:rFonts w:ascii="Arial" w:hAnsi="Arial" w:cs="Arial"/>
          <w:b/>
          <w:bCs/>
          <w:sz w:val="24"/>
          <w:szCs w:val="24"/>
        </w:rPr>
        <w:t>Rate Generator Model,</w:t>
      </w:r>
      <w:r w:rsidRPr="0075470A">
        <w:rPr>
          <w:rFonts w:ascii="Arial" w:hAnsi="Arial" w:cs="Arial"/>
          <w:b/>
          <w:bCs/>
          <w:sz w:val="24"/>
          <w:szCs w:val="24"/>
        </w:rPr>
        <w:t xml:space="preserve"> </w:t>
      </w:r>
      <w:r>
        <w:rPr>
          <w:rFonts w:ascii="Arial" w:hAnsi="Arial" w:cs="Arial"/>
          <w:b/>
          <w:bCs/>
          <w:sz w:val="24"/>
          <w:szCs w:val="24"/>
        </w:rPr>
        <w:t>T</w:t>
      </w:r>
      <w:r w:rsidRPr="0075470A">
        <w:rPr>
          <w:rFonts w:ascii="Arial" w:hAnsi="Arial" w:cs="Arial"/>
          <w:b/>
          <w:bCs/>
          <w:sz w:val="24"/>
          <w:szCs w:val="24"/>
        </w:rPr>
        <w:t>ab</w:t>
      </w:r>
      <w:r>
        <w:rPr>
          <w:rFonts w:ascii="Arial" w:hAnsi="Arial" w:cs="Arial"/>
          <w:b/>
          <w:bCs/>
          <w:sz w:val="24"/>
          <w:szCs w:val="24"/>
        </w:rPr>
        <w:t xml:space="preserve"> 3 Continuity Schedule</w:t>
      </w:r>
    </w:p>
    <w:p w14:paraId="45FC9525" w14:textId="6DE1AEAF" w:rsidR="00C7729F" w:rsidRDefault="00C7729F" w:rsidP="00C7729F">
      <w:pPr>
        <w:rPr>
          <w:rFonts w:ascii="Arial" w:hAnsi="Arial" w:cs="Arial"/>
          <w:b/>
          <w:bCs/>
          <w:sz w:val="24"/>
          <w:szCs w:val="24"/>
        </w:rPr>
      </w:pPr>
      <w:r w:rsidRPr="0075470A">
        <w:rPr>
          <w:rFonts w:ascii="Arial" w:hAnsi="Arial" w:cs="Arial"/>
          <w:b/>
          <w:bCs/>
          <w:sz w:val="24"/>
          <w:szCs w:val="24"/>
        </w:rPr>
        <w:t>Ref</w:t>
      </w:r>
      <w:r>
        <w:rPr>
          <w:rFonts w:ascii="Arial" w:hAnsi="Arial" w:cs="Arial"/>
          <w:b/>
          <w:bCs/>
          <w:sz w:val="24"/>
          <w:szCs w:val="24"/>
        </w:rPr>
        <w:t>2</w:t>
      </w:r>
      <w:r w:rsidRPr="0075470A">
        <w:rPr>
          <w:rFonts w:ascii="Arial" w:hAnsi="Arial" w:cs="Arial"/>
          <w:b/>
          <w:bCs/>
          <w:sz w:val="24"/>
          <w:szCs w:val="24"/>
        </w:rPr>
        <w:t xml:space="preserve">: </w:t>
      </w:r>
      <w:r>
        <w:rPr>
          <w:rFonts w:ascii="Arial" w:hAnsi="Arial" w:cs="Arial"/>
          <w:b/>
          <w:bCs/>
          <w:sz w:val="24"/>
          <w:szCs w:val="24"/>
        </w:rPr>
        <w:t xml:space="preserve">Guelph </w:t>
      </w:r>
      <w:r w:rsidRPr="0075470A">
        <w:rPr>
          <w:rFonts w:ascii="Arial" w:hAnsi="Arial" w:cs="Arial"/>
          <w:b/>
          <w:bCs/>
          <w:sz w:val="24"/>
          <w:szCs w:val="24"/>
        </w:rPr>
        <w:t>RZ</w:t>
      </w:r>
      <w:r>
        <w:rPr>
          <w:rFonts w:ascii="Arial" w:hAnsi="Arial" w:cs="Arial"/>
          <w:b/>
          <w:bCs/>
          <w:sz w:val="24"/>
          <w:szCs w:val="24"/>
        </w:rPr>
        <w:t>’s</w:t>
      </w:r>
      <w:r w:rsidRPr="0075470A">
        <w:rPr>
          <w:rFonts w:ascii="Arial" w:hAnsi="Arial" w:cs="Arial"/>
          <w:b/>
          <w:bCs/>
          <w:sz w:val="24"/>
          <w:szCs w:val="24"/>
        </w:rPr>
        <w:t xml:space="preserve"> GA Analysis Workform, Principal Adjustments </w:t>
      </w:r>
      <w:r>
        <w:rPr>
          <w:rFonts w:ascii="Arial" w:hAnsi="Arial" w:cs="Arial"/>
          <w:b/>
          <w:bCs/>
          <w:sz w:val="24"/>
          <w:szCs w:val="24"/>
        </w:rPr>
        <w:t>T</w:t>
      </w:r>
      <w:r w:rsidRPr="0075470A">
        <w:rPr>
          <w:rFonts w:ascii="Arial" w:hAnsi="Arial" w:cs="Arial"/>
          <w:b/>
          <w:bCs/>
          <w:sz w:val="24"/>
          <w:szCs w:val="24"/>
        </w:rPr>
        <w:t>ab</w:t>
      </w:r>
    </w:p>
    <w:p w14:paraId="7BC80DAB" w14:textId="77777777" w:rsidR="00C7729F" w:rsidRPr="0075470A" w:rsidRDefault="00C7729F" w:rsidP="00C7729F">
      <w:pPr>
        <w:rPr>
          <w:rFonts w:ascii="Arial" w:hAnsi="Arial" w:cs="Arial"/>
          <w:sz w:val="24"/>
          <w:szCs w:val="24"/>
        </w:rPr>
      </w:pPr>
      <w:r w:rsidRPr="0075470A">
        <w:rPr>
          <w:rFonts w:ascii="Arial" w:hAnsi="Arial" w:cs="Arial"/>
          <w:sz w:val="24"/>
          <w:szCs w:val="24"/>
        </w:rPr>
        <w:t>In the Rate Generator Model Continuity Schedule, Alectra Utilities noted the following Variance to the RRR balance for Account 1588:</w:t>
      </w:r>
    </w:p>
    <w:p w14:paraId="44C1435F" w14:textId="77777777" w:rsidR="00C7729F" w:rsidRPr="0075470A" w:rsidRDefault="00C7729F" w:rsidP="00C7729F">
      <w:pPr>
        <w:ind w:left="720"/>
        <w:rPr>
          <w:rFonts w:ascii="Arial" w:hAnsi="Arial" w:cs="Arial"/>
          <w:sz w:val="24"/>
          <w:szCs w:val="24"/>
        </w:rPr>
      </w:pPr>
      <w:r w:rsidRPr="0075470A">
        <w:rPr>
          <w:rFonts w:ascii="Arial" w:hAnsi="Arial" w:cs="Arial"/>
          <w:noProof/>
          <w:sz w:val="24"/>
          <w:szCs w:val="24"/>
        </w:rPr>
        <w:drawing>
          <wp:inline distT="0" distB="0" distL="0" distR="0" wp14:anchorId="3973C9E9" wp14:editId="2A15B435">
            <wp:extent cx="873125" cy="889000"/>
            <wp:effectExtent l="0" t="0" r="317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77483" cy="893437"/>
                    </a:xfrm>
                    <a:prstGeom prst="rect">
                      <a:avLst/>
                    </a:prstGeom>
                    <a:noFill/>
                    <a:ln>
                      <a:noFill/>
                    </a:ln>
                  </pic:spPr>
                </pic:pic>
              </a:graphicData>
            </a:graphic>
          </wp:inline>
        </w:drawing>
      </w:r>
    </w:p>
    <w:p w14:paraId="45425CDE" w14:textId="342B8D8D" w:rsidR="00C7729F" w:rsidRPr="0075470A" w:rsidRDefault="00C7729F" w:rsidP="00C7729F">
      <w:pPr>
        <w:rPr>
          <w:rFonts w:ascii="Arial" w:hAnsi="Arial" w:cs="Arial"/>
          <w:sz w:val="24"/>
          <w:szCs w:val="24"/>
        </w:rPr>
      </w:pPr>
      <w:r w:rsidRPr="0075470A">
        <w:rPr>
          <w:rFonts w:ascii="Arial" w:hAnsi="Arial" w:cs="Arial"/>
          <w:sz w:val="24"/>
          <w:szCs w:val="24"/>
        </w:rPr>
        <w:t xml:space="preserve">The variance to the RRR balance </w:t>
      </w:r>
      <w:r w:rsidR="000A4038">
        <w:rPr>
          <w:rFonts w:ascii="Arial" w:hAnsi="Arial" w:cs="Arial"/>
          <w:sz w:val="24"/>
          <w:szCs w:val="24"/>
        </w:rPr>
        <w:t>is expected to</w:t>
      </w:r>
      <w:r w:rsidR="000A4038" w:rsidRPr="0075470A">
        <w:rPr>
          <w:rFonts w:ascii="Arial" w:hAnsi="Arial" w:cs="Arial"/>
          <w:sz w:val="24"/>
          <w:szCs w:val="24"/>
        </w:rPr>
        <w:t xml:space="preserve"> </w:t>
      </w:r>
      <w:r w:rsidRPr="0075470A">
        <w:rPr>
          <w:rFonts w:ascii="Arial" w:hAnsi="Arial" w:cs="Arial"/>
          <w:sz w:val="24"/>
          <w:szCs w:val="24"/>
        </w:rPr>
        <w:t>be equal to the principal adjustments made in the current disposition period.</w:t>
      </w:r>
    </w:p>
    <w:p w14:paraId="1DF183D2" w14:textId="77777777" w:rsidR="00C7729F" w:rsidRPr="0075470A" w:rsidRDefault="00C7729F" w:rsidP="00C7729F">
      <w:pPr>
        <w:rPr>
          <w:rFonts w:ascii="Arial" w:hAnsi="Arial" w:cs="Arial"/>
          <w:sz w:val="24"/>
          <w:szCs w:val="24"/>
        </w:rPr>
      </w:pPr>
      <w:r w:rsidRPr="0075470A">
        <w:rPr>
          <w:rFonts w:ascii="Arial" w:hAnsi="Arial" w:cs="Arial"/>
          <w:sz w:val="24"/>
          <w:szCs w:val="24"/>
        </w:rPr>
        <w:lastRenderedPageBreak/>
        <w:t>In the GA Analysis Workform, Principal Adjustments tab for Account 1588, Alectra Utilities noted the following current year principal adjustments for 2020:</w:t>
      </w:r>
    </w:p>
    <w:p w14:paraId="555ADA97" w14:textId="77777777" w:rsidR="00C7729F" w:rsidRPr="0075470A" w:rsidRDefault="00C7729F" w:rsidP="00C7729F">
      <w:pPr>
        <w:rPr>
          <w:rFonts w:ascii="Arial" w:hAnsi="Arial" w:cs="Arial"/>
          <w:sz w:val="24"/>
          <w:szCs w:val="24"/>
        </w:rPr>
      </w:pPr>
      <w:r w:rsidRPr="0075470A">
        <w:rPr>
          <w:rFonts w:ascii="Arial" w:hAnsi="Arial" w:cs="Arial"/>
          <w:noProof/>
          <w:sz w:val="24"/>
          <w:szCs w:val="24"/>
        </w:rPr>
        <w:drawing>
          <wp:inline distT="0" distB="0" distL="0" distR="0" wp14:anchorId="1DAF1073" wp14:editId="6016D249">
            <wp:extent cx="5943600" cy="35496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54965"/>
                    </a:xfrm>
                    <a:prstGeom prst="rect">
                      <a:avLst/>
                    </a:prstGeom>
                    <a:noFill/>
                    <a:ln>
                      <a:noFill/>
                    </a:ln>
                  </pic:spPr>
                </pic:pic>
              </a:graphicData>
            </a:graphic>
          </wp:inline>
        </w:drawing>
      </w:r>
    </w:p>
    <w:p w14:paraId="1980C1C1" w14:textId="77777777" w:rsidR="00C7729F" w:rsidRPr="0075470A" w:rsidRDefault="00C7729F" w:rsidP="00C7729F">
      <w:pPr>
        <w:rPr>
          <w:rFonts w:ascii="Arial" w:hAnsi="Arial" w:cs="Arial"/>
          <w:sz w:val="24"/>
          <w:szCs w:val="24"/>
        </w:rPr>
      </w:pPr>
      <w:r w:rsidRPr="0075470A">
        <w:rPr>
          <w:rFonts w:ascii="Arial" w:hAnsi="Arial" w:cs="Arial"/>
          <w:noProof/>
          <w:sz w:val="24"/>
          <w:szCs w:val="24"/>
        </w:rPr>
        <w:drawing>
          <wp:inline distT="0" distB="0" distL="0" distR="0" wp14:anchorId="668E116F" wp14:editId="733FC422">
            <wp:extent cx="5943600" cy="117792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1177925"/>
                    </a:xfrm>
                    <a:prstGeom prst="rect">
                      <a:avLst/>
                    </a:prstGeom>
                    <a:noFill/>
                    <a:ln>
                      <a:noFill/>
                    </a:ln>
                  </pic:spPr>
                </pic:pic>
              </a:graphicData>
            </a:graphic>
          </wp:inline>
        </w:drawing>
      </w:r>
    </w:p>
    <w:p w14:paraId="05A4C651" w14:textId="2E7BA824" w:rsidR="00C7729F" w:rsidRPr="00C7729F" w:rsidRDefault="00C7729F" w:rsidP="00C7729F">
      <w:pPr>
        <w:rPr>
          <w:rFonts w:ascii="Arial" w:hAnsi="Arial" w:cs="Arial"/>
          <w:sz w:val="24"/>
          <w:szCs w:val="24"/>
        </w:rPr>
      </w:pPr>
      <w:r w:rsidRPr="0075470A">
        <w:rPr>
          <w:rFonts w:ascii="Arial" w:hAnsi="Arial" w:cs="Arial"/>
          <w:sz w:val="24"/>
          <w:szCs w:val="24"/>
        </w:rPr>
        <w:t>Please explain the difference of $196,516 between the variance to the RRR balance ($1,374,316) and the principal adjustments in 2020 ($1,570,832) for Account 1588.</w:t>
      </w:r>
    </w:p>
    <w:p w14:paraId="1D58CDD2" w14:textId="4E8CA0AA" w:rsidR="00C7729F" w:rsidRDefault="00C7729F" w:rsidP="00C7729F">
      <w:pPr>
        <w:contextualSpacing/>
        <w:rPr>
          <w:rFonts w:ascii="Arial" w:hAnsi="Arial" w:cs="Arial"/>
          <w:b/>
          <w:sz w:val="24"/>
          <w:szCs w:val="24"/>
        </w:rPr>
      </w:pPr>
      <w:r>
        <w:rPr>
          <w:rFonts w:ascii="Arial" w:hAnsi="Arial" w:cs="Arial"/>
          <w:b/>
          <w:sz w:val="24"/>
          <w:szCs w:val="24"/>
        </w:rPr>
        <w:t>Staff Question-1</w:t>
      </w:r>
      <w:r w:rsidR="00BB7277">
        <w:rPr>
          <w:rFonts w:ascii="Arial" w:hAnsi="Arial" w:cs="Arial"/>
          <w:b/>
          <w:sz w:val="24"/>
          <w:szCs w:val="24"/>
        </w:rPr>
        <w:t>0</w:t>
      </w:r>
    </w:p>
    <w:p w14:paraId="17F9EA3D" w14:textId="4022452F" w:rsidR="00C7729F" w:rsidRDefault="00C7729F" w:rsidP="00C7729F">
      <w:pPr>
        <w:rPr>
          <w:rFonts w:ascii="Arial" w:hAnsi="Arial" w:cs="Arial"/>
          <w:b/>
          <w:bCs/>
          <w:sz w:val="24"/>
          <w:szCs w:val="24"/>
        </w:rPr>
      </w:pPr>
      <w:r w:rsidRPr="0075470A">
        <w:rPr>
          <w:rFonts w:ascii="Arial" w:hAnsi="Arial" w:cs="Arial"/>
          <w:b/>
          <w:bCs/>
          <w:sz w:val="24"/>
          <w:szCs w:val="24"/>
        </w:rPr>
        <w:t xml:space="preserve">Ref: </w:t>
      </w:r>
      <w:r>
        <w:rPr>
          <w:rFonts w:ascii="Arial" w:hAnsi="Arial" w:cs="Arial"/>
          <w:b/>
          <w:bCs/>
          <w:sz w:val="24"/>
          <w:szCs w:val="24"/>
        </w:rPr>
        <w:t xml:space="preserve">Guelph </w:t>
      </w:r>
      <w:r w:rsidRPr="0075470A">
        <w:rPr>
          <w:rFonts w:ascii="Arial" w:hAnsi="Arial" w:cs="Arial"/>
          <w:b/>
          <w:bCs/>
          <w:sz w:val="24"/>
          <w:szCs w:val="24"/>
        </w:rPr>
        <w:t>RZ</w:t>
      </w:r>
      <w:r>
        <w:rPr>
          <w:rFonts w:ascii="Arial" w:hAnsi="Arial" w:cs="Arial"/>
          <w:b/>
          <w:bCs/>
          <w:sz w:val="24"/>
          <w:szCs w:val="24"/>
        </w:rPr>
        <w:t>’s</w:t>
      </w:r>
      <w:r w:rsidRPr="0075470A">
        <w:rPr>
          <w:rFonts w:ascii="Arial" w:hAnsi="Arial" w:cs="Arial"/>
          <w:b/>
          <w:bCs/>
          <w:sz w:val="24"/>
          <w:szCs w:val="24"/>
        </w:rPr>
        <w:t xml:space="preserve"> GA Analysis Workform, Principal Adjustments </w:t>
      </w:r>
      <w:r>
        <w:rPr>
          <w:rFonts w:ascii="Arial" w:hAnsi="Arial" w:cs="Arial"/>
          <w:b/>
          <w:bCs/>
          <w:sz w:val="24"/>
          <w:szCs w:val="24"/>
        </w:rPr>
        <w:t>T</w:t>
      </w:r>
      <w:r w:rsidRPr="0075470A">
        <w:rPr>
          <w:rFonts w:ascii="Arial" w:hAnsi="Arial" w:cs="Arial"/>
          <w:b/>
          <w:bCs/>
          <w:sz w:val="24"/>
          <w:szCs w:val="24"/>
        </w:rPr>
        <w:t>ab</w:t>
      </w:r>
    </w:p>
    <w:p w14:paraId="1AA0932F" w14:textId="77777777" w:rsidR="00C7729F" w:rsidRPr="0075470A" w:rsidRDefault="00C7729F" w:rsidP="00C7729F">
      <w:pPr>
        <w:rPr>
          <w:rFonts w:ascii="Arial" w:hAnsi="Arial" w:cs="Arial"/>
          <w:sz w:val="24"/>
          <w:szCs w:val="24"/>
        </w:rPr>
      </w:pPr>
      <w:r w:rsidRPr="0075470A">
        <w:rPr>
          <w:rFonts w:ascii="Arial" w:hAnsi="Arial" w:cs="Arial"/>
          <w:sz w:val="24"/>
          <w:szCs w:val="24"/>
        </w:rPr>
        <w:t>Under Note 9 of the GA Analysis Workform, Alectra Utilities included a current year principal adjustment related to CT-148 true-up of GA charges for Account 1589:</w:t>
      </w:r>
    </w:p>
    <w:p w14:paraId="1D3B2FE4" w14:textId="77777777" w:rsidR="00C7729F" w:rsidRPr="0075470A" w:rsidRDefault="00C7729F" w:rsidP="00C7729F">
      <w:pPr>
        <w:rPr>
          <w:rFonts w:ascii="Arial" w:hAnsi="Arial" w:cs="Arial"/>
          <w:sz w:val="24"/>
          <w:szCs w:val="24"/>
        </w:rPr>
      </w:pPr>
      <w:r w:rsidRPr="0075470A">
        <w:rPr>
          <w:rFonts w:ascii="Arial" w:hAnsi="Arial" w:cs="Arial"/>
          <w:noProof/>
          <w:sz w:val="24"/>
          <w:szCs w:val="24"/>
        </w:rPr>
        <w:drawing>
          <wp:inline distT="0" distB="0" distL="0" distR="0" wp14:anchorId="009C9888" wp14:editId="12944099">
            <wp:extent cx="5943600" cy="246380"/>
            <wp:effectExtent l="0" t="0" r="0" b="127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46380"/>
                    </a:xfrm>
                    <a:prstGeom prst="rect">
                      <a:avLst/>
                    </a:prstGeom>
                    <a:noFill/>
                    <a:ln>
                      <a:noFill/>
                    </a:ln>
                  </pic:spPr>
                </pic:pic>
              </a:graphicData>
            </a:graphic>
          </wp:inline>
        </w:drawing>
      </w:r>
    </w:p>
    <w:p w14:paraId="02A9120D" w14:textId="77777777" w:rsidR="00C7729F" w:rsidRPr="0075470A" w:rsidRDefault="00C7729F" w:rsidP="00C7729F">
      <w:pPr>
        <w:rPr>
          <w:rFonts w:ascii="Arial" w:hAnsi="Arial" w:cs="Arial"/>
          <w:sz w:val="24"/>
          <w:szCs w:val="24"/>
        </w:rPr>
      </w:pPr>
      <w:r w:rsidRPr="0075470A">
        <w:rPr>
          <w:rFonts w:ascii="Arial" w:hAnsi="Arial" w:cs="Arial"/>
          <w:noProof/>
          <w:sz w:val="24"/>
          <w:szCs w:val="24"/>
        </w:rPr>
        <w:drawing>
          <wp:inline distT="0" distB="0" distL="0" distR="0" wp14:anchorId="5C7EE0FC" wp14:editId="0A89F9C1">
            <wp:extent cx="5943600" cy="25082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250825"/>
                    </a:xfrm>
                    <a:prstGeom prst="rect">
                      <a:avLst/>
                    </a:prstGeom>
                    <a:noFill/>
                    <a:ln>
                      <a:noFill/>
                    </a:ln>
                  </pic:spPr>
                </pic:pic>
              </a:graphicData>
            </a:graphic>
          </wp:inline>
        </w:drawing>
      </w:r>
    </w:p>
    <w:p w14:paraId="2B26367E" w14:textId="77777777" w:rsidR="00C7729F" w:rsidRPr="0075470A" w:rsidRDefault="00C7729F" w:rsidP="00C7729F">
      <w:pPr>
        <w:rPr>
          <w:rFonts w:ascii="Arial" w:hAnsi="Arial" w:cs="Arial"/>
          <w:sz w:val="24"/>
          <w:szCs w:val="24"/>
        </w:rPr>
      </w:pPr>
      <w:r w:rsidRPr="0075470A">
        <w:rPr>
          <w:rFonts w:ascii="Arial" w:hAnsi="Arial" w:cs="Arial"/>
          <w:sz w:val="24"/>
          <w:szCs w:val="24"/>
        </w:rPr>
        <w:t>However, there was no corresponding principal adjustment for Account 1588, with an adjustment only for CT-1142 true-up:</w:t>
      </w:r>
    </w:p>
    <w:p w14:paraId="74055B56" w14:textId="77777777" w:rsidR="00C7729F" w:rsidRPr="0075470A" w:rsidRDefault="00C7729F" w:rsidP="00C7729F">
      <w:pPr>
        <w:rPr>
          <w:rFonts w:ascii="Arial" w:hAnsi="Arial" w:cs="Arial"/>
          <w:noProof/>
          <w:sz w:val="24"/>
          <w:szCs w:val="24"/>
        </w:rPr>
      </w:pPr>
      <w:r w:rsidRPr="0075470A">
        <w:rPr>
          <w:rFonts w:ascii="Arial" w:hAnsi="Arial" w:cs="Arial"/>
          <w:noProof/>
          <w:sz w:val="24"/>
          <w:szCs w:val="24"/>
        </w:rPr>
        <w:drawing>
          <wp:inline distT="0" distB="0" distL="0" distR="0" wp14:anchorId="6A3F26F2" wp14:editId="13C5F6D8">
            <wp:extent cx="5943600" cy="238125"/>
            <wp:effectExtent l="0" t="0" r="0"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38125"/>
                    </a:xfrm>
                    <a:prstGeom prst="rect">
                      <a:avLst/>
                    </a:prstGeom>
                    <a:noFill/>
                    <a:ln>
                      <a:noFill/>
                    </a:ln>
                  </pic:spPr>
                </pic:pic>
              </a:graphicData>
            </a:graphic>
          </wp:inline>
        </w:drawing>
      </w:r>
    </w:p>
    <w:p w14:paraId="0C8DE1BD" w14:textId="77777777" w:rsidR="00C7729F" w:rsidRPr="0075470A" w:rsidRDefault="00C7729F" w:rsidP="00C7729F">
      <w:pPr>
        <w:rPr>
          <w:rFonts w:ascii="Arial" w:hAnsi="Arial" w:cs="Arial"/>
          <w:sz w:val="24"/>
          <w:szCs w:val="24"/>
        </w:rPr>
      </w:pPr>
      <w:r w:rsidRPr="0075470A">
        <w:rPr>
          <w:rFonts w:ascii="Arial" w:hAnsi="Arial" w:cs="Arial"/>
          <w:noProof/>
          <w:sz w:val="24"/>
          <w:szCs w:val="24"/>
        </w:rPr>
        <w:drawing>
          <wp:inline distT="0" distB="0" distL="0" distR="0" wp14:anchorId="2C9B89A5" wp14:editId="65FC5C3A">
            <wp:extent cx="5943600" cy="359410"/>
            <wp:effectExtent l="0" t="0" r="0" b="254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359410"/>
                    </a:xfrm>
                    <a:prstGeom prst="rect">
                      <a:avLst/>
                    </a:prstGeom>
                    <a:noFill/>
                    <a:ln>
                      <a:noFill/>
                    </a:ln>
                  </pic:spPr>
                </pic:pic>
              </a:graphicData>
            </a:graphic>
          </wp:inline>
        </w:drawing>
      </w:r>
    </w:p>
    <w:p w14:paraId="0AFDD4C4" w14:textId="7C97AFC0" w:rsidR="00C7729F" w:rsidRPr="00C7729F" w:rsidRDefault="00C7729F" w:rsidP="00C7729F">
      <w:pPr>
        <w:pStyle w:val="ListParagraph"/>
        <w:numPr>
          <w:ilvl w:val="0"/>
          <w:numId w:val="33"/>
        </w:numPr>
        <w:contextualSpacing w:val="0"/>
        <w:rPr>
          <w:rFonts w:ascii="Arial" w:hAnsi="Arial" w:cs="Arial"/>
          <w:sz w:val="24"/>
          <w:szCs w:val="24"/>
        </w:rPr>
      </w:pPr>
      <w:r w:rsidRPr="00C7729F">
        <w:rPr>
          <w:rFonts w:ascii="Arial" w:hAnsi="Arial" w:cs="Arial"/>
          <w:sz w:val="24"/>
          <w:szCs w:val="24"/>
        </w:rPr>
        <w:t>Please confirm whether the “CT-148 true-up of GA charges based on actual RPP volumes” for Account 1588 has been included with the $23,159 adjustment for “CT-1142 true-up based on actuals”.</w:t>
      </w:r>
    </w:p>
    <w:p w14:paraId="46D82A9C" w14:textId="05E233D7" w:rsidR="00C7729F" w:rsidRPr="0075470A" w:rsidRDefault="00C7729F" w:rsidP="00C7729F">
      <w:pPr>
        <w:pStyle w:val="ListParagraph"/>
        <w:numPr>
          <w:ilvl w:val="0"/>
          <w:numId w:val="33"/>
        </w:numPr>
        <w:rPr>
          <w:rFonts w:ascii="Arial" w:hAnsi="Arial" w:cs="Arial"/>
          <w:sz w:val="24"/>
          <w:szCs w:val="24"/>
        </w:rPr>
      </w:pPr>
      <w:r w:rsidRPr="0075470A">
        <w:rPr>
          <w:rFonts w:ascii="Arial" w:hAnsi="Arial" w:cs="Arial"/>
          <w:sz w:val="24"/>
          <w:szCs w:val="24"/>
        </w:rPr>
        <w:t>If a)</w:t>
      </w:r>
      <w:r w:rsidR="00B32608">
        <w:rPr>
          <w:rFonts w:ascii="Arial" w:hAnsi="Arial" w:cs="Arial"/>
          <w:sz w:val="24"/>
          <w:szCs w:val="24"/>
        </w:rPr>
        <w:t xml:space="preserve"> is confirmed</w:t>
      </w:r>
      <w:r w:rsidRPr="0075470A">
        <w:rPr>
          <w:rFonts w:ascii="Arial" w:hAnsi="Arial" w:cs="Arial"/>
          <w:sz w:val="24"/>
          <w:szCs w:val="24"/>
        </w:rPr>
        <w:t>, please provide a breakdown of the adjustment between:</w:t>
      </w:r>
    </w:p>
    <w:p w14:paraId="6DE7807B" w14:textId="77777777" w:rsidR="00C7729F" w:rsidRPr="0075470A" w:rsidRDefault="00C7729F" w:rsidP="00C7729F">
      <w:pPr>
        <w:pStyle w:val="ListParagraph"/>
        <w:numPr>
          <w:ilvl w:val="1"/>
          <w:numId w:val="33"/>
        </w:numPr>
        <w:rPr>
          <w:rFonts w:ascii="Arial" w:hAnsi="Arial" w:cs="Arial"/>
          <w:sz w:val="24"/>
          <w:szCs w:val="24"/>
        </w:rPr>
      </w:pPr>
      <w:r w:rsidRPr="0075470A">
        <w:rPr>
          <w:rFonts w:ascii="Arial" w:hAnsi="Arial" w:cs="Arial"/>
          <w:sz w:val="24"/>
          <w:szCs w:val="24"/>
        </w:rPr>
        <w:t>CT-148 true-up of GA charges based on actual RPP volumes</w:t>
      </w:r>
    </w:p>
    <w:p w14:paraId="6538D868" w14:textId="77777777" w:rsidR="00C7729F" w:rsidRPr="0075470A" w:rsidRDefault="00C7729F" w:rsidP="00C7729F">
      <w:pPr>
        <w:pStyle w:val="ListParagraph"/>
        <w:numPr>
          <w:ilvl w:val="1"/>
          <w:numId w:val="33"/>
        </w:numPr>
        <w:contextualSpacing w:val="0"/>
        <w:rPr>
          <w:rFonts w:ascii="Arial" w:hAnsi="Arial" w:cs="Arial"/>
          <w:sz w:val="24"/>
          <w:szCs w:val="24"/>
        </w:rPr>
      </w:pPr>
      <w:r w:rsidRPr="0075470A">
        <w:rPr>
          <w:rFonts w:ascii="Arial" w:hAnsi="Arial" w:cs="Arial"/>
          <w:sz w:val="24"/>
          <w:szCs w:val="24"/>
        </w:rPr>
        <w:t>CT-1142 true-up based on actuals</w:t>
      </w:r>
    </w:p>
    <w:p w14:paraId="47C17CC7" w14:textId="4779A77D" w:rsidR="00C7729F" w:rsidRPr="00C7729F" w:rsidRDefault="00C7729F" w:rsidP="00C7729F">
      <w:pPr>
        <w:pStyle w:val="ListParagraph"/>
        <w:contextualSpacing w:val="0"/>
        <w:rPr>
          <w:rFonts w:ascii="Arial" w:hAnsi="Arial" w:cs="Arial"/>
          <w:sz w:val="24"/>
          <w:szCs w:val="24"/>
        </w:rPr>
      </w:pPr>
      <w:r w:rsidRPr="0075470A">
        <w:rPr>
          <w:rFonts w:ascii="Arial" w:hAnsi="Arial" w:cs="Arial"/>
          <w:sz w:val="24"/>
          <w:szCs w:val="24"/>
        </w:rPr>
        <w:t>Please also submit an updated GA Analysis Workform with the appropriate amounts in the principal adjustments for Account 1588.</w:t>
      </w:r>
    </w:p>
    <w:p w14:paraId="64DCAB18" w14:textId="51FBFFC3" w:rsidR="00C7729F" w:rsidRPr="0075470A" w:rsidRDefault="00C7729F" w:rsidP="00C7729F">
      <w:pPr>
        <w:pStyle w:val="ListParagraph"/>
        <w:numPr>
          <w:ilvl w:val="0"/>
          <w:numId w:val="33"/>
        </w:numPr>
        <w:rPr>
          <w:rFonts w:ascii="Arial" w:hAnsi="Arial" w:cs="Arial"/>
          <w:sz w:val="24"/>
          <w:szCs w:val="24"/>
        </w:rPr>
      </w:pPr>
      <w:r w:rsidRPr="0075470A">
        <w:rPr>
          <w:rFonts w:ascii="Arial" w:hAnsi="Arial" w:cs="Arial"/>
          <w:sz w:val="24"/>
          <w:szCs w:val="24"/>
        </w:rPr>
        <w:lastRenderedPageBreak/>
        <w:t>If a)</w:t>
      </w:r>
      <w:r w:rsidR="00B32608">
        <w:rPr>
          <w:rFonts w:ascii="Arial" w:hAnsi="Arial" w:cs="Arial"/>
          <w:sz w:val="24"/>
          <w:szCs w:val="24"/>
        </w:rPr>
        <w:t xml:space="preserve"> is not confirmed</w:t>
      </w:r>
      <w:r w:rsidRPr="0075470A">
        <w:rPr>
          <w:rFonts w:ascii="Arial" w:hAnsi="Arial" w:cs="Arial"/>
          <w:sz w:val="24"/>
          <w:szCs w:val="24"/>
        </w:rPr>
        <w:t>, please explain why there is no corresponding principal adjustment for CT-148 true-up of GA charges for Account 1588.</w:t>
      </w:r>
    </w:p>
    <w:p w14:paraId="37AF5164" w14:textId="05D792AC" w:rsidR="00CD523B" w:rsidRPr="00726FA5" w:rsidRDefault="00CD523B" w:rsidP="00CD523B">
      <w:pPr>
        <w:spacing w:after="0"/>
        <w:rPr>
          <w:rFonts w:ascii="Arial" w:hAnsi="Arial" w:cs="Arial"/>
          <w:b/>
          <w:bCs/>
          <w:sz w:val="24"/>
          <w:szCs w:val="24"/>
        </w:rPr>
      </w:pPr>
      <w:r w:rsidRPr="00726FA5">
        <w:rPr>
          <w:rFonts w:ascii="Arial" w:hAnsi="Arial" w:cs="Arial"/>
          <w:b/>
          <w:bCs/>
          <w:sz w:val="24"/>
          <w:szCs w:val="24"/>
        </w:rPr>
        <w:t>Staff</w:t>
      </w:r>
      <w:r>
        <w:rPr>
          <w:rFonts w:ascii="Arial" w:hAnsi="Arial" w:cs="Arial"/>
          <w:b/>
          <w:bCs/>
          <w:sz w:val="24"/>
          <w:szCs w:val="24"/>
        </w:rPr>
        <w:t xml:space="preserve"> Question-1</w:t>
      </w:r>
      <w:r w:rsidR="00BB7277">
        <w:rPr>
          <w:rFonts w:ascii="Arial" w:hAnsi="Arial" w:cs="Arial"/>
          <w:b/>
          <w:bCs/>
          <w:sz w:val="24"/>
          <w:szCs w:val="24"/>
        </w:rPr>
        <w:t>1</w:t>
      </w:r>
    </w:p>
    <w:p w14:paraId="5BD24796" w14:textId="77777777" w:rsidR="00CD523B" w:rsidRPr="00726FA5" w:rsidRDefault="00CD523B" w:rsidP="00CD523B">
      <w:pPr>
        <w:spacing w:after="0"/>
        <w:rPr>
          <w:rFonts w:ascii="Arial" w:hAnsi="Arial" w:cs="Arial"/>
          <w:b/>
          <w:bCs/>
          <w:sz w:val="24"/>
          <w:szCs w:val="24"/>
        </w:rPr>
      </w:pPr>
      <w:r w:rsidRPr="00726FA5">
        <w:rPr>
          <w:rFonts w:ascii="Arial" w:hAnsi="Arial" w:cs="Arial"/>
          <w:b/>
          <w:bCs/>
          <w:sz w:val="24"/>
          <w:szCs w:val="24"/>
        </w:rPr>
        <w:t>Ref</w:t>
      </w:r>
      <w:r>
        <w:rPr>
          <w:rFonts w:ascii="Arial" w:hAnsi="Arial" w:cs="Arial"/>
          <w:b/>
          <w:bCs/>
          <w:sz w:val="24"/>
          <w:szCs w:val="24"/>
        </w:rPr>
        <w:t>1</w:t>
      </w:r>
      <w:r w:rsidRPr="00726FA5">
        <w:rPr>
          <w:rFonts w:ascii="Arial" w:hAnsi="Arial" w:cs="Arial"/>
          <w:b/>
          <w:bCs/>
          <w:sz w:val="24"/>
          <w:szCs w:val="24"/>
        </w:rPr>
        <w:t>: EB-2019-0018, Partial Decision and Order, January 30, 2020, Pages 38-39</w:t>
      </w:r>
    </w:p>
    <w:p w14:paraId="2D1132AA" w14:textId="77777777" w:rsidR="00CD523B" w:rsidRPr="00726FA5" w:rsidRDefault="00CD523B" w:rsidP="00CD523B">
      <w:pPr>
        <w:spacing w:after="0"/>
        <w:rPr>
          <w:rFonts w:ascii="Arial" w:hAnsi="Arial" w:cs="Arial"/>
          <w:b/>
          <w:bCs/>
          <w:sz w:val="24"/>
          <w:szCs w:val="24"/>
        </w:rPr>
      </w:pPr>
      <w:r w:rsidRPr="00726FA5">
        <w:rPr>
          <w:rFonts w:ascii="Arial" w:hAnsi="Arial" w:cs="Arial"/>
          <w:b/>
          <w:bCs/>
          <w:sz w:val="24"/>
          <w:szCs w:val="24"/>
        </w:rPr>
        <w:t>Ref</w:t>
      </w:r>
      <w:r>
        <w:rPr>
          <w:rFonts w:ascii="Arial" w:hAnsi="Arial" w:cs="Arial"/>
          <w:b/>
          <w:bCs/>
          <w:sz w:val="24"/>
          <w:szCs w:val="24"/>
        </w:rPr>
        <w:t>2</w:t>
      </w:r>
      <w:r w:rsidRPr="00726FA5">
        <w:rPr>
          <w:rFonts w:ascii="Arial" w:hAnsi="Arial" w:cs="Arial"/>
          <w:b/>
          <w:bCs/>
          <w:sz w:val="24"/>
          <w:szCs w:val="24"/>
        </w:rPr>
        <w:t>: EB-2020-0002, Decision and Order, December 17, 2020, Page 51</w:t>
      </w:r>
    </w:p>
    <w:p w14:paraId="07D17030" w14:textId="77777777" w:rsidR="00CD523B" w:rsidRPr="00726FA5" w:rsidRDefault="00CD523B" w:rsidP="00CD523B">
      <w:pPr>
        <w:rPr>
          <w:rFonts w:ascii="Arial" w:hAnsi="Arial" w:cs="Arial"/>
          <w:b/>
          <w:bCs/>
          <w:sz w:val="24"/>
          <w:szCs w:val="24"/>
        </w:rPr>
      </w:pPr>
      <w:r w:rsidRPr="00726FA5">
        <w:rPr>
          <w:rFonts w:ascii="Arial" w:hAnsi="Arial" w:cs="Arial"/>
          <w:b/>
          <w:bCs/>
          <w:sz w:val="24"/>
          <w:szCs w:val="24"/>
        </w:rPr>
        <w:t>Ref</w:t>
      </w:r>
      <w:r>
        <w:rPr>
          <w:rFonts w:ascii="Arial" w:hAnsi="Arial" w:cs="Arial"/>
          <w:b/>
          <w:bCs/>
          <w:sz w:val="24"/>
          <w:szCs w:val="24"/>
        </w:rPr>
        <w:t>3</w:t>
      </w:r>
      <w:r w:rsidRPr="00726FA5">
        <w:rPr>
          <w:rFonts w:ascii="Arial" w:hAnsi="Arial" w:cs="Arial"/>
          <w:b/>
          <w:bCs/>
          <w:sz w:val="24"/>
          <w:szCs w:val="24"/>
        </w:rPr>
        <w:t>: Exhibit 2, Tab 1, Schedule 2</w:t>
      </w:r>
    </w:p>
    <w:p w14:paraId="57AEC49B" w14:textId="4B8FCF4E" w:rsidR="00CD523B" w:rsidRPr="00726FA5" w:rsidRDefault="00CD523B" w:rsidP="00CD523B">
      <w:pPr>
        <w:rPr>
          <w:rFonts w:ascii="Arial" w:hAnsi="Arial" w:cs="Arial"/>
          <w:sz w:val="24"/>
          <w:szCs w:val="24"/>
        </w:rPr>
      </w:pPr>
      <w:r w:rsidRPr="00726FA5">
        <w:rPr>
          <w:rFonts w:ascii="Arial" w:hAnsi="Arial" w:cs="Arial"/>
          <w:sz w:val="24"/>
          <w:szCs w:val="24"/>
        </w:rPr>
        <w:t xml:space="preserve">In the OEB’s Partial Decision and Order </w:t>
      </w:r>
      <w:r w:rsidR="00A118D5">
        <w:rPr>
          <w:rFonts w:ascii="Arial" w:hAnsi="Arial" w:cs="Arial"/>
          <w:sz w:val="24"/>
          <w:szCs w:val="24"/>
        </w:rPr>
        <w:t>i</w:t>
      </w:r>
      <w:r w:rsidRPr="00726FA5">
        <w:rPr>
          <w:rFonts w:ascii="Arial" w:hAnsi="Arial" w:cs="Arial"/>
          <w:sz w:val="24"/>
          <w:szCs w:val="24"/>
        </w:rPr>
        <w:t>n Alectra Utilities’ 2020 IRM application, the OEB accepted Alectra Utilities’ approach to allocating capitalization policy impacts across its rate zones. However, the OEB also concluded that it would be appropriate to continue monitor the results of the allocation methodology.</w:t>
      </w:r>
    </w:p>
    <w:p w14:paraId="66B94167" w14:textId="77777777" w:rsidR="00CD523B" w:rsidRPr="00726FA5" w:rsidRDefault="00CD523B" w:rsidP="00CD523B">
      <w:pPr>
        <w:rPr>
          <w:rFonts w:ascii="Arial" w:hAnsi="Arial" w:cs="Arial"/>
          <w:sz w:val="24"/>
          <w:szCs w:val="24"/>
        </w:rPr>
      </w:pPr>
      <w:r w:rsidRPr="00726FA5">
        <w:rPr>
          <w:rFonts w:ascii="Arial" w:hAnsi="Arial" w:cs="Arial"/>
          <w:sz w:val="24"/>
          <w:szCs w:val="24"/>
        </w:rPr>
        <w:t>In the OEB’s Decision and Order on Alectra Utilities’ 2021 IRM application, the OEB directed Alectra Utilities to “file evidence applying the accepted methodology, quantifying the differences between actual to forecast allocations and explaining the key drivers, particularly if the differences are material.”</w:t>
      </w:r>
    </w:p>
    <w:p w14:paraId="6C0EF71D" w14:textId="77777777" w:rsidR="00CD523B" w:rsidRDefault="00CD523B" w:rsidP="00CD523B">
      <w:pPr>
        <w:rPr>
          <w:rFonts w:ascii="Arial" w:hAnsi="Arial" w:cs="Arial"/>
          <w:sz w:val="24"/>
          <w:szCs w:val="24"/>
        </w:rPr>
      </w:pPr>
      <w:r w:rsidRPr="00726FA5">
        <w:rPr>
          <w:rFonts w:ascii="Arial" w:hAnsi="Arial" w:cs="Arial"/>
          <w:sz w:val="24"/>
          <w:szCs w:val="24"/>
        </w:rPr>
        <w:t xml:space="preserve">In the current application, Alectra Utilities noted that the forecast allocations were underpinned by the capital included in Alectra Utilities’ Distribution System Plan in its 2020 EDR proceeding. Alectra Utilities also noted that any changes relative to the capitalization policy impacts included in the 2020 EDR proceeding (i.e. the forecast allocations) are driven by the actual distribution plant capital expenditures in any given year. </w:t>
      </w:r>
    </w:p>
    <w:p w14:paraId="152B068E" w14:textId="77777777" w:rsidR="00CD523B" w:rsidRPr="00726FA5" w:rsidRDefault="00CD523B" w:rsidP="00CD523B">
      <w:pPr>
        <w:rPr>
          <w:rFonts w:ascii="Arial" w:hAnsi="Arial" w:cs="Arial"/>
          <w:sz w:val="24"/>
          <w:szCs w:val="24"/>
        </w:rPr>
      </w:pPr>
      <w:r w:rsidRPr="00726FA5">
        <w:rPr>
          <w:rFonts w:ascii="Arial" w:hAnsi="Arial" w:cs="Arial"/>
          <w:sz w:val="24"/>
          <w:szCs w:val="24"/>
        </w:rPr>
        <w:t>OEB staff quantified the differences between actual to forecast allocations for 2020, which were driven by the differences between actual to forecast distribution plant capital expenditures as follows:</w:t>
      </w:r>
    </w:p>
    <w:tbl>
      <w:tblPr>
        <w:tblpPr w:leftFromText="180" w:rightFromText="180" w:vertAnchor="text" w:horzAnchor="margin" w:tblpXSpec="center" w:tblpY="776"/>
        <w:tblW w:w="8370" w:type="dxa"/>
        <w:tblLook w:val="04A0" w:firstRow="1" w:lastRow="0" w:firstColumn="1" w:lastColumn="0" w:noHBand="0" w:noVBand="1"/>
      </w:tblPr>
      <w:tblGrid>
        <w:gridCol w:w="390"/>
        <w:gridCol w:w="3879"/>
        <w:gridCol w:w="1444"/>
        <w:gridCol w:w="1444"/>
        <w:gridCol w:w="1418"/>
      </w:tblGrid>
      <w:tr w:rsidR="00CD523B" w:rsidRPr="00726FA5" w14:paraId="4464AD6D" w14:textId="77777777" w:rsidTr="00CF44D7">
        <w:trPr>
          <w:trHeight w:val="520"/>
        </w:trPr>
        <w:tc>
          <w:tcPr>
            <w:tcW w:w="381" w:type="dxa"/>
            <w:tcBorders>
              <w:top w:val="nil"/>
              <w:left w:val="nil"/>
              <w:bottom w:val="single" w:sz="4" w:space="0" w:color="auto"/>
              <w:right w:val="nil"/>
            </w:tcBorders>
            <w:shd w:val="clear" w:color="auto" w:fill="EAF1DD" w:themeFill="accent3" w:themeFillTint="33"/>
          </w:tcPr>
          <w:p w14:paraId="2EA7222B" w14:textId="77777777" w:rsidR="00CD523B" w:rsidRPr="00726FA5" w:rsidRDefault="00CD523B" w:rsidP="00CF44D7">
            <w:pPr>
              <w:jc w:val="center"/>
              <w:rPr>
                <w:rFonts w:ascii="Arial" w:eastAsia="Times New Roman" w:hAnsi="Arial" w:cs="Arial"/>
                <w:b/>
                <w:bCs/>
                <w:color w:val="000000"/>
                <w:sz w:val="24"/>
                <w:szCs w:val="24"/>
              </w:rPr>
            </w:pPr>
          </w:p>
        </w:tc>
        <w:tc>
          <w:tcPr>
            <w:tcW w:w="3879" w:type="dxa"/>
            <w:tcBorders>
              <w:top w:val="nil"/>
              <w:left w:val="nil"/>
              <w:bottom w:val="single" w:sz="4" w:space="0" w:color="auto"/>
              <w:right w:val="nil"/>
            </w:tcBorders>
            <w:shd w:val="clear" w:color="auto" w:fill="EAF1DD" w:themeFill="accent3" w:themeFillTint="33"/>
            <w:noWrap/>
            <w:vAlign w:val="bottom"/>
            <w:hideMark/>
          </w:tcPr>
          <w:p w14:paraId="5CD6A862" w14:textId="77777777" w:rsidR="00CD523B" w:rsidRPr="00726FA5" w:rsidRDefault="00CD523B" w:rsidP="00CF44D7">
            <w:pPr>
              <w:jc w:val="center"/>
              <w:rPr>
                <w:rFonts w:ascii="Arial" w:eastAsia="Times New Roman" w:hAnsi="Arial" w:cs="Arial"/>
                <w:b/>
                <w:bCs/>
                <w:color w:val="000000"/>
                <w:sz w:val="24"/>
                <w:szCs w:val="24"/>
              </w:rPr>
            </w:pPr>
            <w:r w:rsidRPr="00726FA5">
              <w:rPr>
                <w:rFonts w:ascii="Arial" w:eastAsia="Times New Roman" w:hAnsi="Arial" w:cs="Arial"/>
                <w:b/>
                <w:bCs/>
                <w:color w:val="000000"/>
                <w:sz w:val="24"/>
                <w:szCs w:val="24"/>
              </w:rPr>
              <w:t>2020</w:t>
            </w:r>
          </w:p>
        </w:tc>
        <w:tc>
          <w:tcPr>
            <w:tcW w:w="1378" w:type="dxa"/>
            <w:tcBorders>
              <w:top w:val="nil"/>
              <w:left w:val="nil"/>
              <w:bottom w:val="single" w:sz="4" w:space="0" w:color="auto"/>
              <w:right w:val="nil"/>
            </w:tcBorders>
            <w:shd w:val="clear" w:color="auto" w:fill="EAF1DD" w:themeFill="accent3" w:themeFillTint="33"/>
            <w:noWrap/>
            <w:vAlign w:val="bottom"/>
            <w:hideMark/>
          </w:tcPr>
          <w:p w14:paraId="32068C7F" w14:textId="77777777" w:rsidR="00CD523B" w:rsidRPr="00726FA5" w:rsidRDefault="00CD523B" w:rsidP="00CF44D7">
            <w:pPr>
              <w:jc w:val="center"/>
              <w:rPr>
                <w:rFonts w:ascii="Arial" w:eastAsia="Times New Roman" w:hAnsi="Arial" w:cs="Arial"/>
                <w:b/>
                <w:bCs/>
                <w:color w:val="000000"/>
                <w:sz w:val="24"/>
                <w:szCs w:val="24"/>
              </w:rPr>
            </w:pPr>
            <w:r w:rsidRPr="00726FA5">
              <w:rPr>
                <w:rFonts w:ascii="Arial" w:eastAsia="Times New Roman" w:hAnsi="Arial" w:cs="Arial"/>
                <w:b/>
                <w:bCs/>
                <w:color w:val="000000"/>
                <w:sz w:val="24"/>
                <w:szCs w:val="24"/>
              </w:rPr>
              <w:t>ERZ</w:t>
            </w:r>
          </w:p>
        </w:tc>
        <w:tc>
          <w:tcPr>
            <w:tcW w:w="1378" w:type="dxa"/>
            <w:tcBorders>
              <w:top w:val="nil"/>
              <w:left w:val="nil"/>
              <w:bottom w:val="single" w:sz="4" w:space="0" w:color="auto"/>
              <w:right w:val="nil"/>
            </w:tcBorders>
            <w:shd w:val="clear" w:color="auto" w:fill="EAF1DD" w:themeFill="accent3" w:themeFillTint="33"/>
            <w:noWrap/>
            <w:vAlign w:val="bottom"/>
            <w:hideMark/>
          </w:tcPr>
          <w:p w14:paraId="4048B642" w14:textId="77777777" w:rsidR="00CD523B" w:rsidRPr="00726FA5" w:rsidRDefault="00CD523B" w:rsidP="00CF44D7">
            <w:pPr>
              <w:jc w:val="center"/>
              <w:rPr>
                <w:rFonts w:ascii="Arial" w:eastAsia="Times New Roman" w:hAnsi="Arial" w:cs="Arial"/>
                <w:b/>
                <w:bCs/>
                <w:color w:val="000000"/>
                <w:sz w:val="24"/>
                <w:szCs w:val="24"/>
              </w:rPr>
            </w:pPr>
            <w:r w:rsidRPr="00726FA5">
              <w:rPr>
                <w:rFonts w:ascii="Arial" w:eastAsia="Times New Roman" w:hAnsi="Arial" w:cs="Arial"/>
                <w:b/>
                <w:bCs/>
                <w:color w:val="000000"/>
                <w:sz w:val="24"/>
                <w:szCs w:val="24"/>
              </w:rPr>
              <w:t>BRZ</w:t>
            </w:r>
          </w:p>
        </w:tc>
        <w:tc>
          <w:tcPr>
            <w:tcW w:w="1354" w:type="dxa"/>
            <w:tcBorders>
              <w:top w:val="nil"/>
              <w:left w:val="nil"/>
              <w:bottom w:val="single" w:sz="4" w:space="0" w:color="auto"/>
              <w:right w:val="nil"/>
            </w:tcBorders>
            <w:shd w:val="clear" w:color="auto" w:fill="EAF1DD" w:themeFill="accent3" w:themeFillTint="33"/>
            <w:noWrap/>
            <w:vAlign w:val="bottom"/>
            <w:hideMark/>
          </w:tcPr>
          <w:p w14:paraId="4084DED0" w14:textId="77777777" w:rsidR="00CD523B" w:rsidRPr="00726FA5" w:rsidRDefault="00CD523B" w:rsidP="00CF44D7">
            <w:pPr>
              <w:jc w:val="center"/>
              <w:rPr>
                <w:rFonts w:ascii="Arial" w:eastAsia="Times New Roman" w:hAnsi="Arial" w:cs="Arial"/>
                <w:b/>
                <w:bCs/>
                <w:color w:val="000000"/>
                <w:sz w:val="24"/>
                <w:szCs w:val="24"/>
              </w:rPr>
            </w:pPr>
            <w:r w:rsidRPr="00726FA5">
              <w:rPr>
                <w:rFonts w:ascii="Arial" w:eastAsia="Times New Roman" w:hAnsi="Arial" w:cs="Arial"/>
                <w:b/>
                <w:bCs/>
                <w:color w:val="000000"/>
                <w:sz w:val="24"/>
                <w:szCs w:val="24"/>
              </w:rPr>
              <w:t>HRZ</w:t>
            </w:r>
          </w:p>
        </w:tc>
      </w:tr>
      <w:tr w:rsidR="00CD523B" w:rsidRPr="00726FA5" w14:paraId="409EB98D" w14:textId="77777777" w:rsidTr="00CF44D7">
        <w:trPr>
          <w:trHeight w:val="250"/>
        </w:trPr>
        <w:tc>
          <w:tcPr>
            <w:tcW w:w="381" w:type="dxa"/>
            <w:tcBorders>
              <w:top w:val="nil"/>
              <w:left w:val="nil"/>
              <w:bottom w:val="nil"/>
              <w:right w:val="nil"/>
            </w:tcBorders>
          </w:tcPr>
          <w:p w14:paraId="655DFC99" w14:textId="77777777" w:rsidR="00CD523B" w:rsidRPr="00726FA5" w:rsidRDefault="00CD523B" w:rsidP="00CF44D7">
            <w:pPr>
              <w:rPr>
                <w:rFonts w:ascii="Arial" w:eastAsia="Times New Roman" w:hAnsi="Arial" w:cs="Arial"/>
                <w:b/>
                <w:bCs/>
                <w:color w:val="000000"/>
                <w:sz w:val="24"/>
                <w:szCs w:val="24"/>
              </w:rPr>
            </w:pPr>
            <w:r w:rsidRPr="00726FA5">
              <w:rPr>
                <w:rFonts w:ascii="Arial" w:eastAsia="Times New Roman" w:hAnsi="Arial" w:cs="Arial"/>
                <w:b/>
                <w:bCs/>
                <w:color w:val="000000"/>
                <w:sz w:val="24"/>
                <w:szCs w:val="24"/>
              </w:rPr>
              <w:t>A</w:t>
            </w:r>
          </w:p>
        </w:tc>
        <w:tc>
          <w:tcPr>
            <w:tcW w:w="3879" w:type="dxa"/>
            <w:tcBorders>
              <w:top w:val="nil"/>
              <w:left w:val="nil"/>
              <w:bottom w:val="nil"/>
              <w:right w:val="nil"/>
            </w:tcBorders>
            <w:shd w:val="clear" w:color="auto" w:fill="auto"/>
            <w:noWrap/>
            <w:vAlign w:val="bottom"/>
            <w:hideMark/>
          </w:tcPr>
          <w:p w14:paraId="61B056CB" w14:textId="77777777" w:rsidR="00CD523B" w:rsidRPr="00726FA5" w:rsidRDefault="00CD523B" w:rsidP="00CF44D7">
            <w:pPr>
              <w:rPr>
                <w:rFonts w:ascii="Arial" w:eastAsia="Times New Roman" w:hAnsi="Arial" w:cs="Arial"/>
                <w:color w:val="000000"/>
                <w:sz w:val="24"/>
                <w:szCs w:val="24"/>
              </w:rPr>
            </w:pPr>
            <w:r w:rsidRPr="00726FA5">
              <w:rPr>
                <w:rFonts w:ascii="Arial" w:eastAsia="Times New Roman" w:hAnsi="Arial" w:cs="Arial"/>
                <w:color w:val="000000"/>
                <w:sz w:val="24"/>
                <w:szCs w:val="24"/>
              </w:rPr>
              <w:t>Forecasted Distribution Plant Capital as per 2020 IRM (EB-2019-0018)</w:t>
            </w:r>
          </w:p>
        </w:tc>
        <w:tc>
          <w:tcPr>
            <w:tcW w:w="1378" w:type="dxa"/>
            <w:tcBorders>
              <w:top w:val="nil"/>
              <w:left w:val="nil"/>
              <w:bottom w:val="nil"/>
              <w:right w:val="nil"/>
            </w:tcBorders>
            <w:shd w:val="clear" w:color="auto" w:fill="auto"/>
            <w:noWrap/>
            <w:vAlign w:val="bottom"/>
            <w:hideMark/>
          </w:tcPr>
          <w:p w14:paraId="44FE8216" w14:textId="77777777" w:rsidR="00CD523B" w:rsidRPr="00726FA5" w:rsidRDefault="00CD523B" w:rsidP="00CF44D7">
            <w:pPr>
              <w:jc w:val="right"/>
              <w:rPr>
                <w:rFonts w:ascii="Arial" w:eastAsia="Times New Roman" w:hAnsi="Arial" w:cs="Arial"/>
                <w:color w:val="000000"/>
                <w:sz w:val="24"/>
                <w:szCs w:val="24"/>
              </w:rPr>
            </w:pPr>
            <w:r w:rsidRPr="00726FA5">
              <w:rPr>
                <w:rFonts w:ascii="Arial" w:eastAsia="Times New Roman" w:hAnsi="Arial" w:cs="Arial"/>
                <w:color w:val="000000"/>
                <w:sz w:val="24"/>
                <w:szCs w:val="24"/>
              </w:rPr>
              <w:t xml:space="preserve">    51,568,514 </w:t>
            </w:r>
          </w:p>
        </w:tc>
        <w:tc>
          <w:tcPr>
            <w:tcW w:w="1378" w:type="dxa"/>
            <w:tcBorders>
              <w:top w:val="nil"/>
              <w:left w:val="nil"/>
              <w:bottom w:val="nil"/>
              <w:right w:val="nil"/>
            </w:tcBorders>
            <w:shd w:val="clear" w:color="auto" w:fill="auto"/>
            <w:noWrap/>
            <w:vAlign w:val="bottom"/>
            <w:hideMark/>
          </w:tcPr>
          <w:p w14:paraId="72D165BF" w14:textId="77777777" w:rsidR="00CD523B" w:rsidRPr="00726FA5" w:rsidRDefault="00CD523B" w:rsidP="00CF44D7">
            <w:pPr>
              <w:jc w:val="right"/>
              <w:rPr>
                <w:rFonts w:ascii="Arial" w:eastAsia="Times New Roman" w:hAnsi="Arial" w:cs="Arial"/>
                <w:color w:val="000000"/>
                <w:sz w:val="24"/>
                <w:szCs w:val="24"/>
              </w:rPr>
            </w:pPr>
            <w:r w:rsidRPr="00726FA5">
              <w:rPr>
                <w:rFonts w:ascii="Arial" w:eastAsia="Times New Roman" w:hAnsi="Arial" w:cs="Arial"/>
                <w:color w:val="000000"/>
                <w:sz w:val="24"/>
                <w:szCs w:val="24"/>
              </w:rPr>
              <w:t xml:space="preserve"> 31,906,799 </w:t>
            </w:r>
          </w:p>
        </w:tc>
        <w:tc>
          <w:tcPr>
            <w:tcW w:w="1354" w:type="dxa"/>
            <w:tcBorders>
              <w:top w:val="nil"/>
              <w:left w:val="nil"/>
              <w:bottom w:val="nil"/>
              <w:right w:val="nil"/>
            </w:tcBorders>
            <w:shd w:val="clear" w:color="auto" w:fill="auto"/>
            <w:noWrap/>
            <w:vAlign w:val="bottom"/>
            <w:hideMark/>
          </w:tcPr>
          <w:p w14:paraId="663955D5" w14:textId="77777777" w:rsidR="00CD523B" w:rsidRPr="00726FA5" w:rsidRDefault="00CD523B" w:rsidP="00CF44D7">
            <w:pPr>
              <w:jc w:val="right"/>
              <w:rPr>
                <w:rFonts w:ascii="Arial" w:eastAsia="Times New Roman" w:hAnsi="Arial" w:cs="Arial"/>
                <w:color w:val="000000"/>
                <w:sz w:val="24"/>
                <w:szCs w:val="24"/>
              </w:rPr>
            </w:pPr>
            <w:r w:rsidRPr="00726FA5">
              <w:rPr>
                <w:rFonts w:ascii="Arial" w:eastAsia="Times New Roman" w:hAnsi="Arial" w:cs="Arial"/>
                <w:color w:val="000000"/>
                <w:sz w:val="24"/>
                <w:szCs w:val="24"/>
              </w:rPr>
              <w:t xml:space="preserve"> 52,938,214 </w:t>
            </w:r>
          </w:p>
        </w:tc>
      </w:tr>
      <w:tr w:rsidR="00CD523B" w:rsidRPr="00726FA5" w14:paraId="44F01F37" w14:textId="77777777" w:rsidTr="00CF44D7">
        <w:trPr>
          <w:trHeight w:val="250"/>
        </w:trPr>
        <w:tc>
          <w:tcPr>
            <w:tcW w:w="381" w:type="dxa"/>
            <w:tcBorders>
              <w:top w:val="nil"/>
              <w:left w:val="nil"/>
              <w:bottom w:val="nil"/>
              <w:right w:val="nil"/>
            </w:tcBorders>
            <w:vAlign w:val="bottom"/>
          </w:tcPr>
          <w:p w14:paraId="244122A7" w14:textId="77777777" w:rsidR="00CD523B" w:rsidRPr="00726FA5" w:rsidRDefault="00CD523B" w:rsidP="00CF44D7">
            <w:pPr>
              <w:rPr>
                <w:rFonts w:ascii="Arial" w:eastAsia="Times New Roman" w:hAnsi="Arial" w:cs="Arial"/>
                <w:b/>
                <w:bCs/>
                <w:color w:val="000000"/>
                <w:sz w:val="24"/>
                <w:szCs w:val="24"/>
              </w:rPr>
            </w:pPr>
            <w:r w:rsidRPr="00726FA5">
              <w:rPr>
                <w:rFonts w:ascii="Arial" w:eastAsia="Times New Roman" w:hAnsi="Arial" w:cs="Arial"/>
                <w:b/>
                <w:bCs/>
                <w:color w:val="000000"/>
                <w:sz w:val="24"/>
                <w:szCs w:val="24"/>
              </w:rPr>
              <w:t>B</w:t>
            </w:r>
          </w:p>
        </w:tc>
        <w:tc>
          <w:tcPr>
            <w:tcW w:w="3879" w:type="dxa"/>
            <w:tcBorders>
              <w:top w:val="nil"/>
              <w:left w:val="nil"/>
              <w:bottom w:val="nil"/>
              <w:right w:val="nil"/>
            </w:tcBorders>
            <w:shd w:val="clear" w:color="auto" w:fill="auto"/>
            <w:noWrap/>
            <w:vAlign w:val="bottom"/>
            <w:hideMark/>
          </w:tcPr>
          <w:p w14:paraId="71DB1EA2" w14:textId="77777777" w:rsidR="00CD523B" w:rsidRPr="00726FA5" w:rsidRDefault="00CD523B" w:rsidP="00CF44D7">
            <w:pPr>
              <w:rPr>
                <w:rFonts w:ascii="Arial" w:eastAsia="Times New Roman" w:hAnsi="Arial" w:cs="Arial"/>
                <w:color w:val="000000"/>
                <w:sz w:val="24"/>
                <w:szCs w:val="24"/>
              </w:rPr>
            </w:pPr>
            <w:r w:rsidRPr="00726FA5">
              <w:rPr>
                <w:rFonts w:ascii="Arial" w:eastAsia="Times New Roman" w:hAnsi="Arial" w:cs="Arial"/>
                <w:color w:val="000000"/>
                <w:sz w:val="24"/>
                <w:szCs w:val="24"/>
              </w:rPr>
              <w:t>Actual Distribution Plant Capital</w:t>
            </w:r>
          </w:p>
        </w:tc>
        <w:tc>
          <w:tcPr>
            <w:tcW w:w="1378" w:type="dxa"/>
            <w:tcBorders>
              <w:top w:val="nil"/>
              <w:left w:val="nil"/>
              <w:bottom w:val="nil"/>
              <w:right w:val="nil"/>
            </w:tcBorders>
            <w:shd w:val="clear" w:color="auto" w:fill="auto"/>
            <w:noWrap/>
            <w:vAlign w:val="bottom"/>
            <w:hideMark/>
          </w:tcPr>
          <w:p w14:paraId="7E330F01" w14:textId="77777777" w:rsidR="00CD523B" w:rsidRPr="00726FA5" w:rsidRDefault="00CD523B" w:rsidP="00CF44D7">
            <w:pPr>
              <w:jc w:val="right"/>
              <w:rPr>
                <w:rFonts w:ascii="Arial" w:eastAsia="Times New Roman" w:hAnsi="Arial" w:cs="Arial"/>
                <w:color w:val="000000"/>
                <w:sz w:val="24"/>
                <w:szCs w:val="24"/>
              </w:rPr>
            </w:pPr>
            <w:r w:rsidRPr="00726FA5">
              <w:rPr>
                <w:rFonts w:ascii="Arial" w:eastAsia="Times New Roman" w:hAnsi="Arial" w:cs="Arial"/>
                <w:color w:val="000000"/>
                <w:sz w:val="24"/>
                <w:szCs w:val="24"/>
              </w:rPr>
              <w:t xml:space="preserve">    44,060,116 </w:t>
            </w:r>
          </w:p>
        </w:tc>
        <w:tc>
          <w:tcPr>
            <w:tcW w:w="1378" w:type="dxa"/>
            <w:tcBorders>
              <w:top w:val="nil"/>
              <w:left w:val="nil"/>
              <w:bottom w:val="nil"/>
              <w:right w:val="nil"/>
            </w:tcBorders>
            <w:shd w:val="clear" w:color="auto" w:fill="auto"/>
            <w:noWrap/>
            <w:vAlign w:val="bottom"/>
            <w:hideMark/>
          </w:tcPr>
          <w:p w14:paraId="07D397C5" w14:textId="77777777" w:rsidR="00CD523B" w:rsidRPr="00726FA5" w:rsidRDefault="00CD523B" w:rsidP="00CF44D7">
            <w:pPr>
              <w:jc w:val="right"/>
              <w:rPr>
                <w:rFonts w:ascii="Arial" w:eastAsia="Times New Roman" w:hAnsi="Arial" w:cs="Arial"/>
                <w:color w:val="000000"/>
                <w:sz w:val="24"/>
                <w:szCs w:val="24"/>
              </w:rPr>
            </w:pPr>
            <w:r w:rsidRPr="00726FA5">
              <w:rPr>
                <w:rFonts w:ascii="Arial" w:eastAsia="Times New Roman" w:hAnsi="Arial" w:cs="Arial"/>
                <w:color w:val="000000"/>
                <w:sz w:val="24"/>
                <w:szCs w:val="24"/>
              </w:rPr>
              <w:t xml:space="preserve"> 28,483,507 </w:t>
            </w:r>
          </w:p>
        </w:tc>
        <w:tc>
          <w:tcPr>
            <w:tcW w:w="1354" w:type="dxa"/>
            <w:tcBorders>
              <w:top w:val="nil"/>
              <w:left w:val="nil"/>
              <w:bottom w:val="nil"/>
              <w:right w:val="nil"/>
            </w:tcBorders>
            <w:shd w:val="clear" w:color="auto" w:fill="auto"/>
            <w:noWrap/>
            <w:vAlign w:val="bottom"/>
            <w:hideMark/>
          </w:tcPr>
          <w:p w14:paraId="5B722486" w14:textId="77777777" w:rsidR="00CD523B" w:rsidRPr="00726FA5" w:rsidRDefault="00CD523B" w:rsidP="00CF44D7">
            <w:pPr>
              <w:jc w:val="right"/>
              <w:rPr>
                <w:rFonts w:ascii="Arial" w:eastAsia="Times New Roman" w:hAnsi="Arial" w:cs="Arial"/>
                <w:color w:val="000000"/>
                <w:sz w:val="24"/>
                <w:szCs w:val="24"/>
              </w:rPr>
            </w:pPr>
            <w:r w:rsidRPr="00726FA5">
              <w:rPr>
                <w:rFonts w:ascii="Arial" w:eastAsia="Times New Roman" w:hAnsi="Arial" w:cs="Arial"/>
                <w:color w:val="000000"/>
                <w:sz w:val="24"/>
                <w:szCs w:val="24"/>
              </w:rPr>
              <w:t xml:space="preserve"> 56,322,751 </w:t>
            </w:r>
          </w:p>
        </w:tc>
      </w:tr>
      <w:tr w:rsidR="00CD523B" w:rsidRPr="00726FA5" w14:paraId="58799235" w14:textId="77777777" w:rsidTr="00CF44D7">
        <w:trPr>
          <w:trHeight w:val="260"/>
        </w:trPr>
        <w:tc>
          <w:tcPr>
            <w:tcW w:w="381" w:type="dxa"/>
            <w:tcBorders>
              <w:top w:val="single" w:sz="4" w:space="0" w:color="auto"/>
              <w:left w:val="nil"/>
              <w:bottom w:val="nil"/>
              <w:right w:val="nil"/>
            </w:tcBorders>
            <w:shd w:val="clear" w:color="auto" w:fill="E5DFEC" w:themeFill="accent4" w:themeFillTint="33"/>
          </w:tcPr>
          <w:p w14:paraId="4AEA6875" w14:textId="77777777" w:rsidR="00CD523B" w:rsidRPr="00726FA5" w:rsidRDefault="00CD523B" w:rsidP="00CF44D7">
            <w:pPr>
              <w:rPr>
                <w:rFonts w:ascii="Arial" w:eastAsia="Times New Roman" w:hAnsi="Arial" w:cs="Arial"/>
                <w:b/>
                <w:bCs/>
                <w:color w:val="000000"/>
                <w:sz w:val="24"/>
                <w:szCs w:val="24"/>
              </w:rPr>
            </w:pPr>
            <w:r w:rsidRPr="00726FA5">
              <w:rPr>
                <w:rFonts w:ascii="Arial" w:eastAsia="Times New Roman" w:hAnsi="Arial" w:cs="Arial"/>
                <w:b/>
                <w:bCs/>
                <w:color w:val="000000"/>
                <w:sz w:val="24"/>
                <w:szCs w:val="24"/>
              </w:rPr>
              <w:t>C</w:t>
            </w:r>
          </w:p>
        </w:tc>
        <w:tc>
          <w:tcPr>
            <w:tcW w:w="3879" w:type="dxa"/>
            <w:tcBorders>
              <w:top w:val="single" w:sz="4" w:space="0" w:color="auto"/>
              <w:left w:val="nil"/>
              <w:bottom w:val="nil"/>
              <w:right w:val="nil"/>
            </w:tcBorders>
            <w:shd w:val="clear" w:color="auto" w:fill="E5DFEC" w:themeFill="accent4" w:themeFillTint="33"/>
            <w:noWrap/>
            <w:vAlign w:val="bottom"/>
            <w:hideMark/>
          </w:tcPr>
          <w:p w14:paraId="1DB6246D" w14:textId="77777777" w:rsidR="00CD523B" w:rsidRPr="00726FA5" w:rsidRDefault="00CD523B" w:rsidP="00CF44D7">
            <w:pPr>
              <w:rPr>
                <w:rFonts w:ascii="Arial" w:eastAsia="Times New Roman" w:hAnsi="Arial" w:cs="Arial"/>
                <w:b/>
                <w:bCs/>
                <w:color w:val="000000"/>
                <w:sz w:val="24"/>
                <w:szCs w:val="24"/>
              </w:rPr>
            </w:pPr>
            <w:r w:rsidRPr="00726FA5">
              <w:rPr>
                <w:rFonts w:ascii="Arial" w:eastAsia="Times New Roman" w:hAnsi="Arial" w:cs="Arial"/>
                <w:b/>
                <w:bCs/>
                <w:color w:val="000000"/>
                <w:sz w:val="24"/>
                <w:szCs w:val="24"/>
              </w:rPr>
              <w:t>Actual to Forecast Difference in Distribution Plant Capital</w:t>
            </w:r>
          </w:p>
        </w:tc>
        <w:tc>
          <w:tcPr>
            <w:tcW w:w="1378" w:type="dxa"/>
            <w:tcBorders>
              <w:top w:val="single" w:sz="4" w:space="0" w:color="auto"/>
              <w:left w:val="nil"/>
              <w:bottom w:val="nil"/>
              <w:right w:val="nil"/>
            </w:tcBorders>
            <w:shd w:val="clear" w:color="auto" w:fill="E5DFEC" w:themeFill="accent4" w:themeFillTint="33"/>
            <w:noWrap/>
            <w:vAlign w:val="bottom"/>
            <w:hideMark/>
          </w:tcPr>
          <w:p w14:paraId="6FA02DDB" w14:textId="77777777" w:rsidR="00CD523B" w:rsidRPr="00726FA5" w:rsidRDefault="00CD523B" w:rsidP="00CF44D7">
            <w:pPr>
              <w:jc w:val="right"/>
              <w:rPr>
                <w:rFonts w:ascii="Arial" w:eastAsia="Times New Roman" w:hAnsi="Arial" w:cs="Arial"/>
                <w:b/>
                <w:bCs/>
                <w:color w:val="000000"/>
                <w:sz w:val="24"/>
                <w:szCs w:val="24"/>
              </w:rPr>
            </w:pPr>
            <w:r w:rsidRPr="00726FA5">
              <w:rPr>
                <w:rFonts w:ascii="Arial" w:eastAsia="Times New Roman" w:hAnsi="Arial" w:cs="Arial"/>
                <w:b/>
                <w:bCs/>
                <w:color w:val="000000"/>
                <w:sz w:val="24"/>
                <w:szCs w:val="24"/>
              </w:rPr>
              <w:t xml:space="preserve">     (7,508,398)</w:t>
            </w:r>
          </w:p>
        </w:tc>
        <w:tc>
          <w:tcPr>
            <w:tcW w:w="1378" w:type="dxa"/>
            <w:tcBorders>
              <w:top w:val="single" w:sz="4" w:space="0" w:color="auto"/>
              <w:left w:val="nil"/>
              <w:bottom w:val="nil"/>
              <w:right w:val="nil"/>
            </w:tcBorders>
            <w:shd w:val="clear" w:color="auto" w:fill="E5DFEC" w:themeFill="accent4" w:themeFillTint="33"/>
            <w:noWrap/>
            <w:vAlign w:val="bottom"/>
            <w:hideMark/>
          </w:tcPr>
          <w:p w14:paraId="6F0C169A" w14:textId="77777777" w:rsidR="00CD523B" w:rsidRPr="00726FA5" w:rsidRDefault="00CD523B" w:rsidP="00CF44D7">
            <w:pPr>
              <w:jc w:val="right"/>
              <w:rPr>
                <w:rFonts w:ascii="Arial" w:eastAsia="Times New Roman" w:hAnsi="Arial" w:cs="Arial"/>
                <w:b/>
                <w:bCs/>
                <w:color w:val="000000"/>
                <w:sz w:val="24"/>
                <w:szCs w:val="24"/>
              </w:rPr>
            </w:pPr>
            <w:r w:rsidRPr="00726FA5">
              <w:rPr>
                <w:rFonts w:ascii="Arial" w:eastAsia="Times New Roman" w:hAnsi="Arial" w:cs="Arial"/>
                <w:b/>
                <w:bCs/>
                <w:color w:val="000000"/>
                <w:sz w:val="24"/>
                <w:szCs w:val="24"/>
              </w:rPr>
              <w:t xml:space="preserve">  (3,423,292)</w:t>
            </w:r>
          </w:p>
        </w:tc>
        <w:tc>
          <w:tcPr>
            <w:tcW w:w="1354" w:type="dxa"/>
            <w:tcBorders>
              <w:top w:val="single" w:sz="4" w:space="0" w:color="auto"/>
              <w:left w:val="nil"/>
              <w:bottom w:val="nil"/>
              <w:right w:val="nil"/>
            </w:tcBorders>
            <w:shd w:val="clear" w:color="auto" w:fill="E5DFEC" w:themeFill="accent4" w:themeFillTint="33"/>
            <w:noWrap/>
            <w:vAlign w:val="bottom"/>
            <w:hideMark/>
          </w:tcPr>
          <w:p w14:paraId="3DCC0F73" w14:textId="77777777" w:rsidR="00CD523B" w:rsidRPr="00726FA5" w:rsidRDefault="00CD523B" w:rsidP="00CF44D7">
            <w:pPr>
              <w:jc w:val="right"/>
              <w:rPr>
                <w:rFonts w:ascii="Arial" w:eastAsia="Times New Roman" w:hAnsi="Arial" w:cs="Arial"/>
                <w:b/>
                <w:bCs/>
                <w:color w:val="000000"/>
                <w:sz w:val="24"/>
                <w:szCs w:val="24"/>
              </w:rPr>
            </w:pPr>
            <w:r w:rsidRPr="00726FA5">
              <w:rPr>
                <w:rFonts w:ascii="Arial" w:eastAsia="Times New Roman" w:hAnsi="Arial" w:cs="Arial"/>
                <w:b/>
                <w:bCs/>
                <w:color w:val="000000"/>
                <w:sz w:val="24"/>
                <w:szCs w:val="24"/>
              </w:rPr>
              <w:t xml:space="preserve">   3,384,537 </w:t>
            </w:r>
          </w:p>
        </w:tc>
      </w:tr>
      <w:tr w:rsidR="00CD523B" w:rsidRPr="00726FA5" w14:paraId="41E79A86" w14:textId="77777777" w:rsidTr="00CF44D7">
        <w:trPr>
          <w:trHeight w:val="250"/>
        </w:trPr>
        <w:tc>
          <w:tcPr>
            <w:tcW w:w="381" w:type="dxa"/>
            <w:tcBorders>
              <w:top w:val="nil"/>
              <w:left w:val="nil"/>
              <w:bottom w:val="nil"/>
              <w:right w:val="nil"/>
            </w:tcBorders>
          </w:tcPr>
          <w:p w14:paraId="4AEAD684" w14:textId="77777777" w:rsidR="00CD523B" w:rsidRPr="00726FA5" w:rsidRDefault="00CD523B" w:rsidP="00CF44D7">
            <w:pPr>
              <w:rPr>
                <w:rFonts w:ascii="Arial" w:eastAsia="Times New Roman" w:hAnsi="Arial" w:cs="Arial"/>
                <w:b/>
                <w:bCs/>
                <w:color w:val="000000"/>
                <w:sz w:val="24"/>
                <w:szCs w:val="24"/>
              </w:rPr>
            </w:pPr>
            <w:r w:rsidRPr="00726FA5">
              <w:rPr>
                <w:rFonts w:ascii="Arial" w:eastAsia="Times New Roman" w:hAnsi="Arial" w:cs="Arial"/>
                <w:b/>
                <w:bCs/>
                <w:color w:val="000000"/>
                <w:sz w:val="24"/>
                <w:szCs w:val="24"/>
              </w:rPr>
              <w:lastRenderedPageBreak/>
              <w:t>D</w:t>
            </w:r>
          </w:p>
        </w:tc>
        <w:tc>
          <w:tcPr>
            <w:tcW w:w="3879" w:type="dxa"/>
            <w:tcBorders>
              <w:top w:val="nil"/>
              <w:left w:val="nil"/>
              <w:bottom w:val="nil"/>
              <w:right w:val="nil"/>
            </w:tcBorders>
            <w:shd w:val="clear" w:color="auto" w:fill="auto"/>
            <w:noWrap/>
            <w:vAlign w:val="bottom"/>
            <w:hideMark/>
          </w:tcPr>
          <w:p w14:paraId="2E3468EF" w14:textId="77777777" w:rsidR="00CD523B" w:rsidRPr="00726FA5" w:rsidRDefault="00CD523B" w:rsidP="00CF44D7">
            <w:pPr>
              <w:rPr>
                <w:rFonts w:ascii="Arial" w:eastAsia="Times New Roman" w:hAnsi="Arial" w:cs="Arial"/>
                <w:color w:val="000000"/>
                <w:sz w:val="24"/>
                <w:szCs w:val="24"/>
              </w:rPr>
            </w:pPr>
            <w:r w:rsidRPr="00726FA5">
              <w:rPr>
                <w:rFonts w:ascii="Arial" w:eastAsia="Times New Roman" w:hAnsi="Arial" w:cs="Arial"/>
                <w:color w:val="000000"/>
                <w:sz w:val="24"/>
                <w:szCs w:val="24"/>
              </w:rPr>
              <w:t xml:space="preserve">Allocation % as per 2020 IRM </w:t>
            </w:r>
          </w:p>
          <w:p w14:paraId="2BAA70A4" w14:textId="77777777" w:rsidR="00CD523B" w:rsidRPr="00726FA5" w:rsidRDefault="00CD523B" w:rsidP="00CF44D7">
            <w:pPr>
              <w:rPr>
                <w:rFonts w:ascii="Arial" w:eastAsia="Times New Roman" w:hAnsi="Arial" w:cs="Arial"/>
                <w:color w:val="000000"/>
                <w:sz w:val="24"/>
                <w:szCs w:val="24"/>
              </w:rPr>
            </w:pPr>
            <w:r w:rsidRPr="00726FA5">
              <w:rPr>
                <w:rFonts w:ascii="Arial" w:eastAsia="Times New Roman" w:hAnsi="Arial" w:cs="Arial"/>
                <w:color w:val="000000"/>
                <w:sz w:val="24"/>
                <w:szCs w:val="24"/>
              </w:rPr>
              <w:t>(EB-2019-0018)</w:t>
            </w:r>
          </w:p>
        </w:tc>
        <w:tc>
          <w:tcPr>
            <w:tcW w:w="1378" w:type="dxa"/>
            <w:tcBorders>
              <w:top w:val="nil"/>
              <w:left w:val="nil"/>
              <w:bottom w:val="nil"/>
              <w:right w:val="nil"/>
            </w:tcBorders>
            <w:shd w:val="clear" w:color="auto" w:fill="auto"/>
            <w:noWrap/>
            <w:vAlign w:val="bottom"/>
            <w:hideMark/>
          </w:tcPr>
          <w:p w14:paraId="44B018EC" w14:textId="77777777" w:rsidR="00CD523B" w:rsidRPr="00726FA5" w:rsidRDefault="00CD523B" w:rsidP="00CF44D7">
            <w:pPr>
              <w:jc w:val="right"/>
              <w:rPr>
                <w:rFonts w:ascii="Arial" w:eastAsia="Times New Roman" w:hAnsi="Arial" w:cs="Arial"/>
                <w:color w:val="000000"/>
                <w:sz w:val="24"/>
                <w:szCs w:val="24"/>
              </w:rPr>
            </w:pPr>
            <w:r w:rsidRPr="00726FA5">
              <w:rPr>
                <w:rFonts w:ascii="Arial" w:eastAsia="Times New Roman" w:hAnsi="Arial" w:cs="Arial"/>
                <w:color w:val="000000"/>
                <w:sz w:val="24"/>
                <w:szCs w:val="24"/>
              </w:rPr>
              <w:t>3.38%</w:t>
            </w:r>
          </w:p>
        </w:tc>
        <w:tc>
          <w:tcPr>
            <w:tcW w:w="1378" w:type="dxa"/>
            <w:tcBorders>
              <w:top w:val="nil"/>
              <w:left w:val="nil"/>
              <w:bottom w:val="nil"/>
              <w:right w:val="nil"/>
            </w:tcBorders>
            <w:shd w:val="clear" w:color="auto" w:fill="auto"/>
            <w:noWrap/>
            <w:vAlign w:val="bottom"/>
            <w:hideMark/>
          </w:tcPr>
          <w:p w14:paraId="32B8EB4E" w14:textId="77777777" w:rsidR="00CD523B" w:rsidRPr="00726FA5" w:rsidRDefault="00CD523B" w:rsidP="00CF44D7">
            <w:pPr>
              <w:jc w:val="right"/>
              <w:rPr>
                <w:rFonts w:ascii="Arial" w:eastAsia="Times New Roman" w:hAnsi="Arial" w:cs="Arial"/>
                <w:color w:val="000000"/>
                <w:sz w:val="24"/>
                <w:szCs w:val="24"/>
              </w:rPr>
            </w:pPr>
            <w:r w:rsidRPr="00726FA5">
              <w:rPr>
                <w:rFonts w:ascii="Arial" w:eastAsia="Times New Roman" w:hAnsi="Arial" w:cs="Arial"/>
                <w:color w:val="000000"/>
                <w:sz w:val="24"/>
                <w:szCs w:val="24"/>
              </w:rPr>
              <w:t>-8.01%</w:t>
            </w:r>
          </w:p>
        </w:tc>
        <w:tc>
          <w:tcPr>
            <w:tcW w:w="1354" w:type="dxa"/>
            <w:tcBorders>
              <w:top w:val="nil"/>
              <w:left w:val="nil"/>
              <w:bottom w:val="nil"/>
              <w:right w:val="nil"/>
            </w:tcBorders>
            <w:shd w:val="clear" w:color="auto" w:fill="auto"/>
            <w:noWrap/>
            <w:vAlign w:val="bottom"/>
            <w:hideMark/>
          </w:tcPr>
          <w:p w14:paraId="7B27D371" w14:textId="77777777" w:rsidR="00CD523B" w:rsidRPr="00726FA5" w:rsidRDefault="00CD523B" w:rsidP="00CF44D7">
            <w:pPr>
              <w:jc w:val="right"/>
              <w:rPr>
                <w:rFonts w:ascii="Arial" w:eastAsia="Times New Roman" w:hAnsi="Arial" w:cs="Arial"/>
                <w:color w:val="000000"/>
                <w:sz w:val="24"/>
                <w:szCs w:val="24"/>
              </w:rPr>
            </w:pPr>
            <w:r w:rsidRPr="00726FA5">
              <w:rPr>
                <w:rFonts w:ascii="Arial" w:eastAsia="Times New Roman" w:hAnsi="Arial" w:cs="Arial"/>
                <w:color w:val="000000"/>
                <w:sz w:val="24"/>
                <w:szCs w:val="24"/>
              </w:rPr>
              <w:t>11.56%</w:t>
            </w:r>
          </w:p>
        </w:tc>
      </w:tr>
      <w:tr w:rsidR="00CD523B" w:rsidRPr="00726FA5" w14:paraId="7DC857B1" w14:textId="77777777" w:rsidTr="00CF44D7">
        <w:trPr>
          <w:trHeight w:val="260"/>
        </w:trPr>
        <w:tc>
          <w:tcPr>
            <w:tcW w:w="381" w:type="dxa"/>
            <w:tcBorders>
              <w:top w:val="single" w:sz="4" w:space="0" w:color="auto"/>
              <w:left w:val="nil"/>
              <w:bottom w:val="single" w:sz="4" w:space="0" w:color="auto"/>
              <w:right w:val="nil"/>
            </w:tcBorders>
            <w:shd w:val="clear" w:color="auto" w:fill="CCC0D9" w:themeFill="accent4" w:themeFillTint="66"/>
          </w:tcPr>
          <w:p w14:paraId="6D1FE5E9" w14:textId="77777777" w:rsidR="00CD523B" w:rsidRPr="00726FA5" w:rsidRDefault="00CD523B" w:rsidP="00CF44D7">
            <w:pPr>
              <w:rPr>
                <w:rFonts w:ascii="Arial" w:eastAsia="Times New Roman" w:hAnsi="Arial" w:cs="Arial"/>
                <w:b/>
                <w:bCs/>
                <w:color w:val="000000"/>
                <w:sz w:val="24"/>
                <w:szCs w:val="24"/>
              </w:rPr>
            </w:pPr>
            <w:r w:rsidRPr="00726FA5">
              <w:rPr>
                <w:rFonts w:ascii="Arial" w:eastAsia="Times New Roman" w:hAnsi="Arial" w:cs="Arial"/>
                <w:b/>
                <w:bCs/>
                <w:color w:val="000000"/>
                <w:sz w:val="24"/>
                <w:szCs w:val="24"/>
              </w:rPr>
              <w:t>E</w:t>
            </w:r>
          </w:p>
        </w:tc>
        <w:tc>
          <w:tcPr>
            <w:tcW w:w="3879" w:type="dxa"/>
            <w:tcBorders>
              <w:top w:val="single" w:sz="4" w:space="0" w:color="auto"/>
              <w:left w:val="nil"/>
              <w:bottom w:val="single" w:sz="4" w:space="0" w:color="auto"/>
              <w:right w:val="nil"/>
            </w:tcBorders>
            <w:shd w:val="clear" w:color="auto" w:fill="CCC0D9" w:themeFill="accent4" w:themeFillTint="66"/>
            <w:noWrap/>
            <w:vAlign w:val="bottom"/>
            <w:hideMark/>
          </w:tcPr>
          <w:p w14:paraId="7BC416AC" w14:textId="77777777" w:rsidR="00CD523B" w:rsidRPr="00726FA5" w:rsidRDefault="00CD523B" w:rsidP="00CF44D7">
            <w:pPr>
              <w:rPr>
                <w:rFonts w:ascii="Arial" w:eastAsia="Times New Roman" w:hAnsi="Arial" w:cs="Arial"/>
                <w:b/>
                <w:bCs/>
                <w:color w:val="000000"/>
                <w:sz w:val="24"/>
                <w:szCs w:val="24"/>
              </w:rPr>
            </w:pPr>
            <w:r w:rsidRPr="00726FA5">
              <w:rPr>
                <w:rFonts w:ascii="Arial" w:eastAsia="Times New Roman" w:hAnsi="Arial" w:cs="Arial"/>
                <w:b/>
                <w:bCs/>
                <w:color w:val="000000"/>
                <w:sz w:val="24"/>
                <w:szCs w:val="24"/>
              </w:rPr>
              <w:t>Actual to Forecast Difference in Capitalization Policy Impact</w:t>
            </w:r>
          </w:p>
        </w:tc>
        <w:tc>
          <w:tcPr>
            <w:tcW w:w="1378" w:type="dxa"/>
            <w:tcBorders>
              <w:top w:val="single" w:sz="4" w:space="0" w:color="auto"/>
              <w:left w:val="nil"/>
              <w:bottom w:val="single" w:sz="4" w:space="0" w:color="auto"/>
              <w:right w:val="nil"/>
            </w:tcBorders>
            <w:shd w:val="clear" w:color="auto" w:fill="CCC0D9" w:themeFill="accent4" w:themeFillTint="66"/>
            <w:noWrap/>
            <w:vAlign w:val="bottom"/>
            <w:hideMark/>
          </w:tcPr>
          <w:p w14:paraId="2CA6CE94" w14:textId="77777777" w:rsidR="00CD523B" w:rsidRPr="00726FA5" w:rsidRDefault="00CD523B" w:rsidP="00CF44D7">
            <w:pPr>
              <w:jc w:val="right"/>
              <w:rPr>
                <w:rFonts w:ascii="Arial" w:eastAsia="Times New Roman" w:hAnsi="Arial" w:cs="Arial"/>
                <w:b/>
                <w:bCs/>
                <w:color w:val="000000"/>
                <w:sz w:val="24"/>
                <w:szCs w:val="24"/>
              </w:rPr>
            </w:pPr>
            <w:r w:rsidRPr="00726FA5">
              <w:rPr>
                <w:rFonts w:ascii="Arial" w:eastAsia="Times New Roman" w:hAnsi="Arial" w:cs="Arial"/>
                <w:b/>
                <w:bCs/>
                <w:color w:val="000000"/>
                <w:sz w:val="24"/>
                <w:szCs w:val="24"/>
              </w:rPr>
              <w:t xml:space="preserve">        (254,076)</w:t>
            </w:r>
          </w:p>
        </w:tc>
        <w:tc>
          <w:tcPr>
            <w:tcW w:w="1378" w:type="dxa"/>
            <w:tcBorders>
              <w:top w:val="single" w:sz="4" w:space="0" w:color="auto"/>
              <w:left w:val="nil"/>
              <w:bottom w:val="single" w:sz="4" w:space="0" w:color="auto"/>
              <w:right w:val="nil"/>
            </w:tcBorders>
            <w:shd w:val="clear" w:color="auto" w:fill="CCC0D9" w:themeFill="accent4" w:themeFillTint="66"/>
            <w:noWrap/>
            <w:vAlign w:val="bottom"/>
            <w:hideMark/>
          </w:tcPr>
          <w:p w14:paraId="164FD49E" w14:textId="77777777" w:rsidR="00CD523B" w:rsidRPr="00726FA5" w:rsidRDefault="00CD523B" w:rsidP="00CF44D7">
            <w:pPr>
              <w:jc w:val="right"/>
              <w:rPr>
                <w:rFonts w:ascii="Arial" w:eastAsia="Times New Roman" w:hAnsi="Arial" w:cs="Arial"/>
                <w:b/>
                <w:bCs/>
                <w:color w:val="000000"/>
                <w:sz w:val="24"/>
                <w:szCs w:val="24"/>
              </w:rPr>
            </w:pPr>
            <w:r w:rsidRPr="00726FA5">
              <w:rPr>
                <w:rFonts w:ascii="Arial" w:eastAsia="Times New Roman" w:hAnsi="Arial" w:cs="Arial"/>
                <w:b/>
                <w:bCs/>
                <w:color w:val="000000"/>
                <w:sz w:val="24"/>
                <w:szCs w:val="24"/>
              </w:rPr>
              <w:t xml:space="preserve">      274,375 </w:t>
            </w:r>
          </w:p>
        </w:tc>
        <w:tc>
          <w:tcPr>
            <w:tcW w:w="1354" w:type="dxa"/>
            <w:tcBorders>
              <w:top w:val="single" w:sz="4" w:space="0" w:color="auto"/>
              <w:left w:val="nil"/>
              <w:bottom w:val="single" w:sz="4" w:space="0" w:color="auto"/>
              <w:right w:val="nil"/>
            </w:tcBorders>
            <w:shd w:val="clear" w:color="auto" w:fill="CCC0D9" w:themeFill="accent4" w:themeFillTint="66"/>
            <w:noWrap/>
            <w:vAlign w:val="bottom"/>
            <w:hideMark/>
          </w:tcPr>
          <w:p w14:paraId="0F9C6481" w14:textId="77777777" w:rsidR="00CD523B" w:rsidRPr="00726FA5" w:rsidRDefault="00CD523B" w:rsidP="00CF44D7">
            <w:pPr>
              <w:jc w:val="right"/>
              <w:rPr>
                <w:rFonts w:ascii="Arial" w:eastAsia="Times New Roman" w:hAnsi="Arial" w:cs="Arial"/>
                <w:b/>
                <w:bCs/>
                <w:color w:val="000000"/>
                <w:sz w:val="24"/>
                <w:szCs w:val="24"/>
              </w:rPr>
            </w:pPr>
            <w:r w:rsidRPr="00726FA5">
              <w:rPr>
                <w:rFonts w:ascii="Arial" w:eastAsia="Times New Roman" w:hAnsi="Arial" w:cs="Arial"/>
                <w:b/>
                <w:bCs/>
                <w:color w:val="000000"/>
                <w:sz w:val="24"/>
                <w:szCs w:val="24"/>
              </w:rPr>
              <w:t xml:space="preserve">      391,322 </w:t>
            </w:r>
          </w:p>
        </w:tc>
      </w:tr>
    </w:tbl>
    <w:p w14:paraId="481D7A32" w14:textId="77777777" w:rsidR="00A118D5" w:rsidRDefault="00A118D5" w:rsidP="00CD523B">
      <w:pPr>
        <w:rPr>
          <w:rFonts w:ascii="Arial" w:hAnsi="Arial" w:cs="Arial"/>
          <w:sz w:val="24"/>
          <w:szCs w:val="24"/>
        </w:rPr>
      </w:pPr>
    </w:p>
    <w:p w14:paraId="672CA2F6" w14:textId="32497BC1" w:rsidR="00CD523B" w:rsidRPr="00726FA5" w:rsidRDefault="00CD523B" w:rsidP="00CD523B">
      <w:pPr>
        <w:rPr>
          <w:rFonts w:ascii="Arial" w:hAnsi="Arial" w:cs="Arial"/>
          <w:sz w:val="24"/>
          <w:szCs w:val="24"/>
        </w:rPr>
      </w:pPr>
      <w:r w:rsidRPr="00726FA5">
        <w:rPr>
          <w:rFonts w:ascii="Arial" w:hAnsi="Arial" w:cs="Arial"/>
          <w:sz w:val="24"/>
          <w:szCs w:val="24"/>
        </w:rPr>
        <w:t>Alectra Utilities also noted that in order to assess the reasonability of the allocation methodology, it compared the change in distribution plant capital in the E</w:t>
      </w:r>
      <w:r>
        <w:rPr>
          <w:rFonts w:ascii="Arial" w:hAnsi="Arial" w:cs="Arial"/>
          <w:sz w:val="24"/>
          <w:szCs w:val="24"/>
        </w:rPr>
        <w:t xml:space="preserve">nersource </w:t>
      </w:r>
      <w:r w:rsidRPr="00726FA5">
        <w:rPr>
          <w:rFonts w:ascii="Arial" w:hAnsi="Arial" w:cs="Arial"/>
          <w:sz w:val="24"/>
          <w:szCs w:val="24"/>
        </w:rPr>
        <w:t>RZ and B</w:t>
      </w:r>
      <w:r>
        <w:rPr>
          <w:rFonts w:ascii="Arial" w:hAnsi="Arial" w:cs="Arial"/>
          <w:sz w:val="24"/>
          <w:szCs w:val="24"/>
        </w:rPr>
        <w:t xml:space="preserve">rampton </w:t>
      </w:r>
      <w:r w:rsidRPr="00726FA5">
        <w:rPr>
          <w:rFonts w:ascii="Arial" w:hAnsi="Arial" w:cs="Arial"/>
          <w:sz w:val="24"/>
          <w:szCs w:val="24"/>
        </w:rPr>
        <w:t xml:space="preserve">RZ from 2019 to 2020. However, OEB staff notes that Alectra Utilities’ chosen allocation methodology will necessarily result in the capitalization policy impact changing in accordance with the year-over-year change in distribution plant capital. </w:t>
      </w:r>
    </w:p>
    <w:p w14:paraId="367494BB" w14:textId="77777777" w:rsidR="00CD523B" w:rsidRPr="00726FA5" w:rsidRDefault="00CD523B" w:rsidP="00CD523B">
      <w:pPr>
        <w:pStyle w:val="ListParagraph"/>
        <w:numPr>
          <w:ilvl w:val="0"/>
          <w:numId w:val="34"/>
        </w:numPr>
        <w:contextualSpacing w:val="0"/>
        <w:rPr>
          <w:rFonts w:ascii="Arial" w:hAnsi="Arial" w:cs="Arial"/>
          <w:sz w:val="24"/>
          <w:szCs w:val="24"/>
        </w:rPr>
      </w:pPr>
      <w:r w:rsidRPr="00726FA5">
        <w:rPr>
          <w:rFonts w:ascii="Arial" w:hAnsi="Arial" w:cs="Arial"/>
          <w:sz w:val="24"/>
          <w:szCs w:val="24"/>
        </w:rPr>
        <w:t>Please explain the key drivers for the actual to forecast differences in 2020 distribution plant capital for E</w:t>
      </w:r>
      <w:r>
        <w:rPr>
          <w:rFonts w:ascii="Arial" w:hAnsi="Arial" w:cs="Arial"/>
          <w:sz w:val="24"/>
          <w:szCs w:val="24"/>
        </w:rPr>
        <w:t xml:space="preserve">nersource </w:t>
      </w:r>
      <w:r w:rsidRPr="00726FA5">
        <w:rPr>
          <w:rFonts w:ascii="Arial" w:hAnsi="Arial" w:cs="Arial"/>
          <w:sz w:val="24"/>
          <w:szCs w:val="24"/>
        </w:rPr>
        <w:t>RZ, B</w:t>
      </w:r>
      <w:r>
        <w:rPr>
          <w:rFonts w:ascii="Arial" w:hAnsi="Arial" w:cs="Arial"/>
          <w:sz w:val="24"/>
          <w:szCs w:val="24"/>
        </w:rPr>
        <w:t xml:space="preserve">rampton </w:t>
      </w:r>
      <w:r w:rsidRPr="00726FA5">
        <w:rPr>
          <w:rFonts w:ascii="Arial" w:hAnsi="Arial" w:cs="Arial"/>
          <w:sz w:val="24"/>
          <w:szCs w:val="24"/>
        </w:rPr>
        <w:t>RZ, and H</w:t>
      </w:r>
      <w:r>
        <w:rPr>
          <w:rFonts w:ascii="Arial" w:hAnsi="Arial" w:cs="Arial"/>
          <w:sz w:val="24"/>
          <w:szCs w:val="24"/>
        </w:rPr>
        <w:t xml:space="preserve">orizon </w:t>
      </w:r>
      <w:r w:rsidRPr="00726FA5">
        <w:rPr>
          <w:rFonts w:ascii="Arial" w:hAnsi="Arial" w:cs="Arial"/>
          <w:sz w:val="24"/>
          <w:szCs w:val="24"/>
        </w:rPr>
        <w:t>RZ (row C above).</w:t>
      </w:r>
    </w:p>
    <w:p w14:paraId="317A89D9" w14:textId="77777777" w:rsidR="00CD523B" w:rsidRPr="00726FA5" w:rsidRDefault="00CD523B" w:rsidP="00CD523B">
      <w:pPr>
        <w:pStyle w:val="ListParagraph"/>
        <w:numPr>
          <w:ilvl w:val="0"/>
          <w:numId w:val="34"/>
        </w:numPr>
        <w:contextualSpacing w:val="0"/>
        <w:rPr>
          <w:rFonts w:ascii="Arial" w:hAnsi="Arial" w:cs="Arial"/>
          <w:sz w:val="24"/>
          <w:szCs w:val="24"/>
        </w:rPr>
      </w:pPr>
      <w:r w:rsidRPr="00726FA5">
        <w:rPr>
          <w:rFonts w:ascii="Arial" w:hAnsi="Arial" w:cs="Arial"/>
          <w:sz w:val="24"/>
          <w:szCs w:val="24"/>
        </w:rPr>
        <w:t>Given that Alectra Utilities’ chosen allocation methodology will necessarily result in the capitalization policy impacts changing in accordance with the year-over-year change in distribution plant capital, please explain how year-over-year changes to distribution plant capital expenditures demonstrate reasonability of the allocation methodology.</w:t>
      </w:r>
    </w:p>
    <w:p w14:paraId="45072159" w14:textId="77777777" w:rsidR="00CD523B" w:rsidRPr="00726FA5" w:rsidRDefault="00CD523B" w:rsidP="00CD523B">
      <w:pPr>
        <w:pStyle w:val="ListParagraph"/>
        <w:numPr>
          <w:ilvl w:val="0"/>
          <w:numId w:val="34"/>
        </w:numPr>
        <w:rPr>
          <w:rFonts w:ascii="Arial" w:hAnsi="Arial" w:cs="Arial"/>
          <w:sz w:val="24"/>
          <w:szCs w:val="24"/>
        </w:rPr>
      </w:pPr>
      <w:r w:rsidRPr="00726FA5">
        <w:rPr>
          <w:rFonts w:ascii="Arial" w:hAnsi="Arial" w:cs="Arial"/>
          <w:sz w:val="24"/>
          <w:szCs w:val="24"/>
        </w:rPr>
        <w:t>Has Alectra Utilities considered other means to assess reasonability of the annual capitalization policy impacts recorded in the deferral accounts (for example, analyzing year-over-year changes to other variables that are not used to calculate the allocations)?</w:t>
      </w:r>
    </w:p>
    <w:p w14:paraId="0D3D59A5" w14:textId="77777777" w:rsidR="00C7729F" w:rsidRPr="0075470A" w:rsidRDefault="00C7729F" w:rsidP="00C7729F">
      <w:pPr>
        <w:rPr>
          <w:rFonts w:ascii="Arial" w:hAnsi="Arial" w:cs="Arial"/>
          <w:b/>
          <w:bCs/>
          <w:sz w:val="24"/>
          <w:szCs w:val="24"/>
        </w:rPr>
      </w:pPr>
    </w:p>
    <w:p w14:paraId="4DFE9CD7" w14:textId="77777777" w:rsidR="00C7729F" w:rsidRDefault="00C7729F" w:rsidP="00C7729F">
      <w:pPr>
        <w:rPr>
          <w:rFonts w:ascii="Arial" w:hAnsi="Arial" w:cs="Arial"/>
          <w:b/>
          <w:bCs/>
          <w:sz w:val="24"/>
          <w:szCs w:val="24"/>
        </w:rPr>
      </w:pPr>
    </w:p>
    <w:p w14:paraId="789511B8" w14:textId="77777777" w:rsidR="00C7729F" w:rsidRDefault="00C7729F" w:rsidP="00F72718">
      <w:pPr>
        <w:rPr>
          <w:rFonts w:ascii="Arial" w:hAnsi="Arial" w:cs="Arial"/>
          <w:bCs/>
          <w:sz w:val="24"/>
          <w:szCs w:val="24"/>
        </w:rPr>
      </w:pPr>
    </w:p>
    <w:p w14:paraId="53D339DB" w14:textId="77777777" w:rsidR="00C7729F" w:rsidRPr="00F72718" w:rsidRDefault="00C7729F" w:rsidP="00F72718">
      <w:pPr>
        <w:rPr>
          <w:rFonts w:ascii="Arial" w:hAnsi="Arial" w:cs="Arial"/>
          <w:bCs/>
          <w:sz w:val="24"/>
          <w:szCs w:val="24"/>
        </w:rPr>
      </w:pPr>
    </w:p>
    <w:p w14:paraId="43AE605B" w14:textId="77777777" w:rsidR="00D57E8C" w:rsidRPr="002D056D" w:rsidRDefault="00D57E8C" w:rsidP="008E6045">
      <w:pPr>
        <w:rPr>
          <w:rFonts w:ascii="Arial" w:hAnsi="Arial" w:cs="Arial"/>
          <w:b/>
          <w:sz w:val="24"/>
          <w:szCs w:val="24"/>
        </w:rPr>
      </w:pPr>
    </w:p>
    <w:sectPr w:rsidR="00D57E8C" w:rsidRPr="002D056D" w:rsidSect="00EA0919">
      <w:headerReference w:type="default" r:id="rId22"/>
      <w:footerReference w:type="default" r:id="rId23"/>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DEA2F" w14:textId="77777777" w:rsidR="00821291" w:rsidRDefault="00821291" w:rsidP="00821291">
      <w:pPr>
        <w:spacing w:after="0" w:line="240" w:lineRule="auto"/>
      </w:pPr>
      <w:r>
        <w:separator/>
      </w:r>
    </w:p>
  </w:endnote>
  <w:endnote w:type="continuationSeparator" w:id="0">
    <w:p w14:paraId="28FD053B" w14:textId="77777777" w:rsidR="00821291" w:rsidRDefault="00821291" w:rsidP="00821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99C66" w14:textId="77777777" w:rsidR="00F72718" w:rsidRDefault="00F727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7E427" w14:textId="77777777" w:rsidR="00821291" w:rsidRDefault="00821291" w:rsidP="00821291">
      <w:pPr>
        <w:spacing w:after="0" w:line="240" w:lineRule="auto"/>
      </w:pPr>
      <w:r>
        <w:separator/>
      </w:r>
    </w:p>
  </w:footnote>
  <w:footnote w:type="continuationSeparator" w:id="0">
    <w:p w14:paraId="632C6590" w14:textId="77777777" w:rsidR="00821291" w:rsidRDefault="00821291" w:rsidP="00821291">
      <w:pPr>
        <w:spacing w:after="0" w:line="240" w:lineRule="auto"/>
      </w:pPr>
      <w:r>
        <w:continuationSeparator/>
      </w:r>
    </w:p>
  </w:footnote>
  <w:footnote w:id="1">
    <w:p w14:paraId="0A16621A" w14:textId="296B7007" w:rsidR="00821291" w:rsidRPr="00821291" w:rsidRDefault="00821291">
      <w:pPr>
        <w:pStyle w:val="FootnoteText"/>
        <w:rPr>
          <w:rFonts w:ascii="Arial" w:hAnsi="Arial" w:cs="Arial"/>
          <w:lang w:val="en-US"/>
        </w:rPr>
      </w:pPr>
      <w:r w:rsidRPr="00821291">
        <w:rPr>
          <w:rStyle w:val="FootnoteReference"/>
          <w:rFonts w:ascii="Arial" w:hAnsi="Arial" w:cs="Arial"/>
        </w:rPr>
        <w:footnoteRef/>
      </w:r>
      <w:r w:rsidRPr="00821291">
        <w:rPr>
          <w:rFonts w:ascii="Arial" w:hAnsi="Arial" w:cs="Arial"/>
        </w:rPr>
        <w:t xml:space="preserve"> </w:t>
      </w:r>
      <w:r w:rsidRPr="00821291">
        <w:rPr>
          <w:rFonts w:ascii="Arial" w:hAnsi="Arial" w:cs="Arial"/>
          <w:lang w:val="en-US"/>
        </w:rPr>
        <w:t>Decision and Rate Order, issued December 14, 2017, EB-2017-0044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D01BA" w14:textId="7D7D1991" w:rsidR="00357E1D" w:rsidRPr="00321B2F" w:rsidRDefault="00357E1D">
    <w:pPr>
      <w:pStyle w:val="Header"/>
      <w:rPr>
        <w:rFonts w:ascii="Arial" w:hAnsi="Arial" w:cs="Arial"/>
        <w:bCs/>
        <w:sz w:val="20"/>
        <w:szCs w:val="20"/>
      </w:rPr>
    </w:pPr>
    <w:r w:rsidRPr="00321B2F">
      <w:rPr>
        <w:sz w:val="20"/>
        <w:szCs w:val="20"/>
      </w:rPr>
      <w:ptab w:relativeTo="margin" w:alignment="center" w:leader="none"/>
    </w:r>
    <w:r w:rsidRPr="00321B2F">
      <w:rPr>
        <w:sz w:val="20"/>
        <w:szCs w:val="20"/>
      </w:rPr>
      <w:ptab w:relativeTo="margin" w:alignment="right" w:leader="none"/>
    </w:r>
    <w:r w:rsidRPr="00321B2F">
      <w:rPr>
        <w:rFonts w:ascii="Arial" w:hAnsi="Arial" w:cs="Arial"/>
        <w:bCs/>
        <w:sz w:val="20"/>
        <w:szCs w:val="20"/>
      </w:rPr>
      <w:t xml:space="preserve">Alectra Utilities Corporation </w:t>
    </w:r>
  </w:p>
  <w:p w14:paraId="1F119E54" w14:textId="77777777" w:rsidR="00357E1D" w:rsidRPr="00321B2F" w:rsidRDefault="00357E1D">
    <w:pPr>
      <w:pStyle w:val="Header"/>
      <w:rPr>
        <w:rFonts w:ascii="Arial" w:hAnsi="Arial" w:cs="Arial"/>
        <w:sz w:val="20"/>
        <w:szCs w:val="20"/>
      </w:rPr>
    </w:pPr>
    <w:r w:rsidRPr="00321B2F">
      <w:rPr>
        <w:rFonts w:ascii="Arial" w:hAnsi="Arial" w:cs="Arial"/>
        <w:bCs/>
        <w:sz w:val="20"/>
        <w:szCs w:val="20"/>
      </w:rPr>
      <w:tab/>
    </w:r>
    <w:r w:rsidRPr="00321B2F">
      <w:rPr>
        <w:rFonts w:ascii="Arial" w:hAnsi="Arial" w:cs="Arial"/>
        <w:bCs/>
        <w:sz w:val="20"/>
        <w:szCs w:val="20"/>
      </w:rPr>
      <w:tab/>
    </w:r>
    <w:r w:rsidRPr="00321B2F">
      <w:rPr>
        <w:rFonts w:ascii="Arial" w:hAnsi="Arial" w:cs="Arial"/>
        <w:sz w:val="20"/>
        <w:szCs w:val="20"/>
      </w:rPr>
      <w:t>OEB Staff Questions</w:t>
    </w:r>
  </w:p>
  <w:p w14:paraId="69E412FC" w14:textId="77777777" w:rsidR="00321B2F" w:rsidRDefault="00357E1D">
    <w:pPr>
      <w:pStyle w:val="Header"/>
      <w:rPr>
        <w:rFonts w:ascii="Arial" w:hAnsi="Arial" w:cs="Arial"/>
        <w:sz w:val="20"/>
        <w:szCs w:val="20"/>
      </w:rPr>
    </w:pPr>
    <w:r w:rsidRPr="00321B2F">
      <w:rPr>
        <w:rFonts w:ascii="Arial" w:hAnsi="Arial" w:cs="Arial"/>
        <w:sz w:val="20"/>
        <w:szCs w:val="20"/>
      </w:rPr>
      <w:tab/>
    </w:r>
    <w:r w:rsidRPr="00321B2F">
      <w:rPr>
        <w:rFonts w:ascii="Arial" w:hAnsi="Arial" w:cs="Arial"/>
        <w:sz w:val="20"/>
        <w:szCs w:val="20"/>
      </w:rPr>
      <w:tab/>
    </w:r>
    <w:r w:rsidR="00321B2F">
      <w:rPr>
        <w:rFonts w:ascii="Arial" w:hAnsi="Arial" w:cs="Arial"/>
        <w:sz w:val="20"/>
        <w:szCs w:val="20"/>
      </w:rPr>
      <w:t xml:space="preserve"> </w:t>
    </w:r>
    <w:r w:rsidRPr="00321B2F">
      <w:rPr>
        <w:rFonts w:ascii="Arial" w:hAnsi="Arial" w:cs="Arial"/>
        <w:sz w:val="20"/>
        <w:szCs w:val="20"/>
      </w:rPr>
      <w:t>EB-2021-0005</w:t>
    </w:r>
  </w:p>
  <w:p w14:paraId="326AF072" w14:textId="44ACBA2B" w:rsidR="00357E1D" w:rsidRPr="00321B2F" w:rsidRDefault="00321B2F">
    <w:pPr>
      <w:pStyle w:val="Header"/>
      <w:rPr>
        <w:sz w:val="20"/>
        <w:szCs w:val="20"/>
      </w:rPr>
    </w:pPr>
    <w:r>
      <w:rPr>
        <w:rFonts w:ascii="Arial" w:hAnsi="Arial" w:cs="Arial"/>
        <w:sz w:val="20"/>
        <w:szCs w:val="20"/>
      </w:rPr>
      <w:tab/>
    </w:r>
    <w:r>
      <w:rPr>
        <w:rFonts w:ascii="Arial" w:hAnsi="Arial" w:cs="Arial"/>
        <w:sz w:val="20"/>
        <w:szCs w:val="20"/>
      </w:rPr>
      <w:tab/>
      <w:t xml:space="preserve">Page </w:t>
    </w: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noProof/>
        <w:sz w:val="20"/>
        <w:szCs w:val="20"/>
      </w:rPr>
      <w:t>1</w:t>
    </w:r>
    <w:r>
      <w:rPr>
        <w:rFonts w:ascii="Arial" w:hAnsi="Arial" w:cs="Arial"/>
        <w:sz w:val="20"/>
        <w:szCs w:val="20"/>
      </w:rPr>
      <w:fldChar w:fldCharType="end"/>
    </w:r>
    <w:r>
      <w:rPr>
        <w:rFonts w:ascii="Arial" w:hAnsi="Arial" w:cs="Arial"/>
        <w:sz w:val="20"/>
        <w:szCs w:val="20"/>
      </w:rPr>
      <w:t xml:space="preserve"> </w:t>
    </w:r>
    <w:r w:rsidR="00357E1D" w:rsidRPr="00321B2F">
      <w:rPr>
        <w:rFonts w:ascii="Arial" w:hAnsi="Arial" w:cs="Arial"/>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03E4BD1"/>
    <w:multiLevelType w:val="hybridMultilevel"/>
    <w:tmpl w:val="F21CC9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1E7822E4"/>
    <w:multiLevelType w:val="hybridMultilevel"/>
    <w:tmpl w:val="69881AD6"/>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7F102F"/>
    <w:multiLevelType w:val="hybridMultilevel"/>
    <w:tmpl w:val="69881AD6"/>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2190A80"/>
    <w:multiLevelType w:val="hybridMultilevel"/>
    <w:tmpl w:val="69881AD6"/>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542675B0"/>
    <w:multiLevelType w:val="hybridMultilevel"/>
    <w:tmpl w:val="5380CD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5F38252F"/>
    <w:multiLevelType w:val="hybridMultilevel"/>
    <w:tmpl w:val="F21CC9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5"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C2A63A7"/>
    <w:multiLevelType w:val="hybridMultilevel"/>
    <w:tmpl w:val="D4A694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8"/>
  </w:num>
  <w:num w:numId="3">
    <w:abstractNumId w:val="25"/>
  </w:num>
  <w:num w:numId="4">
    <w:abstractNumId w:val="33"/>
  </w:num>
  <w:num w:numId="5">
    <w:abstractNumId w:val="13"/>
  </w:num>
  <w:num w:numId="6">
    <w:abstractNumId w:val="10"/>
  </w:num>
  <w:num w:numId="7">
    <w:abstractNumId w:val="20"/>
  </w:num>
  <w:num w:numId="8">
    <w:abstractNumId w:val="15"/>
  </w:num>
  <w:num w:numId="9">
    <w:abstractNumId w:val="16"/>
  </w:num>
  <w:num w:numId="10">
    <w:abstractNumId w:val="5"/>
  </w:num>
  <w:num w:numId="11">
    <w:abstractNumId w:val="19"/>
  </w:num>
  <w:num w:numId="12">
    <w:abstractNumId w:val="27"/>
  </w:num>
  <w:num w:numId="13">
    <w:abstractNumId w:val="4"/>
  </w:num>
  <w:num w:numId="14">
    <w:abstractNumId w:val="1"/>
  </w:num>
  <w:num w:numId="15">
    <w:abstractNumId w:val="32"/>
  </w:num>
  <w:num w:numId="16">
    <w:abstractNumId w:val="9"/>
  </w:num>
  <w:num w:numId="17">
    <w:abstractNumId w:val="23"/>
  </w:num>
  <w:num w:numId="18">
    <w:abstractNumId w:val="30"/>
  </w:num>
  <w:num w:numId="19">
    <w:abstractNumId w:val="31"/>
  </w:num>
  <w:num w:numId="20">
    <w:abstractNumId w:val="12"/>
  </w:num>
  <w:num w:numId="21">
    <w:abstractNumId w:val="28"/>
  </w:num>
  <w:num w:numId="22">
    <w:abstractNumId w:val="11"/>
  </w:num>
  <w:num w:numId="23">
    <w:abstractNumId w:val="26"/>
  </w:num>
  <w:num w:numId="24">
    <w:abstractNumId w:val="24"/>
  </w:num>
  <w:num w:numId="25">
    <w:abstractNumId w:val="2"/>
  </w:num>
  <w:num w:numId="26">
    <w:abstractNumId w:val="17"/>
  </w:num>
  <w:num w:numId="27">
    <w:abstractNumId w:val="21"/>
  </w:num>
  <w:num w:numId="28">
    <w:abstractNumId w:val="22"/>
  </w:num>
  <w:num w:numId="29">
    <w:abstractNumId w:val="3"/>
  </w:num>
  <w:num w:numId="30">
    <w:abstractNumId w:val="29"/>
  </w:num>
  <w:num w:numId="31">
    <w:abstractNumId w:val="7"/>
  </w:num>
  <w:num w:numId="32">
    <w:abstractNumId w:val="6"/>
  </w:num>
  <w:num w:numId="33">
    <w:abstractNumId w:val="14"/>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3073C"/>
    <w:rsid w:val="00035337"/>
    <w:rsid w:val="00054071"/>
    <w:rsid w:val="0006126D"/>
    <w:rsid w:val="00067F57"/>
    <w:rsid w:val="00071BEC"/>
    <w:rsid w:val="00074514"/>
    <w:rsid w:val="000832D4"/>
    <w:rsid w:val="00090160"/>
    <w:rsid w:val="000920C4"/>
    <w:rsid w:val="000A4038"/>
    <w:rsid w:val="000B3E7E"/>
    <w:rsid w:val="000D223C"/>
    <w:rsid w:val="000D79BC"/>
    <w:rsid w:val="000E4006"/>
    <w:rsid w:val="000F1E3A"/>
    <w:rsid w:val="00133BE1"/>
    <w:rsid w:val="00164E99"/>
    <w:rsid w:val="001822BD"/>
    <w:rsid w:val="00183CC8"/>
    <w:rsid w:val="00187E9B"/>
    <w:rsid w:val="001916B2"/>
    <w:rsid w:val="001927C2"/>
    <w:rsid w:val="001A4DCD"/>
    <w:rsid w:val="00203092"/>
    <w:rsid w:val="002208C0"/>
    <w:rsid w:val="00224C06"/>
    <w:rsid w:val="00234B94"/>
    <w:rsid w:val="00235649"/>
    <w:rsid w:val="0025687C"/>
    <w:rsid w:val="00274A48"/>
    <w:rsid w:val="0028414A"/>
    <w:rsid w:val="00291CCC"/>
    <w:rsid w:val="002A6415"/>
    <w:rsid w:val="002B7B7C"/>
    <w:rsid w:val="002C2BF2"/>
    <w:rsid w:val="002C7EF6"/>
    <w:rsid w:val="002D4924"/>
    <w:rsid w:val="002F4756"/>
    <w:rsid w:val="00301705"/>
    <w:rsid w:val="00302509"/>
    <w:rsid w:val="003027EC"/>
    <w:rsid w:val="003049C5"/>
    <w:rsid w:val="00321B2F"/>
    <w:rsid w:val="003303BF"/>
    <w:rsid w:val="00340C00"/>
    <w:rsid w:val="00357E1D"/>
    <w:rsid w:val="003603AB"/>
    <w:rsid w:val="003702D1"/>
    <w:rsid w:val="00371DB8"/>
    <w:rsid w:val="00373FAD"/>
    <w:rsid w:val="003777B5"/>
    <w:rsid w:val="003832E7"/>
    <w:rsid w:val="003A20A0"/>
    <w:rsid w:val="003A58B0"/>
    <w:rsid w:val="003B429A"/>
    <w:rsid w:val="00400DFC"/>
    <w:rsid w:val="00412DC6"/>
    <w:rsid w:val="00425009"/>
    <w:rsid w:val="004377B0"/>
    <w:rsid w:val="00460161"/>
    <w:rsid w:val="0046506A"/>
    <w:rsid w:val="00472C81"/>
    <w:rsid w:val="00475032"/>
    <w:rsid w:val="00484452"/>
    <w:rsid w:val="004859EF"/>
    <w:rsid w:val="00511EC2"/>
    <w:rsid w:val="005164F5"/>
    <w:rsid w:val="0052560F"/>
    <w:rsid w:val="00527593"/>
    <w:rsid w:val="005452FD"/>
    <w:rsid w:val="0056349F"/>
    <w:rsid w:val="005666F2"/>
    <w:rsid w:val="00572064"/>
    <w:rsid w:val="00584369"/>
    <w:rsid w:val="00587A35"/>
    <w:rsid w:val="005F4693"/>
    <w:rsid w:val="00604539"/>
    <w:rsid w:val="00623602"/>
    <w:rsid w:val="0064279A"/>
    <w:rsid w:val="0064602E"/>
    <w:rsid w:val="00651C98"/>
    <w:rsid w:val="0065665E"/>
    <w:rsid w:val="006A5D23"/>
    <w:rsid w:val="006C0FD9"/>
    <w:rsid w:val="006E3D58"/>
    <w:rsid w:val="00704EE5"/>
    <w:rsid w:val="007066E2"/>
    <w:rsid w:val="0072241F"/>
    <w:rsid w:val="00722640"/>
    <w:rsid w:val="0073197E"/>
    <w:rsid w:val="00746080"/>
    <w:rsid w:val="007508EC"/>
    <w:rsid w:val="00772B57"/>
    <w:rsid w:val="00781D04"/>
    <w:rsid w:val="007A2CF0"/>
    <w:rsid w:val="007C2D45"/>
    <w:rsid w:val="007F49EB"/>
    <w:rsid w:val="00805FDA"/>
    <w:rsid w:val="00812C1B"/>
    <w:rsid w:val="008173B1"/>
    <w:rsid w:val="00821291"/>
    <w:rsid w:val="00835AD0"/>
    <w:rsid w:val="00841787"/>
    <w:rsid w:val="008747B3"/>
    <w:rsid w:val="008813C3"/>
    <w:rsid w:val="00885B9A"/>
    <w:rsid w:val="008926F0"/>
    <w:rsid w:val="008964E8"/>
    <w:rsid w:val="008A48F6"/>
    <w:rsid w:val="008E6045"/>
    <w:rsid w:val="0090113B"/>
    <w:rsid w:val="0093258A"/>
    <w:rsid w:val="0094373C"/>
    <w:rsid w:val="00946DEE"/>
    <w:rsid w:val="00951E2B"/>
    <w:rsid w:val="00952939"/>
    <w:rsid w:val="00961EA0"/>
    <w:rsid w:val="009A5C44"/>
    <w:rsid w:val="009B03AF"/>
    <w:rsid w:val="009C0895"/>
    <w:rsid w:val="009C4216"/>
    <w:rsid w:val="009D5F4B"/>
    <w:rsid w:val="009E626E"/>
    <w:rsid w:val="009E7CBF"/>
    <w:rsid w:val="00A07077"/>
    <w:rsid w:val="00A118D5"/>
    <w:rsid w:val="00A50DD0"/>
    <w:rsid w:val="00A516B0"/>
    <w:rsid w:val="00A5620A"/>
    <w:rsid w:val="00A851CF"/>
    <w:rsid w:val="00AA06D9"/>
    <w:rsid w:val="00AC2406"/>
    <w:rsid w:val="00AD3FCF"/>
    <w:rsid w:val="00B03802"/>
    <w:rsid w:val="00B069AA"/>
    <w:rsid w:val="00B1293C"/>
    <w:rsid w:val="00B23A36"/>
    <w:rsid w:val="00B25576"/>
    <w:rsid w:val="00B25EF5"/>
    <w:rsid w:val="00B32608"/>
    <w:rsid w:val="00B50EB2"/>
    <w:rsid w:val="00B6722A"/>
    <w:rsid w:val="00B701A8"/>
    <w:rsid w:val="00B82D78"/>
    <w:rsid w:val="00B95041"/>
    <w:rsid w:val="00BA434C"/>
    <w:rsid w:val="00BB7277"/>
    <w:rsid w:val="00BD4F65"/>
    <w:rsid w:val="00BD7607"/>
    <w:rsid w:val="00C06F9E"/>
    <w:rsid w:val="00C13E6B"/>
    <w:rsid w:val="00C2370B"/>
    <w:rsid w:val="00C27193"/>
    <w:rsid w:val="00C45D34"/>
    <w:rsid w:val="00C624D5"/>
    <w:rsid w:val="00C7729F"/>
    <w:rsid w:val="00C848A0"/>
    <w:rsid w:val="00C859E5"/>
    <w:rsid w:val="00C878C5"/>
    <w:rsid w:val="00C96AEA"/>
    <w:rsid w:val="00CC0B6D"/>
    <w:rsid w:val="00CD01B4"/>
    <w:rsid w:val="00CD523B"/>
    <w:rsid w:val="00CE1CD3"/>
    <w:rsid w:val="00CE4F01"/>
    <w:rsid w:val="00D30F16"/>
    <w:rsid w:val="00D55546"/>
    <w:rsid w:val="00D57E8C"/>
    <w:rsid w:val="00D6213C"/>
    <w:rsid w:val="00D647C0"/>
    <w:rsid w:val="00D77694"/>
    <w:rsid w:val="00D77B0F"/>
    <w:rsid w:val="00DB6B52"/>
    <w:rsid w:val="00DE5488"/>
    <w:rsid w:val="00DE75AC"/>
    <w:rsid w:val="00DF5A52"/>
    <w:rsid w:val="00E17C58"/>
    <w:rsid w:val="00E231C2"/>
    <w:rsid w:val="00E3024A"/>
    <w:rsid w:val="00E429DA"/>
    <w:rsid w:val="00E55EF7"/>
    <w:rsid w:val="00E616AB"/>
    <w:rsid w:val="00E62C2A"/>
    <w:rsid w:val="00E8586E"/>
    <w:rsid w:val="00E86F26"/>
    <w:rsid w:val="00E96A06"/>
    <w:rsid w:val="00EA0919"/>
    <w:rsid w:val="00EB5240"/>
    <w:rsid w:val="00EC0B55"/>
    <w:rsid w:val="00EC530E"/>
    <w:rsid w:val="00EE3753"/>
    <w:rsid w:val="00F034BF"/>
    <w:rsid w:val="00F233A3"/>
    <w:rsid w:val="00F23D7A"/>
    <w:rsid w:val="00F26D30"/>
    <w:rsid w:val="00F57152"/>
    <w:rsid w:val="00F63646"/>
    <w:rsid w:val="00F72718"/>
    <w:rsid w:val="00F7362C"/>
    <w:rsid w:val="00F8277D"/>
    <w:rsid w:val="00F92F61"/>
    <w:rsid w:val="00FB6F10"/>
    <w:rsid w:val="00FC4CF8"/>
    <w:rsid w:val="00FC5C68"/>
    <w:rsid w:val="00FC5DA7"/>
    <w:rsid w:val="00FE05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212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1291"/>
    <w:rPr>
      <w:sz w:val="20"/>
      <w:szCs w:val="20"/>
    </w:rPr>
  </w:style>
  <w:style w:type="character" w:styleId="FootnoteReference">
    <w:name w:val="footnote reference"/>
    <w:basedOn w:val="DefaultParagraphFont"/>
    <w:uiPriority w:val="99"/>
    <w:semiHidden/>
    <w:unhideWhenUsed/>
    <w:rsid w:val="00821291"/>
    <w:rPr>
      <w:vertAlign w:val="superscript"/>
    </w:rPr>
  </w:style>
  <w:style w:type="paragraph" w:styleId="Header">
    <w:name w:val="header"/>
    <w:basedOn w:val="Normal"/>
    <w:link w:val="HeaderChar"/>
    <w:uiPriority w:val="99"/>
    <w:unhideWhenUsed/>
    <w:rsid w:val="00F72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2098</Words>
  <Characters>11965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14035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Katherine Wang</cp:lastModifiedBy>
  <cp:revision>3</cp:revision>
  <cp:lastPrinted>2014-09-29T14:43:00Z</cp:lastPrinted>
  <dcterms:created xsi:type="dcterms:W3CDTF">2021-10-05T13:55:00Z</dcterms:created>
  <dcterms:modified xsi:type="dcterms:W3CDTF">2021-10-05T14:54:00Z</dcterms:modified>
</cp:coreProperties>
</file>