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B79D" w14:textId="5095236B" w:rsidR="003832E7" w:rsidRPr="003832E7" w:rsidRDefault="00857529" w:rsidP="003832E7">
      <w:pPr>
        <w:pStyle w:val="Default"/>
        <w:jc w:val="right"/>
        <w:rPr>
          <w:rFonts w:ascii="Arial" w:hAnsi="Arial" w:cs="Arial"/>
          <w:sz w:val="22"/>
          <w:szCs w:val="22"/>
        </w:rPr>
      </w:pPr>
      <w:r>
        <w:rPr>
          <w:rFonts w:ascii="Arial" w:hAnsi="Arial" w:cs="Arial"/>
          <w:bCs/>
          <w:sz w:val="22"/>
          <w:szCs w:val="22"/>
        </w:rPr>
        <w:t>Hydro Hawkesbury Inc.</w:t>
      </w:r>
    </w:p>
    <w:p w14:paraId="5498C7DE" w14:textId="77777777"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04387495" w14:textId="3DFB321B" w:rsidR="00A07077" w:rsidRPr="00D57E8C" w:rsidRDefault="00623602" w:rsidP="00B069AA">
      <w:pPr>
        <w:pStyle w:val="Default"/>
        <w:jc w:val="right"/>
        <w:rPr>
          <w:rFonts w:ascii="Arial" w:hAnsi="Arial" w:cs="Arial"/>
          <w:sz w:val="22"/>
          <w:szCs w:val="22"/>
        </w:rPr>
      </w:pPr>
      <w:r>
        <w:rPr>
          <w:rFonts w:ascii="Arial" w:hAnsi="Arial" w:cs="Arial"/>
          <w:sz w:val="22"/>
          <w:szCs w:val="22"/>
        </w:rPr>
        <w:t>EB-202</w:t>
      </w:r>
      <w:r w:rsidR="00BD7607">
        <w:rPr>
          <w:rFonts w:ascii="Arial" w:hAnsi="Arial" w:cs="Arial"/>
          <w:sz w:val="22"/>
          <w:szCs w:val="22"/>
        </w:rPr>
        <w:t>1</w:t>
      </w:r>
      <w:r w:rsidR="009D5F4B" w:rsidRPr="00D57E8C">
        <w:rPr>
          <w:rFonts w:ascii="Arial" w:hAnsi="Arial" w:cs="Arial"/>
          <w:sz w:val="22"/>
          <w:szCs w:val="22"/>
        </w:rPr>
        <w:t>-</w:t>
      </w:r>
      <w:r w:rsidR="00857529">
        <w:rPr>
          <w:rFonts w:ascii="Arial" w:hAnsi="Arial" w:cs="Arial"/>
          <w:sz w:val="22"/>
          <w:szCs w:val="22"/>
        </w:rPr>
        <w:t>0031</w:t>
      </w:r>
    </w:p>
    <w:p w14:paraId="04DD1EF2" w14:textId="77777777" w:rsidR="00A07077" w:rsidRPr="00D57E8C" w:rsidRDefault="00A07077" w:rsidP="00A07077">
      <w:pPr>
        <w:pStyle w:val="Default"/>
        <w:rPr>
          <w:rFonts w:ascii="Arial" w:hAnsi="Arial" w:cs="Arial"/>
          <w:sz w:val="22"/>
          <w:szCs w:val="22"/>
        </w:rPr>
      </w:pPr>
    </w:p>
    <w:p w14:paraId="31F8E0D6" w14:textId="312D5B32" w:rsidR="00A07077" w:rsidRPr="00D57E8C" w:rsidRDefault="00857529" w:rsidP="00A07077">
      <w:pPr>
        <w:pStyle w:val="Default"/>
        <w:jc w:val="center"/>
        <w:rPr>
          <w:rFonts w:ascii="Arial" w:hAnsi="Arial" w:cs="Arial"/>
          <w:sz w:val="28"/>
          <w:szCs w:val="28"/>
        </w:rPr>
      </w:pPr>
      <w:r>
        <w:rPr>
          <w:rFonts w:ascii="Arial" w:hAnsi="Arial" w:cs="Arial"/>
          <w:b/>
          <w:bCs/>
          <w:sz w:val="28"/>
          <w:szCs w:val="28"/>
        </w:rPr>
        <w:t>Hydro Hawkesbury Inc.</w:t>
      </w:r>
    </w:p>
    <w:p w14:paraId="33D6510D" w14:textId="61BAAB25" w:rsidR="00A07077" w:rsidRDefault="00623602" w:rsidP="00A07077">
      <w:pPr>
        <w:pStyle w:val="Default"/>
        <w:jc w:val="center"/>
        <w:rPr>
          <w:rFonts w:ascii="Arial" w:hAnsi="Arial" w:cs="Arial"/>
          <w:b/>
          <w:bCs/>
          <w:sz w:val="28"/>
          <w:szCs w:val="28"/>
        </w:rPr>
      </w:pPr>
      <w:r>
        <w:rPr>
          <w:rFonts w:ascii="Arial" w:hAnsi="Arial" w:cs="Arial"/>
          <w:b/>
          <w:bCs/>
          <w:sz w:val="28"/>
          <w:szCs w:val="28"/>
        </w:rPr>
        <w:t>EB-202</w:t>
      </w:r>
      <w:r w:rsidR="00BD7607">
        <w:rPr>
          <w:rFonts w:ascii="Arial" w:hAnsi="Arial" w:cs="Arial"/>
          <w:b/>
          <w:bCs/>
          <w:sz w:val="28"/>
          <w:szCs w:val="28"/>
        </w:rPr>
        <w:t>1</w:t>
      </w:r>
      <w:r w:rsidR="00B069AA" w:rsidRPr="00D57E8C">
        <w:rPr>
          <w:rFonts w:ascii="Arial" w:hAnsi="Arial" w:cs="Arial"/>
          <w:b/>
          <w:bCs/>
          <w:sz w:val="28"/>
          <w:szCs w:val="28"/>
        </w:rPr>
        <w:t>-</w:t>
      </w:r>
      <w:r w:rsidR="00857529">
        <w:rPr>
          <w:rFonts w:ascii="Arial" w:hAnsi="Arial" w:cs="Arial"/>
          <w:b/>
          <w:bCs/>
          <w:sz w:val="28"/>
          <w:szCs w:val="28"/>
        </w:rPr>
        <w:t>0031</w:t>
      </w:r>
    </w:p>
    <w:p w14:paraId="5144A3F9" w14:textId="1B8192CB" w:rsidR="007304C0" w:rsidRDefault="007304C0" w:rsidP="00A07077">
      <w:pPr>
        <w:pStyle w:val="Default"/>
        <w:jc w:val="center"/>
        <w:rPr>
          <w:rFonts w:ascii="Arial" w:hAnsi="Arial" w:cs="Arial"/>
          <w:b/>
          <w:bCs/>
          <w:sz w:val="28"/>
          <w:szCs w:val="28"/>
        </w:rPr>
      </w:pPr>
      <w:r>
        <w:rPr>
          <w:rFonts w:ascii="Arial" w:hAnsi="Arial" w:cs="Arial"/>
          <w:b/>
          <w:bCs/>
          <w:sz w:val="28"/>
          <w:szCs w:val="28"/>
        </w:rPr>
        <w:t>November 9, 2021</w:t>
      </w:r>
    </w:p>
    <w:p w14:paraId="63C86BE8" w14:textId="77777777" w:rsidR="00511EC2" w:rsidRDefault="00511EC2" w:rsidP="00511EC2">
      <w:pPr>
        <w:spacing w:after="0" w:line="240" w:lineRule="auto"/>
        <w:rPr>
          <w:rFonts w:ascii="Arial" w:eastAsia="Calibri" w:hAnsi="Arial" w:cs="Arial"/>
          <w:lang w:val="en-US"/>
        </w:rPr>
      </w:pPr>
    </w:p>
    <w:p w14:paraId="2A0CB1B0" w14:textId="275BEF55"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857529">
        <w:rPr>
          <w:rFonts w:ascii="Arial" w:eastAsia="Calibri" w:hAnsi="Arial" w:cs="Arial"/>
          <w:sz w:val="24"/>
          <w:szCs w:val="24"/>
        </w:rPr>
        <w:t>Hydro Hawkesbury Inc.</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68103C5C" w14:textId="77777777" w:rsidR="00C859E5" w:rsidRDefault="00C859E5" w:rsidP="00302509">
      <w:pPr>
        <w:autoSpaceDE w:val="0"/>
        <w:autoSpaceDN w:val="0"/>
        <w:adjustRightInd w:val="0"/>
        <w:spacing w:after="0" w:line="240" w:lineRule="auto"/>
        <w:rPr>
          <w:rFonts w:ascii="Arial" w:hAnsi="Arial" w:cs="Arial"/>
          <w:b/>
          <w:bCs/>
          <w:color w:val="000000"/>
          <w:sz w:val="24"/>
          <w:szCs w:val="24"/>
        </w:rPr>
      </w:pPr>
    </w:p>
    <w:p w14:paraId="7CFAFC4F" w14:textId="51BA9E78" w:rsidR="00D57E8C" w:rsidRDefault="00D57E8C" w:rsidP="00857529">
      <w:pPr>
        <w:spacing w:after="0"/>
        <w:rPr>
          <w:rFonts w:ascii="Arial" w:hAnsi="Arial" w:cs="Arial"/>
          <w:b/>
          <w:sz w:val="24"/>
          <w:szCs w:val="24"/>
        </w:rPr>
      </w:pPr>
      <w:r>
        <w:rPr>
          <w:rFonts w:ascii="Arial" w:hAnsi="Arial" w:cs="Arial"/>
          <w:b/>
          <w:sz w:val="24"/>
          <w:szCs w:val="24"/>
        </w:rPr>
        <w:t xml:space="preserve">Staff </w:t>
      </w:r>
      <w:r w:rsidR="00857529">
        <w:rPr>
          <w:rFonts w:ascii="Arial" w:hAnsi="Arial" w:cs="Arial"/>
          <w:b/>
          <w:sz w:val="24"/>
          <w:szCs w:val="24"/>
        </w:rPr>
        <w:t xml:space="preserve">Follow up </w:t>
      </w:r>
      <w:r>
        <w:rPr>
          <w:rFonts w:ascii="Arial" w:hAnsi="Arial" w:cs="Arial"/>
          <w:b/>
          <w:sz w:val="24"/>
          <w:szCs w:val="24"/>
        </w:rPr>
        <w:t>Question-1</w:t>
      </w:r>
    </w:p>
    <w:p w14:paraId="24FE460A" w14:textId="2377D099" w:rsidR="00857529" w:rsidRDefault="00857529" w:rsidP="00857529">
      <w:pPr>
        <w:spacing w:after="0"/>
        <w:rPr>
          <w:rFonts w:ascii="Arial" w:hAnsi="Arial" w:cs="Arial"/>
          <w:b/>
          <w:sz w:val="24"/>
          <w:szCs w:val="24"/>
        </w:rPr>
      </w:pPr>
      <w:r>
        <w:rPr>
          <w:rFonts w:ascii="Arial" w:hAnsi="Arial" w:cs="Arial"/>
          <w:b/>
          <w:sz w:val="24"/>
          <w:szCs w:val="24"/>
        </w:rPr>
        <w:t>Ref: Rate Generator Model – Tab 20 – Bill Impacts</w:t>
      </w:r>
    </w:p>
    <w:p w14:paraId="5BBF12A5" w14:textId="77777777" w:rsidR="00857529" w:rsidRDefault="00857529" w:rsidP="00857529">
      <w:pPr>
        <w:spacing w:after="0"/>
        <w:rPr>
          <w:rFonts w:ascii="Arial" w:hAnsi="Arial" w:cs="Arial"/>
          <w:b/>
          <w:sz w:val="24"/>
          <w:szCs w:val="24"/>
        </w:rPr>
      </w:pPr>
    </w:p>
    <w:p w14:paraId="43AE605B" w14:textId="468A51A7" w:rsidR="00D57E8C" w:rsidRDefault="00857529" w:rsidP="008E6045">
      <w:pPr>
        <w:rPr>
          <w:rFonts w:ascii="Arial" w:hAnsi="Arial" w:cs="Arial"/>
          <w:b/>
          <w:sz w:val="24"/>
          <w:szCs w:val="24"/>
        </w:rPr>
      </w:pPr>
      <w:r>
        <w:rPr>
          <w:noProof/>
        </w:rPr>
        <w:drawing>
          <wp:inline distT="0" distB="0" distL="0" distR="0" wp14:anchorId="6C063C74" wp14:editId="237522EB">
            <wp:extent cx="5915025" cy="1131142"/>
            <wp:effectExtent l="19050" t="19050" r="9525"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243247" cy="1193908"/>
                    </a:xfrm>
                    <a:prstGeom prst="rect">
                      <a:avLst/>
                    </a:prstGeom>
                    <a:ln>
                      <a:solidFill>
                        <a:schemeClr val="tx1"/>
                      </a:solidFill>
                    </a:ln>
                  </pic:spPr>
                </pic:pic>
              </a:graphicData>
            </a:graphic>
          </wp:inline>
        </w:drawing>
      </w:r>
    </w:p>
    <w:p w14:paraId="40AE279A" w14:textId="7F1A36DD" w:rsidR="00C91A1D" w:rsidRPr="00C91A1D" w:rsidRDefault="00C91A1D" w:rsidP="00C91A1D">
      <w:pPr>
        <w:tabs>
          <w:tab w:val="left" w:pos="360"/>
        </w:tabs>
        <w:spacing w:after="0" w:line="240" w:lineRule="auto"/>
        <w:ind w:left="-90"/>
        <w:jc w:val="both"/>
        <w:rPr>
          <w:rFonts w:ascii="Arial" w:hAnsi="Arial" w:cs="Arial"/>
          <w:sz w:val="24"/>
          <w:szCs w:val="24"/>
        </w:rPr>
      </w:pPr>
      <w:r w:rsidRPr="00C91A1D">
        <w:rPr>
          <w:rFonts w:ascii="Arial" w:hAnsi="Arial" w:cs="Arial"/>
          <w:sz w:val="24"/>
          <w:szCs w:val="24"/>
        </w:rPr>
        <w:t xml:space="preserve">In response to Staff Question-8, Hydro Hawkesbury </w:t>
      </w:r>
      <w:r w:rsidR="006F12CE">
        <w:rPr>
          <w:rFonts w:ascii="Arial" w:hAnsi="Arial" w:cs="Arial"/>
          <w:sz w:val="24"/>
          <w:szCs w:val="24"/>
        </w:rPr>
        <w:t xml:space="preserve">Inc. </w:t>
      </w:r>
      <w:r w:rsidRPr="00C91A1D">
        <w:rPr>
          <w:rFonts w:ascii="Arial" w:hAnsi="Arial" w:cs="Arial"/>
          <w:sz w:val="24"/>
          <w:szCs w:val="24"/>
        </w:rPr>
        <w:t>stated that it</w:t>
      </w:r>
      <w:r w:rsidRPr="00C91A1D">
        <w:rPr>
          <w:rFonts w:ascii="Arial" w:hAnsi="Arial" w:cs="Arial"/>
          <w:bCs/>
          <w:sz w:val="24"/>
          <w:szCs w:val="24"/>
        </w:rPr>
        <w:t xml:space="preserve"> is seeking an exemption form disposing of account 1588/1589 until it has had a chance to work with MNP (formerly Deloitte) to provide accurate explanations for the variances. OEB staff has updated IRM Model and notes that Street Lighting rate class </w:t>
      </w:r>
      <w:r w:rsidR="006F12CE">
        <w:rPr>
          <w:rFonts w:ascii="Arial" w:hAnsi="Arial" w:cs="Arial"/>
          <w:bCs/>
          <w:sz w:val="24"/>
          <w:szCs w:val="24"/>
        </w:rPr>
        <w:t xml:space="preserve">has a bill of impact of </w:t>
      </w:r>
      <w:r w:rsidRPr="00C91A1D">
        <w:rPr>
          <w:rFonts w:ascii="Arial" w:hAnsi="Arial" w:cs="Arial"/>
          <w:sz w:val="24"/>
          <w:szCs w:val="24"/>
        </w:rPr>
        <w:t xml:space="preserve">greater than 10%. </w:t>
      </w:r>
    </w:p>
    <w:p w14:paraId="43186FBB" w14:textId="77777777" w:rsidR="00C91A1D" w:rsidRPr="00C91A1D" w:rsidRDefault="00C91A1D" w:rsidP="00C91A1D">
      <w:pPr>
        <w:tabs>
          <w:tab w:val="left" w:pos="360"/>
        </w:tabs>
        <w:spacing w:after="0" w:line="240" w:lineRule="auto"/>
        <w:ind w:left="-90"/>
        <w:jc w:val="both"/>
        <w:rPr>
          <w:rFonts w:ascii="Arial" w:hAnsi="Arial" w:cs="Arial"/>
          <w:sz w:val="24"/>
          <w:szCs w:val="24"/>
        </w:rPr>
      </w:pPr>
    </w:p>
    <w:p w14:paraId="2170F736" w14:textId="4D542738" w:rsidR="00C91A1D" w:rsidRDefault="00C91A1D" w:rsidP="00C91A1D">
      <w:pPr>
        <w:pStyle w:val="ListParagraph"/>
        <w:numPr>
          <w:ilvl w:val="0"/>
          <w:numId w:val="30"/>
        </w:numPr>
        <w:tabs>
          <w:tab w:val="left" w:pos="360"/>
        </w:tabs>
        <w:spacing w:after="0" w:line="240" w:lineRule="auto"/>
        <w:jc w:val="both"/>
        <w:rPr>
          <w:rFonts w:ascii="Arial" w:hAnsi="Arial" w:cs="Arial"/>
          <w:sz w:val="24"/>
          <w:szCs w:val="24"/>
        </w:rPr>
      </w:pPr>
      <w:r w:rsidRPr="00C91A1D">
        <w:rPr>
          <w:rFonts w:ascii="Arial" w:hAnsi="Arial" w:cs="Arial"/>
          <w:sz w:val="24"/>
          <w:szCs w:val="24"/>
        </w:rPr>
        <w:t xml:space="preserve">Please </w:t>
      </w:r>
      <w:r w:rsidR="006F12CE">
        <w:rPr>
          <w:rFonts w:ascii="Arial" w:hAnsi="Arial" w:cs="Arial"/>
          <w:sz w:val="24"/>
          <w:szCs w:val="24"/>
        </w:rPr>
        <w:t>explain if Hydro Hawkesbury Inc.</w:t>
      </w:r>
      <w:r w:rsidRPr="00C91A1D">
        <w:rPr>
          <w:rFonts w:ascii="Arial" w:hAnsi="Arial" w:cs="Arial"/>
          <w:sz w:val="24"/>
          <w:szCs w:val="24"/>
        </w:rPr>
        <w:t xml:space="preserve"> </w:t>
      </w:r>
      <w:r w:rsidR="006F12CE">
        <w:rPr>
          <w:rFonts w:ascii="Arial" w:hAnsi="Arial" w:cs="Arial"/>
          <w:sz w:val="24"/>
          <w:szCs w:val="24"/>
        </w:rPr>
        <w:t xml:space="preserve">has considered </w:t>
      </w:r>
      <w:r w:rsidRPr="00C91A1D">
        <w:rPr>
          <w:rFonts w:ascii="Arial" w:hAnsi="Arial" w:cs="Arial"/>
          <w:sz w:val="24"/>
          <w:szCs w:val="24"/>
        </w:rPr>
        <w:t>a</w:t>
      </w:r>
      <w:r w:rsidR="004069A2">
        <w:rPr>
          <w:rFonts w:ascii="Arial" w:hAnsi="Arial" w:cs="Arial"/>
          <w:sz w:val="24"/>
          <w:szCs w:val="24"/>
        </w:rPr>
        <w:t>ny</w:t>
      </w:r>
      <w:r w:rsidRPr="00C91A1D">
        <w:rPr>
          <w:rFonts w:ascii="Arial" w:hAnsi="Arial" w:cs="Arial"/>
          <w:sz w:val="24"/>
          <w:szCs w:val="24"/>
        </w:rPr>
        <w:t xml:space="preserve"> rate mitigation</w:t>
      </w:r>
      <w:r w:rsidR="004069A2">
        <w:rPr>
          <w:rFonts w:ascii="Arial" w:hAnsi="Arial" w:cs="Arial"/>
          <w:sz w:val="24"/>
          <w:szCs w:val="24"/>
        </w:rPr>
        <w:t xml:space="preserve"> measures.</w:t>
      </w:r>
      <w:r w:rsidRPr="00C91A1D">
        <w:rPr>
          <w:rFonts w:ascii="Arial" w:hAnsi="Arial" w:cs="Arial"/>
          <w:sz w:val="24"/>
          <w:szCs w:val="24"/>
        </w:rPr>
        <w:t xml:space="preserve"> If not, please explain why. </w:t>
      </w:r>
    </w:p>
    <w:p w14:paraId="30717446" w14:textId="4DC694B2" w:rsidR="00C41E95" w:rsidRDefault="00C41E95" w:rsidP="00C41E95">
      <w:pPr>
        <w:tabs>
          <w:tab w:val="left" w:pos="360"/>
        </w:tabs>
        <w:spacing w:after="0" w:line="240" w:lineRule="auto"/>
        <w:jc w:val="both"/>
        <w:rPr>
          <w:rFonts w:ascii="Arial" w:hAnsi="Arial" w:cs="Arial"/>
          <w:sz w:val="24"/>
          <w:szCs w:val="24"/>
        </w:rPr>
      </w:pPr>
    </w:p>
    <w:p w14:paraId="564347E1" w14:textId="485E5B8C" w:rsidR="00C41E95" w:rsidRPr="00AE4094" w:rsidRDefault="00C41E95" w:rsidP="00C41E95">
      <w:pPr>
        <w:tabs>
          <w:tab w:val="left" w:pos="360"/>
        </w:tabs>
        <w:spacing w:after="0" w:line="240" w:lineRule="auto"/>
        <w:jc w:val="both"/>
        <w:rPr>
          <w:rFonts w:ascii="Arial" w:hAnsi="Arial" w:cs="Arial"/>
          <w:color w:val="0070C0"/>
          <w:sz w:val="24"/>
          <w:szCs w:val="24"/>
        </w:rPr>
      </w:pPr>
      <w:r w:rsidRPr="00AE4094">
        <w:rPr>
          <w:rFonts w:ascii="Arial" w:hAnsi="Arial" w:cs="Arial"/>
          <w:color w:val="0070C0"/>
          <w:sz w:val="24"/>
          <w:szCs w:val="24"/>
        </w:rPr>
        <w:t xml:space="preserve">HHI Response: HHI notes that the consumption in the bill impact tab was not populated correctly. The Demand on which the class is being billed on was left blank. HHI has updated the demand for the Sentinel Class and Street Lighting class. HHI also updated the kWh consumption for the Street Lighting class to reflect a monthly average bill. </w:t>
      </w:r>
      <w:r w:rsidR="00AE4094" w:rsidRPr="00AE4094">
        <w:rPr>
          <w:rFonts w:ascii="Arial" w:hAnsi="Arial" w:cs="Arial"/>
          <w:color w:val="0070C0"/>
          <w:sz w:val="24"/>
          <w:szCs w:val="24"/>
        </w:rPr>
        <w:t xml:space="preserve">The billing determinant was also updated to reflect the number of devices approved it its 2018 Cost of Service. </w:t>
      </w:r>
    </w:p>
    <w:p w14:paraId="66EAF514" w14:textId="1B23885D" w:rsidR="00AE4094" w:rsidRPr="00AE4094" w:rsidRDefault="00AE4094" w:rsidP="00C41E95">
      <w:pPr>
        <w:tabs>
          <w:tab w:val="left" w:pos="360"/>
        </w:tabs>
        <w:spacing w:after="0" w:line="240" w:lineRule="auto"/>
        <w:jc w:val="both"/>
        <w:rPr>
          <w:rFonts w:ascii="Arial" w:hAnsi="Arial" w:cs="Arial"/>
          <w:color w:val="0070C0"/>
          <w:sz w:val="24"/>
          <w:szCs w:val="24"/>
        </w:rPr>
      </w:pPr>
      <w:r w:rsidRPr="00AE4094">
        <w:rPr>
          <w:rFonts w:ascii="Arial" w:hAnsi="Arial" w:cs="Arial"/>
          <w:color w:val="0070C0"/>
          <w:sz w:val="24"/>
          <w:szCs w:val="24"/>
        </w:rPr>
        <w:t xml:space="preserve">The resulting bill impact for all classes are below the 10% threshold. </w:t>
      </w:r>
    </w:p>
    <w:p w14:paraId="3D33099D" w14:textId="6A049DDB" w:rsidR="00AE4094" w:rsidRPr="00AE4094" w:rsidRDefault="00AE4094" w:rsidP="00C41E95">
      <w:pPr>
        <w:tabs>
          <w:tab w:val="left" w:pos="360"/>
        </w:tabs>
        <w:spacing w:after="0" w:line="240" w:lineRule="auto"/>
        <w:jc w:val="both"/>
        <w:rPr>
          <w:rFonts w:ascii="Arial" w:hAnsi="Arial" w:cs="Arial"/>
          <w:color w:val="0070C0"/>
          <w:sz w:val="24"/>
          <w:szCs w:val="24"/>
        </w:rPr>
      </w:pPr>
    </w:p>
    <w:p w14:paraId="4E28C1E2" w14:textId="032C774C" w:rsidR="00AE4094" w:rsidRPr="00C41E95" w:rsidRDefault="00AE4094" w:rsidP="00AE4094">
      <w:pPr>
        <w:tabs>
          <w:tab w:val="left" w:pos="360"/>
        </w:tabs>
        <w:spacing w:after="0" w:line="240" w:lineRule="auto"/>
        <w:ind w:left="-851"/>
        <w:jc w:val="both"/>
        <w:rPr>
          <w:rFonts w:ascii="Arial" w:hAnsi="Arial" w:cs="Arial"/>
          <w:sz w:val="24"/>
          <w:szCs w:val="24"/>
        </w:rPr>
      </w:pPr>
      <w:r w:rsidRPr="00AE4094">
        <w:rPr>
          <w:rFonts w:ascii="Arial" w:hAnsi="Arial" w:cs="Arial"/>
          <w:sz w:val="24"/>
          <w:szCs w:val="24"/>
        </w:rPr>
        <w:lastRenderedPageBreak/>
        <w:drawing>
          <wp:inline distT="0" distB="0" distL="0" distR="0" wp14:anchorId="5BE95C93" wp14:editId="72BCC505">
            <wp:extent cx="6677025" cy="1251229"/>
            <wp:effectExtent l="0" t="0" r="0" b="6350"/>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7"/>
                    <a:stretch>
                      <a:fillRect/>
                    </a:stretch>
                  </pic:blipFill>
                  <pic:spPr>
                    <a:xfrm>
                      <a:off x="0" y="0"/>
                      <a:ext cx="6712675" cy="1257909"/>
                    </a:xfrm>
                    <a:prstGeom prst="rect">
                      <a:avLst/>
                    </a:prstGeom>
                  </pic:spPr>
                </pic:pic>
              </a:graphicData>
            </a:graphic>
          </wp:inline>
        </w:drawing>
      </w:r>
    </w:p>
    <w:p w14:paraId="05C8983B" w14:textId="77777777" w:rsidR="00C91A1D" w:rsidRPr="00C41E95" w:rsidRDefault="00C91A1D" w:rsidP="00C91A1D">
      <w:pPr>
        <w:spacing w:after="0"/>
        <w:rPr>
          <w:rFonts w:cs="Arial"/>
          <w:sz w:val="24"/>
          <w:szCs w:val="24"/>
        </w:rPr>
      </w:pPr>
      <w:r w:rsidRPr="00C41E95">
        <w:rPr>
          <w:rFonts w:cs="Arial"/>
          <w:sz w:val="24"/>
          <w:szCs w:val="24"/>
        </w:rPr>
        <w:t xml:space="preserve"> </w:t>
      </w:r>
    </w:p>
    <w:p w14:paraId="665F3269" w14:textId="58376AD2" w:rsidR="00857529" w:rsidRDefault="00857529" w:rsidP="008E6045">
      <w:pPr>
        <w:rPr>
          <w:rFonts w:ascii="Arial" w:hAnsi="Arial" w:cs="Arial"/>
          <w:b/>
          <w:sz w:val="24"/>
          <w:szCs w:val="24"/>
        </w:rPr>
      </w:pPr>
      <w:r>
        <w:rPr>
          <w:rFonts w:ascii="Arial" w:hAnsi="Arial" w:cs="Arial"/>
          <w:b/>
          <w:sz w:val="24"/>
          <w:szCs w:val="24"/>
        </w:rPr>
        <w:t>Updates to Rate Generator Model:</w:t>
      </w:r>
    </w:p>
    <w:p w14:paraId="6109DBC5" w14:textId="2D357E2E" w:rsidR="00857529" w:rsidRPr="00857529" w:rsidRDefault="00857529" w:rsidP="00857529">
      <w:pPr>
        <w:pStyle w:val="ListParagraph"/>
        <w:numPr>
          <w:ilvl w:val="0"/>
          <w:numId w:val="28"/>
        </w:numPr>
        <w:rPr>
          <w:rFonts w:ascii="Arial" w:hAnsi="Arial" w:cs="Arial"/>
          <w:bCs/>
          <w:sz w:val="24"/>
          <w:szCs w:val="24"/>
        </w:rPr>
      </w:pPr>
      <w:r w:rsidRPr="00857529">
        <w:rPr>
          <w:rFonts w:ascii="Arial" w:hAnsi="Arial" w:cs="Arial"/>
          <w:bCs/>
          <w:sz w:val="24"/>
          <w:szCs w:val="24"/>
        </w:rPr>
        <w:t xml:space="preserve">Staff Question-1 c), Tab 1 – Information Sheet, Cell F51 updated </w:t>
      </w:r>
      <w:proofErr w:type="gramStart"/>
      <w:r w:rsidRPr="00857529">
        <w:rPr>
          <w:rFonts w:ascii="Arial" w:hAnsi="Arial" w:cs="Arial"/>
          <w:bCs/>
          <w:sz w:val="24"/>
          <w:szCs w:val="24"/>
        </w:rPr>
        <w:t>to</w:t>
      </w:r>
      <w:proofErr w:type="gramEnd"/>
      <w:r w:rsidRPr="00857529">
        <w:rPr>
          <w:rFonts w:ascii="Arial" w:hAnsi="Arial" w:cs="Arial"/>
          <w:bCs/>
          <w:sz w:val="24"/>
          <w:szCs w:val="24"/>
        </w:rPr>
        <w:t xml:space="preserve"> “Yes”</w:t>
      </w:r>
    </w:p>
    <w:p w14:paraId="78367FAD" w14:textId="0C275173" w:rsidR="00857529" w:rsidRDefault="00857529" w:rsidP="00857529">
      <w:pPr>
        <w:pStyle w:val="ListParagraph"/>
        <w:numPr>
          <w:ilvl w:val="0"/>
          <w:numId w:val="28"/>
        </w:numPr>
        <w:rPr>
          <w:rFonts w:ascii="Arial" w:hAnsi="Arial" w:cs="Arial"/>
          <w:bCs/>
          <w:sz w:val="24"/>
          <w:szCs w:val="24"/>
        </w:rPr>
      </w:pPr>
      <w:r w:rsidRPr="00857529">
        <w:rPr>
          <w:rFonts w:ascii="Arial" w:hAnsi="Arial" w:cs="Arial"/>
          <w:bCs/>
          <w:sz w:val="24"/>
          <w:szCs w:val="24"/>
        </w:rPr>
        <w:t xml:space="preserve">Staff Question-5, Tab 3 – Continuity Schedule, </w:t>
      </w:r>
      <w:r w:rsidR="00642412">
        <w:rPr>
          <w:rFonts w:ascii="Arial" w:hAnsi="Arial" w:cs="Arial"/>
          <w:bCs/>
          <w:sz w:val="24"/>
          <w:szCs w:val="24"/>
        </w:rPr>
        <w:t>updated c</w:t>
      </w:r>
      <w:r w:rsidRPr="00857529">
        <w:rPr>
          <w:rFonts w:ascii="Arial" w:hAnsi="Arial" w:cs="Arial"/>
          <w:bCs/>
          <w:sz w:val="24"/>
          <w:szCs w:val="24"/>
        </w:rPr>
        <w:t>ells BM46</w:t>
      </w:r>
      <w:r>
        <w:rPr>
          <w:rFonts w:ascii="Arial" w:hAnsi="Arial" w:cs="Arial"/>
          <w:bCs/>
          <w:sz w:val="24"/>
          <w:szCs w:val="24"/>
        </w:rPr>
        <w:t xml:space="preserve"> = (784)</w:t>
      </w:r>
      <w:r w:rsidRPr="00857529">
        <w:rPr>
          <w:rFonts w:ascii="Arial" w:hAnsi="Arial" w:cs="Arial"/>
          <w:bCs/>
          <w:sz w:val="24"/>
          <w:szCs w:val="24"/>
        </w:rPr>
        <w:t xml:space="preserve"> and BN46</w:t>
      </w:r>
      <w:r>
        <w:rPr>
          <w:rFonts w:ascii="Arial" w:hAnsi="Arial" w:cs="Arial"/>
          <w:bCs/>
          <w:sz w:val="24"/>
          <w:szCs w:val="24"/>
        </w:rPr>
        <w:t xml:space="preserve"> 35</w:t>
      </w:r>
    </w:p>
    <w:p w14:paraId="5B6C4FAA" w14:textId="23D9FFD1" w:rsidR="00642412" w:rsidRPr="00642412" w:rsidRDefault="00642412" w:rsidP="00642412">
      <w:pPr>
        <w:rPr>
          <w:rFonts w:ascii="Arial" w:hAnsi="Arial" w:cs="Arial"/>
          <w:bCs/>
          <w:sz w:val="24"/>
          <w:szCs w:val="24"/>
        </w:rPr>
      </w:pPr>
      <w:r>
        <w:rPr>
          <w:rFonts w:ascii="Arial" w:hAnsi="Arial" w:cs="Arial"/>
          <w:bCs/>
          <w:sz w:val="24"/>
          <w:szCs w:val="24"/>
        </w:rPr>
        <w:t>Please confirm accuracy of the updates.</w:t>
      </w:r>
    </w:p>
    <w:p w14:paraId="6B3D3118" w14:textId="70348300" w:rsidR="00857529" w:rsidRPr="002D056D" w:rsidRDefault="00AE4094" w:rsidP="008E6045">
      <w:pPr>
        <w:rPr>
          <w:rFonts w:ascii="Arial" w:hAnsi="Arial" w:cs="Arial"/>
          <w:b/>
          <w:sz w:val="24"/>
          <w:szCs w:val="24"/>
        </w:rPr>
      </w:pPr>
      <w:r w:rsidRPr="00AE4094">
        <w:rPr>
          <w:rFonts w:ascii="Arial" w:hAnsi="Arial" w:cs="Arial"/>
          <w:color w:val="0070C0"/>
          <w:sz w:val="24"/>
          <w:szCs w:val="24"/>
        </w:rPr>
        <w:t>HHI Response:</w:t>
      </w:r>
      <w:r>
        <w:rPr>
          <w:rFonts w:ascii="Arial" w:hAnsi="Arial" w:cs="Arial"/>
          <w:color w:val="0070C0"/>
          <w:sz w:val="24"/>
          <w:szCs w:val="24"/>
        </w:rPr>
        <w:t xml:space="preserve"> HHI confirms the updates. </w:t>
      </w:r>
    </w:p>
    <w:sectPr w:rsidR="00857529" w:rsidRPr="002D056D"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4746572"/>
    <w:multiLevelType w:val="hybridMultilevel"/>
    <w:tmpl w:val="731A08EE"/>
    <w:lvl w:ilvl="0" w:tplc="295C2DE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3692D8C"/>
    <w:multiLevelType w:val="hybridMultilevel"/>
    <w:tmpl w:val="7D384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5DB4083A"/>
    <w:multiLevelType w:val="hybridMultilevel"/>
    <w:tmpl w:val="83B6647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6"/>
  </w:num>
  <w:num w:numId="3">
    <w:abstractNumId w:val="22"/>
  </w:num>
  <w:num w:numId="4">
    <w:abstractNumId w:val="29"/>
  </w:num>
  <w:num w:numId="5">
    <w:abstractNumId w:val="11"/>
  </w:num>
  <w:num w:numId="6">
    <w:abstractNumId w:val="8"/>
  </w:num>
  <w:num w:numId="7">
    <w:abstractNumId w:val="17"/>
  </w:num>
  <w:num w:numId="8">
    <w:abstractNumId w:val="12"/>
  </w:num>
  <w:num w:numId="9">
    <w:abstractNumId w:val="13"/>
  </w:num>
  <w:num w:numId="10">
    <w:abstractNumId w:val="5"/>
  </w:num>
  <w:num w:numId="11">
    <w:abstractNumId w:val="16"/>
  </w:num>
  <w:num w:numId="12">
    <w:abstractNumId w:val="24"/>
  </w:num>
  <w:num w:numId="13">
    <w:abstractNumId w:val="4"/>
  </w:num>
  <w:num w:numId="14">
    <w:abstractNumId w:val="1"/>
  </w:num>
  <w:num w:numId="15">
    <w:abstractNumId w:val="28"/>
  </w:num>
  <w:num w:numId="16">
    <w:abstractNumId w:val="7"/>
  </w:num>
  <w:num w:numId="17">
    <w:abstractNumId w:val="20"/>
  </w:num>
  <w:num w:numId="18">
    <w:abstractNumId w:val="26"/>
  </w:num>
  <w:num w:numId="19">
    <w:abstractNumId w:val="27"/>
  </w:num>
  <w:num w:numId="20">
    <w:abstractNumId w:val="10"/>
  </w:num>
  <w:num w:numId="21">
    <w:abstractNumId w:val="25"/>
  </w:num>
  <w:num w:numId="22">
    <w:abstractNumId w:val="9"/>
  </w:num>
  <w:num w:numId="23">
    <w:abstractNumId w:val="23"/>
  </w:num>
  <w:num w:numId="24">
    <w:abstractNumId w:val="21"/>
  </w:num>
  <w:num w:numId="25">
    <w:abstractNumId w:val="2"/>
  </w:num>
  <w:num w:numId="26">
    <w:abstractNumId w:val="15"/>
  </w:num>
  <w:num w:numId="27">
    <w:abstractNumId w:val="18"/>
  </w:num>
  <w:num w:numId="28">
    <w:abstractNumId w:val="14"/>
  </w:num>
  <w:num w:numId="29">
    <w:abstractNumId w:val="1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NTEyNzY0M7A0sTBV0lEKTi0uzszPAykwrAUA//KSfiwAAAA="/>
  </w:docVars>
  <w:rsids>
    <w:rsidRoot w:val="00DB6B52"/>
    <w:rsid w:val="0003073C"/>
    <w:rsid w:val="00035337"/>
    <w:rsid w:val="00054071"/>
    <w:rsid w:val="0006126D"/>
    <w:rsid w:val="00067F57"/>
    <w:rsid w:val="00071BEC"/>
    <w:rsid w:val="00074514"/>
    <w:rsid w:val="000832D4"/>
    <w:rsid w:val="00090160"/>
    <w:rsid w:val="000B3E7E"/>
    <w:rsid w:val="000D223C"/>
    <w:rsid w:val="000E4006"/>
    <w:rsid w:val="000F1E3A"/>
    <w:rsid w:val="00133BE1"/>
    <w:rsid w:val="00164E99"/>
    <w:rsid w:val="00183CC8"/>
    <w:rsid w:val="00187E9B"/>
    <w:rsid w:val="001927C2"/>
    <w:rsid w:val="001A4DCD"/>
    <w:rsid w:val="00203092"/>
    <w:rsid w:val="002208C0"/>
    <w:rsid w:val="00224C06"/>
    <w:rsid w:val="0025687C"/>
    <w:rsid w:val="00274A48"/>
    <w:rsid w:val="00291CCC"/>
    <w:rsid w:val="002A6415"/>
    <w:rsid w:val="002B7B7C"/>
    <w:rsid w:val="002C2BF2"/>
    <w:rsid w:val="002C7EF6"/>
    <w:rsid w:val="002D4924"/>
    <w:rsid w:val="002F4756"/>
    <w:rsid w:val="00302509"/>
    <w:rsid w:val="003049C5"/>
    <w:rsid w:val="003303BF"/>
    <w:rsid w:val="00340C00"/>
    <w:rsid w:val="003702D1"/>
    <w:rsid w:val="00373FAD"/>
    <w:rsid w:val="003777B5"/>
    <w:rsid w:val="003832E7"/>
    <w:rsid w:val="003A20A0"/>
    <w:rsid w:val="003A58B0"/>
    <w:rsid w:val="00400DFC"/>
    <w:rsid w:val="004069A2"/>
    <w:rsid w:val="00412DC6"/>
    <w:rsid w:val="00425009"/>
    <w:rsid w:val="004377B0"/>
    <w:rsid w:val="00472C81"/>
    <w:rsid w:val="00475032"/>
    <w:rsid w:val="004859EF"/>
    <w:rsid w:val="00511EC2"/>
    <w:rsid w:val="005164F5"/>
    <w:rsid w:val="0052560F"/>
    <w:rsid w:val="005666F2"/>
    <w:rsid w:val="00572064"/>
    <w:rsid w:val="00584369"/>
    <w:rsid w:val="00587A35"/>
    <w:rsid w:val="005F4693"/>
    <w:rsid w:val="00623602"/>
    <w:rsid w:val="00642412"/>
    <w:rsid w:val="0064279A"/>
    <w:rsid w:val="00651C98"/>
    <w:rsid w:val="006A5D23"/>
    <w:rsid w:val="006E3D58"/>
    <w:rsid w:val="006F12CE"/>
    <w:rsid w:val="00704EE5"/>
    <w:rsid w:val="007066E2"/>
    <w:rsid w:val="00722640"/>
    <w:rsid w:val="007304C0"/>
    <w:rsid w:val="0073197E"/>
    <w:rsid w:val="00746080"/>
    <w:rsid w:val="007508EC"/>
    <w:rsid w:val="00772B57"/>
    <w:rsid w:val="00781D04"/>
    <w:rsid w:val="007C2D45"/>
    <w:rsid w:val="007F49EB"/>
    <w:rsid w:val="00805FDA"/>
    <w:rsid w:val="00812C1B"/>
    <w:rsid w:val="008173B1"/>
    <w:rsid w:val="00835AD0"/>
    <w:rsid w:val="00841787"/>
    <w:rsid w:val="00857529"/>
    <w:rsid w:val="008747B3"/>
    <w:rsid w:val="008813C3"/>
    <w:rsid w:val="008926F0"/>
    <w:rsid w:val="008964E8"/>
    <w:rsid w:val="008A48F6"/>
    <w:rsid w:val="008E6045"/>
    <w:rsid w:val="0090113B"/>
    <w:rsid w:val="0093258A"/>
    <w:rsid w:val="0094373C"/>
    <w:rsid w:val="00946DEE"/>
    <w:rsid w:val="00951E2B"/>
    <w:rsid w:val="00952939"/>
    <w:rsid w:val="00953132"/>
    <w:rsid w:val="00961EA0"/>
    <w:rsid w:val="009A5C44"/>
    <w:rsid w:val="009B03AF"/>
    <w:rsid w:val="009C4216"/>
    <w:rsid w:val="009D5F4B"/>
    <w:rsid w:val="009E626E"/>
    <w:rsid w:val="009E7CBF"/>
    <w:rsid w:val="00A07077"/>
    <w:rsid w:val="00A50DD0"/>
    <w:rsid w:val="00A516B0"/>
    <w:rsid w:val="00A5620A"/>
    <w:rsid w:val="00AA06D9"/>
    <w:rsid w:val="00AC2406"/>
    <w:rsid w:val="00AD3FCF"/>
    <w:rsid w:val="00AE4094"/>
    <w:rsid w:val="00B03802"/>
    <w:rsid w:val="00B069AA"/>
    <w:rsid w:val="00B23A36"/>
    <w:rsid w:val="00B25576"/>
    <w:rsid w:val="00B25EF5"/>
    <w:rsid w:val="00B50EB2"/>
    <w:rsid w:val="00B6722A"/>
    <w:rsid w:val="00B82D78"/>
    <w:rsid w:val="00BA434C"/>
    <w:rsid w:val="00BD4F65"/>
    <w:rsid w:val="00BD7607"/>
    <w:rsid w:val="00C06F9E"/>
    <w:rsid w:val="00C13E6B"/>
    <w:rsid w:val="00C2370B"/>
    <w:rsid w:val="00C27193"/>
    <w:rsid w:val="00C41E95"/>
    <w:rsid w:val="00C624D5"/>
    <w:rsid w:val="00C848A0"/>
    <w:rsid w:val="00C859E5"/>
    <w:rsid w:val="00C878C5"/>
    <w:rsid w:val="00C91A1D"/>
    <w:rsid w:val="00C96AEA"/>
    <w:rsid w:val="00CC0B6D"/>
    <w:rsid w:val="00CD01B4"/>
    <w:rsid w:val="00CE1CD3"/>
    <w:rsid w:val="00CE4F01"/>
    <w:rsid w:val="00D30F16"/>
    <w:rsid w:val="00D55546"/>
    <w:rsid w:val="00D57E8C"/>
    <w:rsid w:val="00D6213C"/>
    <w:rsid w:val="00D647C0"/>
    <w:rsid w:val="00D77694"/>
    <w:rsid w:val="00D77B0F"/>
    <w:rsid w:val="00DB6B52"/>
    <w:rsid w:val="00DC2BB8"/>
    <w:rsid w:val="00DE5488"/>
    <w:rsid w:val="00DE75AC"/>
    <w:rsid w:val="00DF5A52"/>
    <w:rsid w:val="00E17C58"/>
    <w:rsid w:val="00E231C2"/>
    <w:rsid w:val="00E320F6"/>
    <w:rsid w:val="00E429DA"/>
    <w:rsid w:val="00E616AB"/>
    <w:rsid w:val="00E62C2A"/>
    <w:rsid w:val="00E8586E"/>
    <w:rsid w:val="00E86F26"/>
    <w:rsid w:val="00E96A06"/>
    <w:rsid w:val="00EA0919"/>
    <w:rsid w:val="00EB5240"/>
    <w:rsid w:val="00EC0B55"/>
    <w:rsid w:val="00EE3753"/>
    <w:rsid w:val="00F034BF"/>
    <w:rsid w:val="00F233A3"/>
    <w:rsid w:val="00F23D7A"/>
    <w:rsid w:val="00F26D30"/>
    <w:rsid w:val="00F57152"/>
    <w:rsid w:val="00F7362C"/>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Tandem Energy Services</cp:lastModifiedBy>
  <cp:revision>2</cp:revision>
  <cp:lastPrinted>2014-09-29T14:43:00Z</cp:lastPrinted>
  <dcterms:created xsi:type="dcterms:W3CDTF">2021-11-10T21:53:00Z</dcterms:created>
  <dcterms:modified xsi:type="dcterms:W3CDTF">2021-11-10T21:53:00Z</dcterms:modified>
</cp:coreProperties>
</file>