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21942238" w:rsidR="003832E7" w:rsidRPr="003832E7" w:rsidRDefault="002128AD" w:rsidP="003832E7">
      <w:pPr>
        <w:pStyle w:val="Default"/>
        <w:jc w:val="right"/>
        <w:rPr>
          <w:rFonts w:ascii="Arial" w:hAnsi="Arial" w:cs="Arial"/>
          <w:sz w:val="22"/>
          <w:szCs w:val="22"/>
        </w:rPr>
      </w:pPr>
      <w:r>
        <w:rPr>
          <w:rFonts w:ascii="Arial" w:hAnsi="Arial" w:cs="Arial"/>
          <w:bCs/>
          <w:sz w:val="22"/>
          <w:szCs w:val="22"/>
        </w:rPr>
        <w:t>Cooperative Hydro Embrun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30CA7B05"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2128AD">
        <w:rPr>
          <w:rFonts w:ascii="Arial" w:hAnsi="Arial" w:cs="Arial"/>
          <w:sz w:val="22"/>
          <w:szCs w:val="22"/>
        </w:rPr>
        <w:t>0014</w:t>
      </w:r>
    </w:p>
    <w:p w14:paraId="04DD1EF2" w14:textId="77777777" w:rsidR="00A07077" w:rsidRPr="00D57E8C" w:rsidRDefault="00A07077" w:rsidP="00A07077">
      <w:pPr>
        <w:pStyle w:val="Default"/>
        <w:rPr>
          <w:rFonts w:ascii="Arial" w:hAnsi="Arial" w:cs="Arial"/>
          <w:sz w:val="22"/>
          <w:szCs w:val="22"/>
        </w:rPr>
      </w:pPr>
    </w:p>
    <w:p w14:paraId="31F8E0D6" w14:textId="5CA83117" w:rsidR="00A07077" w:rsidRPr="002128AD" w:rsidRDefault="002128AD" w:rsidP="00A07077">
      <w:pPr>
        <w:pStyle w:val="Default"/>
        <w:jc w:val="center"/>
        <w:rPr>
          <w:rFonts w:ascii="Arial" w:hAnsi="Arial" w:cs="Arial"/>
          <w:b/>
          <w:bCs/>
          <w:sz w:val="28"/>
          <w:szCs w:val="28"/>
        </w:rPr>
      </w:pPr>
      <w:r w:rsidRPr="002128AD">
        <w:rPr>
          <w:rFonts w:ascii="Arial" w:hAnsi="Arial" w:cs="Arial"/>
          <w:b/>
          <w:bCs/>
          <w:sz w:val="28"/>
          <w:szCs w:val="28"/>
        </w:rPr>
        <w:t>Cooperative Hydro Embrun Inc.</w:t>
      </w:r>
    </w:p>
    <w:p w14:paraId="33D6510D" w14:textId="5166FE91"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2128AD">
        <w:rPr>
          <w:rFonts w:ascii="Arial" w:hAnsi="Arial" w:cs="Arial"/>
          <w:b/>
          <w:bCs/>
          <w:sz w:val="28"/>
          <w:szCs w:val="28"/>
        </w:rPr>
        <w:t>0014</w:t>
      </w:r>
    </w:p>
    <w:p w14:paraId="63C86BE8" w14:textId="77777777" w:rsidR="00511EC2" w:rsidRDefault="00511EC2" w:rsidP="00511EC2">
      <w:pPr>
        <w:spacing w:after="0" w:line="240" w:lineRule="auto"/>
        <w:rPr>
          <w:rFonts w:ascii="Arial" w:eastAsia="Calibri" w:hAnsi="Arial" w:cs="Arial"/>
          <w:lang w:val="en-US"/>
        </w:rPr>
      </w:pPr>
    </w:p>
    <w:p w14:paraId="2A0CB1B0" w14:textId="26922FEA"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2128AD">
        <w:rPr>
          <w:rFonts w:ascii="Arial" w:eastAsia="Calibri" w:hAnsi="Arial" w:cs="Arial"/>
          <w:sz w:val="24"/>
          <w:szCs w:val="24"/>
        </w:rPr>
        <w:t xml:space="preserve">Cooperative Hydro Embrun Inc.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42030725" w:rsidR="00D57E8C" w:rsidRDefault="00D57E8C" w:rsidP="008F1549">
      <w:pPr>
        <w:spacing w:after="0" w:line="240" w:lineRule="auto"/>
        <w:rPr>
          <w:rFonts w:ascii="Arial" w:hAnsi="Arial" w:cs="Arial"/>
          <w:b/>
          <w:sz w:val="24"/>
          <w:szCs w:val="24"/>
        </w:rPr>
      </w:pPr>
      <w:r>
        <w:rPr>
          <w:rFonts w:ascii="Arial" w:hAnsi="Arial" w:cs="Arial"/>
          <w:b/>
          <w:sz w:val="24"/>
          <w:szCs w:val="24"/>
        </w:rPr>
        <w:t xml:space="preserve">Staff </w:t>
      </w:r>
      <w:r w:rsidR="008F1549">
        <w:rPr>
          <w:rFonts w:ascii="Arial" w:hAnsi="Arial" w:cs="Arial"/>
          <w:b/>
          <w:sz w:val="24"/>
          <w:szCs w:val="24"/>
        </w:rPr>
        <w:t>f</w:t>
      </w:r>
      <w:r w:rsidR="002128AD">
        <w:rPr>
          <w:rFonts w:ascii="Arial" w:hAnsi="Arial" w:cs="Arial"/>
          <w:b/>
          <w:sz w:val="24"/>
          <w:szCs w:val="24"/>
        </w:rPr>
        <w:t xml:space="preserve">ollow-up </w:t>
      </w:r>
      <w:r>
        <w:rPr>
          <w:rFonts w:ascii="Arial" w:hAnsi="Arial" w:cs="Arial"/>
          <w:b/>
          <w:sz w:val="24"/>
          <w:szCs w:val="24"/>
        </w:rPr>
        <w:t>Question-1</w:t>
      </w:r>
    </w:p>
    <w:p w14:paraId="51712724" w14:textId="7631AD41" w:rsidR="008F1549" w:rsidRDefault="008F1549" w:rsidP="008F1549">
      <w:pPr>
        <w:spacing w:after="0" w:line="240" w:lineRule="auto"/>
        <w:rPr>
          <w:rFonts w:ascii="Arial" w:hAnsi="Arial" w:cs="Arial"/>
          <w:b/>
          <w:bCs/>
          <w:sz w:val="24"/>
          <w:szCs w:val="24"/>
        </w:rPr>
      </w:pPr>
      <w:r w:rsidRPr="008F1549">
        <w:rPr>
          <w:rFonts w:ascii="Arial" w:hAnsi="Arial" w:cs="Arial"/>
          <w:b/>
          <w:bCs/>
          <w:sz w:val="24"/>
          <w:szCs w:val="24"/>
        </w:rPr>
        <w:t>Ref: Staff Question #3 a)</w:t>
      </w:r>
    </w:p>
    <w:p w14:paraId="6AD07B8A" w14:textId="77777777" w:rsidR="008F1549" w:rsidRPr="008F1549" w:rsidRDefault="008F1549" w:rsidP="008F1549">
      <w:pPr>
        <w:spacing w:after="0" w:line="240" w:lineRule="auto"/>
        <w:rPr>
          <w:rFonts w:ascii="Arial" w:hAnsi="Arial" w:cs="Arial"/>
          <w:b/>
          <w:bCs/>
          <w:sz w:val="24"/>
          <w:szCs w:val="24"/>
        </w:rPr>
      </w:pPr>
    </w:p>
    <w:p w14:paraId="3D6A4E3B" w14:textId="7060CA0F" w:rsidR="008F1549" w:rsidRDefault="008F1549" w:rsidP="008F1549">
      <w:pPr>
        <w:rPr>
          <w:rFonts w:ascii="Arial" w:hAnsi="Arial" w:cs="Arial"/>
          <w:bCs/>
          <w:sz w:val="24"/>
          <w:szCs w:val="24"/>
        </w:rPr>
      </w:pPr>
      <w:r>
        <w:rPr>
          <w:noProof/>
        </w:rPr>
        <w:drawing>
          <wp:anchor distT="0" distB="0" distL="114300" distR="114300" simplePos="0" relativeHeight="251659264" behindDoc="0" locked="0" layoutInCell="1" allowOverlap="1" wp14:anchorId="19770554" wp14:editId="791DEC5D">
            <wp:simplePos x="0" y="0"/>
            <wp:positionH relativeFrom="column">
              <wp:align>left</wp:align>
            </wp:positionH>
            <wp:positionV relativeFrom="paragraph">
              <wp:align>top</wp:align>
            </wp:positionV>
            <wp:extent cx="5943600" cy="581025"/>
            <wp:effectExtent l="19050" t="19050" r="19050" b="285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br w:type="textWrapping" w:clear="all"/>
      </w:r>
      <w:r>
        <w:rPr>
          <w:rFonts w:ascii="Arial" w:hAnsi="Arial" w:cs="Arial"/>
          <w:bCs/>
          <w:sz w:val="24"/>
          <w:szCs w:val="24"/>
        </w:rPr>
        <w:t>Please note that the earliest vintage year is the “rate application year”.</w:t>
      </w:r>
    </w:p>
    <w:p w14:paraId="0DC7F713" w14:textId="6D70A5A2" w:rsidR="008F1549" w:rsidRDefault="008F1549" w:rsidP="008F1549">
      <w:pPr>
        <w:pStyle w:val="ListParagraph"/>
        <w:numPr>
          <w:ilvl w:val="0"/>
          <w:numId w:val="29"/>
        </w:numPr>
        <w:spacing w:line="252" w:lineRule="auto"/>
        <w:ind w:left="360"/>
        <w:rPr>
          <w:rFonts w:ascii="Arial" w:hAnsi="Arial" w:cs="Arial"/>
          <w:bCs/>
          <w:sz w:val="24"/>
          <w:szCs w:val="24"/>
        </w:rPr>
      </w:pPr>
      <w:r w:rsidRPr="008F1549">
        <w:rPr>
          <w:rFonts w:ascii="Arial" w:hAnsi="Arial" w:cs="Arial"/>
          <w:bCs/>
          <w:sz w:val="24"/>
          <w:szCs w:val="24"/>
        </w:rPr>
        <w:t>Please confirm the earliest vintage year for Account 1595 in cell F47 and make the necessary updates to the model. If the earliest vintage year is 2018, please note that in Tab 3 - Continuity Schedule, the earliest vintage year in which Cooperative Hydro Embrun reported a balance in Account 1595 is 2019. Please revise the IRM model as necessary.</w:t>
      </w:r>
    </w:p>
    <w:p w14:paraId="09C972C2" w14:textId="7D3A1C63" w:rsidR="00217013" w:rsidRPr="00217013" w:rsidRDefault="00217013" w:rsidP="00217013">
      <w:pPr>
        <w:ind w:left="360"/>
        <w:rPr>
          <w:rFonts w:ascii="Arial" w:hAnsi="Arial" w:cs="Arial"/>
          <w:sz w:val="24"/>
          <w:szCs w:val="24"/>
        </w:rPr>
      </w:pPr>
      <w:r w:rsidRPr="00217013">
        <w:rPr>
          <w:rFonts w:ascii="Arial" w:hAnsi="Arial" w:cs="Arial"/>
          <w:bCs/>
          <w:color w:val="FF0000"/>
          <w:sz w:val="24"/>
          <w:szCs w:val="24"/>
        </w:rPr>
        <w:t xml:space="preserve">CHEI believes that the </w:t>
      </w:r>
      <w:r>
        <w:rPr>
          <w:rFonts w:ascii="Arial" w:hAnsi="Arial" w:cs="Arial"/>
          <w:bCs/>
          <w:color w:val="FF0000"/>
          <w:sz w:val="24"/>
          <w:szCs w:val="24"/>
        </w:rPr>
        <w:t xml:space="preserve">earliest vintage year for account 1595 is for 2018 rate </w:t>
      </w:r>
      <w:r w:rsidR="00195DC5">
        <w:rPr>
          <w:rFonts w:ascii="Arial" w:hAnsi="Arial" w:cs="Arial"/>
          <w:bCs/>
          <w:color w:val="FF0000"/>
          <w:sz w:val="24"/>
          <w:szCs w:val="24"/>
        </w:rPr>
        <w:t xml:space="preserve">application </w:t>
      </w:r>
      <w:r>
        <w:rPr>
          <w:rFonts w:ascii="Arial" w:hAnsi="Arial" w:cs="Arial"/>
          <w:bCs/>
          <w:color w:val="FF0000"/>
          <w:sz w:val="24"/>
          <w:szCs w:val="24"/>
        </w:rPr>
        <w:t xml:space="preserve">year </w:t>
      </w:r>
      <w:r w:rsidR="00195DC5">
        <w:rPr>
          <w:rFonts w:ascii="Arial" w:hAnsi="Arial" w:cs="Arial"/>
          <w:bCs/>
          <w:color w:val="FF0000"/>
          <w:sz w:val="24"/>
          <w:szCs w:val="24"/>
        </w:rPr>
        <w:t xml:space="preserve">for </w:t>
      </w:r>
      <w:r>
        <w:rPr>
          <w:rFonts w:ascii="Arial" w:hAnsi="Arial" w:cs="Arial"/>
          <w:bCs/>
          <w:color w:val="FF0000"/>
          <w:sz w:val="24"/>
          <w:szCs w:val="24"/>
        </w:rPr>
        <w:t>2016 balances.</w:t>
      </w:r>
      <w:r w:rsidR="00195DC5">
        <w:rPr>
          <w:rFonts w:ascii="Arial" w:hAnsi="Arial" w:cs="Arial"/>
          <w:bCs/>
          <w:color w:val="FF0000"/>
          <w:sz w:val="24"/>
          <w:szCs w:val="24"/>
        </w:rPr>
        <w:t xml:space="preserve"> The model has been modified to show 2018  in the highlighted cell above. </w:t>
      </w:r>
    </w:p>
    <w:p w14:paraId="158F1E82" w14:textId="77777777" w:rsidR="00217013" w:rsidRPr="00217013" w:rsidRDefault="00217013" w:rsidP="00217013">
      <w:pPr>
        <w:spacing w:line="252" w:lineRule="auto"/>
        <w:rPr>
          <w:rFonts w:ascii="Arial" w:hAnsi="Arial" w:cs="Arial"/>
          <w:bCs/>
          <w:sz w:val="24"/>
          <w:szCs w:val="24"/>
        </w:rPr>
      </w:pPr>
    </w:p>
    <w:p w14:paraId="4B5E4953" w14:textId="5E05AE7D" w:rsidR="008F1549" w:rsidRDefault="008F1549" w:rsidP="008F1549">
      <w:pPr>
        <w:pStyle w:val="ListParagraph"/>
        <w:rPr>
          <w:rFonts w:ascii="Arial" w:hAnsi="Arial" w:cs="Arial"/>
          <w:bCs/>
          <w:sz w:val="24"/>
          <w:szCs w:val="24"/>
        </w:rPr>
      </w:pPr>
    </w:p>
    <w:p w14:paraId="08F2783E" w14:textId="77777777" w:rsidR="008F1549" w:rsidRDefault="008F1549" w:rsidP="008F1549">
      <w:pPr>
        <w:spacing w:after="0" w:line="240" w:lineRule="auto"/>
        <w:rPr>
          <w:rFonts w:ascii="Arial" w:hAnsi="Arial" w:cs="Arial"/>
          <w:b/>
          <w:bCs/>
          <w:sz w:val="24"/>
          <w:szCs w:val="24"/>
        </w:rPr>
      </w:pPr>
      <w:r>
        <w:rPr>
          <w:rFonts w:ascii="Arial" w:hAnsi="Arial" w:cs="Arial"/>
          <w:b/>
          <w:bCs/>
          <w:sz w:val="24"/>
          <w:szCs w:val="24"/>
        </w:rPr>
        <w:t>Staff follow-up Question-2</w:t>
      </w:r>
    </w:p>
    <w:p w14:paraId="7712F630" w14:textId="4D852BE9" w:rsidR="008F1549" w:rsidRPr="008F1549" w:rsidRDefault="008F1549" w:rsidP="008F1549">
      <w:pPr>
        <w:spacing w:after="0" w:line="240" w:lineRule="auto"/>
        <w:rPr>
          <w:rFonts w:ascii="Arial" w:hAnsi="Arial" w:cs="Arial"/>
          <w:b/>
          <w:bCs/>
          <w:sz w:val="24"/>
          <w:szCs w:val="24"/>
        </w:rPr>
      </w:pPr>
      <w:r w:rsidRPr="008F1549">
        <w:rPr>
          <w:rFonts w:ascii="Arial" w:hAnsi="Arial" w:cs="Arial"/>
          <w:b/>
          <w:bCs/>
          <w:sz w:val="24"/>
          <w:szCs w:val="24"/>
        </w:rPr>
        <w:t>Ref: Staff Question #5 a)</w:t>
      </w:r>
    </w:p>
    <w:p w14:paraId="2D7B8DD8" w14:textId="77777777" w:rsidR="008F1549" w:rsidRDefault="008F1549" w:rsidP="008F1549">
      <w:pPr>
        <w:rPr>
          <w:rFonts w:ascii="Arial" w:hAnsi="Arial" w:cs="Arial"/>
          <w:b/>
          <w:sz w:val="24"/>
          <w:szCs w:val="24"/>
        </w:rPr>
      </w:pPr>
      <w:r>
        <w:rPr>
          <w:rFonts w:ascii="Arial" w:hAnsi="Arial" w:cs="Arial"/>
          <w:b/>
          <w:sz w:val="24"/>
          <w:szCs w:val="24"/>
        </w:rPr>
        <w:t>Ref: Rate Generator Model, Tab 8. STS - Tax Change</w:t>
      </w:r>
    </w:p>
    <w:p w14:paraId="77FD5B6D" w14:textId="77777777" w:rsidR="008F1549" w:rsidRPr="008F1549" w:rsidRDefault="008F1549" w:rsidP="008F1549">
      <w:pPr>
        <w:spacing w:after="120"/>
        <w:rPr>
          <w:rFonts w:ascii="Arial" w:hAnsi="Arial" w:cs="Arial"/>
          <w:bCs/>
          <w:sz w:val="24"/>
          <w:szCs w:val="24"/>
        </w:rPr>
      </w:pPr>
      <w:r w:rsidRPr="008F1549">
        <w:rPr>
          <w:rFonts w:ascii="Arial" w:hAnsi="Arial" w:cs="Arial"/>
          <w:bCs/>
          <w:sz w:val="24"/>
          <w:szCs w:val="24"/>
        </w:rPr>
        <w:t>A portion of 2018 Cost of Service Application, EB-2017-0035, RRWF is reproduced below:</w:t>
      </w:r>
    </w:p>
    <w:p w14:paraId="4DA95B22" w14:textId="747A4569" w:rsidR="008F1549" w:rsidRDefault="008F1549" w:rsidP="008F1549">
      <w:pPr>
        <w:spacing w:after="120"/>
        <w:ind w:firstLine="720"/>
        <w:rPr>
          <w:noProof/>
        </w:rPr>
      </w:pPr>
      <w:r>
        <w:rPr>
          <w:noProof/>
        </w:rPr>
        <w:lastRenderedPageBreak/>
        <w:drawing>
          <wp:inline distT="0" distB="0" distL="0" distR="0" wp14:anchorId="0614305A" wp14:editId="589206A7">
            <wp:extent cx="4422430" cy="2126641"/>
            <wp:effectExtent l="19050" t="19050" r="1651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721" cy="2141207"/>
                    </a:xfrm>
                    <a:prstGeom prst="rect">
                      <a:avLst/>
                    </a:prstGeom>
                    <a:noFill/>
                    <a:ln w="9525" cmpd="sng">
                      <a:solidFill>
                        <a:srgbClr val="000000"/>
                      </a:solidFill>
                      <a:miter lim="800000"/>
                      <a:headEnd/>
                      <a:tailEnd/>
                    </a:ln>
                    <a:effectLst/>
                  </pic:spPr>
                </pic:pic>
              </a:graphicData>
            </a:graphic>
          </wp:inline>
        </w:drawing>
      </w:r>
      <w:r>
        <w:rPr>
          <w:rFonts w:ascii="Arial" w:hAnsi="Arial" w:cs="Arial"/>
          <w:b/>
          <w:sz w:val="24"/>
          <w:szCs w:val="24"/>
        </w:rPr>
        <w:tab/>
      </w:r>
    </w:p>
    <w:p w14:paraId="751A0EF9" w14:textId="3A86F4E6" w:rsidR="008F1549" w:rsidRDefault="008F1549" w:rsidP="008F1549">
      <w:pPr>
        <w:spacing w:after="120"/>
        <w:ind w:firstLine="720"/>
        <w:rPr>
          <w:rFonts w:ascii="Arial" w:hAnsi="Arial" w:cs="Arial"/>
          <w:b/>
          <w:sz w:val="24"/>
          <w:szCs w:val="24"/>
        </w:rPr>
      </w:pPr>
      <w:r>
        <w:rPr>
          <w:noProof/>
        </w:rPr>
        <w:drawing>
          <wp:inline distT="0" distB="0" distL="0" distR="0" wp14:anchorId="4F8F8F16" wp14:editId="204BFB63">
            <wp:extent cx="4207929" cy="3033860"/>
            <wp:effectExtent l="19050" t="19050" r="2159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188" cy="3056397"/>
                    </a:xfrm>
                    <a:prstGeom prst="rect">
                      <a:avLst/>
                    </a:prstGeom>
                    <a:noFill/>
                    <a:ln w="9525" cmpd="sng">
                      <a:solidFill>
                        <a:srgbClr val="000000"/>
                      </a:solidFill>
                      <a:miter lim="800000"/>
                      <a:headEnd/>
                      <a:tailEnd/>
                    </a:ln>
                    <a:effectLst/>
                  </pic:spPr>
                </pic:pic>
              </a:graphicData>
            </a:graphic>
          </wp:inline>
        </w:drawing>
      </w:r>
    </w:p>
    <w:p w14:paraId="154BC562" w14:textId="4C70CDDF" w:rsidR="008F1549" w:rsidRDefault="008F1549" w:rsidP="008F1549">
      <w:pPr>
        <w:rPr>
          <w:rFonts w:ascii="Arial" w:hAnsi="Arial" w:cs="Arial"/>
          <w:sz w:val="24"/>
          <w:szCs w:val="24"/>
        </w:rPr>
      </w:pPr>
      <w:r>
        <w:rPr>
          <w:rFonts w:ascii="Arial" w:hAnsi="Arial" w:cs="Arial"/>
          <w:sz w:val="24"/>
          <w:szCs w:val="24"/>
        </w:rPr>
        <w:t xml:space="preserve">OEB staff is unable to reconcile the Total Rate Base amount of $5,206,518. OEB staff notes that the Total Rate Base approved in Cooperative Hydro Embrun’s previous cost of service application, which is also shown in the Manager’s summary, page 62 of 76, was $4,680,408. </w:t>
      </w:r>
    </w:p>
    <w:p w14:paraId="1E96C75E" w14:textId="50B52B6B" w:rsidR="004D0F77" w:rsidRPr="004D0F77" w:rsidRDefault="004D0F77" w:rsidP="008F1549">
      <w:pPr>
        <w:rPr>
          <w:rFonts w:ascii="Arial" w:hAnsi="Arial" w:cs="Arial"/>
          <w:color w:val="FF0000"/>
          <w:sz w:val="24"/>
          <w:szCs w:val="24"/>
        </w:rPr>
      </w:pPr>
      <w:r w:rsidRPr="004D0F77">
        <w:rPr>
          <w:rFonts w:ascii="Arial" w:hAnsi="Arial" w:cs="Arial"/>
          <w:color w:val="FF0000"/>
          <w:sz w:val="24"/>
          <w:szCs w:val="24"/>
        </w:rPr>
        <w:t xml:space="preserve">CHEI </w:t>
      </w:r>
      <w:r>
        <w:rPr>
          <w:rFonts w:ascii="Arial" w:hAnsi="Arial" w:cs="Arial"/>
          <w:color w:val="FF0000"/>
          <w:sz w:val="24"/>
          <w:szCs w:val="24"/>
        </w:rPr>
        <w:t>has updated the model to reflect the rate base approved in its last Cost of Service therefore $4,680,408</w:t>
      </w:r>
    </w:p>
    <w:p w14:paraId="16DFEE9C" w14:textId="5B9EA97E" w:rsidR="008F1549" w:rsidRDefault="008F1549" w:rsidP="00B622DC">
      <w:pPr>
        <w:tabs>
          <w:tab w:val="left" w:pos="360"/>
        </w:tabs>
        <w:spacing w:after="0" w:line="240" w:lineRule="auto"/>
        <w:jc w:val="both"/>
        <w:rPr>
          <w:rFonts w:ascii="Arial" w:hAnsi="Arial" w:cs="Arial"/>
          <w:bCs/>
          <w:color w:val="FF0000"/>
          <w:sz w:val="24"/>
          <w:szCs w:val="24"/>
        </w:rPr>
      </w:pPr>
      <w:r>
        <w:rPr>
          <w:rFonts w:ascii="Arial" w:hAnsi="Arial" w:cs="Arial"/>
          <w:sz w:val="24"/>
          <w:szCs w:val="24"/>
        </w:rPr>
        <w:t xml:space="preserve">OEB staff is also unable to reconcile the Taxable Income amount of $17,548. OEB staff notes that the Taxable Income amount approved in Cooperative Hydro Embrun’s previous cost of service application was $27,218. </w:t>
      </w:r>
      <w:r>
        <w:rPr>
          <w:rFonts w:ascii="Arial" w:hAnsi="Arial" w:cs="Arial"/>
          <w:color w:val="FF0000"/>
          <w:sz w:val="24"/>
          <w:szCs w:val="24"/>
        </w:rPr>
        <w:t>(</w:t>
      </w:r>
      <w:r w:rsidR="00B622DC" w:rsidRPr="00363B87">
        <w:rPr>
          <w:rFonts w:ascii="Arial" w:hAnsi="Arial" w:cs="Arial"/>
          <w:bCs/>
          <w:color w:val="FF0000"/>
          <w:sz w:val="24"/>
          <w:szCs w:val="24"/>
        </w:rPr>
        <w:t xml:space="preserve">CHEI Response: </w:t>
      </w:r>
      <w:r w:rsidR="00B622DC">
        <w:rPr>
          <w:rFonts w:ascii="Arial" w:hAnsi="Arial" w:cs="Arial"/>
          <w:bCs/>
          <w:color w:val="FF0000"/>
          <w:sz w:val="24"/>
          <w:szCs w:val="24"/>
        </w:rPr>
        <w:t xml:space="preserve">CHEI amount of 17,548 is incorrect. However, CHEI cannot reconcile Board Staff’s amount of 27,218. The PILs model filed as part of the settlement agreement (RESS) shows a Regulatory Taxable income of $23,099 (tab T0 PILs, Tax Provision). </w:t>
      </w:r>
    </w:p>
    <w:p w14:paraId="003473E0" w14:textId="77777777" w:rsidR="00B622DC" w:rsidRPr="00B622DC" w:rsidRDefault="00B622DC" w:rsidP="00B622DC">
      <w:pPr>
        <w:tabs>
          <w:tab w:val="left" w:pos="360"/>
        </w:tabs>
        <w:spacing w:after="0" w:line="240" w:lineRule="auto"/>
        <w:ind w:left="360"/>
        <w:jc w:val="both"/>
        <w:rPr>
          <w:rFonts w:ascii="Arial" w:hAnsi="Arial" w:cs="Arial"/>
          <w:bCs/>
          <w:color w:val="FF0000"/>
          <w:sz w:val="24"/>
          <w:szCs w:val="24"/>
        </w:rPr>
      </w:pPr>
    </w:p>
    <w:p w14:paraId="1E360A1A" w14:textId="77777777" w:rsidR="00EE6021" w:rsidRDefault="008F1549" w:rsidP="00EE6021">
      <w:pPr>
        <w:ind w:left="720"/>
        <w:rPr>
          <w:rFonts w:ascii="Arial" w:hAnsi="Arial" w:cs="Arial"/>
          <w:bCs/>
          <w:color w:val="FF0000"/>
          <w:sz w:val="24"/>
          <w:szCs w:val="24"/>
        </w:rPr>
      </w:pPr>
      <w:r>
        <w:rPr>
          <w:rFonts w:ascii="Arial" w:hAnsi="Arial" w:cs="Arial"/>
          <w:sz w:val="24"/>
          <w:szCs w:val="24"/>
        </w:rPr>
        <w:lastRenderedPageBreak/>
        <w:t>OEB staff is also unable to reconcile the Corporate Effective Tax Rate entered on tab 8 to Cooperative Hydro Embrun’s previous OEB-approved RRWF.</w:t>
      </w:r>
      <w:r w:rsidR="00EE6021" w:rsidRPr="00EE6021">
        <w:rPr>
          <w:rFonts w:ascii="Arial" w:hAnsi="Arial" w:cs="Arial"/>
          <w:bCs/>
          <w:color w:val="FF0000"/>
          <w:sz w:val="24"/>
          <w:szCs w:val="24"/>
        </w:rPr>
        <w:t xml:space="preserve"> </w:t>
      </w:r>
    </w:p>
    <w:p w14:paraId="27D19E61" w14:textId="6BF8DF6C" w:rsidR="008F1549" w:rsidRDefault="00EE6021" w:rsidP="00EE6021">
      <w:pPr>
        <w:ind w:left="720"/>
        <w:rPr>
          <w:rFonts w:ascii="Arial" w:hAnsi="Arial" w:cs="Arial"/>
          <w:sz w:val="24"/>
          <w:szCs w:val="24"/>
        </w:rPr>
      </w:pPr>
      <w:r>
        <w:rPr>
          <w:rFonts w:ascii="Arial" w:hAnsi="Arial" w:cs="Arial"/>
          <w:bCs/>
          <w:color w:val="FF0000"/>
          <w:sz w:val="24"/>
          <w:szCs w:val="24"/>
        </w:rPr>
        <w:t>CHEI believes that the combined tax rate should have indicated 15% rather than 14.5%</w:t>
      </w:r>
    </w:p>
    <w:p w14:paraId="77E73B42" w14:textId="2ADFAD51" w:rsidR="008F1549" w:rsidRDefault="008F1549" w:rsidP="00807FBE">
      <w:pPr>
        <w:pStyle w:val="ListParagraph"/>
        <w:numPr>
          <w:ilvl w:val="0"/>
          <w:numId w:val="30"/>
        </w:numPr>
        <w:rPr>
          <w:rFonts w:ascii="Arial" w:hAnsi="Arial" w:cs="Arial"/>
          <w:sz w:val="24"/>
          <w:szCs w:val="24"/>
        </w:rPr>
      </w:pPr>
      <w:r w:rsidRPr="00EE0BF6">
        <w:rPr>
          <w:rFonts w:ascii="Arial" w:hAnsi="Arial" w:cs="Arial"/>
          <w:sz w:val="24"/>
          <w:szCs w:val="24"/>
        </w:rPr>
        <w:t xml:space="preserve">Please provide </w:t>
      </w:r>
      <w:r w:rsidR="00B622DC">
        <w:rPr>
          <w:rFonts w:ascii="Arial" w:hAnsi="Arial" w:cs="Arial"/>
          <w:sz w:val="24"/>
          <w:szCs w:val="24"/>
        </w:rPr>
        <w:t>a copy of the PILS model as indicated in Cooperative Hydro Embrun’s response dated October 19, 2021</w:t>
      </w:r>
      <w:r w:rsidRPr="00EE0BF6">
        <w:rPr>
          <w:rFonts w:ascii="Arial" w:hAnsi="Arial" w:cs="Arial"/>
          <w:sz w:val="24"/>
          <w:szCs w:val="24"/>
        </w:rPr>
        <w:t>.</w:t>
      </w:r>
    </w:p>
    <w:p w14:paraId="6208D178" w14:textId="59B2E8D9" w:rsidR="00EE6021" w:rsidRPr="00EE6021" w:rsidRDefault="00EE6021" w:rsidP="00EE6021">
      <w:pPr>
        <w:ind w:left="720"/>
        <w:rPr>
          <w:rFonts w:ascii="Arial" w:hAnsi="Arial" w:cs="Arial"/>
          <w:sz w:val="24"/>
          <w:szCs w:val="24"/>
        </w:rPr>
      </w:pPr>
      <w:r>
        <w:rPr>
          <w:rFonts w:ascii="Arial" w:hAnsi="Arial" w:cs="Arial"/>
          <w:bCs/>
          <w:color w:val="FF0000"/>
          <w:sz w:val="24"/>
          <w:szCs w:val="24"/>
        </w:rPr>
        <w:t>CHEI has attached the PILs model which was filed as part of the settlement agreement. The 23,099 can be found at T0 and T1 (cell F116)</w:t>
      </w:r>
    </w:p>
    <w:p w14:paraId="1DFC5FB0" w14:textId="77777777" w:rsidR="005A3F13" w:rsidRDefault="005A3F13" w:rsidP="005A3F13">
      <w:pPr>
        <w:pStyle w:val="ListParagraph"/>
        <w:rPr>
          <w:rFonts w:ascii="Arial" w:hAnsi="Arial" w:cs="Arial"/>
          <w:sz w:val="24"/>
          <w:szCs w:val="24"/>
        </w:rPr>
      </w:pPr>
    </w:p>
    <w:p w14:paraId="7925DFA1" w14:textId="62A4BE37" w:rsidR="00EE6021" w:rsidRPr="000C703B" w:rsidRDefault="005A3F13" w:rsidP="000C703B">
      <w:pPr>
        <w:pStyle w:val="ListParagraph"/>
        <w:numPr>
          <w:ilvl w:val="0"/>
          <w:numId w:val="30"/>
        </w:numPr>
        <w:spacing w:after="0"/>
        <w:rPr>
          <w:rFonts w:ascii="Arial" w:hAnsi="Arial" w:cs="Arial"/>
          <w:sz w:val="24"/>
          <w:szCs w:val="24"/>
        </w:rPr>
      </w:pPr>
      <w:r>
        <w:rPr>
          <w:rFonts w:ascii="Arial" w:hAnsi="Arial" w:cs="Arial"/>
          <w:sz w:val="24"/>
          <w:szCs w:val="24"/>
        </w:rPr>
        <w:t>Please confirm that the entire 50/50 sharing amount will be transferred to Account 1595 for disposition at a future date.</w:t>
      </w:r>
    </w:p>
    <w:p w14:paraId="09681623" w14:textId="01448D8B" w:rsidR="00EE6021" w:rsidRPr="00EE6021" w:rsidRDefault="00EE6021" w:rsidP="00EE6021">
      <w:pPr>
        <w:spacing w:after="0"/>
        <w:ind w:left="720"/>
        <w:rPr>
          <w:rFonts w:ascii="Arial" w:hAnsi="Arial" w:cs="Arial"/>
          <w:sz w:val="24"/>
          <w:szCs w:val="24"/>
        </w:rPr>
      </w:pPr>
      <w:r w:rsidRPr="00EE6021">
        <w:rPr>
          <w:rFonts w:ascii="Arial" w:hAnsi="Arial" w:cs="Arial"/>
          <w:bCs/>
          <w:color w:val="FF0000"/>
          <w:sz w:val="24"/>
          <w:szCs w:val="24"/>
        </w:rPr>
        <w:t xml:space="preserve">CHEI Response: </w:t>
      </w:r>
      <w:r>
        <w:rPr>
          <w:rFonts w:ascii="Arial" w:hAnsi="Arial" w:cs="Arial"/>
          <w:bCs/>
          <w:color w:val="FF0000"/>
          <w:sz w:val="24"/>
          <w:szCs w:val="24"/>
        </w:rPr>
        <w:t xml:space="preserve">CHEI confirms that the tax sharing amount will be transferred to account 1595 to be disposed of at a future date. </w:t>
      </w:r>
    </w:p>
    <w:p w14:paraId="46D9140F" w14:textId="45F49054" w:rsidR="005A3F13" w:rsidRPr="005A3F13" w:rsidRDefault="005A3F13" w:rsidP="00EE6021">
      <w:pPr>
        <w:pStyle w:val="ListParagraph"/>
        <w:ind w:left="1080"/>
        <w:rPr>
          <w:rFonts w:ascii="Arial" w:hAnsi="Arial" w:cs="Arial"/>
          <w:sz w:val="24"/>
          <w:szCs w:val="24"/>
        </w:rPr>
      </w:pPr>
    </w:p>
    <w:sectPr w:rsidR="005A3F13" w:rsidRPr="005A3F13"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2D417A"/>
    <w:multiLevelType w:val="hybridMultilevel"/>
    <w:tmpl w:val="9FE0D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405906"/>
    <w:multiLevelType w:val="hybridMultilevel"/>
    <w:tmpl w:val="AC98A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584B7A"/>
    <w:multiLevelType w:val="hybridMultilevel"/>
    <w:tmpl w:val="65526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F363D6"/>
    <w:multiLevelType w:val="hybridMultilevel"/>
    <w:tmpl w:val="525C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2"/>
  </w:num>
  <w:num w:numId="4">
    <w:abstractNumId w:val="29"/>
  </w:num>
  <w:num w:numId="5">
    <w:abstractNumId w:val="12"/>
  </w:num>
  <w:num w:numId="6">
    <w:abstractNumId w:val="9"/>
  </w:num>
  <w:num w:numId="7">
    <w:abstractNumId w:val="18"/>
  </w:num>
  <w:num w:numId="8">
    <w:abstractNumId w:val="13"/>
  </w:num>
  <w:num w:numId="9">
    <w:abstractNumId w:val="14"/>
  </w:num>
  <w:num w:numId="10">
    <w:abstractNumId w:val="6"/>
  </w:num>
  <w:num w:numId="11">
    <w:abstractNumId w:val="17"/>
  </w:num>
  <w:num w:numId="12">
    <w:abstractNumId w:val="24"/>
  </w:num>
  <w:num w:numId="13">
    <w:abstractNumId w:val="5"/>
  </w:num>
  <w:num w:numId="14">
    <w:abstractNumId w:val="1"/>
  </w:num>
  <w:num w:numId="15">
    <w:abstractNumId w:val="28"/>
  </w:num>
  <w:num w:numId="16">
    <w:abstractNumId w:val="8"/>
  </w:num>
  <w:num w:numId="17">
    <w:abstractNumId w:val="20"/>
  </w:num>
  <w:num w:numId="18">
    <w:abstractNumId w:val="26"/>
  </w:num>
  <w:num w:numId="19">
    <w:abstractNumId w:val="27"/>
  </w:num>
  <w:num w:numId="20">
    <w:abstractNumId w:val="11"/>
  </w:num>
  <w:num w:numId="21">
    <w:abstractNumId w:val="25"/>
  </w:num>
  <w:num w:numId="22">
    <w:abstractNumId w:val="10"/>
  </w:num>
  <w:num w:numId="23">
    <w:abstractNumId w:val="23"/>
  </w:num>
  <w:num w:numId="24">
    <w:abstractNumId w:val="21"/>
  </w:num>
  <w:num w:numId="25">
    <w:abstractNumId w:val="2"/>
  </w:num>
  <w:num w:numId="26">
    <w:abstractNumId w:val="16"/>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0"/>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MLc0MjIxNDQzNTNU0lEKTi0uzszPAykwrgUANVG94iwAAAA="/>
  </w:docVars>
  <w:rsids>
    <w:rsidRoot w:val="00DB6B52"/>
    <w:rsid w:val="0003073C"/>
    <w:rsid w:val="00035337"/>
    <w:rsid w:val="00054071"/>
    <w:rsid w:val="0006126D"/>
    <w:rsid w:val="00067F57"/>
    <w:rsid w:val="00071BEC"/>
    <w:rsid w:val="00074514"/>
    <w:rsid w:val="000832D4"/>
    <w:rsid w:val="00090160"/>
    <w:rsid w:val="000B3E7E"/>
    <w:rsid w:val="000C703B"/>
    <w:rsid w:val="000D223C"/>
    <w:rsid w:val="000E4006"/>
    <w:rsid w:val="000F1E3A"/>
    <w:rsid w:val="00133BE1"/>
    <w:rsid w:val="00164E99"/>
    <w:rsid w:val="00183CC8"/>
    <w:rsid w:val="00187E9B"/>
    <w:rsid w:val="001927C2"/>
    <w:rsid w:val="00195DC5"/>
    <w:rsid w:val="001A4DCD"/>
    <w:rsid w:val="00203092"/>
    <w:rsid w:val="002128AD"/>
    <w:rsid w:val="00217013"/>
    <w:rsid w:val="002208C0"/>
    <w:rsid w:val="00224C06"/>
    <w:rsid w:val="00252FEC"/>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4D0F77"/>
    <w:rsid w:val="00511EC2"/>
    <w:rsid w:val="005164F5"/>
    <w:rsid w:val="0052560F"/>
    <w:rsid w:val="005666F2"/>
    <w:rsid w:val="00572064"/>
    <w:rsid w:val="00584369"/>
    <w:rsid w:val="00587A35"/>
    <w:rsid w:val="005A3F13"/>
    <w:rsid w:val="005F4693"/>
    <w:rsid w:val="00623602"/>
    <w:rsid w:val="0064279A"/>
    <w:rsid w:val="00651C98"/>
    <w:rsid w:val="006A5D23"/>
    <w:rsid w:val="006E3D5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6045"/>
    <w:rsid w:val="008F1549"/>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22DC"/>
    <w:rsid w:val="00B6722A"/>
    <w:rsid w:val="00B82D78"/>
    <w:rsid w:val="00BA434C"/>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0BF6"/>
    <w:rsid w:val="00EE3753"/>
    <w:rsid w:val="00EE6021"/>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2660419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41362208">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4</cp:revision>
  <cp:lastPrinted>2014-09-29T14:43:00Z</cp:lastPrinted>
  <dcterms:created xsi:type="dcterms:W3CDTF">2021-10-21T17:32:00Z</dcterms:created>
  <dcterms:modified xsi:type="dcterms:W3CDTF">2021-10-21T17:45:00Z</dcterms:modified>
</cp:coreProperties>
</file>