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3C" w:rsidRPr="00A66E85" w:rsidRDefault="00F00F3C" w:rsidP="00F00F3C">
      <w:pPr>
        <w:pStyle w:val="Default"/>
        <w:jc w:val="center"/>
        <w:rPr>
          <w:b/>
          <w:bCs/>
          <w:sz w:val="22"/>
          <w:szCs w:val="22"/>
        </w:rPr>
      </w:pPr>
      <w:r w:rsidRPr="00A66E85">
        <w:rPr>
          <w:b/>
          <w:bCs/>
          <w:sz w:val="22"/>
          <w:szCs w:val="22"/>
        </w:rPr>
        <w:t xml:space="preserve">InnPower Corporation </w:t>
      </w:r>
    </w:p>
    <w:p w:rsidR="00F00F3C" w:rsidRPr="00A66E85" w:rsidRDefault="00F00F3C" w:rsidP="00F00F3C">
      <w:pPr>
        <w:pStyle w:val="Default"/>
        <w:jc w:val="center"/>
        <w:rPr>
          <w:b/>
          <w:bCs/>
          <w:sz w:val="22"/>
          <w:szCs w:val="22"/>
        </w:rPr>
      </w:pPr>
      <w:r w:rsidRPr="00A66E85">
        <w:rPr>
          <w:b/>
          <w:bCs/>
          <w:sz w:val="22"/>
          <w:szCs w:val="22"/>
        </w:rPr>
        <w:t>OEB Staff Questions</w:t>
      </w:r>
    </w:p>
    <w:p w:rsidR="00F00F3C" w:rsidRPr="00A66E85" w:rsidRDefault="00786965" w:rsidP="00F00F3C">
      <w:pPr>
        <w:pStyle w:val="Default"/>
        <w:jc w:val="center"/>
        <w:rPr>
          <w:b/>
          <w:bCs/>
          <w:sz w:val="22"/>
          <w:szCs w:val="22"/>
        </w:rPr>
      </w:pPr>
      <w:hyperlink r:id="rId7" w:tgtFrame="_blank" w:history="1">
        <w:r w:rsidR="00F00F3C" w:rsidRPr="00A66E85">
          <w:rPr>
            <w:sz w:val="22"/>
            <w:szCs w:val="22"/>
          </w:rPr>
          <w:t>EB-2021-0036</w:t>
        </w:r>
      </w:hyperlink>
    </w:p>
    <w:p w:rsidR="00F00F3C" w:rsidRPr="00A66E85" w:rsidRDefault="00F00F3C" w:rsidP="002749BD">
      <w:pPr>
        <w:pStyle w:val="Default"/>
        <w:rPr>
          <w:b/>
          <w:bCs/>
          <w:sz w:val="22"/>
          <w:szCs w:val="22"/>
        </w:rPr>
      </w:pPr>
    </w:p>
    <w:p w:rsidR="00F00F3C" w:rsidRPr="00A66E85" w:rsidRDefault="00F00F3C" w:rsidP="002749BD">
      <w:pPr>
        <w:pStyle w:val="Default"/>
        <w:rPr>
          <w:b/>
          <w:bCs/>
          <w:sz w:val="22"/>
          <w:szCs w:val="22"/>
        </w:rPr>
      </w:pPr>
    </w:p>
    <w:p w:rsidR="002749BD" w:rsidRPr="00A66E85" w:rsidRDefault="002749BD" w:rsidP="002749BD">
      <w:pPr>
        <w:pStyle w:val="Default"/>
        <w:rPr>
          <w:sz w:val="22"/>
          <w:szCs w:val="22"/>
        </w:rPr>
      </w:pPr>
      <w:r w:rsidRPr="00A66E85">
        <w:rPr>
          <w:b/>
          <w:bCs/>
          <w:sz w:val="22"/>
          <w:szCs w:val="22"/>
        </w:rPr>
        <w:t xml:space="preserve">Ref: Staff Question 2 &amp; 3 </w:t>
      </w:r>
    </w:p>
    <w:p w:rsidR="002749BD" w:rsidRPr="00A66E85" w:rsidRDefault="00215D89" w:rsidP="002749BD">
      <w:pPr>
        <w:pStyle w:val="Default"/>
        <w:rPr>
          <w:sz w:val="22"/>
          <w:szCs w:val="22"/>
        </w:rPr>
      </w:pPr>
      <w:r w:rsidRPr="00A66E85">
        <w:rPr>
          <w:b/>
          <w:bCs/>
          <w:sz w:val="22"/>
          <w:szCs w:val="22"/>
        </w:rPr>
        <w:t>InnPower</w:t>
      </w:r>
      <w:r w:rsidR="002749BD" w:rsidRPr="00A66E85">
        <w:rPr>
          <w:b/>
          <w:bCs/>
          <w:sz w:val="22"/>
          <w:szCs w:val="22"/>
        </w:rPr>
        <w:t xml:space="preserve">_2022_GA_Analysis_Workform_1.0_20210722_20210818.xlsb, Principal Adjustment tab </w:t>
      </w:r>
    </w:p>
    <w:p w:rsidR="002749BD" w:rsidRPr="00A66E85" w:rsidRDefault="002749BD" w:rsidP="002749BD">
      <w:pPr>
        <w:pStyle w:val="Default"/>
        <w:rPr>
          <w:sz w:val="22"/>
          <w:szCs w:val="22"/>
        </w:rPr>
      </w:pPr>
    </w:p>
    <w:p w:rsidR="002749BD" w:rsidRPr="00A66E85" w:rsidRDefault="002749BD" w:rsidP="002749BD">
      <w:pPr>
        <w:pStyle w:val="Default"/>
        <w:rPr>
          <w:sz w:val="22"/>
          <w:szCs w:val="22"/>
        </w:rPr>
      </w:pPr>
      <w:r w:rsidRPr="00A66E85">
        <w:rPr>
          <w:sz w:val="22"/>
          <w:szCs w:val="22"/>
        </w:rPr>
        <w:t>In res</w:t>
      </w:r>
      <w:r w:rsidR="005D1A1D">
        <w:rPr>
          <w:sz w:val="22"/>
          <w:szCs w:val="22"/>
        </w:rPr>
        <w:t>ponse to Staff Question 2.3 Inn</w:t>
      </w:r>
      <w:r w:rsidRPr="00A66E85">
        <w:rPr>
          <w:sz w:val="22"/>
          <w:szCs w:val="22"/>
        </w:rPr>
        <w:t xml:space="preserve">Power stated that: “The volume variances are recorded as a principal adjustment, as losses were not accounted for in both Account 1588 and 1589.” OEB Staff notes that accounts 1588 and 1589 would capture unaccounted for energy losses in accordance with the February 21, 2019, Accounting Guidance for Accounts 1588 and 1589. </w:t>
      </w:r>
    </w:p>
    <w:p w:rsidR="00C66FD5" w:rsidRPr="00A66E85" w:rsidRDefault="00C66FD5" w:rsidP="002749BD">
      <w:pPr>
        <w:pStyle w:val="Default"/>
        <w:rPr>
          <w:sz w:val="22"/>
          <w:szCs w:val="22"/>
        </w:rPr>
      </w:pPr>
    </w:p>
    <w:p w:rsidR="002749BD" w:rsidRPr="00A66E85" w:rsidRDefault="002749BD" w:rsidP="002749BD">
      <w:pPr>
        <w:pStyle w:val="Default"/>
        <w:rPr>
          <w:sz w:val="22"/>
          <w:szCs w:val="22"/>
        </w:rPr>
      </w:pPr>
      <w:r w:rsidRPr="00A66E85">
        <w:rPr>
          <w:sz w:val="22"/>
          <w:szCs w:val="22"/>
        </w:rPr>
        <w:t xml:space="preserve">Furthermore, as per the GA Analysis </w:t>
      </w:r>
      <w:proofErr w:type="spellStart"/>
      <w:r w:rsidRPr="00A66E85">
        <w:rPr>
          <w:sz w:val="22"/>
          <w:szCs w:val="22"/>
        </w:rPr>
        <w:t>Workform</w:t>
      </w:r>
      <w:proofErr w:type="spellEnd"/>
      <w:r w:rsidRPr="00A66E85">
        <w:rPr>
          <w:sz w:val="22"/>
          <w:szCs w:val="22"/>
        </w:rPr>
        <w:t xml:space="preserve"> Instructions applicable to 2022 rate applications, the GA deferral </w:t>
      </w:r>
      <w:proofErr w:type="gramStart"/>
      <w:r w:rsidRPr="00A66E85">
        <w:rPr>
          <w:sz w:val="22"/>
          <w:szCs w:val="22"/>
        </w:rPr>
        <w:t>is expected</w:t>
      </w:r>
      <w:proofErr w:type="gramEnd"/>
      <w:r w:rsidRPr="00A66E85">
        <w:rPr>
          <w:sz w:val="22"/>
          <w:szCs w:val="22"/>
        </w:rPr>
        <w:t xml:space="preserve"> to be a reconciling item for Account 1589. It </w:t>
      </w:r>
      <w:proofErr w:type="gramStart"/>
      <w:r w:rsidRPr="00A66E85">
        <w:rPr>
          <w:sz w:val="22"/>
          <w:szCs w:val="22"/>
        </w:rPr>
        <w:t>is not expected</w:t>
      </w:r>
      <w:proofErr w:type="gramEnd"/>
      <w:r w:rsidRPr="00A66E85">
        <w:rPr>
          <w:sz w:val="22"/>
          <w:szCs w:val="22"/>
        </w:rPr>
        <w:t xml:space="preserve"> to be a principal adjustment. The GA deferral was only applicable to non-RPP customers and therefore, is only expected to </w:t>
      </w:r>
      <w:proofErr w:type="gramStart"/>
      <w:r w:rsidRPr="00A66E85">
        <w:rPr>
          <w:sz w:val="22"/>
          <w:szCs w:val="22"/>
        </w:rPr>
        <w:t>impact</w:t>
      </w:r>
      <w:proofErr w:type="gramEnd"/>
      <w:r w:rsidRPr="00A66E85">
        <w:rPr>
          <w:sz w:val="22"/>
          <w:szCs w:val="22"/>
        </w:rPr>
        <w:t xml:space="preserve"> Account 1589. </w:t>
      </w:r>
    </w:p>
    <w:p w:rsidR="002749BD" w:rsidRPr="00A66E85" w:rsidRDefault="002749BD" w:rsidP="002749BD">
      <w:pPr>
        <w:pStyle w:val="Default"/>
        <w:rPr>
          <w:sz w:val="22"/>
          <w:szCs w:val="22"/>
        </w:rPr>
      </w:pPr>
    </w:p>
    <w:p w:rsidR="002749BD" w:rsidRPr="00A66E85" w:rsidRDefault="002749BD" w:rsidP="008A6A7E">
      <w:pPr>
        <w:pStyle w:val="Default"/>
        <w:numPr>
          <w:ilvl w:val="0"/>
          <w:numId w:val="1"/>
        </w:numPr>
        <w:rPr>
          <w:sz w:val="22"/>
          <w:szCs w:val="22"/>
        </w:rPr>
      </w:pPr>
      <w:r w:rsidRPr="00A66E85">
        <w:rPr>
          <w:sz w:val="22"/>
          <w:szCs w:val="22"/>
        </w:rPr>
        <w:t xml:space="preserve">Please explain why the Unaccounted for energy loss of $301,238 and the Impact of GA deferral of $26,939 were included as principal adjustments for Account 1589 in the reference above. </w:t>
      </w:r>
    </w:p>
    <w:p w:rsidR="00F27AC3" w:rsidRPr="00A66E85" w:rsidRDefault="00F27AC3" w:rsidP="008A6A7E">
      <w:pPr>
        <w:pStyle w:val="Default"/>
        <w:ind w:left="720"/>
        <w:rPr>
          <w:color w:val="FF0000"/>
          <w:sz w:val="22"/>
          <w:szCs w:val="22"/>
        </w:rPr>
      </w:pPr>
    </w:p>
    <w:p w:rsidR="008A6A7E" w:rsidRPr="00A66E85" w:rsidRDefault="00C66FD5" w:rsidP="008A6A7E">
      <w:pPr>
        <w:pStyle w:val="Default"/>
        <w:ind w:left="720"/>
        <w:rPr>
          <w:color w:val="FF0000"/>
          <w:sz w:val="22"/>
          <w:szCs w:val="22"/>
        </w:rPr>
      </w:pPr>
      <w:r w:rsidRPr="00A66E85">
        <w:rPr>
          <w:color w:val="FF0000"/>
          <w:sz w:val="22"/>
          <w:szCs w:val="22"/>
        </w:rPr>
        <w:t>Please refer to</w:t>
      </w:r>
      <w:r w:rsidR="00806273">
        <w:rPr>
          <w:color w:val="FF0000"/>
          <w:sz w:val="22"/>
          <w:szCs w:val="22"/>
        </w:rPr>
        <w:t xml:space="preserve"> the file</w:t>
      </w:r>
      <w:r w:rsidRPr="00A66E85">
        <w:rPr>
          <w:color w:val="FF0000"/>
          <w:sz w:val="22"/>
          <w:szCs w:val="22"/>
        </w:rPr>
        <w:t xml:space="preserve"> </w:t>
      </w:r>
      <w:r w:rsidR="00806273">
        <w:rPr>
          <w:color w:val="FF0000"/>
          <w:sz w:val="22"/>
          <w:szCs w:val="22"/>
        </w:rPr>
        <w:t>InnPower_2022_EB-2021-0036_Principal_Adjustments_20211122</w:t>
      </w:r>
      <w:r w:rsidRPr="00A66E85">
        <w:rPr>
          <w:color w:val="FF0000"/>
          <w:sz w:val="22"/>
          <w:szCs w:val="22"/>
        </w:rPr>
        <w:t xml:space="preserve">.  </w:t>
      </w:r>
    </w:p>
    <w:p w:rsidR="00C66FD5" w:rsidRPr="00A66E85" w:rsidRDefault="00C66FD5" w:rsidP="008A6A7E">
      <w:pPr>
        <w:pStyle w:val="Default"/>
        <w:ind w:left="720"/>
        <w:rPr>
          <w:color w:val="FF0000"/>
          <w:sz w:val="22"/>
          <w:szCs w:val="22"/>
        </w:rPr>
      </w:pPr>
    </w:p>
    <w:p w:rsidR="00C66FD5" w:rsidRPr="00A66E85" w:rsidRDefault="00C66FD5" w:rsidP="008A6A7E">
      <w:pPr>
        <w:pStyle w:val="Default"/>
        <w:ind w:left="720"/>
        <w:rPr>
          <w:color w:val="FF0000"/>
          <w:sz w:val="22"/>
          <w:szCs w:val="22"/>
        </w:rPr>
      </w:pPr>
      <w:r w:rsidRPr="00A66E85">
        <w:rPr>
          <w:color w:val="FF0000"/>
          <w:sz w:val="22"/>
          <w:szCs w:val="22"/>
        </w:rPr>
        <w:t xml:space="preserve">Although </w:t>
      </w:r>
      <w:r w:rsidR="00215D89" w:rsidRPr="00A66E85">
        <w:rPr>
          <w:color w:val="FF0000"/>
          <w:sz w:val="22"/>
          <w:szCs w:val="22"/>
        </w:rPr>
        <w:t>InnPower</w:t>
      </w:r>
      <w:r w:rsidRPr="00A66E85">
        <w:rPr>
          <w:color w:val="FF0000"/>
          <w:sz w:val="22"/>
          <w:szCs w:val="22"/>
        </w:rPr>
        <w:t xml:space="preserve"> underwent an </w:t>
      </w:r>
      <w:r w:rsidR="009E2ABE" w:rsidRPr="00A66E85">
        <w:rPr>
          <w:color w:val="FF0000"/>
          <w:sz w:val="22"/>
          <w:szCs w:val="22"/>
        </w:rPr>
        <w:t xml:space="preserve">OEB </w:t>
      </w:r>
      <w:r w:rsidRPr="00A66E85">
        <w:rPr>
          <w:color w:val="FF0000"/>
          <w:sz w:val="22"/>
          <w:szCs w:val="22"/>
        </w:rPr>
        <w:t>investigation of the DVA accounts and closely following the February 21, 2019 Accounting Guidance for Accounts 1588 and 1589, it was discovered that the unaccounted for energy losses were recorded solely to the 1588 account.</w:t>
      </w:r>
    </w:p>
    <w:p w:rsidR="00C66FD5" w:rsidRPr="00A66E85" w:rsidRDefault="00C66FD5" w:rsidP="008A6A7E">
      <w:pPr>
        <w:pStyle w:val="Default"/>
        <w:ind w:left="720"/>
        <w:rPr>
          <w:color w:val="FF0000"/>
          <w:sz w:val="22"/>
          <w:szCs w:val="22"/>
        </w:rPr>
      </w:pPr>
    </w:p>
    <w:p w:rsidR="004B5EBC" w:rsidRPr="00A66E85" w:rsidRDefault="00E97739" w:rsidP="00C66FD5">
      <w:pPr>
        <w:pStyle w:val="Default"/>
        <w:ind w:left="720"/>
        <w:rPr>
          <w:color w:val="FF0000"/>
          <w:sz w:val="22"/>
          <w:szCs w:val="22"/>
        </w:rPr>
      </w:pPr>
      <w:r w:rsidRPr="00A66E85">
        <w:rPr>
          <w:color w:val="FF0000"/>
          <w:sz w:val="22"/>
          <w:szCs w:val="22"/>
        </w:rPr>
        <w:t xml:space="preserve">As such, </w:t>
      </w:r>
      <w:r w:rsidR="00215D89" w:rsidRPr="00A66E85">
        <w:rPr>
          <w:color w:val="FF0000"/>
          <w:sz w:val="22"/>
          <w:szCs w:val="22"/>
        </w:rPr>
        <w:t>InnPower</w:t>
      </w:r>
      <w:r w:rsidRPr="00A66E85">
        <w:rPr>
          <w:color w:val="FF0000"/>
          <w:sz w:val="22"/>
          <w:szCs w:val="22"/>
        </w:rPr>
        <w:t xml:space="preserve"> is</w:t>
      </w:r>
      <w:r w:rsidR="00C66FD5" w:rsidRPr="00A66E85">
        <w:rPr>
          <w:color w:val="FF0000"/>
          <w:sz w:val="22"/>
          <w:szCs w:val="22"/>
        </w:rPr>
        <w:t xml:space="preserve"> request</w:t>
      </w:r>
      <w:r w:rsidRPr="00A66E85">
        <w:rPr>
          <w:color w:val="FF0000"/>
          <w:sz w:val="22"/>
          <w:szCs w:val="22"/>
        </w:rPr>
        <w:t xml:space="preserve">ing </w:t>
      </w:r>
      <w:r w:rsidR="00C66FD5" w:rsidRPr="00A66E85">
        <w:rPr>
          <w:color w:val="FF0000"/>
          <w:sz w:val="22"/>
          <w:szCs w:val="22"/>
        </w:rPr>
        <w:t xml:space="preserve">a principal adjustment </w:t>
      </w:r>
      <w:r w:rsidR="00F27AC3" w:rsidRPr="00A66E85">
        <w:rPr>
          <w:color w:val="FF0000"/>
          <w:sz w:val="22"/>
          <w:szCs w:val="22"/>
        </w:rPr>
        <w:t xml:space="preserve">of $301,238 </w:t>
      </w:r>
      <w:r w:rsidR="00C66FD5" w:rsidRPr="00A66E85">
        <w:rPr>
          <w:color w:val="FF0000"/>
          <w:sz w:val="22"/>
          <w:szCs w:val="22"/>
        </w:rPr>
        <w:t>between 1588 and 1589 to adjust the split of unaccounted for energy between RPP and Class B Non-RPP customers.</w:t>
      </w:r>
      <w:r w:rsidR="00A3795E" w:rsidRPr="00A66E85">
        <w:rPr>
          <w:color w:val="FF0000"/>
          <w:sz w:val="22"/>
          <w:szCs w:val="22"/>
        </w:rPr>
        <w:t xml:space="preserve">  </w:t>
      </w:r>
      <w:r w:rsidR="005D1A1D">
        <w:rPr>
          <w:color w:val="FF0000"/>
          <w:sz w:val="22"/>
          <w:szCs w:val="22"/>
        </w:rPr>
        <w:t>InnPower</w:t>
      </w:r>
      <w:r w:rsidR="00A3795E" w:rsidRPr="00A66E85">
        <w:rPr>
          <w:color w:val="FF0000"/>
          <w:sz w:val="22"/>
          <w:szCs w:val="22"/>
        </w:rPr>
        <w:t xml:space="preserve"> has updated its processes to ensure future </w:t>
      </w:r>
      <w:r w:rsidRPr="00A66E85">
        <w:rPr>
          <w:color w:val="FF0000"/>
          <w:sz w:val="22"/>
          <w:szCs w:val="22"/>
        </w:rPr>
        <w:t>balances capture the allocations of unaccounted for energy appropriately.</w:t>
      </w:r>
    </w:p>
    <w:p w:rsidR="00C66FD5" w:rsidRPr="00A66E85" w:rsidRDefault="00C66FD5" w:rsidP="00C66FD5">
      <w:pPr>
        <w:pStyle w:val="Default"/>
        <w:ind w:left="720"/>
        <w:rPr>
          <w:sz w:val="22"/>
          <w:szCs w:val="22"/>
        </w:rPr>
      </w:pPr>
    </w:p>
    <w:p w:rsidR="00F27AC3" w:rsidRPr="00A66E85" w:rsidRDefault="00F27AC3" w:rsidP="00C66FD5">
      <w:pPr>
        <w:pStyle w:val="Default"/>
        <w:ind w:left="720"/>
        <w:rPr>
          <w:color w:val="FF0000"/>
          <w:sz w:val="22"/>
          <w:szCs w:val="22"/>
        </w:rPr>
      </w:pPr>
      <w:r w:rsidRPr="00A66E85">
        <w:rPr>
          <w:color w:val="FF0000"/>
          <w:sz w:val="22"/>
          <w:szCs w:val="22"/>
        </w:rPr>
        <w:t>Further to this, the</w:t>
      </w:r>
      <w:r w:rsidR="005D1A1D">
        <w:rPr>
          <w:color w:val="FF0000"/>
          <w:sz w:val="22"/>
          <w:szCs w:val="22"/>
        </w:rPr>
        <w:t xml:space="preserve"> adjusted </w:t>
      </w:r>
      <w:r w:rsidRPr="00A66E85">
        <w:rPr>
          <w:color w:val="FF0000"/>
          <w:sz w:val="22"/>
          <w:szCs w:val="22"/>
        </w:rPr>
        <w:t>rate</w:t>
      </w:r>
      <w:r w:rsidR="005D1A1D" w:rsidRPr="00A66E85">
        <w:rPr>
          <w:color w:val="FF0000"/>
          <w:sz w:val="22"/>
          <w:szCs w:val="22"/>
        </w:rPr>
        <w:t xml:space="preserve"> ($115.00/MWh)</w:t>
      </w:r>
      <w:r w:rsidR="005D1A1D">
        <w:rPr>
          <w:color w:val="FF0000"/>
          <w:sz w:val="22"/>
          <w:szCs w:val="22"/>
        </w:rPr>
        <w:t xml:space="preserve"> </w:t>
      </w:r>
      <w:proofErr w:type="gramStart"/>
      <w:r w:rsidR="005D1A1D">
        <w:rPr>
          <w:color w:val="FF0000"/>
          <w:sz w:val="22"/>
          <w:szCs w:val="22"/>
        </w:rPr>
        <w:t xml:space="preserve">was </w:t>
      </w:r>
      <w:r w:rsidRPr="00A66E85">
        <w:rPr>
          <w:color w:val="FF0000"/>
          <w:sz w:val="22"/>
          <w:szCs w:val="22"/>
        </w:rPr>
        <w:t>used</w:t>
      </w:r>
      <w:proofErr w:type="gramEnd"/>
      <w:r w:rsidRPr="00A66E85">
        <w:rPr>
          <w:color w:val="FF0000"/>
          <w:sz w:val="22"/>
          <w:szCs w:val="22"/>
        </w:rPr>
        <w:t xml:space="preserve"> in the CT148 </w:t>
      </w:r>
      <w:r w:rsidR="00D21CB7" w:rsidRPr="00A66E85">
        <w:rPr>
          <w:color w:val="FF0000"/>
          <w:sz w:val="22"/>
          <w:szCs w:val="22"/>
        </w:rPr>
        <w:t>true up</w:t>
      </w:r>
      <w:r w:rsidRPr="00A66E85">
        <w:rPr>
          <w:color w:val="FF0000"/>
          <w:sz w:val="22"/>
          <w:szCs w:val="22"/>
        </w:rPr>
        <w:t xml:space="preserve"> of GA charges based on Non-RPP volumes</w:t>
      </w:r>
      <w:r w:rsidR="00F179E5">
        <w:rPr>
          <w:color w:val="FF0000"/>
          <w:sz w:val="22"/>
          <w:szCs w:val="22"/>
        </w:rPr>
        <w:t>,</w:t>
      </w:r>
      <w:r w:rsidRPr="00A66E85">
        <w:rPr>
          <w:color w:val="FF0000"/>
          <w:sz w:val="22"/>
          <w:szCs w:val="22"/>
        </w:rPr>
        <w:t xml:space="preserve"> instead of the unadjusted rate</w:t>
      </w:r>
      <w:r w:rsidR="00EC6EA0">
        <w:rPr>
          <w:color w:val="FF0000"/>
          <w:sz w:val="22"/>
          <w:szCs w:val="22"/>
        </w:rPr>
        <w:t xml:space="preserve"> (actual rates without deferral)</w:t>
      </w:r>
      <w:r w:rsidRPr="00A66E85">
        <w:rPr>
          <w:color w:val="FF0000"/>
          <w:sz w:val="22"/>
          <w:szCs w:val="22"/>
        </w:rPr>
        <w:t xml:space="preserve">.  Therefore, </w:t>
      </w:r>
      <w:r w:rsidR="00215D89" w:rsidRPr="00A66E85">
        <w:rPr>
          <w:color w:val="FF0000"/>
          <w:sz w:val="22"/>
          <w:szCs w:val="22"/>
        </w:rPr>
        <w:t>InnPower</w:t>
      </w:r>
      <w:r w:rsidRPr="00A66E85">
        <w:rPr>
          <w:color w:val="FF0000"/>
          <w:sz w:val="22"/>
          <w:szCs w:val="22"/>
        </w:rPr>
        <w:t xml:space="preserve"> is requesting a principal adjustment of $26,939 between 1588 and 1589 to allocate the </w:t>
      </w:r>
      <w:r w:rsidR="003D5CA4" w:rsidRPr="00A66E85">
        <w:rPr>
          <w:color w:val="FF0000"/>
          <w:sz w:val="22"/>
          <w:szCs w:val="22"/>
        </w:rPr>
        <w:t xml:space="preserve">unadjusted </w:t>
      </w:r>
      <w:r w:rsidRPr="00A66E85">
        <w:rPr>
          <w:color w:val="FF0000"/>
          <w:sz w:val="22"/>
          <w:szCs w:val="22"/>
        </w:rPr>
        <w:t>GA charges to account 1589.</w:t>
      </w:r>
    </w:p>
    <w:p w:rsidR="002749BD" w:rsidRPr="00A66E85" w:rsidRDefault="002749BD" w:rsidP="002749BD">
      <w:pPr>
        <w:pStyle w:val="Default"/>
        <w:rPr>
          <w:sz w:val="22"/>
          <w:szCs w:val="22"/>
        </w:rPr>
      </w:pPr>
    </w:p>
    <w:p w:rsidR="002749BD" w:rsidRPr="00A66E85" w:rsidRDefault="002749BD" w:rsidP="00E97739">
      <w:pPr>
        <w:pStyle w:val="Default"/>
        <w:numPr>
          <w:ilvl w:val="0"/>
          <w:numId w:val="1"/>
        </w:numPr>
        <w:rPr>
          <w:sz w:val="22"/>
          <w:szCs w:val="22"/>
        </w:rPr>
      </w:pPr>
      <w:r w:rsidRPr="00A66E85">
        <w:rPr>
          <w:sz w:val="22"/>
          <w:szCs w:val="22"/>
        </w:rPr>
        <w:t xml:space="preserve">Please explain why the Unaccounted-for energy loss $(301,238) and the Impact of GA deferral $(26,939) were included as principal adjustments for Account 1588 in the reference above. </w:t>
      </w:r>
    </w:p>
    <w:p w:rsidR="00E97739" w:rsidRPr="00A66E85" w:rsidRDefault="00E97739" w:rsidP="00E97739">
      <w:pPr>
        <w:pStyle w:val="Default"/>
        <w:ind w:left="720"/>
        <w:rPr>
          <w:color w:val="FF0000"/>
          <w:sz w:val="22"/>
          <w:szCs w:val="22"/>
        </w:rPr>
      </w:pPr>
    </w:p>
    <w:p w:rsidR="00E97739" w:rsidRPr="00A66E85" w:rsidRDefault="00E97739" w:rsidP="00E97739">
      <w:pPr>
        <w:pStyle w:val="Default"/>
        <w:ind w:left="720"/>
        <w:rPr>
          <w:color w:val="FF0000"/>
          <w:sz w:val="22"/>
          <w:szCs w:val="22"/>
        </w:rPr>
      </w:pPr>
      <w:r w:rsidRPr="00A66E85">
        <w:rPr>
          <w:color w:val="FF0000"/>
          <w:sz w:val="22"/>
          <w:szCs w:val="22"/>
        </w:rPr>
        <w:t>Please refer to 1a) above.</w:t>
      </w:r>
    </w:p>
    <w:p w:rsidR="00E97739" w:rsidRPr="00A66E85" w:rsidRDefault="00E97739" w:rsidP="00E97739">
      <w:pPr>
        <w:pStyle w:val="Default"/>
        <w:rPr>
          <w:sz w:val="22"/>
          <w:szCs w:val="22"/>
        </w:rPr>
      </w:pPr>
    </w:p>
    <w:p w:rsidR="002749BD" w:rsidRPr="00A66E85" w:rsidRDefault="002749BD" w:rsidP="002749BD">
      <w:pPr>
        <w:pStyle w:val="Default"/>
        <w:rPr>
          <w:sz w:val="22"/>
          <w:szCs w:val="22"/>
        </w:rPr>
      </w:pPr>
    </w:p>
    <w:p w:rsidR="002749BD" w:rsidRPr="00A66E85" w:rsidRDefault="002749BD" w:rsidP="00E97739">
      <w:pPr>
        <w:pStyle w:val="Default"/>
        <w:numPr>
          <w:ilvl w:val="0"/>
          <w:numId w:val="1"/>
        </w:numPr>
        <w:rPr>
          <w:sz w:val="22"/>
          <w:szCs w:val="22"/>
        </w:rPr>
      </w:pPr>
      <w:r w:rsidRPr="00A66E85">
        <w:rPr>
          <w:sz w:val="22"/>
          <w:szCs w:val="22"/>
        </w:rPr>
        <w:t xml:space="preserve">Please explain why the principal adjustments for Unaccounted for energy loss and the Impact of GA deferral are equal and offsetting between Accounts 1588 and 1589. </w:t>
      </w:r>
    </w:p>
    <w:p w:rsidR="00E97739" w:rsidRPr="00A66E85" w:rsidRDefault="00E97739" w:rsidP="00E97739">
      <w:pPr>
        <w:pStyle w:val="Default"/>
        <w:rPr>
          <w:sz w:val="22"/>
          <w:szCs w:val="22"/>
        </w:rPr>
      </w:pPr>
    </w:p>
    <w:p w:rsidR="00084ACA" w:rsidRPr="00A66E85" w:rsidRDefault="00E97739" w:rsidP="00E97739">
      <w:pPr>
        <w:pStyle w:val="Default"/>
        <w:ind w:left="720"/>
        <w:rPr>
          <w:color w:val="FF0000"/>
          <w:sz w:val="22"/>
          <w:szCs w:val="22"/>
        </w:rPr>
      </w:pPr>
      <w:r w:rsidRPr="00A66E85">
        <w:rPr>
          <w:color w:val="FF0000"/>
          <w:sz w:val="22"/>
          <w:szCs w:val="22"/>
        </w:rPr>
        <w:t>As indicated in 1a) above, the unaccounted for energy losses were allocated solely to the 1588 account.</w:t>
      </w:r>
      <w:r w:rsidR="00084ACA" w:rsidRPr="00A66E85">
        <w:rPr>
          <w:color w:val="FF0000"/>
          <w:sz w:val="22"/>
          <w:szCs w:val="22"/>
        </w:rPr>
        <w:t xml:space="preserve">  Additionally, the difference between the adjusted and unadjusted GA charges</w:t>
      </w:r>
      <w:r w:rsidR="009E2ABE" w:rsidRPr="00A66E85">
        <w:rPr>
          <w:color w:val="FF0000"/>
          <w:sz w:val="22"/>
          <w:szCs w:val="22"/>
        </w:rPr>
        <w:t xml:space="preserve"> for the Class B Non-RPP customers</w:t>
      </w:r>
      <w:r w:rsidR="00084ACA" w:rsidRPr="00A66E85">
        <w:rPr>
          <w:color w:val="FF0000"/>
          <w:sz w:val="22"/>
          <w:szCs w:val="22"/>
        </w:rPr>
        <w:t xml:space="preserve"> </w:t>
      </w:r>
      <w:proofErr w:type="gramStart"/>
      <w:r w:rsidR="00084ACA" w:rsidRPr="00A66E85">
        <w:rPr>
          <w:color w:val="FF0000"/>
          <w:sz w:val="22"/>
          <w:szCs w:val="22"/>
        </w:rPr>
        <w:t>w</w:t>
      </w:r>
      <w:r w:rsidR="00786965">
        <w:rPr>
          <w:color w:val="FF0000"/>
          <w:sz w:val="22"/>
          <w:szCs w:val="22"/>
        </w:rPr>
        <w:t>as</w:t>
      </w:r>
      <w:bookmarkStart w:id="0" w:name="_GoBack"/>
      <w:bookmarkEnd w:id="0"/>
      <w:r w:rsidR="00084ACA" w:rsidRPr="00A66E85">
        <w:rPr>
          <w:color w:val="FF0000"/>
          <w:sz w:val="22"/>
          <w:szCs w:val="22"/>
        </w:rPr>
        <w:t xml:space="preserve"> allocated</w:t>
      </w:r>
      <w:proofErr w:type="gramEnd"/>
      <w:r w:rsidR="00084ACA" w:rsidRPr="00A66E85">
        <w:rPr>
          <w:color w:val="FF0000"/>
          <w:sz w:val="22"/>
          <w:szCs w:val="22"/>
        </w:rPr>
        <w:t xml:space="preserve"> to the 1588 account.</w:t>
      </w:r>
    </w:p>
    <w:p w:rsidR="00084ACA" w:rsidRPr="00A66E85" w:rsidRDefault="00084ACA" w:rsidP="00E97739">
      <w:pPr>
        <w:pStyle w:val="Default"/>
        <w:ind w:left="720"/>
        <w:rPr>
          <w:color w:val="FF0000"/>
          <w:sz w:val="22"/>
          <w:szCs w:val="22"/>
        </w:rPr>
      </w:pPr>
    </w:p>
    <w:p w:rsidR="00E97739" w:rsidRPr="00A66E85" w:rsidRDefault="00E97739" w:rsidP="00E97739">
      <w:pPr>
        <w:pStyle w:val="Default"/>
        <w:ind w:left="720"/>
        <w:rPr>
          <w:color w:val="FF0000"/>
          <w:sz w:val="22"/>
          <w:szCs w:val="22"/>
        </w:rPr>
      </w:pPr>
      <w:r w:rsidRPr="00A66E85">
        <w:rPr>
          <w:color w:val="FF0000"/>
          <w:sz w:val="22"/>
          <w:szCs w:val="22"/>
        </w:rPr>
        <w:lastRenderedPageBreak/>
        <w:t>As such, the amount</w:t>
      </w:r>
      <w:r w:rsidR="00084ACA" w:rsidRPr="00A66E85">
        <w:rPr>
          <w:color w:val="FF0000"/>
          <w:sz w:val="22"/>
          <w:szCs w:val="22"/>
        </w:rPr>
        <w:t>s</w:t>
      </w:r>
      <w:r w:rsidRPr="00A66E85">
        <w:rPr>
          <w:color w:val="FF0000"/>
          <w:sz w:val="22"/>
          <w:szCs w:val="22"/>
        </w:rPr>
        <w:t xml:space="preserve"> </w:t>
      </w:r>
      <w:proofErr w:type="gramStart"/>
      <w:r w:rsidRPr="00A66E85">
        <w:rPr>
          <w:color w:val="FF0000"/>
          <w:sz w:val="22"/>
          <w:szCs w:val="22"/>
        </w:rPr>
        <w:t>should be transferred</w:t>
      </w:r>
      <w:proofErr w:type="gramEnd"/>
      <w:r w:rsidRPr="00A66E85">
        <w:rPr>
          <w:color w:val="FF0000"/>
          <w:sz w:val="22"/>
          <w:szCs w:val="22"/>
        </w:rPr>
        <w:t xml:space="preserve"> from the 1588 account to the 1589 account, creating an equal and offsetting entry.</w:t>
      </w:r>
    </w:p>
    <w:p w:rsidR="002749BD" w:rsidRPr="00A66E85" w:rsidRDefault="002749BD" w:rsidP="002749BD">
      <w:pPr>
        <w:pStyle w:val="Default"/>
        <w:ind w:left="720"/>
        <w:rPr>
          <w:sz w:val="22"/>
          <w:szCs w:val="22"/>
        </w:rPr>
      </w:pPr>
    </w:p>
    <w:p w:rsidR="002749BD" w:rsidRPr="00A66E85" w:rsidRDefault="002749BD" w:rsidP="002749BD">
      <w:pPr>
        <w:pStyle w:val="Default"/>
        <w:rPr>
          <w:b/>
          <w:bCs/>
          <w:sz w:val="22"/>
          <w:szCs w:val="22"/>
        </w:rPr>
      </w:pPr>
    </w:p>
    <w:p w:rsidR="002749BD" w:rsidRPr="00A66E85" w:rsidRDefault="002749BD" w:rsidP="002749BD">
      <w:pPr>
        <w:pStyle w:val="Default"/>
        <w:rPr>
          <w:sz w:val="22"/>
          <w:szCs w:val="22"/>
        </w:rPr>
      </w:pPr>
      <w:r w:rsidRPr="00A66E85">
        <w:rPr>
          <w:b/>
          <w:bCs/>
          <w:sz w:val="22"/>
          <w:szCs w:val="22"/>
        </w:rPr>
        <w:t xml:space="preserve">Reference: Staff Question -2 </w:t>
      </w:r>
    </w:p>
    <w:p w:rsidR="002749BD" w:rsidRPr="00A66E85" w:rsidRDefault="002749BD" w:rsidP="002749BD">
      <w:pPr>
        <w:pStyle w:val="Default"/>
        <w:rPr>
          <w:sz w:val="22"/>
          <w:szCs w:val="22"/>
        </w:rPr>
      </w:pPr>
      <w:r w:rsidRPr="00A66E85">
        <w:rPr>
          <w:sz w:val="22"/>
          <w:szCs w:val="22"/>
        </w:rPr>
        <w:t xml:space="preserve">In its response to OEB Staff Question-2, in the first paragraph </w:t>
      </w:r>
      <w:r w:rsidR="00215D89" w:rsidRPr="00A66E85">
        <w:rPr>
          <w:sz w:val="22"/>
          <w:szCs w:val="22"/>
        </w:rPr>
        <w:t>InnPower</w:t>
      </w:r>
      <w:r w:rsidRPr="00A66E85">
        <w:rPr>
          <w:sz w:val="22"/>
          <w:szCs w:val="22"/>
        </w:rPr>
        <w:t xml:space="preserve"> stated that energy losses for the periods 2018 and 2019 were lower because of a substantial station maintenance. </w:t>
      </w:r>
    </w:p>
    <w:p w:rsidR="00DE568D" w:rsidRPr="00A66E85" w:rsidRDefault="00DE568D" w:rsidP="002749BD">
      <w:pPr>
        <w:pStyle w:val="Default"/>
        <w:rPr>
          <w:sz w:val="22"/>
          <w:szCs w:val="22"/>
        </w:rPr>
      </w:pPr>
    </w:p>
    <w:p w:rsidR="002749BD" w:rsidRPr="00A66E85" w:rsidRDefault="002749BD" w:rsidP="002749BD">
      <w:pPr>
        <w:pStyle w:val="Default"/>
        <w:rPr>
          <w:sz w:val="22"/>
          <w:szCs w:val="22"/>
        </w:rPr>
      </w:pPr>
      <w:r w:rsidRPr="00A66E85">
        <w:rPr>
          <w:sz w:val="22"/>
          <w:szCs w:val="22"/>
        </w:rPr>
        <w:t xml:space="preserve">In addition, as part of the same response, </w:t>
      </w:r>
      <w:r w:rsidR="00215D89" w:rsidRPr="00A66E85">
        <w:rPr>
          <w:sz w:val="22"/>
          <w:szCs w:val="22"/>
        </w:rPr>
        <w:t>InnPower</w:t>
      </w:r>
      <w:r w:rsidRPr="00A66E85">
        <w:rPr>
          <w:sz w:val="22"/>
          <w:szCs w:val="22"/>
        </w:rPr>
        <w:t xml:space="preserve"> indicated that in the historical data submitted in EB-2016-0085, there were several factors inaccurately reported for the years 2012 to 2016, including the Supply Facilities Loss Factor and Wholesale Consumption. As such, the loss factor of 1.0604 for the period of 2017 to 2021 is understated. </w:t>
      </w:r>
    </w:p>
    <w:p w:rsidR="002749BD" w:rsidRPr="00A66E85" w:rsidRDefault="002749BD" w:rsidP="002749BD">
      <w:pPr>
        <w:pStyle w:val="Default"/>
        <w:rPr>
          <w:sz w:val="22"/>
          <w:szCs w:val="22"/>
        </w:rPr>
      </w:pPr>
    </w:p>
    <w:p w:rsidR="002749BD" w:rsidRPr="00A66E85" w:rsidRDefault="002749BD" w:rsidP="002749BD">
      <w:pPr>
        <w:pStyle w:val="Default"/>
        <w:rPr>
          <w:b/>
          <w:bCs/>
          <w:sz w:val="22"/>
          <w:szCs w:val="22"/>
        </w:rPr>
      </w:pPr>
      <w:r w:rsidRPr="00A66E85">
        <w:rPr>
          <w:b/>
          <w:bCs/>
          <w:sz w:val="22"/>
          <w:szCs w:val="22"/>
        </w:rPr>
        <w:t xml:space="preserve">Question: </w:t>
      </w:r>
    </w:p>
    <w:p w:rsidR="002749BD" w:rsidRPr="00A66E85" w:rsidRDefault="002749BD" w:rsidP="002749BD">
      <w:pPr>
        <w:pStyle w:val="Default"/>
        <w:ind w:left="720"/>
        <w:rPr>
          <w:sz w:val="22"/>
          <w:szCs w:val="22"/>
        </w:rPr>
      </w:pPr>
      <w:r w:rsidRPr="00A66E85">
        <w:rPr>
          <w:sz w:val="22"/>
          <w:szCs w:val="22"/>
        </w:rPr>
        <w:t>The two statements above appear to conflict with one another, as far as whether the approved loss factor is over or under-stated. Please clarify.</w:t>
      </w:r>
    </w:p>
    <w:p w:rsidR="00DE568D" w:rsidRPr="00A66E85" w:rsidRDefault="00DE568D" w:rsidP="00DE568D">
      <w:pPr>
        <w:pStyle w:val="Default"/>
        <w:rPr>
          <w:sz w:val="22"/>
          <w:szCs w:val="22"/>
        </w:rPr>
      </w:pPr>
    </w:p>
    <w:p w:rsidR="00892476" w:rsidRPr="00A66E85" w:rsidRDefault="00DE568D" w:rsidP="00BC1186">
      <w:pPr>
        <w:pStyle w:val="Default"/>
        <w:rPr>
          <w:color w:val="FF0000"/>
          <w:sz w:val="22"/>
          <w:szCs w:val="22"/>
        </w:rPr>
      </w:pPr>
      <w:r w:rsidRPr="00A66E85">
        <w:rPr>
          <w:color w:val="FF0000"/>
          <w:sz w:val="22"/>
          <w:szCs w:val="22"/>
        </w:rPr>
        <w:t>The approved loss factor is under-stated.  As there was</w:t>
      </w:r>
      <w:r w:rsidR="006E6D3F">
        <w:rPr>
          <w:color w:val="FF0000"/>
          <w:sz w:val="22"/>
          <w:szCs w:val="22"/>
        </w:rPr>
        <w:t xml:space="preserve"> significant</w:t>
      </w:r>
      <w:r w:rsidRPr="00A66E85">
        <w:rPr>
          <w:color w:val="FF0000"/>
          <w:sz w:val="22"/>
          <w:szCs w:val="22"/>
        </w:rPr>
        <w:t xml:space="preserve"> station maintenance performed in 2018 and 2019 (which temporarily lowered losses), it was not apparent during this period </w:t>
      </w:r>
      <w:r w:rsidR="00215D89" w:rsidRPr="00A66E85">
        <w:rPr>
          <w:color w:val="FF0000"/>
          <w:sz w:val="22"/>
          <w:szCs w:val="22"/>
        </w:rPr>
        <w:t xml:space="preserve">that </w:t>
      </w:r>
      <w:proofErr w:type="spellStart"/>
      <w:r w:rsidR="00215D89" w:rsidRPr="00A66E85">
        <w:rPr>
          <w:color w:val="FF0000"/>
          <w:sz w:val="22"/>
          <w:szCs w:val="22"/>
        </w:rPr>
        <w:t>InnPower</w:t>
      </w:r>
      <w:r w:rsidRPr="00A66E85">
        <w:rPr>
          <w:color w:val="FF0000"/>
          <w:sz w:val="22"/>
          <w:szCs w:val="22"/>
        </w:rPr>
        <w:t>’s</w:t>
      </w:r>
      <w:proofErr w:type="spellEnd"/>
      <w:r w:rsidRPr="00A66E85">
        <w:rPr>
          <w:color w:val="FF0000"/>
          <w:sz w:val="22"/>
          <w:szCs w:val="22"/>
        </w:rPr>
        <w:t xml:space="preserve"> loss factor was understated</w:t>
      </w:r>
      <w:r w:rsidR="00BC1186" w:rsidRPr="00A66E85">
        <w:rPr>
          <w:color w:val="FF0000"/>
          <w:sz w:val="22"/>
          <w:szCs w:val="22"/>
        </w:rPr>
        <w:t xml:space="preserve">.  </w:t>
      </w:r>
    </w:p>
    <w:p w:rsidR="00892476" w:rsidRPr="00A66E85" w:rsidRDefault="00892476" w:rsidP="00BC1186">
      <w:pPr>
        <w:pStyle w:val="Default"/>
        <w:rPr>
          <w:color w:val="FF0000"/>
          <w:sz w:val="22"/>
          <w:szCs w:val="22"/>
        </w:rPr>
      </w:pPr>
    </w:p>
    <w:p w:rsidR="002749BD" w:rsidRPr="00A66E85" w:rsidRDefault="00BC1186" w:rsidP="00BC1186">
      <w:pPr>
        <w:pStyle w:val="Default"/>
        <w:rPr>
          <w:color w:val="FF0000"/>
          <w:sz w:val="22"/>
          <w:szCs w:val="22"/>
        </w:rPr>
      </w:pPr>
      <w:r w:rsidRPr="00A66E85">
        <w:rPr>
          <w:color w:val="FF0000"/>
          <w:sz w:val="22"/>
          <w:szCs w:val="22"/>
        </w:rPr>
        <w:t xml:space="preserve">In 2020, when normal operations resumed, </w:t>
      </w:r>
      <w:proofErr w:type="spellStart"/>
      <w:r w:rsidR="00215D89" w:rsidRPr="00A66E85">
        <w:rPr>
          <w:color w:val="FF0000"/>
          <w:sz w:val="22"/>
          <w:szCs w:val="22"/>
        </w:rPr>
        <w:t>InnPower</w:t>
      </w:r>
      <w:r w:rsidR="00A71674" w:rsidRPr="00A66E85">
        <w:rPr>
          <w:color w:val="FF0000"/>
          <w:sz w:val="22"/>
          <w:szCs w:val="22"/>
        </w:rPr>
        <w:t>’s</w:t>
      </w:r>
      <w:proofErr w:type="spellEnd"/>
      <w:r w:rsidR="00A71674" w:rsidRPr="00A66E85">
        <w:rPr>
          <w:color w:val="FF0000"/>
          <w:sz w:val="22"/>
          <w:szCs w:val="22"/>
        </w:rPr>
        <w:t xml:space="preserve"> approved loss factor </w:t>
      </w:r>
      <w:r w:rsidR="006159E4">
        <w:rPr>
          <w:color w:val="FF0000"/>
          <w:sz w:val="22"/>
          <w:szCs w:val="22"/>
        </w:rPr>
        <w:t>did</w:t>
      </w:r>
      <w:r w:rsidRPr="00A66E85">
        <w:rPr>
          <w:color w:val="FF0000"/>
          <w:sz w:val="22"/>
          <w:szCs w:val="22"/>
        </w:rPr>
        <w:t xml:space="preserve"> not</w:t>
      </w:r>
      <w:r w:rsidR="006159E4">
        <w:rPr>
          <w:color w:val="FF0000"/>
          <w:sz w:val="22"/>
          <w:szCs w:val="22"/>
        </w:rPr>
        <w:t xml:space="preserve"> appropriately collect</w:t>
      </w:r>
      <w:r w:rsidRPr="00A66E85">
        <w:rPr>
          <w:color w:val="FF0000"/>
          <w:sz w:val="22"/>
          <w:szCs w:val="22"/>
        </w:rPr>
        <w:t xml:space="preserve"> funds to recover losses</w:t>
      </w:r>
      <w:r w:rsidR="005D23AD" w:rsidRPr="00A66E85">
        <w:rPr>
          <w:color w:val="FF0000"/>
          <w:sz w:val="22"/>
          <w:szCs w:val="22"/>
        </w:rPr>
        <w:t>, resulting in an accumulation of costs in Account 1588.</w:t>
      </w:r>
    </w:p>
    <w:p w:rsidR="002749BD" w:rsidRPr="00A66E85" w:rsidRDefault="002749BD">
      <w:pPr>
        <w:rPr>
          <w:rFonts w:ascii="Arial" w:hAnsi="Arial" w:cs="Arial"/>
        </w:rPr>
      </w:pPr>
    </w:p>
    <w:sectPr w:rsidR="002749BD" w:rsidRPr="00A66E85" w:rsidSect="00DA6C09">
      <w:headerReference w:type="default" r:id="rId8"/>
      <w:pgSz w:w="12240" w:h="16340"/>
      <w:pgMar w:top="1881" w:right="768" w:bottom="1440" w:left="11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E85" w:rsidRDefault="00A66E85" w:rsidP="00A66E85">
      <w:pPr>
        <w:spacing w:after="0" w:line="240" w:lineRule="auto"/>
      </w:pPr>
      <w:r>
        <w:separator/>
      </w:r>
    </w:p>
  </w:endnote>
  <w:endnote w:type="continuationSeparator" w:id="0">
    <w:p w:rsidR="00A66E85" w:rsidRDefault="00A66E85" w:rsidP="00A6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E85" w:rsidRDefault="00A66E85" w:rsidP="00A66E85">
      <w:pPr>
        <w:spacing w:after="0" w:line="240" w:lineRule="auto"/>
      </w:pPr>
      <w:r>
        <w:separator/>
      </w:r>
    </w:p>
  </w:footnote>
  <w:footnote w:type="continuationSeparator" w:id="0">
    <w:p w:rsidR="00A66E85" w:rsidRDefault="00A66E85" w:rsidP="00A6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460450969"/>
      <w:docPartObj>
        <w:docPartGallery w:val="Page Numbers (Top of Page)"/>
        <w:docPartUnique/>
      </w:docPartObj>
    </w:sdtPr>
    <w:sdtEndPr>
      <w:rPr>
        <w:b/>
        <w:bCs/>
        <w:noProof/>
        <w:color w:val="auto"/>
        <w:spacing w:val="0"/>
      </w:rPr>
    </w:sdtEndPr>
    <w:sdtContent>
      <w:p w:rsidR="00A66E85" w:rsidRDefault="00A66E8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86965" w:rsidRPr="00786965">
          <w:rPr>
            <w:b/>
            <w:bCs/>
            <w:noProof/>
          </w:rPr>
          <w:t>1</w:t>
        </w:r>
        <w:r>
          <w:rPr>
            <w:b/>
            <w:bCs/>
            <w:noProof/>
          </w:rPr>
          <w:fldChar w:fldCharType="end"/>
        </w:r>
      </w:p>
    </w:sdtContent>
  </w:sdt>
  <w:p w:rsidR="00A66E85" w:rsidRDefault="00A6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A0525"/>
    <w:multiLevelType w:val="hybridMultilevel"/>
    <w:tmpl w:val="BA18AD8C"/>
    <w:lvl w:ilvl="0" w:tplc="B83A0C7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BD"/>
    <w:rsid w:val="00084ACA"/>
    <w:rsid w:val="00215D89"/>
    <w:rsid w:val="002749BD"/>
    <w:rsid w:val="003D5CA4"/>
    <w:rsid w:val="004B5EBC"/>
    <w:rsid w:val="005D1A1D"/>
    <w:rsid w:val="005D23AD"/>
    <w:rsid w:val="006159E4"/>
    <w:rsid w:val="006E6D3F"/>
    <w:rsid w:val="00786965"/>
    <w:rsid w:val="00806273"/>
    <w:rsid w:val="00892476"/>
    <w:rsid w:val="008A6A7E"/>
    <w:rsid w:val="009E2ABE"/>
    <w:rsid w:val="00A3795E"/>
    <w:rsid w:val="00A66E85"/>
    <w:rsid w:val="00A71674"/>
    <w:rsid w:val="00BC1186"/>
    <w:rsid w:val="00BD69BB"/>
    <w:rsid w:val="00C66FD5"/>
    <w:rsid w:val="00D21CB7"/>
    <w:rsid w:val="00DE568D"/>
    <w:rsid w:val="00E97739"/>
    <w:rsid w:val="00EC6EA0"/>
    <w:rsid w:val="00F00F3C"/>
    <w:rsid w:val="00F179E5"/>
    <w:rsid w:val="00F27A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7C9F"/>
  <w15:chartTrackingRefBased/>
  <w15:docId w15:val="{6927DFBE-BF47-4CF7-943B-999665DE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49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6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85"/>
  </w:style>
  <w:style w:type="paragraph" w:styleId="Footer">
    <w:name w:val="footer"/>
    <w:basedOn w:val="Normal"/>
    <w:link w:val="FooterChar"/>
    <w:uiPriority w:val="99"/>
    <w:unhideWhenUsed/>
    <w:rsid w:val="00A6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ds.oeb.ca/CMWebDrawer/Record?q=CaseNumber=EB-2021-0036&amp;sortBy=recRegisteredOn-&amp;pageSize=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Hampton</dc:creator>
  <cp:keywords/>
  <dc:description/>
  <cp:lastModifiedBy>Laura Hampton</cp:lastModifiedBy>
  <cp:revision>4</cp:revision>
  <dcterms:created xsi:type="dcterms:W3CDTF">2021-11-22T19:00:00Z</dcterms:created>
  <dcterms:modified xsi:type="dcterms:W3CDTF">2021-11-23T14:53:00Z</dcterms:modified>
</cp:coreProperties>
</file>