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D1EF2" w14:textId="77777777" w:rsidR="00A07077" w:rsidRPr="00D57E8C" w:rsidRDefault="00A07077" w:rsidP="00A07077">
      <w:pPr>
        <w:pStyle w:val="Default"/>
        <w:rPr>
          <w:rFonts w:ascii="Arial" w:hAnsi="Arial" w:cs="Arial"/>
          <w:sz w:val="22"/>
          <w:szCs w:val="22"/>
        </w:rPr>
      </w:pPr>
    </w:p>
    <w:p w14:paraId="31F8E0D6" w14:textId="08B687CE" w:rsidR="00A07077" w:rsidRPr="00D57E8C" w:rsidRDefault="00642D35" w:rsidP="00A07077">
      <w:pPr>
        <w:pStyle w:val="Default"/>
        <w:jc w:val="center"/>
        <w:rPr>
          <w:rFonts w:ascii="Arial" w:hAnsi="Arial" w:cs="Arial"/>
          <w:sz w:val="28"/>
          <w:szCs w:val="28"/>
        </w:rPr>
      </w:pPr>
      <w:r>
        <w:rPr>
          <w:rFonts w:ascii="Arial" w:hAnsi="Arial" w:cs="Arial"/>
          <w:b/>
          <w:bCs/>
          <w:sz w:val="28"/>
          <w:szCs w:val="28"/>
        </w:rPr>
        <w:t>Newmarket-Tay Power Distribution Ltd.</w:t>
      </w:r>
    </w:p>
    <w:p w14:paraId="33D6510D" w14:textId="07477B8D"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BD7607">
        <w:rPr>
          <w:rFonts w:ascii="Arial" w:hAnsi="Arial" w:cs="Arial"/>
          <w:b/>
          <w:bCs/>
          <w:sz w:val="28"/>
          <w:szCs w:val="28"/>
        </w:rPr>
        <w:t>1</w:t>
      </w:r>
      <w:r w:rsidR="00B069AA" w:rsidRPr="00D57E8C">
        <w:rPr>
          <w:rFonts w:ascii="Arial" w:hAnsi="Arial" w:cs="Arial"/>
          <w:b/>
          <w:bCs/>
          <w:sz w:val="28"/>
          <w:szCs w:val="28"/>
        </w:rPr>
        <w:t>-</w:t>
      </w:r>
      <w:r w:rsidR="00C45D34">
        <w:rPr>
          <w:rFonts w:ascii="Arial" w:hAnsi="Arial" w:cs="Arial"/>
          <w:b/>
          <w:bCs/>
          <w:sz w:val="28"/>
          <w:szCs w:val="28"/>
        </w:rPr>
        <w:t>00</w:t>
      </w:r>
      <w:r w:rsidR="00642D35">
        <w:rPr>
          <w:rFonts w:ascii="Arial" w:hAnsi="Arial" w:cs="Arial"/>
          <w:b/>
          <w:bCs/>
          <w:sz w:val="28"/>
          <w:szCs w:val="28"/>
        </w:rPr>
        <w:t>44</w:t>
      </w:r>
    </w:p>
    <w:p w14:paraId="1465DB1A" w14:textId="6DF574ED" w:rsidR="00FC5C68" w:rsidRDefault="00FC5C68" w:rsidP="00A07077">
      <w:pPr>
        <w:pStyle w:val="Default"/>
        <w:jc w:val="center"/>
        <w:rPr>
          <w:rFonts w:ascii="Arial" w:hAnsi="Arial" w:cs="Arial"/>
          <w:b/>
          <w:bCs/>
          <w:sz w:val="28"/>
          <w:szCs w:val="28"/>
        </w:rPr>
      </w:pPr>
      <w:r>
        <w:rPr>
          <w:rFonts w:ascii="Arial" w:hAnsi="Arial" w:cs="Arial"/>
          <w:b/>
          <w:bCs/>
          <w:sz w:val="28"/>
          <w:szCs w:val="28"/>
        </w:rPr>
        <w:t>OEB Staff Questions</w:t>
      </w:r>
    </w:p>
    <w:p w14:paraId="7C939ACF" w14:textId="4DD5C710" w:rsidR="002D2A14" w:rsidRDefault="002D2A14" w:rsidP="00A07077">
      <w:pPr>
        <w:pStyle w:val="Default"/>
        <w:jc w:val="center"/>
        <w:rPr>
          <w:rFonts w:ascii="Arial" w:hAnsi="Arial" w:cs="Arial"/>
          <w:b/>
          <w:bCs/>
          <w:sz w:val="28"/>
          <w:szCs w:val="28"/>
        </w:rPr>
      </w:pPr>
      <w:r>
        <w:rPr>
          <w:rFonts w:ascii="Arial" w:hAnsi="Arial" w:cs="Arial"/>
          <w:b/>
          <w:bCs/>
          <w:sz w:val="28"/>
          <w:szCs w:val="28"/>
        </w:rPr>
        <w:t>January 10, 2022</w:t>
      </w:r>
    </w:p>
    <w:p w14:paraId="63C86BE8" w14:textId="77777777" w:rsidR="00511EC2" w:rsidRDefault="00511EC2" w:rsidP="00511EC2">
      <w:pPr>
        <w:spacing w:after="0" w:line="240" w:lineRule="auto"/>
        <w:rPr>
          <w:rFonts w:ascii="Arial" w:eastAsia="Calibri" w:hAnsi="Arial" w:cs="Arial"/>
          <w:lang w:val="en-US"/>
        </w:rPr>
      </w:pPr>
    </w:p>
    <w:p w14:paraId="2A0CB1B0" w14:textId="7EDA11F3"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642D35" w:rsidRPr="00642D35">
        <w:rPr>
          <w:rFonts w:ascii="Arial" w:eastAsia="Calibri" w:hAnsi="Arial" w:cs="Arial"/>
          <w:sz w:val="24"/>
          <w:szCs w:val="24"/>
        </w:rPr>
        <w:t>Newmarket-Tay Power Distribution Ltd.</w:t>
      </w:r>
      <w:r w:rsidR="00642D35">
        <w:rPr>
          <w:rFonts w:ascii="Arial" w:eastAsia="Calibri" w:hAnsi="Arial" w:cs="Arial"/>
          <w:sz w:val="24"/>
          <w:szCs w:val="24"/>
        </w:rPr>
        <w:t xml:space="preserve"> </w:t>
      </w:r>
      <w:r w:rsidR="00744CBD">
        <w:rPr>
          <w:rFonts w:ascii="Arial" w:eastAsia="Calibri" w:hAnsi="Arial" w:cs="Arial"/>
          <w:sz w:val="24"/>
          <w:szCs w:val="24"/>
        </w:rPr>
        <w:t xml:space="preserve">(Newmarket-Tay Power) </w:t>
      </w:r>
      <w:r w:rsidRPr="00E86F26">
        <w:rPr>
          <w:rFonts w:ascii="Arial" w:eastAsia="Calibri" w:hAnsi="Arial" w:cs="Arial"/>
          <w:sz w:val="24"/>
          <w:szCs w:val="24"/>
        </w:rPr>
        <w:t xml:space="preserve">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315B32AF" w14:textId="44170CC1" w:rsidR="00EA4E63" w:rsidRDefault="00EA4E63" w:rsidP="00C45D34">
      <w:pPr>
        <w:contextualSpacing/>
        <w:rPr>
          <w:rFonts w:ascii="Arial" w:hAnsi="Arial" w:cs="Arial"/>
          <w:bCs/>
          <w:sz w:val="24"/>
          <w:szCs w:val="24"/>
        </w:rPr>
      </w:pPr>
    </w:p>
    <w:p w14:paraId="68A943CC" w14:textId="25D5E72B" w:rsidR="00C40558" w:rsidRDefault="00C40558" w:rsidP="00DD6C66">
      <w:pPr>
        <w:spacing w:after="0"/>
        <w:rPr>
          <w:rFonts w:ascii="Arial" w:hAnsi="Arial" w:cs="Arial"/>
          <w:sz w:val="24"/>
          <w:szCs w:val="24"/>
        </w:rPr>
      </w:pPr>
      <w:r>
        <w:rPr>
          <w:rFonts w:ascii="Arial" w:hAnsi="Arial" w:cs="Arial"/>
          <w:sz w:val="24"/>
          <w:szCs w:val="24"/>
        </w:rPr>
        <w:t>OEB staff has made the following generic updates in Rate Generator Models attached:</w:t>
      </w:r>
    </w:p>
    <w:p w14:paraId="409ADA67" w14:textId="77777777" w:rsidR="00C40558" w:rsidRDefault="00C40558" w:rsidP="00C40558">
      <w:pPr>
        <w:pStyle w:val="ListParagraph"/>
        <w:numPr>
          <w:ilvl w:val="0"/>
          <w:numId w:val="35"/>
        </w:numPr>
        <w:spacing w:after="0" w:line="240" w:lineRule="auto"/>
        <w:rPr>
          <w:rFonts w:ascii="Arial" w:hAnsi="Arial" w:cs="Arial"/>
          <w:sz w:val="24"/>
          <w:szCs w:val="24"/>
        </w:rPr>
      </w:pPr>
      <w:r>
        <w:rPr>
          <w:rFonts w:ascii="Arial" w:hAnsi="Arial" w:cs="Arial"/>
          <w:sz w:val="24"/>
          <w:szCs w:val="24"/>
        </w:rPr>
        <w:t>Updated the IPI Inflation Factor to 3.30%</w:t>
      </w:r>
      <w:r>
        <w:rPr>
          <w:rStyle w:val="FootnoteReference"/>
          <w:rFonts w:ascii="Arial" w:hAnsi="Arial" w:cs="Arial"/>
          <w:sz w:val="24"/>
          <w:szCs w:val="24"/>
        </w:rPr>
        <w:footnoteReference w:id="1"/>
      </w:r>
      <w:r>
        <w:rPr>
          <w:rFonts w:ascii="Arial" w:hAnsi="Arial" w:cs="Arial"/>
          <w:sz w:val="24"/>
          <w:szCs w:val="24"/>
        </w:rPr>
        <w:t xml:space="preserve"> in Tab 16 and Tab 17-Retail Service Charges</w:t>
      </w:r>
    </w:p>
    <w:p w14:paraId="0FB96D79" w14:textId="77777777" w:rsidR="00C40558" w:rsidRDefault="00C40558" w:rsidP="00C40558">
      <w:pPr>
        <w:pStyle w:val="ListParagraph"/>
        <w:numPr>
          <w:ilvl w:val="0"/>
          <w:numId w:val="35"/>
        </w:numPr>
        <w:spacing w:after="0" w:line="240" w:lineRule="auto"/>
        <w:rPr>
          <w:rFonts w:ascii="Arial" w:hAnsi="Arial" w:cs="Arial"/>
          <w:sz w:val="24"/>
          <w:szCs w:val="24"/>
        </w:rPr>
      </w:pPr>
      <w:r>
        <w:rPr>
          <w:rFonts w:ascii="Arial" w:hAnsi="Arial" w:cs="Arial"/>
          <w:sz w:val="24"/>
          <w:szCs w:val="24"/>
        </w:rPr>
        <w:t>Updated the Ontario Electricity Rebate in Tab 20 to 17% (as of November 1, 2021)</w:t>
      </w:r>
    </w:p>
    <w:p w14:paraId="2E66A39D" w14:textId="77777777" w:rsidR="00D21D0B" w:rsidRDefault="00D21D0B" w:rsidP="00D21D0B">
      <w:pPr>
        <w:pStyle w:val="ListParagraph"/>
        <w:numPr>
          <w:ilvl w:val="0"/>
          <w:numId w:val="35"/>
        </w:numPr>
        <w:spacing w:after="0" w:line="240" w:lineRule="auto"/>
        <w:rPr>
          <w:rFonts w:ascii="Arial" w:hAnsi="Arial" w:cs="Arial"/>
          <w:sz w:val="24"/>
          <w:szCs w:val="24"/>
        </w:rPr>
      </w:pPr>
      <w:r>
        <w:rPr>
          <w:rFonts w:ascii="Arial" w:hAnsi="Arial" w:cs="Arial"/>
          <w:sz w:val="24"/>
          <w:szCs w:val="24"/>
        </w:rPr>
        <w:t>Updated the Wireline Pole Attachment Charge to $34.76</w:t>
      </w:r>
      <w:r>
        <w:rPr>
          <w:rStyle w:val="FootnoteReference"/>
          <w:rFonts w:ascii="Arial" w:hAnsi="Arial" w:cs="Arial"/>
          <w:sz w:val="24"/>
          <w:szCs w:val="24"/>
        </w:rPr>
        <w:footnoteReference w:id="2"/>
      </w:r>
      <w:r>
        <w:rPr>
          <w:rFonts w:ascii="Arial" w:hAnsi="Arial" w:cs="Arial"/>
          <w:sz w:val="24"/>
          <w:szCs w:val="24"/>
        </w:rPr>
        <w:t xml:space="preserve"> in Tab 17</w:t>
      </w:r>
    </w:p>
    <w:p w14:paraId="329F99E6" w14:textId="77777777" w:rsidR="00D21D0B" w:rsidRPr="00131FCB" w:rsidRDefault="00D21D0B" w:rsidP="00D21D0B">
      <w:pPr>
        <w:pStyle w:val="ListParagraph"/>
        <w:numPr>
          <w:ilvl w:val="0"/>
          <w:numId w:val="35"/>
        </w:numPr>
        <w:spacing w:after="0" w:line="240" w:lineRule="auto"/>
        <w:rPr>
          <w:rFonts w:ascii="Arial" w:hAnsi="Arial" w:cs="Arial"/>
          <w:sz w:val="24"/>
          <w:szCs w:val="24"/>
        </w:rPr>
      </w:pPr>
      <w:r>
        <w:rPr>
          <w:rFonts w:ascii="Arial" w:hAnsi="Arial" w:cs="Arial"/>
          <w:sz w:val="24"/>
          <w:szCs w:val="24"/>
        </w:rPr>
        <w:t>Updated the 2022 UTRs</w:t>
      </w:r>
      <w:r>
        <w:rPr>
          <w:rStyle w:val="FootnoteReference"/>
          <w:rFonts w:ascii="Arial" w:hAnsi="Arial" w:cs="Arial"/>
          <w:sz w:val="24"/>
          <w:szCs w:val="24"/>
        </w:rPr>
        <w:footnoteReference w:id="3"/>
      </w:r>
      <w:r>
        <w:rPr>
          <w:rFonts w:ascii="Arial" w:hAnsi="Arial" w:cs="Arial"/>
          <w:sz w:val="24"/>
          <w:szCs w:val="24"/>
        </w:rPr>
        <w:t xml:space="preserve"> and Hydro One Sub-transmission rates</w:t>
      </w:r>
      <w:r>
        <w:rPr>
          <w:rStyle w:val="FootnoteReference"/>
          <w:rFonts w:ascii="Arial" w:hAnsi="Arial" w:cs="Arial"/>
          <w:sz w:val="24"/>
          <w:szCs w:val="24"/>
        </w:rPr>
        <w:footnoteReference w:id="4"/>
      </w:r>
      <w:r>
        <w:rPr>
          <w:rFonts w:ascii="Arial" w:hAnsi="Arial" w:cs="Arial"/>
          <w:sz w:val="24"/>
          <w:szCs w:val="24"/>
        </w:rPr>
        <w:t xml:space="preserve"> in Tab 15</w:t>
      </w:r>
    </w:p>
    <w:p w14:paraId="57A97C71" w14:textId="68E20DC9" w:rsidR="00C40558" w:rsidRPr="00D21D0B" w:rsidRDefault="00C40558" w:rsidP="00D21D0B">
      <w:pPr>
        <w:spacing w:after="0" w:line="240" w:lineRule="auto"/>
        <w:ind w:left="360"/>
        <w:rPr>
          <w:rFonts w:ascii="Arial" w:hAnsi="Arial" w:cs="Arial"/>
          <w:sz w:val="24"/>
          <w:szCs w:val="24"/>
        </w:rPr>
      </w:pPr>
    </w:p>
    <w:p w14:paraId="54A2126A" w14:textId="77777777" w:rsidR="00C40558" w:rsidRPr="002B4680" w:rsidRDefault="00C40558" w:rsidP="00C45D34">
      <w:pPr>
        <w:contextualSpacing/>
        <w:rPr>
          <w:rFonts w:ascii="Arial" w:hAnsi="Arial" w:cs="Arial"/>
          <w:bCs/>
          <w:sz w:val="24"/>
          <w:szCs w:val="24"/>
        </w:rPr>
      </w:pPr>
    </w:p>
    <w:p w14:paraId="7CFAFC4F" w14:textId="4B26189C" w:rsidR="00D57E8C" w:rsidRDefault="00D57E8C" w:rsidP="00C45D34">
      <w:pPr>
        <w:contextualSpacing/>
        <w:rPr>
          <w:rFonts w:ascii="Arial" w:hAnsi="Arial" w:cs="Arial"/>
          <w:b/>
          <w:sz w:val="24"/>
          <w:szCs w:val="24"/>
        </w:rPr>
      </w:pPr>
      <w:r>
        <w:rPr>
          <w:rFonts w:ascii="Arial" w:hAnsi="Arial" w:cs="Arial"/>
          <w:b/>
          <w:sz w:val="24"/>
          <w:szCs w:val="24"/>
        </w:rPr>
        <w:t>Staff Question-1</w:t>
      </w:r>
    </w:p>
    <w:p w14:paraId="0250BED3" w14:textId="5F7B26F9" w:rsidR="00C45D34" w:rsidRDefault="00C45D34" w:rsidP="00C45D34">
      <w:pPr>
        <w:rPr>
          <w:rFonts w:ascii="Arial" w:hAnsi="Arial" w:cs="Arial"/>
          <w:bCs/>
          <w:sz w:val="24"/>
          <w:szCs w:val="24"/>
        </w:rPr>
      </w:pPr>
      <w:r>
        <w:rPr>
          <w:rFonts w:ascii="Arial" w:hAnsi="Arial" w:cs="Arial"/>
          <w:b/>
          <w:sz w:val="24"/>
          <w:szCs w:val="24"/>
        </w:rPr>
        <w:t>Ref:</w:t>
      </w:r>
      <w:r w:rsidR="0056349F">
        <w:rPr>
          <w:rFonts w:ascii="Arial" w:hAnsi="Arial" w:cs="Arial"/>
          <w:b/>
          <w:sz w:val="24"/>
          <w:szCs w:val="24"/>
        </w:rPr>
        <w:t xml:space="preserve"> </w:t>
      </w:r>
      <w:r w:rsidR="00CA26B7">
        <w:rPr>
          <w:rFonts w:ascii="Arial" w:hAnsi="Arial" w:cs="Arial"/>
          <w:b/>
          <w:sz w:val="24"/>
          <w:szCs w:val="24"/>
        </w:rPr>
        <w:t xml:space="preserve">Newmarket-Tay Rate Zone (RZ) - </w:t>
      </w:r>
      <w:r w:rsidR="0056349F">
        <w:rPr>
          <w:rFonts w:ascii="Arial" w:hAnsi="Arial" w:cs="Arial"/>
          <w:b/>
          <w:sz w:val="24"/>
          <w:szCs w:val="24"/>
        </w:rPr>
        <w:t xml:space="preserve">Rate Generator Model, Tab </w:t>
      </w:r>
      <w:r w:rsidR="00CA26B7">
        <w:rPr>
          <w:rFonts w:ascii="Arial" w:hAnsi="Arial" w:cs="Arial"/>
          <w:b/>
          <w:sz w:val="24"/>
          <w:szCs w:val="24"/>
        </w:rPr>
        <w:t>20 Bill Impacts, Changes in Retail Transmission Service Rates (RTSRs)</w:t>
      </w:r>
    </w:p>
    <w:p w14:paraId="2E121130" w14:textId="7BF8D080" w:rsidR="001B0C29" w:rsidRDefault="001B0C29" w:rsidP="003603AB">
      <w:pPr>
        <w:rPr>
          <w:rFonts w:ascii="Arial" w:hAnsi="Arial" w:cs="Arial"/>
          <w:bCs/>
          <w:sz w:val="24"/>
          <w:szCs w:val="24"/>
        </w:rPr>
      </w:pPr>
      <w:r>
        <w:rPr>
          <w:rFonts w:ascii="Arial" w:hAnsi="Arial" w:cs="Arial"/>
          <w:bCs/>
          <w:sz w:val="24"/>
          <w:szCs w:val="24"/>
        </w:rPr>
        <w:t xml:space="preserve">As shown in Newmarket-Tay RZ’s Rate Generator Model </w:t>
      </w:r>
      <w:r w:rsidR="00A9197E">
        <w:rPr>
          <w:rFonts w:ascii="Arial" w:hAnsi="Arial" w:cs="Arial"/>
          <w:bCs/>
          <w:sz w:val="24"/>
          <w:szCs w:val="24"/>
        </w:rPr>
        <w:t xml:space="preserve">as filed </w:t>
      </w:r>
      <w:r>
        <w:rPr>
          <w:rFonts w:ascii="Arial" w:hAnsi="Arial" w:cs="Arial"/>
          <w:bCs/>
          <w:sz w:val="24"/>
          <w:szCs w:val="24"/>
        </w:rPr>
        <w:t>– Tab 20 Bill Impacts, the increase in the RTSRs w</w:t>
      </w:r>
      <w:r w:rsidR="00A9197E">
        <w:rPr>
          <w:rFonts w:ascii="Arial" w:hAnsi="Arial" w:cs="Arial"/>
          <w:bCs/>
          <w:sz w:val="24"/>
          <w:szCs w:val="24"/>
        </w:rPr>
        <w:t>ould</w:t>
      </w:r>
      <w:r>
        <w:rPr>
          <w:rFonts w:ascii="Arial" w:hAnsi="Arial" w:cs="Arial"/>
          <w:bCs/>
          <w:sz w:val="24"/>
          <w:szCs w:val="24"/>
        </w:rPr>
        <w:t xml:space="preserve"> result in an increase in the RTSR – Network charge for about 11% (for all rete classes), and an increase in the RTSR – Connection charge for about 9.5%</w:t>
      </w:r>
      <w:r w:rsidR="00A9197E">
        <w:rPr>
          <w:rFonts w:ascii="Arial" w:hAnsi="Arial" w:cs="Arial"/>
          <w:bCs/>
          <w:sz w:val="24"/>
          <w:szCs w:val="24"/>
        </w:rPr>
        <w:t xml:space="preserve"> (before the 2022 UTRs and Hydro One RTSRs got updated)</w:t>
      </w:r>
      <w:r>
        <w:rPr>
          <w:rFonts w:ascii="Arial" w:hAnsi="Arial" w:cs="Arial"/>
          <w:bCs/>
          <w:sz w:val="24"/>
          <w:szCs w:val="24"/>
        </w:rPr>
        <w:t xml:space="preserve">. These bill impacts in the RTSR charges are considered relatively high. As flagged in Tab 20 of the model, Newmarket-Tay </w:t>
      </w:r>
      <w:r w:rsidR="0076467B">
        <w:rPr>
          <w:rFonts w:ascii="Arial" w:hAnsi="Arial" w:cs="Arial"/>
          <w:bCs/>
          <w:sz w:val="24"/>
          <w:szCs w:val="24"/>
        </w:rPr>
        <w:t xml:space="preserve">Power is required to </w:t>
      </w:r>
      <w:r w:rsidR="0076467B" w:rsidRPr="0076467B">
        <w:rPr>
          <w:rFonts w:ascii="Arial" w:hAnsi="Arial" w:cs="Arial"/>
          <w:bCs/>
          <w:sz w:val="24"/>
          <w:szCs w:val="24"/>
        </w:rPr>
        <w:t>discuss the reasoning for the change in RTSR</w:t>
      </w:r>
      <w:r w:rsidR="0076467B">
        <w:rPr>
          <w:rFonts w:ascii="Arial" w:hAnsi="Arial" w:cs="Arial"/>
          <w:bCs/>
          <w:sz w:val="24"/>
          <w:szCs w:val="24"/>
        </w:rPr>
        <w:t>s. Please provide this information.</w:t>
      </w:r>
    </w:p>
    <w:p w14:paraId="3AB9DD87" w14:textId="49D3292F" w:rsidR="00F8277D" w:rsidRDefault="00460161" w:rsidP="00F8277D">
      <w:pPr>
        <w:contextualSpacing/>
        <w:rPr>
          <w:rFonts w:ascii="Arial" w:hAnsi="Arial" w:cs="Arial"/>
          <w:b/>
          <w:sz w:val="24"/>
          <w:szCs w:val="24"/>
        </w:rPr>
      </w:pPr>
      <w:r>
        <w:rPr>
          <w:rFonts w:ascii="Arial" w:hAnsi="Arial" w:cs="Arial"/>
          <w:b/>
          <w:sz w:val="24"/>
          <w:szCs w:val="24"/>
        </w:rPr>
        <w:t>S</w:t>
      </w:r>
      <w:r w:rsidR="00F8277D">
        <w:rPr>
          <w:rFonts w:ascii="Arial" w:hAnsi="Arial" w:cs="Arial"/>
          <w:b/>
          <w:sz w:val="24"/>
          <w:szCs w:val="24"/>
        </w:rPr>
        <w:t>taff Question-</w:t>
      </w:r>
      <w:r w:rsidR="003027EC">
        <w:rPr>
          <w:rFonts w:ascii="Arial" w:hAnsi="Arial" w:cs="Arial"/>
          <w:b/>
          <w:sz w:val="24"/>
          <w:szCs w:val="24"/>
        </w:rPr>
        <w:t>2</w:t>
      </w:r>
    </w:p>
    <w:p w14:paraId="2532C5A1" w14:textId="5092FE32" w:rsidR="00F8277D" w:rsidRDefault="00F8277D" w:rsidP="00F8277D">
      <w:pPr>
        <w:rPr>
          <w:rFonts w:ascii="Arial" w:hAnsi="Arial" w:cs="Arial"/>
          <w:b/>
          <w:sz w:val="24"/>
          <w:szCs w:val="24"/>
        </w:rPr>
      </w:pPr>
      <w:r>
        <w:rPr>
          <w:rFonts w:ascii="Arial" w:hAnsi="Arial" w:cs="Arial"/>
          <w:b/>
          <w:sz w:val="24"/>
          <w:szCs w:val="24"/>
        </w:rPr>
        <w:t xml:space="preserve">Ref: </w:t>
      </w:r>
      <w:r w:rsidR="00984258">
        <w:rPr>
          <w:rFonts w:ascii="Arial" w:hAnsi="Arial" w:cs="Arial"/>
          <w:b/>
          <w:sz w:val="24"/>
          <w:szCs w:val="24"/>
        </w:rPr>
        <w:t>Newmarket-Tay RZ</w:t>
      </w:r>
      <w:r w:rsidR="00B95041">
        <w:rPr>
          <w:rFonts w:ascii="Arial" w:hAnsi="Arial" w:cs="Arial"/>
          <w:b/>
          <w:sz w:val="24"/>
          <w:szCs w:val="24"/>
        </w:rPr>
        <w:t xml:space="preserve">, </w:t>
      </w:r>
      <w:r>
        <w:rPr>
          <w:rFonts w:ascii="Arial" w:hAnsi="Arial" w:cs="Arial"/>
          <w:b/>
          <w:sz w:val="24"/>
          <w:szCs w:val="24"/>
        </w:rPr>
        <w:t>Rate Generator Model</w:t>
      </w:r>
      <w:r w:rsidR="00B95041">
        <w:rPr>
          <w:rFonts w:ascii="Arial" w:hAnsi="Arial" w:cs="Arial"/>
          <w:b/>
          <w:sz w:val="24"/>
          <w:szCs w:val="24"/>
        </w:rPr>
        <w:t xml:space="preserve">, Tab </w:t>
      </w:r>
      <w:r w:rsidR="00984258">
        <w:rPr>
          <w:rFonts w:ascii="Arial" w:hAnsi="Arial" w:cs="Arial"/>
          <w:b/>
          <w:sz w:val="24"/>
          <w:szCs w:val="24"/>
        </w:rPr>
        <w:t>3 Continuity Schedule, Accounts 1580, 1588 and 1589</w:t>
      </w:r>
    </w:p>
    <w:p w14:paraId="23204C6A" w14:textId="5FCDDD38" w:rsidR="00686B96" w:rsidRDefault="00984258" w:rsidP="00C02651">
      <w:pPr>
        <w:rPr>
          <w:rFonts w:ascii="Arial" w:hAnsi="Arial" w:cs="Arial"/>
          <w:bCs/>
          <w:sz w:val="24"/>
          <w:szCs w:val="24"/>
        </w:rPr>
      </w:pPr>
      <w:r>
        <w:rPr>
          <w:rFonts w:ascii="Arial" w:hAnsi="Arial" w:cs="Arial"/>
          <w:bCs/>
          <w:sz w:val="24"/>
          <w:szCs w:val="24"/>
        </w:rPr>
        <w:lastRenderedPageBreak/>
        <w:t>OEB staff noted that there are discrepancies in the 2019 closing balances in Accounts 1580 (control account), 1588 and 1589 between Newmarket-Tay RZ’s current Rate Generator Model and the final Rate Generator Model issued with the 2021 Decision and Rate Order (EB-2020-</w:t>
      </w:r>
      <w:r w:rsidR="00686B96">
        <w:rPr>
          <w:rFonts w:ascii="Arial" w:hAnsi="Arial" w:cs="Arial"/>
          <w:bCs/>
          <w:sz w:val="24"/>
          <w:szCs w:val="24"/>
        </w:rPr>
        <w:t>0041). The discrepancies are summarized below:</w:t>
      </w:r>
    </w:p>
    <w:tbl>
      <w:tblPr>
        <w:tblStyle w:val="TableGrid"/>
        <w:tblW w:w="0" w:type="auto"/>
        <w:tblLook w:val="04A0" w:firstRow="1" w:lastRow="0" w:firstColumn="1" w:lastColumn="0" w:noHBand="0" w:noVBand="1"/>
      </w:tblPr>
      <w:tblGrid>
        <w:gridCol w:w="1870"/>
        <w:gridCol w:w="1870"/>
        <w:gridCol w:w="1870"/>
        <w:gridCol w:w="1870"/>
        <w:gridCol w:w="1870"/>
      </w:tblGrid>
      <w:tr w:rsidR="00686B96" w:rsidRPr="00686B96" w14:paraId="2E96941B" w14:textId="77777777" w:rsidTr="008350E1">
        <w:tc>
          <w:tcPr>
            <w:tcW w:w="1870" w:type="dxa"/>
          </w:tcPr>
          <w:p w14:paraId="0B6935A9" w14:textId="77777777" w:rsidR="00686B96" w:rsidRPr="00686B96" w:rsidRDefault="00686B96" w:rsidP="00C02651">
            <w:pPr>
              <w:rPr>
                <w:rFonts w:ascii="Arial" w:hAnsi="Arial" w:cs="Arial"/>
                <w:bCs/>
                <w:sz w:val="20"/>
                <w:szCs w:val="20"/>
              </w:rPr>
            </w:pPr>
          </w:p>
        </w:tc>
        <w:tc>
          <w:tcPr>
            <w:tcW w:w="3740" w:type="dxa"/>
            <w:gridSpan w:val="2"/>
          </w:tcPr>
          <w:p w14:paraId="4933AC78" w14:textId="0FDEC61D" w:rsidR="00686B96" w:rsidRPr="00C9510E" w:rsidRDefault="00686B96" w:rsidP="00C9510E">
            <w:pPr>
              <w:jc w:val="center"/>
              <w:rPr>
                <w:rFonts w:ascii="Arial" w:hAnsi="Arial" w:cs="Arial"/>
                <w:b/>
                <w:sz w:val="20"/>
                <w:szCs w:val="20"/>
              </w:rPr>
            </w:pPr>
            <w:r w:rsidRPr="00C9510E">
              <w:rPr>
                <w:rFonts w:ascii="Arial" w:hAnsi="Arial" w:cs="Arial"/>
                <w:b/>
                <w:sz w:val="20"/>
                <w:szCs w:val="20"/>
              </w:rPr>
              <w:t>2022 Application</w:t>
            </w:r>
          </w:p>
        </w:tc>
        <w:tc>
          <w:tcPr>
            <w:tcW w:w="3740" w:type="dxa"/>
            <w:gridSpan w:val="2"/>
          </w:tcPr>
          <w:p w14:paraId="7C464373" w14:textId="41902916" w:rsidR="00686B96" w:rsidRPr="00C9510E" w:rsidRDefault="00686B96" w:rsidP="00C9510E">
            <w:pPr>
              <w:jc w:val="center"/>
              <w:rPr>
                <w:rFonts w:ascii="Arial" w:hAnsi="Arial" w:cs="Arial"/>
                <w:b/>
                <w:sz w:val="20"/>
                <w:szCs w:val="20"/>
              </w:rPr>
            </w:pPr>
            <w:r w:rsidRPr="00C9510E">
              <w:rPr>
                <w:rFonts w:ascii="Arial" w:hAnsi="Arial" w:cs="Arial"/>
                <w:b/>
                <w:sz w:val="20"/>
                <w:szCs w:val="20"/>
              </w:rPr>
              <w:t>2021 Application (final IRM Model)</w:t>
            </w:r>
          </w:p>
        </w:tc>
      </w:tr>
      <w:tr w:rsidR="0006499F" w:rsidRPr="00686B96" w14:paraId="375E1AE3" w14:textId="77777777" w:rsidTr="00686B96">
        <w:tc>
          <w:tcPr>
            <w:tcW w:w="1870" w:type="dxa"/>
          </w:tcPr>
          <w:p w14:paraId="61BC9710" w14:textId="77777777" w:rsidR="0006499F" w:rsidRPr="00686B96" w:rsidRDefault="0006499F" w:rsidP="0006499F">
            <w:pPr>
              <w:rPr>
                <w:rFonts w:ascii="Arial" w:hAnsi="Arial" w:cs="Arial"/>
                <w:bCs/>
                <w:sz w:val="20"/>
                <w:szCs w:val="20"/>
              </w:rPr>
            </w:pPr>
          </w:p>
        </w:tc>
        <w:tc>
          <w:tcPr>
            <w:tcW w:w="1870" w:type="dxa"/>
          </w:tcPr>
          <w:p w14:paraId="1AFC370D" w14:textId="4BD4EF89" w:rsidR="0006499F" w:rsidRPr="00C9510E" w:rsidRDefault="0006499F" w:rsidP="0006499F">
            <w:pPr>
              <w:rPr>
                <w:rFonts w:ascii="Arial" w:hAnsi="Arial" w:cs="Arial"/>
                <w:b/>
                <w:sz w:val="20"/>
                <w:szCs w:val="20"/>
              </w:rPr>
            </w:pPr>
            <w:r w:rsidRPr="00C9510E">
              <w:rPr>
                <w:rFonts w:ascii="Arial" w:hAnsi="Arial" w:cs="Arial"/>
                <w:b/>
                <w:sz w:val="20"/>
                <w:szCs w:val="20"/>
              </w:rPr>
              <w:t>2019 Closing Principal</w:t>
            </w:r>
            <w:r>
              <w:rPr>
                <w:rFonts w:ascii="Arial" w:hAnsi="Arial" w:cs="Arial"/>
                <w:b/>
                <w:sz w:val="20"/>
                <w:szCs w:val="20"/>
              </w:rPr>
              <w:t xml:space="preserve"> ($)</w:t>
            </w:r>
          </w:p>
        </w:tc>
        <w:tc>
          <w:tcPr>
            <w:tcW w:w="1870" w:type="dxa"/>
          </w:tcPr>
          <w:p w14:paraId="58D8B953" w14:textId="43738DD7" w:rsidR="0006499F" w:rsidRPr="00C9510E" w:rsidRDefault="0006499F" w:rsidP="0006499F">
            <w:pPr>
              <w:rPr>
                <w:rFonts w:ascii="Arial" w:hAnsi="Arial" w:cs="Arial"/>
                <w:b/>
                <w:sz w:val="20"/>
                <w:szCs w:val="20"/>
              </w:rPr>
            </w:pPr>
            <w:r w:rsidRPr="00C9510E">
              <w:rPr>
                <w:rFonts w:ascii="Arial" w:hAnsi="Arial" w:cs="Arial"/>
                <w:b/>
                <w:sz w:val="20"/>
                <w:szCs w:val="20"/>
              </w:rPr>
              <w:t>2019 Closing Interest</w:t>
            </w:r>
            <w:r>
              <w:rPr>
                <w:rFonts w:ascii="Arial" w:hAnsi="Arial" w:cs="Arial"/>
                <w:b/>
                <w:sz w:val="20"/>
                <w:szCs w:val="20"/>
              </w:rPr>
              <w:t xml:space="preserve"> ($)</w:t>
            </w:r>
          </w:p>
        </w:tc>
        <w:tc>
          <w:tcPr>
            <w:tcW w:w="1870" w:type="dxa"/>
          </w:tcPr>
          <w:p w14:paraId="0D4A898F" w14:textId="10F188F5" w:rsidR="0006499F" w:rsidRPr="00C9510E" w:rsidRDefault="0006499F" w:rsidP="0006499F">
            <w:pPr>
              <w:rPr>
                <w:rFonts w:ascii="Arial" w:hAnsi="Arial" w:cs="Arial"/>
                <w:b/>
                <w:sz w:val="20"/>
                <w:szCs w:val="20"/>
              </w:rPr>
            </w:pPr>
            <w:r w:rsidRPr="00C9510E">
              <w:rPr>
                <w:rFonts w:ascii="Arial" w:hAnsi="Arial" w:cs="Arial"/>
                <w:b/>
                <w:sz w:val="20"/>
                <w:szCs w:val="20"/>
              </w:rPr>
              <w:t>2019 Closing Principal</w:t>
            </w:r>
            <w:r>
              <w:rPr>
                <w:rFonts w:ascii="Arial" w:hAnsi="Arial" w:cs="Arial"/>
                <w:b/>
                <w:sz w:val="20"/>
                <w:szCs w:val="20"/>
              </w:rPr>
              <w:t xml:space="preserve"> ($)</w:t>
            </w:r>
          </w:p>
        </w:tc>
        <w:tc>
          <w:tcPr>
            <w:tcW w:w="1870" w:type="dxa"/>
          </w:tcPr>
          <w:p w14:paraId="7F8BF5B5" w14:textId="6B3ECECF" w:rsidR="0006499F" w:rsidRPr="00C9510E" w:rsidRDefault="0006499F" w:rsidP="0006499F">
            <w:pPr>
              <w:rPr>
                <w:rFonts w:ascii="Arial" w:hAnsi="Arial" w:cs="Arial"/>
                <w:b/>
                <w:sz w:val="20"/>
                <w:szCs w:val="20"/>
              </w:rPr>
            </w:pPr>
            <w:r w:rsidRPr="00C9510E">
              <w:rPr>
                <w:rFonts w:ascii="Arial" w:hAnsi="Arial" w:cs="Arial"/>
                <w:b/>
                <w:sz w:val="20"/>
                <w:szCs w:val="20"/>
              </w:rPr>
              <w:t>2019 Closing Interest</w:t>
            </w:r>
            <w:r>
              <w:rPr>
                <w:rFonts w:ascii="Arial" w:hAnsi="Arial" w:cs="Arial"/>
                <w:b/>
                <w:sz w:val="20"/>
                <w:szCs w:val="20"/>
              </w:rPr>
              <w:t xml:space="preserve"> ($)</w:t>
            </w:r>
          </w:p>
        </w:tc>
      </w:tr>
      <w:tr w:rsidR="00686B96" w:rsidRPr="00686B96" w14:paraId="0950097A" w14:textId="77777777" w:rsidTr="00686B96">
        <w:tc>
          <w:tcPr>
            <w:tcW w:w="1870" w:type="dxa"/>
          </w:tcPr>
          <w:p w14:paraId="303A534D" w14:textId="2ED54D34" w:rsidR="00686B96" w:rsidRPr="00C9510E" w:rsidRDefault="00686B96" w:rsidP="00686B96">
            <w:pPr>
              <w:rPr>
                <w:rFonts w:ascii="Arial" w:hAnsi="Arial" w:cs="Arial"/>
                <w:b/>
                <w:sz w:val="20"/>
                <w:szCs w:val="20"/>
              </w:rPr>
            </w:pPr>
            <w:r w:rsidRPr="00C9510E">
              <w:rPr>
                <w:rFonts w:ascii="Arial" w:hAnsi="Arial" w:cs="Arial"/>
                <w:b/>
                <w:sz w:val="20"/>
                <w:szCs w:val="20"/>
              </w:rPr>
              <w:t>Account 1580 (control account)</w:t>
            </w:r>
          </w:p>
        </w:tc>
        <w:tc>
          <w:tcPr>
            <w:tcW w:w="1870" w:type="dxa"/>
          </w:tcPr>
          <w:p w14:paraId="489A8CD6" w14:textId="47F07FE3" w:rsidR="00686B96" w:rsidRPr="00686B96" w:rsidRDefault="00686B96" w:rsidP="00686B96">
            <w:pPr>
              <w:rPr>
                <w:rFonts w:ascii="Arial" w:hAnsi="Arial" w:cs="Arial"/>
                <w:bCs/>
                <w:sz w:val="20"/>
                <w:szCs w:val="20"/>
              </w:rPr>
            </w:pPr>
            <w:r>
              <w:rPr>
                <w:rFonts w:ascii="Arial" w:hAnsi="Arial" w:cs="Arial"/>
                <w:bCs/>
                <w:sz w:val="20"/>
                <w:szCs w:val="20"/>
              </w:rPr>
              <w:t>(255,867)</w:t>
            </w:r>
          </w:p>
        </w:tc>
        <w:tc>
          <w:tcPr>
            <w:tcW w:w="1870" w:type="dxa"/>
          </w:tcPr>
          <w:p w14:paraId="6C19BBBD" w14:textId="2A5CFF8F" w:rsidR="00686B96" w:rsidRPr="00686B96" w:rsidRDefault="00C9510E" w:rsidP="00686B96">
            <w:pPr>
              <w:rPr>
                <w:rFonts w:ascii="Arial" w:hAnsi="Arial" w:cs="Arial"/>
                <w:bCs/>
                <w:sz w:val="20"/>
                <w:szCs w:val="20"/>
              </w:rPr>
            </w:pPr>
            <w:r>
              <w:rPr>
                <w:rFonts w:ascii="Arial" w:hAnsi="Arial" w:cs="Arial"/>
                <w:bCs/>
                <w:sz w:val="20"/>
                <w:szCs w:val="20"/>
              </w:rPr>
              <w:t>No discrepancy</w:t>
            </w:r>
          </w:p>
        </w:tc>
        <w:tc>
          <w:tcPr>
            <w:tcW w:w="1870" w:type="dxa"/>
          </w:tcPr>
          <w:p w14:paraId="3244453C" w14:textId="39F5D50C" w:rsidR="00686B96" w:rsidRPr="00686B96" w:rsidRDefault="00C9510E" w:rsidP="00686B96">
            <w:pPr>
              <w:rPr>
                <w:rFonts w:ascii="Arial" w:hAnsi="Arial" w:cs="Arial"/>
                <w:bCs/>
                <w:sz w:val="20"/>
                <w:szCs w:val="20"/>
              </w:rPr>
            </w:pPr>
            <w:r>
              <w:rPr>
                <w:rFonts w:ascii="Arial" w:hAnsi="Arial" w:cs="Arial"/>
                <w:bCs/>
                <w:sz w:val="20"/>
                <w:szCs w:val="20"/>
              </w:rPr>
              <w:t>(254,483)</w:t>
            </w:r>
          </w:p>
        </w:tc>
        <w:tc>
          <w:tcPr>
            <w:tcW w:w="1870" w:type="dxa"/>
          </w:tcPr>
          <w:p w14:paraId="0020E724" w14:textId="349C10AA" w:rsidR="00686B96" w:rsidRPr="00686B96" w:rsidRDefault="00C9510E" w:rsidP="00686B96">
            <w:pPr>
              <w:rPr>
                <w:rFonts w:ascii="Arial" w:hAnsi="Arial" w:cs="Arial"/>
                <w:bCs/>
                <w:sz w:val="20"/>
                <w:szCs w:val="20"/>
              </w:rPr>
            </w:pPr>
            <w:r>
              <w:rPr>
                <w:rFonts w:ascii="Arial" w:hAnsi="Arial" w:cs="Arial"/>
                <w:bCs/>
                <w:sz w:val="20"/>
                <w:szCs w:val="20"/>
              </w:rPr>
              <w:t>No discrepancy</w:t>
            </w:r>
          </w:p>
        </w:tc>
      </w:tr>
      <w:tr w:rsidR="00686B96" w:rsidRPr="00686B96" w14:paraId="3A44DB2A" w14:textId="77777777" w:rsidTr="00686B96">
        <w:tc>
          <w:tcPr>
            <w:tcW w:w="1870" w:type="dxa"/>
          </w:tcPr>
          <w:p w14:paraId="5E88460A" w14:textId="2C3B0DB8" w:rsidR="00686B96" w:rsidRPr="00C9510E" w:rsidRDefault="00686B96" w:rsidP="00686B96">
            <w:pPr>
              <w:rPr>
                <w:rFonts w:ascii="Arial" w:hAnsi="Arial" w:cs="Arial"/>
                <w:b/>
                <w:sz w:val="20"/>
                <w:szCs w:val="20"/>
              </w:rPr>
            </w:pPr>
            <w:r w:rsidRPr="00C9510E">
              <w:rPr>
                <w:rFonts w:ascii="Arial" w:hAnsi="Arial" w:cs="Arial"/>
                <w:b/>
                <w:sz w:val="20"/>
                <w:szCs w:val="20"/>
              </w:rPr>
              <w:t>Account 1588</w:t>
            </w:r>
          </w:p>
        </w:tc>
        <w:tc>
          <w:tcPr>
            <w:tcW w:w="1870" w:type="dxa"/>
          </w:tcPr>
          <w:p w14:paraId="2CF3E91B" w14:textId="34ED63BF" w:rsidR="00686B96" w:rsidRPr="00686B96" w:rsidRDefault="00C9510E" w:rsidP="00686B96">
            <w:pPr>
              <w:rPr>
                <w:rFonts w:ascii="Arial" w:hAnsi="Arial" w:cs="Arial"/>
                <w:bCs/>
                <w:sz w:val="20"/>
                <w:szCs w:val="20"/>
              </w:rPr>
            </w:pPr>
            <w:r>
              <w:rPr>
                <w:rFonts w:ascii="Arial" w:hAnsi="Arial" w:cs="Arial"/>
                <w:bCs/>
                <w:sz w:val="20"/>
                <w:szCs w:val="20"/>
              </w:rPr>
              <w:t>1,085,588</w:t>
            </w:r>
          </w:p>
        </w:tc>
        <w:tc>
          <w:tcPr>
            <w:tcW w:w="1870" w:type="dxa"/>
          </w:tcPr>
          <w:p w14:paraId="2442888D" w14:textId="77998087" w:rsidR="00686B96" w:rsidRPr="00686B96" w:rsidRDefault="00C9510E" w:rsidP="00686B96">
            <w:pPr>
              <w:rPr>
                <w:rFonts w:ascii="Arial" w:hAnsi="Arial" w:cs="Arial"/>
                <w:bCs/>
                <w:sz w:val="20"/>
                <w:szCs w:val="20"/>
              </w:rPr>
            </w:pPr>
            <w:r>
              <w:rPr>
                <w:rFonts w:ascii="Arial" w:hAnsi="Arial" w:cs="Arial"/>
                <w:bCs/>
                <w:sz w:val="20"/>
                <w:szCs w:val="20"/>
              </w:rPr>
              <w:t>119,058</w:t>
            </w:r>
          </w:p>
        </w:tc>
        <w:tc>
          <w:tcPr>
            <w:tcW w:w="1870" w:type="dxa"/>
          </w:tcPr>
          <w:p w14:paraId="277D5799" w14:textId="71247797" w:rsidR="00686B96" w:rsidRPr="00686B96" w:rsidRDefault="00C9510E" w:rsidP="00686B96">
            <w:pPr>
              <w:rPr>
                <w:rFonts w:ascii="Arial" w:hAnsi="Arial" w:cs="Arial"/>
                <w:bCs/>
                <w:sz w:val="20"/>
                <w:szCs w:val="20"/>
              </w:rPr>
            </w:pPr>
            <w:r>
              <w:rPr>
                <w:rFonts w:ascii="Arial" w:hAnsi="Arial" w:cs="Arial"/>
                <w:bCs/>
                <w:sz w:val="20"/>
                <w:szCs w:val="20"/>
              </w:rPr>
              <w:t>907,098</w:t>
            </w:r>
          </w:p>
        </w:tc>
        <w:tc>
          <w:tcPr>
            <w:tcW w:w="1870" w:type="dxa"/>
          </w:tcPr>
          <w:p w14:paraId="0E966246" w14:textId="4DA9ABDB" w:rsidR="00686B96" w:rsidRPr="00686B96" w:rsidRDefault="00C9510E" w:rsidP="00686B96">
            <w:pPr>
              <w:rPr>
                <w:rFonts w:ascii="Arial" w:hAnsi="Arial" w:cs="Arial"/>
                <w:bCs/>
                <w:sz w:val="20"/>
                <w:szCs w:val="20"/>
              </w:rPr>
            </w:pPr>
            <w:r>
              <w:rPr>
                <w:rFonts w:ascii="Arial" w:hAnsi="Arial" w:cs="Arial"/>
                <w:bCs/>
                <w:sz w:val="20"/>
                <w:szCs w:val="20"/>
              </w:rPr>
              <w:t>113,557</w:t>
            </w:r>
          </w:p>
        </w:tc>
      </w:tr>
      <w:tr w:rsidR="00686B96" w:rsidRPr="00686B96" w14:paraId="671EDAD3" w14:textId="77777777" w:rsidTr="00686B96">
        <w:tc>
          <w:tcPr>
            <w:tcW w:w="1870" w:type="dxa"/>
          </w:tcPr>
          <w:p w14:paraId="7E98BBE3" w14:textId="02BE6E0A" w:rsidR="00686B96" w:rsidRPr="00C9510E" w:rsidRDefault="00686B96" w:rsidP="00686B96">
            <w:pPr>
              <w:rPr>
                <w:rFonts w:ascii="Arial" w:hAnsi="Arial" w:cs="Arial"/>
                <w:b/>
                <w:sz w:val="20"/>
                <w:szCs w:val="20"/>
              </w:rPr>
            </w:pPr>
            <w:r w:rsidRPr="00C9510E">
              <w:rPr>
                <w:rFonts w:ascii="Arial" w:hAnsi="Arial" w:cs="Arial"/>
                <w:b/>
                <w:sz w:val="20"/>
                <w:szCs w:val="20"/>
              </w:rPr>
              <w:t>Account 1589</w:t>
            </w:r>
          </w:p>
        </w:tc>
        <w:tc>
          <w:tcPr>
            <w:tcW w:w="1870" w:type="dxa"/>
          </w:tcPr>
          <w:p w14:paraId="446CE74E" w14:textId="6B4163EB" w:rsidR="00686B96" w:rsidRPr="00686B96" w:rsidRDefault="00C9510E" w:rsidP="00686B96">
            <w:pPr>
              <w:rPr>
                <w:rFonts w:ascii="Arial" w:hAnsi="Arial" w:cs="Arial"/>
                <w:bCs/>
                <w:sz w:val="20"/>
                <w:szCs w:val="20"/>
              </w:rPr>
            </w:pPr>
            <w:r>
              <w:rPr>
                <w:rFonts w:ascii="Arial" w:hAnsi="Arial" w:cs="Arial"/>
                <w:bCs/>
                <w:sz w:val="20"/>
                <w:szCs w:val="20"/>
              </w:rPr>
              <w:t>(1,082,946)</w:t>
            </w:r>
          </w:p>
        </w:tc>
        <w:tc>
          <w:tcPr>
            <w:tcW w:w="1870" w:type="dxa"/>
          </w:tcPr>
          <w:p w14:paraId="20F26E49" w14:textId="227654E2" w:rsidR="00686B96" w:rsidRPr="00686B96" w:rsidRDefault="00C9510E" w:rsidP="00686B96">
            <w:pPr>
              <w:rPr>
                <w:rFonts w:ascii="Arial" w:hAnsi="Arial" w:cs="Arial"/>
                <w:bCs/>
                <w:sz w:val="20"/>
                <w:szCs w:val="20"/>
              </w:rPr>
            </w:pPr>
            <w:r>
              <w:rPr>
                <w:rFonts w:ascii="Arial" w:hAnsi="Arial" w:cs="Arial"/>
                <w:bCs/>
                <w:sz w:val="20"/>
                <w:szCs w:val="20"/>
              </w:rPr>
              <w:t>8,469</w:t>
            </w:r>
          </w:p>
        </w:tc>
        <w:tc>
          <w:tcPr>
            <w:tcW w:w="1870" w:type="dxa"/>
          </w:tcPr>
          <w:p w14:paraId="0F7D9CEC" w14:textId="71059595" w:rsidR="00686B96" w:rsidRPr="00686B96" w:rsidRDefault="00C9510E" w:rsidP="00686B96">
            <w:pPr>
              <w:rPr>
                <w:rFonts w:ascii="Arial" w:hAnsi="Arial" w:cs="Arial"/>
                <w:bCs/>
                <w:sz w:val="20"/>
                <w:szCs w:val="20"/>
              </w:rPr>
            </w:pPr>
            <w:r>
              <w:rPr>
                <w:rFonts w:ascii="Arial" w:hAnsi="Arial" w:cs="Arial"/>
                <w:bCs/>
                <w:sz w:val="20"/>
                <w:szCs w:val="20"/>
              </w:rPr>
              <w:t>(933,395)</w:t>
            </w:r>
          </w:p>
        </w:tc>
        <w:tc>
          <w:tcPr>
            <w:tcW w:w="1870" w:type="dxa"/>
          </w:tcPr>
          <w:p w14:paraId="60F9B843" w14:textId="0EDDBA36" w:rsidR="00686B96" w:rsidRPr="00686B96" w:rsidRDefault="00C9510E" w:rsidP="00686B96">
            <w:pPr>
              <w:rPr>
                <w:rFonts w:ascii="Arial" w:hAnsi="Arial" w:cs="Arial"/>
                <w:bCs/>
                <w:sz w:val="20"/>
                <w:szCs w:val="20"/>
              </w:rPr>
            </w:pPr>
            <w:r>
              <w:rPr>
                <w:rFonts w:ascii="Arial" w:hAnsi="Arial" w:cs="Arial"/>
                <w:bCs/>
                <w:sz w:val="20"/>
                <w:szCs w:val="20"/>
              </w:rPr>
              <w:t>13,319</w:t>
            </w:r>
          </w:p>
        </w:tc>
      </w:tr>
    </w:tbl>
    <w:p w14:paraId="6AB84068" w14:textId="3D214E3C" w:rsidR="009F6397" w:rsidRDefault="009F6397" w:rsidP="00C02651">
      <w:pPr>
        <w:rPr>
          <w:rFonts w:ascii="Arial" w:hAnsi="Arial" w:cs="Arial"/>
          <w:bCs/>
          <w:sz w:val="24"/>
          <w:szCs w:val="24"/>
        </w:rPr>
      </w:pPr>
    </w:p>
    <w:p w14:paraId="0D13D8E1" w14:textId="77777777" w:rsidR="004D0317" w:rsidRDefault="009F6397" w:rsidP="00C02651">
      <w:pPr>
        <w:rPr>
          <w:rFonts w:ascii="Arial" w:hAnsi="Arial" w:cs="Arial"/>
          <w:bCs/>
          <w:sz w:val="24"/>
          <w:szCs w:val="24"/>
        </w:rPr>
      </w:pPr>
      <w:r>
        <w:rPr>
          <w:rFonts w:ascii="Arial" w:hAnsi="Arial" w:cs="Arial"/>
          <w:bCs/>
          <w:sz w:val="24"/>
          <w:szCs w:val="24"/>
        </w:rPr>
        <w:t xml:space="preserve">The 2019 year-end Group 1 balances were approved for disposition on final basis in the 2021 proceeding. </w:t>
      </w:r>
    </w:p>
    <w:p w14:paraId="73B224CA" w14:textId="77777777" w:rsidR="004D0317" w:rsidRDefault="009F6397" w:rsidP="004D0317">
      <w:pPr>
        <w:pStyle w:val="ListParagraph"/>
        <w:numPr>
          <w:ilvl w:val="0"/>
          <w:numId w:val="36"/>
        </w:numPr>
        <w:contextualSpacing w:val="0"/>
        <w:rPr>
          <w:rFonts w:ascii="Arial" w:hAnsi="Arial" w:cs="Arial"/>
          <w:bCs/>
          <w:sz w:val="24"/>
          <w:szCs w:val="24"/>
        </w:rPr>
      </w:pPr>
      <w:r w:rsidRPr="004D0317">
        <w:rPr>
          <w:rFonts w:ascii="Arial" w:hAnsi="Arial" w:cs="Arial"/>
          <w:bCs/>
          <w:sz w:val="24"/>
          <w:szCs w:val="24"/>
        </w:rPr>
        <w:t>Please provide explanation for the discrepancies noted in the table above.</w:t>
      </w:r>
    </w:p>
    <w:p w14:paraId="41C333A1" w14:textId="5CD85E9A" w:rsidR="009F6397" w:rsidRPr="004D0317" w:rsidRDefault="009F6397" w:rsidP="004D0317">
      <w:pPr>
        <w:pStyle w:val="ListParagraph"/>
        <w:numPr>
          <w:ilvl w:val="0"/>
          <w:numId w:val="36"/>
        </w:numPr>
        <w:rPr>
          <w:rFonts w:ascii="Arial" w:hAnsi="Arial" w:cs="Arial"/>
          <w:bCs/>
          <w:sz w:val="24"/>
          <w:szCs w:val="24"/>
        </w:rPr>
      </w:pPr>
      <w:r w:rsidRPr="004D0317">
        <w:rPr>
          <w:rFonts w:ascii="Arial" w:hAnsi="Arial" w:cs="Arial"/>
          <w:bCs/>
          <w:sz w:val="24"/>
          <w:szCs w:val="24"/>
        </w:rPr>
        <w:t xml:space="preserve">Please update the balance(s) in the continuity schedule </w:t>
      </w:r>
      <w:r w:rsidR="0079518D" w:rsidRPr="004D0317">
        <w:rPr>
          <w:rFonts w:ascii="Arial" w:hAnsi="Arial" w:cs="Arial"/>
          <w:bCs/>
          <w:sz w:val="24"/>
          <w:szCs w:val="24"/>
        </w:rPr>
        <w:t>for 2022 rates if necessary.</w:t>
      </w:r>
    </w:p>
    <w:p w14:paraId="1E68B8DB" w14:textId="25B7E6CB" w:rsidR="00484452" w:rsidRDefault="00484452" w:rsidP="00484452">
      <w:pPr>
        <w:contextualSpacing/>
        <w:rPr>
          <w:rFonts w:ascii="Arial" w:hAnsi="Arial" w:cs="Arial"/>
          <w:b/>
          <w:sz w:val="24"/>
          <w:szCs w:val="24"/>
        </w:rPr>
      </w:pPr>
      <w:r>
        <w:rPr>
          <w:rFonts w:ascii="Arial" w:hAnsi="Arial" w:cs="Arial"/>
          <w:b/>
          <w:sz w:val="24"/>
          <w:szCs w:val="24"/>
        </w:rPr>
        <w:t>Staff Question-</w:t>
      </w:r>
      <w:r w:rsidR="003027EC">
        <w:rPr>
          <w:rFonts w:ascii="Arial" w:hAnsi="Arial" w:cs="Arial"/>
          <w:b/>
          <w:sz w:val="24"/>
          <w:szCs w:val="24"/>
        </w:rPr>
        <w:t>3</w:t>
      </w:r>
    </w:p>
    <w:p w14:paraId="32885E16" w14:textId="68422CA5" w:rsidR="00484452" w:rsidRDefault="00484452" w:rsidP="00484452">
      <w:pPr>
        <w:rPr>
          <w:rFonts w:ascii="Arial" w:hAnsi="Arial" w:cs="Arial"/>
          <w:b/>
          <w:sz w:val="24"/>
          <w:szCs w:val="24"/>
        </w:rPr>
      </w:pPr>
      <w:r>
        <w:rPr>
          <w:rFonts w:ascii="Arial" w:hAnsi="Arial" w:cs="Arial"/>
          <w:b/>
          <w:sz w:val="24"/>
          <w:szCs w:val="24"/>
        </w:rPr>
        <w:t xml:space="preserve">Ref: </w:t>
      </w:r>
      <w:r w:rsidR="00AF4B23">
        <w:rPr>
          <w:rFonts w:ascii="Arial" w:hAnsi="Arial" w:cs="Arial"/>
          <w:b/>
          <w:sz w:val="24"/>
          <w:szCs w:val="24"/>
        </w:rPr>
        <w:t xml:space="preserve">Newmarket-Tay </w:t>
      </w:r>
      <w:r>
        <w:rPr>
          <w:rFonts w:ascii="Arial" w:hAnsi="Arial" w:cs="Arial"/>
          <w:b/>
          <w:sz w:val="24"/>
          <w:szCs w:val="24"/>
        </w:rPr>
        <w:t xml:space="preserve">RZ, Rate Generator Model, Tab </w:t>
      </w:r>
      <w:r w:rsidR="00AF4B23">
        <w:rPr>
          <w:rFonts w:ascii="Arial" w:hAnsi="Arial" w:cs="Arial"/>
          <w:b/>
          <w:sz w:val="24"/>
          <w:szCs w:val="24"/>
        </w:rPr>
        <w:t>6.2a</w:t>
      </w:r>
      <w:r>
        <w:rPr>
          <w:rFonts w:ascii="Arial" w:hAnsi="Arial" w:cs="Arial"/>
          <w:b/>
          <w:sz w:val="24"/>
          <w:szCs w:val="24"/>
        </w:rPr>
        <w:t xml:space="preserve"> C</w:t>
      </w:r>
      <w:r w:rsidR="00AF4B23">
        <w:rPr>
          <w:rFonts w:ascii="Arial" w:hAnsi="Arial" w:cs="Arial"/>
          <w:b/>
          <w:sz w:val="24"/>
          <w:szCs w:val="24"/>
        </w:rPr>
        <w:t>BR B_Allocation</w:t>
      </w:r>
    </w:p>
    <w:p w14:paraId="348E3222" w14:textId="042DA503" w:rsidR="00484452" w:rsidRDefault="00AF4B23" w:rsidP="00484452">
      <w:pPr>
        <w:rPr>
          <w:rFonts w:ascii="Arial" w:hAnsi="Arial" w:cs="Arial"/>
          <w:bCs/>
          <w:sz w:val="24"/>
          <w:szCs w:val="24"/>
        </w:rPr>
      </w:pPr>
      <w:r>
        <w:rPr>
          <w:rFonts w:ascii="Arial" w:hAnsi="Arial" w:cs="Arial"/>
          <w:bCs/>
          <w:sz w:val="24"/>
          <w:szCs w:val="24"/>
        </w:rPr>
        <w:t xml:space="preserve">As indicated in Tab 6 and Tab 6.2a, 2019 was the year of the balance that Account CBR Class B was last disposed of. Therefore, in the first table in Tab 6.2a, </w:t>
      </w:r>
      <w:r w:rsidR="00A00E03">
        <w:rPr>
          <w:rFonts w:ascii="Arial" w:hAnsi="Arial" w:cs="Arial"/>
          <w:bCs/>
          <w:sz w:val="24"/>
          <w:szCs w:val="24"/>
        </w:rPr>
        <w:t>only the 2020 consumption amounts (column D) should be included in the allocation calculations. The Rate Generator Model should not</w:t>
      </w:r>
      <w:r w:rsidR="00744CBD">
        <w:rPr>
          <w:rFonts w:ascii="Arial" w:hAnsi="Arial" w:cs="Arial"/>
          <w:bCs/>
          <w:sz w:val="24"/>
          <w:szCs w:val="24"/>
        </w:rPr>
        <w:t xml:space="preserve"> have</w:t>
      </w:r>
      <w:r w:rsidR="00A00E03">
        <w:rPr>
          <w:rFonts w:ascii="Arial" w:hAnsi="Arial" w:cs="Arial"/>
          <w:bCs/>
          <w:sz w:val="24"/>
          <w:szCs w:val="24"/>
        </w:rPr>
        <w:t xml:space="preserve"> present</w:t>
      </w:r>
      <w:r w:rsidR="00744CBD">
        <w:rPr>
          <w:rFonts w:ascii="Arial" w:hAnsi="Arial" w:cs="Arial"/>
          <w:bCs/>
          <w:sz w:val="24"/>
          <w:szCs w:val="24"/>
        </w:rPr>
        <w:t>ed</w:t>
      </w:r>
      <w:r w:rsidR="00A00E03">
        <w:rPr>
          <w:rFonts w:ascii="Arial" w:hAnsi="Arial" w:cs="Arial"/>
          <w:bCs/>
          <w:sz w:val="24"/>
          <w:szCs w:val="24"/>
        </w:rPr>
        <w:t xml:space="preserve"> the columns E to H for 2019 back to 2016 in this table. OEB staff has removed the input that </w:t>
      </w:r>
      <w:r w:rsidR="00744CBD">
        <w:rPr>
          <w:rFonts w:ascii="Arial" w:hAnsi="Arial" w:cs="Arial"/>
          <w:bCs/>
          <w:sz w:val="24"/>
          <w:szCs w:val="24"/>
        </w:rPr>
        <w:t>Newmarket-Tay Power entered for 2019 and 2018, and removed the columns for 2019 to 2016 in the table. The CBR Class B rate rider and transition customer amounts have been updated accordingly. Please review and confirm this update.</w:t>
      </w:r>
    </w:p>
    <w:p w14:paraId="69162C1E" w14:textId="5CD8D1E3" w:rsidR="001916B2" w:rsidRDefault="001916B2" w:rsidP="001916B2">
      <w:pPr>
        <w:contextualSpacing/>
        <w:rPr>
          <w:rFonts w:ascii="Arial" w:hAnsi="Arial" w:cs="Arial"/>
          <w:b/>
          <w:sz w:val="24"/>
          <w:szCs w:val="24"/>
        </w:rPr>
      </w:pPr>
      <w:r>
        <w:rPr>
          <w:rFonts w:ascii="Arial" w:hAnsi="Arial" w:cs="Arial"/>
          <w:b/>
          <w:sz w:val="24"/>
          <w:szCs w:val="24"/>
        </w:rPr>
        <w:t>Staff Question-</w:t>
      </w:r>
      <w:r w:rsidR="003027EC">
        <w:rPr>
          <w:rFonts w:ascii="Arial" w:hAnsi="Arial" w:cs="Arial"/>
          <w:b/>
          <w:sz w:val="24"/>
          <w:szCs w:val="24"/>
        </w:rPr>
        <w:t>4</w:t>
      </w:r>
    </w:p>
    <w:p w14:paraId="12A77423" w14:textId="4BE0BC05" w:rsidR="001916B2" w:rsidRDefault="001916B2" w:rsidP="001916B2">
      <w:pPr>
        <w:rPr>
          <w:rFonts w:ascii="Arial" w:hAnsi="Arial" w:cs="Arial"/>
          <w:b/>
          <w:sz w:val="24"/>
          <w:szCs w:val="24"/>
        </w:rPr>
      </w:pPr>
      <w:r>
        <w:rPr>
          <w:rFonts w:ascii="Arial" w:hAnsi="Arial" w:cs="Arial"/>
          <w:b/>
          <w:sz w:val="24"/>
          <w:szCs w:val="24"/>
        </w:rPr>
        <w:t xml:space="preserve">Ref: </w:t>
      </w:r>
      <w:r w:rsidR="00B616A0">
        <w:rPr>
          <w:rFonts w:ascii="Arial" w:hAnsi="Arial" w:cs="Arial"/>
          <w:b/>
          <w:sz w:val="24"/>
          <w:szCs w:val="24"/>
        </w:rPr>
        <w:t>Newmarket-Tay</w:t>
      </w:r>
      <w:r>
        <w:rPr>
          <w:rFonts w:ascii="Arial" w:hAnsi="Arial" w:cs="Arial"/>
          <w:b/>
          <w:sz w:val="24"/>
          <w:szCs w:val="24"/>
        </w:rPr>
        <w:t xml:space="preserve"> RZ, Rate Generator Model, Tab </w:t>
      </w:r>
      <w:r w:rsidR="00B616A0">
        <w:rPr>
          <w:rFonts w:ascii="Arial" w:hAnsi="Arial" w:cs="Arial"/>
          <w:b/>
          <w:sz w:val="24"/>
          <w:szCs w:val="24"/>
        </w:rPr>
        <w:t>8</w:t>
      </w:r>
      <w:r>
        <w:rPr>
          <w:rFonts w:ascii="Arial" w:hAnsi="Arial" w:cs="Arial"/>
          <w:b/>
          <w:sz w:val="24"/>
          <w:szCs w:val="24"/>
        </w:rPr>
        <w:t xml:space="preserve"> </w:t>
      </w:r>
      <w:r w:rsidR="00B616A0">
        <w:rPr>
          <w:rFonts w:ascii="Arial" w:hAnsi="Arial" w:cs="Arial"/>
          <w:b/>
          <w:sz w:val="24"/>
          <w:szCs w:val="24"/>
        </w:rPr>
        <w:t>STS – Tax Change</w:t>
      </w:r>
    </w:p>
    <w:p w14:paraId="45BE814E" w14:textId="77777777" w:rsidR="004D0317" w:rsidRDefault="000D79BC" w:rsidP="00B616A0">
      <w:pPr>
        <w:rPr>
          <w:rFonts w:ascii="Arial" w:hAnsi="Arial" w:cs="Arial"/>
          <w:bCs/>
          <w:sz w:val="24"/>
          <w:szCs w:val="24"/>
        </w:rPr>
      </w:pPr>
      <w:r>
        <w:rPr>
          <w:rFonts w:ascii="Arial" w:hAnsi="Arial" w:cs="Arial"/>
          <w:bCs/>
          <w:sz w:val="24"/>
          <w:szCs w:val="24"/>
        </w:rPr>
        <w:t xml:space="preserve">In </w:t>
      </w:r>
      <w:r w:rsidR="00B616A0">
        <w:rPr>
          <w:rFonts w:ascii="Arial" w:hAnsi="Arial" w:cs="Arial"/>
          <w:bCs/>
          <w:sz w:val="24"/>
          <w:szCs w:val="24"/>
        </w:rPr>
        <w:t xml:space="preserve">Tab 8 of the Rate Generator Model, Newmarket-Tay Power entered 28.3% as the Combined Effective Tax Rate in cell H36. It’s noted that this tax rate was provided as 28.25% in the final model issued with the Newmarket-Tay Power’s 2021 Decision and Rate Order (EB-2020-0041). </w:t>
      </w:r>
      <w:r w:rsidR="00B425A2">
        <w:rPr>
          <w:rFonts w:ascii="Arial" w:hAnsi="Arial" w:cs="Arial"/>
          <w:bCs/>
          <w:sz w:val="24"/>
          <w:szCs w:val="24"/>
        </w:rPr>
        <w:t xml:space="preserve">The difference in this tax rate will affect the share tax amount to be allocated to customers. </w:t>
      </w:r>
    </w:p>
    <w:p w14:paraId="7D02C7DC" w14:textId="711A80B4" w:rsidR="004D0317" w:rsidRDefault="00B616A0" w:rsidP="004D0317">
      <w:pPr>
        <w:pStyle w:val="ListParagraph"/>
        <w:numPr>
          <w:ilvl w:val="0"/>
          <w:numId w:val="37"/>
        </w:numPr>
        <w:contextualSpacing w:val="0"/>
        <w:rPr>
          <w:rFonts w:ascii="Arial" w:hAnsi="Arial" w:cs="Arial"/>
          <w:bCs/>
          <w:sz w:val="24"/>
          <w:szCs w:val="24"/>
        </w:rPr>
      </w:pPr>
      <w:r w:rsidRPr="004D0317">
        <w:rPr>
          <w:rFonts w:ascii="Arial" w:hAnsi="Arial" w:cs="Arial"/>
          <w:bCs/>
          <w:sz w:val="24"/>
          <w:szCs w:val="24"/>
        </w:rPr>
        <w:t>Please review the Revenue Requirement Work Form</w:t>
      </w:r>
      <w:r w:rsidR="00B425A2" w:rsidRPr="004D0317">
        <w:rPr>
          <w:rFonts w:ascii="Arial" w:hAnsi="Arial" w:cs="Arial"/>
          <w:bCs/>
          <w:sz w:val="24"/>
          <w:szCs w:val="24"/>
        </w:rPr>
        <w:t xml:space="preserve"> approved in the 2010 cost of service application</w:t>
      </w:r>
      <w:r w:rsidR="00F43C69">
        <w:rPr>
          <w:rFonts w:ascii="Arial" w:hAnsi="Arial" w:cs="Arial"/>
          <w:bCs/>
          <w:sz w:val="24"/>
          <w:szCs w:val="24"/>
        </w:rPr>
        <w:t xml:space="preserve"> </w:t>
      </w:r>
      <w:r w:rsidR="00B425A2" w:rsidRPr="004D0317">
        <w:rPr>
          <w:rFonts w:ascii="Arial" w:hAnsi="Arial" w:cs="Arial"/>
          <w:bCs/>
          <w:sz w:val="24"/>
          <w:szCs w:val="24"/>
        </w:rPr>
        <w:t>and confirm the accurate combined effective tax rate.</w:t>
      </w:r>
    </w:p>
    <w:p w14:paraId="216B34D1" w14:textId="7B779994" w:rsidR="00B616A0" w:rsidRPr="00B908C3" w:rsidRDefault="00B425A2" w:rsidP="00B616A0">
      <w:pPr>
        <w:pStyle w:val="ListParagraph"/>
        <w:numPr>
          <w:ilvl w:val="0"/>
          <w:numId w:val="37"/>
        </w:numPr>
        <w:rPr>
          <w:rFonts w:ascii="Arial" w:hAnsi="Arial" w:cs="Arial"/>
          <w:bCs/>
          <w:sz w:val="24"/>
          <w:szCs w:val="24"/>
        </w:rPr>
      </w:pPr>
      <w:r w:rsidRPr="004D0317">
        <w:rPr>
          <w:rFonts w:ascii="Arial" w:hAnsi="Arial" w:cs="Arial"/>
          <w:bCs/>
          <w:sz w:val="24"/>
          <w:szCs w:val="24"/>
        </w:rPr>
        <w:lastRenderedPageBreak/>
        <w:t xml:space="preserve">Please provide the </w:t>
      </w:r>
      <w:r w:rsidR="004D0317">
        <w:rPr>
          <w:rFonts w:ascii="Arial" w:hAnsi="Arial" w:cs="Arial"/>
          <w:bCs/>
          <w:sz w:val="24"/>
          <w:szCs w:val="24"/>
        </w:rPr>
        <w:t>supporting reference for the accurate value and update the tax rate in Tab 8 if necessary.</w:t>
      </w:r>
    </w:p>
    <w:p w14:paraId="21FF6A57" w14:textId="3AEC821C" w:rsidR="000920C4" w:rsidRDefault="000920C4" w:rsidP="000920C4">
      <w:pPr>
        <w:contextualSpacing/>
        <w:rPr>
          <w:rFonts w:ascii="Arial" w:hAnsi="Arial" w:cs="Arial"/>
          <w:b/>
          <w:sz w:val="24"/>
          <w:szCs w:val="24"/>
        </w:rPr>
      </w:pPr>
      <w:r>
        <w:rPr>
          <w:rFonts w:ascii="Arial" w:hAnsi="Arial" w:cs="Arial"/>
          <w:b/>
          <w:sz w:val="24"/>
          <w:szCs w:val="24"/>
        </w:rPr>
        <w:t>Staff Question-</w:t>
      </w:r>
      <w:r w:rsidR="003027EC">
        <w:rPr>
          <w:rFonts w:ascii="Arial" w:hAnsi="Arial" w:cs="Arial"/>
          <w:b/>
          <w:sz w:val="24"/>
          <w:szCs w:val="24"/>
        </w:rPr>
        <w:t>5</w:t>
      </w:r>
    </w:p>
    <w:p w14:paraId="6EBB7FBD" w14:textId="2AAFA1A7" w:rsidR="00B908C3" w:rsidRDefault="000920C4" w:rsidP="000920C4">
      <w:pPr>
        <w:contextualSpacing/>
        <w:rPr>
          <w:rFonts w:ascii="Arial" w:hAnsi="Arial" w:cs="Arial"/>
          <w:b/>
          <w:sz w:val="24"/>
          <w:szCs w:val="24"/>
        </w:rPr>
      </w:pPr>
      <w:r>
        <w:rPr>
          <w:rFonts w:ascii="Arial" w:hAnsi="Arial" w:cs="Arial"/>
          <w:b/>
          <w:sz w:val="24"/>
          <w:szCs w:val="24"/>
        </w:rPr>
        <w:t>Ref</w:t>
      </w:r>
      <w:r w:rsidR="00B908C3">
        <w:rPr>
          <w:rFonts w:ascii="Arial" w:hAnsi="Arial" w:cs="Arial"/>
          <w:b/>
          <w:sz w:val="24"/>
          <w:szCs w:val="24"/>
        </w:rPr>
        <w:t xml:space="preserve"> 1</w:t>
      </w:r>
      <w:r>
        <w:rPr>
          <w:rFonts w:ascii="Arial" w:hAnsi="Arial" w:cs="Arial"/>
          <w:b/>
          <w:sz w:val="24"/>
          <w:szCs w:val="24"/>
        </w:rPr>
        <w:t xml:space="preserve">: </w:t>
      </w:r>
      <w:r w:rsidR="00B908C3">
        <w:rPr>
          <w:rFonts w:ascii="Arial" w:hAnsi="Arial" w:cs="Arial"/>
          <w:b/>
          <w:sz w:val="24"/>
          <w:szCs w:val="24"/>
        </w:rPr>
        <w:t xml:space="preserve">Midland </w:t>
      </w:r>
      <w:r>
        <w:rPr>
          <w:rFonts w:ascii="Arial" w:hAnsi="Arial" w:cs="Arial"/>
          <w:b/>
          <w:sz w:val="24"/>
          <w:szCs w:val="24"/>
        </w:rPr>
        <w:t xml:space="preserve">RZ, </w:t>
      </w:r>
      <w:r w:rsidR="00B908C3">
        <w:rPr>
          <w:rFonts w:ascii="Arial" w:hAnsi="Arial" w:cs="Arial"/>
          <w:b/>
          <w:sz w:val="24"/>
          <w:szCs w:val="24"/>
        </w:rPr>
        <w:t>Manager’s Summary page 18</w:t>
      </w:r>
      <w:r>
        <w:rPr>
          <w:rFonts w:ascii="Arial" w:hAnsi="Arial" w:cs="Arial"/>
          <w:b/>
          <w:sz w:val="24"/>
          <w:szCs w:val="24"/>
        </w:rPr>
        <w:t xml:space="preserve">, </w:t>
      </w:r>
    </w:p>
    <w:p w14:paraId="5E9F4380" w14:textId="0A798596" w:rsidR="000920C4" w:rsidRDefault="00B908C3" w:rsidP="000920C4">
      <w:pPr>
        <w:contextualSpacing/>
        <w:rPr>
          <w:rFonts w:ascii="Arial" w:hAnsi="Arial" w:cs="Arial"/>
          <w:b/>
          <w:sz w:val="24"/>
          <w:szCs w:val="24"/>
        </w:rPr>
      </w:pPr>
      <w:r>
        <w:rPr>
          <w:rFonts w:ascii="Arial" w:hAnsi="Arial" w:cs="Arial"/>
          <w:b/>
          <w:sz w:val="24"/>
          <w:szCs w:val="24"/>
        </w:rPr>
        <w:t xml:space="preserve">Ref 2: Rate Generator Model, </w:t>
      </w:r>
      <w:r w:rsidR="00527593">
        <w:rPr>
          <w:rFonts w:ascii="Arial" w:hAnsi="Arial" w:cs="Arial"/>
          <w:b/>
          <w:sz w:val="24"/>
          <w:szCs w:val="24"/>
        </w:rPr>
        <w:t>Tab 3 Continuity Schedule, Account 1595 (201</w:t>
      </w:r>
      <w:r>
        <w:rPr>
          <w:rFonts w:ascii="Arial" w:hAnsi="Arial" w:cs="Arial"/>
          <w:b/>
          <w:sz w:val="24"/>
          <w:szCs w:val="24"/>
        </w:rPr>
        <w:t>7</w:t>
      </w:r>
      <w:r w:rsidR="00527593">
        <w:rPr>
          <w:rFonts w:ascii="Arial" w:hAnsi="Arial" w:cs="Arial"/>
          <w:b/>
          <w:sz w:val="24"/>
          <w:szCs w:val="24"/>
        </w:rPr>
        <w:t>)</w:t>
      </w:r>
    </w:p>
    <w:p w14:paraId="5AABA4B4" w14:textId="16533A06" w:rsidR="00527593" w:rsidRDefault="00527593" w:rsidP="000920C4">
      <w:pPr>
        <w:rPr>
          <w:rFonts w:ascii="Arial" w:hAnsi="Arial" w:cs="Arial"/>
          <w:b/>
          <w:sz w:val="24"/>
          <w:szCs w:val="24"/>
        </w:rPr>
      </w:pPr>
      <w:r>
        <w:rPr>
          <w:rFonts w:ascii="Arial" w:hAnsi="Arial" w:cs="Arial"/>
          <w:b/>
          <w:sz w:val="24"/>
          <w:szCs w:val="24"/>
        </w:rPr>
        <w:t>Ref</w:t>
      </w:r>
      <w:r w:rsidR="00B908C3">
        <w:rPr>
          <w:rFonts w:ascii="Arial" w:hAnsi="Arial" w:cs="Arial"/>
          <w:b/>
          <w:sz w:val="24"/>
          <w:szCs w:val="24"/>
        </w:rPr>
        <w:t xml:space="preserve"> 3</w:t>
      </w:r>
      <w:r>
        <w:rPr>
          <w:rFonts w:ascii="Arial" w:hAnsi="Arial" w:cs="Arial"/>
          <w:b/>
          <w:sz w:val="24"/>
          <w:szCs w:val="24"/>
        </w:rPr>
        <w:t xml:space="preserve">: </w:t>
      </w:r>
      <w:r w:rsidR="00B908C3">
        <w:rPr>
          <w:rFonts w:ascii="Arial" w:hAnsi="Arial" w:cs="Arial"/>
          <w:b/>
          <w:sz w:val="24"/>
          <w:szCs w:val="24"/>
        </w:rPr>
        <w:t>1595 Workform – Account 1595 (2017)</w:t>
      </w:r>
    </w:p>
    <w:p w14:paraId="007C0DAE" w14:textId="1CD4574F" w:rsidR="00B908C3" w:rsidRDefault="00B908C3" w:rsidP="003B429A">
      <w:pPr>
        <w:rPr>
          <w:rFonts w:ascii="Arial" w:hAnsi="Arial" w:cs="Arial"/>
          <w:bCs/>
          <w:sz w:val="24"/>
          <w:szCs w:val="24"/>
        </w:rPr>
      </w:pPr>
      <w:r>
        <w:rPr>
          <w:rFonts w:ascii="Arial" w:hAnsi="Arial" w:cs="Arial"/>
          <w:bCs/>
          <w:sz w:val="24"/>
          <w:szCs w:val="24"/>
        </w:rPr>
        <w:t>On page 18 of the Midland RZ’s Manager’s Summary, Newmarket-Tay Power noted:</w:t>
      </w:r>
    </w:p>
    <w:p w14:paraId="19263AAF" w14:textId="7ACC5AEF" w:rsidR="00B908C3" w:rsidRDefault="00265301" w:rsidP="00265301">
      <w:pPr>
        <w:ind w:left="720"/>
        <w:rPr>
          <w:rFonts w:ascii="Arial" w:hAnsi="Arial" w:cs="Arial"/>
          <w:bCs/>
          <w:sz w:val="24"/>
          <w:szCs w:val="24"/>
        </w:rPr>
      </w:pPr>
      <w:r>
        <w:rPr>
          <w:rFonts w:ascii="Arial" w:hAnsi="Arial" w:cs="Arial"/>
          <w:bCs/>
          <w:sz w:val="24"/>
          <w:szCs w:val="24"/>
        </w:rPr>
        <w:t>Share Tax Savings 2012-2016 approved in previous applications provide for principal balances of ($5,108) and interest of ($798). These balances were grouped with Account 1595 (2017) in Tab 3 Continuity Schedule and separately in the RRR filing.. These shared tax savings balances from 2012 to 2016 have not been included in any previous Account 1595 dispositions to date due to the small balances. NT Power would request final disposition of these balances included in Account 1595 (2017).</w:t>
      </w:r>
    </w:p>
    <w:p w14:paraId="0CC981D5" w14:textId="58BD9F76" w:rsidR="00265301" w:rsidRDefault="00265301" w:rsidP="00265301">
      <w:pPr>
        <w:pStyle w:val="ListParagraph"/>
        <w:numPr>
          <w:ilvl w:val="0"/>
          <w:numId w:val="38"/>
        </w:numPr>
        <w:rPr>
          <w:rFonts w:ascii="Arial" w:hAnsi="Arial" w:cs="Arial"/>
          <w:bCs/>
          <w:sz w:val="24"/>
          <w:szCs w:val="24"/>
        </w:rPr>
      </w:pPr>
      <w:r>
        <w:rPr>
          <w:rFonts w:ascii="Arial" w:hAnsi="Arial" w:cs="Arial"/>
          <w:bCs/>
          <w:sz w:val="24"/>
          <w:szCs w:val="24"/>
        </w:rPr>
        <w:t xml:space="preserve">OEB staff noted that 2013 was the year </w:t>
      </w:r>
      <w:r w:rsidR="00E00D88">
        <w:rPr>
          <w:rFonts w:ascii="Arial" w:hAnsi="Arial" w:cs="Arial"/>
          <w:bCs/>
          <w:sz w:val="24"/>
          <w:szCs w:val="24"/>
        </w:rPr>
        <w:t xml:space="preserve">for cost of service application for the Midland RZ, thus there should not be any share tax amount approved for 2013. Please provide a breakdown </w:t>
      </w:r>
      <w:r w:rsidR="00EE33BF">
        <w:rPr>
          <w:rFonts w:ascii="Arial" w:hAnsi="Arial" w:cs="Arial"/>
          <w:bCs/>
          <w:sz w:val="24"/>
          <w:szCs w:val="24"/>
        </w:rPr>
        <w:t>of the total principal</w:t>
      </w:r>
      <w:r w:rsidR="00F40C98">
        <w:rPr>
          <w:rFonts w:ascii="Arial" w:hAnsi="Arial" w:cs="Arial"/>
          <w:bCs/>
          <w:sz w:val="24"/>
          <w:szCs w:val="24"/>
        </w:rPr>
        <w:t xml:space="preserve"> (a credit of $5,108)</w:t>
      </w:r>
      <w:r w:rsidR="00852C19">
        <w:rPr>
          <w:rFonts w:ascii="Arial" w:hAnsi="Arial" w:cs="Arial"/>
          <w:bCs/>
          <w:sz w:val="24"/>
          <w:szCs w:val="24"/>
        </w:rPr>
        <w:t xml:space="preserve"> into the amounts approved in each year’s decision with the associated </w:t>
      </w:r>
      <w:r w:rsidR="00EE33BF">
        <w:rPr>
          <w:rFonts w:ascii="Arial" w:hAnsi="Arial" w:cs="Arial"/>
          <w:bCs/>
          <w:sz w:val="24"/>
          <w:szCs w:val="24"/>
        </w:rPr>
        <w:t>interest</w:t>
      </w:r>
      <w:r w:rsidR="00F40C98">
        <w:rPr>
          <w:rFonts w:ascii="Arial" w:hAnsi="Arial" w:cs="Arial"/>
          <w:bCs/>
          <w:sz w:val="24"/>
          <w:szCs w:val="24"/>
        </w:rPr>
        <w:t>, using the following table format:</w:t>
      </w:r>
    </w:p>
    <w:p w14:paraId="6DAD5FBB" w14:textId="77777777" w:rsidR="00F40C98" w:rsidRDefault="00F40C98" w:rsidP="00852C19">
      <w:pPr>
        <w:pStyle w:val="ListParagraph"/>
        <w:rPr>
          <w:rFonts w:ascii="Arial" w:hAnsi="Arial" w:cs="Arial"/>
          <w:bCs/>
          <w:sz w:val="24"/>
          <w:szCs w:val="24"/>
        </w:rPr>
      </w:pPr>
    </w:p>
    <w:tbl>
      <w:tblPr>
        <w:tblStyle w:val="TableGrid"/>
        <w:tblW w:w="0" w:type="auto"/>
        <w:tblInd w:w="720" w:type="dxa"/>
        <w:tblLook w:val="04A0" w:firstRow="1" w:lastRow="0" w:firstColumn="1" w:lastColumn="0" w:noHBand="0" w:noVBand="1"/>
      </w:tblPr>
      <w:tblGrid>
        <w:gridCol w:w="2848"/>
        <w:gridCol w:w="2906"/>
        <w:gridCol w:w="2876"/>
      </w:tblGrid>
      <w:tr w:rsidR="00852C19" w:rsidRPr="00852C19" w14:paraId="08DB2427" w14:textId="77777777" w:rsidTr="00F40C98">
        <w:tc>
          <w:tcPr>
            <w:tcW w:w="3116" w:type="dxa"/>
          </w:tcPr>
          <w:p w14:paraId="7ECB8D31" w14:textId="77777777" w:rsidR="00F40C98" w:rsidRPr="00852C19" w:rsidRDefault="00F40C98" w:rsidP="00F40C98">
            <w:pPr>
              <w:pStyle w:val="ListParagraph"/>
              <w:ind w:left="0"/>
              <w:rPr>
                <w:rFonts w:ascii="Arial" w:hAnsi="Arial" w:cs="Arial"/>
                <w:bCs/>
              </w:rPr>
            </w:pPr>
          </w:p>
        </w:tc>
        <w:tc>
          <w:tcPr>
            <w:tcW w:w="3117" w:type="dxa"/>
          </w:tcPr>
          <w:p w14:paraId="61F4859D" w14:textId="7A8A268F" w:rsidR="00F40C98" w:rsidRPr="00852C19" w:rsidRDefault="00852C19" w:rsidP="00F40C98">
            <w:pPr>
              <w:pStyle w:val="ListParagraph"/>
              <w:ind w:left="0"/>
              <w:rPr>
                <w:rFonts w:ascii="Arial" w:hAnsi="Arial" w:cs="Arial"/>
                <w:b/>
              </w:rPr>
            </w:pPr>
            <w:r w:rsidRPr="00852C19">
              <w:rPr>
                <w:rFonts w:ascii="Arial" w:hAnsi="Arial" w:cs="Arial"/>
                <w:b/>
              </w:rPr>
              <w:t xml:space="preserve">Share Tax – Principal </w:t>
            </w:r>
            <w:r>
              <w:rPr>
                <w:rFonts w:ascii="Arial" w:hAnsi="Arial" w:cs="Arial"/>
                <w:b/>
              </w:rPr>
              <w:t xml:space="preserve">($) </w:t>
            </w:r>
            <w:r w:rsidRPr="00852C19">
              <w:rPr>
                <w:rFonts w:ascii="Arial" w:hAnsi="Arial" w:cs="Arial"/>
                <w:b/>
              </w:rPr>
              <w:t>(OEB-approved)</w:t>
            </w:r>
          </w:p>
        </w:tc>
        <w:tc>
          <w:tcPr>
            <w:tcW w:w="3117" w:type="dxa"/>
          </w:tcPr>
          <w:p w14:paraId="7CB6B8C4" w14:textId="6C082CE1" w:rsidR="00F40C98" w:rsidRPr="00852C19" w:rsidRDefault="00852C19" w:rsidP="00F40C98">
            <w:pPr>
              <w:pStyle w:val="ListParagraph"/>
              <w:ind w:left="0"/>
              <w:rPr>
                <w:rFonts w:ascii="Arial" w:hAnsi="Arial" w:cs="Arial"/>
                <w:b/>
              </w:rPr>
            </w:pPr>
            <w:r w:rsidRPr="00852C19">
              <w:rPr>
                <w:rFonts w:ascii="Arial" w:hAnsi="Arial" w:cs="Arial"/>
                <w:b/>
              </w:rPr>
              <w:t xml:space="preserve">Share Tax </w:t>
            </w:r>
            <w:r>
              <w:rPr>
                <w:rFonts w:ascii="Arial" w:hAnsi="Arial" w:cs="Arial"/>
                <w:b/>
              </w:rPr>
              <w:t>–</w:t>
            </w:r>
            <w:r w:rsidRPr="00852C19">
              <w:rPr>
                <w:rFonts w:ascii="Arial" w:hAnsi="Arial" w:cs="Arial"/>
                <w:b/>
              </w:rPr>
              <w:t xml:space="preserve"> Interest</w:t>
            </w:r>
            <w:r>
              <w:rPr>
                <w:rFonts w:ascii="Arial" w:hAnsi="Arial" w:cs="Arial"/>
                <w:b/>
              </w:rPr>
              <w:t xml:space="preserve"> ($)</w:t>
            </w:r>
          </w:p>
        </w:tc>
      </w:tr>
      <w:tr w:rsidR="00852C19" w:rsidRPr="00852C19" w14:paraId="4EB7CD2D" w14:textId="77777777" w:rsidTr="00F40C98">
        <w:tc>
          <w:tcPr>
            <w:tcW w:w="3116" w:type="dxa"/>
          </w:tcPr>
          <w:p w14:paraId="5A06A3D7" w14:textId="4181F0A3" w:rsidR="00F40C98" w:rsidRPr="00852C19" w:rsidRDefault="00F40C98" w:rsidP="00F40C98">
            <w:pPr>
              <w:pStyle w:val="ListParagraph"/>
              <w:ind w:left="0"/>
              <w:rPr>
                <w:rFonts w:ascii="Arial" w:hAnsi="Arial" w:cs="Arial"/>
                <w:b/>
              </w:rPr>
            </w:pPr>
            <w:r w:rsidRPr="00852C19">
              <w:rPr>
                <w:rFonts w:ascii="Arial" w:hAnsi="Arial" w:cs="Arial"/>
                <w:b/>
              </w:rPr>
              <w:t>2016 (EB-2015-0088)</w:t>
            </w:r>
          </w:p>
        </w:tc>
        <w:tc>
          <w:tcPr>
            <w:tcW w:w="3117" w:type="dxa"/>
          </w:tcPr>
          <w:p w14:paraId="4BC8475F" w14:textId="77777777" w:rsidR="00F40C98" w:rsidRPr="00852C19" w:rsidRDefault="00F40C98" w:rsidP="0042042F">
            <w:pPr>
              <w:pStyle w:val="ListParagraph"/>
              <w:ind w:left="0"/>
              <w:jc w:val="center"/>
              <w:rPr>
                <w:rFonts w:ascii="Arial" w:hAnsi="Arial" w:cs="Arial"/>
                <w:bCs/>
              </w:rPr>
            </w:pPr>
          </w:p>
        </w:tc>
        <w:tc>
          <w:tcPr>
            <w:tcW w:w="3117" w:type="dxa"/>
          </w:tcPr>
          <w:p w14:paraId="5D66E04D" w14:textId="77777777" w:rsidR="00F40C98" w:rsidRPr="00852C19" w:rsidRDefault="00F40C98" w:rsidP="0042042F">
            <w:pPr>
              <w:pStyle w:val="ListParagraph"/>
              <w:ind w:left="0"/>
              <w:jc w:val="center"/>
              <w:rPr>
                <w:rFonts w:ascii="Arial" w:hAnsi="Arial" w:cs="Arial"/>
                <w:bCs/>
              </w:rPr>
            </w:pPr>
          </w:p>
        </w:tc>
      </w:tr>
      <w:tr w:rsidR="00852C19" w:rsidRPr="00852C19" w14:paraId="72B2C460" w14:textId="77777777" w:rsidTr="00F40C98">
        <w:tc>
          <w:tcPr>
            <w:tcW w:w="3116" w:type="dxa"/>
          </w:tcPr>
          <w:p w14:paraId="7C472411" w14:textId="7E3F1D2F" w:rsidR="00F40C98" w:rsidRPr="00852C19" w:rsidRDefault="00F40C98" w:rsidP="00F40C98">
            <w:pPr>
              <w:pStyle w:val="ListParagraph"/>
              <w:ind w:left="0"/>
              <w:rPr>
                <w:rFonts w:ascii="Arial" w:hAnsi="Arial" w:cs="Arial"/>
                <w:b/>
              </w:rPr>
            </w:pPr>
            <w:r w:rsidRPr="00852C19">
              <w:rPr>
                <w:rFonts w:ascii="Arial" w:hAnsi="Arial" w:cs="Arial"/>
                <w:b/>
              </w:rPr>
              <w:t>2015 (EB-2014-0093)</w:t>
            </w:r>
          </w:p>
        </w:tc>
        <w:tc>
          <w:tcPr>
            <w:tcW w:w="3117" w:type="dxa"/>
          </w:tcPr>
          <w:p w14:paraId="503F8F85" w14:textId="77777777" w:rsidR="00F40C98" w:rsidRPr="00852C19" w:rsidRDefault="00F40C98" w:rsidP="0042042F">
            <w:pPr>
              <w:pStyle w:val="ListParagraph"/>
              <w:ind w:left="0"/>
              <w:jc w:val="center"/>
              <w:rPr>
                <w:rFonts w:ascii="Arial" w:hAnsi="Arial" w:cs="Arial"/>
                <w:bCs/>
              </w:rPr>
            </w:pPr>
          </w:p>
        </w:tc>
        <w:tc>
          <w:tcPr>
            <w:tcW w:w="3117" w:type="dxa"/>
          </w:tcPr>
          <w:p w14:paraId="3171B829" w14:textId="77777777" w:rsidR="00F40C98" w:rsidRPr="00852C19" w:rsidRDefault="00F40C98" w:rsidP="0042042F">
            <w:pPr>
              <w:pStyle w:val="ListParagraph"/>
              <w:ind w:left="0"/>
              <w:jc w:val="center"/>
              <w:rPr>
                <w:rFonts w:ascii="Arial" w:hAnsi="Arial" w:cs="Arial"/>
                <w:bCs/>
              </w:rPr>
            </w:pPr>
          </w:p>
        </w:tc>
      </w:tr>
      <w:tr w:rsidR="00852C19" w:rsidRPr="00852C19" w14:paraId="24938EAC" w14:textId="77777777" w:rsidTr="00F40C98">
        <w:tc>
          <w:tcPr>
            <w:tcW w:w="3116" w:type="dxa"/>
          </w:tcPr>
          <w:p w14:paraId="4F247BA7" w14:textId="727AC5C2" w:rsidR="00F40C98" w:rsidRPr="00852C19" w:rsidRDefault="00F40C98" w:rsidP="00F40C98">
            <w:pPr>
              <w:pStyle w:val="ListParagraph"/>
              <w:ind w:left="0"/>
              <w:rPr>
                <w:rFonts w:ascii="Arial" w:hAnsi="Arial" w:cs="Arial"/>
                <w:b/>
              </w:rPr>
            </w:pPr>
            <w:r w:rsidRPr="00852C19">
              <w:rPr>
                <w:rFonts w:ascii="Arial" w:hAnsi="Arial" w:cs="Arial"/>
                <w:b/>
              </w:rPr>
              <w:t>2014 (EB-2013-0151)</w:t>
            </w:r>
          </w:p>
        </w:tc>
        <w:tc>
          <w:tcPr>
            <w:tcW w:w="3117" w:type="dxa"/>
          </w:tcPr>
          <w:p w14:paraId="45A89B58" w14:textId="77777777" w:rsidR="00F40C98" w:rsidRPr="00852C19" w:rsidRDefault="00F40C98" w:rsidP="0042042F">
            <w:pPr>
              <w:pStyle w:val="ListParagraph"/>
              <w:ind w:left="0"/>
              <w:jc w:val="center"/>
              <w:rPr>
                <w:rFonts w:ascii="Arial" w:hAnsi="Arial" w:cs="Arial"/>
                <w:bCs/>
              </w:rPr>
            </w:pPr>
          </w:p>
        </w:tc>
        <w:tc>
          <w:tcPr>
            <w:tcW w:w="3117" w:type="dxa"/>
          </w:tcPr>
          <w:p w14:paraId="705C6B76" w14:textId="77777777" w:rsidR="00F40C98" w:rsidRPr="00852C19" w:rsidRDefault="00F40C98" w:rsidP="0042042F">
            <w:pPr>
              <w:pStyle w:val="ListParagraph"/>
              <w:ind w:left="0"/>
              <w:jc w:val="center"/>
              <w:rPr>
                <w:rFonts w:ascii="Arial" w:hAnsi="Arial" w:cs="Arial"/>
                <w:bCs/>
              </w:rPr>
            </w:pPr>
          </w:p>
        </w:tc>
      </w:tr>
      <w:tr w:rsidR="00852C19" w:rsidRPr="00852C19" w14:paraId="0E87948D" w14:textId="77777777" w:rsidTr="00F40C98">
        <w:tc>
          <w:tcPr>
            <w:tcW w:w="3116" w:type="dxa"/>
          </w:tcPr>
          <w:p w14:paraId="4BD51940" w14:textId="38365EB9" w:rsidR="00F40C98" w:rsidRPr="00852C19" w:rsidRDefault="00F40C98" w:rsidP="00F40C98">
            <w:pPr>
              <w:pStyle w:val="ListParagraph"/>
              <w:ind w:left="0"/>
              <w:rPr>
                <w:rFonts w:ascii="Arial" w:hAnsi="Arial" w:cs="Arial"/>
                <w:b/>
              </w:rPr>
            </w:pPr>
            <w:r w:rsidRPr="00852C19">
              <w:rPr>
                <w:rFonts w:ascii="Arial" w:hAnsi="Arial" w:cs="Arial"/>
                <w:b/>
              </w:rPr>
              <w:t>2013 (EB-2012-0147) COS year</w:t>
            </w:r>
          </w:p>
        </w:tc>
        <w:tc>
          <w:tcPr>
            <w:tcW w:w="3117" w:type="dxa"/>
          </w:tcPr>
          <w:p w14:paraId="49369201" w14:textId="378CA79B" w:rsidR="00F40C98" w:rsidRPr="00852C19" w:rsidRDefault="0042042F" w:rsidP="0042042F">
            <w:pPr>
              <w:pStyle w:val="ListParagraph"/>
              <w:ind w:left="0"/>
              <w:jc w:val="center"/>
              <w:rPr>
                <w:rFonts w:ascii="Arial" w:hAnsi="Arial" w:cs="Arial"/>
                <w:bCs/>
              </w:rPr>
            </w:pPr>
            <w:r>
              <w:rPr>
                <w:rFonts w:ascii="Arial" w:hAnsi="Arial" w:cs="Arial"/>
                <w:bCs/>
              </w:rPr>
              <w:t>-</w:t>
            </w:r>
          </w:p>
        </w:tc>
        <w:tc>
          <w:tcPr>
            <w:tcW w:w="3117" w:type="dxa"/>
          </w:tcPr>
          <w:p w14:paraId="4D8BFD77" w14:textId="2A06C944" w:rsidR="00F40C98" w:rsidRPr="00852C19" w:rsidRDefault="0042042F" w:rsidP="0042042F">
            <w:pPr>
              <w:pStyle w:val="ListParagraph"/>
              <w:ind w:left="0"/>
              <w:jc w:val="center"/>
              <w:rPr>
                <w:rFonts w:ascii="Arial" w:hAnsi="Arial" w:cs="Arial"/>
                <w:bCs/>
              </w:rPr>
            </w:pPr>
            <w:r>
              <w:rPr>
                <w:rFonts w:ascii="Arial" w:hAnsi="Arial" w:cs="Arial"/>
                <w:bCs/>
              </w:rPr>
              <w:t>-</w:t>
            </w:r>
          </w:p>
        </w:tc>
      </w:tr>
      <w:tr w:rsidR="00852C19" w:rsidRPr="00852C19" w14:paraId="0EEF400E" w14:textId="77777777" w:rsidTr="00F40C98">
        <w:tc>
          <w:tcPr>
            <w:tcW w:w="3116" w:type="dxa"/>
          </w:tcPr>
          <w:p w14:paraId="025AA24B" w14:textId="03E12937" w:rsidR="00F40C98" w:rsidRPr="00852C19" w:rsidRDefault="00F40C98" w:rsidP="00F40C98">
            <w:pPr>
              <w:pStyle w:val="ListParagraph"/>
              <w:ind w:left="0"/>
              <w:rPr>
                <w:rFonts w:ascii="Arial" w:hAnsi="Arial" w:cs="Arial"/>
                <w:b/>
              </w:rPr>
            </w:pPr>
            <w:r w:rsidRPr="00852C19">
              <w:rPr>
                <w:rFonts w:ascii="Arial" w:hAnsi="Arial" w:cs="Arial"/>
                <w:b/>
              </w:rPr>
              <w:t>2012 (EB-2011-0182)</w:t>
            </w:r>
          </w:p>
        </w:tc>
        <w:tc>
          <w:tcPr>
            <w:tcW w:w="3117" w:type="dxa"/>
          </w:tcPr>
          <w:p w14:paraId="6A10CC25" w14:textId="77777777" w:rsidR="00F40C98" w:rsidRPr="00852C19" w:rsidRDefault="00F40C98" w:rsidP="0042042F">
            <w:pPr>
              <w:pStyle w:val="ListParagraph"/>
              <w:ind w:left="0"/>
              <w:jc w:val="center"/>
              <w:rPr>
                <w:rFonts w:ascii="Arial" w:hAnsi="Arial" w:cs="Arial"/>
                <w:bCs/>
              </w:rPr>
            </w:pPr>
          </w:p>
        </w:tc>
        <w:tc>
          <w:tcPr>
            <w:tcW w:w="3117" w:type="dxa"/>
          </w:tcPr>
          <w:p w14:paraId="21748A6D" w14:textId="77777777" w:rsidR="00F40C98" w:rsidRPr="00852C19" w:rsidRDefault="00F40C98" w:rsidP="0042042F">
            <w:pPr>
              <w:pStyle w:val="ListParagraph"/>
              <w:ind w:left="0"/>
              <w:jc w:val="center"/>
              <w:rPr>
                <w:rFonts w:ascii="Arial" w:hAnsi="Arial" w:cs="Arial"/>
                <w:bCs/>
              </w:rPr>
            </w:pPr>
          </w:p>
        </w:tc>
      </w:tr>
      <w:tr w:rsidR="00852C19" w:rsidRPr="00852C19" w14:paraId="754F3E18" w14:textId="77777777" w:rsidTr="00F40C98">
        <w:tc>
          <w:tcPr>
            <w:tcW w:w="3116" w:type="dxa"/>
          </w:tcPr>
          <w:p w14:paraId="077DCF16" w14:textId="4E1DECF6" w:rsidR="00852C19" w:rsidRPr="00852C19" w:rsidRDefault="00852C19" w:rsidP="0042042F">
            <w:pPr>
              <w:pStyle w:val="ListParagraph"/>
              <w:ind w:left="0"/>
              <w:jc w:val="right"/>
              <w:rPr>
                <w:rFonts w:ascii="Arial" w:hAnsi="Arial" w:cs="Arial"/>
                <w:b/>
              </w:rPr>
            </w:pPr>
            <w:r>
              <w:rPr>
                <w:rFonts w:ascii="Arial" w:hAnsi="Arial" w:cs="Arial"/>
                <w:b/>
              </w:rPr>
              <w:t>Total</w:t>
            </w:r>
          </w:p>
        </w:tc>
        <w:tc>
          <w:tcPr>
            <w:tcW w:w="3117" w:type="dxa"/>
          </w:tcPr>
          <w:p w14:paraId="007E3744" w14:textId="77777777" w:rsidR="00852C19" w:rsidRPr="00852C19" w:rsidRDefault="00852C19" w:rsidP="0042042F">
            <w:pPr>
              <w:pStyle w:val="ListParagraph"/>
              <w:ind w:left="0"/>
              <w:jc w:val="center"/>
              <w:rPr>
                <w:rFonts w:ascii="Arial" w:hAnsi="Arial" w:cs="Arial"/>
                <w:bCs/>
              </w:rPr>
            </w:pPr>
          </w:p>
        </w:tc>
        <w:tc>
          <w:tcPr>
            <w:tcW w:w="3117" w:type="dxa"/>
          </w:tcPr>
          <w:p w14:paraId="051AEEFE" w14:textId="77777777" w:rsidR="00852C19" w:rsidRPr="00852C19" w:rsidRDefault="00852C19" w:rsidP="0042042F">
            <w:pPr>
              <w:pStyle w:val="ListParagraph"/>
              <w:ind w:left="0"/>
              <w:jc w:val="center"/>
              <w:rPr>
                <w:rFonts w:ascii="Arial" w:hAnsi="Arial" w:cs="Arial"/>
                <w:bCs/>
              </w:rPr>
            </w:pPr>
          </w:p>
        </w:tc>
      </w:tr>
    </w:tbl>
    <w:p w14:paraId="5C185DE8" w14:textId="7B6C23A0" w:rsidR="00F40C98" w:rsidRDefault="00F40C98" w:rsidP="00F40C98">
      <w:pPr>
        <w:pStyle w:val="ListParagraph"/>
        <w:rPr>
          <w:rFonts w:ascii="Arial" w:hAnsi="Arial" w:cs="Arial"/>
          <w:bCs/>
          <w:sz w:val="24"/>
          <w:szCs w:val="24"/>
        </w:rPr>
      </w:pPr>
    </w:p>
    <w:p w14:paraId="7E9FA9AE" w14:textId="3917B284" w:rsidR="00852C19" w:rsidRDefault="00852C19" w:rsidP="007D4A7F">
      <w:pPr>
        <w:pStyle w:val="ListParagraph"/>
        <w:contextualSpacing w:val="0"/>
        <w:rPr>
          <w:rFonts w:ascii="Arial" w:hAnsi="Arial" w:cs="Arial"/>
          <w:bCs/>
          <w:sz w:val="24"/>
          <w:szCs w:val="24"/>
        </w:rPr>
      </w:pPr>
      <w:r>
        <w:rPr>
          <w:rFonts w:ascii="Arial" w:hAnsi="Arial" w:cs="Arial"/>
          <w:bCs/>
          <w:sz w:val="24"/>
          <w:szCs w:val="24"/>
        </w:rPr>
        <w:t>Please provide the supporting reference (document name, page #, filing date</w:t>
      </w:r>
      <w:r w:rsidR="0042042F">
        <w:rPr>
          <w:rFonts w:ascii="Arial" w:hAnsi="Arial" w:cs="Arial"/>
          <w:bCs/>
          <w:sz w:val="24"/>
          <w:szCs w:val="24"/>
        </w:rPr>
        <w:t>, etc.</w:t>
      </w:r>
      <w:r>
        <w:rPr>
          <w:rFonts w:ascii="Arial" w:hAnsi="Arial" w:cs="Arial"/>
          <w:bCs/>
          <w:sz w:val="24"/>
          <w:szCs w:val="24"/>
        </w:rPr>
        <w:t xml:space="preserve">) for the </w:t>
      </w:r>
      <w:r w:rsidR="0042042F">
        <w:rPr>
          <w:rFonts w:ascii="Arial" w:hAnsi="Arial" w:cs="Arial"/>
          <w:bCs/>
          <w:sz w:val="24"/>
          <w:szCs w:val="24"/>
        </w:rPr>
        <w:t xml:space="preserve">principal </w:t>
      </w:r>
      <w:r>
        <w:rPr>
          <w:rFonts w:ascii="Arial" w:hAnsi="Arial" w:cs="Arial"/>
          <w:bCs/>
          <w:sz w:val="24"/>
          <w:szCs w:val="24"/>
        </w:rPr>
        <w:t xml:space="preserve">amounts </w:t>
      </w:r>
      <w:r w:rsidR="0042042F">
        <w:rPr>
          <w:rFonts w:ascii="Arial" w:hAnsi="Arial" w:cs="Arial"/>
          <w:bCs/>
          <w:sz w:val="24"/>
          <w:szCs w:val="24"/>
        </w:rPr>
        <w:t>entered in the table for 2015, 2014 and 2012.</w:t>
      </w:r>
    </w:p>
    <w:p w14:paraId="5D284E90" w14:textId="5AF0DD65" w:rsidR="0042042F" w:rsidRDefault="0042042F" w:rsidP="007D4A7F">
      <w:pPr>
        <w:pStyle w:val="ListParagraph"/>
        <w:numPr>
          <w:ilvl w:val="0"/>
          <w:numId w:val="38"/>
        </w:numPr>
        <w:contextualSpacing w:val="0"/>
        <w:rPr>
          <w:rFonts w:ascii="Arial" w:hAnsi="Arial" w:cs="Arial"/>
          <w:bCs/>
          <w:sz w:val="24"/>
          <w:szCs w:val="24"/>
        </w:rPr>
      </w:pPr>
      <w:r>
        <w:rPr>
          <w:rFonts w:ascii="Arial" w:hAnsi="Arial" w:cs="Arial"/>
          <w:bCs/>
          <w:sz w:val="24"/>
          <w:szCs w:val="24"/>
        </w:rPr>
        <w:t>If the total share tax amounts pertaining to 2012 to 2016 provided in part a) are different than the amounts included in the Manger’s Summary, please update the 1595 Workform and Tab 3 of the Rate Generator Model accordingly.</w:t>
      </w:r>
    </w:p>
    <w:p w14:paraId="1A129179" w14:textId="07578B20" w:rsidR="003B7CB9" w:rsidRDefault="003B7CB9" w:rsidP="007D4A7F">
      <w:pPr>
        <w:pStyle w:val="ListParagraph"/>
        <w:numPr>
          <w:ilvl w:val="0"/>
          <w:numId w:val="38"/>
        </w:numPr>
        <w:contextualSpacing w:val="0"/>
        <w:rPr>
          <w:rFonts w:ascii="Arial" w:hAnsi="Arial" w:cs="Arial"/>
          <w:bCs/>
          <w:sz w:val="24"/>
          <w:szCs w:val="24"/>
        </w:rPr>
      </w:pPr>
      <w:r>
        <w:rPr>
          <w:rFonts w:ascii="Arial" w:hAnsi="Arial" w:cs="Arial"/>
          <w:bCs/>
          <w:sz w:val="24"/>
          <w:szCs w:val="24"/>
        </w:rPr>
        <w:t xml:space="preserve">Please confirm in each year of 2017 to 2021, the share tax amounts approved for disposition were recorded in the associated 1595 </w:t>
      </w:r>
      <w:r w:rsidR="007D4A7F">
        <w:rPr>
          <w:rFonts w:ascii="Arial" w:hAnsi="Arial" w:cs="Arial"/>
          <w:bCs/>
          <w:sz w:val="24"/>
          <w:szCs w:val="24"/>
        </w:rPr>
        <w:t>A</w:t>
      </w:r>
      <w:r>
        <w:rPr>
          <w:rFonts w:ascii="Arial" w:hAnsi="Arial" w:cs="Arial"/>
          <w:bCs/>
          <w:sz w:val="24"/>
          <w:szCs w:val="24"/>
        </w:rPr>
        <w:t>ccount</w:t>
      </w:r>
      <w:r w:rsidR="007D4A7F">
        <w:rPr>
          <w:rFonts w:ascii="Arial" w:hAnsi="Arial" w:cs="Arial"/>
          <w:bCs/>
          <w:sz w:val="24"/>
          <w:szCs w:val="24"/>
        </w:rPr>
        <w:t xml:space="preserve"> for that year.</w:t>
      </w:r>
    </w:p>
    <w:p w14:paraId="46DF1B8F" w14:textId="7946F18D" w:rsidR="00265301" w:rsidRPr="00780E18" w:rsidRDefault="00113547" w:rsidP="003B429A">
      <w:pPr>
        <w:pStyle w:val="ListParagraph"/>
        <w:numPr>
          <w:ilvl w:val="0"/>
          <w:numId w:val="38"/>
        </w:numPr>
        <w:rPr>
          <w:rFonts w:ascii="Arial" w:hAnsi="Arial" w:cs="Arial"/>
          <w:bCs/>
          <w:sz w:val="24"/>
          <w:szCs w:val="24"/>
        </w:rPr>
      </w:pPr>
      <w:r>
        <w:rPr>
          <w:rFonts w:ascii="Arial" w:hAnsi="Arial" w:cs="Arial"/>
          <w:bCs/>
          <w:sz w:val="24"/>
          <w:szCs w:val="24"/>
        </w:rPr>
        <w:lastRenderedPageBreak/>
        <w:t xml:space="preserve">Following the filing requirements, </w:t>
      </w:r>
      <w:r w:rsidR="003B7CB9">
        <w:rPr>
          <w:rFonts w:ascii="Arial" w:hAnsi="Arial" w:cs="Arial"/>
          <w:bCs/>
          <w:sz w:val="24"/>
          <w:szCs w:val="24"/>
        </w:rPr>
        <w:t>Newmarket-Tay Power should make sure</w:t>
      </w:r>
      <w:r w:rsidR="007D4A7F">
        <w:rPr>
          <w:rFonts w:ascii="Arial" w:hAnsi="Arial" w:cs="Arial"/>
          <w:bCs/>
          <w:sz w:val="24"/>
          <w:szCs w:val="24"/>
        </w:rPr>
        <w:t xml:space="preserve">, </w:t>
      </w:r>
      <w:r w:rsidR="003B7CB9">
        <w:rPr>
          <w:rFonts w:ascii="Arial" w:hAnsi="Arial" w:cs="Arial"/>
          <w:bCs/>
          <w:sz w:val="24"/>
          <w:szCs w:val="24"/>
        </w:rPr>
        <w:t xml:space="preserve">the share tax amount approved in each year’s </w:t>
      </w:r>
      <w:r w:rsidR="007D4A7F">
        <w:rPr>
          <w:rFonts w:ascii="Arial" w:hAnsi="Arial" w:cs="Arial"/>
          <w:bCs/>
          <w:sz w:val="24"/>
          <w:szCs w:val="24"/>
        </w:rPr>
        <w:t>application should be recorded in the associated 1595 Account</w:t>
      </w:r>
      <w:r w:rsidR="008E7487">
        <w:rPr>
          <w:rFonts w:ascii="Arial" w:hAnsi="Arial" w:cs="Arial"/>
          <w:bCs/>
          <w:sz w:val="24"/>
          <w:szCs w:val="24"/>
        </w:rPr>
        <w:t xml:space="preserve"> if it does not produce a rate rider at the fourth decimal place</w:t>
      </w:r>
      <w:r w:rsidR="007D4A7F">
        <w:rPr>
          <w:rFonts w:ascii="Arial" w:hAnsi="Arial" w:cs="Arial"/>
          <w:bCs/>
          <w:sz w:val="24"/>
          <w:szCs w:val="24"/>
        </w:rPr>
        <w:t>.</w:t>
      </w:r>
    </w:p>
    <w:p w14:paraId="3DE30731" w14:textId="6344F2F7" w:rsidR="00F72718" w:rsidRDefault="00F72718" w:rsidP="00F72718">
      <w:pPr>
        <w:contextualSpacing/>
        <w:rPr>
          <w:rFonts w:ascii="Arial" w:hAnsi="Arial" w:cs="Arial"/>
          <w:b/>
          <w:sz w:val="24"/>
          <w:szCs w:val="24"/>
        </w:rPr>
      </w:pPr>
      <w:r>
        <w:rPr>
          <w:rFonts w:ascii="Arial" w:hAnsi="Arial" w:cs="Arial"/>
          <w:b/>
          <w:sz w:val="24"/>
          <w:szCs w:val="24"/>
        </w:rPr>
        <w:t>Staff Question-</w:t>
      </w:r>
      <w:r w:rsidR="003027EC">
        <w:rPr>
          <w:rFonts w:ascii="Arial" w:hAnsi="Arial" w:cs="Arial"/>
          <w:b/>
          <w:sz w:val="24"/>
          <w:szCs w:val="24"/>
        </w:rPr>
        <w:t>6</w:t>
      </w:r>
    </w:p>
    <w:p w14:paraId="4997B7EB" w14:textId="5D0136F9" w:rsidR="00F72718" w:rsidRDefault="00F72718" w:rsidP="00F72718">
      <w:pPr>
        <w:rPr>
          <w:rFonts w:ascii="Arial" w:hAnsi="Arial" w:cs="Arial"/>
          <w:b/>
          <w:sz w:val="24"/>
          <w:szCs w:val="24"/>
        </w:rPr>
      </w:pPr>
      <w:r>
        <w:rPr>
          <w:rFonts w:ascii="Arial" w:hAnsi="Arial" w:cs="Arial"/>
          <w:b/>
          <w:sz w:val="24"/>
          <w:szCs w:val="24"/>
        </w:rPr>
        <w:t xml:space="preserve">Ref: </w:t>
      </w:r>
      <w:r w:rsidR="00780E18" w:rsidRPr="00A24DF2">
        <w:rPr>
          <w:rFonts w:ascii="Arial" w:hAnsi="Arial" w:cs="Arial"/>
          <w:b/>
          <w:sz w:val="24"/>
          <w:szCs w:val="24"/>
        </w:rPr>
        <w:t>Midland R</w:t>
      </w:r>
      <w:r w:rsidR="00780E18">
        <w:rPr>
          <w:rFonts w:ascii="Arial" w:hAnsi="Arial" w:cs="Arial"/>
          <w:b/>
          <w:sz w:val="24"/>
          <w:szCs w:val="24"/>
        </w:rPr>
        <w:t>Z,</w:t>
      </w:r>
      <w:r w:rsidR="00780E18" w:rsidRPr="00A24DF2">
        <w:rPr>
          <w:rFonts w:ascii="Arial" w:hAnsi="Arial" w:cs="Arial"/>
          <w:b/>
          <w:sz w:val="24"/>
          <w:szCs w:val="24"/>
        </w:rPr>
        <w:t xml:space="preserve"> LRAMVA Workform, Tab 1</w:t>
      </w:r>
    </w:p>
    <w:p w14:paraId="64B04AE3" w14:textId="0530F066" w:rsidR="00780E18" w:rsidRPr="00780E18" w:rsidRDefault="00780E18" w:rsidP="00780E18">
      <w:pPr>
        <w:rPr>
          <w:rFonts w:ascii="Arial" w:hAnsi="Arial" w:cs="Arial"/>
          <w:bCs/>
          <w:sz w:val="24"/>
          <w:szCs w:val="24"/>
        </w:rPr>
      </w:pPr>
      <w:r w:rsidRPr="00780E18">
        <w:rPr>
          <w:rFonts w:ascii="Arial" w:hAnsi="Arial" w:cs="Arial"/>
          <w:bCs/>
          <w:sz w:val="24"/>
          <w:szCs w:val="24"/>
        </w:rPr>
        <w:t>Please complete Section B Current LRAMVA Application on Tab 1 of the filed Midland RZ LRAMVA Workform.</w:t>
      </w:r>
    </w:p>
    <w:p w14:paraId="2F61BDCB" w14:textId="61F5CFDD" w:rsidR="00780E18" w:rsidRDefault="00780E18" w:rsidP="00780E18">
      <w:pPr>
        <w:contextualSpacing/>
        <w:rPr>
          <w:rFonts w:ascii="Arial" w:hAnsi="Arial" w:cs="Arial"/>
          <w:b/>
          <w:sz w:val="24"/>
          <w:szCs w:val="24"/>
        </w:rPr>
      </w:pPr>
      <w:r w:rsidRPr="00780E18">
        <w:rPr>
          <w:rFonts w:ascii="Arial" w:hAnsi="Arial" w:cs="Arial"/>
          <w:b/>
          <w:sz w:val="24"/>
          <w:szCs w:val="24"/>
        </w:rPr>
        <w:t>Staff Question-</w:t>
      </w:r>
      <w:r>
        <w:rPr>
          <w:rFonts w:ascii="Arial" w:hAnsi="Arial" w:cs="Arial"/>
          <w:b/>
          <w:sz w:val="24"/>
          <w:szCs w:val="24"/>
        </w:rPr>
        <w:t>7</w:t>
      </w:r>
    </w:p>
    <w:p w14:paraId="4215E232" w14:textId="36DA466B" w:rsidR="00780E18" w:rsidRDefault="00780E18" w:rsidP="00780E18">
      <w:pPr>
        <w:contextualSpacing/>
        <w:rPr>
          <w:rFonts w:ascii="Arial" w:hAnsi="Arial" w:cs="Arial"/>
          <w:b/>
          <w:sz w:val="24"/>
          <w:szCs w:val="24"/>
        </w:rPr>
      </w:pPr>
      <w:r w:rsidRPr="00780E18">
        <w:rPr>
          <w:rFonts w:ascii="Arial" w:hAnsi="Arial" w:cs="Arial"/>
          <w:b/>
          <w:sz w:val="24"/>
          <w:szCs w:val="24"/>
        </w:rPr>
        <w:t>Ref</w:t>
      </w:r>
      <w:r>
        <w:rPr>
          <w:rFonts w:ascii="Arial" w:hAnsi="Arial" w:cs="Arial"/>
          <w:b/>
          <w:sz w:val="24"/>
          <w:szCs w:val="24"/>
        </w:rPr>
        <w:t xml:space="preserve"> 1</w:t>
      </w:r>
      <w:r w:rsidRPr="00780E18">
        <w:rPr>
          <w:rFonts w:ascii="Arial" w:hAnsi="Arial" w:cs="Arial"/>
          <w:b/>
          <w:sz w:val="24"/>
          <w:szCs w:val="24"/>
        </w:rPr>
        <w:t>: Midland R</w:t>
      </w:r>
      <w:r>
        <w:rPr>
          <w:rFonts w:ascii="Arial" w:hAnsi="Arial" w:cs="Arial"/>
          <w:b/>
          <w:sz w:val="24"/>
          <w:szCs w:val="24"/>
        </w:rPr>
        <w:t>Z,</w:t>
      </w:r>
      <w:r w:rsidRPr="00780E18">
        <w:rPr>
          <w:rFonts w:ascii="Arial" w:hAnsi="Arial" w:cs="Arial"/>
          <w:b/>
          <w:sz w:val="24"/>
          <w:szCs w:val="24"/>
        </w:rPr>
        <w:t xml:space="preserve"> Manager’s Summary, Section 3.2.6.1</w:t>
      </w:r>
    </w:p>
    <w:p w14:paraId="6ECC54D4" w14:textId="41BCA9DD" w:rsidR="00780E18" w:rsidRPr="00780E18" w:rsidRDefault="00780E18" w:rsidP="00780E18">
      <w:pPr>
        <w:rPr>
          <w:rFonts w:ascii="Arial" w:hAnsi="Arial" w:cs="Arial"/>
          <w:b/>
          <w:sz w:val="24"/>
          <w:szCs w:val="24"/>
        </w:rPr>
      </w:pPr>
      <w:r>
        <w:rPr>
          <w:rFonts w:ascii="Arial" w:hAnsi="Arial" w:cs="Arial"/>
          <w:b/>
          <w:sz w:val="24"/>
          <w:szCs w:val="24"/>
        </w:rPr>
        <w:t xml:space="preserve">Ref 2: </w:t>
      </w:r>
      <w:r w:rsidRPr="00780E18">
        <w:rPr>
          <w:rFonts w:ascii="Arial" w:hAnsi="Arial" w:cs="Arial"/>
          <w:b/>
          <w:sz w:val="24"/>
          <w:szCs w:val="24"/>
        </w:rPr>
        <w:t>Midland R</w:t>
      </w:r>
      <w:r>
        <w:rPr>
          <w:rFonts w:ascii="Arial" w:hAnsi="Arial" w:cs="Arial"/>
          <w:b/>
          <w:sz w:val="24"/>
          <w:szCs w:val="24"/>
        </w:rPr>
        <w:t>Z,</w:t>
      </w:r>
      <w:r w:rsidRPr="00780E18">
        <w:rPr>
          <w:rFonts w:ascii="Arial" w:hAnsi="Arial" w:cs="Arial"/>
          <w:b/>
          <w:sz w:val="24"/>
          <w:szCs w:val="24"/>
        </w:rPr>
        <w:t xml:space="preserve"> LRAMVA Workform, Tab 4</w:t>
      </w:r>
    </w:p>
    <w:p w14:paraId="12A6DF4D" w14:textId="7C8E23D2" w:rsidR="00780E18" w:rsidRDefault="00780E18" w:rsidP="00780E18">
      <w:pPr>
        <w:rPr>
          <w:rFonts w:ascii="Arial" w:hAnsi="Arial" w:cs="Arial"/>
          <w:bCs/>
          <w:sz w:val="24"/>
          <w:szCs w:val="24"/>
        </w:rPr>
      </w:pPr>
      <w:r w:rsidRPr="00780E18">
        <w:rPr>
          <w:rFonts w:ascii="Arial" w:hAnsi="Arial" w:cs="Arial"/>
          <w:bCs/>
          <w:sz w:val="24"/>
          <w:szCs w:val="24"/>
        </w:rPr>
        <w:t>In the Midland R</w:t>
      </w:r>
      <w:r w:rsidR="003276AA">
        <w:rPr>
          <w:rFonts w:ascii="Arial" w:hAnsi="Arial" w:cs="Arial"/>
          <w:bCs/>
          <w:sz w:val="24"/>
          <w:szCs w:val="24"/>
        </w:rPr>
        <w:t>Z</w:t>
      </w:r>
      <w:r w:rsidRPr="00780E18">
        <w:rPr>
          <w:rFonts w:ascii="Arial" w:hAnsi="Arial" w:cs="Arial"/>
          <w:bCs/>
          <w:sz w:val="24"/>
          <w:szCs w:val="24"/>
        </w:rPr>
        <w:t xml:space="preserve"> Manager’s Summary, it is stated that NT Power is seeking disposition of prior year savings persistence from 2013 to 2019 programs. However, the Midland R</w:t>
      </w:r>
      <w:r w:rsidR="003276AA">
        <w:rPr>
          <w:rFonts w:ascii="Arial" w:hAnsi="Arial" w:cs="Arial"/>
          <w:bCs/>
          <w:sz w:val="24"/>
          <w:szCs w:val="24"/>
        </w:rPr>
        <w:t>Z</w:t>
      </w:r>
      <w:r w:rsidRPr="00780E18">
        <w:rPr>
          <w:rFonts w:ascii="Arial" w:hAnsi="Arial" w:cs="Arial"/>
          <w:bCs/>
          <w:sz w:val="24"/>
          <w:szCs w:val="24"/>
        </w:rPr>
        <w:t xml:space="preserve"> LRAMVA Workform indicates that there are no persisting savings allocated to 2013 offerings. Please confirm whether N</w:t>
      </w:r>
      <w:r w:rsidR="003276AA">
        <w:rPr>
          <w:rFonts w:ascii="Arial" w:hAnsi="Arial" w:cs="Arial"/>
          <w:bCs/>
          <w:sz w:val="24"/>
          <w:szCs w:val="24"/>
        </w:rPr>
        <w:t>ewmarket-Tay</w:t>
      </w:r>
      <w:r w:rsidRPr="00780E18">
        <w:rPr>
          <w:rFonts w:ascii="Arial" w:hAnsi="Arial" w:cs="Arial"/>
          <w:bCs/>
          <w:sz w:val="24"/>
          <w:szCs w:val="24"/>
        </w:rPr>
        <w:t xml:space="preserve"> Power is seeking prior year savings persistence attributable to 2013 offerings.</w:t>
      </w:r>
    </w:p>
    <w:p w14:paraId="200905B8" w14:textId="7A08BDDC" w:rsidR="00780E18" w:rsidRDefault="00780E18" w:rsidP="00780E18">
      <w:pPr>
        <w:contextualSpacing/>
        <w:rPr>
          <w:rFonts w:ascii="Arial" w:hAnsi="Arial" w:cs="Arial"/>
          <w:b/>
          <w:sz w:val="24"/>
          <w:szCs w:val="24"/>
        </w:rPr>
      </w:pPr>
      <w:r w:rsidRPr="00780E18">
        <w:rPr>
          <w:rFonts w:ascii="Arial" w:hAnsi="Arial" w:cs="Arial"/>
          <w:b/>
          <w:sz w:val="24"/>
          <w:szCs w:val="24"/>
        </w:rPr>
        <w:t>Staff Question-</w:t>
      </w:r>
      <w:r>
        <w:rPr>
          <w:rFonts w:ascii="Arial" w:hAnsi="Arial" w:cs="Arial"/>
          <w:b/>
          <w:sz w:val="24"/>
          <w:szCs w:val="24"/>
        </w:rPr>
        <w:t>8</w:t>
      </w:r>
    </w:p>
    <w:p w14:paraId="152D3405" w14:textId="72FA81F2" w:rsidR="00780E18" w:rsidRDefault="00780E18" w:rsidP="00780E18">
      <w:pPr>
        <w:rPr>
          <w:rFonts w:ascii="Arial" w:hAnsi="Arial" w:cs="Arial"/>
          <w:b/>
          <w:sz w:val="24"/>
          <w:szCs w:val="24"/>
        </w:rPr>
      </w:pPr>
      <w:r w:rsidRPr="00780E18">
        <w:rPr>
          <w:rFonts w:ascii="Arial" w:hAnsi="Arial" w:cs="Arial"/>
          <w:b/>
          <w:sz w:val="24"/>
          <w:szCs w:val="24"/>
        </w:rPr>
        <w:t>Ref: Midland R</w:t>
      </w:r>
      <w:r>
        <w:rPr>
          <w:rFonts w:ascii="Arial" w:hAnsi="Arial" w:cs="Arial"/>
          <w:b/>
          <w:sz w:val="24"/>
          <w:szCs w:val="24"/>
        </w:rPr>
        <w:t>Z,</w:t>
      </w:r>
      <w:r w:rsidRPr="00780E18">
        <w:rPr>
          <w:rFonts w:ascii="Arial" w:hAnsi="Arial" w:cs="Arial"/>
          <w:b/>
          <w:sz w:val="24"/>
          <w:szCs w:val="24"/>
        </w:rPr>
        <w:t xml:space="preserve"> LRAMVA Workform, Tab 5</w:t>
      </w:r>
    </w:p>
    <w:p w14:paraId="4B864B55" w14:textId="6BD07EDF" w:rsidR="00780E18" w:rsidRDefault="00780E18" w:rsidP="00780E18">
      <w:pPr>
        <w:rPr>
          <w:rFonts w:ascii="Arial" w:hAnsi="Arial" w:cs="Arial"/>
          <w:bCs/>
          <w:sz w:val="24"/>
          <w:szCs w:val="24"/>
        </w:rPr>
      </w:pPr>
      <w:r w:rsidRPr="00780E18">
        <w:rPr>
          <w:rFonts w:ascii="Arial" w:hAnsi="Arial" w:cs="Arial"/>
          <w:bCs/>
          <w:sz w:val="24"/>
          <w:szCs w:val="24"/>
        </w:rPr>
        <w:t>N</w:t>
      </w:r>
      <w:r>
        <w:rPr>
          <w:rFonts w:ascii="Arial" w:hAnsi="Arial" w:cs="Arial"/>
          <w:bCs/>
          <w:sz w:val="24"/>
          <w:szCs w:val="24"/>
        </w:rPr>
        <w:t>ewmarket-</w:t>
      </w:r>
      <w:r w:rsidRPr="00780E18">
        <w:rPr>
          <w:rFonts w:ascii="Arial" w:hAnsi="Arial" w:cs="Arial"/>
          <w:bCs/>
          <w:sz w:val="24"/>
          <w:szCs w:val="24"/>
        </w:rPr>
        <w:t>T</w:t>
      </w:r>
      <w:r>
        <w:rPr>
          <w:rFonts w:ascii="Arial" w:hAnsi="Arial" w:cs="Arial"/>
          <w:bCs/>
          <w:sz w:val="24"/>
          <w:szCs w:val="24"/>
        </w:rPr>
        <w:t>ay</w:t>
      </w:r>
      <w:r w:rsidRPr="00780E18">
        <w:rPr>
          <w:rFonts w:ascii="Arial" w:hAnsi="Arial" w:cs="Arial"/>
          <w:bCs/>
          <w:sz w:val="24"/>
          <w:szCs w:val="24"/>
        </w:rPr>
        <w:t xml:space="preserve"> Power is claiming persisting savings from the Midland R</w:t>
      </w:r>
      <w:r w:rsidR="003276AA">
        <w:rPr>
          <w:rFonts w:ascii="Arial" w:hAnsi="Arial" w:cs="Arial"/>
          <w:bCs/>
          <w:sz w:val="24"/>
          <w:szCs w:val="24"/>
        </w:rPr>
        <w:t>Z</w:t>
      </w:r>
      <w:r w:rsidRPr="00780E18">
        <w:rPr>
          <w:rFonts w:ascii="Arial" w:hAnsi="Arial" w:cs="Arial"/>
          <w:bCs/>
          <w:sz w:val="24"/>
          <w:szCs w:val="24"/>
        </w:rPr>
        <w:t xml:space="preserve"> 2017 Save on Energy Coupon program. However, the net energy and net peak demand savings values could not be tied back to any of the filed evidence. Please identify the document and cell reference(s) for the net energy and net peak demand savings being claimed for the Midland R</w:t>
      </w:r>
      <w:r w:rsidR="003276AA">
        <w:rPr>
          <w:rFonts w:ascii="Arial" w:hAnsi="Arial" w:cs="Arial"/>
          <w:bCs/>
          <w:sz w:val="24"/>
          <w:szCs w:val="24"/>
        </w:rPr>
        <w:t>Z</w:t>
      </w:r>
      <w:r w:rsidRPr="00780E18">
        <w:rPr>
          <w:rFonts w:ascii="Arial" w:hAnsi="Arial" w:cs="Arial"/>
          <w:bCs/>
          <w:sz w:val="24"/>
          <w:szCs w:val="24"/>
        </w:rPr>
        <w:t xml:space="preserve"> 2017 Save on Energy Coupon program.</w:t>
      </w:r>
    </w:p>
    <w:p w14:paraId="1165BA93" w14:textId="603FC0AA" w:rsidR="003276AA" w:rsidRDefault="003276AA" w:rsidP="003276AA">
      <w:pPr>
        <w:contextualSpacing/>
        <w:rPr>
          <w:rFonts w:ascii="Arial" w:hAnsi="Arial" w:cs="Arial"/>
          <w:b/>
          <w:sz w:val="24"/>
          <w:szCs w:val="24"/>
        </w:rPr>
      </w:pPr>
      <w:r w:rsidRPr="00780E18">
        <w:rPr>
          <w:rFonts w:ascii="Arial" w:hAnsi="Arial" w:cs="Arial"/>
          <w:b/>
          <w:sz w:val="24"/>
          <w:szCs w:val="24"/>
        </w:rPr>
        <w:t>Staff Question-</w:t>
      </w:r>
      <w:r>
        <w:rPr>
          <w:rFonts w:ascii="Arial" w:hAnsi="Arial" w:cs="Arial"/>
          <w:b/>
          <w:sz w:val="24"/>
          <w:szCs w:val="24"/>
        </w:rPr>
        <w:t>9</w:t>
      </w:r>
    </w:p>
    <w:p w14:paraId="06B35BDE" w14:textId="43A20625" w:rsidR="003276AA" w:rsidRDefault="003276AA" w:rsidP="003276AA">
      <w:pPr>
        <w:rPr>
          <w:rFonts w:ascii="Arial" w:hAnsi="Arial" w:cs="Arial"/>
          <w:b/>
          <w:sz w:val="24"/>
          <w:szCs w:val="24"/>
        </w:rPr>
      </w:pPr>
      <w:r w:rsidRPr="00780E18">
        <w:rPr>
          <w:rFonts w:ascii="Arial" w:hAnsi="Arial" w:cs="Arial"/>
          <w:b/>
          <w:sz w:val="24"/>
          <w:szCs w:val="24"/>
        </w:rPr>
        <w:t xml:space="preserve">Ref: </w:t>
      </w:r>
      <w:r w:rsidRPr="003276AA">
        <w:rPr>
          <w:rFonts w:ascii="Arial" w:hAnsi="Arial" w:cs="Arial"/>
          <w:b/>
          <w:sz w:val="24"/>
          <w:szCs w:val="24"/>
        </w:rPr>
        <w:t>Newmarket-Tay R</w:t>
      </w:r>
      <w:r>
        <w:rPr>
          <w:rFonts w:ascii="Arial" w:hAnsi="Arial" w:cs="Arial"/>
          <w:b/>
          <w:sz w:val="24"/>
          <w:szCs w:val="24"/>
        </w:rPr>
        <w:t>Z,</w:t>
      </w:r>
      <w:r w:rsidRPr="003276AA">
        <w:rPr>
          <w:rFonts w:ascii="Arial" w:hAnsi="Arial" w:cs="Arial"/>
          <w:b/>
          <w:sz w:val="24"/>
          <w:szCs w:val="24"/>
        </w:rPr>
        <w:t xml:space="preserve"> LRAMVA Workform, Tab 4</w:t>
      </w:r>
    </w:p>
    <w:p w14:paraId="42233D42" w14:textId="5F408E35" w:rsidR="003276AA" w:rsidRDefault="003276AA" w:rsidP="003276AA">
      <w:pPr>
        <w:rPr>
          <w:rFonts w:ascii="Arial" w:hAnsi="Arial" w:cs="Arial"/>
          <w:bCs/>
          <w:sz w:val="24"/>
          <w:szCs w:val="24"/>
        </w:rPr>
      </w:pPr>
      <w:r w:rsidRPr="003276AA">
        <w:rPr>
          <w:rFonts w:ascii="Arial" w:hAnsi="Arial" w:cs="Arial"/>
          <w:bCs/>
          <w:sz w:val="24"/>
          <w:szCs w:val="24"/>
        </w:rPr>
        <w:t>N</w:t>
      </w:r>
      <w:r>
        <w:rPr>
          <w:rFonts w:ascii="Arial" w:hAnsi="Arial" w:cs="Arial"/>
          <w:bCs/>
          <w:sz w:val="24"/>
          <w:szCs w:val="24"/>
        </w:rPr>
        <w:t>ewmarket-</w:t>
      </w:r>
      <w:r w:rsidRPr="003276AA">
        <w:rPr>
          <w:rFonts w:ascii="Arial" w:hAnsi="Arial" w:cs="Arial"/>
          <w:bCs/>
          <w:sz w:val="24"/>
          <w:szCs w:val="24"/>
        </w:rPr>
        <w:t>T</w:t>
      </w:r>
      <w:r>
        <w:rPr>
          <w:rFonts w:ascii="Arial" w:hAnsi="Arial" w:cs="Arial"/>
          <w:bCs/>
          <w:sz w:val="24"/>
          <w:szCs w:val="24"/>
        </w:rPr>
        <w:t>ay</w:t>
      </w:r>
      <w:r w:rsidRPr="003276AA">
        <w:rPr>
          <w:rFonts w:ascii="Arial" w:hAnsi="Arial" w:cs="Arial"/>
          <w:bCs/>
          <w:sz w:val="24"/>
          <w:szCs w:val="24"/>
        </w:rPr>
        <w:t xml:space="preserve"> Power is claiming persisting savings from the Newmarket-Tay RZ 2011 adjustment to the Home Assistance program. However, the net energy and net peak demand savings values could not be tied back to any of the filed evidence. Please identify the document and cell reference(s) for the net energy and net peak demand savings being claimed for the Newmarket-Tay R</w:t>
      </w:r>
      <w:r>
        <w:rPr>
          <w:rFonts w:ascii="Arial" w:hAnsi="Arial" w:cs="Arial"/>
          <w:bCs/>
          <w:sz w:val="24"/>
          <w:szCs w:val="24"/>
        </w:rPr>
        <w:t>Z</w:t>
      </w:r>
      <w:r w:rsidRPr="003276AA">
        <w:rPr>
          <w:rFonts w:ascii="Arial" w:hAnsi="Arial" w:cs="Arial"/>
          <w:bCs/>
          <w:sz w:val="24"/>
          <w:szCs w:val="24"/>
        </w:rPr>
        <w:t xml:space="preserve"> 2011 adjustment to the Home Assistance program.</w:t>
      </w:r>
    </w:p>
    <w:p w14:paraId="020FB70C" w14:textId="536ACFBC" w:rsidR="003276AA" w:rsidRDefault="003276AA" w:rsidP="003276AA">
      <w:pPr>
        <w:contextualSpacing/>
        <w:rPr>
          <w:rFonts w:ascii="Arial" w:hAnsi="Arial" w:cs="Arial"/>
          <w:b/>
          <w:sz w:val="24"/>
          <w:szCs w:val="24"/>
        </w:rPr>
      </w:pPr>
      <w:r w:rsidRPr="00780E18">
        <w:rPr>
          <w:rFonts w:ascii="Arial" w:hAnsi="Arial" w:cs="Arial"/>
          <w:b/>
          <w:sz w:val="24"/>
          <w:szCs w:val="24"/>
        </w:rPr>
        <w:t>Staff Question-</w:t>
      </w:r>
      <w:r>
        <w:rPr>
          <w:rFonts w:ascii="Arial" w:hAnsi="Arial" w:cs="Arial"/>
          <w:b/>
          <w:sz w:val="24"/>
          <w:szCs w:val="24"/>
        </w:rPr>
        <w:t>10</w:t>
      </w:r>
    </w:p>
    <w:p w14:paraId="17C01A6A" w14:textId="196335C5" w:rsidR="003276AA" w:rsidRPr="003276AA" w:rsidRDefault="003276AA" w:rsidP="003276AA">
      <w:pPr>
        <w:contextualSpacing/>
        <w:rPr>
          <w:rFonts w:ascii="Arial" w:hAnsi="Arial" w:cs="Arial"/>
          <w:b/>
          <w:sz w:val="24"/>
          <w:szCs w:val="24"/>
        </w:rPr>
      </w:pPr>
      <w:r w:rsidRPr="00780E18">
        <w:rPr>
          <w:rFonts w:ascii="Arial" w:hAnsi="Arial" w:cs="Arial"/>
          <w:b/>
          <w:sz w:val="24"/>
          <w:szCs w:val="24"/>
        </w:rPr>
        <w:t>Ref</w:t>
      </w:r>
      <w:r>
        <w:rPr>
          <w:rFonts w:ascii="Arial" w:hAnsi="Arial" w:cs="Arial"/>
          <w:b/>
          <w:sz w:val="24"/>
          <w:szCs w:val="24"/>
        </w:rPr>
        <w:t xml:space="preserve"> 1</w:t>
      </w:r>
      <w:r w:rsidRPr="00780E18">
        <w:rPr>
          <w:rFonts w:ascii="Arial" w:hAnsi="Arial" w:cs="Arial"/>
          <w:b/>
          <w:sz w:val="24"/>
          <w:szCs w:val="24"/>
        </w:rPr>
        <w:t xml:space="preserve">: </w:t>
      </w:r>
      <w:r w:rsidRPr="003276AA">
        <w:rPr>
          <w:rFonts w:ascii="Arial" w:hAnsi="Arial" w:cs="Arial"/>
          <w:b/>
          <w:sz w:val="24"/>
          <w:szCs w:val="24"/>
        </w:rPr>
        <w:t>Newmarket-Tay R</w:t>
      </w:r>
      <w:r>
        <w:rPr>
          <w:rFonts w:ascii="Arial" w:hAnsi="Arial" w:cs="Arial"/>
          <w:b/>
          <w:sz w:val="24"/>
          <w:szCs w:val="24"/>
        </w:rPr>
        <w:t>Z,</w:t>
      </w:r>
      <w:r w:rsidRPr="003276AA">
        <w:rPr>
          <w:rFonts w:ascii="Arial" w:hAnsi="Arial" w:cs="Arial"/>
          <w:b/>
          <w:sz w:val="24"/>
          <w:szCs w:val="24"/>
        </w:rPr>
        <w:t xml:space="preserve"> LRAMVA Workform, Tab 5</w:t>
      </w:r>
    </w:p>
    <w:p w14:paraId="3FC22249" w14:textId="351311B6" w:rsidR="003276AA" w:rsidRPr="003276AA" w:rsidRDefault="003276AA" w:rsidP="003276AA">
      <w:pPr>
        <w:contextualSpacing/>
        <w:rPr>
          <w:rFonts w:ascii="Arial" w:hAnsi="Arial" w:cs="Arial"/>
          <w:b/>
          <w:sz w:val="24"/>
          <w:szCs w:val="24"/>
        </w:rPr>
      </w:pPr>
      <w:r>
        <w:rPr>
          <w:rFonts w:ascii="Arial" w:hAnsi="Arial" w:cs="Arial"/>
          <w:b/>
          <w:sz w:val="24"/>
          <w:szCs w:val="24"/>
        </w:rPr>
        <w:t xml:space="preserve">Ref 2: </w:t>
      </w:r>
      <w:r w:rsidRPr="003276AA">
        <w:rPr>
          <w:rFonts w:ascii="Arial" w:hAnsi="Arial" w:cs="Arial"/>
          <w:b/>
          <w:sz w:val="24"/>
          <w:szCs w:val="24"/>
        </w:rPr>
        <w:t>Midland R</w:t>
      </w:r>
      <w:r>
        <w:rPr>
          <w:rFonts w:ascii="Arial" w:hAnsi="Arial" w:cs="Arial"/>
          <w:b/>
          <w:sz w:val="24"/>
          <w:szCs w:val="24"/>
        </w:rPr>
        <w:t>Z,</w:t>
      </w:r>
      <w:r w:rsidRPr="003276AA">
        <w:rPr>
          <w:rFonts w:ascii="Arial" w:hAnsi="Arial" w:cs="Arial"/>
          <w:b/>
          <w:sz w:val="24"/>
          <w:szCs w:val="24"/>
        </w:rPr>
        <w:t xml:space="preserve"> LRAMVA Workform, Tab 5</w:t>
      </w:r>
    </w:p>
    <w:p w14:paraId="15AA12D4" w14:textId="67DE06B6" w:rsidR="003276AA" w:rsidRPr="003276AA" w:rsidRDefault="003276AA" w:rsidP="003276AA">
      <w:pPr>
        <w:contextualSpacing/>
        <w:rPr>
          <w:rFonts w:ascii="Arial" w:hAnsi="Arial" w:cs="Arial"/>
          <w:b/>
          <w:sz w:val="24"/>
          <w:szCs w:val="24"/>
        </w:rPr>
      </w:pPr>
      <w:r>
        <w:rPr>
          <w:rFonts w:ascii="Arial" w:hAnsi="Arial" w:cs="Arial"/>
          <w:b/>
          <w:sz w:val="24"/>
          <w:szCs w:val="24"/>
        </w:rPr>
        <w:lastRenderedPageBreak/>
        <w:t xml:space="preserve">Ref 3: </w:t>
      </w:r>
      <w:r w:rsidRPr="003276AA">
        <w:rPr>
          <w:rFonts w:ascii="Arial" w:hAnsi="Arial" w:cs="Arial"/>
          <w:b/>
          <w:sz w:val="24"/>
          <w:szCs w:val="24"/>
        </w:rPr>
        <w:t>Newmarket-Tay R</w:t>
      </w:r>
      <w:r>
        <w:rPr>
          <w:rFonts w:ascii="Arial" w:hAnsi="Arial" w:cs="Arial"/>
          <w:b/>
          <w:sz w:val="24"/>
          <w:szCs w:val="24"/>
        </w:rPr>
        <w:t>Z,</w:t>
      </w:r>
      <w:r w:rsidRPr="003276AA">
        <w:rPr>
          <w:rFonts w:ascii="Arial" w:hAnsi="Arial" w:cs="Arial"/>
          <w:b/>
          <w:sz w:val="24"/>
          <w:szCs w:val="24"/>
        </w:rPr>
        <w:t xml:space="preserve"> Manager’s Summary, Section 3.2.6.1</w:t>
      </w:r>
    </w:p>
    <w:p w14:paraId="2FEDF704" w14:textId="142AE27F" w:rsidR="003276AA" w:rsidRDefault="003276AA" w:rsidP="003276AA">
      <w:pPr>
        <w:rPr>
          <w:rFonts w:ascii="Arial" w:hAnsi="Arial" w:cs="Arial"/>
          <w:b/>
          <w:sz w:val="24"/>
          <w:szCs w:val="24"/>
        </w:rPr>
      </w:pPr>
      <w:r>
        <w:rPr>
          <w:rFonts w:ascii="Arial" w:hAnsi="Arial" w:cs="Arial"/>
          <w:b/>
          <w:sz w:val="24"/>
          <w:szCs w:val="24"/>
        </w:rPr>
        <w:t xml:space="preserve">Ref 4: </w:t>
      </w:r>
      <w:r w:rsidRPr="003276AA">
        <w:rPr>
          <w:rFonts w:ascii="Arial" w:hAnsi="Arial" w:cs="Arial"/>
          <w:b/>
          <w:sz w:val="24"/>
          <w:szCs w:val="24"/>
        </w:rPr>
        <w:t>Midland R</w:t>
      </w:r>
      <w:r>
        <w:rPr>
          <w:rFonts w:ascii="Arial" w:hAnsi="Arial" w:cs="Arial"/>
          <w:b/>
          <w:sz w:val="24"/>
          <w:szCs w:val="24"/>
        </w:rPr>
        <w:t>Z,</w:t>
      </w:r>
      <w:r w:rsidRPr="003276AA">
        <w:rPr>
          <w:rFonts w:ascii="Arial" w:hAnsi="Arial" w:cs="Arial"/>
          <w:b/>
          <w:sz w:val="24"/>
          <w:szCs w:val="24"/>
        </w:rPr>
        <w:t xml:space="preserve"> Manager’s Summary, Section 3.2.6.1</w:t>
      </w:r>
    </w:p>
    <w:p w14:paraId="55D34789" w14:textId="6B169B61" w:rsidR="003276AA" w:rsidRPr="003276AA" w:rsidRDefault="003276AA" w:rsidP="003276AA">
      <w:pPr>
        <w:pStyle w:val="ListParagraph"/>
        <w:numPr>
          <w:ilvl w:val="0"/>
          <w:numId w:val="40"/>
        </w:numPr>
        <w:contextualSpacing w:val="0"/>
        <w:rPr>
          <w:rFonts w:ascii="Arial" w:hAnsi="Arial" w:cs="Arial"/>
          <w:bCs/>
          <w:sz w:val="24"/>
          <w:szCs w:val="24"/>
        </w:rPr>
      </w:pPr>
      <w:r w:rsidRPr="003276AA">
        <w:rPr>
          <w:rFonts w:ascii="Arial" w:hAnsi="Arial" w:cs="Arial"/>
          <w:bCs/>
          <w:sz w:val="24"/>
          <w:szCs w:val="24"/>
        </w:rPr>
        <w:t xml:space="preserve">Newmarket-Tay Power is claiming energy and net demand savings for offerings either persisting or installed from 2019 and 2020, respectively, in both the Newmarket-Tay and Midland </w:t>
      </w:r>
      <w:r w:rsidR="00830B5B">
        <w:rPr>
          <w:rFonts w:ascii="Arial" w:hAnsi="Arial" w:cs="Arial"/>
          <w:bCs/>
          <w:sz w:val="24"/>
          <w:szCs w:val="24"/>
        </w:rPr>
        <w:t>RZ</w:t>
      </w:r>
      <w:r w:rsidRPr="003276AA">
        <w:rPr>
          <w:rFonts w:ascii="Arial" w:hAnsi="Arial" w:cs="Arial"/>
          <w:bCs/>
          <w:sz w:val="24"/>
          <w:szCs w:val="24"/>
        </w:rPr>
        <w:t>s. However, all net energy and net peak demand savings values for 2019 and 2020 could not be tied back to any of the filed evidence. Please identify the document and cell reference(s) for all net energy and net peak demand savings values for 2019 and 2020 being claimed.</w:t>
      </w:r>
    </w:p>
    <w:p w14:paraId="1B07495B" w14:textId="04F86A35" w:rsidR="003276AA" w:rsidRPr="00830B5B" w:rsidRDefault="003276AA" w:rsidP="003276AA">
      <w:pPr>
        <w:pStyle w:val="ListParagraph"/>
        <w:numPr>
          <w:ilvl w:val="0"/>
          <w:numId w:val="40"/>
        </w:numPr>
        <w:contextualSpacing w:val="0"/>
        <w:rPr>
          <w:rFonts w:ascii="Arial" w:hAnsi="Arial" w:cs="Arial"/>
          <w:bCs/>
          <w:sz w:val="24"/>
          <w:szCs w:val="24"/>
        </w:rPr>
      </w:pPr>
      <w:r w:rsidRPr="003276AA">
        <w:rPr>
          <w:rFonts w:ascii="Arial" w:hAnsi="Arial" w:cs="Arial"/>
          <w:bCs/>
          <w:sz w:val="24"/>
          <w:szCs w:val="24"/>
        </w:rPr>
        <w:t xml:space="preserve">In the Manager’s Summary for both the Newmarket-Tay and Midland </w:t>
      </w:r>
      <w:r w:rsidR="00830B5B">
        <w:rPr>
          <w:rFonts w:ascii="Arial" w:hAnsi="Arial" w:cs="Arial"/>
          <w:bCs/>
          <w:sz w:val="24"/>
          <w:szCs w:val="24"/>
        </w:rPr>
        <w:t>RZs</w:t>
      </w:r>
      <w:r w:rsidRPr="003276AA">
        <w:rPr>
          <w:rFonts w:ascii="Arial" w:hAnsi="Arial" w:cs="Arial"/>
          <w:bCs/>
          <w:sz w:val="24"/>
          <w:szCs w:val="24"/>
        </w:rPr>
        <w:t>, N</w:t>
      </w:r>
      <w:r w:rsidR="00830B5B">
        <w:rPr>
          <w:rFonts w:ascii="Arial" w:hAnsi="Arial" w:cs="Arial"/>
          <w:bCs/>
          <w:sz w:val="24"/>
          <w:szCs w:val="24"/>
        </w:rPr>
        <w:t>ewmarket-</w:t>
      </w:r>
      <w:r w:rsidRPr="003276AA">
        <w:rPr>
          <w:rFonts w:ascii="Arial" w:hAnsi="Arial" w:cs="Arial"/>
          <w:bCs/>
          <w:sz w:val="24"/>
          <w:szCs w:val="24"/>
        </w:rPr>
        <w:t>T</w:t>
      </w:r>
      <w:r w:rsidR="00830B5B">
        <w:rPr>
          <w:rFonts w:ascii="Arial" w:hAnsi="Arial" w:cs="Arial"/>
          <w:bCs/>
          <w:sz w:val="24"/>
          <w:szCs w:val="24"/>
        </w:rPr>
        <w:t>ay</w:t>
      </w:r>
      <w:r w:rsidRPr="003276AA">
        <w:rPr>
          <w:rFonts w:ascii="Arial" w:hAnsi="Arial" w:cs="Arial"/>
          <w:bCs/>
          <w:sz w:val="24"/>
          <w:szCs w:val="24"/>
        </w:rPr>
        <w:t xml:space="preserve"> Power has stated the following:</w:t>
      </w:r>
    </w:p>
    <w:p w14:paraId="0195E02F" w14:textId="77777777" w:rsidR="003276AA" w:rsidRPr="00830B5B" w:rsidRDefault="003276AA" w:rsidP="00830B5B">
      <w:pPr>
        <w:ind w:left="720"/>
        <w:rPr>
          <w:rFonts w:ascii="Arial" w:hAnsi="Arial" w:cs="Arial"/>
          <w:bCs/>
          <w:i/>
          <w:iCs/>
          <w:sz w:val="24"/>
          <w:szCs w:val="24"/>
        </w:rPr>
      </w:pPr>
      <w:r w:rsidRPr="00830B5B">
        <w:rPr>
          <w:rFonts w:ascii="Arial" w:hAnsi="Arial" w:cs="Arial"/>
          <w:bCs/>
          <w:i/>
          <w:iCs/>
          <w:sz w:val="24"/>
          <w:szCs w:val="24"/>
        </w:rPr>
        <w:t>The Participation and Cost Report for the period of April, 2019 has been submitted. NT Power utilized the final Participation &amp; Cost Report from the IESO for the period ending April 15, 2019 year to date kWh value then divided this by four and multiplied by twelve to get the approximate total year savings.</w:t>
      </w:r>
    </w:p>
    <w:p w14:paraId="4C3FD10B" w14:textId="7A03F585" w:rsidR="003276AA" w:rsidRDefault="003276AA" w:rsidP="00830B5B">
      <w:pPr>
        <w:rPr>
          <w:rFonts w:ascii="Arial" w:hAnsi="Arial" w:cs="Arial"/>
          <w:bCs/>
          <w:sz w:val="24"/>
          <w:szCs w:val="24"/>
        </w:rPr>
      </w:pPr>
      <w:r w:rsidRPr="003276AA">
        <w:rPr>
          <w:rFonts w:ascii="Arial" w:hAnsi="Arial" w:cs="Arial"/>
          <w:bCs/>
          <w:sz w:val="24"/>
          <w:szCs w:val="24"/>
        </w:rPr>
        <w:t>The intention of the LRAMVA is to claim actual lost revenues and not estimates. Please update the filed evidence to reflect actual lost revenues based on the final Participation &amp; Cost Report from the IESO and/or other project-level files, with the most recent IESO net-to-gross factor applied.</w:t>
      </w:r>
    </w:p>
    <w:p w14:paraId="39B8D4EF" w14:textId="57D38147" w:rsidR="00830B5B" w:rsidRDefault="00830B5B" w:rsidP="00830B5B">
      <w:pPr>
        <w:rPr>
          <w:rFonts w:ascii="Arial" w:hAnsi="Arial" w:cs="Arial"/>
          <w:b/>
          <w:sz w:val="24"/>
          <w:szCs w:val="24"/>
        </w:rPr>
      </w:pPr>
      <w:r w:rsidRPr="00780E18">
        <w:rPr>
          <w:rFonts w:ascii="Arial" w:hAnsi="Arial" w:cs="Arial"/>
          <w:b/>
          <w:sz w:val="24"/>
          <w:szCs w:val="24"/>
        </w:rPr>
        <w:t>Staff Question-</w:t>
      </w:r>
      <w:r>
        <w:rPr>
          <w:rFonts w:ascii="Arial" w:hAnsi="Arial" w:cs="Arial"/>
          <w:b/>
          <w:sz w:val="24"/>
          <w:szCs w:val="24"/>
        </w:rPr>
        <w:t>11</w:t>
      </w:r>
    </w:p>
    <w:p w14:paraId="6813601A" w14:textId="131EF187" w:rsidR="00830B5B" w:rsidRPr="00830B5B" w:rsidRDefault="00830B5B" w:rsidP="00830B5B">
      <w:pPr>
        <w:rPr>
          <w:rFonts w:ascii="Arial" w:hAnsi="Arial" w:cs="Arial"/>
          <w:bCs/>
          <w:sz w:val="24"/>
          <w:szCs w:val="24"/>
        </w:rPr>
      </w:pPr>
      <w:r w:rsidRPr="00830B5B">
        <w:rPr>
          <w:rFonts w:ascii="Arial" w:hAnsi="Arial" w:cs="Arial"/>
          <w:bCs/>
          <w:sz w:val="24"/>
          <w:szCs w:val="24"/>
        </w:rPr>
        <w:t>Please file an updated LRAMVA Workform</w:t>
      </w:r>
      <w:r>
        <w:rPr>
          <w:rFonts w:ascii="Arial" w:hAnsi="Arial" w:cs="Arial"/>
          <w:bCs/>
          <w:sz w:val="24"/>
          <w:szCs w:val="24"/>
        </w:rPr>
        <w:t>, Rate Generator Model,</w:t>
      </w:r>
      <w:r w:rsidRPr="00830B5B">
        <w:rPr>
          <w:rFonts w:ascii="Arial" w:hAnsi="Arial" w:cs="Arial"/>
          <w:bCs/>
          <w:sz w:val="24"/>
          <w:szCs w:val="24"/>
        </w:rPr>
        <w:t xml:space="preserve"> and Manager’s Summary for the Newmarket-Tay and Midland R</w:t>
      </w:r>
      <w:r>
        <w:rPr>
          <w:rFonts w:ascii="Arial" w:hAnsi="Arial" w:cs="Arial"/>
          <w:bCs/>
          <w:sz w:val="24"/>
          <w:szCs w:val="24"/>
        </w:rPr>
        <w:t>Z</w:t>
      </w:r>
      <w:r w:rsidRPr="00830B5B">
        <w:rPr>
          <w:rFonts w:ascii="Arial" w:hAnsi="Arial" w:cs="Arial"/>
          <w:bCs/>
          <w:sz w:val="24"/>
          <w:szCs w:val="24"/>
        </w:rPr>
        <w:t>s, should any updates be required as a result of responses to OEB staff questions.</w:t>
      </w:r>
    </w:p>
    <w:p w14:paraId="04EED599" w14:textId="77777777" w:rsidR="00830B5B" w:rsidRPr="003276AA" w:rsidRDefault="00830B5B" w:rsidP="00830B5B">
      <w:pPr>
        <w:rPr>
          <w:rFonts w:ascii="Arial" w:hAnsi="Arial" w:cs="Arial"/>
          <w:bCs/>
          <w:sz w:val="24"/>
          <w:szCs w:val="24"/>
        </w:rPr>
      </w:pPr>
    </w:p>
    <w:p w14:paraId="4A9C692F" w14:textId="77777777" w:rsidR="003276AA" w:rsidRPr="003276AA" w:rsidRDefault="003276AA" w:rsidP="003276AA">
      <w:pPr>
        <w:rPr>
          <w:rFonts w:ascii="Arial" w:hAnsi="Arial" w:cs="Arial"/>
          <w:bCs/>
          <w:sz w:val="24"/>
          <w:szCs w:val="24"/>
        </w:rPr>
      </w:pPr>
    </w:p>
    <w:p w14:paraId="38A027EC" w14:textId="77777777" w:rsidR="003276AA" w:rsidRPr="00780E18" w:rsidRDefault="003276AA" w:rsidP="00780E18">
      <w:pPr>
        <w:rPr>
          <w:rFonts w:ascii="Arial" w:hAnsi="Arial" w:cs="Arial"/>
          <w:bCs/>
          <w:sz w:val="24"/>
          <w:szCs w:val="24"/>
        </w:rPr>
      </w:pPr>
    </w:p>
    <w:p w14:paraId="1101913D" w14:textId="77777777" w:rsidR="00780E18" w:rsidRDefault="00780E18" w:rsidP="00780E18">
      <w:pPr>
        <w:contextualSpacing/>
        <w:rPr>
          <w:rFonts w:ascii="Arial" w:hAnsi="Arial" w:cs="Arial"/>
          <w:b/>
          <w:sz w:val="24"/>
          <w:szCs w:val="24"/>
        </w:rPr>
      </w:pPr>
    </w:p>
    <w:p w14:paraId="3BB168AA" w14:textId="77777777" w:rsidR="00780E18" w:rsidRPr="00780E18" w:rsidRDefault="00780E18" w:rsidP="00780E18">
      <w:pPr>
        <w:rPr>
          <w:rFonts w:ascii="Arial" w:hAnsi="Arial" w:cs="Arial"/>
          <w:bCs/>
          <w:sz w:val="24"/>
          <w:szCs w:val="24"/>
        </w:rPr>
      </w:pPr>
    </w:p>
    <w:sectPr w:rsidR="00780E18" w:rsidRPr="00780E18" w:rsidSect="00EA0919">
      <w:headerReference w:type="default" r:id="rId8"/>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DEA2F" w14:textId="77777777" w:rsidR="00821291" w:rsidRDefault="00821291" w:rsidP="00821291">
      <w:pPr>
        <w:spacing w:after="0" w:line="240" w:lineRule="auto"/>
      </w:pPr>
      <w:r>
        <w:separator/>
      </w:r>
    </w:p>
  </w:endnote>
  <w:endnote w:type="continuationSeparator" w:id="0">
    <w:p w14:paraId="28FD053B" w14:textId="77777777" w:rsidR="00821291" w:rsidRDefault="00821291" w:rsidP="0082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7E427" w14:textId="77777777" w:rsidR="00821291" w:rsidRDefault="00821291" w:rsidP="00821291">
      <w:pPr>
        <w:spacing w:after="0" w:line="240" w:lineRule="auto"/>
      </w:pPr>
      <w:r>
        <w:separator/>
      </w:r>
    </w:p>
  </w:footnote>
  <w:footnote w:type="continuationSeparator" w:id="0">
    <w:p w14:paraId="632C6590" w14:textId="77777777" w:rsidR="00821291" w:rsidRDefault="00821291" w:rsidP="00821291">
      <w:pPr>
        <w:spacing w:after="0" w:line="240" w:lineRule="auto"/>
      </w:pPr>
      <w:r>
        <w:continuationSeparator/>
      </w:r>
    </w:p>
  </w:footnote>
  <w:footnote w:id="1">
    <w:p w14:paraId="1C17F1D1" w14:textId="77777777" w:rsidR="00C40558" w:rsidRPr="0007721A" w:rsidRDefault="00C40558" w:rsidP="00C40558">
      <w:pPr>
        <w:pStyle w:val="FootnoteText"/>
        <w:rPr>
          <w:rFonts w:ascii="Arial" w:hAnsi="Arial" w:cs="Arial"/>
          <w:lang w:val="en-US"/>
        </w:rPr>
      </w:pPr>
      <w:r w:rsidRPr="0007721A">
        <w:rPr>
          <w:rStyle w:val="FootnoteReference"/>
          <w:rFonts w:ascii="Arial" w:hAnsi="Arial" w:cs="Arial"/>
        </w:rPr>
        <w:footnoteRef/>
      </w:r>
      <w:r w:rsidRPr="0007721A">
        <w:rPr>
          <w:rFonts w:ascii="Arial" w:hAnsi="Arial" w:cs="Arial"/>
        </w:rPr>
        <w:t xml:space="preserve"> </w:t>
      </w:r>
      <w:r w:rsidRPr="0007721A">
        <w:rPr>
          <w:rFonts w:ascii="Arial" w:hAnsi="Arial" w:cs="Arial"/>
          <w:lang w:val="en-US"/>
        </w:rPr>
        <w:t>2022 inflation factor established in the Decision and Order issued on November 18, 2021, EB-2021-0212</w:t>
      </w:r>
    </w:p>
  </w:footnote>
  <w:footnote w:id="2">
    <w:p w14:paraId="2FDFDA8E" w14:textId="77777777" w:rsidR="00D21D0B" w:rsidRPr="0006764F" w:rsidRDefault="00D21D0B" w:rsidP="00D21D0B">
      <w:pPr>
        <w:pStyle w:val="FootnoteText"/>
        <w:rPr>
          <w:rFonts w:ascii="Arial" w:hAnsi="Arial" w:cs="Arial"/>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EB-2021-0302, Decision and Order, issued December 16, 2021</w:t>
      </w:r>
    </w:p>
  </w:footnote>
  <w:footnote w:id="3">
    <w:p w14:paraId="39D056CC" w14:textId="77777777" w:rsidR="00D21D0B" w:rsidRPr="0006764F" w:rsidRDefault="00D21D0B" w:rsidP="00D21D0B">
      <w:pPr>
        <w:pStyle w:val="FootnoteText"/>
        <w:rPr>
          <w:rFonts w:ascii="Arial" w:hAnsi="Arial" w:cs="Arial"/>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EB-2021-0276, Decision and Rate Order, issued December 16, 2021</w:t>
      </w:r>
    </w:p>
  </w:footnote>
  <w:footnote w:id="4">
    <w:p w14:paraId="089EA874" w14:textId="77777777" w:rsidR="00D21D0B" w:rsidRPr="0006764F" w:rsidRDefault="00D21D0B" w:rsidP="00D21D0B">
      <w:pPr>
        <w:pStyle w:val="FootnoteText"/>
        <w:rPr>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EB-2021-0032, Decision and Rate Order, issued December 14,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01BA" w14:textId="136A2709" w:rsidR="00357E1D" w:rsidRPr="00642D35" w:rsidRDefault="00357E1D">
    <w:pPr>
      <w:pStyle w:val="Header"/>
      <w:rPr>
        <w:rFonts w:ascii="Arial" w:hAnsi="Arial" w:cs="Arial"/>
        <w:bCs/>
        <w:sz w:val="20"/>
        <w:szCs w:val="20"/>
      </w:rPr>
    </w:pPr>
    <w:r w:rsidRPr="00642D35">
      <w:rPr>
        <w:rFonts w:ascii="Arial" w:hAnsi="Arial" w:cs="Arial"/>
        <w:sz w:val="20"/>
        <w:szCs w:val="20"/>
      </w:rPr>
      <w:ptab w:relativeTo="margin" w:alignment="center" w:leader="none"/>
    </w:r>
    <w:r w:rsidRPr="00642D35">
      <w:rPr>
        <w:rFonts w:ascii="Arial" w:hAnsi="Arial" w:cs="Arial"/>
        <w:sz w:val="20"/>
        <w:szCs w:val="20"/>
      </w:rPr>
      <w:ptab w:relativeTo="margin" w:alignment="right" w:leader="none"/>
    </w:r>
    <w:r w:rsidR="00642D35" w:rsidRPr="00642D35">
      <w:rPr>
        <w:rFonts w:ascii="Arial" w:hAnsi="Arial" w:cs="Arial"/>
        <w:sz w:val="20"/>
        <w:szCs w:val="20"/>
      </w:rPr>
      <w:t>Newmarket-Tay Power Distribution Ltd.</w:t>
    </w:r>
    <w:r w:rsidRPr="00642D35">
      <w:rPr>
        <w:rFonts w:ascii="Arial" w:hAnsi="Arial" w:cs="Arial"/>
        <w:bCs/>
        <w:sz w:val="20"/>
        <w:szCs w:val="20"/>
      </w:rPr>
      <w:t xml:space="preserve"> </w:t>
    </w:r>
  </w:p>
  <w:p w14:paraId="1F119E54" w14:textId="77777777" w:rsidR="00357E1D" w:rsidRPr="00321B2F" w:rsidRDefault="00357E1D">
    <w:pPr>
      <w:pStyle w:val="Header"/>
      <w:rPr>
        <w:rFonts w:ascii="Arial" w:hAnsi="Arial" w:cs="Arial"/>
        <w:sz w:val="20"/>
        <w:szCs w:val="20"/>
      </w:rPr>
    </w:pPr>
    <w:r w:rsidRPr="00321B2F">
      <w:rPr>
        <w:rFonts w:ascii="Arial" w:hAnsi="Arial" w:cs="Arial"/>
        <w:bCs/>
        <w:sz w:val="20"/>
        <w:szCs w:val="20"/>
      </w:rPr>
      <w:tab/>
    </w:r>
    <w:r w:rsidRPr="00321B2F">
      <w:rPr>
        <w:rFonts w:ascii="Arial" w:hAnsi="Arial" w:cs="Arial"/>
        <w:bCs/>
        <w:sz w:val="20"/>
        <w:szCs w:val="20"/>
      </w:rPr>
      <w:tab/>
    </w:r>
    <w:r w:rsidRPr="00321B2F">
      <w:rPr>
        <w:rFonts w:ascii="Arial" w:hAnsi="Arial" w:cs="Arial"/>
        <w:sz w:val="20"/>
        <w:szCs w:val="20"/>
      </w:rPr>
      <w:t>OEB Staff Questions</w:t>
    </w:r>
  </w:p>
  <w:p w14:paraId="69E412FC" w14:textId="5E40E382" w:rsidR="00321B2F" w:rsidRDefault="00357E1D">
    <w:pPr>
      <w:pStyle w:val="Header"/>
      <w:rPr>
        <w:rFonts w:ascii="Arial" w:hAnsi="Arial" w:cs="Arial"/>
        <w:sz w:val="20"/>
        <w:szCs w:val="20"/>
      </w:rPr>
    </w:pPr>
    <w:r w:rsidRPr="00321B2F">
      <w:rPr>
        <w:rFonts w:ascii="Arial" w:hAnsi="Arial" w:cs="Arial"/>
        <w:sz w:val="20"/>
        <w:szCs w:val="20"/>
      </w:rPr>
      <w:tab/>
    </w:r>
    <w:r w:rsidRPr="00321B2F">
      <w:rPr>
        <w:rFonts w:ascii="Arial" w:hAnsi="Arial" w:cs="Arial"/>
        <w:sz w:val="20"/>
        <w:szCs w:val="20"/>
      </w:rPr>
      <w:tab/>
    </w:r>
    <w:r w:rsidR="00321B2F">
      <w:rPr>
        <w:rFonts w:ascii="Arial" w:hAnsi="Arial" w:cs="Arial"/>
        <w:sz w:val="20"/>
        <w:szCs w:val="20"/>
      </w:rPr>
      <w:t xml:space="preserve"> </w:t>
    </w:r>
    <w:r w:rsidRPr="00321B2F">
      <w:rPr>
        <w:rFonts w:ascii="Arial" w:hAnsi="Arial" w:cs="Arial"/>
        <w:sz w:val="20"/>
        <w:szCs w:val="20"/>
      </w:rPr>
      <w:t>EB-2021-00</w:t>
    </w:r>
    <w:r w:rsidR="00642D35">
      <w:rPr>
        <w:rFonts w:ascii="Arial" w:hAnsi="Arial" w:cs="Arial"/>
        <w:sz w:val="20"/>
        <w:szCs w:val="20"/>
      </w:rPr>
      <w:t>44</w:t>
    </w:r>
  </w:p>
  <w:p w14:paraId="326AF072" w14:textId="44ACBA2B" w:rsidR="00357E1D" w:rsidRPr="00321B2F" w:rsidRDefault="00321B2F">
    <w:pPr>
      <w:pStyle w:val="Header"/>
      <w:rPr>
        <w:sz w:val="20"/>
        <w:szCs w:val="20"/>
      </w:rPr>
    </w:pPr>
    <w:r>
      <w:rPr>
        <w:rFonts w:ascii="Arial" w:hAnsi="Arial" w:cs="Arial"/>
        <w:sz w:val="20"/>
        <w:szCs w:val="20"/>
      </w:rPr>
      <w:tab/>
    </w:r>
    <w:r>
      <w:rPr>
        <w:rFonts w:ascii="Arial" w:hAnsi="Arial" w:cs="Arial"/>
        <w:sz w:val="20"/>
        <w:szCs w:val="20"/>
      </w:rPr>
      <w:tab/>
      <w:t xml:space="preserve">Page </w:t>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r>
      <w:rPr>
        <w:rFonts w:ascii="Arial" w:hAnsi="Arial" w:cs="Arial"/>
        <w:sz w:val="20"/>
        <w:szCs w:val="20"/>
      </w:rPr>
      <w:t xml:space="preserve"> </w:t>
    </w:r>
    <w:r w:rsidR="00357E1D" w:rsidRPr="00321B2F">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03E4BD1"/>
    <w:multiLevelType w:val="hybridMultilevel"/>
    <w:tmpl w:val="F21CC9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57A10"/>
    <w:multiLevelType w:val="hybridMultilevel"/>
    <w:tmpl w:val="2C1EE3C8"/>
    <w:lvl w:ilvl="0" w:tplc="33B282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E7822E4"/>
    <w:multiLevelType w:val="hybridMultilevel"/>
    <w:tmpl w:val="69881AD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F102F"/>
    <w:multiLevelType w:val="hybridMultilevel"/>
    <w:tmpl w:val="69881AD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FC0027D"/>
    <w:multiLevelType w:val="hybridMultilevel"/>
    <w:tmpl w:val="2E7EDC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2190A80"/>
    <w:multiLevelType w:val="hybridMultilevel"/>
    <w:tmpl w:val="69881AD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0327C8"/>
    <w:multiLevelType w:val="hybridMultilevel"/>
    <w:tmpl w:val="EECA79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542675B0"/>
    <w:multiLevelType w:val="hybridMultilevel"/>
    <w:tmpl w:val="5380CD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5C656154"/>
    <w:multiLevelType w:val="hybridMultilevel"/>
    <w:tmpl w:val="26B6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8252F"/>
    <w:multiLevelType w:val="hybridMultilevel"/>
    <w:tmpl w:val="F21CC9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3741CB3"/>
    <w:multiLevelType w:val="hybridMultilevel"/>
    <w:tmpl w:val="8458A5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C2934CA"/>
    <w:multiLevelType w:val="hybridMultilevel"/>
    <w:tmpl w:val="E4F8A3E2"/>
    <w:lvl w:ilvl="0" w:tplc="4D1821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2A63A7"/>
    <w:multiLevelType w:val="hybridMultilevel"/>
    <w:tmpl w:val="D4A694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9"/>
  </w:num>
  <w:num w:numId="3">
    <w:abstractNumId w:val="30"/>
  </w:num>
  <w:num w:numId="4">
    <w:abstractNumId w:val="39"/>
  </w:num>
  <w:num w:numId="5">
    <w:abstractNumId w:val="15"/>
  </w:num>
  <w:num w:numId="6">
    <w:abstractNumId w:val="11"/>
  </w:num>
  <w:num w:numId="7">
    <w:abstractNumId w:val="23"/>
  </w:num>
  <w:num w:numId="8">
    <w:abstractNumId w:val="18"/>
  </w:num>
  <w:num w:numId="9">
    <w:abstractNumId w:val="19"/>
  </w:num>
  <w:num w:numId="10">
    <w:abstractNumId w:val="6"/>
  </w:num>
  <w:num w:numId="11">
    <w:abstractNumId w:val="22"/>
  </w:num>
  <w:num w:numId="12">
    <w:abstractNumId w:val="32"/>
  </w:num>
  <w:num w:numId="13">
    <w:abstractNumId w:val="5"/>
  </w:num>
  <w:num w:numId="14">
    <w:abstractNumId w:val="1"/>
  </w:num>
  <w:num w:numId="15">
    <w:abstractNumId w:val="38"/>
  </w:num>
  <w:num w:numId="16">
    <w:abstractNumId w:val="10"/>
  </w:num>
  <w:num w:numId="17">
    <w:abstractNumId w:val="27"/>
  </w:num>
  <w:num w:numId="18">
    <w:abstractNumId w:val="36"/>
  </w:num>
  <w:num w:numId="19">
    <w:abstractNumId w:val="37"/>
  </w:num>
  <w:num w:numId="20">
    <w:abstractNumId w:val="14"/>
  </w:num>
  <w:num w:numId="21">
    <w:abstractNumId w:val="33"/>
  </w:num>
  <w:num w:numId="22">
    <w:abstractNumId w:val="13"/>
  </w:num>
  <w:num w:numId="23">
    <w:abstractNumId w:val="31"/>
  </w:num>
  <w:num w:numId="24">
    <w:abstractNumId w:val="29"/>
  </w:num>
  <w:num w:numId="25">
    <w:abstractNumId w:val="2"/>
  </w:num>
  <w:num w:numId="26">
    <w:abstractNumId w:val="20"/>
  </w:num>
  <w:num w:numId="27">
    <w:abstractNumId w:val="24"/>
  </w:num>
  <w:num w:numId="28">
    <w:abstractNumId w:val="26"/>
  </w:num>
  <w:num w:numId="29">
    <w:abstractNumId w:val="3"/>
  </w:num>
  <w:num w:numId="30">
    <w:abstractNumId w:val="35"/>
  </w:num>
  <w:num w:numId="31">
    <w:abstractNumId w:val="8"/>
  </w:num>
  <w:num w:numId="32">
    <w:abstractNumId w:val="7"/>
  </w:num>
  <w:num w:numId="33">
    <w:abstractNumId w:val="16"/>
  </w:num>
  <w:num w:numId="34">
    <w:abstractNumId w:val="21"/>
  </w:num>
  <w:num w:numId="35">
    <w:abstractNumId w:val="25"/>
  </w:num>
  <w:num w:numId="36">
    <w:abstractNumId w:val="12"/>
  </w:num>
  <w:num w:numId="37">
    <w:abstractNumId w:val="28"/>
  </w:num>
  <w:num w:numId="38">
    <w:abstractNumId w:val="17"/>
  </w:num>
  <w:num w:numId="39">
    <w:abstractNumId w:val="34"/>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499F"/>
    <w:rsid w:val="00067F57"/>
    <w:rsid w:val="00071BEC"/>
    <w:rsid w:val="00074514"/>
    <w:rsid w:val="000832D4"/>
    <w:rsid w:val="00090160"/>
    <w:rsid w:val="000920C4"/>
    <w:rsid w:val="000A4038"/>
    <w:rsid w:val="000B3E7E"/>
    <w:rsid w:val="000D223C"/>
    <w:rsid w:val="000D79BC"/>
    <w:rsid w:val="000E4006"/>
    <w:rsid w:val="000F1E3A"/>
    <w:rsid w:val="00113547"/>
    <w:rsid w:val="00133BE1"/>
    <w:rsid w:val="00164E99"/>
    <w:rsid w:val="001822BD"/>
    <w:rsid w:val="00183CC8"/>
    <w:rsid w:val="00187E9B"/>
    <w:rsid w:val="001916B2"/>
    <w:rsid w:val="001927C2"/>
    <w:rsid w:val="001A4DCD"/>
    <w:rsid w:val="001B0C29"/>
    <w:rsid w:val="00203092"/>
    <w:rsid w:val="002208C0"/>
    <w:rsid w:val="00224C06"/>
    <w:rsid w:val="00234B94"/>
    <w:rsid w:val="00235649"/>
    <w:rsid w:val="0025687C"/>
    <w:rsid w:val="00265301"/>
    <w:rsid w:val="00274A48"/>
    <w:rsid w:val="0028414A"/>
    <w:rsid w:val="00291CCC"/>
    <w:rsid w:val="002A6415"/>
    <w:rsid w:val="002B4680"/>
    <w:rsid w:val="002B7B7C"/>
    <w:rsid w:val="002C2BF2"/>
    <w:rsid w:val="002C7EF6"/>
    <w:rsid w:val="002D2A14"/>
    <w:rsid w:val="002D4924"/>
    <w:rsid w:val="002F4756"/>
    <w:rsid w:val="00301705"/>
    <w:rsid w:val="00302509"/>
    <w:rsid w:val="003027EC"/>
    <w:rsid w:val="003049C5"/>
    <w:rsid w:val="00321B2F"/>
    <w:rsid w:val="003276AA"/>
    <w:rsid w:val="003303BF"/>
    <w:rsid w:val="00340C00"/>
    <w:rsid w:val="00357E1D"/>
    <w:rsid w:val="003603AB"/>
    <w:rsid w:val="003702D1"/>
    <w:rsid w:val="00371DB8"/>
    <w:rsid w:val="00373FAD"/>
    <w:rsid w:val="003777B5"/>
    <w:rsid w:val="003832E7"/>
    <w:rsid w:val="003A20A0"/>
    <w:rsid w:val="003A58B0"/>
    <w:rsid w:val="003B429A"/>
    <w:rsid w:val="003B7CB9"/>
    <w:rsid w:val="00400DFC"/>
    <w:rsid w:val="00412DC6"/>
    <w:rsid w:val="0042042F"/>
    <w:rsid w:val="00425009"/>
    <w:rsid w:val="004377B0"/>
    <w:rsid w:val="00460161"/>
    <w:rsid w:val="0046506A"/>
    <w:rsid w:val="00472C81"/>
    <w:rsid w:val="00475032"/>
    <w:rsid w:val="00484452"/>
    <w:rsid w:val="004859EF"/>
    <w:rsid w:val="004D0317"/>
    <w:rsid w:val="00511EC2"/>
    <w:rsid w:val="005164F5"/>
    <w:rsid w:val="0052560F"/>
    <w:rsid w:val="00527593"/>
    <w:rsid w:val="005452FD"/>
    <w:rsid w:val="0056349F"/>
    <w:rsid w:val="005666F2"/>
    <w:rsid w:val="00572064"/>
    <w:rsid w:val="00584369"/>
    <w:rsid w:val="00587A35"/>
    <w:rsid w:val="005F4693"/>
    <w:rsid w:val="00604539"/>
    <w:rsid w:val="00623602"/>
    <w:rsid w:val="0064279A"/>
    <w:rsid w:val="00642D35"/>
    <w:rsid w:val="0064602E"/>
    <w:rsid w:val="00651C98"/>
    <w:rsid w:val="0065665E"/>
    <w:rsid w:val="00686B96"/>
    <w:rsid w:val="006A5D23"/>
    <w:rsid w:val="006C0FD9"/>
    <w:rsid w:val="006E3D58"/>
    <w:rsid w:val="00704EE5"/>
    <w:rsid w:val="007066E2"/>
    <w:rsid w:val="0072241F"/>
    <w:rsid w:val="00722640"/>
    <w:rsid w:val="0073197E"/>
    <w:rsid w:val="00744CBD"/>
    <w:rsid w:val="00746080"/>
    <w:rsid w:val="007508EC"/>
    <w:rsid w:val="0076467B"/>
    <w:rsid w:val="00772B57"/>
    <w:rsid w:val="00780E18"/>
    <w:rsid w:val="00781D04"/>
    <w:rsid w:val="0079518D"/>
    <w:rsid w:val="007A2CF0"/>
    <w:rsid w:val="007C2D45"/>
    <w:rsid w:val="007D4A7F"/>
    <w:rsid w:val="007F49EB"/>
    <w:rsid w:val="00805FDA"/>
    <w:rsid w:val="00812C1B"/>
    <w:rsid w:val="008173B1"/>
    <w:rsid w:val="00821291"/>
    <w:rsid w:val="00830B5B"/>
    <w:rsid w:val="00835AD0"/>
    <w:rsid w:val="00841787"/>
    <w:rsid w:val="00852C19"/>
    <w:rsid w:val="008747B3"/>
    <w:rsid w:val="008813C3"/>
    <w:rsid w:val="00885B9A"/>
    <w:rsid w:val="008926F0"/>
    <w:rsid w:val="008964E8"/>
    <w:rsid w:val="008A48F6"/>
    <w:rsid w:val="008E6045"/>
    <w:rsid w:val="008E7487"/>
    <w:rsid w:val="0090113B"/>
    <w:rsid w:val="0093258A"/>
    <w:rsid w:val="0094373C"/>
    <w:rsid w:val="00946DEE"/>
    <w:rsid w:val="00951E2B"/>
    <w:rsid w:val="00952939"/>
    <w:rsid w:val="00961EA0"/>
    <w:rsid w:val="00984258"/>
    <w:rsid w:val="009A5C44"/>
    <w:rsid w:val="009B03AF"/>
    <w:rsid w:val="009C0895"/>
    <w:rsid w:val="009C4216"/>
    <w:rsid w:val="009D5F4B"/>
    <w:rsid w:val="009E626E"/>
    <w:rsid w:val="009E7CBF"/>
    <w:rsid w:val="009F6397"/>
    <w:rsid w:val="00A00E03"/>
    <w:rsid w:val="00A07077"/>
    <w:rsid w:val="00A118D5"/>
    <w:rsid w:val="00A50DD0"/>
    <w:rsid w:val="00A516B0"/>
    <w:rsid w:val="00A5620A"/>
    <w:rsid w:val="00A851CF"/>
    <w:rsid w:val="00A9197E"/>
    <w:rsid w:val="00AA06D9"/>
    <w:rsid w:val="00AB6472"/>
    <w:rsid w:val="00AC2406"/>
    <w:rsid w:val="00AD3FCF"/>
    <w:rsid w:val="00AF4B23"/>
    <w:rsid w:val="00B03802"/>
    <w:rsid w:val="00B069AA"/>
    <w:rsid w:val="00B1293C"/>
    <w:rsid w:val="00B23A36"/>
    <w:rsid w:val="00B25576"/>
    <w:rsid w:val="00B25EF5"/>
    <w:rsid w:val="00B32608"/>
    <w:rsid w:val="00B425A2"/>
    <w:rsid w:val="00B50EB2"/>
    <w:rsid w:val="00B616A0"/>
    <w:rsid w:val="00B6722A"/>
    <w:rsid w:val="00B701A8"/>
    <w:rsid w:val="00B82D78"/>
    <w:rsid w:val="00B908C3"/>
    <w:rsid w:val="00B95041"/>
    <w:rsid w:val="00BA434C"/>
    <w:rsid w:val="00BB7277"/>
    <w:rsid w:val="00BD4F65"/>
    <w:rsid w:val="00BD7607"/>
    <w:rsid w:val="00C02651"/>
    <w:rsid w:val="00C06F9E"/>
    <w:rsid w:val="00C13E6B"/>
    <w:rsid w:val="00C2370B"/>
    <w:rsid w:val="00C27193"/>
    <w:rsid w:val="00C40558"/>
    <w:rsid w:val="00C45D34"/>
    <w:rsid w:val="00C624D5"/>
    <w:rsid w:val="00C7729F"/>
    <w:rsid w:val="00C848A0"/>
    <w:rsid w:val="00C859E5"/>
    <w:rsid w:val="00C878C5"/>
    <w:rsid w:val="00C9510E"/>
    <w:rsid w:val="00C96AEA"/>
    <w:rsid w:val="00CA26B7"/>
    <w:rsid w:val="00CC0B6D"/>
    <w:rsid w:val="00CD01B4"/>
    <w:rsid w:val="00CD523B"/>
    <w:rsid w:val="00CE1CD3"/>
    <w:rsid w:val="00CE4F01"/>
    <w:rsid w:val="00D21D0B"/>
    <w:rsid w:val="00D30F16"/>
    <w:rsid w:val="00D55546"/>
    <w:rsid w:val="00D57E8C"/>
    <w:rsid w:val="00D6213C"/>
    <w:rsid w:val="00D647C0"/>
    <w:rsid w:val="00D77694"/>
    <w:rsid w:val="00D77B0F"/>
    <w:rsid w:val="00DB6B52"/>
    <w:rsid w:val="00DD6C66"/>
    <w:rsid w:val="00DE5488"/>
    <w:rsid w:val="00DE75AC"/>
    <w:rsid w:val="00DF5A52"/>
    <w:rsid w:val="00E00D88"/>
    <w:rsid w:val="00E17C58"/>
    <w:rsid w:val="00E231C2"/>
    <w:rsid w:val="00E3024A"/>
    <w:rsid w:val="00E429DA"/>
    <w:rsid w:val="00E55EF7"/>
    <w:rsid w:val="00E616AB"/>
    <w:rsid w:val="00E62C2A"/>
    <w:rsid w:val="00E8586E"/>
    <w:rsid w:val="00E86F26"/>
    <w:rsid w:val="00E96A06"/>
    <w:rsid w:val="00EA0919"/>
    <w:rsid w:val="00EA4E63"/>
    <w:rsid w:val="00EB5240"/>
    <w:rsid w:val="00EC0B55"/>
    <w:rsid w:val="00EC530E"/>
    <w:rsid w:val="00ED4355"/>
    <w:rsid w:val="00EE33BF"/>
    <w:rsid w:val="00EE3753"/>
    <w:rsid w:val="00F034BF"/>
    <w:rsid w:val="00F233A3"/>
    <w:rsid w:val="00F23D7A"/>
    <w:rsid w:val="00F26D30"/>
    <w:rsid w:val="00F40C98"/>
    <w:rsid w:val="00F43C69"/>
    <w:rsid w:val="00F57152"/>
    <w:rsid w:val="00F63646"/>
    <w:rsid w:val="00F72718"/>
    <w:rsid w:val="00F7362C"/>
    <w:rsid w:val="00F8277D"/>
    <w:rsid w:val="00F92F61"/>
    <w:rsid w:val="00FB6F10"/>
    <w:rsid w:val="00FC4CF8"/>
    <w:rsid w:val="00FC5C68"/>
    <w:rsid w:val="00FC5DA7"/>
    <w:rsid w:val="00FE05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212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1291"/>
    <w:rPr>
      <w:sz w:val="20"/>
      <w:szCs w:val="20"/>
    </w:rPr>
  </w:style>
  <w:style w:type="character" w:styleId="FootnoteReference">
    <w:name w:val="footnote reference"/>
    <w:basedOn w:val="DefaultParagraphFont"/>
    <w:uiPriority w:val="99"/>
    <w:semiHidden/>
    <w:unhideWhenUsed/>
    <w:rsid w:val="00821291"/>
    <w:rPr>
      <w:vertAlign w:val="superscript"/>
    </w:rPr>
  </w:style>
  <w:style w:type="paragraph" w:styleId="Header">
    <w:name w:val="header"/>
    <w:basedOn w:val="Normal"/>
    <w:link w:val="HeaderChar"/>
    <w:uiPriority w:val="99"/>
    <w:unhideWhenUsed/>
    <w:rsid w:val="00F72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5</Pages>
  <Words>1397</Words>
  <Characters>7966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Katherine Wang</cp:lastModifiedBy>
  <cp:revision>17</cp:revision>
  <cp:lastPrinted>2014-09-29T14:43:00Z</cp:lastPrinted>
  <dcterms:created xsi:type="dcterms:W3CDTF">2021-10-05T13:55:00Z</dcterms:created>
  <dcterms:modified xsi:type="dcterms:W3CDTF">2021-12-20T21:06:00Z</dcterms:modified>
</cp:coreProperties>
</file>