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7B642" w14:textId="77777777" w:rsidR="00BB3714" w:rsidRPr="00B82D78" w:rsidRDefault="00BB3714" w:rsidP="00BB3714">
      <w:pPr>
        <w:spacing w:after="0" w:line="240" w:lineRule="auto"/>
        <w:rPr>
          <w:rFonts w:ascii="Arial" w:eastAsia="Times New Roman" w:hAnsi="Arial" w:cs="Arial"/>
          <w:sz w:val="24"/>
          <w:szCs w:val="24"/>
          <w:lang w:val="en-US"/>
        </w:rPr>
      </w:pPr>
    </w:p>
    <w:p w14:paraId="21A46528" w14:textId="71E5C94E" w:rsidR="008F2470" w:rsidRPr="00E972EF" w:rsidRDefault="00E972EF" w:rsidP="00E972EF">
      <w:pPr>
        <w:spacing w:after="0" w:line="240" w:lineRule="auto"/>
        <w:jc w:val="center"/>
        <w:rPr>
          <w:rFonts w:ascii="Arial" w:hAnsi="Arial" w:cs="Arial"/>
          <w:b/>
          <w:bCs/>
          <w:sz w:val="28"/>
          <w:szCs w:val="28"/>
        </w:rPr>
      </w:pPr>
      <w:r w:rsidRPr="00E972EF">
        <w:rPr>
          <w:rFonts w:ascii="Arial" w:hAnsi="Arial" w:cs="Arial"/>
          <w:b/>
          <w:bCs/>
          <w:sz w:val="28"/>
          <w:szCs w:val="28"/>
        </w:rPr>
        <w:t xml:space="preserve">OEB Staff </w:t>
      </w:r>
      <w:r w:rsidR="001B5203">
        <w:rPr>
          <w:rFonts w:ascii="Arial" w:hAnsi="Arial" w:cs="Arial"/>
          <w:b/>
          <w:bCs/>
          <w:sz w:val="28"/>
          <w:szCs w:val="28"/>
        </w:rPr>
        <w:t>Questions</w:t>
      </w:r>
    </w:p>
    <w:p w14:paraId="6247196C" w14:textId="7CFBF12C" w:rsidR="00E972EF" w:rsidRPr="00E972EF" w:rsidRDefault="001B5203" w:rsidP="00E972EF">
      <w:pPr>
        <w:spacing w:after="0" w:line="240" w:lineRule="auto"/>
        <w:jc w:val="center"/>
        <w:rPr>
          <w:rFonts w:ascii="Arial" w:hAnsi="Arial" w:cs="Arial"/>
          <w:b/>
          <w:bCs/>
          <w:sz w:val="28"/>
          <w:szCs w:val="28"/>
        </w:rPr>
      </w:pPr>
      <w:r>
        <w:rPr>
          <w:rFonts w:ascii="Arial" w:hAnsi="Arial" w:cs="Arial"/>
          <w:b/>
          <w:bCs/>
          <w:sz w:val="28"/>
          <w:szCs w:val="28"/>
        </w:rPr>
        <w:t>Halton Hills</w:t>
      </w:r>
      <w:r w:rsidR="00062EB6">
        <w:rPr>
          <w:rFonts w:ascii="Arial" w:hAnsi="Arial" w:cs="Arial"/>
          <w:b/>
          <w:bCs/>
          <w:sz w:val="28"/>
          <w:szCs w:val="28"/>
        </w:rPr>
        <w:t xml:space="preserve"> Hydro Inc.</w:t>
      </w:r>
    </w:p>
    <w:p w14:paraId="0D017375" w14:textId="19790F96" w:rsidR="00E972EF" w:rsidRDefault="00E972EF" w:rsidP="00E972EF">
      <w:pPr>
        <w:spacing w:after="0" w:line="240" w:lineRule="auto"/>
        <w:jc w:val="center"/>
        <w:rPr>
          <w:rFonts w:ascii="Arial" w:hAnsi="Arial" w:cs="Arial"/>
          <w:b/>
          <w:bCs/>
          <w:sz w:val="28"/>
          <w:szCs w:val="28"/>
        </w:rPr>
      </w:pPr>
      <w:r w:rsidRPr="00E972EF">
        <w:rPr>
          <w:rFonts w:ascii="Arial" w:hAnsi="Arial" w:cs="Arial"/>
          <w:b/>
          <w:bCs/>
          <w:sz w:val="28"/>
          <w:szCs w:val="28"/>
        </w:rPr>
        <w:t>EB-2021-</w:t>
      </w:r>
      <w:r w:rsidR="00062EB6">
        <w:rPr>
          <w:rFonts w:ascii="Arial" w:hAnsi="Arial" w:cs="Arial"/>
          <w:b/>
          <w:bCs/>
          <w:sz w:val="28"/>
          <w:szCs w:val="28"/>
        </w:rPr>
        <w:t>00</w:t>
      </w:r>
      <w:r w:rsidR="001B5203">
        <w:rPr>
          <w:rFonts w:ascii="Arial" w:hAnsi="Arial" w:cs="Arial"/>
          <w:b/>
          <w:bCs/>
          <w:sz w:val="28"/>
          <w:szCs w:val="28"/>
        </w:rPr>
        <w:t>28</w:t>
      </w:r>
    </w:p>
    <w:p w14:paraId="54579AAC" w14:textId="75FE3F9B" w:rsidR="003E2D0A" w:rsidRPr="00E972EF" w:rsidRDefault="003E2D0A" w:rsidP="00E972EF">
      <w:pPr>
        <w:spacing w:after="0" w:line="240" w:lineRule="auto"/>
        <w:jc w:val="center"/>
        <w:rPr>
          <w:rFonts w:ascii="Arial" w:hAnsi="Arial" w:cs="Arial"/>
          <w:b/>
          <w:bCs/>
          <w:sz w:val="28"/>
          <w:szCs w:val="28"/>
        </w:rPr>
      </w:pPr>
      <w:r>
        <w:rPr>
          <w:rFonts w:ascii="Arial" w:hAnsi="Arial" w:cs="Arial"/>
          <w:b/>
          <w:bCs/>
          <w:sz w:val="28"/>
          <w:szCs w:val="28"/>
        </w:rPr>
        <w:t>January 11, 2022</w:t>
      </w:r>
    </w:p>
    <w:p w14:paraId="5C8602C6" w14:textId="1153E758" w:rsidR="008F2470" w:rsidRDefault="008F2470" w:rsidP="008F2470">
      <w:pPr>
        <w:spacing w:after="0" w:line="240" w:lineRule="auto"/>
        <w:rPr>
          <w:rFonts w:ascii="Arial" w:hAnsi="Arial" w:cs="Arial"/>
          <w:sz w:val="24"/>
          <w:szCs w:val="24"/>
        </w:rPr>
      </w:pPr>
    </w:p>
    <w:p w14:paraId="4CCC0C71" w14:textId="0EFDBA9A" w:rsidR="009936CD" w:rsidRPr="00E86F26" w:rsidRDefault="009936CD" w:rsidP="009936CD">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1B5203">
        <w:rPr>
          <w:rFonts w:ascii="Arial" w:eastAsia="Calibri" w:hAnsi="Arial" w:cs="Arial"/>
          <w:sz w:val="24"/>
          <w:szCs w:val="24"/>
        </w:rPr>
        <w:t>Halton Hills</w:t>
      </w:r>
      <w:r w:rsidR="00062EB6">
        <w:rPr>
          <w:rFonts w:ascii="Arial" w:eastAsia="Calibri" w:hAnsi="Arial" w:cs="Arial"/>
          <w:sz w:val="24"/>
          <w:szCs w:val="24"/>
        </w:rPr>
        <w:t xml:space="preserve"> Hydro Inc.</w:t>
      </w:r>
      <w:r w:rsidR="00131FCB">
        <w:rPr>
          <w:rFonts w:ascii="Arial" w:eastAsia="Calibri" w:hAnsi="Arial" w:cs="Arial"/>
          <w:sz w:val="24"/>
          <w:szCs w:val="24"/>
        </w:rPr>
        <w:t xml:space="preserve"> (</w:t>
      </w:r>
      <w:r w:rsidR="001B5203">
        <w:rPr>
          <w:rFonts w:ascii="Arial" w:eastAsia="Calibri" w:hAnsi="Arial" w:cs="Arial"/>
          <w:sz w:val="24"/>
          <w:szCs w:val="24"/>
        </w:rPr>
        <w:t>Halton Hills</w:t>
      </w:r>
      <w:r w:rsidR="00131FCB">
        <w:rPr>
          <w:rFonts w:ascii="Arial" w:eastAsia="Calibri" w:hAnsi="Arial" w:cs="Arial"/>
          <w:sz w:val="24"/>
          <w:szCs w:val="24"/>
        </w:rPr>
        <w:t xml:space="preserve"> Hydro)</w:t>
      </w:r>
      <w:r w:rsidRPr="00E86F26">
        <w:rPr>
          <w:rFonts w:ascii="Arial" w:eastAsia="Calibri" w:hAnsi="Arial" w:cs="Arial"/>
          <w:sz w:val="24"/>
          <w:szCs w:val="24"/>
        </w:rPr>
        <w:t xml:space="preserve"> is responsible for ensuring that all documents it files with the OEB, including responses to OEB staff </w:t>
      </w:r>
      <w:r>
        <w:rPr>
          <w:rFonts w:ascii="Arial" w:eastAsia="Calibri" w:hAnsi="Arial" w:cs="Arial"/>
          <w:sz w:val="24"/>
          <w:szCs w:val="24"/>
        </w:rPr>
        <w:t>interrogatories</w:t>
      </w:r>
      <w:r w:rsidRPr="00E86F26">
        <w:rPr>
          <w:rFonts w:ascii="Arial" w:eastAsia="Calibri" w:hAnsi="Arial" w:cs="Arial"/>
          <w:sz w:val="24"/>
          <w:szCs w:val="24"/>
        </w:rPr>
        <w:t xml:space="preserve">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5ADEC78D" w14:textId="76002F40" w:rsidR="007F7A36" w:rsidRDefault="007F7A36" w:rsidP="008F2470">
      <w:pPr>
        <w:spacing w:after="0" w:line="240" w:lineRule="auto"/>
        <w:rPr>
          <w:rFonts w:ascii="Arial" w:hAnsi="Arial" w:cs="Arial"/>
          <w:sz w:val="24"/>
          <w:szCs w:val="24"/>
        </w:rPr>
      </w:pPr>
    </w:p>
    <w:p w14:paraId="10D5AB4D" w14:textId="7208C9F8" w:rsidR="001B5203" w:rsidRDefault="00131FCB" w:rsidP="001B5203">
      <w:pPr>
        <w:rPr>
          <w:rFonts w:ascii="Arial" w:hAnsi="Arial" w:cs="Arial"/>
          <w:sz w:val="24"/>
          <w:szCs w:val="24"/>
        </w:rPr>
      </w:pPr>
      <w:r>
        <w:rPr>
          <w:rFonts w:ascii="Arial" w:hAnsi="Arial" w:cs="Arial"/>
          <w:sz w:val="24"/>
          <w:szCs w:val="24"/>
        </w:rPr>
        <w:t xml:space="preserve">OEB staff has made the following generic updates in </w:t>
      </w:r>
      <w:r w:rsidR="001B5203">
        <w:rPr>
          <w:rFonts w:ascii="Arial" w:hAnsi="Arial" w:cs="Arial"/>
          <w:sz w:val="24"/>
          <w:szCs w:val="24"/>
        </w:rPr>
        <w:t>Halton Hills</w:t>
      </w:r>
      <w:r>
        <w:rPr>
          <w:rFonts w:ascii="Arial" w:hAnsi="Arial" w:cs="Arial"/>
          <w:sz w:val="24"/>
          <w:szCs w:val="24"/>
        </w:rPr>
        <w:t xml:space="preserve"> Hydro’s Rate Generator Model</w:t>
      </w:r>
      <w:r w:rsidR="00B627AA">
        <w:rPr>
          <w:rFonts w:ascii="Arial" w:hAnsi="Arial" w:cs="Arial"/>
          <w:sz w:val="24"/>
          <w:szCs w:val="24"/>
        </w:rPr>
        <w:t xml:space="preserve"> and attached </w:t>
      </w:r>
      <w:r w:rsidR="001B5203">
        <w:rPr>
          <w:rFonts w:ascii="Arial" w:hAnsi="Arial" w:cs="Arial"/>
          <w:sz w:val="24"/>
          <w:szCs w:val="24"/>
        </w:rPr>
        <w:t>it</w:t>
      </w:r>
      <w:r w:rsidR="00B627AA">
        <w:rPr>
          <w:rFonts w:ascii="Arial" w:hAnsi="Arial" w:cs="Arial"/>
          <w:sz w:val="24"/>
          <w:szCs w:val="24"/>
        </w:rPr>
        <w:t xml:space="preserve"> to </w:t>
      </w:r>
      <w:r w:rsidR="001B5203">
        <w:rPr>
          <w:rFonts w:ascii="Arial" w:hAnsi="Arial" w:cs="Arial"/>
          <w:sz w:val="24"/>
          <w:szCs w:val="24"/>
        </w:rPr>
        <w:t>the OEB staff questions</w:t>
      </w:r>
      <w:r>
        <w:rPr>
          <w:rFonts w:ascii="Arial" w:hAnsi="Arial" w:cs="Arial"/>
          <w:sz w:val="24"/>
          <w:szCs w:val="24"/>
        </w:rPr>
        <w:t>:</w:t>
      </w:r>
    </w:p>
    <w:p w14:paraId="6986332F" w14:textId="6FD97AB5" w:rsidR="00131FCB" w:rsidRDefault="00131FCB" w:rsidP="00131FCB">
      <w:pPr>
        <w:pStyle w:val="ListParagraph"/>
        <w:numPr>
          <w:ilvl w:val="0"/>
          <w:numId w:val="1"/>
        </w:numPr>
        <w:spacing w:after="0" w:line="240" w:lineRule="auto"/>
        <w:rPr>
          <w:rFonts w:ascii="Arial" w:hAnsi="Arial" w:cs="Arial"/>
          <w:sz w:val="24"/>
          <w:szCs w:val="24"/>
        </w:rPr>
      </w:pPr>
      <w:r>
        <w:rPr>
          <w:rFonts w:ascii="Arial" w:hAnsi="Arial" w:cs="Arial"/>
          <w:sz w:val="24"/>
          <w:szCs w:val="24"/>
        </w:rPr>
        <w:t>Updated the IPI Inflation Factor to 3.3</w:t>
      </w:r>
      <w:r w:rsidR="000D263F">
        <w:rPr>
          <w:rFonts w:ascii="Arial" w:hAnsi="Arial" w:cs="Arial"/>
          <w:sz w:val="24"/>
          <w:szCs w:val="24"/>
        </w:rPr>
        <w:t>0</w:t>
      </w:r>
      <w:r>
        <w:rPr>
          <w:rFonts w:ascii="Arial" w:hAnsi="Arial" w:cs="Arial"/>
          <w:sz w:val="24"/>
          <w:szCs w:val="24"/>
        </w:rPr>
        <w:t>%</w:t>
      </w:r>
      <w:r w:rsidR="000D263F">
        <w:rPr>
          <w:rStyle w:val="FootnoteReference"/>
          <w:rFonts w:ascii="Arial" w:hAnsi="Arial" w:cs="Arial"/>
          <w:sz w:val="24"/>
          <w:szCs w:val="24"/>
        </w:rPr>
        <w:footnoteReference w:id="1"/>
      </w:r>
      <w:r>
        <w:rPr>
          <w:rFonts w:ascii="Arial" w:hAnsi="Arial" w:cs="Arial"/>
          <w:sz w:val="24"/>
          <w:szCs w:val="24"/>
        </w:rPr>
        <w:t xml:space="preserve"> in Tab 16 and Tab 17</w:t>
      </w:r>
      <w:r w:rsidR="000D263F">
        <w:rPr>
          <w:rFonts w:ascii="Arial" w:hAnsi="Arial" w:cs="Arial"/>
          <w:sz w:val="24"/>
          <w:szCs w:val="24"/>
        </w:rPr>
        <w:t xml:space="preserve">-Retail Service </w:t>
      </w:r>
      <w:r w:rsidR="007F13BF">
        <w:rPr>
          <w:rFonts w:ascii="Arial" w:hAnsi="Arial" w:cs="Arial"/>
          <w:sz w:val="24"/>
          <w:szCs w:val="24"/>
        </w:rPr>
        <w:t>Charges</w:t>
      </w:r>
    </w:p>
    <w:p w14:paraId="4B963794" w14:textId="23218D3E" w:rsidR="000D263F" w:rsidRDefault="000D263F" w:rsidP="00131FCB">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Updated the </w:t>
      </w:r>
      <w:r w:rsidR="007F13BF">
        <w:rPr>
          <w:rFonts w:ascii="Arial" w:hAnsi="Arial" w:cs="Arial"/>
          <w:sz w:val="24"/>
          <w:szCs w:val="24"/>
        </w:rPr>
        <w:t>Ontario Electricity Rebate in Tab 20 to 17% (as of November 1, 2021)</w:t>
      </w:r>
    </w:p>
    <w:p w14:paraId="77850780" w14:textId="0E2A1633" w:rsidR="007F13BF" w:rsidRDefault="001B5203" w:rsidP="00131FCB">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Updated </w:t>
      </w:r>
      <w:r w:rsidR="00B627AA">
        <w:rPr>
          <w:rFonts w:ascii="Arial" w:hAnsi="Arial" w:cs="Arial"/>
          <w:sz w:val="24"/>
          <w:szCs w:val="24"/>
        </w:rPr>
        <w:t>the Wireline Pole Attachment</w:t>
      </w:r>
      <w:r w:rsidR="007F13BF">
        <w:rPr>
          <w:rFonts w:ascii="Arial" w:hAnsi="Arial" w:cs="Arial"/>
          <w:sz w:val="24"/>
          <w:szCs w:val="24"/>
        </w:rPr>
        <w:t xml:space="preserve"> Charge </w:t>
      </w:r>
      <w:r>
        <w:rPr>
          <w:rFonts w:ascii="Arial" w:hAnsi="Arial" w:cs="Arial"/>
          <w:sz w:val="24"/>
          <w:szCs w:val="24"/>
        </w:rPr>
        <w:t>to $34.76</w:t>
      </w:r>
      <w:r w:rsidR="0006764F">
        <w:rPr>
          <w:rStyle w:val="FootnoteReference"/>
          <w:rFonts w:ascii="Arial" w:hAnsi="Arial" w:cs="Arial"/>
          <w:sz w:val="24"/>
          <w:szCs w:val="24"/>
        </w:rPr>
        <w:footnoteReference w:id="2"/>
      </w:r>
      <w:r>
        <w:rPr>
          <w:rFonts w:ascii="Arial" w:hAnsi="Arial" w:cs="Arial"/>
          <w:sz w:val="24"/>
          <w:szCs w:val="24"/>
        </w:rPr>
        <w:t xml:space="preserve"> </w:t>
      </w:r>
      <w:r w:rsidR="007F13BF">
        <w:rPr>
          <w:rFonts w:ascii="Arial" w:hAnsi="Arial" w:cs="Arial"/>
          <w:sz w:val="24"/>
          <w:szCs w:val="24"/>
        </w:rPr>
        <w:t>in Tab 17</w:t>
      </w:r>
    </w:p>
    <w:p w14:paraId="7FA24AE9" w14:textId="4FF87DCF" w:rsidR="0006764F" w:rsidRPr="00131FCB" w:rsidRDefault="0006764F" w:rsidP="00131FCB">
      <w:pPr>
        <w:pStyle w:val="ListParagraph"/>
        <w:numPr>
          <w:ilvl w:val="0"/>
          <w:numId w:val="1"/>
        </w:numPr>
        <w:spacing w:after="0" w:line="240" w:lineRule="auto"/>
        <w:rPr>
          <w:rFonts w:ascii="Arial" w:hAnsi="Arial" w:cs="Arial"/>
          <w:sz w:val="24"/>
          <w:szCs w:val="24"/>
        </w:rPr>
      </w:pPr>
      <w:r>
        <w:rPr>
          <w:rFonts w:ascii="Arial" w:hAnsi="Arial" w:cs="Arial"/>
          <w:sz w:val="24"/>
          <w:szCs w:val="24"/>
        </w:rPr>
        <w:t>Updated the 2022 UTRs</w:t>
      </w:r>
      <w:r>
        <w:rPr>
          <w:rStyle w:val="FootnoteReference"/>
          <w:rFonts w:ascii="Arial" w:hAnsi="Arial" w:cs="Arial"/>
          <w:sz w:val="24"/>
          <w:szCs w:val="24"/>
        </w:rPr>
        <w:footnoteReference w:id="3"/>
      </w:r>
      <w:r>
        <w:rPr>
          <w:rFonts w:ascii="Arial" w:hAnsi="Arial" w:cs="Arial"/>
          <w:sz w:val="24"/>
          <w:szCs w:val="24"/>
        </w:rPr>
        <w:t xml:space="preserve"> and Hydro One Sub-transmission rates</w:t>
      </w:r>
      <w:r>
        <w:rPr>
          <w:rStyle w:val="FootnoteReference"/>
          <w:rFonts w:ascii="Arial" w:hAnsi="Arial" w:cs="Arial"/>
          <w:sz w:val="24"/>
          <w:szCs w:val="24"/>
        </w:rPr>
        <w:footnoteReference w:id="4"/>
      </w:r>
      <w:r>
        <w:rPr>
          <w:rFonts w:ascii="Arial" w:hAnsi="Arial" w:cs="Arial"/>
          <w:sz w:val="24"/>
          <w:szCs w:val="24"/>
        </w:rPr>
        <w:t xml:space="preserve"> in Tab 15</w:t>
      </w:r>
    </w:p>
    <w:p w14:paraId="70D3C847" w14:textId="07B74DA6" w:rsidR="00062EB6" w:rsidRPr="00D66D10" w:rsidRDefault="00062EB6" w:rsidP="008F2470">
      <w:pPr>
        <w:spacing w:after="0" w:line="240" w:lineRule="auto"/>
        <w:rPr>
          <w:rFonts w:ascii="Arial" w:hAnsi="Arial" w:cs="Arial"/>
          <w:b/>
          <w:bCs/>
          <w:sz w:val="24"/>
          <w:szCs w:val="24"/>
        </w:rPr>
      </w:pPr>
    </w:p>
    <w:p w14:paraId="51ED1A7C" w14:textId="77777777" w:rsidR="00D66D10" w:rsidRDefault="00D66D10" w:rsidP="008F2470">
      <w:pPr>
        <w:spacing w:after="0" w:line="240" w:lineRule="auto"/>
        <w:rPr>
          <w:rFonts w:ascii="Arial" w:hAnsi="Arial" w:cs="Arial"/>
          <w:b/>
          <w:bCs/>
          <w:sz w:val="24"/>
          <w:szCs w:val="24"/>
        </w:rPr>
      </w:pPr>
    </w:p>
    <w:p w14:paraId="1E2A848A" w14:textId="040EDB16" w:rsidR="00062EB6" w:rsidRPr="00D66D10" w:rsidRDefault="00D66D10" w:rsidP="00436748">
      <w:pPr>
        <w:contextualSpacing/>
        <w:rPr>
          <w:rFonts w:ascii="Arial" w:hAnsi="Arial" w:cs="Arial"/>
          <w:b/>
          <w:bCs/>
          <w:sz w:val="24"/>
          <w:szCs w:val="24"/>
        </w:rPr>
      </w:pPr>
      <w:r w:rsidRPr="00D66D10">
        <w:rPr>
          <w:rFonts w:ascii="Arial" w:hAnsi="Arial" w:cs="Arial"/>
          <w:b/>
          <w:bCs/>
          <w:sz w:val="24"/>
          <w:szCs w:val="24"/>
        </w:rPr>
        <w:t>Staff</w:t>
      </w:r>
      <w:r w:rsidR="0006764F">
        <w:rPr>
          <w:rFonts w:ascii="Arial" w:hAnsi="Arial" w:cs="Arial"/>
          <w:b/>
          <w:bCs/>
          <w:sz w:val="24"/>
          <w:szCs w:val="24"/>
        </w:rPr>
        <w:t xml:space="preserve"> Question</w:t>
      </w:r>
      <w:r w:rsidRPr="00D66D10">
        <w:rPr>
          <w:rFonts w:ascii="Arial" w:hAnsi="Arial" w:cs="Arial"/>
          <w:b/>
          <w:bCs/>
          <w:sz w:val="24"/>
          <w:szCs w:val="24"/>
        </w:rPr>
        <w:t>-1</w:t>
      </w:r>
    </w:p>
    <w:p w14:paraId="52A9BDA0" w14:textId="69AA5C0D" w:rsidR="00D66D10" w:rsidRPr="00D66D10" w:rsidRDefault="00D66D10" w:rsidP="00CF1898">
      <w:pPr>
        <w:rPr>
          <w:rFonts w:ascii="Arial" w:hAnsi="Arial" w:cs="Arial"/>
          <w:b/>
          <w:bCs/>
          <w:sz w:val="24"/>
          <w:szCs w:val="24"/>
        </w:rPr>
      </w:pPr>
      <w:r w:rsidRPr="00325974">
        <w:rPr>
          <w:rFonts w:ascii="Arial" w:hAnsi="Arial" w:cs="Arial"/>
          <w:b/>
          <w:bCs/>
          <w:sz w:val="24"/>
          <w:szCs w:val="24"/>
        </w:rPr>
        <w:t>Ref:</w:t>
      </w:r>
      <w:r w:rsidR="00F30044">
        <w:rPr>
          <w:rFonts w:ascii="Arial" w:hAnsi="Arial" w:cs="Arial"/>
          <w:b/>
          <w:bCs/>
          <w:sz w:val="24"/>
          <w:szCs w:val="24"/>
        </w:rPr>
        <w:t xml:space="preserve"> </w:t>
      </w:r>
      <w:r w:rsidR="00CF1898">
        <w:rPr>
          <w:rFonts w:ascii="Arial" w:hAnsi="Arial" w:cs="Arial"/>
          <w:b/>
          <w:bCs/>
          <w:sz w:val="24"/>
          <w:szCs w:val="24"/>
        </w:rPr>
        <w:t xml:space="preserve">1595 </w:t>
      </w:r>
      <w:proofErr w:type="spellStart"/>
      <w:r w:rsidR="00CF1898">
        <w:rPr>
          <w:rFonts w:ascii="Arial" w:hAnsi="Arial" w:cs="Arial"/>
          <w:b/>
          <w:bCs/>
          <w:sz w:val="24"/>
          <w:szCs w:val="24"/>
        </w:rPr>
        <w:t>Workform</w:t>
      </w:r>
      <w:proofErr w:type="spellEnd"/>
      <w:r w:rsidR="00CF1898">
        <w:rPr>
          <w:rFonts w:ascii="Arial" w:hAnsi="Arial" w:cs="Arial"/>
          <w:b/>
          <w:bCs/>
          <w:sz w:val="24"/>
          <w:szCs w:val="24"/>
        </w:rPr>
        <w:t>, Account 1595 (2016)</w:t>
      </w:r>
    </w:p>
    <w:p w14:paraId="0DA9B0E3" w14:textId="61D36C4E" w:rsidR="00D66D10" w:rsidRDefault="00853A38" w:rsidP="00FB2D6C">
      <w:pPr>
        <w:rPr>
          <w:rFonts w:ascii="Arial" w:hAnsi="Arial" w:cs="Arial"/>
          <w:sz w:val="24"/>
          <w:szCs w:val="24"/>
        </w:rPr>
      </w:pPr>
      <w:r>
        <w:rPr>
          <w:rFonts w:ascii="Arial" w:hAnsi="Arial" w:cs="Arial"/>
          <w:sz w:val="24"/>
          <w:szCs w:val="24"/>
        </w:rPr>
        <w:t>Halton Hills Hydro reported the following principal and interest balances approved for disposition in the 2016 cost of service proceeding</w:t>
      </w:r>
      <w:r>
        <w:rPr>
          <w:rStyle w:val="FootnoteReference"/>
          <w:rFonts w:ascii="Arial" w:hAnsi="Arial" w:cs="Arial"/>
          <w:sz w:val="24"/>
          <w:szCs w:val="24"/>
        </w:rPr>
        <w:footnoteReference w:id="5"/>
      </w:r>
      <w:r>
        <w:rPr>
          <w:rFonts w:ascii="Arial" w:hAnsi="Arial" w:cs="Arial"/>
          <w:sz w:val="24"/>
          <w:szCs w:val="24"/>
        </w:rPr>
        <w:t xml:space="preserve"> in the 1595 </w:t>
      </w:r>
      <w:proofErr w:type="spellStart"/>
      <w:r>
        <w:rPr>
          <w:rFonts w:ascii="Arial" w:hAnsi="Arial" w:cs="Arial"/>
          <w:sz w:val="24"/>
          <w:szCs w:val="24"/>
        </w:rPr>
        <w:t>Workform</w:t>
      </w:r>
      <w:proofErr w:type="spellEnd"/>
      <w:r>
        <w:rPr>
          <w:rFonts w:ascii="Arial" w:hAnsi="Arial" w:cs="Arial"/>
          <w:sz w:val="24"/>
          <w:szCs w:val="24"/>
        </w:rPr>
        <w:t xml:space="preserve">. OEB staff reviewed the related EDDVAR model filed with the Settlement Proposal in the 2016 cost of service proceeding and cannot reconcile </w:t>
      </w:r>
      <w:r w:rsidR="00D666D4">
        <w:rPr>
          <w:rFonts w:ascii="Arial" w:hAnsi="Arial" w:cs="Arial"/>
          <w:sz w:val="24"/>
          <w:szCs w:val="24"/>
        </w:rPr>
        <w:t>the balances.</w:t>
      </w:r>
    </w:p>
    <w:tbl>
      <w:tblPr>
        <w:tblW w:w="8369" w:type="dxa"/>
        <w:tblLook w:val="04A0" w:firstRow="1" w:lastRow="0" w:firstColumn="1" w:lastColumn="0" w:noHBand="0" w:noVBand="1"/>
      </w:tblPr>
      <w:tblGrid>
        <w:gridCol w:w="5219"/>
        <w:gridCol w:w="1575"/>
        <w:gridCol w:w="1575"/>
      </w:tblGrid>
      <w:tr w:rsidR="00853A38" w:rsidRPr="005C4306" w14:paraId="1DA34AAC" w14:textId="77777777" w:rsidTr="00853A38">
        <w:trPr>
          <w:trHeight w:val="1058"/>
        </w:trPr>
        <w:tc>
          <w:tcPr>
            <w:tcW w:w="5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A9A16" w14:textId="77777777" w:rsidR="00853A38" w:rsidRPr="00853A38" w:rsidRDefault="00853A38" w:rsidP="00853A38">
            <w:pPr>
              <w:spacing w:after="0" w:line="240" w:lineRule="auto"/>
              <w:jc w:val="center"/>
              <w:rPr>
                <w:rFonts w:ascii="Arial" w:eastAsia="Times New Roman" w:hAnsi="Arial" w:cs="Arial"/>
                <w:b/>
                <w:bCs/>
                <w:color w:val="000000"/>
                <w:lang w:val="en-US"/>
              </w:rPr>
            </w:pPr>
            <w:r w:rsidRPr="00853A38">
              <w:rPr>
                <w:rFonts w:ascii="Arial" w:eastAsia="Times New Roman" w:hAnsi="Arial" w:cs="Arial"/>
                <w:b/>
                <w:bCs/>
                <w:color w:val="000000"/>
                <w:lang w:val="en-US"/>
              </w:rPr>
              <w:t>Components of the 1595 Account Balances:</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14:paraId="77140C9C" w14:textId="77777777" w:rsidR="00853A38" w:rsidRPr="00853A38" w:rsidRDefault="00853A38" w:rsidP="00853A38">
            <w:pPr>
              <w:spacing w:after="0" w:line="240" w:lineRule="auto"/>
              <w:jc w:val="center"/>
              <w:rPr>
                <w:rFonts w:ascii="Arial" w:eastAsia="Times New Roman" w:hAnsi="Arial" w:cs="Arial"/>
                <w:b/>
                <w:bCs/>
                <w:lang w:val="en-US"/>
              </w:rPr>
            </w:pPr>
            <w:r w:rsidRPr="00853A38">
              <w:rPr>
                <w:rFonts w:ascii="Arial" w:eastAsia="Times New Roman" w:hAnsi="Arial" w:cs="Arial"/>
                <w:b/>
                <w:bCs/>
                <w:lang w:val="en-US"/>
              </w:rPr>
              <w:t>Principal Balance Approved for Disposition</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14:paraId="5734BF7F" w14:textId="77777777" w:rsidR="00853A38" w:rsidRPr="00853A38" w:rsidRDefault="00853A38" w:rsidP="00853A38">
            <w:pPr>
              <w:spacing w:after="0" w:line="240" w:lineRule="auto"/>
              <w:jc w:val="center"/>
              <w:rPr>
                <w:rFonts w:ascii="Arial" w:eastAsia="Times New Roman" w:hAnsi="Arial" w:cs="Arial"/>
                <w:b/>
                <w:bCs/>
                <w:lang w:val="en-US"/>
              </w:rPr>
            </w:pPr>
            <w:r w:rsidRPr="00853A38">
              <w:rPr>
                <w:rFonts w:ascii="Arial" w:eastAsia="Times New Roman" w:hAnsi="Arial" w:cs="Arial"/>
                <w:b/>
                <w:bCs/>
                <w:lang w:val="en-US"/>
              </w:rPr>
              <w:t>Carrying Charges Balance Approved for Disposition</w:t>
            </w:r>
          </w:p>
        </w:tc>
      </w:tr>
      <w:tr w:rsidR="00853A38" w:rsidRPr="005C4306" w14:paraId="4CC52FB6" w14:textId="77777777" w:rsidTr="00853A38">
        <w:trPr>
          <w:trHeight w:val="264"/>
        </w:trPr>
        <w:tc>
          <w:tcPr>
            <w:tcW w:w="5219" w:type="dxa"/>
            <w:tcBorders>
              <w:top w:val="nil"/>
              <w:left w:val="single" w:sz="4" w:space="0" w:color="auto"/>
              <w:bottom w:val="single" w:sz="4" w:space="0" w:color="auto"/>
              <w:right w:val="single" w:sz="4" w:space="0" w:color="auto"/>
            </w:tcBorders>
            <w:shd w:val="clear" w:color="auto" w:fill="auto"/>
            <w:noWrap/>
            <w:vAlign w:val="center"/>
            <w:hideMark/>
          </w:tcPr>
          <w:p w14:paraId="50DAF066" w14:textId="77777777" w:rsidR="00853A38" w:rsidRPr="00853A38" w:rsidRDefault="00853A38" w:rsidP="00853A38">
            <w:pPr>
              <w:spacing w:after="0" w:line="240" w:lineRule="auto"/>
              <w:rPr>
                <w:rFonts w:ascii="Arial" w:eastAsia="Times New Roman" w:hAnsi="Arial" w:cs="Arial"/>
                <w:b/>
                <w:bCs/>
                <w:lang w:val="en-US"/>
              </w:rPr>
            </w:pPr>
            <w:r w:rsidRPr="00853A38">
              <w:rPr>
                <w:rFonts w:ascii="Arial" w:eastAsia="Times New Roman" w:hAnsi="Arial" w:cs="Arial"/>
                <w:b/>
                <w:bCs/>
                <w:lang w:val="en-US"/>
              </w:rPr>
              <w:t>Total Group 1 and Group 2 Balances excluding Account 1589 - Global Adjustment</w:t>
            </w:r>
          </w:p>
        </w:tc>
        <w:tc>
          <w:tcPr>
            <w:tcW w:w="1575" w:type="dxa"/>
            <w:tcBorders>
              <w:top w:val="nil"/>
              <w:left w:val="nil"/>
              <w:bottom w:val="single" w:sz="4" w:space="0" w:color="auto"/>
              <w:right w:val="single" w:sz="4" w:space="0" w:color="auto"/>
            </w:tcBorders>
            <w:shd w:val="clear" w:color="000000" w:fill="EBF1DE"/>
            <w:noWrap/>
            <w:vAlign w:val="center"/>
            <w:hideMark/>
          </w:tcPr>
          <w:p w14:paraId="506A4E49" w14:textId="77777777" w:rsidR="00853A38" w:rsidRPr="00853A38" w:rsidRDefault="00853A38" w:rsidP="00853A38">
            <w:pPr>
              <w:spacing w:after="0" w:line="240" w:lineRule="auto"/>
              <w:jc w:val="right"/>
              <w:rPr>
                <w:rFonts w:ascii="Arial" w:eastAsia="Times New Roman" w:hAnsi="Arial" w:cs="Arial"/>
                <w:lang w:val="en-US"/>
              </w:rPr>
            </w:pPr>
            <w:r w:rsidRPr="00853A38">
              <w:rPr>
                <w:rFonts w:ascii="Arial" w:eastAsia="Times New Roman" w:hAnsi="Arial" w:cs="Arial"/>
                <w:lang w:val="en-US"/>
              </w:rPr>
              <w:t>-$76,453</w:t>
            </w:r>
          </w:p>
        </w:tc>
        <w:tc>
          <w:tcPr>
            <w:tcW w:w="1575" w:type="dxa"/>
            <w:tcBorders>
              <w:top w:val="nil"/>
              <w:left w:val="nil"/>
              <w:bottom w:val="single" w:sz="4" w:space="0" w:color="auto"/>
              <w:right w:val="single" w:sz="4" w:space="0" w:color="auto"/>
            </w:tcBorders>
            <w:shd w:val="clear" w:color="000000" w:fill="EBF1DE"/>
            <w:noWrap/>
            <w:vAlign w:val="center"/>
            <w:hideMark/>
          </w:tcPr>
          <w:p w14:paraId="194A26F4" w14:textId="77777777" w:rsidR="00853A38" w:rsidRPr="00853A38" w:rsidRDefault="00853A38" w:rsidP="00853A38">
            <w:pPr>
              <w:spacing w:after="0" w:line="240" w:lineRule="auto"/>
              <w:jc w:val="right"/>
              <w:rPr>
                <w:rFonts w:ascii="Arial" w:eastAsia="Times New Roman" w:hAnsi="Arial" w:cs="Arial"/>
                <w:lang w:val="en-US"/>
              </w:rPr>
            </w:pPr>
            <w:r w:rsidRPr="00853A38">
              <w:rPr>
                <w:rFonts w:ascii="Arial" w:eastAsia="Times New Roman" w:hAnsi="Arial" w:cs="Arial"/>
                <w:lang w:val="en-US"/>
              </w:rPr>
              <w:t>$43,961</w:t>
            </w:r>
          </w:p>
        </w:tc>
      </w:tr>
    </w:tbl>
    <w:p w14:paraId="545C1637" w14:textId="77777777" w:rsidR="00853A38" w:rsidRDefault="00853A38" w:rsidP="00FB2D6C">
      <w:pPr>
        <w:rPr>
          <w:rFonts w:ascii="Arial" w:hAnsi="Arial" w:cs="Arial"/>
          <w:sz w:val="24"/>
          <w:szCs w:val="24"/>
        </w:rPr>
      </w:pPr>
    </w:p>
    <w:p w14:paraId="57A97623" w14:textId="32C9990C" w:rsidR="00D666D4" w:rsidRPr="005C4306" w:rsidRDefault="00D66D10" w:rsidP="00D666D4">
      <w:pPr>
        <w:pStyle w:val="ListParagraph"/>
        <w:numPr>
          <w:ilvl w:val="0"/>
          <w:numId w:val="12"/>
        </w:numPr>
        <w:rPr>
          <w:rFonts w:ascii="Arial" w:eastAsia="Times New Roman" w:hAnsi="Arial" w:cs="Arial"/>
          <w:sz w:val="24"/>
          <w:szCs w:val="24"/>
        </w:rPr>
      </w:pPr>
      <w:r w:rsidRPr="005C4306">
        <w:rPr>
          <w:rFonts w:ascii="Arial" w:hAnsi="Arial" w:cs="Arial"/>
          <w:sz w:val="24"/>
          <w:szCs w:val="24"/>
        </w:rPr>
        <w:t>Please</w:t>
      </w:r>
      <w:r w:rsidRPr="005C4306">
        <w:rPr>
          <w:rFonts w:ascii="Arial" w:eastAsia="Times New Roman" w:hAnsi="Arial" w:cs="Arial"/>
          <w:sz w:val="24"/>
          <w:szCs w:val="24"/>
        </w:rPr>
        <w:t xml:space="preserve"> </w:t>
      </w:r>
      <w:r w:rsidR="00D666D4" w:rsidRPr="005C4306">
        <w:rPr>
          <w:rFonts w:ascii="Arial" w:eastAsia="Times New Roman" w:hAnsi="Arial" w:cs="Arial"/>
          <w:sz w:val="24"/>
          <w:szCs w:val="24"/>
        </w:rPr>
        <w:t xml:space="preserve">provide </w:t>
      </w:r>
      <w:r w:rsidR="005C4306" w:rsidRPr="005C4306">
        <w:rPr>
          <w:rFonts w:ascii="Arial" w:eastAsia="Times New Roman" w:hAnsi="Arial" w:cs="Arial"/>
          <w:sz w:val="24"/>
          <w:szCs w:val="24"/>
        </w:rPr>
        <w:t xml:space="preserve">breakdown information in </w:t>
      </w:r>
      <w:r w:rsidR="00D666D4" w:rsidRPr="005C4306">
        <w:rPr>
          <w:rFonts w:ascii="Arial" w:eastAsia="Times New Roman" w:hAnsi="Arial" w:cs="Arial"/>
          <w:sz w:val="24"/>
          <w:szCs w:val="24"/>
        </w:rPr>
        <w:t>the following</w:t>
      </w:r>
      <w:r w:rsidR="005C4306" w:rsidRPr="005C4306">
        <w:rPr>
          <w:rFonts w:ascii="Arial" w:eastAsia="Times New Roman" w:hAnsi="Arial" w:cs="Arial"/>
          <w:sz w:val="24"/>
          <w:szCs w:val="24"/>
        </w:rPr>
        <w:t xml:space="preserve"> table for the</w:t>
      </w:r>
      <w:r w:rsidR="00D666D4" w:rsidRPr="005C4306">
        <w:rPr>
          <w:rFonts w:ascii="Arial" w:eastAsia="Times New Roman" w:hAnsi="Arial" w:cs="Arial"/>
          <w:sz w:val="24"/>
          <w:szCs w:val="24"/>
        </w:rPr>
        <w:t xml:space="preserve"> OEB-approved disposition amounts in the 2016 cost of service application</w:t>
      </w:r>
      <w:r w:rsidR="00575E29" w:rsidRPr="005C4306">
        <w:rPr>
          <w:rFonts w:ascii="Arial" w:eastAsia="Times New Roman" w:hAnsi="Arial" w:cs="Arial"/>
          <w:sz w:val="24"/>
          <w:szCs w:val="24"/>
        </w:rPr>
        <w:t>. Please also provide the supporting evidence for the amounts (</w:t>
      </w:r>
      <w:r w:rsidR="005C4306" w:rsidRPr="005C4306">
        <w:rPr>
          <w:rFonts w:ascii="Arial" w:eastAsia="Times New Roman" w:hAnsi="Arial" w:cs="Arial"/>
          <w:sz w:val="24"/>
          <w:szCs w:val="24"/>
        </w:rPr>
        <w:t xml:space="preserve">on-record </w:t>
      </w:r>
      <w:r w:rsidR="00575E29" w:rsidRPr="005C4306">
        <w:rPr>
          <w:rFonts w:ascii="Arial" w:eastAsia="Times New Roman" w:hAnsi="Arial" w:cs="Arial"/>
          <w:sz w:val="24"/>
          <w:szCs w:val="24"/>
        </w:rPr>
        <w:t>OEB-approve document and/or models).</w:t>
      </w:r>
    </w:p>
    <w:tbl>
      <w:tblPr>
        <w:tblStyle w:val="TableGrid"/>
        <w:tblW w:w="0" w:type="auto"/>
        <w:tblInd w:w="720" w:type="dxa"/>
        <w:tblLook w:val="04A0" w:firstRow="1" w:lastRow="0" w:firstColumn="1" w:lastColumn="0" w:noHBand="0" w:noVBand="1"/>
      </w:tblPr>
      <w:tblGrid>
        <w:gridCol w:w="2194"/>
        <w:gridCol w:w="2319"/>
        <w:gridCol w:w="2319"/>
        <w:gridCol w:w="1798"/>
      </w:tblGrid>
      <w:tr w:rsidR="00575E29" w:rsidRPr="005C4306" w14:paraId="280C83C9" w14:textId="3F4331C6" w:rsidTr="00575E29">
        <w:tc>
          <w:tcPr>
            <w:tcW w:w="2194" w:type="dxa"/>
          </w:tcPr>
          <w:p w14:paraId="52FE38ED" w14:textId="77777777" w:rsidR="00575E29" w:rsidRPr="005C4306" w:rsidRDefault="00575E29" w:rsidP="00575E29">
            <w:pPr>
              <w:pStyle w:val="ListParagraph"/>
              <w:ind w:left="0"/>
              <w:rPr>
                <w:rFonts w:ascii="Arial" w:eastAsia="Times New Roman" w:hAnsi="Arial" w:cs="Arial"/>
              </w:rPr>
            </w:pPr>
          </w:p>
        </w:tc>
        <w:tc>
          <w:tcPr>
            <w:tcW w:w="2319" w:type="dxa"/>
          </w:tcPr>
          <w:p w14:paraId="7DDAC837" w14:textId="17B58558" w:rsidR="00575E29" w:rsidRPr="00021952" w:rsidRDefault="00575E29" w:rsidP="00575E29">
            <w:pPr>
              <w:pStyle w:val="ListParagraph"/>
              <w:ind w:left="0"/>
              <w:rPr>
                <w:rFonts w:ascii="Arial" w:eastAsia="Times New Roman" w:hAnsi="Arial" w:cs="Arial"/>
                <w:b/>
                <w:bCs/>
              </w:rPr>
            </w:pPr>
            <w:r w:rsidRPr="00021952">
              <w:rPr>
                <w:rFonts w:ascii="Arial" w:eastAsia="Times New Roman" w:hAnsi="Arial" w:cs="Arial"/>
                <w:b/>
                <w:bCs/>
              </w:rPr>
              <w:t xml:space="preserve">OEB-approved </w:t>
            </w:r>
            <w:r w:rsidR="00BC2F17">
              <w:rPr>
                <w:rFonts w:ascii="Arial" w:eastAsia="Times New Roman" w:hAnsi="Arial" w:cs="Arial"/>
                <w:b/>
                <w:bCs/>
              </w:rPr>
              <w:t>P</w:t>
            </w:r>
            <w:r w:rsidRPr="00021952">
              <w:rPr>
                <w:rFonts w:ascii="Arial" w:eastAsia="Times New Roman" w:hAnsi="Arial" w:cs="Arial"/>
                <w:b/>
                <w:bCs/>
              </w:rPr>
              <w:t xml:space="preserve">rincipal </w:t>
            </w:r>
            <w:r w:rsidR="00BC2F17">
              <w:rPr>
                <w:rFonts w:ascii="Arial" w:eastAsia="Times New Roman" w:hAnsi="Arial" w:cs="Arial"/>
                <w:b/>
                <w:bCs/>
              </w:rPr>
              <w:t>B</w:t>
            </w:r>
            <w:r w:rsidRPr="00021952">
              <w:rPr>
                <w:rFonts w:ascii="Arial" w:eastAsia="Times New Roman" w:hAnsi="Arial" w:cs="Arial"/>
                <w:b/>
                <w:bCs/>
              </w:rPr>
              <w:t xml:space="preserve">alance for </w:t>
            </w:r>
            <w:r w:rsidR="00BC2F17">
              <w:rPr>
                <w:rFonts w:ascii="Arial" w:eastAsia="Times New Roman" w:hAnsi="Arial" w:cs="Arial"/>
                <w:b/>
                <w:bCs/>
              </w:rPr>
              <w:t>D</w:t>
            </w:r>
            <w:r w:rsidRPr="00021952">
              <w:rPr>
                <w:rFonts w:ascii="Arial" w:eastAsia="Times New Roman" w:hAnsi="Arial" w:cs="Arial"/>
                <w:b/>
                <w:bCs/>
              </w:rPr>
              <w:t>isposition</w:t>
            </w:r>
          </w:p>
        </w:tc>
        <w:tc>
          <w:tcPr>
            <w:tcW w:w="2319" w:type="dxa"/>
          </w:tcPr>
          <w:p w14:paraId="4D3FEA4E" w14:textId="25EDF699" w:rsidR="00575E29" w:rsidRPr="00021952" w:rsidRDefault="00575E29" w:rsidP="00575E29">
            <w:pPr>
              <w:pStyle w:val="ListParagraph"/>
              <w:ind w:left="0"/>
              <w:rPr>
                <w:rFonts w:ascii="Arial" w:eastAsia="Times New Roman" w:hAnsi="Arial" w:cs="Arial"/>
                <w:b/>
                <w:bCs/>
              </w:rPr>
            </w:pPr>
            <w:r w:rsidRPr="00021952">
              <w:rPr>
                <w:rFonts w:ascii="Arial" w:eastAsia="Times New Roman" w:hAnsi="Arial" w:cs="Arial"/>
                <w:b/>
                <w:bCs/>
              </w:rPr>
              <w:t xml:space="preserve">OEB-approved </w:t>
            </w:r>
            <w:r w:rsidR="00BC2F17">
              <w:rPr>
                <w:rFonts w:ascii="Arial" w:eastAsia="Times New Roman" w:hAnsi="Arial" w:cs="Arial"/>
                <w:b/>
                <w:bCs/>
              </w:rPr>
              <w:t>I</w:t>
            </w:r>
            <w:r w:rsidRPr="00021952">
              <w:rPr>
                <w:rFonts w:ascii="Arial" w:eastAsia="Times New Roman" w:hAnsi="Arial" w:cs="Arial"/>
                <w:b/>
                <w:bCs/>
              </w:rPr>
              <w:t xml:space="preserve">nterest </w:t>
            </w:r>
            <w:r w:rsidR="00BC2F17">
              <w:rPr>
                <w:rFonts w:ascii="Arial" w:eastAsia="Times New Roman" w:hAnsi="Arial" w:cs="Arial"/>
                <w:b/>
                <w:bCs/>
              </w:rPr>
              <w:t>B</w:t>
            </w:r>
            <w:r w:rsidRPr="00021952">
              <w:rPr>
                <w:rFonts w:ascii="Arial" w:eastAsia="Times New Roman" w:hAnsi="Arial" w:cs="Arial"/>
                <w:b/>
                <w:bCs/>
              </w:rPr>
              <w:t xml:space="preserve">alance for </w:t>
            </w:r>
            <w:r w:rsidR="00BC2F17">
              <w:rPr>
                <w:rFonts w:ascii="Arial" w:eastAsia="Times New Roman" w:hAnsi="Arial" w:cs="Arial"/>
                <w:b/>
                <w:bCs/>
              </w:rPr>
              <w:t>D</w:t>
            </w:r>
            <w:r w:rsidRPr="00021952">
              <w:rPr>
                <w:rFonts w:ascii="Arial" w:eastAsia="Times New Roman" w:hAnsi="Arial" w:cs="Arial"/>
                <w:b/>
                <w:bCs/>
              </w:rPr>
              <w:t>isposition</w:t>
            </w:r>
          </w:p>
        </w:tc>
        <w:tc>
          <w:tcPr>
            <w:tcW w:w="1798" w:type="dxa"/>
          </w:tcPr>
          <w:p w14:paraId="0FD94210" w14:textId="2984B28B" w:rsidR="00575E29" w:rsidRPr="00021952" w:rsidRDefault="00575E29" w:rsidP="00575E29">
            <w:pPr>
              <w:pStyle w:val="ListParagraph"/>
              <w:ind w:left="0"/>
              <w:rPr>
                <w:rFonts w:ascii="Arial" w:eastAsia="Times New Roman" w:hAnsi="Arial" w:cs="Arial"/>
                <w:b/>
                <w:bCs/>
              </w:rPr>
            </w:pPr>
            <w:r w:rsidRPr="00021952">
              <w:rPr>
                <w:rFonts w:ascii="Arial" w:eastAsia="Times New Roman" w:hAnsi="Arial" w:cs="Arial"/>
                <w:b/>
                <w:bCs/>
              </w:rPr>
              <w:t>Total Claim</w:t>
            </w:r>
          </w:p>
        </w:tc>
      </w:tr>
      <w:tr w:rsidR="00575E29" w:rsidRPr="005C4306" w14:paraId="4CBAB81C" w14:textId="1CC81E15" w:rsidTr="00575E29">
        <w:tc>
          <w:tcPr>
            <w:tcW w:w="2194" w:type="dxa"/>
          </w:tcPr>
          <w:p w14:paraId="03287A82" w14:textId="43F6D815" w:rsidR="00575E29" w:rsidRPr="00021952" w:rsidRDefault="00575E29" w:rsidP="00575E29">
            <w:pPr>
              <w:pStyle w:val="ListParagraph"/>
              <w:ind w:left="0"/>
              <w:rPr>
                <w:rFonts w:ascii="Arial" w:eastAsia="Times New Roman" w:hAnsi="Arial" w:cs="Arial"/>
                <w:b/>
                <w:bCs/>
              </w:rPr>
            </w:pPr>
            <w:r w:rsidRPr="00853A38">
              <w:rPr>
                <w:rFonts w:ascii="Arial" w:eastAsia="Times New Roman" w:hAnsi="Arial" w:cs="Arial"/>
                <w:b/>
                <w:bCs/>
              </w:rPr>
              <w:t>Total Group 1 excluding Account 1589</w:t>
            </w:r>
          </w:p>
        </w:tc>
        <w:tc>
          <w:tcPr>
            <w:tcW w:w="2319" w:type="dxa"/>
          </w:tcPr>
          <w:p w14:paraId="42F08174" w14:textId="77777777" w:rsidR="00575E29" w:rsidRPr="005C4306" w:rsidRDefault="00575E29" w:rsidP="00575E29">
            <w:pPr>
              <w:pStyle w:val="ListParagraph"/>
              <w:ind w:left="0"/>
              <w:rPr>
                <w:rFonts w:ascii="Arial" w:eastAsia="Times New Roman" w:hAnsi="Arial" w:cs="Arial"/>
              </w:rPr>
            </w:pPr>
          </w:p>
        </w:tc>
        <w:tc>
          <w:tcPr>
            <w:tcW w:w="2319" w:type="dxa"/>
          </w:tcPr>
          <w:p w14:paraId="1FA309C6" w14:textId="77777777" w:rsidR="00575E29" w:rsidRPr="005C4306" w:rsidRDefault="00575E29" w:rsidP="00575E29">
            <w:pPr>
              <w:pStyle w:val="ListParagraph"/>
              <w:ind w:left="0"/>
              <w:rPr>
                <w:rFonts w:ascii="Arial" w:eastAsia="Times New Roman" w:hAnsi="Arial" w:cs="Arial"/>
              </w:rPr>
            </w:pPr>
          </w:p>
        </w:tc>
        <w:tc>
          <w:tcPr>
            <w:tcW w:w="1798" w:type="dxa"/>
          </w:tcPr>
          <w:p w14:paraId="4436BCEF" w14:textId="77777777" w:rsidR="00575E29" w:rsidRPr="005C4306" w:rsidRDefault="00575E29" w:rsidP="00575E29">
            <w:pPr>
              <w:pStyle w:val="ListParagraph"/>
              <w:ind w:left="0"/>
              <w:rPr>
                <w:rFonts w:ascii="Arial" w:eastAsia="Times New Roman" w:hAnsi="Arial" w:cs="Arial"/>
              </w:rPr>
            </w:pPr>
          </w:p>
        </w:tc>
      </w:tr>
      <w:tr w:rsidR="00575E29" w:rsidRPr="005C4306" w14:paraId="2D17A1A7" w14:textId="02FAE43C" w:rsidTr="00575E29">
        <w:tc>
          <w:tcPr>
            <w:tcW w:w="2194" w:type="dxa"/>
          </w:tcPr>
          <w:p w14:paraId="3235F971" w14:textId="42C89C54" w:rsidR="00575E29" w:rsidRPr="00021952" w:rsidRDefault="00575E29" w:rsidP="00575E29">
            <w:pPr>
              <w:pStyle w:val="ListParagraph"/>
              <w:ind w:left="0"/>
              <w:rPr>
                <w:rFonts w:ascii="Arial" w:eastAsia="Times New Roman" w:hAnsi="Arial" w:cs="Arial"/>
                <w:b/>
                <w:bCs/>
              </w:rPr>
            </w:pPr>
            <w:r w:rsidRPr="00021952">
              <w:rPr>
                <w:rFonts w:ascii="Arial" w:eastAsia="Times New Roman" w:hAnsi="Arial" w:cs="Arial"/>
                <w:b/>
                <w:bCs/>
              </w:rPr>
              <w:t>Total Group 2</w:t>
            </w:r>
          </w:p>
        </w:tc>
        <w:tc>
          <w:tcPr>
            <w:tcW w:w="2319" w:type="dxa"/>
          </w:tcPr>
          <w:p w14:paraId="5BAF33C6" w14:textId="77777777" w:rsidR="00575E29" w:rsidRPr="005C4306" w:rsidRDefault="00575E29" w:rsidP="00575E29">
            <w:pPr>
              <w:pStyle w:val="ListParagraph"/>
              <w:ind w:left="0"/>
              <w:rPr>
                <w:rFonts w:ascii="Arial" w:eastAsia="Times New Roman" w:hAnsi="Arial" w:cs="Arial"/>
              </w:rPr>
            </w:pPr>
          </w:p>
        </w:tc>
        <w:tc>
          <w:tcPr>
            <w:tcW w:w="2319" w:type="dxa"/>
          </w:tcPr>
          <w:p w14:paraId="6B6216F5" w14:textId="77777777" w:rsidR="00575E29" w:rsidRPr="005C4306" w:rsidRDefault="00575E29" w:rsidP="00575E29">
            <w:pPr>
              <w:pStyle w:val="ListParagraph"/>
              <w:ind w:left="0"/>
              <w:rPr>
                <w:rFonts w:ascii="Arial" w:eastAsia="Times New Roman" w:hAnsi="Arial" w:cs="Arial"/>
              </w:rPr>
            </w:pPr>
          </w:p>
        </w:tc>
        <w:tc>
          <w:tcPr>
            <w:tcW w:w="1798" w:type="dxa"/>
          </w:tcPr>
          <w:p w14:paraId="6E12893E" w14:textId="77777777" w:rsidR="00575E29" w:rsidRPr="005C4306" w:rsidRDefault="00575E29" w:rsidP="00575E29">
            <w:pPr>
              <w:pStyle w:val="ListParagraph"/>
              <w:ind w:left="0"/>
              <w:rPr>
                <w:rFonts w:ascii="Arial" w:eastAsia="Times New Roman" w:hAnsi="Arial" w:cs="Arial"/>
              </w:rPr>
            </w:pPr>
          </w:p>
        </w:tc>
      </w:tr>
      <w:tr w:rsidR="005C4306" w:rsidRPr="005C4306" w14:paraId="269C71D5" w14:textId="77777777" w:rsidTr="00575E29">
        <w:tc>
          <w:tcPr>
            <w:tcW w:w="2194" w:type="dxa"/>
          </w:tcPr>
          <w:p w14:paraId="6EB4F55F" w14:textId="1BFC1778" w:rsidR="005C4306" w:rsidRPr="00021952" w:rsidRDefault="005C4306" w:rsidP="00575E29">
            <w:pPr>
              <w:pStyle w:val="ListParagraph"/>
              <w:ind w:left="0"/>
              <w:rPr>
                <w:rFonts w:ascii="Arial" w:eastAsia="Times New Roman" w:hAnsi="Arial" w:cs="Arial"/>
                <w:b/>
                <w:bCs/>
              </w:rPr>
            </w:pPr>
            <w:r w:rsidRPr="00853A38">
              <w:rPr>
                <w:rFonts w:ascii="Arial" w:eastAsia="Times New Roman" w:hAnsi="Arial" w:cs="Arial"/>
                <w:b/>
                <w:bCs/>
              </w:rPr>
              <w:t>Total Group 1 and Group 2 Balances excluding Account 1589</w:t>
            </w:r>
          </w:p>
        </w:tc>
        <w:tc>
          <w:tcPr>
            <w:tcW w:w="2319" w:type="dxa"/>
          </w:tcPr>
          <w:p w14:paraId="2F36319D" w14:textId="77777777" w:rsidR="005C4306" w:rsidRPr="005C4306" w:rsidRDefault="005C4306" w:rsidP="00575E29">
            <w:pPr>
              <w:pStyle w:val="ListParagraph"/>
              <w:ind w:left="0"/>
              <w:rPr>
                <w:rFonts w:ascii="Arial" w:eastAsia="Times New Roman" w:hAnsi="Arial" w:cs="Arial"/>
              </w:rPr>
            </w:pPr>
          </w:p>
        </w:tc>
        <w:tc>
          <w:tcPr>
            <w:tcW w:w="2319" w:type="dxa"/>
          </w:tcPr>
          <w:p w14:paraId="4D1A1526" w14:textId="77777777" w:rsidR="005C4306" w:rsidRPr="005C4306" w:rsidRDefault="005C4306" w:rsidP="00575E29">
            <w:pPr>
              <w:pStyle w:val="ListParagraph"/>
              <w:ind w:left="0"/>
              <w:rPr>
                <w:rFonts w:ascii="Arial" w:eastAsia="Times New Roman" w:hAnsi="Arial" w:cs="Arial"/>
              </w:rPr>
            </w:pPr>
          </w:p>
        </w:tc>
        <w:tc>
          <w:tcPr>
            <w:tcW w:w="1798" w:type="dxa"/>
          </w:tcPr>
          <w:p w14:paraId="7CAA26B9" w14:textId="77777777" w:rsidR="005C4306" w:rsidRPr="005C4306" w:rsidRDefault="005C4306" w:rsidP="00575E29">
            <w:pPr>
              <w:pStyle w:val="ListParagraph"/>
              <w:ind w:left="0"/>
              <w:rPr>
                <w:rFonts w:ascii="Arial" w:eastAsia="Times New Roman" w:hAnsi="Arial" w:cs="Arial"/>
              </w:rPr>
            </w:pPr>
          </w:p>
        </w:tc>
      </w:tr>
    </w:tbl>
    <w:p w14:paraId="536AECCA" w14:textId="77777777" w:rsidR="00575E29" w:rsidRPr="005C4306" w:rsidRDefault="00575E29" w:rsidP="00575E29">
      <w:pPr>
        <w:pStyle w:val="ListParagraph"/>
        <w:rPr>
          <w:rFonts w:ascii="Arial" w:eastAsia="Times New Roman" w:hAnsi="Arial" w:cs="Arial"/>
          <w:sz w:val="24"/>
          <w:szCs w:val="24"/>
        </w:rPr>
      </w:pPr>
    </w:p>
    <w:p w14:paraId="19F4DCD2" w14:textId="28E12757" w:rsidR="00D666D4" w:rsidRDefault="005C4306" w:rsidP="00D666D4">
      <w:pPr>
        <w:pStyle w:val="ListParagraph"/>
        <w:numPr>
          <w:ilvl w:val="0"/>
          <w:numId w:val="12"/>
        </w:numPr>
        <w:rPr>
          <w:rFonts w:ascii="Arial" w:eastAsia="Times New Roman" w:hAnsi="Arial" w:cs="Arial"/>
          <w:sz w:val="24"/>
          <w:szCs w:val="24"/>
        </w:rPr>
      </w:pPr>
      <w:r>
        <w:rPr>
          <w:rFonts w:ascii="Arial" w:eastAsia="Times New Roman" w:hAnsi="Arial" w:cs="Arial"/>
          <w:sz w:val="24"/>
          <w:szCs w:val="24"/>
        </w:rPr>
        <w:t xml:space="preserve">Based on the </w:t>
      </w:r>
      <w:r w:rsidR="004614AE">
        <w:rPr>
          <w:rFonts w:ascii="Arial" w:eastAsia="Times New Roman" w:hAnsi="Arial" w:cs="Arial"/>
          <w:sz w:val="24"/>
          <w:szCs w:val="24"/>
        </w:rPr>
        <w:t xml:space="preserve">information provided in part a), please make necessary updates to the 1595 </w:t>
      </w:r>
      <w:proofErr w:type="spellStart"/>
      <w:r w:rsidR="004614AE">
        <w:rPr>
          <w:rFonts w:ascii="Arial" w:eastAsia="Times New Roman" w:hAnsi="Arial" w:cs="Arial"/>
          <w:sz w:val="24"/>
          <w:szCs w:val="24"/>
        </w:rPr>
        <w:t>Workform</w:t>
      </w:r>
      <w:proofErr w:type="spellEnd"/>
      <w:r w:rsidR="004614AE">
        <w:rPr>
          <w:rFonts w:ascii="Arial" w:eastAsia="Times New Roman" w:hAnsi="Arial" w:cs="Arial"/>
          <w:sz w:val="24"/>
          <w:szCs w:val="24"/>
        </w:rPr>
        <w:t xml:space="preserve"> and the Continuity Schedule in the Rate Generator Model accordingly.</w:t>
      </w:r>
    </w:p>
    <w:p w14:paraId="60AEEF59" w14:textId="2FCA1236" w:rsidR="00541873" w:rsidRPr="005C4306" w:rsidRDefault="00C84B89" w:rsidP="00D666D4">
      <w:pPr>
        <w:pStyle w:val="ListParagraph"/>
        <w:numPr>
          <w:ilvl w:val="0"/>
          <w:numId w:val="12"/>
        </w:numPr>
        <w:rPr>
          <w:rFonts w:ascii="Arial" w:eastAsia="Times New Roman" w:hAnsi="Arial" w:cs="Arial"/>
          <w:sz w:val="24"/>
          <w:szCs w:val="24"/>
        </w:rPr>
      </w:pPr>
      <w:r>
        <w:rPr>
          <w:rFonts w:ascii="Arial" w:eastAsia="Times New Roman" w:hAnsi="Arial" w:cs="Arial"/>
          <w:sz w:val="24"/>
          <w:szCs w:val="24"/>
        </w:rPr>
        <w:t xml:space="preserve">Based on any updates made in part b), if the total unresolved difference (cell K16) in 1595 </w:t>
      </w:r>
      <w:proofErr w:type="spellStart"/>
      <w:r>
        <w:rPr>
          <w:rFonts w:ascii="Arial" w:eastAsia="Times New Roman" w:hAnsi="Arial" w:cs="Arial"/>
          <w:sz w:val="24"/>
          <w:szCs w:val="24"/>
        </w:rPr>
        <w:t>Workform</w:t>
      </w:r>
      <w:proofErr w:type="spellEnd"/>
      <w:r>
        <w:rPr>
          <w:rFonts w:ascii="Arial" w:eastAsia="Times New Roman" w:hAnsi="Arial" w:cs="Arial"/>
          <w:sz w:val="24"/>
          <w:szCs w:val="24"/>
        </w:rPr>
        <w:t xml:space="preserve"> is greater than 10%, Halton Hills Hydro is required to complete the relevant Rate Rider tables in Step 3. Please make sure the information in each rate rider table in columns D to F can be reconciled with the supporting evidence in the 2016 cost of service proceeding.</w:t>
      </w:r>
    </w:p>
    <w:p w14:paraId="5FE5E575" w14:textId="77777777" w:rsidR="00E92632" w:rsidRDefault="00F61E05" w:rsidP="00E92632">
      <w:pPr>
        <w:contextualSpacing/>
        <w:rPr>
          <w:rFonts w:ascii="Arial" w:eastAsia="Times New Roman" w:hAnsi="Arial" w:cs="Arial"/>
          <w:b/>
          <w:bCs/>
          <w:sz w:val="24"/>
          <w:szCs w:val="24"/>
        </w:rPr>
      </w:pPr>
      <w:r w:rsidRPr="00D666D4">
        <w:rPr>
          <w:rFonts w:ascii="Arial" w:eastAsia="Times New Roman" w:hAnsi="Arial" w:cs="Arial"/>
          <w:b/>
          <w:bCs/>
          <w:sz w:val="24"/>
          <w:szCs w:val="24"/>
        </w:rPr>
        <w:t>Staff Question</w:t>
      </w:r>
      <w:r w:rsidR="00D66D10" w:rsidRPr="00D666D4">
        <w:rPr>
          <w:rFonts w:ascii="Arial" w:eastAsia="Times New Roman" w:hAnsi="Arial" w:cs="Arial"/>
          <w:b/>
          <w:bCs/>
          <w:sz w:val="24"/>
          <w:szCs w:val="24"/>
        </w:rPr>
        <w:t>-2</w:t>
      </w:r>
    </w:p>
    <w:p w14:paraId="05225200" w14:textId="17C73F51" w:rsidR="00D66D10" w:rsidRPr="00E92632" w:rsidRDefault="00D66D10" w:rsidP="00130818">
      <w:pPr>
        <w:rPr>
          <w:rFonts w:ascii="Arial" w:eastAsia="Times New Roman" w:hAnsi="Arial" w:cs="Arial"/>
          <w:b/>
          <w:bCs/>
          <w:sz w:val="24"/>
          <w:szCs w:val="24"/>
        </w:rPr>
      </w:pPr>
      <w:r w:rsidRPr="00325974">
        <w:rPr>
          <w:rFonts w:ascii="Arial" w:hAnsi="Arial" w:cs="Arial"/>
          <w:b/>
          <w:bCs/>
          <w:sz w:val="24"/>
          <w:szCs w:val="24"/>
        </w:rPr>
        <w:t>Ref:</w:t>
      </w:r>
      <w:r w:rsidR="00F30044">
        <w:rPr>
          <w:rFonts w:ascii="Arial" w:hAnsi="Arial" w:cs="Arial"/>
          <w:b/>
          <w:bCs/>
          <w:sz w:val="24"/>
          <w:szCs w:val="24"/>
        </w:rPr>
        <w:t xml:space="preserve"> </w:t>
      </w:r>
      <w:r w:rsidR="00130818">
        <w:rPr>
          <w:rFonts w:ascii="Arial" w:hAnsi="Arial" w:cs="Arial"/>
          <w:b/>
          <w:bCs/>
          <w:sz w:val="24"/>
          <w:szCs w:val="24"/>
        </w:rPr>
        <w:t>2021 LRAM Rate Rider</w:t>
      </w:r>
      <w:r w:rsidR="00AA504B">
        <w:rPr>
          <w:rFonts w:ascii="Arial" w:hAnsi="Arial" w:cs="Arial"/>
          <w:b/>
          <w:bCs/>
          <w:sz w:val="24"/>
          <w:szCs w:val="24"/>
        </w:rPr>
        <w:t>s, Rate Generator Model, Tab 2 Current Tariff, Tab 19 Proposed Tariff</w:t>
      </w:r>
    </w:p>
    <w:p w14:paraId="5A36B5FC" w14:textId="5F442110" w:rsidR="00D66D10" w:rsidRDefault="00130818" w:rsidP="00130818">
      <w:pPr>
        <w:rPr>
          <w:rFonts w:ascii="Arial" w:hAnsi="Arial" w:cs="Arial"/>
          <w:sz w:val="24"/>
          <w:szCs w:val="24"/>
        </w:rPr>
      </w:pPr>
      <w:r>
        <w:rPr>
          <w:rFonts w:ascii="Arial" w:hAnsi="Arial" w:cs="Arial"/>
          <w:sz w:val="24"/>
          <w:szCs w:val="24"/>
        </w:rPr>
        <w:t xml:space="preserve">OEB staff noted that </w:t>
      </w:r>
      <w:r w:rsidR="00AA504B">
        <w:rPr>
          <w:rFonts w:ascii="Arial" w:hAnsi="Arial" w:cs="Arial"/>
          <w:sz w:val="24"/>
          <w:szCs w:val="24"/>
        </w:rPr>
        <w:t>in Halton Hills Hydro’s 2021 OEB-approved tariff, there are two LRAM rate riders in amount of 0.0000 in the USL and Sentinel</w:t>
      </w:r>
      <w:r w:rsidR="00E92632">
        <w:rPr>
          <w:rFonts w:ascii="Arial" w:hAnsi="Arial" w:cs="Arial"/>
          <w:sz w:val="24"/>
          <w:szCs w:val="24"/>
        </w:rPr>
        <w:t xml:space="preserve"> Lighting classes. As there were no LRAM balances allocated to these two classes in the 2021 cost of service, these two zero riders have now been removed from the tariff. Please review the updated Rate Generator Model and confirm this change.</w:t>
      </w:r>
    </w:p>
    <w:p w14:paraId="7FF06C18" w14:textId="52C521F2" w:rsidR="00D66D10" w:rsidRPr="00325974" w:rsidRDefault="00D66D10" w:rsidP="00436748">
      <w:pPr>
        <w:contextualSpacing/>
        <w:rPr>
          <w:rFonts w:ascii="Arial" w:eastAsia="Times New Roman" w:hAnsi="Arial" w:cs="Arial"/>
          <w:b/>
          <w:bCs/>
          <w:sz w:val="24"/>
          <w:szCs w:val="24"/>
        </w:rPr>
      </w:pPr>
      <w:bookmarkStart w:id="1" w:name="_Hlk90908967"/>
      <w:r w:rsidRPr="00325974">
        <w:rPr>
          <w:rFonts w:ascii="Arial" w:eastAsia="Times New Roman" w:hAnsi="Arial" w:cs="Arial"/>
          <w:b/>
          <w:bCs/>
          <w:sz w:val="24"/>
          <w:szCs w:val="24"/>
        </w:rPr>
        <w:t>Staff</w:t>
      </w:r>
      <w:r w:rsidR="00F61E05">
        <w:rPr>
          <w:rFonts w:ascii="Arial" w:eastAsia="Times New Roman" w:hAnsi="Arial" w:cs="Arial"/>
          <w:b/>
          <w:bCs/>
          <w:sz w:val="24"/>
          <w:szCs w:val="24"/>
        </w:rPr>
        <w:t xml:space="preserve"> Question</w:t>
      </w:r>
      <w:r w:rsidRPr="00325974">
        <w:rPr>
          <w:rFonts w:ascii="Arial" w:eastAsia="Times New Roman" w:hAnsi="Arial" w:cs="Arial"/>
          <w:b/>
          <w:bCs/>
          <w:sz w:val="24"/>
          <w:szCs w:val="24"/>
        </w:rPr>
        <w:t>-</w:t>
      </w:r>
      <w:r>
        <w:rPr>
          <w:rFonts w:ascii="Arial" w:eastAsia="Times New Roman" w:hAnsi="Arial" w:cs="Arial"/>
          <w:b/>
          <w:bCs/>
          <w:sz w:val="24"/>
          <w:szCs w:val="24"/>
        </w:rPr>
        <w:t>3</w:t>
      </w:r>
    </w:p>
    <w:p w14:paraId="6E7071AB" w14:textId="2586B603" w:rsidR="00D66D10" w:rsidRPr="000B0A78" w:rsidRDefault="00D66D10" w:rsidP="00FB2D6C">
      <w:pPr>
        <w:rPr>
          <w:rFonts w:ascii="Arial" w:hAnsi="Arial" w:cs="Arial"/>
          <w:b/>
          <w:bCs/>
          <w:sz w:val="24"/>
          <w:szCs w:val="24"/>
        </w:rPr>
      </w:pPr>
      <w:r w:rsidRPr="002D6E67">
        <w:rPr>
          <w:rFonts w:ascii="Arial" w:hAnsi="Arial" w:cs="Arial"/>
          <w:b/>
          <w:bCs/>
          <w:sz w:val="24"/>
          <w:szCs w:val="24"/>
        </w:rPr>
        <w:t>Ref:</w:t>
      </w:r>
      <w:r w:rsidRPr="002D6E67">
        <w:rPr>
          <w:rFonts w:ascii="Arial" w:hAnsi="Arial" w:cs="Arial"/>
          <w:sz w:val="24"/>
          <w:szCs w:val="24"/>
        </w:rPr>
        <w:t xml:space="preserve"> </w:t>
      </w:r>
      <w:r w:rsidR="00F30044">
        <w:rPr>
          <w:rFonts w:ascii="Arial" w:hAnsi="Arial" w:cs="Arial"/>
          <w:b/>
          <w:bCs/>
          <w:sz w:val="24"/>
          <w:szCs w:val="24"/>
        </w:rPr>
        <w:t xml:space="preserve">GA Analysis </w:t>
      </w:r>
      <w:proofErr w:type="spellStart"/>
      <w:r w:rsidR="00F30044">
        <w:rPr>
          <w:rFonts w:ascii="Arial" w:hAnsi="Arial" w:cs="Arial"/>
          <w:b/>
          <w:bCs/>
          <w:sz w:val="24"/>
          <w:szCs w:val="24"/>
        </w:rPr>
        <w:t>Workform</w:t>
      </w:r>
      <w:proofErr w:type="spellEnd"/>
    </w:p>
    <w:bookmarkEnd w:id="1"/>
    <w:p w14:paraId="475091DD" w14:textId="77777777" w:rsidR="00F30044" w:rsidRDefault="00F30044" w:rsidP="00F30044">
      <w:pPr>
        <w:rPr>
          <w:rFonts w:ascii="Arial" w:hAnsi="Arial" w:cs="Arial"/>
          <w:sz w:val="24"/>
          <w:szCs w:val="24"/>
        </w:rPr>
      </w:pPr>
      <w:r w:rsidRPr="00E72E30">
        <w:rPr>
          <w:rFonts w:ascii="Arial" w:hAnsi="Arial" w:cs="Arial"/>
          <w:sz w:val="24"/>
          <w:szCs w:val="24"/>
        </w:rPr>
        <w:t xml:space="preserve">Tab “GA 2020” of the GA Analysis </w:t>
      </w:r>
      <w:proofErr w:type="spellStart"/>
      <w:r w:rsidRPr="00E72E30">
        <w:rPr>
          <w:rFonts w:ascii="Arial" w:hAnsi="Arial" w:cs="Arial"/>
          <w:sz w:val="24"/>
          <w:szCs w:val="24"/>
        </w:rPr>
        <w:t>Workform</w:t>
      </w:r>
      <w:proofErr w:type="spellEnd"/>
      <w:r w:rsidRPr="00E72E30">
        <w:rPr>
          <w:rFonts w:ascii="Arial" w:hAnsi="Arial" w:cs="Arial"/>
          <w:sz w:val="24"/>
          <w:szCs w:val="24"/>
        </w:rPr>
        <w:t xml:space="preserve"> </w:t>
      </w:r>
      <w:r>
        <w:rPr>
          <w:rFonts w:ascii="Arial" w:hAnsi="Arial" w:cs="Arial"/>
          <w:sz w:val="24"/>
          <w:szCs w:val="24"/>
        </w:rPr>
        <w:t>does not have the principal adjustment for 1a “</w:t>
      </w:r>
      <w:r w:rsidRPr="00E72E30">
        <w:rPr>
          <w:rFonts w:ascii="Arial" w:hAnsi="Arial" w:cs="Arial"/>
          <w:sz w:val="24"/>
          <w:szCs w:val="24"/>
        </w:rPr>
        <w:t>CT 148 True-up of GA Charges based on Actual Non-RPP Volumes - prior year</w:t>
      </w:r>
      <w:r>
        <w:rPr>
          <w:rFonts w:ascii="Arial" w:hAnsi="Arial" w:cs="Arial"/>
          <w:sz w:val="24"/>
          <w:szCs w:val="24"/>
        </w:rPr>
        <w:t xml:space="preserve">”. OEB staff notes that the “2020 Principal Adjustments” Tab contains the reversal of 2019 adjustment for </w:t>
      </w:r>
      <w:r w:rsidRPr="00BE48D6">
        <w:rPr>
          <w:rFonts w:ascii="Arial" w:hAnsi="Arial" w:cs="Arial"/>
          <w:sz w:val="24"/>
          <w:szCs w:val="24"/>
        </w:rPr>
        <w:t>CT 148 2019 Final True-up to actual</w:t>
      </w:r>
      <w:r>
        <w:rPr>
          <w:rFonts w:ascii="Arial" w:hAnsi="Arial" w:cs="Arial"/>
          <w:sz w:val="24"/>
          <w:szCs w:val="24"/>
        </w:rPr>
        <w:t xml:space="preserve"> of $554,961 and this adjustment </w:t>
      </w:r>
      <w:r>
        <w:rPr>
          <w:rFonts w:ascii="Arial" w:hAnsi="Arial" w:cs="Arial"/>
          <w:sz w:val="24"/>
          <w:szCs w:val="24"/>
        </w:rPr>
        <w:lastRenderedPageBreak/>
        <w:t xml:space="preserve">was included in the 2020 principal adjustment column of the 2020 DVA continuity schedule. </w:t>
      </w:r>
    </w:p>
    <w:p w14:paraId="78F8AE43" w14:textId="78283856" w:rsidR="00F30044" w:rsidRDefault="00F30044" w:rsidP="00F30044">
      <w:pPr>
        <w:rPr>
          <w:rFonts w:ascii="Arial" w:hAnsi="Arial" w:cs="Arial"/>
          <w:sz w:val="24"/>
          <w:szCs w:val="24"/>
        </w:rPr>
      </w:pPr>
      <w:r>
        <w:rPr>
          <w:rFonts w:ascii="Arial" w:hAnsi="Arial" w:cs="Arial"/>
          <w:sz w:val="24"/>
          <w:szCs w:val="24"/>
        </w:rPr>
        <w:t xml:space="preserve">OEB staff also notes that Halton Hills </w:t>
      </w:r>
      <w:r w:rsidR="00174365">
        <w:rPr>
          <w:rFonts w:ascii="Arial" w:hAnsi="Arial" w:cs="Arial"/>
          <w:sz w:val="24"/>
          <w:szCs w:val="24"/>
        </w:rPr>
        <w:t xml:space="preserve">Hydro </w:t>
      </w:r>
      <w:r>
        <w:rPr>
          <w:rFonts w:ascii="Arial" w:hAnsi="Arial" w:cs="Arial"/>
          <w:sz w:val="24"/>
          <w:szCs w:val="24"/>
        </w:rPr>
        <w:t xml:space="preserve">did not provide any figure for the reconciling item #5 Impacts of GA deferral. </w:t>
      </w:r>
    </w:p>
    <w:p w14:paraId="436549A9" w14:textId="77777777" w:rsidR="00F30044" w:rsidRDefault="00F30044" w:rsidP="00F30044">
      <w:pPr>
        <w:pStyle w:val="ListParagraph"/>
        <w:numPr>
          <w:ilvl w:val="0"/>
          <w:numId w:val="13"/>
        </w:numPr>
        <w:contextualSpacing w:val="0"/>
        <w:rPr>
          <w:rFonts w:ascii="Arial" w:hAnsi="Arial" w:cs="Arial"/>
          <w:sz w:val="24"/>
          <w:szCs w:val="24"/>
        </w:rPr>
      </w:pPr>
      <w:r>
        <w:rPr>
          <w:rFonts w:ascii="Arial" w:hAnsi="Arial" w:cs="Arial"/>
          <w:sz w:val="24"/>
          <w:szCs w:val="24"/>
        </w:rPr>
        <w:t xml:space="preserve">Please confirm that the principal adjustment 1a should be equal to the adjustment of $554,961 that is shown on the “2020 Principal Adjustments” Tab. If confirmed, please update the GA Analysis </w:t>
      </w:r>
      <w:proofErr w:type="spellStart"/>
      <w:r>
        <w:rPr>
          <w:rFonts w:ascii="Arial" w:hAnsi="Arial" w:cs="Arial"/>
          <w:sz w:val="24"/>
          <w:szCs w:val="24"/>
        </w:rPr>
        <w:t>Workfrom</w:t>
      </w:r>
      <w:proofErr w:type="spellEnd"/>
      <w:r>
        <w:rPr>
          <w:rFonts w:ascii="Arial" w:hAnsi="Arial" w:cs="Arial"/>
          <w:sz w:val="24"/>
          <w:szCs w:val="24"/>
        </w:rPr>
        <w:t xml:space="preserve"> accordingly. If not, please provide the reason why the adjustment 1a should be nil. </w:t>
      </w:r>
    </w:p>
    <w:p w14:paraId="1FC7AE0A" w14:textId="2D922AA4" w:rsidR="00F30044" w:rsidRDefault="00F30044" w:rsidP="00F30044">
      <w:pPr>
        <w:pStyle w:val="ListParagraph"/>
        <w:numPr>
          <w:ilvl w:val="0"/>
          <w:numId w:val="13"/>
        </w:numPr>
        <w:contextualSpacing w:val="0"/>
        <w:rPr>
          <w:rFonts w:ascii="Arial" w:hAnsi="Arial" w:cs="Arial"/>
          <w:sz w:val="24"/>
          <w:szCs w:val="24"/>
        </w:rPr>
      </w:pPr>
      <w:r>
        <w:rPr>
          <w:rFonts w:ascii="Arial" w:hAnsi="Arial" w:cs="Arial"/>
          <w:sz w:val="24"/>
          <w:szCs w:val="24"/>
        </w:rPr>
        <w:t>Please provide a figure for the reconciling item #5 and the supporting calculation for this figure in accordance with the GA instructions.</w:t>
      </w:r>
    </w:p>
    <w:p w14:paraId="4A6C80B6" w14:textId="4D4D7127" w:rsidR="00F30044" w:rsidRDefault="00F30044" w:rsidP="00F30044">
      <w:pPr>
        <w:pStyle w:val="ListParagraph"/>
        <w:numPr>
          <w:ilvl w:val="0"/>
          <w:numId w:val="13"/>
        </w:numPr>
        <w:contextualSpacing w:val="0"/>
        <w:rPr>
          <w:rFonts w:ascii="Arial" w:hAnsi="Arial" w:cs="Arial"/>
          <w:sz w:val="24"/>
          <w:szCs w:val="24"/>
        </w:rPr>
      </w:pPr>
      <w:r>
        <w:rPr>
          <w:rFonts w:ascii="Arial" w:hAnsi="Arial" w:cs="Arial"/>
          <w:sz w:val="24"/>
          <w:szCs w:val="24"/>
        </w:rPr>
        <w:t xml:space="preserve">Please update the 2020 GA Analysis </w:t>
      </w:r>
      <w:proofErr w:type="spellStart"/>
      <w:r>
        <w:rPr>
          <w:rFonts w:ascii="Arial" w:hAnsi="Arial" w:cs="Arial"/>
          <w:sz w:val="24"/>
          <w:szCs w:val="24"/>
        </w:rPr>
        <w:t>Workform</w:t>
      </w:r>
      <w:proofErr w:type="spellEnd"/>
      <w:r>
        <w:rPr>
          <w:rFonts w:ascii="Arial" w:hAnsi="Arial" w:cs="Arial"/>
          <w:sz w:val="24"/>
          <w:szCs w:val="24"/>
        </w:rPr>
        <w:t xml:space="preserve"> and provide the reasons if the updated unsolved balance is exceeding the 1% threshold.</w:t>
      </w:r>
    </w:p>
    <w:p w14:paraId="6E37BE63" w14:textId="456C0451" w:rsidR="00F30044" w:rsidRPr="00325974" w:rsidRDefault="00F30044" w:rsidP="00F30044">
      <w:pPr>
        <w:contextualSpacing/>
        <w:rPr>
          <w:rFonts w:ascii="Arial" w:eastAsia="Times New Roman" w:hAnsi="Arial" w:cs="Arial"/>
          <w:b/>
          <w:bCs/>
          <w:sz w:val="24"/>
          <w:szCs w:val="24"/>
        </w:rPr>
      </w:pPr>
      <w:r w:rsidRPr="00325974">
        <w:rPr>
          <w:rFonts w:ascii="Arial" w:eastAsia="Times New Roman" w:hAnsi="Arial" w:cs="Arial"/>
          <w:b/>
          <w:bCs/>
          <w:sz w:val="24"/>
          <w:szCs w:val="24"/>
        </w:rPr>
        <w:t>Staff</w:t>
      </w:r>
      <w:r>
        <w:rPr>
          <w:rFonts w:ascii="Arial" w:eastAsia="Times New Roman" w:hAnsi="Arial" w:cs="Arial"/>
          <w:b/>
          <w:bCs/>
          <w:sz w:val="24"/>
          <w:szCs w:val="24"/>
        </w:rPr>
        <w:t xml:space="preserve"> Question</w:t>
      </w:r>
      <w:r w:rsidRPr="00325974">
        <w:rPr>
          <w:rFonts w:ascii="Arial" w:eastAsia="Times New Roman" w:hAnsi="Arial" w:cs="Arial"/>
          <w:b/>
          <w:bCs/>
          <w:sz w:val="24"/>
          <w:szCs w:val="24"/>
        </w:rPr>
        <w:t>-</w:t>
      </w:r>
      <w:r>
        <w:rPr>
          <w:rFonts w:ascii="Arial" w:eastAsia="Times New Roman" w:hAnsi="Arial" w:cs="Arial"/>
          <w:b/>
          <w:bCs/>
          <w:sz w:val="24"/>
          <w:szCs w:val="24"/>
        </w:rPr>
        <w:t>4</w:t>
      </w:r>
    </w:p>
    <w:p w14:paraId="6B8FDE0A" w14:textId="77777777" w:rsidR="00F30044" w:rsidRPr="000B0A78" w:rsidRDefault="00F30044" w:rsidP="00F30044">
      <w:pPr>
        <w:rPr>
          <w:rFonts w:ascii="Arial" w:hAnsi="Arial" w:cs="Arial"/>
          <w:b/>
          <w:bCs/>
          <w:sz w:val="24"/>
          <w:szCs w:val="24"/>
        </w:rPr>
      </w:pPr>
      <w:r w:rsidRPr="002D6E67">
        <w:rPr>
          <w:rFonts w:ascii="Arial" w:hAnsi="Arial" w:cs="Arial"/>
          <w:b/>
          <w:bCs/>
          <w:sz w:val="24"/>
          <w:szCs w:val="24"/>
        </w:rPr>
        <w:t>Ref:</w:t>
      </w:r>
      <w:r w:rsidRPr="002D6E67">
        <w:rPr>
          <w:rFonts w:ascii="Arial" w:hAnsi="Arial" w:cs="Arial"/>
          <w:sz w:val="24"/>
          <w:szCs w:val="24"/>
        </w:rPr>
        <w:t xml:space="preserve"> </w:t>
      </w:r>
      <w:r>
        <w:rPr>
          <w:rFonts w:ascii="Arial" w:hAnsi="Arial" w:cs="Arial"/>
          <w:b/>
          <w:bCs/>
          <w:sz w:val="24"/>
          <w:szCs w:val="24"/>
        </w:rPr>
        <w:t xml:space="preserve">GA Analysis </w:t>
      </w:r>
      <w:proofErr w:type="spellStart"/>
      <w:r>
        <w:rPr>
          <w:rFonts w:ascii="Arial" w:hAnsi="Arial" w:cs="Arial"/>
          <w:b/>
          <w:bCs/>
          <w:sz w:val="24"/>
          <w:szCs w:val="24"/>
        </w:rPr>
        <w:t>Workform</w:t>
      </w:r>
      <w:proofErr w:type="spellEnd"/>
    </w:p>
    <w:p w14:paraId="79B9EF17" w14:textId="10D7FD86" w:rsidR="00F30044" w:rsidRDefault="00F30044" w:rsidP="00F30044">
      <w:pPr>
        <w:rPr>
          <w:rFonts w:ascii="Arial" w:hAnsi="Arial" w:cs="Arial"/>
          <w:sz w:val="24"/>
          <w:szCs w:val="24"/>
        </w:rPr>
      </w:pPr>
      <w:r w:rsidRPr="007824B5">
        <w:rPr>
          <w:rFonts w:ascii="Arial" w:hAnsi="Arial" w:cs="Arial"/>
          <w:sz w:val="24"/>
          <w:szCs w:val="24"/>
        </w:rPr>
        <w:t xml:space="preserve">The Account 1588 reasonability test on Tab “2020-Account 1588” of the GA Analysis </w:t>
      </w:r>
      <w:proofErr w:type="spellStart"/>
      <w:r w:rsidRPr="007824B5">
        <w:rPr>
          <w:rFonts w:ascii="Arial" w:hAnsi="Arial" w:cs="Arial"/>
          <w:sz w:val="24"/>
          <w:szCs w:val="24"/>
        </w:rPr>
        <w:t>Workform</w:t>
      </w:r>
      <w:proofErr w:type="spellEnd"/>
      <w:r w:rsidRPr="007824B5">
        <w:rPr>
          <w:rFonts w:ascii="Arial" w:hAnsi="Arial" w:cs="Arial"/>
          <w:sz w:val="24"/>
          <w:szCs w:val="24"/>
        </w:rPr>
        <w:t xml:space="preserve"> shows that the 2020 Account 1588 balance is greater than </w:t>
      </w:r>
      <w:r>
        <w:rPr>
          <w:rFonts w:ascii="Arial" w:hAnsi="Arial" w:cs="Arial"/>
          <w:sz w:val="24"/>
          <w:szCs w:val="24"/>
        </w:rPr>
        <w:t>the 1% of Account 4705 balance as follows:</w:t>
      </w:r>
    </w:p>
    <w:tbl>
      <w:tblPr>
        <w:tblW w:w="0" w:type="auto"/>
        <w:tblLook w:val="04A0" w:firstRow="1" w:lastRow="0" w:firstColumn="1" w:lastColumn="0" w:noHBand="0" w:noVBand="1"/>
      </w:tblPr>
      <w:tblGrid>
        <w:gridCol w:w="981"/>
        <w:gridCol w:w="1957"/>
        <w:gridCol w:w="1516"/>
        <w:gridCol w:w="2075"/>
        <w:gridCol w:w="2028"/>
        <w:gridCol w:w="783"/>
      </w:tblGrid>
      <w:tr w:rsidR="00F30044" w:rsidRPr="007824B5" w14:paraId="44A7ECCD" w14:textId="77777777" w:rsidTr="00CC39FD">
        <w:trPr>
          <w:trHeight w:val="300"/>
        </w:trPr>
        <w:tc>
          <w:tcPr>
            <w:tcW w:w="0" w:type="auto"/>
            <w:tcBorders>
              <w:top w:val="single" w:sz="8" w:space="0" w:color="auto"/>
              <w:left w:val="single" w:sz="8" w:space="0" w:color="auto"/>
              <w:bottom w:val="nil"/>
              <w:right w:val="single" w:sz="4" w:space="0" w:color="auto"/>
            </w:tcBorders>
            <w:shd w:val="clear" w:color="auto" w:fill="auto"/>
            <w:noWrap/>
            <w:vAlign w:val="bottom"/>
            <w:hideMark/>
          </w:tcPr>
          <w:p w14:paraId="6D164661" w14:textId="77777777" w:rsidR="00F30044" w:rsidRPr="007824B5" w:rsidRDefault="00F30044" w:rsidP="00CC39FD">
            <w:pPr>
              <w:spacing w:after="0" w:line="240" w:lineRule="auto"/>
              <w:jc w:val="center"/>
              <w:rPr>
                <w:rFonts w:ascii="Arial" w:eastAsia="Times New Roman" w:hAnsi="Arial" w:cs="Arial"/>
                <w:b/>
                <w:bCs/>
                <w:color w:val="000000"/>
              </w:rPr>
            </w:pPr>
            <w:r w:rsidRPr="007824B5">
              <w:rPr>
                <w:rFonts w:ascii="Arial" w:eastAsia="Times New Roman" w:hAnsi="Arial" w:cs="Arial"/>
                <w:b/>
                <w:bCs/>
                <w:color w:val="000000"/>
              </w:rPr>
              <w:t> </w:t>
            </w:r>
          </w:p>
        </w:tc>
        <w:tc>
          <w:tcPr>
            <w:tcW w:w="0" w:type="auto"/>
            <w:gridSpan w:val="3"/>
            <w:tcBorders>
              <w:top w:val="single" w:sz="8" w:space="0" w:color="auto"/>
              <w:left w:val="nil"/>
              <w:bottom w:val="nil"/>
              <w:right w:val="single" w:sz="4" w:space="0" w:color="000000"/>
            </w:tcBorders>
            <w:shd w:val="clear" w:color="auto" w:fill="auto"/>
            <w:noWrap/>
            <w:vAlign w:val="bottom"/>
            <w:hideMark/>
          </w:tcPr>
          <w:p w14:paraId="0A96EF5A" w14:textId="77777777" w:rsidR="00F30044" w:rsidRPr="007824B5" w:rsidRDefault="00F30044" w:rsidP="00CC39FD">
            <w:pPr>
              <w:spacing w:after="0" w:line="240" w:lineRule="auto"/>
              <w:jc w:val="center"/>
              <w:rPr>
                <w:rFonts w:ascii="Arial" w:eastAsia="Times New Roman" w:hAnsi="Arial" w:cs="Arial"/>
                <w:b/>
                <w:bCs/>
                <w:color w:val="000000"/>
              </w:rPr>
            </w:pPr>
            <w:r w:rsidRPr="007824B5">
              <w:rPr>
                <w:rFonts w:ascii="Arial" w:eastAsia="Times New Roman" w:hAnsi="Arial" w:cs="Arial"/>
                <w:b/>
                <w:bCs/>
                <w:color w:val="000000"/>
              </w:rPr>
              <w:t>Account 1588 - RSVA Power</w:t>
            </w:r>
          </w:p>
        </w:tc>
        <w:tc>
          <w:tcPr>
            <w:tcW w:w="0" w:type="auto"/>
            <w:vMerge w:val="restart"/>
            <w:tcBorders>
              <w:top w:val="single" w:sz="8" w:space="0" w:color="auto"/>
              <w:left w:val="nil"/>
              <w:bottom w:val="single" w:sz="4" w:space="0" w:color="000000"/>
              <w:right w:val="nil"/>
            </w:tcBorders>
            <w:shd w:val="clear" w:color="auto" w:fill="auto"/>
            <w:vAlign w:val="bottom"/>
            <w:hideMark/>
          </w:tcPr>
          <w:p w14:paraId="5B6909C3" w14:textId="77777777" w:rsidR="00F30044" w:rsidRPr="007824B5" w:rsidRDefault="00F30044" w:rsidP="00CC39FD">
            <w:pPr>
              <w:spacing w:after="0" w:line="240" w:lineRule="auto"/>
              <w:jc w:val="center"/>
              <w:rPr>
                <w:rFonts w:ascii="Arial" w:eastAsia="Times New Roman" w:hAnsi="Arial" w:cs="Arial"/>
                <w:b/>
                <w:bCs/>
                <w:color w:val="000000"/>
              </w:rPr>
            </w:pPr>
            <w:r w:rsidRPr="007824B5">
              <w:rPr>
                <w:rFonts w:ascii="Arial" w:eastAsia="Times New Roman" w:hAnsi="Arial" w:cs="Arial"/>
                <w:b/>
                <w:bCs/>
                <w:color w:val="000000"/>
              </w:rPr>
              <w:t>Account 4705 - Power Purchased</w:t>
            </w:r>
          </w:p>
        </w:tc>
        <w:tc>
          <w:tcPr>
            <w:tcW w:w="0" w:type="auto"/>
            <w:vMerge w:val="restart"/>
            <w:tcBorders>
              <w:top w:val="single" w:sz="8" w:space="0" w:color="auto"/>
              <w:left w:val="single" w:sz="8" w:space="0" w:color="auto"/>
              <w:bottom w:val="single" w:sz="4" w:space="0" w:color="000000"/>
              <w:right w:val="single" w:sz="8" w:space="0" w:color="auto"/>
            </w:tcBorders>
            <w:shd w:val="clear" w:color="auto" w:fill="auto"/>
            <w:vAlign w:val="bottom"/>
            <w:hideMark/>
          </w:tcPr>
          <w:p w14:paraId="67A87546" w14:textId="77777777" w:rsidR="00F30044" w:rsidRPr="007824B5" w:rsidRDefault="00F30044" w:rsidP="00CC39FD">
            <w:pPr>
              <w:spacing w:after="0" w:line="240" w:lineRule="auto"/>
              <w:jc w:val="center"/>
              <w:rPr>
                <w:rFonts w:ascii="Arial" w:eastAsia="Times New Roman" w:hAnsi="Arial" w:cs="Arial"/>
                <w:b/>
                <w:bCs/>
                <w:color w:val="000000"/>
              </w:rPr>
            </w:pPr>
            <w:r w:rsidRPr="007824B5">
              <w:rPr>
                <w:rFonts w:ascii="Arial" w:eastAsia="Times New Roman" w:hAnsi="Arial" w:cs="Arial"/>
                <w:b/>
                <w:bCs/>
                <w:color w:val="000000"/>
              </w:rPr>
              <w:t>Account 1588 as % of Account 4705</w:t>
            </w:r>
          </w:p>
        </w:tc>
      </w:tr>
      <w:tr w:rsidR="00F30044" w:rsidRPr="007824B5" w14:paraId="545D023C" w14:textId="77777777" w:rsidTr="00CC39FD">
        <w:trPr>
          <w:trHeight w:val="638"/>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79343D4D" w14:textId="77777777" w:rsidR="00F30044" w:rsidRPr="007824B5" w:rsidRDefault="00F30044" w:rsidP="00CC39FD">
            <w:pPr>
              <w:spacing w:after="0" w:line="240" w:lineRule="auto"/>
              <w:jc w:val="center"/>
              <w:rPr>
                <w:rFonts w:ascii="Arial" w:eastAsia="Times New Roman" w:hAnsi="Arial" w:cs="Arial"/>
                <w:b/>
                <w:bCs/>
                <w:color w:val="000000"/>
              </w:rPr>
            </w:pPr>
            <w:r w:rsidRPr="007824B5">
              <w:rPr>
                <w:rFonts w:ascii="Arial" w:eastAsia="Times New Roman" w:hAnsi="Arial" w:cs="Arial"/>
                <w:b/>
                <w:bCs/>
                <w:color w:val="000000"/>
              </w:rPr>
              <w:t>Year</w:t>
            </w:r>
          </w:p>
        </w:tc>
        <w:tc>
          <w:tcPr>
            <w:tcW w:w="0" w:type="auto"/>
            <w:tcBorders>
              <w:top w:val="single" w:sz="4" w:space="0" w:color="auto"/>
              <w:left w:val="nil"/>
              <w:bottom w:val="single" w:sz="4" w:space="0" w:color="auto"/>
              <w:right w:val="nil"/>
            </w:tcBorders>
            <w:shd w:val="clear" w:color="auto" w:fill="auto"/>
            <w:vAlign w:val="bottom"/>
            <w:hideMark/>
          </w:tcPr>
          <w:p w14:paraId="6420A217" w14:textId="77777777" w:rsidR="00F30044" w:rsidRPr="007824B5" w:rsidRDefault="00F30044" w:rsidP="00CC39FD">
            <w:pPr>
              <w:spacing w:after="0" w:line="240" w:lineRule="auto"/>
              <w:jc w:val="center"/>
              <w:rPr>
                <w:rFonts w:ascii="Arial" w:eastAsia="Times New Roman" w:hAnsi="Arial" w:cs="Arial"/>
                <w:b/>
                <w:bCs/>
                <w:color w:val="000000"/>
              </w:rPr>
            </w:pPr>
            <w:r w:rsidRPr="007824B5">
              <w:rPr>
                <w:rFonts w:ascii="Arial" w:eastAsia="Times New Roman" w:hAnsi="Arial" w:cs="Arial"/>
                <w:b/>
                <w:bCs/>
                <w:color w:val="000000"/>
              </w:rPr>
              <w:t>Transactions</w:t>
            </w:r>
            <w:r w:rsidRPr="007824B5">
              <w:rPr>
                <w:rFonts w:ascii="Arial" w:eastAsia="Times New Roman" w:hAnsi="Arial" w:cs="Arial"/>
                <w:b/>
                <w:bCs/>
                <w:color w:val="000000"/>
                <w:sz w:val="24"/>
                <w:szCs w:val="24"/>
                <w:vertAlign w:val="superscript"/>
              </w:rPr>
              <w:t>1</w:t>
            </w:r>
          </w:p>
        </w:tc>
        <w:tc>
          <w:tcPr>
            <w:tcW w:w="0" w:type="auto"/>
            <w:tcBorders>
              <w:top w:val="single" w:sz="4" w:space="0" w:color="auto"/>
              <w:left w:val="nil"/>
              <w:bottom w:val="single" w:sz="4" w:space="0" w:color="auto"/>
              <w:right w:val="nil"/>
            </w:tcBorders>
            <w:shd w:val="clear" w:color="auto" w:fill="auto"/>
            <w:vAlign w:val="bottom"/>
            <w:hideMark/>
          </w:tcPr>
          <w:p w14:paraId="52F73494" w14:textId="77777777" w:rsidR="00F30044" w:rsidRPr="007824B5" w:rsidRDefault="00F30044" w:rsidP="00CC39FD">
            <w:pPr>
              <w:spacing w:after="0" w:line="240" w:lineRule="auto"/>
              <w:jc w:val="center"/>
              <w:rPr>
                <w:rFonts w:ascii="Arial" w:eastAsia="Times New Roman" w:hAnsi="Arial" w:cs="Arial"/>
                <w:b/>
                <w:bCs/>
                <w:color w:val="000000"/>
              </w:rPr>
            </w:pPr>
            <w:r w:rsidRPr="007824B5">
              <w:rPr>
                <w:rFonts w:ascii="Arial" w:eastAsia="Times New Roman" w:hAnsi="Arial" w:cs="Arial"/>
                <w:b/>
                <w:bCs/>
                <w:color w:val="000000"/>
              </w:rPr>
              <w:t>Principal Adjustments</w:t>
            </w:r>
            <w:r w:rsidRPr="007824B5">
              <w:rPr>
                <w:rFonts w:ascii="Arial" w:eastAsia="Times New Roman" w:hAnsi="Arial" w:cs="Arial"/>
                <w:b/>
                <w:bCs/>
                <w:color w:val="000000"/>
                <w:vertAlign w:val="superscript"/>
              </w:rPr>
              <w:t>1</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0A90501" w14:textId="77777777" w:rsidR="00F30044" w:rsidRPr="007824B5" w:rsidRDefault="00F30044" w:rsidP="00CC39FD">
            <w:pPr>
              <w:spacing w:after="0" w:line="240" w:lineRule="auto"/>
              <w:jc w:val="center"/>
              <w:rPr>
                <w:rFonts w:ascii="Arial" w:eastAsia="Times New Roman" w:hAnsi="Arial" w:cs="Arial"/>
                <w:b/>
                <w:bCs/>
                <w:color w:val="000000"/>
              </w:rPr>
            </w:pPr>
            <w:r w:rsidRPr="007824B5">
              <w:rPr>
                <w:rFonts w:ascii="Arial" w:eastAsia="Times New Roman" w:hAnsi="Arial" w:cs="Arial"/>
                <w:b/>
                <w:bCs/>
                <w:color w:val="000000"/>
              </w:rPr>
              <w:t>Total Activity in Calendar Year</w:t>
            </w:r>
          </w:p>
        </w:tc>
        <w:tc>
          <w:tcPr>
            <w:tcW w:w="0" w:type="auto"/>
            <w:vMerge/>
            <w:tcBorders>
              <w:top w:val="single" w:sz="8" w:space="0" w:color="auto"/>
              <w:left w:val="nil"/>
              <w:bottom w:val="single" w:sz="4" w:space="0" w:color="000000"/>
              <w:right w:val="nil"/>
            </w:tcBorders>
            <w:vAlign w:val="center"/>
            <w:hideMark/>
          </w:tcPr>
          <w:p w14:paraId="1F31DF24" w14:textId="77777777" w:rsidR="00F30044" w:rsidRPr="007824B5" w:rsidRDefault="00F30044" w:rsidP="00CC39FD">
            <w:pPr>
              <w:spacing w:after="0" w:line="240" w:lineRule="auto"/>
              <w:rPr>
                <w:rFonts w:ascii="Arial" w:eastAsia="Times New Roman" w:hAnsi="Arial" w:cs="Arial"/>
                <w:b/>
                <w:bCs/>
                <w:color w:val="000000"/>
              </w:rPr>
            </w:pPr>
          </w:p>
        </w:tc>
        <w:tc>
          <w:tcPr>
            <w:tcW w:w="0" w:type="auto"/>
            <w:vMerge/>
            <w:tcBorders>
              <w:top w:val="single" w:sz="8" w:space="0" w:color="auto"/>
              <w:left w:val="single" w:sz="8" w:space="0" w:color="auto"/>
              <w:bottom w:val="single" w:sz="4" w:space="0" w:color="000000"/>
              <w:right w:val="single" w:sz="8" w:space="0" w:color="auto"/>
            </w:tcBorders>
            <w:vAlign w:val="center"/>
            <w:hideMark/>
          </w:tcPr>
          <w:p w14:paraId="574A3195" w14:textId="77777777" w:rsidR="00F30044" w:rsidRPr="007824B5" w:rsidRDefault="00F30044" w:rsidP="00CC39FD">
            <w:pPr>
              <w:spacing w:after="0" w:line="240" w:lineRule="auto"/>
              <w:rPr>
                <w:rFonts w:ascii="Arial" w:eastAsia="Times New Roman" w:hAnsi="Arial" w:cs="Arial"/>
                <w:b/>
                <w:bCs/>
                <w:color w:val="000000"/>
              </w:rPr>
            </w:pPr>
          </w:p>
        </w:tc>
      </w:tr>
      <w:tr w:rsidR="00F30044" w:rsidRPr="007824B5" w14:paraId="1BF3D14B" w14:textId="77777777" w:rsidTr="00CC39FD">
        <w:trPr>
          <w:trHeight w:val="300"/>
        </w:trPr>
        <w:tc>
          <w:tcPr>
            <w:tcW w:w="0" w:type="auto"/>
            <w:tcBorders>
              <w:top w:val="nil"/>
              <w:left w:val="single" w:sz="8" w:space="0" w:color="auto"/>
              <w:bottom w:val="nil"/>
              <w:right w:val="single" w:sz="4" w:space="0" w:color="auto"/>
            </w:tcBorders>
            <w:shd w:val="clear" w:color="auto" w:fill="auto"/>
            <w:noWrap/>
            <w:vAlign w:val="bottom"/>
            <w:hideMark/>
          </w:tcPr>
          <w:p w14:paraId="0F2BA139" w14:textId="77777777" w:rsidR="00F30044" w:rsidRPr="007824B5" w:rsidRDefault="00F30044" w:rsidP="00CC39FD">
            <w:pPr>
              <w:spacing w:after="0" w:line="240" w:lineRule="auto"/>
              <w:jc w:val="center"/>
              <w:rPr>
                <w:rFonts w:ascii="Arial" w:eastAsia="Times New Roman" w:hAnsi="Arial" w:cs="Arial"/>
                <w:color w:val="000000"/>
              </w:rPr>
            </w:pPr>
            <w:r w:rsidRPr="007824B5">
              <w:rPr>
                <w:rFonts w:ascii="Arial" w:eastAsia="Times New Roman" w:hAnsi="Arial" w:cs="Arial"/>
                <w:color w:val="000000"/>
              </w:rPr>
              <w:t>2020</w:t>
            </w:r>
          </w:p>
        </w:tc>
        <w:tc>
          <w:tcPr>
            <w:tcW w:w="0" w:type="auto"/>
            <w:tcBorders>
              <w:top w:val="nil"/>
              <w:left w:val="nil"/>
              <w:bottom w:val="nil"/>
              <w:right w:val="single" w:sz="4" w:space="0" w:color="auto"/>
            </w:tcBorders>
            <w:shd w:val="clear" w:color="000000" w:fill="EDEDED"/>
            <w:noWrap/>
            <w:vAlign w:val="bottom"/>
            <w:hideMark/>
          </w:tcPr>
          <w:p w14:paraId="17D4D0FD" w14:textId="77777777" w:rsidR="00F30044" w:rsidRPr="007824B5" w:rsidRDefault="00F30044" w:rsidP="00CC39FD">
            <w:pPr>
              <w:spacing w:after="0" w:line="240" w:lineRule="auto"/>
              <w:jc w:val="center"/>
              <w:rPr>
                <w:rFonts w:ascii="Arial" w:eastAsia="Times New Roman" w:hAnsi="Arial" w:cs="Arial"/>
                <w:color w:val="000000"/>
              </w:rPr>
            </w:pPr>
            <w:r w:rsidRPr="007824B5">
              <w:rPr>
                <w:rFonts w:ascii="Arial" w:eastAsia="Times New Roman" w:hAnsi="Arial" w:cs="Arial"/>
                <w:color w:val="000000"/>
              </w:rPr>
              <w:t xml:space="preserve">-                           2,999,106 </w:t>
            </w:r>
          </w:p>
        </w:tc>
        <w:tc>
          <w:tcPr>
            <w:tcW w:w="0" w:type="auto"/>
            <w:tcBorders>
              <w:top w:val="nil"/>
              <w:left w:val="nil"/>
              <w:bottom w:val="nil"/>
              <w:right w:val="single" w:sz="4" w:space="0" w:color="auto"/>
            </w:tcBorders>
            <w:shd w:val="clear" w:color="000000" w:fill="EDEDED"/>
            <w:noWrap/>
            <w:vAlign w:val="bottom"/>
            <w:hideMark/>
          </w:tcPr>
          <w:p w14:paraId="5A62461C" w14:textId="77777777" w:rsidR="00F30044" w:rsidRPr="007824B5" w:rsidRDefault="00F30044" w:rsidP="00CC39FD">
            <w:pPr>
              <w:spacing w:after="0" w:line="240" w:lineRule="auto"/>
              <w:jc w:val="center"/>
              <w:rPr>
                <w:rFonts w:ascii="Arial" w:eastAsia="Times New Roman" w:hAnsi="Arial" w:cs="Arial"/>
                <w:color w:val="000000"/>
              </w:rPr>
            </w:pPr>
            <w:r w:rsidRPr="007824B5">
              <w:rPr>
                <w:rFonts w:ascii="Arial" w:eastAsia="Times New Roman" w:hAnsi="Arial" w:cs="Arial"/>
                <w:color w:val="000000"/>
              </w:rPr>
              <w:t xml:space="preserve">                 1,271,767 </w:t>
            </w:r>
          </w:p>
        </w:tc>
        <w:tc>
          <w:tcPr>
            <w:tcW w:w="0" w:type="auto"/>
            <w:tcBorders>
              <w:top w:val="nil"/>
              <w:left w:val="nil"/>
              <w:bottom w:val="nil"/>
              <w:right w:val="single" w:sz="4" w:space="0" w:color="auto"/>
            </w:tcBorders>
            <w:shd w:val="clear" w:color="auto" w:fill="auto"/>
            <w:noWrap/>
            <w:vAlign w:val="bottom"/>
            <w:hideMark/>
          </w:tcPr>
          <w:p w14:paraId="072895F7" w14:textId="77777777" w:rsidR="00F30044" w:rsidRPr="007824B5" w:rsidRDefault="00F30044" w:rsidP="00CC39FD">
            <w:pPr>
              <w:spacing w:after="0" w:line="240" w:lineRule="auto"/>
              <w:jc w:val="center"/>
              <w:rPr>
                <w:rFonts w:ascii="Arial" w:eastAsia="Times New Roman" w:hAnsi="Arial" w:cs="Arial"/>
                <w:color w:val="000000"/>
              </w:rPr>
            </w:pPr>
            <w:r w:rsidRPr="007824B5">
              <w:rPr>
                <w:rFonts w:ascii="Arial" w:eastAsia="Times New Roman" w:hAnsi="Arial" w:cs="Arial"/>
                <w:color w:val="000000"/>
              </w:rPr>
              <w:t xml:space="preserve">-                              1,727,339 </w:t>
            </w:r>
          </w:p>
        </w:tc>
        <w:tc>
          <w:tcPr>
            <w:tcW w:w="0" w:type="auto"/>
            <w:tcBorders>
              <w:top w:val="nil"/>
              <w:left w:val="nil"/>
              <w:bottom w:val="nil"/>
              <w:right w:val="single" w:sz="4" w:space="0" w:color="auto"/>
            </w:tcBorders>
            <w:shd w:val="clear" w:color="auto" w:fill="auto"/>
            <w:noWrap/>
            <w:vAlign w:val="bottom"/>
            <w:hideMark/>
          </w:tcPr>
          <w:p w14:paraId="3B0DC686" w14:textId="77777777" w:rsidR="00F30044" w:rsidRPr="007824B5" w:rsidRDefault="00F30044" w:rsidP="00CC39FD">
            <w:pPr>
              <w:spacing w:after="0" w:line="240" w:lineRule="auto"/>
              <w:jc w:val="center"/>
              <w:rPr>
                <w:rFonts w:ascii="Arial" w:eastAsia="Times New Roman" w:hAnsi="Arial" w:cs="Arial"/>
                <w:color w:val="000000"/>
              </w:rPr>
            </w:pPr>
            <w:r w:rsidRPr="007824B5">
              <w:rPr>
                <w:rFonts w:ascii="Arial" w:eastAsia="Times New Roman" w:hAnsi="Arial" w:cs="Arial"/>
                <w:color w:val="000000"/>
              </w:rPr>
              <w:t xml:space="preserve">                            36,876,214 </w:t>
            </w:r>
          </w:p>
        </w:tc>
        <w:tc>
          <w:tcPr>
            <w:tcW w:w="0" w:type="auto"/>
            <w:tcBorders>
              <w:top w:val="nil"/>
              <w:left w:val="nil"/>
              <w:bottom w:val="nil"/>
              <w:right w:val="single" w:sz="8" w:space="0" w:color="auto"/>
            </w:tcBorders>
            <w:shd w:val="clear" w:color="auto" w:fill="auto"/>
            <w:noWrap/>
            <w:vAlign w:val="bottom"/>
            <w:hideMark/>
          </w:tcPr>
          <w:p w14:paraId="1A85D973" w14:textId="77777777" w:rsidR="00F30044" w:rsidRPr="007824B5" w:rsidRDefault="00F30044" w:rsidP="00CC39FD">
            <w:pPr>
              <w:spacing w:after="0" w:line="240" w:lineRule="auto"/>
              <w:jc w:val="center"/>
              <w:rPr>
                <w:rFonts w:ascii="Arial" w:eastAsia="Times New Roman" w:hAnsi="Arial" w:cs="Arial"/>
                <w:color w:val="000000"/>
              </w:rPr>
            </w:pPr>
            <w:r w:rsidRPr="007824B5">
              <w:rPr>
                <w:rFonts w:ascii="Arial" w:eastAsia="Times New Roman" w:hAnsi="Arial" w:cs="Arial"/>
                <w:color w:val="000000"/>
              </w:rPr>
              <w:t>-4.7%</w:t>
            </w:r>
          </w:p>
        </w:tc>
      </w:tr>
      <w:tr w:rsidR="00F30044" w:rsidRPr="007824B5" w14:paraId="7347B5B9" w14:textId="77777777" w:rsidTr="00CC39FD">
        <w:trPr>
          <w:trHeight w:val="315"/>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3B0ECC8" w14:textId="77777777" w:rsidR="00F30044" w:rsidRPr="007824B5" w:rsidRDefault="00F30044" w:rsidP="00CC39FD">
            <w:pPr>
              <w:spacing w:after="0" w:line="240" w:lineRule="auto"/>
              <w:jc w:val="center"/>
              <w:rPr>
                <w:rFonts w:ascii="Arial" w:eastAsia="Times New Roman" w:hAnsi="Arial" w:cs="Arial"/>
                <w:b/>
                <w:bCs/>
                <w:color w:val="000000"/>
              </w:rPr>
            </w:pPr>
            <w:r w:rsidRPr="007824B5">
              <w:rPr>
                <w:rFonts w:ascii="Arial" w:eastAsia="Times New Roman" w:hAnsi="Arial" w:cs="Arial"/>
                <w:b/>
                <w:bCs/>
                <w:color w:val="000000"/>
              </w:rPr>
              <w:t>Cumulative</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657899E2" w14:textId="77777777" w:rsidR="00F30044" w:rsidRPr="007824B5" w:rsidRDefault="00F30044" w:rsidP="00CC39FD">
            <w:pPr>
              <w:spacing w:after="0" w:line="240" w:lineRule="auto"/>
              <w:jc w:val="center"/>
              <w:rPr>
                <w:rFonts w:ascii="Arial" w:eastAsia="Times New Roman" w:hAnsi="Arial" w:cs="Arial"/>
                <w:b/>
                <w:bCs/>
                <w:color w:val="000000"/>
              </w:rPr>
            </w:pPr>
            <w:r w:rsidRPr="007824B5">
              <w:rPr>
                <w:rFonts w:ascii="Arial" w:eastAsia="Times New Roman" w:hAnsi="Arial" w:cs="Arial"/>
                <w:b/>
                <w:bCs/>
                <w:color w:val="000000"/>
              </w:rPr>
              <w:t xml:space="preserve">-                           2,999,106 </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5EB45C39" w14:textId="77777777" w:rsidR="00F30044" w:rsidRPr="007824B5" w:rsidRDefault="00F30044" w:rsidP="00CC39FD">
            <w:pPr>
              <w:spacing w:after="0" w:line="240" w:lineRule="auto"/>
              <w:jc w:val="center"/>
              <w:rPr>
                <w:rFonts w:ascii="Arial" w:eastAsia="Times New Roman" w:hAnsi="Arial" w:cs="Arial"/>
                <w:b/>
                <w:bCs/>
                <w:color w:val="000000"/>
              </w:rPr>
            </w:pPr>
            <w:r w:rsidRPr="007824B5">
              <w:rPr>
                <w:rFonts w:ascii="Arial" w:eastAsia="Times New Roman" w:hAnsi="Arial" w:cs="Arial"/>
                <w:b/>
                <w:bCs/>
                <w:color w:val="000000"/>
              </w:rPr>
              <w:t xml:space="preserve">                 1,271,767 </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4842F0D7" w14:textId="77777777" w:rsidR="00F30044" w:rsidRPr="007824B5" w:rsidRDefault="00F30044" w:rsidP="00CC39FD">
            <w:pPr>
              <w:spacing w:after="0" w:line="240" w:lineRule="auto"/>
              <w:jc w:val="center"/>
              <w:rPr>
                <w:rFonts w:ascii="Arial" w:eastAsia="Times New Roman" w:hAnsi="Arial" w:cs="Arial"/>
                <w:b/>
                <w:bCs/>
                <w:color w:val="000000"/>
              </w:rPr>
            </w:pPr>
            <w:r w:rsidRPr="007824B5">
              <w:rPr>
                <w:rFonts w:ascii="Arial" w:eastAsia="Times New Roman" w:hAnsi="Arial" w:cs="Arial"/>
                <w:b/>
                <w:bCs/>
                <w:color w:val="000000"/>
              </w:rPr>
              <w:t xml:space="preserve">-                              1,727,339 </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4B1E44CB" w14:textId="77777777" w:rsidR="00F30044" w:rsidRPr="007824B5" w:rsidRDefault="00F30044" w:rsidP="00CC39FD">
            <w:pPr>
              <w:spacing w:after="0" w:line="240" w:lineRule="auto"/>
              <w:jc w:val="center"/>
              <w:rPr>
                <w:rFonts w:ascii="Arial" w:eastAsia="Times New Roman" w:hAnsi="Arial" w:cs="Arial"/>
                <w:b/>
                <w:bCs/>
                <w:color w:val="000000"/>
              </w:rPr>
            </w:pPr>
            <w:r w:rsidRPr="007824B5">
              <w:rPr>
                <w:rFonts w:ascii="Arial" w:eastAsia="Times New Roman" w:hAnsi="Arial" w:cs="Arial"/>
                <w:b/>
                <w:bCs/>
                <w:color w:val="000000"/>
              </w:rPr>
              <w:t xml:space="preserve">                            36,876,214 </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6341EDAB" w14:textId="77777777" w:rsidR="00F30044" w:rsidRPr="007824B5" w:rsidRDefault="00F30044" w:rsidP="00CC39FD">
            <w:pPr>
              <w:spacing w:after="0" w:line="240" w:lineRule="auto"/>
              <w:jc w:val="center"/>
              <w:rPr>
                <w:rFonts w:ascii="Arial" w:eastAsia="Times New Roman" w:hAnsi="Arial" w:cs="Arial"/>
                <w:b/>
                <w:bCs/>
                <w:color w:val="000000"/>
              </w:rPr>
            </w:pPr>
            <w:r w:rsidRPr="007824B5">
              <w:rPr>
                <w:rFonts w:ascii="Arial" w:eastAsia="Times New Roman" w:hAnsi="Arial" w:cs="Arial"/>
                <w:b/>
                <w:bCs/>
                <w:color w:val="000000"/>
              </w:rPr>
              <w:t>-4.7%</w:t>
            </w:r>
          </w:p>
        </w:tc>
      </w:tr>
    </w:tbl>
    <w:p w14:paraId="21137D09" w14:textId="77777777" w:rsidR="00F30044" w:rsidRDefault="00F30044" w:rsidP="00F30044">
      <w:pPr>
        <w:rPr>
          <w:rFonts w:ascii="Arial" w:hAnsi="Arial" w:cs="Arial"/>
          <w:sz w:val="24"/>
          <w:szCs w:val="24"/>
        </w:rPr>
      </w:pPr>
    </w:p>
    <w:p w14:paraId="03B07B72" w14:textId="0FFE3F5F" w:rsidR="00F30044" w:rsidRDefault="00F30044" w:rsidP="00F30044">
      <w:pPr>
        <w:rPr>
          <w:rFonts w:ascii="Arial" w:hAnsi="Arial" w:cs="Arial"/>
          <w:sz w:val="24"/>
          <w:szCs w:val="24"/>
        </w:rPr>
      </w:pPr>
      <w:r>
        <w:rPr>
          <w:rFonts w:ascii="Arial" w:hAnsi="Arial" w:cs="Arial"/>
          <w:sz w:val="24"/>
          <w:szCs w:val="24"/>
        </w:rPr>
        <w:t xml:space="preserve">Halton Hills </w:t>
      </w:r>
      <w:r w:rsidR="00174365">
        <w:rPr>
          <w:rFonts w:ascii="Arial" w:hAnsi="Arial" w:cs="Arial"/>
          <w:sz w:val="24"/>
          <w:szCs w:val="24"/>
        </w:rPr>
        <w:t xml:space="preserve">Hydro </w:t>
      </w:r>
      <w:r>
        <w:rPr>
          <w:rFonts w:ascii="Arial" w:hAnsi="Arial" w:cs="Arial"/>
          <w:sz w:val="24"/>
          <w:szCs w:val="24"/>
        </w:rPr>
        <w:t>explained that Halton Hills “</w:t>
      </w:r>
      <w:r w:rsidRPr="007824B5">
        <w:rPr>
          <w:rFonts w:ascii="Arial" w:hAnsi="Arial" w:cs="Arial"/>
          <w:sz w:val="24"/>
          <w:szCs w:val="24"/>
        </w:rPr>
        <w:t>has large historical adjustments that were posted in 2020 when amounts were recovered from the IESO for CT 142. The previous accruals from 2017, 2018 and 2019 were all reversed in 2020</w:t>
      </w:r>
      <w:r>
        <w:rPr>
          <w:rFonts w:ascii="Arial" w:hAnsi="Arial" w:cs="Arial"/>
          <w:sz w:val="24"/>
          <w:szCs w:val="24"/>
        </w:rPr>
        <w:t>”</w:t>
      </w:r>
      <w:r w:rsidRPr="007824B5">
        <w:rPr>
          <w:rFonts w:ascii="Arial" w:hAnsi="Arial" w:cs="Arial"/>
          <w:sz w:val="24"/>
          <w:szCs w:val="24"/>
        </w:rPr>
        <w:t>.</w:t>
      </w:r>
    </w:p>
    <w:p w14:paraId="247C683B" w14:textId="77777777" w:rsidR="00F30044" w:rsidRDefault="00F30044" w:rsidP="00F30044">
      <w:pPr>
        <w:rPr>
          <w:rFonts w:ascii="Arial" w:hAnsi="Arial" w:cs="Arial"/>
          <w:sz w:val="24"/>
          <w:szCs w:val="24"/>
        </w:rPr>
      </w:pPr>
      <w:r>
        <w:rPr>
          <w:rFonts w:ascii="Arial" w:hAnsi="Arial" w:cs="Arial"/>
          <w:sz w:val="24"/>
          <w:szCs w:val="24"/>
        </w:rPr>
        <w:t xml:space="preserve">OEB staff notes from Tab “2020 Principal Adjustments” that the principal adjustment of $1,271,767 has included the reversal of CT142 adjustments from 2017 to 2019 and the reversal of 2019 CT148 true-up to actual.  </w:t>
      </w:r>
    </w:p>
    <w:p w14:paraId="3FB18FBE" w14:textId="77777777" w:rsidR="00F30044" w:rsidRDefault="00F30044" w:rsidP="00F30044">
      <w:pPr>
        <w:pStyle w:val="ListParagraph"/>
        <w:numPr>
          <w:ilvl w:val="0"/>
          <w:numId w:val="14"/>
        </w:numPr>
        <w:contextualSpacing w:val="0"/>
        <w:rPr>
          <w:rFonts w:ascii="Arial" w:hAnsi="Arial" w:cs="Arial"/>
          <w:sz w:val="24"/>
          <w:szCs w:val="24"/>
        </w:rPr>
      </w:pPr>
      <w:r>
        <w:rPr>
          <w:rFonts w:ascii="Arial" w:hAnsi="Arial" w:cs="Arial"/>
          <w:sz w:val="24"/>
          <w:szCs w:val="24"/>
        </w:rPr>
        <w:lastRenderedPageBreak/>
        <w:t xml:space="preserve">Please confirm that by including the principal adjustments totaling of $1,271,767 in Account 1588 reasonability test above, the impact of historical adjustments has been removed from the reasonability test. If not, why not. </w:t>
      </w:r>
    </w:p>
    <w:p w14:paraId="19E438AD" w14:textId="77777777" w:rsidR="00F30044" w:rsidRDefault="00F30044" w:rsidP="00F30044">
      <w:pPr>
        <w:pStyle w:val="ListParagraph"/>
        <w:numPr>
          <w:ilvl w:val="0"/>
          <w:numId w:val="14"/>
        </w:numPr>
        <w:contextualSpacing w:val="0"/>
        <w:rPr>
          <w:rFonts w:ascii="Arial" w:hAnsi="Arial" w:cs="Arial"/>
          <w:sz w:val="24"/>
          <w:szCs w:val="24"/>
        </w:rPr>
      </w:pPr>
      <w:r>
        <w:rPr>
          <w:rFonts w:ascii="Arial" w:hAnsi="Arial" w:cs="Arial"/>
          <w:sz w:val="24"/>
          <w:szCs w:val="24"/>
        </w:rPr>
        <w:t xml:space="preserve">Please confirm that the net activity in 2020 of $1,727,339 represents the 2020 net transactions in Account 1588. If not, please explain what this amount represents. </w:t>
      </w:r>
    </w:p>
    <w:p w14:paraId="64E3B63A" w14:textId="3115189A" w:rsidR="00F30044" w:rsidRPr="00F30044" w:rsidRDefault="00F30044" w:rsidP="00F30044">
      <w:pPr>
        <w:pStyle w:val="ListParagraph"/>
        <w:numPr>
          <w:ilvl w:val="0"/>
          <w:numId w:val="14"/>
        </w:numPr>
        <w:contextualSpacing w:val="0"/>
        <w:rPr>
          <w:rFonts w:ascii="Arial" w:hAnsi="Arial" w:cs="Arial"/>
          <w:sz w:val="24"/>
          <w:szCs w:val="24"/>
        </w:rPr>
      </w:pPr>
      <w:r>
        <w:rPr>
          <w:rFonts w:ascii="Arial" w:hAnsi="Arial" w:cs="Arial"/>
          <w:sz w:val="24"/>
          <w:szCs w:val="24"/>
        </w:rPr>
        <w:t>Please provide the reason for the high 2020 balance in Account 1588.</w:t>
      </w:r>
    </w:p>
    <w:p w14:paraId="2D398DA1" w14:textId="29EBA603" w:rsidR="00F30044" w:rsidRPr="00325974" w:rsidRDefault="00F30044" w:rsidP="00F30044">
      <w:pPr>
        <w:contextualSpacing/>
        <w:rPr>
          <w:rFonts w:ascii="Arial" w:eastAsia="Times New Roman" w:hAnsi="Arial" w:cs="Arial"/>
          <w:b/>
          <w:bCs/>
          <w:sz w:val="24"/>
          <w:szCs w:val="24"/>
        </w:rPr>
      </w:pPr>
      <w:r w:rsidRPr="00325974">
        <w:rPr>
          <w:rFonts w:ascii="Arial" w:eastAsia="Times New Roman" w:hAnsi="Arial" w:cs="Arial"/>
          <w:b/>
          <w:bCs/>
          <w:sz w:val="24"/>
          <w:szCs w:val="24"/>
        </w:rPr>
        <w:t>Staff</w:t>
      </w:r>
      <w:r>
        <w:rPr>
          <w:rFonts w:ascii="Arial" w:eastAsia="Times New Roman" w:hAnsi="Arial" w:cs="Arial"/>
          <w:b/>
          <w:bCs/>
          <w:sz w:val="24"/>
          <w:szCs w:val="24"/>
        </w:rPr>
        <w:t xml:space="preserve"> Question</w:t>
      </w:r>
      <w:r w:rsidRPr="00325974">
        <w:rPr>
          <w:rFonts w:ascii="Arial" w:eastAsia="Times New Roman" w:hAnsi="Arial" w:cs="Arial"/>
          <w:b/>
          <w:bCs/>
          <w:sz w:val="24"/>
          <w:szCs w:val="24"/>
        </w:rPr>
        <w:t>-</w:t>
      </w:r>
      <w:r>
        <w:rPr>
          <w:rFonts w:ascii="Arial" w:eastAsia="Times New Roman" w:hAnsi="Arial" w:cs="Arial"/>
          <w:b/>
          <w:bCs/>
          <w:sz w:val="24"/>
          <w:szCs w:val="24"/>
        </w:rPr>
        <w:t>5</w:t>
      </w:r>
    </w:p>
    <w:p w14:paraId="13FB283E" w14:textId="77777777" w:rsidR="00F30044" w:rsidRPr="000B0A78" w:rsidRDefault="00F30044" w:rsidP="00F30044">
      <w:pPr>
        <w:rPr>
          <w:rFonts w:ascii="Arial" w:hAnsi="Arial" w:cs="Arial"/>
          <w:b/>
          <w:bCs/>
          <w:sz w:val="24"/>
          <w:szCs w:val="24"/>
        </w:rPr>
      </w:pPr>
      <w:r w:rsidRPr="002D6E67">
        <w:rPr>
          <w:rFonts w:ascii="Arial" w:hAnsi="Arial" w:cs="Arial"/>
          <w:b/>
          <w:bCs/>
          <w:sz w:val="24"/>
          <w:szCs w:val="24"/>
        </w:rPr>
        <w:t>Ref:</w:t>
      </w:r>
      <w:r w:rsidRPr="002D6E67">
        <w:rPr>
          <w:rFonts w:ascii="Arial" w:hAnsi="Arial" w:cs="Arial"/>
          <w:sz w:val="24"/>
          <w:szCs w:val="24"/>
        </w:rPr>
        <w:t xml:space="preserve"> </w:t>
      </w:r>
      <w:r>
        <w:rPr>
          <w:rFonts w:ascii="Arial" w:hAnsi="Arial" w:cs="Arial"/>
          <w:b/>
          <w:bCs/>
          <w:sz w:val="24"/>
          <w:szCs w:val="24"/>
        </w:rPr>
        <w:t xml:space="preserve">GA Analysis </w:t>
      </w:r>
      <w:proofErr w:type="spellStart"/>
      <w:r>
        <w:rPr>
          <w:rFonts w:ascii="Arial" w:hAnsi="Arial" w:cs="Arial"/>
          <w:b/>
          <w:bCs/>
          <w:sz w:val="24"/>
          <w:szCs w:val="24"/>
        </w:rPr>
        <w:t>Workform</w:t>
      </w:r>
      <w:proofErr w:type="spellEnd"/>
    </w:p>
    <w:p w14:paraId="382A08A5" w14:textId="06D99195" w:rsidR="00F30044" w:rsidRDefault="00F30044" w:rsidP="00F30044">
      <w:pPr>
        <w:rPr>
          <w:rFonts w:ascii="Arial" w:hAnsi="Arial" w:cs="Arial"/>
          <w:sz w:val="24"/>
          <w:szCs w:val="24"/>
        </w:rPr>
      </w:pPr>
      <w:r>
        <w:rPr>
          <w:rFonts w:ascii="Arial" w:hAnsi="Arial" w:cs="Arial"/>
          <w:sz w:val="24"/>
          <w:szCs w:val="24"/>
        </w:rPr>
        <w:t xml:space="preserve">Tab “2020 Principal Adjustments” of the GA Analysis </w:t>
      </w:r>
      <w:proofErr w:type="spellStart"/>
      <w:r>
        <w:rPr>
          <w:rFonts w:ascii="Arial" w:hAnsi="Arial" w:cs="Arial"/>
          <w:sz w:val="24"/>
          <w:szCs w:val="24"/>
        </w:rPr>
        <w:t>Workform</w:t>
      </w:r>
      <w:proofErr w:type="spellEnd"/>
      <w:r>
        <w:rPr>
          <w:rFonts w:ascii="Arial" w:hAnsi="Arial" w:cs="Arial"/>
          <w:sz w:val="24"/>
          <w:szCs w:val="24"/>
        </w:rPr>
        <w:t xml:space="preserve"> shows the following adjustments in 2020 for the reversal of prior approved adjustments for Account 1588: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36"/>
        <w:gridCol w:w="3687"/>
        <w:gridCol w:w="2393"/>
        <w:gridCol w:w="2238"/>
      </w:tblGrid>
      <w:tr w:rsidR="00F30044" w:rsidRPr="00130A7D" w14:paraId="434B96FA" w14:textId="77777777" w:rsidTr="00CC39FD">
        <w:trPr>
          <w:trHeight w:val="300"/>
        </w:trPr>
        <w:tc>
          <w:tcPr>
            <w:tcW w:w="0" w:type="auto"/>
            <w:shd w:val="clear" w:color="auto" w:fill="auto"/>
            <w:noWrap/>
            <w:vAlign w:val="bottom"/>
            <w:hideMark/>
          </w:tcPr>
          <w:p w14:paraId="3F9A70C4" w14:textId="77777777" w:rsidR="00F30044" w:rsidRPr="00130A7D" w:rsidRDefault="00F30044" w:rsidP="00CC39FD">
            <w:pPr>
              <w:spacing w:after="0" w:line="240" w:lineRule="auto"/>
              <w:rPr>
                <w:rFonts w:ascii="Arial" w:eastAsia="Times New Roman" w:hAnsi="Arial" w:cs="Arial"/>
                <w:color w:val="000000"/>
              </w:rPr>
            </w:pPr>
            <w:r w:rsidRPr="00130A7D">
              <w:rPr>
                <w:rFonts w:ascii="Arial" w:eastAsia="Times New Roman" w:hAnsi="Arial" w:cs="Arial"/>
                <w:color w:val="000000"/>
              </w:rPr>
              <w:t> </w:t>
            </w:r>
          </w:p>
        </w:tc>
        <w:tc>
          <w:tcPr>
            <w:tcW w:w="0" w:type="auto"/>
            <w:gridSpan w:val="4"/>
            <w:shd w:val="clear" w:color="auto" w:fill="auto"/>
            <w:noWrap/>
            <w:vAlign w:val="bottom"/>
            <w:hideMark/>
          </w:tcPr>
          <w:p w14:paraId="22E4EC57" w14:textId="77777777" w:rsidR="00F30044" w:rsidRPr="00130A7D" w:rsidRDefault="00F30044" w:rsidP="00CC39FD">
            <w:pPr>
              <w:spacing w:after="0" w:line="240" w:lineRule="auto"/>
              <w:jc w:val="center"/>
              <w:rPr>
                <w:rFonts w:ascii="Arial" w:eastAsia="Times New Roman" w:hAnsi="Arial" w:cs="Arial"/>
                <w:b/>
                <w:bCs/>
                <w:color w:val="000000"/>
                <w:u w:val="single"/>
              </w:rPr>
            </w:pPr>
            <w:r w:rsidRPr="00130A7D">
              <w:rPr>
                <w:rFonts w:ascii="Arial" w:eastAsia="Times New Roman" w:hAnsi="Arial" w:cs="Arial"/>
                <w:b/>
                <w:bCs/>
                <w:color w:val="000000"/>
                <w:u w:val="single"/>
              </w:rPr>
              <w:t>Account 1588 - RSVA Power</w:t>
            </w:r>
          </w:p>
        </w:tc>
      </w:tr>
      <w:tr w:rsidR="00F30044" w:rsidRPr="00130A7D" w14:paraId="0FCEC11F" w14:textId="77777777" w:rsidTr="00CC39FD">
        <w:trPr>
          <w:trHeight w:val="600"/>
        </w:trPr>
        <w:tc>
          <w:tcPr>
            <w:tcW w:w="0" w:type="auto"/>
            <w:shd w:val="clear" w:color="auto" w:fill="auto"/>
            <w:noWrap/>
            <w:vAlign w:val="bottom"/>
            <w:hideMark/>
          </w:tcPr>
          <w:p w14:paraId="45EBD8B3" w14:textId="77777777" w:rsidR="00F30044" w:rsidRPr="00130A7D" w:rsidRDefault="00F30044" w:rsidP="00CC39FD">
            <w:pPr>
              <w:spacing w:after="0" w:line="240" w:lineRule="auto"/>
              <w:jc w:val="center"/>
              <w:rPr>
                <w:rFonts w:ascii="Arial" w:eastAsia="Times New Roman" w:hAnsi="Arial" w:cs="Arial"/>
                <w:b/>
                <w:bCs/>
                <w:color w:val="000000"/>
              </w:rPr>
            </w:pPr>
            <w:r w:rsidRPr="00130A7D">
              <w:rPr>
                <w:rFonts w:ascii="Arial" w:eastAsia="Times New Roman" w:hAnsi="Arial" w:cs="Arial"/>
                <w:b/>
                <w:bCs/>
                <w:color w:val="000000"/>
              </w:rPr>
              <w:t>Year</w:t>
            </w:r>
          </w:p>
        </w:tc>
        <w:tc>
          <w:tcPr>
            <w:tcW w:w="0" w:type="auto"/>
            <w:gridSpan w:val="2"/>
            <w:shd w:val="clear" w:color="auto" w:fill="auto"/>
            <w:noWrap/>
            <w:vAlign w:val="bottom"/>
            <w:hideMark/>
          </w:tcPr>
          <w:p w14:paraId="03E529BE" w14:textId="77777777" w:rsidR="00F30044" w:rsidRPr="00130A7D" w:rsidRDefault="00F30044" w:rsidP="00CC39FD">
            <w:pPr>
              <w:spacing w:after="0" w:line="240" w:lineRule="auto"/>
              <w:jc w:val="center"/>
              <w:rPr>
                <w:rFonts w:ascii="Arial" w:eastAsia="Times New Roman" w:hAnsi="Arial" w:cs="Arial"/>
                <w:b/>
                <w:bCs/>
                <w:color w:val="000000"/>
              </w:rPr>
            </w:pPr>
            <w:r w:rsidRPr="00130A7D">
              <w:rPr>
                <w:rFonts w:ascii="Arial" w:eastAsia="Times New Roman" w:hAnsi="Arial" w:cs="Arial"/>
                <w:b/>
                <w:bCs/>
                <w:color w:val="000000"/>
              </w:rPr>
              <w:t>Adjustment Description</w:t>
            </w:r>
          </w:p>
        </w:tc>
        <w:tc>
          <w:tcPr>
            <w:tcW w:w="0" w:type="auto"/>
            <w:shd w:val="clear" w:color="auto" w:fill="auto"/>
            <w:noWrap/>
            <w:vAlign w:val="bottom"/>
            <w:hideMark/>
          </w:tcPr>
          <w:p w14:paraId="097F01EB" w14:textId="77777777" w:rsidR="00F30044" w:rsidRPr="00130A7D" w:rsidRDefault="00F30044" w:rsidP="00CC39FD">
            <w:pPr>
              <w:spacing w:after="0" w:line="240" w:lineRule="auto"/>
              <w:jc w:val="center"/>
              <w:rPr>
                <w:rFonts w:ascii="Arial" w:eastAsia="Times New Roman" w:hAnsi="Arial" w:cs="Arial"/>
                <w:b/>
                <w:bCs/>
                <w:color w:val="000000"/>
              </w:rPr>
            </w:pPr>
            <w:r w:rsidRPr="00130A7D">
              <w:rPr>
                <w:rFonts w:ascii="Arial" w:eastAsia="Times New Roman" w:hAnsi="Arial" w:cs="Arial"/>
                <w:b/>
                <w:bCs/>
                <w:color w:val="000000"/>
              </w:rPr>
              <w:t>Amount</w:t>
            </w:r>
          </w:p>
        </w:tc>
        <w:tc>
          <w:tcPr>
            <w:tcW w:w="0" w:type="auto"/>
            <w:shd w:val="clear" w:color="auto" w:fill="auto"/>
            <w:vAlign w:val="bottom"/>
            <w:hideMark/>
          </w:tcPr>
          <w:p w14:paraId="68794812" w14:textId="77777777" w:rsidR="00F30044" w:rsidRPr="00130A7D" w:rsidRDefault="00F30044" w:rsidP="00CC39FD">
            <w:pPr>
              <w:spacing w:after="0" w:line="240" w:lineRule="auto"/>
              <w:jc w:val="center"/>
              <w:rPr>
                <w:rFonts w:ascii="Arial" w:eastAsia="Times New Roman" w:hAnsi="Arial" w:cs="Arial"/>
                <w:b/>
                <w:bCs/>
                <w:color w:val="000000"/>
              </w:rPr>
            </w:pPr>
            <w:r w:rsidRPr="00130A7D">
              <w:rPr>
                <w:rFonts w:ascii="Arial" w:eastAsia="Times New Roman" w:hAnsi="Arial" w:cs="Arial"/>
                <w:b/>
                <w:bCs/>
                <w:color w:val="000000"/>
              </w:rPr>
              <w:t>Year Recorded in GL</w:t>
            </w:r>
          </w:p>
        </w:tc>
      </w:tr>
      <w:tr w:rsidR="00F30044" w:rsidRPr="00130A7D" w14:paraId="0AC2CBF8" w14:textId="77777777" w:rsidTr="00CC39FD">
        <w:trPr>
          <w:trHeight w:val="300"/>
        </w:trPr>
        <w:tc>
          <w:tcPr>
            <w:tcW w:w="0" w:type="auto"/>
            <w:shd w:val="clear" w:color="000000" w:fill="EDEDED"/>
            <w:noWrap/>
            <w:vAlign w:val="bottom"/>
            <w:hideMark/>
          </w:tcPr>
          <w:p w14:paraId="09D368EE" w14:textId="77777777" w:rsidR="00F30044" w:rsidRPr="00130A7D" w:rsidRDefault="00F30044" w:rsidP="00CC39FD">
            <w:pPr>
              <w:spacing w:after="0" w:line="240" w:lineRule="auto"/>
              <w:jc w:val="center"/>
              <w:rPr>
                <w:rFonts w:ascii="Arial" w:eastAsia="Times New Roman" w:hAnsi="Arial" w:cs="Arial"/>
                <w:color w:val="000000"/>
              </w:rPr>
            </w:pPr>
            <w:r w:rsidRPr="00130A7D">
              <w:rPr>
                <w:rFonts w:ascii="Arial" w:eastAsia="Times New Roman" w:hAnsi="Arial" w:cs="Arial"/>
                <w:color w:val="000000"/>
              </w:rPr>
              <w:t>2020</w:t>
            </w:r>
          </w:p>
        </w:tc>
        <w:tc>
          <w:tcPr>
            <w:tcW w:w="0" w:type="auto"/>
            <w:gridSpan w:val="4"/>
            <w:shd w:val="clear" w:color="auto" w:fill="auto"/>
            <w:noWrap/>
            <w:vAlign w:val="bottom"/>
            <w:hideMark/>
          </w:tcPr>
          <w:p w14:paraId="0E6D1B73" w14:textId="77777777" w:rsidR="00F30044" w:rsidRPr="00130A7D" w:rsidRDefault="00F30044" w:rsidP="00CC39FD">
            <w:pPr>
              <w:spacing w:after="0" w:line="240" w:lineRule="auto"/>
              <w:rPr>
                <w:rFonts w:ascii="Arial" w:eastAsia="Times New Roman" w:hAnsi="Arial" w:cs="Arial"/>
                <w:i/>
                <w:iCs/>
                <w:color w:val="000000"/>
              </w:rPr>
            </w:pPr>
            <w:r w:rsidRPr="00130A7D">
              <w:rPr>
                <w:rFonts w:ascii="Arial" w:eastAsia="Times New Roman" w:hAnsi="Arial" w:cs="Arial"/>
                <w:i/>
                <w:iCs/>
                <w:color w:val="000000"/>
              </w:rPr>
              <w:t>Reversals of prior approved principal adjustments (</w:t>
            </w:r>
            <w:proofErr w:type="gramStart"/>
            <w:r w:rsidRPr="00130A7D">
              <w:rPr>
                <w:rFonts w:ascii="Arial" w:eastAsia="Times New Roman" w:hAnsi="Arial" w:cs="Arial"/>
                <w:i/>
                <w:iCs/>
                <w:color w:val="000000"/>
              </w:rPr>
              <w:t>auto-populated</w:t>
            </w:r>
            <w:proofErr w:type="gramEnd"/>
            <w:r w:rsidRPr="00130A7D">
              <w:rPr>
                <w:rFonts w:ascii="Arial" w:eastAsia="Times New Roman" w:hAnsi="Arial" w:cs="Arial"/>
                <w:i/>
                <w:iCs/>
                <w:color w:val="000000"/>
              </w:rPr>
              <w:t xml:space="preserve"> from table above)</w:t>
            </w:r>
          </w:p>
        </w:tc>
      </w:tr>
      <w:tr w:rsidR="00F30044" w:rsidRPr="00130A7D" w14:paraId="1306C8DD" w14:textId="77777777" w:rsidTr="00CC39FD">
        <w:trPr>
          <w:trHeight w:val="285"/>
        </w:trPr>
        <w:tc>
          <w:tcPr>
            <w:tcW w:w="0" w:type="auto"/>
            <w:shd w:val="clear" w:color="auto" w:fill="auto"/>
            <w:noWrap/>
            <w:vAlign w:val="bottom"/>
            <w:hideMark/>
          </w:tcPr>
          <w:p w14:paraId="6E179D9E" w14:textId="77777777" w:rsidR="00F30044" w:rsidRPr="00130A7D" w:rsidRDefault="00F30044" w:rsidP="00CC39FD">
            <w:pPr>
              <w:spacing w:after="0" w:line="240" w:lineRule="auto"/>
              <w:rPr>
                <w:rFonts w:ascii="Arial" w:eastAsia="Times New Roman" w:hAnsi="Arial" w:cs="Arial"/>
                <w:color w:val="000000"/>
              </w:rPr>
            </w:pPr>
            <w:r w:rsidRPr="00130A7D">
              <w:rPr>
                <w:rFonts w:ascii="Arial" w:eastAsia="Times New Roman" w:hAnsi="Arial" w:cs="Arial"/>
                <w:color w:val="000000"/>
              </w:rPr>
              <w:t> </w:t>
            </w:r>
          </w:p>
        </w:tc>
        <w:tc>
          <w:tcPr>
            <w:tcW w:w="0" w:type="auto"/>
            <w:shd w:val="clear" w:color="auto" w:fill="auto"/>
            <w:noWrap/>
            <w:vAlign w:val="bottom"/>
            <w:hideMark/>
          </w:tcPr>
          <w:p w14:paraId="1B069CE7" w14:textId="77777777" w:rsidR="00F30044" w:rsidRPr="00130A7D" w:rsidRDefault="00F30044" w:rsidP="00CC39FD">
            <w:pPr>
              <w:spacing w:after="0" w:line="240" w:lineRule="auto"/>
              <w:jc w:val="right"/>
              <w:rPr>
                <w:rFonts w:ascii="Arial" w:eastAsia="Times New Roman" w:hAnsi="Arial" w:cs="Arial"/>
                <w:color w:val="000000"/>
              </w:rPr>
            </w:pPr>
            <w:r w:rsidRPr="00130A7D">
              <w:rPr>
                <w:rFonts w:ascii="Arial" w:eastAsia="Times New Roman" w:hAnsi="Arial" w:cs="Arial"/>
                <w:color w:val="000000"/>
              </w:rPr>
              <w:t>1</w:t>
            </w:r>
          </w:p>
        </w:tc>
        <w:tc>
          <w:tcPr>
            <w:tcW w:w="0" w:type="auto"/>
            <w:shd w:val="clear" w:color="000000" w:fill="FFFFFF"/>
            <w:vAlign w:val="bottom"/>
            <w:hideMark/>
          </w:tcPr>
          <w:p w14:paraId="67BE0FF9" w14:textId="77777777" w:rsidR="00F30044" w:rsidRPr="00130A7D" w:rsidRDefault="00F30044" w:rsidP="00CC39FD">
            <w:pPr>
              <w:spacing w:after="0" w:line="240" w:lineRule="auto"/>
              <w:rPr>
                <w:rFonts w:ascii="Arial" w:eastAsia="Times New Roman" w:hAnsi="Arial" w:cs="Arial"/>
                <w:color w:val="000000"/>
              </w:rPr>
            </w:pPr>
            <w:r w:rsidRPr="00130A7D">
              <w:rPr>
                <w:rFonts w:ascii="Arial" w:eastAsia="Times New Roman" w:hAnsi="Arial" w:cs="Arial"/>
                <w:color w:val="000000"/>
              </w:rPr>
              <w:t>CT 142 True-up as per OEB model 2017 (posted in 2018 GL)</w:t>
            </w:r>
          </w:p>
        </w:tc>
        <w:tc>
          <w:tcPr>
            <w:tcW w:w="0" w:type="auto"/>
            <w:shd w:val="clear" w:color="000000" w:fill="FFFFFF"/>
            <w:noWrap/>
            <w:vAlign w:val="bottom"/>
            <w:hideMark/>
          </w:tcPr>
          <w:p w14:paraId="0177BD4B" w14:textId="77777777" w:rsidR="00F30044" w:rsidRPr="00130A7D" w:rsidRDefault="00F30044" w:rsidP="00CC39FD">
            <w:pPr>
              <w:spacing w:after="0" w:line="240" w:lineRule="auto"/>
              <w:jc w:val="center"/>
              <w:rPr>
                <w:rFonts w:ascii="Arial" w:eastAsia="Times New Roman" w:hAnsi="Arial" w:cs="Arial"/>
                <w:color w:val="000000"/>
              </w:rPr>
            </w:pPr>
            <w:r w:rsidRPr="00130A7D">
              <w:rPr>
                <w:rFonts w:ascii="Arial" w:eastAsia="Times New Roman" w:hAnsi="Arial" w:cs="Arial"/>
                <w:color w:val="000000"/>
              </w:rPr>
              <w:t xml:space="preserve">                    1,491,431 </w:t>
            </w:r>
          </w:p>
        </w:tc>
        <w:tc>
          <w:tcPr>
            <w:tcW w:w="0" w:type="auto"/>
            <w:shd w:val="clear" w:color="000000" w:fill="FFFFFF"/>
            <w:noWrap/>
            <w:vAlign w:val="bottom"/>
            <w:hideMark/>
          </w:tcPr>
          <w:p w14:paraId="69A5A70F" w14:textId="77777777" w:rsidR="00F30044" w:rsidRPr="00130A7D" w:rsidRDefault="00F30044" w:rsidP="00CC39FD">
            <w:pPr>
              <w:spacing w:after="0" w:line="240" w:lineRule="auto"/>
              <w:jc w:val="center"/>
              <w:rPr>
                <w:rFonts w:ascii="Arial" w:eastAsia="Times New Roman" w:hAnsi="Arial" w:cs="Arial"/>
                <w:color w:val="000000"/>
              </w:rPr>
            </w:pPr>
            <w:r w:rsidRPr="00130A7D">
              <w:rPr>
                <w:rFonts w:ascii="Arial" w:eastAsia="Times New Roman" w:hAnsi="Arial" w:cs="Arial"/>
                <w:color w:val="000000"/>
              </w:rPr>
              <w:t xml:space="preserve">                    2,020 </w:t>
            </w:r>
          </w:p>
        </w:tc>
      </w:tr>
      <w:tr w:rsidR="00F30044" w:rsidRPr="00130A7D" w14:paraId="6F09CD3B" w14:textId="77777777" w:rsidTr="00CC39FD">
        <w:trPr>
          <w:trHeight w:val="285"/>
        </w:trPr>
        <w:tc>
          <w:tcPr>
            <w:tcW w:w="0" w:type="auto"/>
            <w:shd w:val="clear" w:color="auto" w:fill="auto"/>
            <w:noWrap/>
            <w:vAlign w:val="bottom"/>
            <w:hideMark/>
          </w:tcPr>
          <w:p w14:paraId="06548022" w14:textId="77777777" w:rsidR="00F30044" w:rsidRPr="00130A7D" w:rsidRDefault="00F30044" w:rsidP="00CC39FD">
            <w:pPr>
              <w:spacing w:after="0" w:line="240" w:lineRule="auto"/>
              <w:rPr>
                <w:rFonts w:ascii="Arial" w:eastAsia="Times New Roman" w:hAnsi="Arial" w:cs="Arial"/>
                <w:color w:val="000000"/>
              </w:rPr>
            </w:pPr>
            <w:r w:rsidRPr="00130A7D">
              <w:rPr>
                <w:rFonts w:ascii="Arial" w:eastAsia="Times New Roman" w:hAnsi="Arial" w:cs="Arial"/>
                <w:color w:val="000000"/>
              </w:rPr>
              <w:t> </w:t>
            </w:r>
          </w:p>
        </w:tc>
        <w:tc>
          <w:tcPr>
            <w:tcW w:w="0" w:type="auto"/>
            <w:shd w:val="clear" w:color="auto" w:fill="auto"/>
            <w:noWrap/>
            <w:vAlign w:val="bottom"/>
            <w:hideMark/>
          </w:tcPr>
          <w:p w14:paraId="72C45484" w14:textId="77777777" w:rsidR="00F30044" w:rsidRPr="00130A7D" w:rsidRDefault="00F30044" w:rsidP="00CC39FD">
            <w:pPr>
              <w:spacing w:after="0" w:line="240" w:lineRule="auto"/>
              <w:jc w:val="right"/>
              <w:rPr>
                <w:rFonts w:ascii="Arial" w:eastAsia="Times New Roman" w:hAnsi="Arial" w:cs="Arial"/>
                <w:color w:val="000000"/>
              </w:rPr>
            </w:pPr>
            <w:r w:rsidRPr="00130A7D">
              <w:rPr>
                <w:rFonts w:ascii="Arial" w:eastAsia="Times New Roman" w:hAnsi="Arial" w:cs="Arial"/>
                <w:color w:val="000000"/>
              </w:rPr>
              <w:t>2</w:t>
            </w:r>
          </w:p>
        </w:tc>
        <w:tc>
          <w:tcPr>
            <w:tcW w:w="0" w:type="auto"/>
            <w:shd w:val="clear" w:color="000000" w:fill="FFFFFF"/>
            <w:vAlign w:val="bottom"/>
            <w:hideMark/>
          </w:tcPr>
          <w:p w14:paraId="70EB46AF" w14:textId="77777777" w:rsidR="00F30044" w:rsidRPr="00130A7D" w:rsidRDefault="00F30044" w:rsidP="00CC39FD">
            <w:pPr>
              <w:spacing w:after="0" w:line="240" w:lineRule="auto"/>
              <w:rPr>
                <w:rFonts w:ascii="Arial" w:eastAsia="Times New Roman" w:hAnsi="Arial" w:cs="Arial"/>
                <w:color w:val="000000"/>
              </w:rPr>
            </w:pPr>
            <w:r w:rsidRPr="00130A7D">
              <w:rPr>
                <w:rFonts w:ascii="Arial" w:eastAsia="Times New Roman" w:hAnsi="Arial" w:cs="Arial"/>
                <w:color w:val="000000"/>
              </w:rPr>
              <w:t>CT 142 True-up as per OEB model 2018 (posted in 2019 GL)</w:t>
            </w:r>
          </w:p>
        </w:tc>
        <w:tc>
          <w:tcPr>
            <w:tcW w:w="0" w:type="auto"/>
            <w:shd w:val="clear" w:color="000000" w:fill="FFFFFF"/>
            <w:noWrap/>
            <w:vAlign w:val="bottom"/>
            <w:hideMark/>
          </w:tcPr>
          <w:p w14:paraId="0D0395CC" w14:textId="77777777" w:rsidR="00F30044" w:rsidRPr="00130A7D" w:rsidRDefault="00F30044" w:rsidP="00CC39FD">
            <w:pPr>
              <w:spacing w:after="0" w:line="240" w:lineRule="auto"/>
              <w:jc w:val="center"/>
              <w:rPr>
                <w:rFonts w:ascii="Arial" w:eastAsia="Times New Roman" w:hAnsi="Arial" w:cs="Arial"/>
                <w:color w:val="000000"/>
              </w:rPr>
            </w:pPr>
            <w:r w:rsidRPr="00130A7D">
              <w:rPr>
                <w:rFonts w:ascii="Arial" w:eastAsia="Times New Roman" w:hAnsi="Arial" w:cs="Arial"/>
                <w:color w:val="000000"/>
              </w:rPr>
              <w:t xml:space="preserve">                       233,233 </w:t>
            </w:r>
          </w:p>
        </w:tc>
        <w:tc>
          <w:tcPr>
            <w:tcW w:w="0" w:type="auto"/>
            <w:shd w:val="clear" w:color="000000" w:fill="FFFFFF"/>
            <w:noWrap/>
            <w:vAlign w:val="bottom"/>
            <w:hideMark/>
          </w:tcPr>
          <w:p w14:paraId="5D966E14" w14:textId="77777777" w:rsidR="00F30044" w:rsidRPr="00130A7D" w:rsidRDefault="00F30044" w:rsidP="00CC39FD">
            <w:pPr>
              <w:spacing w:after="0" w:line="240" w:lineRule="auto"/>
              <w:jc w:val="center"/>
              <w:rPr>
                <w:rFonts w:ascii="Arial" w:eastAsia="Times New Roman" w:hAnsi="Arial" w:cs="Arial"/>
                <w:color w:val="000000"/>
              </w:rPr>
            </w:pPr>
            <w:r w:rsidRPr="00130A7D">
              <w:rPr>
                <w:rFonts w:ascii="Arial" w:eastAsia="Times New Roman" w:hAnsi="Arial" w:cs="Arial"/>
                <w:color w:val="000000"/>
              </w:rPr>
              <w:t xml:space="preserve">                    2,020 </w:t>
            </w:r>
          </w:p>
        </w:tc>
      </w:tr>
      <w:tr w:rsidR="00F30044" w:rsidRPr="00130A7D" w14:paraId="1AAF458B" w14:textId="77777777" w:rsidTr="00CC39FD">
        <w:trPr>
          <w:trHeight w:val="285"/>
        </w:trPr>
        <w:tc>
          <w:tcPr>
            <w:tcW w:w="0" w:type="auto"/>
            <w:shd w:val="clear" w:color="auto" w:fill="auto"/>
            <w:noWrap/>
            <w:vAlign w:val="bottom"/>
            <w:hideMark/>
          </w:tcPr>
          <w:p w14:paraId="661333B6" w14:textId="77777777" w:rsidR="00F30044" w:rsidRPr="00130A7D" w:rsidRDefault="00F30044" w:rsidP="00CC39FD">
            <w:pPr>
              <w:spacing w:after="0" w:line="240" w:lineRule="auto"/>
              <w:rPr>
                <w:rFonts w:ascii="Arial" w:eastAsia="Times New Roman" w:hAnsi="Arial" w:cs="Arial"/>
                <w:color w:val="000000"/>
              </w:rPr>
            </w:pPr>
            <w:r w:rsidRPr="00130A7D">
              <w:rPr>
                <w:rFonts w:ascii="Arial" w:eastAsia="Times New Roman" w:hAnsi="Arial" w:cs="Arial"/>
                <w:color w:val="000000"/>
              </w:rPr>
              <w:t> </w:t>
            </w:r>
          </w:p>
        </w:tc>
        <w:tc>
          <w:tcPr>
            <w:tcW w:w="0" w:type="auto"/>
            <w:shd w:val="clear" w:color="auto" w:fill="auto"/>
            <w:noWrap/>
            <w:vAlign w:val="bottom"/>
            <w:hideMark/>
          </w:tcPr>
          <w:p w14:paraId="09B3C0E3" w14:textId="77777777" w:rsidR="00F30044" w:rsidRPr="00130A7D" w:rsidRDefault="00F30044" w:rsidP="00CC39FD">
            <w:pPr>
              <w:spacing w:after="0" w:line="240" w:lineRule="auto"/>
              <w:jc w:val="right"/>
              <w:rPr>
                <w:rFonts w:ascii="Arial" w:eastAsia="Times New Roman" w:hAnsi="Arial" w:cs="Arial"/>
                <w:color w:val="000000"/>
              </w:rPr>
            </w:pPr>
            <w:r w:rsidRPr="00130A7D">
              <w:rPr>
                <w:rFonts w:ascii="Arial" w:eastAsia="Times New Roman" w:hAnsi="Arial" w:cs="Arial"/>
                <w:color w:val="000000"/>
              </w:rPr>
              <w:t>3</w:t>
            </w:r>
          </w:p>
        </w:tc>
        <w:tc>
          <w:tcPr>
            <w:tcW w:w="0" w:type="auto"/>
            <w:shd w:val="clear" w:color="000000" w:fill="FFFFFF"/>
            <w:vAlign w:val="bottom"/>
            <w:hideMark/>
          </w:tcPr>
          <w:p w14:paraId="4FFB69EE" w14:textId="77777777" w:rsidR="00F30044" w:rsidRPr="00130A7D" w:rsidRDefault="00F30044" w:rsidP="00CC39FD">
            <w:pPr>
              <w:spacing w:after="0" w:line="240" w:lineRule="auto"/>
              <w:rPr>
                <w:rFonts w:ascii="Arial" w:eastAsia="Times New Roman" w:hAnsi="Arial" w:cs="Arial"/>
                <w:color w:val="000000"/>
              </w:rPr>
            </w:pPr>
            <w:r w:rsidRPr="00130A7D">
              <w:rPr>
                <w:rFonts w:ascii="Arial" w:eastAsia="Times New Roman" w:hAnsi="Arial" w:cs="Arial"/>
                <w:color w:val="000000"/>
              </w:rPr>
              <w:t>CT 142 True-up as per OEB model 2019 (posted in 2019 GL)</w:t>
            </w:r>
          </w:p>
        </w:tc>
        <w:tc>
          <w:tcPr>
            <w:tcW w:w="0" w:type="auto"/>
            <w:shd w:val="clear" w:color="000000" w:fill="FFFFFF"/>
            <w:noWrap/>
            <w:vAlign w:val="bottom"/>
            <w:hideMark/>
          </w:tcPr>
          <w:p w14:paraId="7B1BA267" w14:textId="77777777" w:rsidR="00F30044" w:rsidRPr="00130A7D" w:rsidRDefault="00F30044" w:rsidP="00CC39FD">
            <w:pPr>
              <w:spacing w:after="0" w:line="240" w:lineRule="auto"/>
              <w:jc w:val="center"/>
              <w:rPr>
                <w:rFonts w:ascii="Arial" w:eastAsia="Times New Roman" w:hAnsi="Arial" w:cs="Arial"/>
                <w:color w:val="000000"/>
              </w:rPr>
            </w:pPr>
            <w:r w:rsidRPr="00130A7D">
              <w:rPr>
                <w:rFonts w:ascii="Arial" w:eastAsia="Times New Roman" w:hAnsi="Arial" w:cs="Arial"/>
                <w:color w:val="000000"/>
              </w:rPr>
              <w:t xml:space="preserve">                       392,257 </w:t>
            </w:r>
          </w:p>
        </w:tc>
        <w:tc>
          <w:tcPr>
            <w:tcW w:w="0" w:type="auto"/>
            <w:shd w:val="clear" w:color="000000" w:fill="FFFFFF"/>
            <w:noWrap/>
            <w:vAlign w:val="bottom"/>
            <w:hideMark/>
          </w:tcPr>
          <w:p w14:paraId="6E324C8A" w14:textId="77777777" w:rsidR="00F30044" w:rsidRPr="00130A7D" w:rsidRDefault="00F30044" w:rsidP="00CC39FD">
            <w:pPr>
              <w:spacing w:after="0" w:line="240" w:lineRule="auto"/>
              <w:jc w:val="center"/>
              <w:rPr>
                <w:rFonts w:ascii="Arial" w:eastAsia="Times New Roman" w:hAnsi="Arial" w:cs="Arial"/>
                <w:color w:val="000000"/>
              </w:rPr>
            </w:pPr>
            <w:r w:rsidRPr="00130A7D">
              <w:rPr>
                <w:rFonts w:ascii="Arial" w:eastAsia="Times New Roman" w:hAnsi="Arial" w:cs="Arial"/>
                <w:color w:val="000000"/>
              </w:rPr>
              <w:t xml:space="preserve">                    2,020 </w:t>
            </w:r>
          </w:p>
        </w:tc>
      </w:tr>
      <w:tr w:rsidR="00F30044" w:rsidRPr="00130A7D" w14:paraId="5D3B63AA" w14:textId="77777777" w:rsidTr="00CC39FD">
        <w:trPr>
          <w:trHeight w:val="285"/>
        </w:trPr>
        <w:tc>
          <w:tcPr>
            <w:tcW w:w="0" w:type="auto"/>
            <w:shd w:val="clear" w:color="auto" w:fill="auto"/>
            <w:noWrap/>
            <w:vAlign w:val="bottom"/>
            <w:hideMark/>
          </w:tcPr>
          <w:p w14:paraId="510B9F44" w14:textId="77777777" w:rsidR="00F30044" w:rsidRPr="00130A7D" w:rsidRDefault="00F30044" w:rsidP="00CC39FD">
            <w:pPr>
              <w:spacing w:after="0" w:line="240" w:lineRule="auto"/>
              <w:rPr>
                <w:rFonts w:ascii="Arial" w:eastAsia="Times New Roman" w:hAnsi="Arial" w:cs="Arial"/>
                <w:color w:val="000000"/>
              </w:rPr>
            </w:pPr>
            <w:r w:rsidRPr="00130A7D">
              <w:rPr>
                <w:rFonts w:ascii="Arial" w:eastAsia="Times New Roman" w:hAnsi="Arial" w:cs="Arial"/>
                <w:color w:val="000000"/>
              </w:rPr>
              <w:t> </w:t>
            </w:r>
          </w:p>
        </w:tc>
        <w:tc>
          <w:tcPr>
            <w:tcW w:w="0" w:type="auto"/>
            <w:shd w:val="clear" w:color="auto" w:fill="auto"/>
            <w:noWrap/>
            <w:vAlign w:val="bottom"/>
            <w:hideMark/>
          </w:tcPr>
          <w:p w14:paraId="45E9CF44" w14:textId="77777777" w:rsidR="00F30044" w:rsidRPr="00130A7D" w:rsidRDefault="00F30044" w:rsidP="00CC39FD">
            <w:pPr>
              <w:spacing w:after="0" w:line="240" w:lineRule="auto"/>
              <w:jc w:val="right"/>
              <w:rPr>
                <w:rFonts w:ascii="Arial" w:eastAsia="Times New Roman" w:hAnsi="Arial" w:cs="Arial"/>
                <w:color w:val="000000"/>
              </w:rPr>
            </w:pPr>
            <w:r w:rsidRPr="00130A7D">
              <w:rPr>
                <w:rFonts w:ascii="Arial" w:eastAsia="Times New Roman" w:hAnsi="Arial" w:cs="Arial"/>
                <w:color w:val="000000"/>
              </w:rPr>
              <w:t>4</w:t>
            </w:r>
          </w:p>
        </w:tc>
        <w:tc>
          <w:tcPr>
            <w:tcW w:w="0" w:type="auto"/>
            <w:shd w:val="clear" w:color="000000" w:fill="FFFFFF"/>
            <w:vAlign w:val="bottom"/>
            <w:hideMark/>
          </w:tcPr>
          <w:p w14:paraId="35C13C32" w14:textId="77777777" w:rsidR="00F30044" w:rsidRPr="00130A7D" w:rsidRDefault="00F30044" w:rsidP="00CC39FD">
            <w:pPr>
              <w:spacing w:after="0" w:line="240" w:lineRule="auto"/>
              <w:rPr>
                <w:rFonts w:ascii="Arial" w:eastAsia="Times New Roman" w:hAnsi="Arial" w:cs="Arial"/>
                <w:color w:val="000000"/>
              </w:rPr>
            </w:pPr>
            <w:r w:rsidRPr="00130A7D">
              <w:rPr>
                <w:rFonts w:ascii="Arial" w:eastAsia="Times New Roman" w:hAnsi="Arial" w:cs="Arial"/>
                <w:color w:val="000000"/>
              </w:rPr>
              <w:t>CT 142 Final true-up accrual 2019 11 (posted in 2019 GL)</w:t>
            </w:r>
          </w:p>
        </w:tc>
        <w:tc>
          <w:tcPr>
            <w:tcW w:w="0" w:type="auto"/>
            <w:shd w:val="clear" w:color="000000" w:fill="FFFFFF"/>
            <w:noWrap/>
            <w:vAlign w:val="bottom"/>
            <w:hideMark/>
          </w:tcPr>
          <w:p w14:paraId="512F117F" w14:textId="77777777" w:rsidR="00F30044" w:rsidRPr="00130A7D" w:rsidRDefault="00F30044" w:rsidP="00CC39FD">
            <w:pPr>
              <w:spacing w:after="0" w:line="240" w:lineRule="auto"/>
              <w:jc w:val="center"/>
              <w:rPr>
                <w:rFonts w:ascii="Arial" w:eastAsia="Times New Roman" w:hAnsi="Arial" w:cs="Arial"/>
                <w:color w:val="000000"/>
              </w:rPr>
            </w:pPr>
            <w:r w:rsidRPr="00130A7D">
              <w:rPr>
                <w:rFonts w:ascii="Arial" w:eastAsia="Times New Roman" w:hAnsi="Arial" w:cs="Arial"/>
                <w:color w:val="000000"/>
              </w:rPr>
              <w:t xml:space="preserve">                     (720,098)</w:t>
            </w:r>
          </w:p>
        </w:tc>
        <w:tc>
          <w:tcPr>
            <w:tcW w:w="0" w:type="auto"/>
            <w:shd w:val="clear" w:color="000000" w:fill="FFFFFF"/>
            <w:noWrap/>
            <w:vAlign w:val="bottom"/>
            <w:hideMark/>
          </w:tcPr>
          <w:p w14:paraId="15BF0BFB" w14:textId="77777777" w:rsidR="00F30044" w:rsidRPr="00130A7D" w:rsidRDefault="00F30044" w:rsidP="00CC39FD">
            <w:pPr>
              <w:spacing w:after="0" w:line="240" w:lineRule="auto"/>
              <w:jc w:val="center"/>
              <w:rPr>
                <w:rFonts w:ascii="Arial" w:eastAsia="Times New Roman" w:hAnsi="Arial" w:cs="Arial"/>
                <w:color w:val="000000"/>
              </w:rPr>
            </w:pPr>
            <w:r w:rsidRPr="00130A7D">
              <w:rPr>
                <w:rFonts w:ascii="Arial" w:eastAsia="Times New Roman" w:hAnsi="Arial" w:cs="Arial"/>
                <w:color w:val="000000"/>
              </w:rPr>
              <w:t xml:space="preserve">                    2,020 </w:t>
            </w:r>
          </w:p>
        </w:tc>
      </w:tr>
      <w:tr w:rsidR="00F30044" w:rsidRPr="00130A7D" w14:paraId="64C888FD" w14:textId="77777777" w:rsidTr="00CC39FD">
        <w:trPr>
          <w:trHeight w:val="285"/>
        </w:trPr>
        <w:tc>
          <w:tcPr>
            <w:tcW w:w="0" w:type="auto"/>
            <w:shd w:val="clear" w:color="auto" w:fill="auto"/>
            <w:noWrap/>
            <w:vAlign w:val="bottom"/>
            <w:hideMark/>
          </w:tcPr>
          <w:p w14:paraId="4A6B5589" w14:textId="77777777" w:rsidR="00F30044" w:rsidRPr="00130A7D" w:rsidRDefault="00F30044" w:rsidP="00CC39FD">
            <w:pPr>
              <w:spacing w:after="0" w:line="240" w:lineRule="auto"/>
              <w:rPr>
                <w:rFonts w:ascii="Arial" w:eastAsia="Times New Roman" w:hAnsi="Arial" w:cs="Arial"/>
                <w:color w:val="000000"/>
              </w:rPr>
            </w:pPr>
            <w:r w:rsidRPr="00130A7D">
              <w:rPr>
                <w:rFonts w:ascii="Arial" w:eastAsia="Times New Roman" w:hAnsi="Arial" w:cs="Arial"/>
                <w:color w:val="000000"/>
              </w:rPr>
              <w:t> </w:t>
            </w:r>
          </w:p>
        </w:tc>
        <w:tc>
          <w:tcPr>
            <w:tcW w:w="0" w:type="auto"/>
            <w:shd w:val="clear" w:color="auto" w:fill="auto"/>
            <w:noWrap/>
            <w:vAlign w:val="bottom"/>
            <w:hideMark/>
          </w:tcPr>
          <w:p w14:paraId="12BD4E60" w14:textId="77777777" w:rsidR="00F30044" w:rsidRPr="00130A7D" w:rsidRDefault="00F30044" w:rsidP="00CC39FD">
            <w:pPr>
              <w:spacing w:after="0" w:line="240" w:lineRule="auto"/>
              <w:jc w:val="right"/>
              <w:rPr>
                <w:rFonts w:ascii="Arial" w:eastAsia="Times New Roman" w:hAnsi="Arial" w:cs="Arial"/>
                <w:color w:val="000000"/>
              </w:rPr>
            </w:pPr>
            <w:r w:rsidRPr="00130A7D">
              <w:rPr>
                <w:rFonts w:ascii="Arial" w:eastAsia="Times New Roman" w:hAnsi="Arial" w:cs="Arial"/>
                <w:color w:val="000000"/>
              </w:rPr>
              <w:t>5</w:t>
            </w:r>
          </w:p>
        </w:tc>
        <w:tc>
          <w:tcPr>
            <w:tcW w:w="0" w:type="auto"/>
            <w:shd w:val="clear" w:color="000000" w:fill="FFFFFF"/>
            <w:vAlign w:val="bottom"/>
            <w:hideMark/>
          </w:tcPr>
          <w:p w14:paraId="0374780B" w14:textId="77777777" w:rsidR="00F30044" w:rsidRPr="00130A7D" w:rsidRDefault="00F30044" w:rsidP="00CC39FD">
            <w:pPr>
              <w:spacing w:after="0" w:line="240" w:lineRule="auto"/>
              <w:rPr>
                <w:rFonts w:ascii="Arial" w:eastAsia="Times New Roman" w:hAnsi="Arial" w:cs="Arial"/>
                <w:color w:val="000000"/>
              </w:rPr>
            </w:pPr>
            <w:r w:rsidRPr="00130A7D">
              <w:rPr>
                <w:rFonts w:ascii="Arial" w:eastAsia="Times New Roman" w:hAnsi="Arial" w:cs="Arial"/>
                <w:color w:val="000000"/>
              </w:rPr>
              <w:t>CT 142 Final true-up accrual 2019 12 (posted in 2019 GL)</w:t>
            </w:r>
          </w:p>
        </w:tc>
        <w:tc>
          <w:tcPr>
            <w:tcW w:w="0" w:type="auto"/>
            <w:shd w:val="clear" w:color="000000" w:fill="FFFFFF"/>
            <w:noWrap/>
            <w:vAlign w:val="bottom"/>
            <w:hideMark/>
          </w:tcPr>
          <w:p w14:paraId="262DF632" w14:textId="77777777" w:rsidR="00F30044" w:rsidRPr="00130A7D" w:rsidRDefault="00F30044" w:rsidP="00CC39FD">
            <w:pPr>
              <w:spacing w:after="0" w:line="240" w:lineRule="auto"/>
              <w:jc w:val="center"/>
              <w:rPr>
                <w:rFonts w:ascii="Arial" w:eastAsia="Times New Roman" w:hAnsi="Arial" w:cs="Arial"/>
                <w:color w:val="000000"/>
              </w:rPr>
            </w:pPr>
            <w:r w:rsidRPr="00130A7D">
              <w:rPr>
                <w:rFonts w:ascii="Arial" w:eastAsia="Times New Roman" w:hAnsi="Arial" w:cs="Arial"/>
                <w:color w:val="000000"/>
              </w:rPr>
              <w:t xml:space="preserve">                         79,927 </w:t>
            </w:r>
          </w:p>
        </w:tc>
        <w:tc>
          <w:tcPr>
            <w:tcW w:w="0" w:type="auto"/>
            <w:shd w:val="clear" w:color="000000" w:fill="FFFFFF"/>
            <w:noWrap/>
            <w:vAlign w:val="bottom"/>
            <w:hideMark/>
          </w:tcPr>
          <w:p w14:paraId="4C4A987B" w14:textId="77777777" w:rsidR="00F30044" w:rsidRPr="00130A7D" w:rsidRDefault="00F30044" w:rsidP="00CC39FD">
            <w:pPr>
              <w:spacing w:after="0" w:line="240" w:lineRule="auto"/>
              <w:jc w:val="center"/>
              <w:rPr>
                <w:rFonts w:ascii="Arial" w:eastAsia="Times New Roman" w:hAnsi="Arial" w:cs="Arial"/>
                <w:color w:val="000000"/>
              </w:rPr>
            </w:pPr>
            <w:r w:rsidRPr="00130A7D">
              <w:rPr>
                <w:rFonts w:ascii="Arial" w:eastAsia="Times New Roman" w:hAnsi="Arial" w:cs="Arial"/>
                <w:color w:val="000000"/>
              </w:rPr>
              <w:t xml:space="preserve">                    2,020 </w:t>
            </w:r>
          </w:p>
        </w:tc>
      </w:tr>
      <w:tr w:rsidR="00F30044" w:rsidRPr="00130A7D" w14:paraId="5433E731" w14:textId="77777777" w:rsidTr="00CC39FD">
        <w:trPr>
          <w:trHeight w:val="285"/>
        </w:trPr>
        <w:tc>
          <w:tcPr>
            <w:tcW w:w="0" w:type="auto"/>
            <w:shd w:val="clear" w:color="auto" w:fill="auto"/>
            <w:noWrap/>
            <w:vAlign w:val="bottom"/>
            <w:hideMark/>
          </w:tcPr>
          <w:p w14:paraId="7C3C37BC" w14:textId="77777777" w:rsidR="00F30044" w:rsidRPr="00130A7D" w:rsidRDefault="00F30044" w:rsidP="00CC39FD">
            <w:pPr>
              <w:spacing w:after="0" w:line="240" w:lineRule="auto"/>
              <w:rPr>
                <w:rFonts w:ascii="Arial" w:eastAsia="Times New Roman" w:hAnsi="Arial" w:cs="Arial"/>
                <w:color w:val="000000"/>
              </w:rPr>
            </w:pPr>
            <w:r w:rsidRPr="00130A7D">
              <w:rPr>
                <w:rFonts w:ascii="Arial" w:eastAsia="Times New Roman" w:hAnsi="Arial" w:cs="Arial"/>
                <w:color w:val="000000"/>
              </w:rPr>
              <w:t> </w:t>
            </w:r>
          </w:p>
        </w:tc>
        <w:tc>
          <w:tcPr>
            <w:tcW w:w="0" w:type="auto"/>
            <w:shd w:val="clear" w:color="auto" w:fill="auto"/>
            <w:noWrap/>
            <w:vAlign w:val="bottom"/>
            <w:hideMark/>
          </w:tcPr>
          <w:p w14:paraId="2D3321BB" w14:textId="77777777" w:rsidR="00F30044" w:rsidRPr="00130A7D" w:rsidRDefault="00F30044" w:rsidP="00CC39FD">
            <w:pPr>
              <w:spacing w:after="0" w:line="240" w:lineRule="auto"/>
              <w:jc w:val="right"/>
              <w:rPr>
                <w:rFonts w:ascii="Arial" w:eastAsia="Times New Roman" w:hAnsi="Arial" w:cs="Arial"/>
                <w:color w:val="000000"/>
              </w:rPr>
            </w:pPr>
            <w:r w:rsidRPr="00130A7D">
              <w:rPr>
                <w:rFonts w:ascii="Arial" w:eastAsia="Times New Roman" w:hAnsi="Arial" w:cs="Arial"/>
                <w:color w:val="000000"/>
              </w:rPr>
              <w:t>6</w:t>
            </w:r>
          </w:p>
        </w:tc>
        <w:tc>
          <w:tcPr>
            <w:tcW w:w="0" w:type="auto"/>
            <w:shd w:val="clear" w:color="auto" w:fill="auto"/>
            <w:vAlign w:val="bottom"/>
            <w:hideMark/>
          </w:tcPr>
          <w:p w14:paraId="1DA1D548" w14:textId="77777777" w:rsidR="00F30044" w:rsidRPr="00130A7D" w:rsidRDefault="00F30044" w:rsidP="00CC39FD">
            <w:pPr>
              <w:spacing w:after="0" w:line="240" w:lineRule="auto"/>
              <w:rPr>
                <w:rFonts w:ascii="Arial" w:eastAsia="Times New Roman" w:hAnsi="Arial" w:cs="Arial"/>
                <w:color w:val="000000"/>
              </w:rPr>
            </w:pPr>
            <w:r w:rsidRPr="00130A7D">
              <w:rPr>
                <w:rFonts w:ascii="Arial" w:eastAsia="Times New Roman" w:hAnsi="Arial" w:cs="Arial"/>
                <w:color w:val="000000"/>
              </w:rPr>
              <w:t>CT 148 2019 Final True-up to actual (posted in 2019 GL)</w:t>
            </w:r>
          </w:p>
        </w:tc>
        <w:tc>
          <w:tcPr>
            <w:tcW w:w="0" w:type="auto"/>
            <w:shd w:val="clear" w:color="auto" w:fill="auto"/>
            <w:noWrap/>
            <w:vAlign w:val="bottom"/>
            <w:hideMark/>
          </w:tcPr>
          <w:p w14:paraId="647FF688" w14:textId="77777777" w:rsidR="00F30044" w:rsidRPr="00130A7D" w:rsidRDefault="00F30044" w:rsidP="00CC39FD">
            <w:pPr>
              <w:spacing w:after="0" w:line="240" w:lineRule="auto"/>
              <w:jc w:val="center"/>
              <w:rPr>
                <w:rFonts w:ascii="Arial" w:eastAsia="Times New Roman" w:hAnsi="Arial" w:cs="Arial"/>
                <w:color w:val="000000"/>
              </w:rPr>
            </w:pPr>
            <w:r w:rsidRPr="00130A7D">
              <w:rPr>
                <w:rFonts w:ascii="Arial" w:eastAsia="Times New Roman" w:hAnsi="Arial" w:cs="Arial"/>
                <w:color w:val="000000"/>
              </w:rPr>
              <w:t xml:space="preserve">                     (554,961)</w:t>
            </w:r>
          </w:p>
        </w:tc>
        <w:tc>
          <w:tcPr>
            <w:tcW w:w="0" w:type="auto"/>
            <w:shd w:val="clear" w:color="000000" w:fill="EDEDED"/>
            <w:noWrap/>
            <w:vAlign w:val="bottom"/>
            <w:hideMark/>
          </w:tcPr>
          <w:p w14:paraId="1C21B545" w14:textId="77777777" w:rsidR="00F30044" w:rsidRPr="00130A7D" w:rsidRDefault="00F30044" w:rsidP="00CC39FD">
            <w:pPr>
              <w:spacing w:after="0" w:line="240" w:lineRule="auto"/>
              <w:jc w:val="center"/>
              <w:rPr>
                <w:rFonts w:ascii="Arial" w:eastAsia="Times New Roman" w:hAnsi="Arial" w:cs="Arial"/>
                <w:color w:val="000000"/>
              </w:rPr>
            </w:pPr>
            <w:r w:rsidRPr="00130A7D">
              <w:rPr>
                <w:rFonts w:ascii="Arial" w:eastAsia="Times New Roman" w:hAnsi="Arial" w:cs="Arial"/>
                <w:color w:val="000000"/>
              </w:rPr>
              <w:t xml:space="preserve">                    2,020 </w:t>
            </w:r>
          </w:p>
        </w:tc>
      </w:tr>
      <w:tr w:rsidR="00F30044" w:rsidRPr="00130A7D" w14:paraId="6662D1D1" w14:textId="77777777" w:rsidTr="00CC39FD">
        <w:trPr>
          <w:trHeight w:val="285"/>
        </w:trPr>
        <w:tc>
          <w:tcPr>
            <w:tcW w:w="0" w:type="auto"/>
            <w:shd w:val="clear" w:color="auto" w:fill="auto"/>
            <w:noWrap/>
            <w:vAlign w:val="bottom"/>
            <w:hideMark/>
          </w:tcPr>
          <w:p w14:paraId="66391572" w14:textId="77777777" w:rsidR="00F30044" w:rsidRPr="00130A7D" w:rsidRDefault="00F30044" w:rsidP="00CC39FD">
            <w:pPr>
              <w:spacing w:after="0" w:line="240" w:lineRule="auto"/>
              <w:rPr>
                <w:rFonts w:ascii="Arial" w:eastAsia="Times New Roman" w:hAnsi="Arial" w:cs="Arial"/>
                <w:color w:val="000000"/>
              </w:rPr>
            </w:pPr>
            <w:r w:rsidRPr="00130A7D">
              <w:rPr>
                <w:rFonts w:ascii="Arial" w:eastAsia="Times New Roman" w:hAnsi="Arial" w:cs="Arial"/>
                <w:color w:val="000000"/>
              </w:rPr>
              <w:t> </w:t>
            </w:r>
          </w:p>
        </w:tc>
        <w:tc>
          <w:tcPr>
            <w:tcW w:w="0" w:type="auto"/>
            <w:shd w:val="clear" w:color="auto" w:fill="auto"/>
            <w:noWrap/>
            <w:vAlign w:val="bottom"/>
            <w:hideMark/>
          </w:tcPr>
          <w:p w14:paraId="36F89DAB" w14:textId="77777777" w:rsidR="00F30044" w:rsidRPr="00130A7D" w:rsidRDefault="00F30044" w:rsidP="00CC39FD">
            <w:pPr>
              <w:spacing w:after="0" w:line="240" w:lineRule="auto"/>
              <w:jc w:val="right"/>
              <w:rPr>
                <w:rFonts w:ascii="Arial" w:eastAsia="Times New Roman" w:hAnsi="Arial" w:cs="Arial"/>
                <w:color w:val="000000"/>
              </w:rPr>
            </w:pPr>
            <w:r w:rsidRPr="00130A7D">
              <w:rPr>
                <w:rFonts w:ascii="Arial" w:eastAsia="Times New Roman" w:hAnsi="Arial" w:cs="Arial"/>
                <w:color w:val="000000"/>
              </w:rPr>
              <w:t>7</w:t>
            </w:r>
          </w:p>
        </w:tc>
        <w:tc>
          <w:tcPr>
            <w:tcW w:w="0" w:type="auto"/>
            <w:shd w:val="clear" w:color="auto" w:fill="auto"/>
            <w:vAlign w:val="bottom"/>
            <w:hideMark/>
          </w:tcPr>
          <w:p w14:paraId="7AC56822" w14:textId="77777777" w:rsidR="00F30044" w:rsidRPr="00130A7D" w:rsidRDefault="00F30044" w:rsidP="00CC39FD">
            <w:pPr>
              <w:spacing w:after="0" w:line="240" w:lineRule="auto"/>
              <w:rPr>
                <w:rFonts w:ascii="Arial" w:eastAsia="Times New Roman" w:hAnsi="Arial" w:cs="Arial"/>
                <w:color w:val="000000"/>
              </w:rPr>
            </w:pPr>
            <w:r w:rsidRPr="00130A7D">
              <w:rPr>
                <w:rFonts w:ascii="Arial" w:eastAsia="Times New Roman" w:hAnsi="Arial" w:cs="Arial"/>
                <w:color w:val="000000"/>
              </w:rPr>
              <w:t> </w:t>
            </w:r>
          </w:p>
        </w:tc>
        <w:tc>
          <w:tcPr>
            <w:tcW w:w="0" w:type="auto"/>
            <w:shd w:val="clear" w:color="auto" w:fill="auto"/>
            <w:noWrap/>
            <w:vAlign w:val="bottom"/>
            <w:hideMark/>
          </w:tcPr>
          <w:p w14:paraId="0238D757" w14:textId="77777777" w:rsidR="00F30044" w:rsidRPr="00130A7D" w:rsidRDefault="00F30044" w:rsidP="00CC39FD">
            <w:pPr>
              <w:spacing w:after="0" w:line="240" w:lineRule="auto"/>
              <w:jc w:val="center"/>
              <w:rPr>
                <w:rFonts w:ascii="Arial" w:eastAsia="Times New Roman" w:hAnsi="Arial" w:cs="Arial"/>
                <w:color w:val="000000"/>
              </w:rPr>
            </w:pPr>
            <w:r w:rsidRPr="00130A7D">
              <w:rPr>
                <w:rFonts w:ascii="Arial" w:eastAsia="Times New Roman" w:hAnsi="Arial" w:cs="Arial"/>
                <w:color w:val="000000"/>
              </w:rPr>
              <w:t xml:space="preserve">  </w:t>
            </w:r>
          </w:p>
        </w:tc>
        <w:tc>
          <w:tcPr>
            <w:tcW w:w="0" w:type="auto"/>
            <w:shd w:val="clear" w:color="000000" w:fill="EDEDED"/>
            <w:noWrap/>
            <w:vAlign w:val="bottom"/>
            <w:hideMark/>
          </w:tcPr>
          <w:p w14:paraId="59A9E92A" w14:textId="77777777" w:rsidR="00F30044" w:rsidRPr="00130A7D" w:rsidRDefault="00F30044" w:rsidP="00CC39FD">
            <w:pPr>
              <w:spacing w:after="0" w:line="240" w:lineRule="auto"/>
              <w:jc w:val="center"/>
              <w:rPr>
                <w:rFonts w:ascii="Arial" w:eastAsia="Times New Roman" w:hAnsi="Arial" w:cs="Arial"/>
                <w:color w:val="000000"/>
              </w:rPr>
            </w:pPr>
            <w:r w:rsidRPr="00130A7D">
              <w:rPr>
                <w:rFonts w:ascii="Arial" w:eastAsia="Times New Roman" w:hAnsi="Arial" w:cs="Arial"/>
                <w:color w:val="000000"/>
              </w:rPr>
              <w:t> </w:t>
            </w:r>
          </w:p>
        </w:tc>
      </w:tr>
      <w:tr w:rsidR="00F30044" w:rsidRPr="00130A7D" w14:paraId="35F1F114" w14:textId="77777777" w:rsidTr="00CC39FD">
        <w:trPr>
          <w:trHeight w:val="285"/>
        </w:trPr>
        <w:tc>
          <w:tcPr>
            <w:tcW w:w="0" w:type="auto"/>
            <w:shd w:val="clear" w:color="auto" w:fill="auto"/>
            <w:noWrap/>
            <w:vAlign w:val="bottom"/>
            <w:hideMark/>
          </w:tcPr>
          <w:p w14:paraId="78181C6F" w14:textId="77777777" w:rsidR="00F30044" w:rsidRPr="00130A7D" w:rsidRDefault="00F30044" w:rsidP="00CC39FD">
            <w:pPr>
              <w:spacing w:after="0" w:line="240" w:lineRule="auto"/>
              <w:rPr>
                <w:rFonts w:ascii="Arial" w:eastAsia="Times New Roman" w:hAnsi="Arial" w:cs="Arial"/>
                <w:color w:val="000000"/>
              </w:rPr>
            </w:pPr>
            <w:r w:rsidRPr="00130A7D">
              <w:rPr>
                <w:rFonts w:ascii="Arial" w:eastAsia="Times New Roman" w:hAnsi="Arial" w:cs="Arial"/>
                <w:color w:val="000000"/>
              </w:rPr>
              <w:t> </w:t>
            </w:r>
          </w:p>
        </w:tc>
        <w:tc>
          <w:tcPr>
            <w:tcW w:w="0" w:type="auto"/>
            <w:shd w:val="clear" w:color="auto" w:fill="auto"/>
            <w:noWrap/>
            <w:vAlign w:val="bottom"/>
            <w:hideMark/>
          </w:tcPr>
          <w:p w14:paraId="5007C28A" w14:textId="77777777" w:rsidR="00F30044" w:rsidRPr="00130A7D" w:rsidRDefault="00F30044" w:rsidP="00CC39FD">
            <w:pPr>
              <w:spacing w:after="0" w:line="240" w:lineRule="auto"/>
              <w:jc w:val="right"/>
              <w:rPr>
                <w:rFonts w:ascii="Arial" w:eastAsia="Times New Roman" w:hAnsi="Arial" w:cs="Arial"/>
                <w:color w:val="000000"/>
              </w:rPr>
            </w:pPr>
            <w:r w:rsidRPr="00130A7D">
              <w:rPr>
                <w:rFonts w:ascii="Arial" w:eastAsia="Times New Roman" w:hAnsi="Arial" w:cs="Arial"/>
                <w:color w:val="000000"/>
              </w:rPr>
              <w:t>8</w:t>
            </w:r>
          </w:p>
        </w:tc>
        <w:tc>
          <w:tcPr>
            <w:tcW w:w="0" w:type="auto"/>
            <w:shd w:val="clear" w:color="auto" w:fill="auto"/>
            <w:vAlign w:val="bottom"/>
            <w:hideMark/>
          </w:tcPr>
          <w:p w14:paraId="54BEF77B" w14:textId="77777777" w:rsidR="00F30044" w:rsidRPr="00130A7D" w:rsidRDefault="00F30044" w:rsidP="00CC39FD">
            <w:pPr>
              <w:spacing w:after="0" w:line="240" w:lineRule="auto"/>
              <w:rPr>
                <w:rFonts w:ascii="Arial" w:eastAsia="Times New Roman" w:hAnsi="Arial" w:cs="Arial"/>
                <w:color w:val="000000"/>
              </w:rPr>
            </w:pPr>
            <w:r w:rsidRPr="00130A7D">
              <w:rPr>
                <w:rFonts w:ascii="Arial" w:eastAsia="Times New Roman" w:hAnsi="Arial" w:cs="Arial"/>
                <w:color w:val="000000"/>
              </w:rPr>
              <w:t> </w:t>
            </w:r>
          </w:p>
        </w:tc>
        <w:tc>
          <w:tcPr>
            <w:tcW w:w="0" w:type="auto"/>
            <w:shd w:val="clear" w:color="auto" w:fill="auto"/>
            <w:noWrap/>
            <w:vAlign w:val="bottom"/>
            <w:hideMark/>
          </w:tcPr>
          <w:p w14:paraId="3D29113C" w14:textId="77777777" w:rsidR="00F30044" w:rsidRPr="00130A7D" w:rsidRDefault="00F30044" w:rsidP="00CC39FD">
            <w:pPr>
              <w:spacing w:after="0" w:line="240" w:lineRule="auto"/>
              <w:jc w:val="center"/>
              <w:rPr>
                <w:rFonts w:ascii="Arial" w:eastAsia="Times New Roman" w:hAnsi="Arial" w:cs="Arial"/>
                <w:color w:val="000000"/>
              </w:rPr>
            </w:pPr>
            <w:r w:rsidRPr="00130A7D">
              <w:rPr>
                <w:rFonts w:ascii="Arial" w:eastAsia="Times New Roman" w:hAnsi="Arial" w:cs="Arial"/>
                <w:color w:val="000000"/>
              </w:rPr>
              <w:t xml:space="preserve">  </w:t>
            </w:r>
          </w:p>
        </w:tc>
        <w:tc>
          <w:tcPr>
            <w:tcW w:w="0" w:type="auto"/>
            <w:shd w:val="clear" w:color="000000" w:fill="EDEDED"/>
            <w:noWrap/>
            <w:vAlign w:val="bottom"/>
            <w:hideMark/>
          </w:tcPr>
          <w:p w14:paraId="6B8705AF" w14:textId="77777777" w:rsidR="00F30044" w:rsidRPr="00130A7D" w:rsidRDefault="00F30044" w:rsidP="00CC39FD">
            <w:pPr>
              <w:spacing w:after="0" w:line="240" w:lineRule="auto"/>
              <w:jc w:val="center"/>
              <w:rPr>
                <w:rFonts w:ascii="Arial" w:eastAsia="Times New Roman" w:hAnsi="Arial" w:cs="Arial"/>
                <w:color w:val="000000"/>
              </w:rPr>
            </w:pPr>
            <w:r w:rsidRPr="00130A7D">
              <w:rPr>
                <w:rFonts w:ascii="Arial" w:eastAsia="Times New Roman" w:hAnsi="Arial" w:cs="Arial"/>
                <w:color w:val="000000"/>
              </w:rPr>
              <w:t> </w:t>
            </w:r>
          </w:p>
        </w:tc>
      </w:tr>
      <w:tr w:rsidR="00F30044" w:rsidRPr="00130A7D" w14:paraId="67986E53" w14:textId="77777777" w:rsidTr="00CC39FD">
        <w:trPr>
          <w:trHeight w:val="300"/>
        </w:trPr>
        <w:tc>
          <w:tcPr>
            <w:tcW w:w="0" w:type="auto"/>
            <w:shd w:val="clear" w:color="auto" w:fill="auto"/>
            <w:noWrap/>
            <w:vAlign w:val="bottom"/>
            <w:hideMark/>
          </w:tcPr>
          <w:p w14:paraId="1DBA5253" w14:textId="77777777" w:rsidR="00F30044" w:rsidRPr="00130A7D" w:rsidRDefault="00F30044" w:rsidP="00CC39FD">
            <w:pPr>
              <w:spacing w:after="0" w:line="240" w:lineRule="auto"/>
              <w:rPr>
                <w:rFonts w:ascii="Arial" w:eastAsia="Times New Roman" w:hAnsi="Arial" w:cs="Arial"/>
                <w:color w:val="000000"/>
              </w:rPr>
            </w:pPr>
            <w:r w:rsidRPr="00130A7D">
              <w:rPr>
                <w:rFonts w:ascii="Arial" w:eastAsia="Times New Roman" w:hAnsi="Arial" w:cs="Arial"/>
                <w:color w:val="000000"/>
              </w:rPr>
              <w:t> </w:t>
            </w:r>
          </w:p>
        </w:tc>
        <w:tc>
          <w:tcPr>
            <w:tcW w:w="0" w:type="auto"/>
            <w:gridSpan w:val="2"/>
            <w:shd w:val="clear" w:color="auto" w:fill="auto"/>
            <w:noWrap/>
            <w:vAlign w:val="bottom"/>
            <w:hideMark/>
          </w:tcPr>
          <w:p w14:paraId="0FF50DA0" w14:textId="77777777" w:rsidR="00F30044" w:rsidRPr="00130A7D" w:rsidRDefault="00F30044" w:rsidP="00CC39FD">
            <w:pPr>
              <w:spacing w:after="0" w:line="240" w:lineRule="auto"/>
              <w:jc w:val="right"/>
              <w:rPr>
                <w:rFonts w:ascii="Arial" w:eastAsia="Times New Roman" w:hAnsi="Arial" w:cs="Arial"/>
                <w:b/>
                <w:bCs/>
                <w:color w:val="000000"/>
              </w:rPr>
            </w:pPr>
            <w:r w:rsidRPr="00130A7D">
              <w:rPr>
                <w:rFonts w:ascii="Arial" w:eastAsia="Times New Roman" w:hAnsi="Arial" w:cs="Arial"/>
                <w:b/>
                <w:bCs/>
                <w:color w:val="000000"/>
              </w:rPr>
              <w:t>Total Reversal Principal Adjustments</w:t>
            </w:r>
          </w:p>
        </w:tc>
        <w:tc>
          <w:tcPr>
            <w:tcW w:w="0" w:type="auto"/>
            <w:shd w:val="clear" w:color="auto" w:fill="auto"/>
            <w:noWrap/>
            <w:vAlign w:val="bottom"/>
            <w:hideMark/>
          </w:tcPr>
          <w:p w14:paraId="471873F0" w14:textId="77777777" w:rsidR="00F30044" w:rsidRPr="00130A7D" w:rsidRDefault="00F30044" w:rsidP="00CC39FD">
            <w:pPr>
              <w:spacing w:after="0" w:line="240" w:lineRule="auto"/>
              <w:jc w:val="center"/>
              <w:rPr>
                <w:rFonts w:ascii="Arial" w:eastAsia="Times New Roman" w:hAnsi="Arial" w:cs="Arial"/>
                <w:color w:val="000000"/>
              </w:rPr>
            </w:pPr>
            <w:r w:rsidRPr="00130A7D">
              <w:rPr>
                <w:rFonts w:ascii="Arial" w:eastAsia="Times New Roman" w:hAnsi="Arial" w:cs="Arial"/>
                <w:color w:val="000000"/>
              </w:rPr>
              <w:t xml:space="preserve">                       921,789 </w:t>
            </w:r>
          </w:p>
        </w:tc>
        <w:tc>
          <w:tcPr>
            <w:tcW w:w="0" w:type="auto"/>
            <w:shd w:val="clear" w:color="auto" w:fill="auto"/>
            <w:noWrap/>
            <w:vAlign w:val="bottom"/>
            <w:hideMark/>
          </w:tcPr>
          <w:p w14:paraId="10249C9A" w14:textId="77777777" w:rsidR="00F30044" w:rsidRPr="00130A7D" w:rsidRDefault="00F30044" w:rsidP="00CC39FD">
            <w:pPr>
              <w:spacing w:after="0" w:line="240" w:lineRule="auto"/>
              <w:rPr>
                <w:rFonts w:ascii="Arial" w:eastAsia="Times New Roman" w:hAnsi="Arial" w:cs="Arial"/>
                <w:color w:val="000000"/>
              </w:rPr>
            </w:pPr>
            <w:r w:rsidRPr="00130A7D">
              <w:rPr>
                <w:rFonts w:ascii="Arial" w:eastAsia="Times New Roman" w:hAnsi="Arial" w:cs="Arial"/>
                <w:color w:val="000000"/>
              </w:rPr>
              <w:t> </w:t>
            </w:r>
          </w:p>
        </w:tc>
      </w:tr>
    </w:tbl>
    <w:p w14:paraId="5DCD50B3" w14:textId="77777777" w:rsidR="00F30044" w:rsidRDefault="00F30044" w:rsidP="00F30044">
      <w:pPr>
        <w:rPr>
          <w:rFonts w:ascii="Arial" w:hAnsi="Arial" w:cs="Arial"/>
          <w:sz w:val="24"/>
          <w:szCs w:val="24"/>
        </w:rPr>
      </w:pPr>
    </w:p>
    <w:p w14:paraId="289DC81B" w14:textId="77777777" w:rsidR="00F30044" w:rsidRPr="008A38C5" w:rsidRDefault="00F30044" w:rsidP="00F30044">
      <w:pPr>
        <w:rPr>
          <w:rFonts w:ascii="Arial" w:hAnsi="Arial" w:cs="Arial"/>
          <w:sz w:val="24"/>
          <w:szCs w:val="24"/>
        </w:rPr>
      </w:pPr>
      <w:r>
        <w:rPr>
          <w:rFonts w:ascii="Arial" w:hAnsi="Arial" w:cs="Arial"/>
          <w:sz w:val="24"/>
          <w:szCs w:val="24"/>
        </w:rPr>
        <w:t xml:space="preserve">OEB staff notes that the timing of posting the principal adjustments is not consistent. For example, the adjustment for CT148 2019 Final Rue-up to actual was said to posted in 2019 GL in the bracket while “Year recorded in GL” cell shows “2020”. </w:t>
      </w:r>
    </w:p>
    <w:p w14:paraId="0B01C8C8" w14:textId="57462F32" w:rsidR="00F30044" w:rsidRDefault="00F30044" w:rsidP="00F30044">
      <w:pPr>
        <w:pStyle w:val="ListParagraph"/>
        <w:numPr>
          <w:ilvl w:val="0"/>
          <w:numId w:val="15"/>
        </w:numPr>
        <w:contextualSpacing w:val="0"/>
        <w:rPr>
          <w:rFonts w:ascii="Arial" w:hAnsi="Arial" w:cs="Arial"/>
          <w:sz w:val="24"/>
          <w:szCs w:val="24"/>
        </w:rPr>
      </w:pPr>
      <w:r>
        <w:rPr>
          <w:rFonts w:ascii="Arial" w:hAnsi="Arial" w:cs="Arial"/>
          <w:sz w:val="24"/>
          <w:szCs w:val="24"/>
        </w:rPr>
        <w:t>Please clarify when each of the principal adjustments were recorded in GL?</w:t>
      </w:r>
    </w:p>
    <w:p w14:paraId="08E7C40E" w14:textId="77777777" w:rsidR="00EA4263" w:rsidRDefault="00EA4263" w:rsidP="00F30044">
      <w:pPr>
        <w:contextualSpacing/>
        <w:rPr>
          <w:rFonts w:ascii="Arial" w:eastAsia="Times New Roman" w:hAnsi="Arial" w:cs="Arial"/>
          <w:b/>
          <w:bCs/>
          <w:sz w:val="24"/>
          <w:szCs w:val="24"/>
        </w:rPr>
      </w:pPr>
    </w:p>
    <w:p w14:paraId="7729C979" w14:textId="77777777" w:rsidR="00EA4263" w:rsidRDefault="00EA4263" w:rsidP="00F30044">
      <w:pPr>
        <w:contextualSpacing/>
        <w:rPr>
          <w:rFonts w:ascii="Arial" w:eastAsia="Times New Roman" w:hAnsi="Arial" w:cs="Arial"/>
          <w:b/>
          <w:bCs/>
          <w:sz w:val="24"/>
          <w:szCs w:val="24"/>
        </w:rPr>
      </w:pPr>
    </w:p>
    <w:p w14:paraId="6A2D37B5" w14:textId="3E58FE8A" w:rsidR="00F30044" w:rsidRPr="00325974" w:rsidRDefault="00F30044" w:rsidP="00F30044">
      <w:pPr>
        <w:contextualSpacing/>
        <w:rPr>
          <w:rFonts w:ascii="Arial" w:eastAsia="Times New Roman" w:hAnsi="Arial" w:cs="Arial"/>
          <w:b/>
          <w:bCs/>
          <w:sz w:val="24"/>
          <w:szCs w:val="24"/>
        </w:rPr>
      </w:pPr>
      <w:r w:rsidRPr="00325974">
        <w:rPr>
          <w:rFonts w:ascii="Arial" w:eastAsia="Times New Roman" w:hAnsi="Arial" w:cs="Arial"/>
          <w:b/>
          <w:bCs/>
          <w:sz w:val="24"/>
          <w:szCs w:val="24"/>
        </w:rPr>
        <w:lastRenderedPageBreak/>
        <w:t>Staff</w:t>
      </w:r>
      <w:r>
        <w:rPr>
          <w:rFonts w:ascii="Arial" w:eastAsia="Times New Roman" w:hAnsi="Arial" w:cs="Arial"/>
          <w:b/>
          <w:bCs/>
          <w:sz w:val="24"/>
          <w:szCs w:val="24"/>
        </w:rPr>
        <w:t xml:space="preserve"> Question</w:t>
      </w:r>
      <w:r w:rsidRPr="00325974">
        <w:rPr>
          <w:rFonts w:ascii="Arial" w:eastAsia="Times New Roman" w:hAnsi="Arial" w:cs="Arial"/>
          <w:b/>
          <w:bCs/>
          <w:sz w:val="24"/>
          <w:szCs w:val="24"/>
        </w:rPr>
        <w:t>-</w:t>
      </w:r>
      <w:r>
        <w:rPr>
          <w:rFonts w:ascii="Arial" w:eastAsia="Times New Roman" w:hAnsi="Arial" w:cs="Arial"/>
          <w:b/>
          <w:bCs/>
          <w:sz w:val="24"/>
          <w:szCs w:val="24"/>
        </w:rPr>
        <w:t>6</w:t>
      </w:r>
    </w:p>
    <w:p w14:paraId="63BF036D" w14:textId="764EB7D5" w:rsidR="00F30044" w:rsidRPr="000B0A78" w:rsidRDefault="00F30044" w:rsidP="00F30044">
      <w:pPr>
        <w:rPr>
          <w:rFonts w:ascii="Arial" w:hAnsi="Arial" w:cs="Arial"/>
          <w:b/>
          <w:bCs/>
          <w:sz w:val="24"/>
          <w:szCs w:val="24"/>
        </w:rPr>
      </w:pPr>
      <w:r w:rsidRPr="002D6E67">
        <w:rPr>
          <w:rFonts w:ascii="Arial" w:hAnsi="Arial" w:cs="Arial"/>
          <w:b/>
          <w:bCs/>
          <w:sz w:val="24"/>
          <w:szCs w:val="24"/>
        </w:rPr>
        <w:t>Ref:</w:t>
      </w:r>
      <w:r w:rsidRPr="002D6E67">
        <w:rPr>
          <w:rFonts w:ascii="Arial" w:hAnsi="Arial" w:cs="Arial"/>
          <w:sz w:val="24"/>
          <w:szCs w:val="24"/>
        </w:rPr>
        <w:t xml:space="preserve"> </w:t>
      </w:r>
      <w:r>
        <w:rPr>
          <w:rFonts w:ascii="Arial" w:hAnsi="Arial" w:cs="Arial"/>
          <w:b/>
          <w:bCs/>
          <w:sz w:val="24"/>
          <w:szCs w:val="24"/>
        </w:rPr>
        <w:t>Rate Generator Model</w:t>
      </w:r>
      <w:r w:rsidR="00174365">
        <w:rPr>
          <w:rFonts w:ascii="Arial" w:hAnsi="Arial" w:cs="Arial"/>
          <w:b/>
          <w:bCs/>
          <w:sz w:val="24"/>
          <w:szCs w:val="24"/>
        </w:rPr>
        <w:t>, Tab 3 Continuity Schedule</w:t>
      </w:r>
    </w:p>
    <w:p w14:paraId="6063CFCD" w14:textId="77777777" w:rsidR="00F30044" w:rsidRDefault="00F30044" w:rsidP="00F30044">
      <w:pPr>
        <w:rPr>
          <w:rFonts w:ascii="Arial" w:hAnsi="Arial" w:cs="Arial"/>
          <w:sz w:val="24"/>
          <w:szCs w:val="24"/>
        </w:rPr>
      </w:pPr>
      <w:r w:rsidRPr="001F0B83">
        <w:rPr>
          <w:rFonts w:ascii="Arial" w:hAnsi="Arial" w:cs="Arial"/>
          <w:sz w:val="24"/>
          <w:szCs w:val="24"/>
        </w:rPr>
        <w:t>Tab 3 “Continuity Schedule” of the IRM rate generator model</w:t>
      </w:r>
      <w:r>
        <w:rPr>
          <w:rFonts w:ascii="Arial" w:hAnsi="Arial" w:cs="Arial"/>
          <w:sz w:val="24"/>
          <w:szCs w:val="24"/>
        </w:rPr>
        <w:t xml:space="preserve"> shows that the 2020 traction debit for Account 1550 LV variances is $</w:t>
      </w:r>
      <w:r w:rsidRPr="001F0B83">
        <w:rPr>
          <w:rFonts w:ascii="Arial" w:hAnsi="Arial" w:cs="Arial"/>
          <w:sz w:val="24"/>
          <w:szCs w:val="24"/>
        </w:rPr>
        <w:t>812</w:t>
      </w:r>
      <w:r>
        <w:rPr>
          <w:rFonts w:ascii="Arial" w:hAnsi="Arial" w:cs="Arial"/>
          <w:sz w:val="24"/>
          <w:szCs w:val="24"/>
        </w:rPr>
        <w:t>,</w:t>
      </w:r>
      <w:r w:rsidRPr="001F0B83">
        <w:rPr>
          <w:rFonts w:ascii="Arial" w:hAnsi="Arial" w:cs="Arial"/>
          <w:sz w:val="24"/>
          <w:szCs w:val="24"/>
        </w:rPr>
        <w:t>267</w:t>
      </w:r>
      <w:r>
        <w:rPr>
          <w:rFonts w:ascii="Arial" w:hAnsi="Arial" w:cs="Arial"/>
          <w:sz w:val="24"/>
          <w:szCs w:val="24"/>
        </w:rPr>
        <w:t xml:space="preserve">. OEB staff notes that this amount is significantly higher than the 2019 net transaction of $213,138 in Account 1550. </w:t>
      </w:r>
    </w:p>
    <w:p w14:paraId="41C3747C" w14:textId="77777777" w:rsidR="00F30044" w:rsidRDefault="00F30044" w:rsidP="00F30044">
      <w:pPr>
        <w:pStyle w:val="ListParagraph"/>
        <w:numPr>
          <w:ilvl w:val="0"/>
          <w:numId w:val="16"/>
        </w:numPr>
        <w:contextualSpacing w:val="0"/>
        <w:rPr>
          <w:rFonts w:ascii="Arial" w:hAnsi="Arial" w:cs="Arial"/>
          <w:sz w:val="24"/>
          <w:szCs w:val="24"/>
        </w:rPr>
      </w:pPr>
      <w:r>
        <w:rPr>
          <w:rFonts w:ascii="Arial" w:hAnsi="Arial" w:cs="Arial"/>
          <w:sz w:val="24"/>
          <w:szCs w:val="24"/>
        </w:rPr>
        <w:t xml:space="preserve">Please explain why 2020 net transactions in Account 1550 has significantly increased as compared to last year. </w:t>
      </w:r>
    </w:p>
    <w:p w14:paraId="02588541" w14:textId="77777777" w:rsidR="00F30044" w:rsidRDefault="00F30044" w:rsidP="00F30044">
      <w:pPr>
        <w:pStyle w:val="ListParagraph"/>
        <w:numPr>
          <w:ilvl w:val="0"/>
          <w:numId w:val="16"/>
        </w:numPr>
        <w:contextualSpacing w:val="0"/>
        <w:rPr>
          <w:rFonts w:ascii="Arial" w:hAnsi="Arial" w:cs="Arial"/>
          <w:sz w:val="24"/>
          <w:szCs w:val="24"/>
        </w:rPr>
      </w:pPr>
      <w:r>
        <w:rPr>
          <w:rFonts w:ascii="Arial" w:hAnsi="Arial" w:cs="Arial"/>
          <w:sz w:val="24"/>
          <w:szCs w:val="24"/>
        </w:rPr>
        <w:t xml:space="preserve">Please provide a calculation for the 2020 transaction amount of $812,267 by breaking down the LV revenues and LV costs. </w:t>
      </w:r>
    </w:p>
    <w:p w14:paraId="0430F3B0" w14:textId="77777777" w:rsidR="00F30044" w:rsidRPr="00F30044" w:rsidRDefault="00F30044" w:rsidP="00F30044">
      <w:pPr>
        <w:spacing w:after="160" w:line="259" w:lineRule="auto"/>
        <w:rPr>
          <w:rFonts w:ascii="Arial" w:hAnsi="Arial" w:cs="Arial"/>
          <w:sz w:val="24"/>
          <w:szCs w:val="24"/>
        </w:rPr>
      </w:pPr>
    </w:p>
    <w:p w14:paraId="3AAB90F1" w14:textId="3CCAB362" w:rsidR="00D66D10" w:rsidRPr="00B90262" w:rsidRDefault="00D66D10" w:rsidP="00BA7263">
      <w:pPr>
        <w:rPr>
          <w:rFonts w:ascii="Arial" w:eastAsia="Times New Roman" w:hAnsi="Arial" w:cs="Arial"/>
          <w:b/>
          <w:bCs/>
          <w:sz w:val="24"/>
          <w:szCs w:val="24"/>
        </w:rPr>
      </w:pPr>
      <w:r>
        <w:rPr>
          <w:rFonts w:ascii="Arial" w:eastAsia="Times New Roman" w:hAnsi="Arial" w:cs="Arial"/>
          <w:sz w:val="24"/>
          <w:szCs w:val="24"/>
        </w:rPr>
        <w:t xml:space="preserve"> </w:t>
      </w:r>
    </w:p>
    <w:p w14:paraId="53127930" w14:textId="374B2DEF" w:rsidR="00FB2D6C" w:rsidRPr="00FB2D6C" w:rsidRDefault="00FB2D6C" w:rsidP="00D66D10">
      <w:pPr>
        <w:rPr>
          <w:rFonts w:ascii="Arial" w:hAnsi="Arial" w:cs="Arial"/>
          <w:sz w:val="24"/>
          <w:szCs w:val="24"/>
        </w:rPr>
      </w:pPr>
    </w:p>
    <w:sectPr w:rsidR="00FB2D6C" w:rsidRPr="00FB2D6C" w:rsidSect="00F61E05">
      <w:headerReference w:type="default" r:id="rId8"/>
      <w:footerReference w:type="default" r:id="rId9"/>
      <w:headerReference w:type="first" r:id="rId10"/>
      <w:footerReference w:type="first" r:id="rId11"/>
      <w:pgSz w:w="12240" w:h="15840" w:code="1"/>
      <w:pgMar w:top="1440" w:right="1440" w:bottom="1440" w:left="1440" w:header="709" w:footer="703"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7D026" w14:textId="77777777" w:rsidR="00DA260C" w:rsidRDefault="00DA260C" w:rsidP="003E6FB1">
      <w:pPr>
        <w:spacing w:after="0" w:line="240" w:lineRule="auto"/>
      </w:pPr>
      <w:r>
        <w:separator/>
      </w:r>
    </w:p>
  </w:endnote>
  <w:endnote w:type="continuationSeparator" w:id="0">
    <w:p w14:paraId="609464D8" w14:textId="77777777" w:rsidR="00DA260C" w:rsidRDefault="00DA260C" w:rsidP="003E6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4692287"/>
      <w:docPartObj>
        <w:docPartGallery w:val="Page Numbers (Bottom of Page)"/>
        <w:docPartUnique/>
      </w:docPartObj>
    </w:sdtPr>
    <w:sdtEndPr>
      <w:rPr>
        <w:noProof/>
      </w:rPr>
    </w:sdtEndPr>
    <w:sdtContent>
      <w:p w14:paraId="1C540B01" w14:textId="58BBC429" w:rsidR="00F61E05" w:rsidRDefault="00F61E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F43EE4" w14:textId="77777777" w:rsidR="00F61E05" w:rsidRDefault="00F61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E9FA0" w14:textId="77777777" w:rsidR="00C675C0" w:rsidRDefault="00C675C0" w:rsidP="00C675C0">
    <w:pPr>
      <w:ind w:left="90" w:right="-180" w:hanging="90"/>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977"/>
    </w:tblGrid>
    <w:tr w:rsidR="00386C9B" w14:paraId="75798C7A" w14:textId="77777777" w:rsidTr="001B7035">
      <w:trPr>
        <w:trHeight w:val="521"/>
      </w:trPr>
      <w:tc>
        <w:tcPr>
          <w:tcW w:w="6237" w:type="dxa"/>
        </w:tcPr>
        <w:p w14:paraId="231EE25A" w14:textId="0A9058F6" w:rsidR="00386C9B" w:rsidRPr="007A637D" w:rsidRDefault="00386C9B" w:rsidP="00386C9B">
          <w:pPr>
            <w:spacing w:line="276" w:lineRule="auto"/>
            <w:rPr>
              <w:rFonts w:ascii="Arial" w:hAnsi="Arial" w:cs="Arial"/>
              <w:color w:val="212121"/>
              <w:sz w:val="16"/>
              <w:shd w:val="clear" w:color="auto" w:fill="FFFFFF"/>
            </w:rPr>
          </w:pPr>
        </w:p>
      </w:tc>
      <w:tc>
        <w:tcPr>
          <w:tcW w:w="2977" w:type="dxa"/>
        </w:tcPr>
        <w:p w14:paraId="54B66CD2" w14:textId="051B7CD3" w:rsidR="00386C9B" w:rsidRPr="007A637D" w:rsidRDefault="00386C9B" w:rsidP="00386C9B">
          <w:pPr>
            <w:spacing w:line="276" w:lineRule="auto"/>
            <w:rPr>
              <w:rFonts w:ascii="Arial" w:hAnsi="Arial" w:cs="Arial"/>
              <w:color w:val="212121"/>
              <w:sz w:val="16"/>
              <w:shd w:val="clear" w:color="auto" w:fill="FFFFFF"/>
            </w:rPr>
          </w:pPr>
        </w:p>
      </w:tc>
    </w:tr>
  </w:tbl>
  <w:p w14:paraId="4B8E1C85" w14:textId="77777777" w:rsidR="00C675C0" w:rsidRDefault="00C675C0" w:rsidP="00C675C0">
    <w:pPr>
      <w:pStyle w:val="Footer"/>
      <w:ind w:hanging="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524D3" w14:textId="77777777" w:rsidR="00DA260C" w:rsidRDefault="00DA260C" w:rsidP="003E6FB1">
      <w:pPr>
        <w:spacing w:after="0" w:line="240" w:lineRule="auto"/>
      </w:pPr>
      <w:r>
        <w:separator/>
      </w:r>
    </w:p>
  </w:footnote>
  <w:footnote w:type="continuationSeparator" w:id="0">
    <w:p w14:paraId="1A3ACB91" w14:textId="77777777" w:rsidR="00DA260C" w:rsidRDefault="00DA260C" w:rsidP="003E6FB1">
      <w:pPr>
        <w:spacing w:after="0" w:line="240" w:lineRule="auto"/>
      </w:pPr>
      <w:r>
        <w:continuationSeparator/>
      </w:r>
    </w:p>
  </w:footnote>
  <w:footnote w:id="1">
    <w:p w14:paraId="72B9C139" w14:textId="4D200C39" w:rsidR="000D263F" w:rsidRPr="0007721A" w:rsidRDefault="000D263F">
      <w:pPr>
        <w:pStyle w:val="FootnoteText"/>
        <w:rPr>
          <w:rFonts w:ascii="Arial" w:hAnsi="Arial" w:cs="Arial"/>
          <w:lang w:val="en-US"/>
        </w:rPr>
      </w:pPr>
      <w:r w:rsidRPr="0007721A">
        <w:rPr>
          <w:rStyle w:val="FootnoteReference"/>
          <w:rFonts w:ascii="Arial" w:hAnsi="Arial" w:cs="Arial"/>
        </w:rPr>
        <w:footnoteRef/>
      </w:r>
      <w:r w:rsidRPr="0007721A">
        <w:rPr>
          <w:rFonts w:ascii="Arial" w:hAnsi="Arial" w:cs="Arial"/>
        </w:rPr>
        <w:t xml:space="preserve"> </w:t>
      </w:r>
      <w:r w:rsidRPr="0007721A">
        <w:rPr>
          <w:rFonts w:ascii="Arial" w:hAnsi="Arial" w:cs="Arial"/>
          <w:lang w:val="en-US"/>
        </w:rPr>
        <w:t>2022 inflation factor established in the Decision and Order issued on November 18, 2021, EB-2021-0212</w:t>
      </w:r>
    </w:p>
  </w:footnote>
  <w:footnote w:id="2">
    <w:p w14:paraId="470C5B25" w14:textId="123A250B" w:rsidR="0006764F" w:rsidRPr="0006764F" w:rsidRDefault="0006764F">
      <w:pPr>
        <w:pStyle w:val="FootnoteText"/>
        <w:rPr>
          <w:rFonts w:ascii="Arial" w:hAnsi="Arial" w:cs="Arial"/>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EB-2021-0302, Decision and Order, issued December 16, 2021</w:t>
      </w:r>
    </w:p>
  </w:footnote>
  <w:footnote w:id="3">
    <w:p w14:paraId="59847FBF" w14:textId="799F8EB6" w:rsidR="0006764F" w:rsidRPr="0006764F" w:rsidRDefault="0006764F">
      <w:pPr>
        <w:pStyle w:val="FootnoteText"/>
        <w:rPr>
          <w:rFonts w:ascii="Arial" w:hAnsi="Arial" w:cs="Arial"/>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EB-2021-0276, Decision and Rate Order, issued December 16, 2021</w:t>
      </w:r>
    </w:p>
  </w:footnote>
  <w:footnote w:id="4">
    <w:p w14:paraId="0AFF5D52" w14:textId="1F75895A" w:rsidR="0006764F" w:rsidRPr="0006764F" w:rsidRDefault="0006764F">
      <w:pPr>
        <w:pStyle w:val="FootnoteText"/>
        <w:rPr>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EB-2021-0032, Decision and Rate Order, issued December 14, 2021</w:t>
      </w:r>
    </w:p>
  </w:footnote>
  <w:footnote w:id="5">
    <w:p w14:paraId="6CA42EDF" w14:textId="4C44A7E4" w:rsidR="00853A38" w:rsidRPr="00853A38" w:rsidRDefault="00853A38">
      <w:pPr>
        <w:pStyle w:val="FootnoteText"/>
        <w:rPr>
          <w:rFonts w:ascii="Arial" w:hAnsi="Arial" w:cs="Arial"/>
          <w:lang w:val="en-US"/>
        </w:rPr>
      </w:pPr>
      <w:r w:rsidRPr="00853A38">
        <w:rPr>
          <w:rStyle w:val="FootnoteReference"/>
          <w:rFonts w:ascii="Arial" w:hAnsi="Arial" w:cs="Arial"/>
        </w:rPr>
        <w:footnoteRef/>
      </w:r>
      <w:r w:rsidRPr="00853A38">
        <w:rPr>
          <w:rFonts w:ascii="Arial" w:hAnsi="Arial" w:cs="Arial"/>
        </w:rPr>
        <w:t xml:space="preserve"> </w:t>
      </w:r>
      <w:r w:rsidRPr="00853A38">
        <w:rPr>
          <w:rFonts w:ascii="Arial" w:hAnsi="Arial" w:cs="Arial"/>
          <w:lang w:val="en-US"/>
        </w:rPr>
        <w:t>EB-2015-0075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0E815" w14:textId="4D1496F6" w:rsidR="00F61E05" w:rsidRDefault="00F61E05" w:rsidP="00F61E05">
    <w:pPr>
      <w:pStyle w:val="Default"/>
      <w:jc w:val="right"/>
      <w:rPr>
        <w:rFonts w:ascii="Arial" w:hAnsi="Arial" w:cs="Arial"/>
        <w:sz w:val="20"/>
        <w:szCs w:val="20"/>
      </w:rPr>
    </w:pPr>
    <w:r w:rsidRPr="00E972EF">
      <w:rPr>
        <w:rFonts w:ascii="Arial" w:hAnsi="Arial" w:cs="Arial"/>
        <w:sz w:val="20"/>
        <w:szCs w:val="20"/>
      </w:rPr>
      <w:t xml:space="preserve">OEB Staff </w:t>
    </w:r>
    <w:r>
      <w:rPr>
        <w:rFonts w:ascii="Arial" w:hAnsi="Arial" w:cs="Arial"/>
        <w:sz w:val="20"/>
        <w:szCs w:val="20"/>
      </w:rPr>
      <w:t>Questions</w:t>
    </w:r>
  </w:p>
  <w:p w14:paraId="10B32797" w14:textId="7A974577" w:rsidR="00E972EF" w:rsidRPr="00E972EF" w:rsidRDefault="00F61E05" w:rsidP="00E972EF">
    <w:pPr>
      <w:pStyle w:val="Default"/>
      <w:jc w:val="right"/>
      <w:rPr>
        <w:rFonts w:ascii="Arial" w:hAnsi="Arial" w:cs="Arial"/>
        <w:sz w:val="20"/>
        <w:szCs w:val="20"/>
      </w:rPr>
    </w:pPr>
    <w:r>
      <w:rPr>
        <w:rFonts w:ascii="Arial" w:hAnsi="Arial" w:cs="Arial"/>
        <w:sz w:val="20"/>
        <w:szCs w:val="20"/>
      </w:rPr>
      <w:t>Halton Hills</w:t>
    </w:r>
    <w:r w:rsidR="00062EB6">
      <w:rPr>
        <w:rFonts w:ascii="Arial" w:hAnsi="Arial" w:cs="Arial"/>
        <w:sz w:val="20"/>
        <w:szCs w:val="20"/>
      </w:rPr>
      <w:t xml:space="preserve"> Hydro Inc.</w:t>
    </w:r>
  </w:p>
  <w:p w14:paraId="21D59033" w14:textId="7862F175" w:rsidR="00F61E05" w:rsidRPr="00F61E05" w:rsidRDefault="00E972EF" w:rsidP="00F61E05">
    <w:pPr>
      <w:pStyle w:val="Default"/>
      <w:jc w:val="right"/>
      <w:rPr>
        <w:rFonts w:ascii="Arial" w:hAnsi="Arial" w:cs="Arial"/>
        <w:sz w:val="20"/>
        <w:szCs w:val="20"/>
      </w:rPr>
    </w:pPr>
    <w:r w:rsidRPr="00E972EF">
      <w:rPr>
        <w:rFonts w:ascii="Arial" w:hAnsi="Arial" w:cs="Arial"/>
        <w:sz w:val="20"/>
        <w:szCs w:val="20"/>
      </w:rPr>
      <w:t>EB-2021-</w:t>
    </w:r>
    <w:r w:rsidR="00062EB6">
      <w:rPr>
        <w:rFonts w:ascii="Arial" w:hAnsi="Arial" w:cs="Arial"/>
        <w:sz w:val="20"/>
        <w:szCs w:val="20"/>
      </w:rPr>
      <w:t>00</w:t>
    </w:r>
    <w:r w:rsidR="00F61E05">
      <w:rPr>
        <w:rFonts w:ascii="Arial" w:hAnsi="Arial" w:cs="Arial"/>
        <w:sz w:val="20"/>
        <w:szCs w:val="20"/>
      </w:rPr>
      <w:t>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CCC6B" w14:textId="3C9A53D9" w:rsidR="00171C4D" w:rsidRPr="00171C4D" w:rsidRDefault="00171C4D">
    <w:pPr>
      <w:pStyle w:val="Header"/>
      <w:rPr>
        <w:rFonts w:ascii="Arial" w:hAnsi="Arial" w:cs="Arial"/>
        <w:sz w:val="20"/>
        <w:szCs w:val="20"/>
      </w:rPr>
    </w:pPr>
    <w:r>
      <w:ptab w:relativeTo="margin" w:alignment="center" w:leader="none"/>
    </w:r>
    <w:r w:rsidRPr="00171C4D">
      <w:rPr>
        <w:rFonts w:ascii="Arial" w:hAnsi="Arial" w:cs="Arial"/>
        <w:sz w:val="20"/>
        <w:szCs w:val="20"/>
      </w:rPr>
      <w:ptab w:relativeTo="margin" w:alignment="right" w:leader="none"/>
    </w:r>
    <w:r w:rsidRPr="00171C4D">
      <w:rPr>
        <w:rFonts w:ascii="Arial" w:hAnsi="Arial" w:cs="Arial"/>
        <w:sz w:val="20"/>
        <w:szCs w:val="20"/>
      </w:rPr>
      <w:t>OEB Staff Questions</w:t>
    </w:r>
  </w:p>
  <w:p w14:paraId="60153649" w14:textId="3711981E" w:rsidR="00171C4D" w:rsidRPr="00171C4D" w:rsidRDefault="00171C4D">
    <w:pPr>
      <w:pStyle w:val="Header"/>
      <w:rPr>
        <w:rFonts w:ascii="Arial" w:hAnsi="Arial" w:cs="Arial"/>
        <w:sz w:val="20"/>
        <w:szCs w:val="20"/>
      </w:rPr>
    </w:pPr>
    <w:r w:rsidRPr="00171C4D">
      <w:rPr>
        <w:rFonts w:ascii="Arial" w:hAnsi="Arial" w:cs="Arial"/>
        <w:sz w:val="20"/>
        <w:szCs w:val="20"/>
      </w:rPr>
      <w:tab/>
    </w:r>
    <w:r w:rsidRPr="00171C4D">
      <w:rPr>
        <w:rFonts w:ascii="Arial" w:hAnsi="Arial" w:cs="Arial"/>
        <w:sz w:val="20"/>
        <w:szCs w:val="20"/>
      </w:rPr>
      <w:tab/>
      <w:t>Halton Hills Hydro Inc.</w:t>
    </w:r>
  </w:p>
  <w:p w14:paraId="283BA6D5" w14:textId="51B24983" w:rsidR="00171C4D" w:rsidRPr="00171C4D" w:rsidRDefault="00171C4D">
    <w:pPr>
      <w:pStyle w:val="Header"/>
      <w:rPr>
        <w:rFonts w:ascii="Arial" w:hAnsi="Arial" w:cs="Arial"/>
        <w:sz w:val="20"/>
        <w:szCs w:val="20"/>
      </w:rPr>
    </w:pPr>
    <w:r w:rsidRPr="00171C4D">
      <w:rPr>
        <w:rFonts w:ascii="Arial" w:hAnsi="Arial" w:cs="Arial"/>
        <w:sz w:val="20"/>
        <w:szCs w:val="20"/>
      </w:rPr>
      <w:tab/>
    </w:r>
    <w:r w:rsidRPr="00171C4D">
      <w:rPr>
        <w:rFonts w:ascii="Arial" w:hAnsi="Arial" w:cs="Arial"/>
        <w:sz w:val="20"/>
        <w:szCs w:val="20"/>
      </w:rPr>
      <w:tab/>
      <w:t>EB-2021-0028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D5715"/>
    <w:multiLevelType w:val="hybridMultilevel"/>
    <w:tmpl w:val="78249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E3CFE"/>
    <w:multiLevelType w:val="hybridMultilevel"/>
    <w:tmpl w:val="1FF0B070"/>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C4619"/>
    <w:multiLevelType w:val="hybridMultilevel"/>
    <w:tmpl w:val="CB24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28599C"/>
    <w:multiLevelType w:val="hybridMultilevel"/>
    <w:tmpl w:val="47A01F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242450"/>
    <w:multiLevelType w:val="hybridMultilevel"/>
    <w:tmpl w:val="7736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D6DE7"/>
    <w:multiLevelType w:val="hybridMultilevel"/>
    <w:tmpl w:val="E7EE58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655E83"/>
    <w:multiLevelType w:val="hybridMultilevel"/>
    <w:tmpl w:val="62EC68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9F560E"/>
    <w:multiLevelType w:val="hybridMultilevel"/>
    <w:tmpl w:val="1DAE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D9541A"/>
    <w:multiLevelType w:val="hybridMultilevel"/>
    <w:tmpl w:val="FAF2D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DC3DA0"/>
    <w:multiLevelType w:val="hybridMultilevel"/>
    <w:tmpl w:val="A2DA22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B770E3"/>
    <w:multiLevelType w:val="hybridMultilevel"/>
    <w:tmpl w:val="20DA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656154"/>
    <w:multiLevelType w:val="hybridMultilevel"/>
    <w:tmpl w:val="26B6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F838F5"/>
    <w:multiLevelType w:val="hybridMultilevel"/>
    <w:tmpl w:val="77FA4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157071"/>
    <w:multiLevelType w:val="hybridMultilevel"/>
    <w:tmpl w:val="714E28AA"/>
    <w:lvl w:ilvl="0" w:tplc="052E12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1D5B46"/>
    <w:multiLevelType w:val="hybridMultilevel"/>
    <w:tmpl w:val="A6769A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286E58"/>
    <w:multiLevelType w:val="hybridMultilevel"/>
    <w:tmpl w:val="8320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7"/>
  </w:num>
  <w:num w:numId="4">
    <w:abstractNumId w:val="15"/>
  </w:num>
  <w:num w:numId="5">
    <w:abstractNumId w:val="4"/>
  </w:num>
  <w:num w:numId="6">
    <w:abstractNumId w:val="10"/>
  </w:num>
  <w:num w:numId="7">
    <w:abstractNumId w:val="12"/>
  </w:num>
  <w:num w:numId="8">
    <w:abstractNumId w:val="1"/>
  </w:num>
  <w:num w:numId="9">
    <w:abstractNumId w:val="14"/>
  </w:num>
  <w:num w:numId="10">
    <w:abstractNumId w:val="8"/>
  </w:num>
  <w:num w:numId="11">
    <w:abstractNumId w:val="13"/>
  </w:num>
  <w:num w:numId="12">
    <w:abstractNumId w:val="5"/>
  </w:num>
  <w:num w:numId="13">
    <w:abstractNumId w:val="9"/>
  </w:num>
  <w:num w:numId="14">
    <w:abstractNumId w:val="6"/>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EEA"/>
    <w:rsid w:val="00011C43"/>
    <w:rsid w:val="00015E52"/>
    <w:rsid w:val="00021952"/>
    <w:rsid w:val="000357DD"/>
    <w:rsid w:val="0004013E"/>
    <w:rsid w:val="00056137"/>
    <w:rsid w:val="00060371"/>
    <w:rsid w:val="00062EB6"/>
    <w:rsid w:val="0006764F"/>
    <w:rsid w:val="0007721A"/>
    <w:rsid w:val="00084D6D"/>
    <w:rsid w:val="000A587B"/>
    <w:rsid w:val="000A741A"/>
    <w:rsid w:val="000A741D"/>
    <w:rsid w:val="000B0A78"/>
    <w:rsid w:val="000D1DC8"/>
    <w:rsid w:val="000D263F"/>
    <w:rsid w:val="001132B0"/>
    <w:rsid w:val="00130818"/>
    <w:rsid w:val="00131FCB"/>
    <w:rsid w:val="00154966"/>
    <w:rsid w:val="0016029C"/>
    <w:rsid w:val="00171205"/>
    <w:rsid w:val="00171C4D"/>
    <w:rsid w:val="00174365"/>
    <w:rsid w:val="00174FDD"/>
    <w:rsid w:val="0018046F"/>
    <w:rsid w:val="00186A27"/>
    <w:rsid w:val="001A299F"/>
    <w:rsid w:val="001B5203"/>
    <w:rsid w:val="001C5239"/>
    <w:rsid w:val="001E019C"/>
    <w:rsid w:val="001F27AE"/>
    <w:rsid w:val="001F68BB"/>
    <w:rsid w:val="00230A49"/>
    <w:rsid w:val="00252892"/>
    <w:rsid w:val="0026068D"/>
    <w:rsid w:val="00296661"/>
    <w:rsid w:val="002A018E"/>
    <w:rsid w:val="002A158F"/>
    <w:rsid w:val="002A394D"/>
    <w:rsid w:val="002A57E4"/>
    <w:rsid w:val="002C465D"/>
    <w:rsid w:val="002D1296"/>
    <w:rsid w:val="002D7BD6"/>
    <w:rsid w:val="002F5A20"/>
    <w:rsid w:val="00306824"/>
    <w:rsid w:val="00361559"/>
    <w:rsid w:val="00386888"/>
    <w:rsid w:val="00386C9B"/>
    <w:rsid w:val="003A31B7"/>
    <w:rsid w:val="003C1978"/>
    <w:rsid w:val="003E2D0A"/>
    <w:rsid w:val="003E6FB1"/>
    <w:rsid w:val="003F518A"/>
    <w:rsid w:val="00400E91"/>
    <w:rsid w:val="00412DC6"/>
    <w:rsid w:val="0042762F"/>
    <w:rsid w:val="00436748"/>
    <w:rsid w:val="00451157"/>
    <w:rsid w:val="004614AE"/>
    <w:rsid w:val="00483138"/>
    <w:rsid w:val="004C1176"/>
    <w:rsid w:val="004E0113"/>
    <w:rsid w:val="00541873"/>
    <w:rsid w:val="00567817"/>
    <w:rsid w:val="00575E29"/>
    <w:rsid w:val="005816FC"/>
    <w:rsid w:val="005A0210"/>
    <w:rsid w:val="005B5F81"/>
    <w:rsid w:val="005C4306"/>
    <w:rsid w:val="005D58EE"/>
    <w:rsid w:val="00607BEA"/>
    <w:rsid w:val="00622F74"/>
    <w:rsid w:val="00645D88"/>
    <w:rsid w:val="0067411B"/>
    <w:rsid w:val="00680B8B"/>
    <w:rsid w:val="0069217D"/>
    <w:rsid w:val="006C455E"/>
    <w:rsid w:val="006D6F67"/>
    <w:rsid w:val="006F51C2"/>
    <w:rsid w:val="007174CF"/>
    <w:rsid w:val="00722646"/>
    <w:rsid w:val="0073149D"/>
    <w:rsid w:val="00746080"/>
    <w:rsid w:val="0074636D"/>
    <w:rsid w:val="00751C21"/>
    <w:rsid w:val="00752F2D"/>
    <w:rsid w:val="0075369C"/>
    <w:rsid w:val="0077194B"/>
    <w:rsid w:val="007D4EEA"/>
    <w:rsid w:val="007D570A"/>
    <w:rsid w:val="007F13BF"/>
    <w:rsid w:val="007F7A36"/>
    <w:rsid w:val="008034DF"/>
    <w:rsid w:val="00804CA2"/>
    <w:rsid w:val="008339F4"/>
    <w:rsid w:val="00844910"/>
    <w:rsid w:val="00853A38"/>
    <w:rsid w:val="00857D12"/>
    <w:rsid w:val="008C00D0"/>
    <w:rsid w:val="008D4F97"/>
    <w:rsid w:val="008E617F"/>
    <w:rsid w:val="008F2470"/>
    <w:rsid w:val="0090611C"/>
    <w:rsid w:val="00911BB7"/>
    <w:rsid w:val="00913609"/>
    <w:rsid w:val="00926537"/>
    <w:rsid w:val="0092685E"/>
    <w:rsid w:val="0093085F"/>
    <w:rsid w:val="00955636"/>
    <w:rsid w:val="00962BBA"/>
    <w:rsid w:val="009665CB"/>
    <w:rsid w:val="009936CD"/>
    <w:rsid w:val="009C69E3"/>
    <w:rsid w:val="009E362D"/>
    <w:rsid w:val="009F0CED"/>
    <w:rsid w:val="00A05BF7"/>
    <w:rsid w:val="00A35B21"/>
    <w:rsid w:val="00A420CA"/>
    <w:rsid w:val="00A77CAF"/>
    <w:rsid w:val="00AA06D9"/>
    <w:rsid w:val="00AA1385"/>
    <w:rsid w:val="00AA504B"/>
    <w:rsid w:val="00AB5C45"/>
    <w:rsid w:val="00AC00C4"/>
    <w:rsid w:val="00AC28CE"/>
    <w:rsid w:val="00B13A14"/>
    <w:rsid w:val="00B151AD"/>
    <w:rsid w:val="00B25576"/>
    <w:rsid w:val="00B627AA"/>
    <w:rsid w:val="00B82273"/>
    <w:rsid w:val="00B87D63"/>
    <w:rsid w:val="00BA7263"/>
    <w:rsid w:val="00BB3714"/>
    <w:rsid w:val="00BC2F17"/>
    <w:rsid w:val="00BE5405"/>
    <w:rsid w:val="00BE749A"/>
    <w:rsid w:val="00C1303F"/>
    <w:rsid w:val="00C34B4B"/>
    <w:rsid w:val="00C35242"/>
    <w:rsid w:val="00C446AA"/>
    <w:rsid w:val="00C650AB"/>
    <w:rsid w:val="00C675C0"/>
    <w:rsid w:val="00C71519"/>
    <w:rsid w:val="00C84B89"/>
    <w:rsid w:val="00C93567"/>
    <w:rsid w:val="00CB66E7"/>
    <w:rsid w:val="00CB7DE2"/>
    <w:rsid w:val="00CF1898"/>
    <w:rsid w:val="00CF1F73"/>
    <w:rsid w:val="00D34E9B"/>
    <w:rsid w:val="00D56BA0"/>
    <w:rsid w:val="00D666D4"/>
    <w:rsid w:val="00D66D10"/>
    <w:rsid w:val="00D861AF"/>
    <w:rsid w:val="00D90AEB"/>
    <w:rsid w:val="00D90B35"/>
    <w:rsid w:val="00D932ED"/>
    <w:rsid w:val="00DA260C"/>
    <w:rsid w:val="00DD483C"/>
    <w:rsid w:val="00DF22FC"/>
    <w:rsid w:val="00E36636"/>
    <w:rsid w:val="00E542B6"/>
    <w:rsid w:val="00E55074"/>
    <w:rsid w:val="00E565AB"/>
    <w:rsid w:val="00E70B0E"/>
    <w:rsid w:val="00E92632"/>
    <w:rsid w:val="00E972EF"/>
    <w:rsid w:val="00EA0919"/>
    <w:rsid w:val="00EA2C4A"/>
    <w:rsid w:val="00EA4263"/>
    <w:rsid w:val="00EB280B"/>
    <w:rsid w:val="00EB4A40"/>
    <w:rsid w:val="00EC1AAA"/>
    <w:rsid w:val="00EC1BB2"/>
    <w:rsid w:val="00F20DED"/>
    <w:rsid w:val="00F26542"/>
    <w:rsid w:val="00F30044"/>
    <w:rsid w:val="00F36EB6"/>
    <w:rsid w:val="00F40168"/>
    <w:rsid w:val="00F43A03"/>
    <w:rsid w:val="00F520E3"/>
    <w:rsid w:val="00F6196B"/>
    <w:rsid w:val="00F61E05"/>
    <w:rsid w:val="00F63752"/>
    <w:rsid w:val="00F70A1E"/>
    <w:rsid w:val="00F859F3"/>
    <w:rsid w:val="00F91C9A"/>
    <w:rsid w:val="00F925D3"/>
    <w:rsid w:val="00F969D7"/>
    <w:rsid w:val="00FB2D6C"/>
    <w:rsid w:val="00FE36E7"/>
    <w:rsid w:val="00FF0C85"/>
    <w:rsid w:val="00FF4D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C1E22B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0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4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EEA"/>
    <w:rPr>
      <w:rFonts w:ascii="Tahoma" w:hAnsi="Tahoma" w:cs="Tahoma"/>
      <w:sz w:val="16"/>
      <w:szCs w:val="16"/>
    </w:rPr>
  </w:style>
  <w:style w:type="paragraph" w:styleId="Header">
    <w:name w:val="header"/>
    <w:basedOn w:val="Normal"/>
    <w:link w:val="HeaderChar"/>
    <w:uiPriority w:val="99"/>
    <w:unhideWhenUsed/>
    <w:rsid w:val="003E6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FB1"/>
  </w:style>
  <w:style w:type="paragraph" w:styleId="Footer">
    <w:name w:val="footer"/>
    <w:basedOn w:val="Normal"/>
    <w:link w:val="FooterChar"/>
    <w:uiPriority w:val="99"/>
    <w:unhideWhenUsed/>
    <w:rsid w:val="003E6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FB1"/>
  </w:style>
  <w:style w:type="character" w:styleId="Emphasis">
    <w:name w:val="Emphasis"/>
    <w:basedOn w:val="DefaultParagraphFont"/>
    <w:uiPriority w:val="20"/>
    <w:qFormat/>
    <w:rsid w:val="00CF1F73"/>
    <w:rPr>
      <w:b/>
      <w:bCs/>
      <w:i w:val="0"/>
      <w:iCs w:val="0"/>
    </w:rPr>
  </w:style>
  <w:style w:type="table" w:styleId="TableGrid">
    <w:name w:val="Table Grid"/>
    <w:basedOn w:val="TableNormal"/>
    <w:uiPriority w:val="39"/>
    <w:rsid w:val="001F68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72E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62EB6"/>
    <w:rPr>
      <w:color w:val="0000FF" w:themeColor="hyperlink"/>
      <w:u w:val="single"/>
    </w:rPr>
  </w:style>
  <w:style w:type="character" w:styleId="UnresolvedMention">
    <w:name w:val="Unresolved Mention"/>
    <w:basedOn w:val="DefaultParagraphFont"/>
    <w:uiPriority w:val="99"/>
    <w:semiHidden/>
    <w:unhideWhenUsed/>
    <w:rsid w:val="00062EB6"/>
    <w:rPr>
      <w:color w:val="605E5C"/>
      <w:shd w:val="clear" w:color="auto" w:fill="E1DFDD"/>
    </w:rPr>
  </w:style>
  <w:style w:type="paragraph" w:styleId="ListParagraph">
    <w:name w:val="List Paragraph"/>
    <w:basedOn w:val="Normal"/>
    <w:uiPriority w:val="34"/>
    <w:qFormat/>
    <w:rsid w:val="00131FCB"/>
    <w:pPr>
      <w:ind w:left="720"/>
      <w:contextualSpacing/>
    </w:pPr>
  </w:style>
  <w:style w:type="paragraph" w:styleId="FootnoteText">
    <w:name w:val="footnote text"/>
    <w:basedOn w:val="Normal"/>
    <w:link w:val="FootnoteTextChar"/>
    <w:uiPriority w:val="99"/>
    <w:semiHidden/>
    <w:unhideWhenUsed/>
    <w:rsid w:val="000D26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263F"/>
    <w:rPr>
      <w:sz w:val="20"/>
      <w:szCs w:val="20"/>
    </w:rPr>
  </w:style>
  <w:style w:type="character" w:styleId="FootnoteReference">
    <w:name w:val="footnote reference"/>
    <w:basedOn w:val="DefaultParagraphFont"/>
    <w:uiPriority w:val="99"/>
    <w:semiHidden/>
    <w:unhideWhenUsed/>
    <w:rsid w:val="000D263F"/>
    <w:rPr>
      <w:vertAlign w:val="superscript"/>
    </w:rPr>
  </w:style>
  <w:style w:type="character" w:styleId="CommentReference">
    <w:name w:val="annotation reference"/>
    <w:basedOn w:val="DefaultParagraphFont"/>
    <w:uiPriority w:val="99"/>
    <w:semiHidden/>
    <w:unhideWhenUsed/>
    <w:rsid w:val="00B627AA"/>
    <w:rPr>
      <w:sz w:val="16"/>
      <w:szCs w:val="16"/>
    </w:rPr>
  </w:style>
  <w:style w:type="paragraph" w:styleId="CommentText">
    <w:name w:val="annotation text"/>
    <w:basedOn w:val="Normal"/>
    <w:link w:val="CommentTextChar"/>
    <w:uiPriority w:val="99"/>
    <w:semiHidden/>
    <w:unhideWhenUsed/>
    <w:rsid w:val="00B627AA"/>
    <w:pPr>
      <w:spacing w:line="240" w:lineRule="auto"/>
    </w:pPr>
    <w:rPr>
      <w:sz w:val="20"/>
      <w:szCs w:val="20"/>
    </w:rPr>
  </w:style>
  <w:style w:type="character" w:customStyle="1" w:styleId="CommentTextChar">
    <w:name w:val="Comment Text Char"/>
    <w:basedOn w:val="DefaultParagraphFont"/>
    <w:link w:val="CommentText"/>
    <w:uiPriority w:val="99"/>
    <w:semiHidden/>
    <w:rsid w:val="00B627AA"/>
    <w:rPr>
      <w:sz w:val="20"/>
      <w:szCs w:val="20"/>
    </w:rPr>
  </w:style>
  <w:style w:type="paragraph" w:styleId="CommentSubject">
    <w:name w:val="annotation subject"/>
    <w:basedOn w:val="CommentText"/>
    <w:next w:val="CommentText"/>
    <w:link w:val="CommentSubjectChar"/>
    <w:uiPriority w:val="99"/>
    <w:semiHidden/>
    <w:unhideWhenUsed/>
    <w:rsid w:val="00B627AA"/>
    <w:rPr>
      <w:b/>
      <w:bCs/>
    </w:rPr>
  </w:style>
  <w:style w:type="character" w:customStyle="1" w:styleId="CommentSubjectChar">
    <w:name w:val="Comment Subject Char"/>
    <w:basedOn w:val="CommentTextChar"/>
    <w:link w:val="CommentSubject"/>
    <w:uiPriority w:val="99"/>
    <w:semiHidden/>
    <w:rsid w:val="00B627AA"/>
    <w:rPr>
      <w:b/>
      <w:bCs/>
      <w:sz w:val="20"/>
      <w:szCs w:val="20"/>
    </w:rPr>
  </w:style>
  <w:style w:type="paragraph" w:styleId="Revision">
    <w:name w:val="Revision"/>
    <w:hidden/>
    <w:uiPriority w:val="99"/>
    <w:semiHidden/>
    <w:rsid w:val="00751C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5172904">
      <w:bodyDiv w:val="1"/>
      <w:marLeft w:val="0"/>
      <w:marRight w:val="0"/>
      <w:marTop w:val="0"/>
      <w:marBottom w:val="0"/>
      <w:divBdr>
        <w:top w:val="none" w:sz="0" w:space="0" w:color="auto"/>
        <w:left w:val="none" w:sz="0" w:space="0" w:color="auto"/>
        <w:bottom w:val="none" w:sz="0" w:space="0" w:color="auto"/>
        <w:right w:val="none" w:sz="0" w:space="0" w:color="auto"/>
      </w:divBdr>
    </w:div>
    <w:div w:id="204316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2ACF4-0060-4723-9BB3-2E9D7FE1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5</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OEB Staff Interrogatories with Cover Letter - Panel</vt:lpstr>
    </vt:vector>
  </TitlesOfParts>
  <Company>OEB</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OEB Staff Interrogatories with Cover Letter - Panel</dc:title>
  <dc:creator>OEB</dc:creator>
  <cp:lastModifiedBy>Kelli Benincasa</cp:lastModifiedBy>
  <cp:revision>12</cp:revision>
  <cp:lastPrinted>2018-01-26T00:21:00Z</cp:lastPrinted>
  <dcterms:created xsi:type="dcterms:W3CDTF">2021-12-17T19:57:00Z</dcterms:created>
  <dcterms:modified xsi:type="dcterms:W3CDTF">2022-01-11T15:42:00Z</dcterms:modified>
</cp:coreProperties>
</file>