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56A6920C" w:rsidR="003832E7" w:rsidRPr="003832E7" w:rsidRDefault="00E10DE6" w:rsidP="003832E7">
      <w:pPr>
        <w:pStyle w:val="Default"/>
        <w:jc w:val="right"/>
        <w:rPr>
          <w:rFonts w:ascii="Arial" w:hAnsi="Arial" w:cs="Arial"/>
          <w:sz w:val="22"/>
          <w:szCs w:val="22"/>
        </w:rPr>
      </w:pPr>
      <w:r>
        <w:rPr>
          <w:rFonts w:ascii="Arial" w:hAnsi="Arial" w:cs="Arial"/>
          <w:bCs/>
          <w:sz w:val="22"/>
          <w:szCs w:val="22"/>
        </w:rPr>
        <w:t>Orangeville Hydro Limited</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6B6447DB"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AA7D98">
        <w:rPr>
          <w:rFonts w:ascii="Arial" w:hAnsi="Arial" w:cs="Arial"/>
          <w:sz w:val="22"/>
          <w:szCs w:val="22"/>
        </w:rPr>
        <w:t>00</w:t>
      </w:r>
      <w:r w:rsidR="00E10DE6">
        <w:rPr>
          <w:rFonts w:ascii="Arial" w:hAnsi="Arial" w:cs="Arial"/>
          <w:sz w:val="22"/>
          <w:szCs w:val="22"/>
        </w:rPr>
        <w:t>49</w:t>
      </w:r>
    </w:p>
    <w:p w14:paraId="04DD1EF2" w14:textId="77777777" w:rsidR="00A07077" w:rsidRPr="00D57E8C" w:rsidRDefault="00A07077" w:rsidP="00A07077">
      <w:pPr>
        <w:pStyle w:val="Default"/>
        <w:rPr>
          <w:rFonts w:ascii="Arial" w:hAnsi="Arial" w:cs="Arial"/>
          <w:sz w:val="22"/>
          <w:szCs w:val="22"/>
        </w:rPr>
      </w:pPr>
    </w:p>
    <w:p w14:paraId="31F8E0D6" w14:textId="177E8277" w:rsidR="00A07077" w:rsidRPr="00D57E8C" w:rsidRDefault="00E10DE6" w:rsidP="00A07077">
      <w:pPr>
        <w:pStyle w:val="Default"/>
        <w:jc w:val="center"/>
        <w:rPr>
          <w:rFonts w:ascii="Arial" w:hAnsi="Arial" w:cs="Arial"/>
          <w:sz w:val="28"/>
          <w:szCs w:val="28"/>
        </w:rPr>
      </w:pPr>
      <w:r>
        <w:rPr>
          <w:rFonts w:ascii="Arial" w:hAnsi="Arial" w:cs="Arial"/>
          <w:b/>
          <w:bCs/>
          <w:sz w:val="28"/>
          <w:szCs w:val="28"/>
        </w:rPr>
        <w:t>Orangeville Hydro Limited</w:t>
      </w:r>
    </w:p>
    <w:p w14:paraId="33D6510D" w14:textId="506A412C"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4C57FA">
        <w:rPr>
          <w:rFonts w:ascii="Arial" w:hAnsi="Arial" w:cs="Arial"/>
          <w:b/>
          <w:bCs/>
          <w:sz w:val="28"/>
          <w:szCs w:val="28"/>
        </w:rPr>
        <w:t>00</w:t>
      </w:r>
      <w:r w:rsidR="00E10DE6">
        <w:rPr>
          <w:rFonts w:ascii="Arial" w:hAnsi="Arial" w:cs="Arial"/>
          <w:b/>
          <w:bCs/>
          <w:sz w:val="28"/>
          <w:szCs w:val="28"/>
        </w:rPr>
        <w:t>49</w:t>
      </w:r>
    </w:p>
    <w:p w14:paraId="63C86BE8" w14:textId="77777777" w:rsidR="00511EC2" w:rsidRDefault="00511EC2" w:rsidP="00511EC2">
      <w:pPr>
        <w:spacing w:after="0" w:line="240" w:lineRule="auto"/>
        <w:rPr>
          <w:rFonts w:ascii="Arial" w:eastAsia="Calibri" w:hAnsi="Arial" w:cs="Arial"/>
          <w:lang w:val="en-US"/>
        </w:rPr>
      </w:pPr>
    </w:p>
    <w:p w14:paraId="2A0CB1B0" w14:textId="24B76A7A" w:rsidR="00E86F26" w:rsidRPr="00E86F26" w:rsidRDefault="00E86F26" w:rsidP="00A75914">
      <w:pPr>
        <w:autoSpaceDE w:val="0"/>
        <w:autoSpaceDN w:val="0"/>
        <w:adjustRightInd w:val="0"/>
        <w:spacing w:line="240" w:lineRule="auto"/>
        <w:rPr>
          <w:rFonts w:ascii="Arial" w:eastAsia="Calibri" w:hAnsi="Arial" w:cs="Arial"/>
          <w:sz w:val="24"/>
          <w:szCs w:val="24"/>
        </w:rPr>
      </w:pPr>
      <w:bookmarkStart w:id="0" w:name="_Hlk55806661"/>
      <w:r w:rsidRPr="00E86F26">
        <w:rPr>
          <w:rFonts w:ascii="Arial" w:eastAsia="Calibri" w:hAnsi="Arial" w:cs="Arial"/>
          <w:sz w:val="24"/>
          <w:szCs w:val="24"/>
        </w:rPr>
        <w:t>Please note,</w:t>
      </w:r>
      <w:r w:rsidR="00E10DE6">
        <w:rPr>
          <w:rFonts w:ascii="Arial" w:eastAsia="Calibri" w:hAnsi="Arial" w:cs="Arial"/>
          <w:sz w:val="24"/>
          <w:szCs w:val="24"/>
        </w:rPr>
        <w:t xml:space="preserve"> Orangeville Hydro Limited</w:t>
      </w:r>
      <w:r w:rsidR="007C3646">
        <w:rPr>
          <w:rFonts w:ascii="Arial" w:eastAsia="Calibri" w:hAnsi="Arial" w:cs="Arial"/>
          <w:sz w:val="24"/>
          <w:szCs w:val="24"/>
        </w:rPr>
        <w:t xml:space="preserve"> (Orangeville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44E8CB4F" w14:textId="15E2501C" w:rsidR="00802A5A" w:rsidRDefault="00802A5A" w:rsidP="00802A5A">
      <w:pPr>
        <w:rPr>
          <w:rFonts w:ascii="Arial" w:hAnsi="Arial" w:cs="Arial"/>
          <w:b/>
          <w:sz w:val="24"/>
          <w:szCs w:val="24"/>
        </w:rPr>
      </w:pPr>
      <w:r>
        <w:rPr>
          <w:rFonts w:ascii="Arial" w:hAnsi="Arial" w:cs="Arial"/>
          <w:b/>
          <w:sz w:val="24"/>
          <w:szCs w:val="24"/>
        </w:rPr>
        <w:t>OEB Staff-</w:t>
      </w:r>
      <w:r w:rsidR="00FF2DAC">
        <w:rPr>
          <w:rFonts w:ascii="Arial" w:hAnsi="Arial" w:cs="Arial"/>
          <w:b/>
          <w:sz w:val="24"/>
          <w:szCs w:val="24"/>
        </w:rPr>
        <w:t>1</w:t>
      </w:r>
    </w:p>
    <w:p w14:paraId="186063FE" w14:textId="4B002718" w:rsidR="00802A5A" w:rsidRPr="00A64422" w:rsidRDefault="00802A5A" w:rsidP="00802A5A">
      <w:pPr>
        <w:rPr>
          <w:rFonts w:ascii="Arial" w:hAnsi="Arial" w:cs="Arial"/>
          <w:bCs/>
          <w:sz w:val="24"/>
          <w:szCs w:val="24"/>
        </w:rPr>
      </w:pPr>
      <w:r>
        <w:rPr>
          <w:rFonts w:ascii="Arial" w:hAnsi="Arial" w:cs="Arial"/>
          <w:b/>
          <w:bCs/>
          <w:sz w:val="24"/>
          <w:szCs w:val="24"/>
        </w:rPr>
        <w:t>Reference:</w:t>
      </w:r>
      <w:r w:rsidR="00F23F33" w:rsidRPr="00F23F33">
        <w:rPr>
          <w:rFonts w:ascii="Arial" w:hAnsi="Arial" w:cs="Arial"/>
          <w:sz w:val="24"/>
          <w:szCs w:val="24"/>
        </w:rPr>
        <w:t xml:space="preserve"> </w:t>
      </w:r>
      <w:r w:rsidR="00F23F33">
        <w:rPr>
          <w:rFonts w:ascii="Arial" w:hAnsi="Arial" w:cs="Arial"/>
          <w:sz w:val="24"/>
          <w:szCs w:val="24"/>
        </w:rPr>
        <w:tab/>
        <w:t>(</w:t>
      </w:r>
      <w:r w:rsidR="00037849">
        <w:rPr>
          <w:rFonts w:ascii="Arial" w:hAnsi="Arial" w:cs="Arial"/>
          <w:sz w:val="24"/>
          <w:szCs w:val="24"/>
        </w:rPr>
        <w:t>1</w:t>
      </w:r>
      <w:r w:rsidR="00F23F33">
        <w:rPr>
          <w:rFonts w:ascii="Arial" w:hAnsi="Arial" w:cs="Arial"/>
          <w:sz w:val="24"/>
          <w:szCs w:val="24"/>
        </w:rPr>
        <w:t xml:space="preserve">) </w:t>
      </w:r>
      <w:r w:rsidR="009D2B4E">
        <w:rPr>
          <w:rFonts w:ascii="Arial" w:hAnsi="Arial" w:cs="Arial"/>
          <w:sz w:val="24"/>
          <w:szCs w:val="24"/>
        </w:rPr>
        <w:t xml:space="preserve">2022 </w:t>
      </w:r>
      <w:r w:rsidR="00F23F33" w:rsidRPr="00155EB4">
        <w:rPr>
          <w:rFonts w:ascii="Arial" w:hAnsi="Arial" w:cs="Arial"/>
          <w:sz w:val="24"/>
          <w:szCs w:val="24"/>
        </w:rPr>
        <w:t>IRM Rate Generator Model, Tab 3 (Continuity Schedule)</w:t>
      </w:r>
    </w:p>
    <w:p w14:paraId="211BF7D1" w14:textId="5F4B0A42" w:rsidR="00F23F33" w:rsidRDefault="00F23F33" w:rsidP="002E757E">
      <w:pPr>
        <w:rPr>
          <w:rFonts w:ascii="Arial" w:hAnsi="Arial" w:cs="Arial"/>
          <w:sz w:val="24"/>
          <w:szCs w:val="24"/>
        </w:rPr>
      </w:pPr>
      <w:r>
        <w:rPr>
          <w:rFonts w:ascii="Arial" w:hAnsi="Arial" w:cs="Arial"/>
          <w:bCs/>
          <w:sz w:val="24"/>
          <w:szCs w:val="24"/>
        </w:rPr>
        <w:t xml:space="preserve">Orangeville Hydro has not provided inputs </w:t>
      </w:r>
      <w:r w:rsidR="00054EFA">
        <w:rPr>
          <w:rFonts w:ascii="Arial" w:hAnsi="Arial" w:cs="Arial"/>
          <w:bCs/>
          <w:sz w:val="24"/>
          <w:szCs w:val="24"/>
        </w:rPr>
        <w:t xml:space="preserve">at Reference 1 </w:t>
      </w:r>
      <w:r>
        <w:rPr>
          <w:rFonts w:ascii="Arial" w:hAnsi="Arial" w:cs="Arial"/>
          <w:bCs/>
          <w:sz w:val="24"/>
          <w:szCs w:val="24"/>
        </w:rPr>
        <w:t xml:space="preserve">for </w:t>
      </w:r>
      <w:r>
        <w:rPr>
          <w:rFonts w:ascii="Arial" w:hAnsi="Arial" w:cs="Arial"/>
          <w:sz w:val="24"/>
          <w:szCs w:val="24"/>
        </w:rPr>
        <w:t>the “Principal Disposition during 2020- instructed by OEB” and the “Interest Disposition during 2020- instructed by OEB” in Account 1580 Variance WMS- Sub-account CBR Class B</w:t>
      </w:r>
      <w:r w:rsidR="00C65771">
        <w:rPr>
          <w:rFonts w:ascii="Arial" w:hAnsi="Arial" w:cs="Arial"/>
          <w:sz w:val="24"/>
          <w:szCs w:val="24"/>
        </w:rPr>
        <w:t>. OEB staff notes that as per the 2020 IRM Decision and Rate Order</w:t>
      </w:r>
      <w:r w:rsidR="00F43A5E">
        <w:rPr>
          <w:rFonts w:ascii="Arial" w:hAnsi="Arial" w:cs="Arial"/>
          <w:sz w:val="24"/>
          <w:szCs w:val="24"/>
        </w:rPr>
        <w:t xml:space="preserve">, the principal and interest disposition in this account was a credit </w:t>
      </w:r>
      <w:r w:rsidR="008F5586">
        <w:rPr>
          <w:rFonts w:ascii="Arial" w:hAnsi="Arial" w:cs="Arial"/>
          <w:sz w:val="24"/>
          <w:szCs w:val="24"/>
        </w:rPr>
        <w:t xml:space="preserve">balance </w:t>
      </w:r>
      <w:r w:rsidR="00F43A5E">
        <w:rPr>
          <w:rFonts w:ascii="Arial" w:hAnsi="Arial" w:cs="Arial"/>
          <w:sz w:val="24"/>
          <w:szCs w:val="24"/>
        </w:rPr>
        <w:t xml:space="preserve">of $5,001 and a debit </w:t>
      </w:r>
      <w:r w:rsidR="008F5586">
        <w:rPr>
          <w:rFonts w:ascii="Arial" w:hAnsi="Arial" w:cs="Arial"/>
          <w:sz w:val="24"/>
          <w:szCs w:val="24"/>
        </w:rPr>
        <w:t xml:space="preserve">balance </w:t>
      </w:r>
      <w:r w:rsidR="00F43A5E">
        <w:rPr>
          <w:rFonts w:ascii="Arial" w:hAnsi="Arial" w:cs="Arial"/>
          <w:sz w:val="24"/>
          <w:szCs w:val="24"/>
        </w:rPr>
        <w:t xml:space="preserve">of $117, respectively. </w:t>
      </w:r>
    </w:p>
    <w:p w14:paraId="42D15767" w14:textId="67134B6B" w:rsidR="00054EFA" w:rsidRDefault="00054EFA" w:rsidP="002E757E">
      <w:pPr>
        <w:rPr>
          <w:rFonts w:ascii="Arial" w:hAnsi="Arial" w:cs="Arial"/>
          <w:b/>
          <w:bCs/>
          <w:sz w:val="24"/>
          <w:szCs w:val="24"/>
        </w:rPr>
      </w:pPr>
      <w:r w:rsidRPr="00054EFA">
        <w:rPr>
          <w:rFonts w:ascii="Arial" w:hAnsi="Arial" w:cs="Arial"/>
          <w:b/>
          <w:bCs/>
          <w:sz w:val="24"/>
          <w:szCs w:val="24"/>
        </w:rPr>
        <w:t>Questions:</w:t>
      </w:r>
    </w:p>
    <w:p w14:paraId="6A413ACF" w14:textId="3915BD46" w:rsidR="00054EFA" w:rsidRDefault="00054EFA" w:rsidP="00F01421">
      <w:pPr>
        <w:pStyle w:val="ListParagraph"/>
        <w:numPr>
          <w:ilvl w:val="0"/>
          <w:numId w:val="5"/>
        </w:numPr>
        <w:rPr>
          <w:rFonts w:ascii="Arial" w:hAnsi="Arial" w:cs="Arial"/>
          <w:sz w:val="24"/>
          <w:szCs w:val="24"/>
        </w:rPr>
      </w:pPr>
      <w:r>
        <w:rPr>
          <w:rFonts w:ascii="Arial" w:hAnsi="Arial" w:cs="Arial"/>
          <w:sz w:val="24"/>
          <w:szCs w:val="24"/>
        </w:rPr>
        <w:t>Please review the Account 1580 Variance WMS- Sub-account CBR Class B disposition amounts in 2020 and provide an explanation for the noted discrepancies.</w:t>
      </w:r>
    </w:p>
    <w:p w14:paraId="120AE945" w14:textId="7A523310" w:rsidR="00B472DA" w:rsidRPr="00B472DA" w:rsidRDefault="00B472DA" w:rsidP="00B472DA">
      <w:pPr>
        <w:rPr>
          <w:rFonts w:ascii="Arial" w:hAnsi="Arial" w:cs="Arial"/>
          <w:color w:val="0070C0"/>
          <w:sz w:val="24"/>
          <w:szCs w:val="24"/>
          <w:u w:val="single"/>
        </w:rPr>
      </w:pPr>
      <w:r w:rsidRPr="00B472DA">
        <w:rPr>
          <w:rFonts w:ascii="Arial" w:hAnsi="Arial" w:cs="Arial"/>
          <w:color w:val="0070C0"/>
          <w:sz w:val="24"/>
          <w:szCs w:val="24"/>
          <w:u w:val="single"/>
        </w:rPr>
        <w:t>Response</w:t>
      </w:r>
    </w:p>
    <w:p w14:paraId="3E7DD82F" w14:textId="2D037836" w:rsidR="00B472DA" w:rsidRDefault="00B472DA" w:rsidP="00B472DA">
      <w:pPr>
        <w:rPr>
          <w:rFonts w:ascii="Arial" w:hAnsi="Arial" w:cs="Arial"/>
          <w:color w:val="0070C0"/>
          <w:sz w:val="24"/>
          <w:szCs w:val="24"/>
        </w:rPr>
      </w:pPr>
      <w:r w:rsidRPr="00B472DA">
        <w:rPr>
          <w:rFonts w:ascii="Arial" w:hAnsi="Arial" w:cs="Arial"/>
          <w:color w:val="0070C0"/>
          <w:sz w:val="24"/>
          <w:szCs w:val="24"/>
        </w:rPr>
        <w:t>Orangeville Hydro incorrectly omitted the amounts of $5,001 credit balance for</w:t>
      </w:r>
      <w:r w:rsidRPr="00B472DA">
        <w:rPr>
          <w:rFonts w:ascii="Arial" w:hAnsi="Arial" w:cs="Arial"/>
          <w:bCs/>
          <w:color w:val="0070C0"/>
          <w:sz w:val="24"/>
          <w:szCs w:val="24"/>
        </w:rPr>
        <w:t xml:space="preserve"> </w:t>
      </w:r>
      <w:r w:rsidRPr="00B472DA">
        <w:rPr>
          <w:rFonts w:ascii="Arial" w:hAnsi="Arial" w:cs="Arial"/>
          <w:color w:val="0070C0"/>
          <w:sz w:val="24"/>
          <w:szCs w:val="24"/>
        </w:rPr>
        <w:t>the “Principal Disposition during 2020- instructed by OEB” and $117 debit balance for the “Interest Disposition during 2020- instructed by OEB” in Account 1580 Variance WMS- Sub-account CBR Class B. This has been corrected in the updated Continuity Schedule in the 2022 IRM Rate Generator Model.</w:t>
      </w:r>
    </w:p>
    <w:p w14:paraId="04087C2C" w14:textId="7796C2CF" w:rsidR="00054EFA" w:rsidRDefault="00054EFA" w:rsidP="00A75914">
      <w:pPr>
        <w:pStyle w:val="ListParagraph"/>
        <w:numPr>
          <w:ilvl w:val="0"/>
          <w:numId w:val="5"/>
        </w:numPr>
        <w:spacing w:line="257" w:lineRule="auto"/>
        <w:rPr>
          <w:rFonts w:ascii="Arial" w:hAnsi="Arial" w:cs="Arial"/>
          <w:sz w:val="24"/>
          <w:szCs w:val="24"/>
        </w:rPr>
      </w:pPr>
      <w:r>
        <w:rPr>
          <w:rFonts w:ascii="Arial" w:hAnsi="Arial" w:cs="Arial"/>
          <w:sz w:val="24"/>
          <w:szCs w:val="24"/>
        </w:rPr>
        <w:t>If required, please make any necessary adjustments to the Continuity Schedule in the</w:t>
      </w:r>
      <w:r w:rsidR="008E07A9">
        <w:rPr>
          <w:rFonts w:ascii="Arial" w:hAnsi="Arial" w:cs="Arial"/>
          <w:sz w:val="24"/>
          <w:szCs w:val="24"/>
        </w:rPr>
        <w:t xml:space="preserve"> 2022</w:t>
      </w:r>
      <w:r>
        <w:rPr>
          <w:rFonts w:ascii="Arial" w:hAnsi="Arial" w:cs="Arial"/>
          <w:sz w:val="24"/>
          <w:szCs w:val="24"/>
        </w:rPr>
        <w:t xml:space="preserve"> IRM Rate Generator Model. </w:t>
      </w:r>
    </w:p>
    <w:p w14:paraId="47A5626E" w14:textId="270316DE" w:rsidR="00B472DA" w:rsidRPr="00B472DA" w:rsidRDefault="00B472DA" w:rsidP="00B472DA">
      <w:pPr>
        <w:rPr>
          <w:rFonts w:ascii="Arial" w:hAnsi="Arial" w:cs="Arial"/>
          <w:color w:val="0070C0"/>
          <w:sz w:val="24"/>
          <w:szCs w:val="24"/>
          <w:u w:val="single"/>
        </w:rPr>
      </w:pPr>
      <w:r w:rsidRPr="00B472DA">
        <w:rPr>
          <w:rFonts w:ascii="Arial" w:hAnsi="Arial" w:cs="Arial"/>
          <w:color w:val="0070C0"/>
          <w:sz w:val="24"/>
          <w:szCs w:val="24"/>
          <w:u w:val="single"/>
        </w:rPr>
        <w:t>Response</w:t>
      </w:r>
    </w:p>
    <w:p w14:paraId="3C911AC4" w14:textId="25BC9C0F" w:rsidR="00B472DA" w:rsidRPr="00B472DA" w:rsidRDefault="00B472DA" w:rsidP="00B472DA">
      <w:pPr>
        <w:rPr>
          <w:rFonts w:ascii="Arial" w:hAnsi="Arial" w:cs="Arial"/>
          <w:color w:val="0070C0"/>
          <w:sz w:val="24"/>
          <w:szCs w:val="24"/>
          <w:u w:val="single"/>
        </w:rPr>
      </w:pPr>
      <w:r w:rsidRPr="00B472DA">
        <w:rPr>
          <w:rFonts w:ascii="Arial" w:hAnsi="Arial" w:cs="Arial"/>
          <w:color w:val="0070C0"/>
          <w:sz w:val="24"/>
          <w:szCs w:val="24"/>
        </w:rPr>
        <w:t>This has been corrected in the updated Continuity Schedule in the 2022 IRM Rate Generator Model.</w:t>
      </w:r>
    </w:p>
    <w:p w14:paraId="6DBC676C" w14:textId="77777777" w:rsidR="00B472DA" w:rsidRPr="00B472DA" w:rsidRDefault="00B472DA" w:rsidP="00B472DA">
      <w:pPr>
        <w:spacing w:line="257" w:lineRule="auto"/>
        <w:rPr>
          <w:rFonts w:ascii="Arial" w:hAnsi="Arial" w:cs="Arial"/>
          <w:sz w:val="24"/>
          <w:szCs w:val="24"/>
        </w:rPr>
      </w:pPr>
    </w:p>
    <w:p w14:paraId="0C0A0D4B" w14:textId="22F3D269" w:rsidR="002E3A38" w:rsidRDefault="002E3A38" w:rsidP="002E3A38">
      <w:pPr>
        <w:rPr>
          <w:rFonts w:ascii="Arial" w:hAnsi="Arial" w:cs="Arial"/>
          <w:b/>
          <w:sz w:val="24"/>
          <w:szCs w:val="24"/>
        </w:rPr>
      </w:pPr>
      <w:r>
        <w:rPr>
          <w:rFonts w:ascii="Arial" w:hAnsi="Arial" w:cs="Arial"/>
          <w:b/>
          <w:sz w:val="24"/>
          <w:szCs w:val="24"/>
        </w:rPr>
        <w:lastRenderedPageBreak/>
        <w:t>OEB Staff-</w:t>
      </w:r>
      <w:r w:rsidR="00FF2DAC">
        <w:rPr>
          <w:rFonts w:ascii="Arial" w:hAnsi="Arial" w:cs="Arial"/>
          <w:b/>
          <w:sz w:val="24"/>
          <w:szCs w:val="24"/>
        </w:rPr>
        <w:t>2</w:t>
      </w:r>
    </w:p>
    <w:p w14:paraId="78ACA406" w14:textId="09A95D8E" w:rsidR="002E3A38" w:rsidRDefault="002E3A38" w:rsidP="002E3A38">
      <w:pPr>
        <w:rPr>
          <w:rFonts w:ascii="Arial" w:hAnsi="Arial" w:cs="Arial"/>
          <w:sz w:val="24"/>
          <w:szCs w:val="24"/>
        </w:rPr>
      </w:pPr>
      <w:r>
        <w:rPr>
          <w:rFonts w:ascii="Arial" w:hAnsi="Arial" w:cs="Arial"/>
          <w:b/>
          <w:bCs/>
          <w:sz w:val="24"/>
          <w:szCs w:val="24"/>
        </w:rPr>
        <w:t>Reference:</w:t>
      </w:r>
      <w:r w:rsidRPr="00F23F33">
        <w:rPr>
          <w:rFonts w:ascii="Arial" w:hAnsi="Arial" w:cs="Arial"/>
          <w:sz w:val="24"/>
          <w:szCs w:val="24"/>
        </w:rPr>
        <w:t xml:space="preserve"> </w:t>
      </w:r>
      <w:r>
        <w:rPr>
          <w:rFonts w:ascii="Arial" w:hAnsi="Arial" w:cs="Arial"/>
          <w:sz w:val="24"/>
          <w:szCs w:val="24"/>
        </w:rPr>
        <w:tab/>
        <w:t>(</w:t>
      </w:r>
      <w:r w:rsidR="00037849">
        <w:rPr>
          <w:rFonts w:ascii="Arial" w:hAnsi="Arial" w:cs="Arial"/>
          <w:sz w:val="24"/>
          <w:szCs w:val="24"/>
        </w:rPr>
        <w:t>1</w:t>
      </w:r>
      <w:r>
        <w:rPr>
          <w:rFonts w:ascii="Arial" w:hAnsi="Arial" w:cs="Arial"/>
          <w:sz w:val="24"/>
          <w:szCs w:val="24"/>
        </w:rPr>
        <w:t xml:space="preserve">) </w:t>
      </w:r>
      <w:r w:rsidR="009D2B4E">
        <w:rPr>
          <w:rFonts w:ascii="Arial" w:hAnsi="Arial" w:cs="Arial"/>
          <w:sz w:val="24"/>
          <w:szCs w:val="24"/>
        </w:rPr>
        <w:t xml:space="preserve">2022 </w:t>
      </w:r>
      <w:r w:rsidRPr="00155EB4">
        <w:rPr>
          <w:rFonts w:ascii="Arial" w:hAnsi="Arial" w:cs="Arial"/>
          <w:sz w:val="24"/>
          <w:szCs w:val="24"/>
        </w:rPr>
        <w:t xml:space="preserve">IRM Rate Generator Model, Tab </w:t>
      </w:r>
      <w:r>
        <w:rPr>
          <w:rFonts w:ascii="Arial" w:hAnsi="Arial" w:cs="Arial"/>
          <w:sz w:val="24"/>
          <w:szCs w:val="24"/>
        </w:rPr>
        <w:t>6</w:t>
      </w:r>
      <w:r w:rsidRPr="00155EB4">
        <w:rPr>
          <w:rFonts w:ascii="Arial" w:hAnsi="Arial" w:cs="Arial"/>
          <w:sz w:val="24"/>
          <w:szCs w:val="24"/>
        </w:rPr>
        <w:t xml:space="preserve"> (</w:t>
      </w:r>
      <w:r>
        <w:rPr>
          <w:rFonts w:ascii="Arial" w:hAnsi="Arial" w:cs="Arial"/>
          <w:sz w:val="24"/>
          <w:szCs w:val="24"/>
        </w:rPr>
        <w:t>Class A Consumption Data</w:t>
      </w:r>
      <w:r w:rsidRPr="00155EB4">
        <w:rPr>
          <w:rFonts w:ascii="Arial" w:hAnsi="Arial" w:cs="Arial"/>
          <w:sz w:val="24"/>
          <w:szCs w:val="24"/>
        </w:rPr>
        <w:t>)</w:t>
      </w:r>
    </w:p>
    <w:p w14:paraId="54BA8D0B" w14:textId="3A2DADDA" w:rsidR="00CB46B3" w:rsidRDefault="00F37D76" w:rsidP="002E3A38">
      <w:pPr>
        <w:rPr>
          <w:rFonts w:ascii="Arial" w:hAnsi="Arial" w:cs="Arial"/>
          <w:bCs/>
          <w:sz w:val="24"/>
          <w:szCs w:val="24"/>
        </w:rPr>
      </w:pPr>
      <w:r>
        <w:rPr>
          <w:rFonts w:ascii="Arial" w:hAnsi="Arial" w:cs="Arial"/>
          <w:bCs/>
          <w:sz w:val="24"/>
          <w:szCs w:val="24"/>
        </w:rPr>
        <w:t xml:space="preserve">At </w:t>
      </w:r>
      <w:r w:rsidR="005B6D35">
        <w:rPr>
          <w:rFonts w:ascii="Arial" w:hAnsi="Arial" w:cs="Arial"/>
          <w:bCs/>
          <w:sz w:val="24"/>
          <w:szCs w:val="24"/>
        </w:rPr>
        <w:t>R</w:t>
      </w:r>
      <w:r>
        <w:rPr>
          <w:rFonts w:ascii="Arial" w:hAnsi="Arial" w:cs="Arial"/>
          <w:bCs/>
          <w:sz w:val="24"/>
          <w:szCs w:val="24"/>
        </w:rPr>
        <w:t>eference</w:t>
      </w:r>
      <w:r w:rsidR="005B6D35">
        <w:rPr>
          <w:rFonts w:ascii="Arial" w:hAnsi="Arial" w:cs="Arial"/>
          <w:bCs/>
          <w:sz w:val="24"/>
          <w:szCs w:val="24"/>
        </w:rPr>
        <w:t xml:space="preserve"> 1</w:t>
      </w:r>
      <w:r>
        <w:rPr>
          <w:rFonts w:ascii="Arial" w:hAnsi="Arial" w:cs="Arial"/>
          <w:bCs/>
          <w:sz w:val="24"/>
          <w:szCs w:val="24"/>
        </w:rPr>
        <w:t xml:space="preserve">, Orangeville Hydro </w:t>
      </w:r>
      <w:r w:rsidR="00E62063">
        <w:rPr>
          <w:rFonts w:ascii="Arial" w:hAnsi="Arial" w:cs="Arial"/>
          <w:bCs/>
          <w:sz w:val="24"/>
          <w:szCs w:val="24"/>
        </w:rPr>
        <w:t>identified</w:t>
      </w:r>
      <w:r>
        <w:rPr>
          <w:rFonts w:ascii="Arial" w:hAnsi="Arial" w:cs="Arial"/>
          <w:bCs/>
          <w:sz w:val="24"/>
          <w:szCs w:val="24"/>
        </w:rPr>
        <w:t xml:space="preserve"> that it had eight transition customers during the period the Account 1589 GA or Account 1580 CBR B balance accumulated. OEB staff notes that customers one through </w:t>
      </w:r>
      <w:r w:rsidR="00E87957">
        <w:rPr>
          <w:rFonts w:ascii="Arial" w:hAnsi="Arial" w:cs="Arial"/>
          <w:bCs/>
          <w:sz w:val="24"/>
          <w:szCs w:val="24"/>
        </w:rPr>
        <w:t>six</w:t>
      </w:r>
      <w:r>
        <w:rPr>
          <w:rFonts w:ascii="Arial" w:hAnsi="Arial" w:cs="Arial"/>
          <w:bCs/>
          <w:sz w:val="24"/>
          <w:szCs w:val="24"/>
        </w:rPr>
        <w:t xml:space="preserve"> were </w:t>
      </w:r>
      <w:r w:rsidR="007D177B">
        <w:rPr>
          <w:rFonts w:ascii="Arial" w:hAnsi="Arial" w:cs="Arial"/>
          <w:bCs/>
          <w:sz w:val="24"/>
          <w:szCs w:val="24"/>
        </w:rPr>
        <w:t>full year Class A customers in 2020</w:t>
      </w:r>
      <w:r w:rsidR="00E87957">
        <w:rPr>
          <w:rFonts w:ascii="Arial" w:hAnsi="Arial" w:cs="Arial"/>
          <w:bCs/>
          <w:sz w:val="24"/>
          <w:szCs w:val="24"/>
        </w:rPr>
        <w:t xml:space="preserve">, as shown below. </w:t>
      </w:r>
    </w:p>
    <w:p w14:paraId="2C3F893D" w14:textId="79449F59" w:rsidR="005B6D35" w:rsidRDefault="00F37D76" w:rsidP="005B6D35">
      <w:pPr>
        <w:rPr>
          <w:rFonts w:ascii="Arial" w:hAnsi="Arial" w:cs="Arial"/>
          <w:b/>
          <w:bCs/>
          <w:sz w:val="24"/>
          <w:szCs w:val="24"/>
        </w:rPr>
      </w:pPr>
      <w:r>
        <w:rPr>
          <w:noProof/>
        </w:rPr>
        <w:drawing>
          <wp:inline distT="0" distB="0" distL="0" distR="0" wp14:anchorId="705490AA" wp14:editId="612F2BF5">
            <wp:extent cx="5943600" cy="3123565"/>
            <wp:effectExtent l="0" t="0" r="0" b="63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6"/>
                    <a:stretch>
                      <a:fillRect/>
                    </a:stretch>
                  </pic:blipFill>
                  <pic:spPr>
                    <a:xfrm>
                      <a:off x="0" y="0"/>
                      <a:ext cx="5943600" cy="3123565"/>
                    </a:xfrm>
                    <a:prstGeom prst="rect">
                      <a:avLst/>
                    </a:prstGeom>
                  </pic:spPr>
                </pic:pic>
              </a:graphicData>
            </a:graphic>
          </wp:inline>
        </w:drawing>
      </w:r>
      <w:r w:rsidR="005B6D35" w:rsidRPr="00054EFA">
        <w:rPr>
          <w:rFonts w:ascii="Arial" w:hAnsi="Arial" w:cs="Arial"/>
          <w:b/>
          <w:bCs/>
          <w:sz w:val="24"/>
          <w:szCs w:val="24"/>
        </w:rPr>
        <w:t>Questions:</w:t>
      </w:r>
    </w:p>
    <w:p w14:paraId="21C2A7A5" w14:textId="657898E8" w:rsidR="0028672D" w:rsidRDefault="0028672D" w:rsidP="00F01421">
      <w:pPr>
        <w:pStyle w:val="ListParagraph"/>
        <w:numPr>
          <w:ilvl w:val="0"/>
          <w:numId w:val="1"/>
        </w:numPr>
        <w:spacing w:after="0"/>
        <w:rPr>
          <w:rFonts w:ascii="Arial" w:hAnsi="Arial" w:cs="Arial"/>
          <w:sz w:val="24"/>
          <w:szCs w:val="24"/>
        </w:rPr>
      </w:pPr>
      <w:r>
        <w:rPr>
          <w:rFonts w:ascii="Arial" w:hAnsi="Arial" w:cs="Arial"/>
          <w:sz w:val="24"/>
          <w:szCs w:val="24"/>
        </w:rPr>
        <w:t xml:space="preserve">Please confirm </w:t>
      </w:r>
      <w:r w:rsidR="00DF70D9">
        <w:rPr>
          <w:rFonts w:ascii="Arial" w:hAnsi="Arial" w:cs="Arial"/>
          <w:sz w:val="24"/>
          <w:szCs w:val="24"/>
        </w:rPr>
        <w:t>the following</w:t>
      </w:r>
      <w:r w:rsidR="00E62063">
        <w:rPr>
          <w:rFonts w:ascii="Arial" w:hAnsi="Arial" w:cs="Arial"/>
          <w:sz w:val="24"/>
          <w:szCs w:val="24"/>
        </w:rPr>
        <w:t xml:space="preserve"> or</w:t>
      </w:r>
      <w:r w:rsidR="00DF70D9">
        <w:rPr>
          <w:rFonts w:ascii="Arial" w:hAnsi="Arial" w:cs="Arial"/>
          <w:sz w:val="24"/>
          <w:szCs w:val="24"/>
        </w:rPr>
        <w:t xml:space="preserve"> provide further explanations</w:t>
      </w:r>
      <w:r>
        <w:rPr>
          <w:rFonts w:ascii="Arial" w:hAnsi="Arial" w:cs="Arial"/>
          <w:sz w:val="24"/>
          <w:szCs w:val="24"/>
        </w:rPr>
        <w:t>:</w:t>
      </w:r>
    </w:p>
    <w:p w14:paraId="4BF436DB" w14:textId="206F7856" w:rsidR="00C24860" w:rsidRDefault="00E62063" w:rsidP="00F01421">
      <w:pPr>
        <w:pStyle w:val="ListParagraph"/>
        <w:numPr>
          <w:ilvl w:val="1"/>
          <w:numId w:val="1"/>
        </w:numPr>
        <w:spacing w:after="0"/>
        <w:rPr>
          <w:rFonts w:ascii="Arial" w:hAnsi="Arial" w:cs="Arial"/>
          <w:sz w:val="24"/>
          <w:szCs w:val="24"/>
        </w:rPr>
      </w:pPr>
      <w:r>
        <w:rPr>
          <w:rFonts w:ascii="Arial" w:hAnsi="Arial" w:cs="Arial"/>
          <w:sz w:val="24"/>
          <w:szCs w:val="24"/>
        </w:rPr>
        <w:t>C</w:t>
      </w:r>
      <w:r w:rsidRPr="00E62063">
        <w:rPr>
          <w:rFonts w:ascii="Arial" w:hAnsi="Arial" w:cs="Arial"/>
          <w:sz w:val="24"/>
          <w:szCs w:val="24"/>
        </w:rPr>
        <w:t>ustomers one through six were inputted to calculate the total Class A consumption for full year customers at 3b at Reference 1.</w:t>
      </w:r>
    </w:p>
    <w:p w14:paraId="6F683922" w14:textId="21B85546" w:rsidR="007E0193" w:rsidRPr="007E0193" w:rsidRDefault="007E0193" w:rsidP="007E0193">
      <w:pPr>
        <w:spacing w:after="0"/>
        <w:rPr>
          <w:rFonts w:ascii="Arial" w:hAnsi="Arial" w:cs="Arial"/>
          <w:color w:val="0070C0"/>
          <w:sz w:val="24"/>
          <w:szCs w:val="24"/>
        </w:rPr>
      </w:pPr>
      <w:r w:rsidRPr="007E0193">
        <w:rPr>
          <w:rFonts w:ascii="Arial" w:hAnsi="Arial" w:cs="Arial"/>
          <w:color w:val="0070C0"/>
          <w:sz w:val="24"/>
          <w:szCs w:val="24"/>
        </w:rPr>
        <w:t>Response</w:t>
      </w:r>
    </w:p>
    <w:p w14:paraId="0FEDA46D" w14:textId="77777777" w:rsidR="007E0193" w:rsidRPr="007E0193" w:rsidRDefault="007E0193" w:rsidP="007E0193">
      <w:pPr>
        <w:spacing w:after="0"/>
        <w:rPr>
          <w:rFonts w:ascii="Arial" w:hAnsi="Arial" w:cs="Arial"/>
          <w:color w:val="0070C0"/>
          <w:sz w:val="24"/>
          <w:szCs w:val="24"/>
        </w:rPr>
      </w:pPr>
      <w:r w:rsidRPr="007E0193">
        <w:rPr>
          <w:rFonts w:ascii="Arial" w:hAnsi="Arial" w:cs="Arial"/>
          <w:color w:val="0070C0"/>
          <w:sz w:val="24"/>
          <w:szCs w:val="24"/>
        </w:rPr>
        <w:t>OHL confirms Customers one through six were inputted to calculate the total Class A consumption for full year customers at 3b at Reference 1.</w:t>
      </w:r>
    </w:p>
    <w:p w14:paraId="37AC217E" w14:textId="2AC9AE75" w:rsidR="007E0193" w:rsidRPr="007E0193" w:rsidRDefault="007E0193" w:rsidP="007E0193">
      <w:pPr>
        <w:spacing w:after="0"/>
        <w:rPr>
          <w:rFonts w:ascii="Arial" w:hAnsi="Arial" w:cs="Arial"/>
          <w:sz w:val="24"/>
          <w:szCs w:val="24"/>
        </w:rPr>
      </w:pPr>
    </w:p>
    <w:p w14:paraId="30F07432" w14:textId="283E6A35" w:rsidR="0028672D" w:rsidRDefault="0028672D" w:rsidP="007E0193">
      <w:pPr>
        <w:pStyle w:val="ListParagraph"/>
        <w:numPr>
          <w:ilvl w:val="0"/>
          <w:numId w:val="17"/>
        </w:numPr>
        <w:spacing w:after="0"/>
        <w:rPr>
          <w:rFonts w:ascii="Arial" w:hAnsi="Arial" w:cs="Arial"/>
          <w:sz w:val="24"/>
          <w:szCs w:val="24"/>
        </w:rPr>
      </w:pPr>
      <w:r>
        <w:rPr>
          <w:rFonts w:ascii="Arial" w:hAnsi="Arial" w:cs="Arial"/>
          <w:sz w:val="24"/>
          <w:szCs w:val="24"/>
        </w:rPr>
        <w:t xml:space="preserve">Customer seven was no longer a customer from July to December </w:t>
      </w:r>
      <w:r w:rsidR="00EE071C">
        <w:rPr>
          <w:rFonts w:ascii="Arial" w:hAnsi="Arial" w:cs="Arial"/>
          <w:sz w:val="24"/>
          <w:szCs w:val="24"/>
        </w:rPr>
        <w:t xml:space="preserve">of </w:t>
      </w:r>
      <w:r>
        <w:rPr>
          <w:rFonts w:ascii="Arial" w:hAnsi="Arial" w:cs="Arial"/>
          <w:sz w:val="24"/>
          <w:szCs w:val="24"/>
        </w:rPr>
        <w:t>2020</w:t>
      </w:r>
    </w:p>
    <w:p w14:paraId="7D7D3171" w14:textId="39A65ED0" w:rsidR="007E0193" w:rsidRPr="007E0193" w:rsidRDefault="007E0193" w:rsidP="007E0193">
      <w:pPr>
        <w:spacing w:after="0"/>
        <w:rPr>
          <w:rFonts w:ascii="Arial" w:hAnsi="Arial" w:cs="Arial"/>
          <w:color w:val="0070C0"/>
          <w:sz w:val="24"/>
          <w:szCs w:val="24"/>
        </w:rPr>
      </w:pPr>
      <w:r w:rsidRPr="007E0193">
        <w:rPr>
          <w:rFonts w:ascii="Arial" w:hAnsi="Arial" w:cs="Arial"/>
          <w:color w:val="0070C0"/>
          <w:sz w:val="24"/>
          <w:szCs w:val="24"/>
        </w:rPr>
        <w:t>Response</w:t>
      </w:r>
    </w:p>
    <w:p w14:paraId="26071FF6" w14:textId="2059F193" w:rsidR="007E0193" w:rsidRPr="007E0193" w:rsidRDefault="007E0193" w:rsidP="007E0193">
      <w:pPr>
        <w:spacing w:after="0"/>
        <w:rPr>
          <w:rFonts w:ascii="Arial" w:hAnsi="Arial" w:cs="Arial"/>
          <w:color w:val="0070C0"/>
          <w:sz w:val="24"/>
          <w:szCs w:val="24"/>
        </w:rPr>
      </w:pPr>
      <w:r w:rsidRPr="007E0193">
        <w:rPr>
          <w:rFonts w:ascii="Arial" w:hAnsi="Arial" w:cs="Arial"/>
          <w:color w:val="0070C0"/>
          <w:sz w:val="24"/>
          <w:szCs w:val="24"/>
        </w:rPr>
        <w:t xml:space="preserve">OHL confirms </w:t>
      </w:r>
      <w:r>
        <w:rPr>
          <w:rFonts w:ascii="Arial" w:hAnsi="Arial" w:cs="Arial"/>
          <w:color w:val="0070C0"/>
          <w:sz w:val="24"/>
          <w:szCs w:val="24"/>
        </w:rPr>
        <w:t>c</w:t>
      </w:r>
      <w:r w:rsidRPr="007E0193">
        <w:rPr>
          <w:rFonts w:ascii="Arial" w:hAnsi="Arial" w:cs="Arial"/>
          <w:color w:val="0070C0"/>
          <w:sz w:val="24"/>
          <w:szCs w:val="24"/>
        </w:rPr>
        <w:t>ustomer seven was no longer a customer from July to December of 2020</w:t>
      </w:r>
      <w:r w:rsidR="00BB71C9">
        <w:rPr>
          <w:rFonts w:ascii="Arial" w:hAnsi="Arial" w:cs="Arial"/>
          <w:color w:val="0070C0"/>
          <w:sz w:val="24"/>
          <w:szCs w:val="24"/>
        </w:rPr>
        <w:t>.</w:t>
      </w:r>
    </w:p>
    <w:p w14:paraId="3E9023C2" w14:textId="7A61DA49" w:rsidR="007E0193" w:rsidRPr="007E0193" w:rsidRDefault="007E0193" w:rsidP="007E0193">
      <w:pPr>
        <w:spacing w:after="0"/>
        <w:rPr>
          <w:rFonts w:ascii="Arial" w:hAnsi="Arial" w:cs="Arial"/>
          <w:sz w:val="24"/>
          <w:szCs w:val="24"/>
        </w:rPr>
      </w:pPr>
    </w:p>
    <w:p w14:paraId="20D50697" w14:textId="10ADC5A2" w:rsidR="00DF70D9" w:rsidRDefault="00DF70D9" w:rsidP="007E0193">
      <w:pPr>
        <w:pStyle w:val="ListParagraph"/>
        <w:numPr>
          <w:ilvl w:val="0"/>
          <w:numId w:val="18"/>
        </w:numPr>
        <w:spacing w:after="0"/>
        <w:rPr>
          <w:rFonts w:ascii="Arial" w:hAnsi="Arial" w:cs="Arial"/>
          <w:sz w:val="24"/>
          <w:szCs w:val="24"/>
        </w:rPr>
      </w:pPr>
      <w:r>
        <w:rPr>
          <w:rFonts w:ascii="Arial" w:hAnsi="Arial" w:cs="Arial"/>
          <w:sz w:val="24"/>
          <w:szCs w:val="24"/>
        </w:rPr>
        <w:t xml:space="preserve">Customer eight </w:t>
      </w:r>
      <w:r w:rsidR="00082768">
        <w:rPr>
          <w:rFonts w:ascii="Arial" w:hAnsi="Arial" w:cs="Arial"/>
          <w:sz w:val="24"/>
          <w:szCs w:val="24"/>
        </w:rPr>
        <w:t>was</w:t>
      </w:r>
      <w:r>
        <w:rPr>
          <w:rFonts w:ascii="Arial" w:hAnsi="Arial" w:cs="Arial"/>
          <w:sz w:val="24"/>
          <w:szCs w:val="24"/>
        </w:rPr>
        <w:t xml:space="preserve"> the only transition customer </w:t>
      </w:r>
      <w:r w:rsidR="00B8338D">
        <w:rPr>
          <w:rFonts w:ascii="Arial" w:hAnsi="Arial" w:cs="Arial"/>
          <w:sz w:val="24"/>
          <w:szCs w:val="24"/>
        </w:rPr>
        <w:t>in 2020</w:t>
      </w:r>
    </w:p>
    <w:p w14:paraId="5147B725" w14:textId="77777777" w:rsidR="007E0193" w:rsidRPr="007E0193" w:rsidRDefault="007E0193" w:rsidP="007E0193">
      <w:pPr>
        <w:spacing w:after="0"/>
        <w:rPr>
          <w:rFonts w:ascii="Arial" w:hAnsi="Arial" w:cs="Arial"/>
          <w:color w:val="0070C0"/>
          <w:sz w:val="24"/>
          <w:szCs w:val="24"/>
        </w:rPr>
      </w:pPr>
      <w:r w:rsidRPr="007E0193">
        <w:rPr>
          <w:rFonts w:ascii="Arial" w:hAnsi="Arial" w:cs="Arial"/>
          <w:color w:val="0070C0"/>
          <w:sz w:val="24"/>
          <w:szCs w:val="24"/>
        </w:rPr>
        <w:t>Response</w:t>
      </w:r>
    </w:p>
    <w:p w14:paraId="6E59B07D" w14:textId="6F6C1476" w:rsidR="007E0193" w:rsidRPr="007E0193" w:rsidRDefault="007E0193" w:rsidP="007E0193">
      <w:pPr>
        <w:spacing w:after="0"/>
        <w:rPr>
          <w:rFonts w:ascii="Arial" w:hAnsi="Arial" w:cs="Arial"/>
          <w:sz w:val="24"/>
          <w:szCs w:val="24"/>
        </w:rPr>
      </w:pPr>
      <w:r w:rsidRPr="007E0193">
        <w:rPr>
          <w:rFonts w:ascii="Arial" w:hAnsi="Arial" w:cs="Arial"/>
          <w:color w:val="0070C0"/>
          <w:sz w:val="24"/>
          <w:szCs w:val="24"/>
        </w:rPr>
        <w:t>OHL confirms customer eight was the only transition customer in 2020</w:t>
      </w:r>
      <w:r w:rsidR="00BB71C9">
        <w:rPr>
          <w:rFonts w:ascii="Arial" w:hAnsi="Arial" w:cs="Arial"/>
          <w:color w:val="0070C0"/>
          <w:sz w:val="24"/>
          <w:szCs w:val="24"/>
        </w:rPr>
        <w:t>.</w:t>
      </w:r>
    </w:p>
    <w:p w14:paraId="05776AC5" w14:textId="01D49B22" w:rsidR="007E0193" w:rsidRPr="007E0193" w:rsidRDefault="007E0193" w:rsidP="007E0193">
      <w:pPr>
        <w:spacing w:after="0"/>
        <w:rPr>
          <w:rFonts w:ascii="Arial" w:hAnsi="Arial" w:cs="Arial"/>
          <w:sz w:val="24"/>
          <w:szCs w:val="24"/>
        </w:rPr>
      </w:pPr>
    </w:p>
    <w:p w14:paraId="047BA9A2" w14:textId="59A2F536" w:rsidR="00DF70D9" w:rsidRDefault="00DF70D9" w:rsidP="00F01421">
      <w:pPr>
        <w:pStyle w:val="ListParagraph"/>
        <w:numPr>
          <w:ilvl w:val="0"/>
          <w:numId w:val="1"/>
        </w:numPr>
        <w:spacing w:after="160" w:line="256" w:lineRule="auto"/>
        <w:rPr>
          <w:rFonts w:ascii="Arial" w:hAnsi="Arial" w:cs="Arial"/>
          <w:sz w:val="24"/>
          <w:szCs w:val="24"/>
        </w:rPr>
      </w:pPr>
      <w:r>
        <w:rPr>
          <w:rFonts w:ascii="Arial" w:hAnsi="Arial" w:cs="Arial"/>
          <w:sz w:val="24"/>
          <w:szCs w:val="24"/>
        </w:rPr>
        <w:t xml:space="preserve">If required, please make any necessary adjustments to </w:t>
      </w:r>
      <w:r w:rsidRPr="00155EB4">
        <w:rPr>
          <w:rFonts w:ascii="Arial" w:hAnsi="Arial" w:cs="Arial"/>
          <w:sz w:val="24"/>
          <w:szCs w:val="24"/>
        </w:rPr>
        <w:t xml:space="preserve">Tab </w:t>
      </w:r>
      <w:r>
        <w:rPr>
          <w:rFonts w:ascii="Arial" w:hAnsi="Arial" w:cs="Arial"/>
          <w:sz w:val="24"/>
          <w:szCs w:val="24"/>
        </w:rPr>
        <w:t>6</w:t>
      </w:r>
      <w:r w:rsidRPr="00155EB4">
        <w:rPr>
          <w:rFonts w:ascii="Arial" w:hAnsi="Arial" w:cs="Arial"/>
          <w:sz w:val="24"/>
          <w:szCs w:val="24"/>
        </w:rPr>
        <w:t xml:space="preserve"> (</w:t>
      </w:r>
      <w:r>
        <w:rPr>
          <w:rFonts w:ascii="Arial" w:hAnsi="Arial" w:cs="Arial"/>
          <w:sz w:val="24"/>
          <w:szCs w:val="24"/>
        </w:rPr>
        <w:t>Class A Consumption Data</w:t>
      </w:r>
      <w:r w:rsidRPr="00155EB4">
        <w:rPr>
          <w:rFonts w:ascii="Arial" w:hAnsi="Arial" w:cs="Arial"/>
          <w:sz w:val="24"/>
          <w:szCs w:val="24"/>
        </w:rPr>
        <w:t>)</w:t>
      </w:r>
      <w:r>
        <w:rPr>
          <w:rFonts w:ascii="Arial" w:hAnsi="Arial" w:cs="Arial"/>
          <w:sz w:val="24"/>
          <w:szCs w:val="24"/>
        </w:rPr>
        <w:t xml:space="preserve"> in the</w:t>
      </w:r>
      <w:r w:rsidR="00E85C4D">
        <w:rPr>
          <w:rFonts w:ascii="Arial" w:hAnsi="Arial" w:cs="Arial"/>
          <w:sz w:val="24"/>
          <w:szCs w:val="24"/>
        </w:rPr>
        <w:t xml:space="preserve"> 2022</w:t>
      </w:r>
      <w:r>
        <w:rPr>
          <w:rFonts w:ascii="Arial" w:hAnsi="Arial" w:cs="Arial"/>
          <w:sz w:val="24"/>
          <w:szCs w:val="24"/>
        </w:rPr>
        <w:t xml:space="preserve"> IRM Rate Generator Model</w:t>
      </w:r>
      <w:r w:rsidR="00E62063">
        <w:rPr>
          <w:rFonts w:ascii="Arial" w:hAnsi="Arial" w:cs="Arial"/>
          <w:sz w:val="24"/>
          <w:szCs w:val="24"/>
        </w:rPr>
        <w:t>, so that only customers that have consumption as both Class A and Class B customers are reflected</w:t>
      </w:r>
      <w:r>
        <w:rPr>
          <w:rFonts w:ascii="Arial" w:hAnsi="Arial" w:cs="Arial"/>
          <w:sz w:val="24"/>
          <w:szCs w:val="24"/>
        </w:rPr>
        <w:t xml:space="preserve">. </w:t>
      </w:r>
    </w:p>
    <w:p w14:paraId="5BA6020A" w14:textId="67F1CFE2" w:rsidR="00A361B6" w:rsidRPr="00A267F6" w:rsidRDefault="00A361B6" w:rsidP="00A361B6">
      <w:pPr>
        <w:spacing w:after="160" w:line="256" w:lineRule="auto"/>
        <w:rPr>
          <w:rFonts w:ascii="Arial" w:hAnsi="Arial" w:cs="Arial"/>
          <w:color w:val="0070C0"/>
          <w:sz w:val="24"/>
          <w:szCs w:val="24"/>
        </w:rPr>
      </w:pPr>
      <w:r w:rsidRPr="00A267F6">
        <w:rPr>
          <w:rFonts w:ascii="Arial" w:hAnsi="Arial" w:cs="Arial"/>
          <w:color w:val="0070C0"/>
          <w:sz w:val="24"/>
          <w:szCs w:val="24"/>
        </w:rPr>
        <w:t>Response</w:t>
      </w:r>
    </w:p>
    <w:p w14:paraId="42C0EE9D" w14:textId="6F0B1B34" w:rsidR="00A361B6" w:rsidRPr="00A361B6" w:rsidRDefault="00A267F6" w:rsidP="00A361B6">
      <w:pPr>
        <w:spacing w:after="160" w:line="256" w:lineRule="auto"/>
        <w:rPr>
          <w:rFonts w:ascii="Arial" w:hAnsi="Arial" w:cs="Arial"/>
          <w:color w:val="0070C0"/>
          <w:sz w:val="24"/>
          <w:szCs w:val="24"/>
        </w:rPr>
      </w:pPr>
      <w:r>
        <w:rPr>
          <w:rFonts w:ascii="Arial" w:hAnsi="Arial" w:cs="Arial"/>
          <w:color w:val="0070C0"/>
          <w:sz w:val="24"/>
          <w:szCs w:val="24"/>
        </w:rPr>
        <w:t xml:space="preserve">OHL has updated Tab 6, section 3b, so that only one transition customer (Customer eight) is included.  </w:t>
      </w:r>
    </w:p>
    <w:p w14:paraId="79062EBA" w14:textId="5C88444D" w:rsidR="00054EFA" w:rsidRDefault="00054EFA" w:rsidP="00A75914">
      <w:pPr>
        <w:rPr>
          <w:rFonts w:ascii="Arial" w:hAnsi="Arial" w:cs="Arial"/>
          <w:b/>
          <w:sz w:val="24"/>
          <w:szCs w:val="24"/>
        </w:rPr>
      </w:pPr>
      <w:r w:rsidRPr="00752600">
        <w:rPr>
          <w:rFonts w:ascii="Arial" w:hAnsi="Arial" w:cs="Arial"/>
          <w:b/>
          <w:sz w:val="24"/>
          <w:szCs w:val="24"/>
        </w:rPr>
        <w:t>OEB Staff-</w:t>
      </w:r>
      <w:r w:rsidR="00FF2DAC" w:rsidRPr="00752600">
        <w:rPr>
          <w:rFonts w:ascii="Arial" w:hAnsi="Arial" w:cs="Arial"/>
          <w:b/>
          <w:sz w:val="24"/>
          <w:szCs w:val="24"/>
        </w:rPr>
        <w:t>3</w:t>
      </w:r>
      <w:r w:rsidR="00A57E67">
        <w:rPr>
          <w:rFonts w:ascii="Arial" w:hAnsi="Arial" w:cs="Arial"/>
          <w:b/>
          <w:sz w:val="24"/>
          <w:szCs w:val="24"/>
        </w:rPr>
        <w:t xml:space="preserve"> </w:t>
      </w:r>
    </w:p>
    <w:p w14:paraId="27EC8B23" w14:textId="3E17B57A" w:rsidR="00D82B94" w:rsidRPr="00752600" w:rsidRDefault="002E757E" w:rsidP="00752600">
      <w:pPr>
        <w:spacing w:after="0"/>
        <w:ind w:left="1440" w:hanging="1440"/>
        <w:rPr>
          <w:rFonts w:ascii="Arial" w:hAnsi="Arial" w:cs="Arial"/>
          <w:sz w:val="24"/>
          <w:szCs w:val="24"/>
        </w:rPr>
      </w:pPr>
      <w:r w:rsidRPr="00752600">
        <w:rPr>
          <w:rFonts w:ascii="Arial" w:hAnsi="Arial" w:cs="Arial"/>
          <w:b/>
          <w:bCs/>
          <w:sz w:val="24"/>
          <w:szCs w:val="24"/>
        </w:rPr>
        <w:t>Reference:</w:t>
      </w:r>
      <w:r w:rsidRPr="00752600">
        <w:rPr>
          <w:rFonts w:ascii="Arial" w:hAnsi="Arial" w:cs="Arial"/>
          <w:sz w:val="24"/>
          <w:szCs w:val="24"/>
        </w:rPr>
        <w:t xml:space="preserve"> </w:t>
      </w:r>
      <w:r w:rsidRPr="00752600">
        <w:rPr>
          <w:rFonts w:ascii="Arial" w:hAnsi="Arial" w:cs="Arial"/>
          <w:sz w:val="24"/>
          <w:szCs w:val="24"/>
        </w:rPr>
        <w:tab/>
      </w:r>
      <w:r w:rsidR="00D82B94" w:rsidRPr="00752600">
        <w:rPr>
          <w:rFonts w:ascii="Arial" w:hAnsi="Arial" w:cs="Arial"/>
          <w:sz w:val="24"/>
          <w:szCs w:val="24"/>
        </w:rPr>
        <w:t>(</w:t>
      </w:r>
      <w:r w:rsidR="00037849" w:rsidRPr="00752600">
        <w:rPr>
          <w:rFonts w:ascii="Arial" w:hAnsi="Arial" w:cs="Arial"/>
          <w:sz w:val="24"/>
          <w:szCs w:val="24"/>
        </w:rPr>
        <w:t>1</w:t>
      </w:r>
      <w:r w:rsidR="00D82B94" w:rsidRPr="00752600">
        <w:rPr>
          <w:rFonts w:ascii="Arial" w:hAnsi="Arial" w:cs="Arial"/>
          <w:sz w:val="24"/>
          <w:szCs w:val="24"/>
        </w:rPr>
        <w:t>) EB-2018-0060, 2019 IRM Decision and Rate Order, March 28, 2019, page 11</w:t>
      </w:r>
    </w:p>
    <w:p w14:paraId="38A2771C" w14:textId="27048DB3" w:rsidR="00D82B94" w:rsidRPr="00752600" w:rsidRDefault="00D82B94" w:rsidP="00A75914">
      <w:pPr>
        <w:ind w:left="1440"/>
        <w:rPr>
          <w:rFonts w:ascii="Arial" w:hAnsi="Arial" w:cs="Arial"/>
          <w:sz w:val="24"/>
          <w:szCs w:val="24"/>
        </w:rPr>
      </w:pPr>
      <w:r w:rsidRPr="00752600">
        <w:rPr>
          <w:rFonts w:ascii="Arial" w:hAnsi="Arial" w:cs="Arial"/>
          <w:sz w:val="24"/>
          <w:szCs w:val="24"/>
        </w:rPr>
        <w:t>(</w:t>
      </w:r>
      <w:r w:rsidR="00037849" w:rsidRPr="00752600">
        <w:rPr>
          <w:rFonts w:ascii="Arial" w:hAnsi="Arial" w:cs="Arial"/>
          <w:sz w:val="24"/>
          <w:szCs w:val="24"/>
        </w:rPr>
        <w:t>2</w:t>
      </w:r>
      <w:r w:rsidRPr="00752600">
        <w:rPr>
          <w:rFonts w:ascii="Arial" w:hAnsi="Arial" w:cs="Arial"/>
          <w:sz w:val="24"/>
          <w:szCs w:val="24"/>
        </w:rPr>
        <w:t>) EB-2020-0046, 2021 IRM Decision and Rate Order, March 25, 2021, page 13</w:t>
      </w:r>
    </w:p>
    <w:p w14:paraId="6A855D83" w14:textId="4176C02A" w:rsidR="00D82B94" w:rsidRPr="00752600" w:rsidRDefault="00D82B94" w:rsidP="00A75914">
      <w:pPr>
        <w:rPr>
          <w:rFonts w:ascii="Arial" w:hAnsi="Arial" w:cs="Arial"/>
          <w:color w:val="000000"/>
          <w:sz w:val="24"/>
          <w:szCs w:val="24"/>
        </w:rPr>
      </w:pPr>
      <w:r w:rsidRPr="00752600">
        <w:rPr>
          <w:rFonts w:ascii="Arial" w:hAnsi="Arial" w:cs="Arial"/>
          <w:color w:val="000000"/>
          <w:sz w:val="24"/>
          <w:szCs w:val="24"/>
        </w:rPr>
        <w:t xml:space="preserve">As per Reference #1, the OEB ordered a compliance review to be conducted by the OEB relating to a Class </w:t>
      </w:r>
      <w:proofErr w:type="gramStart"/>
      <w:r w:rsidRPr="00752600">
        <w:rPr>
          <w:rFonts w:ascii="Arial" w:hAnsi="Arial" w:cs="Arial"/>
          <w:color w:val="000000"/>
          <w:sz w:val="24"/>
          <w:szCs w:val="24"/>
        </w:rPr>
        <w:t>A</w:t>
      </w:r>
      <w:proofErr w:type="gramEnd"/>
      <w:r w:rsidRPr="00752600">
        <w:rPr>
          <w:rFonts w:ascii="Arial" w:hAnsi="Arial" w:cs="Arial"/>
          <w:color w:val="000000"/>
          <w:sz w:val="24"/>
          <w:szCs w:val="24"/>
        </w:rPr>
        <w:t xml:space="preserve"> Global Adjustment (GA) administrative error.</w:t>
      </w:r>
    </w:p>
    <w:p w14:paraId="47B291C8" w14:textId="77777777" w:rsidR="00D82B94" w:rsidRPr="00752600" w:rsidRDefault="00D82B94" w:rsidP="00A75914">
      <w:pPr>
        <w:rPr>
          <w:rFonts w:ascii="Arial" w:hAnsi="Arial" w:cs="Arial"/>
          <w:color w:val="000000"/>
          <w:sz w:val="24"/>
          <w:szCs w:val="24"/>
        </w:rPr>
      </w:pPr>
      <w:r w:rsidRPr="00752600">
        <w:rPr>
          <w:rFonts w:ascii="Arial" w:hAnsi="Arial" w:cs="Arial"/>
          <w:color w:val="000000"/>
          <w:sz w:val="24"/>
          <w:szCs w:val="24"/>
        </w:rPr>
        <w:t>As per Reference #2, the OEB ordered an additional inspection to be conducted by the OEB relating to Account 1588 and Account 1589.</w:t>
      </w:r>
    </w:p>
    <w:p w14:paraId="257F6CC6" w14:textId="01E9C6E9" w:rsidR="00D82B94" w:rsidRPr="00752600" w:rsidRDefault="00D82B94" w:rsidP="00A75914">
      <w:pPr>
        <w:rPr>
          <w:rFonts w:ascii="Arial" w:hAnsi="Arial" w:cs="Arial"/>
          <w:color w:val="000000"/>
          <w:sz w:val="24"/>
          <w:szCs w:val="24"/>
        </w:rPr>
      </w:pPr>
      <w:r w:rsidRPr="00752600">
        <w:rPr>
          <w:rFonts w:ascii="Arial" w:hAnsi="Arial" w:cs="Arial"/>
          <w:color w:val="000000"/>
          <w:sz w:val="24"/>
          <w:szCs w:val="24"/>
        </w:rPr>
        <w:t xml:space="preserve">In the question below, OEB staff has referred to the OEB’s compliance review (as per the 2019 IRM decision) and the additional OEB inspection (as per the 2021 IRM decision) collectively as </w:t>
      </w:r>
      <w:r w:rsidR="00662744" w:rsidRPr="00752600">
        <w:rPr>
          <w:rFonts w:ascii="Arial" w:hAnsi="Arial" w:cs="Arial"/>
          <w:color w:val="000000"/>
          <w:sz w:val="24"/>
          <w:szCs w:val="24"/>
        </w:rPr>
        <w:t>“</w:t>
      </w:r>
      <w:r w:rsidRPr="00752600">
        <w:rPr>
          <w:rFonts w:ascii="Arial" w:hAnsi="Arial" w:cs="Arial"/>
          <w:color w:val="000000"/>
          <w:sz w:val="24"/>
          <w:szCs w:val="24"/>
        </w:rPr>
        <w:t>the Inspection</w:t>
      </w:r>
      <w:r w:rsidR="00662744" w:rsidRPr="00752600">
        <w:rPr>
          <w:rFonts w:ascii="Arial" w:hAnsi="Arial" w:cs="Arial"/>
          <w:color w:val="000000"/>
          <w:sz w:val="24"/>
          <w:szCs w:val="24"/>
        </w:rPr>
        <w:t>”</w:t>
      </w:r>
      <w:r w:rsidRPr="00752600">
        <w:rPr>
          <w:rFonts w:ascii="Arial" w:hAnsi="Arial" w:cs="Arial"/>
          <w:color w:val="000000"/>
          <w:sz w:val="24"/>
          <w:szCs w:val="24"/>
        </w:rPr>
        <w:t>.</w:t>
      </w:r>
    </w:p>
    <w:p w14:paraId="7D96009B" w14:textId="77777777" w:rsidR="003737FF" w:rsidRPr="00752600" w:rsidRDefault="003737FF" w:rsidP="00A75914">
      <w:pPr>
        <w:rPr>
          <w:rFonts w:ascii="Arial" w:hAnsi="Arial" w:cs="Arial"/>
          <w:b/>
          <w:bCs/>
          <w:color w:val="000000"/>
          <w:sz w:val="24"/>
          <w:szCs w:val="24"/>
        </w:rPr>
      </w:pPr>
      <w:r w:rsidRPr="00752600">
        <w:rPr>
          <w:rFonts w:ascii="Arial" w:hAnsi="Arial" w:cs="Arial"/>
          <w:b/>
          <w:bCs/>
          <w:color w:val="000000"/>
          <w:sz w:val="24"/>
          <w:szCs w:val="24"/>
        </w:rPr>
        <w:t>Question:</w:t>
      </w:r>
    </w:p>
    <w:p w14:paraId="555ECB81" w14:textId="7296E161" w:rsidR="0070485D" w:rsidRPr="00737346" w:rsidRDefault="000B0992" w:rsidP="00A75914">
      <w:pPr>
        <w:pStyle w:val="ListParagraph"/>
        <w:numPr>
          <w:ilvl w:val="0"/>
          <w:numId w:val="15"/>
        </w:numPr>
        <w:rPr>
          <w:rFonts w:ascii="Arial" w:eastAsia="Times New Roman" w:hAnsi="Arial" w:cs="Arial"/>
          <w:b/>
          <w:bCs/>
          <w:sz w:val="24"/>
          <w:szCs w:val="24"/>
        </w:rPr>
      </w:pPr>
      <w:r w:rsidRPr="00752600">
        <w:rPr>
          <w:rFonts w:ascii="Arial" w:hAnsi="Arial" w:cs="Arial"/>
          <w:sz w:val="24"/>
          <w:szCs w:val="24"/>
        </w:rPr>
        <w:t>Given that the commodity account balances may be impacted by the outcomes of the Inspection, w</w:t>
      </w:r>
      <w:r w:rsidR="00D82B94" w:rsidRPr="00752600">
        <w:rPr>
          <w:rFonts w:ascii="Arial" w:hAnsi="Arial" w:cs="Arial"/>
          <w:sz w:val="24"/>
          <w:szCs w:val="24"/>
        </w:rPr>
        <w:t>ould Orangeville Hydro be agreeable to withdrawing its request to clear any Account 1588 and Account 1589 balances</w:t>
      </w:r>
      <w:r w:rsidR="007F0CAA" w:rsidRPr="00752600">
        <w:rPr>
          <w:rFonts w:ascii="Arial" w:hAnsi="Arial" w:cs="Arial"/>
          <w:sz w:val="24"/>
          <w:szCs w:val="24"/>
        </w:rPr>
        <w:t xml:space="preserve"> (or alternatively, all Group 1 accounts)</w:t>
      </w:r>
      <w:r w:rsidR="00D82B94" w:rsidRPr="00752600">
        <w:rPr>
          <w:rFonts w:ascii="Arial" w:hAnsi="Arial" w:cs="Arial"/>
          <w:sz w:val="24"/>
          <w:szCs w:val="24"/>
        </w:rPr>
        <w:t xml:space="preserve"> in the current proceeding, </w:t>
      </w:r>
      <w:proofErr w:type="gramStart"/>
      <w:r w:rsidR="00D82B94" w:rsidRPr="00752600">
        <w:rPr>
          <w:rFonts w:ascii="Arial" w:hAnsi="Arial" w:cs="Arial"/>
          <w:sz w:val="24"/>
          <w:szCs w:val="24"/>
        </w:rPr>
        <w:t>in the event that</w:t>
      </w:r>
      <w:proofErr w:type="gramEnd"/>
      <w:r w:rsidR="00D82B94" w:rsidRPr="00752600">
        <w:rPr>
          <w:rFonts w:ascii="Arial" w:hAnsi="Arial" w:cs="Arial"/>
          <w:sz w:val="24"/>
          <w:szCs w:val="24"/>
        </w:rPr>
        <w:t xml:space="preserve"> the Inspection is not completed before the issuance of the decision?</w:t>
      </w:r>
    </w:p>
    <w:p w14:paraId="215133EF" w14:textId="08D373CA" w:rsidR="00737346" w:rsidRPr="00737346" w:rsidRDefault="00737346" w:rsidP="00737346">
      <w:pPr>
        <w:rPr>
          <w:rFonts w:ascii="Arial" w:eastAsia="Times New Roman" w:hAnsi="Arial" w:cs="Arial"/>
          <w:color w:val="0070C0"/>
          <w:sz w:val="24"/>
          <w:szCs w:val="24"/>
          <w:u w:val="single"/>
        </w:rPr>
      </w:pPr>
      <w:r w:rsidRPr="00737346">
        <w:rPr>
          <w:rFonts w:ascii="Arial" w:eastAsia="Times New Roman" w:hAnsi="Arial" w:cs="Arial"/>
          <w:color w:val="0070C0"/>
          <w:sz w:val="24"/>
          <w:szCs w:val="24"/>
          <w:u w:val="single"/>
        </w:rPr>
        <w:t>Response</w:t>
      </w:r>
    </w:p>
    <w:p w14:paraId="330DCA0D" w14:textId="3E12B5EA" w:rsidR="00737346" w:rsidRPr="00737346" w:rsidRDefault="00737346" w:rsidP="00737346">
      <w:pPr>
        <w:rPr>
          <w:rFonts w:ascii="Arial" w:eastAsia="Times New Roman" w:hAnsi="Arial" w:cs="Arial"/>
          <w:b/>
          <w:bCs/>
          <w:color w:val="0070C0"/>
          <w:sz w:val="24"/>
          <w:szCs w:val="24"/>
        </w:rPr>
      </w:pPr>
      <w:r w:rsidRPr="00737346">
        <w:rPr>
          <w:rFonts w:ascii="Arial" w:eastAsia="Times New Roman" w:hAnsi="Arial" w:cs="Arial"/>
          <w:color w:val="0070C0"/>
          <w:sz w:val="24"/>
          <w:szCs w:val="24"/>
        </w:rPr>
        <w:t>Orangeville Hydro agrees to</w:t>
      </w:r>
      <w:r w:rsidRPr="00737346">
        <w:rPr>
          <w:rFonts w:ascii="Arial" w:eastAsia="Times New Roman" w:hAnsi="Arial" w:cs="Arial"/>
          <w:b/>
          <w:bCs/>
          <w:color w:val="0070C0"/>
          <w:sz w:val="24"/>
          <w:szCs w:val="24"/>
        </w:rPr>
        <w:t xml:space="preserve"> </w:t>
      </w:r>
      <w:r w:rsidRPr="00737346">
        <w:rPr>
          <w:rFonts w:ascii="Arial" w:hAnsi="Arial" w:cs="Arial"/>
          <w:color w:val="0070C0"/>
          <w:sz w:val="24"/>
          <w:szCs w:val="24"/>
        </w:rPr>
        <w:t xml:space="preserve">withdraw its request to clear any Account 1588 and Account 1589 balances in the current proceeding, </w:t>
      </w:r>
      <w:proofErr w:type="gramStart"/>
      <w:r w:rsidRPr="00737346">
        <w:rPr>
          <w:rFonts w:ascii="Arial" w:hAnsi="Arial" w:cs="Arial"/>
          <w:color w:val="0070C0"/>
          <w:sz w:val="24"/>
          <w:szCs w:val="24"/>
        </w:rPr>
        <w:t>in the event that</w:t>
      </w:r>
      <w:proofErr w:type="gramEnd"/>
      <w:r w:rsidRPr="00737346">
        <w:rPr>
          <w:rFonts w:ascii="Arial" w:hAnsi="Arial" w:cs="Arial"/>
          <w:color w:val="0070C0"/>
          <w:sz w:val="24"/>
          <w:szCs w:val="24"/>
        </w:rPr>
        <w:t xml:space="preserve"> the Inspection is not completed before the issuance of the decision.  Orangeville Hydro </w:t>
      </w:r>
      <w:r w:rsidR="003B31F9">
        <w:rPr>
          <w:rFonts w:ascii="Arial" w:hAnsi="Arial" w:cs="Arial"/>
          <w:color w:val="0070C0"/>
          <w:sz w:val="24"/>
          <w:szCs w:val="24"/>
        </w:rPr>
        <w:t xml:space="preserve">does not agree to remove remaining Group 1 balances </w:t>
      </w:r>
      <w:r w:rsidR="000C2253">
        <w:rPr>
          <w:rFonts w:ascii="Arial" w:hAnsi="Arial" w:cs="Arial"/>
          <w:color w:val="0070C0"/>
          <w:sz w:val="24"/>
          <w:szCs w:val="24"/>
        </w:rPr>
        <w:t>as</w:t>
      </w:r>
      <w:r w:rsidRPr="00737346">
        <w:rPr>
          <w:rFonts w:ascii="Arial" w:hAnsi="Arial" w:cs="Arial"/>
          <w:color w:val="0070C0"/>
          <w:sz w:val="24"/>
          <w:szCs w:val="24"/>
        </w:rPr>
        <w:t xml:space="preserve"> these accounts are not specifically </w:t>
      </w:r>
      <w:r>
        <w:rPr>
          <w:rFonts w:ascii="Arial" w:hAnsi="Arial" w:cs="Arial"/>
          <w:color w:val="0070C0"/>
          <w:sz w:val="24"/>
          <w:szCs w:val="24"/>
        </w:rPr>
        <w:t>within the scope</w:t>
      </w:r>
      <w:r w:rsidRPr="00737346">
        <w:rPr>
          <w:rFonts w:ascii="Arial" w:hAnsi="Arial" w:cs="Arial"/>
          <w:color w:val="0070C0"/>
          <w:sz w:val="24"/>
          <w:szCs w:val="24"/>
        </w:rPr>
        <w:t xml:space="preserve"> of the Inspection and therefore should remain within the application</w:t>
      </w:r>
      <w:r w:rsidR="003B31F9">
        <w:rPr>
          <w:rFonts w:ascii="Arial" w:hAnsi="Arial" w:cs="Arial"/>
          <w:color w:val="0070C0"/>
          <w:sz w:val="24"/>
          <w:szCs w:val="24"/>
        </w:rPr>
        <w:t xml:space="preserve"> to be disposed of</w:t>
      </w:r>
      <w:r w:rsidRPr="00737346">
        <w:rPr>
          <w:rFonts w:ascii="Arial" w:hAnsi="Arial" w:cs="Arial"/>
          <w:color w:val="0070C0"/>
          <w:sz w:val="24"/>
          <w:szCs w:val="24"/>
        </w:rPr>
        <w:t>.</w:t>
      </w:r>
      <w:r w:rsidR="00CE03DD">
        <w:rPr>
          <w:rFonts w:ascii="Arial" w:hAnsi="Arial" w:cs="Arial"/>
          <w:color w:val="0070C0"/>
          <w:sz w:val="24"/>
          <w:szCs w:val="24"/>
        </w:rPr>
        <w:t xml:space="preserve"> This includes accounts 1550, 1551, 1580, 1584, 1586, 1595, and 1568.</w:t>
      </w:r>
    </w:p>
    <w:p w14:paraId="01C6C530" w14:textId="2E92FB1E" w:rsidR="00D82B94" w:rsidRDefault="00D82B94" w:rsidP="00045C3C">
      <w:pPr>
        <w:rPr>
          <w:rFonts w:ascii="Arial" w:eastAsia="Times New Roman" w:hAnsi="Arial" w:cs="Arial"/>
          <w:b/>
          <w:bCs/>
          <w:sz w:val="24"/>
          <w:szCs w:val="24"/>
        </w:rPr>
      </w:pPr>
      <w:r w:rsidRPr="00752600">
        <w:rPr>
          <w:rFonts w:ascii="Arial" w:eastAsia="Times New Roman" w:hAnsi="Arial" w:cs="Arial"/>
          <w:b/>
          <w:bCs/>
          <w:sz w:val="24"/>
          <w:szCs w:val="24"/>
        </w:rPr>
        <w:t>OEB Staff-</w:t>
      </w:r>
      <w:r w:rsidR="00FF2DAC" w:rsidRPr="00752600">
        <w:rPr>
          <w:rFonts w:ascii="Arial" w:eastAsia="Times New Roman" w:hAnsi="Arial" w:cs="Arial"/>
          <w:b/>
          <w:bCs/>
          <w:sz w:val="24"/>
          <w:szCs w:val="24"/>
        </w:rPr>
        <w:t>4</w:t>
      </w:r>
    </w:p>
    <w:p w14:paraId="673FF90D" w14:textId="77777777" w:rsidR="00D82B94" w:rsidRPr="00752600" w:rsidRDefault="00D82B94" w:rsidP="00752600">
      <w:pPr>
        <w:spacing w:after="0"/>
        <w:ind w:left="1440" w:hanging="1440"/>
        <w:rPr>
          <w:rFonts w:ascii="Arial" w:hAnsi="Arial" w:cs="Arial"/>
          <w:bCs/>
          <w:sz w:val="24"/>
          <w:szCs w:val="24"/>
        </w:rPr>
      </w:pPr>
      <w:r w:rsidRPr="00752600">
        <w:rPr>
          <w:rFonts w:ascii="Arial" w:hAnsi="Arial" w:cs="Arial"/>
          <w:b/>
          <w:bCs/>
          <w:sz w:val="24"/>
          <w:szCs w:val="24"/>
        </w:rPr>
        <w:lastRenderedPageBreak/>
        <w:t>Reference:</w:t>
      </w:r>
      <w:r w:rsidRPr="00752600">
        <w:rPr>
          <w:rFonts w:ascii="Arial" w:hAnsi="Arial" w:cs="Arial"/>
          <w:b/>
          <w:bCs/>
          <w:sz w:val="24"/>
          <w:szCs w:val="24"/>
        </w:rPr>
        <w:tab/>
      </w:r>
      <w:r w:rsidRPr="00752600">
        <w:rPr>
          <w:rFonts w:ascii="Arial" w:hAnsi="Arial" w:cs="Arial"/>
          <w:bCs/>
          <w:sz w:val="24"/>
          <w:szCs w:val="24"/>
        </w:rPr>
        <w:t>(1) EB-2019-0060, 2020 IRM Rate Generator Model, Tab 3, February 19, 2020</w:t>
      </w:r>
    </w:p>
    <w:p w14:paraId="37554667" w14:textId="3A79B93F" w:rsidR="00D82B94" w:rsidRPr="00752600" w:rsidRDefault="00D82B94" w:rsidP="00752600">
      <w:pPr>
        <w:spacing w:after="0"/>
        <w:ind w:left="1440"/>
        <w:rPr>
          <w:rFonts w:ascii="Arial" w:hAnsi="Arial" w:cs="Arial"/>
          <w:sz w:val="24"/>
          <w:szCs w:val="24"/>
        </w:rPr>
      </w:pPr>
      <w:r w:rsidRPr="00752600">
        <w:rPr>
          <w:rFonts w:ascii="Arial" w:hAnsi="Arial" w:cs="Arial"/>
          <w:sz w:val="24"/>
          <w:szCs w:val="24"/>
        </w:rPr>
        <w:t>(2) EB-2019-0060, 2020 IRM Decision and Rate Order, April 16, 2020, page 9</w:t>
      </w:r>
      <w:r w:rsidRPr="00752600">
        <w:rPr>
          <w:rFonts w:ascii="Arial" w:hAnsi="Arial" w:cs="Arial"/>
          <w:sz w:val="24"/>
          <w:szCs w:val="24"/>
        </w:rPr>
        <w:tab/>
      </w:r>
    </w:p>
    <w:p w14:paraId="5D7AC0C5" w14:textId="6AC46AF8" w:rsidR="00D82B94" w:rsidRPr="00752600" w:rsidRDefault="00D82B94" w:rsidP="00752600">
      <w:pPr>
        <w:spacing w:after="0"/>
        <w:ind w:left="1440"/>
        <w:rPr>
          <w:rFonts w:ascii="Arial" w:hAnsi="Arial" w:cs="Arial"/>
          <w:sz w:val="24"/>
          <w:szCs w:val="24"/>
        </w:rPr>
      </w:pPr>
      <w:r w:rsidRPr="00752600">
        <w:rPr>
          <w:rFonts w:ascii="Arial" w:hAnsi="Arial" w:cs="Arial"/>
          <w:sz w:val="24"/>
          <w:szCs w:val="24"/>
        </w:rPr>
        <w:t>(</w:t>
      </w:r>
      <w:r w:rsidR="00DE3DC9" w:rsidRPr="00752600">
        <w:rPr>
          <w:rFonts w:ascii="Arial" w:hAnsi="Arial" w:cs="Arial"/>
          <w:sz w:val="24"/>
          <w:szCs w:val="24"/>
        </w:rPr>
        <w:t>3</w:t>
      </w:r>
      <w:r w:rsidRPr="00752600">
        <w:rPr>
          <w:rFonts w:ascii="Arial" w:hAnsi="Arial" w:cs="Arial"/>
          <w:sz w:val="24"/>
          <w:szCs w:val="24"/>
        </w:rPr>
        <w:t>) EB-2020-0046, 2021 IRM Rate Generator Model, Tab 3, March 25, 2021</w:t>
      </w:r>
    </w:p>
    <w:p w14:paraId="49424039" w14:textId="0C489812" w:rsidR="00D82B94" w:rsidRPr="00752600" w:rsidRDefault="00D82B94" w:rsidP="00045C3C">
      <w:pPr>
        <w:ind w:left="720" w:firstLine="720"/>
        <w:rPr>
          <w:rFonts w:ascii="Arial" w:hAnsi="Arial" w:cs="Arial"/>
          <w:sz w:val="24"/>
          <w:szCs w:val="24"/>
        </w:rPr>
      </w:pPr>
      <w:r w:rsidRPr="00752600">
        <w:rPr>
          <w:rFonts w:ascii="Arial" w:hAnsi="Arial" w:cs="Arial"/>
          <w:sz w:val="24"/>
          <w:szCs w:val="24"/>
        </w:rPr>
        <w:t>(</w:t>
      </w:r>
      <w:r w:rsidR="00DE3DC9" w:rsidRPr="00752600">
        <w:rPr>
          <w:rFonts w:ascii="Arial" w:hAnsi="Arial" w:cs="Arial"/>
          <w:sz w:val="24"/>
          <w:szCs w:val="24"/>
        </w:rPr>
        <w:t>4</w:t>
      </w:r>
      <w:r w:rsidRPr="00752600">
        <w:rPr>
          <w:rFonts w:ascii="Arial" w:hAnsi="Arial" w:cs="Arial"/>
          <w:sz w:val="24"/>
          <w:szCs w:val="24"/>
        </w:rPr>
        <w:t>) 2022 IRM Rate Generator Model, Tab 3, October 13, 2021</w:t>
      </w:r>
    </w:p>
    <w:p w14:paraId="430AFAA8" w14:textId="2F38F650" w:rsidR="00F01421" w:rsidRPr="00752600" w:rsidRDefault="00A368C7" w:rsidP="00045C3C">
      <w:pPr>
        <w:rPr>
          <w:rFonts w:ascii="Arial" w:hAnsi="Arial" w:cs="Arial"/>
          <w:bCs/>
          <w:sz w:val="24"/>
          <w:szCs w:val="24"/>
        </w:rPr>
      </w:pPr>
      <w:r w:rsidRPr="00752600">
        <w:rPr>
          <w:rFonts w:ascii="Arial" w:hAnsi="Arial" w:cs="Arial"/>
          <w:bCs/>
          <w:sz w:val="24"/>
          <w:szCs w:val="24"/>
        </w:rPr>
        <w:t>I</w:t>
      </w:r>
      <w:r w:rsidR="007F0CAA" w:rsidRPr="00752600">
        <w:rPr>
          <w:rFonts w:ascii="Arial" w:hAnsi="Arial" w:cs="Arial"/>
          <w:bCs/>
          <w:sz w:val="24"/>
          <w:szCs w:val="24"/>
        </w:rPr>
        <w:t>n</w:t>
      </w:r>
      <w:r w:rsidR="00F01421" w:rsidRPr="00752600">
        <w:rPr>
          <w:rFonts w:ascii="Arial" w:hAnsi="Arial" w:cs="Arial"/>
          <w:bCs/>
          <w:sz w:val="24"/>
          <w:szCs w:val="24"/>
        </w:rPr>
        <w:t xml:space="preserve"> the 2020 IRM Rate Generator Model</w:t>
      </w:r>
      <w:r w:rsidR="00CF382A">
        <w:rPr>
          <w:rFonts w:ascii="Arial" w:hAnsi="Arial" w:cs="Arial"/>
          <w:bCs/>
          <w:sz w:val="24"/>
          <w:szCs w:val="24"/>
        </w:rPr>
        <w:t xml:space="preserve"> and decision</w:t>
      </w:r>
      <w:r w:rsidR="00F01421" w:rsidRPr="00752600">
        <w:rPr>
          <w:rFonts w:ascii="Arial" w:hAnsi="Arial" w:cs="Arial"/>
          <w:bCs/>
          <w:sz w:val="24"/>
          <w:szCs w:val="24"/>
        </w:rPr>
        <w:t xml:space="preserve">, </w:t>
      </w:r>
      <w:r w:rsidRPr="00752600">
        <w:rPr>
          <w:rFonts w:ascii="Arial" w:hAnsi="Arial" w:cs="Arial"/>
          <w:bCs/>
          <w:sz w:val="24"/>
          <w:szCs w:val="24"/>
        </w:rPr>
        <w:t xml:space="preserve">the OEB disposed of </w:t>
      </w:r>
      <w:r w:rsidR="00F01421" w:rsidRPr="00752600">
        <w:rPr>
          <w:rFonts w:ascii="Arial" w:hAnsi="Arial" w:cs="Arial"/>
          <w:bCs/>
          <w:sz w:val="24"/>
          <w:szCs w:val="24"/>
        </w:rPr>
        <w:t xml:space="preserve">the December 31, </w:t>
      </w:r>
      <w:proofErr w:type="gramStart"/>
      <w:r w:rsidR="00F01421" w:rsidRPr="00752600">
        <w:rPr>
          <w:rFonts w:ascii="Arial" w:hAnsi="Arial" w:cs="Arial"/>
          <w:bCs/>
          <w:sz w:val="24"/>
          <w:szCs w:val="24"/>
        </w:rPr>
        <w:t>2016</w:t>
      </w:r>
      <w:proofErr w:type="gramEnd"/>
      <w:r w:rsidR="00F01421" w:rsidRPr="00752600">
        <w:rPr>
          <w:rFonts w:ascii="Arial" w:hAnsi="Arial" w:cs="Arial"/>
          <w:bCs/>
          <w:sz w:val="24"/>
          <w:szCs w:val="24"/>
        </w:rPr>
        <w:t xml:space="preserve"> Account 1588 and Account 1589 balances</w:t>
      </w:r>
      <w:r w:rsidR="00CD2126" w:rsidRPr="00752600">
        <w:rPr>
          <w:rFonts w:ascii="Arial" w:hAnsi="Arial" w:cs="Arial"/>
          <w:bCs/>
          <w:sz w:val="24"/>
          <w:szCs w:val="24"/>
        </w:rPr>
        <w:t xml:space="preserve"> </w:t>
      </w:r>
      <w:r w:rsidR="00BF2066" w:rsidRPr="00752600">
        <w:rPr>
          <w:rFonts w:ascii="Arial" w:hAnsi="Arial" w:cs="Arial"/>
          <w:bCs/>
          <w:sz w:val="24"/>
          <w:szCs w:val="24"/>
        </w:rPr>
        <w:t>(</w:t>
      </w:r>
      <w:r w:rsidR="00F01421" w:rsidRPr="00752600">
        <w:rPr>
          <w:rFonts w:ascii="Arial" w:hAnsi="Arial" w:cs="Arial"/>
          <w:bCs/>
          <w:sz w:val="24"/>
          <w:szCs w:val="24"/>
        </w:rPr>
        <w:t>on a final basis</w:t>
      </w:r>
      <w:r w:rsidR="00BF2066" w:rsidRPr="00752600">
        <w:rPr>
          <w:rFonts w:ascii="Arial" w:hAnsi="Arial" w:cs="Arial"/>
          <w:bCs/>
          <w:sz w:val="24"/>
          <w:szCs w:val="24"/>
        </w:rPr>
        <w:t>)</w:t>
      </w:r>
      <w:r w:rsidR="002E2AD5" w:rsidRPr="00752600">
        <w:rPr>
          <w:rFonts w:ascii="Arial" w:hAnsi="Arial" w:cs="Arial"/>
          <w:bCs/>
          <w:sz w:val="24"/>
          <w:szCs w:val="24"/>
        </w:rPr>
        <w:t xml:space="preserve">, while </w:t>
      </w:r>
      <w:r w:rsidR="006B2895" w:rsidRPr="00752600">
        <w:rPr>
          <w:rFonts w:ascii="Arial" w:hAnsi="Arial" w:cs="Arial"/>
          <w:bCs/>
          <w:sz w:val="24"/>
          <w:szCs w:val="24"/>
        </w:rPr>
        <w:t>deferring disposition of the 2017 and 2018 balances</w:t>
      </w:r>
      <w:r w:rsidR="00806046" w:rsidRPr="00752600">
        <w:rPr>
          <w:rFonts w:ascii="Arial" w:hAnsi="Arial" w:cs="Arial"/>
          <w:bCs/>
          <w:sz w:val="24"/>
          <w:szCs w:val="24"/>
        </w:rPr>
        <w:t>.</w:t>
      </w:r>
    </w:p>
    <w:p w14:paraId="5883BCDB" w14:textId="2CB3B0B6" w:rsidR="00F01421" w:rsidRPr="00752600" w:rsidRDefault="00F01421" w:rsidP="00045C3C">
      <w:pPr>
        <w:rPr>
          <w:rFonts w:ascii="Arial" w:hAnsi="Arial" w:cs="Arial"/>
          <w:bCs/>
          <w:sz w:val="24"/>
          <w:szCs w:val="24"/>
        </w:rPr>
      </w:pPr>
      <w:r w:rsidRPr="00752600">
        <w:rPr>
          <w:rFonts w:ascii="Arial" w:hAnsi="Arial" w:cs="Arial"/>
          <w:bCs/>
          <w:sz w:val="24"/>
          <w:szCs w:val="24"/>
        </w:rPr>
        <w:t xml:space="preserve">OEB staff notes discrepancies between the Account 1588 and Account 1589 December 31, </w:t>
      </w:r>
      <w:proofErr w:type="gramStart"/>
      <w:r w:rsidRPr="00752600">
        <w:rPr>
          <w:rFonts w:ascii="Arial" w:hAnsi="Arial" w:cs="Arial"/>
          <w:bCs/>
          <w:sz w:val="24"/>
          <w:szCs w:val="24"/>
        </w:rPr>
        <w:t>2016</w:t>
      </w:r>
      <w:proofErr w:type="gramEnd"/>
      <w:r w:rsidRPr="00752600">
        <w:rPr>
          <w:rFonts w:ascii="Arial" w:hAnsi="Arial" w:cs="Arial"/>
          <w:bCs/>
          <w:sz w:val="24"/>
          <w:szCs w:val="24"/>
        </w:rPr>
        <w:t xml:space="preserve"> principal balances in the 2022 IRM Rate Generator Model (Reference #</w:t>
      </w:r>
      <w:r w:rsidR="00DD46AC" w:rsidRPr="00752600">
        <w:rPr>
          <w:rFonts w:ascii="Arial" w:hAnsi="Arial" w:cs="Arial"/>
          <w:bCs/>
          <w:sz w:val="24"/>
          <w:szCs w:val="24"/>
        </w:rPr>
        <w:t>4</w:t>
      </w:r>
      <w:r w:rsidRPr="00752600">
        <w:rPr>
          <w:rFonts w:ascii="Arial" w:hAnsi="Arial" w:cs="Arial"/>
          <w:bCs/>
          <w:sz w:val="24"/>
          <w:szCs w:val="24"/>
        </w:rPr>
        <w:t xml:space="preserve">), and </w:t>
      </w:r>
      <w:r w:rsidR="002E2AD5" w:rsidRPr="00752600">
        <w:rPr>
          <w:rFonts w:ascii="Arial" w:hAnsi="Arial" w:cs="Arial"/>
          <w:bCs/>
          <w:sz w:val="24"/>
          <w:szCs w:val="24"/>
        </w:rPr>
        <w:t xml:space="preserve">each of the </w:t>
      </w:r>
      <w:r w:rsidR="00552663" w:rsidRPr="00752600">
        <w:rPr>
          <w:rFonts w:ascii="Arial" w:hAnsi="Arial" w:cs="Arial"/>
          <w:bCs/>
          <w:sz w:val="24"/>
          <w:szCs w:val="24"/>
        </w:rPr>
        <w:t xml:space="preserve">2020 </w:t>
      </w:r>
      <w:r w:rsidR="002E2AD5" w:rsidRPr="00752600">
        <w:rPr>
          <w:rFonts w:ascii="Arial" w:hAnsi="Arial" w:cs="Arial"/>
          <w:bCs/>
          <w:sz w:val="24"/>
          <w:szCs w:val="24"/>
        </w:rPr>
        <w:t xml:space="preserve">and </w:t>
      </w:r>
      <w:r w:rsidR="006723B0" w:rsidRPr="00752600">
        <w:rPr>
          <w:rFonts w:ascii="Arial" w:hAnsi="Arial" w:cs="Arial"/>
          <w:bCs/>
          <w:sz w:val="24"/>
          <w:szCs w:val="24"/>
        </w:rPr>
        <w:t>202</w:t>
      </w:r>
      <w:r w:rsidR="00552663" w:rsidRPr="00752600">
        <w:rPr>
          <w:rFonts w:ascii="Arial" w:hAnsi="Arial" w:cs="Arial"/>
          <w:bCs/>
          <w:sz w:val="24"/>
          <w:szCs w:val="24"/>
        </w:rPr>
        <w:t>1</w:t>
      </w:r>
      <w:r w:rsidR="006723B0" w:rsidRPr="00752600">
        <w:rPr>
          <w:rFonts w:ascii="Arial" w:hAnsi="Arial" w:cs="Arial"/>
          <w:bCs/>
          <w:sz w:val="24"/>
          <w:szCs w:val="24"/>
        </w:rPr>
        <w:t xml:space="preserve"> </w:t>
      </w:r>
      <w:r w:rsidR="002B22B0" w:rsidRPr="00752600">
        <w:rPr>
          <w:rFonts w:ascii="Arial" w:hAnsi="Arial" w:cs="Arial"/>
          <w:bCs/>
          <w:sz w:val="24"/>
          <w:szCs w:val="24"/>
        </w:rPr>
        <w:t xml:space="preserve">IRM </w:t>
      </w:r>
      <w:r w:rsidR="002E2AD5" w:rsidRPr="00752600">
        <w:rPr>
          <w:rFonts w:ascii="Arial" w:hAnsi="Arial" w:cs="Arial"/>
          <w:bCs/>
          <w:sz w:val="24"/>
          <w:szCs w:val="24"/>
        </w:rPr>
        <w:t xml:space="preserve">Rate Generator Models (References </w:t>
      </w:r>
      <w:r w:rsidR="002B22B0" w:rsidRPr="00752600">
        <w:rPr>
          <w:rFonts w:ascii="Arial" w:hAnsi="Arial" w:cs="Arial"/>
          <w:bCs/>
          <w:sz w:val="24"/>
          <w:szCs w:val="24"/>
        </w:rPr>
        <w:t>#</w:t>
      </w:r>
      <w:r w:rsidR="002E2AD5" w:rsidRPr="00752600">
        <w:rPr>
          <w:rFonts w:ascii="Arial" w:hAnsi="Arial" w:cs="Arial"/>
          <w:bCs/>
          <w:sz w:val="24"/>
          <w:szCs w:val="24"/>
        </w:rPr>
        <w:t xml:space="preserve">1 and </w:t>
      </w:r>
      <w:r w:rsidR="002B22B0" w:rsidRPr="00752600">
        <w:rPr>
          <w:rFonts w:ascii="Arial" w:hAnsi="Arial" w:cs="Arial"/>
          <w:bCs/>
          <w:sz w:val="24"/>
          <w:szCs w:val="24"/>
        </w:rPr>
        <w:t>#</w:t>
      </w:r>
      <w:r w:rsidR="002E2AD5" w:rsidRPr="00752600">
        <w:rPr>
          <w:rFonts w:ascii="Arial" w:hAnsi="Arial" w:cs="Arial"/>
          <w:bCs/>
          <w:sz w:val="24"/>
          <w:szCs w:val="24"/>
        </w:rPr>
        <w:t>3</w:t>
      </w:r>
      <w:r w:rsidR="006B2895" w:rsidRPr="00752600">
        <w:rPr>
          <w:rFonts w:ascii="Arial" w:hAnsi="Arial" w:cs="Arial"/>
          <w:bCs/>
          <w:sz w:val="24"/>
          <w:szCs w:val="24"/>
        </w:rPr>
        <w:t>)</w:t>
      </w:r>
      <w:r w:rsidR="002E2AD5" w:rsidRPr="00752600">
        <w:rPr>
          <w:rFonts w:ascii="Arial" w:hAnsi="Arial" w:cs="Arial"/>
          <w:bCs/>
          <w:sz w:val="24"/>
          <w:szCs w:val="24"/>
        </w:rPr>
        <w:t>.</w:t>
      </w:r>
    </w:p>
    <w:p w14:paraId="53137C5F" w14:textId="68EF0534" w:rsidR="00F01421" w:rsidRPr="00752600" w:rsidRDefault="00F01421" w:rsidP="00752600">
      <w:pPr>
        <w:spacing w:after="0"/>
        <w:jc w:val="center"/>
        <w:rPr>
          <w:rFonts w:ascii="Arial" w:hAnsi="Arial" w:cs="Arial"/>
          <w:b/>
          <w:bCs/>
          <w:sz w:val="24"/>
          <w:szCs w:val="24"/>
        </w:rPr>
      </w:pPr>
      <w:r w:rsidRPr="00752600">
        <w:rPr>
          <w:rFonts w:ascii="Arial" w:hAnsi="Arial" w:cs="Arial"/>
          <w:b/>
          <w:bCs/>
          <w:sz w:val="24"/>
          <w:szCs w:val="24"/>
        </w:rPr>
        <w:t xml:space="preserve">OEB Staff Table 1 – </w:t>
      </w:r>
    </w:p>
    <w:p w14:paraId="2D97201B" w14:textId="77777777" w:rsidR="00F01421" w:rsidRPr="00752600" w:rsidRDefault="00F01421" w:rsidP="00752600">
      <w:pPr>
        <w:spacing w:after="0"/>
        <w:jc w:val="center"/>
        <w:rPr>
          <w:rFonts w:ascii="Arial" w:hAnsi="Arial" w:cs="Arial"/>
          <w:b/>
          <w:bCs/>
          <w:sz w:val="24"/>
          <w:szCs w:val="24"/>
        </w:rPr>
      </w:pPr>
      <w:r w:rsidRPr="00752600">
        <w:rPr>
          <w:rFonts w:ascii="Arial" w:hAnsi="Arial" w:cs="Arial"/>
          <w:b/>
          <w:bCs/>
          <w:sz w:val="24"/>
          <w:szCs w:val="24"/>
        </w:rPr>
        <w:t xml:space="preserve">Discrepancies </w:t>
      </w:r>
      <w:proofErr w:type="gramStart"/>
      <w:r w:rsidRPr="00752600">
        <w:rPr>
          <w:rFonts w:ascii="Arial" w:hAnsi="Arial" w:cs="Arial"/>
          <w:b/>
          <w:bCs/>
          <w:sz w:val="24"/>
          <w:szCs w:val="24"/>
        </w:rPr>
        <w:t>in</w:t>
      </w:r>
      <w:proofErr w:type="gramEnd"/>
      <w:r w:rsidRPr="00752600">
        <w:rPr>
          <w:rFonts w:ascii="Arial" w:hAnsi="Arial" w:cs="Arial"/>
          <w:b/>
          <w:bCs/>
          <w:sz w:val="24"/>
          <w:szCs w:val="24"/>
        </w:rPr>
        <w:t xml:space="preserve"> December 31, 2016</w:t>
      </w:r>
    </w:p>
    <w:p w14:paraId="19B76C40" w14:textId="77777777" w:rsidR="00F01421" w:rsidRPr="00752600" w:rsidRDefault="00F01421" w:rsidP="00045C3C">
      <w:pPr>
        <w:jc w:val="center"/>
        <w:rPr>
          <w:rFonts w:ascii="Arial" w:hAnsi="Arial" w:cs="Arial"/>
          <w:b/>
          <w:bCs/>
          <w:sz w:val="24"/>
          <w:szCs w:val="24"/>
        </w:rPr>
      </w:pPr>
      <w:r w:rsidRPr="00752600">
        <w:rPr>
          <w:rFonts w:ascii="Arial" w:hAnsi="Arial" w:cs="Arial"/>
          <w:b/>
          <w:bCs/>
          <w:sz w:val="24"/>
          <w:szCs w:val="24"/>
        </w:rPr>
        <w:t>Account 1588 and Account 1589 Principal Balances</w:t>
      </w:r>
    </w:p>
    <w:p w14:paraId="6453D57E" w14:textId="39654182" w:rsidR="00C85E26" w:rsidRPr="00752600" w:rsidRDefault="00C85E26" w:rsidP="00045C3C">
      <w:pPr>
        <w:jc w:val="center"/>
        <w:rPr>
          <w:rFonts w:ascii="Arial" w:hAnsi="Arial" w:cs="Arial"/>
          <w:b/>
          <w:bCs/>
          <w:sz w:val="24"/>
          <w:szCs w:val="24"/>
        </w:rPr>
      </w:pPr>
      <w:r w:rsidRPr="00752600">
        <w:rPr>
          <w:rFonts w:ascii="Arial" w:hAnsi="Arial" w:cs="Arial"/>
          <w:noProof/>
          <w:sz w:val="24"/>
          <w:szCs w:val="24"/>
        </w:rPr>
        <w:drawing>
          <wp:inline distT="0" distB="0" distL="0" distR="0" wp14:anchorId="117449C3" wp14:editId="6B1D3031">
            <wp:extent cx="5943600" cy="1638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38935"/>
                    </a:xfrm>
                    <a:prstGeom prst="rect">
                      <a:avLst/>
                    </a:prstGeom>
                    <a:noFill/>
                    <a:ln>
                      <a:noFill/>
                    </a:ln>
                  </pic:spPr>
                </pic:pic>
              </a:graphicData>
            </a:graphic>
          </wp:inline>
        </w:drawing>
      </w:r>
    </w:p>
    <w:p w14:paraId="7252DAA8" w14:textId="744636B5" w:rsidR="006B2895" w:rsidRPr="00752600" w:rsidRDefault="006B2895" w:rsidP="00045C3C">
      <w:pPr>
        <w:rPr>
          <w:rFonts w:ascii="Arial" w:hAnsi="Arial" w:cs="Arial"/>
          <w:sz w:val="24"/>
          <w:szCs w:val="24"/>
        </w:rPr>
      </w:pPr>
      <w:r w:rsidRPr="00752600">
        <w:rPr>
          <w:rFonts w:ascii="Arial" w:hAnsi="Arial" w:cs="Arial"/>
          <w:sz w:val="24"/>
          <w:szCs w:val="24"/>
        </w:rPr>
        <w:t xml:space="preserve">OEB staff further notes that </w:t>
      </w:r>
      <w:r w:rsidR="000E0CF4" w:rsidRPr="00752600">
        <w:rPr>
          <w:rFonts w:ascii="Arial" w:hAnsi="Arial" w:cs="Arial"/>
          <w:sz w:val="24"/>
          <w:szCs w:val="24"/>
        </w:rPr>
        <w:t xml:space="preserve">Orangeville Hydro confirmed the balances above (in </w:t>
      </w:r>
      <w:r w:rsidR="00F85D2B" w:rsidRPr="00752600">
        <w:rPr>
          <w:rFonts w:ascii="Arial" w:hAnsi="Arial" w:cs="Arial"/>
          <w:sz w:val="24"/>
          <w:szCs w:val="24"/>
        </w:rPr>
        <w:t>C</w:t>
      </w:r>
      <w:r w:rsidR="000E0CF4" w:rsidRPr="00752600">
        <w:rPr>
          <w:rFonts w:ascii="Arial" w:hAnsi="Arial" w:cs="Arial"/>
          <w:sz w:val="24"/>
          <w:szCs w:val="24"/>
        </w:rPr>
        <w:t>olumn B), in response to Staff Question-8 in</w:t>
      </w:r>
      <w:r w:rsidR="00C74521" w:rsidRPr="00752600">
        <w:rPr>
          <w:rFonts w:ascii="Arial" w:hAnsi="Arial" w:cs="Arial"/>
          <w:sz w:val="24"/>
          <w:szCs w:val="24"/>
        </w:rPr>
        <w:t xml:space="preserve"> its</w:t>
      </w:r>
      <w:r w:rsidR="000E0CF4" w:rsidRPr="00752600">
        <w:rPr>
          <w:rFonts w:ascii="Arial" w:hAnsi="Arial" w:cs="Arial"/>
          <w:sz w:val="24"/>
          <w:szCs w:val="24"/>
        </w:rPr>
        <w:t xml:space="preserve"> 2021 IRM proceeding</w:t>
      </w:r>
      <w:r w:rsidR="0075267D" w:rsidRPr="00752600">
        <w:rPr>
          <w:rFonts w:ascii="Arial" w:hAnsi="Arial" w:cs="Arial"/>
          <w:sz w:val="24"/>
          <w:szCs w:val="24"/>
        </w:rPr>
        <w:t xml:space="preserve">, and that the current Manager’s Summary </w:t>
      </w:r>
      <w:r w:rsidR="007F62AE" w:rsidRPr="00752600">
        <w:rPr>
          <w:rFonts w:ascii="Arial" w:hAnsi="Arial" w:cs="Arial"/>
          <w:sz w:val="24"/>
          <w:szCs w:val="24"/>
        </w:rPr>
        <w:t>(October 13, 2021</w:t>
      </w:r>
      <w:r w:rsidR="003E71E3">
        <w:rPr>
          <w:rFonts w:ascii="Arial" w:hAnsi="Arial" w:cs="Arial"/>
          <w:sz w:val="24"/>
          <w:szCs w:val="24"/>
        </w:rPr>
        <w:t>,</w:t>
      </w:r>
      <w:r w:rsidR="007F62AE" w:rsidRPr="00752600">
        <w:rPr>
          <w:rFonts w:ascii="Arial" w:hAnsi="Arial" w:cs="Arial"/>
          <w:sz w:val="24"/>
          <w:szCs w:val="24"/>
        </w:rPr>
        <w:t xml:space="preserve"> page 12) </w:t>
      </w:r>
      <w:r w:rsidR="0075267D" w:rsidRPr="00752600">
        <w:rPr>
          <w:rFonts w:ascii="Arial" w:hAnsi="Arial" w:cs="Arial"/>
          <w:sz w:val="24"/>
          <w:szCs w:val="24"/>
        </w:rPr>
        <w:t xml:space="preserve">confirmed no adjustments have been made </w:t>
      </w:r>
      <w:r w:rsidR="00C74521" w:rsidRPr="00752600">
        <w:rPr>
          <w:rFonts w:ascii="Arial" w:hAnsi="Arial" w:cs="Arial"/>
          <w:sz w:val="24"/>
          <w:szCs w:val="24"/>
        </w:rPr>
        <w:t xml:space="preserve">to </w:t>
      </w:r>
      <w:r w:rsidR="0068789F" w:rsidRPr="00752600">
        <w:rPr>
          <w:rFonts w:ascii="Arial" w:hAnsi="Arial" w:cs="Arial"/>
          <w:sz w:val="24"/>
          <w:szCs w:val="24"/>
        </w:rPr>
        <w:t xml:space="preserve">DVA </w:t>
      </w:r>
      <w:r w:rsidR="00C74521" w:rsidRPr="00752600">
        <w:rPr>
          <w:rFonts w:ascii="Arial" w:hAnsi="Arial" w:cs="Arial"/>
          <w:sz w:val="24"/>
          <w:szCs w:val="24"/>
        </w:rPr>
        <w:t>balances previously disposed on a final basis.</w:t>
      </w:r>
    </w:p>
    <w:p w14:paraId="46B10335" w14:textId="77777777" w:rsidR="00F01421" w:rsidRPr="00752600" w:rsidRDefault="00F01421" w:rsidP="00045C3C">
      <w:pPr>
        <w:rPr>
          <w:rFonts w:ascii="Arial" w:hAnsi="Arial" w:cs="Arial"/>
          <w:b/>
          <w:sz w:val="24"/>
          <w:szCs w:val="24"/>
        </w:rPr>
      </w:pPr>
      <w:r w:rsidRPr="00752600">
        <w:rPr>
          <w:rFonts w:ascii="Arial" w:hAnsi="Arial" w:cs="Arial"/>
          <w:b/>
          <w:sz w:val="24"/>
          <w:szCs w:val="24"/>
        </w:rPr>
        <w:t>Questions:</w:t>
      </w:r>
    </w:p>
    <w:p w14:paraId="745FEAFC" w14:textId="5764A7B2" w:rsidR="00F01421" w:rsidRDefault="00F01421" w:rsidP="00752600">
      <w:pPr>
        <w:pStyle w:val="ListParagraph"/>
        <w:numPr>
          <w:ilvl w:val="0"/>
          <w:numId w:val="8"/>
        </w:numPr>
        <w:spacing w:after="0"/>
        <w:rPr>
          <w:rFonts w:ascii="Arial" w:hAnsi="Arial" w:cs="Arial"/>
          <w:sz w:val="24"/>
          <w:szCs w:val="24"/>
        </w:rPr>
      </w:pPr>
      <w:r w:rsidRPr="00752600">
        <w:rPr>
          <w:rFonts w:ascii="Arial" w:hAnsi="Arial" w:cs="Arial"/>
          <w:sz w:val="24"/>
          <w:szCs w:val="24"/>
        </w:rPr>
        <w:t xml:space="preserve">Please confirm whether Orangeville Hydro </w:t>
      </w:r>
      <w:proofErr w:type="gramStart"/>
      <w:r w:rsidRPr="00752600">
        <w:rPr>
          <w:rFonts w:ascii="Arial" w:hAnsi="Arial" w:cs="Arial"/>
          <w:sz w:val="24"/>
          <w:szCs w:val="24"/>
        </w:rPr>
        <w:t>is in agreement</w:t>
      </w:r>
      <w:proofErr w:type="gramEnd"/>
      <w:r w:rsidRPr="00752600">
        <w:rPr>
          <w:rFonts w:ascii="Arial" w:hAnsi="Arial" w:cs="Arial"/>
          <w:sz w:val="24"/>
          <w:szCs w:val="24"/>
        </w:rPr>
        <w:t xml:space="preserve"> with OEB staff’s calculations in OEB Staff Table 1.</w:t>
      </w:r>
    </w:p>
    <w:p w14:paraId="4B824309" w14:textId="354C25C5" w:rsidR="00A32B57" w:rsidRDefault="00A32B57" w:rsidP="00A32B57">
      <w:pPr>
        <w:spacing w:after="0"/>
        <w:rPr>
          <w:rFonts w:ascii="Arial" w:hAnsi="Arial" w:cs="Arial"/>
          <w:sz w:val="24"/>
          <w:szCs w:val="24"/>
        </w:rPr>
      </w:pPr>
    </w:p>
    <w:p w14:paraId="4551BC79" w14:textId="7E3E31C5" w:rsidR="00A32B57" w:rsidRPr="00EB568A" w:rsidRDefault="00A32B57" w:rsidP="00A32B57">
      <w:pPr>
        <w:spacing w:after="0"/>
        <w:rPr>
          <w:rFonts w:ascii="Arial" w:hAnsi="Arial" w:cs="Arial"/>
          <w:color w:val="0070C0"/>
          <w:sz w:val="24"/>
          <w:szCs w:val="24"/>
        </w:rPr>
      </w:pPr>
      <w:r w:rsidRPr="00EB568A">
        <w:rPr>
          <w:rFonts w:ascii="Arial" w:hAnsi="Arial" w:cs="Arial"/>
          <w:color w:val="0070C0"/>
          <w:sz w:val="24"/>
          <w:szCs w:val="24"/>
        </w:rPr>
        <w:t>Response</w:t>
      </w:r>
    </w:p>
    <w:p w14:paraId="1979AEC9" w14:textId="17E0825D" w:rsidR="00A32B57" w:rsidRDefault="00EB568A" w:rsidP="00A32B57">
      <w:pPr>
        <w:spacing w:after="0"/>
        <w:rPr>
          <w:rFonts w:ascii="Arial" w:hAnsi="Arial" w:cs="Arial"/>
          <w:sz w:val="24"/>
          <w:szCs w:val="24"/>
        </w:rPr>
      </w:pPr>
      <w:r w:rsidRPr="00EB568A">
        <w:rPr>
          <w:rFonts w:ascii="Arial" w:hAnsi="Arial" w:cs="Arial"/>
          <w:color w:val="0070C0"/>
          <w:sz w:val="24"/>
          <w:szCs w:val="24"/>
        </w:rPr>
        <w:t>Orangeville Hydro confirms their agreement with OEB staff calculations in OEB Staff Table 1.</w:t>
      </w:r>
    </w:p>
    <w:p w14:paraId="1AF5F04C" w14:textId="77777777" w:rsidR="00EB568A" w:rsidRPr="00A32B57" w:rsidRDefault="00EB568A" w:rsidP="00A32B57">
      <w:pPr>
        <w:spacing w:after="0"/>
        <w:rPr>
          <w:rFonts w:ascii="Arial" w:hAnsi="Arial" w:cs="Arial"/>
          <w:sz w:val="24"/>
          <w:szCs w:val="24"/>
        </w:rPr>
      </w:pPr>
    </w:p>
    <w:p w14:paraId="5F79370A" w14:textId="763BF3E0" w:rsidR="00A32B57" w:rsidRPr="00EB568A" w:rsidRDefault="00F01421" w:rsidP="00A32B57">
      <w:pPr>
        <w:pStyle w:val="ListParagraph"/>
        <w:numPr>
          <w:ilvl w:val="0"/>
          <w:numId w:val="8"/>
        </w:numPr>
        <w:rPr>
          <w:rFonts w:ascii="Arial" w:hAnsi="Arial" w:cs="Arial"/>
          <w:sz w:val="24"/>
          <w:szCs w:val="24"/>
        </w:rPr>
      </w:pPr>
      <w:r w:rsidRPr="00752600">
        <w:rPr>
          <w:rFonts w:ascii="Arial" w:hAnsi="Arial" w:cs="Arial"/>
          <w:sz w:val="24"/>
          <w:szCs w:val="24"/>
        </w:rPr>
        <w:lastRenderedPageBreak/>
        <w:t>If this is the case, please update the 2022 IRM Rate Generator Model</w:t>
      </w:r>
      <w:r w:rsidR="002A5DB6" w:rsidRPr="00752600">
        <w:rPr>
          <w:rFonts w:ascii="Arial" w:hAnsi="Arial" w:cs="Arial"/>
          <w:sz w:val="24"/>
          <w:szCs w:val="24"/>
        </w:rPr>
        <w:t xml:space="preserve"> to reflect </w:t>
      </w:r>
      <w:r w:rsidR="00307343" w:rsidRPr="00752600">
        <w:rPr>
          <w:rFonts w:ascii="Arial" w:hAnsi="Arial" w:cs="Arial"/>
          <w:sz w:val="24"/>
          <w:szCs w:val="24"/>
        </w:rPr>
        <w:t xml:space="preserve">the </w:t>
      </w:r>
      <w:r w:rsidR="002A5DB6" w:rsidRPr="00752600">
        <w:rPr>
          <w:rFonts w:ascii="Arial" w:hAnsi="Arial" w:cs="Arial"/>
          <w:sz w:val="24"/>
          <w:szCs w:val="24"/>
        </w:rPr>
        <w:t>balances in Column B</w:t>
      </w:r>
      <w:r w:rsidR="00662744" w:rsidRPr="00752600">
        <w:rPr>
          <w:rFonts w:ascii="Arial" w:hAnsi="Arial" w:cs="Arial"/>
          <w:sz w:val="24"/>
          <w:szCs w:val="24"/>
        </w:rPr>
        <w:t>, or explain why that is not appropriate</w:t>
      </w:r>
      <w:r w:rsidR="00A50A97">
        <w:rPr>
          <w:rFonts w:ascii="Arial" w:hAnsi="Arial" w:cs="Arial"/>
          <w:sz w:val="24"/>
          <w:szCs w:val="24"/>
        </w:rPr>
        <w:t>, including the discrepancy in Column C.</w:t>
      </w:r>
    </w:p>
    <w:p w14:paraId="7DDA5D5C" w14:textId="3EB6BC6B" w:rsidR="00A32B57" w:rsidRPr="003A3DA8" w:rsidRDefault="00A32B57" w:rsidP="00A32B57">
      <w:pPr>
        <w:rPr>
          <w:rFonts w:ascii="Arial" w:hAnsi="Arial" w:cs="Arial"/>
          <w:color w:val="0070C0"/>
          <w:sz w:val="24"/>
          <w:szCs w:val="24"/>
        </w:rPr>
      </w:pPr>
      <w:r w:rsidRPr="003A3DA8">
        <w:rPr>
          <w:rFonts w:ascii="Arial" w:hAnsi="Arial" w:cs="Arial"/>
          <w:color w:val="0070C0"/>
          <w:sz w:val="24"/>
          <w:szCs w:val="24"/>
        </w:rPr>
        <w:t>Response</w:t>
      </w:r>
    </w:p>
    <w:p w14:paraId="4359BADF" w14:textId="653C4CC8" w:rsidR="00A32B57" w:rsidRPr="004B2574" w:rsidRDefault="003A3DA8" w:rsidP="00A32B57">
      <w:pPr>
        <w:rPr>
          <w:rFonts w:ascii="Arial" w:hAnsi="Arial" w:cs="Arial"/>
          <w:color w:val="0070C0"/>
          <w:sz w:val="24"/>
          <w:szCs w:val="24"/>
        </w:rPr>
      </w:pPr>
      <w:r w:rsidRPr="004B2574">
        <w:rPr>
          <w:rFonts w:ascii="Arial" w:hAnsi="Arial" w:cs="Arial"/>
          <w:color w:val="0070C0"/>
          <w:sz w:val="24"/>
          <w:szCs w:val="24"/>
        </w:rPr>
        <w:t>Orangeville Hydro confirms that it has removed the request to dispose of accounts 1588 and 1589 in this rate proceeding</w:t>
      </w:r>
      <w:r w:rsidR="00C75ADF">
        <w:rPr>
          <w:rFonts w:ascii="Arial" w:hAnsi="Arial" w:cs="Arial"/>
          <w:color w:val="0070C0"/>
          <w:sz w:val="24"/>
          <w:szCs w:val="24"/>
        </w:rPr>
        <w:t xml:space="preserve"> (see response to OEB Staff 3a)</w:t>
      </w:r>
      <w:r w:rsidRPr="004B2574">
        <w:rPr>
          <w:rFonts w:ascii="Arial" w:hAnsi="Arial" w:cs="Arial"/>
          <w:color w:val="0070C0"/>
          <w:sz w:val="24"/>
          <w:szCs w:val="24"/>
        </w:rPr>
        <w:t>, pending the completion of the Inspection review</w:t>
      </w:r>
      <w:r w:rsidR="00DD5D32">
        <w:rPr>
          <w:rFonts w:ascii="Arial" w:hAnsi="Arial" w:cs="Arial"/>
          <w:color w:val="0070C0"/>
          <w:sz w:val="24"/>
          <w:szCs w:val="24"/>
        </w:rPr>
        <w:t xml:space="preserve">. Because of this, </w:t>
      </w:r>
      <w:r w:rsidR="004B2574" w:rsidRPr="004B2574">
        <w:rPr>
          <w:rFonts w:ascii="Arial" w:hAnsi="Arial" w:cs="Arial"/>
          <w:color w:val="0070C0"/>
          <w:sz w:val="24"/>
          <w:szCs w:val="24"/>
        </w:rPr>
        <w:t xml:space="preserve">Orangeville Hydro has made no further changes to the </w:t>
      </w:r>
      <w:r w:rsidR="00C75ADF">
        <w:rPr>
          <w:rFonts w:ascii="Arial" w:hAnsi="Arial" w:cs="Arial"/>
          <w:color w:val="0070C0"/>
          <w:sz w:val="24"/>
          <w:szCs w:val="24"/>
        </w:rPr>
        <w:t xml:space="preserve">DVA </w:t>
      </w:r>
      <w:r w:rsidR="004B2574" w:rsidRPr="004B2574">
        <w:rPr>
          <w:rFonts w:ascii="Arial" w:hAnsi="Arial" w:cs="Arial"/>
          <w:color w:val="0070C0"/>
          <w:sz w:val="24"/>
          <w:szCs w:val="24"/>
        </w:rPr>
        <w:t>balances on Accounts 1588 and 1589</w:t>
      </w:r>
      <w:r w:rsidR="00C75ADF">
        <w:rPr>
          <w:rFonts w:ascii="Arial" w:hAnsi="Arial" w:cs="Arial"/>
          <w:color w:val="0070C0"/>
          <w:sz w:val="24"/>
          <w:szCs w:val="24"/>
        </w:rPr>
        <w:t xml:space="preserve"> in the 2022 IRM Rate Generator Model</w:t>
      </w:r>
      <w:r w:rsidRPr="004B2574">
        <w:rPr>
          <w:rFonts w:ascii="Arial" w:hAnsi="Arial" w:cs="Arial"/>
          <w:color w:val="0070C0"/>
          <w:sz w:val="24"/>
          <w:szCs w:val="24"/>
        </w:rPr>
        <w:t>.</w:t>
      </w:r>
    </w:p>
    <w:p w14:paraId="76BFDA8B" w14:textId="3252AC93" w:rsidR="00F01421" w:rsidRDefault="00F01421" w:rsidP="00045C3C">
      <w:pPr>
        <w:rPr>
          <w:rFonts w:ascii="Arial" w:eastAsia="Times New Roman" w:hAnsi="Arial" w:cs="Arial"/>
          <w:b/>
          <w:bCs/>
          <w:sz w:val="24"/>
          <w:szCs w:val="24"/>
        </w:rPr>
      </w:pPr>
      <w:r w:rsidRPr="00752600">
        <w:rPr>
          <w:rFonts w:ascii="Arial" w:eastAsia="Times New Roman" w:hAnsi="Arial" w:cs="Arial"/>
          <w:b/>
          <w:bCs/>
          <w:sz w:val="24"/>
          <w:szCs w:val="24"/>
        </w:rPr>
        <w:t>OEB Staff-</w:t>
      </w:r>
      <w:r w:rsidR="00EE72E5" w:rsidRPr="00752600">
        <w:rPr>
          <w:rFonts w:ascii="Arial" w:eastAsia="Times New Roman" w:hAnsi="Arial" w:cs="Arial"/>
          <w:b/>
          <w:bCs/>
          <w:sz w:val="24"/>
          <w:szCs w:val="24"/>
        </w:rPr>
        <w:t>5</w:t>
      </w:r>
    </w:p>
    <w:p w14:paraId="709881D3" w14:textId="583A9379" w:rsidR="00F01421" w:rsidRPr="00752600" w:rsidRDefault="00F01421" w:rsidP="00752600">
      <w:pPr>
        <w:spacing w:after="0"/>
        <w:ind w:left="1440" w:hanging="1440"/>
        <w:rPr>
          <w:rFonts w:ascii="Arial" w:hAnsi="Arial" w:cs="Arial"/>
          <w:sz w:val="24"/>
          <w:szCs w:val="24"/>
        </w:rPr>
      </w:pPr>
      <w:r w:rsidRPr="00752600">
        <w:rPr>
          <w:rFonts w:ascii="Arial" w:hAnsi="Arial" w:cs="Arial"/>
          <w:b/>
          <w:bCs/>
          <w:sz w:val="24"/>
          <w:szCs w:val="24"/>
        </w:rPr>
        <w:t>Reference:</w:t>
      </w:r>
      <w:r w:rsidRPr="00752600">
        <w:rPr>
          <w:rFonts w:ascii="Arial" w:hAnsi="Arial" w:cs="Arial"/>
          <w:b/>
          <w:bCs/>
          <w:sz w:val="24"/>
          <w:szCs w:val="24"/>
        </w:rPr>
        <w:tab/>
      </w:r>
      <w:r w:rsidRPr="00752600">
        <w:rPr>
          <w:rFonts w:ascii="Arial" w:hAnsi="Arial" w:cs="Arial"/>
          <w:sz w:val="24"/>
          <w:szCs w:val="24"/>
        </w:rPr>
        <w:t>(</w:t>
      </w:r>
      <w:r w:rsidR="00C129EC" w:rsidRPr="00752600">
        <w:rPr>
          <w:rFonts w:ascii="Arial" w:hAnsi="Arial" w:cs="Arial"/>
          <w:sz w:val="24"/>
          <w:szCs w:val="24"/>
        </w:rPr>
        <w:t>1</w:t>
      </w:r>
      <w:r w:rsidRPr="00752600">
        <w:rPr>
          <w:rFonts w:ascii="Arial" w:hAnsi="Arial" w:cs="Arial"/>
          <w:sz w:val="24"/>
          <w:szCs w:val="24"/>
        </w:rPr>
        <w:t>) EB-2020-0046, 2021 IRM Decision and Rate Order, March 25, 2021</w:t>
      </w:r>
    </w:p>
    <w:p w14:paraId="25B95F62" w14:textId="5A3867F7" w:rsidR="00F01421" w:rsidRPr="00752600" w:rsidRDefault="00F01421" w:rsidP="005A5226">
      <w:pPr>
        <w:ind w:left="720" w:firstLine="720"/>
        <w:rPr>
          <w:rFonts w:ascii="Arial" w:hAnsi="Arial" w:cs="Arial"/>
          <w:sz w:val="24"/>
          <w:szCs w:val="24"/>
        </w:rPr>
      </w:pPr>
      <w:r w:rsidRPr="00752600">
        <w:rPr>
          <w:rFonts w:ascii="Arial" w:hAnsi="Arial" w:cs="Arial"/>
          <w:sz w:val="24"/>
          <w:szCs w:val="24"/>
        </w:rPr>
        <w:t>(</w:t>
      </w:r>
      <w:r w:rsidR="002A3D45" w:rsidRPr="00752600">
        <w:rPr>
          <w:rFonts w:ascii="Arial" w:hAnsi="Arial" w:cs="Arial"/>
          <w:sz w:val="24"/>
          <w:szCs w:val="24"/>
        </w:rPr>
        <w:t>2</w:t>
      </w:r>
      <w:r w:rsidRPr="00752600">
        <w:rPr>
          <w:rFonts w:ascii="Arial" w:hAnsi="Arial" w:cs="Arial"/>
          <w:sz w:val="24"/>
          <w:szCs w:val="24"/>
        </w:rPr>
        <w:t>) 2022 IRM Rate Generator Model, Tab 3, October 13, 2021</w:t>
      </w:r>
    </w:p>
    <w:p w14:paraId="3225008A" w14:textId="75844E80" w:rsidR="00F01421" w:rsidRDefault="00F01421" w:rsidP="005A5226">
      <w:pPr>
        <w:rPr>
          <w:rFonts w:ascii="Arial" w:hAnsi="Arial" w:cs="Arial"/>
          <w:sz w:val="24"/>
          <w:szCs w:val="24"/>
        </w:rPr>
      </w:pPr>
      <w:r w:rsidRPr="00752600">
        <w:rPr>
          <w:rFonts w:ascii="Arial" w:hAnsi="Arial" w:cs="Arial"/>
          <w:bCs/>
          <w:sz w:val="24"/>
          <w:szCs w:val="24"/>
        </w:rPr>
        <w:t>OEB staff notes the following discrepancies between the Account 1589 2021 OEB-approved interest balance in the 2022 IRM Rate Generator Model (Reference #</w:t>
      </w:r>
      <w:r w:rsidR="002A3D45" w:rsidRPr="00752600">
        <w:rPr>
          <w:rFonts w:ascii="Arial" w:hAnsi="Arial" w:cs="Arial"/>
          <w:bCs/>
          <w:sz w:val="24"/>
          <w:szCs w:val="24"/>
        </w:rPr>
        <w:t>2</w:t>
      </w:r>
      <w:r w:rsidRPr="00752600">
        <w:rPr>
          <w:rFonts w:ascii="Arial" w:hAnsi="Arial" w:cs="Arial"/>
          <w:bCs/>
          <w:sz w:val="24"/>
          <w:szCs w:val="24"/>
        </w:rPr>
        <w:t>), and the</w:t>
      </w:r>
      <w:r w:rsidR="00D47C7F" w:rsidRPr="00752600">
        <w:rPr>
          <w:rFonts w:ascii="Arial" w:hAnsi="Arial" w:cs="Arial"/>
          <w:bCs/>
          <w:sz w:val="24"/>
          <w:szCs w:val="24"/>
        </w:rPr>
        <w:t xml:space="preserve"> </w:t>
      </w:r>
      <w:r w:rsidRPr="00752600">
        <w:rPr>
          <w:rFonts w:ascii="Arial" w:hAnsi="Arial" w:cs="Arial"/>
          <w:sz w:val="24"/>
          <w:szCs w:val="24"/>
        </w:rPr>
        <w:t>2021 IRM Decision and Rate Order (Reference #</w:t>
      </w:r>
      <w:r w:rsidR="00C129EC" w:rsidRPr="00752600">
        <w:rPr>
          <w:rFonts w:ascii="Arial" w:hAnsi="Arial" w:cs="Arial"/>
          <w:sz w:val="24"/>
          <w:szCs w:val="24"/>
        </w:rPr>
        <w:t>1</w:t>
      </w:r>
      <w:r w:rsidRPr="00752600">
        <w:rPr>
          <w:rFonts w:ascii="Arial" w:hAnsi="Arial" w:cs="Arial"/>
          <w:sz w:val="24"/>
          <w:szCs w:val="24"/>
        </w:rPr>
        <w:t>)</w:t>
      </w:r>
      <w:r w:rsidR="00EE6BF7" w:rsidRPr="00752600">
        <w:rPr>
          <w:rFonts w:ascii="Arial" w:hAnsi="Arial" w:cs="Arial"/>
          <w:sz w:val="24"/>
          <w:szCs w:val="24"/>
        </w:rPr>
        <w:t>.</w:t>
      </w:r>
    </w:p>
    <w:p w14:paraId="46924E44" w14:textId="77777777" w:rsidR="00F01421" w:rsidRPr="00752600" w:rsidRDefault="00F01421" w:rsidP="00752600">
      <w:pPr>
        <w:spacing w:after="0"/>
        <w:jc w:val="center"/>
        <w:rPr>
          <w:rFonts w:ascii="Arial" w:hAnsi="Arial" w:cs="Arial"/>
          <w:b/>
          <w:bCs/>
          <w:sz w:val="24"/>
          <w:szCs w:val="24"/>
        </w:rPr>
      </w:pPr>
      <w:r w:rsidRPr="00752600">
        <w:rPr>
          <w:rFonts w:ascii="Arial" w:hAnsi="Arial" w:cs="Arial"/>
          <w:b/>
          <w:bCs/>
          <w:sz w:val="24"/>
          <w:szCs w:val="24"/>
        </w:rPr>
        <w:t xml:space="preserve">OEB Staff Table 2 – </w:t>
      </w:r>
    </w:p>
    <w:p w14:paraId="75D15AD8" w14:textId="77777777" w:rsidR="00F01421" w:rsidRPr="00752600" w:rsidRDefault="00F01421" w:rsidP="00752600">
      <w:pPr>
        <w:spacing w:after="0"/>
        <w:jc w:val="center"/>
        <w:rPr>
          <w:rFonts w:ascii="Arial" w:hAnsi="Arial" w:cs="Arial"/>
          <w:b/>
          <w:bCs/>
          <w:sz w:val="24"/>
          <w:szCs w:val="24"/>
        </w:rPr>
      </w:pPr>
      <w:r w:rsidRPr="00752600">
        <w:rPr>
          <w:rFonts w:ascii="Arial" w:hAnsi="Arial" w:cs="Arial"/>
          <w:b/>
          <w:bCs/>
          <w:sz w:val="24"/>
          <w:szCs w:val="24"/>
        </w:rPr>
        <w:t xml:space="preserve">Discrepancies in 2021 OEB-Approved </w:t>
      </w:r>
    </w:p>
    <w:p w14:paraId="7B970FFE" w14:textId="7599FF12" w:rsidR="00F01421" w:rsidRPr="00752600" w:rsidRDefault="00F01421" w:rsidP="005A5226">
      <w:pPr>
        <w:jc w:val="center"/>
        <w:rPr>
          <w:rFonts w:ascii="Arial" w:hAnsi="Arial" w:cs="Arial"/>
          <w:b/>
          <w:bCs/>
          <w:sz w:val="24"/>
          <w:szCs w:val="24"/>
        </w:rPr>
      </w:pPr>
      <w:r w:rsidRPr="00752600">
        <w:rPr>
          <w:rFonts w:ascii="Arial" w:hAnsi="Arial" w:cs="Arial"/>
          <w:b/>
          <w:bCs/>
          <w:sz w:val="24"/>
          <w:szCs w:val="24"/>
        </w:rPr>
        <w:t>Account 1589 Interest Balance</w:t>
      </w:r>
    </w:p>
    <w:p w14:paraId="0E3BCB7F" w14:textId="7C263719" w:rsidR="00490625" w:rsidRPr="00752600" w:rsidRDefault="00490625" w:rsidP="005A5226">
      <w:pPr>
        <w:jc w:val="center"/>
        <w:rPr>
          <w:rFonts w:ascii="Arial" w:hAnsi="Arial" w:cs="Arial"/>
          <w:b/>
          <w:bCs/>
          <w:sz w:val="24"/>
          <w:szCs w:val="24"/>
        </w:rPr>
      </w:pPr>
      <w:r w:rsidRPr="00752600">
        <w:rPr>
          <w:rFonts w:ascii="Arial" w:hAnsi="Arial" w:cs="Arial"/>
          <w:noProof/>
          <w:sz w:val="24"/>
          <w:szCs w:val="24"/>
        </w:rPr>
        <w:drawing>
          <wp:inline distT="0" distB="0" distL="0" distR="0" wp14:anchorId="2D283990" wp14:editId="7519CCE0">
            <wp:extent cx="5943600" cy="9867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86790"/>
                    </a:xfrm>
                    <a:prstGeom prst="rect">
                      <a:avLst/>
                    </a:prstGeom>
                    <a:noFill/>
                    <a:ln>
                      <a:noFill/>
                    </a:ln>
                  </pic:spPr>
                </pic:pic>
              </a:graphicData>
            </a:graphic>
          </wp:inline>
        </w:drawing>
      </w:r>
    </w:p>
    <w:p w14:paraId="131876F8" w14:textId="77777777" w:rsidR="00F01421" w:rsidRPr="00752600" w:rsidRDefault="00F01421" w:rsidP="005A5226">
      <w:pPr>
        <w:rPr>
          <w:rFonts w:ascii="Arial" w:hAnsi="Arial" w:cs="Arial"/>
          <w:b/>
          <w:sz w:val="24"/>
          <w:szCs w:val="24"/>
        </w:rPr>
      </w:pPr>
      <w:r w:rsidRPr="00752600">
        <w:rPr>
          <w:rFonts w:ascii="Arial" w:hAnsi="Arial" w:cs="Arial"/>
          <w:b/>
          <w:sz w:val="24"/>
          <w:szCs w:val="24"/>
        </w:rPr>
        <w:t>Questions:</w:t>
      </w:r>
    </w:p>
    <w:p w14:paraId="7B7A5509" w14:textId="44459BC8" w:rsidR="00F01421" w:rsidRDefault="00F01421" w:rsidP="00752600">
      <w:pPr>
        <w:pStyle w:val="ListParagraph"/>
        <w:numPr>
          <w:ilvl w:val="0"/>
          <w:numId w:val="11"/>
        </w:numPr>
        <w:spacing w:after="0"/>
        <w:rPr>
          <w:rFonts w:ascii="Arial" w:hAnsi="Arial" w:cs="Arial"/>
          <w:sz w:val="24"/>
          <w:szCs w:val="24"/>
        </w:rPr>
      </w:pPr>
      <w:r w:rsidRPr="00752600">
        <w:rPr>
          <w:rFonts w:ascii="Arial" w:hAnsi="Arial" w:cs="Arial"/>
          <w:sz w:val="24"/>
          <w:szCs w:val="24"/>
        </w:rPr>
        <w:t xml:space="preserve">Please confirm whether Orangeville Hydro </w:t>
      </w:r>
      <w:proofErr w:type="gramStart"/>
      <w:r w:rsidRPr="00752600">
        <w:rPr>
          <w:rFonts w:ascii="Arial" w:hAnsi="Arial" w:cs="Arial"/>
          <w:sz w:val="24"/>
          <w:szCs w:val="24"/>
        </w:rPr>
        <w:t>is in agreement</w:t>
      </w:r>
      <w:proofErr w:type="gramEnd"/>
      <w:r w:rsidRPr="00752600">
        <w:rPr>
          <w:rFonts w:ascii="Arial" w:hAnsi="Arial" w:cs="Arial"/>
          <w:sz w:val="24"/>
          <w:szCs w:val="24"/>
        </w:rPr>
        <w:t xml:space="preserve"> with </w:t>
      </w:r>
      <w:r w:rsidR="00B12A19" w:rsidRPr="00752600">
        <w:rPr>
          <w:rFonts w:ascii="Arial" w:hAnsi="Arial" w:cs="Arial"/>
          <w:sz w:val="24"/>
          <w:szCs w:val="24"/>
        </w:rPr>
        <w:t>the</w:t>
      </w:r>
      <w:r w:rsidRPr="00752600">
        <w:rPr>
          <w:rFonts w:ascii="Arial" w:hAnsi="Arial" w:cs="Arial"/>
          <w:sz w:val="24"/>
          <w:szCs w:val="24"/>
        </w:rPr>
        <w:t xml:space="preserve"> calculations in OEB Staff Table 2.</w:t>
      </w:r>
    </w:p>
    <w:p w14:paraId="30FA0223" w14:textId="3603379A" w:rsidR="00111B30" w:rsidRPr="00782238" w:rsidRDefault="00111B30" w:rsidP="00111B30">
      <w:pPr>
        <w:spacing w:after="0"/>
        <w:rPr>
          <w:rFonts w:ascii="Arial" w:hAnsi="Arial" w:cs="Arial"/>
          <w:color w:val="0070C0"/>
          <w:sz w:val="24"/>
          <w:szCs w:val="24"/>
          <w:u w:val="single"/>
        </w:rPr>
      </w:pPr>
      <w:r w:rsidRPr="00782238">
        <w:rPr>
          <w:rFonts w:ascii="Arial" w:hAnsi="Arial" w:cs="Arial"/>
          <w:color w:val="0070C0"/>
          <w:sz w:val="24"/>
          <w:szCs w:val="24"/>
          <w:u w:val="single"/>
        </w:rPr>
        <w:t>Response</w:t>
      </w:r>
    </w:p>
    <w:p w14:paraId="3478E5CA" w14:textId="66D90CCE" w:rsidR="00111B30" w:rsidRPr="00111B30" w:rsidRDefault="00111B30" w:rsidP="00111B30">
      <w:pPr>
        <w:spacing w:after="0"/>
        <w:rPr>
          <w:rFonts w:ascii="Arial" w:hAnsi="Arial" w:cs="Arial"/>
          <w:color w:val="0070C0"/>
          <w:sz w:val="24"/>
          <w:szCs w:val="24"/>
        </w:rPr>
      </w:pPr>
      <w:r w:rsidRPr="00111B30">
        <w:rPr>
          <w:rFonts w:ascii="Arial" w:hAnsi="Arial" w:cs="Arial"/>
          <w:color w:val="0070C0"/>
          <w:sz w:val="24"/>
          <w:szCs w:val="24"/>
        </w:rPr>
        <w:t xml:space="preserve">Orangeville Hydro </w:t>
      </w:r>
      <w:proofErr w:type="gramStart"/>
      <w:r w:rsidRPr="00111B30">
        <w:rPr>
          <w:rFonts w:ascii="Arial" w:hAnsi="Arial" w:cs="Arial"/>
          <w:color w:val="0070C0"/>
          <w:sz w:val="24"/>
          <w:szCs w:val="24"/>
        </w:rPr>
        <w:t>is in agreement</w:t>
      </w:r>
      <w:proofErr w:type="gramEnd"/>
      <w:r w:rsidRPr="00111B30">
        <w:rPr>
          <w:rFonts w:ascii="Arial" w:hAnsi="Arial" w:cs="Arial"/>
          <w:color w:val="0070C0"/>
          <w:sz w:val="24"/>
          <w:szCs w:val="24"/>
        </w:rPr>
        <w:t xml:space="preserve"> with the calculations in OEB Staff Table 2.</w:t>
      </w:r>
    </w:p>
    <w:p w14:paraId="2FCD2E01" w14:textId="77777777" w:rsidR="00111B30" w:rsidRPr="00111B30" w:rsidRDefault="00111B30" w:rsidP="00111B30">
      <w:pPr>
        <w:spacing w:after="0"/>
        <w:rPr>
          <w:rFonts w:ascii="Arial" w:hAnsi="Arial" w:cs="Arial"/>
          <w:sz w:val="24"/>
          <w:szCs w:val="24"/>
        </w:rPr>
      </w:pPr>
    </w:p>
    <w:p w14:paraId="1F1D25CB" w14:textId="6D6A96CE" w:rsidR="00F01421" w:rsidRDefault="00F01421" w:rsidP="00752600">
      <w:pPr>
        <w:pStyle w:val="ListParagraph"/>
        <w:numPr>
          <w:ilvl w:val="0"/>
          <w:numId w:val="11"/>
        </w:numPr>
        <w:spacing w:after="0"/>
        <w:rPr>
          <w:rFonts w:ascii="Arial" w:hAnsi="Arial" w:cs="Arial"/>
          <w:sz w:val="24"/>
          <w:szCs w:val="24"/>
        </w:rPr>
      </w:pPr>
      <w:r w:rsidRPr="00752600">
        <w:rPr>
          <w:rFonts w:ascii="Arial" w:hAnsi="Arial" w:cs="Arial"/>
          <w:sz w:val="24"/>
          <w:szCs w:val="24"/>
        </w:rPr>
        <w:t xml:space="preserve">If </w:t>
      </w:r>
      <w:r w:rsidR="00B12A19" w:rsidRPr="00752600">
        <w:rPr>
          <w:rFonts w:ascii="Arial" w:hAnsi="Arial" w:cs="Arial"/>
          <w:sz w:val="24"/>
          <w:szCs w:val="24"/>
        </w:rPr>
        <w:t>so</w:t>
      </w:r>
      <w:r w:rsidRPr="00752600">
        <w:rPr>
          <w:rFonts w:ascii="Arial" w:hAnsi="Arial" w:cs="Arial"/>
          <w:sz w:val="24"/>
          <w:szCs w:val="24"/>
        </w:rPr>
        <w:t>, please update the 2022 IRM Rate Generator Model</w:t>
      </w:r>
      <w:r w:rsidR="00775FE2" w:rsidRPr="00752600">
        <w:rPr>
          <w:rFonts w:ascii="Arial" w:hAnsi="Arial" w:cs="Arial"/>
          <w:sz w:val="24"/>
          <w:szCs w:val="24"/>
        </w:rPr>
        <w:t xml:space="preserve"> to reflect the balances in Column E</w:t>
      </w:r>
      <w:r w:rsidRPr="00752600">
        <w:rPr>
          <w:rFonts w:ascii="Arial" w:hAnsi="Arial" w:cs="Arial"/>
          <w:sz w:val="24"/>
          <w:szCs w:val="24"/>
        </w:rPr>
        <w:t>.</w:t>
      </w:r>
    </w:p>
    <w:p w14:paraId="2D2850C0" w14:textId="0E3E6DC0" w:rsidR="00111B30" w:rsidRPr="00782238" w:rsidRDefault="00111B30" w:rsidP="00111B30">
      <w:pPr>
        <w:spacing w:after="0"/>
        <w:rPr>
          <w:rFonts w:ascii="Arial" w:hAnsi="Arial" w:cs="Arial"/>
          <w:color w:val="0070C0"/>
          <w:sz w:val="24"/>
          <w:szCs w:val="24"/>
          <w:u w:val="single"/>
        </w:rPr>
      </w:pPr>
      <w:r w:rsidRPr="00782238">
        <w:rPr>
          <w:rFonts w:ascii="Arial" w:hAnsi="Arial" w:cs="Arial"/>
          <w:color w:val="0070C0"/>
          <w:sz w:val="24"/>
          <w:szCs w:val="24"/>
          <w:u w:val="single"/>
        </w:rPr>
        <w:t>Response</w:t>
      </w:r>
    </w:p>
    <w:p w14:paraId="3468E75F" w14:textId="3FCF566A" w:rsidR="00111B30" w:rsidRPr="00111B30" w:rsidRDefault="00111B30" w:rsidP="00111B30">
      <w:pPr>
        <w:spacing w:after="0"/>
        <w:rPr>
          <w:rFonts w:ascii="Arial" w:hAnsi="Arial" w:cs="Arial"/>
          <w:color w:val="0070C0"/>
          <w:sz w:val="24"/>
          <w:szCs w:val="24"/>
        </w:rPr>
      </w:pPr>
      <w:r w:rsidRPr="00111B30">
        <w:rPr>
          <w:rFonts w:ascii="Arial" w:hAnsi="Arial" w:cs="Arial"/>
          <w:color w:val="0070C0"/>
          <w:sz w:val="24"/>
          <w:szCs w:val="24"/>
        </w:rPr>
        <w:t>Orangeville Hydro has updated the 2022 IRM Rate Generator Model to reflect the balances in Column E.</w:t>
      </w:r>
    </w:p>
    <w:p w14:paraId="0C050E09" w14:textId="3780E7F3" w:rsidR="00111B30" w:rsidRPr="00111B30" w:rsidRDefault="00111B30" w:rsidP="00111B30">
      <w:pPr>
        <w:spacing w:after="0"/>
        <w:rPr>
          <w:rFonts w:ascii="Arial" w:hAnsi="Arial" w:cs="Arial"/>
          <w:sz w:val="24"/>
          <w:szCs w:val="24"/>
        </w:rPr>
      </w:pPr>
    </w:p>
    <w:p w14:paraId="3C3FA966" w14:textId="21FDA87B" w:rsidR="00F01421" w:rsidRPr="00752600" w:rsidRDefault="00F01421" w:rsidP="00111B30">
      <w:pPr>
        <w:pStyle w:val="ListParagraph"/>
        <w:numPr>
          <w:ilvl w:val="0"/>
          <w:numId w:val="16"/>
        </w:numPr>
        <w:rPr>
          <w:rFonts w:ascii="Arial" w:hAnsi="Arial" w:cs="Arial"/>
          <w:b/>
          <w:bCs/>
          <w:sz w:val="24"/>
          <w:szCs w:val="24"/>
        </w:rPr>
      </w:pPr>
      <w:r w:rsidRPr="00752600">
        <w:rPr>
          <w:rFonts w:ascii="Arial" w:hAnsi="Arial" w:cs="Arial"/>
          <w:sz w:val="24"/>
          <w:szCs w:val="24"/>
        </w:rPr>
        <w:lastRenderedPageBreak/>
        <w:t xml:space="preserve">If </w:t>
      </w:r>
      <w:r w:rsidR="00B12A19" w:rsidRPr="00752600">
        <w:rPr>
          <w:rFonts w:ascii="Arial" w:hAnsi="Arial" w:cs="Arial"/>
          <w:sz w:val="24"/>
          <w:szCs w:val="24"/>
        </w:rPr>
        <w:t>not</w:t>
      </w:r>
      <w:r w:rsidRPr="00752600">
        <w:rPr>
          <w:rFonts w:ascii="Arial" w:hAnsi="Arial" w:cs="Arial"/>
          <w:sz w:val="24"/>
          <w:szCs w:val="24"/>
        </w:rPr>
        <w:t xml:space="preserve">, please explain the discrepancy in Column </w:t>
      </w:r>
      <w:r w:rsidR="008E4524" w:rsidRPr="00752600">
        <w:rPr>
          <w:rFonts w:ascii="Arial" w:hAnsi="Arial" w:cs="Arial"/>
          <w:sz w:val="24"/>
          <w:szCs w:val="24"/>
        </w:rPr>
        <w:t>F</w:t>
      </w:r>
      <w:r w:rsidRPr="00752600">
        <w:rPr>
          <w:rFonts w:ascii="Arial" w:hAnsi="Arial" w:cs="Arial"/>
          <w:sz w:val="24"/>
          <w:szCs w:val="24"/>
        </w:rPr>
        <w:t xml:space="preserve">. </w:t>
      </w:r>
    </w:p>
    <w:p w14:paraId="2646C2A4" w14:textId="77777777" w:rsidR="00177D1A" w:rsidRDefault="00177D1A" w:rsidP="00953307">
      <w:pPr>
        <w:rPr>
          <w:rFonts w:ascii="Arial" w:eastAsia="Times New Roman" w:hAnsi="Arial" w:cs="Arial"/>
          <w:b/>
          <w:bCs/>
          <w:sz w:val="24"/>
          <w:szCs w:val="24"/>
        </w:rPr>
      </w:pPr>
    </w:p>
    <w:p w14:paraId="0A6776B1" w14:textId="77777777" w:rsidR="00177D1A" w:rsidRDefault="00177D1A" w:rsidP="00953307">
      <w:pPr>
        <w:rPr>
          <w:rFonts w:ascii="Arial" w:eastAsia="Times New Roman" w:hAnsi="Arial" w:cs="Arial"/>
          <w:b/>
          <w:bCs/>
          <w:sz w:val="24"/>
          <w:szCs w:val="24"/>
        </w:rPr>
      </w:pPr>
    </w:p>
    <w:p w14:paraId="61204BA3" w14:textId="77777777" w:rsidR="00177D1A" w:rsidRDefault="00177D1A" w:rsidP="00953307">
      <w:pPr>
        <w:rPr>
          <w:rFonts w:ascii="Arial" w:eastAsia="Times New Roman" w:hAnsi="Arial" w:cs="Arial"/>
          <w:b/>
          <w:bCs/>
          <w:sz w:val="24"/>
          <w:szCs w:val="24"/>
        </w:rPr>
      </w:pPr>
    </w:p>
    <w:p w14:paraId="40A0B8A4" w14:textId="3E41106F" w:rsidR="00F01421" w:rsidRDefault="00F01421" w:rsidP="00953307">
      <w:pPr>
        <w:rPr>
          <w:rFonts w:ascii="Arial" w:eastAsia="Times New Roman" w:hAnsi="Arial" w:cs="Arial"/>
          <w:b/>
          <w:bCs/>
          <w:sz w:val="24"/>
          <w:szCs w:val="24"/>
        </w:rPr>
      </w:pPr>
      <w:r w:rsidRPr="00752600">
        <w:rPr>
          <w:rFonts w:ascii="Arial" w:eastAsia="Times New Roman" w:hAnsi="Arial" w:cs="Arial"/>
          <w:b/>
          <w:bCs/>
          <w:sz w:val="24"/>
          <w:szCs w:val="24"/>
        </w:rPr>
        <w:t>OEB Staff-</w:t>
      </w:r>
      <w:r w:rsidR="00EE72E5" w:rsidRPr="00752600">
        <w:rPr>
          <w:rFonts w:ascii="Arial" w:eastAsia="Times New Roman" w:hAnsi="Arial" w:cs="Arial"/>
          <w:b/>
          <w:bCs/>
          <w:sz w:val="24"/>
          <w:szCs w:val="24"/>
        </w:rPr>
        <w:t>6</w:t>
      </w:r>
    </w:p>
    <w:p w14:paraId="7843ADFB" w14:textId="77777777" w:rsidR="00F01421" w:rsidRPr="00752600" w:rsidRDefault="00F01421" w:rsidP="00752600">
      <w:pPr>
        <w:spacing w:after="0"/>
        <w:rPr>
          <w:rFonts w:ascii="Arial" w:hAnsi="Arial" w:cs="Arial"/>
          <w:sz w:val="24"/>
          <w:szCs w:val="24"/>
        </w:rPr>
      </w:pPr>
      <w:r w:rsidRPr="00752600">
        <w:rPr>
          <w:rFonts w:ascii="Arial" w:hAnsi="Arial" w:cs="Arial"/>
          <w:b/>
          <w:bCs/>
          <w:sz w:val="24"/>
          <w:szCs w:val="24"/>
        </w:rPr>
        <w:t>Reference:</w:t>
      </w:r>
      <w:r w:rsidRPr="00752600">
        <w:rPr>
          <w:rFonts w:ascii="Arial" w:hAnsi="Arial" w:cs="Arial"/>
          <w:b/>
          <w:bCs/>
          <w:sz w:val="24"/>
          <w:szCs w:val="24"/>
        </w:rPr>
        <w:tab/>
      </w:r>
      <w:r w:rsidRPr="00752600">
        <w:rPr>
          <w:rFonts w:ascii="Arial" w:hAnsi="Arial" w:cs="Arial"/>
          <w:sz w:val="24"/>
          <w:szCs w:val="24"/>
        </w:rPr>
        <w:t>(1) 2022 IRM Rate Generator Model, Tab 3, October 13, 2021</w:t>
      </w:r>
    </w:p>
    <w:p w14:paraId="57767975" w14:textId="63628D1F" w:rsidR="00F01421" w:rsidRPr="00752600" w:rsidRDefault="00F01421" w:rsidP="00953307">
      <w:pPr>
        <w:rPr>
          <w:rFonts w:ascii="Arial" w:hAnsi="Arial" w:cs="Arial"/>
          <w:sz w:val="24"/>
          <w:szCs w:val="24"/>
        </w:rPr>
      </w:pPr>
      <w:r w:rsidRPr="00752600">
        <w:rPr>
          <w:rFonts w:ascii="Arial" w:hAnsi="Arial" w:cs="Arial"/>
          <w:sz w:val="24"/>
          <w:szCs w:val="24"/>
        </w:rPr>
        <w:tab/>
      </w:r>
      <w:r w:rsidRPr="00752600">
        <w:rPr>
          <w:rFonts w:ascii="Arial" w:hAnsi="Arial" w:cs="Arial"/>
          <w:sz w:val="24"/>
          <w:szCs w:val="24"/>
        </w:rPr>
        <w:tab/>
        <w:t>(2) GA Analysis Workform, October 13, 2021, Tab GA 2020</w:t>
      </w:r>
    </w:p>
    <w:p w14:paraId="00871437" w14:textId="4DC0D182" w:rsidR="00F01421" w:rsidRPr="00752600" w:rsidRDefault="00F01421" w:rsidP="00953307">
      <w:pPr>
        <w:rPr>
          <w:rFonts w:ascii="Arial" w:hAnsi="Arial" w:cs="Arial"/>
          <w:sz w:val="24"/>
          <w:szCs w:val="24"/>
        </w:rPr>
      </w:pPr>
      <w:r w:rsidRPr="00752600">
        <w:rPr>
          <w:rFonts w:ascii="Arial" w:hAnsi="Arial" w:cs="Arial"/>
          <w:sz w:val="24"/>
          <w:szCs w:val="24"/>
        </w:rPr>
        <w:t>At Reference #1, Orangeville Hydro has included a</w:t>
      </w:r>
      <w:r w:rsidR="00B6231C" w:rsidRPr="00752600">
        <w:rPr>
          <w:rFonts w:ascii="Arial" w:hAnsi="Arial" w:cs="Arial"/>
          <w:sz w:val="24"/>
          <w:szCs w:val="24"/>
        </w:rPr>
        <w:t>n Account 1589</w:t>
      </w:r>
      <w:r w:rsidRPr="00752600">
        <w:rPr>
          <w:rFonts w:ascii="Arial" w:hAnsi="Arial" w:cs="Arial"/>
          <w:sz w:val="24"/>
          <w:szCs w:val="24"/>
        </w:rPr>
        <w:t xml:space="preserve"> debit of $377,958 in cell BD29 “Transactions Debit / (Credit) during 2020.” However, at Reference #2, Orangeville Hydro has included a debit of $392,999 in cell C75 for the Account 1589 “Net Change in Principal Balance in the GL (</w:t>
      </w:r>
      <w:proofErr w:type="gramStart"/>
      <w:r w:rsidRPr="00752600">
        <w:rPr>
          <w:rFonts w:ascii="Arial" w:hAnsi="Arial" w:cs="Arial"/>
          <w:sz w:val="24"/>
          <w:szCs w:val="24"/>
        </w:rPr>
        <w:t>i.e.</w:t>
      </w:r>
      <w:proofErr w:type="gramEnd"/>
      <w:r w:rsidRPr="00752600">
        <w:rPr>
          <w:rFonts w:ascii="Arial" w:hAnsi="Arial" w:cs="Arial"/>
          <w:sz w:val="24"/>
          <w:szCs w:val="24"/>
        </w:rPr>
        <w:t xml:space="preserve"> Transactions in the Year)”. </w:t>
      </w:r>
    </w:p>
    <w:p w14:paraId="1BBA6D8B" w14:textId="77777777" w:rsidR="00F01421" w:rsidRPr="00752600" w:rsidRDefault="00F01421" w:rsidP="00953307">
      <w:pPr>
        <w:rPr>
          <w:rFonts w:ascii="Arial" w:hAnsi="Arial" w:cs="Arial"/>
          <w:b/>
          <w:sz w:val="24"/>
          <w:szCs w:val="24"/>
        </w:rPr>
      </w:pPr>
      <w:r w:rsidRPr="00752600">
        <w:rPr>
          <w:rFonts w:ascii="Arial" w:hAnsi="Arial" w:cs="Arial"/>
          <w:b/>
          <w:sz w:val="24"/>
          <w:szCs w:val="24"/>
        </w:rPr>
        <w:t>Question:</w:t>
      </w:r>
    </w:p>
    <w:p w14:paraId="2E5EFE4F" w14:textId="7B18F700" w:rsidR="00F01421" w:rsidRDefault="00F01421" w:rsidP="00953307">
      <w:pPr>
        <w:pStyle w:val="ListParagraph"/>
        <w:numPr>
          <w:ilvl w:val="0"/>
          <w:numId w:val="12"/>
        </w:numPr>
        <w:rPr>
          <w:rFonts w:ascii="Arial" w:hAnsi="Arial" w:cs="Arial"/>
          <w:sz w:val="24"/>
          <w:szCs w:val="24"/>
        </w:rPr>
      </w:pPr>
      <w:r w:rsidRPr="00752600">
        <w:rPr>
          <w:rFonts w:ascii="Arial" w:hAnsi="Arial" w:cs="Arial"/>
          <w:sz w:val="24"/>
          <w:szCs w:val="24"/>
        </w:rPr>
        <w:t>Please clarify which should be the correct number.</w:t>
      </w:r>
    </w:p>
    <w:p w14:paraId="07C8A939" w14:textId="3C839FE8" w:rsidR="00782238" w:rsidRPr="00C91181" w:rsidRDefault="00782238" w:rsidP="00782238">
      <w:pPr>
        <w:rPr>
          <w:rFonts w:ascii="Arial" w:hAnsi="Arial" w:cs="Arial"/>
          <w:color w:val="0070C0"/>
          <w:sz w:val="24"/>
          <w:szCs w:val="24"/>
          <w:u w:val="single"/>
        </w:rPr>
      </w:pPr>
      <w:r w:rsidRPr="00C91181">
        <w:rPr>
          <w:rFonts w:ascii="Arial" w:hAnsi="Arial" w:cs="Arial"/>
          <w:color w:val="0070C0"/>
          <w:sz w:val="24"/>
          <w:szCs w:val="24"/>
          <w:u w:val="single"/>
        </w:rPr>
        <w:t>Response</w:t>
      </w:r>
    </w:p>
    <w:p w14:paraId="209A4D57" w14:textId="6029C75F" w:rsidR="00C91181" w:rsidRPr="00C91181" w:rsidRDefault="00C91181" w:rsidP="00782238">
      <w:pPr>
        <w:rPr>
          <w:rFonts w:ascii="Arial" w:hAnsi="Arial" w:cs="Arial"/>
          <w:color w:val="0070C0"/>
          <w:sz w:val="24"/>
          <w:szCs w:val="24"/>
        </w:rPr>
      </w:pPr>
      <w:r w:rsidRPr="00C91181">
        <w:rPr>
          <w:rFonts w:ascii="Arial" w:hAnsi="Arial" w:cs="Arial"/>
          <w:color w:val="0070C0"/>
          <w:sz w:val="24"/>
          <w:szCs w:val="24"/>
        </w:rPr>
        <w:t>OHL confirms the correct number is a debit of $377,958 in cell BD29 “Transactions Debit / (Credit) during 2020 for Account 1589.  The GA Workform incorrectly included the 2020 disposition balance.  The Net Change in Principal Balance in the 202</w:t>
      </w:r>
      <w:r w:rsidR="00091CD8">
        <w:rPr>
          <w:rFonts w:ascii="Arial" w:hAnsi="Arial" w:cs="Arial"/>
          <w:color w:val="0070C0"/>
          <w:sz w:val="24"/>
          <w:szCs w:val="24"/>
        </w:rPr>
        <w:t>0</w:t>
      </w:r>
      <w:r w:rsidRPr="00C91181">
        <w:rPr>
          <w:rFonts w:ascii="Arial" w:hAnsi="Arial" w:cs="Arial"/>
          <w:color w:val="0070C0"/>
          <w:sz w:val="24"/>
          <w:szCs w:val="24"/>
        </w:rPr>
        <w:t xml:space="preserve"> GA </w:t>
      </w:r>
      <w:proofErr w:type="spellStart"/>
      <w:r w:rsidRPr="00C91181">
        <w:rPr>
          <w:rFonts w:ascii="Arial" w:hAnsi="Arial" w:cs="Arial"/>
          <w:color w:val="0070C0"/>
          <w:sz w:val="24"/>
          <w:szCs w:val="24"/>
        </w:rPr>
        <w:t>workform</w:t>
      </w:r>
      <w:proofErr w:type="spellEnd"/>
      <w:r w:rsidRPr="00C91181">
        <w:rPr>
          <w:rFonts w:ascii="Arial" w:hAnsi="Arial" w:cs="Arial"/>
          <w:color w:val="0070C0"/>
          <w:sz w:val="24"/>
          <w:szCs w:val="24"/>
        </w:rPr>
        <w:t xml:space="preserve"> has been corrected to $377,958.</w:t>
      </w:r>
    </w:p>
    <w:p w14:paraId="633E6541" w14:textId="77777777" w:rsidR="00782238" w:rsidRPr="00782238" w:rsidRDefault="00782238" w:rsidP="00782238">
      <w:pPr>
        <w:rPr>
          <w:rFonts w:ascii="Arial" w:hAnsi="Arial" w:cs="Arial"/>
          <w:color w:val="0070C0"/>
          <w:sz w:val="24"/>
          <w:szCs w:val="24"/>
        </w:rPr>
      </w:pPr>
    </w:p>
    <w:p w14:paraId="0329548F" w14:textId="2C6A8EE8" w:rsidR="003C457C" w:rsidRPr="00155EB4" w:rsidRDefault="003C457C" w:rsidP="003C457C">
      <w:pPr>
        <w:rPr>
          <w:rFonts w:ascii="Arial" w:eastAsia="Times New Roman" w:hAnsi="Arial" w:cs="Arial"/>
          <w:b/>
          <w:bCs/>
          <w:sz w:val="24"/>
          <w:szCs w:val="24"/>
        </w:rPr>
      </w:pPr>
      <w:r w:rsidRPr="00155EB4">
        <w:rPr>
          <w:rFonts w:ascii="Arial" w:eastAsia="Times New Roman" w:hAnsi="Arial" w:cs="Arial"/>
          <w:b/>
          <w:bCs/>
          <w:sz w:val="24"/>
          <w:szCs w:val="24"/>
        </w:rPr>
        <w:t>OEB Staff-</w:t>
      </w:r>
      <w:r w:rsidR="00EE72E5">
        <w:rPr>
          <w:rFonts w:ascii="Arial" w:eastAsia="Times New Roman" w:hAnsi="Arial" w:cs="Arial"/>
          <w:b/>
          <w:bCs/>
          <w:sz w:val="24"/>
          <w:szCs w:val="24"/>
        </w:rPr>
        <w:t>7</w:t>
      </w:r>
    </w:p>
    <w:p w14:paraId="639DA280" w14:textId="26B9B8C5" w:rsidR="003C457C" w:rsidRPr="00155EB4" w:rsidRDefault="003C457C" w:rsidP="00953307">
      <w:pPr>
        <w:rPr>
          <w:rFonts w:ascii="Arial" w:hAnsi="Arial" w:cs="Arial"/>
          <w:sz w:val="24"/>
          <w:szCs w:val="24"/>
        </w:rPr>
      </w:pPr>
      <w:r w:rsidRPr="00155EB4">
        <w:rPr>
          <w:rFonts w:ascii="Arial" w:hAnsi="Arial" w:cs="Arial"/>
          <w:b/>
          <w:bCs/>
          <w:sz w:val="24"/>
          <w:szCs w:val="24"/>
        </w:rPr>
        <w:t>Reference:</w:t>
      </w:r>
      <w:r w:rsidRPr="00155EB4">
        <w:rPr>
          <w:rFonts w:ascii="Arial" w:hAnsi="Arial" w:cs="Arial"/>
          <w:b/>
          <w:bCs/>
          <w:sz w:val="24"/>
          <w:szCs w:val="24"/>
        </w:rPr>
        <w:tab/>
      </w:r>
      <w:r w:rsidRPr="00155EB4">
        <w:rPr>
          <w:rFonts w:ascii="Arial" w:hAnsi="Arial" w:cs="Arial"/>
          <w:sz w:val="24"/>
          <w:szCs w:val="24"/>
        </w:rPr>
        <w:t>(</w:t>
      </w:r>
      <w:r w:rsidR="005C6578">
        <w:rPr>
          <w:rFonts w:ascii="Arial" w:hAnsi="Arial" w:cs="Arial"/>
          <w:sz w:val="24"/>
          <w:szCs w:val="24"/>
        </w:rPr>
        <w:t>1</w:t>
      </w:r>
      <w:r w:rsidRPr="00155EB4">
        <w:rPr>
          <w:rFonts w:ascii="Arial" w:hAnsi="Arial" w:cs="Arial"/>
          <w:sz w:val="24"/>
          <w:szCs w:val="24"/>
        </w:rPr>
        <w:t>) LRAMVA Workform, Tab 5 (2015-2020 LRAM)</w:t>
      </w:r>
    </w:p>
    <w:p w14:paraId="3055DDB9" w14:textId="77777777" w:rsidR="003C457C" w:rsidRPr="00155EB4" w:rsidRDefault="003C457C" w:rsidP="003C457C">
      <w:pPr>
        <w:rPr>
          <w:rFonts w:ascii="Arial" w:hAnsi="Arial" w:cs="Arial"/>
          <w:sz w:val="24"/>
          <w:szCs w:val="24"/>
        </w:rPr>
      </w:pPr>
      <w:r w:rsidRPr="00155EB4">
        <w:rPr>
          <w:rFonts w:ascii="Arial" w:hAnsi="Arial" w:cs="Arial"/>
          <w:b/>
          <w:bCs/>
          <w:sz w:val="24"/>
          <w:szCs w:val="24"/>
        </w:rPr>
        <w:t>2018</w:t>
      </w:r>
      <w:r>
        <w:rPr>
          <w:rFonts w:ascii="Arial" w:hAnsi="Arial" w:cs="Arial"/>
          <w:b/>
          <w:bCs/>
          <w:sz w:val="24"/>
          <w:szCs w:val="24"/>
        </w:rPr>
        <w:t xml:space="preserve"> </w:t>
      </w:r>
    </w:p>
    <w:p w14:paraId="6927DF1E" w14:textId="28F4DFD6" w:rsidR="003C457C" w:rsidRPr="00155EB4" w:rsidRDefault="003C457C" w:rsidP="003C457C">
      <w:pPr>
        <w:rPr>
          <w:rFonts w:ascii="Arial" w:eastAsia="Times New Roman" w:hAnsi="Arial" w:cs="Arial"/>
          <w:color w:val="FF0000"/>
          <w:sz w:val="24"/>
          <w:szCs w:val="24"/>
        </w:rPr>
      </w:pPr>
      <w:r w:rsidRPr="00155EB4">
        <w:rPr>
          <w:rFonts w:ascii="Arial" w:hAnsi="Arial" w:cs="Arial"/>
          <w:sz w:val="24"/>
          <w:szCs w:val="24"/>
        </w:rPr>
        <w:t>The energy savings and persisting energy savings reported for 2018 &amp; 2019 in Tab 5 of the LRAMVA Workform could not be reconciled to the IESO Participation and Cost report</w:t>
      </w:r>
      <w:r w:rsidR="00933673">
        <w:rPr>
          <w:rFonts w:ascii="Arial" w:hAnsi="Arial" w:cs="Arial"/>
          <w:sz w:val="24"/>
          <w:szCs w:val="24"/>
        </w:rPr>
        <w:t>, however,</w:t>
      </w:r>
      <w:r w:rsidRPr="00155EB4">
        <w:rPr>
          <w:rFonts w:ascii="Arial" w:hAnsi="Arial" w:cs="Arial"/>
          <w:sz w:val="24"/>
          <w:szCs w:val="24"/>
        </w:rPr>
        <w:t xml:space="preserve"> </w:t>
      </w:r>
      <w:r>
        <w:rPr>
          <w:rFonts w:ascii="Arial" w:hAnsi="Arial" w:cs="Arial"/>
          <w:sz w:val="24"/>
          <w:szCs w:val="24"/>
        </w:rPr>
        <w:t xml:space="preserve">is consistent </w:t>
      </w:r>
      <w:r w:rsidR="00EB796B">
        <w:rPr>
          <w:rFonts w:ascii="Arial" w:hAnsi="Arial" w:cs="Arial"/>
          <w:sz w:val="24"/>
          <w:szCs w:val="24"/>
        </w:rPr>
        <w:t>with</w:t>
      </w:r>
      <w:r w:rsidRPr="00155EB4">
        <w:rPr>
          <w:rFonts w:ascii="Arial" w:hAnsi="Arial" w:cs="Arial"/>
          <w:sz w:val="24"/>
          <w:szCs w:val="24"/>
        </w:rPr>
        <w:t xml:space="preserve"> the prior year LRAMVA Workform without exception.</w:t>
      </w:r>
      <w:r w:rsidRPr="00155EB4">
        <w:rPr>
          <w:rFonts w:ascii="Arial" w:eastAsia="Times New Roman" w:hAnsi="Arial" w:cs="Arial"/>
          <w:sz w:val="24"/>
          <w:szCs w:val="24"/>
        </w:rPr>
        <w:t xml:space="preserve"> The energy savings for 2019 also reconcile to the “OHL_2019 CDM Project </w:t>
      </w:r>
      <w:proofErr w:type="spellStart"/>
      <w:r w:rsidRPr="00155EB4">
        <w:rPr>
          <w:rFonts w:ascii="Arial" w:eastAsia="Times New Roman" w:hAnsi="Arial" w:cs="Arial"/>
          <w:sz w:val="24"/>
          <w:szCs w:val="24"/>
        </w:rPr>
        <w:t>List_No</w:t>
      </w:r>
      <w:proofErr w:type="spellEnd"/>
      <w:r w:rsidRPr="00155EB4">
        <w:rPr>
          <w:rFonts w:ascii="Arial" w:eastAsia="Times New Roman" w:hAnsi="Arial" w:cs="Arial"/>
          <w:sz w:val="24"/>
          <w:szCs w:val="24"/>
        </w:rPr>
        <w:t xml:space="preserve"> Customer Info” excel filed with Orangeville</w:t>
      </w:r>
      <w:r w:rsidR="0074283C">
        <w:rPr>
          <w:rFonts w:ascii="Arial" w:eastAsia="Times New Roman" w:hAnsi="Arial" w:cs="Arial"/>
          <w:sz w:val="24"/>
          <w:szCs w:val="24"/>
        </w:rPr>
        <w:t xml:space="preserve"> Hydro</w:t>
      </w:r>
      <w:r w:rsidRPr="00155EB4">
        <w:rPr>
          <w:rFonts w:ascii="Arial" w:eastAsia="Times New Roman" w:hAnsi="Arial" w:cs="Arial"/>
          <w:sz w:val="24"/>
          <w:szCs w:val="24"/>
        </w:rPr>
        <w:t xml:space="preserve">’s </w:t>
      </w:r>
      <w:r w:rsidR="00EB796B">
        <w:rPr>
          <w:rFonts w:ascii="Arial" w:eastAsia="Times New Roman" w:hAnsi="Arial" w:cs="Arial"/>
          <w:sz w:val="24"/>
          <w:szCs w:val="24"/>
        </w:rPr>
        <w:t>2021</w:t>
      </w:r>
      <w:r w:rsidRPr="00155EB4">
        <w:rPr>
          <w:rFonts w:ascii="Arial" w:eastAsia="Times New Roman" w:hAnsi="Arial" w:cs="Arial"/>
          <w:sz w:val="24"/>
          <w:szCs w:val="24"/>
        </w:rPr>
        <w:t xml:space="preserve"> IRM application. </w:t>
      </w:r>
    </w:p>
    <w:p w14:paraId="39A764BB" w14:textId="77777777" w:rsidR="003C457C" w:rsidRPr="00155EB4" w:rsidRDefault="003C457C" w:rsidP="003C457C">
      <w:pPr>
        <w:rPr>
          <w:rFonts w:ascii="Arial" w:eastAsia="Times New Roman" w:hAnsi="Arial" w:cs="Arial"/>
          <w:sz w:val="24"/>
          <w:szCs w:val="24"/>
        </w:rPr>
      </w:pPr>
      <w:r w:rsidRPr="00155EB4">
        <w:rPr>
          <w:rFonts w:ascii="Arial" w:eastAsia="Times New Roman" w:hAnsi="Arial" w:cs="Arial"/>
          <w:sz w:val="24"/>
          <w:szCs w:val="24"/>
        </w:rPr>
        <w:t xml:space="preserve">Please clarify why the 2018 data </w:t>
      </w:r>
      <w:r>
        <w:rPr>
          <w:rFonts w:ascii="Arial" w:eastAsia="Times New Roman" w:hAnsi="Arial" w:cs="Arial"/>
          <w:sz w:val="24"/>
          <w:szCs w:val="24"/>
        </w:rPr>
        <w:t>cannot be reconciled</w:t>
      </w:r>
      <w:r w:rsidRPr="00155EB4">
        <w:rPr>
          <w:rFonts w:ascii="Arial" w:eastAsia="Times New Roman" w:hAnsi="Arial" w:cs="Arial"/>
          <w:sz w:val="24"/>
          <w:szCs w:val="24"/>
        </w:rPr>
        <w:t xml:space="preserve"> to the IESO Participation and Cost report and provide details and calculations used to arrive at the energy savings and persisting energy savings from 2018 for the following programs:</w:t>
      </w:r>
    </w:p>
    <w:p w14:paraId="65D023D0" w14:textId="77777777" w:rsidR="003C457C" w:rsidRDefault="003C457C" w:rsidP="00F01421">
      <w:pPr>
        <w:pStyle w:val="ListParagraph"/>
        <w:numPr>
          <w:ilvl w:val="0"/>
          <w:numId w:val="4"/>
        </w:numPr>
        <w:spacing w:after="160" w:line="259" w:lineRule="auto"/>
        <w:rPr>
          <w:rFonts w:ascii="Arial" w:eastAsia="Times New Roman" w:hAnsi="Arial" w:cs="Arial"/>
          <w:sz w:val="24"/>
          <w:szCs w:val="24"/>
        </w:rPr>
      </w:pPr>
      <w:r>
        <w:rPr>
          <w:rFonts w:ascii="Arial" w:eastAsia="Times New Roman" w:hAnsi="Arial" w:cs="Arial"/>
          <w:sz w:val="24"/>
          <w:szCs w:val="24"/>
        </w:rPr>
        <w:lastRenderedPageBreak/>
        <w:t>Save on Energy Coupon Program</w:t>
      </w:r>
    </w:p>
    <w:p w14:paraId="7CFAC025" w14:textId="77777777" w:rsidR="003C457C" w:rsidRPr="00155EB4" w:rsidRDefault="003C457C" w:rsidP="00F01421">
      <w:pPr>
        <w:pStyle w:val="ListParagraph"/>
        <w:numPr>
          <w:ilvl w:val="0"/>
          <w:numId w:val="4"/>
        </w:numPr>
        <w:spacing w:after="160" w:line="259" w:lineRule="auto"/>
        <w:rPr>
          <w:rFonts w:ascii="Arial" w:eastAsia="Times New Roman" w:hAnsi="Arial" w:cs="Arial"/>
          <w:sz w:val="24"/>
          <w:szCs w:val="24"/>
        </w:rPr>
      </w:pPr>
      <w:r w:rsidRPr="00155EB4">
        <w:rPr>
          <w:rFonts w:ascii="Arial" w:eastAsia="Times New Roman" w:hAnsi="Arial" w:cs="Arial"/>
          <w:sz w:val="24"/>
          <w:szCs w:val="24"/>
        </w:rPr>
        <w:t>Save on Energy Retrofit Program</w:t>
      </w:r>
    </w:p>
    <w:p w14:paraId="3AAA46A0" w14:textId="77777777" w:rsidR="003C457C" w:rsidRPr="00155EB4" w:rsidRDefault="003C457C" w:rsidP="00F01421">
      <w:pPr>
        <w:pStyle w:val="ListParagraph"/>
        <w:numPr>
          <w:ilvl w:val="0"/>
          <w:numId w:val="4"/>
        </w:numPr>
        <w:spacing w:after="160" w:line="259" w:lineRule="auto"/>
        <w:rPr>
          <w:rFonts w:ascii="Arial" w:eastAsia="Times New Roman" w:hAnsi="Arial" w:cs="Arial"/>
          <w:sz w:val="24"/>
          <w:szCs w:val="24"/>
        </w:rPr>
      </w:pPr>
      <w:r w:rsidRPr="00155EB4">
        <w:rPr>
          <w:rFonts w:ascii="Arial" w:eastAsia="Times New Roman" w:hAnsi="Arial" w:cs="Arial"/>
          <w:sz w:val="24"/>
          <w:szCs w:val="24"/>
        </w:rPr>
        <w:t>Save on Energy Small Business Lighting Program</w:t>
      </w:r>
    </w:p>
    <w:p w14:paraId="31643347" w14:textId="73BE49EE" w:rsidR="003C457C" w:rsidRDefault="003C457C" w:rsidP="00F01421">
      <w:pPr>
        <w:pStyle w:val="ListParagraph"/>
        <w:numPr>
          <w:ilvl w:val="0"/>
          <w:numId w:val="4"/>
        </w:numPr>
        <w:spacing w:after="160" w:line="259" w:lineRule="auto"/>
        <w:rPr>
          <w:rFonts w:ascii="Arial" w:eastAsia="Times New Roman" w:hAnsi="Arial" w:cs="Arial"/>
          <w:sz w:val="24"/>
          <w:szCs w:val="24"/>
        </w:rPr>
      </w:pPr>
      <w:r w:rsidRPr="00155EB4">
        <w:rPr>
          <w:rFonts w:ascii="Arial" w:eastAsia="Times New Roman" w:hAnsi="Arial" w:cs="Arial"/>
          <w:sz w:val="24"/>
          <w:szCs w:val="24"/>
        </w:rPr>
        <w:t>Business Refrigeration Local Program</w:t>
      </w:r>
    </w:p>
    <w:p w14:paraId="59C25EF8" w14:textId="3B92CEEF" w:rsidR="00742711" w:rsidRPr="00742711" w:rsidRDefault="00742711" w:rsidP="00742711">
      <w:pPr>
        <w:spacing w:after="160" w:line="259" w:lineRule="auto"/>
        <w:rPr>
          <w:rFonts w:ascii="Arial" w:eastAsia="Times New Roman" w:hAnsi="Arial" w:cs="Arial"/>
          <w:color w:val="0070C0"/>
          <w:sz w:val="24"/>
          <w:szCs w:val="24"/>
        </w:rPr>
      </w:pPr>
      <w:r w:rsidRPr="00742711">
        <w:rPr>
          <w:rFonts w:ascii="Arial" w:eastAsia="Times New Roman" w:hAnsi="Arial" w:cs="Arial"/>
          <w:color w:val="0070C0"/>
          <w:sz w:val="24"/>
          <w:szCs w:val="24"/>
        </w:rPr>
        <w:t>Response</w:t>
      </w:r>
    </w:p>
    <w:p w14:paraId="714A4B19" w14:textId="77777777" w:rsidR="006F3433" w:rsidRPr="0012223A" w:rsidRDefault="006F3433" w:rsidP="006F3433">
      <w:pPr>
        <w:spacing w:after="160" w:line="259" w:lineRule="auto"/>
        <w:rPr>
          <w:rFonts w:ascii="Arial" w:eastAsia="Times New Roman" w:hAnsi="Arial" w:cs="Arial"/>
          <w:color w:val="0070C0"/>
          <w:sz w:val="24"/>
          <w:szCs w:val="24"/>
        </w:rPr>
      </w:pPr>
      <w:r w:rsidRPr="0012223A">
        <w:rPr>
          <w:rFonts w:ascii="Arial" w:eastAsia="Times New Roman" w:hAnsi="Arial" w:cs="Arial"/>
          <w:color w:val="0070C0"/>
          <w:sz w:val="24"/>
          <w:szCs w:val="24"/>
        </w:rPr>
        <w:t xml:space="preserve">For the 2019 Save on Energy Retrofit Program, Save on Energy Small Business Lighting Program and the Business Refrigeration Local Program, the information for the </w:t>
      </w:r>
      <w:proofErr w:type="gramStart"/>
      <w:r w:rsidRPr="0012223A">
        <w:rPr>
          <w:rFonts w:ascii="Arial" w:eastAsia="Times New Roman" w:hAnsi="Arial" w:cs="Arial"/>
          <w:color w:val="0070C0"/>
          <w:sz w:val="24"/>
          <w:szCs w:val="24"/>
        </w:rPr>
        <w:t>file  “</w:t>
      </w:r>
      <w:proofErr w:type="gramEnd"/>
      <w:r w:rsidRPr="0012223A">
        <w:rPr>
          <w:rFonts w:ascii="Arial" w:eastAsia="Times New Roman" w:hAnsi="Arial" w:cs="Arial"/>
          <w:color w:val="0070C0"/>
          <w:sz w:val="24"/>
          <w:szCs w:val="24"/>
        </w:rPr>
        <w:t xml:space="preserve">OHL_2019 CDM Project </w:t>
      </w:r>
      <w:proofErr w:type="spellStart"/>
      <w:r w:rsidRPr="0012223A">
        <w:rPr>
          <w:rFonts w:ascii="Arial" w:eastAsia="Times New Roman" w:hAnsi="Arial" w:cs="Arial"/>
          <w:color w:val="0070C0"/>
          <w:sz w:val="24"/>
          <w:szCs w:val="24"/>
        </w:rPr>
        <w:t>Project</w:t>
      </w:r>
      <w:proofErr w:type="spellEnd"/>
      <w:r w:rsidRPr="0012223A">
        <w:rPr>
          <w:rFonts w:ascii="Arial" w:eastAsia="Times New Roman" w:hAnsi="Arial" w:cs="Arial"/>
          <w:color w:val="0070C0"/>
          <w:sz w:val="24"/>
          <w:szCs w:val="24"/>
        </w:rPr>
        <w:t xml:space="preserve"> </w:t>
      </w:r>
      <w:proofErr w:type="spellStart"/>
      <w:r w:rsidRPr="0012223A">
        <w:rPr>
          <w:rFonts w:ascii="Arial" w:eastAsia="Times New Roman" w:hAnsi="Arial" w:cs="Arial"/>
          <w:color w:val="0070C0"/>
          <w:sz w:val="24"/>
          <w:szCs w:val="24"/>
        </w:rPr>
        <w:t>List_No</w:t>
      </w:r>
      <w:proofErr w:type="spellEnd"/>
      <w:r w:rsidRPr="0012223A">
        <w:rPr>
          <w:rFonts w:ascii="Arial" w:eastAsia="Times New Roman" w:hAnsi="Arial" w:cs="Arial"/>
          <w:color w:val="0070C0"/>
          <w:sz w:val="24"/>
          <w:szCs w:val="24"/>
        </w:rPr>
        <w:t xml:space="preserve"> Customer Info” was gathered using the IESO’s CDM Program Reported Results website https://online.ieso.ca/suite/tempo/news/all and the Retrofit LDC portals.  The projects had to be pulled one by one from this IESO portal </w:t>
      </w:r>
      <w:proofErr w:type="gramStart"/>
      <w:r w:rsidRPr="0012223A">
        <w:rPr>
          <w:rFonts w:ascii="Arial" w:eastAsia="Times New Roman" w:hAnsi="Arial" w:cs="Arial"/>
          <w:color w:val="0070C0"/>
          <w:sz w:val="24"/>
          <w:szCs w:val="24"/>
        </w:rPr>
        <w:t>in order to</w:t>
      </w:r>
      <w:proofErr w:type="gramEnd"/>
      <w:r w:rsidRPr="0012223A">
        <w:rPr>
          <w:rFonts w:ascii="Arial" w:eastAsia="Times New Roman" w:hAnsi="Arial" w:cs="Arial"/>
          <w:color w:val="0070C0"/>
          <w:sz w:val="24"/>
          <w:szCs w:val="24"/>
        </w:rPr>
        <w:t xml:space="preserve"> attribute the savings to the correct customer classes.  Orangeville Hydro had no access to the “Participation and Cost Report – Orangeville Hydro Limited” for 2019.  If the OEB has a more up-to-date report, Orangeville Hydro would appreciate having a copy of this report for 2019.</w:t>
      </w:r>
    </w:p>
    <w:p w14:paraId="2BC2A4B8" w14:textId="4DEBA3DA" w:rsidR="006F3433" w:rsidRPr="0012223A" w:rsidRDefault="006F3433" w:rsidP="006F3433">
      <w:pPr>
        <w:spacing w:after="160" w:line="259" w:lineRule="auto"/>
        <w:rPr>
          <w:rFonts w:ascii="Arial" w:eastAsia="Times New Roman" w:hAnsi="Arial" w:cs="Arial"/>
          <w:color w:val="0070C0"/>
          <w:sz w:val="24"/>
          <w:szCs w:val="24"/>
        </w:rPr>
      </w:pPr>
      <w:r w:rsidRPr="0012223A">
        <w:rPr>
          <w:rFonts w:ascii="Arial" w:eastAsia="Times New Roman" w:hAnsi="Arial" w:cs="Arial"/>
          <w:color w:val="0070C0"/>
          <w:sz w:val="24"/>
          <w:szCs w:val="24"/>
        </w:rPr>
        <w:t xml:space="preserve">For the 2018 Save on Energy Coupon Program, this corresponds to the value for Save on Energy Instant Discount Program of 380,397*1.290419.  </w:t>
      </w:r>
      <w:r w:rsidR="00BC262F" w:rsidRPr="0012223A">
        <w:rPr>
          <w:rFonts w:ascii="Arial" w:eastAsia="Times New Roman" w:hAnsi="Arial" w:cs="Arial"/>
          <w:color w:val="0070C0"/>
          <w:sz w:val="24"/>
          <w:szCs w:val="24"/>
        </w:rPr>
        <w:t xml:space="preserve">The 380,397 comes from the </w:t>
      </w:r>
      <w:r w:rsidR="00BC262F" w:rsidRPr="0012223A">
        <w:rPr>
          <w:rFonts w:ascii="Arial" w:hAnsi="Arial" w:cs="Arial"/>
          <w:color w:val="0070C0"/>
          <w:sz w:val="24"/>
        </w:rPr>
        <w:t>P&amp;C Report from April 2019</w:t>
      </w:r>
      <w:r w:rsidR="00740767" w:rsidRPr="0012223A">
        <w:rPr>
          <w:rFonts w:ascii="Arial" w:hAnsi="Arial" w:cs="Arial"/>
          <w:color w:val="0070C0"/>
          <w:sz w:val="24"/>
        </w:rPr>
        <w:t xml:space="preserve"> (included with this response)</w:t>
      </w:r>
      <w:r w:rsidR="00BC262F" w:rsidRPr="0012223A">
        <w:rPr>
          <w:rFonts w:ascii="Arial" w:hAnsi="Arial" w:cs="Arial"/>
          <w:color w:val="0070C0"/>
          <w:sz w:val="24"/>
        </w:rPr>
        <w:t xml:space="preserve">.  This was in response to </w:t>
      </w:r>
      <w:r w:rsidR="00740767" w:rsidRPr="0012223A">
        <w:rPr>
          <w:rFonts w:ascii="Arial" w:hAnsi="Arial" w:cs="Arial"/>
          <w:color w:val="0070C0"/>
          <w:sz w:val="24"/>
        </w:rPr>
        <w:t>EB-2019-0060 Staff Question 4a.</w:t>
      </w:r>
      <w:r w:rsidR="00BC262F" w:rsidRPr="0012223A">
        <w:rPr>
          <w:rFonts w:ascii="Arial" w:hAnsi="Arial" w:cs="Arial"/>
          <w:color w:val="0070C0"/>
          <w:sz w:val="24"/>
        </w:rPr>
        <w:t xml:space="preserve"> </w:t>
      </w:r>
      <w:r w:rsidRPr="0012223A">
        <w:rPr>
          <w:rFonts w:ascii="Arial" w:eastAsia="Times New Roman" w:hAnsi="Arial" w:cs="Arial"/>
          <w:color w:val="0070C0"/>
          <w:sz w:val="24"/>
          <w:szCs w:val="24"/>
        </w:rPr>
        <w:t xml:space="preserve">  </w:t>
      </w:r>
    </w:p>
    <w:p w14:paraId="1AB49D11" w14:textId="6ADC0BE1" w:rsidR="0012223A" w:rsidRDefault="006F3433" w:rsidP="003C457C">
      <w:pPr>
        <w:spacing w:before="240"/>
        <w:rPr>
          <w:rFonts w:ascii="Arial" w:eastAsia="Times New Roman" w:hAnsi="Arial" w:cs="Arial"/>
          <w:color w:val="FF0000"/>
          <w:sz w:val="24"/>
          <w:szCs w:val="24"/>
        </w:rPr>
      </w:pPr>
      <w:r w:rsidRPr="0012223A">
        <w:rPr>
          <w:rFonts w:ascii="Arial" w:eastAsia="Times New Roman" w:hAnsi="Arial" w:cs="Arial"/>
          <w:color w:val="0070C0"/>
          <w:sz w:val="24"/>
          <w:szCs w:val="24"/>
        </w:rPr>
        <w:t>For the 2018 Save on Energy Retrofit Program, Save on Energy Small Business Lighting Program and the Business Refrigeration Local Program, the information for the files</w:t>
      </w:r>
      <w:r w:rsidR="00740767" w:rsidRPr="0012223A">
        <w:rPr>
          <w:rFonts w:ascii="Arial" w:eastAsia="Times New Roman" w:hAnsi="Arial" w:cs="Arial"/>
          <w:color w:val="0070C0"/>
          <w:sz w:val="24"/>
          <w:szCs w:val="24"/>
        </w:rPr>
        <w:t xml:space="preserve"> </w:t>
      </w:r>
      <w:r w:rsidRPr="0012223A">
        <w:rPr>
          <w:rFonts w:ascii="Arial" w:eastAsia="Times New Roman" w:hAnsi="Arial" w:cs="Arial"/>
          <w:color w:val="0070C0"/>
          <w:sz w:val="24"/>
          <w:szCs w:val="24"/>
        </w:rPr>
        <w:t xml:space="preserve">“OHL_2018 CDM Project </w:t>
      </w:r>
      <w:proofErr w:type="spellStart"/>
      <w:r w:rsidRPr="0012223A">
        <w:rPr>
          <w:rFonts w:ascii="Arial" w:eastAsia="Times New Roman" w:hAnsi="Arial" w:cs="Arial"/>
          <w:color w:val="0070C0"/>
          <w:sz w:val="24"/>
          <w:szCs w:val="24"/>
        </w:rPr>
        <w:t>Project</w:t>
      </w:r>
      <w:proofErr w:type="spellEnd"/>
      <w:r w:rsidRPr="0012223A">
        <w:rPr>
          <w:rFonts w:ascii="Arial" w:eastAsia="Times New Roman" w:hAnsi="Arial" w:cs="Arial"/>
          <w:color w:val="0070C0"/>
          <w:sz w:val="24"/>
          <w:szCs w:val="24"/>
        </w:rPr>
        <w:t xml:space="preserve"> </w:t>
      </w:r>
      <w:proofErr w:type="spellStart"/>
      <w:r w:rsidRPr="0012223A">
        <w:rPr>
          <w:rFonts w:ascii="Arial" w:eastAsia="Times New Roman" w:hAnsi="Arial" w:cs="Arial"/>
          <w:color w:val="0070C0"/>
          <w:sz w:val="24"/>
          <w:szCs w:val="24"/>
        </w:rPr>
        <w:t>List_No</w:t>
      </w:r>
      <w:proofErr w:type="spellEnd"/>
      <w:r w:rsidRPr="0012223A">
        <w:rPr>
          <w:rFonts w:ascii="Arial" w:eastAsia="Times New Roman" w:hAnsi="Arial" w:cs="Arial"/>
          <w:color w:val="0070C0"/>
          <w:sz w:val="24"/>
          <w:szCs w:val="24"/>
        </w:rPr>
        <w:t xml:space="preserve"> Customer Info” was gathered using the same methodology as 2019 above.  This file was never provided to the OEB during EB-2019-0060</w:t>
      </w:r>
      <w:r w:rsidR="00740767" w:rsidRPr="0012223A">
        <w:rPr>
          <w:rFonts w:ascii="Arial" w:eastAsia="Times New Roman" w:hAnsi="Arial" w:cs="Arial"/>
          <w:color w:val="0070C0"/>
          <w:sz w:val="24"/>
          <w:szCs w:val="24"/>
        </w:rPr>
        <w:t xml:space="preserve"> (included with this response).</w:t>
      </w:r>
      <w:r w:rsidRPr="0012223A">
        <w:rPr>
          <w:rFonts w:ascii="Arial" w:eastAsia="Times New Roman" w:hAnsi="Arial" w:cs="Arial"/>
          <w:color w:val="0070C0"/>
          <w:sz w:val="24"/>
          <w:szCs w:val="24"/>
        </w:rPr>
        <w:t xml:space="preserve">  Orangeville Hydro only had access to the “Participation and Cost Report – Orangeville Hydro Limited – 2019 04” which at best is an incomplete product, as it was not the Final Verified results report.  If the OEB has a more up-to-date report, Orangeville Hydro would appreciate having a copy of this report for 2018</w:t>
      </w:r>
      <w:r w:rsidR="0012223A">
        <w:rPr>
          <w:rFonts w:ascii="Arial" w:eastAsia="Times New Roman" w:hAnsi="Arial" w:cs="Arial"/>
          <w:color w:val="0070C0"/>
          <w:sz w:val="24"/>
          <w:szCs w:val="24"/>
        </w:rPr>
        <w:t>.</w:t>
      </w:r>
    </w:p>
    <w:p w14:paraId="6C100BBF" w14:textId="3D45B4C9" w:rsidR="003C457C" w:rsidRPr="00155EB4" w:rsidRDefault="003C457C" w:rsidP="003C457C">
      <w:pPr>
        <w:spacing w:before="240"/>
        <w:rPr>
          <w:rFonts w:ascii="Arial" w:hAnsi="Arial" w:cs="Arial"/>
          <w:b/>
          <w:bCs/>
          <w:sz w:val="24"/>
          <w:szCs w:val="24"/>
        </w:rPr>
      </w:pPr>
      <w:r w:rsidRPr="00155EB4">
        <w:rPr>
          <w:rFonts w:ascii="Arial" w:hAnsi="Arial" w:cs="Arial"/>
          <w:b/>
          <w:bCs/>
          <w:sz w:val="24"/>
          <w:szCs w:val="24"/>
        </w:rPr>
        <w:t>2020</w:t>
      </w:r>
    </w:p>
    <w:p w14:paraId="5938B9A0" w14:textId="03824255" w:rsidR="00742711" w:rsidRDefault="003C457C" w:rsidP="003C457C">
      <w:pPr>
        <w:rPr>
          <w:rFonts w:ascii="Arial" w:hAnsi="Arial" w:cs="Arial"/>
          <w:sz w:val="24"/>
          <w:szCs w:val="24"/>
        </w:rPr>
      </w:pPr>
      <w:r w:rsidRPr="00155EB4">
        <w:rPr>
          <w:rFonts w:ascii="Arial" w:hAnsi="Arial" w:cs="Arial"/>
          <w:sz w:val="24"/>
          <w:szCs w:val="24"/>
        </w:rPr>
        <w:t xml:space="preserve">The energy savings reported for 2020 in Tab 5 of the LRAMVA Workform reconcile to the “OHL_2020 CDM Project </w:t>
      </w:r>
      <w:proofErr w:type="spellStart"/>
      <w:r w:rsidRPr="00155EB4">
        <w:rPr>
          <w:rFonts w:ascii="Arial" w:hAnsi="Arial" w:cs="Arial"/>
          <w:sz w:val="24"/>
          <w:szCs w:val="24"/>
        </w:rPr>
        <w:t>List_No</w:t>
      </w:r>
      <w:proofErr w:type="spellEnd"/>
      <w:r w:rsidRPr="00155EB4">
        <w:rPr>
          <w:rFonts w:ascii="Arial" w:hAnsi="Arial" w:cs="Arial"/>
          <w:sz w:val="24"/>
          <w:szCs w:val="24"/>
        </w:rPr>
        <w:t xml:space="preserve"> Customer Info” excel filed </w:t>
      </w:r>
      <w:r w:rsidR="00312A86">
        <w:rPr>
          <w:rFonts w:ascii="Arial" w:hAnsi="Arial" w:cs="Arial"/>
          <w:sz w:val="24"/>
          <w:szCs w:val="24"/>
        </w:rPr>
        <w:t>in the current proceeding</w:t>
      </w:r>
      <w:r w:rsidRPr="00155EB4">
        <w:rPr>
          <w:rFonts w:ascii="Arial" w:hAnsi="Arial" w:cs="Arial"/>
          <w:sz w:val="24"/>
          <w:szCs w:val="24"/>
        </w:rPr>
        <w:t>. Please clarify why the contents of the working paper include data pertaining to</w:t>
      </w:r>
      <w:r>
        <w:rPr>
          <w:rFonts w:ascii="Arial" w:hAnsi="Arial" w:cs="Arial"/>
          <w:sz w:val="24"/>
          <w:szCs w:val="24"/>
        </w:rPr>
        <w:t xml:space="preserve"> programs led by</w:t>
      </w:r>
      <w:r w:rsidRPr="00155EB4">
        <w:rPr>
          <w:rFonts w:ascii="Arial" w:hAnsi="Arial" w:cs="Arial"/>
          <w:sz w:val="24"/>
          <w:szCs w:val="24"/>
        </w:rPr>
        <w:t xml:space="preserve"> Toronto Hydro-Electric System Limited. </w:t>
      </w:r>
    </w:p>
    <w:p w14:paraId="64E5D32F" w14:textId="422CCA6E" w:rsidR="00742711" w:rsidRPr="00742711" w:rsidRDefault="00742711" w:rsidP="003C457C">
      <w:pPr>
        <w:rPr>
          <w:rFonts w:ascii="Arial" w:hAnsi="Arial" w:cs="Arial"/>
          <w:color w:val="0070C0"/>
          <w:sz w:val="24"/>
          <w:szCs w:val="24"/>
        </w:rPr>
      </w:pPr>
      <w:r w:rsidRPr="00742711">
        <w:rPr>
          <w:rFonts w:ascii="Arial" w:hAnsi="Arial" w:cs="Arial"/>
          <w:color w:val="0070C0"/>
          <w:sz w:val="24"/>
          <w:szCs w:val="24"/>
        </w:rPr>
        <w:t>Response</w:t>
      </w:r>
    </w:p>
    <w:p w14:paraId="4B5EA897" w14:textId="3CB69CA0" w:rsidR="00742711" w:rsidRPr="00602BE4" w:rsidRDefault="00602BE4" w:rsidP="00602BE4">
      <w:pPr>
        <w:rPr>
          <w:rFonts w:ascii="Arial" w:hAnsi="Arial" w:cs="Arial"/>
          <w:color w:val="0070C0"/>
          <w:sz w:val="24"/>
          <w:szCs w:val="24"/>
        </w:rPr>
      </w:pPr>
      <w:r w:rsidRPr="00602BE4">
        <w:rPr>
          <w:rFonts w:ascii="Arial" w:hAnsi="Arial" w:cs="Arial"/>
          <w:color w:val="0070C0"/>
          <w:sz w:val="24"/>
          <w:szCs w:val="24"/>
        </w:rPr>
        <w:t xml:space="preserve">Orangeville Hydro included the energy savings for these customers in its claim, as although the program was led by Toronto Hydro, the savings were generated </w:t>
      </w:r>
      <w:r>
        <w:rPr>
          <w:rFonts w:ascii="Arial" w:hAnsi="Arial" w:cs="Arial"/>
          <w:color w:val="0070C0"/>
          <w:sz w:val="24"/>
          <w:szCs w:val="24"/>
        </w:rPr>
        <w:t>from</w:t>
      </w:r>
      <w:r w:rsidRPr="00602BE4">
        <w:rPr>
          <w:rFonts w:ascii="Arial" w:hAnsi="Arial" w:cs="Arial"/>
          <w:color w:val="0070C0"/>
          <w:sz w:val="24"/>
          <w:szCs w:val="24"/>
        </w:rPr>
        <w:t xml:space="preserve"> a </w:t>
      </w:r>
      <w:r w:rsidRPr="00602BE4">
        <w:rPr>
          <w:rFonts w:ascii="Arial" w:hAnsi="Arial" w:cs="Arial"/>
          <w:color w:val="0070C0"/>
          <w:sz w:val="24"/>
          <w:szCs w:val="24"/>
        </w:rPr>
        <w:lastRenderedPageBreak/>
        <w:t>location that is within Orangeville Hydro’s service territory and therefore relates to Orangeville Hydro’s LRAM claim.</w:t>
      </w:r>
    </w:p>
    <w:sectPr w:rsidR="00742711" w:rsidRPr="00602BE4" w:rsidSect="0070485D">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5A21"/>
    <w:multiLevelType w:val="hybridMultilevel"/>
    <w:tmpl w:val="F3104664"/>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15CAF"/>
    <w:multiLevelType w:val="hybridMultilevel"/>
    <w:tmpl w:val="109A4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54037"/>
    <w:multiLevelType w:val="hybridMultilevel"/>
    <w:tmpl w:val="5AB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55A9D"/>
    <w:multiLevelType w:val="hybridMultilevel"/>
    <w:tmpl w:val="6CD0E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64714"/>
    <w:multiLevelType w:val="hybridMultilevel"/>
    <w:tmpl w:val="0D4A4586"/>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F77D8"/>
    <w:multiLevelType w:val="hybridMultilevel"/>
    <w:tmpl w:val="0D4A458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D15646"/>
    <w:multiLevelType w:val="hybridMultilevel"/>
    <w:tmpl w:val="0C74F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05973"/>
    <w:multiLevelType w:val="hybridMultilevel"/>
    <w:tmpl w:val="E4260D4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8560E4"/>
    <w:multiLevelType w:val="hybridMultilevel"/>
    <w:tmpl w:val="20BAF418"/>
    <w:lvl w:ilvl="0" w:tplc="EAAECE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42450"/>
    <w:multiLevelType w:val="hybridMultilevel"/>
    <w:tmpl w:val="773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E4896"/>
    <w:multiLevelType w:val="hybridMultilevel"/>
    <w:tmpl w:val="D9E4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E187B"/>
    <w:multiLevelType w:val="hybridMultilevel"/>
    <w:tmpl w:val="F0E656F0"/>
    <w:lvl w:ilvl="0" w:tplc="263C4B06">
      <w:start w:val="1"/>
      <w:numFmt w:val="lowerLetter"/>
      <w:lvlText w:val="%1)"/>
      <w:lvlJc w:val="left"/>
      <w:pPr>
        <w:ind w:left="720" w:hanging="360"/>
      </w:pPr>
      <w:rPr>
        <w:rFonts w:hint="default"/>
        <w:b w:val="0"/>
        <w:bCs w:val="0"/>
      </w:rPr>
    </w:lvl>
    <w:lvl w:ilvl="1" w:tplc="9CFA9D8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F1F24"/>
    <w:multiLevelType w:val="hybridMultilevel"/>
    <w:tmpl w:val="0D4A458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8F5B76"/>
    <w:multiLevelType w:val="hybridMultilevel"/>
    <w:tmpl w:val="3A2E7494"/>
    <w:lvl w:ilvl="0" w:tplc="04090017">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EC7C6F"/>
    <w:multiLevelType w:val="hybridMultilevel"/>
    <w:tmpl w:val="E4260D4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0F1044"/>
    <w:multiLevelType w:val="hybridMultilevel"/>
    <w:tmpl w:val="2BE20618"/>
    <w:lvl w:ilvl="0" w:tplc="3BEC16A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C22C5"/>
    <w:multiLevelType w:val="hybridMultilevel"/>
    <w:tmpl w:val="3A2E7494"/>
    <w:lvl w:ilvl="0" w:tplc="FFFFFFFF">
      <w:start w:val="1"/>
      <w:numFmt w:val="lowerLetter"/>
      <w:lvlText w:val="%1)"/>
      <w:lvlJc w:val="left"/>
      <w:pPr>
        <w:ind w:left="1080" w:hanging="72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625C45"/>
    <w:multiLevelType w:val="hybridMultilevel"/>
    <w:tmpl w:val="65504EB4"/>
    <w:lvl w:ilvl="0" w:tplc="F39AF1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7177A"/>
    <w:multiLevelType w:val="hybridMultilevel"/>
    <w:tmpl w:val="F0E656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2"/>
  </w:num>
  <w:num w:numId="5">
    <w:abstractNumId w:val="15"/>
  </w:num>
  <w:num w:numId="6">
    <w:abstractNumId w:val="17"/>
  </w:num>
  <w:num w:numId="7">
    <w:abstractNumId w:val="16"/>
  </w:num>
  <w:num w:numId="8">
    <w:abstractNumId w:val="11"/>
  </w:num>
  <w:num w:numId="9">
    <w:abstractNumId w:val="10"/>
  </w:num>
  <w:num w:numId="10">
    <w:abstractNumId w:val="0"/>
  </w:num>
  <w:num w:numId="11">
    <w:abstractNumId w:val="14"/>
  </w:num>
  <w:num w:numId="12">
    <w:abstractNumId w:val="6"/>
  </w:num>
  <w:num w:numId="13">
    <w:abstractNumId w:val="18"/>
  </w:num>
  <w:num w:numId="14">
    <w:abstractNumId w:val="1"/>
  </w:num>
  <w:num w:numId="15">
    <w:abstractNumId w:val="8"/>
  </w:num>
  <w:num w:numId="16">
    <w:abstractNumId w:val="7"/>
  </w:num>
  <w:num w:numId="17">
    <w:abstractNumId w:val="4"/>
  </w:num>
  <w:num w:numId="18">
    <w:abstractNumId w:val="5"/>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5E1F"/>
    <w:rsid w:val="00007489"/>
    <w:rsid w:val="00014093"/>
    <w:rsid w:val="00016362"/>
    <w:rsid w:val="000228DD"/>
    <w:rsid w:val="00027DF6"/>
    <w:rsid w:val="0003073C"/>
    <w:rsid w:val="00032017"/>
    <w:rsid w:val="00035337"/>
    <w:rsid w:val="00037849"/>
    <w:rsid w:val="00045C3C"/>
    <w:rsid w:val="00054071"/>
    <w:rsid w:val="00054A7A"/>
    <w:rsid w:val="00054EFA"/>
    <w:rsid w:val="00060DEC"/>
    <w:rsid w:val="0006126D"/>
    <w:rsid w:val="00067F57"/>
    <w:rsid w:val="00071344"/>
    <w:rsid w:val="00071BEC"/>
    <w:rsid w:val="00074514"/>
    <w:rsid w:val="00076BDB"/>
    <w:rsid w:val="00082768"/>
    <w:rsid w:val="000832D4"/>
    <w:rsid w:val="00087BB0"/>
    <w:rsid w:val="00090160"/>
    <w:rsid w:val="00091C84"/>
    <w:rsid w:val="00091CD8"/>
    <w:rsid w:val="00096940"/>
    <w:rsid w:val="000A1EE3"/>
    <w:rsid w:val="000B0992"/>
    <w:rsid w:val="000B16D8"/>
    <w:rsid w:val="000B3A92"/>
    <w:rsid w:val="000B3C6D"/>
    <w:rsid w:val="000B3E7E"/>
    <w:rsid w:val="000B6A4A"/>
    <w:rsid w:val="000C2253"/>
    <w:rsid w:val="000D223C"/>
    <w:rsid w:val="000D339B"/>
    <w:rsid w:val="000E02E2"/>
    <w:rsid w:val="000E0CF4"/>
    <w:rsid w:val="000E335D"/>
    <w:rsid w:val="000E4006"/>
    <w:rsid w:val="000E6357"/>
    <w:rsid w:val="000E746A"/>
    <w:rsid w:val="000F1D6B"/>
    <w:rsid w:val="000F1E3A"/>
    <w:rsid w:val="000F2EDE"/>
    <w:rsid w:val="00111B30"/>
    <w:rsid w:val="00111D9E"/>
    <w:rsid w:val="00120825"/>
    <w:rsid w:val="0012223A"/>
    <w:rsid w:val="00125692"/>
    <w:rsid w:val="00133BE1"/>
    <w:rsid w:val="00142E81"/>
    <w:rsid w:val="001449A6"/>
    <w:rsid w:val="00154564"/>
    <w:rsid w:val="00164E99"/>
    <w:rsid w:val="0016510D"/>
    <w:rsid w:val="0016699D"/>
    <w:rsid w:val="00177D1A"/>
    <w:rsid w:val="00183CC8"/>
    <w:rsid w:val="00187E9B"/>
    <w:rsid w:val="00187F0F"/>
    <w:rsid w:val="001927C2"/>
    <w:rsid w:val="0019582A"/>
    <w:rsid w:val="00196D17"/>
    <w:rsid w:val="001A1C5C"/>
    <w:rsid w:val="001A4DCD"/>
    <w:rsid w:val="001B594F"/>
    <w:rsid w:val="001C55D0"/>
    <w:rsid w:val="001D3193"/>
    <w:rsid w:val="001D6387"/>
    <w:rsid w:val="001E2535"/>
    <w:rsid w:val="001E4A0A"/>
    <w:rsid w:val="001F0FE9"/>
    <w:rsid w:val="001F7756"/>
    <w:rsid w:val="00200CBE"/>
    <w:rsid w:val="00203092"/>
    <w:rsid w:val="002100FE"/>
    <w:rsid w:val="00210438"/>
    <w:rsid w:val="00210699"/>
    <w:rsid w:val="002208C0"/>
    <w:rsid w:val="00224C06"/>
    <w:rsid w:val="0022597E"/>
    <w:rsid w:val="002272F2"/>
    <w:rsid w:val="00231CA9"/>
    <w:rsid w:val="00236F6D"/>
    <w:rsid w:val="002405A8"/>
    <w:rsid w:val="00244248"/>
    <w:rsid w:val="0025446B"/>
    <w:rsid w:val="0025687C"/>
    <w:rsid w:val="00262488"/>
    <w:rsid w:val="00262634"/>
    <w:rsid w:val="0026330A"/>
    <w:rsid w:val="0026592D"/>
    <w:rsid w:val="00267FFA"/>
    <w:rsid w:val="00270D63"/>
    <w:rsid w:val="00273BF2"/>
    <w:rsid w:val="0027440A"/>
    <w:rsid w:val="0027456F"/>
    <w:rsid w:val="00274A48"/>
    <w:rsid w:val="002777A6"/>
    <w:rsid w:val="00277E9D"/>
    <w:rsid w:val="0028133B"/>
    <w:rsid w:val="0028672D"/>
    <w:rsid w:val="002916E7"/>
    <w:rsid w:val="00291CCC"/>
    <w:rsid w:val="00292EA1"/>
    <w:rsid w:val="00293CB7"/>
    <w:rsid w:val="002956AF"/>
    <w:rsid w:val="002A02CC"/>
    <w:rsid w:val="002A1E80"/>
    <w:rsid w:val="002A3460"/>
    <w:rsid w:val="002A3D45"/>
    <w:rsid w:val="002A5DB6"/>
    <w:rsid w:val="002A6415"/>
    <w:rsid w:val="002A6E09"/>
    <w:rsid w:val="002B22B0"/>
    <w:rsid w:val="002B4A30"/>
    <w:rsid w:val="002B75F8"/>
    <w:rsid w:val="002B7B7C"/>
    <w:rsid w:val="002C2BF2"/>
    <w:rsid w:val="002C464E"/>
    <w:rsid w:val="002C5465"/>
    <w:rsid w:val="002C79B2"/>
    <w:rsid w:val="002C7EF6"/>
    <w:rsid w:val="002D2066"/>
    <w:rsid w:val="002D4924"/>
    <w:rsid w:val="002E0EE0"/>
    <w:rsid w:val="002E2AD5"/>
    <w:rsid w:val="002E3A38"/>
    <w:rsid w:val="002E713E"/>
    <w:rsid w:val="002E757E"/>
    <w:rsid w:val="002F2A4C"/>
    <w:rsid w:val="002F4756"/>
    <w:rsid w:val="003000FD"/>
    <w:rsid w:val="00302509"/>
    <w:rsid w:val="003049C5"/>
    <w:rsid w:val="00305957"/>
    <w:rsid w:val="00307343"/>
    <w:rsid w:val="00312A86"/>
    <w:rsid w:val="0031309A"/>
    <w:rsid w:val="00323441"/>
    <w:rsid w:val="00325ADC"/>
    <w:rsid w:val="00326B63"/>
    <w:rsid w:val="003303BF"/>
    <w:rsid w:val="0033592E"/>
    <w:rsid w:val="00340C00"/>
    <w:rsid w:val="00340F5B"/>
    <w:rsid w:val="0034178D"/>
    <w:rsid w:val="00352C9D"/>
    <w:rsid w:val="00367B4E"/>
    <w:rsid w:val="003702D1"/>
    <w:rsid w:val="003737FF"/>
    <w:rsid w:val="00373FAD"/>
    <w:rsid w:val="00375FD6"/>
    <w:rsid w:val="003777B5"/>
    <w:rsid w:val="00380407"/>
    <w:rsid w:val="003832E7"/>
    <w:rsid w:val="00383382"/>
    <w:rsid w:val="00394724"/>
    <w:rsid w:val="003A20A0"/>
    <w:rsid w:val="003A3DA8"/>
    <w:rsid w:val="003A58B0"/>
    <w:rsid w:val="003B22FC"/>
    <w:rsid w:val="003B31F9"/>
    <w:rsid w:val="003B33EE"/>
    <w:rsid w:val="003B62D8"/>
    <w:rsid w:val="003B7728"/>
    <w:rsid w:val="003C457C"/>
    <w:rsid w:val="003D4A69"/>
    <w:rsid w:val="003E199A"/>
    <w:rsid w:val="003E71E3"/>
    <w:rsid w:val="003E79E7"/>
    <w:rsid w:val="003F05F4"/>
    <w:rsid w:val="003F58BD"/>
    <w:rsid w:val="00400DFC"/>
    <w:rsid w:val="00405FDB"/>
    <w:rsid w:val="00411A58"/>
    <w:rsid w:val="00412DC6"/>
    <w:rsid w:val="0041419B"/>
    <w:rsid w:val="00422AE0"/>
    <w:rsid w:val="00425009"/>
    <w:rsid w:val="004272D6"/>
    <w:rsid w:val="00434F1C"/>
    <w:rsid w:val="00436994"/>
    <w:rsid w:val="004377B0"/>
    <w:rsid w:val="004409B2"/>
    <w:rsid w:val="00440F07"/>
    <w:rsid w:val="004462CC"/>
    <w:rsid w:val="0045228A"/>
    <w:rsid w:val="00454A8F"/>
    <w:rsid w:val="0045678C"/>
    <w:rsid w:val="00457A53"/>
    <w:rsid w:val="0046298E"/>
    <w:rsid w:val="004712AE"/>
    <w:rsid w:val="00472C81"/>
    <w:rsid w:val="00472FE5"/>
    <w:rsid w:val="00474642"/>
    <w:rsid w:val="00475032"/>
    <w:rsid w:val="00475DF2"/>
    <w:rsid w:val="00477747"/>
    <w:rsid w:val="00480830"/>
    <w:rsid w:val="0048190E"/>
    <w:rsid w:val="004859EF"/>
    <w:rsid w:val="00490625"/>
    <w:rsid w:val="00495FA7"/>
    <w:rsid w:val="00497B54"/>
    <w:rsid w:val="004A06F1"/>
    <w:rsid w:val="004B1EB4"/>
    <w:rsid w:val="004B2574"/>
    <w:rsid w:val="004B6441"/>
    <w:rsid w:val="004C1D3C"/>
    <w:rsid w:val="004C57FA"/>
    <w:rsid w:val="004D57B7"/>
    <w:rsid w:val="004D5AA7"/>
    <w:rsid w:val="005056AF"/>
    <w:rsid w:val="00507422"/>
    <w:rsid w:val="00511EC2"/>
    <w:rsid w:val="005164F5"/>
    <w:rsid w:val="005233D2"/>
    <w:rsid w:val="0052560F"/>
    <w:rsid w:val="00540419"/>
    <w:rsid w:val="00540BDC"/>
    <w:rsid w:val="00543939"/>
    <w:rsid w:val="00545E91"/>
    <w:rsid w:val="00551424"/>
    <w:rsid w:val="0055176A"/>
    <w:rsid w:val="00551EDC"/>
    <w:rsid w:val="0055231B"/>
    <w:rsid w:val="00552663"/>
    <w:rsid w:val="00552F30"/>
    <w:rsid w:val="005534A3"/>
    <w:rsid w:val="00556375"/>
    <w:rsid w:val="0056187B"/>
    <w:rsid w:val="0056477C"/>
    <w:rsid w:val="00565B66"/>
    <w:rsid w:val="005666F2"/>
    <w:rsid w:val="00572064"/>
    <w:rsid w:val="00573619"/>
    <w:rsid w:val="0057403E"/>
    <w:rsid w:val="00574C27"/>
    <w:rsid w:val="0057563E"/>
    <w:rsid w:val="00582E65"/>
    <w:rsid w:val="00584369"/>
    <w:rsid w:val="00587A35"/>
    <w:rsid w:val="00595166"/>
    <w:rsid w:val="005A1906"/>
    <w:rsid w:val="005A5226"/>
    <w:rsid w:val="005B4B87"/>
    <w:rsid w:val="005B6D35"/>
    <w:rsid w:val="005C05E4"/>
    <w:rsid w:val="005C6578"/>
    <w:rsid w:val="005D0158"/>
    <w:rsid w:val="005D239C"/>
    <w:rsid w:val="005D76CD"/>
    <w:rsid w:val="005E51DE"/>
    <w:rsid w:val="005F4693"/>
    <w:rsid w:val="0060098B"/>
    <w:rsid w:val="00602BE4"/>
    <w:rsid w:val="006063A1"/>
    <w:rsid w:val="00617381"/>
    <w:rsid w:val="00623602"/>
    <w:rsid w:val="0062430D"/>
    <w:rsid w:val="00624C7D"/>
    <w:rsid w:val="0064039F"/>
    <w:rsid w:val="00641625"/>
    <w:rsid w:val="0064279A"/>
    <w:rsid w:val="00646130"/>
    <w:rsid w:val="00646374"/>
    <w:rsid w:val="006504B7"/>
    <w:rsid w:val="00651C98"/>
    <w:rsid w:val="00655EAF"/>
    <w:rsid w:val="006564D5"/>
    <w:rsid w:val="00657848"/>
    <w:rsid w:val="00657ACC"/>
    <w:rsid w:val="00662744"/>
    <w:rsid w:val="00662A6D"/>
    <w:rsid w:val="00663E12"/>
    <w:rsid w:val="006723B0"/>
    <w:rsid w:val="00683755"/>
    <w:rsid w:val="00683C86"/>
    <w:rsid w:val="0068789F"/>
    <w:rsid w:val="00695571"/>
    <w:rsid w:val="00697B96"/>
    <w:rsid w:val="006A02E4"/>
    <w:rsid w:val="006A07DD"/>
    <w:rsid w:val="006A1BA2"/>
    <w:rsid w:val="006A1F2C"/>
    <w:rsid w:val="006A5D23"/>
    <w:rsid w:val="006B09DA"/>
    <w:rsid w:val="006B2895"/>
    <w:rsid w:val="006B4D29"/>
    <w:rsid w:val="006C30FD"/>
    <w:rsid w:val="006E3D58"/>
    <w:rsid w:val="006E401D"/>
    <w:rsid w:val="006E43E3"/>
    <w:rsid w:val="006F3433"/>
    <w:rsid w:val="0070485D"/>
    <w:rsid w:val="00704EE5"/>
    <w:rsid w:val="007066E2"/>
    <w:rsid w:val="0071607E"/>
    <w:rsid w:val="007210C9"/>
    <w:rsid w:val="0072241F"/>
    <w:rsid w:val="00722640"/>
    <w:rsid w:val="007235A1"/>
    <w:rsid w:val="0072422D"/>
    <w:rsid w:val="007305E0"/>
    <w:rsid w:val="0073197E"/>
    <w:rsid w:val="00737346"/>
    <w:rsid w:val="00740767"/>
    <w:rsid w:val="007412CF"/>
    <w:rsid w:val="0074249E"/>
    <w:rsid w:val="00742711"/>
    <w:rsid w:val="0074283C"/>
    <w:rsid w:val="00742AD9"/>
    <w:rsid w:val="0074317E"/>
    <w:rsid w:val="00744898"/>
    <w:rsid w:val="00746080"/>
    <w:rsid w:val="00750189"/>
    <w:rsid w:val="007508EC"/>
    <w:rsid w:val="00751B3F"/>
    <w:rsid w:val="00752600"/>
    <w:rsid w:val="0075267D"/>
    <w:rsid w:val="007558AC"/>
    <w:rsid w:val="00772B57"/>
    <w:rsid w:val="00775FE2"/>
    <w:rsid w:val="00781CD3"/>
    <w:rsid w:val="00781D04"/>
    <w:rsid w:val="00782238"/>
    <w:rsid w:val="00785278"/>
    <w:rsid w:val="007B0AF6"/>
    <w:rsid w:val="007B426E"/>
    <w:rsid w:val="007B4462"/>
    <w:rsid w:val="007B62EA"/>
    <w:rsid w:val="007C2D45"/>
    <w:rsid w:val="007C3646"/>
    <w:rsid w:val="007D177B"/>
    <w:rsid w:val="007D317A"/>
    <w:rsid w:val="007D3F81"/>
    <w:rsid w:val="007D5562"/>
    <w:rsid w:val="007E0193"/>
    <w:rsid w:val="007E09F6"/>
    <w:rsid w:val="007F0CAA"/>
    <w:rsid w:val="007F49EB"/>
    <w:rsid w:val="007F62AE"/>
    <w:rsid w:val="00802A5A"/>
    <w:rsid w:val="00805FDA"/>
    <w:rsid w:val="00806046"/>
    <w:rsid w:val="00812C1B"/>
    <w:rsid w:val="00816496"/>
    <w:rsid w:val="008173B1"/>
    <w:rsid w:val="008228ED"/>
    <w:rsid w:val="00830B8D"/>
    <w:rsid w:val="00835AD0"/>
    <w:rsid w:val="00840376"/>
    <w:rsid w:val="00840ADA"/>
    <w:rsid w:val="00841787"/>
    <w:rsid w:val="00850B4B"/>
    <w:rsid w:val="00851FFF"/>
    <w:rsid w:val="0086222D"/>
    <w:rsid w:val="008634A2"/>
    <w:rsid w:val="00863B9F"/>
    <w:rsid w:val="00872F04"/>
    <w:rsid w:val="008747B3"/>
    <w:rsid w:val="0087487D"/>
    <w:rsid w:val="008776A3"/>
    <w:rsid w:val="0088124B"/>
    <w:rsid w:val="008813C3"/>
    <w:rsid w:val="008926F0"/>
    <w:rsid w:val="00893B05"/>
    <w:rsid w:val="00896144"/>
    <w:rsid w:val="008964E8"/>
    <w:rsid w:val="008A2EE9"/>
    <w:rsid w:val="008A48F6"/>
    <w:rsid w:val="008A6245"/>
    <w:rsid w:val="008B30A4"/>
    <w:rsid w:val="008B3A99"/>
    <w:rsid w:val="008B59E9"/>
    <w:rsid w:val="008B7CF7"/>
    <w:rsid w:val="008C257C"/>
    <w:rsid w:val="008C309B"/>
    <w:rsid w:val="008C3706"/>
    <w:rsid w:val="008C3FDE"/>
    <w:rsid w:val="008D0D7B"/>
    <w:rsid w:val="008D2D61"/>
    <w:rsid w:val="008D2EC1"/>
    <w:rsid w:val="008D4E7E"/>
    <w:rsid w:val="008E07A9"/>
    <w:rsid w:val="008E2323"/>
    <w:rsid w:val="008E4111"/>
    <w:rsid w:val="008E4524"/>
    <w:rsid w:val="008E6045"/>
    <w:rsid w:val="008E7476"/>
    <w:rsid w:val="008F5586"/>
    <w:rsid w:val="008F71FE"/>
    <w:rsid w:val="0090113B"/>
    <w:rsid w:val="00904E71"/>
    <w:rsid w:val="00906136"/>
    <w:rsid w:val="00907582"/>
    <w:rsid w:val="00911FCB"/>
    <w:rsid w:val="009145AE"/>
    <w:rsid w:val="0091631F"/>
    <w:rsid w:val="00921999"/>
    <w:rsid w:val="00922F0D"/>
    <w:rsid w:val="009241F0"/>
    <w:rsid w:val="0092729F"/>
    <w:rsid w:val="009272E4"/>
    <w:rsid w:val="0093258A"/>
    <w:rsid w:val="00933673"/>
    <w:rsid w:val="009400B7"/>
    <w:rsid w:val="0094373C"/>
    <w:rsid w:val="00946DEE"/>
    <w:rsid w:val="00947D85"/>
    <w:rsid w:val="00951391"/>
    <w:rsid w:val="00951E2B"/>
    <w:rsid w:val="00952939"/>
    <w:rsid w:val="00953307"/>
    <w:rsid w:val="00956C41"/>
    <w:rsid w:val="00957662"/>
    <w:rsid w:val="0096069E"/>
    <w:rsid w:val="00961EA0"/>
    <w:rsid w:val="0096744D"/>
    <w:rsid w:val="00972446"/>
    <w:rsid w:val="00975E94"/>
    <w:rsid w:val="0097737A"/>
    <w:rsid w:val="0097744B"/>
    <w:rsid w:val="009865BD"/>
    <w:rsid w:val="00993D1C"/>
    <w:rsid w:val="009A5C44"/>
    <w:rsid w:val="009B03AF"/>
    <w:rsid w:val="009B2D8C"/>
    <w:rsid w:val="009C4216"/>
    <w:rsid w:val="009C69F0"/>
    <w:rsid w:val="009D2B4E"/>
    <w:rsid w:val="009D5F4B"/>
    <w:rsid w:val="009E626E"/>
    <w:rsid w:val="009E7CBF"/>
    <w:rsid w:val="009F2A4A"/>
    <w:rsid w:val="009F312A"/>
    <w:rsid w:val="00A00B86"/>
    <w:rsid w:val="00A07077"/>
    <w:rsid w:val="00A117EB"/>
    <w:rsid w:val="00A13271"/>
    <w:rsid w:val="00A157FA"/>
    <w:rsid w:val="00A20B80"/>
    <w:rsid w:val="00A2301A"/>
    <w:rsid w:val="00A267F6"/>
    <w:rsid w:val="00A32B57"/>
    <w:rsid w:val="00A35E77"/>
    <w:rsid w:val="00A361B6"/>
    <w:rsid w:val="00A368C7"/>
    <w:rsid w:val="00A41EC8"/>
    <w:rsid w:val="00A43730"/>
    <w:rsid w:val="00A44F72"/>
    <w:rsid w:val="00A50A97"/>
    <w:rsid w:val="00A50DD0"/>
    <w:rsid w:val="00A516B0"/>
    <w:rsid w:val="00A56012"/>
    <w:rsid w:val="00A5620A"/>
    <w:rsid w:val="00A57135"/>
    <w:rsid w:val="00A5714F"/>
    <w:rsid w:val="00A57E67"/>
    <w:rsid w:val="00A64422"/>
    <w:rsid w:val="00A74B38"/>
    <w:rsid w:val="00A75914"/>
    <w:rsid w:val="00A8141A"/>
    <w:rsid w:val="00A8177E"/>
    <w:rsid w:val="00A86F77"/>
    <w:rsid w:val="00A94D3A"/>
    <w:rsid w:val="00AA06D9"/>
    <w:rsid w:val="00AA1508"/>
    <w:rsid w:val="00AA7D98"/>
    <w:rsid w:val="00AB3732"/>
    <w:rsid w:val="00AB58D1"/>
    <w:rsid w:val="00AC2406"/>
    <w:rsid w:val="00AD3FCF"/>
    <w:rsid w:val="00AD4254"/>
    <w:rsid w:val="00AE1A00"/>
    <w:rsid w:val="00AE6607"/>
    <w:rsid w:val="00AF51C7"/>
    <w:rsid w:val="00AF6FF3"/>
    <w:rsid w:val="00B03802"/>
    <w:rsid w:val="00B069AA"/>
    <w:rsid w:val="00B07E04"/>
    <w:rsid w:val="00B11D75"/>
    <w:rsid w:val="00B12A19"/>
    <w:rsid w:val="00B16139"/>
    <w:rsid w:val="00B2352A"/>
    <w:rsid w:val="00B23A36"/>
    <w:rsid w:val="00B24940"/>
    <w:rsid w:val="00B24A8A"/>
    <w:rsid w:val="00B25576"/>
    <w:rsid w:val="00B25EF5"/>
    <w:rsid w:val="00B27AFB"/>
    <w:rsid w:val="00B30AE6"/>
    <w:rsid w:val="00B341B0"/>
    <w:rsid w:val="00B430E3"/>
    <w:rsid w:val="00B472DA"/>
    <w:rsid w:val="00B50EB2"/>
    <w:rsid w:val="00B552FF"/>
    <w:rsid w:val="00B61D82"/>
    <w:rsid w:val="00B6231C"/>
    <w:rsid w:val="00B6722A"/>
    <w:rsid w:val="00B67D63"/>
    <w:rsid w:val="00B80441"/>
    <w:rsid w:val="00B808C4"/>
    <w:rsid w:val="00B81A7C"/>
    <w:rsid w:val="00B82D78"/>
    <w:rsid w:val="00B8338D"/>
    <w:rsid w:val="00B858B8"/>
    <w:rsid w:val="00B87468"/>
    <w:rsid w:val="00B9420D"/>
    <w:rsid w:val="00BA434C"/>
    <w:rsid w:val="00BA4A5E"/>
    <w:rsid w:val="00BA65C7"/>
    <w:rsid w:val="00BB239A"/>
    <w:rsid w:val="00BB56D1"/>
    <w:rsid w:val="00BB71C9"/>
    <w:rsid w:val="00BC21F1"/>
    <w:rsid w:val="00BC262F"/>
    <w:rsid w:val="00BC3CE8"/>
    <w:rsid w:val="00BD4F65"/>
    <w:rsid w:val="00BD513C"/>
    <w:rsid w:val="00BD7607"/>
    <w:rsid w:val="00BE5324"/>
    <w:rsid w:val="00BF0261"/>
    <w:rsid w:val="00BF070A"/>
    <w:rsid w:val="00BF1E59"/>
    <w:rsid w:val="00BF2066"/>
    <w:rsid w:val="00BF64CE"/>
    <w:rsid w:val="00C033D0"/>
    <w:rsid w:val="00C03D91"/>
    <w:rsid w:val="00C06F9E"/>
    <w:rsid w:val="00C129EC"/>
    <w:rsid w:val="00C13E6B"/>
    <w:rsid w:val="00C14CC4"/>
    <w:rsid w:val="00C2370B"/>
    <w:rsid w:val="00C24860"/>
    <w:rsid w:val="00C27193"/>
    <w:rsid w:val="00C322C0"/>
    <w:rsid w:val="00C40F57"/>
    <w:rsid w:val="00C511F8"/>
    <w:rsid w:val="00C518F0"/>
    <w:rsid w:val="00C543DF"/>
    <w:rsid w:val="00C62487"/>
    <w:rsid w:val="00C624D5"/>
    <w:rsid w:val="00C65771"/>
    <w:rsid w:val="00C74521"/>
    <w:rsid w:val="00C75ADF"/>
    <w:rsid w:val="00C83839"/>
    <w:rsid w:val="00C848A0"/>
    <w:rsid w:val="00C859E5"/>
    <w:rsid w:val="00C85E26"/>
    <w:rsid w:val="00C8623A"/>
    <w:rsid w:val="00C878C5"/>
    <w:rsid w:val="00C91181"/>
    <w:rsid w:val="00C930BE"/>
    <w:rsid w:val="00C93626"/>
    <w:rsid w:val="00C95A86"/>
    <w:rsid w:val="00C96AEA"/>
    <w:rsid w:val="00C97425"/>
    <w:rsid w:val="00CB0382"/>
    <w:rsid w:val="00CB46B3"/>
    <w:rsid w:val="00CC0B6D"/>
    <w:rsid w:val="00CD01B4"/>
    <w:rsid w:val="00CD2126"/>
    <w:rsid w:val="00CD5D34"/>
    <w:rsid w:val="00CE03DD"/>
    <w:rsid w:val="00CE1CD3"/>
    <w:rsid w:val="00CE4F01"/>
    <w:rsid w:val="00CE5C1A"/>
    <w:rsid w:val="00CF1BE1"/>
    <w:rsid w:val="00CF382A"/>
    <w:rsid w:val="00D30C0F"/>
    <w:rsid w:val="00D30F16"/>
    <w:rsid w:val="00D47C7F"/>
    <w:rsid w:val="00D55546"/>
    <w:rsid w:val="00D57E8C"/>
    <w:rsid w:val="00D6213C"/>
    <w:rsid w:val="00D6329E"/>
    <w:rsid w:val="00D645F0"/>
    <w:rsid w:val="00D647C0"/>
    <w:rsid w:val="00D66807"/>
    <w:rsid w:val="00D718AB"/>
    <w:rsid w:val="00D773E3"/>
    <w:rsid w:val="00D77694"/>
    <w:rsid w:val="00D77B0F"/>
    <w:rsid w:val="00D81447"/>
    <w:rsid w:val="00D8217B"/>
    <w:rsid w:val="00D82B94"/>
    <w:rsid w:val="00D862E0"/>
    <w:rsid w:val="00D86C3C"/>
    <w:rsid w:val="00D91597"/>
    <w:rsid w:val="00D92903"/>
    <w:rsid w:val="00D9723A"/>
    <w:rsid w:val="00DA292C"/>
    <w:rsid w:val="00DA36EF"/>
    <w:rsid w:val="00DA51A5"/>
    <w:rsid w:val="00DA5AAB"/>
    <w:rsid w:val="00DA6422"/>
    <w:rsid w:val="00DA760C"/>
    <w:rsid w:val="00DB18A7"/>
    <w:rsid w:val="00DB571E"/>
    <w:rsid w:val="00DB6B52"/>
    <w:rsid w:val="00DD46AC"/>
    <w:rsid w:val="00DD5D32"/>
    <w:rsid w:val="00DD629B"/>
    <w:rsid w:val="00DE0E68"/>
    <w:rsid w:val="00DE3C77"/>
    <w:rsid w:val="00DE3DC9"/>
    <w:rsid w:val="00DE5488"/>
    <w:rsid w:val="00DE6FF0"/>
    <w:rsid w:val="00DE75AC"/>
    <w:rsid w:val="00DF487B"/>
    <w:rsid w:val="00DF5A52"/>
    <w:rsid w:val="00DF70D9"/>
    <w:rsid w:val="00E0088E"/>
    <w:rsid w:val="00E03AC5"/>
    <w:rsid w:val="00E06FF0"/>
    <w:rsid w:val="00E10DE6"/>
    <w:rsid w:val="00E1183B"/>
    <w:rsid w:val="00E149DD"/>
    <w:rsid w:val="00E17C58"/>
    <w:rsid w:val="00E20C0D"/>
    <w:rsid w:val="00E231C2"/>
    <w:rsid w:val="00E25331"/>
    <w:rsid w:val="00E429DA"/>
    <w:rsid w:val="00E616AB"/>
    <w:rsid w:val="00E62063"/>
    <w:rsid w:val="00E62C2A"/>
    <w:rsid w:val="00E67848"/>
    <w:rsid w:val="00E76D95"/>
    <w:rsid w:val="00E8586E"/>
    <w:rsid w:val="00E85C4D"/>
    <w:rsid w:val="00E86F26"/>
    <w:rsid w:val="00E87957"/>
    <w:rsid w:val="00E87BD1"/>
    <w:rsid w:val="00E87C37"/>
    <w:rsid w:val="00E917DD"/>
    <w:rsid w:val="00E9497B"/>
    <w:rsid w:val="00E96A06"/>
    <w:rsid w:val="00EA0919"/>
    <w:rsid w:val="00EA477C"/>
    <w:rsid w:val="00EB5240"/>
    <w:rsid w:val="00EB568A"/>
    <w:rsid w:val="00EB76A0"/>
    <w:rsid w:val="00EB796B"/>
    <w:rsid w:val="00EC07E6"/>
    <w:rsid w:val="00EC0B55"/>
    <w:rsid w:val="00EC2DF3"/>
    <w:rsid w:val="00EC79C2"/>
    <w:rsid w:val="00ED063C"/>
    <w:rsid w:val="00ED08B0"/>
    <w:rsid w:val="00ED29BF"/>
    <w:rsid w:val="00EE071C"/>
    <w:rsid w:val="00EE1E84"/>
    <w:rsid w:val="00EE3753"/>
    <w:rsid w:val="00EE6BF7"/>
    <w:rsid w:val="00EE72E5"/>
    <w:rsid w:val="00EE7D9E"/>
    <w:rsid w:val="00EF25B3"/>
    <w:rsid w:val="00F01421"/>
    <w:rsid w:val="00F0331A"/>
    <w:rsid w:val="00F034BF"/>
    <w:rsid w:val="00F173E9"/>
    <w:rsid w:val="00F23067"/>
    <w:rsid w:val="00F233A3"/>
    <w:rsid w:val="00F23D7A"/>
    <w:rsid w:val="00F23F33"/>
    <w:rsid w:val="00F26D30"/>
    <w:rsid w:val="00F27E94"/>
    <w:rsid w:val="00F307B2"/>
    <w:rsid w:val="00F313EA"/>
    <w:rsid w:val="00F31E21"/>
    <w:rsid w:val="00F35E77"/>
    <w:rsid w:val="00F363A3"/>
    <w:rsid w:val="00F36FA5"/>
    <w:rsid w:val="00F37D76"/>
    <w:rsid w:val="00F43950"/>
    <w:rsid w:val="00F43A5E"/>
    <w:rsid w:val="00F444DB"/>
    <w:rsid w:val="00F47CA4"/>
    <w:rsid w:val="00F56C52"/>
    <w:rsid w:val="00F57152"/>
    <w:rsid w:val="00F603D4"/>
    <w:rsid w:val="00F6339A"/>
    <w:rsid w:val="00F7362C"/>
    <w:rsid w:val="00F77A94"/>
    <w:rsid w:val="00F80A65"/>
    <w:rsid w:val="00F84E75"/>
    <w:rsid w:val="00F85D2B"/>
    <w:rsid w:val="00F918F0"/>
    <w:rsid w:val="00F92F61"/>
    <w:rsid w:val="00F97EB8"/>
    <w:rsid w:val="00FA5299"/>
    <w:rsid w:val="00FA548A"/>
    <w:rsid w:val="00FB1212"/>
    <w:rsid w:val="00FB1B51"/>
    <w:rsid w:val="00FB2173"/>
    <w:rsid w:val="00FB30DD"/>
    <w:rsid w:val="00FB6F10"/>
    <w:rsid w:val="00FC3751"/>
    <w:rsid w:val="00FC4CF8"/>
    <w:rsid w:val="00FC5DA7"/>
    <w:rsid w:val="00FC5F51"/>
    <w:rsid w:val="00FD250B"/>
    <w:rsid w:val="00FD6F03"/>
    <w:rsid w:val="00FF2DAC"/>
    <w:rsid w:val="46882D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35399359">
      <w:bodyDiv w:val="1"/>
      <w:marLeft w:val="0"/>
      <w:marRight w:val="0"/>
      <w:marTop w:val="0"/>
      <w:marBottom w:val="0"/>
      <w:divBdr>
        <w:top w:val="none" w:sz="0" w:space="0" w:color="auto"/>
        <w:left w:val="none" w:sz="0" w:space="0" w:color="auto"/>
        <w:bottom w:val="none" w:sz="0" w:space="0" w:color="auto"/>
        <w:right w:val="none" w:sz="0" w:space="0" w:color="auto"/>
      </w:divBdr>
    </w:div>
    <w:div w:id="1471366242">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Amy Long</cp:lastModifiedBy>
  <cp:revision>2</cp:revision>
  <cp:lastPrinted>2014-09-29T14:43:00Z</cp:lastPrinted>
  <dcterms:created xsi:type="dcterms:W3CDTF">2022-01-14T18:27:00Z</dcterms:created>
  <dcterms:modified xsi:type="dcterms:W3CDTF">2022-01-14T18:27:00Z</dcterms:modified>
</cp:coreProperties>
</file>