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F30DD1" w14:textId="77777777" w:rsidR="00AC2654" w:rsidRPr="00D57E8C" w:rsidRDefault="00AC2654" w:rsidP="00AC2654">
      <w:pPr>
        <w:pStyle w:val="Default"/>
        <w:jc w:val="right"/>
        <w:rPr>
          <w:rFonts w:ascii="Arial" w:hAnsi="Arial" w:cs="Arial"/>
          <w:sz w:val="22"/>
          <w:szCs w:val="22"/>
        </w:rPr>
      </w:pPr>
      <w:r w:rsidRPr="00D57E8C">
        <w:rPr>
          <w:rFonts w:ascii="Arial" w:hAnsi="Arial" w:cs="Arial"/>
          <w:sz w:val="22"/>
          <w:szCs w:val="22"/>
        </w:rPr>
        <w:t>OEB Staff Questions</w:t>
      </w:r>
    </w:p>
    <w:p w14:paraId="5C65DED8" w14:textId="0BD12B65" w:rsidR="00AC2654" w:rsidRPr="00D57E8C" w:rsidRDefault="00AC2654" w:rsidP="00AC2654">
      <w:pPr>
        <w:pStyle w:val="Default"/>
        <w:jc w:val="right"/>
        <w:rPr>
          <w:rFonts w:ascii="Arial" w:hAnsi="Arial" w:cs="Arial"/>
          <w:sz w:val="22"/>
          <w:szCs w:val="22"/>
        </w:rPr>
      </w:pPr>
      <w:r>
        <w:rPr>
          <w:rFonts w:ascii="Arial" w:hAnsi="Arial" w:cs="Arial"/>
          <w:sz w:val="22"/>
          <w:szCs w:val="22"/>
        </w:rPr>
        <w:t>EB-2021</w:t>
      </w:r>
      <w:r w:rsidRPr="00D57E8C">
        <w:rPr>
          <w:rFonts w:ascii="Arial" w:hAnsi="Arial" w:cs="Arial"/>
          <w:sz w:val="22"/>
          <w:szCs w:val="22"/>
        </w:rPr>
        <w:t>-</w:t>
      </w:r>
      <w:r>
        <w:rPr>
          <w:rFonts w:ascii="Arial" w:hAnsi="Arial" w:cs="Arial"/>
          <w:sz w:val="22"/>
          <w:szCs w:val="22"/>
        </w:rPr>
        <w:t>0058</w:t>
      </w:r>
    </w:p>
    <w:p w14:paraId="4B22EF17" w14:textId="77777777" w:rsidR="00AC2654" w:rsidRPr="00D57E8C" w:rsidRDefault="00AC2654" w:rsidP="00AC2654">
      <w:pPr>
        <w:pStyle w:val="Default"/>
        <w:rPr>
          <w:rFonts w:ascii="Arial" w:hAnsi="Arial" w:cs="Arial"/>
          <w:sz w:val="22"/>
          <w:szCs w:val="22"/>
        </w:rPr>
      </w:pPr>
    </w:p>
    <w:p w14:paraId="163B3168" w14:textId="51B0E5D8" w:rsidR="00AC2654" w:rsidRPr="00D57E8C" w:rsidRDefault="00AC2654" w:rsidP="00AC2654">
      <w:pPr>
        <w:pStyle w:val="Default"/>
        <w:jc w:val="center"/>
        <w:rPr>
          <w:rFonts w:ascii="Arial" w:hAnsi="Arial" w:cs="Arial"/>
          <w:sz w:val="28"/>
          <w:szCs w:val="28"/>
        </w:rPr>
      </w:pPr>
      <w:r>
        <w:rPr>
          <w:rFonts w:ascii="Arial" w:hAnsi="Arial" w:cs="Arial"/>
          <w:b/>
          <w:bCs/>
          <w:sz w:val="28"/>
          <w:szCs w:val="28"/>
        </w:rPr>
        <w:t>Synergy North Corporation</w:t>
      </w:r>
    </w:p>
    <w:p w14:paraId="77E31368" w14:textId="3FD48ED0" w:rsidR="00AC2654" w:rsidRDefault="00AC2654" w:rsidP="00AC2654">
      <w:pPr>
        <w:pStyle w:val="Default"/>
        <w:jc w:val="center"/>
        <w:rPr>
          <w:rFonts w:ascii="Arial" w:hAnsi="Arial" w:cs="Arial"/>
          <w:b/>
          <w:bCs/>
          <w:sz w:val="28"/>
          <w:szCs w:val="28"/>
        </w:rPr>
      </w:pPr>
      <w:r>
        <w:rPr>
          <w:rFonts w:ascii="Arial" w:hAnsi="Arial" w:cs="Arial"/>
          <w:b/>
          <w:bCs/>
          <w:sz w:val="28"/>
          <w:szCs w:val="28"/>
        </w:rPr>
        <w:t>EB-2021</w:t>
      </w:r>
      <w:r w:rsidRPr="00D57E8C">
        <w:rPr>
          <w:rFonts w:ascii="Arial" w:hAnsi="Arial" w:cs="Arial"/>
          <w:b/>
          <w:bCs/>
          <w:sz w:val="28"/>
          <w:szCs w:val="28"/>
        </w:rPr>
        <w:t>-</w:t>
      </w:r>
      <w:r>
        <w:rPr>
          <w:rFonts w:ascii="Arial" w:hAnsi="Arial" w:cs="Arial"/>
          <w:b/>
          <w:bCs/>
          <w:sz w:val="28"/>
          <w:szCs w:val="28"/>
        </w:rPr>
        <w:t>0058</w:t>
      </w:r>
    </w:p>
    <w:p w14:paraId="5D6C7890" w14:textId="77777777" w:rsidR="00AC2654" w:rsidRDefault="00AC2654" w:rsidP="00AC2654">
      <w:pPr>
        <w:spacing w:after="0" w:line="240" w:lineRule="auto"/>
        <w:rPr>
          <w:rFonts w:ascii="Arial" w:eastAsia="Calibri" w:hAnsi="Arial" w:cs="Arial"/>
        </w:rPr>
      </w:pPr>
    </w:p>
    <w:p w14:paraId="255A08DA" w14:textId="0E05E7EE" w:rsidR="00AC2654" w:rsidRPr="00E86F26" w:rsidRDefault="00AC2654" w:rsidP="00AC2654">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Pr>
          <w:rFonts w:ascii="Arial" w:eastAsia="Calibri" w:hAnsi="Arial" w:cs="Arial"/>
          <w:sz w:val="24"/>
          <w:szCs w:val="24"/>
        </w:rPr>
        <w:t xml:space="preserve">Synergy North </w:t>
      </w:r>
      <w:r w:rsidRPr="00AC2654">
        <w:rPr>
          <w:rFonts w:ascii="Arial" w:eastAsia="Calibri" w:hAnsi="Arial" w:cs="Arial"/>
          <w:sz w:val="24"/>
          <w:szCs w:val="24"/>
        </w:rPr>
        <w:t>Corporation</w:t>
      </w:r>
      <w:r w:rsidRPr="00AC2654">
        <w:rPr>
          <w:rFonts w:ascii="Arial" w:eastAsia="Calibri" w:hAnsi="Arial" w:cs="Arial"/>
          <w:sz w:val="24"/>
          <w:szCs w:val="24"/>
        </w:rPr>
        <w:t xml:space="preserve"> (</w:t>
      </w:r>
      <w:r w:rsidRPr="00AC2654">
        <w:rPr>
          <w:rFonts w:ascii="Arial" w:eastAsia="Calibri" w:hAnsi="Arial" w:cs="Arial"/>
          <w:sz w:val="24"/>
          <w:szCs w:val="24"/>
        </w:rPr>
        <w:t>Synergy North</w:t>
      </w:r>
      <w:r w:rsidRPr="00AC2654">
        <w:rPr>
          <w:rFonts w:ascii="Arial" w:eastAsia="Calibri" w:hAnsi="Arial" w:cs="Arial"/>
          <w:sz w:val="24"/>
          <w:szCs w:val="24"/>
        </w:rPr>
        <w:t>) is responsible for ensuring that all documents it files with the OEB, including responses to OEB</w:t>
      </w:r>
      <w:r w:rsidRPr="00E86F26">
        <w:rPr>
          <w:rFonts w:ascii="Arial" w:eastAsia="Calibri" w:hAnsi="Arial" w:cs="Arial"/>
          <w:sz w:val="24"/>
          <w:szCs w:val="24"/>
        </w:rPr>
        <w:t xml:space="preserve">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0A125330" w14:textId="77777777" w:rsidR="00AC2654" w:rsidRDefault="00AC2654" w:rsidP="00AC2654">
      <w:pPr>
        <w:spacing w:after="0"/>
        <w:rPr>
          <w:rFonts w:ascii="Arial" w:hAnsi="Arial" w:cs="Arial"/>
          <w:sz w:val="24"/>
          <w:szCs w:val="24"/>
        </w:rPr>
      </w:pPr>
    </w:p>
    <w:p w14:paraId="7C0E108E" w14:textId="77777777" w:rsidR="00AC2654" w:rsidRDefault="00AC2654" w:rsidP="00AC2654">
      <w:pPr>
        <w:spacing w:after="0"/>
        <w:rPr>
          <w:rFonts w:ascii="Arial" w:hAnsi="Arial" w:cs="Arial"/>
          <w:sz w:val="24"/>
          <w:szCs w:val="24"/>
        </w:rPr>
      </w:pPr>
      <w:r>
        <w:rPr>
          <w:rFonts w:ascii="Arial" w:hAnsi="Arial" w:cs="Arial"/>
          <w:sz w:val="24"/>
          <w:szCs w:val="24"/>
        </w:rPr>
        <w:t>OEB staff has made the following generic updates in Rate Generator Models attached:</w:t>
      </w:r>
    </w:p>
    <w:p w14:paraId="429E19A9" w14:textId="77777777" w:rsidR="00AC2654" w:rsidRDefault="00AC2654" w:rsidP="00AC2654">
      <w:pPr>
        <w:pStyle w:val="ListParagraph"/>
        <w:numPr>
          <w:ilvl w:val="0"/>
          <w:numId w:val="12"/>
        </w:numPr>
        <w:spacing w:after="0" w:line="240" w:lineRule="auto"/>
        <w:rPr>
          <w:rFonts w:ascii="Arial" w:hAnsi="Arial" w:cs="Arial"/>
          <w:sz w:val="24"/>
          <w:szCs w:val="24"/>
        </w:rPr>
      </w:pPr>
      <w:r>
        <w:rPr>
          <w:rFonts w:ascii="Arial" w:hAnsi="Arial" w:cs="Arial"/>
          <w:sz w:val="24"/>
          <w:szCs w:val="24"/>
        </w:rPr>
        <w:t>Updated the IPI Inflation Factor to 3.30%</w:t>
      </w:r>
      <w:r>
        <w:rPr>
          <w:rStyle w:val="FootnoteReference"/>
          <w:rFonts w:ascii="Arial" w:hAnsi="Arial" w:cs="Arial"/>
          <w:sz w:val="24"/>
          <w:szCs w:val="24"/>
        </w:rPr>
        <w:footnoteReference w:id="1"/>
      </w:r>
      <w:r>
        <w:rPr>
          <w:rFonts w:ascii="Arial" w:hAnsi="Arial" w:cs="Arial"/>
          <w:sz w:val="24"/>
          <w:szCs w:val="24"/>
        </w:rPr>
        <w:t xml:space="preserve"> in Tab 16 and Tab 17-Retail Service Charges</w:t>
      </w:r>
    </w:p>
    <w:p w14:paraId="464B4ED2" w14:textId="77777777" w:rsidR="00AC2654" w:rsidRDefault="00AC2654" w:rsidP="00AC2654">
      <w:pPr>
        <w:pStyle w:val="ListParagraph"/>
        <w:numPr>
          <w:ilvl w:val="0"/>
          <w:numId w:val="12"/>
        </w:numPr>
        <w:spacing w:after="0" w:line="240" w:lineRule="auto"/>
        <w:rPr>
          <w:rFonts w:ascii="Arial" w:hAnsi="Arial" w:cs="Arial"/>
          <w:sz w:val="24"/>
          <w:szCs w:val="24"/>
        </w:rPr>
      </w:pPr>
      <w:r>
        <w:rPr>
          <w:rFonts w:ascii="Arial" w:hAnsi="Arial" w:cs="Arial"/>
          <w:sz w:val="24"/>
          <w:szCs w:val="24"/>
        </w:rPr>
        <w:t>Updated the Ontario Electricity Rebate in Tab 20 to 17% (as of November 1, 2021)</w:t>
      </w:r>
    </w:p>
    <w:p w14:paraId="521BB3BE" w14:textId="77777777" w:rsidR="00AC2654" w:rsidRDefault="00AC2654" w:rsidP="00AC2654">
      <w:pPr>
        <w:pStyle w:val="ListParagraph"/>
        <w:numPr>
          <w:ilvl w:val="0"/>
          <w:numId w:val="12"/>
        </w:numPr>
        <w:spacing w:after="0" w:line="240" w:lineRule="auto"/>
        <w:rPr>
          <w:rFonts w:ascii="Arial" w:hAnsi="Arial" w:cs="Arial"/>
          <w:sz w:val="24"/>
          <w:szCs w:val="24"/>
        </w:rPr>
      </w:pPr>
      <w:r>
        <w:rPr>
          <w:rFonts w:ascii="Arial" w:hAnsi="Arial" w:cs="Arial"/>
          <w:sz w:val="24"/>
          <w:szCs w:val="24"/>
        </w:rPr>
        <w:t>Updated the Wireline Pole Attachment Charge to $34.76</w:t>
      </w:r>
      <w:r>
        <w:rPr>
          <w:rStyle w:val="FootnoteReference"/>
          <w:rFonts w:ascii="Arial" w:hAnsi="Arial" w:cs="Arial"/>
          <w:sz w:val="24"/>
          <w:szCs w:val="24"/>
        </w:rPr>
        <w:footnoteReference w:id="2"/>
      </w:r>
      <w:r>
        <w:rPr>
          <w:rFonts w:ascii="Arial" w:hAnsi="Arial" w:cs="Arial"/>
          <w:sz w:val="24"/>
          <w:szCs w:val="24"/>
        </w:rPr>
        <w:t xml:space="preserve"> in Tab 17</w:t>
      </w:r>
    </w:p>
    <w:p w14:paraId="0BCB579E" w14:textId="77777777" w:rsidR="00AC2654" w:rsidRPr="00131FCB" w:rsidRDefault="00AC2654" w:rsidP="00AC2654">
      <w:pPr>
        <w:pStyle w:val="ListParagraph"/>
        <w:numPr>
          <w:ilvl w:val="0"/>
          <w:numId w:val="12"/>
        </w:numPr>
        <w:spacing w:after="0" w:line="240" w:lineRule="auto"/>
        <w:rPr>
          <w:rFonts w:ascii="Arial" w:hAnsi="Arial" w:cs="Arial"/>
          <w:sz w:val="24"/>
          <w:szCs w:val="24"/>
        </w:rPr>
      </w:pPr>
      <w:r>
        <w:rPr>
          <w:rFonts w:ascii="Arial" w:hAnsi="Arial" w:cs="Arial"/>
          <w:sz w:val="24"/>
          <w:szCs w:val="24"/>
        </w:rPr>
        <w:t>Updated the 2022 UTRs</w:t>
      </w:r>
      <w:r>
        <w:rPr>
          <w:rStyle w:val="FootnoteReference"/>
          <w:rFonts w:ascii="Arial" w:hAnsi="Arial" w:cs="Arial"/>
          <w:sz w:val="24"/>
          <w:szCs w:val="24"/>
        </w:rPr>
        <w:footnoteReference w:id="3"/>
      </w:r>
      <w:r>
        <w:rPr>
          <w:rFonts w:ascii="Arial" w:hAnsi="Arial" w:cs="Arial"/>
          <w:sz w:val="24"/>
          <w:szCs w:val="24"/>
        </w:rPr>
        <w:t xml:space="preserve"> and Hydro One Sub-transmission rates</w:t>
      </w:r>
      <w:r>
        <w:rPr>
          <w:rStyle w:val="FootnoteReference"/>
          <w:rFonts w:ascii="Arial" w:hAnsi="Arial" w:cs="Arial"/>
          <w:sz w:val="24"/>
          <w:szCs w:val="24"/>
        </w:rPr>
        <w:footnoteReference w:id="4"/>
      </w:r>
      <w:r>
        <w:rPr>
          <w:rFonts w:ascii="Arial" w:hAnsi="Arial" w:cs="Arial"/>
          <w:sz w:val="24"/>
          <w:szCs w:val="24"/>
        </w:rPr>
        <w:t xml:space="preserve"> in Tab 15</w:t>
      </w:r>
    </w:p>
    <w:p w14:paraId="472AA648" w14:textId="4A39E8B4" w:rsidR="005661C1" w:rsidRDefault="005661C1"/>
    <w:p w14:paraId="2AA12559" w14:textId="37F2D57B" w:rsidR="005661C1" w:rsidRPr="00CC2285" w:rsidRDefault="00E82BF4">
      <w:pPr>
        <w:rPr>
          <w:rFonts w:ascii="Arial" w:hAnsi="Arial" w:cs="Arial"/>
          <w:b/>
          <w:bCs/>
          <w:sz w:val="24"/>
          <w:szCs w:val="24"/>
        </w:rPr>
      </w:pPr>
      <w:r w:rsidRPr="00CC2285">
        <w:rPr>
          <w:rFonts w:ascii="Arial" w:hAnsi="Arial" w:cs="Arial"/>
          <w:b/>
          <w:bCs/>
          <w:sz w:val="24"/>
          <w:szCs w:val="24"/>
        </w:rPr>
        <w:t>Staff Question – 1</w:t>
      </w:r>
    </w:p>
    <w:p w14:paraId="0B037A54" w14:textId="7A1725A8" w:rsidR="00E82BF4" w:rsidRDefault="00E82BF4">
      <w:pPr>
        <w:rPr>
          <w:rFonts w:ascii="Arial" w:hAnsi="Arial" w:cs="Arial"/>
          <w:b/>
          <w:bCs/>
          <w:sz w:val="24"/>
          <w:szCs w:val="24"/>
        </w:rPr>
      </w:pPr>
      <w:r w:rsidRPr="00CC2285">
        <w:rPr>
          <w:rFonts w:ascii="Arial" w:hAnsi="Arial" w:cs="Arial"/>
          <w:b/>
          <w:bCs/>
          <w:sz w:val="24"/>
          <w:szCs w:val="24"/>
        </w:rPr>
        <w:t>Ref</w:t>
      </w:r>
      <w:r w:rsidR="001753B6">
        <w:rPr>
          <w:rFonts w:ascii="Arial" w:hAnsi="Arial" w:cs="Arial"/>
          <w:b/>
          <w:bCs/>
          <w:sz w:val="24"/>
          <w:szCs w:val="24"/>
        </w:rPr>
        <w:t xml:space="preserve"> 1</w:t>
      </w:r>
      <w:r w:rsidRPr="00CC2285">
        <w:rPr>
          <w:rFonts w:ascii="Arial" w:hAnsi="Arial" w:cs="Arial"/>
          <w:b/>
          <w:bCs/>
          <w:sz w:val="24"/>
          <w:szCs w:val="24"/>
        </w:rPr>
        <w:t xml:space="preserve">: </w:t>
      </w:r>
      <w:r w:rsidR="001753B6">
        <w:rPr>
          <w:rFonts w:ascii="Arial" w:hAnsi="Arial" w:cs="Arial"/>
          <w:b/>
          <w:bCs/>
          <w:sz w:val="24"/>
          <w:szCs w:val="24"/>
        </w:rPr>
        <w:t>Kenora GA Analysis Workform</w:t>
      </w:r>
    </w:p>
    <w:p w14:paraId="72E87559" w14:textId="67C9EAD7" w:rsidR="001753B6" w:rsidRPr="00CC2285" w:rsidRDefault="001753B6">
      <w:pPr>
        <w:rPr>
          <w:rFonts w:ascii="Arial" w:hAnsi="Arial" w:cs="Arial"/>
          <w:b/>
          <w:bCs/>
          <w:sz w:val="24"/>
          <w:szCs w:val="24"/>
        </w:rPr>
      </w:pPr>
      <w:r>
        <w:rPr>
          <w:rFonts w:ascii="Arial" w:hAnsi="Arial" w:cs="Arial"/>
          <w:b/>
          <w:bCs/>
          <w:sz w:val="24"/>
          <w:szCs w:val="24"/>
        </w:rPr>
        <w:t xml:space="preserve">Ref 2: Kenora Rate Generator Model, Tab 3 Continuity Schedule </w:t>
      </w:r>
    </w:p>
    <w:p w14:paraId="5246C6BB" w14:textId="34FC9A46" w:rsidR="001753B6" w:rsidRDefault="001753B6">
      <w:pPr>
        <w:rPr>
          <w:rFonts w:ascii="Arial" w:hAnsi="Arial" w:cs="Arial"/>
          <w:sz w:val="24"/>
          <w:szCs w:val="24"/>
        </w:rPr>
      </w:pPr>
      <w:r>
        <w:rPr>
          <w:rFonts w:ascii="Arial" w:hAnsi="Arial" w:cs="Arial"/>
          <w:sz w:val="24"/>
          <w:szCs w:val="24"/>
        </w:rPr>
        <w:t xml:space="preserve">Staff notes that </w:t>
      </w:r>
      <w:r w:rsidRPr="001753B6">
        <w:rPr>
          <w:rFonts w:ascii="Arial" w:hAnsi="Arial" w:cs="Arial"/>
          <w:sz w:val="24"/>
          <w:szCs w:val="24"/>
        </w:rPr>
        <w:t>Net Change in Principal Balance in the GL (</w:t>
      </w:r>
      <w:r>
        <w:rPr>
          <w:rFonts w:ascii="Arial" w:hAnsi="Arial" w:cs="Arial"/>
          <w:sz w:val="24"/>
          <w:szCs w:val="24"/>
        </w:rPr>
        <w:t xml:space="preserve">cell C75) of ($14,511) in the GA Analysis Workform does not agree to the transaction debit/(credit) during 2020 of $($8,317) on the continuity schedule of the rate generator model. </w:t>
      </w:r>
    </w:p>
    <w:p w14:paraId="653BCD9A" w14:textId="238C22A2" w:rsidR="001D5A75" w:rsidRPr="00FA67C9" w:rsidRDefault="001D5A75">
      <w:pPr>
        <w:rPr>
          <w:rFonts w:ascii="Arial" w:hAnsi="Arial" w:cs="Arial"/>
          <w:sz w:val="24"/>
          <w:szCs w:val="24"/>
        </w:rPr>
      </w:pPr>
      <w:r w:rsidRPr="00FA67C9">
        <w:rPr>
          <w:rFonts w:ascii="Arial" w:hAnsi="Arial" w:cs="Arial"/>
          <w:sz w:val="24"/>
          <w:szCs w:val="24"/>
        </w:rPr>
        <w:t xml:space="preserve">Question(s): </w:t>
      </w:r>
    </w:p>
    <w:p w14:paraId="634FDC3E" w14:textId="42A35419" w:rsidR="001D5A75" w:rsidRPr="00FA67C9" w:rsidRDefault="0094126F" w:rsidP="001D5A75">
      <w:pPr>
        <w:pStyle w:val="ListParagraph"/>
        <w:numPr>
          <w:ilvl w:val="0"/>
          <w:numId w:val="2"/>
        </w:numPr>
        <w:rPr>
          <w:rFonts w:ascii="Arial" w:hAnsi="Arial" w:cs="Arial"/>
          <w:sz w:val="24"/>
          <w:szCs w:val="24"/>
        </w:rPr>
      </w:pPr>
      <w:r>
        <w:rPr>
          <w:rFonts w:ascii="Arial" w:hAnsi="Arial" w:cs="Arial"/>
          <w:sz w:val="24"/>
          <w:szCs w:val="24"/>
        </w:rPr>
        <w:t xml:space="preserve">Please explain the discrepancy noted above. </w:t>
      </w:r>
    </w:p>
    <w:p w14:paraId="105C34EF" w14:textId="61FD849A" w:rsidR="001D5A75" w:rsidRDefault="001D5A75"/>
    <w:p w14:paraId="6498BA29" w14:textId="38778B84" w:rsidR="00D047EC" w:rsidRPr="00CC2285" w:rsidRDefault="00D047EC" w:rsidP="00D047EC">
      <w:pPr>
        <w:rPr>
          <w:rFonts w:ascii="Arial" w:hAnsi="Arial" w:cs="Arial"/>
          <w:b/>
          <w:bCs/>
          <w:sz w:val="24"/>
          <w:szCs w:val="24"/>
        </w:rPr>
      </w:pPr>
      <w:r w:rsidRPr="00CC2285">
        <w:rPr>
          <w:rFonts w:ascii="Arial" w:hAnsi="Arial" w:cs="Arial"/>
          <w:b/>
          <w:bCs/>
          <w:sz w:val="24"/>
          <w:szCs w:val="24"/>
        </w:rPr>
        <w:t xml:space="preserve">Staff Question – </w:t>
      </w:r>
      <w:r>
        <w:rPr>
          <w:rFonts w:ascii="Arial" w:hAnsi="Arial" w:cs="Arial"/>
          <w:b/>
          <w:bCs/>
          <w:sz w:val="24"/>
          <w:szCs w:val="24"/>
        </w:rPr>
        <w:t>2</w:t>
      </w:r>
    </w:p>
    <w:p w14:paraId="522AAE2E" w14:textId="0CD4BBA4" w:rsidR="00D047EC" w:rsidRDefault="00D047EC" w:rsidP="00D047EC">
      <w:pPr>
        <w:rPr>
          <w:rFonts w:ascii="Arial" w:hAnsi="Arial" w:cs="Arial"/>
          <w:b/>
          <w:bCs/>
          <w:sz w:val="24"/>
          <w:szCs w:val="24"/>
        </w:rPr>
      </w:pPr>
      <w:r w:rsidRPr="00CC2285">
        <w:rPr>
          <w:rFonts w:ascii="Arial" w:hAnsi="Arial" w:cs="Arial"/>
          <w:b/>
          <w:bCs/>
          <w:sz w:val="24"/>
          <w:szCs w:val="24"/>
        </w:rPr>
        <w:t>Ref</w:t>
      </w:r>
      <w:r w:rsidR="00AC37A6">
        <w:rPr>
          <w:rFonts w:ascii="Arial" w:hAnsi="Arial" w:cs="Arial"/>
          <w:b/>
          <w:bCs/>
          <w:sz w:val="24"/>
          <w:szCs w:val="24"/>
        </w:rPr>
        <w:t xml:space="preserve"> 1</w:t>
      </w:r>
      <w:r w:rsidRPr="00CC2285">
        <w:rPr>
          <w:rFonts w:ascii="Arial" w:hAnsi="Arial" w:cs="Arial"/>
          <w:b/>
          <w:bCs/>
          <w:sz w:val="24"/>
          <w:szCs w:val="24"/>
        </w:rPr>
        <w:t xml:space="preserve">: </w:t>
      </w:r>
      <w:r w:rsidR="0094126F">
        <w:rPr>
          <w:rFonts w:ascii="Arial" w:hAnsi="Arial" w:cs="Arial"/>
          <w:b/>
          <w:bCs/>
          <w:sz w:val="24"/>
          <w:szCs w:val="24"/>
        </w:rPr>
        <w:t>Kenora GA Analysis Workform</w:t>
      </w:r>
    </w:p>
    <w:p w14:paraId="4CE0F9F9" w14:textId="04B9B019" w:rsidR="00D047EC" w:rsidRPr="00AC37A6" w:rsidRDefault="00D047EC" w:rsidP="00D047EC">
      <w:pPr>
        <w:rPr>
          <w:rFonts w:ascii="Arial" w:hAnsi="Arial" w:cs="Arial"/>
          <w:sz w:val="24"/>
          <w:szCs w:val="24"/>
        </w:rPr>
      </w:pPr>
      <w:r w:rsidRPr="00AC37A6">
        <w:rPr>
          <w:rFonts w:ascii="Arial" w:hAnsi="Arial" w:cs="Arial"/>
          <w:sz w:val="24"/>
          <w:szCs w:val="24"/>
        </w:rPr>
        <w:lastRenderedPageBreak/>
        <w:t xml:space="preserve">Tab “GA 2020” on GA Analysis Workform has </w:t>
      </w:r>
      <w:r w:rsidR="0094126F">
        <w:rPr>
          <w:rFonts w:ascii="Arial" w:hAnsi="Arial" w:cs="Arial"/>
          <w:sz w:val="24"/>
          <w:szCs w:val="24"/>
        </w:rPr>
        <w:t>one</w:t>
      </w:r>
      <w:r w:rsidRPr="00AC37A6">
        <w:rPr>
          <w:rFonts w:ascii="Arial" w:hAnsi="Arial" w:cs="Arial"/>
          <w:sz w:val="24"/>
          <w:szCs w:val="24"/>
        </w:rPr>
        <w:t xml:space="preserve"> reconciling item: </w:t>
      </w:r>
      <w:r w:rsidR="0094126F">
        <w:rPr>
          <w:rFonts w:ascii="Arial" w:hAnsi="Arial" w:cs="Arial"/>
          <w:sz w:val="24"/>
          <w:szCs w:val="24"/>
        </w:rPr>
        <w:t>#6 of $12,076</w:t>
      </w:r>
      <w:r w:rsidR="00100B09" w:rsidRPr="00AC37A6">
        <w:rPr>
          <w:rFonts w:ascii="Arial" w:hAnsi="Arial" w:cs="Arial"/>
          <w:sz w:val="24"/>
          <w:szCs w:val="24"/>
        </w:rPr>
        <w:t>.</w:t>
      </w:r>
      <w:r w:rsidR="0094126F">
        <w:rPr>
          <w:rFonts w:ascii="Arial" w:hAnsi="Arial" w:cs="Arial"/>
          <w:sz w:val="24"/>
          <w:szCs w:val="24"/>
        </w:rPr>
        <w:t xml:space="preserve"> Synergy North explain that this is added to the GA analysis workform because n</w:t>
      </w:r>
      <w:r w:rsidR="0094126F" w:rsidRPr="0094126F">
        <w:rPr>
          <w:rFonts w:ascii="Arial" w:hAnsi="Arial" w:cs="Arial"/>
          <w:sz w:val="24"/>
          <w:szCs w:val="24"/>
        </w:rPr>
        <w:t>ot all customers are on calendar monthly billing</w:t>
      </w:r>
      <w:r w:rsidR="0094126F">
        <w:rPr>
          <w:rFonts w:ascii="Arial" w:hAnsi="Arial" w:cs="Arial"/>
          <w:sz w:val="24"/>
          <w:szCs w:val="24"/>
        </w:rPr>
        <w:t xml:space="preserve">. </w:t>
      </w:r>
      <w:r w:rsidR="00100B09" w:rsidRPr="00AC37A6">
        <w:rPr>
          <w:rFonts w:ascii="Arial" w:hAnsi="Arial" w:cs="Arial"/>
          <w:sz w:val="24"/>
          <w:szCs w:val="24"/>
        </w:rPr>
        <w:t xml:space="preserve"> </w:t>
      </w:r>
    </w:p>
    <w:p w14:paraId="7F63A6DE" w14:textId="6DE55F9F" w:rsidR="0094126F" w:rsidRPr="001C3083" w:rsidRDefault="001C3083" w:rsidP="00D047EC">
      <w:pPr>
        <w:rPr>
          <w:rFonts w:ascii="Arial" w:hAnsi="Arial" w:cs="Arial"/>
          <w:sz w:val="24"/>
          <w:szCs w:val="24"/>
        </w:rPr>
      </w:pPr>
      <w:r w:rsidRPr="001C3083">
        <w:rPr>
          <w:rFonts w:ascii="Arial" w:hAnsi="Arial" w:cs="Arial"/>
          <w:sz w:val="24"/>
          <w:szCs w:val="24"/>
        </w:rPr>
        <w:t xml:space="preserve">Staff notes that there is no reconciling item #5 for impact of GA deferral. </w:t>
      </w:r>
    </w:p>
    <w:p w14:paraId="21A9D084" w14:textId="2D057C4C" w:rsidR="00100B09" w:rsidRDefault="00100B09" w:rsidP="00D047EC">
      <w:pPr>
        <w:rPr>
          <w:rFonts w:ascii="Arial" w:hAnsi="Arial" w:cs="Arial"/>
          <w:b/>
          <w:bCs/>
          <w:sz w:val="24"/>
          <w:szCs w:val="24"/>
        </w:rPr>
      </w:pPr>
      <w:r>
        <w:rPr>
          <w:rFonts w:ascii="Arial" w:hAnsi="Arial" w:cs="Arial"/>
          <w:b/>
          <w:bCs/>
          <w:sz w:val="24"/>
          <w:szCs w:val="24"/>
        </w:rPr>
        <w:t xml:space="preserve">Questions: </w:t>
      </w:r>
    </w:p>
    <w:p w14:paraId="71550FE9" w14:textId="27A3E8F5" w:rsidR="00AC37A6" w:rsidRDefault="001C3083" w:rsidP="001C3083">
      <w:pPr>
        <w:pStyle w:val="ListParagraph"/>
        <w:numPr>
          <w:ilvl w:val="0"/>
          <w:numId w:val="6"/>
        </w:numPr>
        <w:rPr>
          <w:rFonts w:ascii="Arial" w:hAnsi="Arial" w:cs="Arial"/>
          <w:sz w:val="24"/>
          <w:szCs w:val="24"/>
        </w:rPr>
      </w:pPr>
      <w:r>
        <w:rPr>
          <w:rFonts w:ascii="Arial" w:hAnsi="Arial" w:cs="Arial"/>
          <w:sz w:val="24"/>
          <w:szCs w:val="24"/>
        </w:rPr>
        <w:t>Please elaborate further of the reconciling item #6, specifically why and how not all customers being on calendar monthly billing impacts the GA variances recorded in Account 1588.</w:t>
      </w:r>
    </w:p>
    <w:p w14:paraId="76A15E19" w14:textId="4913BE61" w:rsidR="001C3083" w:rsidRDefault="00ED07C2" w:rsidP="001C3083">
      <w:pPr>
        <w:pStyle w:val="ListParagraph"/>
        <w:numPr>
          <w:ilvl w:val="0"/>
          <w:numId w:val="6"/>
        </w:numPr>
        <w:rPr>
          <w:rFonts w:ascii="Arial" w:hAnsi="Arial" w:cs="Arial"/>
          <w:sz w:val="24"/>
          <w:szCs w:val="24"/>
        </w:rPr>
      </w:pPr>
      <w:r>
        <w:rPr>
          <w:rFonts w:ascii="Arial" w:hAnsi="Arial" w:cs="Arial"/>
          <w:sz w:val="24"/>
          <w:szCs w:val="24"/>
        </w:rPr>
        <w:t xml:space="preserve">Please provide the reconciling item #5 in accordance with the GA instructions. </w:t>
      </w:r>
    </w:p>
    <w:p w14:paraId="157B73B8" w14:textId="77777777" w:rsidR="00ED07C2" w:rsidRPr="001C3083" w:rsidRDefault="00ED07C2" w:rsidP="00ED07C2">
      <w:pPr>
        <w:pStyle w:val="ListParagraph"/>
        <w:rPr>
          <w:rFonts w:ascii="Arial" w:hAnsi="Arial" w:cs="Arial"/>
          <w:sz w:val="24"/>
          <w:szCs w:val="24"/>
        </w:rPr>
      </w:pPr>
    </w:p>
    <w:p w14:paraId="1339039F" w14:textId="45488E0D" w:rsidR="00A46497" w:rsidRPr="00CC2285" w:rsidRDefault="00A46497" w:rsidP="00A46497">
      <w:pPr>
        <w:rPr>
          <w:rFonts w:ascii="Arial" w:hAnsi="Arial" w:cs="Arial"/>
          <w:b/>
          <w:bCs/>
          <w:sz w:val="24"/>
          <w:szCs w:val="24"/>
        </w:rPr>
      </w:pPr>
      <w:r w:rsidRPr="00CC2285">
        <w:rPr>
          <w:rFonts w:ascii="Arial" w:hAnsi="Arial" w:cs="Arial"/>
          <w:b/>
          <w:bCs/>
          <w:sz w:val="24"/>
          <w:szCs w:val="24"/>
        </w:rPr>
        <w:t xml:space="preserve">Staff Question – </w:t>
      </w:r>
      <w:r w:rsidR="00ED07C2">
        <w:rPr>
          <w:rFonts w:ascii="Arial" w:hAnsi="Arial" w:cs="Arial"/>
          <w:b/>
          <w:bCs/>
          <w:sz w:val="24"/>
          <w:szCs w:val="24"/>
        </w:rPr>
        <w:t>3</w:t>
      </w:r>
    </w:p>
    <w:p w14:paraId="0D4CB432" w14:textId="132EE321" w:rsidR="00A46497" w:rsidRDefault="00A46497" w:rsidP="00A46497">
      <w:pPr>
        <w:rPr>
          <w:rFonts w:ascii="Arial" w:hAnsi="Arial" w:cs="Arial"/>
          <w:b/>
          <w:bCs/>
          <w:sz w:val="24"/>
          <w:szCs w:val="24"/>
        </w:rPr>
      </w:pPr>
      <w:r w:rsidRPr="00CC2285">
        <w:rPr>
          <w:rFonts w:ascii="Arial" w:hAnsi="Arial" w:cs="Arial"/>
          <w:b/>
          <w:bCs/>
          <w:sz w:val="24"/>
          <w:szCs w:val="24"/>
        </w:rPr>
        <w:t>Ref</w:t>
      </w:r>
      <w:r>
        <w:rPr>
          <w:rFonts w:ascii="Arial" w:hAnsi="Arial" w:cs="Arial"/>
          <w:b/>
          <w:bCs/>
          <w:sz w:val="24"/>
          <w:szCs w:val="24"/>
        </w:rPr>
        <w:t xml:space="preserve"> 1</w:t>
      </w:r>
      <w:r w:rsidRPr="00CC2285">
        <w:rPr>
          <w:rFonts w:ascii="Arial" w:hAnsi="Arial" w:cs="Arial"/>
          <w:b/>
          <w:bCs/>
          <w:sz w:val="24"/>
          <w:szCs w:val="24"/>
        </w:rPr>
        <w:t xml:space="preserve">: </w:t>
      </w:r>
      <w:r w:rsidR="00ED07C2">
        <w:rPr>
          <w:rFonts w:ascii="Arial" w:hAnsi="Arial" w:cs="Arial"/>
          <w:b/>
          <w:bCs/>
          <w:sz w:val="24"/>
          <w:szCs w:val="24"/>
        </w:rPr>
        <w:t>Kenora GA Analysis Workform</w:t>
      </w:r>
    </w:p>
    <w:p w14:paraId="08CC314C" w14:textId="440B77AD" w:rsidR="00ED07C2" w:rsidRDefault="00925023" w:rsidP="00A46497">
      <w:pPr>
        <w:rPr>
          <w:rFonts w:ascii="Arial" w:hAnsi="Arial" w:cs="Arial"/>
          <w:sz w:val="24"/>
          <w:szCs w:val="24"/>
        </w:rPr>
      </w:pPr>
      <w:r>
        <w:rPr>
          <w:rFonts w:ascii="Arial" w:hAnsi="Arial" w:cs="Arial"/>
          <w:sz w:val="24"/>
          <w:szCs w:val="24"/>
        </w:rPr>
        <w:t>Staff notes from Tab “Account 1588” of the GA analysis workform that Account 1588’s 2020 balance is greater than 1% of Account 4705 Power Purchased.</w:t>
      </w:r>
    </w:p>
    <w:p w14:paraId="06FB09EF" w14:textId="120B5BBA" w:rsidR="00925023" w:rsidRDefault="00925023" w:rsidP="00A46497">
      <w:pPr>
        <w:rPr>
          <w:rFonts w:ascii="Arial" w:hAnsi="Arial" w:cs="Arial"/>
          <w:sz w:val="24"/>
          <w:szCs w:val="24"/>
        </w:rPr>
      </w:pPr>
      <w:r>
        <w:rPr>
          <w:rFonts w:ascii="Arial" w:hAnsi="Arial" w:cs="Arial"/>
          <w:sz w:val="24"/>
          <w:szCs w:val="24"/>
        </w:rPr>
        <w:t>Synergy North explained the reason: “</w:t>
      </w:r>
      <w:r w:rsidRPr="00925023">
        <w:rPr>
          <w:rFonts w:ascii="Arial" w:hAnsi="Arial" w:cs="Arial"/>
          <w:sz w:val="24"/>
          <w:szCs w:val="24"/>
        </w:rPr>
        <w:t>In 2020, the Kenora Rate District realized the full impact of transferring its settlement processes</w:t>
      </w:r>
      <w:r>
        <w:rPr>
          <w:rFonts w:ascii="Arial" w:hAnsi="Arial" w:cs="Arial"/>
          <w:sz w:val="24"/>
          <w:szCs w:val="24"/>
        </w:rPr>
        <w:t>”</w:t>
      </w:r>
      <w:r w:rsidRPr="00925023">
        <w:rPr>
          <w:rFonts w:ascii="Arial" w:hAnsi="Arial" w:cs="Arial"/>
          <w:sz w:val="24"/>
          <w:szCs w:val="24"/>
        </w:rPr>
        <w:t>.</w:t>
      </w:r>
    </w:p>
    <w:p w14:paraId="58CA9ADA" w14:textId="3B11B389" w:rsidR="00925023" w:rsidRDefault="00925023" w:rsidP="00A46497">
      <w:pPr>
        <w:rPr>
          <w:rFonts w:ascii="Arial" w:hAnsi="Arial" w:cs="Arial"/>
          <w:sz w:val="24"/>
          <w:szCs w:val="24"/>
        </w:rPr>
      </w:pPr>
      <w:r>
        <w:rPr>
          <w:rFonts w:ascii="Arial" w:hAnsi="Arial" w:cs="Arial"/>
          <w:sz w:val="24"/>
          <w:szCs w:val="24"/>
        </w:rPr>
        <w:t xml:space="preserve">Question: </w:t>
      </w:r>
    </w:p>
    <w:p w14:paraId="31215F05" w14:textId="78F27954" w:rsidR="00925023" w:rsidRDefault="00925023" w:rsidP="00925023">
      <w:pPr>
        <w:pStyle w:val="ListParagraph"/>
        <w:numPr>
          <w:ilvl w:val="0"/>
          <w:numId w:val="7"/>
        </w:numPr>
        <w:rPr>
          <w:rFonts w:ascii="Arial" w:hAnsi="Arial" w:cs="Arial"/>
          <w:sz w:val="24"/>
          <w:szCs w:val="24"/>
        </w:rPr>
      </w:pPr>
      <w:r>
        <w:rPr>
          <w:rFonts w:ascii="Arial" w:hAnsi="Arial" w:cs="Arial"/>
          <w:sz w:val="24"/>
          <w:szCs w:val="24"/>
        </w:rPr>
        <w:t xml:space="preserve">Please </w:t>
      </w:r>
      <w:r w:rsidR="00C64CC2">
        <w:rPr>
          <w:rFonts w:ascii="Arial" w:hAnsi="Arial" w:cs="Arial"/>
          <w:sz w:val="24"/>
          <w:szCs w:val="24"/>
        </w:rPr>
        <w:t>elaborate further how Kenora realized the full impact of transferring its settlement processes</w:t>
      </w:r>
      <w:r w:rsidR="00052665">
        <w:rPr>
          <w:rFonts w:ascii="Arial" w:hAnsi="Arial" w:cs="Arial"/>
          <w:sz w:val="24"/>
          <w:szCs w:val="24"/>
        </w:rPr>
        <w:t xml:space="preserve"> in 2020</w:t>
      </w:r>
      <w:r w:rsidR="00E34A6F">
        <w:rPr>
          <w:rFonts w:ascii="Arial" w:hAnsi="Arial" w:cs="Arial"/>
          <w:sz w:val="24"/>
          <w:szCs w:val="24"/>
        </w:rPr>
        <w:t xml:space="preserve">. </w:t>
      </w:r>
    </w:p>
    <w:p w14:paraId="50D86163" w14:textId="5EA1AB10" w:rsidR="00E34A6F" w:rsidRDefault="00E34A6F" w:rsidP="00925023">
      <w:pPr>
        <w:pStyle w:val="ListParagraph"/>
        <w:numPr>
          <w:ilvl w:val="0"/>
          <w:numId w:val="7"/>
        </w:numPr>
        <w:rPr>
          <w:rFonts w:ascii="Arial" w:hAnsi="Arial" w:cs="Arial"/>
          <w:sz w:val="24"/>
          <w:szCs w:val="24"/>
        </w:rPr>
      </w:pPr>
      <w:r>
        <w:rPr>
          <w:rFonts w:ascii="Arial" w:hAnsi="Arial" w:cs="Arial"/>
          <w:sz w:val="24"/>
          <w:szCs w:val="24"/>
        </w:rPr>
        <w:t xml:space="preserve">Please explain whether Kenora has recorded the adjustments due to this transfer, if so, please provide the details of the adjustments (period it pertains to and the adjustment amount). </w:t>
      </w:r>
    </w:p>
    <w:p w14:paraId="7B2C6FF5" w14:textId="4431E5C4" w:rsidR="00E34A6F" w:rsidRDefault="00E34A6F" w:rsidP="00E34A6F">
      <w:pPr>
        <w:rPr>
          <w:rFonts w:ascii="Arial" w:hAnsi="Arial" w:cs="Arial"/>
          <w:sz w:val="24"/>
          <w:szCs w:val="24"/>
        </w:rPr>
      </w:pPr>
    </w:p>
    <w:p w14:paraId="4186F7CA" w14:textId="2F483ACF" w:rsidR="00E34A6F" w:rsidRPr="00E233A0" w:rsidRDefault="00E233A0" w:rsidP="00E34A6F">
      <w:pPr>
        <w:rPr>
          <w:rFonts w:ascii="Arial" w:hAnsi="Arial" w:cs="Arial"/>
          <w:b/>
          <w:bCs/>
          <w:sz w:val="24"/>
          <w:szCs w:val="24"/>
        </w:rPr>
      </w:pPr>
      <w:r w:rsidRPr="00E233A0">
        <w:rPr>
          <w:rFonts w:ascii="Arial" w:hAnsi="Arial" w:cs="Arial"/>
          <w:b/>
          <w:bCs/>
          <w:sz w:val="24"/>
          <w:szCs w:val="24"/>
        </w:rPr>
        <w:t>Staff Question – 4</w:t>
      </w:r>
    </w:p>
    <w:p w14:paraId="3BF5BE04" w14:textId="5BDA356D" w:rsidR="00E233A0" w:rsidRPr="00E233A0" w:rsidRDefault="00E233A0" w:rsidP="00E34A6F">
      <w:pPr>
        <w:rPr>
          <w:rFonts w:ascii="Arial" w:hAnsi="Arial" w:cs="Arial"/>
          <w:b/>
          <w:bCs/>
          <w:sz w:val="24"/>
          <w:szCs w:val="24"/>
        </w:rPr>
      </w:pPr>
      <w:r w:rsidRPr="00E233A0">
        <w:rPr>
          <w:rFonts w:ascii="Arial" w:hAnsi="Arial" w:cs="Arial"/>
          <w:b/>
          <w:bCs/>
          <w:sz w:val="24"/>
          <w:szCs w:val="24"/>
        </w:rPr>
        <w:t xml:space="preserve">Ref 1: Thunder Bay GA Analysis Workform </w:t>
      </w:r>
    </w:p>
    <w:p w14:paraId="5D407D9F" w14:textId="7B468CE3" w:rsidR="00E233A0" w:rsidRDefault="00E233A0" w:rsidP="00E34A6F">
      <w:pPr>
        <w:rPr>
          <w:rFonts w:ascii="Arial" w:hAnsi="Arial" w:cs="Arial"/>
          <w:sz w:val="24"/>
          <w:szCs w:val="24"/>
        </w:rPr>
      </w:pPr>
      <w:r>
        <w:rPr>
          <w:rFonts w:ascii="Arial" w:hAnsi="Arial" w:cs="Arial"/>
          <w:sz w:val="24"/>
          <w:szCs w:val="24"/>
        </w:rPr>
        <w:t>Staff notes from Tab “GA 2020” of Thunder Bay’s GA Analysis Workform of the two reconciling items below:</w:t>
      </w:r>
    </w:p>
    <w:tbl>
      <w:tblPr>
        <w:tblW w:w="0" w:type="auto"/>
        <w:tblLook w:val="04A0" w:firstRow="1" w:lastRow="0" w:firstColumn="1" w:lastColumn="0" w:noHBand="0" w:noVBand="1"/>
      </w:tblPr>
      <w:tblGrid>
        <w:gridCol w:w="339"/>
        <w:gridCol w:w="1519"/>
        <w:gridCol w:w="3053"/>
        <w:gridCol w:w="4439"/>
      </w:tblGrid>
      <w:tr w:rsidR="00E233A0" w:rsidRPr="00E233A0" w14:paraId="237BE724" w14:textId="77777777" w:rsidTr="00E233A0">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816B9" w14:textId="77777777" w:rsidR="00E233A0" w:rsidRPr="00E233A0" w:rsidRDefault="00E233A0" w:rsidP="00E233A0">
            <w:pPr>
              <w:spacing w:after="0" w:line="240" w:lineRule="auto"/>
              <w:rPr>
                <w:rFonts w:ascii="Arial" w:eastAsia="Times New Roman" w:hAnsi="Arial" w:cs="Arial"/>
                <w:color w:val="000000"/>
              </w:rPr>
            </w:pPr>
            <w:r w:rsidRPr="00E233A0">
              <w:rPr>
                <w:rFonts w:ascii="Arial" w:eastAsia="Times New Roman"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0DC994A" w14:textId="77777777" w:rsidR="00E233A0" w:rsidRPr="00E233A0" w:rsidRDefault="00E233A0" w:rsidP="00E233A0">
            <w:pPr>
              <w:spacing w:after="0" w:line="240" w:lineRule="auto"/>
              <w:jc w:val="center"/>
              <w:rPr>
                <w:rFonts w:ascii="Arial" w:eastAsia="Times New Roman" w:hAnsi="Arial" w:cs="Arial"/>
                <w:b/>
                <w:bCs/>
                <w:color w:val="000000"/>
              </w:rPr>
            </w:pPr>
            <w:r w:rsidRPr="00E233A0">
              <w:rPr>
                <w:rFonts w:ascii="Arial" w:eastAsia="Times New Roman" w:hAnsi="Arial" w:cs="Arial"/>
                <w:b/>
                <w:bCs/>
                <w:color w:val="000000"/>
              </w:rPr>
              <w:t xml:space="preserve"> Item</w:t>
            </w:r>
          </w:p>
        </w:tc>
        <w:tc>
          <w:tcPr>
            <w:tcW w:w="0" w:type="auto"/>
            <w:tcBorders>
              <w:top w:val="single" w:sz="4" w:space="0" w:color="auto"/>
              <w:left w:val="nil"/>
              <w:bottom w:val="single" w:sz="4" w:space="0" w:color="auto"/>
              <w:right w:val="nil"/>
            </w:tcBorders>
            <w:shd w:val="clear" w:color="auto" w:fill="auto"/>
            <w:vAlign w:val="bottom"/>
            <w:hideMark/>
          </w:tcPr>
          <w:p w14:paraId="19F17CCF" w14:textId="77777777" w:rsidR="00E233A0" w:rsidRPr="00E233A0" w:rsidRDefault="00E233A0" w:rsidP="00E233A0">
            <w:pPr>
              <w:spacing w:after="0" w:line="240" w:lineRule="auto"/>
              <w:jc w:val="center"/>
              <w:rPr>
                <w:rFonts w:ascii="Arial" w:eastAsia="Times New Roman" w:hAnsi="Arial" w:cs="Arial"/>
                <w:b/>
                <w:bCs/>
              </w:rPr>
            </w:pPr>
            <w:r w:rsidRPr="00E233A0">
              <w:rPr>
                <w:rFonts w:ascii="Arial" w:eastAsia="Times New Roman" w:hAnsi="Arial" w:cs="Arial"/>
                <w:b/>
                <w:bCs/>
              </w:rPr>
              <w:t>Amount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DCB44" w14:textId="77777777" w:rsidR="00E233A0" w:rsidRPr="00E233A0" w:rsidRDefault="00E233A0" w:rsidP="00E233A0">
            <w:pPr>
              <w:spacing w:after="0" w:line="240" w:lineRule="auto"/>
              <w:jc w:val="center"/>
              <w:rPr>
                <w:rFonts w:ascii="Arial" w:eastAsia="Times New Roman" w:hAnsi="Arial" w:cs="Arial"/>
                <w:b/>
                <w:bCs/>
              </w:rPr>
            </w:pPr>
            <w:r w:rsidRPr="00E233A0">
              <w:rPr>
                <w:rFonts w:ascii="Arial" w:eastAsia="Times New Roman" w:hAnsi="Arial" w:cs="Arial"/>
                <w:b/>
                <w:bCs/>
              </w:rPr>
              <w:t>Explanation</w:t>
            </w:r>
          </w:p>
        </w:tc>
      </w:tr>
      <w:tr w:rsidR="00E233A0" w:rsidRPr="00E233A0" w14:paraId="1C3ADAE2" w14:textId="77777777" w:rsidTr="00E233A0">
        <w:trPr>
          <w:trHeight w:val="28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35F1815" w14:textId="77777777" w:rsidR="00E233A0" w:rsidRPr="00E233A0" w:rsidRDefault="00E233A0" w:rsidP="00E233A0">
            <w:pPr>
              <w:spacing w:after="0" w:line="240" w:lineRule="auto"/>
              <w:jc w:val="right"/>
              <w:rPr>
                <w:rFonts w:ascii="Arial" w:eastAsia="Times New Roman" w:hAnsi="Arial" w:cs="Arial"/>
              </w:rPr>
            </w:pPr>
            <w:r w:rsidRPr="00E233A0">
              <w:rPr>
                <w:rFonts w:ascii="Arial" w:eastAsia="Times New Roman" w:hAnsi="Arial" w:cs="Arial"/>
              </w:rPr>
              <w:t>5</w:t>
            </w:r>
          </w:p>
        </w:tc>
        <w:tc>
          <w:tcPr>
            <w:tcW w:w="0" w:type="auto"/>
            <w:tcBorders>
              <w:top w:val="nil"/>
              <w:left w:val="nil"/>
              <w:bottom w:val="single" w:sz="4" w:space="0" w:color="auto"/>
              <w:right w:val="single" w:sz="4" w:space="0" w:color="auto"/>
            </w:tcBorders>
            <w:shd w:val="clear" w:color="000000" w:fill="FFFFFF"/>
            <w:vAlign w:val="bottom"/>
            <w:hideMark/>
          </w:tcPr>
          <w:p w14:paraId="522BCCD2" w14:textId="77777777" w:rsidR="00E233A0" w:rsidRPr="00E233A0" w:rsidRDefault="00E233A0" w:rsidP="00E233A0">
            <w:pPr>
              <w:spacing w:after="0" w:line="240" w:lineRule="auto"/>
              <w:rPr>
                <w:rFonts w:ascii="Arial" w:eastAsia="Times New Roman" w:hAnsi="Arial" w:cs="Arial"/>
                <w:color w:val="000000"/>
              </w:rPr>
            </w:pPr>
            <w:r w:rsidRPr="00E233A0">
              <w:rPr>
                <w:rFonts w:ascii="Arial" w:eastAsia="Times New Roman" w:hAnsi="Arial" w:cs="Arial"/>
                <w:color w:val="000000"/>
              </w:rPr>
              <w:t xml:space="preserve">Impacts of GA deferral </w:t>
            </w:r>
          </w:p>
        </w:tc>
        <w:tc>
          <w:tcPr>
            <w:tcW w:w="0" w:type="auto"/>
            <w:tcBorders>
              <w:top w:val="nil"/>
              <w:left w:val="nil"/>
              <w:bottom w:val="single" w:sz="4" w:space="0" w:color="auto"/>
              <w:right w:val="nil"/>
            </w:tcBorders>
            <w:shd w:val="clear" w:color="000000" w:fill="FFFFFF"/>
            <w:noWrap/>
            <w:vAlign w:val="bottom"/>
            <w:hideMark/>
          </w:tcPr>
          <w:p w14:paraId="755D8368" w14:textId="77777777" w:rsidR="00E233A0" w:rsidRPr="00E233A0" w:rsidRDefault="00E233A0" w:rsidP="00E233A0">
            <w:pPr>
              <w:spacing w:after="0" w:line="240" w:lineRule="auto"/>
              <w:jc w:val="center"/>
              <w:rPr>
                <w:rFonts w:ascii="Arial" w:eastAsia="Times New Roman" w:hAnsi="Arial" w:cs="Arial"/>
                <w:color w:val="000000"/>
              </w:rPr>
            </w:pPr>
            <w:r w:rsidRPr="00E233A0">
              <w:rPr>
                <w:rFonts w:ascii="Arial" w:eastAsia="Times New Roman" w:hAnsi="Arial" w:cs="Arial"/>
                <w:color w:val="000000"/>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14:paraId="1F8714EF" w14:textId="77777777" w:rsidR="00E233A0" w:rsidRPr="00E233A0" w:rsidRDefault="00E233A0" w:rsidP="00E233A0">
            <w:pPr>
              <w:spacing w:after="0" w:line="240" w:lineRule="auto"/>
              <w:rPr>
                <w:rFonts w:ascii="Arial" w:eastAsia="Times New Roman" w:hAnsi="Arial" w:cs="Arial"/>
                <w:color w:val="000000"/>
              </w:rPr>
            </w:pPr>
            <w:r w:rsidRPr="00E233A0">
              <w:rPr>
                <w:rFonts w:ascii="Arial" w:eastAsia="Times New Roman" w:hAnsi="Arial" w:cs="Arial"/>
                <w:color w:val="000000"/>
              </w:rPr>
              <w:t> </w:t>
            </w:r>
          </w:p>
        </w:tc>
      </w:tr>
      <w:tr w:rsidR="00E233A0" w:rsidRPr="00E233A0" w14:paraId="7F46C115" w14:textId="77777777" w:rsidTr="00E233A0">
        <w:trPr>
          <w:trHeight w:val="28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8EBE393" w14:textId="77777777" w:rsidR="00E233A0" w:rsidRPr="00E233A0" w:rsidRDefault="00E233A0" w:rsidP="00E233A0">
            <w:pPr>
              <w:spacing w:after="0" w:line="240" w:lineRule="auto"/>
              <w:jc w:val="right"/>
              <w:rPr>
                <w:rFonts w:ascii="Arial" w:eastAsia="Times New Roman" w:hAnsi="Arial" w:cs="Arial"/>
                <w:color w:val="000000"/>
              </w:rPr>
            </w:pPr>
            <w:r w:rsidRPr="00E233A0">
              <w:rPr>
                <w:rFonts w:ascii="Arial" w:eastAsia="Times New Roman" w:hAnsi="Arial" w:cs="Arial"/>
                <w:color w:val="000000"/>
              </w:rPr>
              <w:t>6</w:t>
            </w:r>
          </w:p>
        </w:tc>
        <w:tc>
          <w:tcPr>
            <w:tcW w:w="0" w:type="auto"/>
            <w:tcBorders>
              <w:top w:val="nil"/>
              <w:left w:val="nil"/>
              <w:bottom w:val="single" w:sz="4" w:space="0" w:color="auto"/>
              <w:right w:val="single" w:sz="4" w:space="0" w:color="auto"/>
            </w:tcBorders>
            <w:shd w:val="clear" w:color="000000" w:fill="FFFFFF"/>
            <w:vAlign w:val="bottom"/>
            <w:hideMark/>
          </w:tcPr>
          <w:p w14:paraId="2C863F38" w14:textId="77777777" w:rsidR="00E233A0" w:rsidRPr="00E233A0" w:rsidRDefault="00E233A0" w:rsidP="00E233A0">
            <w:pPr>
              <w:spacing w:after="0" w:line="240" w:lineRule="auto"/>
              <w:rPr>
                <w:rFonts w:ascii="Arial" w:eastAsia="Times New Roman" w:hAnsi="Arial" w:cs="Arial"/>
                <w:color w:val="000000"/>
              </w:rPr>
            </w:pPr>
            <w:r w:rsidRPr="00E233A0">
              <w:rPr>
                <w:rFonts w:ascii="Arial" w:eastAsia="Times New Roman" w:hAnsi="Arial" w:cs="Arial"/>
                <w:color w:val="000000"/>
              </w:rPr>
              <w:t> </w:t>
            </w:r>
          </w:p>
        </w:tc>
        <w:tc>
          <w:tcPr>
            <w:tcW w:w="0" w:type="auto"/>
            <w:tcBorders>
              <w:top w:val="nil"/>
              <w:left w:val="nil"/>
              <w:bottom w:val="single" w:sz="4" w:space="0" w:color="auto"/>
              <w:right w:val="nil"/>
            </w:tcBorders>
            <w:shd w:val="clear" w:color="000000" w:fill="FFFFFF"/>
            <w:noWrap/>
            <w:vAlign w:val="bottom"/>
            <w:hideMark/>
          </w:tcPr>
          <w:p w14:paraId="3533FF64" w14:textId="77777777" w:rsidR="00E233A0" w:rsidRPr="00E233A0" w:rsidRDefault="00E233A0" w:rsidP="00E233A0">
            <w:pPr>
              <w:spacing w:after="0" w:line="240" w:lineRule="auto"/>
              <w:jc w:val="center"/>
              <w:rPr>
                <w:rFonts w:ascii="Arial" w:eastAsia="Times New Roman" w:hAnsi="Arial" w:cs="Arial"/>
                <w:color w:val="000000"/>
              </w:rPr>
            </w:pPr>
            <w:r w:rsidRPr="00E233A0">
              <w:rPr>
                <w:rFonts w:ascii="Arial" w:eastAsia="Times New Roman" w:hAnsi="Arial" w:cs="Arial"/>
                <w:color w:val="000000"/>
              </w:rPr>
              <w:t xml:space="preserve"> $                              (69,645)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14:paraId="26D97413" w14:textId="77777777" w:rsidR="00E233A0" w:rsidRPr="00E233A0" w:rsidRDefault="00E233A0" w:rsidP="00E233A0">
            <w:pPr>
              <w:spacing w:after="0" w:line="240" w:lineRule="auto"/>
              <w:rPr>
                <w:rFonts w:ascii="Arial" w:eastAsia="Times New Roman" w:hAnsi="Arial" w:cs="Arial"/>
                <w:color w:val="000000"/>
              </w:rPr>
            </w:pPr>
            <w:r w:rsidRPr="00E233A0">
              <w:rPr>
                <w:rFonts w:ascii="Arial" w:eastAsia="Times New Roman" w:hAnsi="Arial" w:cs="Arial"/>
                <w:color w:val="000000"/>
              </w:rPr>
              <w:t>Difference between actual GA Deferral given to customers and amount received from the IESO</w:t>
            </w:r>
          </w:p>
        </w:tc>
      </w:tr>
    </w:tbl>
    <w:p w14:paraId="5C97D2A7" w14:textId="57CA3295" w:rsidR="00E233A0" w:rsidRDefault="00E233A0" w:rsidP="00E34A6F">
      <w:pPr>
        <w:rPr>
          <w:rFonts w:ascii="Arial" w:hAnsi="Arial" w:cs="Arial"/>
          <w:sz w:val="24"/>
          <w:szCs w:val="24"/>
        </w:rPr>
      </w:pPr>
    </w:p>
    <w:p w14:paraId="03035A12" w14:textId="312027F3" w:rsidR="00E233A0" w:rsidRDefault="00E233A0" w:rsidP="00E34A6F">
      <w:pPr>
        <w:rPr>
          <w:rFonts w:ascii="Arial" w:hAnsi="Arial" w:cs="Arial"/>
          <w:sz w:val="24"/>
          <w:szCs w:val="24"/>
        </w:rPr>
      </w:pPr>
      <w:r>
        <w:rPr>
          <w:rFonts w:ascii="Arial" w:hAnsi="Arial" w:cs="Arial"/>
          <w:sz w:val="24"/>
          <w:szCs w:val="24"/>
        </w:rPr>
        <w:t>Question:</w:t>
      </w:r>
    </w:p>
    <w:p w14:paraId="39A95CE9" w14:textId="27E7DEDB" w:rsidR="00E233A0" w:rsidRDefault="00E233A0" w:rsidP="00E233A0">
      <w:pPr>
        <w:pStyle w:val="ListParagraph"/>
        <w:numPr>
          <w:ilvl w:val="0"/>
          <w:numId w:val="8"/>
        </w:numPr>
        <w:rPr>
          <w:rFonts w:ascii="Arial" w:hAnsi="Arial" w:cs="Arial"/>
          <w:sz w:val="24"/>
          <w:szCs w:val="24"/>
        </w:rPr>
      </w:pPr>
      <w:r>
        <w:rPr>
          <w:rFonts w:ascii="Arial" w:hAnsi="Arial" w:cs="Arial"/>
          <w:sz w:val="24"/>
          <w:szCs w:val="24"/>
        </w:rPr>
        <w:lastRenderedPageBreak/>
        <w:t xml:space="preserve">Please explain if the reconciling item #6 of ($69,645) refers to reconciling item #5 impacts of GA deferral. If so, please update the GA analysis workform.  </w:t>
      </w:r>
    </w:p>
    <w:p w14:paraId="51CC49B1" w14:textId="65AA0303" w:rsidR="00E233A0" w:rsidRPr="00E233A0" w:rsidRDefault="00E233A0" w:rsidP="00E233A0">
      <w:pPr>
        <w:pStyle w:val="ListParagraph"/>
        <w:rPr>
          <w:rFonts w:ascii="Arial" w:hAnsi="Arial" w:cs="Arial"/>
          <w:sz w:val="24"/>
          <w:szCs w:val="24"/>
        </w:rPr>
      </w:pPr>
    </w:p>
    <w:p w14:paraId="1317D896" w14:textId="14DCA107" w:rsidR="00E233A0" w:rsidRDefault="00E233A0" w:rsidP="00E34A6F">
      <w:pPr>
        <w:rPr>
          <w:rFonts w:ascii="Arial" w:hAnsi="Arial" w:cs="Arial"/>
          <w:sz w:val="24"/>
          <w:szCs w:val="24"/>
        </w:rPr>
      </w:pPr>
    </w:p>
    <w:p w14:paraId="7644B6C4" w14:textId="2F374379" w:rsidR="00B10302" w:rsidRPr="00E233A0" w:rsidRDefault="00B10302" w:rsidP="00B10302">
      <w:pPr>
        <w:rPr>
          <w:rFonts w:ascii="Arial" w:hAnsi="Arial" w:cs="Arial"/>
          <w:b/>
          <w:bCs/>
          <w:sz w:val="24"/>
          <w:szCs w:val="24"/>
        </w:rPr>
      </w:pPr>
      <w:r w:rsidRPr="00E233A0">
        <w:rPr>
          <w:rFonts w:ascii="Arial" w:hAnsi="Arial" w:cs="Arial"/>
          <w:b/>
          <w:bCs/>
          <w:sz w:val="24"/>
          <w:szCs w:val="24"/>
        </w:rPr>
        <w:t xml:space="preserve">Staff Question – </w:t>
      </w:r>
      <w:r>
        <w:rPr>
          <w:rFonts w:ascii="Arial" w:hAnsi="Arial" w:cs="Arial"/>
          <w:b/>
          <w:bCs/>
          <w:sz w:val="24"/>
          <w:szCs w:val="24"/>
        </w:rPr>
        <w:t>5</w:t>
      </w:r>
    </w:p>
    <w:p w14:paraId="7031A1CA" w14:textId="77777777" w:rsidR="00B10302" w:rsidRDefault="00B10302" w:rsidP="00B10302">
      <w:pPr>
        <w:rPr>
          <w:rFonts w:ascii="Arial" w:hAnsi="Arial" w:cs="Arial"/>
          <w:b/>
          <w:bCs/>
          <w:sz w:val="24"/>
          <w:szCs w:val="24"/>
        </w:rPr>
      </w:pPr>
      <w:r w:rsidRPr="00E233A0">
        <w:rPr>
          <w:rFonts w:ascii="Arial" w:hAnsi="Arial" w:cs="Arial"/>
          <w:b/>
          <w:bCs/>
          <w:sz w:val="24"/>
          <w:szCs w:val="24"/>
        </w:rPr>
        <w:t xml:space="preserve">Ref 1: </w:t>
      </w:r>
      <w:r>
        <w:rPr>
          <w:rFonts w:ascii="Arial" w:hAnsi="Arial" w:cs="Arial"/>
          <w:b/>
          <w:bCs/>
          <w:sz w:val="24"/>
          <w:szCs w:val="24"/>
        </w:rPr>
        <w:t xml:space="preserve">Manager’s Summary, page 17 </w:t>
      </w:r>
    </w:p>
    <w:p w14:paraId="3CAC2BBE" w14:textId="71505D3D" w:rsidR="00B10302" w:rsidRPr="00B10302" w:rsidRDefault="00B10302" w:rsidP="00B10302">
      <w:pPr>
        <w:rPr>
          <w:rFonts w:ascii="Arial" w:hAnsi="Arial" w:cs="Arial"/>
          <w:sz w:val="24"/>
          <w:szCs w:val="24"/>
        </w:rPr>
      </w:pPr>
      <w:r w:rsidRPr="00B10302">
        <w:rPr>
          <w:rFonts w:ascii="Arial" w:hAnsi="Arial" w:cs="Arial"/>
          <w:sz w:val="24"/>
          <w:szCs w:val="24"/>
        </w:rPr>
        <w:t>Synergy North stated for Kenora rate zone that:</w:t>
      </w:r>
    </w:p>
    <w:p w14:paraId="3F01D01D" w14:textId="5AFF9691" w:rsidR="00B10302" w:rsidRPr="00B10302" w:rsidRDefault="00B10302" w:rsidP="00B1030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b/>
      </w:r>
      <w:r w:rsidRPr="00B10302">
        <w:rPr>
          <w:rFonts w:ascii="Arial" w:hAnsi="Arial" w:cs="Arial"/>
          <w:color w:val="000000"/>
          <w:sz w:val="24"/>
          <w:szCs w:val="24"/>
        </w:rPr>
        <w:t xml:space="preserve">A two-year disposition period is requested for the Group 1 Deferral and Variance </w:t>
      </w:r>
      <w:r>
        <w:rPr>
          <w:rFonts w:ascii="Arial" w:hAnsi="Arial" w:cs="Arial"/>
          <w:color w:val="000000"/>
          <w:sz w:val="24"/>
          <w:szCs w:val="24"/>
        </w:rPr>
        <w:tab/>
      </w:r>
      <w:r w:rsidRPr="00B10302">
        <w:rPr>
          <w:rFonts w:ascii="Arial" w:hAnsi="Arial" w:cs="Arial"/>
          <w:color w:val="000000"/>
          <w:sz w:val="24"/>
          <w:szCs w:val="24"/>
        </w:rPr>
        <w:t xml:space="preserve">Accounts, with rate riders effective May 1, 2022, until April 30, 2024. Annual </w:t>
      </w:r>
      <w:r>
        <w:rPr>
          <w:rFonts w:ascii="Arial" w:hAnsi="Arial" w:cs="Arial"/>
          <w:color w:val="000000"/>
          <w:sz w:val="24"/>
          <w:szCs w:val="24"/>
        </w:rPr>
        <w:tab/>
      </w:r>
      <w:r w:rsidRPr="00B10302">
        <w:rPr>
          <w:rFonts w:ascii="Arial" w:hAnsi="Arial" w:cs="Arial"/>
          <w:color w:val="000000"/>
          <w:sz w:val="24"/>
          <w:szCs w:val="24"/>
        </w:rPr>
        <w:t xml:space="preserve">disposition of Group 1 Accounts results in less risk for intergenerational gaps in </w:t>
      </w:r>
      <w:r>
        <w:rPr>
          <w:rFonts w:ascii="Arial" w:hAnsi="Arial" w:cs="Arial"/>
          <w:color w:val="000000"/>
          <w:sz w:val="24"/>
          <w:szCs w:val="24"/>
        </w:rPr>
        <w:tab/>
      </w:r>
      <w:r w:rsidRPr="00B10302">
        <w:rPr>
          <w:rFonts w:ascii="Arial" w:hAnsi="Arial" w:cs="Arial"/>
          <w:color w:val="000000"/>
          <w:sz w:val="24"/>
          <w:szCs w:val="24"/>
        </w:rPr>
        <w:t>disposition amounts to/from customers.</w:t>
      </w:r>
    </w:p>
    <w:p w14:paraId="3D79F968" w14:textId="4DE8B871" w:rsidR="00B10302" w:rsidRDefault="00B10302" w:rsidP="00B10302">
      <w:pPr>
        <w:autoSpaceDE w:val="0"/>
        <w:autoSpaceDN w:val="0"/>
        <w:adjustRightInd w:val="0"/>
        <w:spacing w:after="0" w:line="240" w:lineRule="auto"/>
        <w:rPr>
          <w:rFonts w:ascii="Arial" w:hAnsi="Arial" w:cs="Arial"/>
          <w:b/>
          <w:bCs/>
          <w:sz w:val="24"/>
          <w:szCs w:val="24"/>
        </w:rPr>
      </w:pPr>
      <w:r>
        <w:rPr>
          <w:rFonts w:ascii="CIDFont+F3" w:hAnsi="CIDFont+F3" w:cs="CIDFont+F3"/>
          <w:color w:val="000000"/>
          <w:sz w:val="20"/>
          <w:szCs w:val="20"/>
        </w:rPr>
        <w:t>.</w:t>
      </w:r>
    </w:p>
    <w:p w14:paraId="45246368" w14:textId="6D27252B" w:rsidR="00B10302" w:rsidRDefault="00B10302" w:rsidP="00B10302">
      <w:pPr>
        <w:rPr>
          <w:rFonts w:ascii="Arial" w:hAnsi="Arial" w:cs="Arial"/>
          <w:sz w:val="24"/>
          <w:szCs w:val="24"/>
        </w:rPr>
      </w:pPr>
      <w:r>
        <w:rPr>
          <w:rFonts w:ascii="Arial" w:hAnsi="Arial" w:cs="Arial"/>
          <w:sz w:val="24"/>
          <w:szCs w:val="24"/>
        </w:rPr>
        <w:t xml:space="preserve">Question: </w:t>
      </w:r>
    </w:p>
    <w:p w14:paraId="11C9CEBF" w14:textId="5172977A" w:rsidR="00B10302" w:rsidRDefault="00B10302" w:rsidP="00B10302">
      <w:pPr>
        <w:pStyle w:val="ListParagraph"/>
        <w:numPr>
          <w:ilvl w:val="0"/>
          <w:numId w:val="9"/>
        </w:numPr>
        <w:rPr>
          <w:rFonts w:ascii="Arial" w:hAnsi="Arial" w:cs="Arial"/>
          <w:sz w:val="24"/>
          <w:szCs w:val="24"/>
        </w:rPr>
      </w:pPr>
      <w:r>
        <w:rPr>
          <w:rFonts w:ascii="Arial" w:hAnsi="Arial" w:cs="Arial"/>
          <w:sz w:val="24"/>
          <w:szCs w:val="24"/>
        </w:rPr>
        <w:t>Please explain why Synergy North proposed a two-year disposition period for Kenora rate zone’s group 1 DVAs.</w:t>
      </w:r>
    </w:p>
    <w:p w14:paraId="3429F944" w14:textId="13B40939" w:rsidR="00B10302" w:rsidRDefault="00B10302" w:rsidP="00B10302">
      <w:pPr>
        <w:rPr>
          <w:rFonts w:ascii="Arial" w:hAnsi="Arial" w:cs="Arial"/>
          <w:sz w:val="24"/>
          <w:szCs w:val="24"/>
        </w:rPr>
      </w:pPr>
    </w:p>
    <w:p w14:paraId="7CD278C4" w14:textId="3C050DDC" w:rsidR="00B10302" w:rsidRDefault="00B10302" w:rsidP="00B10302">
      <w:pPr>
        <w:rPr>
          <w:rFonts w:ascii="Arial" w:hAnsi="Arial" w:cs="Arial"/>
          <w:sz w:val="24"/>
          <w:szCs w:val="24"/>
        </w:rPr>
      </w:pPr>
    </w:p>
    <w:p w14:paraId="28F18E83" w14:textId="77777777" w:rsidR="00052665" w:rsidRDefault="00052665" w:rsidP="00B10302">
      <w:pPr>
        <w:rPr>
          <w:rFonts w:ascii="Arial" w:hAnsi="Arial" w:cs="Arial"/>
          <w:sz w:val="24"/>
          <w:szCs w:val="24"/>
        </w:rPr>
      </w:pPr>
    </w:p>
    <w:p w14:paraId="792E73A8" w14:textId="00E3BE38" w:rsidR="00167549" w:rsidRPr="00E233A0" w:rsidRDefault="00167549" w:rsidP="00167549">
      <w:pPr>
        <w:rPr>
          <w:rFonts w:ascii="Arial" w:hAnsi="Arial" w:cs="Arial"/>
          <w:b/>
          <w:bCs/>
          <w:sz w:val="24"/>
          <w:szCs w:val="24"/>
        </w:rPr>
      </w:pPr>
      <w:bookmarkStart w:id="1" w:name="_Hlk92821961"/>
      <w:r w:rsidRPr="00E233A0">
        <w:rPr>
          <w:rFonts w:ascii="Arial" w:hAnsi="Arial" w:cs="Arial"/>
          <w:b/>
          <w:bCs/>
          <w:sz w:val="24"/>
          <w:szCs w:val="24"/>
        </w:rPr>
        <w:t xml:space="preserve">Staff Question – </w:t>
      </w:r>
      <w:r w:rsidR="00052665">
        <w:rPr>
          <w:rFonts w:ascii="Arial" w:hAnsi="Arial" w:cs="Arial"/>
          <w:b/>
          <w:bCs/>
          <w:sz w:val="24"/>
          <w:szCs w:val="24"/>
        </w:rPr>
        <w:t>6</w:t>
      </w:r>
    </w:p>
    <w:p w14:paraId="0617FF8D" w14:textId="721E80CE" w:rsidR="00167549" w:rsidRDefault="00167549" w:rsidP="00167549">
      <w:pPr>
        <w:rPr>
          <w:rFonts w:ascii="Arial" w:hAnsi="Arial" w:cs="Arial"/>
          <w:b/>
          <w:bCs/>
          <w:sz w:val="24"/>
          <w:szCs w:val="24"/>
        </w:rPr>
      </w:pPr>
      <w:r w:rsidRPr="00E233A0">
        <w:rPr>
          <w:rFonts w:ascii="Arial" w:hAnsi="Arial" w:cs="Arial"/>
          <w:b/>
          <w:bCs/>
          <w:sz w:val="24"/>
          <w:szCs w:val="24"/>
        </w:rPr>
        <w:t xml:space="preserve">Ref 1: </w:t>
      </w:r>
      <w:r>
        <w:rPr>
          <w:rFonts w:ascii="Arial" w:hAnsi="Arial" w:cs="Arial"/>
          <w:b/>
          <w:bCs/>
          <w:sz w:val="24"/>
          <w:szCs w:val="24"/>
        </w:rPr>
        <w:t xml:space="preserve">Manager’s Summary, page 21 </w:t>
      </w:r>
    </w:p>
    <w:bookmarkEnd w:id="1"/>
    <w:p w14:paraId="34BF89BC" w14:textId="7D589EA5" w:rsidR="00167549" w:rsidRDefault="00167549" w:rsidP="00B10302">
      <w:pPr>
        <w:rPr>
          <w:rFonts w:ascii="Arial" w:hAnsi="Arial" w:cs="Arial"/>
          <w:sz w:val="24"/>
          <w:szCs w:val="24"/>
        </w:rPr>
      </w:pPr>
      <w:r>
        <w:rPr>
          <w:rFonts w:ascii="Arial" w:hAnsi="Arial" w:cs="Arial"/>
          <w:sz w:val="24"/>
          <w:szCs w:val="24"/>
        </w:rPr>
        <w:t>Synergy North stated that:</w:t>
      </w:r>
    </w:p>
    <w:p w14:paraId="1A19E73E" w14:textId="66CBEDA1" w:rsidR="00167549" w:rsidRPr="00167549" w:rsidRDefault="00167549" w:rsidP="0016754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b/>
      </w:r>
      <w:r w:rsidRPr="00167549">
        <w:rPr>
          <w:rFonts w:ascii="Arial" w:hAnsi="Arial" w:cs="Arial"/>
          <w:color w:val="000000"/>
          <w:sz w:val="24"/>
          <w:szCs w:val="24"/>
        </w:rPr>
        <w:t>S</w:t>
      </w:r>
      <w:r>
        <w:rPr>
          <w:rFonts w:ascii="Arial" w:hAnsi="Arial" w:cs="Arial"/>
          <w:color w:val="000000"/>
          <w:sz w:val="24"/>
          <w:szCs w:val="24"/>
        </w:rPr>
        <w:t xml:space="preserve">ynergy </w:t>
      </w:r>
      <w:r w:rsidRPr="00167549">
        <w:rPr>
          <w:rFonts w:ascii="Arial" w:hAnsi="Arial" w:cs="Arial"/>
          <w:color w:val="000000"/>
          <w:sz w:val="24"/>
          <w:szCs w:val="24"/>
        </w:rPr>
        <w:t>N</w:t>
      </w:r>
      <w:r>
        <w:rPr>
          <w:rFonts w:ascii="Arial" w:hAnsi="Arial" w:cs="Arial"/>
          <w:color w:val="000000"/>
          <w:sz w:val="24"/>
          <w:szCs w:val="24"/>
        </w:rPr>
        <w:t>orth</w:t>
      </w:r>
      <w:r w:rsidRPr="00167549">
        <w:rPr>
          <w:rFonts w:ascii="Arial" w:hAnsi="Arial" w:cs="Arial"/>
          <w:color w:val="000000"/>
          <w:sz w:val="24"/>
          <w:szCs w:val="24"/>
        </w:rPr>
        <w:t xml:space="preserve"> has chosen to populate the GA Analysis Workform with its</w:t>
      </w:r>
      <w:r>
        <w:rPr>
          <w:rFonts w:ascii="Arial" w:hAnsi="Arial" w:cs="Arial"/>
          <w:color w:val="000000"/>
          <w:sz w:val="24"/>
          <w:szCs w:val="24"/>
        </w:rPr>
        <w:t xml:space="preserve"> </w:t>
      </w:r>
      <w:r w:rsidRPr="00167549">
        <w:rPr>
          <w:rFonts w:ascii="Arial" w:hAnsi="Arial" w:cs="Arial"/>
          <w:color w:val="000000"/>
          <w:sz w:val="24"/>
          <w:szCs w:val="24"/>
        </w:rPr>
        <w:t>Non-</w:t>
      </w:r>
      <w:r>
        <w:rPr>
          <w:rFonts w:ascii="Arial" w:hAnsi="Arial" w:cs="Arial"/>
          <w:color w:val="000000"/>
          <w:sz w:val="24"/>
          <w:szCs w:val="24"/>
        </w:rPr>
        <w:tab/>
      </w:r>
      <w:r w:rsidRPr="00167549">
        <w:rPr>
          <w:rFonts w:ascii="Arial" w:hAnsi="Arial" w:cs="Arial"/>
          <w:color w:val="000000"/>
          <w:sz w:val="24"/>
          <w:szCs w:val="24"/>
        </w:rPr>
        <w:t>RPP Class B</w:t>
      </w:r>
      <w:r>
        <w:rPr>
          <w:rFonts w:ascii="Arial" w:hAnsi="Arial" w:cs="Arial"/>
          <w:color w:val="000000"/>
          <w:sz w:val="24"/>
          <w:szCs w:val="24"/>
        </w:rPr>
        <w:t xml:space="preserve"> c</w:t>
      </w:r>
      <w:r w:rsidRPr="00167549">
        <w:rPr>
          <w:rFonts w:ascii="Arial" w:hAnsi="Arial" w:cs="Arial"/>
          <w:color w:val="000000"/>
          <w:sz w:val="24"/>
          <w:szCs w:val="24"/>
        </w:rPr>
        <w:t xml:space="preserve">onsumption with losses for both Rate Zones. A billing system </w:t>
      </w:r>
      <w:r>
        <w:rPr>
          <w:rFonts w:ascii="Arial" w:hAnsi="Arial" w:cs="Arial"/>
          <w:color w:val="000000"/>
          <w:sz w:val="24"/>
          <w:szCs w:val="24"/>
        </w:rPr>
        <w:tab/>
      </w:r>
      <w:r w:rsidRPr="00167549">
        <w:rPr>
          <w:rFonts w:ascii="Arial" w:hAnsi="Arial" w:cs="Arial"/>
          <w:color w:val="000000"/>
          <w:sz w:val="24"/>
          <w:szCs w:val="24"/>
        </w:rPr>
        <w:t>query produces a report of the monthly “consumed”</w:t>
      </w:r>
      <w:r>
        <w:rPr>
          <w:rFonts w:ascii="Arial" w:hAnsi="Arial" w:cs="Arial"/>
          <w:color w:val="000000"/>
          <w:sz w:val="24"/>
          <w:szCs w:val="24"/>
        </w:rPr>
        <w:t xml:space="preserve"> </w:t>
      </w:r>
      <w:r w:rsidRPr="00167549">
        <w:rPr>
          <w:rFonts w:ascii="Arial" w:hAnsi="Arial" w:cs="Arial"/>
          <w:color w:val="000000"/>
          <w:sz w:val="24"/>
          <w:szCs w:val="24"/>
        </w:rPr>
        <w:t xml:space="preserve">kWh for each Non-RPP </w:t>
      </w:r>
      <w:r>
        <w:rPr>
          <w:rFonts w:ascii="Arial" w:hAnsi="Arial" w:cs="Arial"/>
          <w:color w:val="000000"/>
          <w:sz w:val="24"/>
          <w:szCs w:val="24"/>
        </w:rPr>
        <w:tab/>
      </w:r>
      <w:r w:rsidRPr="00167549">
        <w:rPr>
          <w:rFonts w:ascii="Arial" w:hAnsi="Arial" w:cs="Arial"/>
          <w:color w:val="000000"/>
          <w:sz w:val="24"/>
          <w:szCs w:val="24"/>
        </w:rPr>
        <w:t xml:space="preserve">customer. The system pulls the consumption billed between meter read dates, </w:t>
      </w:r>
      <w:r>
        <w:rPr>
          <w:rFonts w:ascii="Arial" w:hAnsi="Arial" w:cs="Arial"/>
          <w:color w:val="000000"/>
          <w:sz w:val="24"/>
          <w:szCs w:val="24"/>
        </w:rPr>
        <w:tab/>
      </w:r>
      <w:r w:rsidRPr="00167549">
        <w:rPr>
          <w:rFonts w:ascii="Arial" w:hAnsi="Arial" w:cs="Arial"/>
          <w:color w:val="000000"/>
          <w:sz w:val="24"/>
          <w:szCs w:val="24"/>
        </w:rPr>
        <w:t>and based on</w:t>
      </w:r>
      <w:r>
        <w:rPr>
          <w:rFonts w:ascii="Arial" w:hAnsi="Arial" w:cs="Arial"/>
          <w:color w:val="000000"/>
          <w:sz w:val="24"/>
          <w:szCs w:val="24"/>
        </w:rPr>
        <w:t xml:space="preserve"> </w:t>
      </w:r>
      <w:r w:rsidRPr="00167549">
        <w:rPr>
          <w:rFonts w:ascii="Arial" w:hAnsi="Arial" w:cs="Arial"/>
          <w:color w:val="000000"/>
          <w:sz w:val="24"/>
          <w:szCs w:val="24"/>
        </w:rPr>
        <w:t xml:space="preserve">consumption by day, provides a calendar month “consumed” </w:t>
      </w:r>
      <w:r>
        <w:rPr>
          <w:rFonts w:ascii="Arial" w:hAnsi="Arial" w:cs="Arial"/>
          <w:color w:val="000000"/>
          <w:sz w:val="24"/>
          <w:szCs w:val="24"/>
        </w:rPr>
        <w:tab/>
      </w:r>
      <w:r w:rsidRPr="00167549">
        <w:rPr>
          <w:rFonts w:ascii="Arial" w:hAnsi="Arial" w:cs="Arial"/>
          <w:color w:val="000000"/>
          <w:sz w:val="24"/>
          <w:szCs w:val="24"/>
        </w:rPr>
        <w:t>amount. S</w:t>
      </w:r>
      <w:r>
        <w:rPr>
          <w:rFonts w:ascii="Arial" w:hAnsi="Arial" w:cs="Arial"/>
          <w:color w:val="000000"/>
          <w:sz w:val="24"/>
          <w:szCs w:val="24"/>
        </w:rPr>
        <w:t>ynergy</w:t>
      </w:r>
      <w:r w:rsidRPr="00167549">
        <w:rPr>
          <w:rFonts w:ascii="Arial" w:hAnsi="Arial" w:cs="Arial"/>
          <w:color w:val="000000"/>
          <w:sz w:val="24"/>
          <w:szCs w:val="24"/>
        </w:rPr>
        <w:t xml:space="preserve"> N</w:t>
      </w:r>
      <w:r>
        <w:rPr>
          <w:rFonts w:ascii="Arial" w:hAnsi="Arial" w:cs="Arial"/>
          <w:color w:val="000000"/>
          <w:sz w:val="24"/>
          <w:szCs w:val="24"/>
        </w:rPr>
        <w:t>orth</w:t>
      </w:r>
      <w:r w:rsidRPr="00167549">
        <w:rPr>
          <w:rFonts w:ascii="Arial" w:hAnsi="Arial" w:cs="Arial"/>
          <w:color w:val="000000"/>
          <w:sz w:val="24"/>
          <w:szCs w:val="24"/>
        </w:rPr>
        <w:t xml:space="preserve"> uses the results of this</w:t>
      </w:r>
      <w:r>
        <w:rPr>
          <w:rFonts w:ascii="Arial" w:hAnsi="Arial" w:cs="Arial"/>
          <w:color w:val="000000"/>
          <w:sz w:val="24"/>
          <w:szCs w:val="24"/>
        </w:rPr>
        <w:t xml:space="preserve"> </w:t>
      </w:r>
      <w:r w:rsidRPr="00167549">
        <w:rPr>
          <w:rFonts w:ascii="Arial" w:hAnsi="Arial" w:cs="Arial"/>
          <w:color w:val="000000"/>
          <w:sz w:val="24"/>
          <w:szCs w:val="24"/>
        </w:rPr>
        <w:t xml:space="preserve">report to true up its </w:t>
      </w:r>
      <w:r>
        <w:rPr>
          <w:rFonts w:ascii="Arial" w:hAnsi="Arial" w:cs="Arial"/>
          <w:color w:val="000000"/>
          <w:sz w:val="24"/>
          <w:szCs w:val="24"/>
        </w:rPr>
        <w:tab/>
      </w:r>
      <w:r w:rsidRPr="00167549">
        <w:rPr>
          <w:rFonts w:ascii="Arial" w:hAnsi="Arial" w:cs="Arial"/>
          <w:color w:val="000000"/>
          <w:sz w:val="24"/>
          <w:szCs w:val="24"/>
        </w:rPr>
        <w:t xml:space="preserve">estimates </w:t>
      </w:r>
      <w:r>
        <w:rPr>
          <w:rFonts w:ascii="Arial" w:hAnsi="Arial" w:cs="Arial"/>
          <w:color w:val="000000"/>
          <w:sz w:val="24"/>
          <w:szCs w:val="24"/>
        </w:rPr>
        <w:tab/>
      </w:r>
      <w:r w:rsidRPr="00167549">
        <w:rPr>
          <w:rFonts w:ascii="Arial" w:hAnsi="Arial" w:cs="Arial"/>
          <w:color w:val="000000"/>
          <w:sz w:val="24"/>
          <w:szCs w:val="24"/>
        </w:rPr>
        <w:t>once all billing cycles for the quarter have fully billed out volumes for the period.</w:t>
      </w:r>
    </w:p>
    <w:p w14:paraId="403ADF71" w14:textId="77777777" w:rsidR="00167549" w:rsidRDefault="00167549" w:rsidP="00E34A6F">
      <w:pPr>
        <w:rPr>
          <w:rFonts w:ascii="Arial" w:hAnsi="Arial" w:cs="Arial"/>
          <w:sz w:val="24"/>
          <w:szCs w:val="24"/>
        </w:rPr>
      </w:pPr>
    </w:p>
    <w:p w14:paraId="77E49A5E" w14:textId="6DD93108" w:rsidR="00167549" w:rsidRDefault="00167549" w:rsidP="00E34A6F">
      <w:pPr>
        <w:rPr>
          <w:rFonts w:ascii="Arial" w:hAnsi="Arial" w:cs="Arial"/>
          <w:sz w:val="24"/>
          <w:szCs w:val="24"/>
        </w:rPr>
      </w:pPr>
      <w:r>
        <w:rPr>
          <w:rFonts w:ascii="Arial" w:hAnsi="Arial" w:cs="Arial"/>
          <w:sz w:val="24"/>
          <w:szCs w:val="24"/>
        </w:rPr>
        <w:t>Question:</w:t>
      </w:r>
    </w:p>
    <w:p w14:paraId="75511E2C" w14:textId="427DCD15" w:rsidR="00167549" w:rsidRDefault="00167549" w:rsidP="00167549">
      <w:pPr>
        <w:pStyle w:val="ListParagraph"/>
        <w:numPr>
          <w:ilvl w:val="0"/>
          <w:numId w:val="10"/>
        </w:numPr>
        <w:rPr>
          <w:rFonts w:ascii="Arial" w:hAnsi="Arial" w:cs="Arial"/>
          <w:sz w:val="24"/>
          <w:szCs w:val="24"/>
        </w:rPr>
      </w:pPr>
      <w:r>
        <w:rPr>
          <w:rFonts w:ascii="Arial" w:hAnsi="Arial" w:cs="Arial"/>
          <w:sz w:val="24"/>
          <w:szCs w:val="24"/>
        </w:rPr>
        <w:t xml:space="preserve">Please confirm that the monthly “consumed” kWh for each Non-RPP customers from the billing report represents the actual consumptions in the calendar month, </w:t>
      </w:r>
      <w:r w:rsidR="007D400A">
        <w:rPr>
          <w:rFonts w:ascii="Arial" w:hAnsi="Arial" w:cs="Arial"/>
          <w:sz w:val="24"/>
          <w:szCs w:val="24"/>
        </w:rPr>
        <w:t xml:space="preserve">rather than the billed consumption in the calendar month. If it is the latter, please explain how this process complies with the Accounting Guidance for the Commodity accounts issued in February 2019. </w:t>
      </w:r>
    </w:p>
    <w:p w14:paraId="6F318594" w14:textId="19B17E5E" w:rsidR="007D400A" w:rsidRDefault="007D400A" w:rsidP="007D400A">
      <w:pPr>
        <w:rPr>
          <w:rFonts w:ascii="Arial" w:hAnsi="Arial" w:cs="Arial"/>
          <w:sz w:val="24"/>
          <w:szCs w:val="24"/>
        </w:rPr>
      </w:pPr>
    </w:p>
    <w:p w14:paraId="38AE62DF" w14:textId="30E1F1BA" w:rsidR="00411D15" w:rsidRPr="00E233A0" w:rsidRDefault="00411D15" w:rsidP="00411D15">
      <w:pPr>
        <w:rPr>
          <w:rFonts w:ascii="Arial" w:hAnsi="Arial" w:cs="Arial"/>
          <w:b/>
          <w:bCs/>
          <w:sz w:val="24"/>
          <w:szCs w:val="24"/>
        </w:rPr>
      </w:pPr>
      <w:r w:rsidRPr="00E233A0">
        <w:rPr>
          <w:rFonts w:ascii="Arial" w:hAnsi="Arial" w:cs="Arial"/>
          <w:b/>
          <w:bCs/>
          <w:sz w:val="24"/>
          <w:szCs w:val="24"/>
        </w:rPr>
        <w:t xml:space="preserve">Staff Question – </w:t>
      </w:r>
      <w:r w:rsidR="00052665">
        <w:rPr>
          <w:rFonts w:ascii="Arial" w:hAnsi="Arial" w:cs="Arial"/>
          <w:b/>
          <w:bCs/>
          <w:sz w:val="24"/>
          <w:szCs w:val="24"/>
        </w:rPr>
        <w:t>7</w:t>
      </w:r>
    </w:p>
    <w:p w14:paraId="03277F2A" w14:textId="77777777" w:rsidR="00411D15" w:rsidRDefault="00411D15" w:rsidP="00411D15">
      <w:pPr>
        <w:rPr>
          <w:rFonts w:ascii="Arial" w:hAnsi="Arial" w:cs="Arial"/>
          <w:b/>
          <w:bCs/>
          <w:sz w:val="24"/>
          <w:szCs w:val="24"/>
        </w:rPr>
      </w:pPr>
      <w:r w:rsidRPr="00E233A0">
        <w:rPr>
          <w:rFonts w:ascii="Arial" w:hAnsi="Arial" w:cs="Arial"/>
          <w:b/>
          <w:bCs/>
          <w:sz w:val="24"/>
          <w:szCs w:val="24"/>
        </w:rPr>
        <w:t xml:space="preserve">Ref 1: </w:t>
      </w:r>
      <w:r>
        <w:rPr>
          <w:rFonts w:ascii="Arial" w:hAnsi="Arial" w:cs="Arial"/>
          <w:b/>
          <w:bCs/>
          <w:sz w:val="24"/>
          <w:szCs w:val="24"/>
        </w:rPr>
        <w:t xml:space="preserve">Thunder Bay’s Account 1595 Analysis Workform </w:t>
      </w:r>
    </w:p>
    <w:p w14:paraId="242A8D42" w14:textId="5F882BAB" w:rsidR="00411D15" w:rsidRDefault="00411D15" w:rsidP="00411D15">
      <w:pPr>
        <w:rPr>
          <w:rFonts w:ascii="Arial" w:hAnsi="Arial" w:cs="Arial"/>
          <w:sz w:val="24"/>
          <w:szCs w:val="24"/>
        </w:rPr>
      </w:pPr>
      <w:r w:rsidRPr="00411D15">
        <w:rPr>
          <w:rFonts w:ascii="Arial" w:hAnsi="Arial" w:cs="Arial"/>
          <w:sz w:val="24"/>
          <w:szCs w:val="24"/>
        </w:rPr>
        <w:t xml:space="preserve">Tab “1595 2018” shows that the </w:t>
      </w:r>
      <w:r w:rsidR="00AF2175">
        <w:rPr>
          <w:rFonts w:ascii="Arial" w:hAnsi="Arial" w:cs="Arial"/>
          <w:sz w:val="24"/>
          <w:szCs w:val="24"/>
        </w:rPr>
        <w:t xml:space="preserve">residual balance for the 2018 GA rate rider under Account 1595 sub-account 2018 is significantly greater than 10%. </w:t>
      </w:r>
    </w:p>
    <w:p w14:paraId="45F1EED4" w14:textId="250F4AAF" w:rsidR="00AF2175" w:rsidRDefault="00AF2175" w:rsidP="00411D15">
      <w:pPr>
        <w:rPr>
          <w:rFonts w:ascii="Arial" w:hAnsi="Arial" w:cs="Arial"/>
          <w:sz w:val="24"/>
          <w:szCs w:val="24"/>
        </w:rPr>
      </w:pPr>
      <w:r>
        <w:rPr>
          <w:rFonts w:ascii="Arial" w:hAnsi="Arial" w:cs="Arial"/>
          <w:sz w:val="24"/>
          <w:szCs w:val="24"/>
        </w:rPr>
        <w:t>Staff notes that Synergy North has collected $14,999 for the 2018 GA rate rider</w:t>
      </w:r>
      <w:r w:rsidR="003829FD">
        <w:rPr>
          <w:rFonts w:ascii="Arial" w:hAnsi="Arial" w:cs="Arial"/>
          <w:sz w:val="24"/>
          <w:szCs w:val="24"/>
        </w:rPr>
        <w:t xml:space="preserve">s </w:t>
      </w:r>
      <w:r>
        <w:rPr>
          <w:rFonts w:ascii="Arial" w:hAnsi="Arial" w:cs="Arial"/>
          <w:sz w:val="24"/>
          <w:szCs w:val="24"/>
        </w:rPr>
        <w:t>(Cell G14) while the 2018 approved GA rate riders to be refunded to the customers are totaled $33,253.</w:t>
      </w:r>
    </w:p>
    <w:p w14:paraId="3521B47B" w14:textId="35FAEB94" w:rsidR="00AF2175" w:rsidRDefault="00AF2175" w:rsidP="00411D15">
      <w:pPr>
        <w:rPr>
          <w:rFonts w:ascii="Arial" w:hAnsi="Arial" w:cs="Arial"/>
          <w:sz w:val="24"/>
          <w:szCs w:val="24"/>
        </w:rPr>
      </w:pPr>
      <w:r>
        <w:rPr>
          <w:rFonts w:ascii="Arial" w:hAnsi="Arial" w:cs="Arial"/>
          <w:sz w:val="24"/>
          <w:szCs w:val="24"/>
        </w:rPr>
        <w:t xml:space="preserve">In addition, Staff notes that the residual balance for 2018 GA rate riders is </w:t>
      </w:r>
      <w:r w:rsidR="003829FD">
        <w:rPr>
          <w:rFonts w:ascii="Arial" w:hAnsi="Arial" w:cs="Arial"/>
          <w:sz w:val="24"/>
          <w:szCs w:val="24"/>
        </w:rPr>
        <w:t xml:space="preserve">($38,957) while the variance analysis table shows the total calculated variance of ($28,815). </w:t>
      </w:r>
    </w:p>
    <w:p w14:paraId="762C701E" w14:textId="53DB607B" w:rsidR="003829FD" w:rsidRDefault="003829FD" w:rsidP="00411D15">
      <w:pPr>
        <w:rPr>
          <w:rFonts w:ascii="Arial" w:hAnsi="Arial" w:cs="Arial"/>
          <w:sz w:val="24"/>
          <w:szCs w:val="24"/>
        </w:rPr>
      </w:pPr>
      <w:r>
        <w:rPr>
          <w:rFonts w:ascii="Arial" w:hAnsi="Arial" w:cs="Arial"/>
          <w:sz w:val="24"/>
          <w:szCs w:val="24"/>
        </w:rPr>
        <w:t>Question(s):</w:t>
      </w:r>
    </w:p>
    <w:p w14:paraId="22113ABB" w14:textId="509A4A4A" w:rsidR="003829FD" w:rsidRDefault="003829FD" w:rsidP="003829FD">
      <w:pPr>
        <w:pStyle w:val="ListParagraph"/>
        <w:numPr>
          <w:ilvl w:val="0"/>
          <w:numId w:val="11"/>
        </w:numPr>
        <w:rPr>
          <w:rFonts w:ascii="Arial" w:hAnsi="Arial" w:cs="Arial"/>
          <w:sz w:val="24"/>
          <w:szCs w:val="24"/>
        </w:rPr>
      </w:pPr>
      <w:r>
        <w:rPr>
          <w:rFonts w:ascii="Arial" w:hAnsi="Arial" w:cs="Arial"/>
          <w:sz w:val="24"/>
          <w:szCs w:val="24"/>
        </w:rPr>
        <w:t xml:space="preserve">Please explain why Synergy North has collected $14,999 for the 2018 GA rate riders for Thunder Bay rate zone when the approved GA rate riders were to refund to the customers. </w:t>
      </w:r>
    </w:p>
    <w:p w14:paraId="4A20DF62" w14:textId="1C7BD3D7" w:rsidR="003829FD" w:rsidRDefault="003829FD" w:rsidP="003829FD">
      <w:pPr>
        <w:pStyle w:val="ListParagraph"/>
        <w:numPr>
          <w:ilvl w:val="0"/>
          <w:numId w:val="11"/>
        </w:numPr>
        <w:rPr>
          <w:rFonts w:ascii="Arial" w:hAnsi="Arial" w:cs="Arial"/>
          <w:sz w:val="24"/>
          <w:szCs w:val="24"/>
        </w:rPr>
      </w:pPr>
      <w:r>
        <w:rPr>
          <w:rFonts w:ascii="Arial" w:hAnsi="Arial" w:cs="Arial"/>
          <w:sz w:val="24"/>
          <w:szCs w:val="24"/>
        </w:rPr>
        <w:t xml:space="preserve">Please explain the discrepancy between the total residual balance for 2018 GA rate riders of ($38,957) and the calculated variance of ($28,815). </w:t>
      </w:r>
    </w:p>
    <w:p w14:paraId="557A8E3C" w14:textId="1C99DFD7" w:rsidR="003829FD" w:rsidRDefault="003829FD" w:rsidP="003829FD">
      <w:pPr>
        <w:rPr>
          <w:rFonts w:ascii="Arial" w:hAnsi="Arial" w:cs="Arial"/>
          <w:sz w:val="24"/>
          <w:szCs w:val="24"/>
        </w:rPr>
      </w:pPr>
    </w:p>
    <w:p w14:paraId="04685192" w14:textId="118762C9" w:rsidR="00E233A0" w:rsidRPr="00E34A6F" w:rsidRDefault="00AF2175" w:rsidP="00E34A6F">
      <w:pPr>
        <w:rPr>
          <w:rFonts w:ascii="Arial" w:hAnsi="Arial" w:cs="Arial"/>
          <w:sz w:val="24"/>
          <w:szCs w:val="24"/>
        </w:rPr>
      </w:pPr>
      <w:r>
        <w:rPr>
          <w:rFonts w:ascii="Arial" w:hAnsi="Arial" w:cs="Arial"/>
          <w:sz w:val="24"/>
          <w:szCs w:val="24"/>
        </w:rPr>
        <w:t xml:space="preserve"> </w:t>
      </w:r>
    </w:p>
    <w:sectPr w:rsidR="00E233A0" w:rsidRPr="00E34A6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DCA86" w14:textId="77777777" w:rsidR="009D17DA" w:rsidRDefault="009D17DA" w:rsidP="009D17DA">
      <w:pPr>
        <w:spacing w:after="0" w:line="240" w:lineRule="auto"/>
      </w:pPr>
      <w:r>
        <w:separator/>
      </w:r>
    </w:p>
  </w:endnote>
  <w:endnote w:type="continuationSeparator" w:id="0">
    <w:p w14:paraId="2A3F105C" w14:textId="77777777" w:rsidR="009D17DA" w:rsidRDefault="009D17DA" w:rsidP="009D1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9532528"/>
      <w:docPartObj>
        <w:docPartGallery w:val="Page Numbers (Bottom of Page)"/>
        <w:docPartUnique/>
      </w:docPartObj>
    </w:sdtPr>
    <w:sdtEndPr>
      <w:rPr>
        <w:noProof/>
      </w:rPr>
    </w:sdtEndPr>
    <w:sdtContent>
      <w:p w14:paraId="2737BAD6" w14:textId="56FFB61D" w:rsidR="009D17DA" w:rsidRDefault="009D17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2F01F8" w14:textId="77777777" w:rsidR="009D17DA" w:rsidRDefault="009D1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CE4F6" w14:textId="77777777" w:rsidR="009D17DA" w:rsidRDefault="009D17DA" w:rsidP="009D17DA">
      <w:pPr>
        <w:spacing w:after="0" w:line="240" w:lineRule="auto"/>
      </w:pPr>
      <w:r>
        <w:separator/>
      </w:r>
    </w:p>
  </w:footnote>
  <w:footnote w:type="continuationSeparator" w:id="0">
    <w:p w14:paraId="245E069B" w14:textId="77777777" w:rsidR="009D17DA" w:rsidRDefault="009D17DA" w:rsidP="009D17DA">
      <w:pPr>
        <w:spacing w:after="0" w:line="240" w:lineRule="auto"/>
      </w:pPr>
      <w:r>
        <w:continuationSeparator/>
      </w:r>
    </w:p>
  </w:footnote>
  <w:footnote w:id="1">
    <w:p w14:paraId="2A78DBAD" w14:textId="77777777" w:rsidR="00AC2654" w:rsidRPr="0007721A" w:rsidRDefault="00AC2654" w:rsidP="00AC2654">
      <w:pPr>
        <w:pStyle w:val="FootnoteText"/>
        <w:rPr>
          <w:rFonts w:ascii="Arial" w:hAnsi="Arial" w:cs="Arial"/>
          <w:lang w:val="en-US"/>
        </w:rPr>
      </w:pPr>
      <w:r w:rsidRPr="0007721A">
        <w:rPr>
          <w:rStyle w:val="FootnoteReference"/>
          <w:rFonts w:ascii="Arial" w:hAnsi="Arial" w:cs="Arial"/>
        </w:rPr>
        <w:footnoteRef/>
      </w:r>
      <w:r w:rsidRPr="0007721A">
        <w:rPr>
          <w:rFonts w:ascii="Arial" w:hAnsi="Arial" w:cs="Arial"/>
        </w:rPr>
        <w:t xml:space="preserve"> </w:t>
      </w:r>
      <w:r w:rsidRPr="0007721A">
        <w:rPr>
          <w:rFonts w:ascii="Arial" w:hAnsi="Arial" w:cs="Arial"/>
          <w:lang w:val="en-US"/>
        </w:rPr>
        <w:t>2022 inflation factor established in the Decision and Order issued on November 18, 2021, EB-2021-0212</w:t>
      </w:r>
    </w:p>
  </w:footnote>
  <w:footnote w:id="2">
    <w:p w14:paraId="79903ED5" w14:textId="77777777" w:rsidR="00AC2654" w:rsidRPr="0006764F" w:rsidRDefault="00AC2654" w:rsidP="00AC2654">
      <w:pPr>
        <w:pStyle w:val="FootnoteText"/>
        <w:rPr>
          <w:rFonts w:ascii="Arial" w:hAnsi="Arial" w:cs="Arial"/>
          <w:lang w:val="en-US"/>
        </w:rPr>
      </w:pPr>
      <w:r w:rsidRPr="0006764F">
        <w:rPr>
          <w:rStyle w:val="FootnoteReference"/>
          <w:rFonts w:ascii="Arial" w:hAnsi="Arial" w:cs="Arial"/>
        </w:rPr>
        <w:footnoteRef/>
      </w:r>
      <w:r w:rsidRPr="0006764F">
        <w:rPr>
          <w:rFonts w:ascii="Arial" w:hAnsi="Arial" w:cs="Arial"/>
        </w:rPr>
        <w:t xml:space="preserve"> </w:t>
      </w:r>
      <w:r w:rsidRPr="0006764F">
        <w:rPr>
          <w:rFonts w:ascii="Arial" w:hAnsi="Arial" w:cs="Arial"/>
          <w:lang w:val="en-US"/>
        </w:rPr>
        <w:t>EB-2021-0302, Decision and Order, issued December 16, 2021</w:t>
      </w:r>
    </w:p>
  </w:footnote>
  <w:footnote w:id="3">
    <w:p w14:paraId="2DC75A0E" w14:textId="77777777" w:rsidR="00AC2654" w:rsidRPr="0006764F" w:rsidRDefault="00AC2654" w:rsidP="00AC2654">
      <w:pPr>
        <w:pStyle w:val="FootnoteText"/>
        <w:rPr>
          <w:rFonts w:ascii="Arial" w:hAnsi="Arial" w:cs="Arial"/>
          <w:lang w:val="en-US"/>
        </w:rPr>
      </w:pPr>
      <w:r w:rsidRPr="0006764F">
        <w:rPr>
          <w:rStyle w:val="FootnoteReference"/>
          <w:rFonts w:ascii="Arial" w:hAnsi="Arial" w:cs="Arial"/>
        </w:rPr>
        <w:footnoteRef/>
      </w:r>
      <w:r w:rsidRPr="0006764F">
        <w:rPr>
          <w:rFonts w:ascii="Arial" w:hAnsi="Arial" w:cs="Arial"/>
        </w:rPr>
        <w:t xml:space="preserve"> </w:t>
      </w:r>
      <w:r w:rsidRPr="0006764F">
        <w:rPr>
          <w:rFonts w:ascii="Arial" w:hAnsi="Arial" w:cs="Arial"/>
          <w:lang w:val="en-US"/>
        </w:rPr>
        <w:t>EB-2021-0276, Decision and Rate Order, issued December 16, 2021</w:t>
      </w:r>
    </w:p>
  </w:footnote>
  <w:footnote w:id="4">
    <w:p w14:paraId="53D69B7C" w14:textId="77777777" w:rsidR="00AC2654" w:rsidRPr="0006764F" w:rsidRDefault="00AC2654" w:rsidP="00AC2654">
      <w:pPr>
        <w:pStyle w:val="FootnoteText"/>
        <w:rPr>
          <w:lang w:val="en-US"/>
        </w:rPr>
      </w:pPr>
      <w:r w:rsidRPr="0006764F">
        <w:rPr>
          <w:rStyle w:val="FootnoteReference"/>
          <w:rFonts w:ascii="Arial" w:hAnsi="Arial" w:cs="Arial"/>
        </w:rPr>
        <w:footnoteRef/>
      </w:r>
      <w:r w:rsidRPr="0006764F">
        <w:rPr>
          <w:rFonts w:ascii="Arial" w:hAnsi="Arial" w:cs="Arial"/>
        </w:rPr>
        <w:t xml:space="preserve"> </w:t>
      </w:r>
      <w:r w:rsidRPr="0006764F">
        <w:rPr>
          <w:rFonts w:ascii="Arial" w:hAnsi="Arial" w:cs="Arial"/>
          <w:lang w:val="en-US"/>
        </w:rPr>
        <w:t>EB-2021-0032, Decision and Rate Order, issued December 14,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A34FD"/>
    <w:multiLevelType w:val="hybridMultilevel"/>
    <w:tmpl w:val="8B3CEBD8"/>
    <w:lvl w:ilvl="0" w:tplc="69BCC4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50585E"/>
    <w:multiLevelType w:val="hybridMultilevel"/>
    <w:tmpl w:val="D1705A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25B21"/>
    <w:multiLevelType w:val="hybridMultilevel"/>
    <w:tmpl w:val="4C7EDB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5744EC"/>
    <w:multiLevelType w:val="hybridMultilevel"/>
    <w:tmpl w:val="ACF6D0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4458A"/>
    <w:multiLevelType w:val="hybridMultilevel"/>
    <w:tmpl w:val="61F21B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3783B"/>
    <w:multiLevelType w:val="hybridMultilevel"/>
    <w:tmpl w:val="489053F4"/>
    <w:lvl w:ilvl="0" w:tplc="4650CD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F63F56"/>
    <w:multiLevelType w:val="hybridMultilevel"/>
    <w:tmpl w:val="FF3C67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01C76"/>
    <w:multiLevelType w:val="hybridMultilevel"/>
    <w:tmpl w:val="94225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656154"/>
    <w:multiLevelType w:val="hybridMultilevel"/>
    <w:tmpl w:val="26B6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023BC0"/>
    <w:multiLevelType w:val="hybridMultilevel"/>
    <w:tmpl w:val="86B081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BA45C9"/>
    <w:multiLevelType w:val="hybridMultilevel"/>
    <w:tmpl w:val="ADD67C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0D089D"/>
    <w:multiLevelType w:val="hybridMultilevel"/>
    <w:tmpl w:val="07628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7"/>
  </w:num>
  <w:num w:numId="4">
    <w:abstractNumId w:val="1"/>
  </w:num>
  <w:num w:numId="5">
    <w:abstractNumId w:val="5"/>
  </w:num>
  <w:num w:numId="6">
    <w:abstractNumId w:val="3"/>
  </w:num>
  <w:num w:numId="7">
    <w:abstractNumId w:val="9"/>
  </w:num>
  <w:num w:numId="8">
    <w:abstractNumId w:val="4"/>
  </w:num>
  <w:num w:numId="9">
    <w:abstractNumId w:val="2"/>
  </w:num>
  <w:num w:numId="10">
    <w:abstractNumId w:val="6"/>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C1"/>
    <w:rsid w:val="00052665"/>
    <w:rsid w:val="00100B09"/>
    <w:rsid w:val="00105C71"/>
    <w:rsid w:val="00167549"/>
    <w:rsid w:val="001753B6"/>
    <w:rsid w:val="001C3083"/>
    <w:rsid w:val="001D5A75"/>
    <w:rsid w:val="002A7C33"/>
    <w:rsid w:val="003829FD"/>
    <w:rsid w:val="00411D15"/>
    <w:rsid w:val="004A4C46"/>
    <w:rsid w:val="00517EEF"/>
    <w:rsid w:val="005661C1"/>
    <w:rsid w:val="00572866"/>
    <w:rsid w:val="005F0FDC"/>
    <w:rsid w:val="006F4247"/>
    <w:rsid w:val="007D400A"/>
    <w:rsid w:val="008804B2"/>
    <w:rsid w:val="00925023"/>
    <w:rsid w:val="0094126F"/>
    <w:rsid w:val="009D17DA"/>
    <w:rsid w:val="00A46497"/>
    <w:rsid w:val="00AC2654"/>
    <w:rsid w:val="00AC36AC"/>
    <w:rsid w:val="00AC37A6"/>
    <w:rsid w:val="00AF2175"/>
    <w:rsid w:val="00B10302"/>
    <w:rsid w:val="00C64CC2"/>
    <w:rsid w:val="00CC2285"/>
    <w:rsid w:val="00CF15FE"/>
    <w:rsid w:val="00D047EC"/>
    <w:rsid w:val="00E10950"/>
    <w:rsid w:val="00E233A0"/>
    <w:rsid w:val="00E34A6F"/>
    <w:rsid w:val="00E82BF4"/>
    <w:rsid w:val="00ED07C2"/>
    <w:rsid w:val="00FA6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A3FE9"/>
  <w15:chartTrackingRefBased/>
  <w15:docId w15:val="{CB365403-3267-447F-86BE-A0ECF4AC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A75"/>
    <w:pPr>
      <w:ind w:left="720"/>
      <w:contextualSpacing/>
    </w:pPr>
  </w:style>
  <w:style w:type="paragraph" w:styleId="Header">
    <w:name w:val="header"/>
    <w:basedOn w:val="Normal"/>
    <w:link w:val="HeaderChar"/>
    <w:uiPriority w:val="99"/>
    <w:unhideWhenUsed/>
    <w:rsid w:val="009D17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7DA"/>
  </w:style>
  <w:style w:type="paragraph" w:styleId="Footer">
    <w:name w:val="footer"/>
    <w:basedOn w:val="Normal"/>
    <w:link w:val="FooterChar"/>
    <w:uiPriority w:val="99"/>
    <w:unhideWhenUsed/>
    <w:rsid w:val="009D17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7DA"/>
  </w:style>
  <w:style w:type="paragraph" w:customStyle="1" w:styleId="Default">
    <w:name w:val="Default"/>
    <w:rsid w:val="00AC2654"/>
    <w:pPr>
      <w:autoSpaceDE w:val="0"/>
      <w:autoSpaceDN w:val="0"/>
      <w:adjustRightInd w:val="0"/>
      <w:spacing w:after="0" w:line="240" w:lineRule="auto"/>
    </w:pPr>
    <w:rPr>
      <w:rFonts w:ascii="Calibri" w:hAnsi="Calibri" w:cs="Calibri"/>
      <w:color w:val="000000"/>
      <w:sz w:val="24"/>
      <w:szCs w:val="24"/>
      <w:lang w:val="en-CA"/>
    </w:rPr>
  </w:style>
  <w:style w:type="character" w:styleId="CommentReference">
    <w:name w:val="annotation reference"/>
    <w:basedOn w:val="DefaultParagraphFont"/>
    <w:uiPriority w:val="99"/>
    <w:semiHidden/>
    <w:unhideWhenUsed/>
    <w:rsid w:val="00AC2654"/>
    <w:rPr>
      <w:sz w:val="16"/>
      <w:szCs w:val="16"/>
    </w:rPr>
  </w:style>
  <w:style w:type="paragraph" w:styleId="CommentText">
    <w:name w:val="annotation text"/>
    <w:basedOn w:val="Normal"/>
    <w:link w:val="CommentTextChar"/>
    <w:uiPriority w:val="99"/>
    <w:semiHidden/>
    <w:unhideWhenUsed/>
    <w:rsid w:val="00AC2654"/>
    <w:pPr>
      <w:spacing w:after="200" w:line="240" w:lineRule="auto"/>
    </w:pPr>
    <w:rPr>
      <w:sz w:val="20"/>
      <w:szCs w:val="20"/>
      <w:lang w:val="en-CA"/>
    </w:rPr>
  </w:style>
  <w:style w:type="character" w:customStyle="1" w:styleId="CommentTextChar">
    <w:name w:val="Comment Text Char"/>
    <w:basedOn w:val="DefaultParagraphFont"/>
    <w:link w:val="CommentText"/>
    <w:uiPriority w:val="99"/>
    <w:semiHidden/>
    <w:rsid w:val="00AC2654"/>
    <w:rPr>
      <w:sz w:val="20"/>
      <w:szCs w:val="20"/>
      <w:lang w:val="en-CA"/>
    </w:rPr>
  </w:style>
  <w:style w:type="paragraph" w:styleId="FootnoteText">
    <w:name w:val="footnote text"/>
    <w:basedOn w:val="Normal"/>
    <w:link w:val="FootnoteTextChar"/>
    <w:uiPriority w:val="99"/>
    <w:semiHidden/>
    <w:unhideWhenUsed/>
    <w:rsid w:val="00AC2654"/>
    <w:pPr>
      <w:spacing w:after="0" w:line="240" w:lineRule="auto"/>
    </w:pPr>
    <w:rPr>
      <w:sz w:val="20"/>
      <w:szCs w:val="20"/>
      <w:lang w:val="en-CA"/>
    </w:rPr>
  </w:style>
  <w:style w:type="character" w:customStyle="1" w:styleId="FootnoteTextChar">
    <w:name w:val="Footnote Text Char"/>
    <w:basedOn w:val="DefaultParagraphFont"/>
    <w:link w:val="FootnoteText"/>
    <w:uiPriority w:val="99"/>
    <w:semiHidden/>
    <w:rsid w:val="00AC2654"/>
    <w:rPr>
      <w:sz w:val="20"/>
      <w:szCs w:val="20"/>
      <w:lang w:val="en-CA"/>
    </w:rPr>
  </w:style>
  <w:style w:type="character" w:styleId="FootnoteReference">
    <w:name w:val="footnote reference"/>
    <w:basedOn w:val="DefaultParagraphFont"/>
    <w:uiPriority w:val="99"/>
    <w:semiHidden/>
    <w:unhideWhenUsed/>
    <w:rsid w:val="00AC26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638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2787</TotalTime>
  <Pages>4</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Li</dc:creator>
  <cp:keywords/>
  <dc:description/>
  <cp:lastModifiedBy>Kelli Benincasa</cp:lastModifiedBy>
  <cp:revision>9</cp:revision>
  <dcterms:created xsi:type="dcterms:W3CDTF">2021-12-20T18:47:00Z</dcterms:created>
  <dcterms:modified xsi:type="dcterms:W3CDTF">2022-01-13T15:29:00Z</dcterms:modified>
</cp:coreProperties>
</file>