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098BE565" w:rsidR="003832E7" w:rsidRPr="003832E7" w:rsidRDefault="00471DB2" w:rsidP="003832E7">
      <w:pPr>
        <w:pStyle w:val="Default"/>
        <w:jc w:val="right"/>
        <w:rPr>
          <w:rFonts w:ascii="Arial" w:hAnsi="Arial" w:cs="Arial"/>
          <w:sz w:val="22"/>
          <w:szCs w:val="22"/>
        </w:rPr>
      </w:pPr>
      <w:r>
        <w:rPr>
          <w:rFonts w:ascii="Arial" w:hAnsi="Arial" w:cs="Arial"/>
          <w:bCs/>
          <w:sz w:val="22"/>
          <w:szCs w:val="22"/>
        </w:rPr>
        <w:t>Hydro 2000 Inc.</w:t>
      </w:r>
    </w:p>
    <w:p w14:paraId="5498C7DE" w14:textId="531EE6C3" w:rsidR="00A07077" w:rsidRDefault="00A8111A" w:rsidP="00A07077">
      <w:pPr>
        <w:pStyle w:val="Default"/>
        <w:jc w:val="right"/>
        <w:rPr>
          <w:rFonts w:ascii="Arial" w:hAnsi="Arial" w:cs="Arial"/>
          <w:sz w:val="22"/>
          <w:szCs w:val="22"/>
        </w:rPr>
      </w:pPr>
      <w:r>
        <w:rPr>
          <w:rFonts w:ascii="Arial" w:hAnsi="Arial" w:cs="Arial"/>
          <w:sz w:val="22"/>
          <w:szCs w:val="22"/>
        </w:rPr>
        <w:t xml:space="preserve">Response to </w:t>
      </w:r>
      <w:r w:rsidR="008A48F6"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6387A852" w14:textId="7BF0B2E7" w:rsidR="00A8111A" w:rsidRPr="00D57E8C" w:rsidRDefault="00F34758" w:rsidP="00A07077">
      <w:pPr>
        <w:pStyle w:val="Default"/>
        <w:jc w:val="right"/>
        <w:rPr>
          <w:rFonts w:ascii="Arial" w:hAnsi="Arial" w:cs="Arial"/>
          <w:sz w:val="22"/>
          <w:szCs w:val="22"/>
        </w:rPr>
      </w:pPr>
      <w:r>
        <w:rPr>
          <w:rFonts w:ascii="Arial" w:hAnsi="Arial" w:cs="Arial"/>
          <w:sz w:val="22"/>
          <w:szCs w:val="22"/>
        </w:rPr>
        <w:t>February 3</w:t>
      </w:r>
      <w:r w:rsidR="00A8111A">
        <w:rPr>
          <w:rFonts w:ascii="Arial" w:hAnsi="Arial" w:cs="Arial"/>
          <w:sz w:val="22"/>
          <w:szCs w:val="22"/>
        </w:rPr>
        <w:t>, 2022</w:t>
      </w:r>
    </w:p>
    <w:p w14:paraId="04387495" w14:textId="6A7698DF"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471DB2">
        <w:rPr>
          <w:rFonts w:ascii="Arial" w:hAnsi="Arial" w:cs="Arial"/>
          <w:sz w:val="22"/>
          <w:szCs w:val="22"/>
        </w:rPr>
        <w:t>0030</w:t>
      </w:r>
    </w:p>
    <w:p w14:paraId="04DD1EF2" w14:textId="77777777" w:rsidR="00A07077" w:rsidRPr="00D57E8C" w:rsidRDefault="00A07077" w:rsidP="00A07077">
      <w:pPr>
        <w:pStyle w:val="Default"/>
        <w:rPr>
          <w:rFonts w:ascii="Arial" w:hAnsi="Arial" w:cs="Arial"/>
          <w:sz w:val="22"/>
          <w:szCs w:val="22"/>
        </w:rPr>
      </w:pPr>
    </w:p>
    <w:p w14:paraId="31F8E0D6" w14:textId="18C08AF0" w:rsidR="00A07077" w:rsidRPr="00D57E8C" w:rsidRDefault="00471DB2" w:rsidP="00A07077">
      <w:pPr>
        <w:pStyle w:val="Default"/>
        <w:jc w:val="center"/>
        <w:rPr>
          <w:rFonts w:ascii="Arial" w:hAnsi="Arial" w:cs="Arial"/>
          <w:sz w:val="28"/>
          <w:szCs w:val="28"/>
        </w:rPr>
      </w:pPr>
      <w:r>
        <w:rPr>
          <w:rFonts w:ascii="Arial" w:hAnsi="Arial" w:cs="Arial"/>
          <w:b/>
          <w:bCs/>
          <w:sz w:val="28"/>
          <w:szCs w:val="28"/>
        </w:rPr>
        <w:t>Hydro 2000 Inc.</w:t>
      </w:r>
    </w:p>
    <w:p w14:paraId="33D6510D" w14:textId="0360C7A5"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471DB2">
        <w:rPr>
          <w:rFonts w:ascii="Arial" w:hAnsi="Arial" w:cs="Arial"/>
          <w:b/>
          <w:bCs/>
          <w:sz w:val="28"/>
          <w:szCs w:val="28"/>
        </w:rPr>
        <w:t>0030</w:t>
      </w:r>
    </w:p>
    <w:p w14:paraId="63C86BE8" w14:textId="77777777" w:rsidR="00511EC2" w:rsidRDefault="00511EC2" w:rsidP="00511EC2">
      <w:pPr>
        <w:spacing w:after="0" w:line="240" w:lineRule="auto"/>
        <w:rPr>
          <w:rFonts w:ascii="Arial" w:eastAsia="Calibri" w:hAnsi="Arial" w:cs="Arial"/>
          <w:lang w:val="en-US"/>
        </w:rPr>
      </w:pPr>
    </w:p>
    <w:p w14:paraId="2A0CB1B0" w14:textId="34E6DEC2"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471DB2">
        <w:rPr>
          <w:rFonts w:ascii="Arial" w:eastAsia="Calibri" w:hAnsi="Arial" w:cs="Arial"/>
          <w:sz w:val="24"/>
          <w:szCs w:val="24"/>
        </w:rPr>
        <w:t xml:space="preserve">Hydro 2000 Inc. (Hydro 2000)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36EBFF64" w14:textId="4BD23DDD" w:rsidR="00FD2E0C" w:rsidRDefault="002D6FCF" w:rsidP="00C71248">
      <w:pPr>
        <w:spacing w:line="240" w:lineRule="auto"/>
        <w:rPr>
          <w:rFonts w:ascii="Arial" w:hAnsi="Arial" w:cs="Arial"/>
          <w:sz w:val="24"/>
          <w:szCs w:val="24"/>
        </w:rPr>
      </w:pPr>
      <w:r>
        <w:rPr>
          <w:rFonts w:ascii="Arial" w:hAnsi="Arial" w:cs="Arial"/>
          <w:sz w:val="24"/>
          <w:szCs w:val="24"/>
        </w:rPr>
        <w:t xml:space="preserve">Please also note, </w:t>
      </w:r>
      <w:r w:rsidR="00FD2E0C">
        <w:rPr>
          <w:rFonts w:ascii="Arial" w:hAnsi="Arial" w:cs="Arial"/>
          <w:sz w:val="24"/>
          <w:szCs w:val="24"/>
        </w:rPr>
        <w:t xml:space="preserve">OEB staff has made the following generic updates in </w:t>
      </w:r>
      <w:r w:rsidR="00FD2E0C">
        <w:rPr>
          <w:rFonts w:ascii="Arial" w:eastAsia="Calibri" w:hAnsi="Arial" w:cs="Arial"/>
          <w:sz w:val="24"/>
          <w:szCs w:val="24"/>
        </w:rPr>
        <w:t>Hydro 2000’s</w:t>
      </w:r>
      <w:r w:rsidR="00FD2E0C">
        <w:rPr>
          <w:rFonts w:ascii="Arial" w:hAnsi="Arial" w:cs="Arial"/>
          <w:sz w:val="24"/>
          <w:szCs w:val="24"/>
        </w:rPr>
        <w:t xml:space="preserve"> Rate Generator Model and attached it to the</w:t>
      </w:r>
      <w:r>
        <w:rPr>
          <w:rFonts w:ascii="Arial" w:hAnsi="Arial" w:cs="Arial"/>
          <w:sz w:val="24"/>
          <w:szCs w:val="24"/>
        </w:rPr>
        <w:t>se</w:t>
      </w:r>
      <w:r w:rsidR="00FD2E0C">
        <w:rPr>
          <w:rFonts w:ascii="Arial" w:hAnsi="Arial" w:cs="Arial"/>
          <w:sz w:val="24"/>
          <w:szCs w:val="24"/>
        </w:rPr>
        <w:t xml:space="preserve"> OEB staff questions:</w:t>
      </w:r>
    </w:p>
    <w:p w14:paraId="16B1708E" w14:textId="4A619C44" w:rsidR="00FD2E0C" w:rsidRDefault="00FD2E0C" w:rsidP="00C71248">
      <w:pPr>
        <w:pStyle w:val="ListParagraph"/>
        <w:numPr>
          <w:ilvl w:val="0"/>
          <w:numId w:val="34"/>
        </w:numPr>
        <w:spacing w:after="0" w:line="240" w:lineRule="auto"/>
        <w:rPr>
          <w:rFonts w:ascii="Arial" w:hAnsi="Arial" w:cs="Arial"/>
          <w:sz w:val="24"/>
          <w:szCs w:val="24"/>
        </w:rPr>
      </w:pPr>
      <w:r>
        <w:rPr>
          <w:rFonts w:ascii="Arial" w:hAnsi="Arial" w:cs="Arial"/>
          <w:sz w:val="24"/>
          <w:szCs w:val="24"/>
        </w:rPr>
        <w:t>Updated the IPI Inflation Factor to 3.30%</w:t>
      </w:r>
      <w:r>
        <w:rPr>
          <w:rStyle w:val="FootnoteReference"/>
          <w:rFonts w:ascii="Arial" w:hAnsi="Arial" w:cs="Arial"/>
          <w:sz w:val="24"/>
          <w:szCs w:val="24"/>
        </w:rPr>
        <w:footnoteReference w:id="1"/>
      </w:r>
      <w:r>
        <w:rPr>
          <w:rFonts w:ascii="Arial" w:hAnsi="Arial" w:cs="Arial"/>
          <w:sz w:val="24"/>
          <w:szCs w:val="24"/>
        </w:rPr>
        <w:t xml:space="preserve"> in Tab 16 and Tab 17-Retail Service Charges</w:t>
      </w:r>
      <w:r w:rsidR="009C7996">
        <w:rPr>
          <w:rStyle w:val="FootnoteReference"/>
          <w:rFonts w:ascii="Arial" w:hAnsi="Arial" w:cs="Arial"/>
          <w:sz w:val="24"/>
          <w:szCs w:val="24"/>
        </w:rPr>
        <w:footnoteReference w:id="2"/>
      </w:r>
      <w:r>
        <w:rPr>
          <w:rFonts w:ascii="Arial" w:hAnsi="Arial" w:cs="Arial"/>
          <w:sz w:val="24"/>
          <w:szCs w:val="24"/>
        </w:rPr>
        <w:t xml:space="preserve"> </w:t>
      </w:r>
    </w:p>
    <w:p w14:paraId="3037A72B" w14:textId="77777777" w:rsidR="00FD2E0C" w:rsidRDefault="00FD2E0C" w:rsidP="00C71248">
      <w:pPr>
        <w:pStyle w:val="ListParagraph"/>
        <w:numPr>
          <w:ilvl w:val="0"/>
          <w:numId w:val="34"/>
        </w:numPr>
        <w:spacing w:after="0" w:line="240" w:lineRule="auto"/>
        <w:rPr>
          <w:rFonts w:ascii="Arial" w:hAnsi="Arial" w:cs="Arial"/>
          <w:sz w:val="24"/>
          <w:szCs w:val="24"/>
        </w:rPr>
      </w:pPr>
      <w:r>
        <w:rPr>
          <w:rFonts w:ascii="Arial" w:hAnsi="Arial" w:cs="Arial"/>
          <w:sz w:val="24"/>
          <w:szCs w:val="24"/>
        </w:rPr>
        <w:t>Updated the Ontario Electricity Rebate in Tab 20 to 17% (as of November 1, 2021)</w:t>
      </w:r>
    </w:p>
    <w:p w14:paraId="6214DD35" w14:textId="001F1C8E" w:rsidR="00FD2E0C" w:rsidRDefault="00FD2E0C" w:rsidP="00C71248">
      <w:pPr>
        <w:pStyle w:val="ListParagraph"/>
        <w:numPr>
          <w:ilvl w:val="0"/>
          <w:numId w:val="34"/>
        </w:numPr>
        <w:spacing w:after="0" w:line="240" w:lineRule="auto"/>
        <w:rPr>
          <w:rFonts w:ascii="Arial" w:hAnsi="Arial" w:cs="Arial"/>
          <w:sz w:val="24"/>
          <w:szCs w:val="24"/>
        </w:rPr>
      </w:pPr>
      <w:r>
        <w:rPr>
          <w:rFonts w:ascii="Arial" w:hAnsi="Arial" w:cs="Arial"/>
          <w:sz w:val="24"/>
          <w:szCs w:val="24"/>
        </w:rPr>
        <w:t>Updated the Wireline Pole Attachment Charge to $34.76</w:t>
      </w:r>
      <w:r>
        <w:rPr>
          <w:rStyle w:val="FootnoteReference"/>
          <w:rFonts w:ascii="Arial" w:hAnsi="Arial" w:cs="Arial"/>
          <w:sz w:val="24"/>
          <w:szCs w:val="24"/>
        </w:rPr>
        <w:footnoteReference w:id="3"/>
      </w:r>
      <w:r>
        <w:rPr>
          <w:rFonts w:ascii="Arial" w:hAnsi="Arial" w:cs="Arial"/>
          <w:sz w:val="24"/>
          <w:szCs w:val="24"/>
        </w:rPr>
        <w:t xml:space="preserve"> in Tab 17</w:t>
      </w:r>
      <w:r w:rsidR="0044769D">
        <w:rPr>
          <w:rFonts w:ascii="Arial" w:hAnsi="Arial" w:cs="Arial"/>
          <w:sz w:val="24"/>
          <w:szCs w:val="24"/>
        </w:rPr>
        <w:t xml:space="preserve"> and removed the “Approved on an Interim Basis” language </w:t>
      </w:r>
      <w:r w:rsidR="00C71248">
        <w:rPr>
          <w:rFonts w:ascii="Arial" w:hAnsi="Arial" w:cs="Arial"/>
          <w:sz w:val="24"/>
          <w:szCs w:val="24"/>
        </w:rPr>
        <w:t>i</w:t>
      </w:r>
      <w:r w:rsidR="0044769D">
        <w:rPr>
          <w:rFonts w:ascii="Arial" w:hAnsi="Arial" w:cs="Arial"/>
          <w:sz w:val="24"/>
          <w:szCs w:val="24"/>
        </w:rPr>
        <w:t>n Tab 19</w:t>
      </w:r>
    </w:p>
    <w:p w14:paraId="55772A1F" w14:textId="77777777" w:rsidR="00FD2E0C" w:rsidRPr="00131FCB" w:rsidRDefault="00FD2E0C" w:rsidP="00C71248">
      <w:pPr>
        <w:pStyle w:val="ListParagraph"/>
        <w:numPr>
          <w:ilvl w:val="0"/>
          <w:numId w:val="34"/>
        </w:numPr>
        <w:spacing w:after="0" w:line="240" w:lineRule="auto"/>
        <w:rPr>
          <w:rFonts w:ascii="Arial" w:hAnsi="Arial" w:cs="Arial"/>
          <w:sz w:val="24"/>
          <w:szCs w:val="24"/>
        </w:rPr>
      </w:pPr>
      <w:r>
        <w:rPr>
          <w:rFonts w:ascii="Arial" w:hAnsi="Arial" w:cs="Arial"/>
          <w:sz w:val="24"/>
          <w:szCs w:val="24"/>
        </w:rPr>
        <w:t>Updated the 2022 UTRs</w:t>
      </w:r>
      <w:r>
        <w:rPr>
          <w:rStyle w:val="FootnoteReference"/>
          <w:rFonts w:ascii="Arial" w:hAnsi="Arial" w:cs="Arial"/>
          <w:sz w:val="24"/>
          <w:szCs w:val="24"/>
        </w:rPr>
        <w:footnoteReference w:id="4"/>
      </w:r>
      <w:r>
        <w:rPr>
          <w:rFonts w:ascii="Arial" w:hAnsi="Arial" w:cs="Arial"/>
          <w:sz w:val="24"/>
          <w:szCs w:val="24"/>
        </w:rPr>
        <w:t xml:space="preserve"> and Hydro One Sub-transmission rates</w:t>
      </w:r>
      <w:r>
        <w:rPr>
          <w:rStyle w:val="FootnoteReference"/>
          <w:rFonts w:ascii="Arial" w:hAnsi="Arial" w:cs="Arial"/>
          <w:sz w:val="24"/>
          <w:szCs w:val="24"/>
        </w:rPr>
        <w:footnoteReference w:id="5"/>
      </w:r>
      <w:r>
        <w:rPr>
          <w:rFonts w:ascii="Arial" w:hAnsi="Arial" w:cs="Arial"/>
          <w:sz w:val="24"/>
          <w:szCs w:val="24"/>
        </w:rPr>
        <w:t xml:space="preserve"> in Tab 15</w:t>
      </w:r>
    </w:p>
    <w:p w14:paraId="084A8587" w14:textId="77777777" w:rsidR="00A978D1" w:rsidRDefault="00A978D1" w:rsidP="00666B6E">
      <w:pPr>
        <w:spacing w:after="0"/>
        <w:rPr>
          <w:rFonts w:ascii="Arial" w:hAnsi="Arial" w:cs="Arial"/>
          <w:b/>
          <w:bCs/>
          <w:sz w:val="24"/>
          <w:szCs w:val="24"/>
        </w:rPr>
      </w:pPr>
    </w:p>
    <w:p w14:paraId="50B366D7" w14:textId="77777777" w:rsidR="00D93734" w:rsidRDefault="00D93734" w:rsidP="00666B6E">
      <w:pPr>
        <w:spacing w:after="0"/>
        <w:rPr>
          <w:rFonts w:ascii="Arial" w:hAnsi="Arial" w:cs="Arial"/>
          <w:color w:val="000000"/>
          <w:sz w:val="24"/>
          <w:szCs w:val="24"/>
        </w:rPr>
      </w:pPr>
    </w:p>
    <w:p w14:paraId="021F9CF5" w14:textId="04FB2EBD" w:rsidR="0087778A" w:rsidRPr="00E011F9" w:rsidRDefault="0087778A" w:rsidP="00666B6E">
      <w:pPr>
        <w:spacing w:after="0"/>
        <w:rPr>
          <w:rFonts w:ascii="Arial" w:hAnsi="Arial" w:cs="Arial"/>
          <w:b/>
          <w:bCs/>
          <w:sz w:val="24"/>
          <w:szCs w:val="24"/>
        </w:rPr>
      </w:pPr>
      <w:r w:rsidRPr="00E011F9">
        <w:rPr>
          <w:rFonts w:ascii="Arial" w:hAnsi="Arial" w:cs="Arial"/>
          <w:b/>
          <w:bCs/>
          <w:sz w:val="24"/>
          <w:szCs w:val="24"/>
        </w:rPr>
        <w:t>Staff-</w:t>
      </w:r>
      <w:r w:rsidR="00D93734">
        <w:rPr>
          <w:rFonts w:ascii="Arial" w:hAnsi="Arial" w:cs="Arial"/>
          <w:b/>
          <w:bCs/>
          <w:sz w:val="24"/>
          <w:szCs w:val="24"/>
        </w:rPr>
        <w:t>1</w:t>
      </w:r>
    </w:p>
    <w:p w14:paraId="11D5039A" w14:textId="77777777" w:rsidR="0087778A" w:rsidRDefault="0087778A" w:rsidP="00666B6E">
      <w:pPr>
        <w:spacing w:after="0"/>
        <w:rPr>
          <w:rFonts w:ascii="Arial" w:hAnsi="Arial" w:cs="Arial"/>
          <w:b/>
          <w:bCs/>
          <w:sz w:val="24"/>
          <w:szCs w:val="24"/>
        </w:rPr>
      </w:pPr>
      <w:r w:rsidRPr="00E011F9">
        <w:rPr>
          <w:rFonts w:ascii="Arial" w:hAnsi="Arial" w:cs="Arial"/>
          <w:b/>
          <w:bCs/>
          <w:sz w:val="24"/>
          <w:szCs w:val="24"/>
        </w:rPr>
        <w:t>Ref</w:t>
      </w:r>
      <w:r>
        <w:rPr>
          <w:rFonts w:ascii="Arial" w:hAnsi="Arial" w:cs="Arial"/>
          <w:b/>
          <w:bCs/>
          <w:sz w:val="24"/>
          <w:szCs w:val="24"/>
        </w:rPr>
        <w:t xml:space="preserve"> 1: Manager’s Summary, p. 9</w:t>
      </w:r>
    </w:p>
    <w:p w14:paraId="33F7DEF3" w14:textId="4A440216" w:rsidR="0087778A" w:rsidRDefault="0087778A" w:rsidP="00E70EAA">
      <w:pPr>
        <w:spacing w:after="0"/>
        <w:rPr>
          <w:rFonts w:ascii="Arial" w:hAnsi="Arial" w:cs="Arial"/>
          <w:b/>
          <w:bCs/>
          <w:sz w:val="24"/>
          <w:szCs w:val="24"/>
        </w:rPr>
      </w:pPr>
      <w:r w:rsidRPr="00E011F9">
        <w:rPr>
          <w:rFonts w:ascii="Arial" w:hAnsi="Arial" w:cs="Arial"/>
          <w:b/>
          <w:bCs/>
          <w:sz w:val="24"/>
          <w:szCs w:val="24"/>
        </w:rPr>
        <w:t>Re</w:t>
      </w:r>
      <w:r>
        <w:rPr>
          <w:rFonts w:ascii="Arial" w:hAnsi="Arial" w:cs="Arial"/>
          <w:b/>
          <w:bCs/>
          <w:sz w:val="24"/>
          <w:szCs w:val="24"/>
        </w:rPr>
        <w:t>f 2: Rate Generator Model, Tab 16</w:t>
      </w:r>
    </w:p>
    <w:p w14:paraId="2E10E9CC" w14:textId="77777777" w:rsidR="00E70EAA" w:rsidRDefault="00E70EAA" w:rsidP="00E70EAA">
      <w:pPr>
        <w:spacing w:after="0"/>
        <w:rPr>
          <w:rFonts w:ascii="Arial" w:hAnsi="Arial" w:cs="Arial"/>
          <w:bCs/>
          <w:sz w:val="24"/>
          <w:szCs w:val="24"/>
        </w:rPr>
      </w:pPr>
    </w:p>
    <w:p w14:paraId="7F9BC896" w14:textId="6DA909B5" w:rsidR="00A42475" w:rsidRPr="0087778A" w:rsidRDefault="006537D7" w:rsidP="00666B6E">
      <w:pPr>
        <w:spacing w:after="0"/>
        <w:rPr>
          <w:rFonts w:ascii="Arial" w:hAnsi="Arial" w:cs="Arial"/>
          <w:sz w:val="24"/>
          <w:szCs w:val="24"/>
        </w:rPr>
      </w:pPr>
      <w:r>
        <w:rPr>
          <w:rFonts w:ascii="Arial" w:hAnsi="Arial" w:cs="Arial"/>
          <w:sz w:val="24"/>
          <w:szCs w:val="24"/>
          <w:lang w:val="en-US"/>
        </w:rPr>
        <w:t xml:space="preserve">For the stretch factor grouping, Hydro 2000 </w:t>
      </w:r>
      <w:r w:rsidR="00B75AC9">
        <w:rPr>
          <w:rFonts w:ascii="Arial" w:hAnsi="Arial" w:cs="Arial"/>
          <w:sz w:val="24"/>
          <w:szCs w:val="24"/>
          <w:lang w:val="en-US"/>
        </w:rPr>
        <w:t>states</w:t>
      </w:r>
      <w:r>
        <w:rPr>
          <w:rFonts w:ascii="Arial" w:hAnsi="Arial" w:cs="Arial"/>
          <w:sz w:val="24"/>
          <w:szCs w:val="24"/>
          <w:lang w:val="en-US"/>
        </w:rPr>
        <w:t xml:space="preserve"> that it was assigned to stretch factor group II and that its stretch factor value is 0.00%. </w:t>
      </w:r>
      <w:r w:rsidR="00A52933">
        <w:rPr>
          <w:rFonts w:ascii="Arial" w:hAnsi="Arial" w:cs="Arial"/>
          <w:sz w:val="24"/>
          <w:szCs w:val="24"/>
          <w:lang w:val="en-US"/>
        </w:rPr>
        <w:t>OEB staff notes that t</w:t>
      </w:r>
      <w:r>
        <w:rPr>
          <w:rFonts w:ascii="Arial" w:hAnsi="Arial" w:cs="Arial"/>
          <w:sz w:val="24"/>
          <w:szCs w:val="24"/>
          <w:lang w:val="en-US"/>
        </w:rPr>
        <w:t xml:space="preserve">he stretch factor value associated with group II is 0.15%. Please update the </w:t>
      </w:r>
      <w:r w:rsidR="00B75AC9">
        <w:rPr>
          <w:rFonts w:ascii="Arial" w:hAnsi="Arial" w:cs="Arial"/>
          <w:sz w:val="24"/>
          <w:szCs w:val="24"/>
          <w:lang w:val="en-US"/>
        </w:rPr>
        <w:t>stretch</w:t>
      </w:r>
      <w:r>
        <w:rPr>
          <w:rFonts w:ascii="Arial" w:hAnsi="Arial" w:cs="Arial"/>
          <w:sz w:val="24"/>
          <w:szCs w:val="24"/>
          <w:lang w:val="en-US"/>
        </w:rPr>
        <w:t xml:space="preserve"> factor value</w:t>
      </w:r>
      <w:r w:rsidR="00B75AC9">
        <w:rPr>
          <w:rFonts w:ascii="Arial" w:hAnsi="Arial" w:cs="Arial"/>
          <w:sz w:val="24"/>
          <w:szCs w:val="24"/>
          <w:lang w:val="en-US"/>
        </w:rPr>
        <w:t xml:space="preserve"> in tab 16</w:t>
      </w:r>
      <w:r>
        <w:rPr>
          <w:rFonts w:ascii="Arial" w:hAnsi="Arial" w:cs="Arial"/>
          <w:sz w:val="24"/>
          <w:szCs w:val="24"/>
          <w:lang w:val="en-US"/>
        </w:rPr>
        <w:t xml:space="preserve"> to 0.15%</w:t>
      </w:r>
      <w:r w:rsidR="00B75AC9">
        <w:rPr>
          <w:rFonts w:ascii="Arial" w:hAnsi="Arial" w:cs="Arial"/>
          <w:sz w:val="24"/>
          <w:szCs w:val="24"/>
          <w:lang w:val="en-US"/>
        </w:rPr>
        <w:t>.</w:t>
      </w:r>
    </w:p>
    <w:p w14:paraId="5A048395" w14:textId="77777777" w:rsidR="0087778A" w:rsidRDefault="0087778A" w:rsidP="00666B6E">
      <w:pPr>
        <w:spacing w:after="0"/>
        <w:rPr>
          <w:rFonts w:ascii="Arial" w:hAnsi="Arial" w:cs="Arial"/>
          <w:b/>
          <w:bCs/>
          <w:sz w:val="24"/>
          <w:szCs w:val="24"/>
        </w:rPr>
      </w:pPr>
    </w:p>
    <w:p w14:paraId="734A3D53" w14:textId="3A9BE8FA" w:rsidR="0087778A" w:rsidRPr="003478C3" w:rsidRDefault="00A8111A" w:rsidP="00666B6E">
      <w:pPr>
        <w:spacing w:after="0"/>
        <w:rPr>
          <w:rFonts w:ascii="Arial" w:hAnsi="Arial" w:cs="Arial"/>
          <w:color w:val="0070C0"/>
          <w:sz w:val="24"/>
          <w:szCs w:val="24"/>
        </w:rPr>
      </w:pPr>
      <w:r w:rsidRPr="003478C3">
        <w:rPr>
          <w:rFonts w:ascii="Arial" w:hAnsi="Arial" w:cs="Arial"/>
          <w:b/>
          <w:bCs/>
          <w:color w:val="0070C0"/>
          <w:sz w:val="24"/>
          <w:szCs w:val="24"/>
        </w:rPr>
        <w:t xml:space="preserve">Hydro 2000 Response: </w:t>
      </w:r>
      <w:r w:rsidRPr="003478C3">
        <w:rPr>
          <w:rFonts w:ascii="Arial" w:hAnsi="Arial" w:cs="Arial"/>
          <w:color w:val="0070C0"/>
          <w:sz w:val="24"/>
          <w:szCs w:val="24"/>
        </w:rPr>
        <w:t>H2000</w:t>
      </w:r>
      <w:r w:rsidR="003478C3" w:rsidRPr="003478C3">
        <w:rPr>
          <w:rFonts w:ascii="Arial" w:hAnsi="Arial" w:cs="Arial"/>
          <w:color w:val="0070C0"/>
          <w:sz w:val="24"/>
          <w:szCs w:val="24"/>
        </w:rPr>
        <w:t xml:space="preserve"> has modified tab 16 of the IRM model to reflect a stretch factor group of 2 which represents a factor value of 0.15.</w:t>
      </w:r>
    </w:p>
    <w:p w14:paraId="75083DB4" w14:textId="77777777" w:rsidR="00A8111A" w:rsidRDefault="00A8111A" w:rsidP="00666B6E">
      <w:pPr>
        <w:spacing w:after="0"/>
        <w:rPr>
          <w:rFonts w:ascii="Arial" w:hAnsi="Arial" w:cs="Arial"/>
          <w:b/>
          <w:bCs/>
          <w:sz w:val="24"/>
          <w:szCs w:val="24"/>
        </w:rPr>
      </w:pPr>
    </w:p>
    <w:p w14:paraId="5B3A4537" w14:textId="333CBB63" w:rsidR="00247B79" w:rsidRPr="00E011F9" w:rsidRDefault="00247B79" w:rsidP="00666B6E">
      <w:pPr>
        <w:spacing w:after="0"/>
        <w:rPr>
          <w:rFonts w:ascii="Arial" w:hAnsi="Arial" w:cs="Arial"/>
          <w:b/>
          <w:bCs/>
          <w:sz w:val="24"/>
          <w:szCs w:val="24"/>
        </w:rPr>
      </w:pPr>
      <w:r w:rsidRPr="00E011F9">
        <w:rPr>
          <w:rFonts w:ascii="Arial" w:hAnsi="Arial" w:cs="Arial"/>
          <w:b/>
          <w:bCs/>
          <w:sz w:val="24"/>
          <w:szCs w:val="24"/>
        </w:rPr>
        <w:lastRenderedPageBreak/>
        <w:t>Staff-</w:t>
      </w:r>
      <w:r w:rsidR="00D93734">
        <w:rPr>
          <w:rFonts w:ascii="Arial" w:hAnsi="Arial" w:cs="Arial"/>
          <w:b/>
          <w:bCs/>
          <w:sz w:val="24"/>
          <w:szCs w:val="24"/>
        </w:rPr>
        <w:t>2</w:t>
      </w:r>
    </w:p>
    <w:p w14:paraId="657E3E2C" w14:textId="73589FF2" w:rsidR="00247B79" w:rsidRDefault="00247B79" w:rsidP="00666B6E">
      <w:pPr>
        <w:spacing w:after="0"/>
        <w:rPr>
          <w:rFonts w:ascii="Arial" w:hAnsi="Arial" w:cs="Arial"/>
          <w:b/>
          <w:bCs/>
          <w:sz w:val="24"/>
          <w:szCs w:val="24"/>
        </w:rPr>
      </w:pPr>
      <w:r w:rsidRPr="00E011F9">
        <w:rPr>
          <w:rFonts w:ascii="Arial" w:hAnsi="Arial" w:cs="Arial"/>
          <w:b/>
          <w:bCs/>
          <w:sz w:val="24"/>
          <w:szCs w:val="24"/>
        </w:rPr>
        <w:t>Ref</w:t>
      </w:r>
      <w:r w:rsidR="000F60EE">
        <w:rPr>
          <w:rFonts w:ascii="Arial" w:hAnsi="Arial" w:cs="Arial"/>
          <w:b/>
          <w:bCs/>
          <w:sz w:val="24"/>
          <w:szCs w:val="24"/>
        </w:rPr>
        <w:t xml:space="preserve">: Manager’s Summary, p. </w:t>
      </w:r>
      <w:r w:rsidR="00275471">
        <w:rPr>
          <w:rFonts w:ascii="Arial" w:hAnsi="Arial" w:cs="Arial"/>
          <w:b/>
          <w:bCs/>
          <w:sz w:val="24"/>
          <w:szCs w:val="24"/>
        </w:rPr>
        <w:t>10</w:t>
      </w:r>
    </w:p>
    <w:p w14:paraId="43AE605B" w14:textId="790CA624" w:rsidR="00D57E8C" w:rsidRDefault="00D57E8C" w:rsidP="00666B6E">
      <w:pPr>
        <w:spacing w:after="0"/>
        <w:rPr>
          <w:rFonts w:ascii="Arial" w:hAnsi="Arial" w:cs="Arial"/>
          <w:b/>
          <w:sz w:val="24"/>
          <w:szCs w:val="24"/>
        </w:rPr>
      </w:pPr>
    </w:p>
    <w:p w14:paraId="154964F8" w14:textId="70FF111E" w:rsidR="00275471" w:rsidRDefault="00275471" w:rsidP="00666B6E">
      <w:pPr>
        <w:spacing w:before="40" w:after="40"/>
        <w:rPr>
          <w:rFonts w:ascii="Arial" w:eastAsia="Calibri" w:hAnsi="Arial" w:cs="Times New Roman"/>
          <w:sz w:val="24"/>
          <w:szCs w:val="24"/>
          <w:lang w:val="en-US"/>
        </w:rPr>
      </w:pPr>
      <w:r w:rsidRPr="00275471">
        <w:rPr>
          <w:rFonts w:ascii="Arial" w:eastAsia="Calibri" w:hAnsi="Arial" w:cs="Times New Roman"/>
          <w:sz w:val="24"/>
          <w:szCs w:val="24"/>
          <w:lang w:val="en-US"/>
        </w:rPr>
        <w:t>Hydro 2000</w:t>
      </w:r>
      <w:r>
        <w:rPr>
          <w:rFonts w:ascii="Arial" w:eastAsia="Calibri" w:hAnsi="Arial" w:cs="Times New Roman"/>
          <w:sz w:val="24"/>
          <w:szCs w:val="24"/>
          <w:lang w:val="en-US"/>
        </w:rPr>
        <w:t xml:space="preserve"> states that it </w:t>
      </w:r>
      <w:r w:rsidRPr="00275471">
        <w:rPr>
          <w:rFonts w:ascii="Arial" w:eastAsia="Calibri" w:hAnsi="Arial" w:cs="Times New Roman"/>
          <w:sz w:val="24"/>
          <w:szCs w:val="24"/>
          <w:lang w:val="en-US"/>
        </w:rPr>
        <w:t>confirms its distribution rates are fully fixed. However,</w:t>
      </w:r>
      <w:r>
        <w:rPr>
          <w:rFonts w:ascii="Arial" w:eastAsia="Calibri" w:hAnsi="Arial" w:cs="Times New Roman"/>
          <w:sz w:val="24"/>
          <w:szCs w:val="24"/>
          <w:lang w:val="en-US"/>
        </w:rPr>
        <w:t xml:space="preserve"> on</w:t>
      </w:r>
      <w:r w:rsidRPr="00275471">
        <w:rPr>
          <w:rFonts w:ascii="Arial" w:eastAsia="Calibri" w:hAnsi="Arial" w:cs="Times New Roman"/>
          <w:sz w:val="24"/>
          <w:szCs w:val="24"/>
          <w:lang w:val="en-US"/>
        </w:rPr>
        <w:t xml:space="preserve"> the same page, Hydro 2000 </w:t>
      </w:r>
      <w:r>
        <w:rPr>
          <w:rFonts w:ascii="Arial" w:eastAsia="Calibri" w:hAnsi="Arial" w:cs="Times New Roman"/>
          <w:sz w:val="24"/>
          <w:szCs w:val="24"/>
          <w:lang w:val="en-US"/>
        </w:rPr>
        <w:t xml:space="preserve">states </w:t>
      </w:r>
      <w:r w:rsidRPr="00275471">
        <w:rPr>
          <w:rFonts w:ascii="Arial" w:eastAsia="Calibri" w:hAnsi="Arial" w:cs="Times New Roman"/>
          <w:sz w:val="24"/>
          <w:szCs w:val="24"/>
          <w:lang w:val="en-US"/>
        </w:rPr>
        <w:t>the following: “Hydro 2000 has not yet completed its transition to fully fixed residential rates. Hydro 2000 indicated in its 2020 Cost of Service application that it had two years remaining in its transition period, which would mean that the utility would go to fully fixed rates in this application.</w:t>
      </w:r>
      <w:r>
        <w:rPr>
          <w:rFonts w:ascii="Arial" w:eastAsia="Calibri" w:hAnsi="Arial" w:cs="Times New Roman"/>
          <w:sz w:val="24"/>
          <w:szCs w:val="24"/>
          <w:lang w:val="en-US"/>
        </w:rPr>
        <w:t>”</w:t>
      </w:r>
      <w:r w:rsidRPr="00275471">
        <w:rPr>
          <w:rFonts w:ascii="Arial" w:eastAsia="Calibri" w:hAnsi="Arial" w:cs="Times New Roman"/>
          <w:sz w:val="24"/>
          <w:szCs w:val="24"/>
          <w:lang w:val="en-US"/>
        </w:rPr>
        <w:t xml:space="preserve"> Please explain the contradictory statements.</w:t>
      </w:r>
    </w:p>
    <w:p w14:paraId="3CABB53C" w14:textId="40C6E568" w:rsidR="00275471" w:rsidRDefault="00275471" w:rsidP="00666B6E">
      <w:pPr>
        <w:spacing w:before="40" w:after="40"/>
        <w:rPr>
          <w:rFonts w:ascii="Arial" w:eastAsia="Calibri" w:hAnsi="Arial" w:cs="Times New Roman"/>
          <w:sz w:val="24"/>
          <w:szCs w:val="24"/>
          <w:lang w:val="en-US"/>
        </w:rPr>
      </w:pPr>
    </w:p>
    <w:p w14:paraId="295B95FB" w14:textId="4E87C253" w:rsidR="00666B6E" w:rsidRDefault="003478C3" w:rsidP="00666B6E">
      <w:pPr>
        <w:spacing w:before="40" w:after="40"/>
        <w:rPr>
          <w:rFonts w:ascii="Arial" w:hAnsi="Arial" w:cs="Arial"/>
          <w:color w:val="0070C0"/>
          <w:sz w:val="24"/>
          <w:szCs w:val="24"/>
        </w:rPr>
      </w:pPr>
      <w:r w:rsidRPr="003478C3">
        <w:rPr>
          <w:rFonts w:ascii="Arial" w:hAnsi="Arial" w:cs="Arial"/>
          <w:b/>
          <w:bCs/>
          <w:color w:val="0070C0"/>
          <w:sz w:val="24"/>
          <w:szCs w:val="24"/>
        </w:rPr>
        <w:t xml:space="preserve">Hydro 2000 Response: </w:t>
      </w:r>
      <w:r w:rsidRPr="003478C3">
        <w:rPr>
          <w:rFonts w:ascii="Arial" w:hAnsi="Arial" w:cs="Arial"/>
          <w:color w:val="0070C0"/>
          <w:sz w:val="24"/>
          <w:szCs w:val="24"/>
        </w:rPr>
        <w:t xml:space="preserve">H2000 </w:t>
      </w:r>
      <w:r>
        <w:rPr>
          <w:rFonts w:ascii="Arial" w:hAnsi="Arial" w:cs="Arial"/>
          <w:color w:val="0070C0"/>
          <w:sz w:val="24"/>
          <w:szCs w:val="24"/>
        </w:rPr>
        <w:t xml:space="preserve">confirms that the statement at page 10 was incorrect and that H2000’s rates are fully fixed. </w:t>
      </w:r>
    </w:p>
    <w:p w14:paraId="3B0AD6D5" w14:textId="77777777" w:rsidR="003478C3" w:rsidRDefault="003478C3" w:rsidP="00666B6E">
      <w:pPr>
        <w:spacing w:before="40" w:after="40"/>
        <w:rPr>
          <w:rFonts w:ascii="Arial" w:eastAsia="Calibri" w:hAnsi="Arial" w:cs="Times New Roman"/>
          <w:sz w:val="24"/>
          <w:szCs w:val="24"/>
          <w:lang w:val="en-US"/>
        </w:rPr>
      </w:pPr>
    </w:p>
    <w:p w14:paraId="7189C7C0" w14:textId="3BED9DAE" w:rsidR="00275471" w:rsidRPr="00E011F9" w:rsidRDefault="00275471" w:rsidP="00666B6E">
      <w:pPr>
        <w:spacing w:after="0"/>
        <w:rPr>
          <w:rFonts w:ascii="Arial" w:hAnsi="Arial" w:cs="Arial"/>
          <w:b/>
          <w:bCs/>
          <w:sz w:val="24"/>
          <w:szCs w:val="24"/>
        </w:rPr>
      </w:pPr>
      <w:r w:rsidRPr="00E011F9">
        <w:rPr>
          <w:rFonts w:ascii="Arial" w:hAnsi="Arial" w:cs="Arial"/>
          <w:b/>
          <w:bCs/>
          <w:sz w:val="24"/>
          <w:szCs w:val="24"/>
        </w:rPr>
        <w:t>Staff-</w:t>
      </w:r>
      <w:r w:rsidR="00987289">
        <w:rPr>
          <w:rFonts w:ascii="Arial" w:hAnsi="Arial" w:cs="Arial"/>
          <w:b/>
          <w:bCs/>
          <w:sz w:val="24"/>
          <w:szCs w:val="24"/>
        </w:rPr>
        <w:t>3</w:t>
      </w:r>
    </w:p>
    <w:p w14:paraId="4DC11359" w14:textId="77777777" w:rsidR="00275471" w:rsidRDefault="00275471" w:rsidP="00666B6E">
      <w:pPr>
        <w:spacing w:after="0"/>
        <w:rPr>
          <w:rFonts w:ascii="Arial" w:hAnsi="Arial" w:cs="Arial"/>
          <w:b/>
          <w:bCs/>
          <w:sz w:val="24"/>
          <w:szCs w:val="24"/>
        </w:rPr>
      </w:pPr>
      <w:r w:rsidRPr="00E011F9">
        <w:rPr>
          <w:rFonts w:ascii="Arial" w:hAnsi="Arial" w:cs="Arial"/>
          <w:b/>
          <w:bCs/>
          <w:sz w:val="24"/>
          <w:szCs w:val="24"/>
        </w:rPr>
        <w:t>Ref</w:t>
      </w:r>
      <w:r>
        <w:rPr>
          <w:rFonts w:ascii="Arial" w:hAnsi="Arial" w:cs="Arial"/>
          <w:b/>
          <w:bCs/>
          <w:sz w:val="24"/>
          <w:szCs w:val="24"/>
        </w:rPr>
        <w:t>: Manager’s Summary, p. 10</w:t>
      </w:r>
    </w:p>
    <w:p w14:paraId="754EA69D" w14:textId="18ACA4EB" w:rsidR="00275471" w:rsidRDefault="00275471" w:rsidP="00666B6E">
      <w:pPr>
        <w:spacing w:after="0"/>
        <w:rPr>
          <w:rFonts w:ascii="Arial" w:hAnsi="Arial" w:cs="Arial"/>
          <w:b/>
          <w:sz w:val="24"/>
          <w:szCs w:val="24"/>
        </w:rPr>
      </w:pPr>
    </w:p>
    <w:p w14:paraId="323F83A5" w14:textId="22F5437B" w:rsidR="00275471" w:rsidRDefault="00275471" w:rsidP="00666B6E">
      <w:pPr>
        <w:spacing w:after="0"/>
        <w:rPr>
          <w:rFonts w:ascii="Arial" w:eastAsia="Calibri" w:hAnsi="Arial" w:cs="Times New Roman"/>
          <w:sz w:val="24"/>
          <w:szCs w:val="24"/>
          <w:lang w:val="en-US"/>
        </w:rPr>
      </w:pPr>
      <w:r>
        <w:rPr>
          <w:rFonts w:ascii="Arial" w:eastAsia="Calibri" w:hAnsi="Arial" w:cs="Times New Roman"/>
          <w:sz w:val="24"/>
          <w:szCs w:val="24"/>
          <w:lang w:val="en-US"/>
        </w:rPr>
        <w:t>Hydro 2000</w:t>
      </w:r>
      <w:r w:rsidRPr="00275471">
        <w:rPr>
          <w:rFonts w:ascii="Arial" w:eastAsia="Calibri" w:hAnsi="Arial" w:cs="Times New Roman"/>
          <w:sz w:val="24"/>
          <w:szCs w:val="24"/>
          <w:lang w:val="en-US"/>
        </w:rPr>
        <w:t xml:space="preserve"> states</w:t>
      </w:r>
      <w:r>
        <w:rPr>
          <w:rFonts w:ascii="Arial" w:eastAsia="Calibri" w:hAnsi="Arial" w:cs="Times New Roman"/>
          <w:sz w:val="24"/>
          <w:szCs w:val="24"/>
          <w:lang w:val="en-US"/>
        </w:rPr>
        <w:t xml:space="preserve"> the following </w:t>
      </w:r>
      <w:r w:rsidR="00385A7B">
        <w:rPr>
          <w:rFonts w:ascii="Arial" w:eastAsia="Calibri" w:hAnsi="Arial" w:cs="Times New Roman"/>
          <w:sz w:val="24"/>
          <w:szCs w:val="24"/>
          <w:lang w:val="en-US"/>
        </w:rPr>
        <w:t>regarding</w:t>
      </w:r>
      <w:r>
        <w:rPr>
          <w:rFonts w:ascii="Arial" w:eastAsia="Calibri" w:hAnsi="Arial" w:cs="Times New Roman"/>
          <w:sz w:val="24"/>
          <w:szCs w:val="24"/>
          <w:lang w:val="en-US"/>
        </w:rPr>
        <w:t xml:space="preserve"> the disposition threshold for the Group 1 deferral and </w:t>
      </w:r>
      <w:r w:rsidR="00385A7B">
        <w:rPr>
          <w:rFonts w:ascii="Arial" w:eastAsia="Calibri" w:hAnsi="Arial" w:cs="Times New Roman"/>
          <w:sz w:val="24"/>
          <w:szCs w:val="24"/>
          <w:lang w:val="en-US"/>
        </w:rPr>
        <w:t>variance</w:t>
      </w:r>
      <w:r>
        <w:rPr>
          <w:rFonts w:ascii="Arial" w:eastAsia="Calibri" w:hAnsi="Arial" w:cs="Times New Roman"/>
          <w:sz w:val="24"/>
          <w:szCs w:val="24"/>
          <w:lang w:val="en-US"/>
        </w:rPr>
        <w:t xml:space="preserve"> accounts:</w:t>
      </w:r>
      <w:r w:rsidRPr="00275471">
        <w:rPr>
          <w:rFonts w:ascii="Arial" w:eastAsia="Calibri" w:hAnsi="Arial" w:cs="Times New Roman"/>
          <w:sz w:val="24"/>
          <w:szCs w:val="24"/>
          <w:lang w:val="en-US"/>
        </w:rPr>
        <w:t xml:space="preserve"> “Since the threshold was met, Hydro 2000 is therefore not seeking disposal of its deferral and variance account in this proceeding.</w:t>
      </w:r>
      <w:r w:rsidR="00385A7B">
        <w:rPr>
          <w:rFonts w:ascii="Arial" w:eastAsia="Calibri" w:hAnsi="Arial" w:cs="Times New Roman"/>
          <w:sz w:val="24"/>
          <w:szCs w:val="24"/>
          <w:lang w:val="en-US"/>
        </w:rPr>
        <w:t>”</w:t>
      </w:r>
      <w:r w:rsidRPr="00275471">
        <w:rPr>
          <w:rFonts w:ascii="Arial" w:eastAsia="Calibri" w:hAnsi="Arial" w:cs="Times New Roman"/>
          <w:sz w:val="24"/>
          <w:szCs w:val="24"/>
          <w:lang w:val="en-US"/>
        </w:rPr>
        <w:t xml:space="preserve"> OEB staff notes this may be an erroneous statement because the rest of the application indicates otherwise. Please confirm that Hydro 2000 is seeking disposal of its</w:t>
      </w:r>
      <w:r w:rsidR="00385A7B">
        <w:rPr>
          <w:rFonts w:ascii="Arial" w:eastAsia="Calibri" w:hAnsi="Arial" w:cs="Times New Roman"/>
          <w:sz w:val="24"/>
          <w:szCs w:val="24"/>
          <w:lang w:val="en-US"/>
        </w:rPr>
        <w:t xml:space="preserve"> Group 1</w:t>
      </w:r>
      <w:r w:rsidRPr="00275471">
        <w:rPr>
          <w:rFonts w:ascii="Arial" w:eastAsia="Calibri" w:hAnsi="Arial" w:cs="Times New Roman"/>
          <w:sz w:val="24"/>
          <w:szCs w:val="24"/>
          <w:lang w:val="en-US"/>
        </w:rPr>
        <w:t xml:space="preserve"> deferral and variance account in this proceeding.</w:t>
      </w:r>
    </w:p>
    <w:p w14:paraId="362A7B7C" w14:textId="788B1B8E" w:rsidR="00385A7B" w:rsidRDefault="00385A7B" w:rsidP="00666B6E">
      <w:pPr>
        <w:spacing w:after="0"/>
        <w:rPr>
          <w:rFonts w:ascii="Arial" w:eastAsia="Calibri" w:hAnsi="Arial" w:cs="Times New Roman"/>
          <w:sz w:val="24"/>
          <w:szCs w:val="24"/>
          <w:lang w:val="en-US"/>
        </w:rPr>
      </w:pPr>
    </w:p>
    <w:p w14:paraId="4B70AACF" w14:textId="61688264" w:rsidR="003478C3" w:rsidRDefault="003478C3" w:rsidP="003478C3">
      <w:pPr>
        <w:spacing w:before="40" w:after="40"/>
        <w:rPr>
          <w:rFonts w:ascii="Arial" w:hAnsi="Arial" w:cs="Arial"/>
          <w:color w:val="0070C0"/>
          <w:sz w:val="24"/>
          <w:szCs w:val="24"/>
        </w:rPr>
      </w:pPr>
      <w:r w:rsidRPr="003478C3">
        <w:rPr>
          <w:rFonts w:ascii="Arial" w:hAnsi="Arial" w:cs="Arial"/>
          <w:b/>
          <w:bCs/>
          <w:color w:val="0070C0"/>
          <w:sz w:val="24"/>
          <w:szCs w:val="24"/>
        </w:rPr>
        <w:t xml:space="preserve">Hydro 2000 Response: </w:t>
      </w:r>
      <w:r w:rsidRPr="003478C3">
        <w:rPr>
          <w:rFonts w:ascii="Arial" w:hAnsi="Arial" w:cs="Arial"/>
          <w:color w:val="0070C0"/>
          <w:sz w:val="24"/>
          <w:szCs w:val="24"/>
        </w:rPr>
        <w:t xml:space="preserve">H2000 </w:t>
      </w:r>
      <w:r>
        <w:rPr>
          <w:rFonts w:ascii="Arial" w:hAnsi="Arial" w:cs="Arial"/>
          <w:color w:val="0070C0"/>
          <w:sz w:val="24"/>
          <w:szCs w:val="24"/>
        </w:rPr>
        <w:t xml:space="preserve">confirms that the statement at page 10 was incorrect and the threshold was met and that H2000 is seeking disposal of its Group 1 balances in this proceeding. </w:t>
      </w:r>
    </w:p>
    <w:p w14:paraId="0BAD11FF" w14:textId="77777777" w:rsidR="00666B6E" w:rsidRPr="003478C3" w:rsidRDefault="00666B6E" w:rsidP="00666B6E">
      <w:pPr>
        <w:spacing w:after="0"/>
        <w:rPr>
          <w:rFonts w:ascii="Arial" w:eastAsia="Calibri" w:hAnsi="Arial" w:cs="Times New Roman"/>
          <w:sz w:val="24"/>
          <w:szCs w:val="24"/>
        </w:rPr>
      </w:pPr>
    </w:p>
    <w:p w14:paraId="42B257B0" w14:textId="25C6F873" w:rsidR="00385A7B" w:rsidRPr="00E011F9" w:rsidRDefault="00385A7B" w:rsidP="00666B6E">
      <w:pPr>
        <w:spacing w:after="0"/>
        <w:rPr>
          <w:rFonts w:ascii="Arial" w:hAnsi="Arial" w:cs="Arial"/>
          <w:b/>
          <w:bCs/>
          <w:sz w:val="24"/>
          <w:szCs w:val="24"/>
        </w:rPr>
      </w:pPr>
      <w:r w:rsidRPr="00E011F9">
        <w:rPr>
          <w:rFonts w:ascii="Arial" w:hAnsi="Arial" w:cs="Arial"/>
          <w:b/>
          <w:bCs/>
          <w:sz w:val="24"/>
          <w:szCs w:val="24"/>
        </w:rPr>
        <w:t>Staff-</w:t>
      </w:r>
      <w:r w:rsidR="00987289">
        <w:rPr>
          <w:rFonts w:ascii="Arial" w:hAnsi="Arial" w:cs="Arial"/>
          <w:b/>
          <w:bCs/>
          <w:sz w:val="24"/>
          <w:szCs w:val="24"/>
        </w:rPr>
        <w:t>4</w:t>
      </w:r>
    </w:p>
    <w:p w14:paraId="4EDACC9C" w14:textId="55CDD377" w:rsidR="00385A7B" w:rsidRDefault="00385A7B" w:rsidP="00666B6E">
      <w:pPr>
        <w:spacing w:after="0"/>
        <w:rPr>
          <w:rFonts w:ascii="Arial" w:hAnsi="Arial" w:cs="Arial"/>
          <w:b/>
          <w:bCs/>
          <w:sz w:val="24"/>
          <w:szCs w:val="24"/>
        </w:rPr>
      </w:pPr>
      <w:r w:rsidRPr="00E011F9">
        <w:rPr>
          <w:rFonts w:ascii="Arial" w:hAnsi="Arial" w:cs="Arial"/>
          <w:b/>
          <w:bCs/>
          <w:sz w:val="24"/>
          <w:szCs w:val="24"/>
        </w:rPr>
        <w:t>Ref</w:t>
      </w:r>
      <w:r>
        <w:rPr>
          <w:rFonts w:ascii="Arial" w:hAnsi="Arial" w:cs="Arial"/>
          <w:b/>
          <w:bCs/>
          <w:sz w:val="24"/>
          <w:szCs w:val="24"/>
        </w:rPr>
        <w:t>: Manager’s Summary, p. 1</w:t>
      </w:r>
      <w:r w:rsidR="003A4C2B">
        <w:rPr>
          <w:rFonts w:ascii="Arial" w:hAnsi="Arial" w:cs="Arial"/>
          <w:b/>
          <w:bCs/>
          <w:sz w:val="24"/>
          <w:szCs w:val="24"/>
        </w:rPr>
        <w:t>4</w:t>
      </w:r>
    </w:p>
    <w:p w14:paraId="45BEC5AD" w14:textId="5E7C6304" w:rsidR="00385A7B" w:rsidRDefault="00385A7B" w:rsidP="00666B6E">
      <w:pPr>
        <w:spacing w:after="0"/>
        <w:rPr>
          <w:rFonts w:ascii="Arial" w:hAnsi="Arial" w:cs="Arial"/>
          <w:b/>
          <w:sz w:val="24"/>
          <w:szCs w:val="24"/>
        </w:rPr>
      </w:pPr>
    </w:p>
    <w:p w14:paraId="19D65B15" w14:textId="51D75FAB" w:rsidR="003A4C2B" w:rsidRPr="003A4C2B" w:rsidRDefault="003A4C2B" w:rsidP="00666B6E">
      <w:pPr>
        <w:spacing w:before="40" w:after="40"/>
        <w:rPr>
          <w:rFonts w:ascii="Arial" w:eastAsia="Calibri" w:hAnsi="Arial" w:cs="Times New Roman"/>
          <w:sz w:val="24"/>
          <w:szCs w:val="24"/>
          <w:lang w:val="en-US"/>
        </w:rPr>
      </w:pPr>
      <w:r>
        <w:rPr>
          <w:rFonts w:ascii="Arial" w:eastAsia="Calibri" w:hAnsi="Arial" w:cs="Times New Roman"/>
          <w:sz w:val="24"/>
          <w:szCs w:val="24"/>
          <w:lang w:val="en-US"/>
        </w:rPr>
        <w:t xml:space="preserve">Hydro 2000 </w:t>
      </w:r>
      <w:r w:rsidRPr="003A4C2B">
        <w:rPr>
          <w:rFonts w:ascii="Arial" w:eastAsia="Calibri" w:hAnsi="Arial" w:cs="Times New Roman"/>
          <w:sz w:val="24"/>
          <w:szCs w:val="24"/>
          <w:lang w:val="en-US"/>
        </w:rPr>
        <w:t>states</w:t>
      </w:r>
      <w:r>
        <w:rPr>
          <w:rFonts w:ascii="Arial" w:eastAsia="Calibri" w:hAnsi="Arial" w:cs="Times New Roman"/>
          <w:sz w:val="24"/>
          <w:szCs w:val="24"/>
          <w:lang w:val="en-US"/>
        </w:rPr>
        <w:t xml:space="preserve"> the following:</w:t>
      </w:r>
      <w:r w:rsidRPr="003A4C2B">
        <w:rPr>
          <w:rFonts w:ascii="Arial" w:eastAsia="Calibri" w:hAnsi="Arial" w:cs="Times New Roman"/>
          <w:sz w:val="24"/>
          <w:szCs w:val="24"/>
          <w:lang w:val="en-US"/>
        </w:rPr>
        <w:t xml:space="preserve"> “GA rate riders calculated on an energy basis (kWh) (not applicable in this case).</w:t>
      </w:r>
      <w:r>
        <w:rPr>
          <w:rFonts w:ascii="Arial" w:eastAsia="Calibri" w:hAnsi="Arial" w:cs="Times New Roman"/>
          <w:sz w:val="24"/>
          <w:szCs w:val="24"/>
          <w:lang w:val="en-US"/>
        </w:rPr>
        <w:t>”</w:t>
      </w:r>
      <w:r w:rsidRPr="003A4C2B">
        <w:rPr>
          <w:rFonts w:ascii="Arial" w:eastAsia="Calibri" w:hAnsi="Arial" w:cs="Times New Roman"/>
          <w:sz w:val="24"/>
          <w:szCs w:val="24"/>
          <w:lang w:val="en-US"/>
        </w:rPr>
        <w:t xml:space="preserve"> Please explain </w:t>
      </w:r>
      <w:r>
        <w:rPr>
          <w:rFonts w:ascii="Arial" w:eastAsia="Calibri" w:hAnsi="Arial" w:cs="Times New Roman"/>
          <w:sz w:val="24"/>
          <w:szCs w:val="24"/>
          <w:lang w:val="en-US"/>
        </w:rPr>
        <w:t>what is meant by “not applicable in this case.”</w:t>
      </w:r>
    </w:p>
    <w:p w14:paraId="64EF784D" w14:textId="314F0076" w:rsidR="00385A7B" w:rsidRDefault="00385A7B" w:rsidP="00666B6E">
      <w:pPr>
        <w:spacing w:after="0"/>
        <w:rPr>
          <w:rFonts w:ascii="Arial" w:hAnsi="Arial" w:cs="Arial"/>
          <w:b/>
          <w:sz w:val="24"/>
          <w:szCs w:val="24"/>
        </w:rPr>
      </w:pPr>
    </w:p>
    <w:p w14:paraId="6EDFCDF7" w14:textId="585007C1" w:rsidR="003478C3" w:rsidRDefault="003478C3" w:rsidP="003478C3">
      <w:pPr>
        <w:spacing w:before="40" w:after="40"/>
        <w:rPr>
          <w:rFonts w:ascii="Arial" w:hAnsi="Arial" w:cs="Arial"/>
          <w:color w:val="0070C0"/>
          <w:sz w:val="24"/>
          <w:szCs w:val="24"/>
        </w:rPr>
      </w:pPr>
      <w:r w:rsidRPr="00F34758">
        <w:rPr>
          <w:rFonts w:ascii="Arial" w:hAnsi="Arial" w:cs="Arial"/>
          <w:b/>
          <w:bCs/>
          <w:color w:val="0070C0"/>
          <w:sz w:val="24"/>
          <w:szCs w:val="24"/>
        </w:rPr>
        <w:t xml:space="preserve">Hydro 2000 Response: </w:t>
      </w:r>
      <w:r w:rsidR="00F34758" w:rsidRPr="00F34758">
        <w:rPr>
          <w:rFonts w:ascii="Arial" w:hAnsi="Arial" w:cs="Arial"/>
          <w:color w:val="0070C0"/>
          <w:sz w:val="24"/>
          <w:szCs w:val="24"/>
        </w:rPr>
        <w:t>The statement was made in error. The utility is seeking disposition of its GA account</w:t>
      </w:r>
      <w:r w:rsidR="00F34758">
        <w:rPr>
          <w:rFonts w:ascii="Arial" w:hAnsi="Arial" w:cs="Arial"/>
          <w:color w:val="0070C0"/>
          <w:sz w:val="24"/>
          <w:szCs w:val="24"/>
        </w:rPr>
        <w:t xml:space="preserve"> therefore the statement is applicable in this case. </w:t>
      </w:r>
      <w:r>
        <w:rPr>
          <w:rFonts w:ascii="Arial" w:hAnsi="Arial" w:cs="Arial"/>
          <w:color w:val="0070C0"/>
          <w:sz w:val="24"/>
          <w:szCs w:val="24"/>
        </w:rPr>
        <w:t xml:space="preserve"> </w:t>
      </w:r>
    </w:p>
    <w:p w14:paraId="1F9ABD3E" w14:textId="77777777" w:rsidR="00666B6E" w:rsidRDefault="00666B6E" w:rsidP="00666B6E">
      <w:pPr>
        <w:spacing w:after="0"/>
        <w:rPr>
          <w:rFonts w:ascii="Arial" w:hAnsi="Arial" w:cs="Arial"/>
          <w:b/>
          <w:bCs/>
          <w:sz w:val="24"/>
          <w:szCs w:val="24"/>
        </w:rPr>
      </w:pPr>
    </w:p>
    <w:p w14:paraId="3B4EC181" w14:textId="77777777" w:rsidR="003478C3" w:rsidRDefault="003478C3">
      <w:pPr>
        <w:rPr>
          <w:rFonts w:ascii="Arial" w:hAnsi="Arial" w:cs="Arial"/>
          <w:b/>
          <w:bCs/>
          <w:sz w:val="24"/>
          <w:szCs w:val="24"/>
        </w:rPr>
      </w:pPr>
      <w:r>
        <w:rPr>
          <w:rFonts w:ascii="Arial" w:hAnsi="Arial" w:cs="Arial"/>
          <w:b/>
          <w:bCs/>
          <w:sz w:val="24"/>
          <w:szCs w:val="24"/>
        </w:rPr>
        <w:br w:type="page"/>
      </w:r>
    </w:p>
    <w:p w14:paraId="46444B88" w14:textId="015F2D05" w:rsidR="003A4C2B" w:rsidRPr="00E011F9" w:rsidRDefault="003A4C2B" w:rsidP="00666B6E">
      <w:pPr>
        <w:spacing w:after="0"/>
        <w:rPr>
          <w:rFonts w:ascii="Arial" w:hAnsi="Arial" w:cs="Arial"/>
          <w:b/>
          <w:bCs/>
          <w:sz w:val="24"/>
          <w:szCs w:val="24"/>
        </w:rPr>
      </w:pPr>
      <w:r w:rsidRPr="00E011F9">
        <w:rPr>
          <w:rFonts w:ascii="Arial" w:hAnsi="Arial" w:cs="Arial"/>
          <w:b/>
          <w:bCs/>
          <w:sz w:val="24"/>
          <w:szCs w:val="24"/>
        </w:rPr>
        <w:lastRenderedPageBreak/>
        <w:t>Staff-</w:t>
      </w:r>
      <w:r w:rsidR="00987289">
        <w:rPr>
          <w:rFonts w:ascii="Arial" w:hAnsi="Arial" w:cs="Arial"/>
          <w:b/>
          <w:bCs/>
          <w:sz w:val="24"/>
          <w:szCs w:val="24"/>
        </w:rPr>
        <w:t>5</w:t>
      </w:r>
    </w:p>
    <w:p w14:paraId="45128A21" w14:textId="78BD2BB2" w:rsidR="003A4C2B" w:rsidRDefault="003A4C2B" w:rsidP="00666B6E">
      <w:pPr>
        <w:spacing w:after="0"/>
        <w:rPr>
          <w:rFonts w:ascii="Arial" w:hAnsi="Arial" w:cs="Arial"/>
          <w:b/>
          <w:bCs/>
          <w:sz w:val="24"/>
          <w:szCs w:val="24"/>
        </w:rPr>
      </w:pPr>
      <w:r w:rsidRPr="00E011F9">
        <w:rPr>
          <w:rFonts w:ascii="Arial" w:hAnsi="Arial" w:cs="Arial"/>
          <w:b/>
          <w:bCs/>
          <w:sz w:val="24"/>
          <w:szCs w:val="24"/>
        </w:rPr>
        <w:t>Ref</w:t>
      </w:r>
      <w:r w:rsidR="00070370">
        <w:rPr>
          <w:rFonts w:ascii="Arial" w:hAnsi="Arial" w:cs="Arial"/>
          <w:b/>
          <w:bCs/>
          <w:sz w:val="24"/>
          <w:szCs w:val="24"/>
        </w:rPr>
        <w:t xml:space="preserve"> 1</w:t>
      </w:r>
      <w:r>
        <w:rPr>
          <w:rFonts w:ascii="Arial" w:hAnsi="Arial" w:cs="Arial"/>
          <w:b/>
          <w:bCs/>
          <w:sz w:val="24"/>
          <w:szCs w:val="24"/>
        </w:rPr>
        <w:t>: Manager’s Summary, p. 14</w:t>
      </w:r>
    </w:p>
    <w:p w14:paraId="0C423218" w14:textId="6CC80683" w:rsidR="00070370" w:rsidRDefault="00070370" w:rsidP="00666B6E">
      <w:pPr>
        <w:spacing w:after="0"/>
        <w:rPr>
          <w:rFonts w:ascii="Arial" w:hAnsi="Arial" w:cs="Arial"/>
          <w:b/>
          <w:bCs/>
          <w:sz w:val="24"/>
          <w:szCs w:val="24"/>
        </w:rPr>
      </w:pPr>
      <w:r>
        <w:rPr>
          <w:rFonts w:ascii="Arial" w:hAnsi="Arial" w:cs="Arial"/>
          <w:b/>
          <w:bCs/>
          <w:sz w:val="24"/>
          <w:szCs w:val="24"/>
        </w:rPr>
        <w:t>Ref 2: Rate Generator Model, Tab</w:t>
      </w:r>
      <w:r w:rsidR="001A15C5">
        <w:rPr>
          <w:rFonts w:ascii="Arial" w:hAnsi="Arial" w:cs="Arial"/>
          <w:b/>
          <w:bCs/>
          <w:sz w:val="24"/>
          <w:szCs w:val="24"/>
        </w:rPr>
        <w:t>s</w:t>
      </w:r>
      <w:r>
        <w:rPr>
          <w:rFonts w:ascii="Arial" w:hAnsi="Arial" w:cs="Arial"/>
          <w:b/>
          <w:bCs/>
          <w:sz w:val="24"/>
          <w:szCs w:val="24"/>
        </w:rPr>
        <w:t xml:space="preserve"> 6 and 7</w:t>
      </w:r>
    </w:p>
    <w:p w14:paraId="7D33C61D" w14:textId="219600D8" w:rsidR="003A4C2B" w:rsidRDefault="003A4C2B" w:rsidP="00666B6E">
      <w:pPr>
        <w:spacing w:after="0"/>
        <w:rPr>
          <w:rFonts w:ascii="Arial" w:hAnsi="Arial" w:cs="Arial"/>
          <w:b/>
          <w:sz w:val="24"/>
          <w:szCs w:val="24"/>
        </w:rPr>
      </w:pPr>
    </w:p>
    <w:p w14:paraId="16535E0F" w14:textId="7F8629E7" w:rsidR="00070370" w:rsidRPr="003A4C2B" w:rsidRDefault="00070370" w:rsidP="00666B6E">
      <w:pPr>
        <w:spacing w:before="40" w:after="40"/>
        <w:rPr>
          <w:rFonts w:ascii="Arial" w:eastAsia="Calibri" w:hAnsi="Arial" w:cs="Times New Roman"/>
          <w:sz w:val="24"/>
          <w:szCs w:val="24"/>
          <w:lang w:val="en-US"/>
        </w:rPr>
      </w:pPr>
      <w:r>
        <w:rPr>
          <w:rFonts w:ascii="Arial" w:eastAsia="Calibri" w:hAnsi="Arial" w:cs="Times New Roman"/>
          <w:sz w:val="24"/>
          <w:szCs w:val="24"/>
          <w:lang w:val="en-US"/>
        </w:rPr>
        <w:t xml:space="preserve">Hydro 2000 </w:t>
      </w:r>
      <w:r w:rsidRPr="003A4C2B">
        <w:rPr>
          <w:rFonts w:ascii="Arial" w:eastAsia="Calibri" w:hAnsi="Arial" w:cs="Times New Roman"/>
          <w:sz w:val="24"/>
          <w:szCs w:val="24"/>
          <w:lang w:val="en-US"/>
        </w:rPr>
        <w:t>states</w:t>
      </w:r>
      <w:r>
        <w:rPr>
          <w:rFonts w:ascii="Arial" w:eastAsia="Calibri" w:hAnsi="Arial" w:cs="Times New Roman"/>
          <w:sz w:val="24"/>
          <w:szCs w:val="24"/>
          <w:lang w:val="en-US"/>
        </w:rPr>
        <w:t xml:space="preserve"> the following regarding the recovery period for disposition of the Group 1 deferral and variance accounts:</w:t>
      </w:r>
      <w:r w:rsidRPr="003A4C2B">
        <w:rPr>
          <w:rFonts w:ascii="Arial" w:eastAsia="Calibri" w:hAnsi="Arial" w:cs="Times New Roman"/>
          <w:sz w:val="24"/>
          <w:szCs w:val="24"/>
          <w:lang w:val="en-US"/>
        </w:rPr>
        <w:t xml:space="preserve"> “</w:t>
      </w:r>
      <w:r>
        <w:rPr>
          <w:rFonts w:ascii="Arial" w:eastAsia="Calibri" w:hAnsi="Arial" w:cs="Times New Roman"/>
          <w:sz w:val="24"/>
          <w:szCs w:val="24"/>
          <w:lang w:val="en-US"/>
        </w:rPr>
        <w:t>The proposed rate riders</w:t>
      </w:r>
      <w:r w:rsidRPr="00070370">
        <w:rPr>
          <w:rFonts w:ascii="CIDFont+F1" w:hAnsi="CIDFont+F1" w:cs="CIDFont+F1"/>
        </w:rPr>
        <w:t xml:space="preserve"> </w:t>
      </w:r>
      <w:r w:rsidRPr="00070370">
        <w:rPr>
          <w:rFonts w:ascii="Arial" w:eastAsia="Calibri" w:hAnsi="Arial" w:cs="Times New Roman"/>
          <w:sz w:val="24"/>
          <w:szCs w:val="24"/>
        </w:rPr>
        <w:t>sought for recovery or refund of balances that are proposed</w:t>
      </w:r>
      <w:r>
        <w:rPr>
          <w:rFonts w:ascii="Arial" w:eastAsia="Calibri" w:hAnsi="Arial" w:cs="Times New Roman"/>
          <w:sz w:val="24"/>
          <w:szCs w:val="24"/>
        </w:rPr>
        <w:t xml:space="preserve"> </w:t>
      </w:r>
      <w:r w:rsidRPr="00070370">
        <w:rPr>
          <w:rFonts w:ascii="Arial" w:eastAsia="Calibri" w:hAnsi="Arial" w:cs="Times New Roman"/>
          <w:sz w:val="24"/>
          <w:szCs w:val="24"/>
        </w:rPr>
        <w:t>for disposition over the default period of two years</w:t>
      </w:r>
      <w:r>
        <w:rPr>
          <w:rFonts w:ascii="Arial" w:eastAsia="Calibri" w:hAnsi="Arial" w:cs="Times New Roman"/>
          <w:sz w:val="24"/>
          <w:szCs w:val="24"/>
        </w:rPr>
        <w:t xml:space="preserve">.” </w:t>
      </w:r>
      <w:r w:rsidR="00156FA4">
        <w:rPr>
          <w:rFonts w:ascii="Arial" w:eastAsia="Calibri" w:hAnsi="Arial" w:cs="Times New Roman"/>
          <w:sz w:val="24"/>
          <w:szCs w:val="24"/>
        </w:rPr>
        <w:t xml:space="preserve">OEB staff notes that this is not consistent with the </w:t>
      </w:r>
      <w:r w:rsidR="00FD2E0C">
        <w:rPr>
          <w:rFonts w:ascii="Arial" w:eastAsia="Calibri" w:hAnsi="Arial" w:cs="Times New Roman"/>
          <w:sz w:val="24"/>
          <w:szCs w:val="24"/>
        </w:rPr>
        <w:t>Rate Generator Model</w:t>
      </w:r>
      <w:r w:rsidR="009D46E7">
        <w:rPr>
          <w:rFonts w:ascii="Arial" w:eastAsia="Calibri" w:hAnsi="Arial" w:cs="Times New Roman"/>
          <w:sz w:val="24"/>
          <w:szCs w:val="24"/>
        </w:rPr>
        <w:t>,</w:t>
      </w:r>
      <w:r w:rsidR="001A15C5">
        <w:rPr>
          <w:rFonts w:ascii="Arial" w:eastAsia="Calibri" w:hAnsi="Arial" w:cs="Times New Roman"/>
          <w:sz w:val="24"/>
          <w:szCs w:val="24"/>
        </w:rPr>
        <w:t xml:space="preserve"> which shows 12 months</w:t>
      </w:r>
      <w:r w:rsidR="00156FA4">
        <w:rPr>
          <w:rFonts w:ascii="Arial" w:eastAsia="Calibri" w:hAnsi="Arial" w:cs="Times New Roman"/>
          <w:sz w:val="24"/>
          <w:szCs w:val="24"/>
        </w:rPr>
        <w:t>. Please confirm the recovery period for the disposition of the Group 1 deferral and variance accounts.</w:t>
      </w:r>
    </w:p>
    <w:p w14:paraId="1E5D668B" w14:textId="2E61B87D" w:rsidR="000735C7" w:rsidRDefault="000735C7" w:rsidP="000735C7">
      <w:pPr>
        <w:spacing w:after="0"/>
        <w:rPr>
          <w:rFonts w:ascii="Arial" w:hAnsi="Arial" w:cs="Arial"/>
          <w:b/>
          <w:sz w:val="24"/>
          <w:szCs w:val="24"/>
        </w:rPr>
      </w:pPr>
    </w:p>
    <w:p w14:paraId="2AC315E1" w14:textId="47C3EC32" w:rsidR="0071105A" w:rsidRDefault="0071105A" w:rsidP="0071105A">
      <w:pPr>
        <w:spacing w:before="40" w:after="40"/>
        <w:rPr>
          <w:rFonts w:ascii="Arial" w:hAnsi="Arial" w:cs="Arial"/>
          <w:color w:val="0070C0"/>
          <w:sz w:val="24"/>
          <w:szCs w:val="24"/>
        </w:rPr>
      </w:pPr>
      <w:r w:rsidRPr="003478C3">
        <w:rPr>
          <w:rFonts w:ascii="Arial" w:hAnsi="Arial" w:cs="Arial"/>
          <w:b/>
          <w:bCs/>
          <w:color w:val="0070C0"/>
          <w:sz w:val="24"/>
          <w:szCs w:val="24"/>
        </w:rPr>
        <w:t xml:space="preserve">Hydro 2000 Response: </w:t>
      </w:r>
      <w:r>
        <w:rPr>
          <w:rFonts w:ascii="Arial" w:hAnsi="Arial" w:cs="Arial"/>
          <w:color w:val="0070C0"/>
          <w:sz w:val="24"/>
          <w:szCs w:val="24"/>
        </w:rPr>
        <w:t xml:space="preserve">Upon review of its balances, H2000 proposed to dispose of its Group 1 balances over a period of 12 months. (H2000 notes that its GS 50-4999 class yields a bill impact over 10% and as such, the utility is open to extending its disposition to 24 months if the OEB deems it appropriate.) </w:t>
      </w:r>
    </w:p>
    <w:p w14:paraId="75EF70C5" w14:textId="3590AFDC" w:rsidR="000735C7" w:rsidRDefault="000735C7" w:rsidP="000735C7">
      <w:pPr>
        <w:spacing w:after="0"/>
        <w:rPr>
          <w:rFonts w:ascii="Arial" w:hAnsi="Arial" w:cs="Arial"/>
          <w:b/>
          <w:sz w:val="24"/>
          <w:szCs w:val="24"/>
        </w:rPr>
      </w:pPr>
    </w:p>
    <w:p w14:paraId="0AB75721" w14:textId="77777777" w:rsidR="00C71248" w:rsidRDefault="00C71248" w:rsidP="000735C7">
      <w:pPr>
        <w:spacing w:after="0"/>
        <w:rPr>
          <w:rFonts w:ascii="Arial" w:hAnsi="Arial" w:cs="Arial"/>
          <w:b/>
          <w:sz w:val="24"/>
          <w:szCs w:val="24"/>
        </w:rPr>
      </w:pPr>
    </w:p>
    <w:p w14:paraId="44872C23" w14:textId="00339296" w:rsidR="00964B3E" w:rsidRPr="00E011F9" w:rsidRDefault="00964B3E" w:rsidP="00666B6E">
      <w:pPr>
        <w:spacing w:after="0"/>
        <w:rPr>
          <w:rFonts w:ascii="Arial" w:hAnsi="Arial" w:cs="Arial"/>
          <w:b/>
          <w:bCs/>
          <w:sz w:val="24"/>
          <w:szCs w:val="24"/>
        </w:rPr>
      </w:pPr>
      <w:r w:rsidRPr="00E011F9">
        <w:rPr>
          <w:rFonts w:ascii="Arial" w:hAnsi="Arial" w:cs="Arial"/>
          <w:b/>
          <w:bCs/>
          <w:sz w:val="24"/>
          <w:szCs w:val="24"/>
        </w:rPr>
        <w:t>Staff-</w:t>
      </w:r>
      <w:r w:rsidR="00987289">
        <w:rPr>
          <w:rFonts w:ascii="Arial" w:hAnsi="Arial" w:cs="Arial"/>
          <w:b/>
          <w:bCs/>
          <w:sz w:val="24"/>
          <w:szCs w:val="24"/>
        </w:rPr>
        <w:t>6</w:t>
      </w:r>
    </w:p>
    <w:p w14:paraId="10B51EF9" w14:textId="24D22621" w:rsidR="00964B3E" w:rsidRDefault="00964B3E" w:rsidP="00666B6E">
      <w:pPr>
        <w:spacing w:after="0"/>
        <w:rPr>
          <w:rFonts w:ascii="Arial" w:hAnsi="Arial" w:cs="Arial"/>
          <w:b/>
          <w:bCs/>
          <w:sz w:val="24"/>
          <w:szCs w:val="24"/>
        </w:rPr>
      </w:pPr>
      <w:r w:rsidRPr="00E011F9">
        <w:rPr>
          <w:rFonts w:ascii="Arial" w:hAnsi="Arial" w:cs="Arial"/>
          <w:b/>
          <w:bCs/>
          <w:sz w:val="24"/>
          <w:szCs w:val="24"/>
        </w:rPr>
        <w:t>Ref</w:t>
      </w:r>
      <w:r>
        <w:rPr>
          <w:rFonts w:ascii="Arial" w:hAnsi="Arial" w:cs="Arial"/>
          <w:b/>
          <w:bCs/>
          <w:sz w:val="24"/>
          <w:szCs w:val="24"/>
        </w:rPr>
        <w:t xml:space="preserve">: Rate Generator Model, Tab 1 </w:t>
      </w:r>
    </w:p>
    <w:p w14:paraId="183FBF96" w14:textId="60A5935D" w:rsidR="00964B3E" w:rsidRDefault="00964B3E" w:rsidP="00666B6E">
      <w:pPr>
        <w:spacing w:after="0"/>
        <w:rPr>
          <w:rFonts w:ascii="Arial" w:hAnsi="Arial" w:cs="Arial"/>
          <w:b/>
          <w:bCs/>
          <w:sz w:val="24"/>
          <w:szCs w:val="24"/>
        </w:rPr>
      </w:pPr>
    </w:p>
    <w:p w14:paraId="4B1347A0" w14:textId="5B31EE28" w:rsidR="00964B3E" w:rsidRPr="00964B3E" w:rsidRDefault="00964B3E" w:rsidP="00666B6E">
      <w:pPr>
        <w:spacing w:after="0"/>
        <w:rPr>
          <w:rFonts w:ascii="Arial" w:hAnsi="Arial" w:cs="Arial"/>
          <w:sz w:val="24"/>
          <w:szCs w:val="24"/>
        </w:rPr>
      </w:pPr>
      <w:r w:rsidRPr="00964B3E">
        <w:rPr>
          <w:rFonts w:ascii="Arial" w:hAnsi="Arial" w:cs="Arial"/>
          <w:sz w:val="24"/>
          <w:szCs w:val="24"/>
        </w:rPr>
        <w:t xml:space="preserve">Please select which scenario applies to Hydro 2000 </w:t>
      </w:r>
      <w:r>
        <w:rPr>
          <w:rFonts w:ascii="Arial" w:hAnsi="Arial" w:cs="Arial"/>
          <w:sz w:val="24"/>
          <w:szCs w:val="24"/>
        </w:rPr>
        <w:t xml:space="preserve">for </w:t>
      </w:r>
      <w:r w:rsidRPr="00964B3E">
        <w:rPr>
          <w:rFonts w:ascii="Arial" w:hAnsi="Arial" w:cs="Arial"/>
          <w:sz w:val="24"/>
          <w:szCs w:val="24"/>
        </w:rPr>
        <w:t>the Retail Service Transmission Rate</w:t>
      </w:r>
      <w:r>
        <w:rPr>
          <w:rFonts w:ascii="Arial" w:hAnsi="Arial" w:cs="Arial"/>
          <w:sz w:val="24"/>
          <w:szCs w:val="24"/>
        </w:rPr>
        <w:t>s</w:t>
      </w:r>
      <w:r w:rsidRPr="00964B3E">
        <w:rPr>
          <w:rFonts w:ascii="Arial" w:hAnsi="Arial" w:cs="Arial"/>
          <w:sz w:val="24"/>
          <w:szCs w:val="24"/>
        </w:rPr>
        <w:t xml:space="preserve"> by selecting the appropriate scenario in</w:t>
      </w:r>
      <w:r w:rsidR="00D34719">
        <w:rPr>
          <w:rFonts w:ascii="Arial" w:hAnsi="Arial" w:cs="Arial"/>
          <w:sz w:val="24"/>
          <w:szCs w:val="24"/>
        </w:rPr>
        <w:t xml:space="preserve"> tab 1</w:t>
      </w:r>
      <w:r w:rsidRPr="00964B3E">
        <w:rPr>
          <w:rFonts w:ascii="Arial" w:hAnsi="Arial" w:cs="Arial"/>
          <w:sz w:val="24"/>
          <w:szCs w:val="24"/>
        </w:rPr>
        <w:t xml:space="preserve"> </w:t>
      </w:r>
      <w:r w:rsidR="00D34719">
        <w:rPr>
          <w:rFonts w:ascii="Arial" w:hAnsi="Arial" w:cs="Arial"/>
          <w:sz w:val="24"/>
          <w:szCs w:val="24"/>
        </w:rPr>
        <w:t>(</w:t>
      </w:r>
      <w:r w:rsidRPr="00964B3E">
        <w:rPr>
          <w:rFonts w:ascii="Arial" w:hAnsi="Arial" w:cs="Arial"/>
          <w:sz w:val="24"/>
          <w:szCs w:val="24"/>
        </w:rPr>
        <w:t>cell F53</w:t>
      </w:r>
      <w:r w:rsidR="00D34719">
        <w:rPr>
          <w:rFonts w:ascii="Arial" w:hAnsi="Arial" w:cs="Arial"/>
          <w:sz w:val="24"/>
          <w:szCs w:val="24"/>
        </w:rPr>
        <w:t>)</w:t>
      </w:r>
      <w:r w:rsidRPr="00964B3E">
        <w:rPr>
          <w:rFonts w:ascii="Arial" w:hAnsi="Arial" w:cs="Arial"/>
          <w:sz w:val="24"/>
          <w:szCs w:val="24"/>
        </w:rPr>
        <w:t>.</w:t>
      </w:r>
    </w:p>
    <w:p w14:paraId="335C67FA" w14:textId="77777777" w:rsidR="00964B3E" w:rsidRDefault="00964B3E" w:rsidP="00666B6E">
      <w:pPr>
        <w:spacing w:after="0"/>
        <w:rPr>
          <w:rFonts w:ascii="Arial" w:hAnsi="Arial" w:cs="Arial"/>
          <w:b/>
          <w:bCs/>
          <w:sz w:val="24"/>
          <w:szCs w:val="24"/>
        </w:rPr>
      </w:pPr>
    </w:p>
    <w:p w14:paraId="5489C63E" w14:textId="77777777" w:rsidR="00964B3E" w:rsidRDefault="00964B3E" w:rsidP="00666B6E">
      <w:pPr>
        <w:spacing w:after="0"/>
        <w:rPr>
          <w:rFonts w:ascii="Arial" w:hAnsi="Arial" w:cs="Arial"/>
          <w:b/>
          <w:bCs/>
          <w:sz w:val="24"/>
          <w:szCs w:val="24"/>
        </w:rPr>
      </w:pPr>
    </w:p>
    <w:p w14:paraId="74FB5259" w14:textId="558B3857" w:rsidR="00AE5F79" w:rsidRPr="00092B5B" w:rsidRDefault="00AE5F79" w:rsidP="00666B6E">
      <w:pPr>
        <w:spacing w:after="0"/>
        <w:rPr>
          <w:rFonts w:ascii="Arial" w:hAnsi="Arial" w:cs="Arial"/>
          <w:b/>
          <w:bCs/>
          <w:sz w:val="24"/>
          <w:szCs w:val="24"/>
        </w:rPr>
      </w:pPr>
      <w:r w:rsidRPr="00092B5B">
        <w:rPr>
          <w:rFonts w:ascii="Arial" w:hAnsi="Arial" w:cs="Arial"/>
          <w:b/>
          <w:bCs/>
          <w:sz w:val="24"/>
          <w:szCs w:val="24"/>
        </w:rPr>
        <w:t>Staff-</w:t>
      </w:r>
      <w:r w:rsidR="00987289" w:rsidRPr="00092B5B">
        <w:rPr>
          <w:rFonts w:ascii="Arial" w:hAnsi="Arial" w:cs="Arial"/>
          <w:b/>
          <w:bCs/>
          <w:sz w:val="24"/>
          <w:szCs w:val="24"/>
        </w:rPr>
        <w:t>7</w:t>
      </w:r>
    </w:p>
    <w:p w14:paraId="68932255" w14:textId="22CF1711" w:rsidR="00AE5F79" w:rsidRDefault="00AE5F79" w:rsidP="00666B6E">
      <w:pPr>
        <w:spacing w:after="0"/>
        <w:rPr>
          <w:rFonts w:ascii="Arial" w:hAnsi="Arial" w:cs="Arial"/>
          <w:b/>
          <w:bCs/>
          <w:sz w:val="24"/>
          <w:szCs w:val="24"/>
        </w:rPr>
      </w:pPr>
      <w:r w:rsidRPr="00092B5B">
        <w:rPr>
          <w:rFonts w:ascii="Arial" w:hAnsi="Arial" w:cs="Arial"/>
          <w:b/>
          <w:bCs/>
          <w:sz w:val="24"/>
          <w:szCs w:val="24"/>
        </w:rPr>
        <w:t>Ref: Rate Generator Model, Tab</w:t>
      </w:r>
      <w:r w:rsidR="00CE3EF1" w:rsidRPr="00092B5B">
        <w:rPr>
          <w:rFonts w:ascii="Arial" w:hAnsi="Arial" w:cs="Arial"/>
          <w:b/>
          <w:bCs/>
          <w:sz w:val="24"/>
          <w:szCs w:val="24"/>
        </w:rPr>
        <w:t>s</w:t>
      </w:r>
      <w:r w:rsidRPr="00092B5B">
        <w:rPr>
          <w:rFonts w:ascii="Arial" w:hAnsi="Arial" w:cs="Arial"/>
          <w:b/>
          <w:bCs/>
          <w:sz w:val="24"/>
          <w:szCs w:val="24"/>
        </w:rPr>
        <w:t xml:space="preserve"> 1</w:t>
      </w:r>
      <w:r w:rsidR="00CE3EF1" w:rsidRPr="00092B5B">
        <w:rPr>
          <w:rFonts w:ascii="Arial" w:hAnsi="Arial" w:cs="Arial"/>
          <w:b/>
          <w:bCs/>
          <w:sz w:val="24"/>
          <w:szCs w:val="24"/>
        </w:rPr>
        <w:t xml:space="preserve"> and 3</w:t>
      </w:r>
    </w:p>
    <w:p w14:paraId="6F98F669" w14:textId="4C57A0BE" w:rsidR="00AE5F79" w:rsidRDefault="00AE5F79" w:rsidP="000735C7">
      <w:pPr>
        <w:spacing w:after="0"/>
        <w:rPr>
          <w:rFonts w:ascii="Arial" w:hAnsi="Arial" w:cs="Arial"/>
          <w:b/>
          <w:bCs/>
          <w:sz w:val="24"/>
          <w:szCs w:val="24"/>
        </w:rPr>
      </w:pPr>
    </w:p>
    <w:p w14:paraId="54AB1047" w14:textId="590290AE" w:rsidR="00976C65" w:rsidRDefault="00AE5F79" w:rsidP="00666B6E">
      <w:pPr>
        <w:rPr>
          <w:rFonts w:ascii="Arial" w:hAnsi="Arial" w:cs="Arial"/>
          <w:bCs/>
          <w:sz w:val="24"/>
          <w:szCs w:val="24"/>
        </w:rPr>
      </w:pPr>
      <w:r>
        <w:rPr>
          <w:rFonts w:ascii="Arial" w:hAnsi="Arial" w:cs="Arial"/>
          <w:bCs/>
          <w:sz w:val="24"/>
          <w:szCs w:val="24"/>
        </w:rPr>
        <w:t xml:space="preserve">Hydro 2000 indicated that </w:t>
      </w:r>
      <w:r w:rsidR="00B3526B">
        <w:rPr>
          <w:rFonts w:ascii="Arial" w:hAnsi="Arial" w:cs="Arial"/>
          <w:bCs/>
          <w:sz w:val="24"/>
          <w:szCs w:val="24"/>
        </w:rPr>
        <w:t xml:space="preserve">the </w:t>
      </w:r>
      <w:r>
        <w:rPr>
          <w:rFonts w:ascii="Arial" w:hAnsi="Arial" w:cs="Arial"/>
          <w:bCs/>
          <w:sz w:val="24"/>
          <w:szCs w:val="24"/>
        </w:rPr>
        <w:t>account year in which Accounts 1588 and 1589 were last disposed on a final basis was 2020</w:t>
      </w:r>
      <w:r w:rsidR="00976C65">
        <w:rPr>
          <w:rFonts w:ascii="Arial" w:hAnsi="Arial" w:cs="Arial"/>
          <w:bCs/>
          <w:sz w:val="24"/>
          <w:szCs w:val="24"/>
        </w:rPr>
        <w:t xml:space="preserve"> (in cell F32) and 2018 (in cell F34)</w:t>
      </w:r>
      <w:r w:rsidR="001A5367">
        <w:rPr>
          <w:rFonts w:ascii="Arial" w:hAnsi="Arial" w:cs="Arial"/>
          <w:bCs/>
          <w:sz w:val="24"/>
          <w:szCs w:val="24"/>
        </w:rPr>
        <w:t>.</w:t>
      </w:r>
      <w:r w:rsidR="00433258">
        <w:rPr>
          <w:rFonts w:ascii="Arial" w:hAnsi="Arial" w:cs="Arial"/>
          <w:bCs/>
          <w:sz w:val="24"/>
          <w:szCs w:val="24"/>
        </w:rPr>
        <w:t xml:space="preserve"> </w:t>
      </w:r>
      <w:r w:rsidR="001A5367">
        <w:rPr>
          <w:rFonts w:ascii="Arial" w:hAnsi="Arial" w:cs="Arial"/>
          <w:bCs/>
          <w:sz w:val="24"/>
          <w:szCs w:val="24"/>
        </w:rPr>
        <w:t xml:space="preserve">Hydro 2000 also indicated that </w:t>
      </w:r>
      <w:r w:rsidR="00B3526B">
        <w:rPr>
          <w:rFonts w:ascii="Arial" w:hAnsi="Arial" w:cs="Arial"/>
          <w:bCs/>
          <w:sz w:val="24"/>
          <w:szCs w:val="24"/>
        </w:rPr>
        <w:t xml:space="preserve">the </w:t>
      </w:r>
      <w:r w:rsidR="001A5367">
        <w:rPr>
          <w:rFonts w:ascii="Arial" w:hAnsi="Arial" w:cs="Arial"/>
          <w:bCs/>
          <w:sz w:val="24"/>
          <w:szCs w:val="24"/>
        </w:rPr>
        <w:t>account year in which the remaining Group 1 deferral and variance accounts were last disposed of on a final basis was 2020</w:t>
      </w:r>
      <w:r w:rsidR="00976C65">
        <w:rPr>
          <w:rFonts w:ascii="Arial" w:hAnsi="Arial" w:cs="Arial"/>
          <w:bCs/>
          <w:sz w:val="24"/>
          <w:szCs w:val="24"/>
        </w:rPr>
        <w:t xml:space="preserve"> (in cell F39) and 2018 (in cell F42)</w:t>
      </w:r>
      <w:r w:rsidR="001A5367">
        <w:rPr>
          <w:rFonts w:ascii="Arial" w:hAnsi="Arial" w:cs="Arial"/>
          <w:bCs/>
          <w:sz w:val="24"/>
          <w:szCs w:val="24"/>
        </w:rPr>
        <w:t>.</w:t>
      </w:r>
      <w:r>
        <w:rPr>
          <w:rFonts w:ascii="Arial" w:hAnsi="Arial" w:cs="Arial"/>
          <w:bCs/>
          <w:sz w:val="24"/>
          <w:szCs w:val="24"/>
        </w:rPr>
        <w:t xml:space="preserve"> </w:t>
      </w:r>
    </w:p>
    <w:p w14:paraId="1501A15A" w14:textId="39A7874C" w:rsidR="00156FA4" w:rsidRDefault="00AE5F79" w:rsidP="00666B6E">
      <w:pPr>
        <w:rPr>
          <w:rFonts w:ascii="Arial" w:hAnsi="Arial" w:cs="Arial"/>
          <w:bCs/>
          <w:sz w:val="24"/>
          <w:szCs w:val="24"/>
        </w:rPr>
      </w:pPr>
      <w:r w:rsidRPr="00AE5F79">
        <w:rPr>
          <w:rFonts w:ascii="Arial" w:hAnsi="Arial" w:cs="Arial"/>
          <w:bCs/>
          <w:sz w:val="24"/>
          <w:szCs w:val="24"/>
        </w:rPr>
        <w:t>OEB staff notes that Group 1 defe</w:t>
      </w:r>
      <w:r>
        <w:rPr>
          <w:rFonts w:ascii="Arial" w:hAnsi="Arial" w:cs="Arial"/>
          <w:bCs/>
          <w:sz w:val="24"/>
          <w:szCs w:val="24"/>
        </w:rPr>
        <w:t>rral and variance account balances (including Accounts 1588 and 1589) were last disposed of (on a final basis) in Hydro 2000’s application for 2021 rates</w:t>
      </w:r>
      <w:r w:rsidR="00AC5847">
        <w:rPr>
          <w:rFonts w:ascii="Arial" w:hAnsi="Arial" w:cs="Arial"/>
          <w:bCs/>
          <w:sz w:val="24"/>
          <w:szCs w:val="24"/>
        </w:rPr>
        <w:t>. Therefore the</w:t>
      </w:r>
      <w:r w:rsidR="001A5367">
        <w:rPr>
          <w:rFonts w:ascii="Arial" w:hAnsi="Arial" w:cs="Arial"/>
          <w:bCs/>
          <w:sz w:val="24"/>
          <w:szCs w:val="24"/>
        </w:rPr>
        <w:t xml:space="preserve"> year should be 2019 given that the balances</w:t>
      </w:r>
      <w:r w:rsidR="00CE3EF1">
        <w:rPr>
          <w:rFonts w:ascii="Arial" w:hAnsi="Arial" w:cs="Arial"/>
          <w:bCs/>
          <w:sz w:val="24"/>
          <w:szCs w:val="24"/>
        </w:rPr>
        <w:t xml:space="preserve"> as at December 31, 2019 were</w:t>
      </w:r>
      <w:r w:rsidR="001A5367">
        <w:rPr>
          <w:rFonts w:ascii="Arial" w:hAnsi="Arial" w:cs="Arial"/>
          <w:bCs/>
          <w:sz w:val="24"/>
          <w:szCs w:val="24"/>
        </w:rPr>
        <w:t xml:space="preserve"> disposed in the 2021 rate application</w:t>
      </w:r>
      <w:r w:rsidR="00CE3EF1">
        <w:rPr>
          <w:rFonts w:ascii="Arial" w:hAnsi="Arial" w:cs="Arial"/>
          <w:bCs/>
          <w:sz w:val="24"/>
          <w:szCs w:val="24"/>
        </w:rPr>
        <w:t>.</w:t>
      </w:r>
    </w:p>
    <w:p w14:paraId="2E04304F" w14:textId="67D44986" w:rsidR="001A5367" w:rsidRDefault="00976C65" w:rsidP="00666B6E">
      <w:pPr>
        <w:pStyle w:val="ListParagraph"/>
        <w:numPr>
          <w:ilvl w:val="0"/>
          <w:numId w:val="28"/>
        </w:numPr>
        <w:rPr>
          <w:rFonts w:ascii="Arial" w:hAnsi="Arial" w:cs="Arial"/>
          <w:bCs/>
          <w:sz w:val="24"/>
          <w:szCs w:val="24"/>
        </w:rPr>
      </w:pPr>
      <w:r>
        <w:rPr>
          <w:rFonts w:ascii="Arial" w:hAnsi="Arial" w:cs="Arial"/>
          <w:bCs/>
          <w:sz w:val="24"/>
          <w:szCs w:val="24"/>
        </w:rPr>
        <w:t>For Accounts 1588 and 1589, p</w:t>
      </w:r>
      <w:r w:rsidR="001A5367">
        <w:rPr>
          <w:rFonts w:ascii="Arial" w:hAnsi="Arial" w:cs="Arial"/>
          <w:bCs/>
          <w:sz w:val="24"/>
          <w:szCs w:val="24"/>
        </w:rPr>
        <w:t>lease confirm that 2019 is the correct year and update cells F32 and F3</w:t>
      </w:r>
      <w:r w:rsidR="00A978D1">
        <w:rPr>
          <w:rFonts w:ascii="Arial" w:hAnsi="Arial" w:cs="Arial"/>
          <w:bCs/>
          <w:sz w:val="24"/>
          <w:szCs w:val="24"/>
        </w:rPr>
        <w:t xml:space="preserve">4 </w:t>
      </w:r>
      <w:r w:rsidR="001A5367">
        <w:rPr>
          <w:rFonts w:ascii="Arial" w:hAnsi="Arial" w:cs="Arial"/>
          <w:bCs/>
          <w:sz w:val="24"/>
          <w:szCs w:val="24"/>
        </w:rPr>
        <w:t>in tab 1 accordingly.</w:t>
      </w:r>
    </w:p>
    <w:p w14:paraId="538FA8B2" w14:textId="6AE54114" w:rsidR="001A5367" w:rsidRDefault="00A978D1" w:rsidP="00666B6E">
      <w:pPr>
        <w:pStyle w:val="ListParagraph"/>
        <w:numPr>
          <w:ilvl w:val="0"/>
          <w:numId w:val="28"/>
        </w:numPr>
        <w:rPr>
          <w:rFonts w:ascii="Arial" w:hAnsi="Arial" w:cs="Arial"/>
          <w:bCs/>
          <w:sz w:val="24"/>
          <w:szCs w:val="24"/>
        </w:rPr>
      </w:pPr>
      <w:r>
        <w:rPr>
          <w:rFonts w:ascii="Arial" w:hAnsi="Arial" w:cs="Arial"/>
          <w:bCs/>
          <w:sz w:val="24"/>
          <w:szCs w:val="24"/>
        </w:rPr>
        <w:lastRenderedPageBreak/>
        <w:t>For the remaining Group 1 deferral and variance accounts, please confirm that 2019 is the correct year and update cells F39 and F42 in tab 1 accordingly.</w:t>
      </w:r>
    </w:p>
    <w:p w14:paraId="1250AB51" w14:textId="067B9221" w:rsidR="00CE3EF1" w:rsidRDefault="00CE3EF1" w:rsidP="00666B6E">
      <w:pPr>
        <w:pStyle w:val="ListParagraph"/>
        <w:numPr>
          <w:ilvl w:val="0"/>
          <w:numId w:val="28"/>
        </w:numPr>
        <w:rPr>
          <w:rFonts w:ascii="Arial" w:hAnsi="Arial" w:cs="Arial"/>
          <w:bCs/>
          <w:sz w:val="24"/>
          <w:szCs w:val="24"/>
        </w:rPr>
      </w:pPr>
      <w:r>
        <w:rPr>
          <w:rFonts w:ascii="Arial" w:hAnsi="Arial" w:cs="Arial"/>
          <w:bCs/>
          <w:sz w:val="24"/>
          <w:szCs w:val="24"/>
        </w:rPr>
        <w:t xml:space="preserve">Please </w:t>
      </w:r>
      <w:r w:rsidR="00DA5A77">
        <w:rPr>
          <w:rFonts w:ascii="Arial" w:hAnsi="Arial" w:cs="Arial"/>
          <w:bCs/>
          <w:sz w:val="24"/>
          <w:szCs w:val="24"/>
        </w:rPr>
        <w:t>update</w:t>
      </w:r>
      <w:r>
        <w:rPr>
          <w:rFonts w:ascii="Arial" w:hAnsi="Arial" w:cs="Arial"/>
          <w:bCs/>
          <w:sz w:val="24"/>
          <w:szCs w:val="24"/>
        </w:rPr>
        <w:t xml:space="preserve"> </w:t>
      </w:r>
      <w:r w:rsidR="00B75AC9">
        <w:rPr>
          <w:rFonts w:ascii="Arial" w:hAnsi="Arial" w:cs="Arial"/>
          <w:bCs/>
          <w:sz w:val="24"/>
          <w:szCs w:val="24"/>
        </w:rPr>
        <w:t>t</w:t>
      </w:r>
      <w:r>
        <w:rPr>
          <w:rFonts w:ascii="Arial" w:hAnsi="Arial" w:cs="Arial"/>
          <w:bCs/>
          <w:sz w:val="24"/>
          <w:szCs w:val="24"/>
        </w:rPr>
        <w:t>ab 3 of the Rate Generator Model</w:t>
      </w:r>
      <w:r w:rsidR="00DA5A77">
        <w:rPr>
          <w:rFonts w:ascii="Arial" w:hAnsi="Arial" w:cs="Arial"/>
          <w:bCs/>
          <w:sz w:val="24"/>
          <w:szCs w:val="24"/>
        </w:rPr>
        <w:t xml:space="preserve"> to</w:t>
      </w:r>
      <w:r>
        <w:rPr>
          <w:rFonts w:ascii="Arial" w:hAnsi="Arial" w:cs="Arial"/>
          <w:bCs/>
          <w:sz w:val="24"/>
          <w:szCs w:val="24"/>
        </w:rPr>
        <w:t xml:space="preserve"> reflect the above changes.</w:t>
      </w:r>
      <w:r w:rsidR="0087778A">
        <w:rPr>
          <w:rFonts w:ascii="Arial" w:hAnsi="Arial" w:cs="Arial"/>
          <w:bCs/>
          <w:sz w:val="24"/>
          <w:szCs w:val="24"/>
        </w:rPr>
        <w:t xml:space="preserve"> </w:t>
      </w:r>
      <w:r w:rsidRPr="00CE3EF1">
        <w:rPr>
          <w:rFonts w:ascii="Arial" w:hAnsi="Arial" w:cs="Arial"/>
          <w:bCs/>
          <w:sz w:val="24"/>
          <w:szCs w:val="24"/>
        </w:rPr>
        <w:t>The continuity schedule will open from the year the GL balance was last disposed</w:t>
      </w:r>
      <w:r w:rsidR="00BC27F8">
        <w:rPr>
          <w:rFonts w:ascii="Arial" w:hAnsi="Arial" w:cs="Arial"/>
          <w:bCs/>
          <w:sz w:val="24"/>
          <w:szCs w:val="24"/>
        </w:rPr>
        <w:t>, with a requirement to</w:t>
      </w:r>
      <w:r w:rsidRPr="00CE3EF1">
        <w:rPr>
          <w:rFonts w:ascii="Arial" w:hAnsi="Arial" w:cs="Arial"/>
          <w:bCs/>
          <w:sz w:val="24"/>
          <w:szCs w:val="24"/>
        </w:rPr>
        <w:t xml:space="preserve"> </w:t>
      </w:r>
      <w:r w:rsidR="00112077">
        <w:rPr>
          <w:rFonts w:ascii="Arial" w:hAnsi="Arial" w:cs="Arial"/>
          <w:bCs/>
          <w:sz w:val="24"/>
          <w:szCs w:val="24"/>
        </w:rPr>
        <w:t>populate</w:t>
      </w:r>
      <w:r w:rsidRPr="00CE3EF1">
        <w:rPr>
          <w:rFonts w:ascii="Arial" w:hAnsi="Arial" w:cs="Arial"/>
          <w:bCs/>
          <w:sz w:val="24"/>
          <w:szCs w:val="24"/>
        </w:rPr>
        <w:t xml:space="preserve"> the approved ending balances in the Adjustments column of that year</w:t>
      </w:r>
      <w:r w:rsidR="00112077">
        <w:rPr>
          <w:rFonts w:ascii="Arial" w:hAnsi="Arial" w:cs="Arial"/>
          <w:bCs/>
          <w:sz w:val="24"/>
          <w:szCs w:val="24"/>
        </w:rPr>
        <w:t xml:space="preserve"> (which OEB staff understands to be 2019)</w:t>
      </w:r>
      <w:r w:rsidRPr="00CE3EF1">
        <w:rPr>
          <w:rFonts w:ascii="Arial" w:hAnsi="Arial" w:cs="Arial"/>
          <w:bCs/>
          <w:sz w:val="24"/>
          <w:szCs w:val="24"/>
        </w:rPr>
        <w:t>.</w:t>
      </w:r>
    </w:p>
    <w:p w14:paraId="4ED03BD5" w14:textId="77777777" w:rsidR="004F7DCB" w:rsidRDefault="00BD489D" w:rsidP="00BD489D">
      <w:pPr>
        <w:spacing w:before="40" w:after="40"/>
        <w:rPr>
          <w:rFonts w:ascii="Arial" w:hAnsi="Arial" w:cs="Arial"/>
          <w:color w:val="0070C0"/>
          <w:sz w:val="24"/>
          <w:szCs w:val="24"/>
        </w:rPr>
      </w:pPr>
      <w:r w:rsidRPr="00BD489D">
        <w:rPr>
          <w:rFonts w:ascii="Arial" w:hAnsi="Arial" w:cs="Arial"/>
          <w:b/>
          <w:bCs/>
          <w:color w:val="0070C0"/>
          <w:sz w:val="24"/>
          <w:szCs w:val="24"/>
        </w:rPr>
        <w:t xml:space="preserve">Hydro 2000 Response: </w:t>
      </w:r>
      <w:r w:rsidRPr="00BD489D">
        <w:rPr>
          <w:rFonts w:ascii="Arial" w:hAnsi="Arial" w:cs="Arial"/>
          <w:color w:val="0070C0"/>
          <w:sz w:val="24"/>
          <w:szCs w:val="24"/>
        </w:rPr>
        <w:t>In principle, H2000 agrees with Board Staff however, there</w:t>
      </w:r>
      <w:r>
        <w:rPr>
          <w:rFonts w:ascii="Arial" w:hAnsi="Arial" w:cs="Arial"/>
          <w:color w:val="0070C0"/>
          <w:sz w:val="24"/>
          <w:szCs w:val="24"/>
        </w:rPr>
        <w:t xml:space="preserve"> has been conflicting instructions with respect to populating tab 1</w:t>
      </w:r>
      <w:r w:rsidR="004F7DCB">
        <w:rPr>
          <w:rFonts w:ascii="Arial" w:hAnsi="Arial" w:cs="Arial"/>
          <w:color w:val="0070C0"/>
          <w:sz w:val="24"/>
          <w:szCs w:val="24"/>
        </w:rPr>
        <w:t xml:space="preserve"> in previous years</w:t>
      </w:r>
      <w:r>
        <w:rPr>
          <w:rFonts w:ascii="Arial" w:hAnsi="Arial" w:cs="Arial"/>
          <w:color w:val="0070C0"/>
          <w:sz w:val="24"/>
          <w:szCs w:val="24"/>
        </w:rPr>
        <w:t xml:space="preserve">. </w:t>
      </w:r>
    </w:p>
    <w:p w14:paraId="331E568B" w14:textId="57868897" w:rsidR="00BD489D" w:rsidRPr="00BD489D" w:rsidRDefault="00BD489D" w:rsidP="00BD489D">
      <w:pPr>
        <w:spacing w:before="40" w:after="40"/>
        <w:rPr>
          <w:rFonts w:ascii="Arial" w:hAnsi="Arial" w:cs="Arial"/>
          <w:color w:val="0070C0"/>
          <w:sz w:val="24"/>
          <w:szCs w:val="24"/>
        </w:rPr>
      </w:pPr>
      <w:r>
        <w:rPr>
          <w:rFonts w:ascii="Arial" w:hAnsi="Arial" w:cs="Arial"/>
          <w:color w:val="0070C0"/>
          <w:sz w:val="24"/>
          <w:szCs w:val="24"/>
        </w:rPr>
        <w:t xml:space="preserve">In its 2021 IRM application, H2000 was instructed to input 2020 </w:t>
      </w:r>
      <w:r w:rsidR="004F7DCB">
        <w:rPr>
          <w:rFonts w:ascii="Arial" w:hAnsi="Arial" w:cs="Arial"/>
          <w:color w:val="0070C0"/>
          <w:sz w:val="24"/>
          <w:szCs w:val="24"/>
        </w:rPr>
        <w:t xml:space="preserve">for Group 1 DVAs (in </w:t>
      </w:r>
      <w:r>
        <w:rPr>
          <w:rFonts w:ascii="Arial" w:hAnsi="Arial" w:cs="Arial"/>
          <w:color w:val="0070C0"/>
          <w:sz w:val="24"/>
          <w:szCs w:val="24"/>
        </w:rPr>
        <w:t>both F40 and F42-45</w:t>
      </w:r>
      <w:r w:rsidR="004F7DCB">
        <w:rPr>
          <w:rFonts w:ascii="Arial" w:hAnsi="Arial" w:cs="Arial"/>
          <w:color w:val="0070C0"/>
          <w:sz w:val="24"/>
          <w:szCs w:val="24"/>
        </w:rPr>
        <w:t>)</w:t>
      </w:r>
      <w:r>
        <w:rPr>
          <w:rFonts w:ascii="Arial" w:hAnsi="Arial" w:cs="Arial"/>
          <w:color w:val="0070C0"/>
          <w:sz w:val="24"/>
          <w:szCs w:val="24"/>
        </w:rPr>
        <w:t xml:space="preserve"> which would indicate that the inputs should be 2021 </w:t>
      </w:r>
      <w:r w:rsidR="004F7DCB">
        <w:rPr>
          <w:rFonts w:ascii="Arial" w:hAnsi="Arial" w:cs="Arial"/>
          <w:color w:val="0070C0"/>
          <w:sz w:val="24"/>
          <w:szCs w:val="24"/>
        </w:rPr>
        <w:t xml:space="preserve">in the current 2022 rate application given that </w:t>
      </w:r>
      <w:r>
        <w:rPr>
          <w:rFonts w:ascii="Arial" w:hAnsi="Arial" w:cs="Arial"/>
          <w:color w:val="0070C0"/>
          <w:sz w:val="24"/>
          <w:szCs w:val="24"/>
        </w:rPr>
        <w:t xml:space="preserve">balances were disposed of on a final basis in its 2021 rate application. It would be useful if the model indicated whether the “rate year” or “audited balance year” is </w:t>
      </w:r>
      <w:r w:rsidR="004F7DCB">
        <w:rPr>
          <w:rFonts w:ascii="Arial" w:hAnsi="Arial" w:cs="Arial"/>
          <w:color w:val="0070C0"/>
          <w:sz w:val="24"/>
          <w:szCs w:val="24"/>
        </w:rPr>
        <w:t>required</w:t>
      </w:r>
      <w:r>
        <w:rPr>
          <w:rFonts w:ascii="Arial" w:hAnsi="Arial" w:cs="Arial"/>
          <w:color w:val="0070C0"/>
          <w:sz w:val="24"/>
          <w:szCs w:val="24"/>
        </w:rPr>
        <w:t xml:space="preserve">. (e.g., a rate year of 2021 would be disposing of </w:t>
      </w:r>
      <w:r w:rsidR="004F7DCB">
        <w:rPr>
          <w:rFonts w:ascii="Arial" w:hAnsi="Arial" w:cs="Arial"/>
          <w:color w:val="0070C0"/>
          <w:sz w:val="24"/>
          <w:szCs w:val="24"/>
        </w:rPr>
        <w:t>2019 year-</w:t>
      </w:r>
      <w:r>
        <w:rPr>
          <w:rFonts w:ascii="Arial" w:hAnsi="Arial" w:cs="Arial"/>
          <w:color w:val="0070C0"/>
          <w:sz w:val="24"/>
          <w:szCs w:val="24"/>
        </w:rPr>
        <w:t>end balances)</w:t>
      </w:r>
    </w:p>
    <w:p w14:paraId="02C1EDD1" w14:textId="01203840" w:rsidR="00C27409" w:rsidRDefault="00C27409" w:rsidP="00C27409">
      <w:pPr>
        <w:spacing w:after="0"/>
        <w:rPr>
          <w:rFonts w:ascii="Arial" w:hAnsi="Arial" w:cs="Arial"/>
          <w:bCs/>
          <w:sz w:val="24"/>
          <w:szCs w:val="24"/>
        </w:rPr>
      </w:pPr>
    </w:p>
    <w:p w14:paraId="4C1A96F7" w14:textId="77777777" w:rsidR="00BD489D" w:rsidRDefault="00BD489D" w:rsidP="00C27409">
      <w:pPr>
        <w:spacing w:after="0"/>
        <w:rPr>
          <w:rFonts w:ascii="Arial" w:hAnsi="Arial" w:cs="Arial"/>
          <w:bCs/>
          <w:sz w:val="24"/>
          <w:szCs w:val="24"/>
        </w:rPr>
      </w:pPr>
    </w:p>
    <w:p w14:paraId="740AA18B" w14:textId="58FD561F" w:rsidR="00C27409" w:rsidRPr="00E011F9" w:rsidRDefault="00C27409" w:rsidP="00C27409">
      <w:pPr>
        <w:spacing w:after="0"/>
        <w:rPr>
          <w:rFonts w:ascii="Arial" w:hAnsi="Arial" w:cs="Arial"/>
          <w:b/>
          <w:bCs/>
          <w:sz w:val="24"/>
          <w:szCs w:val="24"/>
        </w:rPr>
      </w:pPr>
      <w:r w:rsidRPr="00E011F9">
        <w:rPr>
          <w:rFonts w:ascii="Arial" w:hAnsi="Arial" w:cs="Arial"/>
          <w:b/>
          <w:bCs/>
          <w:sz w:val="24"/>
          <w:szCs w:val="24"/>
        </w:rPr>
        <w:t>Staff-</w:t>
      </w:r>
      <w:r w:rsidR="00987289">
        <w:rPr>
          <w:rFonts w:ascii="Arial" w:hAnsi="Arial" w:cs="Arial"/>
          <w:b/>
          <w:bCs/>
          <w:sz w:val="24"/>
          <w:szCs w:val="24"/>
        </w:rPr>
        <w:t>8</w:t>
      </w:r>
    </w:p>
    <w:p w14:paraId="56E43F31" w14:textId="428675C9" w:rsidR="00C27409" w:rsidRDefault="00C27409" w:rsidP="00C27409">
      <w:pPr>
        <w:spacing w:after="0"/>
        <w:rPr>
          <w:rFonts w:ascii="Arial" w:hAnsi="Arial" w:cs="Arial"/>
          <w:b/>
          <w:bCs/>
          <w:sz w:val="24"/>
          <w:szCs w:val="24"/>
        </w:rPr>
      </w:pPr>
      <w:r w:rsidRPr="00E011F9">
        <w:rPr>
          <w:rFonts w:ascii="Arial" w:hAnsi="Arial" w:cs="Arial"/>
          <w:b/>
          <w:bCs/>
          <w:sz w:val="24"/>
          <w:szCs w:val="24"/>
        </w:rPr>
        <w:t>Ref</w:t>
      </w:r>
      <w:r>
        <w:rPr>
          <w:rFonts w:ascii="Arial" w:hAnsi="Arial" w:cs="Arial"/>
          <w:b/>
          <w:bCs/>
          <w:sz w:val="24"/>
          <w:szCs w:val="24"/>
        </w:rPr>
        <w:t>: GA Analysis Workform</w:t>
      </w:r>
    </w:p>
    <w:p w14:paraId="32F1DC6B" w14:textId="77777777" w:rsidR="00C27409" w:rsidRDefault="00C27409" w:rsidP="00C27409">
      <w:pPr>
        <w:autoSpaceDE w:val="0"/>
        <w:autoSpaceDN w:val="0"/>
        <w:adjustRightInd w:val="0"/>
        <w:spacing w:after="0"/>
        <w:rPr>
          <w:rFonts w:ascii="Arial" w:hAnsi="Arial" w:cs="Arial"/>
          <w:b/>
          <w:bCs/>
          <w:sz w:val="24"/>
          <w:szCs w:val="24"/>
        </w:rPr>
      </w:pPr>
    </w:p>
    <w:p w14:paraId="4D8C7019" w14:textId="19F127F8" w:rsidR="00C27409" w:rsidRDefault="00C27409" w:rsidP="002215D5">
      <w:pPr>
        <w:autoSpaceDE w:val="0"/>
        <w:autoSpaceDN w:val="0"/>
        <w:adjustRightInd w:val="0"/>
        <w:spacing w:after="0"/>
        <w:rPr>
          <w:rFonts w:ascii="Arial" w:hAnsi="Arial" w:cs="Arial"/>
          <w:sz w:val="24"/>
          <w:szCs w:val="24"/>
        </w:rPr>
      </w:pPr>
      <w:r>
        <w:rPr>
          <w:rFonts w:ascii="Arial" w:hAnsi="Arial" w:cs="Arial"/>
          <w:sz w:val="24"/>
          <w:szCs w:val="24"/>
        </w:rPr>
        <w:t>The N</w:t>
      </w:r>
      <w:r w:rsidRPr="00A46DFA">
        <w:rPr>
          <w:rFonts w:ascii="Arial" w:hAnsi="Arial" w:cs="Arial"/>
          <w:sz w:val="24"/>
          <w:szCs w:val="24"/>
        </w:rPr>
        <w:t>et change in Principal Balance in the GL (i.e. Transactions in the Year) should agree to the "Principal Transactions" amount in the DVA Continuity Schedule.</w:t>
      </w:r>
      <w:r>
        <w:rPr>
          <w:rFonts w:ascii="Arial" w:hAnsi="Arial" w:cs="Arial"/>
          <w:sz w:val="24"/>
          <w:szCs w:val="24"/>
        </w:rPr>
        <w:t xml:space="preserve"> Please explain why the N</w:t>
      </w:r>
      <w:r w:rsidRPr="00A46DFA">
        <w:rPr>
          <w:rFonts w:ascii="Arial" w:hAnsi="Arial" w:cs="Arial"/>
          <w:sz w:val="24"/>
          <w:szCs w:val="24"/>
        </w:rPr>
        <w:t xml:space="preserve">et </w:t>
      </w:r>
      <w:r>
        <w:rPr>
          <w:rFonts w:ascii="Arial" w:hAnsi="Arial" w:cs="Arial"/>
          <w:sz w:val="24"/>
          <w:szCs w:val="24"/>
        </w:rPr>
        <w:t>C</w:t>
      </w:r>
      <w:r w:rsidRPr="00A46DFA">
        <w:rPr>
          <w:rFonts w:ascii="Arial" w:hAnsi="Arial" w:cs="Arial"/>
          <w:sz w:val="24"/>
          <w:szCs w:val="24"/>
        </w:rPr>
        <w:t>hange in Principal Balance in the GL (i.e. Transactions in the Year)</w:t>
      </w:r>
      <w:r>
        <w:rPr>
          <w:rFonts w:ascii="Arial" w:hAnsi="Arial" w:cs="Arial"/>
          <w:sz w:val="24"/>
          <w:szCs w:val="24"/>
        </w:rPr>
        <w:t xml:space="preserve"> (cell C75) ($11,666) does not match the transactions in the continuity schedule of $378.</w:t>
      </w:r>
    </w:p>
    <w:p w14:paraId="539702B9" w14:textId="77777777" w:rsidR="00F34758" w:rsidRPr="00C27409" w:rsidRDefault="00F34758" w:rsidP="002215D5">
      <w:pPr>
        <w:autoSpaceDE w:val="0"/>
        <w:autoSpaceDN w:val="0"/>
        <w:adjustRightInd w:val="0"/>
        <w:spacing w:after="0"/>
        <w:rPr>
          <w:rFonts w:ascii="Arial" w:hAnsi="Arial" w:cs="Arial"/>
          <w:bCs/>
          <w:sz w:val="24"/>
          <w:szCs w:val="24"/>
        </w:rPr>
      </w:pPr>
    </w:p>
    <w:p w14:paraId="2685072B" w14:textId="69B33E73" w:rsidR="00CE3EF1" w:rsidRPr="00A978D1" w:rsidRDefault="00F34758" w:rsidP="00F34758">
      <w:pPr>
        <w:spacing w:before="40" w:after="40"/>
        <w:rPr>
          <w:rFonts w:ascii="Arial" w:hAnsi="Arial" w:cs="Arial"/>
          <w:bCs/>
          <w:sz w:val="24"/>
          <w:szCs w:val="24"/>
        </w:rPr>
      </w:pPr>
      <w:r w:rsidRPr="00BD489D">
        <w:rPr>
          <w:rFonts w:ascii="Arial" w:hAnsi="Arial" w:cs="Arial"/>
          <w:b/>
          <w:bCs/>
          <w:color w:val="0070C0"/>
          <w:sz w:val="24"/>
          <w:szCs w:val="24"/>
        </w:rPr>
        <w:t>Hydro 2000 Response:</w:t>
      </w:r>
      <w:r>
        <w:rPr>
          <w:rFonts w:ascii="Arial" w:hAnsi="Arial" w:cs="Arial"/>
          <w:b/>
          <w:bCs/>
          <w:color w:val="0070C0"/>
          <w:sz w:val="24"/>
          <w:szCs w:val="24"/>
        </w:rPr>
        <w:t xml:space="preserve"> </w:t>
      </w:r>
      <w:r>
        <w:rPr>
          <w:rFonts w:ascii="Arial" w:hAnsi="Arial" w:cs="Arial"/>
          <w:color w:val="0070C0"/>
          <w:sz w:val="24"/>
          <w:szCs w:val="24"/>
        </w:rPr>
        <w:t xml:space="preserve">The error was corrected in the model attached to these responses. </w:t>
      </w:r>
    </w:p>
    <w:sectPr w:rsidR="00CE3EF1" w:rsidRPr="00A978D1" w:rsidSect="00EA0919">
      <w:foot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9B75" w14:textId="77777777" w:rsidR="0087778A" w:rsidRDefault="0087778A" w:rsidP="0087778A">
      <w:pPr>
        <w:spacing w:after="0" w:line="240" w:lineRule="auto"/>
      </w:pPr>
      <w:r>
        <w:separator/>
      </w:r>
    </w:p>
  </w:endnote>
  <w:endnote w:type="continuationSeparator" w:id="0">
    <w:p w14:paraId="388C63C2" w14:textId="77777777" w:rsidR="0087778A" w:rsidRDefault="0087778A" w:rsidP="0087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320922"/>
      <w:docPartObj>
        <w:docPartGallery w:val="Page Numbers (Bottom of Page)"/>
        <w:docPartUnique/>
      </w:docPartObj>
    </w:sdtPr>
    <w:sdtEndPr>
      <w:rPr>
        <w:rFonts w:asciiTheme="minorHAnsi" w:hAnsiTheme="minorHAnsi" w:cstheme="minorHAnsi"/>
        <w:noProof/>
        <w:sz w:val="22"/>
        <w:szCs w:val="22"/>
      </w:rPr>
    </w:sdtEndPr>
    <w:sdtContent>
      <w:p w14:paraId="0084B0F2" w14:textId="6C6ED2DD" w:rsidR="00A42475" w:rsidRPr="00A42475" w:rsidRDefault="00A42475">
        <w:pPr>
          <w:pStyle w:val="Footer"/>
          <w:jc w:val="center"/>
          <w:rPr>
            <w:rFonts w:asciiTheme="minorHAnsi" w:hAnsiTheme="minorHAnsi" w:cstheme="minorHAnsi"/>
            <w:sz w:val="22"/>
            <w:szCs w:val="22"/>
          </w:rPr>
        </w:pPr>
        <w:r w:rsidRPr="00A42475">
          <w:rPr>
            <w:rFonts w:asciiTheme="minorHAnsi" w:hAnsiTheme="minorHAnsi" w:cstheme="minorHAnsi"/>
            <w:sz w:val="22"/>
            <w:szCs w:val="22"/>
          </w:rPr>
          <w:fldChar w:fldCharType="begin"/>
        </w:r>
        <w:r w:rsidRPr="00A42475">
          <w:rPr>
            <w:rFonts w:asciiTheme="minorHAnsi" w:hAnsiTheme="minorHAnsi" w:cstheme="minorHAnsi"/>
            <w:sz w:val="22"/>
            <w:szCs w:val="22"/>
          </w:rPr>
          <w:instrText xml:space="preserve"> PAGE   \* MERGEFORMAT </w:instrText>
        </w:r>
        <w:r w:rsidRPr="00A42475">
          <w:rPr>
            <w:rFonts w:asciiTheme="minorHAnsi" w:hAnsiTheme="minorHAnsi" w:cstheme="minorHAnsi"/>
            <w:sz w:val="22"/>
            <w:szCs w:val="22"/>
          </w:rPr>
          <w:fldChar w:fldCharType="separate"/>
        </w:r>
        <w:r w:rsidRPr="00A42475">
          <w:rPr>
            <w:rFonts w:asciiTheme="minorHAnsi" w:hAnsiTheme="minorHAnsi" w:cstheme="minorHAnsi"/>
            <w:noProof/>
            <w:sz w:val="22"/>
            <w:szCs w:val="22"/>
          </w:rPr>
          <w:t>2</w:t>
        </w:r>
        <w:r w:rsidRPr="00A42475">
          <w:rPr>
            <w:rFonts w:asciiTheme="minorHAnsi" w:hAnsiTheme="minorHAnsi" w:cstheme="minorHAnsi"/>
            <w:noProof/>
            <w:sz w:val="22"/>
            <w:szCs w:val="22"/>
          </w:rPr>
          <w:fldChar w:fldCharType="end"/>
        </w:r>
      </w:p>
    </w:sdtContent>
  </w:sdt>
  <w:p w14:paraId="38B1B83F" w14:textId="77777777" w:rsidR="0087778A" w:rsidRDefault="0087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77AA" w14:textId="77777777" w:rsidR="0087778A" w:rsidRDefault="0087778A" w:rsidP="0087778A">
      <w:pPr>
        <w:spacing w:after="0" w:line="240" w:lineRule="auto"/>
      </w:pPr>
      <w:r>
        <w:separator/>
      </w:r>
    </w:p>
  </w:footnote>
  <w:footnote w:type="continuationSeparator" w:id="0">
    <w:p w14:paraId="09FF549C" w14:textId="77777777" w:rsidR="0087778A" w:rsidRDefault="0087778A" w:rsidP="0087778A">
      <w:pPr>
        <w:spacing w:after="0" w:line="240" w:lineRule="auto"/>
      </w:pPr>
      <w:r>
        <w:continuationSeparator/>
      </w:r>
    </w:p>
  </w:footnote>
  <w:footnote w:id="1">
    <w:p w14:paraId="5797C85E" w14:textId="77777777" w:rsidR="00FD2E0C" w:rsidRPr="0007721A" w:rsidRDefault="00FD2E0C" w:rsidP="00FD2E0C">
      <w:pPr>
        <w:pStyle w:val="FootnoteText"/>
        <w:rPr>
          <w:rFonts w:ascii="Arial" w:hAnsi="Arial" w:cs="Arial"/>
          <w:lang w:val="en-US"/>
        </w:rPr>
      </w:pPr>
      <w:r w:rsidRPr="0007721A">
        <w:rPr>
          <w:rStyle w:val="FootnoteReference"/>
          <w:rFonts w:ascii="Arial" w:hAnsi="Arial" w:cs="Arial"/>
        </w:rPr>
        <w:footnoteRef/>
      </w:r>
      <w:r w:rsidRPr="0007721A">
        <w:rPr>
          <w:rFonts w:ascii="Arial" w:hAnsi="Arial" w:cs="Arial"/>
        </w:rPr>
        <w:t xml:space="preserve"> </w:t>
      </w:r>
      <w:r w:rsidRPr="0007721A">
        <w:rPr>
          <w:rFonts w:ascii="Arial" w:hAnsi="Arial" w:cs="Arial"/>
          <w:lang w:val="en-US"/>
        </w:rPr>
        <w:t>2022 inflation factor established in the Decision and Order issued on November 18, 2021, EB-2021-0212</w:t>
      </w:r>
    </w:p>
  </w:footnote>
  <w:footnote w:id="2">
    <w:p w14:paraId="05948511" w14:textId="3E77F460" w:rsidR="009C7996" w:rsidRPr="009C7996" w:rsidRDefault="009C7996">
      <w:pPr>
        <w:pStyle w:val="FootnoteText"/>
        <w:rPr>
          <w:rFonts w:ascii="Arial" w:hAnsi="Arial" w:cs="Arial"/>
          <w:lang w:val="en-US"/>
        </w:rPr>
      </w:pPr>
      <w:r w:rsidRPr="009C7996">
        <w:rPr>
          <w:rStyle w:val="FootnoteReference"/>
          <w:rFonts w:ascii="Arial" w:hAnsi="Arial" w:cs="Arial"/>
        </w:rPr>
        <w:footnoteRef/>
      </w:r>
      <w:r w:rsidRPr="009C7996">
        <w:rPr>
          <w:rFonts w:ascii="Arial" w:hAnsi="Arial" w:cs="Arial"/>
        </w:rPr>
        <w:t xml:space="preserve"> </w:t>
      </w:r>
      <w:r w:rsidRPr="009C7996">
        <w:rPr>
          <w:rFonts w:ascii="Arial" w:hAnsi="Arial" w:cs="Arial"/>
          <w:lang w:val="en-US"/>
        </w:rPr>
        <w:t>EB-2021-0301, Decision and Order, issued November 25, 2021</w:t>
      </w:r>
    </w:p>
  </w:footnote>
  <w:footnote w:id="3">
    <w:p w14:paraId="74EEA792" w14:textId="77777777" w:rsidR="00FD2E0C" w:rsidRPr="0006764F" w:rsidRDefault="00FD2E0C" w:rsidP="00FD2E0C">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EB-2021-0302, Decision and Order, issued December 16, 2021</w:t>
      </w:r>
    </w:p>
  </w:footnote>
  <w:footnote w:id="4">
    <w:p w14:paraId="029F7BB0" w14:textId="77777777" w:rsidR="00FD2E0C" w:rsidRPr="0006764F" w:rsidRDefault="00FD2E0C" w:rsidP="00FD2E0C">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EB-2021-0276, Decision and Rate Order, issued December 16, 2021</w:t>
      </w:r>
    </w:p>
  </w:footnote>
  <w:footnote w:id="5">
    <w:p w14:paraId="3B58B4ED" w14:textId="77777777" w:rsidR="00FD2E0C" w:rsidRPr="0006764F" w:rsidRDefault="00FD2E0C" w:rsidP="00FD2E0C">
      <w:pPr>
        <w:pStyle w:val="FootnoteText"/>
        <w:rPr>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EB-2021-0032, Decision and Rate Order, issued December 14,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C40"/>
    <w:multiLevelType w:val="hybridMultilevel"/>
    <w:tmpl w:val="7AF0C6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182344"/>
    <w:multiLevelType w:val="hybridMultilevel"/>
    <w:tmpl w:val="5164DFBA"/>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D31621"/>
    <w:multiLevelType w:val="hybridMultilevel"/>
    <w:tmpl w:val="296EC9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7A3E53"/>
    <w:multiLevelType w:val="hybridMultilevel"/>
    <w:tmpl w:val="5532ED3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C656154"/>
    <w:multiLevelType w:val="hybridMultilevel"/>
    <w:tmpl w:val="26B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D9C1ABD"/>
    <w:multiLevelType w:val="hybridMultilevel"/>
    <w:tmpl w:val="114297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DAF04B9"/>
    <w:multiLevelType w:val="hybridMultilevel"/>
    <w:tmpl w:val="5CC8E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9"/>
  </w:num>
  <w:num w:numId="3">
    <w:abstractNumId w:val="24"/>
  </w:num>
  <w:num w:numId="4">
    <w:abstractNumId w:val="31"/>
  </w:num>
  <w:num w:numId="5">
    <w:abstractNumId w:val="14"/>
  </w:num>
  <w:num w:numId="6">
    <w:abstractNumId w:val="11"/>
  </w:num>
  <w:num w:numId="7">
    <w:abstractNumId w:val="19"/>
  </w:num>
  <w:num w:numId="8">
    <w:abstractNumId w:val="15"/>
  </w:num>
  <w:num w:numId="9">
    <w:abstractNumId w:val="16"/>
  </w:num>
  <w:num w:numId="10">
    <w:abstractNumId w:val="8"/>
  </w:num>
  <w:num w:numId="11">
    <w:abstractNumId w:val="18"/>
  </w:num>
  <w:num w:numId="12">
    <w:abstractNumId w:val="26"/>
  </w:num>
  <w:num w:numId="13">
    <w:abstractNumId w:val="7"/>
  </w:num>
  <w:num w:numId="14">
    <w:abstractNumId w:val="3"/>
  </w:num>
  <w:num w:numId="15">
    <w:abstractNumId w:val="30"/>
  </w:num>
  <w:num w:numId="16">
    <w:abstractNumId w:val="10"/>
  </w:num>
  <w:num w:numId="17">
    <w:abstractNumId w:val="22"/>
  </w:num>
  <w:num w:numId="18">
    <w:abstractNumId w:val="28"/>
  </w:num>
  <w:num w:numId="19">
    <w:abstractNumId w:val="29"/>
  </w:num>
  <w:num w:numId="20">
    <w:abstractNumId w:val="13"/>
  </w:num>
  <w:num w:numId="21">
    <w:abstractNumId w:val="27"/>
  </w:num>
  <w:num w:numId="22">
    <w:abstractNumId w:val="12"/>
  </w:num>
  <w:num w:numId="23">
    <w:abstractNumId w:val="25"/>
  </w:num>
  <w:num w:numId="24">
    <w:abstractNumId w:val="23"/>
  </w:num>
  <w:num w:numId="25">
    <w:abstractNumId w:val="4"/>
  </w:num>
  <w:num w:numId="26">
    <w:abstractNumId w:val="17"/>
  </w:num>
  <w:num w:numId="27">
    <w:abstractNumId w:val="20"/>
  </w:num>
  <w:num w:numId="28">
    <w:abstractNumId w:val="0"/>
  </w:num>
  <w:num w:numId="29">
    <w:abstractNumId w:val="5"/>
  </w:num>
  <w:num w:numId="30">
    <w:abstractNumId w:val="6"/>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
  </w:num>
  <w:num w:numId="34">
    <w:abstractNumId w:val="21"/>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tDA3MrawMDYxNLJU0lEKTi0uzszPAykwqgUATmqw9ywAAAA="/>
  </w:docVars>
  <w:rsids>
    <w:rsidRoot w:val="00DB6B52"/>
    <w:rsid w:val="00020D81"/>
    <w:rsid w:val="0003073C"/>
    <w:rsid w:val="00035337"/>
    <w:rsid w:val="00054071"/>
    <w:rsid w:val="0006126D"/>
    <w:rsid w:val="00067F57"/>
    <w:rsid w:val="00070370"/>
    <w:rsid w:val="00071BEC"/>
    <w:rsid w:val="00071C4B"/>
    <w:rsid w:val="000735C7"/>
    <w:rsid w:val="00074514"/>
    <w:rsid w:val="000832D4"/>
    <w:rsid w:val="00090160"/>
    <w:rsid w:val="00092B5B"/>
    <w:rsid w:val="000B3E7E"/>
    <w:rsid w:val="000D223C"/>
    <w:rsid w:val="000E4006"/>
    <w:rsid w:val="000F1E3A"/>
    <w:rsid w:val="000F60EE"/>
    <w:rsid w:val="00112077"/>
    <w:rsid w:val="00133BE1"/>
    <w:rsid w:val="00156FA4"/>
    <w:rsid w:val="00164E99"/>
    <w:rsid w:val="00183CC8"/>
    <w:rsid w:val="00187E9B"/>
    <w:rsid w:val="001927C2"/>
    <w:rsid w:val="001A15C5"/>
    <w:rsid w:val="001A4DCD"/>
    <w:rsid w:val="001A5367"/>
    <w:rsid w:val="00203092"/>
    <w:rsid w:val="002208C0"/>
    <w:rsid w:val="002215D5"/>
    <w:rsid w:val="00224C06"/>
    <w:rsid w:val="00247B79"/>
    <w:rsid w:val="0025687C"/>
    <w:rsid w:val="002654E2"/>
    <w:rsid w:val="00274A48"/>
    <w:rsid w:val="00275471"/>
    <w:rsid w:val="00291CCC"/>
    <w:rsid w:val="002A5D4F"/>
    <w:rsid w:val="002A6415"/>
    <w:rsid w:val="002B4161"/>
    <w:rsid w:val="002B7B7C"/>
    <w:rsid w:val="002C2BF2"/>
    <w:rsid w:val="002C7EF6"/>
    <w:rsid w:val="002D4924"/>
    <w:rsid w:val="002D6FCF"/>
    <w:rsid w:val="002F4756"/>
    <w:rsid w:val="00302509"/>
    <w:rsid w:val="003049C5"/>
    <w:rsid w:val="003303BF"/>
    <w:rsid w:val="00340C00"/>
    <w:rsid w:val="003478C3"/>
    <w:rsid w:val="003702D1"/>
    <w:rsid w:val="00373FAD"/>
    <w:rsid w:val="003777B5"/>
    <w:rsid w:val="003832E7"/>
    <w:rsid w:val="00385A7B"/>
    <w:rsid w:val="003A20A0"/>
    <w:rsid w:val="003A4C2B"/>
    <w:rsid w:val="003A58B0"/>
    <w:rsid w:val="00400DFC"/>
    <w:rsid w:val="00412DC6"/>
    <w:rsid w:val="00425009"/>
    <w:rsid w:val="00433258"/>
    <w:rsid w:val="004377B0"/>
    <w:rsid w:val="0044769D"/>
    <w:rsid w:val="00471DB2"/>
    <w:rsid w:val="00472C81"/>
    <w:rsid w:val="00475032"/>
    <w:rsid w:val="004859EF"/>
    <w:rsid w:val="004C0808"/>
    <w:rsid w:val="004F7DCB"/>
    <w:rsid w:val="00503536"/>
    <w:rsid w:val="00511EC2"/>
    <w:rsid w:val="005164F5"/>
    <w:rsid w:val="0052560F"/>
    <w:rsid w:val="005666F2"/>
    <w:rsid w:val="0057012B"/>
    <w:rsid w:val="0057178F"/>
    <w:rsid w:val="00572064"/>
    <w:rsid w:val="00584369"/>
    <w:rsid w:val="00587A35"/>
    <w:rsid w:val="005A52E0"/>
    <w:rsid w:val="005F4693"/>
    <w:rsid w:val="00623602"/>
    <w:rsid w:val="0064279A"/>
    <w:rsid w:val="00651C98"/>
    <w:rsid w:val="006537D7"/>
    <w:rsid w:val="00655943"/>
    <w:rsid w:val="00666B6E"/>
    <w:rsid w:val="006A5D23"/>
    <w:rsid w:val="006E3D58"/>
    <w:rsid w:val="00704EE5"/>
    <w:rsid w:val="007066E2"/>
    <w:rsid w:val="0071105A"/>
    <w:rsid w:val="0072241F"/>
    <w:rsid w:val="00722640"/>
    <w:rsid w:val="00727228"/>
    <w:rsid w:val="0073197E"/>
    <w:rsid w:val="00746080"/>
    <w:rsid w:val="007508EC"/>
    <w:rsid w:val="00772B57"/>
    <w:rsid w:val="00781D04"/>
    <w:rsid w:val="00795200"/>
    <w:rsid w:val="007C2D45"/>
    <w:rsid w:val="007F49EB"/>
    <w:rsid w:val="00805FDA"/>
    <w:rsid w:val="00812C1B"/>
    <w:rsid w:val="008173B1"/>
    <w:rsid w:val="00835AD0"/>
    <w:rsid w:val="00841787"/>
    <w:rsid w:val="008747B3"/>
    <w:rsid w:val="0087778A"/>
    <w:rsid w:val="008813C3"/>
    <w:rsid w:val="008926F0"/>
    <w:rsid w:val="008964E8"/>
    <w:rsid w:val="008A48F6"/>
    <w:rsid w:val="008E6045"/>
    <w:rsid w:val="008F66D8"/>
    <w:rsid w:val="0090113B"/>
    <w:rsid w:val="0093258A"/>
    <w:rsid w:val="0094373C"/>
    <w:rsid w:val="00946DEE"/>
    <w:rsid w:val="00951E2B"/>
    <w:rsid w:val="00952939"/>
    <w:rsid w:val="00961EA0"/>
    <w:rsid w:val="00964B3E"/>
    <w:rsid w:val="00976C65"/>
    <w:rsid w:val="00987289"/>
    <w:rsid w:val="009A5C44"/>
    <w:rsid w:val="009B03AF"/>
    <w:rsid w:val="009C4216"/>
    <w:rsid w:val="009C7996"/>
    <w:rsid w:val="009D46E7"/>
    <w:rsid w:val="009D5F4B"/>
    <w:rsid w:val="009E626E"/>
    <w:rsid w:val="009E7CBF"/>
    <w:rsid w:val="00A07077"/>
    <w:rsid w:val="00A42475"/>
    <w:rsid w:val="00A50DD0"/>
    <w:rsid w:val="00A516B0"/>
    <w:rsid w:val="00A52933"/>
    <w:rsid w:val="00A5620A"/>
    <w:rsid w:val="00A8111A"/>
    <w:rsid w:val="00A978D1"/>
    <w:rsid w:val="00AA06D9"/>
    <w:rsid w:val="00AC2406"/>
    <w:rsid w:val="00AC5847"/>
    <w:rsid w:val="00AD0CC8"/>
    <w:rsid w:val="00AD3FCF"/>
    <w:rsid w:val="00AE5F79"/>
    <w:rsid w:val="00B03802"/>
    <w:rsid w:val="00B069AA"/>
    <w:rsid w:val="00B23A36"/>
    <w:rsid w:val="00B25576"/>
    <w:rsid w:val="00B25EF5"/>
    <w:rsid w:val="00B3526B"/>
    <w:rsid w:val="00B40D3A"/>
    <w:rsid w:val="00B50EB2"/>
    <w:rsid w:val="00B6722A"/>
    <w:rsid w:val="00B75AC9"/>
    <w:rsid w:val="00B82D78"/>
    <w:rsid w:val="00BA434C"/>
    <w:rsid w:val="00BC27F8"/>
    <w:rsid w:val="00BD489D"/>
    <w:rsid w:val="00BD4F65"/>
    <w:rsid w:val="00BD7607"/>
    <w:rsid w:val="00BF074C"/>
    <w:rsid w:val="00C06F9E"/>
    <w:rsid w:val="00C13E6B"/>
    <w:rsid w:val="00C2370B"/>
    <w:rsid w:val="00C27193"/>
    <w:rsid w:val="00C27409"/>
    <w:rsid w:val="00C624D5"/>
    <w:rsid w:val="00C71248"/>
    <w:rsid w:val="00C848A0"/>
    <w:rsid w:val="00C859E5"/>
    <w:rsid w:val="00C878C5"/>
    <w:rsid w:val="00C940E1"/>
    <w:rsid w:val="00C96AEA"/>
    <w:rsid w:val="00CC0B6D"/>
    <w:rsid w:val="00CD01B4"/>
    <w:rsid w:val="00CE1CD3"/>
    <w:rsid w:val="00CE3EF1"/>
    <w:rsid w:val="00CE4F01"/>
    <w:rsid w:val="00CF4032"/>
    <w:rsid w:val="00D30F16"/>
    <w:rsid w:val="00D34719"/>
    <w:rsid w:val="00D55546"/>
    <w:rsid w:val="00D57E8C"/>
    <w:rsid w:val="00D6213C"/>
    <w:rsid w:val="00D647C0"/>
    <w:rsid w:val="00D77694"/>
    <w:rsid w:val="00D77B0F"/>
    <w:rsid w:val="00D867E6"/>
    <w:rsid w:val="00D93734"/>
    <w:rsid w:val="00DA5A77"/>
    <w:rsid w:val="00DB6B52"/>
    <w:rsid w:val="00DE5488"/>
    <w:rsid w:val="00DE75AC"/>
    <w:rsid w:val="00DF5A52"/>
    <w:rsid w:val="00E17C58"/>
    <w:rsid w:val="00E231C2"/>
    <w:rsid w:val="00E429DA"/>
    <w:rsid w:val="00E616AB"/>
    <w:rsid w:val="00E62C2A"/>
    <w:rsid w:val="00E70EAA"/>
    <w:rsid w:val="00E8586E"/>
    <w:rsid w:val="00E86F26"/>
    <w:rsid w:val="00E96A06"/>
    <w:rsid w:val="00EA0919"/>
    <w:rsid w:val="00EB5240"/>
    <w:rsid w:val="00EC0B55"/>
    <w:rsid w:val="00EE3753"/>
    <w:rsid w:val="00F034BF"/>
    <w:rsid w:val="00F233A3"/>
    <w:rsid w:val="00F23D7A"/>
    <w:rsid w:val="00F26D30"/>
    <w:rsid w:val="00F34758"/>
    <w:rsid w:val="00F57152"/>
    <w:rsid w:val="00F7362C"/>
    <w:rsid w:val="00F92F61"/>
    <w:rsid w:val="00FB6F10"/>
    <w:rsid w:val="00FC4CF8"/>
    <w:rsid w:val="00FC5DA7"/>
    <w:rsid w:val="00FD2E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7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78A"/>
  </w:style>
  <w:style w:type="character" w:styleId="Hyperlink">
    <w:name w:val="Hyperlink"/>
    <w:basedOn w:val="DefaultParagraphFont"/>
    <w:uiPriority w:val="99"/>
    <w:unhideWhenUsed/>
    <w:rsid w:val="00A42475"/>
    <w:rPr>
      <w:color w:val="0000FF" w:themeColor="hyperlink"/>
      <w:u w:val="single"/>
    </w:rPr>
  </w:style>
  <w:style w:type="character" w:styleId="UnresolvedMention">
    <w:name w:val="Unresolved Mention"/>
    <w:basedOn w:val="DefaultParagraphFont"/>
    <w:uiPriority w:val="99"/>
    <w:semiHidden/>
    <w:unhideWhenUsed/>
    <w:rsid w:val="00A42475"/>
    <w:rPr>
      <w:color w:val="605E5C"/>
      <w:shd w:val="clear" w:color="auto" w:fill="E1DFDD"/>
    </w:rPr>
  </w:style>
  <w:style w:type="character" w:styleId="FollowedHyperlink">
    <w:name w:val="FollowedHyperlink"/>
    <w:basedOn w:val="DefaultParagraphFont"/>
    <w:uiPriority w:val="99"/>
    <w:semiHidden/>
    <w:unhideWhenUsed/>
    <w:rsid w:val="006537D7"/>
    <w:rPr>
      <w:color w:val="800080" w:themeColor="followedHyperlink"/>
      <w:u w:val="single"/>
    </w:rPr>
  </w:style>
  <w:style w:type="paragraph" w:styleId="FootnoteText">
    <w:name w:val="footnote text"/>
    <w:basedOn w:val="Normal"/>
    <w:link w:val="FootnoteTextChar"/>
    <w:uiPriority w:val="99"/>
    <w:semiHidden/>
    <w:unhideWhenUsed/>
    <w:rsid w:val="00FD2E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E0C"/>
    <w:rPr>
      <w:sz w:val="20"/>
      <w:szCs w:val="20"/>
    </w:rPr>
  </w:style>
  <w:style w:type="character" w:styleId="FootnoteReference">
    <w:name w:val="footnote reference"/>
    <w:basedOn w:val="DefaultParagraphFont"/>
    <w:uiPriority w:val="99"/>
    <w:semiHidden/>
    <w:unhideWhenUsed/>
    <w:rsid w:val="00FD2E0C"/>
    <w:rPr>
      <w:vertAlign w:val="superscript"/>
    </w:rPr>
  </w:style>
  <w:style w:type="paragraph" w:styleId="Revision">
    <w:name w:val="Revision"/>
    <w:hidden/>
    <w:uiPriority w:val="99"/>
    <w:semiHidden/>
    <w:rsid w:val="00020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86986319">
      <w:bodyDiv w:val="1"/>
      <w:marLeft w:val="0"/>
      <w:marRight w:val="0"/>
      <w:marTop w:val="0"/>
      <w:marBottom w:val="0"/>
      <w:divBdr>
        <w:top w:val="none" w:sz="0" w:space="0" w:color="auto"/>
        <w:left w:val="none" w:sz="0" w:space="0" w:color="auto"/>
        <w:bottom w:val="none" w:sz="0" w:space="0" w:color="auto"/>
        <w:right w:val="none" w:sz="0" w:space="0" w:color="auto"/>
      </w:divBdr>
    </w:div>
    <w:div w:id="333536204">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8952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Tandem Energy Services</cp:lastModifiedBy>
  <cp:revision>3</cp:revision>
  <cp:lastPrinted>2014-09-29T14:43:00Z</cp:lastPrinted>
  <dcterms:created xsi:type="dcterms:W3CDTF">2022-01-25T16:23:00Z</dcterms:created>
  <dcterms:modified xsi:type="dcterms:W3CDTF">2022-02-03T20:10:00Z</dcterms:modified>
</cp:coreProperties>
</file>