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552E" w14:textId="77777777" w:rsidR="001B160E" w:rsidRPr="001B160E" w:rsidRDefault="001B160E" w:rsidP="00A07077">
      <w:pPr>
        <w:pStyle w:val="Default"/>
        <w:jc w:val="right"/>
        <w:rPr>
          <w:rFonts w:ascii="Arial" w:hAnsi="Arial" w:cs="Arial"/>
        </w:rPr>
      </w:pPr>
      <w:r w:rsidRPr="001B160E">
        <w:rPr>
          <w:rFonts w:ascii="Arial" w:hAnsi="Arial" w:cs="Arial"/>
        </w:rPr>
        <w:t>Espanola Regional Hydro Distribution Corporation</w:t>
      </w:r>
    </w:p>
    <w:p w14:paraId="5498C7DE" w14:textId="51B5F976"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912028">
        <w:rPr>
          <w:rFonts w:ascii="Arial" w:hAnsi="Arial" w:cs="Arial"/>
          <w:sz w:val="22"/>
          <w:szCs w:val="22"/>
        </w:rPr>
        <w:t xml:space="preserve">Follow-up </w:t>
      </w:r>
      <w:r w:rsidR="008813C3" w:rsidRPr="00D57E8C">
        <w:rPr>
          <w:rFonts w:ascii="Arial" w:hAnsi="Arial" w:cs="Arial"/>
          <w:sz w:val="22"/>
          <w:szCs w:val="22"/>
        </w:rPr>
        <w:t>Questions</w:t>
      </w:r>
    </w:p>
    <w:p w14:paraId="04387495" w14:textId="11467C88"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1B160E">
        <w:rPr>
          <w:rFonts w:ascii="Arial" w:hAnsi="Arial" w:cs="Arial"/>
          <w:sz w:val="22"/>
          <w:szCs w:val="22"/>
        </w:rPr>
        <w:t>0022</w:t>
      </w:r>
    </w:p>
    <w:p w14:paraId="04DD1EF2" w14:textId="77777777" w:rsidR="00A07077" w:rsidRPr="00D57E8C" w:rsidRDefault="00A07077" w:rsidP="00A07077">
      <w:pPr>
        <w:pStyle w:val="Default"/>
        <w:rPr>
          <w:rFonts w:ascii="Arial" w:hAnsi="Arial" w:cs="Arial"/>
          <w:sz w:val="22"/>
          <w:szCs w:val="22"/>
        </w:rPr>
      </w:pPr>
    </w:p>
    <w:p w14:paraId="31F8E0D6" w14:textId="0E7B9038" w:rsidR="00A07077" w:rsidRPr="00D57E8C" w:rsidRDefault="001B160E" w:rsidP="00A07077">
      <w:pPr>
        <w:pStyle w:val="Default"/>
        <w:jc w:val="center"/>
        <w:rPr>
          <w:rFonts w:ascii="Arial" w:hAnsi="Arial" w:cs="Arial"/>
          <w:sz w:val="28"/>
          <w:szCs w:val="28"/>
        </w:rPr>
      </w:pPr>
      <w:r>
        <w:rPr>
          <w:rFonts w:ascii="Arial" w:hAnsi="Arial" w:cs="Arial"/>
          <w:b/>
          <w:bCs/>
          <w:sz w:val="28"/>
          <w:szCs w:val="28"/>
        </w:rPr>
        <w:t>Espanola Regional Hydro Distribution Corporation</w:t>
      </w:r>
    </w:p>
    <w:p w14:paraId="33D6510D" w14:textId="6A706BFE"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1B160E">
        <w:rPr>
          <w:rFonts w:ascii="Arial" w:hAnsi="Arial" w:cs="Arial"/>
          <w:b/>
          <w:bCs/>
          <w:sz w:val="28"/>
          <w:szCs w:val="28"/>
        </w:rPr>
        <w:t>0022</w:t>
      </w:r>
    </w:p>
    <w:p w14:paraId="63C86BE8" w14:textId="77777777" w:rsidR="00511EC2" w:rsidRDefault="00511EC2" w:rsidP="00511EC2">
      <w:pPr>
        <w:spacing w:after="0" w:line="240" w:lineRule="auto"/>
        <w:rPr>
          <w:rFonts w:ascii="Arial" w:eastAsia="Calibri" w:hAnsi="Arial" w:cs="Arial"/>
          <w:lang w:val="en-US"/>
        </w:rPr>
      </w:pPr>
    </w:p>
    <w:p w14:paraId="66181459" w14:textId="77777777" w:rsidR="00D23B20" w:rsidRDefault="00D23B20" w:rsidP="00D57E8C">
      <w:pPr>
        <w:rPr>
          <w:rFonts w:ascii="Arial" w:hAnsi="Arial" w:cs="Arial"/>
          <w:b/>
          <w:sz w:val="24"/>
          <w:szCs w:val="24"/>
        </w:rPr>
      </w:pPr>
    </w:p>
    <w:p w14:paraId="7CFAFC4F" w14:textId="5021C45E" w:rsidR="00D57E8C" w:rsidRDefault="00D57E8C" w:rsidP="00D57E8C">
      <w:pPr>
        <w:rPr>
          <w:rFonts w:ascii="Arial" w:hAnsi="Arial" w:cs="Arial"/>
          <w:b/>
          <w:sz w:val="24"/>
          <w:szCs w:val="24"/>
        </w:rPr>
      </w:pPr>
      <w:r>
        <w:rPr>
          <w:rFonts w:ascii="Arial" w:hAnsi="Arial" w:cs="Arial"/>
          <w:b/>
          <w:sz w:val="24"/>
          <w:szCs w:val="24"/>
        </w:rPr>
        <w:t xml:space="preserve">Staff </w:t>
      </w:r>
      <w:r w:rsidR="00912028">
        <w:rPr>
          <w:rFonts w:ascii="Arial" w:hAnsi="Arial" w:cs="Arial"/>
          <w:b/>
          <w:sz w:val="24"/>
          <w:szCs w:val="24"/>
        </w:rPr>
        <w:t xml:space="preserve">Follow-up </w:t>
      </w:r>
      <w:r>
        <w:rPr>
          <w:rFonts w:ascii="Arial" w:hAnsi="Arial" w:cs="Arial"/>
          <w:b/>
          <w:sz w:val="24"/>
          <w:szCs w:val="24"/>
        </w:rPr>
        <w:t>Question-1</w:t>
      </w:r>
    </w:p>
    <w:p w14:paraId="3BFCBCD7" w14:textId="004BB4B9" w:rsidR="00214212" w:rsidRDefault="00214212" w:rsidP="008E6045">
      <w:pPr>
        <w:rPr>
          <w:rFonts w:ascii="Arial" w:hAnsi="Arial" w:cs="Arial"/>
          <w:b/>
          <w:sz w:val="24"/>
          <w:szCs w:val="24"/>
        </w:rPr>
      </w:pPr>
      <w:r>
        <w:rPr>
          <w:rFonts w:ascii="Arial" w:hAnsi="Arial" w:cs="Arial"/>
          <w:b/>
          <w:sz w:val="24"/>
          <w:szCs w:val="24"/>
        </w:rPr>
        <w:t>Ref 1:</w:t>
      </w:r>
      <w:r w:rsidR="00912028">
        <w:rPr>
          <w:rFonts w:ascii="Arial" w:hAnsi="Arial" w:cs="Arial"/>
          <w:b/>
          <w:sz w:val="24"/>
          <w:szCs w:val="24"/>
        </w:rPr>
        <w:t xml:space="preserve"> Response to Staff Question – 2</w:t>
      </w:r>
    </w:p>
    <w:p w14:paraId="0A603E20" w14:textId="2566B76C" w:rsidR="00912028" w:rsidRDefault="00912028" w:rsidP="008E6045">
      <w:pPr>
        <w:rPr>
          <w:rFonts w:ascii="Arial" w:hAnsi="Arial" w:cs="Arial"/>
          <w:b/>
          <w:sz w:val="24"/>
          <w:szCs w:val="24"/>
        </w:rPr>
      </w:pPr>
      <w:r>
        <w:rPr>
          <w:rFonts w:ascii="Arial" w:hAnsi="Arial" w:cs="Arial"/>
          <w:b/>
          <w:sz w:val="24"/>
          <w:szCs w:val="24"/>
        </w:rPr>
        <w:t xml:space="preserve">Ref 2: Response to Staff Question </w:t>
      </w:r>
      <w:r w:rsidR="00BC5C9F">
        <w:rPr>
          <w:rFonts w:ascii="Arial" w:hAnsi="Arial" w:cs="Arial"/>
          <w:b/>
          <w:sz w:val="24"/>
          <w:szCs w:val="24"/>
        </w:rPr>
        <w:t>–</w:t>
      </w:r>
      <w:r>
        <w:rPr>
          <w:rFonts w:ascii="Arial" w:hAnsi="Arial" w:cs="Arial"/>
          <w:b/>
          <w:sz w:val="24"/>
          <w:szCs w:val="24"/>
        </w:rPr>
        <w:t xml:space="preserve"> 3</w:t>
      </w:r>
    </w:p>
    <w:p w14:paraId="7CA5AB01" w14:textId="295C9A5E" w:rsidR="00BC5C9F" w:rsidRDefault="00BC5C9F" w:rsidP="008E6045">
      <w:pPr>
        <w:rPr>
          <w:rFonts w:ascii="Arial" w:hAnsi="Arial" w:cs="Arial"/>
          <w:bCs/>
          <w:sz w:val="24"/>
          <w:szCs w:val="24"/>
        </w:rPr>
      </w:pPr>
      <w:r>
        <w:rPr>
          <w:rFonts w:ascii="Arial" w:hAnsi="Arial" w:cs="Arial"/>
          <w:bCs/>
          <w:sz w:val="24"/>
          <w:szCs w:val="24"/>
        </w:rPr>
        <w:t>In responding to OEB staff’s questions for the 2020 opening balances in the DVA continuity schedule of this application for Accounts 1550, 1586, 1588 and 1589 not matching with the 2019 ending balances in the DVA continuity schedule of 2021 cost of service application, Espanola Hydro explained that these adjustments were</w:t>
      </w:r>
      <w:r w:rsidR="00577255">
        <w:rPr>
          <w:rFonts w:ascii="Arial" w:hAnsi="Arial" w:cs="Arial"/>
          <w:bCs/>
          <w:sz w:val="24"/>
          <w:szCs w:val="24"/>
        </w:rPr>
        <w:t xml:space="preserve"> </w:t>
      </w:r>
      <w:r w:rsidR="00577255" w:rsidRPr="00577255">
        <w:rPr>
          <w:rFonts w:ascii="Arial" w:hAnsi="Arial" w:cs="Arial"/>
          <w:bCs/>
          <w:sz w:val="24"/>
          <w:szCs w:val="24"/>
        </w:rPr>
        <w:t xml:space="preserve">not recorded </w:t>
      </w:r>
      <w:r w:rsidR="00577255">
        <w:rPr>
          <w:rFonts w:ascii="Arial" w:hAnsi="Arial" w:cs="Arial"/>
          <w:bCs/>
          <w:sz w:val="24"/>
          <w:szCs w:val="24"/>
        </w:rPr>
        <w:t xml:space="preserve">in the general ledger </w:t>
      </w:r>
      <w:r w:rsidR="00577255" w:rsidRPr="00577255">
        <w:rPr>
          <w:rFonts w:ascii="Arial" w:hAnsi="Arial" w:cs="Arial"/>
          <w:bCs/>
          <w:sz w:val="24"/>
          <w:szCs w:val="24"/>
        </w:rPr>
        <w:t>until 2021</w:t>
      </w:r>
      <w:r w:rsidR="00577255">
        <w:rPr>
          <w:rFonts w:ascii="Arial" w:hAnsi="Arial" w:cs="Arial"/>
          <w:bCs/>
          <w:sz w:val="24"/>
          <w:szCs w:val="24"/>
        </w:rPr>
        <w:t xml:space="preserve"> when the 2021 cost of service decision and order was issued</w:t>
      </w:r>
      <w:r w:rsidR="00577255" w:rsidRPr="00577255">
        <w:rPr>
          <w:rFonts w:ascii="Arial" w:hAnsi="Arial" w:cs="Arial"/>
          <w:bCs/>
          <w:sz w:val="24"/>
          <w:szCs w:val="24"/>
        </w:rPr>
        <w:t xml:space="preserve">, however in order to propose the proper balances in the 2022-IRM-Rate-Generator-Model, the adjustments have to be shown in 2020 </w:t>
      </w:r>
      <w:r w:rsidR="00577255">
        <w:rPr>
          <w:rFonts w:ascii="Arial" w:hAnsi="Arial" w:cs="Arial"/>
          <w:bCs/>
          <w:sz w:val="24"/>
          <w:szCs w:val="24"/>
        </w:rPr>
        <w:t xml:space="preserve">principal adjustment column </w:t>
      </w:r>
      <w:r w:rsidR="00577255" w:rsidRPr="00577255">
        <w:rPr>
          <w:rFonts w:ascii="Arial" w:hAnsi="Arial" w:cs="Arial"/>
          <w:bCs/>
          <w:sz w:val="24"/>
          <w:szCs w:val="24"/>
        </w:rPr>
        <w:t>to calculate the new disposition accurately</w:t>
      </w:r>
      <w:r w:rsidR="00577255">
        <w:rPr>
          <w:rFonts w:ascii="Arial" w:hAnsi="Arial" w:cs="Arial"/>
          <w:bCs/>
          <w:sz w:val="24"/>
          <w:szCs w:val="24"/>
        </w:rPr>
        <w:t xml:space="preserve">. </w:t>
      </w:r>
    </w:p>
    <w:p w14:paraId="609AE415" w14:textId="2EFD9647" w:rsidR="00577255" w:rsidRDefault="00577255" w:rsidP="008E6045">
      <w:pPr>
        <w:rPr>
          <w:rFonts w:ascii="Arial" w:hAnsi="Arial" w:cs="Arial"/>
          <w:bCs/>
          <w:sz w:val="24"/>
          <w:szCs w:val="24"/>
        </w:rPr>
      </w:pPr>
      <w:r>
        <w:rPr>
          <w:rFonts w:ascii="Arial" w:hAnsi="Arial" w:cs="Arial"/>
          <w:bCs/>
          <w:sz w:val="24"/>
          <w:szCs w:val="24"/>
        </w:rPr>
        <w:t xml:space="preserve">Staff notes that </w:t>
      </w:r>
      <w:r w:rsidR="00D655B9">
        <w:rPr>
          <w:rFonts w:ascii="Arial" w:hAnsi="Arial" w:cs="Arial"/>
          <w:bCs/>
          <w:sz w:val="24"/>
          <w:szCs w:val="24"/>
        </w:rPr>
        <w:t>these approved adjustments in Espanola Hydro’s 2021 cost of service proceeding were related to prior periods up to 2019 and should be recorded in the “</w:t>
      </w:r>
      <w:r w:rsidR="00A72BC9">
        <w:rPr>
          <w:rFonts w:ascii="Arial" w:hAnsi="Arial" w:cs="Arial"/>
          <w:bCs/>
          <w:sz w:val="24"/>
          <w:szCs w:val="24"/>
        </w:rPr>
        <w:t>Principal</w:t>
      </w:r>
      <w:r w:rsidR="00D655B9">
        <w:rPr>
          <w:rFonts w:ascii="Arial" w:hAnsi="Arial" w:cs="Arial"/>
          <w:bCs/>
          <w:sz w:val="24"/>
          <w:szCs w:val="24"/>
        </w:rPr>
        <w:t xml:space="preserve"> adjustments during 2019” column of the DVA continuity schedule so that the 2019 ending balances of the DVAs match with the 2019 ending balances </w:t>
      </w:r>
      <w:r w:rsidR="00A72BC9">
        <w:rPr>
          <w:rFonts w:ascii="Arial" w:hAnsi="Arial" w:cs="Arial"/>
          <w:bCs/>
          <w:sz w:val="24"/>
          <w:szCs w:val="24"/>
        </w:rPr>
        <w:t xml:space="preserve">in the 2021 cost of service DVA continuity schedule. </w:t>
      </w:r>
    </w:p>
    <w:p w14:paraId="15BFB841" w14:textId="1602A55E" w:rsidR="00A72BC9" w:rsidRDefault="00A72BC9" w:rsidP="008E6045">
      <w:pPr>
        <w:rPr>
          <w:rFonts w:ascii="Arial" w:hAnsi="Arial" w:cs="Arial"/>
          <w:bCs/>
          <w:sz w:val="24"/>
          <w:szCs w:val="24"/>
        </w:rPr>
      </w:pPr>
      <w:r>
        <w:rPr>
          <w:rFonts w:ascii="Arial" w:hAnsi="Arial" w:cs="Arial"/>
          <w:bCs/>
          <w:sz w:val="24"/>
          <w:szCs w:val="24"/>
        </w:rPr>
        <w:t xml:space="preserve">Question: </w:t>
      </w:r>
    </w:p>
    <w:p w14:paraId="3ADC21F9" w14:textId="4006F7D8" w:rsidR="00A72BC9" w:rsidRDefault="00A72BC9" w:rsidP="00A72BC9">
      <w:pPr>
        <w:pStyle w:val="ListParagraph"/>
        <w:numPr>
          <w:ilvl w:val="0"/>
          <w:numId w:val="36"/>
        </w:numPr>
        <w:rPr>
          <w:rFonts w:ascii="Arial" w:hAnsi="Arial" w:cs="Arial"/>
          <w:bCs/>
          <w:sz w:val="24"/>
          <w:szCs w:val="24"/>
        </w:rPr>
      </w:pPr>
      <w:r>
        <w:rPr>
          <w:rFonts w:ascii="Arial" w:hAnsi="Arial" w:cs="Arial"/>
          <w:bCs/>
          <w:sz w:val="24"/>
          <w:szCs w:val="24"/>
        </w:rPr>
        <w:t xml:space="preserve">Please update the DVA continuity schedule in this application to ensure that the 2019 ending balances for all DVAs match with the 2019 ending balances in Espanola Hydro’s 2021 cost of service DVA continuity schedule for the settlement proposal. </w:t>
      </w:r>
    </w:p>
    <w:p w14:paraId="665EF51B" w14:textId="01458B33" w:rsidR="00A72BC9" w:rsidRDefault="00A72BC9" w:rsidP="00A72BC9">
      <w:pPr>
        <w:rPr>
          <w:rFonts w:ascii="Arial" w:hAnsi="Arial" w:cs="Arial"/>
          <w:bCs/>
          <w:sz w:val="24"/>
          <w:szCs w:val="24"/>
        </w:rPr>
      </w:pPr>
    </w:p>
    <w:p w14:paraId="050D1845" w14:textId="0191AC2C" w:rsidR="006A771B" w:rsidRDefault="006A771B" w:rsidP="006A771B">
      <w:pPr>
        <w:rPr>
          <w:rFonts w:ascii="Arial" w:hAnsi="Arial" w:cs="Arial"/>
          <w:b/>
          <w:sz w:val="24"/>
          <w:szCs w:val="24"/>
        </w:rPr>
      </w:pPr>
      <w:r>
        <w:rPr>
          <w:rFonts w:ascii="Arial" w:hAnsi="Arial" w:cs="Arial"/>
          <w:b/>
          <w:sz w:val="24"/>
          <w:szCs w:val="24"/>
        </w:rPr>
        <w:t>Staff Follow-up Question-</w:t>
      </w:r>
      <w:r>
        <w:rPr>
          <w:rFonts w:ascii="Arial" w:hAnsi="Arial" w:cs="Arial"/>
          <w:b/>
          <w:sz w:val="24"/>
          <w:szCs w:val="24"/>
        </w:rPr>
        <w:t>2</w:t>
      </w:r>
    </w:p>
    <w:p w14:paraId="31737C80" w14:textId="6436DFB8" w:rsidR="007358FE" w:rsidRDefault="006A771B" w:rsidP="006A771B">
      <w:pPr>
        <w:rPr>
          <w:rFonts w:ascii="Arial" w:hAnsi="Arial" w:cs="Arial"/>
          <w:b/>
          <w:sz w:val="24"/>
          <w:szCs w:val="24"/>
        </w:rPr>
      </w:pPr>
      <w:r>
        <w:rPr>
          <w:rFonts w:ascii="Arial" w:hAnsi="Arial" w:cs="Arial"/>
          <w:b/>
          <w:sz w:val="24"/>
          <w:szCs w:val="24"/>
        </w:rPr>
        <w:t xml:space="preserve">Ref 1: </w:t>
      </w:r>
      <w:r w:rsidR="007358FE">
        <w:rPr>
          <w:rFonts w:ascii="Arial" w:hAnsi="Arial" w:cs="Arial"/>
          <w:b/>
          <w:sz w:val="24"/>
          <w:szCs w:val="24"/>
        </w:rPr>
        <w:t xml:space="preserve">the OEB’s letter for </w:t>
      </w:r>
      <w:r w:rsidR="007358FE" w:rsidRPr="007358FE">
        <w:rPr>
          <w:rFonts w:ascii="Arial" w:hAnsi="Arial" w:cs="Arial"/>
          <w:b/>
          <w:sz w:val="24"/>
          <w:szCs w:val="24"/>
        </w:rPr>
        <w:t>Guidance to Electricity Distributors on Implementing the Emergency Order Regarding the Deferral of a Portion of the Global Adjustment</w:t>
      </w:r>
      <w:r w:rsidR="007358FE">
        <w:rPr>
          <w:rFonts w:ascii="Arial" w:hAnsi="Arial" w:cs="Arial"/>
          <w:b/>
          <w:sz w:val="24"/>
          <w:szCs w:val="24"/>
        </w:rPr>
        <w:t>, May 15, 2020</w:t>
      </w:r>
    </w:p>
    <w:p w14:paraId="6268C47D" w14:textId="020F062C" w:rsidR="006A771B" w:rsidRDefault="007358FE" w:rsidP="006A771B">
      <w:pPr>
        <w:rPr>
          <w:rFonts w:ascii="Arial" w:hAnsi="Arial" w:cs="Arial"/>
          <w:b/>
          <w:sz w:val="24"/>
          <w:szCs w:val="24"/>
        </w:rPr>
      </w:pPr>
      <w:r>
        <w:rPr>
          <w:rFonts w:ascii="Arial" w:hAnsi="Arial" w:cs="Arial"/>
          <w:b/>
          <w:sz w:val="24"/>
          <w:szCs w:val="24"/>
        </w:rPr>
        <w:lastRenderedPageBreak/>
        <w:t xml:space="preserve">Ref 2: </w:t>
      </w:r>
      <w:r w:rsidR="006A771B">
        <w:rPr>
          <w:rFonts w:ascii="Arial" w:hAnsi="Arial" w:cs="Arial"/>
          <w:b/>
          <w:sz w:val="24"/>
          <w:szCs w:val="24"/>
        </w:rPr>
        <w:t xml:space="preserve">Response to Staff Question – </w:t>
      </w:r>
      <w:r w:rsidR="006A771B">
        <w:rPr>
          <w:rFonts w:ascii="Arial" w:hAnsi="Arial" w:cs="Arial"/>
          <w:b/>
          <w:sz w:val="24"/>
          <w:szCs w:val="24"/>
        </w:rPr>
        <w:t>4</w:t>
      </w:r>
    </w:p>
    <w:p w14:paraId="0E14818A" w14:textId="5AFC0440" w:rsidR="007358FE" w:rsidRDefault="007358FE" w:rsidP="006A771B">
      <w:pPr>
        <w:pStyle w:val="Default"/>
        <w:rPr>
          <w:rFonts w:ascii="Arial" w:hAnsi="Arial" w:cs="Arial"/>
        </w:rPr>
      </w:pPr>
      <w:r>
        <w:rPr>
          <w:rFonts w:ascii="Arial" w:hAnsi="Arial" w:cs="Arial"/>
        </w:rPr>
        <w:t>Page 4 of Reference 1 states that:</w:t>
      </w:r>
    </w:p>
    <w:p w14:paraId="113BE9AA" w14:textId="427FCD23" w:rsidR="007358FE" w:rsidRDefault="007358FE" w:rsidP="006A771B">
      <w:pPr>
        <w:pStyle w:val="Default"/>
        <w:rPr>
          <w:rFonts w:ascii="Arial" w:hAnsi="Arial" w:cs="Arial"/>
        </w:rPr>
      </w:pPr>
    </w:p>
    <w:p w14:paraId="3BEDA243" w14:textId="70FC8262" w:rsidR="007358FE" w:rsidRPr="007358FE" w:rsidRDefault="007358FE" w:rsidP="006A771B">
      <w:pPr>
        <w:pStyle w:val="Default"/>
        <w:rPr>
          <w:rFonts w:ascii="Arial" w:hAnsi="Arial" w:cs="Arial"/>
        </w:rPr>
      </w:pPr>
      <w:r>
        <w:rPr>
          <w:rFonts w:ascii="Arial" w:hAnsi="Arial" w:cs="Arial"/>
        </w:rPr>
        <w:tab/>
      </w:r>
      <w:r w:rsidRPr="007358FE">
        <w:rPr>
          <w:rFonts w:ascii="Arial" w:hAnsi="Arial" w:cs="Arial"/>
        </w:rPr>
        <w:t xml:space="preserve">The accounting guidance for Account 1588 – RSVA Power and Account 1589 – </w:t>
      </w:r>
      <w:r>
        <w:rPr>
          <w:rFonts w:ascii="Arial" w:hAnsi="Arial" w:cs="Arial"/>
        </w:rPr>
        <w:tab/>
      </w:r>
      <w:r w:rsidRPr="007358FE">
        <w:rPr>
          <w:rFonts w:ascii="Arial" w:hAnsi="Arial" w:cs="Arial"/>
        </w:rPr>
        <w:t xml:space="preserve">RSVA Global Adjustment3 (Accounting Guidance) requires the invoiced GA </w:t>
      </w:r>
      <w:r>
        <w:rPr>
          <w:rFonts w:ascii="Arial" w:hAnsi="Arial" w:cs="Arial"/>
        </w:rPr>
        <w:tab/>
      </w:r>
      <w:r w:rsidRPr="007358FE">
        <w:rPr>
          <w:rFonts w:ascii="Arial" w:hAnsi="Arial" w:cs="Arial"/>
        </w:rPr>
        <w:t xml:space="preserve">rate/kWh to calculate the amount of charge type 148 to be allocated between </w:t>
      </w:r>
      <w:r>
        <w:rPr>
          <w:rFonts w:ascii="Arial" w:hAnsi="Arial" w:cs="Arial"/>
        </w:rPr>
        <w:tab/>
      </w:r>
      <w:r w:rsidRPr="007358FE">
        <w:rPr>
          <w:rFonts w:ascii="Arial" w:hAnsi="Arial" w:cs="Arial"/>
        </w:rPr>
        <w:t>Account 1588 and Account 1589</w:t>
      </w:r>
      <w:r>
        <w:rPr>
          <w:rFonts w:ascii="Arial" w:hAnsi="Arial" w:cs="Arial"/>
        </w:rPr>
        <w:t xml:space="preserve">…. </w:t>
      </w:r>
      <w:r w:rsidRPr="007358FE">
        <w:rPr>
          <w:rFonts w:ascii="Arial" w:hAnsi="Arial" w:cs="Arial"/>
        </w:rPr>
        <w:t xml:space="preserve">The full amount of the charge type 148 credit </w:t>
      </w:r>
      <w:r>
        <w:rPr>
          <w:rFonts w:ascii="Arial" w:hAnsi="Arial" w:cs="Arial"/>
        </w:rPr>
        <w:tab/>
      </w:r>
      <w:r w:rsidRPr="007358FE">
        <w:rPr>
          <w:rFonts w:ascii="Arial" w:hAnsi="Arial" w:cs="Arial"/>
        </w:rPr>
        <w:t xml:space="preserve">for “Non-RPP Class B Deferral Amount as per Emergency Order” on a </w:t>
      </w:r>
      <w:r>
        <w:rPr>
          <w:rFonts w:ascii="Arial" w:hAnsi="Arial" w:cs="Arial"/>
        </w:rPr>
        <w:tab/>
      </w:r>
      <w:r w:rsidRPr="007358FE">
        <w:rPr>
          <w:rFonts w:ascii="Arial" w:hAnsi="Arial" w:cs="Arial"/>
        </w:rPr>
        <w:t>distributor’s settlement statement should be recorded in Account 1589.</w:t>
      </w:r>
      <w:r>
        <w:rPr>
          <w:rFonts w:ascii="Arial" w:hAnsi="Arial" w:cs="Arial"/>
        </w:rPr>
        <w:t xml:space="preserve"> </w:t>
      </w:r>
    </w:p>
    <w:p w14:paraId="5BCFAF08" w14:textId="77777777" w:rsidR="007358FE" w:rsidRDefault="007358FE" w:rsidP="006A771B">
      <w:pPr>
        <w:pStyle w:val="Default"/>
        <w:rPr>
          <w:rFonts w:ascii="Arial" w:hAnsi="Arial" w:cs="Arial"/>
        </w:rPr>
      </w:pPr>
    </w:p>
    <w:p w14:paraId="5B389EB7" w14:textId="5B79E6D6" w:rsidR="00B2177A" w:rsidRDefault="007358FE" w:rsidP="006A771B">
      <w:pPr>
        <w:pStyle w:val="Default"/>
        <w:rPr>
          <w:rFonts w:ascii="Arial" w:hAnsi="Arial" w:cs="Arial"/>
        </w:rPr>
      </w:pPr>
      <w:r>
        <w:rPr>
          <w:rFonts w:ascii="Arial" w:hAnsi="Arial" w:cs="Arial"/>
        </w:rPr>
        <w:t xml:space="preserve">In Reference 2, </w:t>
      </w:r>
      <w:r w:rsidR="00B2177A">
        <w:rPr>
          <w:rFonts w:ascii="Arial" w:hAnsi="Arial" w:cs="Arial"/>
        </w:rPr>
        <w:t>Espanola Hydro states that:</w:t>
      </w:r>
    </w:p>
    <w:p w14:paraId="46627401" w14:textId="77777777" w:rsidR="00B2177A" w:rsidRDefault="00B2177A" w:rsidP="006A771B">
      <w:pPr>
        <w:pStyle w:val="Default"/>
        <w:rPr>
          <w:rFonts w:ascii="Arial" w:hAnsi="Arial" w:cs="Arial"/>
        </w:rPr>
      </w:pPr>
    </w:p>
    <w:p w14:paraId="17742C53" w14:textId="2BE0A827" w:rsidR="006A771B" w:rsidRPr="006A771B" w:rsidRDefault="00B2177A" w:rsidP="006A771B">
      <w:pPr>
        <w:pStyle w:val="Default"/>
        <w:rPr>
          <w:rFonts w:ascii="Arial" w:hAnsi="Arial" w:cs="Arial"/>
        </w:rPr>
      </w:pPr>
      <w:r>
        <w:rPr>
          <w:rFonts w:ascii="Arial" w:hAnsi="Arial" w:cs="Arial"/>
        </w:rPr>
        <w:tab/>
      </w:r>
      <w:r w:rsidR="006A771B" w:rsidRPr="006A771B">
        <w:rPr>
          <w:rFonts w:ascii="Arial" w:hAnsi="Arial" w:cs="Arial"/>
        </w:rPr>
        <w:t xml:space="preserve">Espanola completed its GA calculation using the Non-Adjusted rates for the </w:t>
      </w:r>
      <w:r>
        <w:rPr>
          <w:rFonts w:ascii="Arial" w:hAnsi="Arial" w:cs="Arial"/>
        </w:rPr>
        <w:tab/>
      </w:r>
      <w:r w:rsidR="006A771B" w:rsidRPr="006A771B">
        <w:rPr>
          <w:rFonts w:ascii="Arial" w:hAnsi="Arial" w:cs="Arial"/>
        </w:rPr>
        <w:t xml:space="preserve">months of April, 1 May and June 2020. If Espanola had used the adjusted rates it </w:t>
      </w:r>
      <w:r>
        <w:rPr>
          <w:rFonts w:ascii="Arial" w:hAnsi="Arial" w:cs="Arial"/>
        </w:rPr>
        <w:tab/>
      </w:r>
      <w:r w:rsidR="006A771B" w:rsidRPr="006A771B">
        <w:rPr>
          <w:rFonts w:ascii="Arial" w:hAnsi="Arial" w:cs="Arial"/>
        </w:rPr>
        <w:t xml:space="preserve">would have resulted in an additional $94,158 in 1588 Power and ($94,158) in </w:t>
      </w:r>
      <w:r>
        <w:rPr>
          <w:rFonts w:ascii="Arial" w:hAnsi="Arial" w:cs="Arial"/>
        </w:rPr>
        <w:tab/>
      </w:r>
      <w:r w:rsidR="006A771B" w:rsidRPr="006A771B">
        <w:rPr>
          <w:rFonts w:ascii="Arial" w:hAnsi="Arial" w:cs="Arial"/>
        </w:rPr>
        <w:t xml:space="preserve">1589 Global Adjustment. Since Espanola had already completed its year end, </w:t>
      </w:r>
      <w:r>
        <w:rPr>
          <w:rFonts w:ascii="Arial" w:hAnsi="Arial" w:cs="Arial"/>
        </w:rPr>
        <w:tab/>
      </w:r>
      <w:r w:rsidR="006A771B" w:rsidRPr="006A771B">
        <w:rPr>
          <w:rFonts w:ascii="Arial" w:hAnsi="Arial" w:cs="Arial"/>
        </w:rPr>
        <w:t xml:space="preserve">this entry will be completed in 2021, thus making it a principal adjustment. If this </w:t>
      </w:r>
      <w:r>
        <w:rPr>
          <w:rFonts w:ascii="Arial" w:hAnsi="Arial" w:cs="Arial"/>
        </w:rPr>
        <w:tab/>
      </w:r>
      <w:r w:rsidR="006A771B" w:rsidRPr="006A771B">
        <w:rPr>
          <w:rFonts w:ascii="Arial" w:hAnsi="Arial" w:cs="Arial"/>
        </w:rPr>
        <w:t xml:space="preserve">should be a reconciliation item instead then please advise.  </w:t>
      </w:r>
    </w:p>
    <w:p w14:paraId="1F70AB9D" w14:textId="6E998B09" w:rsidR="006A771B" w:rsidRDefault="006A771B" w:rsidP="006A771B">
      <w:pPr>
        <w:rPr>
          <w:rFonts w:ascii="Arial" w:hAnsi="Arial" w:cs="Arial"/>
          <w:b/>
          <w:sz w:val="24"/>
          <w:szCs w:val="24"/>
        </w:rPr>
      </w:pPr>
    </w:p>
    <w:p w14:paraId="1377DCAC" w14:textId="6F20F145" w:rsidR="007358FE" w:rsidRPr="007358FE" w:rsidRDefault="007358FE" w:rsidP="006A771B">
      <w:pPr>
        <w:rPr>
          <w:rFonts w:ascii="Arial" w:hAnsi="Arial" w:cs="Arial"/>
          <w:bCs/>
          <w:sz w:val="24"/>
          <w:szCs w:val="24"/>
        </w:rPr>
      </w:pPr>
      <w:r w:rsidRPr="007358FE">
        <w:rPr>
          <w:rFonts w:ascii="Arial" w:hAnsi="Arial" w:cs="Arial"/>
          <w:bCs/>
          <w:sz w:val="24"/>
          <w:szCs w:val="24"/>
        </w:rPr>
        <w:t>Question(s):</w:t>
      </w:r>
    </w:p>
    <w:p w14:paraId="5DD4CB77" w14:textId="643B1C7F" w:rsidR="007358FE" w:rsidRPr="003336AD" w:rsidRDefault="003336AD" w:rsidP="007358FE">
      <w:pPr>
        <w:pStyle w:val="ListParagraph"/>
        <w:numPr>
          <w:ilvl w:val="0"/>
          <w:numId w:val="37"/>
        </w:numPr>
        <w:rPr>
          <w:rFonts w:ascii="Arial" w:hAnsi="Arial" w:cs="Arial"/>
          <w:bCs/>
          <w:sz w:val="24"/>
          <w:szCs w:val="24"/>
        </w:rPr>
      </w:pPr>
      <w:r w:rsidRPr="003336AD">
        <w:rPr>
          <w:rFonts w:ascii="Arial" w:hAnsi="Arial" w:cs="Arial"/>
          <w:bCs/>
          <w:sz w:val="24"/>
          <w:szCs w:val="24"/>
        </w:rPr>
        <w:t xml:space="preserve">Please confirm that Espanola Hydro has followed the accounting guidance issued by the OEB in May 2020 for the GA deferral to account for the GA charges in Accounts 1588 and 1589. If not, please illustrate the differences. </w:t>
      </w:r>
    </w:p>
    <w:p w14:paraId="4AC10E0D" w14:textId="169BCC86" w:rsidR="003336AD" w:rsidRPr="003336AD" w:rsidRDefault="003336AD" w:rsidP="007358FE">
      <w:pPr>
        <w:pStyle w:val="ListParagraph"/>
        <w:numPr>
          <w:ilvl w:val="0"/>
          <w:numId w:val="37"/>
        </w:numPr>
        <w:rPr>
          <w:rFonts w:ascii="Arial" w:hAnsi="Arial" w:cs="Arial"/>
          <w:bCs/>
          <w:sz w:val="24"/>
          <w:szCs w:val="24"/>
        </w:rPr>
      </w:pPr>
      <w:r w:rsidRPr="003336AD">
        <w:rPr>
          <w:rFonts w:ascii="Arial" w:hAnsi="Arial" w:cs="Arial"/>
          <w:bCs/>
          <w:sz w:val="24"/>
          <w:szCs w:val="24"/>
        </w:rPr>
        <w:t xml:space="preserve">Please explain how Espanola Hydro calculates the additional principal adjustment of $94,158 in Account 1588 and ($94,158) in Account 1589. </w:t>
      </w:r>
    </w:p>
    <w:p w14:paraId="7201DC23" w14:textId="77777777" w:rsidR="003336AD" w:rsidRPr="003336AD" w:rsidRDefault="003336AD" w:rsidP="003336AD">
      <w:pPr>
        <w:rPr>
          <w:rFonts w:ascii="Arial" w:hAnsi="Arial" w:cs="Arial"/>
          <w:b/>
          <w:sz w:val="24"/>
          <w:szCs w:val="24"/>
        </w:rPr>
      </w:pPr>
    </w:p>
    <w:p w14:paraId="0EEA2CB6" w14:textId="62AB6284" w:rsidR="00780D3C" w:rsidRDefault="00780D3C" w:rsidP="00780D3C">
      <w:pPr>
        <w:rPr>
          <w:rFonts w:ascii="Arial" w:hAnsi="Arial" w:cs="Arial"/>
          <w:b/>
          <w:sz w:val="24"/>
          <w:szCs w:val="24"/>
        </w:rPr>
      </w:pPr>
      <w:r>
        <w:rPr>
          <w:rFonts w:ascii="Arial" w:hAnsi="Arial" w:cs="Arial"/>
          <w:b/>
          <w:sz w:val="24"/>
          <w:szCs w:val="24"/>
        </w:rPr>
        <w:t>Staff Follow-up Question-</w:t>
      </w:r>
      <w:r>
        <w:rPr>
          <w:rFonts w:ascii="Arial" w:hAnsi="Arial" w:cs="Arial"/>
          <w:b/>
          <w:sz w:val="24"/>
          <w:szCs w:val="24"/>
        </w:rPr>
        <w:t>3</w:t>
      </w:r>
    </w:p>
    <w:p w14:paraId="63EF4049" w14:textId="3DE673FC" w:rsidR="00780D3C" w:rsidRDefault="00780D3C" w:rsidP="00780D3C">
      <w:pPr>
        <w:rPr>
          <w:rFonts w:ascii="Arial" w:hAnsi="Arial" w:cs="Arial"/>
          <w:b/>
          <w:sz w:val="24"/>
          <w:szCs w:val="24"/>
        </w:rPr>
      </w:pPr>
      <w:r>
        <w:rPr>
          <w:rFonts w:ascii="Arial" w:hAnsi="Arial" w:cs="Arial"/>
          <w:b/>
          <w:sz w:val="24"/>
          <w:szCs w:val="24"/>
        </w:rPr>
        <w:t>Ref 1: Response to Staff Question – 4</w:t>
      </w:r>
    </w:p>
    <w:p w14:paraId="32A2B2D3" w14:textId="1E85DD7D" w:rsidR="00780D3C" w:rsidRDefault="00780D3C" w:rsidP="00780D3C">
      <w:pPr>
        <w:rPr>
          <w:rFonts w:ascii="Arial" w:hAnsi="Arial" w:cs="Arial"/>
          <w:b/>
          <w:sz w:val="24"/>
          <w:szCs w:val="24"/>
        </w:rPr>
      </w:pPr>
      <w:r>
        <w:rPr>
          <w:rFonts w:ascii="Arial" w:hAnsi="Arial" w:cs="Arial"/>
          <w:b/>
          <w:sz w:val="24"/>
          <w:szCs w:val="24"/>
        </w:rPr>
        <w:t xml:space="preserve">Ref 2: GA Analysis Workform </w:t>
      </w:r>
    </w:p>
    <w:p w14:paraId="0C8628F5" w14:textId="77777777" w:rsidR="00780D3C" w:rsidRDefault="00780D3C" w:rsidP="00780D3C">
      <w:pPr>
        <w:rPr>
          <w:rFonts w:ascii="Arial" w:hAnsi="Arial" w:cs="Arial"/>
          <w:bCs/>
          <w:sz w:val="24"/>
          <w:szCs w:val="24"/>
        </w:rPr>
      </w:pPr>
      <w:r>
        <w:rPr>
          <w:rFonts w:ascii="Arial" w:hAnsi="Arial" w:cs="Arial"/>
          <w:bCs/>
          <w:sz w:val="24"/>
          <w:szCs w:val="24"/>
        </w:rPr>
        <w:t xml:space="preserve">Espanola Hydro states </w:t>
      </w:r>
      <w:r w:rsidRPr="00780D3C">
        <w:rPr>
          <w:rFonts w:ascii="Arial" w:hAnsi="Arial" w:cs="Arial"/>
          <w:bCs/>
          <w:sz w:val="24"/>
          <w:szCs w:val="24"/>
        </w:rPr>
        <w:t>that</w:t>
      </w:r>
      <w:r>
        <w:rPr>
          <w:rFonts w:ascii="Arial" w:hAnsi="Arial" w:cs="Arial"/>
          <w:bCs/>
          <w:sz w:val="24"/>
          <w:szCs w:val="24"/>
        </w:rPr>
        <w:t>:</w:t>
      </w:r>
    </w:p>
    <w:p w14:paraId="108EC620" w14:textId="6E7D9B02" w:rsidR="00780D3C" w:rsidRPr="00780D3C" w:rsidRDefault="00780D3C" w:rsidP="00780D3C">
      <w:pPr>
        <w:rPr>
          <w:rFonts w:ascii="Arial" w:hAnsi="Arial" w:cs="Arial"/>
          <w:sz w:val="24"/>
          <w:szCs w:val="24"/>
        </w:rPr>
      </w:pPr>
      <w:r>
        <w:rPr>
          <w:rFonts w:ascii="Arial" w:hAnsi="Arial" w:cs="Arial"/>
          <w:bCs/>
          <w:sz w:val="24"/>
          <w:szCs w:val="24"/>
        </w:rPr>
        <w:tab/>
      </w:r>
      <w:r w:rsidRPr="00780D3C">
        <w:rPr>
          <w:rFonts w:ascii="Arial" w:hAnsi="Arial" w:cs="Arial"/>
          <w:sz w:val="24"/>
          <w:szCs w:val="24"/>
        </w:rPr>
        <w:t>Espanola has reproduce Appendx2-R from the</w:t>
      </w:r>
      <w:r>
        <w:rPr>
          <w:rFonts w:ascii="Arial" w:hAnsi="Arial" w:cs="Arial"/>
          <w:sz w:val="24"/>
          <w:szCs w:val="24"/>
        </w:rPr>
        <w:t xml:space="preserve"> </w:t>
      </w:r>
      <w:r>
        <w:rPr>
          <w:rFonts w:ascii="Arial" w:hAnsi="Arial" w:cs="Arial"/>
          <w:sz w:val="24"/>
          <w:szCs w:val="24"/>
        </w:rPr>
        <w:tab/>
      </w:r>
      <w:r w:rsidRPr="00780D3C">
        <w:rPr>
          <w:rFonts w:ascii="Arial" w:hAnsi="Arial" w:cs="Arial"/>
          <w:sz w:val="24"/>
          <w:szCs w:val="24"/>
        </w:rPr>
        <w:t>ERHDC_2021_Filing_Requirements_Chapter2_Appendices_Settlement_202105</w:t>
      </w:r>
      <w:r>
        <w:rPr>
          <w:rFonts w:ascii="Arial" w:hAnsi="Arial" w:cs="Arial"/>
          <w:sz w:val="24"/>
          <w:szCs w:val="24"/>
        </w:rPr>
        <w:tab/>
      </w:r>
      <w:r w:rsidRPr="00780D3C">
        <w:rPr>
          <w:rFonts w:ascii="Arial" w:hAnsi="Arial" w:cs="Arial"/>
          <w:sz w:val="24"/>
          <w:szCs w:val="24"/>
        </w:rPr>
        <w:t xml:space="preserve">10. In 2018 and 2019 the actual loss factor is great than 1.08. The approved </w:t>
      </w:r>
      <w:r>
        <w:rPr>
          <w:rFonts w:ascii="Arial" w:hAnsi="Arial" w:cs="Arial"/>
          <w:sz w:val="24"/>
          <w:szCs w:val="24"/>
        </w:rPr>
        <w:tab/>
      </w:r>
      <w:r w:rsidRPr="00780D3C">
        <w:rPr>
          <w:rFonts w:ascii="Arial" w:hAnsi="Arial" w:cs="Arial"/>
          <w:sz w:val="24"/>
          <w:szCs w:val="24"/>
        </w:rPr>
        <w:t xml:space="preserve">loss factor for Espanola is 1.0673 because its an average of the previous 5 </w:t>
      </w:r>
      <w:r>
        <w:rPr>
          <w:rFonts w:ascii="Arial" w:hAnsi="Arial" w:cs="Arial"/>
          <w:sz w:val="24"/>
          <w:szCs w:val="24"/>
        </w:rPr>
        <w:tab/>
      </w:r>
      <w:r w:rsidRPr="00780D3C">
        <w:rPr>
          <w:rFonts w:ascii="Arial" w:hAnsi="Arial" w:cs="Arial"/>
          <w:sz w:val="24"/>
          <w:szCs w:val="24"/>
        </w:rPr>
        <w:t>historical years.</w:t>
      </w:r>
      <w:r w:rsidRPr="00780D3C">
        <w:rPr>
          <w:rFonts w:ascii="Arial" w:hAnsi="Arial" w:cs="Arial"/>
          <w:sz w:val="24"/>
          <w:szCs w:val="24"/>
        </w:rPr>
        <w:t xml:space="preserve"> </w:t>
      </w:r>
      <w:r w:rsidRPr="00780D3C">
        <w:rPr>
          <w:rFonts w:ascii="Arial" w:hAnsi="Arial" w:cs="Arial"/>
          <w:sz w:val="24"/>
          <w:szCs w:val="24"/>
        </w:rPr>
        <w:t xml:space="preserve">This is always going to create a greater than 1% variance </w:t>
      </w:r>
      <w:r>
        <w:rPr>
          <w:rFonts w:ascii="Arial" w:hAnsi="Arial" w:cs="Arial"/>
          <w:sz w:val="24"/>
          <w:szCs w:val="24"/>
        </w:rPr>
        <w:tab/>
      </w:r>
      <w:r w:rsidRPr="00780D3C">
        <w:rPr>
          <w:rFonts w:ascii="Arial" w:hAnsi="Arial" w:cs="Arial"/>
          <w:sz w:val="24"/>
          <w:szCs w:val="24"/>
        </w:rPr>
        <w:t xml:space="preserve">each </w:t>
      </w:r>
      <w:r>
        <w:rPr>
          <w:rFonts w:ascii="Arial" w:hAnsi="Arial" w:cs="Arial"/>
          <w:sz w:val="24"/>
          <w:szCs w:val="24"/>
        </w:rPr>
        <w:tab/>
      </w:r>
      <w:r w:rsidRPr="00780D3C">
        <w:rPr>
          <w:rFonts w:ascii="Arial" w:hAnsi="Arial" w:cs="Arial"/>
          <w:sz w:val="24"/>
          <w:szCs w:val="24"/>
        </w:rPr>
        <w:t>year and thus brings the explainable variance below the +/- 1% threshold.</w:t>
      </w:r>
    </w:p>
    <w:p w14:paraId="2D451C55" w14:textId="753ABCA7" w:rsidR="00780D3C" w:rsidRDefault="00780D3C" w:rsidP="00780D3C">
      <w:pPr>
        <w:rPr>
          <w:rFonts w:ascii="Arial" w:hAnsi="Arial" w:cs="Arial"/>
          <w:bCs/>
          <w:sz w:val="24"/>
          <w:szCs w:val="24"/>
        </w:rPr>
      </w:pPr>
      <w:r>
        <w:rPr>
          <w:rFonts w:ascii="Arial" w:hAnsi="Arial" w:cs="Arial"/>
          <w:bCs/>
          <w:sz w:val="24"/>
          <w:szCs w:val="24"/>
        </w:rPr>
        <w:lastRenderedPageBreak/>
        <w:t xml:space="preserve">OEB staff notes from the GA analysis workform </w:t>
      </w:r>
      <w:r w:rsidR="008C067B">
        <w:rPr>
          <w:rFonts w:ascii="Arial" w:hAnsi="Arial" w:cs="Arial"/>
          <w:bCs/>
          <w:sz w:val="24"/>
          <w:szCs w:val="24"/>
        </w:rPr>
        <w:t>that 1.0673 is used for “</w:t>
      </w:r>
      <w:r w:rsidR="008C067B" w:rsidRPr="008C067B">
        <w:rPr>
          <w:rFonts w:ascii="Arial" w:hAnsi="Arial" w:cs="Arial"/>
          <w:bCs/>
          <w:sz w:val="24"/>
          <w:szCs w:val="24"/>
        </w:rPr>
        <w:t>Most Recent Approved Loss Factor for Secondary Metered Customer &lt; 5,000kW</w:t>
      </w:r>
      <w:r w:rsidR="008C067B">
        <w:rPr>
          <w:rFonts w:ascii="Arial" w:hAnsi="Arial" w:cs="Arial"/>
          <w:bCs/>
          <w:sz w:val="24"/>
          <w:szCs w:val="24"/>
        </w:rPr>
        <w:t xml:space="preserve">”. </w:t>
      </w:r>
    </w:p>
    <w:p w14:paraId="696443BC" w14:textId="795B49D9" w:rsidR="008C067B" w:rsidRDefault="008C067B" w:rsidP="00780D3C">
      <w:pPr>
        <w:rPr>
          <w:rFonts w:ascii="Arial" w:hAnsi="Arial" w:cs="Arial"/>
          <w:bCs/>
          <w:sz w:val="24"/>
          <w:szCs w:val="24"/>
        </w:rPr>
      </w:pPr>
      <w:r>
        <w:rPr>
          <w:rFonts w:ascii="Arial" w:hAnsi="Arial" w:cs="Arial"/>
          <w:bCs/>
          <w:sz w:val="24"/>
          <w:szCs w:val="24"/>
        </w:rPr>
        <w:t xml:space="preserve">OEB staff notes that the approved line loss factor of 1.0673 is effective for Espanola Hydro’s 2021 rates while the GA analysis workform analyzes the 2020 account balances for Account 1588 and Account 1589. </w:t>
      </w:r>
    </w:p>
    <w:p w14:paraId="3E2D132D" w14:textId="1513DB34" w:rsidR="008C067B" w:rsidRDefault="008C067B" w:rsidP="00780D3C">
      <w:pPr>
        <w:rPr>
          <w:rFonts w:ascii="Arial" w:hAnsi="Arial" w:cs="Arial"/>
          <w:bCs/>
          <w:sz w:val="24"/>
          <w:szCs w:val="24"/>
        </w:rPr>
      </w:pPr>
      <w:r>
        <w:rPr>
          <w:rFonts w:ascii="Arial" w:hAnsi="Arial" w:cs="Arial"/>
          <w:bCs/>
          <w:sz w:val="24"/>
          <w:szCs w:val="24"/>
        </w:rPr>
        <w:t xml:space="preserve">Question(s): </w:t>
      </w:r>
    </w:p>
    <w:p w14:paraId="61E2D5F5" w14:textId="57B1E2DB" w:rsidR="008C067B" w:rsidRDefault="008C067B" w:rsidP="008C067B">
      <w:pPr>
        <w:pStyle w:val="ListParagraph"/>
        <w:numPr>
          <w:ilvl w:val="0"/>
          <w:numId w:val="38"/>
        </w:numPr>
        <w:rPr>
          <w:rFonts w:ascii="Arial" w:hAnsi="Arial" w:cs="Arial"/>
          <w:bCs/>
          <w:sz w:val="24"/>
          <w:szCs w:val="24"/>
        </w:rPr>
      </w:pPr>
      <w:r>
        <w:rPr>
          <w:rFonts w:ascii="Arial" w:hAnsi="Arial" w:cs="Arial"/>
          <w:bCs/>
          <w:sz w:val="24"/>
          <w:szCs w:val="24"/>
        </w:rPr>
        <w:t xml:space="preserve">Please update the approved line loss factor on the GA analysis workform using the applicable approved line loss factor for 2020. </w:t>
      </w:r>
    </w:p>
    <w:p w14:paraId="5E58CC84" w14:textId="78CEB2D8" w:rsidR="008C067B" w:rsidRDefault="008C067B" w:rsidP="008C067B">
      <w:pPr>
        <w:pStyle w:val="ListParagraph"/>
        <w:numPr>
          <w:ilvl w:val="0"/>
          <w:numId w:val="38"/>
        </w:numPr>
        <w:rPr>
          <w:rFonts w:ascii="Arial" w:hAnsi="Arial" w:cs="Arial"/>
          <w:bCs/>
          <w:sz w:val="24"/>
          <w:szCs w:val="24"/>
        </w:rPr>
      </w:pPr>
      <w:r>
        <w:rPr>
          <w:rFonts w:ascii="Arial" w:hAnsi="Arial" w:cs="Arial"/>
          <w:bCs/>
          <w:sz w:val="24"/>
          <w:szCs w:val="24"/>
        </w:rPr>
        <w:t>Please provide the following analysis for the expected line loss $ in Account 1588:</w:t>
      </w:r>
    </w:p>
    <w:tbl>
      <w:tblPr>
        <w:tblStyle w:val="TableGrid"/>
        <w:tblW w:w="0" w:type="auto"/>
        <w:tblLook w:val="04A0" w:firstRow="1" w:lastRow="0" w:firstColumn="1" w:lastColumn="0" w:noHBand="0" w:noVBand="1"/>
      </w:tblPr>
      <w:tblGrid>
        <w:gridCol w:w="1870"/>
        <w:gridCol w:w="2625"/>
        <w:gridCol w:w="2160"/>
        <w:gridCol w:w="2160"/>
      </w:tblGrid>
      <w:tr w:rsidR="008F7FD1" w14:paraId="6BEB192D" w14:textId="77777777" w:rsidTr="008F7FD1">
        <w:tc>
          <w:tcPr>
            <w:tcW w:w="1870" w:type="dxa"/>
          </w:tcPr>
          <w:p w14:paraId="34C29184" w14:textId="061C0EE2" w:rsidR="008F7FD1" w:rsidRDefault="008F7FD1" w:rsidP="008C067B">
            <w:pPr>
              <w:rPr>
                <w:rFonts w:ascii="Arial" w:hAnsi="Arial" w:cs="Arial"/>
                <w:bCs/>
                <w:sz w:val="24"/>
                <w:szCs w:val="24"/>
              </w:rPr>
            </w:pPr>
            <w:r>
              <w:rPr>
                <w:rFonts w:ascii="Arial" w:hAnsi="Arial" w:cs="Arial"/>
                <w:bCs/>
                <w:sz w:val="24"/>
                <w:szCs w:val="24"/>
              </w:rPr>
              <w:t>2020 RPP two-tiers Wholesale kWh</w:t>
            </w:r>
          </w:p>
        </w:tc>
        <w:tc>
          <w:tcPr>
            <w:tcW w:w="2625" w:type="dxa"/>
          </w:tcPr>
          <w:p w14:paraId="27553219" w14:textId="13C978CD" w:rsidR="008F7FD1" w:rsidRDefault="008F7FD1" w:rsidP="008C067B">
            <w:pPr>
              <w:rPr>
                <w:rFonts w:ascii="Arial" w:hAnsi="Arial" w:cs="Arial"/>
                <w:bCs/>
                <w:sz w:val="24"/>
                <w:szCs w:val="24"/>
              </w:rPr>
            </w:pPr>
            <w:r>
              <w:rPr>
                <w:rFonts w:ascii="Arial" w:hAnsi="Arial" w:cs="Arial"/>
                <w:bCs/>
                <w:sz w:val="24"/>
                <w:szCs w:val="24"/>
              </w:rPr>
              <w:t>2020 RPP two-tiers billed consumptions kWh</w:t>
            </w:r>
          </w:p>
        </w:tc>
        <w:tc>
          <w:tcPr>
            <w:tcW w:w="2160" w:type="dxa"/>
          </w:tcPr>
          <w:p w14:paraId="0A6FA4F4" w14:textId="2BB49836" w:rsidR="008F7FD1" w:rsidRDefault="008F7FD1" w:rsidP="008C067B">
            <w:pPr>
              <w:rPr>
                <w:rFonts w:ascii="Arial" w:hAnsi="Arial" w:cs="Arial"/>
                <w:bCs/>
                <w:sz w:val="24"/>
                <w:szCs w:val="24"/>
              </w:rPr>
            </w:pPr>
            <w:r>
              <w:rPr>
                <w:rFonts w:ascii="Arial" w:hAnsi="Arial" w:cs="Arial"/>
                <w:bCs/>
                <w:sz w:val="24"/>
                <w:szCs w:val="24"/>
              </w:rPr>
              <w:t xml:space="preserve">2020 Weighted average RPP two tiers price </w:t>
            </w:r>
          </w:p>
        </w:tc>
        <w:tc>
          <w:tcPr>
            <w:tcW w:w="2160" w:type="dxa"/>
          </w:tcPr>
          <w:p w14:paraId="7817DD22" w14:textId="59051D32" w:rsidR="008F7FD1" w:rsidRDefault="008F7FD1" w:rsidP="008C067B">
            <w:pPr>
              <w:rPr>
                <w:rFonts w:ascii="Arial" w:hAnsi="Arial" w:cs="Arial"/>
                <w:bCs/>
                <w:sz w:val="24"/>
                <w:szCs w:val="24"/>
              </w:rPr>
            </w:pPr>
            <w:r>
              <w:rPr>
                <w:rFonts w:ascii="Arial" w:hAnsi="Arial" w:cs="Arial"/>
                <w:bCs/>
                <w:sz w:val="24"/>
                <w:szCs w:val="24"/>
              </w:rPr>
              <w:t xml:space="preserve">2020 Line loss $ for RPP two tiers customers </w:t>
            </w:r>
          </w:p>
        </w:tc>
      </w:tr>
      <w:tr w:rsidR="008F7FD1" w14:paraId="3335E3E7" w14:textId="77777777" w:rsidTr="008F7FD1">
        <w:tc>
          <w:tcPr>
            <w:tcW w:w="1870" w:type="dxa"/>
          </w:tcPr>
          <w:p w14:paraId="3531C1A5" w14:textId="77777777" w:rsidR="008F7FD1" w:rsidRDefault="008F7FD1" w:rsidP="008C067B">
            <w:pPr>
              <w:rPr>
                <w:rFonts w:ascii="Arial" w:hAnsi="Arial" w:cs="Arial"/>
                <w:bCs/>
                <w:sz w:val="24"/>
                <w:szCs w:val="24"/>
              </w:rPr>
            </w:pPr>
          </w:p>
        </w:tc>
        <w:tc>
          <w:tcPr>
            <w:tcW w:w="2625" w:type="dxa"/>
          </w:tcPr>
          <w:p w14:paraId="50DE98CD" w14:textId="77777777" w:rsidR="008F7FD1" w:rsidRDefault="008F7FD1" w:rsidP="008C067B">
            <w:pPr>
              <w:rPr>
                <w:rFonts w:ascii="Arial" w:hAnsi="Arial" w:cs="Arial"/>
                <w:bCs/>
                <w:sz w:val="24"/>
                <w:szCs w:val="24"/>
              </w:rPr>
            </w:pPr>
          </w:p>
        </w:tc>
        <w:tc>
          <w:tcPr>
            <w:tcW w:w="2160" w:type="dxa"/>
          </w:tcPr>
          <w:p w14:paraId="0698E3B7" w14:textId="77777777" w:rsidR="008F7FD1" w:rsidRDefault="008F7FD1" w:rsidP="008C067B">
            <w:pPr>
              <w:rPr>
                <w:rFonts w:ascii="Arial" w:hAnsi="Arial" w:cs="Arial"/>
                <w:bCs/>
                <w:sz w:val="24"/>
                <w:szCs w:val="24"/>
              </w:rPr>
            </w:pPr>
          </w:p>
        </w:tc>
        <w:tc>
          <w:tcPr>
            <w:tcW w:w="2160" w:type="dxa"/>
          </w:tcPr>
          <w:p w14:paraId="3264A4E5" w14:textId="77777777" w:rsidR="008F7FD1" w:rsidRDefault="008F7FD1" w:rsidP="008C067B">
            <w:pPr>
              <w:rPr>
                <w:rFonts w:ascii="Arial" w:hAnsi="Arial" w:cs="Arial"/>
                <w:bCs/>
                <w:sz w:val="24"/>
                <w:szCs w:val="24"/>
              </w:rPr>
            </w:pPr>
          </w:p>
        </w:tc>
      </w:tr>
      <w:tr w:rsidR="008F7FD1" w14:paraId="585862E7" w14:textId="77777777" w:rsidTr="008F7FD1">
        <w:tc>
          <w:tcPr>
            <w:tcW w:w="1870" w:type="dxa"/>
          </w:tcPr>
          <w:p w14:paraId="3574DC1A" w14:textId="77777777" w:rsidR="008F7FD1" w:rsidRDefault="008F7FD1" w:rsidP="008C067B">
            <w:pPr>
              <w:rPr>
                <w:rFonts w:ascii="Arial" w:hAnsi="Arial" w:cs="Arial"/>
                <w:bCs/>
                <w:sz w:val="24"/>
                <w:szCs w:val="24"/>
              </w:rPr>
            </w:pPr>
          </w:p>
        </w:tc>
        <w:tc>
          <w:tcPr>
            <w:tcW w:w="2625" w:type="dxa"/>
          </w:tcPr>
          <w:p w14:paraId="5F2C9A59" w14:textId="77777777" w:rsidR="008F7FD1" w:rsidRDefault="008F7FD1" w:rsidP="008C067B">
            <w:pPr>
              <w:rPr>
                <w:rFonts w:ascii="Arial" w:hAnsi="Arial" w:cs="Arial"/>
                <w:bCs/>
                <w:sz w:val="24"/>
                <w:szCs w:val="24"/>
              </w:rPr>
            </w:pPr>
          </w:p>
        </w:tc>
        <w:tc>
          <w:tcPr>
            <w:tcW w:w="2160" w:type="dxa"/>
          </w:tcPr>
          <w:p w14:paraId="4D2A3E6B" w14:textId="77777777" w:rsidR="008F7FD1" w:rsidRDefault="008F7FD1" w:rsidP="008C067B">
            <w:pPr>
              <w:rPr>
                <w:rFonts w:ascii="Arial" w:hAnsi="Arial" w:cs="Arial"/>
                <w:bCs/>
                <w:sz w:val="24"/>
                <w:szCs w:val="24"/>
              </w:rPr>
            </w:pPr>
          </w:p>
        </w:tc>
        <w:tc>
          <w:tcPr>
            <w:tcW w:w="2160" w:type="dxa"/>
          </w:tcPr>
          <w:p w14:paraId="68A972E6" w14:textId="77777777" w:rsidR="008F7FD1" w:rsidRDefault="008F7FD1" w:rsidP="008C067B">
            <w:pPr>
              <w:rPr>
                <w:rFonts w:ascii="Arial" w:hAnsi="Arial" w:cs="Arial"/>
                <w:bCs/>
                <w:sz w:val="24"/>
                <w:szCs w:val="24"/>
              </w:rPr>
            </w:pPr>
          </w:p>
        </w:tc>
      </w:tr>
    </w:tbl>
    <w:p w14:paraId="2CAFFD6F" w14:textId="6CA32518" w:rsidR="008C067B" w:rsidRDefault="008C067B" w:rsidP="008C067B">
      <w:pPr>
        <w:rPr>
          <w:rFonts w:ascii="Arial" w:hAnsi="Arial" w:cs="Arial"/>
          <w:bCs/>
          <w:sz w:val="24"/>
          <w:szCs w:val="24"/>
        </w:rPr>
      </w:pPr>
    </w:p>
    <w:tbl>
      <w:tblPr>
        <w:tblStyle w:val="TableGrid"/>
        <w:tblW w:w="0" w:type="auto"/>
        <w:tblLook w:val="04A0" w:firstRow="1" w:lastRow="0" w:firstColumn="1" w:lastColumn="0" w:noHBand="0" w:noVBand="1"/>
      </w:tblPr>
      <w:tblGrid>
        <w:gridCol w:w="1870"/>
        <w:gridCol w:w="2625"/>
        <w:gridCol w:w="2160"/>
        <w:gridCol w:w="2160"/>
      </w:tblGrid>
      <w:tr w:rsidR="008F7FD1" w14:paraId="7EDC32A1" w14:textId="77777777" w:rsidTr="0030035E">
        <w:tc>
          <w:tcPr>
            <w:tcW w:w="1870" w:type="dxa"/>
          </w:tcPr>
          <w:p w14:paraId="3C8A3E96" w14:textId="1F92839F" w:rsidR="008F7FD1" w:rsidRDefault="008F7FD1" w:rsidP="0030035E">
            <w:pPr>
              <w:rPr>
                <w:rFonts w:ascii="Arial" w:hAnsi="Arial" w:cs="Arial"/>
                <w:bCs/>
                <w:sz w:val="24"/>
                <w:szCs w:val="24"/>
              </w:rPr>
            </w:pPr>
            <w:r>
              <w:rPr>
                <w:rFonts w:ascii="Arial" w:hAnsi="Arial" w:cs="Arial"/>
                <w:bCs/>
                <w:sz w:val="24"/>
                <w:szCs w:val="24"/>
              </w:rPr>
              <w:t xml:space="preserve">2020 RPP </w:t>
            </w:r>
            <w:r>
              <w:rPr>
                <w:rFonts w:ascii="Arial" w:hAnsi="Arial" w:cs="Arial"/>
                <w:bCs/>
                <w:sz w:val="24"/>
                <w:szCs w:val="24"/>
              </w:rPr>
              <w:t>TOU</w:t>
            </w:r>
            <w:r>
              <w:rPr>
                <w:rFonts w:ascii="Arial" w:hAnsi="Arial" w:cs="Arial"/>
                <w:bCs/>
                <w:sz w:val="24"/>
                <w:szCs w:val="24"/>
              </w:rPr>
              <w:t xml:space="preserve"> Wholesale kWh</w:t>
            </w:r>
          </w:p>
        </w:tc>
        <w:tc>
          <w:tcPr>
            <w:tcW w:w="2625" w:type="dxa"/>
          </w:tcPr>
          <w:p w14:paraId="1E8FE473" w14:textId="1C2273C2" w:rsidR="008F7FD1" w:rsidRDefault="008F7FD1" w:rsidP="0030035E">
            <w:pPr>
              <w:rPr>
                <w:rFonts w:ascii="Arial" w:hAnsi="Arial" w:cs="Arial"/>
                <w:bCs/>
                <w:sz w:val="24"/>
                <w:szCs w:val="24"/>
              </w:rPr>
            </w:pPr>
            <w:r>
              <w:rPr>
                <w:rFonts w:ascii="Arial" w:hAnsi="Arial" w:cs="Arial"/>
                <w:bCs/>
                <w:sz w:val="24"/>
                <w:szCs w:val="24"/>
              </w:rPr>
              <w:t xml:space="preserve">2020 RPP </w:t>
            </w:r>
            <w:r>
              <w:rPr>
                <w:rFonts w:ascii="Arial" w:hAnsi="Arial" w:cs="Arial"/>
                <w:bCs/>
                <w:sz w:val="24"/>
                <w:szCs w:val="24"/>
              </w:rPr>
              <w:t>TOU</w:t>
            </w:r>
            <w:r>
              <w:rPr>
                <w:rFonts w:ascii="Arial" w:hAnsi="Arial" w:cs="Arial"/>
                <w:bCs/>
                <w:sz w:val="24"/>
                <w:szCs w:val="24"/>
              </w:rPr>
              <w:t xml:space="preserve"> billed consumptions kWh</w:t>
            </w:r>
          </w:p>
        </w:tc>
        <w:tc>
          <w:tcPr>
            <w:tcW w:w="2160" w:type="dxa"/>
          </w:tcPr>
          <w:p w14:paraId="113BCF18" w14:textId="4A401EF7" w:rsidR="008F7FD1" w:rsidRDefault="008F7FD1" w:rsidP="0030035E">
            <w:pPr>
              <w:rPr>
                <w:rFonts w:ascii="Arial" w:hAnsi="Arial" w:cs="Arial"/>
                <w:bCs/>
                <w:sz w:val="24"/>
                <w:szCs w:val="24"/>
              </w:rPr>
            </w:pPr>
            <w:r>
              <w:rPr>
                <w:rFonts w:ascii="Arial" w:hAnsi="Arial" w:cs="Arial"/>
                <w:bCs/>
                <w:sz w:val="24"/>
                <w:szCs w:val="24"/>
              </w:rPr>
              <w:t xml:space="preserve">2020 Weighted average RPP </w:t>
            </w:r>
            <w:r>
              <w:rPr>
                <w:rFonts w:ascii="Arial" w:hAnsi="Arial" w:cs="Arial"/>
                <w:bCs/>
                <w:sz w:val="24"/>
                <w:szCs w:val="24"/>
              </w:rPr>
              <w:t xml:space="preserve">TOU </w:t>
            </w:r>
            <w:r>
              <w:rPr>
                <w:rFonts w:ascii="Arial" w:hAnsi="Arial" w:cs="Arial"/>
                <w:bCs/>
                <w:sz w:val="24"/>
                <w:szCs w:val="24"/>
              </w:rPr>
              <w:t xml:space="preserve">price </w:t>
            </w:r>
          </w:p>
        </w:tc>
        <w:tc>
          <w:tcPr>
            <w:tcW w:w="2160" w:type="dxa"/>
          </w:tcPr>
          <w:p w14:paraId="3E8491DA" w14:textId="508E728F" w:rsidR="008F7FD1" w:rsidRDefault="008F7FD1" w:rsidP="0030035E">
            <w:pPr>
              <w:rPr>
                <w:rFonts w:ascii="Arial" w:hAnsi="Arial" w:cs="Arial"/>
                <w:bCs/>
                <w:sz w:val="24"/>
                <w:szCs w:val="24"/>
              </w:rPr>
            </w:pPr>
            <w:r>
              <w:rPr>
                <w:rFonts w:ascii="Arial" w:hAnsi="Arial" w:cs="Arial"/>
                <w:bCs/>
                <w:sz w:val="24"/>
                <w:szCs w:val="24"/>
              </w:rPr>
              <w:t xml:space="preserve">2020 Line loss $ for RPP </w:t>
            </w:r>
            <w:r>
              <w:rPr>
                <w:rFonts w:ascii="Arial" w:hAnsi="Arial" w:cs="Arial"/>
                <w:bCs/>
                <w:sz w:val="24"/>
                <w:szCs w:val="24"/>
              </w:rPr>
              <w:t>TOU</w:t>
            </w:r>
            <w:r>
              <w:rPr>
                <w:rFonts w:ascii="Arial" w:hAnsi="Arial" w:cs="Arial"/>
                <w:bCs/>
                <w:sz w:val="24"/>
                <w:szCs w:val="24"/>
              </w:rPr>
              <w:t xml:space="preserve"> customers </w:t>
            </w:r>
          </w:p>
        </w:tc>
      </w:tr>
      <w:tr w:rsidR="008F7FD1" w14:paraId="18E35ABD" w14:textId="77777777" w:rsidTr="0030035E">
        <w:tc>
          <w:tcPr>
            <w:tcW w:w="1870" w:type="dxa"/>
          </w:tcPr>
          <w:p w14:paraId="608F53E8" w14:textId="77777777" w:rsidR="008F7FD1" w:rsidRDefault="008F7FD1" w:rsidP="0030035E">
            <w:pPr>
              <w:rPr>
                <w:rFonts w:ascii="Arial" w:hAnsi="Arial" w:cs="Arial"/>
                <w:bCs/>
                <w:sz w:val="24"/>
                <w:szCs w:val="24"/>
              </w:rPr>
            </w:pPr>
          </w:p>
        </w:tc>
        <w:tc>
          <w:tcPr>
            <w:tcW w:w="2625" w:type="dxa"/>
          </w:tcPr>
          <w:p w14:paraId="7592CA36" w14:textId="77777777" w:rsidR="008F7FD1" w:rsidRDefault="008F7FD1" w:rsidP="0030035E">
            <w:pPr>
              <w:rPr>
                <w:rFonts w:ascii="Arial" w:hAnsi="Arial" w:cs="Arial"/>
                <w:bCs/>
                <w:sz w:val="24"/>
                <w:szCs w:val="24"/>
              </w:rPr>
            </w:pPr>
          </w:p>
        </w:tc>
        <w:tc>
          <w:tcPr>
            <w:tcW w:w="2160" w:type="dxa"/>
          </w:tcPr>
          <w:p w14:paraId="1B647F24" w14:textId="77777777" w:rsidR="008F7FD1" w:rsidRDefault="008F7FD1" w:rsidP="0030035E">
            <w:pPr>
              <w:rPr>
                <w:rFonts w:ascii="Arial" w:hAnsi="Arial" w:cs="Arial"/>
                <w:bCs/>
                <w:sz w:val="24"/>
                <w:szCs w:val="24"/>
              </w:rPr>
            </w:pPr>
          </w:p>
        </w:tc>
        <w:tc>
          <w:tcPr>
            <w:tcW w:w="2160" w:type="dxa"/>
          </w:tcPr>
          <w:p w14:paraId="796E55ED" w14:textId="77777777" w:rsidR="008F7FD1" w:rsidRDefault="008F7FD1" w:rsidP="0030035E">
            <w:pPr>
              <w:rPr>
                <w:rFonts w:ascii="Arial" w:hAnsi="Arial" w:cs="Arial"/>
                <w:bCs/>
                <w:sz w:val="24"/>
                <w:szCs w:val="24"/>
              </w:rPr>
            </w:pPr>
          </w:p>
        </w:tc>
      </w:tr>
      <w:tr w:rsidR="008F7FD1" w14:paraId="7A8A1E37" w14:textId="77777777" w:rsidTr="0030035E">
        <w:tc>
          <w:tcPr>
            <w:tcW w:w="1870" w:type="dxa"/>
          </w:tcPr>
          <w:p w14:paraId="651CBF07" w14:textId="77777777" w:rsidR="008F7FD1" w:rsidRDefault="008F7FD1" w:rsidP="0030035E">
            <w:pPr>
              <w:rPr>
                <w:rFonts w:ascii="Arial" w:hAnsi="Arial" w:cs="Arial"/>
                <w:bCs/>
                <w:sz w:val="24"/>
                <w:szCs w:val="24"/>
              </w:rPr>
            </w:pPr>
          </w:p>
        </w:tc>
        <w:tc>
          <w:tcPr>
            <w:tcW w:w="2625" w:type="dxa"/>
          </w:tcPr>
          <w:p w14:paraId="1AD95C7E" w14:textId="77777777" w:rsidR="008F7FD1" w:rsidRDefault="008F7FD1" w:rsidP="0030035E">
            <w:pPr>
              <w:rPr>
                <w:rFonts w:ascii="Arial" w:hAnsi="Arial" w:cs="Arial"/>
                <w:bCs/>
                <w:sz w:val="24"/>
                <w:szCs w:val="24"/>
              </w:rPr>
            </w:pPr>
          </w:p>
        </w:tc>
        <w:tc>
          <w:tcPr>
            <w:tcW w:w="2160" w:type="dxa"/>
          </w:tcPr>
          <w:p w14:paraId="1FBE054C" w14:textId="77777777" w:rsidR="008F7FD1" w:rsidRDefault="008F7FD1" w:rsidP="0030035E">
            <w:pPr>
              <w:rPr>
                <w:rFonts w:ascii="Arial" w:hAnsi="Arial" w:cs="Arial"/>
                <w:bCs/>
                <w:sz w:val="24"/>
                <w:szCs w:val="24"/>
              </w:rPr>
            </w:pPr>
          </w:p>
        </w:tc>
        <w:tc>
          <w:tcPr>
            <w:tcW w:w="2160" w:type="dxa"/>
          </w:tcPr>
          <w:p w14:paraId="57DDFEF0" w14:textId="77777777" w:rsidR="008F7FD1" w:rsidRDefault="008F7FD1" w:rsidP="0030035E">
            <w:pPr>
              <w:rPr>
                <w:rFonts w:ascii="Arial" w:hAnsi="Arial" w:cs="Arial"/>
                <w:bCs/>
                <w:sz w:val="24"/>
                <w:szCs w:val="24"/>
              </w:rPr>
            </w:pPr>
          </w:p>
        </w:tc>
      </w:tr>
    </w:tbl>
    <w:p w14:paraId="49D2F192" w14:textId="5A273E50" w:rsidR="008F7FD1" w:rsidRDefault="008F7FD1" w:rsidP="008C067B">
      <w:pPr>
        <w:rPr>
          <w:rFonts w:ascii="Arial" w:hAnsi="Arial" w:cs="Arial"/>
          <w:bCs/>
          <w:sz w:val="24"/>
          <w:szCs w:val="24"/>
        </w:rPr>
      </w:pPr>
    </w:p>
    <w:tbl>
      <w:tblPr>
        <w:tblStyle w:val="TableGrid"/>
        <w:tblW w:w="0" w:type="auto"/>
        <w:tblLook w:val="04A0" w:firstRow="1" w:lastRow="0" w:firstColumn="1" w:lastColumn="0" w:noHBand="0" w:noVBand="1"/>
      </w:tblPr>
      <w:tblGrid>
        <w:gridCol w:w="1870"/>
        <w:gridCol w:w="2625"/>
        <w:gridCol w:w="2160"/>
        <w:gridCol w:w="2160"/>
      </w:tblGrid>
      <w:tr w:rsidR="008F7FD1" w14:paraId="3C370F5A" w14:textId="77777777" w:rsidTr="0030035E">
        <w:tc>
          <w:tcPr>
            <w:tcW w:w="1870" w:type="dxa"/>
          </w:tcPr>
          <w:p w14:paraId="2604E1CD" w14:textId="2F73A75C" w:rsidR="008F7FD1" w:rsidRDefault="008F7FD1" w:rsidP="0030035E">
            <w:pPr>
              <w:rPr>
                <w:rFonts w:ascii="Arial" w:hAnsi="Arial" w:cs="Arial"/>
                <w:bCs/>
                <w:sz w:val="24"/>
                <w:szCs w:val="24"/>
              </w:rPr>
            </w:pPr>
            <w:r>
              <w:rPr>
                <w:rFonts w:ascii="Arial" w:hAnsi="Arial" w:cs="Arial"/>
                <w:bCs/>
                <w:sz w:val="24"/>
                <w:szCs w:val="24"/>
              </w:rPr>
              <w:t xml:space="preserve">2020 </w:t>
            </w:r>
            <w:r>
              <w:rPr>
                <w:rFonts w:ascii="Arial" w:hAnsi="Arial" w:cs="Arial"/>
                <w:bCs/>
                <w:sz w:val="24"/>
                <w:szCs w:val="24"/>
              </w:rPr>
              <w:t>Non-RPP</w:t>
            </w:r>
            <w:r>
              <w:rPr>
                <w:rFonts w:ascii="Arial" w:hAnsi="Arial" w:cs="Arial"/>
                <w:bCs/>
                <w:sz w:val="24"/>
                <w:szCs w:val="24"/>
              </w:rPr>
              <w:t xml:space="preserve"> Wholesale kWh</w:t>
            </w:r>
          </w:p>
        </w:tc>
        <w:tc>
          <w:tcPr>
            <w:tcW w:w="2625" w:type="dxa"/>
          </w:tcPr>
          <w:p w14:paraId="24572E7F" w14:textId="3391F9E7" w:rsidR="008F7FD1" w:rsidRDefault="008F7FD1" w:rsidP="0030035E">
            <w:pPr>
              <w:rPr>
                <w:rFonts w:ascii="Arial" w:hAnsi="Arial" w:cs="Arial"/>
                <w:bCs/>
                <w:sz w:val="24"/>
                <w:szCs w:val="24"/>
              </w:rPr>
            </w:pPr>
            <w:r>
              <w:rPr>
                <w:rFonts w:ascii="Arial" w:hAnsi="Arial" w:cs="Arial"/>
                <w:bCs/>
                <w:sz w:val="24"/>
                <w:szCs w:val="24"/>
              </w:rPr>
              <w:t>2020</w:t>
            </w:r>
            <w:r>
              <w:rPr>
                <w:rFonts w:ascii="Arial" w:hAnsi="Arial" w:cs="Arial"/>
                <w:bCs/>
                <w:sz w:val="24"/>
                <w:szCs w:val="24"/>
              </w:rPr>
              <w:t xml:space="preserve"> Non-</w:t>
            </w:r>
            <w:r>
              <w:rPr>
                <w:rFonts w:ascii="Arial" w:hAnsi="Arial" w:cs="Arial"/>
                <w:bCs/>
                <w:sz w:val="24"/>
                <w:szCs w:val="24"/>
              </w:rPr>
              <w:t>RPP billed consumptions kWh</w:t>
            </w:r>
          </w:p>
        </w:tc>
        <w:tc>
          <w:tcPr>
            <w:tcW w:w="2160" w:type="dxa"/>
          </w:tcPr>
          <w:p w14:paraId="3F9F7A61" w14:textId="646D417C" w:rsidR="008F7FD1" w:rsidRDefault="008F7FD1" w:rsidP="0030035E">
            <w:pPr>
              <w:rPr>
                <w:rFonts w:ascii="Arial" w:hAnsi="Arial" w:cs="Arial"/>
                <w:bCs/>
                <w:sz w:val="24"/>
                <w:szCs w:val="24"/>
              </w:rPr>
            </w:pPr>
            <w:r>
              <w:rPr>
                <w:rFonts w:ascii="Arial" w:hAnsi="Arial" w:cs="Arial"/>
                <w:bCs/>
                <w:sz w:val="24"/>
                <w:szCs w:val="24"/>
              </w:rPr>
              <w:t xml:space="preserve">2020 Weighted average </w:t>
            </w:r>
            <w:r>
              <w:rPr>
                <w:rFonts w:ascii="Arial" w:hAnsi="Arial" w:cs="Arial"/>
                <w:bCs/>
                <w:sz w:val="24"/>
                <w:szCs w:val="24"/>
              </w:rPr>
              <w:t>Energy</w:t>
            </w:r>
            <w:r>
              <w:rPr>
                <w:rFonts w:ascii="Arial" w:hAnsi="Arial" w:cs="Arial"/>
                <w:bCs/>
                <w:sz w:val="24"/>
                <w:szCs w:val="24"/>
              </w:rPr>
              <w:t xml:space="preserve"> price </w:t>
            </w:r>
            <w:r>
              <w:rPr>
                <w:rFonts w:ascii="Arial" w:hAnsi="Arial" w:cs="Arial"/>
                <w:bCs/>
                <w:sz w:val="24"/>
                <w:szCs w:val="24"/>
              </w:rPr>
              <w:t>(or HOEP)</w:t>
            </w:r>
          </w:p>
        </w:tc>
        <w:tc>
          <w:tcPr>
            <w:tcW w:w="2160" w:type="dxa"/>
          </w:tcPr>
          <w:p w14:paraId="6426B693" w14:textId="231D4494" w:rsidR="008F7FD1" w:rsidRDefault="008F7FD1" w:rsidP="0030035E">
            <w:pPr>
              <w:rPr>
                <w:rFonts w:ascii="Arial" w:hAnsi="Arial" w:cs="Arial"/>
                <w:bCs/>
                <w:sz w:val="24"/>
                <w:szCs w:val="24"/>
              </w:rPr>
            </w:pPr>
            <w:r>
              <w:rPr>
                <w:rFonts w:ascii="Arial" w:hAnsi="Arial" w:cs="Arial"/>
                <w:bCs/>
                <w:sz w:val="24"/>
                <w:szCs w:val="24"/>
              </w:rPr>
              <w:t xml:space="preserve">2020 Line loss $ for </w:t>
            </w:r>
            <w:r>
              <w:rPr>
                <w:rFonts w:ascii="Arial" w:hAnsi="Arial" w:cs="Arial"/>
                <w:bCs/>
                <w:sz w:val="24"/>
                <w:szCs w:val="24"/>
              </w:rPr>
              <w:t>Non-RPP</w:t>
            </w:r>
            <w:r>
              <w:rPr>
                <w:rFonts w:ascii="Arial" w:hAnsi="Arial" w:cs="Arial"/>
                <w:bCs/>
                <w:sz w:val="24"/>
                <w:szCs w:val="24"/>
              </w:rPr>
              <w:t xml:space="preserve"> customers </w:t>
            </w:r>
          </w:p>
        </w:tc>
      </w:tr>
      <w:tr w:rsidR="008F7FD1" w14:paraId="07C0DA2A" w14:textId="77777777" w:rsidTr="0030035E">
        <w:tc>
          <w:tcPr>
            <w:tcW w:w="1870" w:type="dxa"/>
          </w:tcPr>
          <w:p w14:paraId="2754C364" w14:textId="77777777" w:rsidR="008F7FD1" w:rsidRDefault="008F7FD1" w:rsidP="0030035E">
            <w:pPr>
              <w:rPr>
                <w:rFonts w:ascii="Arial" w:hAnsi="Arial" w:cs="Arial"/>
                <w:bCs/>
                <w:sz w:val="24"/>
                <w:szCs w:val="24"/>
              </w:rPr>
            </w:pPr>
          </w:p>
        </w:tc>
        <w:tc>
          <w:tcPr>
            <w:tcW w:w="2625" w:type="dxa"/>
          </w:tcPr>
          <w:p w14:paraId="79D8A90B" w14:textId="77777777" w:rsidR="008F7FD1" w:rsidRDefault="008F7FD1" w:rsidP="0030035E">
            <w:pPr>
              <w:rPr>
                <w:rFonts w:ascii="Arial" w:hAnsi="Arial" w:cs="Arial"/>
                <w:bCs/>
                <w:sz w:val="24"/>
                <w:szCs w:val="24"/>
              </w:rPr>
            </w:pPr>
          </w:p>
        </w:tc>
        <w:tc>
          <w:tcPr>
            <w:tcW w:w="2160" w:type="dxa"/>
          </w:tcPr>
          <w:p w14:paraId="07DA0369" w14:textId="77777777" w:rsidR="008F7FD1" w:rsidRDefault="008F7FD1" w:rsidP="0030035E">
            <w:pPr>
              <w:rPr>
                <w:rFonts w:ascii="Arial" w:hAnsi="Arial" w:cs="Arial"/>
                <w:bCs/>
                <w:sz w:val="24"/>
                <w:szCs w:val="24"/>
              </w:rPr>
            </w:pPr>
          </w:p>
        </w:tc>
        <w:tc>
          <w:tcPr>
            <w:tcW w:w="2160" w:type="dxa"/>
          </w:tcPr>
          <w:p w14:paraId="51C182B9" w14:textId="77777777" w:rsidR="008F7FD1" w:rsidRDefault="008F7FD1" w:rsidP="0030035E">
            <w:pPr>
              <w:rPr>
                <w:rFonts w:ascii="Arial" w:hAnsi="Arial" w:cs="Arial"/>
                <w:bCs/>
                <w:sz w:val="24"/>
                <w:szCs w:val="24"/>
              </w:rPr>
            </w:pPr>
          </w:p>
        </w:tc>
      </w:tr>
      <w:tr w:rsidR="008F7FD1" w14:paraId="097E55E5" w14:textId="77777777" w:rsidTr="0030035E">
        <w:tc>
          <w:tcPr>
            <w:tcW w:w="1870" w:type="dxa"/>
          </w:tcPr>
          <w:p w14:paraId="0C7E2067" w14:textId="77777777" w:rsidR="008F7FD1" w:rsidRDefault="008F7FD1" w:rsidP="0030035E">
            <w:pPr>
              <w:rPr>
                <w:rFonts w:ascii="Arial" w:hAnsi="Arial" w:cs="Arial"/>
                <w:bCs/>
                <w:sz w:val="24"/>
                <w:szCs w:val="24"/>
              </w:rPr>
            </w:pPr>
          </w:p>
        </w:tc>
        <w:tc>
          <w:tcPr>
            <w:tcW w:w="2625" w:type="dxa"/>
          </w:tcPr>
          <w:p w14:paraId="5DADCA29" w14:textId="77777777" w:rsidR="008F7FD1" w:rsidRDefault="008F7FD1" w:rsidP="0030035E">
            <w:pPr>
              <w:rPr>
                <w:rFonts w:ascii="Arial" w:hAnsi="Arial" w:cs="Arial"/>
                <w:bCs/>
                <w:sz w:val="24"/>
                <w:szCs w:val="24"/>
              </w:rPr>
            </w:pPr>
          </w:p>
        </w:tc>
        <w:tc>
          <w:tcPr>
            <w:tcW w:w="2160" w:type="dxa"/>
          </w:tcPr>
          <w:p w14:paraId="6F317051" w14:textId="77777777" w:rsidR="008F7FD1" w:rsidRDefault="008F7FD1" w:rsidP="0030035E">
            <w:pPr>
              <w:rPr>
                <w:rFonts w:ascii="Arial" w:hAnsi="Arial" w:cs="Arial"/>
                <w:bCs/>
                <w:sz w:val="24"/>
                <w:szCs w:val="24"/>
              </w:rPr>
            </w:pPr>
          </w:p>
        </w:tc>
        <w:tc>
          <w:tcPr>
            <w:tcW w:w="2160" w:type="dxa"/>
          </w:tcPr>
          <w:p w14:paraId="56AEC311" w14:textId="77777777" w:rsidR="008F7FD1" w:rsidRDefault="008F7FD1" w:rsidP="0030035E">
            <w:pPr>
              <w:rPr>
                <w:rFonts w:ascii="Arial" w:hAnsi="Arial" w:cs="Arial"/>
                <w:bCs/>
                <w:sz w:val="24"/>
                <w:szCs w:val="24"/>
              </w:rPr>
            </w:pPr>
          </w:p>
        </w:tc>
      </w:tr>
    </w:tbl>
    <w:p w14:paraId="2E8E594E" w14:textId="34DCA74D" w:rsidR="008F7FD1" w:rsidRDefault="008F7FD1" w:rsidP="008C067B">
      <w:pPr>
        <w:rPr>
          <w:rFonts w:ascii="Arial" w:hAnsi="Arial" w:cs="Arial"/>
          <w:bCs/>
          <w:sz w:val="24"/>
          <w:szCs w:val="24"/>
        </w:rPr>
      </w:pPr>
    </w:p>
    <w:p w14:paraId="100AFE08" w14:textId="7EE12BD3" w:rsidR="008F7FD1" w:rsidRPr="008F7FD1" w:rsidRDefault="008F7FD1" w:rsidP="008F7FD1">
      <w:pPr>
        <w:pStyle w:val="ListParagraph"/>
        <w:numPr>
          <w:ilvl w:val="0"/>
          <w:numId w:val="38"/>
        </w:numPr>
        <w:rPr>
          <w:rFonts w:ascii="Arial" w:hAnsi="Arial" w:cs="Arial"/>
          <w:bCs/>
          <w:sz w:val="24"/>
          <w:szCs w:val="24"/>
        </w:rPr>
      </w:pPr>
      <w:r>
        <w:rPr>
          <w:rFonts w:ascii="Arial" w:hAnsi="Arial" w:cs="Arial"/>
          <w:bCs/>
          <w:sz w:val="24"/>
          <w:szCs w:val="24"/>
        </w:rPr>
        <w:t xml:space="preserve">Please sum up the above line losses for RPP and Non-RPP customers in 2020 and compare to the 2020 principal balance in Account 1588. </w:t>
      </w:r>
    </w:p>
    <w:p w14:paraId="63F9E683" w14:textId="77777777" w:rsidR="006A771B" w:rsidRDefault="006A771B" w:rsidP="00A72BC9">
      <w:pPr>
        <w:rPr>
          <w:rFonts w:ascii="Arial" w:hAnsi="Arial" w:cs="Arial"/>
          <w:bCs/>
          <w:sz w:val="24"/>
          <w:szCs w:val="24"/>
        </w:rPr>
      </w:pPr>
    </w:p>
    <w:p w14:paraId="64C7C868" w14:textId="77777777" w:rsidR="00A72BC9" w:rsidRPr="00A72BC9" w:rsidRDefault="00A72BC9" w:rsidP="00A72BC9">
      <w:pPr>
        <w:rPr>
          <w:rFonts w:ascii="Arial" w:hAnsi="Arial" w:cs="Arial"/>
          <w:bCs/>
          <w:sz w:val="24"/>
          <w:szCs w:val="24"/>
        </w:rPr>
      </w:pPr>
    </w:p>
    <w:p w14:paraId="7BB34C9C" w14:textId="77777777" w:rsidR="00BC5C9F" w:rsidRDefault="00BC5C9F" w:rsidP="008E6045">
      <w:pPr>
        <w:rPr>
          <w:rFonts w:ascii="Arial" w:hAnsi="Arial" w:cs="Arial"/>
          <w:b/>
          <w:sz w:val="24"/>
          <w:szCs w:val="24"/>
        </w:rPr>
      </w:pPr>
    </w:p>
    <w:sectPr w:rsidR="00BC5C9F"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296B" w14:textId="77777777" w:rsidR="008D4F15" w:rsidRDefault="008D4F15" w:rsidP="008D4F15">
      <w:pPr>
        <w:spacing w:after="0" w:line="240" w:lineRule="auto"/>
      </w:pPr>
      <w:r>
        <w:separator/>
      </w:r>
    </w:p>
  </w:endnote>
  <w:endnote w:type="continuationSeparator" w:id="0">
    <w:p w14:paraId="272C9E49" w14:textId="77777777" w:rsidR="008D4F15" w:rsidRDefault="008D4F15" w:rsidP="008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328279"/>
      <w:docPartObj>
        <w:docPartGallery w:val="Page Numbers (Bottom of Page)"/>
        <w:docPartUnique/>
      </w:docPartObj>
    </w:sdtPr>
    <w:sdtEndPr>
      <w:rPr>
        <w:noProof/>
      </w:rPr>
    </w:sdtEndPr>
    <w:sdtContent>
      <w:p w14:paraId="11B402C5" w14:textId="09D86595" w:rsidR="00DB2035" w:rsidRDefault="00DB2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BE99C" w14:textId="77777777" w:rsidR="00DB2035" w:rsidRDefault="00DB2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3B53" w14:textId="77777777" w:rsidR="008D4F15" w:rsidRDefault="008D4F15" w:rsidP="008D4F15">
      <w:pPr>
        <w:spacing w:after="0" w:line="240" w:lineRule="auto"/>
      </w:pPr>
      <w:r>
        <w:separator/>
      </w:r>
    </w:p>
  </w:footnote>
  <w:footnote w:type="continuationSeparator" w:id="0">
    <w:p w14:paraId="2BB22584" w14:textId="77777777" w:rsidR="008D4F15" w:rsidRDefault="008D4F15" w:rsidP="008D4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47666B"/>
    <w:multiLevelType w:val="hybridMultilevel"/>
    <w:tmpl w:val="69FA2ECE"/>
    <w:lvl w:ilvl="0" w:tplc="E4EA71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2A8"/>
    <w:multiLevelType w:val="hybridMultilevel"/>
    <w:tmpl w:val="29366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2C2F5A"/>
    <w:multiLevelType w:val="hybridMultilevel"/>
    <w:tmpl w:val="E6862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01A34FA"/>
    <w:multiLevelType w:val="hybridMultilevel"/>
    <w:tmpl w:val="DC8A4112"/>
    <w:lvl w:ilvl="0" w:tplc="28802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73133A"/>
    <w:multiLevelType w:val="hybridMultilevel"/>
    <w:tmpl w:val="4BAA0BB0"/>
    <w:lvl w:ilvl="0" w:tplc="090A0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B119A"/>
    <w:multiLevelType w:val="hybridMultilevel"/>
    <w:tmpl w:val="DA162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E4AFE"/>
    <w:multiLevelType w:val="hybridMultilevel"/>
    <w:tmpl w:val="59FC8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E517536"/>
    <w:multiLevelType w:val="hybridMultilevel"/>
    <w:tmpl w:val="BF000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A3793"/>
    <w:multiLevelType w:val="hybridMultilevel"/>
    <w:tmpl w:val="B914B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536AE"/>
    <w:multiLevelType w:val="hybridMultilevel"/>
    <w:tmpl w:val="F3A21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9"/>
  </w:num>
  <w:num w:numId="3">
    <w:abstractNumId w:val="30"/>
  </w:num>
  <w:num w:numId="4">
    <w:abstractNumId w:val="37"/>
  </w:num>
  <w:num w:numId="5">
    <w:abstractNumId w:val="19"/>
  </w:num>
  <w:num w:numId="6">
    <w:abstractNumId w:val="11"/>
  </w:num>
  <w:num w:numId="7">
    <w:abstractNumId w:val="24"/>
  </w:num>
  <w:num w:numId="8">
    <w:abstractNumId w:val="20"/>
  </w:num>
  <w:num w:numId="9">
    <w:abstractNumId w:val="21"/>
  </w:num>
  <w:num w:numId="10">
    <w:abstractNumId w:val="7"/>
  </w:num>
  <w:num w:numId="11">
    <w:abstractNumId w:val="23"/>
  </w:num>
  <w:num w:numId="12">
    <w:abstractNumId w:val="32"/>
  </w:num>
  <w:num w:numId="13">
    <w:abstractNumId w:val="5"/>
  </w:num>
  <w:num w:numId="14">
    <w:abstractNumId w:val="1"/>
  </w:num>
  <w:num w:numId="15">
    <w:abstractNumId w:val="36"/>
  </w:num>
  <w:num w:numId="16">
    <w:abstractNumId w:val="10"/>
  </w:num>
  <w:num w:numId="17">
    <w:abstractNumId w:val="28"/>
  </w:num>
  <w:num w:numId="18">
    <w:abstractNumId w:val="34"/>
  </w:num>
  <w:num w:numId="19">
    <w:abstractNumId w:val="35"/>
  </w:num>
  <w:num w:numId="20">
    <w:abstractNumId w:val="18"/>
  </w:num>
  <w:num w:numId="21">
    <w:abstractNumId w:val="33"/>
  </w:num>
  <w:num w:numId="22">
    <w:abstractNumId w:val="15"/>
  </w:num>
  <w:num w:numId="23">
    <w:abstractNumId w:val="31"/>
  </w:num>
  <w:num w:numId="24">
    <w:abstractNumId w:val="29"/>
  </w:num>
  <w:num w:numId="25">
    <w:abstractNumId w:val="2"/>
  </w:num>
  <w:num w:numId="26">
    <w:abstractNumId w:val="22"/>
  </w:num>
  <w:num w:numId="27">
    <w:abstractNumId w:val="25"/>
  </w:num>
  <w:num w:numId="28">
    <w:abstractNumId w:val="26"/>
  </w:num>
  <w:num w:numId="29">
    <w:abstractNumId w:val="3"/>
  </w:num>
  <w:num w:numId="30">
    <w:abstractNumId w:val="12"/>
  </w:num>
  <w:num w:numId="31">
    <w:abstractNumId w:val="4"/>
  </w:num>
  <w:num w:numId="32">
    <w:abstractNumId w:val="16"/>
  </w:num>
  <w:num w:numId="33">
    <w:abstractNumId w:val="8"/>
  </w:num>
  <w:num w:numId="34">
    <w:abstractNumId w:val="6"/>
  </w:num>
  <w:num w:numId="35">
    <w:abstractNumId w:val="17"/>
  </w:num>
  <w:num w:numId="36">
    <w:abstractNumId w:val="13"/>
  </w:num>
  <w:num w:numId="37">
    <w:abstractNumId w:val="2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10E2"/>
    <w:rsid w:val="00054071"/>
    <w:rsid w:val="0006126D"/>
    <w:rsid w:val="00067F57"/>
    <w:rsid w:val="00071BEC"/>
    <w:rsid w:val="00074514"/>
    <w:rsid w:val="000832D4"/>
    <w:rsid w:val="00090160"/>
    <w:rsid w:val="000B3E7E"/>
    <w:rsid w:val="000D223C"/>
    <w:rsid w:val="000E4006"/>
    <w:rsid w:val="000F1E3A"/>
    <w:rsid w:val="00133BE1"/>
    <w:rsid w:val="00164E99"/>
    <w:rsid w:val="001759A1"/>
    <w:rsid w:val="00183CC8"/>
    <w:rsid w:val="00187E9B"/>
    <w:rsid w:val="001927C2"/>
    <w:rsid w:val="001A4DCD"/>
    <w:rsid w:val="001B160E"/>
    <w:rsid w:val="00203092"/>
    <w:rsid w:val="0021421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336AD"/>
    <w:rsid w:val="00340C00"/>
    <w:rsid w:val="003702D1"/>
    <w:rsid w:val="00373FAD"/>
    <w:rsid w:val="003777B5"/>
    <w:rsid w:val="003832E7"/>
    <w:rsid w:val="003A20A0"/>
    <w:rsid w:val="003A58B0"/>
    <w:rsid w:val="00400DFC"/>
    <w:rsid w:val="00404B2F"/>
    <w:rsid w:val="00412DC6"/>
    <w:rsid w:val="00425009"/>
    <w:rsid w:val="004377B0"/>
    <w:rsid w:val="00472C81"/>
    <w:rsid w:val="00475032"/>
    <w:rsid w:val="004859EF"/>
    <w:rsid w:val="00511EC2"/>
    <w:rsid w:val="005164F5"/>
    <w:rsid w:val="00520771"/>
    <w:rsid w:val="0052560F"/>
    <w:rsid w:val="00540FF9"/>
    <w:rsid w:val="00541375"/>
    <w:rsid w:val="005666F2"/>
    <w:rsid w:val="00572064"/>
    <w:rsid w:val="00577255"/>
    <w:rsid w:val="00584369"/>
    <w:rsid w:val="00587A35"/>
    <w:rsid w:val="005F4693"/>
    <w:rsid w:val="00623602"/>
    <w:rsid w:val="0064279A"/>
    <w:rsid w:val="00651C98"/>
    <w:rsid w:val="006A5D23"/>
    <w:rsid w:val="006A771B"/>
    <w:rsid w:val="006D3271"/>
    <w:rsid w:val="006E3D58"/>
    <w:rsid w:val="00704EE5"/>
    <w:rsid w:val="007066E2"/>
    <w:rsid w:val="00722640"/>
    <w:rsid w:val="0073197E"/>
    <w:rsid w:val="007358FE"/>
    <w:rsid w:val="00746080"/>
    <w:rsid w:val="007508EC"/>
    <w:rsid w:val="00772B57"/>
    <w:rsid w:val="00780D3C"/>
    <w:rsid w:val="00781D04"/>
    <w:rsid w:val="007C2D45"/>
    <w:rsid w:val="007F49EB"/>
    <w:rsid w:val="00805FDA"/>
    <w:rsid w:val="00812C1B"/>
    <w:rsid w:val="008173B1"/>
    <w:rsid w:val="00835AD0"/>
    <w:rsid w:val="00841787"/>
    <w:rsid w:val="008747B3"/>
    <w:rsid w:val="008813C3"/>
    <w:rsid w:val="008926F0"/>
    <w:rsid w:val="008964E8"/>
    <w:rsid w:val="008A48F6"/>
    <w:rsid w:val="008C067B"/>
    <w:rsid w:val="008D4F15"/>
    <w:rsid w:val="008E6045"/>
    <w:rsid w:val="008F5B88"/>
    <w:rsid w:val="008F7FD1"/>
    <w:rsid w:val="00900D6E"/>
    <w:rsid w:val="0090113B"/>
    <w:rsid w:val="00912028"/>
    <w:rsid w:val="0093258A"/>
    <w:rsid w:val="00937836"/>
    <w:rsid w:val="0094373C"/>
    <w:rsid w:val="00946DEE"/>
    <w:rsid w:val="00951E2B"/>
    <w:rsid w:val="00952939"/>
    <w:rsid w:val="00961EA0"/>
    <w:rsid w:val="0096735A"/>
    <w:rsid w:val="00993922"/>
    <w:rsid w:val="009A5C44"/>
    <w:rsid w:val="009B03AF"/>
    <w:rsid w:val="009C4216"/>
    <w:rsid w:val="009D5F4B"/>
    <w:rsid w:val="009D7361"/>
    <w:rsid w:val="009E626E"/>
    <w:rsid w:val="009E7CBF"/>
    <w:rsid w:val="009F3098"/>
    <w:rsid w:val="00A04C8A"/>
    <w:rsid w:val="00A07077"/>
    <w:rsid w:val="00A42517"/>
    <w:rsid w:val="00A50DD0"/>
    <w:rsid w:val="00A516B0"/>
    <w:rsid w:val="00A5620A"/>
    <w:rsid w:val="00A72BC9"/>
    <w:rsid w:val="00AA06D9"/>
    <w:rsid w:val="00AB5640"/>
    <w:rsid w:val="00AC2406"/>
    <w:rsid w:val="00AD3FCF"/>
    <w:rsid w:val="00B03802"/>
    <w:rsid w:val="00B069AA"/>
    <w:rsid w:val="00B2177A"/>
    <w:rsid w:val="00B23344"/>
    <w:rsid w:val="00B23A36"/>
    <w:rsid w:val="00B25576"/>
    <w:rsid w:val="00B25EF5"/>
    <w:rsid w:val="00B50EB2"/>
    <w:rsid w:val="00B6722A"/>
    <w:rsid w:val="00B82D78"/>
    <w:rsid w:val="00B84F4F"/>
    <w:rsid w:val="00B87C2C"/>
    <w:rsid w:val="00BA434C"/>
    <w:rsid w:val="00BC5C9F"/>
    <w:rsid w:val="00BD4F65"/>
    <w:rsid w:val="00BD7607"/>
    <w:rsid w:val="00C06F9E"/>
    <w:rsid w:val="00C13E6B"/>
    <w:rsid w:val="00C2370B"/>
    <w:rsid w:val="00C27193"/>
    <w:rsid w:val="00C624D5"/>
    <w:rsid w:val="00C848A0"/>
    <w:rsid w:val="00C859E5"/>
    <w:rsid w:val="00C878C5"/>
    <w:rsid w:val="00C9180B"/>
    <w:rsid w:val="00C96AEA"/>
    <w:rsid w:val="00CC0B6D"/>
    <w:rsid w:val="00CD01B4"/>
    <w:rsid w:val="00CE1CD3"/>
    <w:rsid w:val="00CE4F01"/>
    <w:rsid w:val="00D23B20"/>
    <w:rsid w:val="00D30F16"/>
    <w:rsid w:val="00D55546"/>
    <w:rsid w:val="00D57E8C"/>
    <w:rsid w:val="00D6213C"/>
    <w:rsid w:val="00D647C0"/>
    <w:rsid w:val="00D655B9"/>
    <w:rsid w:val="00D77694"/>
    <w:rsid w:val="00D77B0F"/>
    <w:rsid w:val="00DB2035"/>
    <w:rsid w:val="00DB6B52"/>
    <w:rsid w:val="00DD42D9"/>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16E2B"/>
    <w:rsid w:val="00F233A3"/>
    <w:rsid w:val="00F23D7A"/>
    <w:rsid w:val="00F26D30"/>
    <w:rsid w:val="00F57152"/>
    <w:rsid w:val="00F7362C"/>
    <w:rsid w:val="00F84D78"/>
    <w:rsid w:val="00F92F61"/>
    <w:rsid w:val="00F94523"/>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F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F15"/>
    <w:rPr>
      <w:sz w:val="20"/>
      <w:szCs w:val="20"/>
    </w:rPr>
  </w:style>
  <w:style w:type="character" w:styleId="FootnoteReference">
    <w:name w:val="footnote reference"/>
    <w:basedOn w:val="DefaultParagraphFont"/>
    <w:uiPriority w:val="99"/>
    <w:semiHidden/>
    <w:unhideWhenUsed/>
    <w:rsid w:val="008D4F15"/>
    <w:rPr>
      <w:vertAlign w:val="superscript"/>
    </w:rPr>
  </w:style>
  <w:style w:type="paragraph" w:styleId="Header">
    <w:name w:val="header"/>
    <w:basedOn w:val="Normal"/>
    <w:link w:val="HeaderChar"/>
    <w:uiPriority w:val="99"/>
    <w:unhideWhenUsed/>
    <w:rsid w:val="00DB2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15742801">
      <w:bodyDiv w:val="1"/>
      <w:marLeft w:val="0"/>
      <w:marRight w:val="0"/>
      <w:marTop w:val="0"/>
      <w:marBottom w:val="0"/>
      <w:divBdr>
        <w:top w:val="none" w:sz="0" w:space="0" w:color="auto"/>
        <w:left w:val="none" w:sz="0" w:space="0" w:color="auto"/>
        <w:bottom w:val="none" w:sz="0" w:space="0" w:color="auto"/>
        <w:right w:val="none" w:sz="0" w:space="0" w:color="auto"/>
      </w:divBdr>
    </w:div>
    <w:div w:id="785470080">
      <w:bodyDiv w:val="1"/>
      <w:marLeft w:val="0"/>
      <w:marRight w:val="0"/>
      <w:marTop w:val="0"/>
      <w:marBottom w:val="0"/>
      <w:divBdr>
        <w:top w:val="none" w:sz="0" w:space="0" w:color="auto"/>
        <w:left w:val="none" w:sz="0" w:space="0" w:color="auto"/>
        <w:bottom w:val="none" w:sz="0" w:space="0" w:color="auto"/>
        <w:right w:val="none" w:sz="0" w:space="0" w:color="auto"/>
      </w:divBdr>
    </w:div>
    <w:div w:id="888152229">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12087867">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699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Tina Li</cp:lastModifiedBy>
  <cp:revision>3</cp:revision>
  <cp:lastPrinted>2014-09-29T14:43:00Z</cp:lastPrinted>
  <dcterms:created xsi:type="dcterms:W3CDTF">2022-02-04T21:41:00Z</dcterms:created>
  <dcterms:modified xsi:type="dcterms:W3CDTF">2022-02-04T22:56:00Z</dcterms:modified>
</cp:coreProperties>
</file>