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50AAA" w14:textId="77777777" w:rsidR="00EC19A2" w:rsidRDefault="00EC19A2" w:rsidP="00EC19A2">
      <w:pPr>
        <w:pStyle w:val="BodyText"/>
        <w:jc w:val="right"/>
      </w:pPr>
      <w:r>
        <w:t>Hearst Power Distribution Co. Ltd.</w:t>
      </w:r>
    </w:p>
    <w:p w14:paraId="7FF517AD" w14:textId="77777777" w:rsidR="00EC19A2" w:rsidRDefault="00EC19A2" w:rsidP="00EC19A2">
      <w:pPr>
        <w:pStyle w:val="BodyText"/>
        <w:jc w:val="right"/>
        <w:rPr>
          <w:w w:val="101"/>
        </w:rPr>
      </w:pPr>
      <w:r>
        <w:t>Response to OEB Staff Questions</w:t>
      </w:r>
      <w:r>
        <w:rPr>
          <w:w w:val="101"/>
        </w:rPr>
        <w:t xml:space="preserve"> </w:t>
      </w:r>
    </w:p>
    <w:p w14:paraId="4CF6E377" w14:textId="2DFA8CB7" w:rsidR="00EC19A2" w:rsidRDefault="00EC19A2" w:rsidP="00EC19A2">
      <w:pPr>
        <w:pStyle w:val="BodyText"/>
        <w:jc w:val="right"/>
      </w:pPr>
      <w:r>
        <w:t>EB-2021-0029</w:t>
      </w:r>
    </w:p>
    <w:p w14:paraId="36811F8D" w14:textId="66991DC4" w:rsidR="00EC19A2" w:rsidRDefault="00EC19A2" w:rsidP="00EC19A2">
      <w:pPr>
        <w:pStyle w:val="BodyText"/>
        <w:jc w:val="right"/>
      </w:pPr>
      <w:r>
        <w:t xml:space="preserve">February </w:t>
      </w:r>
      <w:r w:rsidR="00D874CE">
        <w:t>14</w:t>
      </w:r>
      <w:r>
        <w:t>, 2022</w:t>
      </w:r>
    </w:p>
    <w:p w14:paraId="12A43D77" w14:textId="77777777" w:rsidR="00EC19A2" w:rsidRDefault="00EC19A2" w:rsidP="00EC19A2">
      <w:pPr>
        <w:pStyle w:val="BodyText"/>
        <w:rPr>
          <w:sz w:val="18"/>
        </w:rPr>
      </w:pPr>
    </w:p>
    <w:p w14:paraId="41D6BE85" w14:textId="77777777" w:rsidR="00EC19A2" w:rsidRPr="00EC19A2" w:rsidRDefault="00EC19A2" w:rsidP="00EC19A2">
      <w:pPr>
        <w:pStyle w:val="BodyText"/>
        <w:jc w:val="center"/>
        <w:rPr>
          <w:b/>
          <w:bCs/>
          <w:sz w:val="28"/>
          <w:szCs w:val="28"/>
        </w:rPr>
      </w:pPr>
      <w:r w:rsidRPr="00EC19A2">
        <w:rPr>
          <w:b/>
          <w:bCs/>
          <w:sz w:val="28"/>
          <w:szCs w:val="28"/>
        </w:rPr>
        <w:t>Hearst Power Distribution Co. Ltd.</w:t>
      </w:r>
    </w:p>
    <w:p w14:paraId="6657C84F" w14:textId="77777777" w:rsidR="00EC19A2" w:rsidRPr="00EC19A2" w:rsidRDefault="00EC19A2" w:rsidP="00EC19A2">
      <w:pPr>
        <w:pStyle w:val="BodyText"/>
        <w:jc w:val="center"/>
        <w:rPr>
          <w:b/>
          <w:bCs/>
          <w:sz w:val="28"/>
          <w:szCs w:val="28"/>
        </w:rPr>
      </w:pPr>
      <w:r w:rsidRPr="00EC19A2">
        <w:rPr>
          <w:b/>
          <w:bCs/>
          <w:sz w:val="28"/>
          <w:szCs w:val="28"/>
        </w:rPr>
        <w:t>EB-2021-0029</w:t>
      </w:r>
    </w:p>
    <w:p w14:paraId="25CE80E8" w14:textId="77777777" w:rsidR="00EC19A2" w:rsidRDefault="00EC19A2" w:rsidP="00EC19A2"/>
    <w:p w14:paraId="30351FC8" w14:textId="77777777" w:rsidR="00EC19A2" w:rsidRDefault="00EC19A2" w:rsidP="00EC19A2"/>
    <w:p w14:paraId="4A124FF6" w14:textId="7E341C78" w:rsidR="001A2FE5" w:rsidRPr="001A2FE5" w:rsidRDefault="001A2FE5" w:rsidP="001A2FE5">
      <w:pPr>
        <w:pStyle w:val="Heading2"/>
        <w:shd w:val="clear" w:color="auto" w:fill="FFFFFF"/>
        <w:rPr>
          <w:rFonts w:eastAsia="Times New Roman"/>
          <w:color w:val="222222"/>
        </w:rPr>
      </w:pPr>
      <w:r w:rsidRPr="001A2FE5">
        <w:rPr>
          <w:color w:val="222222"/>
        </w:rPr>
        <w:t>Staff Question-1</w:t>
      </w:r>
    </w:p>
    <w:p w14:paraId="3B927153" w14:textId="77777777" w:rsidR="001A2FE5" w:rsidRPr="001A2FE5" w:rsidRDefault="001A2FE5" w:rsidP="001A2FE5">
      <w:pPr>
        <w:pStyle w:val="m-9009481142966193444msobodytext"/>
        <w:shd w:val="clear" w:color="auto" w:fill="FFFFFF"/>
        <w:spacing w:before="7" w:beforeAutospacing="0" w:after="0" w:afterAutospacing="0"/>
        <w:rPr>
          <w:rFonts w:ascii="Arial" w:hAnsi="Arial" w:cs="Arial"/>
          <w:color w:val="222222"/>
        </w:rPr>
      </w:pPr>
      <w:r w:rsidRPr="001A2FE5">
        <w:rPr>
          <w:rFonts w:ascii="Arial" w:hAnsi="Arial" w:cs="Arial"/>
          <w:b/>
          <w:bCs/>
          <w:color w:val="222222"/>
          <w:sz w:val="31"/>
          <w:szCs w:val="31"/>
        </w:rPr>
        <w:t> </w:t>
      </w:r>
    </w:p>
    <w:p w14:paraId="7C1258A3" w14:textId="77777777" w:rsidR="001A2FE5" w:rsidRPr="001A2FE5" w:rsidRDefault="001A2FE5" w:rsidP="001A2FE5">
      <w:pPr>
        <w:pStyle w:val="m-9009481142966193444msobodytext"/>
        <w:shd w:val="clear" w:color="auto" w:fill="FFFFFF"/>
        <w:spacing w:before="1" w:beforeAutospacing="0" w:after="0" w:afterAutospacing="0"/>
        <w:rPr>
          <w:rFonts w:ascii="Arial" w:hAnsi="Arial" w:cs="Arial"/>
          <w:color w:val="222222"/>
        </w:rPr>
      </w:pPr>
      <w:r w:rsidRPr="001A2FE5">
        <w:rPr>
          <w:rFonts w:ascii="Arial" w:hAnsi="Arial" w:cs="Arial"/>
          <w:b/>
          <w:bCs/>
          <w:color w:val="222222"/>
          <w:spacing w:val="2"/>
        </w:rPr>
        <w:t>Ref:</w:t>
      </w:r>
      <w:r w:rsidRPr="001A2FE5">
        <w:rPr>
          <w:rFonts w:ascii="Arial" w:hAnsi="Arial" w:cs="Arial"/>
          <w:color w:val="222222"/>
          <w:spacing w:val="2"/>
        </w:rPr>
        <w:t>        </w:t>
      </w:r>
      <w:r w:rsidRPr="001A2FE5">
        <w:rPr>
          <w:rFonts w:ascii="Arial" w:hAnsi="Arial" w:cs="Arial"/>
          <w:color w:val="222222"/>
        </w:rPr>
        <w:t>(1) Rate </w:t>
      </w:r>
      <w:r w:rsidRPr="001A2FE5">
        <w:rPr>
          <w:rFonts w:ascii="Arial" w:hAnsi="Arial" w:cs="Arial"/>
          <w:color w:val="222222"/>
          <w:spacing w:val="-4"/>
        </w:rPr>
        <w:t>Generator </w:t>
      </w:r>
      <w:r w:rsidRPr="001A2FE5">
        <w:rPr>
          <w:rFonts w:ascii="Arial" w:hAnsi="Arial" w:cs="Arial"/>
          <w:color w:val="222222"/>
          <w:spacing w:val="-3"/>
        </w:rPr>
        <w:t>Model, Tab </w:t>
      </w:r>
      <w:r w:rsidRPr="001A2FE5">
        <w:rPr>
          <w:rFonts w:ascii="Arial" w:hAnsi="Arial" w:cs="Arial"/>
          <w:color w:val="222222"/>
        </w:rPr>
        <w:t>3 – </w:t>
      </w:r>
      <w:r w:rsidRPr="001A2FE5">
        <w:rPr>
          <w:rFonts w:ascii="Arial" w:hAnsi="Arial" w:cs="Arial"/>
          <w:color w:val="222222"/>
          <w:spacing w:val="-4"/>
        </w:rPr>
        <w:t>Continuity Schedule, Cells </w:t>
      </w:r>
      <w:r w:rsidRPr="001A2FE5">
        <w:rPr>
          <w:rFonts w:ascii="Arial" w:hAnsi="Arial" w:cs="Arial"/>
          <w:color w:val="222222"/>
        </w:rPr>
        <w:t>BJ28</w:t>
      </w:r>
    </w:p>
    <w:p w14:paraId="66DF5D19" w14:textId="77777777" w:rsidR="001A2FE5" w:rsidRPr="001A2FE5" w:rsidRDefault="001A2FE5" w:rsidP="001A2FE5">
      <w:pPr>
        <w:pStyle w:val="m-9009481142966193444msobodytext"/>
        <w:shd w:val="clear" w:color="auto" w:fill="FFFFFF"/>
        <w:spacing w:before="44" w:beforeAutospacing="0" w:after="0" w:afterAutospacing="0"/>
        <w:ind w:firstLine="720"/>
        <w:rPr>
          <w:rFonts w:ascii="Arial" w:hAnsi="Arial" w:cs="Arial"/>
          <w:color w:val="222222"/>
        </w:rPr>
      </w:pPr>
      <w:r w:rsidRPr="001A2FE5">
        <w:rPr>
          <w:rFonts w:ascii="Arial" w:hAnsi="Arial" w:cs="Arial"/>
          <w:color w:val="222222"/>
        </w:rPr>
        <w:t>  (2) EB-2019-0040, Decision and Rate Order, p. 9</w:t>
      </w:r>
    </w:p>
    <w:p w14:paraId="220379E6" w14:textId="77777777" w:rsidR="001A2FE5" w:rsidRPr="001A2FE5" w:rsidRDefault="001A2FE5" w:rsidP="001A2FE5">
      <w:pPr>
        <w:pStyle w:val="m-9009481142966193444msobodytext"/>
        <w:shd w:val="clear" w:color="auto" w:fill="FFFFFF"/>
        <w:spacing w:before="3" w:beforeAutospacing="0" w:after="0" w:afterAutospacing="0"/>
        <w:rPr>
          <w:rFonts w:ascii="Arial" w:hAnsi="Arial" w:cs="Arial"/>
          <w:color w:val="222222"/>
        </w:rPr>
      </w:pPr>
      <w:r w:rsidRPr="001A2FE5">
        <w:rPr>
          <w:rFonts w:ascii="Arial" w:hAnsi="Arial" w:cs="Arial"/>
          <w:color w:val="222222"/>
          <w:sz w:val="30"/>
          <w:szCs w:val="30"/>
        </w:rPr>
        <w:t> </w:t>
      </w:r>
    </w:p>
    <w:p w14:paraId="7A684305" w14:textId="77777777" w:rsidR="001A2FE5" w:rsidRPr="001A2FE5" w:rsidRDefault="001A2FE5" w:rsidP="001A2FE5">
      <w:pPr>
        <w:pStyle w:val="Heading2"/>
        <w:shd w:val="clear" w:color="auto" w:fill="FFFFFF"/>
        <w:rPr>
          <w:color w:val="222222"/>
        </w:rPr>
      </w:pPr>
      <w:r w:rsidRPr="001A2FE5">
        <w:rPr>
          <w:color w:val="222222"/>
        </w:rPr>
        <w:t>Preamble:</w:t>
      </w:r>
    </w:p>
    <w:p w14:paraId="0CE00830" w14:textId="77777777" w:rsidR="001A2FE5" w:rsidRPr="001A2FE5" w:rsidRDefault="001A2FE5" w:rsidP="001A2FE5">
      <w:pPr>
        <w:pStyle w:val="m-9009481142966193444msobodytext"/>
        <w:shd w:val="clear" w:color="auto" w:fill="FFFFFF"/>
        <w:spacing w:before="8" w:beforeAutospacing="0" w:after="0" w:afterAutospacing="0"/>
        <w:rPr>
          <w:rFonts w:ascii="Arial" w:hAnsi="Arial" w:cs="Arial"/>
          <w:color w:val="222222"/>
        </w:rPr>
      </w:pPr>
      <w:r w:rsidRPr="001A2FE5">
        <w:rPr>
          <w:rFonts w:ascii="Arial" w:hAnsi="Arial" w:cs="Arial"/>
          <w:b/>
          <w:bCs/>
          <w:color w:val="222222"/>
          <w:sz w:val="31"/>
          <w:szCs w:val="31"/>
        </w:rPr>
        <w:t> </w:t>
      </w:r>
    </w:p>
    <w:p w14:paraId="09A6C62C" w14:textId="77777777" w:rsidR="001A2FE5" w:rsidRPr="001A2FE5" w:rsidRDefault="001A2FE5" w:rsidP="001A2FE5">
      <w:pPr>
        <w:pStyle w:val="m-9009481142966193444msobodytext"/>
        <w:shd w:val="clear" w:color="auto" w:fill="FFFFFF"/>
        <w:spacing w:before="0" w:beforeAutospacing="0" w:after="0" w:afterAutospacing="0" w:line="276" w:lineRule="atLeast"/>
        <w:rPr>
          <w:rFonts w:ascii="Arial" w:hAnsi="Arial" w:cs="Arial"/>
          <w:color w:val="222222"/>
        </w:rPr>
      </w:pPr>
      <w:r w:rsidRPr="001A2FE5">
        <w:rPr>
          <w:rFonts w:ascii="Arial" w:hAnsi="Arial" w:cs="Arial"/>
          <w:color w:val="222222"/>
          <w:spacing w:val="-3"/>
        </w:rPr>
        <w:t>The </w:t>
      </w:r>
      <w:r w:rsidRPr="001A2FE5">
        <w:rPr>
          <w:rFonts w:ascii="Arial" w:hAnsi="Arial" w:cs="Arial"/>
          <w:color w:val="222222"/>
          <w:spacing w:val="-4"/>
        </w:rPr>
        <w:t>continuity schedule indicates that </w:t>
      </w:r>
      <w:r w:rsidRPr="001A2FE5">
        <w:rPr>
          <w:rFonts w:ascii="Arial" w:hAnsi="Arial" w:cs="Arial"/>
          <w:color w:val="222222"/>
          <w:spacing w:val="2"/>
        </w:rPr>
        <w:t>for </w:t>
      </w:r>
      <w:r w:rsidRPr="001A2FE5">
        <w:rPr>
          <w:rFonts w:ascii="Arial" w:hAnsi="Arial" w:cs="Arial"/>
          <w:color w:val="222222"/>
        </w:rPr>
        <w:t>year </w:t>
      </w:r>
      <w:r w:rsidRPr="001A2FE5">
        <w:rPr>
          <w:rFonts w:ascii="Arial" w:hAnsi="Arial" w:cs="Arial"/>
          <w:color w:val="222222"/>
          <w:spacing w:val="-5"/>
        </w:rPr>
        <w:t>2020 </w:t>
      </w:r>
      <w:r w:rsidRPr="001A2FE5">
        <w:rPr>
          <w:rFonts w:ascii="Arial" w:hAnsi="Arial" w:cs="Arial"/>
          <w:color w:val="222222"/>
          <w:spacing w:val="-3"/>
        </w:rPr>
        <w:t>the </w:t>
      </w:r>
      <w:r w:rsidRPr="001A2FE5">
        <w:rPr>
          <w:rFonts w:ascii="Arial" w:hAnsi="Arial" w:cs="Arial"/>
          <w:color w:val="222222"/>
        </w:rPr>
        <w:t>OEB-approved interest to be disposed for Account </w:t>
      </w:r>
      <w:r w:rsidRPr="001A2FE5">
        <w:rPr>
          <w:rFonts w:ascii="Arial" w:hAnsi="Arial" w:cs="Arial"/>
          <w:color w:val="222222"/>
          <w:spacing w:val="-5"/>
        </w:rPr>
        <w:t>1588 </w:t>
      </w:r>
      <w:r w:rsidRPr="001A2FE5">
        <w:rPr>
          <w:rFonts w:ascii="Arial" w:hAnsi="Arial" w:cs="Arial"/>
          <w:color w:val="222222"/>
          <w:spacing w:val="-3"/>
        </w:rPr>
        <w:t>is </w:t>
      </w:r>
      <w:r w:rsidRPr="001A2FE5">
        <w:rPr>
          <w:rFonts w:ascii="Arial" w:hAnsi="Arial" w:cs="Arial"/>
          <w:color w:val="222222"/>
          <w:spacing w:val="-5"/>
        </w:rPr>
        <w:t>$1,647. </w:t>
      </w:r>
      <w:r w:rsidRPr="001A2FE5">
        <w:rPr>
          <w:rFonts w:ascii="Arial" w:hAnsi="Arial" w:cs="Arial"/>
          <w:color w:val="222222"/>
          <w:spacing w:val="-3"/>
        </w:rPr>
        <w:t>The </w:t>
      </w:r>
      <w:r w:rsidRPr="001A2FE5">
        <w:rPr>
          <w:rFonts w:ascii="Arial" w:hAnsi="Arial" w:cs="Arial"/>
          <w:color w:val="222222"/>
          <w:spacing w:val="-5"/>
        </w:rPr>
        <w:t>2020 </w:t>
      </w:r>
      <w:r w:rsidRPr="001A2FE5">
        <w:rPr>
          <w:rFonts w:ascii="Arial" w:hAnsi="Arial" w:cs="Arial"/>
          <w:color w:val="222222"/>
          <w:spacing w:val="-3"/>
        </w:rPr>
        <w:t>rate </w:t>
      </w:r>
      <w:r w:rsidRPr="001A2FE5">
        <w:rPr>
          <w:rFonts w:ascii="Arial" w:hAnsi="Arial" w:cs="Arial"/>
          <w:color w:val="222222"/>
          <w:spacing w:val="-4"/>
        </w:rPr>
        <w:t>application decision indicates that </w:t>
      </w:r>
      <w:r w:rsidRPr="001A2FE5">
        <w:rPr>
          <w:rFonts w:ascii="Arial" w:hAnsi="Arial" w:cs="Arial"/>
          <w:color w:val="222222"/>
          <w:spacing w:val="-3"/>
        </w:rPr>
        <w:t>the </w:t>
      </w:r>
      <w:r w:rsidRPr="001A2FE5">
        <w:rPr>
          <w:rFonts w:ascii="Arial" w:hAnsi="Arial" w:cs="Arial"/>
          <w:color w:val="222222"/>
          <w:spacing w:val="4"/>
        </w:rPr>
        <w:t>OEB-</w:t>
      </w:r>
      <w:r w:rsidRPr="001A2FE5">
        <w:rPr>
          <w:rFonts w:ascii="Arial" w:hAnsi="Arial" w:cs="Arial"/>
          <w:color w:val="222222"/>
          <w:spacing w:val="-3"/>
        </w:rPr>
        <w:t>approved interest to be disposed </w:t>
      </w:r>
      <w:r w:rsidRPr="001A2FE5">
        <w:rPr>
          <w:rFonts w:ascii="Arial" w:hAnsi="Arial" w:cs="Arial"/>
          <w:color w:val="222222"/>
          <w:spacing w:val="-6"/>
        </w:rPr>
        <w:t>for </w:t>
      </w:r>
      <w:r w:rsidRPr="001A2FE5">
        <w:rPr>
          <w:rFonts w:ascii="Arial" w:hAnsi="Arial" w:cs="Arial"/>
          <w:color w:val="222222"/>
        </w:rPr>
        <w:t>Account </w:t>
      </w:r>
      <w:r w:rsidRPr="001A2FE5">
        <w:rPr>
          <w:rFonts w:ascii="Arial" w:hAnsi="Arial" w:cs="Arial"/>
          <w:color w:val="222222"/>
          <w:spacing w:val="-5"/>
        </w:rPr>
        <w:t>1588 </w:t>
      </w:r>
      <w:r w:rsidRPr="001A2FE5">
        <w:rPr>
          <w:rFonts w:ascii="Arial" w:hAnsi="Arial" w:cs="Arial"/>
          <w:color w:val="222222"/>
          <w:spacing w:val="-3"/>
        </w:rPr>
        <w:t>is</w:t>
      </w:r>
      <w:r w:rsidRPr="001A2FE5">
        <w:rPr>
          <w:rFonts w:ascii="Arial" w:hAnsi="Arial" w:cs="Arial"/>
          <w:color w:val="222222"/>
          <w:spacing w:val="52"/>
        </w:rPr>
        <w:t> </w:t>
      </w:r>
      <w:r w:rsidRPr="001A2FE5">
        <w:rPr>
          <w:rFonts w:ascii="Arial" w:hAnsi="Arial" w:cs="Arial"/>
          <w:color w:val="222222"/>
          <w:spacing w:val="-4"/>
        </w:rPr>
        <w:t>(</w:t>
      </w:r>
      <w:r w:rsidRPr="001A2FE5">
        <w:rPr>
          <w:rFonts w:ascii="Arial" w:hAnsi="Arial" w:cs="Arial"/>
          <w:color w:val="222222"/>
          <w:spacing w:val="-5"/>
        </w:rPr>
        <w:t>$1,647</w:t>
      </w:r>
      <w:r w:rsidRPr="001A2FE5">
        <w:rPr>
          <w:rFonts w:ascii="Arial" w:hAnsi="Arial" w:cs="Arial"/>
          <w:color w:val="222222"/>
          <w:spacing w:val="-4"/>
        </w:rPr>
        <w:t>).</w:t>
      </w:r>
    </w:p>
    <w:p w14:paraId="5E0D4A51" w14:textId="77777777" w:rsidR="001A2FE5" w:rsidRPr="001A2FE5" w:rsidRDefault="001A2FE5" w:rsidP="001A2FE5">
      <w:pPr>
        <w:shd w:val="clear" w:color="auto" w:fill="FFFFFF"/>
        <w:rPr>
          <w:color w:val="222222"/>
        </w:rPr>
      </w:pPr>
      <w:r w:rsidRPr="001A2FE5">
        <w:rPr>
          <w:color w:val="222222"/>
        </w:rPr>
        <w:t> </w:t>
      </w:r>
    </w:p>
    <w:p w14:paraId="3EE8F871" w14:textId="77777777" w:rsidR="001A2FE5" w:rsidRPr="001A2FE5" w:rsidRDefault="001A2FE5" w:rsidP="001A2FE5">
      <w:pPr>
        <w:shd w:val="clear" w:color="auto" w:fill="FFFFFF"/>
        <w:rPr>
          <w:color w:val="222222"/>
        </w:rPr>
      </w:pPr>
      <w:r w:rsidRPr="001A2FE5">
        <w:rPr>
          <w:b/>
          <w:bCs/>
          <w:color w:val="222222"/>
        </w:rPr>
        <w:t>Question:</w:t>
      </w:r>
    </w:p>
    <w:p w14:paraId="0A8FD9ED" w14:textId="77777777" w:rsidR="001A2FE5" w:rsidRPr="001A2FE5" w:rsidRDefault="001A2FE5" w:rsidP="001A2FE5">
      <w:pPr>
        <w:pStyle w:val="m-9009481142966193444msobodytext"/>
        <w:numPr>
          <w:ilvl w:val="0"/>
          <w:numId w:val="4"/>
        </w:numPr>
        <w:shd w:val="clear" w:color="auto" w:fill="FFFFFF"/>
        <w:spacing w:before="0" w:beforeAutospacing="0" w:after="0" w:afterAutospacing="0" w:line="276" w:lineRule="atLeast"/>
        <w:ind w:left="830" w:right="215"/>
        <w:rPr>
          <w:rFonts w:ascii="Arial" w:hAnsi="Arial" w:cs="Arial"/>
          <w:color w:val="222222"/>
        </w:rPr>
      </w:pPr>
      <w:r w:rsidRPr="001A2FE5">
        <w:rPr>
          <w:rFonts w:ascii="Arial" w:hAnsi="Arial" w:cs="Arial"/>
          <w:color w:val="222222"/>
          <w:spacing w:val="-5"/>
        </w:rPr>
        <w:t>Please </w:t>
      </w:r>
      <w:r w:rsidRPr="001A2FE5">
        <w:rPr>
          <w:rFonts w:ascii="Arial" w:hAnsi="Arial" w:cs="Arial"/>
          <w:color w:val="222222"/>
          <w:spacing w:val="-3"/>
        </w:rPr>
        <w:t>revise the </w:t>
      </w:r>
      <w:r w:rsidRPr="001A2FE5">
        <w:rPr>
          <w:rFonts w:ascii="Arial" w:hAnsi="Arial" w:cs="Arial"/>
          <w:color w:val="222222"/>
        </w:rPr>
        <w:t>Rate </w:t>
      </w:r>
      <w:r w:rsidRPr="001A2FE5">
        <w:rPr>
          <w:rFonts w:ascii="Arial" w:hAnsi="Arial" w:cs="Arial"/>
          <w:color w:val="222222"/>
          <w:spacing w:val="-4"/>
        </w:rPr>
        <w:t>Generator </w:t>
      </w:r>
      <w:r w:rsidRPr="001A2FE5">
        <w:rPr>
          <w:rFonts w:ascii="Arial" w:hAnsi="Arial" w:cs="Arial"/>
          <w:color w:val="222222"/>
          <w:spacing w:val="-3"/>
        </w:rPr>
        <w:t>Model </w:t>
      </w:r>
      <w:r w:rsidRPr="001A2FE5">
        <w:rPr>
          <w:rFonts w:ascii="Arial" w:hAnsi="Arial" w:cs="Arial"/>
          <w:color w:val="222222"/>
        </w:rPr>
        <w:t>to </w:t>
      </w:r>
      <w:r w:rsidRPr="001A2FE5">
        <w:rPr>
          <w:rFonts w:ascii="Arial" w:hAnsi="Arial" w:cs="Arial"/>
          <w:color w:val="222222"/>
          <w:spacing w:val="-5"/>
        </w:rPr>
        <w:t>ensure </w:t>
      </w:r>
      <w:r w:rsidRPr="001A2FE5">
        <w:rPr>
          <w:rFonts w:ascii="Arial" w:hAnsi="Arial" w:cs="Arial"/>
          <w:color w:val="222222"/>
          <w:spacing w:val="-3"/>
        </w:rPr>
        <w:t>it </w:t>
      </w:r>
      <w:r w:rsidRPr="001A2FE5">
        <w:rPr>
          <w:rFonts w:ascii="Arial" w:hAnsi="Arial" w:cs="Arial"/>
          <w:color w:val="222222"/>
        </w:rPr>
        <w:t>matches </w:t>
      </w:r>
      <w:r w:rsidRPr="001A2FE5">
        <w:rPr>
          <w:rFonts w:ascii="Arial" w:hAnsi="Arial" w:cs="Arial"/>
          <w:color w:val="222222"/>
          <w:spacing w:val="-3"/>
        </w:rPr>
        <w:t>the </w:t>
      </w:r>
      <w:r w:rsidRPr="001A2FE5">
        <w:rPr>
          <w:rFonts w:ascii="Arial" w:hAnsi="Arial" w:cs="Arial"/>
          <w:color w:val="222222"/>
          <w:spacing w:val="-5"/>
        </w:rPr>
        <w:t>2020 </w:t>
      </w:r>
      <w:r w:rsidRPr="001A2FE5">
        <w:rPr>
          <w:rFonts w:ascii="Arial" w:hAnsi="Arial" w:cs="Arial"/>
          <w:color w:val="222222"/>
          <w:spacing w:val="-4"/>
        </w:rPr>
        <w:t>decision, </w:t>
      </w:r>
      <w:r w:rsidRPr="001A2FE5">
        <w:rPr>
          <w:rFonts w:ascii="Arial" w:hAnsi="Arial" w:cs="Arial"/>
          <w:color w:val="222222"/>
          <w:spacing w:val="-5"/>
        </w:rPr>
        <w:t>noting </w:t>
      </w:r>
      <w:r w:rsidRPr="001A2FE5">
        <w:rPr>
          <w:rFonts w:ascii="Arial" w:hAnsi="Arial" w:cs="Arial"/>
          <w:color w:val="222222"/>
          <w:spacing w:val="-4"/>
        </w:rPr>
        <w:t>that </w:t>
      </w:r>
      <w:r w:rsidRPr="001A2FE5">
        <w:rPr>
          <w:rFonts w:ascii="Arial" w:hAnsi="Arial" w:cs="Arial"/>
          <w:color w:val="222222"/>
          <w:spacing w:val="-3"/>
        </w:rPr>
        <w:t>the </w:t>
      </w:r>
      <w:r w:rsidRPr="001A2FE5">
        <w:rPr>
          <w:rFonts w:ascii="Arial" w:hAnsi="Arial" w:cs="Arial"/>
          <w:color w:val="222222"/>
          <w:spacing w:val="-4"/>
        </w:rPr>
        <w:t>directional </w:t>
      </w:r>
      <w:r w:rsidRPr="001A2FE5">
        <w:rPr>
          <w:rFonts w:ascii="Arial" w:hAnsi="Arial" w:cs="Arial"/>
          <w:color w:val="222222"/>
          <w:spacing w:val="-6"/>
        </w:rPr>
        <w:t>sign </w:t>
      </w:r>
      <w:r w:rsidRPr="001A2FE5">
        <w:rPr>
          <w:rFonts w:ascii="Arial" w:hAnsi="Arial" w:cs="Arial"/>
          <w:color w:val="222222"/>
          <w:spacing w:val="-3"/>
        </w:rPr>
        <w:t>of the </w:t>
      </w:r>
      <w:r w:rsidRPr="001A2FE5">
        <w:rPr>
          <w:rFonts w:ascii="Arial" w:hAnsi="Arial" w:cs="Arial"/>
          <w:color w:val="222222"/>
          <w:spacing w:val="-6"/>
        </w:rPr>
        <w:t>disposition should </w:t>
      </w:r>
      <w:r w:rsidRPr="001A2FE5">
        <w:rPr>
          <w:rFonts w:ascii="Arial" w:hAnsi="Arial" w:cs="Arial"/>
          <w:color w:val="222222"/>
          <w:spacing w:val="-3"/>
        </w:rPr>
        <w:t>be </w:t>
      </w:r>
      <w:r w:rsidRPr="001A2FE5">
        <w:rPr>
          <w:rFonts w:ascii="Arial" w:hAnsi="Arial" w:cs="Arial"/>
          <w:color w:val="222222"/>
          <w:spacing w:val="-4"/>
        </w:rPr>
        <w:t>entered </w:t>
      </w:r>
      <w:r w:rsidRPr="001A2FE5">
        <w:rPr>
          <w:rFonts w:ascii="Arial" w:hAnsi="Arial" w:cs="Arial"/>
          <w:color w:val="222222"/>
          <w:spacing w:val="-3"/>
        </w:rPr>
        <w:t>the </w:t>
      </w:r>
      <w:r w:rsidRPr="001A2FE5">
        <w:rPr>
          <w:rFonts w:ascii="Arial" w:hAnsi="Arial" w:cs="Arial"/>
          <w:color w:val="222222"/>
        </w:rPr>
        <w:t>same way </w:t>
      </w:r>
      <w:r w:rsidRPr="001A2FE5">
        <w:rPr>
          <w:rFonts w:ascii="Arial" w:hAnsi="Arial" w:cs="Arial"/>
          <w:color w:val="222222"/>
          <w:spacing w:val="-3"/>
        </w:rPr>
        <w:t>in the </w:t>
      </w:r>
      <w:r w:rsidRPr="001A2FE5">
        <w:rPr>
          <w:rFonts w:ascii="Arial" w:hAnsi="Arial" w:cs="Arial"/>
          <w:color w:val="222222"/>
          <w:spacing w:val="-6"/>
        </w:rPr>
        <w:t>disposition </w:t>
      </w:r>
      <w:r w:rsidRPr="001A2FE5">
        <w:rPr>
          <w:rFonts w:ascii="Arial" w:hAnsi="Arial" w:cs="Arial"/>
          <w:color w:val="222222"/>
        </w:rPr>
        <w:t>column </w:t>
      </w:r>
      <w:r w:rsidRPr="001A2FE5">
        <w:rPr>
          <w:rFonts w:ascii="Arial" w:hAnsi="Arial" w:cs="Arial"/>
          <w:color w:val="222222"/>
          <w:spacing w:val="-3"/>
        </w:rPr>
        <w:t>of the </w:t>
      </w:r>
      <w:r w:rsidRPr="001A2FE5">
        <w:rPr>
          <w:rFonts w:ascii="Arial" w:hAnsi="Arial" w:cs="Arial"/>
          <w:color w:val="222222"/>
        </w:rPr>
        <w:t>Rate </w:t>
      </w:r>
      <w:r w:rsidRPr="001A2FE5">
        <w:rPr>
          <w:rFonts w:ascii="Arial" w:hAnsi="Arial" w:cs="Arial"/>
          <w:color w:val="222222"/>
          <w:spacing w:val="-4"/>
        </w:rPr>
        <w:t>Generator </w:t>
      </w:r>
      <w:r w:rsidRPr="001A2FE5">
        <w:rPr>
          <w:rFonts w:ascii="Arial" w:hAnsi="Arial" w:cs="Arial"/>
          <w:color w:val="222222"/>
        </w:rPr>
        <w:t>Model.</w:t>
      </w:r>
    </w:p>
    <w:p w14:paraId="4BA80887" w14:textId="07A53458" w:rsidR="001A2FE5" w:rsidRDefault="001A2FE5" w:rsidP="001A2FE5">
      <w:pPr>
        <w:pStyle w:val="m-9009481142966193444msobodytext"/>
        <w:shd w:val="clear" w:color="auto" w:fill="FFFFFF"/>
        <w:spacing w:before="0" w:beforeAutospacing="0" w:after="0" w:afterAutospacing="0" w:line="276" w:lineRule="atLeast"/>
        <w:ind w:right="215"/>
        <w:rPr>
          <w:rFonts w:ascii="Arial" w:hAnsi="Arial" w:cs="Arial"/>
          <w:color w:val="222222"/>
        </w:rPr>
      </w:pPr>
      <w:r w:rsidRPr="001A2FE5">
        <w:rPr>
          <w:rFonts w:ascii="Arial" w:hAnsi="Arial" w:cs="Arial"/>
          <w:color w:val="222222"/>
        </w:rPr>
        <w:t> </w:t>
      </w:r>
    </w:p>
    <w:p w14:paraId="67D5D54E" w14:textId="1164FA2A" w:rsidR="001A2FE5" w:rsidRDefault="001A2FE5" w:rsidP="001A2FE5">
      <w:pPr>
        <w:pStyle w:val="m-9009481142966193444msobodytext"/>
        <w:shd w:val="clear" w:color="auto" w:fill="FFFFFF"/>
        <w:spacing w:before="0" w:beforeAutospacing="0" w:after="0" w:afterAutospacing="0" w:line="276" w:lineRule="atLeast"/>
        <w:ind w:right="215"/>
        <w:rPr>
          <w:rFonts w:ascii="Arial" w:hAnsi="Arial" w:cs="Arial"/>
          <w:color w:val="222222"/>
        </w:rPr>
      </w:pPr>
    </w:p>
    <w:p w14:paraId="501FAB3C" w14:textId="22387ED1" w:rsidR="001A2FE5" w:rsidRDefault="001A2FE5" w:rsidP="001A2FE5">
      <w:pPr>
        <w:pStyle w:val="BodyText"/>
        <w:rPr>
          <w:b/>
          <w:bCs/>
          <w:color w:val="0070C0"/>
          <w:sz w:val="26"/>
        </w:rPr>
      </w:pPr>
      <w:r w:rsidRPr="009964EA">
        <w:rPr>
          <w:b/>
          <w:bCs/>
          <w:color w:val="0070C0"/>
          <w:sz w:val="26"/>
        </w:rPr>
        <w:t>HPDCL Response:</w:t>
      </w:r>
    </w:p>
    <w:p w14:paraId="6C65D225" w14:textId="1440E9ED" w:rsidR="00EC19A2" w:rsidRPr="00EC19A2" w:rsidRDefault="00EC19A2" w:rsidP="001A2FE5">
      <w:pPr>
        <w:pStyle w:val="BodyText"/>
        <w:rPr>
          <w:color w:val="0070C0"/>
          <w:sz w:val="26"/>
        </w:rPr>
      </w:pPr>
      <w:r w:rsidRPr="00EC19A2">
        <w:rPr>
          <w:color w:val="0070C0"/>
          <w:sz w:val="26"/>
        </w:rPr>
        <w:t>This was due to a transposition error. The revised model is filed with these responses.</w:t>
      </w:r>
    </w:p>
    <w:p w14:paraId="69DDD527" w14:textId="7E472656" w:rsidR="001A2FE5" w:rsidRDefault="001A2FE5" w:rsidP="001A2FE5">
      <w:pPr>
        <w:pStyle w:val="m-9009481142966193444msobodytext"/>
        <w:shd w:val="clear" w:color="auto" w:fill="FFFFFF"/>
        <w:spacing w:before="0" w:beforeAutospacing="0" w:after="0" w:afterAutospacing="0" w:line="276" w:lineRule="atLeast"/>
        <w:ind w:right="215"/>
        <w:rPr>
          <w:rFonts w:ascii="Arial" w:hAnsi="Arial" w:cs="Arial"/>
          <w:color w:val="222222"/>
        </w:rPr>
      </w:pPr>
    </w:p>
    <w:p w14:paraId="0A96A409" w14:textId="1DE5B5CA" w:rsidR="001A2FE5" w:rsidRDefault="001A2FE5" w:rsidP="001A2FE5">
      <w:pPr>
        <w:pStyle w:val="m-9009481142966193444msobodytext"/>
        <w:shd w:val="clear" w:color="auto" w:fill="FFFFFF"/>
        <w:spacing w:before="0" w:beforeAutospacing="0" w:after="0" w:afterAutospacing="0" w:line="276" w:lineRule="atLeast"/>
        <w:ind w:right="215"/>
        <w:rPr>
          <w:rFonts w:ascii="Arial" w:hAnsi="Arial" w:cs="Arial"/>
          <w:color w:val="222222"/>
        </w:rPr>
      </w:pPr>
    </w:p>
    <w:p w14:paraId="107BDA9B" w14:textId="77777777" w:rsidR="001A2FE5" w:rsidRPr="001A2FE5" w:rsidRDefault="001A2FE5" w:rsidP="001A2FE5">
      <w:pPr>
        <w:pStyle w:val="m-9009481142966193444msobodytext"/>
        <w:shd w:val="clear" w:color="auto" w:fill="FFFFFF"/>
        <w:spacing w:before="0" w:beforeAutospacing="0" w:after="0" w:afterAutospacing="0" w:line="276" w:lineRule="atLeast"/>
        <w:ind w:right="215"/>
        <w:rPr>
          <w:rFonts w:ascii="Arial" w:hAnsi="Arial" w:cs="Arial"/>
          <w:color w:val="222222"/>
        </w:rPr>
      </w:pPr>
    </w:p>
    <w:p w14:paraId="085BFC10" w14:textId="77777777" w:rsidR="001A2FE5" w:rsidRPr="001A2FE5" w:rsidRDefault="001A2FE5" w:rsidP="001A2FE5">
      <w:pPr>
        <w:pStyle w:val="Heading2"/>
        <w:shd w:val="clear" w:color="auto" w:fill="FFFFFF"/>
        <w:rPr>
          <w:color w:val="222222"/>
        </w:rPr>
      </w:pPr>
      <w:r w:rsidRPr="001A2FE5">
        <w:rPr>
          <w:color w:val="222222"/>
        </w:rPr>
        <w:t>Staff Question-2</w:t>
      </w:r>
    </w:p>
    <w:p w14:paraId="4BE19D32" w14:textId="77777777" w:rsidR="001A2FE5" w:rsidRPr="001A2FE5" w:rsidRDefault="001A2FE5" w:rsidP="001A2FE5">
      <w:pPr>
        <w:pStyle w:val="m-9009481142966193444msobodytext"/>
        <w:shd w:val="clear" w:color="auto" w:fill="FFFFFF"/>
        <w:spacing w:before="7" w:beforeAutospacing="0" w:after="0" w:afterAutospacing="0"/>
        <w:rPr>
          <w:rFonts w:ascii="Arial" w:hAnsi="Arial" w:cs="Arial"/>
          <w:color w:val="222222"/>
        </w:rPr>
      </w:pPr>
      <w:r w:rsidRPr="001A2FE5">
        <w:rPr>
          <w:rFonts w:ascii="Arial" w:hAnsi="Arial" w:cs="Arial"/>
          <w:b/>
          <w:bCs/>
          <w:color w:val="222222"/>
          <w:sz w:val="31"/>
          <w:szCs w:val="31"/>
        </w:rPr>
        <w:t> </w:t>
      </w:r>
    </w:p>
    <w:p w14:paraId="29586786" w14:textId="77777777" w:rsidR="001A2FE5" w:rsidRPr="001A2FE5" w:rsidRDefault="001A2FE5" w:rsidP="001A2FE5">
      <w:pPr>
        <w:pStyle w:val="m-9009481142966193444msobodytext"/>
        <w:shd w:val="clear" w:color="auto" w:fill="FFFFFF"/>
        <w:spacing w:before="1" w:beforeAutospacing="0" w:after="0" w:afterAutospacing="0"/>
        <w:rPr>
          <w:rFonts w:ascii="Arial" w:hAnsi="Arial" w:cs="Arial"/>
          <w:color w:val="222222"/>
        </w:rPr>
      </w:pPr>
      <w:r w:rsidRPr="001A2FE5">
        <w:rPr>
          <w:rFonts w:ascii="Arial" w:hAnsi="Arial" w:cs="Arial"/>
          <w:b/>
          <w:bCs/>
          <w:color w:val="222222"/>
          <w:spacing w:val="2"/>
        </w:rPr>
        <w:t>Ref:</w:t>
      </w:r>
      <w:r w:rsidRPr="001A2FE5">
        <w:rPr>
          <w:rFonts w:ascii="Arial" w:hAnsi="Arial" w:cs="Arial"/>
          <w:color w:val="222222"/>
          <w:spacing w:val="2"/>
        </w:rPr>
        <w:t>        </w:t>
      </w:r>
      <w:r w:rsidRPr="001A2FE5">
        <w:rPr>
          <w:rFonts w:ascii="Arial" w:hAnsi="Arial" w:cs="Arial"/>
          <w:color w:val="222222"/>
        </w:rPr>
        <w:t>(1) GA Analysis Workform</w:t>
      </w:r>
      <w:r w:rsidRPr="001A2FE5">
        <w:rPr>
          <w:rFonts w:ascii="Arial" w:hAnsi="Arial" w:cs="Arial"/>
          <w:color w:val="222222"/>
          <w:spacing w:val="-3"/>
        </w:rPr>
        <w:t>, Tab </w:t>
      </w:r>
      <w:r w:rsidRPr="001A2FE5">
        <w:rPr>
          <w:rFonts w:ascii="Arial" w:hAnsi="Arial" w:cs="Arial"/>
          <w:color w:val="222222"/>
        </w:rPr>
        <w:t>Account 1588</w:t>
      </w:r>
    </w:p>
    <w:p w14:paraId="3F8849C9" w14:textId="77777777" w:rsidR="001A2FE5" w:rsidRPr="001A2FE5" w:rsidRDefault="001A2FE5" w:rsidP="001A2FE5">
      <w:pPr>
        <w:pStyle w:val="m-9009481142966193444msobodytext"/>
        <w:shd w:val="clear" w:color="auto" w:fill="FFFFFF"/>
        <w:spacing w:before="1" w:beforeAutospacing="0" w:after="0" w:afterAutospacing="0"/>
        <w:rPr>
          <w:rFonts w:ascii="Arial" w:hAnsi="Arial" w:cs="Arial"/>
          <w:color w:val="222222"/>
        </w:rPr>
      </w:pPr>
      <w:r w:rsidRPr="001A2FE5">
        <w:rPr>
          <w:rFonts w:ascii="Arial" w:hAnsi="Arial" w:cs="Arial"/>
          <w:color w:val="222222"/>
        </w:rPr>
        <w:t> </w:t>
      </w:r>
    </w:p>
    <w:p w14:paraId="6A837025" w14:textId="77777777" w:rsidR="001A2FE5" w:rsidRPr="001A2FE5" w:rsidRDefault="001A2FE5" w:rsidP="001A2FE5">
      <w:pPr>
        <w:pStyle w:val="m-9009481142966193444msobodytext"/>
        <w:shd w:val="clear" w:color="auto" w:fill="FFFFFF"/>
        <w:spacing w:before="1" w:beforeAutospacing="0" w:after="0" w:afterAutospacing="0"/>
        <w:rPr>
          <w:rFonts w:ascii="Arial" w:hAnsi="Arial" w:cs="Arial"/>
          <w:color w:val="222222"/>
        </w:rPr>
      </w:pPr>
      <w:r w:rsidRPr="001A2FE5">
        <w:rPr>
          <w:rFonts w:ascii="Arial" w:hAnsi="Arial" w:cs="Arial"/>
          <w:b/>
          <w:bCs/>
          <w:color w:val="222222"/>
        </w:rPr>
        <w:t>Preamble:</w:t>
      </w:r>
    </w:p>
    <w:p w14:paraId="4F722A42" w14:textId="77777777" w:rsidR="001A2FE5" w:rsidRPr="001A2FE5" w:rsidRDefault="001A2FE5" w:rsidP="001A2FE5">
      <w:pPr>
        <w:pStyle w:val="m-9009481142966193444msobodytext"/>
        <w:shd w:val="clear" w:color="auto" w:fill="FFFFFF"/>
        <w:spacing w:before="1" w:beforeAutospacing="0" w:after="0" w:afterAutospacing="0"/>
        <w:rPr>
          <w:rFonts w:ascii="Arial" w:hAnsi="Arial" w:cs="Arial"/>
          <w:color w:val="222222"/>
        </w:rPr>
      </w:pPr>
      <w:r w:rsidRPr="001A2FE5">
        <w:rPr>
          <w:rFonts w:ascii="Arial" w:hAnsi="Arial" w:cs="Arial"/>
          <w:b/>
          <w:bCs/>
          <w:color w:val="222222"/>
        </w:rPr>
        <w:t> </w:t>
      </w:r>
    </w:p>
    <w:p w14:paraId="69CC189D" w14:textId="77777777" w:rsidR="001A2FE5" w:rsidRPr="001A2FE5" w:rsidRDefault="001A2FE5" w:rsidP="001A2FE5">
      <w:pPr>
        <w:shd w:val="clear" w:color="auto" w:fill="FFFFFF"/>
        <w:rPr>
          <w:color w:val="222222"/>
        </w:rPr>
      </w:pPr>
      <w:r w:rsidRPr="001A2FE5">
        <w:rPr>
          <w:color w:val="222222"/>
        </w:rPr>
        <w:t>Due to an error in the GA Analysis Workfrom, the “Account 4705 - Power Purchased” was not displaying. This has now been corrected in the attached GA Analysis Workform and the “Account 1588 as % of Account 4705” cell now displays -2%.</w:t>
      </w:r>
    </w:p>
    <w:p w14:paraId="55D93BCA" w14:textId="77777777" w:rsidR="001A2FE5" w:rsidRPr="001A2FE5" w:rsidRDefault="001A2FE5" w:rsidP="001A2FE5">
      <w:pPr>
        <w:shd w:val="clear" w:color="auto" w:fill="FFFFFF"/>
        <w:rPr>
          <w:color w:val="222222"/>
        </w:rPr>
      </w:pPr>
      <w:r w:rsidRPr="001A2FE5">
        <w:rPr>
          <w:color w:val="222222"/>
        </w:rPr>
        <w:t> </w:t>
      </w:r>
    </w:p>
    <w:p w14:paraId="09D79EC9" w14:textId="77777777" w:rsidR="001A2FE5" w:rsidRPr="001A2FE5" w:rsidRDefault="001A2FE5" w:rsidP="001A2FE5">
      <w:pPr>
        <w:shd w:val="clear" w:color="auto" w:fill="FFFFFF"/>
        <w:rPr>
          <w:color w:val="222222"/>
        </w:rPr>
      </w:pPr>
      <w:r w:rsidRPr="001A2FE5">
        <w:rPr>
          <w:color w:val="222222"/>
        </w:rPr>
        <w:t>Typically, large balances are not expected for Account 1588 as it should only hold the variance between commodity costs based on actual line losses and commodity revenues calculated using values for line losses approved by the OEB in the utility’s last rebasing application.</w:t>
      </w:r>
    </w:p>
    <w:p w14:paraId="2FF335CD" w14:textId="77777777" w:rsidR="001A2FE5" w:rsidRPr="001A2FE5" w:rsidRDefault="001A2FE5" w:rsidP="001A2FE5">
      <w:pPr>
        <w:shd w:val="clear" w:color="auto" w:fill="FFFFFF"/>
        <w:rPr>
          <w:color w:val="222222"/>
        </w:rPr>
      </w:pPr>
      <w:r w:rsidRPr="001A2FE5">
        <w:rPr>
          <w:b/>
          <w:bCs/>
          <w:color w:val="222222"/>
        </w:rPr>
        <w:t> </w:t>
      </w:r>
    </w:p>
    <w:p w14:paraId="2063B677" w14:textId="77777777" w:rsidR="001A2FE5" w:rsidRPr="001A2FE5" w:rsidRDefault="001A2FE5" w:rsidP="001A2FE5">
      <w:pPr>
        <w:shd w:val="clear" w:color="auto" w:fill="FFFFFF"/>
        <w:rPr>
          <w:color w:val="222222"/>
        </w:rPr>
      </w:pPr>
      <w:r w:rsidRPr="001A2FE5">
        <w:rPr>
          <w:b/>
          <w:bCs/>
          <w:color w:val="222222"/>
        </w:rPr>
        <w:t>Question:</w:t>
      </w:r>
    </w:p>
    <w:p w14:paraId="2C5BC787" w14:textId="77777777" w:rsidR="001A2FE5" w:rsidRPr="001A2FE5" w:rsidRDefault="001A2FE5" w:rsidP="001A2FE5">
      <w:pPr>
        <w:pStyle w:val="m-9009481142966193444msolistparagraph"/>
        <w:numPr>
          <w:ilvl w:val="0"/>
          <w:numId w:val="5"/>
        </w:numPr>
        <w:shd w:val="clear" w:color="auto" w:fill="FFFFFF"/>
        <w:spacing w:before="0" w:beforeAutospacing="0" w:after="160" w:afterAutospacing="0" w:line="233" w:lineRule="atLeast"/>
        <w:rPr>
          <w:rFonts w:ascii="Arial" w:hAnsi="Arial" w:cs="Arial"/>
          <w:color w:val="222222"/>
          <w:sz w:val="22"/>
          <w:szCs w:val="22"/>
        </w:rPr>
      </w:pPr>
      <w:r w:rsidRPr="001A2FE5">
        <w:rPr>
          <w:rFonts w:ascii="Arial" w:hAnsi="Arial" w:cs="Arial"/>
          <w:color w:val="222222"/>
        </w:rPr>
        <w:lastRenderedPageBreak/>
        <w:t>Please explain why the annual Account 1588 balance relative to cost of power is greater than +/-1%.</w:t>
      </w:r>
    </w:p>
    <w:p w14:paraId="7D605C22" w14:textId="1059AE89" w:rsidR="001A2FE5" w:rsidRDefault="001A2FE5">
      <w:pPr>
        <w:pStyle w:val="BodyText"/>
        <w:spacing w:before="80" w:line="278" w:lineRule="auto"/>
        <w:ind w:left="443"/>
        <w:rPr>
          <w:lang w:val="en-CA"/>
        </w:rPr>
      </w:pPr>
    </w:p>
    <w:p w14:paraId="43292B4A" w14:textId="195ADF46" w:rsidR="001A2FE5" w:rsidRDefault="001A2FE5" w:rsidP="001A2FE5">
      <w:pPr>
        <w:pStyle w:val="BodyText"/>
        <w:rPr>
          <w:b/>
          <w:bCs/>
          <w:color w:val="0070C0"/>
          <w:sz w:val="26"/>
        </w:rPr>
      </w:pPr>
      <w:r w:rsidRPr="009964EA">
        <w:rPr>
          <w:b/>
          <w:bCs/>
          <w:color w:val="0070C0"/>
          <w:sz w:val="26"/>
        </w:rPr>
        <w:t>HPDCL Response:</w:t>
      </w:r>
    </w:p>
    <w:p w14:paraId="4E34406B" w14:textId="66A43635" w:rsidR="00EC19A2" w:rsidRPr="00EC19A2" w:rsidRDefault="00EC19A2" w:rsidP="001A2FE5">
      <w:pPr>
        <w:pStyle w:val="BodyText"/>
        <w:rPr>
          <w:color w:val="0070C0"/>
          <w:sz w:val="26"/>
        </w:rPr>
      </w:pPr>
      <w:r w:rsidRPr="00EC19A2">
        <w:rPr>
          <w:color w:val="0070C0"/>
          <w:sz w:val="26"/>
        </w:rPr>
        <w:t xml:space="preserve">Please see worksheet entitled </w:t>
      </w:r>
      <w:r w:rsidRPr="00EC19A2">
        <w:rPr>
          <w:i/>
          <w:iCs/>
          <w:color w:val="0070C0"/>
          <w:sz w:val="26"/>
        </w:rPr>
        <w:t>Final RSVA explanation</w:t>
      </w:r>
      <w:r>
        <w:rPr>
          <w:i/>
          <w:iCs/>
          <w:color w:val="0070C0"/>
          <w:sz w:val="26"/>
        </w:rPr>
        <w:t xml:space="preserve">.xls </w:t>
      </w:r>
      <w:r w:rsidRPr="00EC19A2">
        <w:rPr>
          <w:color w:val="0070C0"/>
          <w:sz w:val="26"/>
        </w:rPr>
        <w:t xml:space="preserve"> for a breakdown and total variance. </w:t>
      </w:r>
    </w:p>
    <w:p w14:paraId="5B8973B7" w14:textId="1D6EA0BC" w:rsidR="001A2FE5" w:rsidRDefault="001A2FE5">
      <w:pPr>
        <w:pStyle w:val="BodyText"/>
        <w:spacing w:before="80" w:line="278" w:lineRule="auto"/>
        <w:ind w:left="443"/>
        <w:rPr>
          <w:lang w:val="en-CA"/>
        </w:rPr>
      </w:pPr>
    </w:p>
    <w:p w14:paraId="7EE0F805" w14:textId="77777777" w:rsidR="001A2FE5" w:rsidRPr="001A2FE5" w:rsidRDefault="001A2FE5" w:rsidP="001A2FE5">
      <w:pPr>
        <w:pStyle w:val="Heading2"/>
        <w:shd w:val="clear" w:color="auto" w:fill="FFFFFF"/>
        <w:rPr>
          <w:rFonts w:eastAsia="Times New Roman"/>
          <w:color w:val="222222"/>
        </w:rPr>
      </w:pPr>
      <w:r w:rsidRPr="001A2FE5">
        <w:rPr>
          <w:color w:val="222222"/>
          <w:sz w:val="22"/>
          <w:szCs w:val="22"/>
        </w:rPr>
        <w:t>Staff Question-3</w:t>
      </w:r>
    </w:p>
    <w:p w14:paraId="1797E0A3" w14:textId="77777777" w:rsidR="001A2FE5" w:rsidRPr="001A2FE5" w:rsidRDefault="001A2FE5" w:rsidP="001A2FE5">
      <w:pPr>
        <w:pStyle w:val="m8962507138826290404msobodytext"/>
        <w:shd w:val="clear" w:color="auto" w:fill="FFFFFF"/>
        <w:spacing w:before="7" w:beforeAutospacing="0" w:after="0" w:afterAutospacing="0"/>
        <w:rPr>
          <w:rFonts w:ascii="Arial" w:hAnsi="Arial" w:cs="Arial"/>
          <w:color w:val="222222"/>
        </w:rPr>
      </w:pPr>
      <w:r w:rsidRPr="001A2FE5">
        <w:rPr>
          <w:rFonts w:ascii="Arial" w:hAnsi="Arial" w:cs="Arial"/>
          <w:b/>
          <w:bCs/>
          <w:color w:val="222222"/>
          <w:sz w:val="22"/>
          <w:szCs w:val="22"/>
        </w:rPr>
        <w:t> </w:t>
      </w:r>
    </w:p>
    <w:p w14:paraId="38919AC4" w14:textId="77777777" w:rsidR="001A2FE5" w:rsidRPr="001A2FE5" w:rsidRDefault="001A2FE5" w:rsidP="001A2FE5">
      <w:pPr>
        <w:pStyle w:val="m8962507138826290404msobodytext"/>
        <w:shd w:val="clear" w:color="auto" w:fill="FFFFFF"/>
        <w:spacing w:before="1" w:beforeAutospacing="0" w:after="0" w:afterAutospacing="0"/>
        <w:rPr>
          <w:rFonts w:ascii="Arial" w:hAnsi="Arial" w:cs="Arial"/>
          <w:color w:val="222222"/>
        </w:rPr>
      </w:pPr>
      <w:r w:rsidRPr="001A2FE5">
        <w:rPr>
          <w:rFonts w:ascii="Arial" w:hAnsi="Arial" w:cs="Arial"/>
          <w:b/>
          <w:bCs/>
          <w:color w:val="222222"/>
          <w:spacing w:val="2"/>
          <w:sz w:val="22"/>
          <w:szCs w:val="22"/>
        </w:rPr>
        <w:t>Ref:</w:t>
      </w:r>
      <w:r w:rsidRPr="001A2FE5">
        <w:rPr>
          <w:rFonts w:ascii="Arial" w:hAnsi="Arial" w:cs="Arial"/>
          <w:color w:val="222222"/>
          <w:spacing w:val="2"/>
          <w:sz w:val="22"/>
          <w:szCs w:val="22"/>
        </w:rPr>
        <w:t>        </w:t>
      </w:r>
      <w:r w:rsidRPr="001A2FE5">
        <w:rPr>
          <w:rFonts w:ascii="Arial" w:hAnsi="Arial" w:cs="Arial"/>
          <w:color w:val="222222"/>
          <w:sz w:val="22"/>
          <w:szCs w:val="22"/>
        </w:rPr>
        <w:t>(1) Response to Staff Question 6c, January 25, 2022</w:t>
      </w:r>
    </w:p>
    <w:p w14:paraId="44EB2AF8" w14:textId="77777777" w:rsidR="001A2FE5" w:rsidRPr="001A2FE5" w:rsidRDefault="001A2FE5" w:rsidP="001A2FE5">
      <w:pPr>
        <w:pStyle w:val="m8962507138826290404msobodytext"/>
        <w:shd w:val="clear" w:color="auto" w:fill="FFFFFF"/>
        <w:spacing w:before="3" w:beforeAutospacing="0" w:after="0" w:afterAutospacing="0"/>
        <w:rPr>
          <w:rFonts w:ascii="Arial" w:hAnsi="Arial" w:cs="Arial"/>
          <w:color w:val="222222"/>
        </w:rPr>
      </w:pPr>
      <w:r w:rsidRPr="001A2FE5">
        <w:rPr>
          <w:rFonts w:ascii="Arial" w:hAnsi="Arial" w:cs="Arial"/>
          <w:color w:val="222222"/>
          <w:sz w:val="22"/>
          <w:szCs w:val="22"/>
        </w:rPr>
        <w:t> </w:t>
      </w:r>
    </w:p>
    <w:p w14:paraId="0CDC36CD" w14:textId="77777777" w:rsidR="001A2FE5" w:rsidRPr="001A2FE5" w:rsidRDefault="001A2FE5" w:rsidP="001A2FE5">
      <w:pPr>
        <w:pStyle w:val="m8962507138826290404msobodytext"/>
        <w:shd w:val="clear" w:color="auto" w:fill="FFFFFF"/>
        <w:spacing w:before="3" w:beforeAutospacing="0" w:after="0" w:afterAutospacing="0"/>
        <w:rPr>
          <w:rFonts w:ascii="Arial" w:hAnsi="Arial" w:cs="Arial"/>
          <w:color w:val="222222"/>
        </w:rPr>
      </w:pPr>
      <w:r w:rsidRPr="001A2FE5">
        <w:rPr>
          <w:rFonts w:ascii="Arial" w:hAnsi="Arial" w:cs="Arial"/>
          <w:b/>
          <w:bCs/>
          <w:color w:val="222222"/>
          <w:sz w:val="22"/>
          <w:szCs w:val="22"/>
        </w:rPr>
        <w:t>Preamble:</w:t>
      </w:r>
    </w:p>
    <w:p w14:paraId="772F0D9E" w14:textId="77777777" w:rsidR="001A2FE5" w:rsidRPr="001A2FE5" w:rsidRDefault="001A2FE5" w:rsidP="001A2FE5">
      <w:pPr>
        <w:pStyle w:val="m8962507138826290404msobodytext"/>
        <w:shd w:val="clear" w:color="auto" w:fill="FFFFFF"/>
        <w:spacing w:before="3" w:beforeAutospacing="0" w:after="0" w:afterAutospacing="0"/>
        <w:rPr>
          <w:rFonts w:ascii="Arial" w:hAnsi="Arial" w:cs="Arial"/>
          <w:color w:val="222222"/>
        </w:rPr>
      </w:pPr>
      <w:r w:rsidRPr="001A2FE5">
        <w:rPr>
          <w:rFonts w:ascii="Arial" w:hAnsi="Arial" w:cs="Arial"/>
          <w:b/>
          <w:bCs/>
          <w:color w:val="222222"/>
          <w:sz w:val="22"/>
          <w:szCs w:val="22"/>
        </w:rPr>
        <w:t> </w:t>
      </w:r>
    </w:p>
    <w:p w14:paraId="632A5A9C" w14:textId="77777777" w:rsidR="001A2FE5" w:rsidRPr="001A2FE5" w:rsidRDefault="001A2FE5" w:rsidP="001A2FE5">
      <w:pPr>
        <w:pStyle w:val="m8962507138826290404msobodytext"/>
        <w:shd w:val="clear" w:color="auto" w:fill="FFFFFF"/>
        <w:spacing w:before="3" w:beforeAutospacing="0" w:after="0" w:afterAutospacing="0"/>
        <w:rPr>
          <w:rFonts w:ascii="Arial" w:hAnsi="Arial" w:cs="Arial"/>
          <w:color w:val="222222"/>
        </w:rPr>
      </w:pPr>
      <w:r w:rsidRPr="001A2FE5">
        <w:rPr>
          <w:rFonts w:ascii="Arial" w:hAnsi="Arial" w:cs="Arial"/>
          <w:color w:val="222222"/>
          <w:sz w:val="22"/>
          <w:szCs w:val="22"/>
        </w:rPr>
        <w:t>“Hearst Power is in a unique situation regarding power purchases as we are billed by both the IESO and Hydro One but due to the fact we have too many solar generators in the Hydro One circuits; we over generate electricity and inject into Hydro One’s grid during many months.  This skews our IESO reporting’s and caused HPDCL to be BILLED, not credited, for the 3 months of 2020 when the deferral occurred.”</w:t>
      </w:r>
    </w:p>
    <w:p w14:paraId="6AE30862" w14:textId="77777777" w:rsidR="001A2FE5" w:rsidRPr="001A2FE5" w:rsidRDefault="001A2FE5" w:rsidP="001A2FE5">
      <w:pPr>
        <w:pStyle w:val="m8962507138826290404msobodytext"/>
        <w:shd w:val="clear" w:color="auto" w:fill="FFFFFF"/>
        <w:spacing w:before="3" w:beforeAutospacing="0" w:after="0" w:afterAutospacing="0"/>
        <w:rPr>
          <w:rFonts w:ascii="Arial" w:hAnsi="Arial" w:cs="Arial"/>
          <w:color w:val="222222"/>
        </w:rPr>
      </w:pPr>
      <w:r w:rsidRPr="001A2FE5">
        <w:rPr>
          <w:rFonts w:ascii="Arial" w:hAnsi="Arial" w:cs="Arial"/>
          <w:b/>
          <w:bCs/>
          <w:color w:val="222222"/>
          <w:sz w:val="22"/>
          <w:szCs w:val="22"/>
        </w:rPr>
        <w:t> </w:t>
      </w:r>
    </w:p>
    <w:p w14:paraId="22C57F28" w14:textId="77777777" w:rsidR="001A2FE5" w:rsidRPr="001A2FE5" w:rsidRDefault="001A2FE5" w:rsidP="001A2FE5">
      <w:pPr>
        <w:shd w:val="clear" w:color="auto" w:fill="FFFFFF"/>
        <w:rPr>
          <w:color w:val="222222"/>
        </w:rPr>
      </w:pPr>
      <w:r w:rsidRPr="001A2FE5">
        <w:rPr>
          <w:b/>
          <w:bCs/>
          <w:color w:val="222222"/>
        </w:rPr>
        <w:t>Question:</w:t>
      </w:r>
    </w:p>
    <w:p w14:paraId="0DABD636" w14:textId="77777777" w:rsidR="001A2FE5" w:rsidRPr="001A2FE5" w:rsidRDefault="001A2FE5" w:rsidP="001A2FE5">
      <w:pPr>
        <w:shd w:val="clear" w:color="auto" w:fill="FFFFFF"/>
        <w:rPr>
          <w:color w:val="222222"/>
        </w:rPr>
      </w:pPr>
      <w:r w:rsidRPr="001A2FE5">
        <w:rPr>
          <w:color w:val="222222"/>
        </w:rPr>
        <w:t> </w:t>
      </w:r>
    </w:p>
    <w:p w14:paraId="14457D55" w14:textId="008F710E" w:rsidR="001A2FE5" w:rsidRDefault="001A2FE5" w:rsidP="001A2FE5">
      <w:pPr>
        <w:pStyle w:val="m8962507138826290404msolistparagraph"/>
        <w:numPr>
          <w:ilvl w:val="0"/>
          <w:numId w:val="6"/>
        </w:numPr>
        <w:shd w:val="clear" w:color="auto" w:fill="FFFFFF"/>
        <w:spacing w:before="0" w:beforeAutospacing="0" w:after="0" w:afterAutospacing="0"/>
        <w:rPr>
          <w:rFonts w:ascii="Arial" w:hAnsi="Arial" w:cs="Arial"/>
          <w:color w:val="222222"/>
          <w:sz w:val="22"/>
          <w:szCs w:val="22"/>
        </w:rPr>
      </w:pPr>
      <w:r w:rsidRPr="001A2FE5">
        <w:rPr>
          <w:rFonts w:ascii="Arial" w:hAnsi="Arial" w:cs="Arial"/>
          <w:color w:val="222222"/>
          <w:sz w:val="22"/>
          <w:szCs w:val="22"/>
        </w:rPr>
        <w:t>Please confirm the incremental debit and credit amounts received from the IESO in 2020 and 2021, respectively, as a result of the over production of electricity from solar generation.</w:t>
      </w:r>
    </w:p>
    <w:p w14:paraId="19F0E09C" w14:textId="77777777" w:rsidR="00176111" w:rsidRDefault="00176111" w:rsidP="00176111">
      <w:pPr>
        <w:pStyle w:val="m8962507138826290404msolistparagraph"/>
        <w:shd w:val="clear" w:color="auto" w:fill="FFFFFF"/>
        <w:spacing w:before="0" w:beforeAutospacing="0" w:after="0" w:afterAutospacing="0"/>
        <w:ind w:left="360"/>
        <w:rPr>
          <w:rFonts w:ascii="Arial" w:hAnsi="Arial" w:cs="Arial"/>
          <w:color w:val="222222"/>
          <w:sz w:val="22"/>
          <w:szCs w:val="22"/>
        </w:rPr>
      </w:pPr>
    </w:p>
    <w:p w14:paraId="24D99C2A" w14:textId="77777777" w:rsidR="00176111" w:rsidRDefault="00176111" w:rsidP="00176111">
      <w:pPr>
        <w:pStyle w:val="BodyText"/>
        <w:ind w:left="360"/>
        <w:rPr>
          <w:b/>
          <w:bCs/>
          <w:color w:val="0070C0"/>
          <w:sz w:val="26"/>
        </w:rPr>
      </w:pPr>
    </w:p>
    <w:p w14:paraId="35A36229" w14:textId="48E56ED4" w:rsidR="00176111" w:rsidRPr="009964EA" w:rsidRDefault="00176111" w:rsidP="00176111">
      <w:pPr>
        <w:pStyle w:val="BodyText"/>
        <w:ind w:left="360"/>
        <w:rPr>
          <w:b/>
          <w:bCs/>
          <w:color w:val="0070C0"/>
          <w:sz w:val="26"/>
        </w:rPr>
      </w:pPr>
      <w:r w:rsidRPr="009964EA">
        <w:rPr>
          <w:b/>
          <w:bCs/>
          <w:color w:val="0070C0"/>
          <w:sz w:val="26"/>
        </w:rPr>
        <w:t>HPDCL Response:</w:t>
      </w:r>
    </w:p>
    <w:p w14:paraId="362204DC" w14:textId="28E7602C" w:rsidR="00176111" w:rsidRDefault="00176111" w:rsidP="00176111">
      <w:pPr>
        <w:pStyle w:val="m8962507138826290404msolistparagraph"/>
        <w:shd w:val="clear" w:color="auto" w:fill="FFFFFF"/>
        <w:spacing w:before="0" w:beforeAutospacing="0" w:after="0" w:afterAutospacing="0"/>
        <w:rPr>
          <w:rFonts w:ascii="Arial" w:hAnsi="Arial" w:cs="Arial"/>
          <w:color w:val="222222"/>
          <w:sz w:val="22"/>
          <w:szCs w:val="22"/>
        </w:rPr>
      </w:pPr>
    </w:p>
    <w:p w14:paraId="4F613D4B" w14:textId="51154A41" w:rsidR="00176111" w:rsidRPr="00F03011" w:rsidRDefault="00F03011" w:rsidP="00176111">
      <w:pPr>
        <w:pStyle w:val="m8962507138826290404msolistparagraph"/>
        <w:shd w:val="clear" w:color="auto" w:fill="FFFFFF"/>
        <w:spacing w:before="0" w:beforeAutospacing="0" w:after="0" w:afterAutospacing="0"/>
        <w:jc w:val="center"/>
        <w:rPr>
          <w:rFonts w:ascii="Arial" w:hAnsi="Arial" w:cs="Arial"/>
          <w:b/>
          <w:bCs/>
          <w:color w:val="222222"/>
          <w:sz w:val="22"/>
          <w:szCs w:val="22"/>
        </w:rPr>
      </w:pPr>
      <w:r w:rsidRPr="00F03011">
        <w:rPr>
          <w:rFonts w:ascii="Arial" w:hAnsi="Arial" w:cs="Arial"/>
          <w:b/>
          <w:bCs/>
          <w:color w:val="222222"/>
          <w:sz w:val="22"/>
          <w:szCs w:val="22"/>
        </w:rPr>
        <w:t>2021 GA deferral Amounts</w:t>
      </w:r>
    </w:p>
    <w:p w14:paraId="38190086" w14:textId="7A7E2613" w:rsidR="001A2FE5" w:rsidRPr="00176111" w:rsidRDefault="001A2FE5" w:rsidP="00176111">
      <w:pPr>
        <w:pStyle w:val="BodyText"/>
        <w:spacing w:before="80" w:line="278" w:lineRule="auto"/>
        <w:ind w:left="443"/>
        <w:jc w:val="center"/>
        <w:rPr>
          <w:lang w:val="en-CA"/>
        </w:rPr>
      </w:pPr>
    </w:p>
    <w:tbl>
      <w:tblPr>
        <w:tblW w:w="3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12"/>
        <w:gridCol w:w="1312"/>
      </w:tblGrid>
      <w:tr w:rsidR="00176111" w:rsidRPr="001A2FE5" w14:paraId="4D8A83BF" w14:textId="77777777" w:rsidTr="00176111">
        <w:trPr>
          <w:trHeight w:val="212"/>
          <w:jc w:val="center"/>
        </w:trPr>
        <w:tc>
          <w:tcPr>
            <w:tcW w:w="1312" w:type="dxa"/>
            <w:shd w:val="clear" w:color="auto" w:fill="auto"/>
            <w:noWrap/>
            <w:vAlign w:val="bottom"/>
            <w:hideMark/>
          </w:tcPr>
          <w:p w14:paraId="0AF4E399" w14:textId="282B2E1A"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Jan</w:t>
            </w:r>
            <w:r w:rsidR="00586027">
              <w:rPr>
                <w:rFonts w:eastAsia="Times New Roman"/>
                <w:b/>
                <w:bCs/>
                <w:sz w:val="20"/>
                <w:szCs w:val="20"/>
                <w:u w:val="single"/>
                <w:lang w:val="en-CA" w:eastAsia="en-CA"/>
              </w:rPr>
              <w:t>-21</w:t>
            </w:r>
          </w:p>
        </w:tc>
        <w:tc>
          <w:tcPr>
            <w:tcW w:w="1312" w:type="dxa"/>
            <w:shd w:val="clear" w:color="auto" w:fill="auto"/>
            <w:noWrap/>
            <w:vAlign w:val="bottom"/>
            <w:hideMark/>
          </w:tcPr>
          <w:p w14:paraId="6FCC288A" w14:textId="26FFFEBD"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Feb-2</w:t>
            </w:r>
            <w:r w:rsidR="00586027">
              <w:rPr>
                <w:rFonts w:eastAsia="Times New Roman"/>
                <w:b/>
                <w:bCs/>
                <w:sz w:val="20"/>
                <w:szCs w:val="20"/>
                <w:u w:val="single"/>
                <w:lang w:val="en-CA" w:eastAsia="en-CA"/>
              </w:rPr>
              <w:t>1</w:t>
            </w:r>
          </w:p>
        </w:tc>
        <w:tc>
          <w:tcPr>
            <w:tcW w:w="1312" w:type="dxa"/>
            <w:shd w:val="clear" w:color="auto" w:fill="auto"/>
            <w:noWrap/>
            <w:vAlign w:val="bottom"/>
            <w:hideMark/>
          </w:tcPr>
          <w:p w14:paraId="063C2CAC" w14:textId="3460D2D6"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Mar-2</w:t>
            </w:r>
            <w:r w:rsidR="00586027">
              <w:rPr>
                <w:rFonts w:eastAsia="Times New Roman"/>
                <w:b/>
                <w:bCs/>
                <w:sz w:val="20"/>
                <w:szCs w:val="20"/>
                <w:u w:val="single"/>
                <w:lang w:val="en-CA" w:eastAsia="en-CA"/>
              </w:rPr>
              <w:t>1</w:t>
            </w:r>
          </w:p>
        </w:tc>
      </w:tr>
      <w:tr w:rsidR="00176111" w:rsidRPr="001A2FE5" w14:paraId="05E889B1" w14:textId="77777777" w:rsidTr="00176111">
        <w:trPr>
          <w:trHeight w:val="212"/>
          <w:jc w:val="center"/>
        </w:trPr>
        <w:tc>
          <w:tcPr>
            <w:tcW w:w="1312" w:type="dxa"/>
            <w:shd w:val="clear" w:color="auto" w:fill="auto"/>
            <w:noWrap/>
            <w:vAlign w:val="bottom"/>
            <w:hideMark/>
          </w:tcPr>
          <w:p w14:paraId="26A55EB7"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c>
          <w:tcPr>
            <w:tcW w:w="1312" w:type="dxa"/>
            <w:shd w:val="clear" w:color="auto" w:fill="auto"/>
            <w:noWrap/>
            <w:vAlign w:val="bottom"/>
            <w:hideMark/>
          </w:tcPr>
          <w:p w14:paraId="312F626E"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c>
          <w:tcPr>
            <w:tcW w:w="1312" w:type="dxa"/>
            <w:shd w:val="clear" w:color="auto" w:fill="auto"/>
            <w:noWrap/>
            <w:vAlign w:val="bottom"/>
            <w:hideMark/>
          </w:tcPr>
          <w:p w14:paraId="01DFE889"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r>
      <w:tr w:rsidR="00586027" w:rsidRPr="001A2FE5" w14:paraId="07B023F8" w14:textId="77777777" w:rsidTr="00586027">
        <w:trPr>
          <w:trHeight w:val="212"/>
          <w:jc w:val="center"/>
        </w:trPr>
        <w:tc>
          <w:tcPr>
            <w:tcW w:w="1312" w:type="dxa"/>
            <w:shd w:val="clear" w:color="auto" w:fill="auto"/>
            <w:noWrap/>
            <w:vAlign w:val="center"/>
            <w:hideMark/>
          </w:tcPr>
          <w:p w14:paraId="1C7A5521" w14:textId="091E04E7" w:rsidR="00586027" w:rsidRPr="00586027" w:rsidRDefault="00586027" w:rsidP="00586027">
            <w:pPr>
              <w:jc w:val="center"/>
              <w:rPr>
                <w:rFonts w:eastAsia="Times New Roman"/>
                <w:color w:val="000000"/>
              </w:rPr>
            </w:pPr>
            <w:r w:rsidRPr="00586027">
              <w:rPr>
                <w:color w:val="000000"/>
              </w:rPr>
              <w:t>-$18,049</w:t>
            </w:r>
          </w:p>
          <w:p w14:paraId="5A43118D" w14:textId="5258B5ED" w:rsidR="00586027" w:rsidRPr="00586027" w:rsidRDefault="00586027" w:rsidP="00586027">
            <w:pPr>
              <w:widowControl/>
              <w:autoSpaceDE/>
              <w:autoSpaceDN/>
              <w:jc w:val="center"/>
              <w:rPr>
                <w:rFonts w:eastAsia="Times New Roman"/>
                <w:sz w:val="20"/>
                <w:szCs w:val="20"/>
                <w:lang w:val="en-CA" w:eastAsia="en-CA"/>
              </w:rPr>
            </w:pPr>
          </w:p>
        </w:tc>
        <w:tc>
          <w:tcPr>
            <w:tcW w:w="1312" w:type="dxa"/>
            <w:shd w:val="clear" w:color="auto" w:fill="auto"/>
            <w:noWrap/>
            <w:vAlign w:val="center"/>
            <w:hideMark/>
          </w:tcPr>
          <w:p w14:paraId="5A05431C" w14:textId="773770ED" w:rsidR="00586027" w:rsidRPr="00586027" w:rsidRDefault="00586027" w:rsidP="00586027">
            <w:pPr>
              <w:widowControl/>
              <w:autoSpaceDE/>
              <w:autoSpaceDN/>
              <w:jc w:val="center"/>
              <w:rPr>
                <w:rFonts w:eastAsia="Times New Roman"/>
                <w:sz w:val="20"/>
                <w:szCs w:val="20"/>
                <w:lang w:val="en-CA" w:eastAsia="en-CA"/>
              </w:rPr>
            </w:pPr>
            <w:r w:rsidRPr="00586027">
              <w:rPr>
                <w:color w:val="000000"/>
              </w:rPr>
              <w:t>-$20,758</w:t>
            </w:r>
          </w:p>
        </w:tc>
        <w:tc>
          <w:tcPr>
            <w:tcW w:w="1312" w:type="dxa"/>
            <w:shd w:val="clear" w:color="auto" w:fill="auto"/>
            <w:noWrap/>
            <w:vAlign w:val="center"/>
            <w:hideMark/>
          </w:tcPr>
          <w:p w14:paraId="12DDB7BA" w14:textId="77777777" w:rsidR="00586027" w:rsidRPr="00586027" w:rsidRDefault="00586027" w:rsidP="00586027">
            <w:pPr>
              <w:jc w:val="center"/>
              <w:rPr>
                <w:rFonts w:eastAsia="Times New Roman"/>
                <w:color w:val="000000"/>
              </w:rPr>
            </w:pPr>
            <w:r w:rsidRPr="00586027">
              <w:rPr>
                <w:color w:val="000000"/>
              </w:rPr>
              <w:t>-$16,498</w:t>
            </w:r>
          </w:p>
          <w:p w14:paraId="16EC70CD" w14:textId="5573FCCE" w:rsidR="00586027" w:rsidRPr="00586027" w:rsidRDefault="00586027" w:rsidP="00586027">
            <w:pPr>
              <w:widowControl/>
              <w:autoSpaceDE/>
              <w:autoSpaceDN/>
              <w:jc w:val="center"/>
              <w:rPr>
                <w:rFonts w:eastAsia="Times New Roman"/>
                <w:sz w:val="20"/>
                <w:szCs w:val="20"/>
                <w:lang w:val="en-CA" w:eastAsia="en-CA"/>
              </w:rPr>
            </w:pPr>
          </w:p>
        </w:tc>
      </w:tr>
      <w:tr w:rsidR="00586027" w:rsidRPr="001A2FE5" w14:paraId="1DA68381" w14:textId="77777777" w:rsidTr="00FE3C49">
        <w:trPr>
          <w:trHeight w:val="225"/>
          <w:jc w:val="center"/>
        </w:trPr>
        <w:tc>
          <w:tcPr>
            <w:tcW w:w="1312" w:type="dxa"/>
            <w:shd w:val="clear" w:color="auto" w:fill="auto"/>
            <w:noWrap/>
            <w:vAlign w:val="bottom"/>
            <w:hideMark/>
          </w:tcPr>
          <w:p w14:paraId="60A2250A" w14:textId="77777777" w:rsidR="00586027" w:rsidRPr="00586027" w:rsidRDefault="00586027" w:rsidP="00586027">
            <w:pPr>
              <w:widowControl/>
              <w:autoSpaceDE/>
              <w:autoSpaceDN/>
              <w:jc w:val="center"/>
              <w:rPr>
                <w:rFonts w:eastAsia="Times New Roman"/>
                <w:sz w:val="20"/>
                <w:szCs w:val="20"/>
                <w:lang w:val="en-CA" w:eastAsia="en-CA"/>
              </w:rPr>
            </w:pPr>
          </w:p>
        </w:tc>
        <w:tc>
          <w:tcPr>
            <w:tcW w:w="1312" w:type="dxa"/>
            <w:shd w:val="clear" w:color="auto" w:fill="auto"/>
            <w:noWrap/>
            <w:vAlign w:val="center"/>
            <w:hideMark/>
          </w:tcPr>
          <w:p w14:paraId="4773E991" w14:textId="23F72B47" w:rsidR="00586027" w:rsidRPr="00586027" w:rsidRDefault="00586027"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44D43FF5" w14:textId="77777777" w:rsidR="00586027" w:rsidRPr="00586027" w:rsidRDefault="00586027" w:rsidP="00586027">
            <w:pPr>
              <w:widowControl/>
              <w:autoSpaceDE/>
              <w:autoSpaceDN/>
              <w:jc w:val="center"/>
              <w:rPr>
                <w:rFonts w:eastAsia="Times New Roman"/>
                <w:sz w:val="20"/>
                <w:szCs w:val="20"/>
                <w:lang w:val="en-CA" w:eastAsia="en-CA"/>
              </w:rPr>
            </w:pPr>
          </w:p>
        </w:tc>
      </w:tr>
      <w:tr w:rsidR="00176111" w:rsidRPr="001A2FE5" w14:paraId="1A5CB8A0" w14:textId="77777777" w:rsidTr="00176111">
        <w:trPr>
          <w:trHeight w:val="212"/>
          <w:jc w:val="center"/>
        </w:trPr>
        <w:tc>
          <w:tcPr>
            <w:tcW w:w="1312" w:type="dxa"/>
            <w:shd w:val="clear" w:color="auto" w:fill="auto"/>
            <w:noWrap/>
            <w:vAlign w:val="bottom"/>
            <w:hideMark/>
          </w:tcPr>
          <w:p w14:paraId="4143B933" w14:textId="6F767A83"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Apr-2</w:t>
            </w:r>
            <w:r w:rsidR="00586027">
              <w:rPr>
                <w:rFonts w:eastAsia="Times New Roman"/>
                <w:b/>
                <w:bCs/>
                <w:sz w:val="20"/>
                <w:szCs w:val="20"/>
                <w:u w:val="single"/>
                <w:lang w:val="en-CA" w:eastAsia="en-CA"/>
              </w:rPr>
              <w:t>1</w:t>
            </w:r>
          </w:p>
        </w:tc>
        <w:tc>
          <w:tcPr>
            <w:tcW w:w="1312" w:type="dxa"/>
            <w:shd w:val="clear" w:color="auto" w:fill="auto"/>
            <w:noWrap/>
            <w:vAlign w:val="bottom"/>
            <w:hideMark/>
          </w:tcPr>
          <w:p w14:paraId="5E249E29" w14:textId="4EC47E50"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May-2</w:t>
            </w:r>
            <w:r w:rsidR="00586027">
              <w:rPr>
                <w:rFonts w:eastAsia="Times New Roman"/>
                <w:b/>
                <w:bCs/>
                <w:sz w:val="20"/>
                <w:szCs w:val="20"/>
                <w:u w:val="single"/>
                <w:lang w:val="en-CA" w:eastAsia="en-CA"/>
              </w:rPr>
              <w:t>1</w:t>
            </w:r>
          </w:p>
        </w:tc>
        <w:tc>
          <w:tcPr>
            <w:tcW w:w="1312" w:type="dxa"/>
            <w:shd w:val="clear" w:color="auto" w:fill="auto"/>
            <w:noWrap/>
            <w:vAlign w:val="bottom"/>
            <w:hideMark/>
          </w:tcPr>
          <w:p w14:paraId="3DD4736C" w14:textId="0D9C8339"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Jun-2</w:t>
            </w:r>
            <w:r w:rsidR="00586027">
              <w:rPr>
                <w:rFonts w:eastAsia="Times New Roman"/>
                <w:b/>
                <w:bCs/>
                <w:sz w:val="20"/>
                <w:szCs w:val="20"/>
                <w:u w:val="single"/>
                <w:lang w:val="en-CA" w:eastAsia="en-CA"/>
              </w:rPr>
              <w:t>1</w:t>
            </w:r>
          </w:p>
        </w:tc>
      </w:tr>
      <w:tr w:rsidR="00176111" w:rsidRPr="001A2FE5" w14:paraId="6972D9C1" w14:textId="77777777" w:rsidTr="00176111">
        <w:trPr>
          <w:trHeight w:val="212"/>
          <w:jc w:val="center"/>
        </w:trPr>
        <w:tc>
          <w:tcPr>
            <w:tcW w:w="1312" w:type="dxa"/>
            <w:shd w:val="clear" w:color="auto" w:fill="auto"/>
            <w:noWrap/>
            <w:vAlign w:val="bottom"/>
            <w:hideMark/>
          </w:tcPr>
          <w:p w14:paraId="37E71482"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c>
          <w:tcPr>
            <w:tcW w:w="1312" w:type="dxa"/>
            <w:shd w:val="clear" w:color="auto" w:fill="auto"/>
            <w:noWrap/>
            <w:vAlign w:val="bottom"/>
            <w:hideMark/>
          </w:tcPr>
          <w:p w14:paraId="370A80B7"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c>
          <w:tcPr>
            <w:tcW w:w="1312" w:type="dxa"/>
            <w:shd w:val="clear" w:color="auto" w:fill="auto"/>
            <w:noWrap/>
            <w:vAlign w:val="bottom"/>
            <w:hideMark/>
          </w:tcPr>
          <w:p w14:paraId="28F8BCE1"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r>
      <w:tr w:rsidR="00176111" w:rsidRPr="001A2FE5" w14:paraId="5B6D444D" w14:textId="77777777" w:rsidTr="00176111">
        <w:trPr>
          <w:trHeight w:val="212"/>
          <w:jc w:val="center"/>
        </w:trPr>
        <w:tc>
          <w:tcPr>
            <w:tcW w:w="1312" w:type="dxa"/>
            <w:shd w:val="clear" w:color="auto" w:fill="auto"/>
            <w:noWrap/>
            <w:vAlign w:val="bottom"/>
            <w:hideMark/>
          </w:tcPr>
          <w:p w14:paraId="0B4F354E" w14:textId="303C28A1" w:rsidR="00176111" w:rsidRPr="00586027" w:rsidRDefault="00586027" w:rsidP="00586027">
            <w:pPr>
              <w:jc w:val="center"/>
              <w:rPr>
                <w:rFonts w:eastAsia="Times New Roman"/>
                <w:color w:val="000000"/>
              </w:rPr>
            </w:pPr>
            <w:r w:rsidRPr="00586027">
              <w:rPr>
                <w:color w:val="000000"/>
              </w:rPr>
              <w:t>-$1,231</w:t>
            </w:r>
          </w:p>
        </w:tc>
        <w:tc>
          <w:tcPr>
            <w:tcW w:w="1312" w:type="dxa"/>
            <w:shd w:val="clear" w:color="auto" w:fill="auto"/>
            <w:noWrap/>
            <w:vAlign w:val="bottom"/>
            <w:hideMark/>
          </w:tcPr>
          <w:p w14:paraId="24B0E3EB" w14:textId="77777777" w:rsidR="00586027" w:rsidRPr="00586027" w:rsidRDefault="00586027" w:rsidP="00586027">
            <w:pPr>
              <w:jc w:val="center"/>
              <w:rPr>
                <w:rFonts w:eastAsia="Times New Roman"/>
                <w:color w:val="000000"/>
              </w:rPr>
            </w:pPr>
            <w:r w:rsidRPr="00586027">
              <w:rPr>
                <w:color w:val="000000"/>
              </w:rPr>
              <w:t>-$6,184</w:t>
            </w:r>
          </w:p>
          <w:p w14:paraId="78BC9872" w14:textId="4D937E0D"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6059A333" w14:textId="77777777" w:rsidR="00586027" w:rsidRPr="00586027" w:rsidRDefault="00586027" w:rsidP="00586027">
            <w:pPr>
              <w:jc w:val="center"/>
              <w:rPr>
                <w:rFonts w:eastAsia="Times New Roman"/>
                <w:color w:val="000000"/>
              </w:rPr>
            </w:pPr>
            <w:r w:rsidRPr="00586027">
              <w:rPr>
                <w:color w:val="000000"/>
              </w:rPr>
              <w:t>-$4,359</w:t>
            </w:r>
          </w:p>
          <w:p w14:paraId="76314692" w14:textId="2D5BBB9E" w:rsidR="00176111" w:rsidRPr="00586027" w:rsidRDefault="00176111" w:rsidP="00586027">
            <w:pPr>
              <w:widowControl/>
              <w:autoSpaceDE/>
              <w:autoSpaceDN/>
              <w:jc w:val="center"/>
              <w:rPr>
                <w:rFonts w:eastAsia="Times New Roman"/>
                <w:sz w:val="20"/>
                <w:szCs w:val="20"/>
                <w:lang w:val="en-CA" w:eastAsia="en-CA"/>
              </w:rPr>
            </w:pPr>
          </w:p>
        </w:tc>
      </w:tr>
      <w:tr w:rsidR="00176111" w:rsidRPr="001A2FE5" w14:paraId="13A8D1A9" w14:textId="77777777" w:rsidTr="00176111">
        <w:trPr>
          <w:trHeight w:val="212"/>
          <w:jc w:val="center"/>
        </w:trPr>
        <w:tc>
          <w:tcPr>
            <w:tcW w:w="1312" w:type="dxa"/>
            <w:shd w:val="clear" w:color="auto" w:fill="auto"/>
            <w:noWrap/>
            <w:vAlign w:val="bottom"/>
            <w:hideMark/>
          </w:tcPr>
          <w:p w14:paraId="4A12E419" w14:textId="77777777"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51C56EA5" w14:textId="77777777"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1E32886F" w14:textId="77777777" w:rsidR="00176111" w:rsidRPr="00586027" w:rsidRDefault="00176111" w:rsidP="00586027">
            <w:pPr>
              <w:widowControl/>
              <w:autoSpaceDE/>
              <w:autoSpaceDN/>
              <w:jc w:val="center"/>
              <w:rPr>
                <w:rFonts w:eastAsia="Times New Roman"/>
                <w:sz w:val="20"/>
                <w:szCs w:val="20"/>
                <w:lang w:val="en-CA" w:eastAsia="en-CA"/>
              </w:rPr>
            </w:pPr>
          </w:p>
        </w:tc>
      </w:tr>
      <w:tr w:rsidR="00176111" w:rsidRPr="001A2FE5" w14:paraId="11802134" w14:textId="77777777" w:rsidTr="00176111">
        <w:trPr>
          <w:trHeight w:val="225"/>
          <w:jc w:val="center"/>
        </w:trPr>
        <w:tc>
          <w:tcPr>
            <w:tcW w:w="1312" w:type="dxa"/>
            <w:shd w:val="clear" w:color="auto" w:fill="auto"/>
            <w:noWrap/>
            <w:vAlign w:val="bottom"/>
            <w:hideMark/>
          </w:tcPr>
          <w:p w14:paraId="02B71E57" w14:textId="77777777"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4613AED8" w14:textId="77777777"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7C2779FF" w14:textId="77777777" w:rsidR="00176111" w:rsidRPr="00586027" w:rsidRDefault="00176111" w:rsidP="00586027">
            <w:pPr>
              <w:widowControl/>
              <w:autoSpaceDE/>
              <w:autoSpaceDN/>
              <w:jc w:val="center"/>
              <w:rPr>
                <w:rFonts w:eastAsia="Times New Roman"/>
                <w:sz w:val="20"/>
                <w:szCs w:val="20"/>
                <w:lang w:val="en-CA" w:eastAsia="en-CA"/>
              </w:rPr>
            </w:pPr>
          </w:p>
        </w:tc>
      </w:tr>
      <w:tr w:rsidR="00176111" w:rsidRPr="001A2FE5" w14:paraId="10D3171C" w14:textId="77777777" w:rsidTr="00176111">
        <w:trPr>
          <w:trHeight w:val="212"/>
          <w:jc w:val="center"/>
        </w:trPr>
        <w:tc>
          <w:tcPr>
            <w:tcW w:w="1312" w:type="dxa"/>
            <w:shd w:val="clear" w:color="auto" w:fill="auto"/>
            <w:noWrap/>
            <w:vAlign w:val="bottom"/>
            <w:hideMark/>
          </w:tcPr>
          <w:p w14:paraId="2014FBE6" w14:textId="1479482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Jul-2</w:t>
            </w:r>
            <w:r w:rsidR="00586027">
              <w:rPr>
                <w:rFonts w:eastAsia="Times New Roman"/>
                <w:b/>
                <w:bCs/>
                <w:sz w:val="20"/>
                <w:szCs w:val="20"/>
                <w:u w:val="single"/>
                <w:lang w:val="en-CA" w:eastAsia="en-CA"/>
              </w:rPr>
              <w:t>1</w:t>
            </w:r>
          </w:p>
        </w:tc>
        <w:tc>
          <w:tcPr>
            <w:tcW w:w="1312" w:type="dxa"/>
            <w:shd w:val="clear" w:color="auto" w:fill="auto"/>
            <w:noWrap/>
            <w:vAlign w:val="bottom"/>
            <w:hideMark/>
          </w:tcPr>
          <w:p w14:paraId="6010741B" w14:textId="072D6F62"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Aug-2</w:t>
            </w:r>
            <w:r w:rsidR="00586027">
              <w:rPr>
                <w:rFonts w:eastAsia="Times New Roman"/>
                <w:b/>
                <w:bCs/>
                <w:sz w:val="20"/>
                <w:szCs w:val="20"/>
                <w:u w:val="single"/>
                <w:lang w:val="en-CA" w:eastAsia="en-CA"/>
              </w:rPr>
              <w:t>1</w:t>
            </w:r>
          </w:p>
        </w:tc>
        <w:tc>
          <w:tcPr>
            <w:tcW w:w="1312" w:type="dxa"/>
            <w:shd w:val="clear" w:color="auto" w:fill="auto"/>
            <w:noWrap/>
            <w:vAlign w:val="bottom"/>
            <w:hideMark/>
          </w:tcPr>
          <w:p w14:paraId="72430992" w14:textId="05117AE5"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Sep-2</w:t>
            </w:r>
            <w:r w:rsidR="00586027">
              <w:rPr>
                <w:rFonts w:eastAsia="Times New Roman"/>
                <w:b/>
                <w:bCs/>
                <w:sz w:val="20"/>
                <w:szCs w:val="20"/>
                <w:u w:val="single"/>
                <w:lang w:val="en-CA" w:eastAsia="en-CA"/>
              </w:rPr>
              <w:t>1</w:t>
            </w:r>
          </w:p>
        </w:tc>
      </w:tr>
      <w:tr w:rsidR="00176111" w:rsidRPr="001A2FE5" w14:paraId="4FC0C801" w14:textId="77777777" w:rsidTr="00176111">
        <w:trPr>
          <w:trHeight w:val="212"/>
          <w:jc w:val="center"/>
        </w:trPr>
        <w:tc>
          <w:tcPr>
            <w:tcW w:w="1312" w:type="dxa"/>
            <w:shd w:val="clear" w:color="auto" w:fill="auto"/>
            <w:noWrap/>
            <w:vAlign w:val="bottom"/>
            <w:hideMark/>
          </w:tcPr>
          <w:p w14:paraId="61568BBE"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c>
          <w:tcPr>
            <w:tcW w:w="1312" w:type="dxa"/>
            <w:shd w:val="clear" w:color="auto" w:fill="auto"/>
            <w:noWrap/>
            <w:vAlign w:val="bottom"/>
            <w:hideMark/>
          </w:tcPr>
          <w:p w14:paraId="503BD8FB"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c>
          <w:tcPr>
            <w:tcW w:w="1312" w:type="dxa"/>
            <w:shd w:val="clear" w:color="auto" w:fill="auto"/>
            <w:noWrap/>
            <w:vAlign w:val="bottom"/>
            <w:hideMark/>
          </w:tcPr>
          <w:p w14:paraId="22FFF0AC"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r>
      <w:tr w:rsidR="00176111" w:rsidRPr="001A2FE5" w14:paraId="200A7F49" w14:textId="77777777" w:rsidTr="00176111">
        <w:trPr>
          <w:trHeight w:val="212"/>
          <w:jc w:val="center"/>
        </w:trPr>
        <w:tc>
          <w:tcPr>
            <w:tcW w:w="1312" w:type="dxa"/>
            <w:shd w:val="clear" w:color="auto" w:fill="auto"/>
            <w:noWrap/>
            <w:vAlign w:val="bottom"/>
            <w:hideMark/>
          </w:tcPr>
          <w:p w14:paraId="63BFD0ED" w14:textId="77777777" w:rsidR="00586027" w:rsidRPr="00586027" w:rsidRDefault="00586027" w:rsidP="00586027">
            <w:pPr>
              <w:jc w:val="center"/>
              <w:rPr>
                <w:rFonts w:eastAsia="Times New Roman"/>
                <w:color w:val="000000"/>
              </w:rPr>
            </w:pPr>
            <w:r w:rsidRPr="00586027">
              <w:rPr>
                <w:color w:val="000000"/>
              </w:rPr>
              <w:t>-$3,297</w:t>
            </w:r>
          </w:p>
          <w:p w14:paraId="32045EB7" w14:textId="1DDBA403"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450A395B" w14:textId="77777777" w:rsidR="00586027" w:rsidRPr="00586027" w:rsidRDefault="00586027" w:rsidP="00586027">
            <w:pPr>
              <w:jc w:val="center"/>
              <w:rPr>
                <w:rFonts w:eastAsia="Times New Roman"/>
                <w:color w:val="000000"/>
              </w:rPr>
            </w:pPr>
            <w:r w:rsidRPr="00586027">
              <w:rPr>
                <w:color w:val="000000"/>
              </w:rPr>
              <w:t>-$4,304</w:t>
            </w:r>
          </w:p>
          <w:p w14:paraId="6CB26580" w14:textId="2B4DF5D8"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54784EA6" w14:textId="77777777" w:rsidR="00586027" w:rsidRPr="00586027" w:rsidRDefault="00586027" w:rsidP="00586027">
            <w:pPr>
              <w:jc w:val="center"/>
              <w:rPr>
                <w:rFonts w:eastAsia="Times New Roman"/>
                <w:color w:val="000000"/>
              </w:rPr>
            </w:pPr>
            <w:r w:rsidRPr="00586027">
              <w:rPr>
                <w:color w:val="000000"/>
              </w:rPr>
              <w:t>-$9,099</w:t>
            </w:r>
          </w:p>
          <w:p w14:paraId="12ECC33C" w14:textId="34E474D1" w:rsidR="00176111" w:rsidRPr="00586027" w:rsidRDefault="00176111" w:rsidP="00586027">
            <w:pPr>
              <w:widowControl/>
              <w:autoSpaceDE/>
              <w:autoSpaceDN/>
              <w:jc w:val="center"/>
              <w:rPr>
                <w:rFonts w:eastAsia="Times New Roman"/>
                <w:sz w:val="20"/>
                <w:szCs w:val="20"/>
                <w:lang w:val="en-CA" w:eastAsia="en-CA"/>
              </w:rPr>
            </w:pPr>
          </w:p>
        </w:tc>
      </w:tr>
      <w:tr w:rsidR="00176111" w:rsidRPr="001A2FE5" w14:paraId="3E37248C" w14:textId="77777777" w:rsidTr="00176111">
        <w:trPr>
          <w:trHeight w:val="225"/>
          <w:jc w:val="center"/>
        </w:trPr>
        <w:tc>
          <w:tcPr>
            <w:tcW w:w="1312" w:type="dxa"/>
            <w:shd w:val="clear" w:color="auto" w:fill="auto"/>
            <w:noWrap/>
            <w:vAlign w:val="bottom"/>
            <w:hideMark/>
          </w:tcPr>
          <w:p w14:paraId="3EC4FCA3" w14:textId="77777777"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261CC592" w14:textId="77777777"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38D4290A" w14:textId="77777777" w:rsidR="00176111" w:rsidRPr="00586027" w:rsidRDefault="00176111" w:rsidP="00586027">
            <w:pPr>
              <w:widowControl/>
              <w:autoSpaceDE/>
              <w:autoSpaceDN/>
              <w:jc w:val="center"/>
              <w:rPr>
                <w:rFonts w:eastAsia="Times New Roman"/>
                <w:sz w:val="20"/>
                <w:szCs w:val="20"/>
                <w:lang w:val="en-CA" w:eastAsia="en-CA"/>
              </w:rPr>
            </w:pPr>
          </w:p>
        </w:tc>
      </w:tr>
      <w:tr w:rsidR="00176111" w:rsidRPr="001A2FE5" w14:paraId="28CBBC9F" w14:textId="77777777" w:rsidTr="00176111">
        <w:trPr>
          <w:trHeight w:val="212"/>
          <w:jc w:val="center"/>
        </w:trPr>
        <w:tc>
          <w:tcPr>
            <w:tcW w:w="1312" w:type="dxa"/>
            <w:shd w:val="clear" w:color="auto" w:fill="auto"/>
            <w:noWrap/>
            <w:vAlign w:val="bottom"/>
            <w:hideMark/>
          </w:tcPr>
          <w:p w14:paraId="6AA695CE" w14:textId="5F91D94A"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Oct-2</w:t>
            </w:r>
            <w:r w:rsidR="00586027">
              <w:rPr>
                <w:rFonts w:eastAsia="Times New Roman"/>
                <w:b/>
                <w:bCs/>
                <w:sz w:val="20"/>
                <w:szCs w:val="20"/>
                <w:u w:val="single"/>
                <w:lang w:val="en-CA" w:eastAsia="en-CA"/>
              </w:rPr>
              <w:t>1</w:t>
            </w:r>
          </w:p>
        </w:tc>
        <w:tc>
          <w:tcPr>
            <w:tcW w:w="1312" w:type="dxa"/>
            <w:shd w:val="clear" w:color="auto" w:fill="auto"/>
            <w:noWrap/>
            <w:vAlign w:val="bottom"/>
            <w:hideMark/>
          </w:tcPr>
          <w:p w14:paraId="13CDE8D0" w14:textId="1FE80839"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Nov-2</w:t>
            </w:r>
            <w:r w:rsidR="00586027">
              <w:rPr>
                <w:rFonts w:eastAsia="Times New Roman"/>
                <w:b/>
                <w:bCs/>
                <w:sz w:val="20"/>
                <w:szCs w:val="20"/>
                <w:u w:val="single"/>
                <w:lang w:val="en-CA" w:eastAsia="en-CA"/>
              </w:rPr>
              <w:t>1</w:t>
            </w:r>
          </w:p>
        </w:tc>
        <w:tc>
          <w:tcPr>
            <w:tcW w:w="1312" w:type="dxa"/>
            <w:shd w:val="clear" w:color="auto" w:fill="auto"/>
            <w:noWrap/>
            <w:vAlign w:val="bottom"/>
            <w:hideMark/>
          </w:tcPr>
          <w:p w14:paraId="5D693965" w14:textId="6FE6FEC6"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Dec-2</w:t>
            </w:r>
            <w:r w:rsidR="00586027">
              <w:rPr>
                <w:rFonts w:eastAsia="Times New Roman"/>
                <w:b/>
                <w:bCs/>
                <w:sz w:val="20"/>
                <w:szCs w:val="20"/>
                <w:u w:val="single"/>
                <w:lang w:val="en-CA" w:eastAsia="en-CA"/>
              </w:rPr>
              <w:t>1</w:t>
            </w:r>
          </w:p>
        </w:tc>
      </w:tr>
      <w:tr w:rsidR="00176111" w:rsidRPr="001A2FE5" w14:paraId="6B9CF589" w14:textId="77777777" w:rsidTr="00176111">
        <w:trPr>
          <w:trHeight w:val="212"/>
          <w:jc w:val="center"/>
        </w:trPr>
        <w:tc>
          <w:tcPr>
            <w:tcW w:w="1312" w:type="dxa"/>
            <w:shd w:val="clear" w:color="auto" w:fill="auto"/>
            <w:noWrap/>
            <w:vAlign w:val="bottom"/>
            <w:hideMark/>
          </w:tcPr>
          <w:p w14:paraId="60105144"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c>
          <w:tcPr>
            <w:tcW w:w="1312" w:type="dxa"/>
            <w:shd w:val="clear" w:color="auto" w:fill="auto"/>
            <w:noWrap/>
            <w:vAlign w:val="bottom"/>
            <w:hideMark/>
          </w:tcPr>
          <w:p w14:paraId="6D0A7957"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c>
          <w:tcPr>
            <w:tcW w:w="1312" w:type="dxa"/>
            <w:shd w:val="clear" w:color="auto" w:fill="auto"/>
            <w:noWrap/>
            <w:vAlign w:val="bottom"/>
            <w:hideMark/>
          </w:tcPr>
          <w:p w14:paraId="45DDDE10" w14:textId="77777777" w:rsidR="00176111" w:rsidRPr="00586027" w:rsidRDefault="00176111" w:rsidP="00586027">
            <w:pPr>
              <w:widowControl/>
              <w:autoSpaceDE/>
              <w:autoSpaceDN/>
              <w:jc w:val="center"/>
              <w:rPr>
                <w:rFonts w:eastAsia="Times New Roman"/>
                <w:b/>
                <w:bCs/>
                <w:sz w:val="20"/>
                <w:szCs w:val="20"/>
                <w:u w:val="single"/>
                <w:lang w:val="en-CA" w:eastAsia="en-CA"/>
              </w:rPr>
            </w:pPr>
            <w:r w:rsidRPr="00586027">
              <w:rPr>
                <w:rFonts w:eastAsia="Times New Roman"/>
                <w:b/>
                <w:bCs/>
                <w:sz w:val="20"/>
                <w:szCs w:val="20"/>
                <w:u w:val="single"/>
                <w:lang w:val="en-CA" w:eastAsia="en-CA"/>
              </w:rPr>
              <w:t>IESO</w:t>
            </w:r>
          </w:p>
        </w:tc>
      </w:tr>
      <w:tr w:rsidR="00176111" w:rsidRPr="001A2FE5" w14:paraId="0A3D453E" w14:textId="77777777" w:rsidTr="00176111">
        <w:trPr>
          <w:trHeight w:val="212"/>
          <w:jc w:val="center"/>
        </w:trPr>
        <w:tc>
          <w:tcPr>
            <w:tcW w:w="1312" w:type="dxa"/>
            <w:shd w:val="clear" w:color="auto" w:fill="auto"/>
            <w:noWrap/>
            <w:vAlign w:val="bottom"/>
            <w:hideMark/>
          </w:tcPr>
          <w:p w14:paraId="053797FC" w14:textId="77777777" w:rsidR="00586027" w:rsidRPr="00586027" w:rsidRDefault="00586027" w:rsidP="00586027">
            <w:pPr>
              <w:jc w:val="center"/>
              <w:rPr>
                <w:rFonts w:eastAsia="Times New Roman"/>
                <w:color w:val="000000"/>
              </w:rPr>
            </w:pPr>
            <w:r w:rsidRPr="00586027">
              <w:rPr>
                <w:color w:val="000000"/>
              </w:rPr>
              <w:t>-$9,393</w:t>
            </w:r>
          </w:p>
          <w:p w14:paraId="5B855AAA" w14:textId="3A6E6AD6"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0D09C24C" w14:textId="77777777" w:rsidR="00586027" w:rsidRPr="00586027" w:rsidRDefault="00586027" w:rsidP="00586027">
            <w:pPr>
              <w:jc w:val="center"/>
              <w:rPr>
                <w:rFonts w:eastAsia="Times New Roman"/>
                <w:color w:val="000000"/>
              </w:rPr>
            </w:pPr>
            <w:r w:rsidRPr="00586027">
              <w:rPr>
                <w:color w:val="000000"/>
              </w:rPr>
              <w:t>-$15,574</w:t>
            </w:r>
          </w:p>
          <w:p w14:paraId="25F40AEB" w14:textId="3DE3D554" w:rsidR="00176111" w:rsidRPr="00586027" w:rsidRDefault="00176111" w:rsidP="00586027">
            <w:pPr>
              <w:widowControl/>
              <w:autoSpaceDE/>
              <w:autoSpaceDN/>
              <w:jc w:val="center"/>
              <w:rPr>
                <w:rFonts w:eastAsia="Times New Roman"/>
                <w:sz w:val="20"/>
                <w:szCs w:val="20"/>
                <w:lang w:val="en-CA" w:eastAsia="en-CA"/>
              </w:rPr>
            </w:pPr>
          </w:p>
        </w:tc>
        <w:tc>
          <w:tcPr>
            <w:tcW w:w="1312" w:type="dxa"/>
            <w:shd w:val="clear" w:color="auto" w:fill="auto"/>
            <w:noWrap/>
            <w:vAlign w:val="bottom"/>
            <w:hideMark/>
          </w:tcPr>
          <w:p w14:paraId="1E53A713" w14:textId="39903043" w:rsidR="00176111" w:rsidRPr="00586027" w:rsidRDefault="00586027" w:rsidP="00586027">
            <w:pPr>
              <w:jc w:val="center"/>
              <w:rPr>
                <w:rFonts w:eastAsia="Times New Roman"/>
                <w:color w:val="000000"/>
              </w:rPr>
            </w:pPr>
            <w:r w:rsidRPr="00586027">
              <w:rPr>
                <w:color w:val="000000"/>
              </w:rPr>
              <w:t>-$20,342</w:t>
            </w:r>
          </w:p>
        </w:tc>
      </w:tr>
    </w:tbl>
    <w:p w14:paraId="5487A8D4" w14:textId="77777777" w:rsidR="001A2FE5" w:rsidRPr="001A2FE5" w:rsidRDefault="001A2FE5">
      <w:pPr>
        <w:pStyle w:val="BodyText"/>
        <w:spacing w:before="80" w:line="278" w:lineRule="auto"/>
        <w:ind w:left="443"/>
        <w:rPr>
          <w:lang w:val="en-CA"/>
        </w:rPr>
      </w:pPr>
    </w:p>
    <w:sectPr w:rsidR="001A2FE5" w:rsidRPr="001A2FE5">
      <w:pgSz w:w="12240" w:h="15840"/>
      <w:pgMar w:top="13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1C9"/>
    <w:multiLevelType w:val="hybridMultilevel"/>
    <w:tmpl w:val="970C528C"/>
    <w:lvl w:ilvl="0" w:tplc="5A22420C">
      <w:start w:val="2"/>
      <w:numFmt w:val="decimal"/>
      <w:lvlText w:val="(%1)"/>
      <w:lvlJc w:val="left"/>
      <w:pPr>
        <w:ind w:left="1190" w:hanging="368"/>
        <w:jc w:val="left"/>
      </w:pPr>
      <w:rPr>
        <w:rFonts w:ascii="Arial" w:eastAsia="Arial" w:hAnsi="Arial" w:cs="Arial" w:hint="default"/>
        <w:spacing w:val="-6"/>
        <w:w w:val="100"/>
        <w:sz w:val="24"/>
        <w:szCs w:val="24"/>
      </w:rPr>
    </w:lvl>
    <w:lvl w:ilvl="1" w:tplc="4DF40876">
      <w:numFmt w:val="bullet"/>
      <w:lvlText w:val="•"/>
      <w:lvlJc w:val="left"/>
      <w:pPr>
        <w:ind w:left="2034" w:hanging="368"/>
      </w:pPr>
      <w:rPr>
        <w:rFonts w:hint="default"/>
      </w:rPr>
    </w:lvl>
    <w:lvl w:ilvl="2" w:tplc="0FB29C86">
      <w:numFmt w:val="bullet"/>
      <w:lvlText w:val="•"/>
      <w:lvlJc w:val="left"/>
      <w:pPr>
        <w:ind w:left="2868" w:hanging="368"/>
      </w:pPr>
      <w:rPr>
        <w:rFonts w:hint="default"/>
      </w:rPr>
    </w:lvl>
    <w:lvl w:ilvl="3" w:tplc="33C6B7C0">
      <w:numFmt w:val="bullet"/>
      <w:lvlText w:val="•"/>
      <w:lvlJc w:val="left"/>
      <w:pPr>
        <w:ind w:left="3702" w:hanging="368"/>
      </w:pPr>
      <w:rPr>
        <w:rFonts w:hint="default"/>
      </w:rPr>
    </w:lvl>
    <w:lvl w:ilvl="4" w:tplc="D67A9914">
      <w:numFmt w:val="bullet"/>
      <w:lvlText w:val="•"/>
      <w:lvlJc w:val="left"/>
      <w:pPr>
        <w:ind w:left="4536" w:hanging="368"/>
      </w:pPr>
      <w:rPr>
        <w:rFonts w:hint="default"/>
      </w:rPr>
    </w:lvl>
    <w:lvl w:ilvl="5" w:tplc="319C92AE">
      <w:numFmt w:val="bullet"/>
      <w:lvlText w:val="•"/>
      <w:lvlJc w:val="left"/>
      <w:pPr>
        <w:ind w:left="5370" w:hanging="368"/>
      </w:pPr>
      <w:rPr>
        <w:rFonts w:hint="default"/>
      </w:rPr>
    </w:lvl>
    <w:lvl w:ilvl="6" w:tplc="A24A7A3E">
      <w:numFmt w:val="bullet"/>
      <w:lvlText w:val="•"/>
      <w:lvlJc w:val="left"/>
      <w:pPr>
        <w:ind w:left="6204" w:hanging="368"/>
      </w:pPr>
      <w:rPr>
        <w:rFonts w:hint="default"/>
      </w:rPr>
    </w:lvl>
    <w:lvl w:ilvl="7" w:tplc="17EAEE98">
      <w:numFmt w:val="bullet"/>
      <w:lvlText w:val="•"/>
      <w:lvlJc w:val="left"/>
      <w:pPr>
        <w:ind w:left="7038" w:hanging="368"/>
      </w:pPr>
      <w:rPr>
        <w:rFonts w:hint="default"/>
      </w:rPr>
    </w:lvl>
    <w:lvl w:ilvl="8" w:tplc="C316A1EA">
      <w:numFmt w:val="bullet"/>
      <w:lvlText w:val="•"/>
      <w:lvlJc w:val="left"/>
      <w:pPr>
        <w:ind w:left="7872" w:hanging="368"/>
      </w:pPr>
      <w:rPr>
        <w:rFonts w:hint="default"/>
      </w:rPr>
    </w:lvl>
  </w:abstractNum>
  <w:abstractNum w:abstractNumId="1" w15:restartNumberingAfterBreak="0">
    <w:nsid w:val="14693204"/>
    <w:multiLevelType w:val="hybridMultilevel"/>
    <w:tmpl w:val="EF4A7D5A"/>
    <w:lvl w:ilvl="0" w:tplc="4C40AEA0">
      <w:numFmt w:val="bullet"/>
      <w:lvlText w:val=""/>
      <w:lvlJc w:val="left"/>
      <w:pPr>
        <w:ind w:left="823" w:hanging="353"/>
      </w:pPr>
      <w:rPr>
        <w:rFonts w:ascii="Symbol" w:eastAsia="Symbol" w:hAnsi="Symbol" w:cs="Symbol" w:hint="default"/>
        <w:w w:val="100"/>
        <w:sz w:val="24"/>
        <w:szCs w:val="24"/>
      </w:rPr>
    </w:lvl>
    <w:lvl w:ilvl="1" w:tplc="E738E064">
      <w:numFmt w:val="bullet"/>
      <w:lvlText w:val="o"/>
      <w:lvlJc w:val="left"/>
      <w:pPr>
        <w:ind w:left="1544" w:hanging="353"/>
      </w:pPr>
      <w:rPr>
        <w:rFonts w:ascii="Courier New" w:eastAsia="Courier New" w:hAnsi="Courier New" w:cs="Courier New" w:hint="default"/>
        <w:w w:val="100"/>
        <w:sz w:val="24"/>
        <w:szCs w:val="24"/>
      </w:rPr>
    </w:lvl>
    <w:lvl w:ilvl="2" w:tplc="11A44866">
      <w:numFmt w:val="bullet"/>
      <w:lvlText w:val="•"/>
      <w:lvlJc w:val="left"/>
      <w:pPr>
        <w:ind w:left="2433" w:hanging="353"/>
      </w:pPr>
      <w:rPr>
        <w:rFonts w:hint="default"/>
      </w:rPr>
    </w:lvl>
    <w:lvl w:ilvl="3" w:tplc="EBAA67E6">
      <w:numFmt w:val="bullet"/>
      <w:lvlText w:val="•"/>
      <w:lvlJc w:val="left"/>
      <w:pPr>
        <w:ind w:left="3326" w:hanging="353"/>
      </w:pPr>
      <w:rPr>
        <w:rFonts w:hint="default"/>
      </w:rPr>
    </w:lvl>
    <w:lvl w:ilvl="4" w:tplc="63FC1700">
      <w:numFmt w:val="bullet"/>
      <w:lvlText w:val="•"/>
      <w:lvlJc w:val="left"/>
      <w:pPr>
        <w:ind w:left="4220" w:hanging="353"/>
      </w:pPr>
      <w:rPr>
        <w:rFonts w:hint="default"/>
      </w:rPr>
    </w:lvl>
    <w:lvl w:ilvl="5" w:tplc="DA3A60A8">
      <w:numFmt w:val="bullet"/>
      <w:lvlText w:val="•"/>
      <w:lvlJc w:val="left"/>
      <w:pPr>
        <w:ind w:left="5113" w:hanging="353"/>
      </w:pPr>
      <w:rPr>
        <w:rFonts w:hint="default"/>
      </w:rPr>
    </w:lvl>
    <w:lvl w:ilvl="6" w:tplc="77F45D44">
      <w:numFmt w:val="bullet"/>
      <w:lvlText w:val="•"/>
      <w:lvlJc w:val="left"/>
      <w:pPr>
        <w:ind w:left="6006" w:hanging="353"/>
      </w:pPr>
      <w:rPr>
        <w:rFonts w:hint="default"/>
      </w:rPr>
    </w:lvl>
    <w:lvl w:ilvl="7" w:tplc="5DCE112C">
      <w:numFmt w:val="bullet"/>
      <w:lvlText w:val="•"/>
      <w:lvlJc w:val="left"/>
      <w:pPr>
        <w:ind w:left="6900" w:hanging="353"/>
      </w:pPr>
      <w:rPr>
        <w:rFonts w:hint="default"/>
      </w:rPr>
    </w:lvl>
    <w:lvl w:ilvl="8" w:tplc="4BA09D28">
      <w:numFmt w:val="bullet"/>
      <w:lvlText w:val="•"/>
      <w:lvlJc w:val="left"/>
      <w:pPr>
        <w:ind w:left="7793" w:hanging="353"/>
      </w:pPr>
      <w:rPr>
        <w:rFonts w:hint="default"/>
      </w:rPr>
    </w:lvl>
  </w:abstractNum>
  <w:abstractNum w:abstractNumId="2" w15:restartNumberingAfterBreak="0">
    <w:nsid w:val="23DA1368"/>
    <w:multiLevelType w:val="multilevel"/>
    <w:tmpl w:val="5F664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A929AD"/>
    <w:multiLevelType w:val="multilevel"/>
    <w:tmpl w:val="35D0D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3F01387"/>
    <w:multiLevelType w:val="hybridMultilevel"/>
    <w:tmpl w:val="B8982874"/>
    <w:lvl w:ilvl="0" w:tplc="4F96888A">
      <w:start w:val="1"/>
      <w:numFmt w:val="lowerLetter"/>
      <w:lvlText w:val="%1)"/>
      <w:lvlJc w:val="left"/>
      <w:pPr>
        <w:ind w:left="823" w:hanging="353"/>
        <w:jc w:val="left"/>
      </w:pPr>
      <w:rPr>
        <w:rFonts w:ascii="Arial" w:eastAsia="Arial" w:hAnsi="Arial" w:cs="Arial" w:hint="default"/>
        <w:spacing w:val="-6"/>
        <w:w w:val="100"/>
        <w:sz w:val="24"/>
        <w:szCs w:val="24"/>
      </w:rPr>
    </w:lvl>
    <w:lvl w:ilvl="1" w:tplc="A28A2CAA">
      <w:numFmt w:val="bullet"/>
      <w:lvlText w:val="•"/>
      <w:lvlJc w:val="left"/>
      <w:pPr>
        <w:ind w:left="1694" w:hanging="353"/>
      </w:pPr>
      <w:rPr>
        <w:rFonts w:hint="default"/>
      </w:rPr>
    </w:lvl>
    <w:lvl w:ilvl="2" w:tplc="E048BF5C">
      <w:numFmt w:val="bullet"/>
      <w:lvlText w:val="•"/>
      <w:lvlJc w:val="left"/>
      <w:pPr>
        <w:ind w:left="2568" w:hanging="353"/>
      </w:pPr>
      <w:rPr>
        <w:rFonts w:hint="default"/>
      </w:rPr>
    </w:lvl>
    <w:lvl w:ilvl="3" w:tplc="CF72D494">
      <w:numFmt w:val="bullet"/>
      <w:lvlText w:val="•"/>
      <w:lvlJc w:val="left"/>
      <w:pPr>
        <w:ind w:left="3442" w:hanging="353"/>
      </w:pPr>
      <w:rPr>
        <w:rFonts w:hint="default"/>
      </w:rPr>
    </w:lvl>
    <w:lvl w:ilvl="4" w:tplc="A914F6EA">
      <w:numFmt w:val="bullet"/>
      <w:lvlText w:val="•"/>
      <w:lvlJc w:val="left"/>
      <w:pPr>
        <w:ind w:left="4316" w:hanging="353"/>
      </w:pPr>
      <w:rPr>
        <w:rFonts w:hint="default"/>
      </w:rPr>
    </w:lvl>
    <w:lvl w:ilvl="5" w:tplc="105CF0DC">
      <w:numFmt w:val="bullet"/>
      <w:lvlText w:val="•"/>
      <w:lvlJc w:val="left"/>
      <w:pPr>
        <w:ind w:left="5190" w:hanging="353"/>
      </w:pPr>
      <w:rPr>
        <w:rFonts w:hint="default"/>
      </w:rPr>
    </w:lvl>
    <w:lvl w:ilvl="6" w:tplc="EFBCA976">
      <w:numFmt w:val="bullet"/>
      <w:lvlText w:val="•"/>
      <w:lvlJc w:val="left"/>
      <w:pPr>
        <w:ind w:left="6064" w:hanging="353"/>
      </w:pPr>
      <w:rPr>
        <w:rFonts w:hint="default"/>
      </w:rPr>
    </w:lvl>
    <w:lvl w:ilvl="7" w:tplc="9D80AEA0">
      <w:numFmt w:val="bullet"/>
      <w:lvlText w:val="•"/>
      <w:lvlJc w:val="left"/>
      <w:pPr>
        <w:ind w:left="6938" w:hanging="353"/>
      </w:pPr>
      <w:rPr>
        <w:rFonts w:hint="default"/>
      </w:rPr>
    </w:lvl>
    <w:lvl w:ilvl="8" w:tplc="A43898A2">
      <w:numFmt w:val="bullet"/>
      <w:lvlText w:val="•"/>
      <w:lvlJc w:val="left"/>
      <w:pPr>
        <w:ind w:left="7812" w:hanging="353"/>
      </w:pPr>
      <w:rPr>
        <w:rFonts w:hint="default"/>
      </w:rPr>
    </w:lvl>
  </w:abstractNum>
  <w:abstractNum w:abstractNumId="5" w15:restartNumberingAfterBreak="0">
    <w:nsid w:val="6DA825A9"/>
    <w:multiLevelType w:val="multilevel"/>
    <w:tmpl w:val="F118BE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LY0MjUzMjA2tTRV0lEKTi0uzszPAykwqwUAx1xBbCwAAAA="/>
  </w:docVars>
  <w:rsids>
    <w:rsidRoot w:val="00726229"/>
    <w:rsid w:val="00062472"/>
    <w:rsid w:val="00103DD5"/>
    <w:rsid w:val="00135420"/>
    <w:rsid w:val="00176111"/>
    <w:rsid w:val="00180D3B"/>
    <w:rsid w:val="001A2FE5"/>
    <w:rsid w:val="001E4E7E"/>
    <w:rsid w:val="002176F8"/>
    <w:rsid w:val="002520B7"/>
    <w:rsid w:val="00365130"/>
    <w:rsid w:val="003A439C"/>
    <w:rsid w:val="003B2422"/>
    <w:rsid w:val="00417590"/>
    <w:rsid w:val="004B23CA"/>
    <w:rsid w:val="004C36C3"/>
    <w:rsid w:val="00586027"/>
    <w:rsid w:val="006125B4"/>
    <w:rsid w:val="006D2FC3"/>
    <w:rsid w:val="00726229"/>
    <w:rsid w:val="00784875"/>
    <w:rsid w:val="008323AF"/>
    <w:rsid w:val="00852DBD"/>
    <w:rsid w:val="008A04BF"/>
    <w:rsid w:val="008C7738"/>
    <w:rsid w:val="00925E4A"/>
    <w:rsid w:val="009432AD"/>
    <w:rsid w:val="009964EA"/>
    <w:rsid w:val="00996FC0"/>
    <w:rsid w:val="00A27C6B"/>
    <w:rsid w:val="00AB1247"/>
    <w:rsid w:val="00B53D43"/>
    <w:rsid w:val="00B65DBB"/>
    <w:rsid w:val="00B6640C"/>
    <w:rsid w:val="00C84162"/>
    <w:rsid w:val="00D2191C"/>
    <w:rsid w:val="00D874CE"/>
    <w:rsid w:val="00E7515A"/>
    <w:rsid w:val="00E872AC"/>
    <w:rsid w:val="00EC19A2"/>
    <w:rsid w:val="00F03011"/>
    <w:rsid w:val="00F70A4C"/>
    <w:rsid w:val="00FC5E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D865"/>
  <w15:docId w15:val="{D3463D48-4504-4EC0-AA4D-0C37DE96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4"/>
      <w:ind w:left="2399" w:right="2401"/>
      <w:jc w:val="center"/>
      <w:outlineLvl w:val="0"/>
    </w:pPr>
    <w:rPr>
      <w:b/>
      <w:bCs/>
      <w:sz w:val="29"/>
      <w:szCs w:val="29"/>
    </w:rPr>
  </w:style>
  <w:style w:type="paragraph" w:styleId="Heading2">
    <w:name w:val="heading 2"/>
    <w:basedOn w:val="Normal"/>
    <w:uiPriority w:val="9"/>
    <w:unhideWhenUsed/>
    <w:qFormat/>
    <w:pPr>
      <w:ind w:left="10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3" w:hanging="353"/>
    </w:pPr>
  </w:style>
  <w:style w:type="paragraph" w:customStyle="1" w:styleId="TableParagraph">
    <w:name w:val="Table Paragraph"/>
    <w:basedOn w:val="Normal"/>
    <w:uiPriority w:val="1"/>
    <w:qFormat/>
  </w:style>
  <w:style w:type="paragraph" w:customStyle="1" w:styleId="m-9009481142966193444msobodytext">
    <w:name w:val="m_-9009481142966193444msobodytext"/>
    <w:basedOn w:val="Normal"/>
    <w:rsid w:val="001A2FE5"/>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m-9009481142966193444msolistparagraph">
    <w:name w:val="m_-9009481142966193444msolistparagraph"/>
    <w:basedOn w:val="Normal"/>
    <w:rsid w:val="001A2FE5"/>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m8962507138826290404msobodytext">
    <w:name w:val="m_8962507138826290404msobodytext"/>
    <w:basedOn w:val="Normal"/>
    <w:rsid w:val="001A2FE5"/>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m8962507138826290404msolistparagraph">
    <w:name w:val="m_8962507138826290404msolistparagraph"/>
    <w:basedOn w:val="Normal"/>
    <w:rsid w:val="001A2FE5"/>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334">
      <w:bodyDiv w:val="1"/>
      <w:marLeft w:val="0"/>
      <w:marRight w:val="0"/>
      <w:marTop w:val="0"/>
      <w:marBottom w:val="0"/>
      <w:divBdr>
        <w:top w:val="none" w:sz="0" w:space="0" w:color="auto"/>
        <w:left w:val="none" w:sz="0" w:space="0" w:color="auto"/>
        <w:bottom w:val="none" w:sz="0" w:space="0" w:color="auto"/>
        <w:right w:val="none" w:sz="0" w:space="0" w:color="auto"/>
      </w:divBdr>
    </w:div>
    <w:div w:id="64690657">
      <w:bodyDiv w:val="1"/>
      <w:marLeft w:val="0"/>
      <w:marRight w:val="0"/>
      <w:marTop w:val="0"/>
      <w:marBottom w:val="0"/>
      <w:divBdr>
        <w:top w:val="none" w:sz="0" w:space="0" w:color="auto"/>
        <w:left w:val="none" w:sz="0" w:space="0" w:color="auto"/>
        <w:bottom w:val="none" w:sz="0" w:space="0" w:color="auto"/>
        <w:right w:val="none" w:sz="0" w:space="0" w:color="auto"/>
      </w:divBdr>
    </w:div>
    <w:div w:id="241716034">
      <w:bodyDiv w:val="1"/>
      <w:marLeft w:val="0"/>
      <w:marRight w:val="0"/>
      <w:marTop w:val="0"/>
      <w:marBottom w:val="0"/>
      <w:divBdr>
        <w:top w:val="none" w:sz="0" w:space="0" w:color="auto"/>
        <w:left w:val="none" w:sz="0" w:space="0" w:color="auto"/>
        <w:bottom w:val="none" w:sz="0" w:space="0" w:color="auto"/>
        <w:right w:val="none" w:sz="0" w:space="0" w:color="auto"/>
      </w:divBdr>
    </w:div>
    <w:div w:id="291447769">
      <w:bodyDiv w:val="1"/>
      <w:marLeft w:val="0"/>
      <w:marRight w:val="0"/>
      <w:marTop w:val="0"/>
      <w:marBottom w:val="0"/>
      <w:divBdr>
        <w:top w:val="none" w:sz="0" w:space="0" w:color="auto"/>
        <w:left w:val="none" w:sz="0" w:space="0" w:color="auto"/>
        <w:bottom w:val="none" w:sz="0" w:space="0" w:color="auto"/>
        <w:right w:val="none" w:sz="0" w:space="0" w:color="auto"/>
      </w:divBdr>
    </w:div>
    <w:div w:id="608779067">
      <w:bodyDiv w:val="1"/>
      <w:marLeft w:val="0"/>
      <w:marRight w:val="0"/>
      <w:marTop w:val="0"/>
      <w:marBottom w:val="0"/>
      <w:divBdr>
        <w:top w:val="none" w:sz="0" w:space="0" w:color="auto"/>
        <w:left w:val="none" w:sz="0" w:space="0" w:color="auto"/>
        <w:bottom w:val="none" w:sz="0" w:space="0" w:color="auto"/>
        <w:right w:val="none" w:sz="0" w:space="0" w:color="auto"/>
      </w:divBdr>
    </w:div>
    <w:div w:id="847718154">
      <w:bodyDiv w:val="1"/>
      <w:marLeft w:val="0"/>
      <w:marRight w:val="0"/>
      <w:marTop w:val="0"/>
      <w:marBottom w:val="0"/>
      <w:divBdr>
        <w:top w:val="none" w:sz="0" w:space="0" w:color="auto"/>
        <w:left w:val="none" w:sz="0" w:space="0" w:color="auto"/>
        <w:bottom w:val="none" w:sz="0" w:space="0" w:color="auto"/>
        <w:right w:val="none" w:sz="0" w:space="0" w:color="auto"/>
      </w:divBdr>
    </w:div>
    <w:div w:id="938176517">
      <w:bodyDiv w:val="1"/>
      <w:marLeft w:val="0"/>
      <w:marRight w:val="0"/>
      <w:marTop w:val="0"/>
      <w:marBottom w:val="0"/>
      <w:divBdr>
        <w:top w:val="none" w:sz="0" w:space="0" w:color="auto"/>
        <w:left w:val="none" w:sz="0" w:space="0" w:color="auto"/>
        <w:bottom w:val="none" w:sz="0" w:space="0" w:color="auto"/>
        <w:right w:val="none" w:sz="0" w:space="0" w:color="auto"/>
      </w:divBdr>
    </w:div>
    <w:div w:id="1030955869">
      <w:bodyDiv w:val="1"/>
      <w:marLeft w:val="0"/>
      <w:marRight w:val="0"/>
      <w:marTop w:val="0"/>
      <w:marBottom w:val="0"/>
      <w:divBdr>
        <w:top w:val="none" w:sz="0" w:space="0" w:color="auto"/>
        <w:left w:val="none" w:sz="0" w:space="0" w:color="auto"/>
        <w:bottom w:val="none" w:sz="0" w:space="0" w:color="auto"/>
        <w:right w:val="none" w:sz="0" w:space="0" w:color="auto"/>
      </w:divBdr>
    </w:div>
    <w:div w:id="1259755763">
      <w:bodyDiv w:val="1"/>
      <w:marLeft w:val="0"/>
      <w:marRight w:val="0"/>
      <w:marTop w:val="0"/>
      <w:marBottom w:val="0"/>
      <w:divBdr>
        <w:top w:val="none" w:sz="0" w:space="0" w:color="auto"/>
        <w:left w:val="none" w:sz="0" w:space="0" w:color="auto"/>
        <w:bottom w:val="none" w:sz="0" w:space="0" w:color="auto"/>
        <w:right w:val="none" w:sz="0" w:space="0" w:color="auto"/>
      </w:divBdr>
    </w:div>
    <w:div w:id="1286962630">
      <w:bodyDiv w:val="1"/>
      <w:marLeft w:val="0"/>
      <w:marRight w:val="0"/>
      <w:marTop w:val="0"/>
      <w:marBottom w:val="0"/>
      <w:divBdr>
        <w:top w:val="none" w:sz="0" w:space="0" w:color="auto"/>
        <w:left w:val="none" w:sz="0" w:space="0" w:color="auto"/>
        <w:bottom w:val="none" w:sz="0" w:space="0" w:color="auto"/>
        <w:right w:val="none" w:sz="0" w:space="0" w:color="auto"/>
      </w:divBdr>
    </w:div>
    <w:div w:id="1651447904">
      <w:bodyDiv w:val="1"/>
      <w:marLeft w:val="0"/>
      <w:marRight w:val="0"/>
      <w:marTop w:val="0"/>
      <w:marBottom w:val="0"/>
      <w:divBdr>
        <w:top w:val="none" w:sz="0" w:space="0" w:color="auto"/>
        <w:left w:val="none" w:sz="0" w:space="0" w:color="auto"/>
        <w:bottom w:val="none" w:sz="0" w:space="0" w:color="auto"/>
        <w:right w:val="none" w:sz="0" w:space="0" w:color="auto"/>
      </w:divBdr>
    </w:div>
    <w:div w:id="1751806734">
      <w:bodyDiv w:val="1"/>
      <w:marLeft w:val="0"/>
      <w:marRight w:val="0"/>
      <w:marTop w:val="0"/>
      <w:marBottom w:val="0"/>
      <w:divBdr>
        <w:top w:val="none" w:sz="0" w:space="0" w:color="auto"/>
        <w:left w:val="none" w:sz="0" w:space="0" w:color="auto"/>
        <w:bottom w:val="none" w:sz="0" w:space="0" w:color="auto"/>
        <w:right w:val="none" w:sz="0" w:space="0" w:color="auto"/>
      </w:divBdr>
    </w:div>
    <w:div w:id="1755737138">
      <w:bodyDiv w:val="1"/>
      <w:marLeft w:val="0"/>
      <w:marRight w:val="0"/>
      <w:marTop w:val="0"/>
      <w:marBottom w:val="0"/>
      <w:divBdr>
        <w:top w:val="none" w:sz="0" w:space="0" w:color="auto"/>
        <w:left w:val="none" w:sz="0" w:space="0" w:color="auto"/>
        <w:bottom w:val="none" w:sz="0" w:space="0" w:color="auto"/>
        <w:right w:val="none" w:sz="0" w:space="0" w:color="auto"/>
      </w:divBdr>
    </w:div>
    <w:div w:id="1763259112">
      <w:bodyDiv w:val="1"/>
      <w:marLeft w:val="0"/>
      <w:marRight w:val="0"/>
      <w:marTop w:val="0"/>
      <w:marBottom w:val="0"/>
      <w:divBdr>
        <w:top w:val="none" w:sz="0" w:space="0" w:color="auto"/>
        <w:left w:val="none" w:sz="0" w:space="0" w:color="auto"/>
        <w:bottom w:val="none" w:sz="0" w:space="0" w:color="auto"/>
        <w:right w:val="none" w:sz="0" w:space="0" w:color="auto"/>
      </w:divBdr>
    </w:div>
    <w:div w:id="1929072837">
      <w:bodyDiv w:val="1"/>
      <w:marLeft w:val="0"/>
      <w:marRight w:val="0"/>
      <w:marTop w:val="0"/>
      <w:marBottom w:val="0"/>
      <w:divBdr>
        <w:top w:val="none" w:sz="0" w:space="0" w:color="auto"/>
        <w:left w:val="none" w:sz="0" w:space="0" w:color="auto"/>
        <w:bottom w:val="none" w:sz="0" w:space="0" w:color="auto"/>
        <w:right w:val="none" w:sz="0" w:space="0" w:color="auto"/>
      </w:divBdr>
    </w:div>
    <w:div w:id="210483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Vithooshan Ganesanathan</dc:creator>
  <cp:lastModifiedBy>Vithooshan Ganesanathan</cp:lastModifiedBy>
  <cp:revision>3</cp:revision>
  <dcterms:created xsi:type="dcterms:W3CDTF">2022-02-14T21:30:00Z</dcterms:created>
  <dcterms:modified xsi:type="dcterms:W3CDTF">2022-02-23T18:50:00Z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for Microsoft 365</vt:lpwstr>
  </property>
  <property fmtid="{D5CDD505-2E9C-101B-9397-08002B2CF9AE}" pid="4" name="LastSaved">
    <vt:filetime>2022-01-19T00:00:00Z</vt:filetime>
  </property>
</Properties>
</file>