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64B6" w14:textId="0CD08525" w:rsidR="00A23092" w:rsidRPr="00E108B7" w:rsidRDefault="00863833">
      <w:pPr>
        <w:rPr>
          <w:rFonts w:ascii="Arial" w:hAnsi="Arial" w:cs="Arial"/>
          <w:b/>
          <w:bCs/>
          <w:sz w:val="24"/>
          <w:szCs w:val="24"/>
        </w:rPr>
      </w:pPr>
      <w:r w:rsidRPr="00E108B7">
        <w:rPr>
          <w:rFonts w:ascii="Arial" w:hAnsi="Arial" w:cs="Arial"/>
          <w:b/>
          <w:bCs/>
          <w:sz w:val="24"/>
          <w:szCs w:val="24"/>
        </w:rPr>
        <w:t>Synergy North Follow-up Question</w:t>
      </w:r>
    </w:p>
    <w:p w14:paraId="122F5F11" w14:textId="77177BB5" w:rsidR="00863833" w:rsidRDefault="00863833"/>
    <w:p w14:paraId="5AF1BA5A" w14:textId="3BD48983" w:rsidR="00E108B7" w:rsidRPr="00E108B7" w:rsidRDefault="00E108B7">
      <w:pPr>
        <w:rPr>
          <w:rFonts w:ascii="Arial" w:hAnsi="Arial" w:cs="Arial"/>
          <w:b/>
          <w:bCs/>
        </w:rPr>
      </w:pPr>
      <w:r w:rsidRPr="00E108B7">
        <w:rPr>
          <w:rFonts w:ascii="Arial" w:hAnsi="Arial" w:cs="Arial"/>
          <w:b/>
          <w:bCs/>
        </w:rPr>
        <w:t>Staff Follow-up Question – 1</w:t>
      </w:r>
    </w:p>
    <w:p w14:paraId="06D54427" w14:textId="5E99C2B9" w:rsidR="00E108B7" w:rsidRPr="00E108B7" w:rsidRDefault="00E108B7">
      <w:pPr>
        <w:rPr>
          <w:rFonts w:ascii="Arial" w:hAnsi="Arial" w:cs="Arial"/>
          <w:b/>
          <w:bCs/>
        </w:rPr>
      </w:pPr>
      <w:r w:rsidRPr="00E108B7">
        <w:rPr>
          <w:rFonts w:ascii="Arial" w:hAnsi="Arial" w:cs="Arial"/>
          <w:b/>
          <w:bCs/>
        </w:rPr>
        <w:t>Ref: Response to Staff Question – 3</w:t>
      </w:r>
    </w:p>
    <w:p w14:paraId="5947245B" w14:textId="0663E672" w:rsidR="00E108B7" w:rsidRDefault="00E108B7">
      <w:pPr>
        <w:rPr>
          <w:rFonts w:ascii="Arial" w:hAnsi="Arial" w:cs="Arial"/>
        </w:rPr>
      </w:pPr>
    </w:p>
    <w:p w14:paraId="42A9D7DC" w14:textId="77777777" w:rsidR="002A4537" w:rsidRDefault="002A4537" w:rsidP="002A4537">
      <w:pPr>
        <w:rPr>
          <w:rFonts w:ascii="Arial" w:hAnsi="Arial" w:cs="Arial"/>
        </w:rPr>
      </w:pPr>
      <w:r>
        <w:rPr>
          <w:rFonts w:ascii="Arial" w:hAnsi="Arial" w:cs="Arial"/>
        </w:rPr>
        <w:t>In Reference 1, Synergy North stated that “</w:t>
      </w:r>
      <w:r w:rsidRPr="002A4537">
        <w:rPr>
          <w:rFonts w:ascii="Arial" w:hAnsi="Arial" w:cs="Arial"/>
        </w:rPr>
        <w:t>An audit of the process and entries performed in that transition has revealed two errors</w:t>
      </w:r>
      <w:r>
        <w:rPr>
          <w:rFonts w:ascii="Arial" w:hAnsi="Arial" w:cs="Arial"/>
        </w:rPr>
        <w:t>”</w:t>
      </w:r>
      <w:r w:rsidRPr="002A45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Synergy North also provided a table below to summarize the adjustments made in 2020 for these errors:</w:t>
      </w:r>
    </w:p>
    <w:p w14:paraId="6996C148" w14:textId="6BF23FE5" w:rsidR="002A4537" w:rsidRDefault="002A4537" w:rsidP="002A453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78A3751" wp14:editId="1C78F379">
            <wp:extent cx="5726430" cy="1670142"/>
            <wp:effectExtent l="38100" t="38100" r="45720" b="4445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25" cy="1671978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9FA5C8C" w14:textId="7FA451EC" w:rsidR="002A4537" w:rsidRDefault="002A4537" w:rsidP="002A4537">
      <w:pPr>
        <w:rPr>
          <w:rFonts w:ascii="Arial" w:hAnsi="Arial" w:cs="Arial"/>
        </w:rPr>
      </w:pPr>
      <w:r w:rsidRPr="002A453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Question(s):</w:t>
      </w:r>
    </w:p>
    <w:p w14:paraId="5DE7C3AB" w14:textId="233DBAE8" w:rsidR="002A4537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provide the details of the audit (the auditor, when the audit was conducted)</w:t>
      </w:r>
    </w:p>
    <w:p w14:paraId="1238124D" w14:textId="1BC20D3D" w:rsidR="009D6523" w:rsidRPr="00CE58E8" w:rsidRDefault="009D6523" w:rsidP="00CE58E8">
      <w:pPr>
        <w:jc w:val="both"/>
        <w:rPr>
          <w:rFonts w:ascii="Arial" w:hAnsi="Arial" w:cs="Arial"/>
          <w:b/>
          <w:bCs/>
        </w:rPr>
      </w:pPr>
      <w:r w:rsidRPr="00CE58E8">
        <w:rPr>
          <w:rFonts w:ascii="Arial" w:hAnsi="Arial" w:cs="Arial"/>
          <w:b/>
          <w:bCs/>
        </w:rPr>
        <w:t>This audit was performed internally by Janice Robertson, CPA, Regulatory &amp; Financial Assurance Manager, and Aaron Blazina, CPA, V.P. Finance.</w:t>
      </w:r>
      <w:r w:rsidR="00EB3A3B" w:rsidRPr="00CE58E8">
        <w:rPr>
          <w:rFonts w:ascii="Arial" w:hAnsi="Arial" w:cs="Arial"/>
          <w:b/>
          <w:bCs/>
        </w:rPr>
        <w:t xml:space="preserve">  The internal audit was conducted on receipt of the OEB Staff questions </w:t>
      </w:r>
      <w:r w:rsidR="00CE58E8" w:rsidRPr="00CE58E8">
        <w:rPr>
          <w:rFonts w:ascii="Arial" w:hAnsi="Arial" w:cs="Arial"/>
          <w:b/>
          <w:bCs/>
        </w:rPr>
        <w:t xml:space="preserve">on the IRM filing for the Kenora zone, </w:t>
      </w:r>
      <w:r w:rsidR="00EB3A3B" w:rsidRPr="00CE58E8">
        <w:rPr>
          <w:rFonts w:ascii="Arial" w:hAnsi="Arial" w:cs="Arial"/>
          <w:b/>
          <w:bCs/>
        </w:rPr>
        <w:t>in January 2022.</w:t>
      </w:r>
    </w:p>
    <w:p w14:paraId="1CB6836D" w14:textId="09AE1991" w:rsidR="00944886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clarify which periods are the adjustment item #1 of $363,414,66 pertaining to.</w:t>
      </w:r>
    </w:p>
    <w:p w14:paraId="0567B6FC" w14:textId="0C752A47" w:rsidR="001329AE" w:rsidRDefault="00EB3A3B" w:rsidP="00CE58E8">
      <w:pPr>
        <w:jc w:val="both"/>
        <w:rPr>
          <w:rFonts w:ascii="Arial" w:hAnsi="Arial" w:cs="Arial"/>
          <w:b/>
          <w:bCs/>
        </w:rPr>
      </w:pPr>
      <w:r w:rsidRPr="00CE58E8">
        <w:rPr>
          <w:rFonts w:ascii="Arial" w:hAnsi="Arial" w:cs="Arial"/>
          <w:b/>
          <w:bCs/>
        </w:rPr>
        <w:t xml:space="preserve">This </w:t>
      </w:r>
      <w:r w:rsidR="00CE58E8">
        <w:rPr>
          <w:rFonts w:ascii="Arial" w:hAnsi="Arial" w:cs="Arial"/>
          <w:b/>
          <w:bCs/>
        </w:rPr>
        <w:t>amount</w:t>
      </w:r>
      <w:r w:rsidR="001329AE">
        <w:rPr>
          <w:rFonts w:ascii="Arial" w:hAnsi="Arial" w:cs="Arial"/>
          <w:b/>
          <w:bCs/>
        </w:rPr>
        <w:t xml:space="preserve"> is required to adjust the claims and activity in the GL during 2020. I</w:t>
      </w:r>
      <w:r w:rsidRPr="00CE58E8">
        <w:rPr>
          <w:rFonts w:ascii="Arial" w:hAnsi="Arial" w:cs="Arial"/>
          <w:b/>
          <w:bCs/>
        </w:rPr>
        <w:t>n a</w:t>
      </w:r>
      <w:r w:rsidR="009D6523" w:rsidRPr="00CE58E8">
        <w:rPr>
          <w:rFonts w:ascii="Arial" w:hAnsi="Arial" w:cs="Arial"/>
          <w:b/>
          <w:bCs/>
        </w:rPr>
        <w:t xml:space="preserve"> life-to-date reconciliation calculation of RPP TOU </w:t>
      </w:r>
      <w:r w:rsidRPr="00CE58E8">
        <w:rPr>
          <w:rFonts w:ascii="Arial" w:hAnsi="Arial" w:cs="Arial"/>
          <w:b/>
          <w:bCs/>
        </w:rPr>
        <w:t xml:space="preserve">revenue recalculation </w:t>
      </w:r>
      <w:r w:rsidR="001329AE">
        <w:rPr>
          <w:rFonts w:ascii="Arial" w:hAnsi="Arial" w:cs="Arial"/>
          <w:b/>
          <w:bCs/>
        </w:rPr>
        <w:t xml:space="preserve">done </w:t>
      </w:r>
      <w:r w:rsidR="009D6523" w:rsidRPr="00CE58E8">
        <w:rPr>
          <w:rFonts w:ascii="Arial" w:hAnsi="Arial" w:cs="Arial"/>
          <w:b/>
          <w:bCs/>
        </w:rPr>
        <w:t>in 2020</w:t>
      </w:r>
      <w:r w:rsidR="00CE58E8">
        <w:rPr>
          <w:rFonts w:ascii="Arial" w:hAnsi="Arial" w:cs="Arial"/>
          <w:b/>
          <w:bCs/>
        </w:rPr>
        <w:t>,</w:t>
      </w:r>
      <w:r w:rsidR="009D6523" w:rsidRPr="00CE58E8">
        <w:rPr>
          <w:rFonts w:ascii="Arial" w:hAnsi="Arial" w:cs="Arial"/>
          <w:b/>
          <w:bCs/>
        </w:rPr>
        <w:t xml:space="preserve"> </w:t>
      </w:r>
      <w:r w:rsidRPr="00CE58E8">
        <w:rPr>
          <w:rFonts w:ascii="Arial" w:hAnsi="Arial" w:cs="Arial"/>
          <w:b/>
          <w:bCs/>
        </w:rPr>
        <w:t xml:space="preserve">to </w:t>
      </w:r>
      <w:r w:rsidR="007156A0" w:rsidRPr="00CE58E8">
        <w:rPr>
          <w:rFonts w:ascii="Arial" w:hAnsi="Arial" w:cs="Arial"/>
          <w:b/>
          <w:bCs/>
        </w:rPr>
        <w:t>mirror the process used by Thunder Bay Hydro for verifying life-to-date IESO claims</w:t>
      </w:r>
      <w:r w:rsidR="001329AE">
        <w:rPr>
          <w:rFonts w:ascii="Arial" w:hAnsi="Arial" w:cs="Arial"/>
          <w:b/>
          <w:bCs/>
        </w:rPr>
        <w:t>, this amount was erroneously excluded as a reconciling amount, creating a payment required to the IESO.</w:t>
      </w:r>
      <w:r w:rsidR="009D6523" w:rsidRPr="00CE58E8">
        <w:rPr>
          <w:rFonts w:ascii="Arial" w:hAnsi="Arial" w:cs="Arial"/>
          <w:b/>
          <w:bCs/>
        </w:rPr>
        <w:t xml:space="preserve">  </w:t>
      </w:r>
    </w:p>
    <w:p w14:paraId="084EFA6B" w14:textId="3C25785D" w:rsidR="00944886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clarify which periods are the adjustment item #2 pertaining to. </w:t>
      </w:r>
    </w:p>
    <w:p w14:paraId="0487581D" w14:textId="1645336C" w:rsidR="00EB3A3B" w:rsidRPr="00CE58E8" w:rsidRDefault="00EB3A3B" w:rsidP="00CE58E8">
      <w:pPr>
        <w:jc w:val="both"/>
        <w:rPr>
          <w:rFonts w:ascii="Arial" w:hAnsi="Arial" w:cs="Arial"/>
          <w:b/>
          <w:bCs/>
        </w:rPr>
      </w:pPr>
      <w:r w:rsidRPr="00CE58E8">
        <w:rPr>
          <w:rFonts w:ascii="Arial" w:hAnsi="Arial" w:cs="Arial"/>
          <w:b/>
          <w:bCs/>
        </w:rPr>
        <w:t xml:space="preserve">The two amounts identified were </w:t>
      </w:r>
      <w:r w:rsidR="007156A0" w:rsidRPr="00CE58E8">
        <w:rPr>
          <w:rFonts w:ascii="Arial" w:hAnsi="Arial" w:cs="Arial"/>
          <w:b/>
          <w:bCs/>
        </w:rPr>
        <w:t>from 2020 GL postings</w:t>
      </w:r>
      <w:r w:rsidR="0037509F" w:rsidRPr="00CE58E8">
        <w:rPr>
          <w:rFonts w:ascii="Arial" w:hAnsi="Arial" w:cs="Arial"/>
          <w:b/>
          <w:bCs/>
        </w:rPr>
        <w:t>, posted</w:t>
      </w:r>
      <w:r w:rsidR="00290240">
        <w:rPr>
          <w:rFonts w:ascii="Arial" w:hAnsi="Arial" w:cs="Arial"/>
          <w:b/>
          <w:bCs/>
        </w:rPr>
        <w:t xml:space="preserve"> in 2020,</w:t>
      </w:r>
      <w:r w:rsidR="0037509F" w:rsidRPr="00CE58E8">
        <w:rPr>
          <w:rFonts w:ascii="Arial" w:hAnsi="Arial" w:cs="Arial"/>
          <w:b/>
          <w:bCs/>
        </w:rPr>
        <w:t xml:space="preserve"> as a result of the same Life-to-date true-up process as described</w:t>
      </w:r>
      <w:r w:rsidR="007156A0" w:rsidRPr="00CE58E8">
        <w:rPr>
          <w:rFonts w:ascii="Arial" w:hAnsi="Arial" w:cs="Arial"/>
          <w:b/>
          <w:bCs/>
        </w:rPr>
        <w:t>.</w:t>
      </w:r>
    </w:p>
    <w:p w14:paraId="4821E4A9" w14:textId="57B4E117" w:rsidR="00944886" w:rsidRDefault="00944886" w:rsidP="002A4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confirm that both adjustments are not impacting the RPP portion of the global adjustments that have been settled with the IESO. </w:t>
      </w:r>
    </w:p>
    <w:p w14:paraId="54F0EBBE" w14:textId="08A3397E" w:rsidR="00863833" w:rsidRPr="002F5C52" w:rsidRDefault="007156A0">
      <w:pPr>
        <w:rPr>
          <w:rFonts w:ascii="Arial" w:hAnsi="Arial" w:cs="Arial"/>
          <w:b/>
          <w:bCs/>
        </w:rPr>
      </w:pPr>
      <w:r w:rsidRPr="00CE58E8">
        <w:rPr>
          <w:rFonts w:ascii="Arial" w:hAnsi="Arial" w:cs="Arial"/>
          <w:b/>
          <w:bCs/>
        </w:rPr>
        <w:t>None of these adjustments impacted the RPP portion of the global adjustments settled with the IESO.</w:t>
      </w:r>
      <w:r w:rsidR="001329AE">
        <w:rPr>
          <w:rFonts w:ascii="Arial" w:hAnsi="Arial" w:cs="Arial"/>
          <w:b/>
          <w:bCs/>
        </w:rPr>
        <w:t xml:space="preserve">  </w:t>
      </w:r>
    </w:p>
    <w:sectPr w:rsidR="00863833" w:rsidRPr="002F5C52" w:rsidSect="00CE58E8">
      <w:headerReference w:type="default" r:id="rId8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1749" w14:textId="77777777" w:rsidR="001329AE" w:rsidRDefault="001329AE" w:rsidP="001329AE">
      <w:pPr>
        <w:spacing w:after="0" w:line="240" w:lineRule="auto"/>
      </w:pPr>
      <w:r>
        <w:separator/>
      </w:r>
    </w:p>
  </w:endnote>
  <w:endnote w:type="continuationSeparator" w:id="0">
    <w:p w14:paraId="778C9657" w14:textId="77777777" w:rsidR="001329AE" w:rsidRDefault="001329AE" w:rsidP="0013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E079" w14:textId="77777777" w:rsidR="001329AE" w:rsidRDefault="001329AE" w:rsidP="001329AE">
      <w:pPr>
        <w:spacing w:after="0" w:line="240" w:lineRule="auto"/>
      </w:pPr>
      <w:r>
        <w:separator/>
      </w:r>
    </w:p>
  </w:footnote>
  <w:footnote w:type="continuationSeparator" w:id="0">
    <w:p w14:paraId="60EF8476" w14:textId="77777777" w:rsidR="001329AE" w:rsidRDefault="001329AE" w:rsidP="0013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5EF6" w14:textId="796D231A" w:rsidR="001329AE" w:rsidRDefault="001329AE" w:rsidP="001329AE">
    <w:pPr>
      <w:pStyle w:val="Header"/>
      <w:jc w:val="right"/>
    </w:pPr>
    <w:r>
      <w:t>Synergy North 2022 IRM</w:t>
    </w:r>
  </w:p>
  <w:p w14:paraId="6AE88797" w14:textId="05587917" w:rsidR="001329AE" w:rsidRDefault="001329AE" w:rsidP="001329AE">
    <w:pPr>
      <w:pStyle w:val="Header"/>
      <w:jc w:val="right"/>
    </w:pPr>
    <w:r>
      <w:t>EB-2021-0058</w:t>
    </w:r>
  </w:p>
  <w:p w14:paraId="2E2A282B" w14:textId="48EE4740" w:rsidR="001329AE" w:rsidRDefault="001329AE" w:rsidP="001329AE">
    <w:pPr>
      <w:pStyle w:val="Header"/>
      <w:jc w:val="right"/>
    </w:pPr>
    <w:r>
      <w:t>Reply to OEB Staff Question</w:t>
    </w:r>
  </w:p>
  <w:p w14:paraId="78305064" w14:textId="42252C67" w:rsidR="00F019F4" w:rsidRDefault="00F019F4" w:rsidP="001329AE">
    <w:pPr>
      <w:pStyle w:val="Header"/>
      <w:jc w:val="right"/>
    </w:pPr>
    <w:r>
      <w:t>February 23,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C6A"/>
    <w:multiLevelType w:val="hybridMultilevel"/>
    <w:tmpl w:val="24DC6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33"/>
    <w:rsid w:val="001329AE"/>
    <w:rsid w:val="00290240"/>
    <w:rsid w:val="002A4537"/>
    <w:rsid w:val="002F5C52"/>
    <w:rsid w:val="0037509F"/>
    <w:rsid w:val="00517EEF"/>
    <w:rsid w:val="00530341"/>
    <w:rsid w:val="005D0B7B"/>
    <w:rsid w:val="005F0FDC"/>
    <w:rsid w:val="006B6894"/>
    <w:rsid w:val="007156A0"/>
    <w:rsid w:val="00863833"/>
    <w:rsid w:val="00944886"/>
    <w:rsid w:val="009D6523"/>
    <w:rsid w:val="00A21B1F"/>
    <w:rsid w:val="00AC36AC"/>
    <w:rsid w:val="00CE58E8"/>
    <w:rsid w:val="00CF15FE"/>
    <w:rsid w:val="00E108B7"/>
    <w:rsid w:val="00EB3A3B"/>
    <w:rsid w:val="00F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C504"/>
  <w15:chartTrackingRefBased/>
  <w15:docId w15:val="{D2C4733B-4D60-4625-A000-9CF4CE9B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9AE"/>
  </w:style>
  <w:style w:type="paragraph" w:styleId="Footer">
    <w:name w:val="footer"/>
    <w:basedOn w:val="Normal"/>
    <w:link w:val="FooterChar"/>
    <w:uiPriority w:val="99"/>
    <w:unhideWhenUsed/>
    <w:rsid w:val="00132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</dc:creator>
  <cp:keywords/>
  <dc:description/>
  <cp:lastModifiedBy>Janice Robertson</cp:lastModifiedBy>
  <cp:revision>6</cp:revision>
  <dcterms:created xsi:type="dcterms:W3CDTF">2022-02-18T13:40:00Z</dcterms:created>
  <dcterms:modified xsi:type="dcterms:W3CDTF">2022-02-23T13:38:00Z</dcterms:modified>
</cp:coreProperties>
</file>