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1DE6" w14:textId="77777777" w:rsidR="004D24DB" w:rsidRDefault="004D24DB" w:rsidP="00AC2654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Synergy North </w:t>
      </w:r>
    </w:p>
    <w:p w14:paraId="59F30DD1" w14:textId="6AFB67CD" w:rsidR="00AC2654" w:rsidRDefault="004D24DB" w:rsidP="00AC2654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Replies to </w:t>
      </w:r>
      <w:r w:rsidR="00AC2654" w:rsidRPr="00D57E8C">
        <w:rPr>
          <w:rFonts w:ascii="Arial" w:hAnsi="Arial" w:cs="Arial"/>
          <w:sz w:val="22"/>
          <w:szCs w:val="22"/>
        </w:rPr>
        <w:t>OEB Staff Questions</w:t>
      </w:r>
    </w:p>
    <w:p w14:paraId="49CA1823" w14:textId="47B73B9C" w:rsidR="004D24DB" w:rsidRPr="00D57E8C" w:rsidRDefault="004D24DB" w:rsidP="00AC2654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8, 2022</w:t>
      </w:r>
    </w:p>
    <w:p w14:paraId="5C65DED8" w14:textId="0BD12B65" w:rsidR="00AC2654" w:rsidRPr="00D57E8C" w:rsidRDefault="00AC2654" w:rsidP="00AC2654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EB-2021</w:t>
      </w:r>
      <w:r w:rsidRPr="00D57E8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0058</w:t>
      </w:r>
    </w:p>
    <w:p w14:paraId="4B22EF17" w14:textId="77777777" w:rsidR="00AC2654" w:rsidRPr="00D57E8C" w:rsidRDefault="00AC2654" w:rsidP="00AC2654">
      <w:pPr>
        <w:pStyle w:val="Default"/>
        <w:rPr>
          <w:rFonts w:ascii="Arial" w:hAnsi="Arial" w:cs="Arial"/>
          <w:sz w:val="22"/>
          <w:szCs w:val="22"/>
        </w:rPr>
      </w:pPr>
    </w:p>
    <w:p w14:paraId="163B3168" w14:textId="51B0E5D8" w:rsidR="00AC2654" w:rsidRPr="00D57E8C" w:rsidRDefault="00AC2654" w:rsidP="00AC2654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Synergy North Corporation</w:t>
      </w:r>
    </w:p>
    <w:p w14:paraId="77E31368" w14:textId="3FD48ED0" w:rsidR="00AC2654" w:rsidRDefault="00AC2654" w:rsidP="00AC2654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EB-2021</w:t>
      </w:r>
      <w:r w:rsidRPr="00D57E8C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0058</w:t>
      </w:r>
    </w:p>
    <w:p w14:paraId="5D6C7890" w14:textId="77777777" w:rsidR="00AC2654" w:rsidRDefault="00AC2654" w:rsidP="00AC2654">
      <w:pPr>
        <w:spacing w:after="0" w:line="240" w:lineRule="auto"/>
        <w:rPr>
          <w:rFonts w:ascii="Arial" w:eastAsia="Calibri" w:hAnsi="Arial" w:cs="Arial"/>
        </w:rPr>
      </w:pPr>
    </w:p>
    <w:p w14:paraId="255A08DA" w14:textId="0E05E7EE" w:rsidR="00AC2654" w:rsidRPr="00E86F26" w:rsidRDefault="00AC2654" w:rsidP="00AC265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55806661"/>
      <w:r w:rsidRPr="00E86F26">
        <w:rPr>
          <w:rFonts w:ascii="Arial" w:eastAsia="Calibri" w:hAnsi="Arial" w:cs="Arial"/>
          <w:sz w:val="24"/>
          <w:szCs w:val="24"/>
        </w:rPr>
        <w:t xml:space="preserve">Please note, </w:t>
      </w:r>
      <w:r>
        <w:rPr>
          <w:rFonts w:ascii="Arial" w:eastAsia="Calibri" w:hAnsi="Arial" w:cs="Arial"/>
          <w:sz w:val="24"/>
          <w:szCs w:val="24"/>
        </w:rPr>
        <w:t xml:space="preserve">Synergy North </w:t>
      </w:r>
      <w:r w:rsidRPr="00AC2654">
        <w:rPr>
          <w:rFonts w:ascii="Arial" w:eastAsia="Calibri" w:hAnsi="Arial" w:cs="Arial"/>
          <w:sz w:val="24"/>
          <w:szCs w:val="24"/>
        </w:rPr>
        <w:t>Corporation (Synergy North) is responsible for ensuring that all documents it files with the OEB, including responses to OEB</w:t>
      </w:r>
      <w:r w:rsidRPr="00E86F26">
        <w:rPr>
          <w:rFonts w:ascii="Arial" w:eastAsia="Calibri" w:hAnsi="Arial" w:cs="Arial"/>
          <w:sz w:val="24"/>
          <w:szCs w:val="24"/>
        </w:rPr>
        <w:t xml:space="preserve"> staff questions and any other supporting documentation, do not include personal information (as that phrase is defined in the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Freedom of Information and Protection of Privacy Act</w:t>
      </w:r>
      <w:r w:rsidRPr="00E86F26">
        <w:rPr>
          <w:rFonts w:ascii="Arial" w:eastAsia="Calibri" w:hAnsi="Arial" w:cs="Arial"/>
          <w:sz w:val="24"/>
          <w:szCs w:val="24"/>
        </w:rPr>
        <w:t xml:space="preserve">), unless filed in accordance with rule 9A of the OEB’s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Rules of Practice and Procedure</w:t>
      </w:r>
      <w:r w:rsidRPr="00E86F26">
        <w:rPr>
          <w:rFonts w:ascii="Arial" w:eastAsia="Calibri" w:hAnsi="Arial" w:cs="Arial"/>
          <w:sz w:val="24"/>
          <w:szCs w:val="24"/>
        </w:rPr>
        <w:t>.</w:t>
      </w:r>
    </w:p>
    <w:bookmarkEnd w:id="0"/>
    <w:p w14:paraId="0A125330" w14:textId="77777777" w:rsidR="00AC2654" w:rsidRDefault="00AC2654" w:rsidP="00AC2654">
      <w:pPr>
        <w:spacing w:after="0"/>
        <w:rPr>
          <w:rFonts w:ascii="Arial" w:hAnsi="Arial" w:cs="Arial"/>
          <w:sz w:val="24"/>
          <w:szCs w:val="24"/>
        </w:rPr>
      </w:pPr>
    </w:p>
    <w:p w14:paraId="7C0E108E" w14:textId="4640D9C8" w:rsidR="00AC2654" w:rsidRDefault="00BC7850" w:rsidP="00AC26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further note, </w:t>
      </w:r>
      <w:r w:rsidR="00AC2654">
        <w:rPr>
          <w:rFonts w:ascii="Arial" w:hAnsi="Arial" w:cs="Arial"/>
          <w:sz w:val="24"/>
          <w:szCs w:val="24"/>
        </w:rPr>
        <w:t>OEB staff has made the following updates in Rate Generator Models attached:</w:t>
      </w:r>
    </w:p>
    <w:p w14:paraId="521BB3BE" w14:textId="1BA6695E" w:rsidR="00AC2654" w:rsidRDefault="00AC2654" w:rsidP="00AC26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Updated the Wireline Pole Attachment Charge to $34.76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in Tab 17</w:t>
      </w:r>
      <w:r w:rsidR="00BC7850">
        <w:rPr>
          <w:rFonts w:ascii="Arial" w:hAnsi="Arial" w:cs="Arial"/>
          <w:sz w:val="24"/>
          <w:szCs w:val="24"/>
        </w:rPr>
        <w:t xml:space="preserve"> and removed the “Approved on an Interim Basis” wording on Tab 19.</w:t>
      </w:r>
    </w:p>
    <w:p w14:paraId="5A24FEBC" w14:textId="73F477BF" w:rsidR="004B4B2A" w:rsidRDefault="004B4B2A" w:rsidP="00AC26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Removed Account 1595 (2018) from the amounts requested for disposition in the Thunder Bay rate zone.</w:t>
      </w:r>
    </w:p>
    <w:p w14:paraId="472AA648" w14:textId="4A39E8B4" w:rsidR="005661C1" w:rsidRDefault="005661C1" w:rsidP="005933A8">
      <w:pPr>
        <w:pStyle w:val="ListParagraph"/>
        <w:spacing w:after="0" w:line="240" w:lineRule="auto"/>
      </w:pPr>
    </w:p>
    <w:p w14:paraId="2AA12559" w14:textId="37F2D57B" w:rsidR="005661C1" w:rsidRPr="00CC2285" w:rsidRDefault="00E82BF4">
      <w:pPr>
        <w:rPr>
          <w:rFonts w:ascii="Arial" w:hAnsi="Arial" w:cs="Arial"/>
          <w:b/>
          <w:bCs/>
          <w:sz w:val="24"/>
          <w:szCs w:val="24"/>
        </w:rPr>
      </w:pPr>
      <w:r w:rsidRPr="00CC2285">
        <w:rPr>
          <w:rFonts w:ascii="Arial" w:hAnsi="Arial" w:cs="Arial"/>
          <w:b/>
          <w:bCs/>
          <w:sz w:val="24"/>
          <w:szCs w:val="24"/>
        </w:rPr>
        <w:t>Staff Question – 1</w:t>
      </w:r>
    </w:p>
    <w:p w14:paraId="72E87559" w14:textId="55C8CE00" w:rsidR="001753B6" w:rsidRDefault="001753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 </w:t>
      </w:r>
      <w:r w:rsidR="00D31C7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D31C75">
        <w:rPr>
          <w:rFonts w:ascii="Arial" w:hAnsi="Arial" w:cs="Arial"/>
          <w:b/>
          <w:bCs/>
          <w:sz w:val="24"/>
          <w:szCs w:val="24"/>
        </w:rPr>
        <w:t>Thunder Bay rate zone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31C75">
        <w:rPr>
          <w:rFonts w:ascii="Arial" w:hAnsi="Arial" w:cs="Arial"/>
          <w:b/>
          <w:bCs/>
          <w:sz w:val="24"/>
          <w:szCs w:val="24"/>
        </w:rPr>
        <w:t xml:space="preserve">Rate </w:t>
      </w:r>
      <w:r>
        <w:rPr>
          <w:rFonts w:ascii="Arial" w:hAnsi="Arial" w:cs="Arial"/>
          <w:b/>
          <w:bCs/>
          <w:sz w:val="24"/>
          <w:szCs w:val="24"/>
        </w:rPr>
        <w:t xml:space="preserve">Generator Model, Tab 3 Continuity Schedule </w:t>
      </w:r>
    </w:p>
    <w:p w14:paraId="3038CB30" w14:textId="77777777" w:rsidR="00484CDE" w:rsidRDefault="00484C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 2: Chapter 3 Filing Requirements Incentive Rate-Setting Applications June 24, 2021 – Pages 14 to 15</w:t>
      </w:r>
    </w:p>
    <w:p w14:paraId="155D40D4" w14:textId="54508630" w:rsidR="00484CDE" w:rsidRPr="00CC2285" w:rsidRDefault="00484C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 3: Decision and Order EB-2020-0055 – Pages 13 to 14</w:t>
      </w:r>
    </w:p>
    <w:p w14:paraId="5F951647" w14:textId="30937CBF" w:rsidR="00D31C75" w:rsidRPr="00D31C75" w:rsidRDefault="00D31C75" w:rsidP="00D31C75">
      <w:pPr>
        <w:rPr>
          <w:rFonts w:ascii="Arial" w:hAnsi="Arial" w:cs="Arial"/>
          <w:sz w:val="24"/>
          <w:szCs w:val="24"/>
        </w:rPr>
      </w:pPr>
      <w:r w:rsidRPr="00D31C75">
        <w:rPr>
          <w:rFonts w:ascii="Arial" w:hAnsi="Arial" w:cs="Arial"/>
          <w:sz w:val="24"/>
          <w:szCs w:val="24"/>
        </w:rPr>
        <w:t>OEB staff observed while preparing Synergy North’s draft decision that</w:t>
      </w:r>
      <w:r w:rsidR="004B4B2A">
        <w:rPr>
          <w:rFonts w:ascii="Arial" w:hAnsi="Arial" w:cs="Arial"/>
          <w:sz w:val="24"/>
          <w:szCs w:val="24"/>
        </w:rPr>
        <w:t>, according to the Chapter 3 Filing Requirements,</w:t>
      </w:r>
      <w:r w:rsidRPr="00D31C75">
        <w:rPr>
          <w:rFonts w:ascii="Arial" w:hAnsi="Arial" w:cs="Arial"/>
          <w:sz w:val="24"/>
          <w:szCs w:val="24"/>
        </w:rPr>
        <w:t xml:space="preserve"> </w:t>
      </w:r>
      <w:r w:rsidR="004B4B2A">
        <w:rPr>
          <w:rFonts w:ascii="Arial" w:hAnsi="Arial" w:cs="Arial"/>
          <w:sz w:val="24"/>
          <w:szCs w:val="24"/>
        </w:rPr>
        <w:t>A</w:t>
      </w:r>
      <w:r w:rsidRPr="00D31C75">
        <w:rPr>
          <w:rFonts w:ascii="Arial" w:hAnsi="Arial" w:cs="Arial"/>
          <w:sz w:val="24"/>
          <w:szCs w:val="24"/>
        </w:rPr>
        <w:t>ccount 1595 – 2018</w:t>
      </w:r>
      <w:r w:rsidR="004B4B2A">
        <w:rPr>
          <w:rFonts w:ascii="Arial" w:hAnsi="Arial" w:cs="Arial"/>
          <w:sz w:val="24"/>
          <w:szCs w:val="24"/>
        </w:rPr>
        <w:t xml:space="preserve"> in the</w:t>
      </w:r>
      <w:r w:rsidRPr="00D31C75">
        <w:rPr>
          <w:rFonts w:ascii="Arial" w:hAnsi="Arial" w:cs="Arial"/>
          <w:sz w:val="24"/>
          <w:szCs w:val="24"/>
        </w:rPr>
        <w:t xml:space="preserve"> Thunder Bay rate zone is not eligible for disposition until 2023. Th</w:t>
      </w:r>
      <w:r w:rsidR="004B4B2A">
        <w:rPr>
          <w:rFonts w:ascii="Arial" w:hAnsi="Arial" w:cs="Arial"/>
          <w:sz w:val="24"/>
          <w:szCs w:val="24"/>
        </w:rPr>
        <w:t>e OEB made a similar finding in this regard for the balance in Account 1595 – 2017 in Synergy North’s 2021 rates proceeding.</w:t>
      </w:r>
      <w:r w:rsidRPr="00D31C75">
        <w:rPr>
          <w:rFonts w:ascii="Arial" w:hAnsi="Arial" w:cs="Arial"/>
          <w:sz w:val="24"/>
          <w:szCs w:val="24"/>
        </w:rPr>
        <w:t xml:space="preserve"> </w:t>
      </w:r>
    </w:p>
    <w:p w14:paraId="2692E310" w14:textId="3E2814F7" w:rsidR="00D31C75" w:rsidRDefault="00D31C75" w:rsidP="00D31C75">
      <w:r w:rsidRPr="00D31C75">
        <w:rPr>
          <w:rFonts w:ascii="Arial" w:hAnsi="Arial" w:cs="Arial"/>
          <w:sz w:val="24"/>
          <w:szCs w:val="24"/>
        </w:rPr>
        <w:t xml:space="preserve">Please confirm </w:t>
      </w:r>
      <w:r w:rsidR="004B4B2A">
        <w:rPr>
          <w:rFonts w:ascii="Arial" w:hAnsi="Arial" w:cs="Arial"/>
          <w:sz w:val="24"/>
          <w:szCs w:val="24"/>
        </w:rPr>
        <w:t>that Synergy North is</w:t>
      </w:r>
      <w:r w:rsidRPr="00D31C75">
        <w:rPr>
          <w:rFonts w:ascii="Arial" w:hAnsi="Arial" w:cs="Arial"/>
          <w:sz w:val="24"/>
          <w:szCs w:val="24"/>
        </w:rPr>
        <w:t xml:space="preserve"> in agreement with </w:t>
      </w:r>
      <w:r w:rsidR="004B4B2A">
        <w:rPr>
          <w:rFonts w:ascii="Arial" w:hAnsi="Arial" w:cs="Arial"/>
          <w:sz w:val="24"/>
          <w:szCs w:val="24"/>
        </w:rPr>
        <w:t>removing this amount from the amounts requested for disposition,</w:t>
      </w:r>
      <w:r w:rsidRPr="00D31C75">
        <w:rPr>
          <w:rFonts w:ascii="Arial" w:hAnsi="Arial" w:cs="Arial"/>
          <w:sz w:val="24"/>
          <w:szCs w:val="24"/>
        </w:rPr>
        <w:t xml:space="preserve"> </w:t>
      </w:r>
      <w:r w:rsidR="004B4B2A">
        <w:rPr>
          <w:rFonts w:ascii="Arial" w:hAnsi="Arial" w:cs="Arial"/>
          <w:sz w:val="24"/>
          <w:szCs w:val="24"/>
        </w:rPr>
        <w:t>as updated in the</w:t>
      </w:r>
      <w:r w:rsidRPr="00D31C75">
        <w:rPr>
          <w:rFonts w:ascii="Arial" w:hAnsi="Arial" w:cs="Arial"/>
          <w:sz w:val="24"/>
          <w:szCs w:val="24"/>
        </w:rPr>
        <w:t xml:space="preserve"> </w:t>
      </w:r>
      <w:r w:rsidR="004B4B2A">
        <w:rPr>
          <w:rFonts w:ascii="Arial" w:hAnsi="Arial" w:cs="Arial"/>
          <w:sz w:val="24"/>
          <w:szCs w:val="24"/>
        </w:rPr>
        <w:t>attached R</w:t>
      </w:r>
      <w:r w:rsidRPr="00D31C75">
        <w:rPr>
          <w:rFonts w:ascii="Arial" w:hAnsi="Arial" w:cs="Arial"/>
          <w:sz w:val="24"/>
          <w:szCs w:val="24"/>
        </w:rPr>
        <w:t xml:space="preserve">ate </w:t>
      </w:r>
      <w:r w:rsidR="004B4B2A">
        <w:rPr>
          <w:rFonts w:ascii="Arial" w:hAnsi="Arial" w:cs="Arial"/>
          <w:sz w:val="24"/>
          <w:szCs w:val="24"/>
        </w:rPr>
        <w:t>G</w:t>
      </w:r>
      <w:r w:rsidRPr="00D31C75">
        <w:rPr>
          <w:rFonts w:ascii="Arial" w:hAnsi="Arial" w:cs="Arial"/>
          <w:sz w:val="24"/>
          <w:szCs w:val="24"/>
        </w:rPr>
        <w:t xml:space="preserve">enerator </w:t>
      </w:r>
      <w:r w:rsidR="004B4B2A">
        <w:rPr>
          <w:rFonts w:ascii="Arial" w:hAnsi="Arial" w:cs="Arial"/>
          <w:sz w:val="24"/>
          <w:szCs w:val="24"/>
        </w:rPr>
        <w:t>M</w:t>
      </w:r>
      <w:r w:rsidRPr="00D31C75">
        <w:rPr>
          <w:rFonts w:ascii="Arial" w:hAnsi="Arial" w:cs="Arial"/>
          <w:sz w:val="24"/>
          <w:szCs w:val="24"/>
        </w:rPr>
        <w:t>odel</w:t>
      </w:r>
      <w:r w:rsidR="004B4B2A">
        <w:rPr>
          <w:rFonts w:ascii="Arial" w:hAnsi="Arial" w:cs="Arial"/>
          <w:sz w:val="24"/>
          <w:szCs w:val="24"/>
        </w:rPr>
        <w:t>, or if not, explain why.</w:t>
      </w:r>
      <w:r>
        <w:t xml:space="preserve"> </w:t>
      </w:r>
    </w:p>
    <w:p w14:paraId="74911E1A" w14:textId="0B1854B9" w:rsidR="009A398C" w:rsidRDefault="009A398C" w:rsidP="009A398C">
      <w:pPr>
        <w:rPr>
          <w:rFonts w:ascii="Arial" w:hAnsi="Arial" w:cs="Arial"/>
          <w:b/>
          <w:bCs/>
          <w:sz w:val="24"/>
          <w:szCs w:val="24"/>
        </w:rPr>
      </w:pPr>
    </w:p>
    <w:p w14:paraId="3F7701FE" w14:textId="21328744" w:rsidR="004D24DB" w:rsidRDefault="004D24DB" w:rsidP="009A3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Synergy North Reply:</w:t>
      </w:r>
    </w:p>
    <w:p w14:paraId="2A7BF374" w14:textId="55F5C212" w:rsidR="004D24DB" w:rsidRDefault="004D24DB" w:rsidP="009A3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Synergy North is</w:t>
      </w:r>
      <w:r w:rsidRPr="00D31C75">
        <w:rPr>
          <w:rFonts w:ascii="Arial" w:hAnsi="Arial" w:cs="Arial"/>
          <w:sz w:val="24"/>
          <w:szCs w:val="24"/>
        </w:rPr>
        <w:t xml:space="preserve"> in agreement with </w:t>
      </w:r>
      <w:r>
        <w:rPr>
          <w:rFonts w:ascii="Arial" w:hAnsi="Arial" w:cs="Arial"/>
          <w:sz w:val="24"/>
          <w:szCs w:val="24"/>
        </w:rPr>
        <w:t>removing the balance in Account 1595 – 2018 from the amounts requested for disposition</w:t>
      </w:r>
      <w:r w:rsidR="00C02CA1">
        <w:rPr>
          <w:rFonts w:ascii="Arial" w:hAnsi="Arial" w:cs="Arial"/>
          <w:sz w:val="24"/>
          <w:szCs w:val="24"/>
        </w:rPr>
        <w:t xml:space="preserve"> in this rate application</w:t>
      </w:r>
      <w:r>
        <w:rPr>
          <w:rFonts w:ascii="Arial" w:hAnsi="Arial" w:cs="Arial"/>
          <w:sz w:val="24"/>
          <w:szCs w:val="24"/>
        </w:rPr>
        <w:t>,</w:t>
      </w:r>
      <w:r w:rsidRPr="00D31C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updated in the</w:t>
      </w:r>
      <w:r w:rsidRPr="00D31C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D31C75">
        <w:rPr>
          <w:rFonts w:ascii="Arial" w:hAnsi="Arial" w:cs="Arial"/>
          <w:sz w:val="24"/>
          <w:szCs w:val="24"/>
        </w:rPr>
        <w:t xml:space="preserve">ate </w:t>
      </w:r>
      <w:r>
        <w:rPr>
          <w:rFonts w:ascii="Arial" w:hAnsi="Arial" w:cs="Arial"/>
          <w:sz w:val="24"/>
          <w:szCs w:val="24"/>
        </w:rPr>
        <w:t>G</w:t>
      </w:r>
      <w:r w:rsidRPr="00D31C75">
        <w:rPr>
          <w:rFonts w:ascii="Arial" w:hAnsi="Arial" w:cs="Arial"/>
          <w:sz w:val="24"/>
          <w:szCs w:val="24"/>
        </w:rPr>
        <w:t xml:space="preserve">enerator </w:t>
      </w:r>
      <w:r>
        <w:rPr>
          <w:rFonts w:ascii="Arial" w:hAnsi="Arial" w:cs="Arial"/>
          <w:sz w:val="24"/>
          <w:szCs w:val="24"/>
        </w:rPr>
        <w:t>M</w:t>
      </w:r>
      <w:r w:rsidRPr="00D31C75">
        <w:rPr>
          <w:rFonts w:ascii="Arial" w:hAnsi="Arial" w:cs="Arial"/>
          <w:sz w:val="24"/>
          <w:szCs w:val="24"/>
        </w:rPr>
        <w:t>odel</w:t>
      </w:r>
      <w:r>
        <w:rPr>
          <w:rFonts w:ascii="Arial" w:hAnsi="Arial" w:cs="Arial"/>
          <w:sz w:val="24"/>
          <w:szCs w:val="24"/>
        </w:rPr>
        <w:t xml:space="preserve"> provided by the OEB Staff March 8, 2022.</w:t>
      </w:r>
    </w:p>
    <w:p w14:paraId="247C54C0" w14:textId="77777777" w:rsidR="004D24DB" w:rsidRDefault="004D24DB" w:rsidP="004D24D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Synergy North </w:t>
      </w:r>
    </w:p>
    <w:p w14:paraId="50CC1640" w14:textId="77777777" w:rsidR="004D24DB" w:rsidRDefault="004D24DB" w:rsidP="004D24D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Replies to </w:t>
      </w:r>
      <w:r w:rsidRPr="00D57E8C">
        <w:rPr>
          <w:rFonts w:ascii="Arial" w:hAnsi="Arial" w:cs="Arial"/>
          <w:sz w:val="22"/>
          <w:szCs w:val="22"/>
        </w:rPr>
        <w:t>OEB Staff Questions</w:t>
      </w:r>
    </w:p>
    <w:p w14:paraId="407E808C" w14:textId="77777777" w:rsidR="004D24DB" w:rsidRPr="00D57E8C" w:rsidRDefault="004D24DB" w:rsidP="004D24D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8, 2022</w:t>
      </w:r>
    </w:p>
    <w:p w14:paraId="501658E5" w14:textId="77777777" w:rsidR="004D24DB" w:rsidRPr="00D57E8C" w:rsidRDefault="004D24DB" w:rsidP="004D24D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EB-2021</w:t>
      </w:r>
      <w:r w:rsidRPr="00D57E8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0058</w:t>
      </w:r>
    </w:p>
    <w:p w14:paraId="17B7E1C3" w14:textId="77777777" w:rsidR="004D24DB" w:rsidRPr="00F51CE5" w:rsidRDefault="004D24DB" w:rsidP="009A398C">
      <w:pPr>
        <w:rPr>
          <w:rFonts w:ascii="Arial" w:hAnsi="Arial" w:cs="Arial"/>
          <w:sz w:val="24"/>
          <w:szCs w:val="24"/>
        </w:rPr>
      </w:pPr>
    </w:p>
    <w:p w14:paraId="133AA007" w14:textId="4B19E1E4" w:rsidR="004D24DB" w:rsidRDefault="004D24DB" w:rsidP="009A398C">
      <w:pPr>
        <w:rPr>
          <w:rFonts w:ascii="Arial" w:hAnsi="Arial" w:cs="Arial"/>
          <w:b/>
          <w:bCs/>
          <w:sz w:val="24"/>
          <w:szCs w:val="24"/>
        </w:rPr>
      </w:pPr>
    </w:p>
    <w:p w14:paraId="13C0EB19" w14:textId="78A1DC66" w:rsidR="009A398C" w:rsidRPr="00CC2285" w:rsidRDefault="009A398C" w:rsidP="009A398C">
      <w:pPr>
        <w:rPr>
          <w:rFonts w:ascii="Arial" w:hAnsi="Arial" w:cs="Arial"/>
          <w:b/>
          <w:bCs/>
          <w:sz w:val="24"/>
          <w:szCs w:val="24"/>
        </w:rPr>
      </w:pPr>
      <w:r w:rsidRPr="00CC2285">
        <w:rPr>
          <w:rFonts w:ascii="Arial" w:hAnsi="Arial" w:cs="Arial"/>
          <w:b/>
          <w:bCs/>
          <w:sz w:val="24"/>
          <w:szCs w:val="24"/>
        </w:rPr>
        <w:t xml:space="preserve">Staff Question –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6B07DDC5" w14:textId="3BACA19A" w:rsidR="009A398C" w:rsidRDefault="009A398C" w:rsidP="009A398C">
      <w:pPr>
        <w:rPr>
          <w:rFonts w:ascii="Arial" w:hAnsi="Arial" w:cs="Arial"/>
          <w:b/>
          <w:bCs/>
          <w:sz w:val="24"/>
          <w:szCs w:val="24"/>
        </w:rPr>
      </w:pPr>
      <w:r w:rsidRPr="00CC2285">
        <w:rPr>
          <w:rFonts w:ascii="Arial" w:hAnsi="Arial" w:cs="Arial"/>
          <w:b/>
          <w:bCs/>
          <w:sz w:val="24"/>
          <w:szCs w:val="24"/>
        </w:rPr>
        <w:t>Ref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CC2285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Kenora rate zone Rate Generator Model – Tab 3</w:t>
      </w:r>
    </w:p>
    <w:p w14:paraId="15857C21" w14:textId="532ECA6F" w:rsidR="00D31C75" w:rsidRDefault="009A398C" w:rsidP="00D31C75">
      <w:r w:rsidRPr="009A398C">
        <w:rPr>
          <w:rFonts w:ascii="Arial" w:hAnsi="Arial" w:cs="Arial"/>
          <w:sz w:val="24"/>
          <w:szCs w:val="24"/>
        </w:rPr>
        <w:t xml:space="preserve">Please confirm for the record </w:t>
      </w:r>
      <w:r w:rsidR="004B4B2A">
        <w:rPr>
          <w:rFonts w:ascii="Arial" w:hAnsi="Arial" w:cs="Arial"/>
          <w:sz w:val="24"/>
          <w:szCs w:val="24"/>
        </w:rPr>
        <w:t xml:space="preserve">that </w:t>
      </w:r>
      <w:r w:rsidRPr="009A398C">
        <w:rPr>
          <w:rFonts w:ascii="Arial" w:hAnsi="Arial" w:cs="Arial"/>
          <w:sz w:val="24"/>
          <w:szCs w:val="24"/>
        </w:rPr>
        <w:t xml:space="preserve">Synergy North is </w:t>
      </w:r>
      <w:r w:rsidR="004B4B2A">
        <w:rPr>
          <w:rFonts w:ascii="Arial" w:hAnsi="Arial" w:cs="Arial"/>
          <w:sz w:val="24"/>
          <w:szCs w:val="24"/>
        </w:rPr>
        <w:t xml:space="preserve">requesting </w:t>
      </w:r>
      <w:r w:rsidRPr="009A398C">
        <w:rPr>
          <w:rFonts w:ascii="Arial" w:hAnsi="Arial" w:cs="Arial"/>
          <w:sz w:val="24"/>
          <w:szCs w:val="24"/>
        </w:rPr>
        <w:t>disposi</w:t>
      </w:r>
      <w:r w:rsidR="004B4B2A">
        <w:rPr>
          <w:rFonts w:ascii="Arial" w:hAnsi="Arial" w:cs="Arial"/>
          <w:sz w:val="24"/>
          <w:szCs w:val="24"/>
        </w:rPr>
        <w:t>tion</w:t>
      </w:r>
      <w:r w:rsidRPr="009A398C">
        <w:rPr>
          <w:rFonts w:ascii="Arial" w:hAnsi="Arial" w:cs="Arial"/>
          <w:sz w:val="24"/>
          <w:szCs w:val="24"/>
        </w:rPr>
        <w:t xml:space="preserve"> of the Group 1 </w:t>
      </w:r>
      <w:r w:rsidR="004B4B2A">
        <w:rPr>
          <w:rFonts w:ascii="Arial" w:hAnsi="Arial" w:cs="Arial"/>
          <w:sz w:val="24"/>
          <w:szCs w:val="24"/>
        </w:rPr>
        <w:t>Account balances in the Kenora rate zone</w:t>
      </w:r>
      <w:r>
        <w:t>.</w:t>
      </w:r>
    </w:p>
    <w:p w14:paraId="4518F3AB" w14:textId="6948BDD0" w:rsidR="004D24DB" w:rsidRDefault="004D24DB" w:rsidP="00D31C75"/>
    <w:p w14:paraId="2016F7A2" w14:textId="77777777" w:rsidR="00EF78FD" w:rsidRDefault="004D24DB" w:rsidP="00D31C75">
      <w:pPr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Synergy North Reply:</w:t>
      </w:r>
    </w:p>
    <w:p w14:paraId="271C39C9" w14:textId="44558688" w:rsidR="004D24DB" w:rsidRPr="00D31C75" w:rsidRDefault="004D24DB" w:rsidP="00D31C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Synergy North is requesting disposition of the Group 1 Account balances in the Kenora rate zone. </w:t>
      </w:r>
    </w:p>
    <w:sectPr w:rsidR="004D24DB" w:rsidRPr="00D31C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C331" w14:textId="77777777" w:rsidR="005D5834" w:rsidRDefault="005D5834" w:rsidP="009D17DA">
      <w:pPr>
        <w:spacing w:after="0" w:line="240" w:lineRule="auto"/>
      </w:pPr>
      <w:r>
        <w:separator/>
      </w:r>
    </w:p>
  </w:endnote>
  <w:endnote w:type="continuationSeparator" w:id="0">
    <w:p w14:paraId="663C23CF" w14:textId="77777777" w:rsidR="005D5834" w:rsidRDefault="005D5834" w:rsidP="009D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532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7BAD6" w14:textId="56FFB61D" w:rsidR="009D17DA" w:rsidRDefault="009D17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F01F8" w14:textId="77777777" w:rsidR="009D17DA" w:rsidRDefault="009D1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F429" w14:textId="77777777" w:rsidR="005D5834" w:rsidRDefault="005D5834" w:rsidP="009D17DA">
      <w:pPr>
        <w:spacing w:after="0" w:line="240" w:lineRule="auto"/>
      </w:pPr>
      <w:r>
        <w:separator/>
      </w:r>
    </w:p>
  </w:footnote>
  <w:footnote w:type="continuationSeparator" w:id="0">
    <w:p w14:paraId="09A55598" w14:textId="77777777" w:rsidR="005D5834" w:rsidRDefault="005D5834" w:rsidP="009D17DA">
      <w:pPr>
        <w:spacing w:after="0" w:line="240" w:lineRule="auto"/>
      </w:pPr>
      <w:r>
        <w:continuationSeparator/>
      </w:r>
    </w:p>
  </w:footnote>
  <w:footnote w:id="1">
    <w:p w14:paraId="79903ED5" w14:textId="77777777" w:rsidR="00AC2654" w:rsidRPr="0006764F" w:rsidRDefault="00AC2654" w:rsidP="00AC2654">
      <w:pPr>
        <w:pStyle w:val="FootnoteText"/>
        <w:rPr>
          <w:rFonts w:ascii="Arial" w:hAnsi="Arial" w:cs="Arial"/>
          <w:lang w:val="en-US"/>
        </w:rPr>
      </w:pPr>
      <w:r w:rsidRPr="0006764F">
        <w:rPr>
          <w:rStyle w:val="FootnoteReference"/>
          <w:rFonts w:ascii="Arial" w:hAnsi="Arial" w:cs="Arial"/>
        </w:rPr>
        <w:footnoteRef/>
      </w:r>
      <w:r w:rsidRPr="0006764F">
        <w:rPr>
          <w:rFonts w:ascii="Arial" w:hAnsi="Arial" w:cs="Arial"/>
        </w:rPr>
        <w:t xml:space="preserve"> </w:t>
      </w:r>
      <w:r w:rsidRPr="0006764F">
        <w:rPr>
          <w:rFonts w:ascii="Arial" w:hAnsi="Arial" w:cs="Arial"/>
          <w:lang w:val="en-US"/>
        </w:rPr>
        <w:t>EB-2021-0302, Decision and Order, issued December 16, 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4FD"/>
    <w:multiLevelType w:val="hybridMultilevel"/>
    <w:tmpl w:val="8B3CEBD8"/>
    <w:lvl w:ilvl="0" w:tplc="69BCC4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0585E"/>
    <w:multiLevelType w:val="hybridMultilevel"/>
    <w:tmpl w:val="D1705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B21"/>
    <w:multiLevelType w:val="hybridMultilevel"/>
    <w:tmpl w:val="4C7EDB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44EC"/>
    <w:multiLevelType w:val="hybridMultilevel"/>
    <w:tmpl w:val="ACF6D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58A"/>
    <w:multiLevelType w:val="hybridMultilevel"/>
    <w:tmpl w:val="61F21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783B"/>
    <w:multiLevelType w:val="hybridMultilevel"/>
    <w:tmpl w:val="489053F4"/>
    <w:lvl w:ilvl="0" w:tplc="4650CD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F63F56"/>
    <w:multiLevelType w:val="hybridMultilevel"/>
    <w:tmpl w:val="FF3C6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01C76"/>
    <w:multiLevelType w:val="hybridMultilevel"/>
    <w:tmpl w:val="94225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56154"/>
    <w:multiLevelType w:val="hybridMultilevel"/>
    <w:tmpl w:val="26B6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23BC0"/>
    <w:multiLevelType w:val="hybridMultilevel"/>
    <w:tmpl w:val="86B08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A45C9"/>
    <w:multiLevelType w:val="hybridMultilevel"/>
    <w:tmpl w:val="ADD67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D089D"/>
    <w:multiLevelType w:val="hybridMultilevel"/>
    <w:tmpl w:val="07628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C1"/>
    <w:rsid w:val="00052665"/>
    <w:rsid w:val="00100B09"/>
    <w:rsid w:val="00105C71"/>
    <w:rsid w:val="001653CD"/>
    <w:rsid w:val="00167549"/>
    <w:rsid w:val="001753B6"/>
    <w:rsid w:val="001C3083"/>
    <w:rsid w:val="001D5A75"/>
    <w:rsid w:val="00240DE5"/>
    <w:rsid w:val="002A7C33"/>
    <w:rsid w:val="003829FD"/>
    <w:rsid w:val="00411D15"/>
    <w:rsid w:val="00454101"/>
    <w:rsid w:val="00484CDE"/>
    <w:rsid w:val="004A4C46"/>
    <w:rsid w:val="004B4B2A"/>
    <w:rsid w:val="004D24DB"/>
    <w:rsid w:val="00517EEF"/>
    <w:rsid w:val="005661C1"/>
    <w:rsid w:val="00572866"/>
    <w:rsid w:val="005933A8"/>
    <w:rsid w:val="005D5834"/>
    <w:rsid w:val="005F0FDC"/>
    <w:rsid w:val="006F4247"/>
    <w:rsid w:val="007D400A"/>
    <w:rsid w:val="008804B2"/>
    <w:rsid w:val="00925023"/>
    <w:rsid w:val="0094126F"/>
    <w:rsid w:val="009A398C"/>
    <w:rsid w:val="009D17DA"/>
    <w:rsid w:val="00A46497"/>
    <w:rsid w:val="00AC2654"/>
    <w:rsid w:val="00AC36AC"/>
    <w:rsid w:val="00AC37A6"/>
    <w:rsid w:val="00AF2175"/>
    <w:rsid w:val="00AF7FA7"/>
    <w:rsid w:val="00B10302"/>
    <w:rsid w:val="00B12301"/>
    <w:rsid w:val="00B9427A"/>
    <w:rsid w:val="00BC7850"/>
    <w:rsid w:val="00C02CA1"/>
    <w:rsid w:val="00C64CC2"/>
    <w:rsid w:val="00CC2285"/>
    <w:rsid w:val="00CF15FE"/>
    <w:rsid w:val="00D047EC"/>
    <w:rsid w:val="00D31C75"/>
    <w:rsid w:val="00E10950"/>
    <w:rsid w:val="00E233A0"/>
    <w:rsid w:val="00E34A6F"/>
    <w:rsid w:val="00E82BF4"/>
    <w:rsid w:val="00ED07C2"/>
    <w:rsid w:val="00EF78FD"/>
    <w:rsid w:val="00F51CE5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3FE9"/>
  <w15:chartTrackingRefBased/>
  <w15:docId w15:val="{CB365403-3267-447F-86BE-A0ECF4AC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7DA"/>
  </w:style>
  <w:style w:type="paragraph" w:styleId="Footer">
    <w:name w:val="footer"/>
    <w:basedOn w:val="Normal"/>
    <w:link w:val="FooterChar"/>
    <w:uiPriority w:val="99"/>
    <w:unhideWhenUsed/>
    <w:rsid w:val="009D1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7DA"/>
  </w:style>
  <w:style w:type="paragraph" w:customStyle="1" w:styleId="Default">
    <w:name w:val="Default"/>
    <w:rsid w:val="00AC2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C2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654"/>
    <w:pPr>
      <w:spacing w:after="200"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654"/>
    <w:rPr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654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654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AC265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C75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C75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</dc:creator>
  <cp:keywords/>
  <dc:description/>
  <cp:lastModifiedBy>Janice Robertson</cp:lastModifiedBy>
  <cp:revision>7</cp:revision>
  <dcterms:created xsi:type="dcterms:W3CDTF">2022-03-08T19:40:00Z</dcterms:created>
  <dcterms:modified xsi:type="dcterms:W3CDTF">2022-03-08T19:54:00Z</dcterms:modified>
</cp:coreProperties>
</file>