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6222665E" w:rsidR="003832E7" w:rsidRPr="003832E7" w:rsidRDefault="00B546C0" w:rsidP="003832E7">
      <w:pPr>
        <w:pStyle w:val="Default"/>
        <w:jc w:val="right"/>
        <w:rPr>
          <w:rFonts w:ascii="Arial" w:hAnsi="Arial" w:cs="Arial"/>
          <w:sz w:val="22"/>
          <w:szCs w:val="22"/>
        </w:rPr>
      </w:pPr>
      <w:r>
        <w:rPr>
          <w:rFonts w:ascii="Arial" w:hAnsi="Arial" w:cs="Arial"/>
          <w:bCs/>
          <w:sz w:val="22"/>
          <w:szCs w:val="22"/>
        </w:rPr>
        <w:t>North Bay Hydro Distribution Ltd</w:t>
      </w:r>
    </w:p>
    <w:p w14:paraId="5498C7DE" w14:textId="5F15C9B9" w:rsidR="00A07077" w:rsidRPr="00D57E8C" w:rsidRDefault="00033259" w:rsidP="00A07077">
      <w:pPr>
        <w:pStyle w:val="Default"/>
        <w:jc w:val="right"/>
        <w:rPr>
          <w:rFonts w:ascii="Arial" w:hAnsi="Arial" w:cs="Arial"/>
          <w:sz w:val="22"/>
          <w:szCs w:val="22"/>
        </w:rPr>
      </w:pPr>
      <w:r>
        <w:rPr>
          <w:rFonts w:ascii="Arial" w:hAnsi="Arial" w:cs="Arial"/>
          <w:sz w:val="22"/>
          <w:szCs w:val="22"/>
        </w:rPr>
        <w:t>NBHDL Responses</w:t>
      </w:r>
    </w:p>
    <w:p w14:paraId="04387495" w14:textId="209C76EF"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B546C0">
        <w:rPr>
          <w:rFonts w:ascii="Arial" w:hAnsi="Arial" w:cs="Arial"/>
          <w:sz w:val="22"/>
          <w:szCs w:val="22"/>
        </w:rPr>
        <w:t>0046</w:t>
      </w:r>
    </w:p>
    <w:p w14:paraId="04DD1EF2" w14:textId="77777777" w:rsidR="00A07077" w:rsidRPr="00D57E8C" w:rsidRDefault="00A07077" w:rsidP="00A07077">
      <w:pPr>
        <w:pStyle w:val="Default"/>
        <w:rPr>
          <w:rFonts w:ascii="Arial" w:hAnsi="Arial" w:cs="Arial"/>
          <w:sz w:val="22"/>
          <w:szCs w:val="22"/>
        </w:rPr>
      </w:pPr>
    </w:p>
    <w:p w14:paraId="31F8E0D6" w14:textId="28BBBCF2" w:rsidR="00A07077" w:rsidRPr="00D57E8C" w:rsidRDefault="00B546C0" w:rsidP="00A07077">
      <w:pPr>
        <w:pStyle w:val="Default"/>
        <w:jc w:val="center"/>
        <w:rPr>
          <w:rFonts w:ascii="Arial" w:hAnsi="Arial" w:cs="Arial"/>
          <w:sz w:val="28"/>
          <w:szCs w:val="28"/>
        </w:rPr>
      </w:pPr>
      <w:r>
        <w:rPr>
          <w:rFonts w:ascii="Arial" w:hAnsi="Arial" w:cs="Arial"/>
          <w:b/>
          <w:bCs/>
          <w:sz w:val="28"/>
          <w:szCs w:val="28"/>
        </w:rPr>
        <w:t>North Bay Hydro Distribution Ltd</w:t>
      </w:r>
    </w:p>
    <w:p w14:paraId="33D6510D" w14:textId="40AA6A63"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B546C0">
        <w:rPr>
          <w:rFonts w:ascii="Arial" w:hAnsi="Arial" w:cs="Arial"/>
          <w:b/>
          <w:bCs/>
          <w:sz w:val="28"/>
          <w:szCs w:val="28"/>
        </w:rPr>
        <w:t>0046</w:t>
      </w:r>
    </w:p>
    <w:p w14:paraId="64C03686" w14:textId="3A3ED6D2" w:rsidR="005E14CD" w:rsidRDefault="005E14CD" w:rsidP="00A07077">
      <w:pPr>
        <w:pStyle w:val="Default"/>
        <w:jc w:val="center"/>
        <w:rPr>
          <w:rFonts w:ascii="Arial" w:hAnsi="Arial" w:cs="Arial"/>
          <w:b/>
          <w:bCs/>
          <w:sz w:val="28"/>
          <w:szCs w:val="28"/>
        </w:rPr>
      </w:pPr>
      <w:r>
        <w:rPr>
          <w:rFonts w:ascii="Arial" w:hAnsi="Arial" w:cs="Arial"/>
          <w:b/>
          <w:bCs/>
          <w:sz w:val="28"/>
          <w:szCs w:val="28"/>
        </w:rPr>
        <w:t>RESPONSES</w:t>
      </w:r>
    </w:p>
    <w:p w14:paraId="63C86BE8" w14:textId="77777777" w:rsidR="00511EC2" w:rsidRDefault="00511EC2" w:rsidP="00511EC2">
      <w:pPr>
        <w:spacing w:after="0" w:line="240" w:lineRule="auto"/>
        <w:rPr>
          <w:rFonts w:ascii="Arial" w:eastAsia="Calibri" w:hAnsi="Arial" w:cs="Arial"/>
          <w:lang w:val="en-US"/>
        </w:rPr>
      </w:pPr>
    </w:p>
    <w:p w14:paraId="799FFE99" w14:textId="4F12B4AD" w:rsidR="001466DD" w:rsidRPr="005E14CD" w:rsidRDefault="008D491F"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1466DD" w:rsidRPr="005E14CD">
        <w:rPr>
          <w:rFonts w:ascii="Arial" w:hAnsi="Arial" w:cs="Arial"/>
          <w:b/>
          <w:bCs/>
          <w:sz w:val="24"/>
          <w:szCs w:val="24"/>
          <w:lang w:val="en-US"/>
        </w:rPr>
        <w:t>-1</w:t>
      </w:r>
    </w:p>
    <w:p w14:paraId="09F73A3B" w14:textId="77777777"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Ref: </w:t>
      </w:r>
      <w:r w:rsidRPr="005E14CD">
        <w:rPr>
          <w:rFonts w:ascii="Arial" w:hAnsi="Arial" w:cs="Arial"/>
          <w:b/>
          <w:bCs/>
          <w:sz w:val="24"/>
          <w:szCs w:val="24"/>
          <w:lang w:val="en-US"/>
        </w:rPr>
        <w:tab/>
        <w:t>Manager’s Summary, page 8</w:t>
      </w:r>
    </w:p>
    <w:p w14:paraId="6C81ACA4" w14:textId="77777777" w:rsidR="001466DD" w:rsidRPr="005E14CD" w:rsidRDefault="001466DD" w:rsidP="001466DD">
      <w:pPr>
        <w:spacing w:after="0"/>
        <w:contextualSpacing/>
        <w:rPr>
          <w:rFonts w:ascii="Arial" w:hAnsi="Arial" w:cs="Arial"/>
          <w:b/>
          <w:bCs/>
          <w:sz w:val="24"/>
          <w:szCs w:val="24"/>
          <w:lang w:val="en-US"/>
        </w:rPr>
      </w:pPr>
    </w:p>
    <w:p w14:paraId="45C90D28" w14:textId="182A40D8"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sz w:val="24"/>
          <w:szCs w:val="24"/>
          <w:lang w:val="en-US"/>
        </w:rPr>
        <w:t xml:space="preserve">North Bay Hydro indicated that the current claim balance is below the threshold, even when isolating only Accounts 1588 and 1589. North Bay Hydro is not seeking disposition. Please indicate whether there would be rate riders generated for all applicable classes if Group 1 balances were disposed in this proceeding. </w:t>
      </w:r>
    </w:p>
    <w:p w14:paraId="4D0AA1DB" w14:textId="29E93889" w:rsidR="001466DD" w:rsidRPr="005E14CD" w:rsidRDefault="001466DD" w:rsidP="001466DD">
      <w:pPr>
        <w:spacing w:after="0"/>
        <w:contextualSpacing/>
        <w:rPr>
          <w:rFonts w:ascii="Arial" w:hAnsi="Arial" w:cs="Arial"/>
          <w:b/>
          <w:bCs/>
          <w:sz w:val="24"/>
          <w:szCs w:val="24"/>
          <w:lang w:val="en-US"/>
        </w:rPr>
      </w:pPr>
    </w:p>
    <w:p w14:paraId="732AAE24" w14:textId="2DABB91E" w:rsidR="00824113" w:rsidRPr="005E14CD" w:rsidRDefault="00824113"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Response – 1</w:t>
      </w:r>
    </w:p>
    <w:p w14:paraId="2FE98100" w14:textId="3A9265D2" w:rsidR="00F35A33" w:rsidRPr="005E14CD" w:rsidRDefault="00F35A33" w:rsidP="001466DD">
      <w:pPr>
        <w:spacing w:after="0"/>
        <w:contextualSpacing/>
        <w:rPr>
          <w:rFonts w:ascii="Arial" w:hAnsi="Arial" w:cs="Arial"/>
          <w:b/>
          <w:bCs/>
          <w:sz w:val="24"/>
          <w:szCs w:val="24"/>
          <w:lang w:val="en-US"/>
        </w:rPr>
      </w:pPr>
    </w:p>
    <w:p w14:paraId="1D590C46" w14:textId="69352C81" w:rsidR="00F35A33" w:rsidRPr="005E14CD" w:rsidRDefault="00F35A33" w:rsidP="001466DD">
      <w:pPr>
        <w:spacing w:after="0"/>
        <w:contextualSpacing/>
        <w:rPr>
          <w:rFonts w:ascii="Arial" w:hAnsi="Arial" w:cs="Arial"/>
          <w:sz w:val="24"/>
          <w:szCs w:val="24"/>
          <w:lang w:val="en-US"/>
        </w:rPr>
      </w:pPr>
      <w:r w:rsidRPr="005E14CD">
        <w:rPr>
          <w:rFonts w:ascii="Arial" w:hAnsi="Arial" w:cs="Arial"/>
          <w:sz w:val="24"/>
          <w:szCs w:val="24"/>
          <w:lang w:val="en-US"/>
        </w:rPr>
        <w:t>When re-completing the IRM Rate model, and opting for the disposition of Group 1 accounts and completing tabs 6 and 7, NBHDL confirms that there would be rate riders for all applicable classes. However, in most case it is less than $0.005/kwh.</w:t>
      </w:r>
    </w:p>
    <w:p w14:paraId="6687440E" w14:textId="56C9A2CD" w:rsidR="00824113" w:rsidRPr="005E14CD" w:rsidRDefault="00824113" w:rsidP="001466DD">
      <w:pPr>
        <w:spacing w:after="0"/>
        <w:contextualSpacing/>
        <w:rPr>
          <w:rFonts w:ascii="Arial" w:hAnsi="Arial" w:cs="Arial"/>
          <w:b/>
          <w:bCs/>
          <w:sz w:val="24"/>
          <w:szCs w:val="24"/>
          <w:lang w:val="en-US"/>
        </w:rPr>
      </w:pPr>
    </w:p>
    <w:p w14:paraId="10776EA3" w14:textId="77777777" w:rsidR="00824113" w:rsidRPr="005E14CD" w:rsidRDefault="00824113" w:rsidP="001466DD">
      <w:pPr>
        <w:spacing w:after="0"/>
        <w:contextualSpacing/>
        <w:rPr>
          <w:rFonts w:ascii="Arial" w:hAnsi="Arial" w:cs="Arial"/>
          <w:b/>
          <w:bCs/>
          <w:sz w:val="24"/>
          <w:szCs w:val="24"/>
          <w:lang w:val="en-US"/>
        </w:rPr>
      </w:pPr>
    </w:p>
    <w:p w14:paraId="4B2A8BD2" w14:textId="77777777" w:rsidR="00396A23" w:rsidRPr="005E14CD" w:rsidRDefault="00396A23" w:rsidP="001466DD">
      <w:pPr>
        <w:spacing w:after="0"/>
        <w:contextualSpacing/>
        <w:rPr>
          <w:rFonts w:ascii="Arial" w:hAnsi="Arial" w:cs="Arial"/>
          <w:b/>
          <w:bCs/>
          <w:sz w:val="24"/>
          <w:szCs w:val="24"/>
          <w:lang w:val="en-US"/>
        </w:rPr>
      </w:pPr>
    </w:p>
    <w:p w14:paraId="2BF01EBC" w14:textId="1C2DC83A" w:rsidR="001466DD" w:rsidRPr="005E14CD" w:rsidRDefault="008D491F"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1466DD" w:rsidRPr="005E14CD">
        <w:rPr>
          <w:rFonts w:ascii="Arial" w:hAnsi="Arial" w:cs="Arial"/>
          <w:b/>
          <w:bCs/>
          <w:sz w:val="24"/>
          <w:szCs w:val="24"/>
          <w:lang w:val="en-US"/>
        </w:rPr>
        <w:t>-2</w:t>
      </w:r>
    </w:p>
    <w:p w14:paraId="35D7D369" w14:textId="77777777"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Ref: </w:t>
      </w:r>
      <w:r w:rsidRPr="005E14CD">
        <w:rPr>
          <w:rFonts w:ascii="Arial" w:hAnsi="Arial" w:cs="Arial"/>
          <w:b/>
          <w:bCs/>
          <w:sz w:val="24"/>
          <w:szCs w:val="24"/>
          <w:lang w:val="en-US"/>
        </w:rPr>
        <w:tab/>
        <w:t>Manager’s Summary, page 9</w:t>
      </w:r>
    </w:p>
    <w:p w14:paraId="33D63711" w14:textId="77777777"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ab/>
        <w:t>Exhibit 9, Appendix C of EB-2020-0043</w:t>
      </w:r>
    </w:p>
    <w:p w14:paraId="3C0B4B70" w14:textId="77777777" w:rsidR="001466DD" w:rsidRPr="005E14CD" w:rsidRDefault="001466DD" w:rsidP="001466DD">
      <w:pPr>
        <w:spacing w:after="0"/>
        <w:contextualSpacing/>
        <w:rPr>
          <w:rFonts w:ascii="Arial" w:hAnsi="Arial" w:cs="Arial"/>
          <w:sz w:val="24"/>
          <w:szCs w:val="24"/>
          <w:lang w:val="en-US"/>
        </w:rPr>
      </w:pPr>
    </w:p>
    <w:p w14:paraId="1859CD60" w14:textId="50DC26B9" w:rsidR="001466DD" w:rsidRPr="005E14CD" w:rsidRDefault="001466DD" w:rsidP="001466DD">
      <w:pPr>
        <w:spacing w:after="0"/>
        <w:contextualSpacing/>
        <w:rPr>
          <w:rFonts w:ascii="Arial" w:hAnsi="Arial" w:cs="Arial"/>
          <w:sz w:val="24"/>
          <w:szCs w:val="24"/>
          <w:lang w:val="en-US"/>
        </w:rPr>
      </w:pPr>
      <w:r w:rsidRPr="005E14CD">
        <w:rPr>
          <w:rFonts w:ascii="Arial" w:hAnsi="Arial" w:cs="Arial"/>
          <w:sz w:val="24"/>
          <w:szCs w:val="24"/>
          <w:lang w:val="en-US"/>
        </w:rPr>
        <w:t>North Bay Hydro indicated that it has completed its review and applied the accounting guidance for the historical period 2017-2019 and its 2020 RRR balances are consistent with the new accounting guidance. In North Bay Hydro’s 2021 cost of service rate application, North Bay Hydro provided a description of its accounting relating to accounts 1588 and 1589 (Appendix C), which did not appear to comply with the accounting guidance. Please confirm that North Bay Hydro has since revised its accounting practices to comply with the accounting guidance. If not, please identify which aspect(s) do not comply with the accounting guidance and explain why North Bay has not complied with it.</w:t>
      </w:r>
    </w:p>
    <w:p w14:paraId="28C67A4C" w14:textId="614E8F72" w:rsidR="00824113" w:rsidRPr="005E14CD" w:rsidRDefault="00824113" w:rsidP="001466DD">
      <w:pPr>
        <w:spacing w:after="0"/>
        <w:contextualSpacing/>
        <w:rPr>
          <w:rFonts w:ascii="Arial" w:hAnsi="Arial" w:cs="Arial"/>
          <w:sz w:val="24"/>
          <w:szCs w:val="24"/>
          <w:lang w:val="en-US"/>
        </w:rPr>
      </w:pPr>
    </w:p>
    <w:p w14:paraId="1DE20074" w14:textId="6533C5E7" w:rsidR="00824113" w:rsidRPr="005E14CD" w:rsidRDefault="00824113" w:rsidP="001466DD">
      <w:pPr>
        <w:spacing w:after="0"/>
        <w:contextualSpacing/>
        <w:rPr>
          <w:rFonts w:ascii="Arial" w:hAnsi="Arial" w:cs="Arial"/>
          <w:b/>
          <w:bCs/>
          <w:sz w:val="24"/>
          <w:szCs w:val="24"/>
          <w:lang w:val="en-US"/>
        </w:rPr>
      </w:pPr>
      <w:bookmarkStart w:id="0" w:name="_Hlk97449889"/>
      <w:r w:rsidRPr="005E14CD">
        <w:rPr>
          <w:rFonts w:ascii="Arial" w:hAnsi="Arial" w:cs="Arial"/>
          <w:b/>
          <w:bCs/>
          <w:sz w:val="24"/>
          <w:szCs w:val="24"/>
          <w:lang w:val="en-US"/>
        </w:rPr>
        <w:t>Response – 2</w:t>
      </w:r>
    </w:p>
    <w:p w14:paraId="0E3C2DED" w14:textId="67BECA1A" w:rsidR="00725537" w:rsidRPr="005E14CD" w:rsidRDefault="00725537" w:rsidP="001466DD">
      <w:pPr>
        <w:spacing w:after="0"/>
        <w:contextualSpacing/>
        <w:rPr>
          <w:rFonts w:ascii="Arial" w:hAnsi="Arial" w:cs="Arial"/>
          <w:b/>
          <w:bCs/>
          <w:sz w:val="24"/>
          <w:szCs w:val="24"/>
          <w:lang w:val="en-US"/>
        </w:rPr>
      </w:pPr>
    </w:p>
    <w:p w14:paraId="1D5C2A34" w14:textId="0906EA3F" w:rsidR="00725537" w:rsidRPr="005E14CD" w:rsidRDefault="00725537" w:rsidP="001466DD">
      <w:pPr>
        <w:spacing w:after="0"/>
        <w:contextualSpacing/>
        <w:rPr>
          <w:rFonts w:ascii="Arial" w:hAnsi="Arial" w:cs="Arial"/>
          <w:sz w:val="24"/>
          <w:szCs w:val="24"/>
          <w:lang w:val="en-US"/>
        </w:rPr>
      </w:pPr>
      <w:r w:rsidRPr="005E14CD">
        <w:rPr>
          <w:rFonts w:ascii="Arial" w:hAnsi="Arial" w:cs="Arial"/>
          <w:sz w:val="24"/>
          <w:szCs w:val="24"/>
          <w:lang w:val="en-US"/>
        </w:rPr>
        <w:lastRenderedPageBreak/>
        <w:t>In the latter half of 2021 NBHDL began fully using the revised 1588/1589 methodology to settle with the IESO on a monthly basis. NBHDL then completed a full year review and true up using the revised methodology to close the fiscal year 2021.</w:t>
      </w:r>
    </w:p>
    <w:bookmarkEnd w:id="0"/>
    <w:p w14:paraId="65053F1D" w14:textId="4F12AE40" w:rsidR="00824113" w:rsidRPr="005E14CD" w:rsidRDefault="00824113" w:rsidP="001466DD">
      <w:pPr>
        <w:spacing w:after="0"/>
        <w:contextualSpacing/>
        <w:rPr>
          <w:rFonts w:ascii="Arial" w:hAnsi="Arial" w:cs="Arial"/>
          <w:sz w:val="24"/>
          <w:szCs w:val="24"/>
          <w:lang w:val="en-US"/>
        </w:rPr>
      </w:pPr>
    </w:p>
    <w:p w14:paraId="1AB3B374" w14:textId="77777777" w:rsidR="00824113" w:rsidRPr="005E14CD" w:rsidRDefault="00824113" w:rsidP="001466DD">
      <w:pPr>
        <w:spacing w:after="0"/>
        <w:contextualSpacing/>
        <w:rPr>
          <w:rFonts w:ascii="Arial" w:hAnsi="Arial" w:cs="Arial"/>
          <w:sz w:val="24"/>
          <w:szCs w:val="24"/>
          <w:lang w:val="en-US"/>
        </w:rPr>
      </w:pPr>
    </w:p>
    <w:p w14:paraId="56A30648" w14:textId="45CBCC57" w:rsidR="001466DD" w:rsidRPr="005E14CD" w:rsidRDefault="008D491F"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1466DD" w:rsidRPr="005E14CD">
        <w:rPr>
          <w:rFonts w:ascii="Arial" w:hAnsi="Arial" w:cs="Arial"/>
          <w:b/>
          <w:bCs/>
          <w:sz w:val="24"/>
          <w:szCs w:val="24"/>
          <w:lang w:val="en-US"/>
        </w:rPr>
        <w:t>-3</w:t>
      </w:r>
    </w:p>
    <w:p w14:paraId="4734D4B1" w14:textId="77777777"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Ref: </w:t>
      </w:r>
      <w:r w:rsidRPr="005E14CD">
        <w:rPr>
          <w:rFonts w:ascii="Arial" w:hAnsi="Arial" w:cs="Arial"/>
          <w:b/>
          <w:bCs/>
          <w:sz w:val="24"/>
          <w:szCs w:val="24"/>
          <w:lang w:val="en-US"/>
        </w:rPr>
        <w:tab/>
        <w:t>Manager’s Summary, page 9</w:t>
      </w:r>
    </w:p>
    <w:p w14:paraId="50D070A7" w14:textId="77777777" w:rsidR="001466DD" w:rsidRPr="005E14CD" w:rsidRDefault="001466DD" w:rsidP="001466DD">
      <w:pPr>
        <w:spacing w:after="0"/>
        <w:ind w:left="720"/>
        <w:contextualSpacing/>
        <w:rPr>
          <w:rFonts w:ascii="Arial" w:hAnsi="Arial" w:cs="Arial"/>
          <w:b/>
          <w:bCs/>
          <w:sz w:val="24"/>
          <w:szCs w:val="24"/>
          <w:lang w:val="en-US"/>
        </w:rPr>
      </w:pPr>
      <w:r w:rsidRPr="005E14CD">
        <w:rPr>
          <w:rFonts w:ascii="Arial" w:hAnsi="Arial" w:cs="Arial"/>
          <w:b/>
          <w:bCs/>
          <w:sz w:val="24"/>
          <w:szCs w:val="24"/>
          <w:lang w:val="en-US"/>
        </w:rPr>
        <w:t>Chapter 3 Filing Requirements, 2021 Edition for 2022 Rate Applications -Pages 12-13</w:t>
      </w:r>
    </w:p>
    <w:p w14:paraId="677E9527" w14:textId="77777777" w:rsidR="001466DD" w:rsidRPr="005E14CD" w:rsidRDefault="001466DD" w:rsidP="001466DD">
      <w:pPr>
        <w:spacing w:after="0"/>
        <w:contextualSpacing/>
        <w:rPr>
          <w:rFonts w:ascii="Arial" w:hAnsi="Arial" w:cs="Arial"/>
          <w:b/>
          <w:bCs/>
          <w:sz w:val="24"/>
          <w:szCs w:val="24"/>
          <w:lang w:val="en-US"/>
        </w:rPr>
      </w:pPr>
      <w:r w:rsidRPr="005E14CD">
        <w:rPr>
          <w:rFonts w:ascii="Arial" w:hAnsi="Arial" w:cs="Arial"/>
          <w:b/>
          <w:bCs/>
          <w:sz w:val="24"/>
          <w:szCs w:val="24"/>
          <w:lang w:val="en-US"/>
        </w:rPr>
        <w:tab/>
      </w:r>
    </w:p>
    <w:p w14:paraId="7E2CD4E0" w14:textId="46037C99" w:rsidR="001466DD" w:rsidRPr="005E14CD" w:rsidRDefault="001466DD" w:rsidP="001466DD">
      <w:pPr>
        <w:spacing w:after="0"/>
        <w:contextualSpacing/>
        <w:rPr>
          <w:rFonts w:ascii="Arial" w:hAnsi="Arial" w:cs="Arial"/>
          <w:sz w:val="24"/>
          <w:szCs w:val="24"/>
          <w:lang w:val="en-US"/>
        </w:rPr>
      </w:pPr>
      <w:r w:rsidRPr="005E14CD">
        <w:rPr>
          <w:rFonts w:ascii="Arial" w:hAnsi="Arial" w:cs="Arial"/>
          <w:sz w:val="24"/>
          <w:szCs w:val="24"/>
          <w:lang w:val="en-US"/>
        </w:rPr>
        <w:t>North Bay Hydro provided its prior period principal adjustments in table 4. In the decision and order for North Bay Hydro’s 2020 rate</w:t>
      </w:r>
      <w:r w:rsidR="00CD4EE9" w:rsidRPr="005E14CD">
        <w:rPr>
          <w:rFonts w:ascii="Arial" w:hAnsi="Arial" w:cs="Arial"/>
          <w:sz w:val="24"/>
          <w:szCs w:val="24"/>
          <w:lang w:val="en-US"/>
        </w:rPr>
        <w:t>s</w:t>
      </w:r>
      <w:r w:rsidRPr="005E14CD">
        <w:rPr>
          <w:rFonts w:ascii="Arial" w:hAnsi="Arial" w:cs="Arial"/>
          <w:sz w:val="24"/>
          <w:szCs w:val="24"/>
          <w:lang w:val="en-US"/>
        </w:rPr>
        <w:t xml:space="preserve"> proceeding</w:t>
      </w:r>
      <w:r w:rsidRPr="005E14CD">
        <w:rPr>
          <w:rStyle w:val="FootnoteReference"/>
          <w:rFonts w:ascii="Arial" w:hAnsi="Arial" w:cs="Arial"/>
          <w:sz w:val="24"/>
          <w:szCs w:val="24"/>
          <w:lang w:val="en-US"/>
        </w:rPr>
        <w:footnoteReference w:id="1"/>
      </w:r>
      <w:r w:rsidRPr="005E14CD">
        <w:rPr>
          <w:rFonts w:ascii="Arial" w:hAnsi="Arial" w:cs="Arial"/>
          <w:sz w:val="24"/>
          <w:szCs w:val="24"/>
          <w:lang w:val="en-US"/>
        </w:rPr>
        <w:t>, the OEB indicated that it expects North Bay Hydro to identify and explain any material adjustments resulting from the application of the new accounting guidance on its 2017 to 2019 Account 1588 and Account 1589 balances.</w:t>
      </w:r>
    </w:p>
    <w:p w14:paraId="18EFA22B" w14:textId="77777777" w:rsidR="001466DD" w:rsidRPr="005E14CD" w:rsidRDefault="001466DD" w:rsidP="001466DD">
      <w:pPr>
        <w:spacing w:after="0"/>
        <w:contextualSpacing/>
        <w:rPr>
          <w:rFonts w:ascii="Arial" w:hAnsi="Arial" w:cs="Arial"/>
          <w:sz w:val="24"/>
          <w:szCs w:val="24"/>
          <w:lang w:val="en-US"/>
        </w:rPr>
      </w:pPr>
    </w:p>
    <w:p w14:paraId="3C2D0AC9" w14:textId="48FF728C" w:rsidR="001466DD" w:rsidRPr="005E14CD" w:rsidRDefault="001466DD" w:rsidP="001466DD">
      <w:pPr>
        <w:pStyle w:val="ListParagraph"/>
        <w:numPr>
          <w:ilvl w:val="0"/>
          <w:numId w:val="28"/>
        </w:numPr>
        <w:spacing w:after="0"/>
        <w:rPr>
          <w:rFonts w:ascii="Arial" w:hAnsi="Arial" w:cs="Arial"/>
          <w:sz w:val="24"/>
          <w:szCs w:val="24"/>
          <w:lang w:val="en-US"/>
        </w:rPr>
      </w:pPr>
      <w:r w:rsidRPr="005E14CD">
        <w:rPr>
          <w:rFonts w:ascii="Arial" w:hAnsi="Arial" w:cs="Arial"/>
          <w:sz w:val="24"/>
          <w:szCs w:val="24"/>
          <w:lang w:val="en-US"/>
        </w:rPr>
        <w:t>Per page 12 of the Filing Requirements, please provide a summary of the review performed, a discussion of the results of the review, and whether any systemic issues were noted.</w:t>
      </w:r>
    </w:p>
    <w:p w14:paraId="27039F95" w14:textId="77777777" w:rsidR="001466DD" w:rsidRPr="005E14CD" w:rsidRDefault="001466DD" w:rsidP="001466DD">
      <w:pPr>
        <w:pStyle w:val="ListParagraph"/>
        <w:numPr>
          <w:ilvl w:val="1"/>
          <w:numId w:val="28"/>
        </w:numPr>
        <w:spacing w:after="0"/>
        <w:rPr>
          <w:rFonts w:ascii="Arial" w:hAnsi="Arial" w:cs="Arial"/>
          <w:sz w:val="24"/>
          <w:szCs w:val="24"/>
          <w:lang w:val="en-US"/>
        </w:rPr>
      </w:pPr>
      <w:r w:rsidRPr="005E14CD">
        <w:rPr>
          <w:rFonts w:ascii="Arial" w:hAnsi="Arial" w:cs="Arial"/>
          <w:sz w:val="24"/>
          <w:szCs w:val="24"/>
          <w:lang w:val="en-US"/>
        </w:rPr>
        <w:t xml:space="preserve">For each annual principal adjustment identified in Table 4, please provide a breakdown of the adjustment by type of adjustment, if applicable, and include a description and reason for each adjustment. </w:t>
      </w:r>
    </w:p>
    <w:p w14:paraId="510DD372" w14:textId="77777777" w:rsidR="001466DD" w:rsidRPr="005E14CD" w:rsidRDefault="001466DD" w:rsidP="001466DD">
      <w:pPr>
        <w:pStyle w:val="ListParagraph"/>
        <w:numPr>
          <w:ilvl w:val="0"/>
          <w:numId w:val="28"/>
        </w:numPr>
        <w:spacing w:after="0"/>
        <w:rPr>
          <w:rFonts w:ascii="Arial" w:hAnsi="Arial" w:cs="Arial"/>
          <w:sz w:val="24"/>
          <w:szCs w:val="24"/>
          <w:lang w:val="en-US"/>
        </w:rPr>
      </w:pPr>
      <w:r w:rsidRPr="005E14CD">
        <w:rPr>
          <w:rFonts w:ascii="Arial" w:hAnsi="Arial" w:cs="Arial"/>
          <w:sz w:val="24"/>
          <w:szCs w:val="24"/>
          <w:lang w:val="en-US"/>
        </w:rPr>
        <w:t xml:space="preserve">Please confirm that all principal adjustments have already been recorded in North Bay Hydro’s general ledger. </w:t>
      </w:r>
    </w:p>
    <w:p w14:paraId="1A759EB9" w14:textId="77777777" w:rsidR="001466DD" w:rsidRPr="005E14CD" w:rsidRDefault="001466DD" w:rsidP="001466DD">
      <w:pPr>
        <w:pStyle w:val="ListParagraph"/>
        <w:numPr>
          <w:ilvl w:val="0"/>
          <w:numId w:val="28"/>
        </w:numPr>
        <w:spacing w:after="0"/>
        <w:rPr>
          <w:rFonts w:ascii="Arial" w:hAnsi="Arial" w:cs="Arial"/>
          <w:sz w:val="24"/>
          <w:szCs w:val="24"/>
          <w:lang w:val="en-US"/>
        </w:rPr>
      </w:pPr>
      <w:r w:rsidRPr="005E14CD">
        <w:rPr>
          <w:rFonts w:ascii="Arial" w:hAnsi="Arial" w:cs="Arial"/>
          <w:sz w:val="24"/>
          <w:szCs w:val="24"/>
          <w:lang w:val="en-US"/>
        </w:rPr>
        <w:t>If any RPP re-settlements were required to be submitted to the IESO, please confirm that North Bay Hydro has already done so. If not, please explain why not.</w:t>
      </w:r>
    </w:p>
    <w:p w14:paraId="5CE303B0" w14:textId="52548179" w:rsidR="001466DD" w:rsidRPr="005E14CD" w:rsidRDefault="001466DD" w:rsidP="006B3B59">
      <w:pPr>
        <w:rPr>
          <w:rFonts w:ascii="Arial" w:hAnsi="Arial" w:cs="Arial"/>
          <w:b/>
          <w:sz w:val="24"/>
          <w:szCs w:val="24"/>
        </w:rPr>
      </w:pPr>
    </w:p>
    <w:p w14:paraId="549E2348" w14:textId="2FF595D8" w:rsidR="00C207D8" w:rsidRPr="005E14CD" w:rsidRDefault="00C207D8" w:rsidP="00C207D8">
      <w:pPr>
        <w:spacing w:after="0"/>
        <w:contextualSpacing/>
        <w:rPr>
          <w:rFonts w:ascii="Arial" w:hAnsi="Arial" w:cs="Arial"/>
          <w:b/>
          <w:bCs/>
          <w:sz w:val="24"/>
          <w:szCs w:val="24"/>
          <w:lang w:val="en-US"/>
        </w:rPr>
      </w:pPr>
      <w:r w:rsidRPr="005E14CD">
        <w:rPr>
          <w:rFonts w:ascii="Arial" w:hAnsi="Arial" w:cs="Arial"/>
          <w:b/>
          <w:bCs/>
          <w:sz w:val="24"/>
          <w:szCs w:val="24"/>
          <w:lang w:val="en-US"/>
        </w:rPr>
        <w:t>Response – 3</w:t>
      </w:r>
    </w:p>
    <w:p w14:paraId="2654E026" w14:textId="42AD87F4" w:rsidR="008A0EE0" w:rsidRPr="005E14CD" w:rsidRDefault="00C207D8" w:rsidP="008A0EE0">
      <w:pPr>
        <w:pStyle w:val="ListParagraph"/>
        <w:numPr>
          <w:ilvl w:val="0"/>
          <w:numId w:val="32"/>
        </w:numPr>
        <w:spacing w:after="0"/>
        <w:rPr>
          <w:rFonts w:ascii="Arial" w:hAnsi="Arial" w:cs="Arial"/>
          <w:sz w:val="24"/>
          <w:szCs w:val="24"/>
          <w:lang w:val="en-US"/>
        </w:rPr>
      </w:pPr>
      <w:r w:rsidRPr="005E14CD">
        <w:rPr>
          <w:rFonts w:ascii="Arial" w:hAnsi="Arial" w:cs="Arial"/>
          <w:sz w:val="24"/>
          <w:szCs w:val="24"/>
          <w:lang w:val="en-US"/>
        </w:rPr>
        <w:t xml:space="preserve">NBHDL began its review by acknowledging a fundamental difference between its practiced settlement methodology and the one prescribed in the new accounting guidance for 1588 and 1589. While similar in spirit, NBHDL used actual billing data for non-RPP customers </w:t>
      </w:r>
      <w:r w:rsidR="005E14CD" w:rsidRPr="005E14CD">
        <w:rPr>
          <w:rFonts w:ascii="Arial" w:hAnsi="Arial" w:cs="Arial"/>
          <w:sz w:val="24"/>
          <w:szCs w:val="24"/>
          <w:lang w:val="en-US"/>
        </w:rPr>
        <w:t xml:space="preserve">and </w:t>
      </w:r>
      <w:r w:rsidR="001C0D1D" w:rsidRPr="005E14CD">
        <w:rPr>
          <w:rFonts w:ascii="Arial" w:hAnsi="Arial" w:cs="Arial"/>
          <w:sz w:val="24"/>
          <w:szCs w:val="24"/>
          <w:lang w:val="en-US"/>
        </w:rPr>
        <w:t xml:space="preserve">used </w:t>
      </w:r>
      <w:r w:rsidRPr="005E14CD">
        <w:rPr>
          <w:rFonts w:ascii="Arial" w:hAnsi="Arial" w:cs="Arial"/>
          <w:sz w:val="24"/>
          <w:szCs w:val="24"/>
          <w:lang w:val="en-US"/>
        </w:rPr>
        <w:t>a “bottom-up”</w:t>
      </w:r>
      <w:r w:rsidR="001C0D1D" w:rsidRPr="005E14CD">
        <w:rPr>
          <w:rFonts w:ascii="Arial" w:hAnsi="Arial" w:cs="Arial"/>
          <w:sz w:val="24"/>
          <w:szCs w:val="24"/>
          <w:lang w:val="en-US"/>
        </w:rPr>
        <w:t xml:space="preserve"> approach to reconcile the actual GA paid the respective variances for non-RPP customers and settled accordingly on a constant monthly true-up basis. The fundamental difference between this and the prescribed methodology was the latter’s “top-down” approach of cost allocation based on percentages and weighting of overall system RPP vs non-RPP kwh. While similar in spirit, NBHDL acknowledges </w:t>
      </w:r>
      <w:proofErr w:type="gramStart"/>
      <w:r w:rsidR="001C0D1D" w:rsidRPr="005E14CD">
        <w:rPr>
          <w:rFonts w:ascii="Arial" w:hAnsi="Arial" w:cs="Arial"/>
          <w:sz w:val="24"/>
          <w:szCs w:val="24"/>
          <w:lang w:val="en-US"/>
        </w:rPr>
        <w:t>it’s</w:t>
      </w:r>
      <w:proofErr w:type="gramEnd"/>
      <w:r w:rsidR="001C0D1D" w:rsidRPr="005E14CD">
        <w:rPr>
          <w:rFonts w:ascii="Arial" w:hAnsi="Arial" w:cs="Arial"/>
          <w:sz w:val="24"/>
          <w:szCs w:val="24"/>
          <w:lang w:val="en-US"/>
        </w:rPr>
        <w:t xml:space="preserve"> </w:t>
      </w:r>
      <w:r w:rsidR="001C0D1D" w:rsidRPr="005E14CD">
        <w:rPr>
          <w:rFonts w:ascii="Arial" w:hAnsi="Arial" w:cs="Arial"/>
          <w:sz w:val="24"/>
          <w:szCs w:val="24"/>
          <w:lang w:val="en-US"/>
        </w:rPr>
        <w:lastRenderedPageBreak/>
        <w:t>former methodology would not capture</w:t>
      </w:r>
      <w:r w:rsidR="008A0EE0" w:rsidRPr="005E14CD">
        <w:rPr>
          <w:rFonts w:ascii="Arial" w:hAnsi="Arial" w:cs="Arial"/>
          <w:sz w:val="24"/>
          <w:szCs w:val="24"/>
          <w:lang w:val="en-US"/>
        </w:rPr>
        <w:t xml:space="preserve"> items</w:t>
      </w:r>
      <w:r w:rsidR="001C0D1D" w:rsidRPr="005E14CD">
        <w:rPr>
          <w:rFonts w:ascii="Arial" w:hAnsi="Arial" w:cs="Arial"/>
          <w:sz w:val="24"/>
          <w:szCs w:val="24"/>
          <w:lang w:val="en-US"/>
        </w:rPr>
        <w:t xml:space="preserve"> </w:t>
      </w:r>
      <w:r w:rsidR="008A0EE0" w:rsidRPr="005E14CD">
        <w:rPr>
          <w:rFonts w:ascii="Arial" w:hAnsi="Arial" w:cs="Arial"/>
          <w:sz w:val="24"/>
          <w:szCs w:val="24"/>
          <w:lang w:val="en-US"/>
        </w:rPr>
        <w:t xml:space="preserve">such as </w:t>
      </w:r>
      <w:r w:rsidR="001C0D1D" w:rsidRPr="005E14CD">
        <w:rPr>
          <w:rFonts w:ascii="Arial" w:hAnsi="Arial" w:cs="Arial"/>
          <w:sz w:val="24"/>
          <w:szCs w:val="24"/>
          <w:lang w:val="en-US"/>
        </w:rPr>
        <w:t>allocations of miscellaneous IESO adjustments</w:t>
      </w:r>
      <w:r w:rsidR="008A0EE0" w:rsidRPr="005E14CD">
        <w:rPr>
          <w:rFonts w:ascii="Arial" w:hAnsi="Arial" w:cs="Arial"/>
          <w:sz w:val="24"/>
          <w:szCs w:val="24"/>
          <w:lang w:val="en-US"/>
        </w:rPr>
        <w:t xml:space="preserve"> and AQEW variances related to loss factor.</w:t>
      </w:r>
    </w:p>
    <w:p w14:paraId="6C17D01F" w14:textId="1CAFA70F" w:rsidR="008A0EE0" w:rsidRPr="005E14CD" w:rsidRDefault="008A0EE0" w:rsidP="008A0EE0">
      <w:pPr>
        <w:spacing w:after="0"/>
        <w:ind w:left="720"/>
        <w:rPr>
          <w:rFonts w:ascii="Arial" w:hAnsi="Arial" w:cs="Arial"/>
          <w:sz w:val="24"/>
          <w:szCs w:val="24"/>
          <w:lang w:val="en-US"/>
        </w:rPr>
      </w:pPr>
    </w:p>
    <w:p w14:paraId="19A89D41" w14:textId="57AC0556" w:rsidR="008A0EE0" w:rsidRPr="005E14CD" w:rsidRDefault="008A0EE0" w:rsidP="008A0EE0">
      <w:pPr>
        <w:spacing w:after="0"/>
        <w:ind w:left="720"/>
        <w:rPr>
          <w:rFonts w:ascii="Arial" w:hAnsi="Arial" w:cs="Arial"/>
          <w:sz w:val="24"/>
          <w:szCs w:val="24"/>
          <w:lang w:val="en-US"/>
        </w:rPr>
      </w:pPr>
      <w:r w:rsidRPr="005E14CD">
        <w:rPr>
          <w:rFonts w:ascii="Arial" w:hAnsi="Arial" w:cs="Arial"/>
          <w:sz w:val="24"/>
          <w:szCs w:val="24"/>
          <w:lang w:val="en-US"/>
        </w:rPr>
        <w:t xml:space="preserve">NBHDL’s review consisted of developing a query that would represent all annual billing data across all 12 months in any given year. Previously, system limitations allowed only for the to be done for GA in </w:t>
      </w:r>
      <w:r w:rsidR="009A01FE" w:rsidRPr="005E14CD">
        <w:rPr>
          <w:rFonts w:ascii="Arial" w:hAnsi="Arial" w:cs="Arial"/>
          <w:sz w:val="24"/>
          <w:szCs w:val="24"/>
          <w:lang w:val="en-US"/>
        </w:rPr>
        <w:t>order</w:t>
      </w:r>
      <w:r w:rsidRPr="005E14CD">
        <w:rPr>
          <w:rFonts w:ascii="Arial" w:hAnsi="Arial" w:cs="Arial"/>
          <w:sz w:val="24"/>
          <w:szCs w:val="24"/>
          <w:lang w:val="en-US"/>
        </w:rPr>
        <w:t xml:space="preserve"> to proof and settle actual billed GA in the proper month. </w:t>
      </w:r>
    </w:p>
    <w:p w14:paraId="7D55A78E" w14:textId="5A09ECCB" w:rsidR="009A01FE" w:rsidRPr="005E14CD" w:rsidRDefault="009A01FE" w:rsidP="008A0EE0">
      <w:pPr>
        <w:spacing w:after="0"/>
        <w:ind w:left="720"/>
        <w:rPr>
          <w:rFonts w:ascii="Arial" w:hAnsi="Arial" w:cs="Arial"/>
          <w:sz w:val="24"/>
          <w:szCs w:val="24"/>
          <w:lang w:val="en-US"/>
        </w:rPr>
      </w:pPr>
    </w:p>
    <w:p w14:paraId="64488C1A" w14:textId="6ACA0AEC" w:rsidR="006049B5" w:rsidRPr="005E14CD" w:rsidRDefault="009A01FE" w:rsidP="006049B5">
      <w:pPr>
        <w:spacing w:after="0"/>
        <w:ind w:left="720"/>
        <w:rPr>
          <w:rFonts w:ascii="Arial" w:hAnsi="Arial" w:cs="Arial"/>
          <w:sz w:val="24"/>
          <w:szCs w:val="24"/>
          <w:lang w:val="en-US"/>
        </w:rPr>
      </w:pPr>
      <w:r w:rsidRPr="005E14CD">
        <w:rPr>
          <w:rFonts w:ascii="Arial" w:hAnsi="Arial" w:cs="Arial"/>
          <w:sz w:val="24"/>
          <w:szCs w:val="24"/>
          <w:lang w:val="en-US"/>
        </w:rPr>
        <w:t xml:space="preserve">NBHDL then used this data to populate the OEB’s 1588/89 model for each month of any given year. Since this approach was an annual review and not part of the Estimate/Settlement/Reconciliation process, only the final RSVA adjustments were used in this review. NBHDL then compared these adjustments to our previous for reasonability. Since our previous method was that of a “rolling” true-up as opposed to isolated months, this comparison was difficult, however </w:t>
      </w:r>
      <w:proofErr w:type="gramStart"/>
      <w:r w:rsidRPr="005E14CD">
        <w:rPr>
          <w:rFonts w:ascii="Arial" w:hAnsi="Arial" w:cs="Arial"/>
          <w:sz w:val="24"/>
          <w:szCs w:val="24"/>
          <w:lang w:val="en-US"/>
        </w:rPr>
        <w:t>overall</w:t>
      </w:r>
      <w:proofErr w:type="gramEnd"/>
      <w:r w:rsidRPr="005E14CD">
        <w:rPr>
          <w:rFonts w:ascii="Arial" w:hAnsi="Arial" w:cs="Arial"/>
          <w:sz w:val="24"/>
          <w:szCs w:val="24"/>
          <w:lang w:val="en-US"/>
        </w:rPr>
        <w:t xml:space="preserve"> the adjustments were reasonable given the acknowledged limitations in our previous meth</w:t>
      </w:r>
      <w:r w:rsidR="006049B5" w:rsidRPr="005E14CD">
        <w:rPr>
          <w:rFonts w:ascii="Arial" w:hAnsi="Arial" w:cs="Arial"/>
          <w:sz w:val="24"/>
          <w:szCs w:val="24"/>
          <w:lang w:val="en-US"/>
        </w:rPr>
        <w:t>o</w:t>
      </w:r>
      <w:r w:rsidRPr="005E14CD">
        <w:rPr>
          <w:rFonts w:ascii="Arial" w:hAnsi="Arial" w:cs="Arial"/>
          <w:sz w:val="24"/>
          <w:szCs w:val="24"/>
          <w:lang w:val="en-US"/>
        </w:rPr>
        <w:t xml:space="preserve">d. Table 4 represents the adjustments made to account for the variances between our previous methodology and the </w:t>
      </w:r>
      <w:r w:rsidR="006049B5" w:rsidRPr="005E14CD">
        <w:rPr>
          <w:rFonts w:ascii="Arial" w:hAnsi="Arial" w:cs="Arial"/>
          <w:sz w:val="24"/>
          <w:szCs w:val="24"/>
          <w:lang w:val="en-US"/>
        </w:rPr>
        <w:t>results of our annual reviews using the OEB’s workbook.</w:t>
      </w:r>
    </w:p>
    <w:p w14:paraId="6411F4B2" w14:textId="1FE53F56" w:rsidR="006049B5" w:rsidRPr="005E14CD" w:rsidRDefault="006049B5" w:rsidP="006049B5">
      <w:pPr>
        <w:spacing w:after="0"/>
        <w:ind w:left="720"/>
        <w:rPr>
          <w:rFonts w:ascii="Arial" w:hAnsi="Arial" w:cs="Arial"/>
          <w:sz w:val="24"/>
          <w:szCs w:val="24"/>
          <w:lang w:val="en-US"/>
        </w:rPr>
      </w:pPr>
    </w:p>
    <w:p w14:paraId="38BB8495" w14:textId="2A93C312" w:rsidR="006049B5" w:rsidRPr="005E14CD" w:rsidRDefault="006049B5" w:rsidP="006049B5">
      <w:pPr>
        <w:pStyle w:val="ListParagraph"/>
        <w:numPr>
          <w:ilvl w:val="0"/>
          <w:numId w:val="36"/>
        </w:numPr>
        <w:spacing w:after="0"/>
        <w:rPr>
          <w:rFonts w:ascii="Arial" w:hAnsi="Arial" w:cs="Arial"/>
          <w:sz w:val="24"/>
          <w:szCs w:val="24"/>
          <w:lang w:val="en-US"/>
        </w:rPr>
      </w:pPr>
      <w:r w:rsidRPr="005E14CD">
        <w:rPr>
          <w:rFonts w:ascii="Arial" w:hAnsi="Arial" w:cs="Arial"/>
          <w:sz w:val="24"/>
          <w:szCs w:val="24"/>
          <w:lang w:val="en-US"/>
        </w:rPr>
        <w:t xml:space="preserve">As stated above. These adjustments represent the gross variances in </w:t>
      </w:r>
      <w:r w:rsidR="00DD0634" w:rsidRPr="005E14CD">
        <w:rPr>
          <w:rFonts w:ascii="Arial" w:hAnsi="Arial" w:cs="Arial"/>
          <w:sz w:val="24"/>
          <w:szCs w:val="24"/>
          <w:lang w:val="en-US"/>
        </w:rPr>
        <w:t xml:space="preserve">a </w:t>
      </w:r>
      <w:r w:rsidRPr="005E14CD">
        <w:rPr>
          <w:rFonts w:ascii="Arial" w:hAnsi="Arial" w:cs="Arial"/>
          <w:sz w:val="24"/>
          <w:szCs w:val="24"/>
          <w:lang w:val="en-US"/>
        </w:rPr>
        <w:t>given year</w:t>
      </w:r>
      <w:r w:rsidR="00DD0634" w:rsidRPr="005E14CD">
        <w:rPr>
          <w:rFonts w:ascii="Arial" w:hAnsi="Arial" w:cs="Arial"/>
          <w:sz w:val="24"/>
          <w:szCs w:val="24"/>
          <w:lang w:val="en-US"/>
        </w:rPr>
        <w:t xml:space="preserve">, between our previous “bottom-up” approach and the OEB prescribed model. </w:t>
      </w:r>
    </w:p>
    <w:p w14:paraId="01AF5E5D" w14:textId="0230507E" w:rsidR="00DD0634" w:rsidRPr="005E14CD" w:rsidRDefault="00DD0634" w:rsidP="00DD0634">
      <w:pPr>
        <w:spacing w:after="0"/>
        <w:rPr>
          <w:rFonts w:ascii="Arial" w:hAnsi="Arial" w:cs="Arial"/>
          <w:sz w:val="24"/>
          <w:szCs w:val="24"/>
          <w:lang w:val="en-US"/>
        </w:rPr>
      </w:pPr>
    </w:p>
    <w:p w14:paraId="128CB1B1" w14:textId="266213B1" w:rsidR="00DD0634" w:rsidRPr="005E14CD" w:rsidRDefault="00DD0634" w:rsidP="00DD0634">
      <w:pPr>
        <w:pStyle w:val="ListParagraph"/>
        <w:numPr>
          <w:ilvl w:val="0"/>
          <w:numId w:val="32"/>
        </w:numPr>
        <w:spacing w:after="0"/>
        <w:rPr>
          <w:rFonts w:ascii="Arial" w:hAnsi="Arial" w:cs="Arial"/>
          <w:sz w:val="24"/>
          <w:szCs w:val="24"/>
          <w:lang w:val="en-US"/>
        </w:rPr>
      </w:pPr>
      <w:r w:rsidRPr="005E14CD">
        <w:rPr>
          <w:rFonts w:ascii="Arial" w:hAnsi="Arial" w:cs="Arial"/>
          <w:sz w:val="24"/>
          <w:szCs w:val="24"/>
          <w:lang w:val="en-US"/>
        </w:rPr>
        <w:t>NBHDL confirms that these principal adjustments were recorded in the general ledger at year-end 2020.</w:t>
      </w:r>
    </w:p>
    <w:p w14:paraId="1B9A28A6" w14:textId="549122EB" w:rsidR="00DD0634" w:rsidRPr="005E14CD" w:rsidRDefault="00DD0634" w:rsidP="00DD0634">
      <w:pPr>
        <w:pStyle w:val="ListParagraph"/>
        <w:numPr>
          <w:ilvl w:val="0"/>
          <w:numId w:val="32"/>
        </w:numPr>
        <w:spacing w:after="0"/>
        <w:rPr>
          <w:rFonts w:ascii="Arial" w:hAnsi="Arial" w:cs="Arial"/>
          <w:sz w:val="24"/>
          <w:szCs w:val="24"/>
          <w:lang w:val="en-US"/>
        </w:rPr>
      </w:pPr>
      <w:r w:rsidRPr="005E14CD">
        <w:rPr>
          <w:rFonts w:ascii="Arial" w:hAnsi="Arial" w:cs="Arial"/>
          <w:sz w:val="24"/>
          <w:szCs w:val="24"/>
          <w:lang w:val="en-US"/>
        </w:rPr>
        <w:t>NBHDL has submitted these adjustments through the IESO.</w:t>
      </w:r>
    </w:p>
    <w:p w14:paraId="0EF7D474" w14:textId="77777777" w:rsidR="00C207D8" w:rsidRPr="005E14CD" w:rsidRDefault="00C207D8" w:rsidP="006B3B59">
      <w:pPr>
        <w:rPr>
          <w:rFonts w:ascii="Arial" w:hAnsi="Arial" w:cs="Arial"/>
          <w:b/>
          <w:sz w:val="24"/>
          <w:szCs w:val="24"/>
        </w:rPr>
      </w:pPr>
    </w:p>
    <w:p w14:paraId="3DDF0791" w14:textId="77777777" w:rsidR="00396A23" w:rsidRPr="005E14CD" w:rsidRDefault="00396A23" w:rsidP="006B3B59">
      <w:pPr>
        <w:rPr>
          <w:rFonts w:ascii="Arial" w:hAnsi="Arial" w:cs="Arial"/>
          <w:b/>
          <w:sz w:val="24"/>
          <w:szCs w:val="24"/>
        </w:rPr>
      </w:pPr>
    </w:p>
    <w:p w14:paraId="285B5E8C" w14:textId="47B2E76D" w:rsidR="006B3B59" w:rsidRPr="005E14CD" w:rsidRDefault="006B3B59" w:rsidP="009F5170">
      <w:pPr>
        <w:spacing w:after="0"/>
        <w:rPr>
          <w:rFonts w:ascii="Arial" w:hAnsi="Arial" w:cs="Arial"/>
          <w:b/>
          <w:sz w:val="24"/>
          <w:szCs w:val="24"/>
        </w:rPr>
      </w:pPr>
      <w:r w:rsidRPr="005E14CD">
        <w:rPr>
          <w:rFonts w:ascii="Arial" w:hAnsi="Arial" w:cs="Arial"/>
          <w:b/>
          <w:sz w:val="24"/>
          <w:szCs w:val="24"/>
        </w:rPr>
        <w:t>Staff Question-</w:t>
      </w:r>
      <w:r w:rsidR="001466DD" w:rsidRPr="005E14CD">
        <w:rPr>
          <w:rFonts w:ascii="Arial" w:hAnsi="Arial" w:cs="Arial"/>
          <w:b/>
          <w:sz w:val="24"/>
          <w:szCs w:val="24"/>
        </w:rPr>
        <w:t>4</w:t>
      </w:r>
    </w:p>
    <w:p w14:paraId="304C8F08" w14:textId="3A45C5A1" w:rsidR="009F5170" w:rsidRPr="005E14CD" w:rsidRDefault="009F5170" w:rsidP="009F5170">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Ref: </w:t>
      </w:r>
      <w:r w:rsidRPr="005E14CD">
        <w:rPr>
          <w:rFonts w:ascii="Arial" w:hAnsi="Arial" w:cs="Arial"/>
          <w:b/>
          <w:bCs/>
          <w:sz w:val="24"/>
          <w:szCs w:val="24"/>
          <w:lang w:val="en-US"/>
        </w:rPr>
        <w:tab/>
        <w:t xml:space="preserve">Rate Generator Model, Continuity Schedule </w:t>
      </w:r>
    </w:p>
    <w:p w14:paraId="4A2CB5F0" w14:textId="77777777" w:rsidR="009F5170" w:rsidRPr="005E14CD" w:rsidRDefault="009F5170" w:rsidP="009F5170">
      <w:pPr>
        <w:spacing w:after="0"/>
        <w:rPr>
          <w:rFonts w:ascii="Arial" w:hAnsi="Arial" w:cs="Arial"/>
          <w:b/>
          <w:sz w:val="24"/>
          <w:szCs w:val="24"/>
        </w:rPr>
      </w:pPr>
    </w:p>
    <w:p w14:paraId="7899338B" w14:textId="7C8B2693" w:rsidR="006B3B59" w:rsidRPr="005E14CD" w:rsidRDefault="006B3B59" w:rsidP="009F5170">
      <w:pPr>
        <w:spacing w:after="0"/>
        <w:rPr>
          <w:rFonts w:ascii="Arial" w:hAnsi="Arial" w:cs="Arial"/>
          <w:bCs/>
          <w:sz w:val="24"/>
          <w:szCs w:val="24"/>
        </w:rPr>
      </w:pPr>
      <w:r w:rsidRPr="005E14CD">
        <w:rPr>
          <w:rFonts w:ascii="Arial" w:hAnsi="Arial" w:cs="Arial"/>
          <w:bCs/>
          <w:sz w:val="24"/>
          <w:szCs w:val="24"/>
        </w:rPr>
        <w:t xml:space="preserve">There is a variance in cell BW26 of the continuity schedule and an error message in cells BX to CL indicating the amount in BW26 does not match the RRR balance in BV28. An explanation is not provided in the manager’s summary for the variance. Please provide an explanation for the variance in cell BW26 of the continuity schedule. </w:t>
      </w:r>
    </w:p>
    <w:p w14:paraId="387A6D3C" w14:textId="2C478330" w:rsidR="001D7319" w:rsidRPr="005E14CD" w:rsidRDefault="001D7319" w:rsidP="001D7319">
      <w:pPr>
        <w:rPr>
          <w:rFonts w:ascii="Arial" w:hAnsi="Arial" w:cs="Arial"/>
          <w:b/>
          <w:sz w:val="24"/>
          <w:szCs w:val="24"/>
        </w:rPr>
      </w:pPr>
    </w:p>
    <w:p w14:paraId="3482D622" w14:textId="4F27D055" w:rsidR="00AF5387" w:rsidRPr="005E14CD" w:rsidRDefault="00AF5387" w:rsidP="00AF5387">
      <w:pPr>
        <w:spacing w:after="0"/>
        <w:contextualSpacing/>
        <w:rPr>
          <w:rFonts w:ascii="Arial" w:hAnsi="Arial" w:cs="Arial"/>
          <w:b/>
          <w:bCs/>
          <w:sz w:val="24"/>
          <w:szCs w:val="24"/>
          <w:lang w:val="en-US"/>
        </w:rPr>
      </w:pPr>
      <w:r w:rsidRPr="005E14CD">
        <w:rPr>
          <w:rFonts w:ascii="Arial" w:hAnsi="Arial" w:cs="Arial"/>
          <w:b/>
          <w:bCs/>
          <w:sz w:val="24"/>
          <w:szCs w:val="24"/>
          <w:lang w:val="en-US"/>
        </w:rPr>
        <w:t>Response – 4</w:t>
      </w:r>
    </w:p>
    <w:p w14:paraId="45702FB6" w14:textId="7BE322FE" w:rsidR="00AF5387" w:rsidRPr="005E14CD" w:rsidRDefault="00AF5387" w:rsidP="00AF5387">
      <w:pPr>
        <w:spacing w:after="0"/>
        <w:contextualSpacing/>
        <w:rPr>
          <w:rFonts w:ascii="Arial" w:hAnsi="Arial" w:cs="Arial"/>
          <w:b/>
          <w:bCs/>
          <w:sz w:val="24"/>
          <w:szCs w:val="24"/>
          <w:lang w:val="en-US"/>
        </w:rPr>
      </w:pPr>
    </w:p>
    <w:p w14:paraId="53C26E39" w14:textId="4151AAE3" w:rsidR="00AF5387" w:rsidRPr="005E14CD" w:rsidRDefault="00AF5387" w:rsidP="00AF5387">
      <w:pPr>
        <w:spacing w:after="0"/>
        <w:contextualSpacing/>
        <w:rPr>
          <w:rFonts w:ascii="Arial" w:hAnsi="Arial" w:cs="Arial"/>
          <w:sz w:val="24"/>
          <w:szCs w:val="24"/>
          <w:lang w:val="en-US"/>
        </w:rPr>
      </w:pPr>
      <w:r w:rsidRPr="005E14CD">
        <w:rPr>
          <w:rFonts w:ascii="Arial" w:hAnsi="Arial" w:cs="Arial"/>
          <w:sz w:val="24"/>
          <w:szCs w:val="24"/>
          <w:lang w:val="en-US"/>
        </w:rPr>
        <w:lastRenderedPageBreak/>
        <w:t>NBHDL is unable to confirm an error message in cell BW26. NBHDL does however recognize error messages in cells BW23 and BW 31. Both of which are explained in the except below from the managers summary (pg</w:t>
      </w:r>
      <w:r w:rsidR="00057028" w:rsidRPr="005E14CD">
        <w:rPr>
          <w:rFonts w:ascii="Arial" w:hAnsi="Arial" w:cs="Arial"/>
          <w:sz w:val="24"/>
          <w:szCs w:val="24"/>
          <w:lang w:val="en-US"/>
        </w:rPr>
        <w:t>7)</w:t>
      </w:r>
    </w:p>
    <w:p w14:paraId="75159DE7" w14:textId="5957A625" w:rsidR="00057028" w:rsidRPr="005E14CD" w:rsidRDefault="00057028" w:rsidP="00AF5387">
      <w:pPr>
        <w:spacing w:after="0"/>
        <w:contextualSpacing/>
        <w:rPr>
          <w:rFonts w:ascii="Arial" w:hAnsi="Arial" w:cs="Arial"/>
          <w:sz w:val="24"/>
          <w:szCs w:val="24"/>
          <w:lang w:val="en-US"/>
        </w:rPr>
      </w:pPr>
    </w:p>
    <w:p w14:paraId="5F71D72D" w14:textId="1A4188AB" w:rsidR="00057028" w:rsidRPr="005E14CD" w:rsidRDefault="00057028" w:rsidP="00057028">
      <w:pPr>
        <w:spacing w:after="0"/>
        <w:ind w:left="720"/>
        <w:contextualSpacing/>
        <w:rPr>
          <w:rFonts w:ascii="Arial" w:hAnsi="Arial" w:cs="Arial"/>
          <w:i/>
          <w:iCs/>
          <w:sz w:val="24"/>
          <w:szCs w:val="24"/>
          <w:lang w:val="en-US"/>
        </w:rPr>
      </w:pPr>
      <w:r w:rsidRPr="005E14CD">
        <w:rPr>
          <w:rFonts w:ascii="Arial" w:hAnsi="Arial" w:cs="Arial"/>
          <w:i/>
          <w:iCs/>
          <w:sz w:val="24"/>
          <w:szCs w:val="24"/>
          <w:lang w:val="en-US"/>
        </w:rPr>
        <w:t>NBHDL has completed Tab “3. Continuity Schedule” of the Model and has reconciled December 31, 2020 audited balances with the May 17, 2021 RRR filing. The variance in cell “BW23” is a result of reclassifying the costs for Capacity Based Recovery (“CBR”). As of the 2016 RRR filing, these costs were included in Account 1580, however, the costs have now been segregated in the</w:t>
      </w:r>
    </w:p>
    <w:p w14:paraId="128DC3C5" w14:textId="035CCD6D" w:rsidR="00057028" w:rsidRPr="005E14CD" w:rsidRDefault="00057028" w:rsidP="00057028">
      <w:pPr>
        <w:spacing w:after="0"/>
        <w:ind w:left="720"/>
        <w:contextualSpacing/>
        <w:rPr>
          <w:rFonts w:ascii="Arial" w:hAnsi="Arial" w:cs="Arial"/>
          <w:i/>
          <w:iCs/>
          <w:sz w:val="24"/>
          <w:szCs w:val="24"/>
          <w:lang w:val="en-US"/>
        </w:rPr>
      </w:pPr>
      <w:r w:rsidRPr="005E14CD">
        <w:rPr>
          <w:rFonts w:ascii="Arial" w:hAnsi="Arial" w:cs="Arial"/>
          <w:i/>
          <w:iCs/>
          <w:sz w:val="24"/>
          <w:szCs w:val="24"/>
          <w:lang w:val="en-US"/>
        </w:rPr>
        <w:t>appropriate sub-accounts for Class A and Class B in the Model. The variance in cell “BW31” is a result of combining both 2014 and 2015 balances in the continuity schedule. NBHDL confirms that no additional adjustments have been made to any deferral or variance account balances that have been previously approved by the OEB on a final basis.</w:t>
      </w:r>
    </w:p>
    <w:p w14:paraId="4E808BDF" w14:textId="77777777" w:rsidR="00AF5387" w:rsidRPr="005E14CD" w:rsidRDefault="00AF5387" w:rsidP="001D7319">
      <w:pPr>
        <w:rPr>
          <w:rFonts w:ascii="Arial" w:hAnsi="Arial" w:cs="Arial"/>
          <w:b/>
          <w:sz w:val="24"/>
          <w:szCs w:val="24"/>
        </w:rPr>
      </w:pPr>
    </w:p>
    <w:p w14:paraId="0C0A127C" w14:textId="77777777" w:rsidR="00396A23" w:rsidRPr="005E14CD" w:rsidRDefault="00396A23" w:rsidP="001D7319">
      <w:pPr>
        <w:rPr>
          <w:rFonts w:ascii="Arial" w:hAnsi="Arial" w:cs="Arial"/>
          <w:b/>
          <w:sz w:val="24"/>
          <w:szCs w:val="24"/>
        </w:rPr>
      </w:pPr>
    </w:p>
    <w:p w14:paraId="7CFAFC4F" w14:textId="65F67179" w:rsidR="00D57E8C" w:rsidRPr="005E14CD" w:rsidRDefault="00D57E8C" w:rsidP="00D57E8C">
      <w:pPr>
        <w:rPr>
          <w:rFonts w:ascii="Arial" w:hAnsi="Arial" w:cs="Arial"/>
          <w:b/>
          <w:sz w:val="24"/>
          <w:szCs w:val="24"/>
        </w:rPr>
      </w:pPr>
      <w:r w:rsidRPr="005E14CD">
        <w:rPr>
          <w:rFonts w:ascii="Arial" w:hAnsi="Arial" w:cs="Arial"/>
          <w:b/>
          <w:sz w:val="24"/>
          <w:szCs w:val="24"/>
        </w:rPr>
        <w:t>Staff Question-</w:t>
      </w:r>
      <w:r w:rsidR="00CA2894" w:rsidRPr="005E14CD">
        <w:rPr>
          <w:rFonts w:ascii="Arial" w:hAnsi="Arial" w:cs="Arial"/>
          <w:b/>
          <w:sz w:val="24"/>
          <w:szCs w:val="24"/>
        </w:rPr>
        <w:t>5</w:t>
      </w:r>
    </w:p>
    <w:p w14:paraId="4866021B" w14:textId="42F82FD1" w:rsidR="00F6126C" w:rsidRPr="005E14CD" w:rsidRDefault="00F6126C" w:rsidP="00D57E8C">
      <w:pPr>
        <w:rPr>
          <w:rFonts w:ascii="Arial" w:hAnsi="Arial" w:cs="Arial"/>
          <w:bCs/>
          <w:sz w:val="24"/>
          <w:szCs w:val="24"/>
        </w:rPr>
      </w:pPr>
      <w:r w:rsidRPr="005E14CD">
        <w:rPr>
          <w:rFonts w:ascii="Arial" w:hAnsi="Arial" w:cs="Arial"/>
          <w:bCs/>
          <w:sz w:val="24"/>
          <w:szCs w:val="24"/>
        </w:rPr>
        <w:t xml:space="preserve">Please confirm whether or not the Actual GA price is used to bill non-RPP Class B customers. </w:t>
      </w:r>
    </w:p>
    <w:p w14:paraId="6698545C" w14:textId="1C879896" w:rsidR="00057028" w:rsidRPr="005E14CD" w:rsidRDefault="00057028" w:rsidP="00057028">
      <w:pPr>
        <w:spacing w:after="0"/>
        <w:contextualSpacing/>
        <w:rPr>
          <w:rFonts w:ascii="Arial" w:hAnsi="Arial" w:cs="Arial"/>
          <w:b/>
          <w:bCs/>
          <w:sz w:val="24"/>
          <w:szCs w:val="24"/>
          <w:lang w:val="en-US"/>
        </w:rPr>
      </w:pPr>
      <w:r w:rsidRPr="005E14CD">
        <w:rPr>
          <w:rFonts w:ascii="Arial" w:hAnsi="Arial" w:cs="Arial"/>
          <w:b/>
          <w:bCs/>
          <w:sz w:val="24"/>
          <w:szCs w:val="24"/>
          <w:lang w:val="en-US"/>
        </w:rPr>
        <w:t>Response – 5</w:t>
      </w:r>
    </w:p>
    <w:p w14:paraId="18F569CB" w14:textId="19E8462C" w:rsidR="00057028" w:rsidRPr="005E14CD" w:rsidRDefault="00057028" w:rsidP="00057028">
      <w:pPr>
        <w:spacing w:after="0"/>
        <w:contextualSpacing/>
        <w:rPr>
          <w:rFonts w:ascii="Arial" w:hAnsi="Arial" w:cs="Arial"/>
          <w:b/>
          <w:bCs/>
          <w:sz w:val="24"/>
          <w:szCs w:val="24"/>
          <w:lang w:val="en-US"/>
        </w:rPr>
      </w:pPr>
    </w:p>
    <w:p w14:paraId="7ED8CD03" w14:textId="45AFB06A" w:rsidR="00057028" w:rsidRPr="005E14CD" w:rsidRDefault="00057028" w:rsidP="00057028">
      <w:pPr>
        <w:spacing w:after="0"/>
        <w:contextualSpacing/>
        <w:rPr>
          <w:rFonts w:ascii="Arial" w:hAnsi="Arial" w:cs="Arial"/>
          <w:sz w:val="24"/>
          <w:szCs w:val="24"/>
          <w:lang w:val="en-US"/>
        </w:rPr>
      </w:pPr>
      <w:r w:rsidRPr="005E14CD">
        <w:rPr>
          <w:rFonts w:ascii="Arial" w:hAnsi="Arial" w:cs="Arial"/>
          <w:sz w:val="24"/>
          <w:szCs w:val="24"/>
          <w:lang w:val="en-US"/>
        </w:rPr>
        <w:t>NBHDL bills non-RPP class B customers on 1</w:t>
      </w:r>
      <w:r w:rsidRPr="005E14CD">
        <w:rPr>
          <w:rFonts w:ascii="Arial" w:hAnsi="Arial" w:cs="Arial"/>
          <w:sz w:val="24"/>
          <w:szCs w:val="24"/>
          <w:vertAlign w:val="superscript"/>
          <w:lang w:val="en-US"/>
        </w:rPr>
        <w:t>st</w:t>
      </w:r>
      <w:r w:rsidRPr="005E14CD">
        <w:rPr>
          <w:rFonts w:ascii="Arial" w:hAnsi="Arial" w:cs="Arial"/>
          <w:sz w:val="24"/>
          <w:szCs w:val="24"/>
          <w:lang w:val="en-US"/>
        </w:rPr>
        <w:t xml:space="preserve"> estimate.</w:t>
      </w:r>
    </w:p>
    <w:p w14:paraId="464F2DAE" w14:textId="77777777" w:rsidR="00057028" w:rsidRPr="005E14CD" w:rsidRDefault="00057028" w:rsidP="00D57E8C">
      <w:pPr>
        <w:rPr>
          <w:rFonts w:ascii="Arial" w:hAnsi="Arial" w:cs="Arial"/>
          <w:bCs/>
          <w:sz w:val="24"/>
          <w:szCs w:val="24"/>
        </w:rPr>
      </w:pPr>
    </w:p>
    <w:p w14:paraId="26015A79" w14:textId="3A6C22B9" w:rsidR="00820AA6" w:rsidRPr="005E14CD" w:rsidRDefault="008D491F"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820AA6" w:rsidRPr="005E14CD">
        <w:rPr>
          <w:rFonts w:ascii="Arial" w:hAnsi="Arial" w:cs="Arial"/>
          <w:b/>
          <w:bCs/>
          <w:sz w:val="24"/>
          <w:szCs w:val="24"/>
          <w:lang w:val="en-US"/>
        </w:rPr>
        <w:t>-</w:t>
      </w:r>
      <w:r w:rsidR="00CA2894" w:rsidRPr="005E14CD">
        <w:rPr>
          <w:rFonts w:ascii="Arial" w:hAnsi="Arial" w:cs="Arial"/>
          <w:b/>
          <w:bCs/>
          <w:sz w:val="24"/>
          <w:szCs w:val="24"/>
          <w:lang w:val="en-US"/>
        </w:rPr>
        <w:t>6</w:t>
      </w:r>
    </w:p>
    <w:p w14:paraId="1CF8A974" w14:textId="77777777" w:rsidR="00820AA6" w:rsidRPr="005E14CD" w:rsidRDefault="00820AA6"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Ref: GA Analysis Workform</w:t>
      </w:r>
    </w:p>
    <w:p w14:paraId="0A898449" w14:textId="77777777" w:rsidR="00820AA6" w:rsidRPr="005E14CD" w:rsidRDefault="00820AA6" w:rsidP="00820AA6">
      <w:pPr>
        <w:spacing w:after="0"/>
        <w:contextualSpacing/>
        <w:rPr>
          <w:rFonts w:ascii="Arial" w:hAnsi="Arial" w:cs="Arial"/>
          <w:b/>
          <w:bCs/>
          <w:sz w:val="24"/>
          <w:szCs w:val="24"/>
          <w:lang w:val="en-US"/>
        </w:rPr>
      </w:pPr>
    </w:p>
    <w:p w14:paraId="58A4A063" w14:textId="753F5965" w:rsidR="00820AA6" w:rsidRPr="005E14CD" w:rsidRDefault="00820AA6" w:rsidP="00820AA6">
      <w:pPr>
        <w:spacing w:after="0"/>
        <w:contextualSpacing/>
        <w:rPr>
          <w:rFonts w:ascii="Arial" w:hAnsi="Arial" w:cs="Arial"/>
          <w:sz w:val="24"/>
          <w:szCs w:val="24"/>
          <w:lang w:val="en-US"/>
        </w:rPr>
      </w:pPr>
      <w:r w:rsidRPr="005E14CD">
        <w:rPr>
          <w:rFonts w:ascii="Arial" w:hAnsi="Arial" w:cs="Arial"/>
          <w:sz w:val="24"/>
          <w:szCs w:val="24"/>
          <w:lang w:val="en-US"/>
        </w:rPr>
        <w:t xml:space="preserve">In the GA Analysis </w:t>
      </w:r>
      <w:proofErr w:type="spellStart"/>
      <w:r w:rsidRPr="005E14CD">
        <w:rPr>
          <w:rFonts w:ascii="Arial" w:hAnsi="Arial" w:cs="Arial"/>
          <w:sz w:val="24"/>
          <w:szCs w:val="24"/>
          <w:lang w:val="en-US"/>
        </w:rPr>
        <w:t>Workform</w:t>
      </w:r>
      <w:proofErr w:type="spellEnd"/>
      <w:r w:rsidR="00C26FE1" w:rsidRPr="005E14CD">
        <w:rPr>
          <w:rFonts w:ascii="Arial" w:hAnsi="Arial" w:cs="Arial"/>
          <w:sz w:val="24"/>
          <w:szCs w:val="24"/>
          <w:lang w:val="en-US"/>
        </w:rPr>
        <w:t>, under the 2017 tab</w:t>
      </w:r>
      <w:r w:rsidRPr="005E14CD">
        <w:rPr>
          <w:rFonts w:ascii="Arial" w:hAnsi="Arial" w:cs="Arial"/>
          <w:sz w:val="24"/>
          <w:szCs w:val="24"/>
          <w:lang w:val="en-US"/>
        </w:rPr>
        <w:t xml:space="preserve">, the unresolved difference is 1.9%. In line 7 of the Reconciling Items table, it states that North Bay Hydro is currently investigating the driving factors. Please provide an update on this investigation and any results from this investigation. </w:t>
      </w:r>
    </w:p>
    <w:p w14:paraId="1A557ECB" w14:textId="5CEDDFAD" w:rsidR="00057028" w:rsidRPr="005E14CD" w:rsidRDefault="00057028" w:rsidP="00820AA6">
      <w:pPr>
        <w:spacing w:after="0"/>
        <w:contextualSpacing/>
        <w:rPr>
          <w:rFonts w:ascii="Arial" w:hAnsi="Arial" w:cs="Arial"/>
          <w:sz w:val="24"/>
          <w:szCs w:val="24"/>
          <w:lang w:val="en-US"/>
        </w:rPr>
      </w:pPr>
    </w:p>
    <w:p w14:paraId="3104FFB8" w14:textId="721DAFB2" w:rsidR="00057028" w:rsidRPr="005E14CD" w:rsidRDefault="00057028" w:rsidP="00057028">
      <w:pPr>
        <w:spacing w:after="0"/>
        <w:contextualSpacing/>
        <w:rPr>
          <w:rFonts w:ascii="Arial" w:hAnsi="Arial" w:cs="Arial"/>
          <w:b/>
          <w:bCs/>
          <w:sz w:val="24"/>
          <w:szCs w:val="24"/>
          <w:lang w:val="en-US"/>
        </w:rPr>
      </w:pPr>
      <w:r w:rsidRPr="005E14CD">
        <w:rPr>
          <w:rFonts w:ascii="Arial" w:hAnsi="Arial" w:cs="Arial"/>
          <w:b/>
          <w:bCs/>
          <w:sz w:val="24"/>
          <w:szCs w:val="24"/>
          <w:lang w:val="en-US"/>
        </w:rPr>
        <w:t>Response – 6</w:t>
      </w:r>
    </w:p>
    <w:p w14:paraId="77EA2F61" w14:textId="6E2895D8" w:rsidR="00057028" w:rsidRPr="005E14CD" w:rsidRDefault="00057028" w:rsidP="00057028">
      <w:pPr>
        <w:spacing w:after="0"/>
        <w:contextualSpacing/>
        <w:rPr>
          <w:rFonts w:ascii="Arial" w:hAnsi="Arial" w:cs="Arial"/>
          <w:b/>
          <w:bCs/>
          <w:sz w:val="24"/>
          <w:szCs w:val="24"/>
          <w:lang w:val="en-US"/>
        </w:rPr>
      </w:pPr>
    </w:p>
    <w:p w14:paraId="2609782E" w14:textId="2DC3576B" w:rsidR="00057028" w:rsidRPr="005E14CD" w:rsidRDefault="00057028" w:rsidP="00057028">
      <w:pPr>
        <w:spacing w:after="0"/>
        <w:contextualSpacing/>
        <w:rPr>
          <w:rFonts w:ascii="Arial" w:hAnsi="Arial" w:cs="Arial"/>
          <w:sz w:val="24"/>
          <w:szCs w:val="24"/>
          <w:lang w:val="en-US"/>
        </w:rPr>
      </w:pPr>
      <w:r w:rsidRPr="005E14CD">
        <w:rPr>
          <w:rFonts w:ascii="Arial" w:hAnsi="Arial" w:cs="Arial"/>
          <w:sz w:val="24"/>
          <w:szCs w:val="24"/>
          <w:lang w:val="en-US"/>
        </w:rPr>
        <w:t xml:space="preserve">At this time NBHDL does </w:t>
      </w:r>
      <w:r w:rsidR="005E14CD" w:rsidRPr="005E14CD">
        <w:rPr>
          <w:rFonts w:ascii="Arial" w:hAnsi="Arial" w:cs="Arial"/>
          <w:sz w:val="24"/>
          <w:szCs w:val="24"/>
          <w:lang w:val="en-US"/>
        </w:rPr>
        <w:t>has</w:t>
      </w:r>
      <w:r w:rsidRPr="005E14CD">
        <w:rPr>
          <w:rFonts w:ascii="Arial" w:hAnsi="Arial" w:cs="Arial"/>
          <w:sz w:val="24"/>
          <w:szCs w:val="24"/>
          <w:lang w:val="en-US"/>
        </w:rPr>
        <w:t xml:space="preserve"> </w:t>
      </w:r>
      <w:r w:rsidR="005E14CD" w:rsidRPr="005E14CD">
        <w:rPr>
          <w:rFonts w:ascii="Arial" w:hAnsi="Arial" w:cs="Arial"/>
          <w:sz w:val="24"/>
          <w:szCs w:val="24"/>
          <w:lang w:val="en-US"/>
        </w:rPr>
        <w:t>not</w:t>
      </w:r>
      <w:r w:rsidRPr="005E14CD">
        <w:rPr>
          <w:rFonts w:ascii="Arial" w:hAnsi="Arial" w:cs="Arial"/>
          <w:sz w:val="24"/>
          <w:szCs w:val="24"/>
          <w:lang w:val="en-US"/>
        </w:rPr>
        <w:t xml:space="preserve"> complete</w:t>
      </w:r>
      <w:r w:rsidR="005E14CD" w:rsidRPr="005E14CD">
        <w:rPr>
          <w:rFonts w:ascii="Arial" w:hAnsi="Arial" w:cs="Arial"/>
          <w:sz w:val="24"/>
          <w:szCs w:val="24"/>
          <w:lang w:val="en-US"/>
        </w:rPr>
        <w:t>d its review of the</w:t>
      </w:r>
      <w:r w:rsidRPr="005E14CD">
        <w:rPr>
          <w:rFonts w:ascii="Arial" w:hAnsi="Arial" w:cs="Arial"/>
          <w:sz w:val="24"/>
          <w:szCs w:val="24"/>
          <w:lang w:val="en-US"/>
        </w:rPr>
        <w:t xml:space="preserve"> unresolved difference. NBHDL will attempt to re-evaluate it’s 2017 review, prior to seeking disposition.</w:t>
      </w:r>
    </w:p>
    <w:p w14:paraId="2CAAD6F3" w14:textId="77777777" w:rsidR="00057028" w:rsidRPr="005E14CD" w:rsidRDefault="00057028" w:rsidP="00820AA6">
      <w:pPr>
        <w:spacing w:after="0"/>
        <w:contextualSpacing/>
        <w:rPr>
          <w:rFonts w:ascii="Arial" w:hAnsi="Arial" w:cs="Arial"/>
          <w:sz w:val="24"/>
          <w:szCs w:val="24"/>
          <w:lang w:val="en-US"/>
        </w:rPr>
      </w:pPr>
    </w:p>
    <w:p w14:paraId="3EA9D4D3" w14:textId="7973D7FD" w:rsidR="00820AA6" w:rsidRPr="005E14CD" w:rsidRDefault="00820AA6" w:rsidP="00820AA6">
      <w:pPr>
        <w:spacing w:after="0"/>
        <w:contextualSpacing/>
        <w:rPr>
          <w:rFonts w:ascii="Arial" w:hAnsi="Arial" w:cs="Arial"/>
          <w:sz w:val="24"/>
          <w:szCs w:val="24"/>
          <w:lang w:val="en-US"/>
        </w:rPr>
      </w:pPr>
    </w:p>
    <w:p w14:paraId="6C3206E9" w14:textId="77777777" w:rsidR="00396A23" w:rsidRPr="005E14CD" w:rsidRDefault="00396A23" w:rsidP="00820AA6">
      <w:pPr>
        <w:spacing w:after="0"/>
        <w:contextualSpacing/>
        <w:rPr>
          <w:rFonts w:ascii="Arial" w:hAnsi="Arial" w:cs="Arial"/>
          <w:sz w:val="24"/>
          <w:szCs w:val="24"/>
          <w:lang w:val="en-US"/>
        </w:rPr>
      </w:pPr>
    </w:p>
    <w:p w14:paraId="14567AD9" w14:textId="617CDF08" w:rsidR="00820AA6" w:rsidRPr="005E14CD" w:rsidRDefault="008D491F"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820AA6" w:rsidRPr="005E14CD">
        <w:rPr>
          <w:rFonts w:ascii="Arial" w:hAnsi="Arial" w:cs="Arial"/>
          <w:b/>
          <w:bCs/>
          <w:sz w:val="24"/>
          <w:szCs w:val="24"/>
          <w:lang w:val="en-US"/>
        </w:rPr>
        <w:t>-</w:t>
      </w:r>
      <w:r w:rsidR="00CA2894" w:rsidRPr="005E14CD">
        <w:rPr>
          <w:rFonts w:ascii="Arial" w:hAnsi="Arial" w:cs="Arial"/>
          <w:b/>
          <w:bCs/>
          <w:sz w:val="24"/>
          <w:szCs w:val="24"/>
          <w:lang w:val="en-US"/>
        </w:rPr>
        <w:t>7</w:t>
      </w:r>
    </w:p>
    <w:p w14:paraId="54B3824A" w14:textId="77777777" w:rsidR="00820AA6" w:rsidRPr="005E14CD" w:rsidRDefault="00820AA6"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Ref: GA Analysis Workform</w:t>
      </w:r>
    </w:p>
    <w:p w14:paraId="059A3836" w14:textId="77777777" w:rsidR="00820AA6" w:rsidRPr="005E14CD" w:rsidRDefault="00820AA6" w:rsidP="00820AA6">
      <w:pPr>
        <w:spacing w:after="0"/>
        <w:ind w:left="720"/>
        <w:contextualSpacing/>
        <w:rPr>
          <w:rFonts w:ascii="Arial" w:hAnsi="Arial" w:cs="Arial"/>
          <w:b/>
          <w:bCs/>
          <w:sz w:val="24"/>
          <w:szCs w:val="24"/>
          <w:lang w:val="en-US"/>
        </w:rPr>
      </w:pPr>
      <w:r w:rsidRPr="005E14CD">
        <w:rPr>
          <w:rFonts w:ascii="Arial" w:hAnsi="Arial" w:cs="Arial"/>
          <w:b/>
          <w:bCs/>
          <w:sz w:val="24"/>
          <w:szCs w:val="24"/>
          <w:lang w:val="en-US"/>
        </w:rPr>
        <w:t>Accounting Procedures Handbook Update – Accounting Guidance Related to Commodity Pass-Through Accounts, February 21, 2019</w:t>
      </w:r>
    </w:p>
    <w:p w14:paraId="086B359B" w14:textId="77777777" w:rsidR="00820AA6" w:rsidRPr="005E14CD" w:rsidRDefault="00820AA6" w:rsidP="00820AA6">
      <w:pPr>
        <w:spacing w:after="0"/>
        <w:contextualSpacing/>
        <w:rPr>
          <w:rFonts w:ascii="Arial" w:hAnsi="Arial" w:cs="Arial"/>
          <w:sz w:val="24"/>
          <w:szCs w:val="24"/>
          <w:lang w:val="en-US"/>
        </w:rPr>
      </w:pPr>
    </w:p>
    <w:p w14:paraId="13F42173" w14:textId="77777777" w:rsidR="00820AA6" w:rsidRPr="005E14CD" w:rsidRDefault="00820AA6" w:rsidP="00820AA6">
      <w:pPr>
        <w:spacing w:after="0"/>
        <w:contextualSpacing/>
        <w:rPr>
          <w:rFonts w:ascii="Arial" w:hAnsi="Arial" w:cs="Arial"/>
          <w:sz w:val="24"/>
          <w:szCs w:val="24"/>
          <w:lang w:val="en-US"/>
        </w:rPr>
      </w:pPr>
      <w:r w:rsidRPr="005E14CD">
        <w:rPr>
          <w:rFonts w:ascii="Arial" w:hAnsi="Arial" w:cs="Arial"/>
          <w:sz w:val="24"/>
          <w:szCs w:val="24"/>
          <w:lang w:val="en-US"/>
        </w:rPr>
        <w:t>In the GA Analysis Workform, there are reconciling items relating to unbilled to actual revenue differences for the following:</w:t>
      </w:r>
    </w:p>
    <w:p w14:paraId="17B3FDB7" w14:textId="77777777" w:rsidR="00820AA6" w:rsidRPr="005E14CD" w:rsidRDefault="00820AA6" w:rsidP="00820AA6">
      <w:pPr>
        <w:spacing w:after="0"/>
        <w:contextualSpacing/>
        <w:rPr>
          <w:rFonts w:ascii="Arial" w:hAnsi="Arial" w:cs="Arial"/>
          <w:sz w:val="24"/>
          <w:szCs w:val="24"/>
          <w:lang w:val="en-US"/>
        </w:rPr>
      </w:pPr>
    </w:p>
    <w:tbl>
      <w:tblPr>
        <w:tblStyle w:val="TableGrid"/>
        <w:tblW w:w="0" w:type="auto"/>
        <w:tblLook w:val="04A0" w:firstRow="1" w:lastRow="0" w:firstColumn="1" w:lastColumn="0" w:noHBand="0" w:noVBand="1"/>
      </w:tblPr>
      <w:tblGrid>
        <w:gridCol w:w="2405"/>
        <w:gridCol w:w="1701"/>
        <w:gridCol w:w="1843"/>
        <w:gridCol w:w="1984"/>
        <w:gridCol w:w="1417"/>
      </w:tblGrid>
      <w:tr w:rsidR="00820AA6" w:rsidRPr="005E14CD" w14:paraId="429A6EFD" w14:textId="77777777" w:rsidTr="008339C4">
        <w:tc>
          <w:tcPr>
            <w:tcW w:w="2405" w:type="dxa"/>
          </w:tcPr>
          <w:p w14:paraId="6F190D26" w14:textId="77777777" w:rsidR="00820AA6" w:rsidRPr="005E14CD" w:rsidRDefault="00820AA6" w:rsidP="008339C4">
            <w:pPr>
              <w:spacing w:line="276" w:lineRule="auto"/>
              <w:contextualSpacing/>
              <w:rPr>
                <w:rFonts w:ascii="Arial" w:hAnsi="Arial" w:cs="Arial"/>
                <w:b/>
                <w:bCs/>
                <w:sz w:val="24"/>
                <w:szCs w:val="24"/>
                <w:lang w:val="en-US"/>
              </w:rPr>
            </w:pPr>
          </w:p>
        </w:tc>
        <w:tc>
          <w:tcPr>
            <w:tcW w:w="1701" w:type="dxa"/>
          </w:tcPr>
          <w:p w14:paraId="2F1A696F" w14:textId="77777777" w:rsidR="00820AA6" w:rsidRPr="005E14CD" w:rsidRDefault="00820AA6" w:rsidP="008339C4">
            <w:pPr>
              <w:spacing w:line="276" w:lineRule="auto"/>
              <w:contextualSpacing/>
              <w:jc w:val="center"/>
              <w:rPr>
                <w:rFonts w:ascii="Arial" w:hAnsi="Arial" w:cs="Arial"/>
                <w:b/>
                <w:bCs/>
                <w:sz w:val="24"/>
                <w:szCs w:val="24"/>
                <w:lang w:val="en-US"/>
              </w:rPr>
            </w:pPr>
            <w:r w:rsidRPr="005E14CD">
              <w:rPr>
                <w:rFonts w:ascii="Arial" w:hAnsi="Arial" w:cs="Arial"/>
                <w:b/>
                <w:bCs/>
                <w:sz w:val="24"/>
                <w:szCs w:val="24"/>
                <w:lang w:val="en-US"/>
              </w:rPr>
              <w:t>2017</w:t>
            </w:r>
          </w:p>
        </w:tc>
        <w:tc>
          <w:tcPr>
            <w:tcW w:w="1843" w:type="dxa"/>
          </w:tcPr>
          <w:p w14:paraId="234BA044" w14:textId="77777777" w:rsidR="00820AA6" w:rsidRPr="005E14CD" w:rsidRDefault="00820AA6" w:rsidP="008339C4">
            <w:pPr>
              <w:spacing w:line="276" w:lineRule="auto"/>
              <w:contextualSpacing/>
              <w:jc w:val="center"/>
              <w:rPr>
                <w:rFonts w:ascii="Arial" w:hAnsi="Arial" w:cs="Arial"/>
                <w:b/>
                <w:bCs/>
                <w:sz w:val="24"/>
                <w:szCs w:val="24"/>
                <w:lang w:val="en-US"/>
              </w:rPr>
            </w:pPr>
            <w:r w:rsidRPr="005E14CD">
              <w:rPr>
                <w:rFonts w:ascii="Arial" w:hAnsi="Arial" w:cs="Arial"/>
                <w:b/>
                <w:bCs/>
                <w:sz w:val="24"/>
                <w:szCs w:val="24"/>
                <w:lang w:val="en-US"/>
              </w:rPr>
              <w:t>2018</w:t>
            </w:r>
          </w:p>
        </w:tc>
        <w:tc>
          <w:tcPr>
            <w:tcW w:w="1984" w:type="dxa"/>
          </w:tcPr>
          <w:p w14:paraId="27501B7C" w14:textId="77777777" w:rsidR="00820AA6" w:rsidRPr="005E14CD" w:rsidRDefault="00820AA6" w:rsidP="008339C4">
            <w:pPr>
              <w:spacing w:line="276" w:lineRule="auto"/>
              <w:contextualSpacing/>
              <w:jc w:val="center"/>
              <w:rPr>
                <w:rFonts w:ascii="Arial" w:hAnsi="Arial" w:cs="Arial"/>
                <w:b/>
                <w:bCs/>
                <w:sz w:val="24"/>
                <w:szCs w:val="24"/>
                <w:lang w:val="en-US"/>
              </w:rPr>
            </w:pPr>
            <w:r w:rsidRPr="005E14CD">
              <w:rPr>
                <w:rFonts w:ascii="Arial" w:hAnsi="Arial" w:cs="Arial"/>
                <w:b/>
                <w:bCs/>
                <w:sz w:val="24"/>
                <w:szCs w:val="24"/>
                <w:lang w:val="en-US"/>
              </w:rPr>
              <w:t>2019</w:t>
            </w:r>
          </w:p>
        </w:tc>
        <w:tc>
          <w:tcPr>
            <w:tcW w:w="1417" w:type="dxa"/>
          </w:tcPr>
          <w:p w14:paraId="473B222A" w14:textId="77777777" w:rsidR="00820AA6" w:rsidRPr="005E14CD" w:rsidRDefault="00820AA6" w:rsidP="008339C4">
            <w:pPr>
              <w:spacing w:line="276" w:lineRule="auto"/>
              <w:contextualSpacing/>
              <w:jc w:val="center"/>
              <w:rPr>
                <w:rFonts w:ascii="Arial" w:hAnsi="Arial" w:cs="Arial"/>
                <w:b/>
                <w:bCs/>
                <w:sz w:val="24"/>
                <w:szCs w:val="24"/>
                <w:lang w:val="en-US"/>
              </w:rPr>
            </w:pPr>
            <w:r w:rsidRPr="005E14CD">
              <w:rPr>
                <w:rFonts w:ascii="Arial" w:hAnsi="Arial" w:cs="Arial"/>
                <w:b/>
                <w:bCs/>
                <w:sz w:val="24"/>
                <w:szCs w:val="24"/>
                <w:lang w:val="en-US"/>
              </w:rPr>
              <w:t>2020</w:t>
            </w:r>
          </w:p>
        </w:tc>
      </w:tr>
      <w:tr w:rsidR="00820AA6" w:rsidRPr="005E14CD" w14:paraId="49BD607A" w14:textId="77777777" w:rsidTr="008339C4">
        <w:tc>
          <w:tcPr>
            <w:tcW w:w="2405" w:type="dxa"/>
          </w:tcPr>
          <w:p w14:paraId="39A0AF8F" w14:textId="77777777" w:rsidR="00820AA6" w:rsidRPr="005E14CD" w:rsidRDefault="00820AA6" w:rsidP="008339C4">
            <w:pPr>
              <w:spacing w:line="276" w:lineRule="auto"/>
              <w:contextualSpacing/>
              <w:rPr>
                <w:rFonts w:ascii="Arial" w:hAnsi="Arial" w:cs="Arial"/>
                <w:sz w:val="24"/>
                <w:szCs w:val="24"/>
                <w:lang w:val="en-US"/>
              </w:rPr>
            </w:pPr>
            <w:r w:rsidRPr="005E14CD">
              <w:rPr>
                <w:rFonts w:ascii="Arial" w:hAnsi="Arial" w:cs="Arial"/>
                <w:sz w:val="24"/>
                <w:szCs w:val="24"/>
                <w:lang w:val="en-US"/>
              </w:rPr>
              <w:t>2a Prior year reversal</w:t>
            </w:r>
          </w:p>
        </w:tc>
        <w:tc>
          <w:tcPr>
            <w:tcW w:w="1701" w:type="dxa"/>
          </w:tcPr>
          <w:p w14:paraId="647BDE02"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$76,016</w:t>
            </w:r>
          </w:p>
        </w:tc>
        <w:tc>
          <w:tcPr>
            <w:tcW w:w="1843" w:type="dxa"/>
          </w:tcPr>
          <w:p w14:paraId="7F00E37D"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$50,876</w:t>
            </w:r>
          </w:p>
        </w:tc>
        <w:tc>
          <w:tcPr>
            <w:tcW w:w="1984" w:type="dxa"/>
          </w:tcPr>
          <w:p w14:paraId="602440C6"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$89,340</w:t>
            </w:r>
          </w:p>
        </w:tc>
        <w:tc>
          <w:tcPr>
            <w:tcW w:w="1417" w:type="dxa"/>
          </w:tcPr>
          <w:p w14:paraId="69D5CA43"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$21,436</w:t>
            </w:r>
          </w:p>
        </w:tc>
      </w:tr>
      <w:tr w:rsidR="00820AA6" w:rsidRPr="005E14CD" w14:paraId="4C4FD601" w14:textId="77777777" w:rsidTr="008339C4">
        <w:tc>
          <w:tcPr>
            <w:tcW w:w="2405" w:type="dxa"/>
          </w:tcPr>
          <w:p w14:paraId="012B16FE" w14:textId="77777777" w:rsidR="00820AA6" w:rsidRPr="005E14CD" w:rsidRDefault="00820AA6" w:rsidP="008339C4">
            <w:pPr>
              <w:spacing w:line="276" w:lineRule="auto"/>
              <w:contextualSpacing/>
              <w:rPr>
                <w:rFonts w:ascii="Arial" w:hAnsi="Arial" w:cs="Arial"/>
                <w:sz w:val="24"/>
                <w:szCs w:val="24"/>
                <w:lang w:val="en-US"/>
              </w:rPr>
            </w:pPr>
            <w:r w:rsidRPr="005E14CD">
              <w:rPr>
                <w:rFonts w:ascii="Arial" w:hAnsi="Arial" w:cs="Arial"/>
                <w:sz w:val="24"/>
                <w:szCs w:val="24"/>
                <w:lang w:val="en-US"/>
              </w:rPr>
              <w:t>2b Current year</w:t>
            </w:r>
          </w:p>
        </w:tc>
        <w:tc>
          <w:tcPr>
            <w:tcW w:w="1701" w:type="dxa"/>
          </w:tcPr>
          <w:p w14:paraId="6D1DCC9D"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$0</w:t>
            </w:r>
          </w:p>
        </w:tc>
        <w:tc>
          <w:tcPr>
            <w:tcW w:w="1843" w:type="dxa"/>
          </w:tcPr>
          <w:p w14:paraId="2B3F81AC"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($89,340)</w:t>
            </w:r>
          </w:p>
        </w:tc>
        <w:tc>
          <w:tcPr>
            <w:tcW w:w="1984" w:type="dxa"/>
          </w:tcPr>
          <w:p w14:paraId="3E5E7262"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($21,436)</w:t>
            </w:r>
          </w:p>
        </w:tc>
        <w:tc>
          <w:tcPr>
            <w:tcW w:w="1417" w:type="dxa"/>
          </w:tcPr>
          <w:p w14:paraId="4856FDB5" w14:textId="77777777" w:rsidR="00820AA6" w:rsidRPr="005E14CD" w:rsidRDefault="00820AA6" w:rsidP="008339C4">
            <w:pPr>
              <w:spacing w:line="276" w:lineRule="auto"/>
              <w:contextualSpacing/>
              <w:jc w:val="center"/>
              <w:rPr>
                <w:rFonts w:ascii="Arial" w:hAnsi="Arial" w:cs="Arial"/>
                <w:sz w:val="24"/>
                <w:szCs w:val="24"/>
                <w:lang w:val="en-US"/>
              </w:rPr>
            </w:pPr>
            <w:r w:rsidRPr="005E14CD">
              <w:rPr>
                <w:rFonts w:ascii="Arial" w:hAnsi="Arial" w:cs="Arial"/>
                <w:sz w:val="24"/>
                <w:szCs w:val="24"/>
                <w:lang w:val="en-US"/>
              </w:rPr>
              <w:t>$0</w:t>
            </w:r>
          </w:p>
        </w:tc>
      </w:tr>
    </w:tbl>
    <w:p w14:paraId="2DD1C89E" w14:textId="77777777" w:rsidR="00820AA6" w:rsidRPr="005E14CD" w:rsidRDefault="00820AA6" w:rsidP="00820AA6">
      <w:pPr>
        <w:spacing w:after="0"/>
        <w:contextualSpacing/>
        <w:rPr>
          <w:rFonts w:ascii="Arial" w:hAnsi="Arial" w:cs="Arial"/>
          <w:sz w:val="24"/>
          <w:szCs w:val="24"/>
          <w:lang w:val="en-US"/>
        </w:rPr>
      </w:pPr>
    </w:p>
    <w:p w14:paraId="640A3096" w14:textId="77777777" w:rsidR="00820AA6" w:rsidRPr="005E14CD" w:rsidRDefault="00820AA6" w:rsidP="00820AA6">
      <w:pPr>
        <w:pStyle w:val="ListParagraph"/>
        <w:numPr>
          <w:ilvl w:val="0"/>
          <w:numId w:val="30"/>
        </w:numPr>
        <w:spacing w:after="0"/>
        <w:rPr>
          <w:rFonts w:ascii="Arial" w:hAnsi="Arial" w:cs="Arial"/>
          <w:sz w:val="24"/>
          <w:szCs w:val="24"/>
          <w:lang w:val="en-US"/>
        </w:rPr>
      </w:pPr>
      <w:r w:rsidRPr="005E14CD">
        <w:rPr>
          <w:rFonts w:ascii="Arial" w:hAnsi="Arial" w:cs="Arial"/>
          <w:sz w:val="24"/>
          <w:szCs w:val="24"/>
          <w:lang w:val="en-US"/>
        </w:rPr>
        <w:t>Please explain why there is no reconciling item 2b in 2017 for the current year unbilled to actual revenue difference, but there is a reversal for a prior year reconciling item in 2018. Please revise the Workform as needed.</w:t>
      </w:r>
    </w:p>
    <w:p w14:paraId="75F6C680" w14:textId="77777777" w:rsidR="00820AA6" w:rsidRPr="005E14CD" w:rsidRDefault="00820AA6" w:rsidP="00820AA6">
      <w:pPr>
        <w:pStyle w:val="ListParagraph"/>
        <w:numPr>
          <w:ilvl w:val="0"/>
          <w:numId w:val="30"/>
        </w:numPr>
        <w:spacing w:after="0"/>
        <w:rPr>
          <w:rFonts w:ascii="Arial" w:hAnsi="Arial" w:cs="Arial"/>
          <w:sz w:val="24"/>
          <w:szCs w:val="24"/>
          <w:lang w:val="en-US"/>
        </w:rPr>
      </w:pPr>
      <w:r w:rsidRPr="005E14CD">
        <w:rPr>
          <w:rFonts w:ascii="Arial" w:hAnsi="Arial" w:cs="Arial"/>
          <w:sz w:val="24"/>
          <w:szCs w:val="24"/>
          <w:lang w:val="en-US"/>
        </w:rPr>
        <w:t>There appears to be unbilled to actual revenue difference reconciling items for most years as noted in the table above. However, there is no such reconciling item 2b for 2020. Please confirm that this is appropriate. If not, please quantify the reconciling item.</w:t>
      </w:r>
    </w:p>
    <w:p w14:paraId="172A1ECE" w14:textId="6AB4577D" w:rsidR="00820AA6" w:rsidRPr="005E14CD" w:rsidRDefault="00820AA6" w:rsidP="00820AA6">
      <w:pPr>
        <w:pStyle w:val="ListParagraph"/>
        <w:numPr>
          <w:ilvl w:val="0"/>
          <w:numId w:val="30"/>
        </w:numPr>
        <w:spacing w:after="0"/>
        <w:rPr>
          <w:rFonts w:ascii="Arial" w:hAnsi="Arial" w:cs="Arial"/>
          <w:sz w:val="24"/>
          <w:szCs w:val="24"/>
          <w:lang w:val="en-US"/>
        </w:rPr>
      </w:pPr>
      <w:r w:rsidRPr="005E14CD">
        <w:rPr>
          <w:rFonts w:ascii="Arial" w:hAnsi="Arial" w:cs="Arial"/>
          <w:sz w:val="24"/>
          <w:szCs w:val="24"/>
          <w:lang w:val="en-US"/>
        </w:rPr>
        <w:t>These reconciling items are not identified as principal adjustments in the principal adjustment tab. In the GA Analysis Workform, North Bay Hydro indicated these reconciling items are immaterial. Page 35 of the accounting guidance indicates that the “OEB has determined all true-ups must be reflected in the account balances proposed for disposition.” Please revise the principal adjustments to include the unbilled to actual revenue differences</w:t>
      </w:r>
      <w:r w:rsidR="00473580" w:rsidRPr="005E14CD">
        <w:rPr>
          <w:rFonts w:ascii="Arial" w:hAnsi="Arial" w:cs="Arial"/>
          <w:sz w:val="24"/>
          <w:szCs w:val="24"/>
          <w:lang w:val="en-US"/>
        </w:rPr>
        <w:t xml:space="preserve"> or provide rationale for why the guidance should not be adhered to in this regard</w:t>
      </w:r>
      <w:r w:rsidRPr="005E14CD">
        <w:rPr>
          <w:rFonts w:ascii="Arial" w:hAnsi="Arial" w:cs="Arial"/>
          <w:sz w:val="24"/>
          <w:szCs w:val="24"/>
          <w:lang w:val="en-US"/>
        </w:rPr>
        <w:t xml:space="preserve">.  </w:t>
      </w:r>
    </w:p>
    <w:p w14:paraId="45EC7384" w14:textId="1A73D894" w:rsidR="00820AA6" w:rsidRPr="005E14CD" w:rsidRDefault="00820AA6" w:rsidP="00820AA6">
      <w:pPr>
        <w:spacing w:after="0"/>
        <w:contextualSpacing/>
        <w:rPr>
          <w:rFonts w:ascii="Arial" w:hAnsi="Arial" w:cs="Arial"/>
          <w:sz w:val="24"/>
          <w:szCs w:val="24"/>
          <w:lang w:val="en-US"/>
        </w:rPr>
      </w:pPr>
    </w:p>
    <w:p w14:paraId="1B1828B8" w14:textId="7DFB0FA4" w:rsidR="00F9343F" w:rsidRPr="005E14CD" w:rsidRDefault="00F9343F" w:rsidP="00F9343F">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Response – </w:t>
      </w:r>
      <w:r w:rsidRPr="005E14CD">
        <w:rPr>
          <w:rFonts w:ascii="Arial" w:hAnsi="Arial" w:cs="Arial"/>
          <w:b/>
          <w:bCs/>
          <w:sz w:val="24"/>
          <w:szCs w:val="24"/>
          <w:lang w:val="en-US"/>
        </w:rPr>
        <w:t>7</w:t>
      </w:r>
    </w:p>
    <w:p w14:paraId="23940E6D" w14:textId="610369F4" w:rsidR="00F9343F" w:rsidRPr="005E14CD" w:rsidRDefault="00F9343F" w:rsidP="00F9343F">
      <w:pPr>
        <w:pStyle w:val="ListParagraph"/>
        <w:numPr>
          <w:ilvl w:val="0"/>
          <w:numId w:val="37"/>
        </w:numPr>
        <w:spacing w:after="0"/>
        <w:rPr>
          <w:rFonts w:ascii="Arial" w:hAnsi="Arial" w:cs="Arial"/>
          <w:sz w:val="24"/>
          <w:szCs w:val="24"/>
          <w:lang w:val="en-US"/>
        </w:rPr>
      </w:pPr>
      <w:r w:rsidRPr="005E14CD">
        <w:rPr>
          <w:rFonts w:ascii="Arial" w:hAnsi="Arial" w:cs="Arial"/>
          <w:sz w:val="24"/>
          <w:szCs w:val="24"/>
          <w:lang w:val="en-US"/>
        </w:rPr>
        <w:t xml:space="preserve">NBHDL has revised the </w:t>
      </w:r>
      <w:proofErr w:type="spellStart"/>
      <w:r w:rsidRPr="005E14CD">
        <w:rPr>
          <w:rFonts w:ascii="Arial" w:hAnsi="Arial" w:cs="Arial"/>
          <w:sz w:val="24"/>
          <w:szCs w:val="24"/>
          <w:lang w:val="en-US"/>
        </w:rPr>
        <w:t>workform</w:t>
      </w:r>
      <w:proofErr w:type="spellEnd"/>
      <w:r w:rsidRPr="005E14CD">
        <w:rPr>
          <w:rFonts w:ascii="Arial" w:hAnsi="Arial" w:cs="Arial"/>
          <w:sz w:val="24"/>
          <w:szCs w:val="24"/>
          <w:lang w:val="en-US"/>
        </w:rPr>
        <w:t>.</w:t>
      </w:r>
    </w:p>
    <w:p w14:paraId="5B04ABA7" w14:textId="2E029013" w:rsidR="00F9343F" w:rsidRPr="005E14CD" w:rsidRDefault="00F9343F" w:rsidP="00F9343F">
      <w:pPr>
        <w:pStyle w:val="ListParagraph"/>
        <w:numPr>
          <w:ilvl w:val="0"/>
          <w:numId w:val="37"/>
        </w:numPr>
        <w:spacing w:after="0"/>
        <w:rPr>
          <w:rFonts w:ascii="Arial" w:hAnsi="Arial" w:cs="Arial"/>
          <w:sz w:val="24"/>
          <w:szCs w:val="24"/>
          <w:lang w:val="en-US"/>
        </w:rPr>
      </w:pPr>
      <w:r w:rsidRPr="005E14CD">
        <w:rPr>
          <w:rFonts w:ascii="Arial" w:hAnsi="Arial" w:cs="Arial"/>
          <w:sz w:val="24"/>
          <w:szCs w:val="24"/>
          <w:lang w:val="en-US"/>
        </w:rPr>
        <w:t xml:space="preserve">NBHDL has completed an unbilled vs actual for 2020 and revised the </w:t>
      </w:r>
      <w:proofErr w:type="spellStart"/>
      <w:r w:rsidRPr="005E14CD">
        <w:rPr>
          <w:rFonts w:ascii="Arial" w:hAnsi="Arial" w:cs="Arial"/>
          <w:sz w:val="24"/>
          <w:szCs w:val="24"/>
          <w:lang w:val="en-US"/>
        </w:rPr>
        <w:t>workform</w:t>
      </w:r>
      <w:proofErr w:type="spellEnd"/>
      <w:r w:rsidRPr="005E14CD">
        <w:rPr>
          <w:rFonts w:ascii="Arial" w:hAnsi="Arial" w:cs="Arial"/>
          <w:sz w:val="24"/>
          <w:szCs w:val="24"/>
          <w:lang w:val="en-US"/>
        </w:rPr>
        <w:t>.</w:t>
      </w:r>
    </w:p>
    <w:p w14:paraId="335DFBD9" w14:textId="0C0EE9E0" w:rsidR="00F9343F" w:rsidRPr="005E14CD" w:rsidRDefault="00F9343F" w:rsidP="00F9343F">
      <w:pPr>
        <w:pStyle w:val="ListParagraph"/>
        <w:numPr>
          <w:ilvl w:val="0"/>
          <w:numId w:val="37"/>
        </w:numPr>
        <w:spacing w:after="0"/>
        <w:rPr>
          <w:rFonts w:ascii="Arial" w:hAnsi="Arial" w:cs="Arial"/>
          <w:sz w:val="24"/>
          <w:szCs w:val="24"/>
          <w:lang w:val="en-US"/>
        </w:rPr>
      </w:pPr>
      <w:r w:rsidRPr="005E14CD">
        <w:rPr>
          <w:rFonts w:ascii="Arial" w:hAnsi="Arial" w:cs="Arial"/>
          <w:sz w:val="24"/>
          <w:szCs w:val="24"/>
          <w:lang w:val="en-US"/>
        </w:rPr>
        <w:t xml:space="preserve">NBHDL </w:t>
      </w:r>
      <w:r w:rsidR="00033259" w:rsidRPr="005E14CD">
        <w:rPr>
          <w:rFonts w:ascii="Arial" w:hAnsi="Arial" w:cs="Arial"/>
          <w:sz w:val="24"/>
          <w:szCs w:val="24"/>
          <w:lang w:val="en-US"/>
        </w:rPr>
        <w:t xml:space="preserve">revised the principal adjustment tab of the </w:t>
      </w:r>
      <w:proofErr w:type="spellStart"/>
      <w:r w:rsidR="00033259" w:rsidRPr="005E14CD">
        <w:rPr>
          <w:rFonts w:ascii="Arial" w:hAnsi="Arial" w:cs="Arial"/>
          <w:sz w:val="24"/>
          <w:szCs w:val="24"/>
          <w:lang w:val="en-US"/>
        </w:rPr>
        <w:t>workform</w:t>
      </w:r>
      <w:proofErr w:type="spellEnd"/>
      <w:r w:rsidR="00033259" w:rsidRPr="005E14CD">
        <w:rPr>
          <w:rFonts w:ascii="Arial" w:hAnsi="Arial" w:cs="Arial"/>
          <w:sz w:val="24"/>
          <w:szCs w:val="24"/>
          <w:lang w:val="en-US"/>
        </w:rPr>
        <w:t>.</w:t>
      </w:r>
    </w:p>
    <w:p w14:paraId="694870B1" w14:textId="77777777" w:rsidR="00F9343F" w:rsidRPr="005E14CD" w:rsidRDefault="00F9343F" w:rsidP="00820AA6">
      <w:pPr>
        <w:spacing w:after="0"/>
        <w:contextualSpacing/>
        <w:rPr>
          <w:rFonts w:ascii="Arial" w:hAnsi="Arial" w:cs="Arial"/>
          <w:sz w:val="24"/>
          <w:szCs w:val="24"/>
          <w:lang w:val="en-US"/>
        </w:rPr>
      </w:pPr>
    </w:p>
    <w:p w14:paraId="6F20C6F6" w14:textId="577DCBCB" w:rsidR="00396A23" w:rsidRPr="005E14CD" w:rsidRDefault="00396A23" w:rsidP="00820AA6">
      <w:pPr>
        <w:spacing w:after="0"/>
        <w:contextualSpacing/>
        <w:rPr>
          <w:rFonts w:ascii="Arial" w:hAnsi="Arial" w:cs="Arial"/>
          <w:sz w:val="24"/>
          <w:szCs w:val="24"/>
          <w:lang w:val="en-US"/>
        </w:rPr>
      </w:pPr>
    </w:p>
    <w:p w14:paraId="1000117A" w14:textId="6DAB29EB" w:rsidR="00396A23" w:rsidRPr="005E14CD" w:rsidRDefault="00396A23" w:rsidP="00820AA6">
      <w:pPr>
        <w:spacing w:after="0"/>
        <w:contextualSpacing/>
        <w:rPr>
          <w:rFonts w:ascii="Arial" w:hAnsi="Arial" w:cs="Arial"/>
          <w:sz w:val="24"/>
          <w:szCs w:val="24"/>
          <w:lang w:val="en-US"/>
        </w:rPr>
      </w:pPr>
    </w:p>
    <w:p w14:paraId="5A7409D7" w14:textId="77777777" w:rsidR="00396A23" w:rsidRPr="005E14CD" w:rsidRDefault="00396A23" w:rsidP="00820AA6">
      <w:pPr>
        <w:spacing w:after="0"/>
        <w:contextualSpacing/>
        <w:rPr>
          <w:rFonts w:ascii="Arial" w:hAnsi="Arial" w:cs="Arial"/>
          <w:sz w:val="24"/>
          <w:szCs w:val="24"/>
          <w:lang w:val="en-US"/>
        </w:rPr>
      </w:pPr>
    </w:p>
    <w:p w14:paraId="1B186F04" w14:textId="00B3918A" w:rsidR="00820AA6" w:rsidRPr="005E14CD" w:rsidRDefault="008D491F"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Staff Question </w:t>
      </w:r>
      <w:r w:rsidR="00820AA6" w:rsidRPr="005E14CD">
        <w:rPr>
          <w:rFonts w:ascii="Arial" w:hAnsi="Arial" w:cs="Arial"/>
          <w:b/>
          <w:bCs/>
          <w:sz w:val="24"/>
          <w:szCs w:val="24"/>
          <w:lang w:val="en-US"/>
        </w:rPr>
        <w:t>-</w:t>
      </w:r>
      <w:r w:rsidR="00CA2894" w:rsidRPr="005E14CD">
        <w:rPr>
          <w:rFonts w:ascii="Arial" w:hAnsi="Arial" w:cs="Arial"/>
          <w:b/>
          <w:bCs/>
          <w:sz w:val="24"/>
          <w:szCs w:val="24"/>
          <w:lang w:val="en-US"/>
        </w:rPr>
        <w:t>8</w:t>
      </w:r>
    </w:p>
    <w:p w14:paraId="13679AB0" w14:textId="77777777" w:rsidR="00820AA6" w:rsidRPr="005E14CD" w:rsidRDefault="00820AA6" w:rsidP="00820AA6">
      <w:pPr>
        <w:spacing w:after="0"/>
        <w:contextualSpacing/>
        <w:rPr>
          <w:rFonts w:ascii="Arial" w:hAnsi="Arial" w:cs="Arial"/>
          <w:b/>
          <w:bCs/>
          <w:sz w:val="24"/>
          <w:szCs w:val="24"/>
          <w:lang w:val="en-US"/>
        </w:rPr>
      </w:pPr>
      <w:r w:rsidRPr="005E14CD">
        <w:rPr>
          <w:rFonts w:ascii="Arial" w:hAnsi="Arial" w:cs="Arial"/>
          <w:b/>
          <w:bCs/>
          <w:sz w:val="24"/>
          <w:szCs w:val="24"/>
          <w:lang w:val="en-US"/>
        </w:rPr>
        <w:t>Ref: GA Analysis Workform</w:t>
      </w:r>
    </w:p>
    <w:p w14:paraId="08A60830" w14:textId="77777777" w:rsidR="00820AA6" w:rsidRPr="005E14CD" w:rsidRDefault="00820AA6" w:rsidP="00820AA6">
      <w:pPr>
        <w:spacing w:after="0"/>
        <w:contextualSpacing/>
        <w:rPr>
          <w:rFonts w:ascii="Arial" w:hAnsi="Arial" w:cs="Arial"/>
          <w:sz w:val="24"/>
          <w:szCs w:val="24"/>
          <w:lang w:val="en-US"/>
        </w:rPr>
      </w:pPr>
      <w:r w:rsidRPr="005E14CD">
        <w:rPr>
          <w:rFonts w:ascii="Arial" w:hAnsi="Arial" w:cs="Arial"/>
          <w:sz w:val="24"/>
          <w:szCs w:val="24"/>
          <w:lang w:val="en-US"/>
        </w:rPr>
        <w:lastRenderedPageBreak/>
        <w:t xml:space="preserve">In the principal adjustment tab, there is a principal adjustment of ($196,302) for 2020. This is not identified as a reconciling item in the 2020 GA Analysis Workform. </w:t>
      </w:r>
    </w:p>
    <w:p w14:paraId="6494E065" w14:textId="77777777" w:rsidR="00820AA6" w:rsidRPr="005E14CD" w:rsidRDefault="00820AA6" w:rsidP="00820AA6">
      <w:pPr>
        <w:spacing w:after="0"/>
        <w:contextualSpacing/>
        <w:rPr>
          <w:rFonts w:ascii="Arial" w:hAnsi="Arial" w:cs="Arial"/>
          <w:sz w:val="24"/>
          <w:szCs w:val="24"/>
          <w:lang w:val="en-US"/>
        </w:rPr>
      </w:pPr>
    </w:p>
    <w:p w14:paraId="3E715D0E" w14:textId="43441E5A" w:rsidR="00820AA6" w:rsidRPr="005E14CD" w:rsidRDefault="00820AA6" w:rsidP="00820AA6">
      <w:pPr>
        <w:pStyle w:val="ListParagraph"/>
        <w:numPr>
          <w:ilvl w:val="0"/>
          <w:numId w:val="29"/>
        </w:numPr>
        <w:spacing w:after="0"/>
        <w:rPr>
          <w:rFonts w:ascii="Arial" w:hAnsi="Arial" w:cs="Arial"/>
          <w:sz w:val="24"/>
          <w:szCs w:val="24"/>
          <w:lang w:val="en-US"/>
        </w:rPr>
      </w:pPr>
      <w:r w:rsidRPr="005E14CD">
        <w:rPr>
          <w:rFonts w:ascii="Arial" w:hAnsi="Arial" w:cs="Arial"/>
          <w:sz w:val="24"/>
          <w:szCs w:val="24"/>
          <w:lang w:val="en-US"/>
        </w:rPr>
        <w:t>Please explain why the ($196,302) is a principal adjustment but not a reconciling item. If the principal adjustment is composed of various types of principal adjustments, please provide an explanation for each type of adjustment, similar to that provided in in response to staff question 3.</w:t>
      </w:r>
    </w:p>
    <w:p w14:paraId="274D36FE" w14:textId="4EBAB632" w:rsidR="00666297" w:rsidRPr="005E14CD" w:rsidRDefault="00666297" w:rsidP="00666297">
      <w:pPr>
        <w:spacing w:after="0"/>
        <w:rPr>
          <w:rFonts w:ascii="Arial" w:hAnsi="Arial" w:cs="Arial"/>
          <w:sz w:val="24"/>
          <w:szCs w:val="24"/>
          <w:lang w:val="en-US"/>
        </w:rPr>
      </w:pPr>
    </w:p>
    <w:p w14:paraId="356EDFED" w14:textId="3292A9B6" w:rsidR="00363CE1" w:rsidRPr="005E14CD" w:rsidRDefault="00363CE1" w:rsidP="00363CE1">
      <w:pPr>
        <w:spacing w:after="0"/>
        <w:contextualSpacing/>
        <w:rPr>
          <w:rFonts w:ascii="Arial" w:hAnsi="Arial" w:cs="Arial"/>
          <w:b/>
          <w:bCs/>
          <w:sz w:val="24"/>
          <w:szCs w:val="24"/>
          <w:lang w:val="en-US"/>
        </w:rPr>
      </w:pPr>
      <w:r w:rsidRPr="005E14CD">
        <w:rPr>
          <w:rFonts w:ascii="Arial" w:hAnsi="Arial" w:cs="Arial"/>
          <w:b/>
          <w:bCs/>
          <w:sz w:val="24"/>
          <w:szCs w:val="24"/>
          <w:lang w:val="en-US"/>
        </w:rPr>
        <w:t xml:space="preserve">Response – </w:t>
      </w:r>
      <w:r w:rsidRPr="005E14CD">
        <w:rPr>
          <w:rFonts w:ascii="Arial" w:hAnsi="Arial" w:cs="Arial"/>
          <w:b/>
          <w:bCs/>
          <w:sz w:val="24"/>
          <w:szCs w:val="24"/>
          <w:lang w:val="en-US"/>
        </w:rPr>
        <w:t>8</w:t>
      </w:r>
    </w:p>
    <w:p w14:paraId="3F857599" w14:textId="7DFD372F" w:rsidR="00363CE1" w:rsidRPr="005E14CD" w:rsidRDefault="00363CE1" w:rsidP="00363CE1">
      <w:pPr>
        <w:spacing w:after="0"/>
        <w:contextualSpacing/>
        <w:rPr>
          <w:rFonts w:ascii="Arial" w:hAnsi="Arial" w:cs="Arial"/>
          <w:b/>
          <w:bCs/>
          <w:sz w:val="24"/>
          <w:szCs w:val="24"/>
          <w:lang w:val="en-US"/>
        </w:rPr>
      </w:pPr>
    </w:p>
    <w:p w14:paraId="763B06A6" w14:textId="6C49A90E" w:rsidR="00363CE1" w:rsidRPr="005E14CD" w:rsidRDefault="00363CE1" w:rsidP="00363CE1">
      <w:pPr>
        <w:spacing w:after="0"/>
        <w:contextualSpacing/>
        <w:rPr>
          <w:rFonts w:ascii="Arial" w:hAnsi="Arial" w:cs="Arial"/>
          <w:sz w:val="24"/>
          <w:szCs w:val="24"/>
          <w:lang w:val="en-US"/>
        </w:rPr>
      </w:pPr>
      <w:r w:rsidRPr="005E14CD">
        <w:rPr>
          <w:rFonts w:ascii="Arial" w:hAnsi="Arial" w:cs="Arial"/>
          <w:sz w:val="24"/>
          <w:szCs w:val="24"/>
          <w:lang w:val="en-US"/>
        </w:rPr>
        <w:t>This figure should not have been part of the principal adjustment worksheet. It was part of the annual review and this was included in the annual settlement process and therefore not a principal adjustment.</w:t>
      </w:r>
    </w:p>
    <w:p w14:paraId="671404F9" w14:textId="77777777" w:rsidR="00666297" w:rsidRPr="005E14CD" w:rsidRDefault="00666297" w:rsidP="00666297">
      <w:pPr>
        <w:rPr>
          <w:rFonts w:ascii="Arial" w:hAnsi="Arial" w:cs="Arial"/>
          <w:b/>
          <w:sz w:val="24"/>
          <w:szCs w:val="24"/>
        </w:rPr>
      </w:pPr>
    </w:p>
    <w:p w14:paraId="2F48BC1D" w14:textId="03E302C6" w:rsidR="00666297" w:rsidRPr="005E14CD" w:rsidRDefault="00666297" w:rsidP="00666297">
      <w:pPr>
        <w:rPr>
          <w:rFonts w:ascii="Arial" w:hAnsi="Arial" w:cs="Arial"/>
          <w:b/>
          <w:sz w:val="24"/>
          <w:szCs w:val="24"/>
        </w:rPr>
      </w:pPr>
      <w:r w:rsidRPr="005E14CD">
        <w:rPr>
          <w:rFonts w:ascii="Arial" w:hAnsi="Arial" w:cs="Arial"/>
          <w:b/>
          <w:sz w:val="24"/>
          <w:szCs w:val="24"/>
        </w:rPr>
        <w:t>Staff Question-</w:t>
      </w:r>
      <w:r w:rsidR="00CA2894" w:rsidRPr="005E14CD">
        <w:rPr>
          <w:rFonts w:ascii="Arial" w:hAnsi="Arial" w:cs="Arial"/>
          <w:b/>
          <w:sz w:val="24"/>
          <w:szCs w:val="24"/>
        </w:rPr>
        <w:t>9</w:t>
      </w:r>
    </w:p>
    <w:p w14:paraId="1465796F" w14:textId="77777777" w:rsidR="00666297" w:rsidRPr="005E14CD" w:rsidRDefault="00666297" w:rsidP="00666297">
      <w:pPr>
        <w:rPr>
          <w:rFonts w:ascii="Arial" w:hAnsi="Arial" w:cs="Arial"/>
          <w:b/>
          <w:sz w:val="24"/>
          <w:szCs w:val="24"/>
        </w:rPr>
      </w:pPr>
      <w:r w:rsidRPr="005E14CD">
        <w:rPr>
          <w:rFonts w:ascii="Arial" w:hAnsi="Arial" w:cs="Arial"/>
          <w:b/>
          <w:sz w:val="24"/>
          <w:szCs w:val="24"/>
        </w:rPr>
        <w:t>Ref:</w:t>
      </w:r>
      <w:r w:rsidRPr="005E14CD">
        <w:rPr>
          <w:rFonts w:ascii="Arial" w:hAnsi="Arial" w:cs="Arial"/>
          <w:b/>
          <w:sz w:val="24"/>
          <w:szCs w:val="24"/>
        </w:rPr>
        <w:tab/>
        <w:t xml:space="preserve">(1) 2022 Rate Generator </w:t>
      </w:r>
    </w:p>
    <w:p w14:paraId="13F04316" w14:textId="4492890C" w:rsidR="00666297" w:rsidRPr="005E14CD" w:rsidRDefault="00666297" w:rsidP="00666297">
      <w:pPr>
        <w:rPr>
          <w:rFonts w:ascii="Arial" w:hAnsi="Arial" w:cs="Arial"/>
          <w:b/>
          <w:sz w:val="24"/>
          <w:szCs w:val="24"/>
        </w:rPr>
      </w:pPr>
      <w:r w:rsidRPr="005E14CD">
        <w:rPr>
          <w:rFonts w:ascii="Arial" w:hAnsi="Arial" w:cs="Arial"/>
          <w:b/>
          <w:sz w:val="24"/>
          <w:szCs w:val="24"/>
        </w:rPr>
        <w:t>OEB staff has made the following updates to North Bay Hydro’s Rate Generator Model:</w:t>
      </w:r>
    </w:p>
    <w:p w14:paraId="034A5978" w14:textId="77777777" w:rsidR="00666297" w:rsidRPr="005E14CD"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bookmarkStart w:id="1" w:name="_Hlk93585191"/>
      <w:r w:rsidRPr="005E14CD">
        <w:rPr>
          <w:rFonts w:ascii="Arial" w:eastAsia="Times New Roman" w:hAnsi="Arial" w:cs="Arial"/>
          <w:sz w:val="24"/>
          <w:szCs w:val="24"/>
        </w:rPr>
        <w:t>Tab 11: UTR for Network Service Rate changed to $5.13</w:t>
      </w:r>
    </w:p>
    <w:bookmarkEnd w:id="1"/>
    <w:p w14:paraId="56570617"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Tab 11: UTR for Line Connection Service Rate changed to $0.88</w:t>
      </w:r>
    </w:p>
    <w:p w14:paraId="639194B8"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Tab 11: UTR for Transformation Connection Service changed to $2.81</w:t>
      </w:r>
    </w:p>
    <w:p w14:paraId="63034B0E"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 xml:space="preserve">Tab 11: </w:t>
      </w:r>
      <w:bookmarkStart w:id="2" w:name="_Hlk93657483"/>
      <w:r w:rsidRPr="005E14CD">
        <w:rPr>
          <w:rFonts w:ascii="Arial" w:eastAsia="Times New Roman" w:hAnsi="Arial" w:cs="Arial"/>
          <w:sz w:val="24"/>
          <w:szCs w:val="24"/>
        </w:rPr>
        <w:t>Hydro One Sub-Transmission Rate for Network Service Rate changed to $4.34</w:t>
      </w:r>
      <w:bookmarkEnd w:id="2"/>
    </w:p>
    <w:p w14:paraId="10634DBA"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Tab 11: Hydro One Sub-Transmission Rate for Line Connection Service Rate changed to $0.67</w:t>
      </w:r>
    </w:p>
    <w:p w14:paraId="4CA992CA"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Tab 11: Hydro One Sub-Transmission Rate for Transformation Connection Service Rate changed to $2.32</w:t>
      </w:r>
    </w:p>
    <w:p w14:paraId="20712E65" w14:textId="77777777" w:rsidR="00666297" w:rsidRPr="005E14CD" w:rsidRDefault="00666297" w:rsidP="00666297">
      <w:pPr>
        <w:pStyle w:val="ListParagraph"/>
        <w:numPr>
          <w:ilvl w:val="0"/>
          <w:numId w:val="31"/>
        </w:numPr>
        <w:rPr>
          <w:rFonts w:ascii="Arial" w:eastAsia="Times New Roman" w:hAnsi="Arial" w:cs="Arial"/>
          <w:sz w:val="24"/>
          <w:szCs w:val="24"/>
        </w:rPr>
      </w:pPr>
      <w:r w:rsidRPr="005E14CD">
        <w:rPr>
          <w:rFonts w:ascii="Arial" w:eastAsia="Times New Roman" w:hAnsi="Arial" w:cs="Arial"/>
          <w:sz w:val="24"/>
          <w:szCs w:val="24"/>
        </w:rPr>
        <w:t>Tab 11: Hydro One Sub-Transmission Rate for both Line and Transformation Connection Service Rate changed to $3.00</w:t>
      </w:r>
    </w:p>
    <w:p w14:paraId="310D9875" w14:textId="77777777" w:rsidR="00666297" w:rsidRPr="005E14CD"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sidRPr="005E14CD">
        <w:rPr>
          <w:rFonts w:ascii="Arial" w:eastAsia="Times New Roman" w:hAnsi="Arial" w:cs="Arial"/>
          <w:sz w:val="24"/>
          <w:szCs w:val="24"/>
        </w:rPr>
        <w:t>Tab 16: 2022 Inflation Factor of 3.3% (including applying that change to Retail Service Charges)</w:t>
      </w:r>
    </w:p>
    <w:p w14:paraId="719E8A15" w14:textId="77777777" w:rsidR="00666297" w:rsidRPr="005E14CD"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sidRPr="005E14CD">
        <w:rPr>
          <w:rFonts w:ascii="Arial" w:eastAsia="Times New Roman" w:hAnsi="Arial" w:cs="Arial"/>
          <w:sz w:val="24"/>
          <w:szCs w:val="24"/>
        </w:rPr>
        <w:t>Tab 17: 2022 Pole attachment charge updated to $34.76, with reference to interim approval removed in Tab 19.</w:t>
      </w:r>
    </w:p>
    <w:p w14:paraId="6A242FB4" w14:textId="77777777" w:rsidR="00666297" w:rsidRPr="005E14CD" w:rsidRDefault="00666297" w:rsidP="00666297">
      <w:pPr>
        <w:pStyle w:val="ListParagraph"/>
        <w:numPr>
          <w:ilvl w:val="0"/>
          <w:numId w:val="31"/>
        </w:numPr>
        <w:spacing w:after="0" w:line="240" w:lineRule="auto"/>
        <w:contextualSpacing w:val="0"/>
        <w:rPr>
          <w:rFonts w:ascii="Arial" w:eastAsia="Times New Roman" w:hAnsi="Arial" w:cs="Arial"/>
          <w:sz w:val="24"/>
          <w:szCs w:val="24"/>
        </w:rPr>
      </w:pPr>
      <w:r w:rsidRPr="005E14CD">
        <w:rPr>
          <w:rFonts w:ascii="Arial" w:eastAsia="Times New Roman" w:hAnsi="Arial" w:cs="Arial"/>
          <w:sz w:val="24"/>
          <w:szCs w:val="24"/>
        </w:rPr>
        <w:t>Tab 20: OER % changed to 17%</w:t>
      </w:r>
    </w:p>
    <w:p w14:paraId="0946F1C6" w14:textId="77777777" w:rsidR="00666297" w:rsidRPr="005E14CD" w:rsidRDefault="00666297" w:rsidP="00666297">
      <w:pPr>
        <w:spacing w:after="0" w:line="240" w:lineRule="auto"/>
        <w:rPr>
          <w:rFonts w:ascii="Arial" w:eastAsia="Times New Roman" w:hAnsi="Arial" w:cs="Arial"/>
          <w:sz w:val="24"/>
          <w:szCs w:val="24"/>
        </w:rPr>
      </w:pPr>
    </w:p>
    <w:p w14:paraId="01B5E332" w14:textId="46E06DD9" w:rsidR="00666297" w:rsidRPr="005E14CD" w:rsidRDefault="00666297" w:rsidP="00666297">
      <w:pPr>
        <w:spacing w:after="0" w:line="240" w:lineRule="auto"/>
        <w:rPr>
          <w:rFonts w:ascii="Arial" w:eastAsia="Times New Roman" w:hAnsi="Arial" w:cs="Arial"/>
          <w:sz w:val="24"/>
          <w:szCs w:val="24"/>
        </w:rPr>
      </w:pPr>
      <w:r w:rsidRPr="005E14CD">
        <w:rPr>
          <w:rFonts w:ascii="Arial" w:eastAsia="Times New Roman" w:hAnsi="Arial" w:cs="Arial"/>
          <w:sz w:val="24"/>
          <w:szCs w:val="24"/>
        </w:rPr>
        <w:t xml:space="preserve">Please confirm whether North Bay Hydro agrees with OEB staff’s changes. </w:t>
      </w:r>
    </w:p>
    <w:p w14:paraId="2AE2E730" w14:textId="5DCBEF9B" w:rsidR="00A53366" w:rsidRPr="005E14CD" w:rsidRDefault="00A53366" w:rsidP="00666297">
      <w:pPr>
        <w:spacing w:after="0" w:line="240" w:lineRule="auto"/>
        <w:rPr>
          <w:rFonts w:ascii="Arial" w:eastAsia="Times New Roman" w:hAnsi="Arial" w:cs="Arial"/>
          <w:sz w:val="24"/>
          <w:szCs w:val="24"/>
        </w:rPr>
      </w:pPr>
    </w:p>
    <w:p w14:paraId="5B498559" w14:textId="3BBFD610" w:rsidR="00A53366" w:rsidRPr="005E14CD" w:rsidRDefault="00A53366" w:rsidP="00A53366">
      <w:pPr>
        <w:spacing w:after="0"/>
        <w:contextualSpacing/>
        <w:rPr>
          <w:rFonts w:ascii="Arial" w:hAnsi="Arial" w:cs="Arial"/>
          <w:b/>
          <w:bCs/>
          <w:sz w:val="24"/>
          <w:szCs w:val="24"/>
          <w:lang w:val="en-US"/>
        </w:rPr>
      </w:pPr>
      <w:r w:rsidRPr="005E14CD">
        <w:rPr>
          <w:rFonts w:ascii="Arial" w:hAnsi="Arial" w:cs="Arial"/>
          <w:b/>
          <w:bCs/>
          <w:sz w:val="24"/>
          <w:szCs w:val="24"/>
          <w:lang w:val="en-US"/>
        </w:rPr>
        <w:t>Response – 9</w:t>
      </w:r>
    </w:p>
    <w:p w14:paraId="4983F76F" w14:textId="66B82C12" w:rsidR="00A53366" w:rsidRPr="005E14CD" w:rsidRDefault="00A53366" w:rsidP="00A53366">
      <w:pPr>
        <w:spacing w:after="0"/>
        <w:contextualSpacing/>
        <w:rPr>
          <w:rFonts w:ascii="Arial" w:hAnsi="Arial" w:cs="Arial"/>
          <w:b/>
          <w:bCs/>
          <w:sz w:val="24"/>
          <w:szCs w:val="24"/>
          <w:lang w:val="en-US"/>
        </w:rPr>
      </w:pPr>
    </w:p>
    <w:p w14:paraId="427FAB12" w14:textId="23AA4159" w:rsidR="00A53366" w:rsidRPr="005E14CD" w:rsidRDefault="00A53366" w:rsidP="00A53366">
      <w:pPr>
        <w:spacing w:after="0"/>
        <w:contextualSpacing/>
        <w:rPr>
          <w:rFonts w:ascii="Arial" w:hAnsi="Arial" w:cs="Arial"/>
          <w:sz w:val="24"/>
          <w:szCs w:val="24"/>
          <w:lang w:val="en-US"/>
        </w:rPr>
      </w:pPr>
      <w:r w:rsidRPr="005E14CD">
        <w:rPr>
          <w:rFonts w:ascii="Arial" w:hAnsi="Arial" w:cs="Arial"/>
          <w:sz w:val="24"/>
          <w:szCs w:val="24"/>
          <w:lang w:val="en-US"/>
        </w:rPr>
        <w:lastRenderedPageBreak/>
        <w:t>NBHDL agrees with the OEB’s staff changes.</w:t>
      </w:r>
    </w:p>
    <w:p w14:paraId="73B3FEF9" w14:textId="77777777" w:rsidR="00A53366" w:rsidRDefault="00A53366" w:rsidP="00666297">
      <w:pPr>
        <w:spacing w:after="0" w:line="240" w:lineRule="auto"/>
        <w:rPr>
          <w:rFonts w:ascii="Arial" w:eastAsia="Times New Roman" w:hAnsi="Arial" w:cs="Arial"/>
          <w:sz w:val="24"/>
          <w:szCs w:val="24"/>
        </w:rPr>
      </w:pPr>
    </w:p>
    <w:p w14:paraId="6BEC6F68" w14:textId="77777777" w:rsidR="00666297" w:rsidRPr="00666297" w:rsidRDefault="00666297" w:rsidP="00666297">
      <w:pPr>
        <w:spacing w:after="0"/>
        <w:rPr>
          <w:rFonts w:ascii="Arial" w:hAnsi="Arial" w:cs="Arial"/>
          <w:sz w:val="24"/>
          <w:szCs w:val="24"/>
          <w:lang w:val="en-US"/>
        </w:rPr>
      </w:pPr>
    </w:p>
    <w:p w14:paraId="46CF6AE4" w14:textId="77777777" w:rsidR="00820AA6" w:rsidRPr="00F6126C" w:rsidRDefault="00820AA6" w:rsidP="00D57E8C">
      <w:pPr>
        <w:rPr>
          <w:rFonts w:ascii="Arial" w:hAnsi="Arial" w:cs="Arial"/>
          <w:bCs/>
          <w:sz w:val="24"/>
          <w:szCs w:val="24"/>
        </w:rPr>
      </w:pPr>
    </w:p>
    <w:p w14:paraId="1E27DB52" w14:textId="77777777" w:rsidR="00B9376E" w:rsidRPr="002D056D" w:rsidRDefault="00B9376E" w:rsidP="008E6045">
      <w:pPr>
        <w:rPr>
          <w:rFonts w:ascii="Arial" w:hAnsi="Arial" w:cs="Arial"/>
          <w:b/>
          <w:sz w:val="24"/>
          <w:szCs w:val="24"/>
        </w:rPr>
      </w:pPr>
    </w:p>
    <w:sectPr w:rsidR="00B9376E" w:rsidRPr="002D056D" w:rsidSect="00EA0919">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B4690" w14:textId="77777777" w:rsidR="00844A76" w:rsidRDefault="00844A76" w:rsidP="006B3B59">
      <w:pPr>
        <w:spacing w:after="0" w:line="240" w:lineRule="auto"/>
      </w:pPr>
      <w:r>
        <w:separator/>
      </w:r>
    </w:p>
  </w:endnote>
  <w:endnote w:type="continuationSeparator" w:id="0">
    <w:p w14:paraId="4E143EB5" w14:textId="77777777" w:rsidR="00844A76" w:rsidRDefault="00844A76" w:rsidP="006B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70507" w14:textId="77777777" w:rsidR="00844A76" w:rsidRDefault="00844A76" w:rsidP="006B3B59">
      <w:pPr>
        <w:spacing w:after="0" w:line="240" w:lineRule="auto"/>
      </w:pPr>
      <w:r>
        <w:separator/>
      </w:r>
    </w:p>
  </w:footnote>
  <w:footnote w:type="continuationSeparator" w:id="0">
    <w:p w14:paraId="4E800CD4" w14:textId="77777777" w:rsidR="00844A76" w:rsidRDefault="00844A76" w:rsidP="006B3B59">
      <w:pPr>
        <w:spacing w:after="0" w:line="240" w:lineRule="auto"/>
      </w:pPr>
      <w:r>
        <w:continuationSeparator/>
      </w:r>
    </w:p>
  </w:footnote>
  <w:footnote w:id="1">
    <w:p w14:paraId="2D56DEAC" w14:textId="77777777" w:rsidR="001466DD" w:rsidRPr="00612A08" w:rsidRDefault="001466DD" w:rsidP="001466DD">
      <w:pPr>
        <w:pStyle w:val="FootnoteText"/>
        <w:rPr>
          <w:rFonts w:ascii="Arial" w:hAnsi="Arial" w:cs="Arial"/>
          <w:lang w:val="en-US"/>
        </w:rPr>
      </w:pPr>
      <w:r w:rsidRPr="00612A08">
        <w:rPr>
          <w:rStyle w:val="FootnoteReference"/>
          <w:rFonts w:ascii="Arial" w:hAnsi="Arial" w:cs="Arial"/>
        </w:rPr>
        <w:footnoteRef/>
      </w:r>
      <w:r w:rsidRPr="00612A08">
        <w:rPr>
          <w:rFonts w:ascii="Arial" w:hAnsi="Arial" w:cs="Arial"/>
        </w:rPr>
        <w:t xml:space="preserve"> </w:t>
      </w:r>
      <w:r w:rsidRPr="00612A08">
        <w:rPr>
          <w:rFonts w:ascii="Arial" w:hAnsi="Arial" w:cs="Arial"/>
          <w:lang w:val="en-US"/>
        </w:rPr>
        <w:t>Page 7, Decision and Rate Order, April 16, 2020, EB-2019-0057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4AF"/>
    <w:multiLevelType w:val="hybridMultilevel"/>
    <w:tmpl w:val="6F9AC10E"/>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A4235F"/>
    <w:multiLevelType w:val="hybridMultilevel"/>
    <w:tmpl w:val="568EDF4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27F0BCB"/>
    <w:multiLevelType w:val="hybridMultilevel"/>
    <w:tmpl w:val="5DD2D88E"/>
    <w:lvl w:ilvl="0" w:tplc="E294E914">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ECF3FC4"/>
    <w:multiLevelType w:val="hybridMultilevel"/>
    <w:tmpl w:val="F0B624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14953C4"/>
    <w:multiLevelType w:val="hybridMultilevel"/>
    <w:tmpl w:val="E76E0A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2261CD"/>
    <w:multiLevelType w:val="hybridMultilevel"/>
    <w:tmpl w:val="1D2C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333125"/>
    <w:multiLevelType w:val="hybridMultilevel"/>
    <w:tmpl w:val="339A0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22642EA"/>
    <w:multiLevelType w:val="hybridMultilevel"/>
    <w:tmpl w:val="68A63AE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1DE131D"/>
    <w:multiLevelType w:val="hybridMultilevel"/>
    <w:tmpl w:val="0DCEF1F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8"/>
  </w:num>
  <w:num w:numId="3">
    <w:abstractNumId w:val="27"/>
  </w:num>
  <w:num w:numId="4">
    <w:abstractNumId w:val="35"/>
  </w:num>
  <w:num w:numId="5">
    <w:abstractNumId w:val="14"/>
  </w:num>
  <w:num w:numId="6">
    <w:abstractNumId w:val="10"/>
  </w:num>
  <w:num w:numId="7">
    <w:abstractNumId w:val="23"/>
  </w:num>
  <w:num w:numId="8">
    <w:abstractNumId w:val="16"/>
  </w:num>
  <w:num w:numId="9">
    <w:abstractNumId w:val="19"/>
  </w:num>
  <w:num w:numId="10">
    <w:abstractNumId w:val="6"/>
  </w:num>
  <w:num w:numId="11">
    <w:abstractNumId w:val="22"/>
  </w:num>
  <w:num w:numId="12">
    <w:abstractNumId w:val="29"/>
  </w:num>
  <w:num w:numId="13">
    <w:abstractNumId w:val="5"/>
  </w:num>
  <w:num w:numId="14">
    <w:abstractNumId w:val="3"/>
  </w:num>
  <w:num w:numId="15">
    <w:abstractNumId w:val="34"/>
  </w:num>
  <w:num w:numId="16">
    <w:abstractNumId w:val="9"/>
  </w:num>
  <w:num w:numId="17">
    <w:abstractNumId w:val="25"/>
  </w:num>
  <w:num w:numId="18">
    <w:abstractNumId w:val="31"/>
  </w:num>
  <w:num w:numId="19">
    <w:abstractNumId w:val="33"/>
  </w:num>
  <w:num w:numId="20">
    <w:abstractNumId w:val="13"/>
  </w:num>
  <w:num w:numId="21">
    <w:abstractNumId w:val="30"/>
  </w:num>
  <w:num w:numId="22">
    <w:abstractNumId w:val="11"/>
  </w:num>
  <w:num w:numId="23">
    <w:abstractNumId w:val="28"/>
  </w:num>
  <w:num w:numId="24">
    <w:abstractNumId w:val="26"/>
  </w:num>
  <w:num w:numId="25">
    <w:abstractNumId w:val="4"/>
  </w:num>
  <w:num w:numId="26">
    <w:abstractNumId w:val="21"/>
  </w:num>
  <w:num w:numId="27">
    <w:abstractNumId w:val="24"/>
  </w:num>
  <w:num w:numId="28">
    <w:abstractNumId w:val="0"/>
  </w:num>
  <w:num w:numId="29">
    <w:abstractNumId w:val="20"/>
  </w:num>
  <w:num w:numId="30">
    <w:abstractNumId w:val="15"/>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32"/>
  </w:num>
  <w:num w:numId="33">
    <w:abstractNumId w:val="2"/>
  </w:num>
  <w:num w:numId="34">
    <w:abstractNumId w:val="7"/>
  </w:num>
  <w:num w:numId="35">
    <w:abstractNumId w:val="18"/>
  </w:num>
  <w:num w:numId="36">
    <w:abstractNumId w:val="1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3259"/>
    <w:rsid w:val="00035337"/>
    <w:rsid w:val="00054071"/>
    <w:rsid w:val="00057028"/>
    <w:rsid w:val="0006126D"/>
    <w:rsid w:val="00067F57"/>
    <w:rsid w:val="0007047E"/>
    <w:rsid w:val="00071BEC"/>
    <w:rsid w:val="00074514"/>
    <w:rsid w:val="000832D4"/>
    <w:rsid w:val="00090160"/>
    <w:rsid w:val="0009772D"/>
    <w:rsid w:val="000B3E7E"/>
    <w:rsid w:val="000B5C77"/>
    <w:rsid w:val="000D223C"/>
    <w:rsid w:val="000E0347"/>
    <w:rsid w:val="000E4006"/>
    <w:rsid w:val="000F1E3A"/>
    <w:rsid w:val="00133BE1"/>
    <w:rsid w:val="00134F32"/>
    <w:rsid w:val="001466DD"/>
    <w:rsid w:val="00152DAC"/>
    <w:rsid w:val="00164E99"/>
    <w:rsid w:val="00183CC8"/>
    <w:rsid w:val="00187E9B"/>
    <w:rsid w:val="001927C2"/>
    <w:rsid w:val="001A4DCD"/>
    <w:rsid w:val="001C0D1D"/>
    <w:rsid w:val="001D7319"/>
    <w:rsid w:val="00203092"/>
    <w:rsid w:val="002208C0"/>
    <w:rsid w:val="00224C06"/>
    <w:rsid w:val="002477A8"/>
    <w:rsid w:val="0025543B"/>
    <w:rsid w:val="0025687C"/>
    <w:rsid w:val="00274A48"/>
    <w:rsid w:val="00291CCC"/>
    <w:rsid w:val="00295B7C"/>
    <w:rsid w:val="002A6415"/>
    <w:rsid w:val="002B7B7C"/>
    <w:rsid w:val="002C2BF2"/>
    <w:rsid w:val="002C7EF6"/>
    <w:rsid w:val="002D4924"/>
    <w:rsid w:val="002F4756"/>
    <w:rsid w:val="00302509"/>
    <w:rsid w:val="003049C5"/>
    <w:rsid w:val="003303BF"/>
    <w:rsid w:val="00340C00"/>
    <w:rsid w:val="00346841"/>
    <w:rsid w:val="00363CE1"/>
    <w:rsid w:val="003702D1"/>
    <w:rsid w:val="00373FAD"/>
    <w:rsid w:val="003777B5"/>
    <w:rsid w:val="003832E7"/>
    <w:rsid w:val="00396A23"/>
    <w:rsid w:val="003A20A0"/>
    <w:rsid w:val="003A58B0"/>
    <w:rsid w:val="00400DFC"/>
    <w:rsid w:val="00412DC6"/>
    <w:rsid w:val="00425009"/>
    <w:rsid w:val="004377B0"/>
    <w:rsid w:val="00472C81"/>
    <w:rsid w:val="00473580"/>
    <w:rsid w:val="00475032"/>
    <w:rsid w:val="004859EF"/>
    <w:rsid w:val="00490F2F"/>
    <w:rsid w:val="004B4D31"/>
    <w:rsid w:val="004D0D14"/>
    <w:rsid w:val="00500492"/>
    <w:rsid w:val="00511EC2"/>
    <w:rsid w:val="005164F5"/>
    <w:rsid w:val="0052560F"/>
    <w:rsid w:val="005537AB"/>
    <w:rsid w:val="005666F2"/>
    <w:rsid w:val="00572064"/>
    <w:rsid w:val="00582316"/>
    <w:rsid w:val="00584369"/>
    <w:rsid w:val="00587A35"/>
    <w:rsid w:val="005A274F"/>
    <w:rsid w:val="005E14CD"/>
    <w:rsid w:val="005F4693"/>
    <w:rsid w:val="006049B5"/>
    <w:rsid w:val="00605A05"/>
    <w:rsid w:val="00612A08"/>
    <w:rsid w:val="006221E8"/>
    <w:rsid w:val="00623602"/>
    <w:rsid w:val="00624893"/>
    <w:rsid w:val="00634D19"/>
    <w:rsid w:val="0064279A"/>
    <w:rsid w:val="00651C98"/>
    <w:rsid w:val="00666297"/>
    <w:rsid w:val="006A5D23"/>
    <w:rsid w:val="006B3B59"/>
    <w:rsid w:val="006C1F6D"/>
    <w:rsid w:val="006E007E"/>
    <w:rsid w:val="006E3D58"/>
    <w:rsid w:val="006F7826"/>
    <w:rsid w:val="00704EE5"/>
    <w:rsid w:val="007066E2"/>
    <w:rsid w:val="00722640"/>
    <w:rsid w:val="00725537"/>
    <w:rsid w:val="0073197E"/>
    <w:rsid w:val="007413AF"/>
    <w:rsid w:val="00746080"/>
    <w:rsid w:val="007508EC"/>
    <w:rsid w:val="00772B57"/>
    <w:rsid w:val="00781D04"/>
    <w:rsid w:val="007C2D45"/>
    <w:rsid w:val="007F49EB"/>
    <w:rsid w:val="00805FDA"/>
    <w:rsid w:val="00812C1B"/>
    <w:rsid w:val="008163BA"/>
    <w:rsid w:val="008173B1"/>
    <w:rsid w:val="00820AA6"/>
    <w:rsid w:val="00824113"/>
    <w:rsid w:val="00835AD0"/>
    <w:rsid w:val="00841787"/>
    <w:rsid w:val="00844A76"/>
    <w:rsid w:val="008747B3"/>
    <w:rsid w:val="008813C3"/>
    <w:rsid w:val="008926F0"/>
    <w:rsid w:val="008964E8"/>
    <w:rsid w:val="008A0EE0"/>
    <w:rsid w:val="008A48F6"/>
    <w:rsid w:val="008D491F"/>
    <w:rsid w:val="008E6045"/>
    <w:rsid w:val="0090113B"/>
    <w:rsid w:val="0093258A"/>
    <w:rsid w:val="00941709"/>
    <w:rsid w:val="0094373C"/>
    <w:rsid w:val="00946DEE"/>
    <w:rsid w:val="00951E2B"/>
    <w:rsid w:val="00952939"/>
    <w:rsid w:val="00953A14"/>
    <w:rsid w:val="00961EA0"/>
    <w:rsid w:val="0096740E"/>
    <w:rsid w:val="009A01FE"/>
    <w:rsid w:val="009A5C44"/>
    <w:rsid w:val="009B03AF"/>
    <w:rsid w:val="009B04C6"/>
    <w:rsid w:val="009C4216"/>
    <w:rsid w:val="009D5F4B"/>
    <w:rsid w:val="009E626E"/>
    <w:rsid w:val="009E7CBF"/>
    <w:rsid w:val="009F5170"/>
    <w:rsid w:val="00A07077"/>
    <w:rsid w:val="00A367E4"/>
    <w:rsid w:val="00A50DD0"/>
    <w:rsid w:val="00A516B0"/>
    <w:rsid w:val="00A53366"/>
    <w:rsid w:val="00A5620A"/>
    <w:rsid w:val="00A76A89"/>
    <w:rsid w:val="00AA06D9"/>
    <w:rsid w:val="00AC2406"/>
    <w:rsid w:val="00AD3FCF"/>
    <w:rsid w:val="00AD5145"/>
    <w:rsid w:val="00AD6A94"/>
    <w:rsid w:val="00AF0C83"/>
    <w:rsid w:val="00AF5387"/>
    <w:rsid w:val="00B01278"/>
    <w:rsid w:val="00B03802"/>
    <w:rsid w:val="00B069AA"/>
    <w:rsid w:val="00B23A36"/>
    <w:rsid w:val="00B25576"/>
    <w:rsid w:val="00B25EF5"/>
    <w:rsid w:val="00B2747D"/>
    <w:rsid w:val="00B50EB2"/>
    <w:rsid w:val="00B546C0"/>
    <w:rsid w:val="00B6722A"/>
    <w:rsid w:val="00B82D78"/>
    <w:rsid w:val="00B8432B"/>
    <w:rsid w:val="00B9376E"/>
    <w:rsid w:val="00BA434C"/>
    <w:rsid w:val="00BD4F65"/>
    <w:rsid w:val="00BD7607"/>
    <w:rsid w:val="00C02CC7"/>
    <w:rsid w:val="00C06F9E"/>
    <w:rsid w:val="00C13E6B"/>
    <w:rsid w:val="00C207D8"/>
    <w:rsid w:val="00C2370B"/>
    <w:rsid w:val="00C26FE1"/>
    <w:rsid w:val="00C27193"/>
    <w:rsid w:val="00C4155A"/>
    <w:rsid w:val="00C54979"/>
    <w:rsid w:val="00C624D5"/>
    <w:rsid w:val="00C848A0"/>
    <w:rsid w:val="00C859E5"/>
    <w:rsid w:val="00C878C5"/>
    <w:rsid w:val="00C96AEA"/>
    <w:rsid w:val="00CA2894"/>
    <w:rsid w:val="00CC0B6D"/>
    <w:rsid w:val="00CD01B4"/>
    <w:rsid w:val="00CD4EE9"/>
    <w:rsid w:val="00CE1CD3"/>
    <w:rsid w:val="00CE4F01"/>
    <w:rsid w:val="00D30F16"/>
    <w:rsid w:val="00D55546"/>
    <w:rsid w:val="00D57E8C"/>
    <w:rsid w:val="00D6213C"/>
    <w:rsid w:val="00D647C0"/>
    <w:rsid w:val="00D77694"/>
    <w:rsid w:val="00D77B0F"/>
    <w:rsid w:val="00D844AD"/>
    <w:rsid w:val="00D91CD4"/>
    <w:rsid w:val="00DB6B52"/>
    <w:rsid w:val="00DD0634"/>
    <w:rsid w:val="00DE5488"/>
    <w:rsid w:val="00DE75AC"/>
    <w:rsid w:val="00DF5A52"/>
    <w:rsid w:val="00E17C58"/>
    <w:rsid w:val="00E231C2"/>
    <w:rsid w:val="00E429DA"/>
    <w:rsid w:val="00E616AB"/>
    <w:rsid w:val="00E62C2A"/>
    <w:rsid w:val="00E8586E"/>
    <w:rsid w:val="00E86F26"/>
    <w:rsid w:val="00E96A06"/>
    <w:rsid w:val="00EA0919"/>
    <w:rsid w:val="00EB5240"/>
    <w:rsid w:val="00EC0B55"/>
    <w:rsid w:val="00EE3753"/>
    <w:rsid w:val="00F034BF"/>
    <w:rsid w:val="00F233A3"/>
    <w:rsid w:val="00F23D7A"/>
    <w:rsid w:val="00F26D30"/>
    <w:rsid w:val="00F35A33"/>
    <w:rsid w:val="00F57152"/>
    <w:rsid w:val="00F57774"/>
    <w:rsid w:val="00F6126C"/>
    <w:rsid w:val="00F7362C"/>
    <w:rsid w:val="00F92F61"/>
    <w:rsid w:val="00F93107"/>
    <w:rsid w:val="00F9343F"/>
    <w:rsid w:val="00FB6F10"/>
    <w:rsid w:val="00FC4CF8"/>
    <w:rsid w:val="00FC5DA7"/>
    <w:rsid w:val="00FE6D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B3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3B59"/>
    <w:rPr>
      <w:sz w:val="20"/>
      <w:szCs w:val="20"/>
    </w:rPr>
  </w:style>
  <w:style w:type="character" w:styleId="FootnoteReference">
    <w:name w:val="footnote reference"/>
    <w:basedOn w:val="DefaultParagraphFont"/>
    <w:uiPriority w:val="99"/>
    <w:semiHidden/>
    <w:unhideWhenUsed/>
    <w:rsid w:val="006B3B59"/>
    <w:rPr>
      <w:vertAlign w:val="superscript"/>
    </w:rPr>
  </w:style>
  <w:style w:type="paragraph" w:styleId="Revision">
    <w:name w:val="Revision"/>
    <w:hidden/>
    <w:uiPriority w:val="99"/>
    <w:semiHidden/>
    <w:rsid w:val="00AD51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18304368">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7</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Micheal Roth</cp:lastModifiedBy>
  <cp:revision>9</cp:revision>
  <cp:lastPrinted>2014-09-29T14:43:00Z</cp:lastPrinted>
  <dcterms:created xsi:type="dcterms:W3CDTF">2022-02-04T15:02:00Z</dcterms:created>
  <dcterms:modified xsi:type="dcterms:W3CDTF">2022-03-07T12:04:00Z</dcterms:modified>
</cp:coreProperties>
</file>