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03E1" w14:textId="77777777" w:rsidR="00454349" w:rsidRDefault="00D90328" w:rsidP="00454349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D02DD6">
        <w:rPr>
          <w:rFonts w:ascii="Arial" w:hAnsi="Arial" w:cs="Arial"/>
          <w:b/>
          <w:bCs/>
          <w:u w:val="single"/>
          <w:lang w:val="en-US"/>
        </w:rPr>
        <w:t>North Bay Follow Up Questions #2</w:t>
      </w:r>
      <w:r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454349">
        <w:rPr>
          <w:rFonts w:ascii="Arial" w:hAnsi="Arial" w:cs="Arial"/>
          <w:b/>
          <w:bCs/>
          <w:u w:val="single"/>
          <w:lang w:val="en-US"/>
        </w:rPr>
        <w:t xml:space="preserve">- </w:t>
      </w:r>
      <w:r w:rsidR="00454349">
        <w:rPr>
          <w:rFonts w:ascii="Arial" w:hAnsi="Arial" w:cs="Arial"/>
          <w:b/>
          <w:bCs/>
          <w:lang w:val="en-US"/>
        </w:rPr>
        <w:t>NBHDL RESPONSE</w:t>
      </w:r>
    </w:p>
    <w:p w14:paraId="4CA8F50B" w14:textId="26BCC6C6" w:rsidR="00D90328" w:rsidRPr="00D02DD6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08CD8988" w14:textId="77777777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u w:val="single"/>
          <w:lang w:val="en-US"/>
        </w:rPr>
      </w:pPr>
    </w:p>
    <w:p w14:paraId="5021D469" w14:textId="344B922B" w:rsidR="00D90328" w:rsidRPr="00D02DD6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D02DD6">
        <w:rPr>
          <w:rFonts w:ascii="Arial" w:hAnsi="Arial" w:cs="Arial"/>
          <w:b/>
          <w:bCs/>
          <w:lang w:val="en-US"/>
        </w:rPr>
        <w:t xml:space="preserve">Staff Follow-Up </w:t>
      </w:r>
      <w:r>
        <w:rPr>
          <w:rFonts w:ascii="Arial" w:hAnsi="Arial" w:cs="Arial"/>
          <w:b/>
          <w:bCs/>
          <w:lang w:val="en-US"/>
        </w:rPr>
        <w:t>2</w:t>
      </w:r>
    </w:p>
    <w:p w14:paraId="3CDEAE37" w14:textId="72AA576D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  <w:r w:rsidRPr="00D02DD6">
        <w:rPr>
          <w:rFonts w:ascii="Arial" w:hAnsi="Arial" w:cs="Arial"/>
          <w:b/>
          <w:bCs/>
          <w:lang w:val="en-US"/>
        </w:rPr>
        <w:t>Ref: Staff Follow-Up</w:t>
      </w:r>
      <w:r>
        <w:rPr>
          <w:rFonts w:ascii="Arial" w:hAnsi="Arial" w:cs="Arial"/>
          <w:b/>
          <w:bCs/>
          <w:lang w:val="en-US"/>
        </w:rPr>
        <w:t xml:space="preserve"> 1b</w:t>
      </w:r>
    </w:p>
    <w:p w14:paraId="6C2BF143" w14:textId="6CD38D46" w:rsidR="00D90328" w:rsidRDefault="00D90328" w:rsidP="00D90328">
      <w:pPr>
        <w:spacing w:after="0" w:line="276" w:lineRule="auto"/>
        <w:contextualSpacing/>
        <w:rPr>
          <w:rFonts w:ascii="Arial" w:hAnsi="Arial" w:cs="Arial"/>
          <w:b/>
          <w:bCs/>
          <w:lang w:val="en-US"/>
        </w:rPr>
      </w:pPr>
    </w:p>
    <w:p w14:paraId="0ADFB30A" w14:textId="28117242" w:rsidR="00D90328" w:rsidRPr="002E6F87" w:rsidRDefault="00D90328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 xml:space="preserve">In the GA Analysis </w:t>
      </w:r>
      <w:proofErr w:type="spellStart"/>
      <w:r w:rsidRPr="002E6F87">
        <w:rPr>
          <w:rFonts w:ascii="Arial" w:hAnsi="Arial" w:cs="Arial"/>
          <w:lang w:val="en-US"/>
        </w:rPr>
        <w:t>Workform</w:t>
      </w:r>
      <w:proofErr w:type="spellEnd"/>
      <w:r w:rsidRPr="002E6F87">
        <w:rPr>
          <w:rFonts w:ascii="Arial" w:hAnsi="Arial" w:cs="Arial"/>
          <w:lang w:val="en-US"/>
        </w:rPr>
        <w:t xml:space="preserve">, please confirm that the consumption used in the table to calculate the expected GA variance is based approximate calendar month consumption. </w:t>
      </w:r>
    </w:p>
    <w:p w14:paraId="634D3649" w14:textId="77777777" w:rsidR="002534CF" w:rsidRPr="002E6F87" w:rsidRDefault="002534CF" w:rsidP="002534CF">
      <w:pPr>
        <w:spacing w:after="0" w:line="276" w:lineRule="auto"/>
        <w:rPr>
          <w:rFonts w:ascii="Arial" w:hAnsi="Arial" w:cs="Arial"/>
          <w:lang w:val="en-US"/>
        </w:rPr>
      </w:pPr>
    </w:p>
    <w:p w14:paraId="40591E3A" w14:textId="242877DF" w:rsidR="002534CF" w:rsidRPr="002E6F87" w:rsidRDefault="002534CF" w:rsidP="002E6F87">
      <w:pPr>
        <w:spacing w:after="0" w:line="276" w:lineRule="auto"/>
        <w:ind w:firstLine="36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t>RESPONSE</w:t>
      </w:r>
    </w:p>
    <w:p w14:paraId="3F8B6853" w14:textId="2AF39E50" w:rsidR="002534CF" w:rsidRPr="002E6F87" w:rsidRDefault="002534CF" w:rsidP="002534CF">
      <w:p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ab/>
        <w:t>Confirmed.</w:t>
      </w:r>
    </w:p>
    <w:p w14:paraId="79F6F6A6" w14:textId="548C9543" w:rsidR="00D90328" w:rsidRPr="002E6F87" w:rsidRDefault="00D90328" w:rsidP="00D90328">
      <w:pPr>
        <w:spacing w:after="0" w:line="276" w:lineRule="auto"/>
        <w:contextualSpacing/>
        <w:rPr>
          <w:rFonts w:ascii="Arial" w:hAnsi="Arial" w:cs="Arial"/>
          <w:lang w:val="en-US"/>
        </w:rPr>
      </w:pPr>
    </w:p>
    <w:p w14:paraId="304720C1" w14:textId="5F0D2FA4" w:rsidR="00D90328" w:rsidRPr="002E6F87" w:rsidRDefault="00D90328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>Please confirm that the Account 1589 balance in the general ledger does not include the unbilled to actual revenue true-up at year-end, and therefore, principal adjustments are required to Account 1589 include the true-up.</w:t>
      </w:r>
    </w:p>
    <w:p w14:paraId="17E9897C" w14:textId="68F5F5CA" w:rsidR="002534CF" w:rsidRPr="002E6F87" w:rsidRDefault="002534CF" w:rsidP="002534CF">
      <w:pPr>
        <w:spacing w:after="0" w:line="276" w:lineRule="auto"/>
        <w:rPr>
          <w:rFonts w:ascii="Arial" w:hAnsi="Arial" w:cs="Arial"/>
          <w:lang w:val="en-US"/>
        </w:rPr>
      </w:pPr>
    </w:p>
    <w:p w14:paraId="3EE3259E" w14:textId="38776AB3" w:rsidR="002534CF" w:rsidRPr="002E6F87" w:rsidRDefault="002534CF" w:rsidP="002E6F87">
      <w:pPr>
        <w:spacing w:after="0" w:line="276" w:lineRule="auto"/>
        <w:ind w:firstLine="36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t>RESPONSE</w:t>
      </w:r>
    </w:p>
    <w:p w14:paraId="58452D71" w14:textId="6658EA05" w:rsidR="002534CF" w:rsidRPr="002E6F87" w:rsidRDefault="002534CF" w:rsidP="002E6F87">
      <w:pPr>
        <w:spacing w:after="0" w:line="276" w:lineRule="auto"/>
        <w:ind w:left="720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>Confirmed. The unbilled differential would naturally flow through the GL in the following fiscal year.</w:t>
      </w:r>
    </w:p>
    <w:p w14:paraId="320E3D70" w14:textId="77777777" w:rsidR="00C5238A" w:rsidRPr="002E6F87" w:rsidRDefault="00C5238A" w:rsidP="00C5238A">
      <w:pPr>
        <w:pStyle w:val="ListParagraph"/>
        <w:rPr>
          <w:rFonts w:ascii="Arial" w:hAnsi="Arial" w:cs="Arial"/>
          <w:lang w:val="en-US"/>
        </w:rPr>
      </w:pPr>
    </w:p>
    <w:p w14:paraId="31814453" w14:textId="43B78E2B" w:rsidR="00390A28" w:rsidRPr="002E6F87" w:rsidRDefault="00390A28" w:rsidP="00390A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 xml:space="preserve">Please explain whether similar unbilled to actual revenue principal adjustments are required for Account 1588. If required, please quantify and revise the GA Analysis </w:t>
      </w:r>
      <w:proofErr w:type="spellStart"/>
      <w:r w:rsidRPr="002E6F87">
        <w:rPr>
          <w:rFonts w:ascii="Arial" w:hAnsi="Arial" w:cs="Arial"/>
          <w:lang w:val="en-US"/>
        </w:rPr>
        <w:t>Workform</w:t>
      </w:r>
      <w:proofErr w:type="spellEnd"/>
      <w:r w:rsidRPr="002E6F87">
        <w:rPr>
          <w:rFonts w:ascii="Arial" w:hAnsi="Arial" w:cs="Arial"/>
          <w:lang w:val="en-US"/>
        </w:rPr>
        <w:t xml:space="preserve"> to include these principal adjustments. </w:t>
      </w:r>
    </w:p>
    <w:p w14:paraId="73D5D1B9" w14:textId="797A9C88" w:rsidR="00A16FB2" w:rsidRPr="002E6F87" w:rsidRDefault="00A16FB2" w:rsidP="002E6F87">
      <w:pPr>
        <w:spacing w:after="0" w:line="276" w:lineRule="auto"/>
        <w:ind w:left="360"/>
        <w:rPr>
          <w:rFonts w:ascii="Arial" w:hAnsi="Arial" w:cs="Arial"/>
          <w:b/>
          <w:bCs/>
          <w:lang w:val="en-US"/>
        </w:rPr>
      </w:pPr>
    </w:p>
    <w:p w14:paraId="5AC75F8E" w14:textId="77777777" w:rsidR="00A16FB2" w:rsidRPr="002E6F87" w:rsidRDefault="00A16FB2" w:rsidP="002E6F87">
      <w:pPr>
        <w:spacing w:after="0" w:line="276" w:lineRule="auto"/>
        <w:ind w:left="36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t>RESPONSE</w:t>
      </w:r>
    </w:p>
    <w:p w14:paraId="6FD4139A" w14:textId="002B3BCA" w:rsidR="00A16FB2" w:rsidRPr="002E6F87" w:rsidRDefault="00A16FB2" w:rsidP="002E6F87">
      <w:pPr>
        <w:spacing w:after="0" w:line="276" w:lineRule="auto"/>
        <w:ind w:left="720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>1588 would, in fact, have minor year-over-year unbilled variances adjustments. Th</w:t>
      </w:r>
      <w:r w:rsidR="002E6F87" w:rsidRPr="002E6F87">
        <w:rPr>
          <w:rFonts w:ascii="Arial" w:hAnsi="Arial" w:cs="Arial"/>
          <w:lang w:val="en-US"/>
        </w:rPr>
        <w:t xml:space="preserve">ese </w:t>
      </w:r>
      <w:r w:rsidRPr="002E6F87">
        <w:rPr>
          <w:rFonts w:ascii="Arial" w:hAnsi="Arial" w:cs="Arial"/>
          <w:lang w:val="en-US"/>
        </w:rPr>
        <w:t xml:space="preserve">are included in the undated GA </w:t>
      </w:r>
      <w:proofErr w:type="spellStart"/>
      <w:r w:rsidRPr="002E6F87">
        <w:rPr>
          <w:rFonts w:ascii="Arial" w:hAnsi="Arial" w:cs="Arial"/>
          <w:lang w:val="en-US"/>
        </w:rPr>
        <w:t>Workform</w:t>
      </w:r>
      <w:proofErr w:type="spellEnd"/>
      <w:r w:rsidRPr="002E6F87">
        <w:rPr>
          <w:rFonts w:ascii="Arial" w:hAnsi="Arial" w:cs="Arial"/>
          <w:lang w:val="en-US"/>
        </w:rPr>
        <w:t xml:space="preserve"> and rate Generator model ((f). Th</w:t>
      </w:r>
      <w:r w:rsidR="002E6F87" w:rsidRPr="002E6F87">
        <w:rPr>
          <w:rFonts w:ascii="Arial" w:hAnsi="Arial" w:cs="Arial"/>
          <w:lang w:val="en-US"/>
        </w:rPr>
        <w:t>ey</w:t>
      </w:r>
      <w:r w:rsidRPr="002E6F87">
        <w:rPr>
          <w:rFonts w:ascii="Arial" w:hAnsi="Arial" w:cs="Arial"/>
          <w:lang w:val="en-US"/>
        </w:rPr>
        <w:t xml:space="preserve"> are represented by the below table.</w:t>
      </w:r>
    </w:p>
    <w:p w14:paraId="14738B98" w14:textId="2FBF09CE" w:rsidR="00A16FB2" w:rsidRPr="002E6F87" w:rsidRDefault="00A16FB2" w:rsidP="00A16FB2">
      <w:pPr>
        <w:spacing w:after="0" w:line="276" w:lineRule="auto"/>
        <w:rPr>
          <w:rFonts w:ascii="Arial" w:hAnsi="Arial" w:cs="Arial"/>
          <w:lang w:val="en-US"/>
        </w:rPr>
      </w:pPr>
    </w:p>
    <w:p w14:paraId="4EE7F788" w14:textId="0C1A039F" w:rsidR="00A16FB2" w:rsidRPr="002E6F87" w:rsidRDefault="00112E26" w:rsidP="00454349">
      <w:pPr>
        <w:spacing w:after="0" w:line="276" w:lineRule="auto"/>
        <w:ind w:firstLine="720"/>
        <w:rPr>
          <w:rFonts w:ascii="Arial" w:hAnsi="Arial" w:cs="Arial"/>
          <w:lang w:val="en-US"/>
        </w:rPr>
      </w:pPr>
      <w:r w:rsidRPr="002E6F87">
        <w:rPr>
          <w:noProof/>
        </w:rPr>
        <w:drawing>
          <wp:inline distT="0" distB="0" distL="0" distR="0" wp14:anchorId="0BF5ABB6" wp14:editId="0EE897F3">
            <wp:extent cx="244792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8575" w14:textId="77777777" w:rsidR="00390A28" w:rsidRPr="002E6F87" w:rsidRDefault="00390A28" w:rsidP="00390A28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14:paraId="37B54912" w14:textId="2D5F1E18" w:rsidR="009A27F8" w:rsidRPr="002E6F87" w:rsidRDefault="009A27F8" w:rsidP="00E6178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 xml:space="preserve">Please confirm that the 2017 to 2019 principal adjustments </w:t>
      </w:r>
      <w:r w:rsidR="004E05BC" w:rsidRPr="002E6F87">
        <w:rPr>
          <w:rFonts w:ascii="Arial" w:hAnsi="Arial" w:cs="Arial"/>
          <w:lang w:val="en-US"/>
        </w:rPr>
        <w:t xml:space="preserve">for “Prior Period 1588/1589 </w:t>
      </w:r>
      <w:proofErr w:type="spellStart"/>
      <w:r w:rsidR="004E05BC" w:rsidRPr="002E6F87">
        <w:rPr>
          <w:rFonts w:ascii="Arial" w:hAnsi="Arial" w:cs="Arial"/>
          <w:lang w:val="en-US"/>
        </w:rPr>
        <w:t>Acccounting</w:t>
      </w:r>
      <w:proofErr w:type="spellEnd"/>
      <w:r w:rsidR="004E05BC" w:rsidRPr="002E6F87">
        <w:rPr>
          <w:rFonts w:ascii="Arial" w:hAnsi="Arial" w:cs="Arial"/>
          <w:lang w:val="en-US"/>
        </w:rPr>
        <w:t xml:space="preserve"> guidance historical review” </w:t>
      </w:r>
      <w:r w:rsidR="00184B9B" w:rsidRPr="002E6F87">
        <w:rPr>
          <w:rFonts w:ascii="Arial" w:hAnsi="Arial" w:cs="Arial"/>
          <w:lang w:val="en-US"/>
        </w:rPr>
        <w:t xml:space="preserve">shown in the Principal Adjustment tab of the GA Analysis </w:t>
      </w:r>
      <w:proofErr w:type="spellStart"/>
      <w:r w:rsidR="00184B9B" w:rsidRPr="002E6F87">
        <w:rPr>
          <w:rFonts w:ascii="Arial" w:hAnsi="Arial" w:cs="Arial"/>
          <w:lang w:val="en-US"/>
        </w:rPr>
        <w:t>Workform</w:t>
      </w:r>
      <w:proofErr w:type="spellEnd"/>
      <w:r w:rsidR="00184B9B" w:rsidRPr="002E6F87">
        <w:rPr>
          <w:rFonts w:ascii="Arial" w:hAnsi="Arial" w:cs="Arial"/>
          <w:lang w:val="en-US"/>
        </w:rPr>
        <w:t xml:space="preserve"> was recorded in North Bay Hydro’s general ledger in 2020, and therefore, the sum of the </w:t>
      </w:r>
      <w:r w:rsidR="00C200E7" w:rsidRPr="002E6F87">
        <w:rPr>
          <w:rFonts w:ascii="Arial" w:hAnsi="Arial" w:cs="Arial"/>
          <w:lang w:val="en-US"/>
        </w:rPr>
        <w:t>2017 to 2019 principal adjustments (</w:t>
      </w:r>
      <w:r w:rsidR="00E005EE" w:rsidRPr="002E6F87">
        <w:rPr>
          <w:rFonts w:ascii="Arial" w:hAnsi="Arial" w:cs="Arial"/>
          <w:lang w:val="en-US"/>
        </w:rPr>
        <w:t>i.e.</w:t>
      </w:r>
      <w:r w:rsidR="00C200E7" w:rsidRPr="002E6F87">
        <w:rPr>
          <w:rFonts w:ascii="Arial" w:hAnsi="Arial" w:cs="Arial"/>
          <w:lang w:val="en-US"/>
        </w:rPr>
        <w:t xml:space="preserve"> ($196,302) for Account 1589 and $509,226 for Account 1588) needs to be a reversal principal adjustment in 2020. </w:t>
      </w:r>
    </w:p>
    <w:p w14:paraId="1BAE39B1" w14:textId="01FC7021" w:rsidR="002534CF" w:rsidRDefault="002534CF" w:rsidP="002E6F87">
      <w:pPr>
        <w:pStyle w:val="ListParagraph"/>
        <w:ind w:left="1440"/>
        <w:rPr>
          <w:rFonts w:ascii="Arial" w:hAnsi="Arial" w:cs="Arial"/>
          <w:b/>
          <w:bCs/>
          <w:lang w:val="en-US"/>
        </w:rPr>
      </w:pPr>
    </w:p>
    <w:p w14:paraId="4C665B4F" w14:textId="77777777" w:rsidR="002E6F87" w:rsidRPr="002E6F87" w:rsidRDefault="002E6F87" w:rsidP="002E6F87">
      <w:pPr>
        <w:pStyle w:val="ListParagraph"/>
        <w:ind w:left="1440"/>
        <w:rPr>
          <w:rFonts w:ascii="Arial" w:hAnsi="Arial" w:cs="Arial"/>
          <w:b/>
          <w:bCs/>
          <w:lang w:val="en-US"/>
        </w:rPr>
      </w:pPr>
    </w:p>
    <w:p w14:paraId="3512575C" w14:textId="41531CC6" w:rsidR="002534CF" w:rsidRPr="002E6F87" w:rsidRDefault="002534CF" w:rsidP="002E6F87">
      <w:pPr>
        <w:spacing w:after="0" w:line="276" w:lineRule="auto"/>
        <w:ind w:left="72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lastRenderedPageBreak/>
        <w:t>RESPONSE</w:t>
      </w:r>
    </w:p>
    <w:p w14:paraId="53A4C40B" w14:textId="274AFD27" w:rsidR="00A16FB2" w:rsidRPr="002E6F87" w:rsidRDefault="002534CF" w:rsidP="00A16FB2">
      <w:p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ab/>
      </w:r>
      <w:r w:rsidR="00A16FB2" w:rsidRPr="002E6F87">
        <w:rPr>
          <w:rFonts w:ascii="Arial" w:hAnsi="Arial" w:cs="Arial"/>
          <w:lang w:val="en-US"/>
        </w:rPr>
        <w:t xml:space="preserve">Confirmed. </w:t>
      </w:r>
    </w:p>
    <w:p w14:paraId="2C83BCB6" w14:textId="7301CE0F" w:rsidR="002534CF" w:rsidRPr="002E6F87" w:rsidRDefault="002534CF" w:rsidP="002534CF">
      <w:pPr>
        <w:spacing w:after="0" w:line="276" w:lineRule="auto"/>
        <w:rPr>
          <w:rFonts w:ascii="Arial" w:hAnsi="Arial" w:cs="Arial"/>
          <w:lang w:val="en-US"/>
        </w:rPr>
      </w:pPr>
    </w:p>
    <w:p w14:paraId="59A3F831" w14:textId="77777777" w:rsidR="00E005EE" w:rsidRPr="002E6F87" w:rsidRDefault="00E005EE" w:rsidP="00E005EE">
      <w:pPr>
        <w:pStyle w:val="ListParagraph"/>
        <w:rPr>
          <w:rFonts w:ascii="Arial" w:hAnsi="Arial" w:cs="Arial"/>
          <w:lang w:val="en-US"/>
        </w:rPr>
      </w:pPr>
    </w:p>
    <w:p w14:paraId="4EE5BAB5" w14:textId="3760F252" w:rsidR="007F0624" w:rsidRPr="002E6F87" w:rsidRDefault="000F53E1" w:rsidP="007F062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 xml:space="preserve">In response to Staff Question </w:t>
      </w:r>
      <w:r w:rsidR="007F0624" w:rsidRPr="002E6F87">
        <w:rPr>
          <w:rFonts w:ascii="Arial" w:hAnsi="Arial" w:cs="Arial"/>
          <w:lang w:val="en-US"/>
        </w:rPr>
        <w:t xml:space="preserve">-2, North Bay indicated that it began using the </w:t>
      </w:r>
      <w:r w:rsidR="00BE3D79" w:rsidRPr="002E6F87">
        <w:rPr>
          <w:rFonts w:ascii="Arial" w:hAnsi="Arial" w:cs="Arial"/>
          <w:lang w:val="en-US"/>
        </w:rPr>
        <w:t>Account 1588 and 1589 accounting guidance methodology to settle with the IESO on a month basis</w:t>
      </w:r>
      <w:r w:rsidR="004E05BC" w:rsidRPr="002E6F87">
        <w:rPr>
          <w:rFonts w:ascii="Arial" w:hAnsi="Arial" w:cs="Arial"/>
          <w:lang w:val="en-US"/>
        </w:rPr>
        <w:t xml:space="preserve"> in the latter half of 2021</w:t>
      </w:r>
      <w:r w:rsidR="00BE3D79" w:rsidRPr="002E6F87">
        <w:rPr>
          <w:rFonts w:ascii="Arial" w:hAnsi="Arial" w:cs="Arial"/>
          <w:lang w:val="en-US"/>
        </w:rPr>
        <w:t>. A full year review was also completed to close the fiscal 2021. Please confirm that a review of</w:t>
      </w:r>
      <w:r w:rsidR="00813B39" w:rsidRPr="002E6F87">
        <w:rPr>
          <w:rFonts w:ascii="Arial" w:hAnsi="Arial" w:cs="Arial"/>
          <w:lang w:val="en-US"/>
        </w:rPr>
        <w:t xml:space="preserve"> 2017 to 2020 balances was </w:t>
      </w:r>
      <w:r w:rsidR="003F6DFE" w:rsidRPr="002E6F87">
        <w:rPr>
          <w:rFonts w:ascii="Arial" w:hAnsi="Arial" w:cs="Arial"/>
          <w:lang w:val="en-US"/>
        </w:rPr>
        <w:t xml:space="preserve">actually </w:t>
      </w:r>
      <w:r w:rsidR="00813B39" w:rsidRPr="002E6F87">
        <w:rPr>
          <w:rFonts w:ascii="Arial" w:hAnsi="Arial" w:cs="Arial"/>
          <w:lang w:val="en-US"/>
        </w:rPr>
        <w:t xml:space="preserve">completed in 2020, and any resulting adjustment as recorded in 2020. Therefore, no principal adjustment was required for 2020 as it was ready reflected in the transactions of the year. </w:t>
      </w:r>
    </w:p>
    <w:p w14:paraId="1D3CFCFF" w14:textId="46828AAE" w:rsidR="00872556" w:rsidRPr="002E6F87" w:rsidRDefault="00872556" w:rsidP="00872556">
      <w:pPr>
        <w:spacing w:after="0" w:line="276" w:lineRule="auto"/>
        <w:rPr>
          <w:rFonts w:ascii="Arial" w:hAnsi="Arial" w:cs="Arial"/>
          <w:lang w:val="en-US"/>
        </w:rPr>
      </w:pPr>
    </w:p>
    <w:p w14:paraId="190F05B0" w14:textId="3AA91D35" w:rsidR="00872556" w:rsidRPr="002E6F87" w:rsidRDefault="00872556" w:rsidP="002E6F87">
      <w:pPr>
        <w:spacing w:after="0" w:line="276" w:lineRule="auto"/>
        <w:ind w:firstLine="36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t>RESPONSE</w:t>
      </w:r>
    </w:p>
    <w:p w14:paraId="04D2481C" w14:textId="75F0F2FE" w:rsidR="00872556" w:rsidRPr="002E6F87" w:rsidRDefault="00872556" w:rsidP="00872556">
      <w:p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ab/>
        <w:t>Confirmed. Any 2020 review adjustment is accounted for in that year’s fiscal GL.</w:t>
      </w:r>
    </w:p>
    <w:p w14:paraId="372E61FC" w14:textId="77777777" w:rsidR="009818FF" w:rsidRPr="002E6F87" w:rsidRDefault="009818FF" w:rsidP="004E05BC">
      <w:pPr>
        <w:spacing w:after="0" w:line="276" w:lineRule="auto"/>
        <w:rPr>
          <w:rFonts w:ascii="Arial" w:hAnsi="Arial" w:cs="Arial"/>
          <w:lang w:val="en-US"/>
        </w:rPr>
      </w:pPr>
    </w:p>
    <w:p w14:paraId="56BCF602" w14:textId="7154A28F" w:rsidR="00D90328" w:rsidRPr="002E6F87" w:rsidRDefault="00C5238A" w:rsidP="00C5238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 xml:space="preserve">Please provide the revised GA Analysis </w:t>
      </w:r>
      <w:proofErr w:type="spellStart"/>
      <w:r w:rsidRPr="002E6F87">
        <w:rPr>
          <w:rFonts w:ascii="Arial" w:hAnsi="Arial" w:cs="Arial"/>
          <w:lang w:val="en-US"/>
        </w:rPr>
        <w:t>Workform</w:t>
      </w:r>
      <w:proofErr w:type="spellEnd"/>
      <w:r w:rsidRPr="002E6F87">
        <w:rPr>
          <w:rFonts w:ascii="Arial" w:hAnsi="Arial" w:cs="Arial"/>
          <w:lang w:val="en-US"/>
        </w:rPr>
        <w:t xml:space="preserve"> and IRM Rate Generator Model, reflecting the revised principal adjustments.</w:t>
      </w:r>
    </w:p>
    <w:p w14:paraId="5FFAF187" w14:textId="5233432E" w:rsidR="00A14D9A" w:rsidRPr="002E6F87" w:rsidRDefault="00A14D9A"/>
    <w:p w14:paraId="4E524CC5" w14:textId="77777777" w:rsidR="00112E26" w:rsidRPr="002E6F87" w:rsidRDefault="00112E26" w:rsidP="002E6F87">
      <w:pPr>
        <w:spacing w:after="0" w:line="276" w:lineRule="auto"/>
        <w:ind w:firstLine="360"/>
        <w:rPr>
          <w:rFonts w:ascii="Arial" w:hAnsi="Arial" w:cs="Arial"/>
          <w:b/>
          <w:bCs/>
          <w:lang w:val="en-US"/>
        </w:rPr>
      </w:pPr>
      <w:r w:rsidRPr="002E6F87">
        <w:rPr>
          <w:rFonts w:ascii="Arial" w:hAnsi="Arial" w:cs="Arial"/>
          <w:b/>
          <w:bCs/>
          <w:lang w:val="en-US"/>
        </w:rPr>
        <w:t>RESPONSE</w:t>
      </w:r>
    </w:p>
    <w:p w14:paraId="13A50C99" w14:textId="0DC9BDD2" w:rsidR="00D90328" w:rsidRDefault="00112E26" w:rsidP="002E6F87">
      <w:pPr>
        <w:ind w:left="720"/>
        <w:rPr>
          <w:rFonts w:ascii="Arial" w:hAnsi="Arial" w:cs="Arial"/>
          <w:lang w:val="en-US"/>
        </w:rPr>
      </w:pPr>
      <w:r w:rsidRPr="002E6F87">
        <w:rPr>
          <w:rFonts w:ascii="Arial" w:hAnsi="Arial" w:cs="Arial"/>
          <w:lang w:val="en-US"/>
        </w:rPr>
        <w:t>Attached</w:t>
      </w:r>
      <w:r w:rsidR="0019268F" w:rsidRPr="002E6F87">
        <w:rPr>
          <w:rFonts w:ascii="Arial" w:hAnsi="Arial" w:cs="Arial"/>
          <w:lang w:val="en-US"/>
        </w:rPr>
        <w:t>. Please note that a correction was made to a typo in cell C75 of the tab “GA 2020”. 269,279 was previously transposed as 296,276.</w:t>
      </w:r>
    </w:p>
    <w:p w14:paraId="4EB58307" w14:textId="77777777" w:rsidR="00112E26" w:rsidRPr="00D90328" w:rsidRDefault="00112E26" w:rsidP="00112E26">
      <w:pPr>
        <w:rPr>
          <w:b/>
          <w:bCs/>
        </w:rPr>
      </w:pPr>
    </w:p>
    <w:sectPr w:rsidR="00112E26" w:rsidRPr="00D90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829"/>
    <w:multiLevelType w:val="hybridMultilevel"/>
    <w:tmpl w:val="72E674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8"/>
    <w:rsid w:val="000C2A41"/>
    <w:rsid w:val="000F53E1"/>
    <w:rsid w:val="00112E26"/>
    <w:rsid w:val="00184B9B"/>
    <w:rsid w:val="0019268F"/>
    <w:rsid w:val="001B72EF"/>
    <w:rsid w:val="001E2A15"/>
    <w:rsid w:val="002534CF"/>
    <w:rsid w:val="002E6F87"/>
    <w:rsid w:val="00390A28"/>
    <w:rsid w:val="003F6DFE"/>
    <w:rsid w:val="00454349"/>
    <w:rsid w:val="004C4B86"/>
    <w:rsid w:val="004E05BC"/>
    <w:rsid w:val="006003C7"/>
    <w:rsid w:val="00610A14"/>
    <w:rsid w:val="007F0624"/>
    <w:rsid w:val="00813B39"/>
    <w:rsid w:val="00872556"/>
    <w:rsid w:val="008A2CF1"/>
    <w:rsid w:val="009818FF"/>
    <w:rsid w:val="009A27F8"/>
    <w:rsid w:val="00A14D9A"/>
    <w:rsid w:val="00A16FB2"/>
    <w:rsid w:val="00BC4303"/>
    <w:rsid w:val="00BE3D79"/>
    <w:rsid w:val="00C200E7"/>
    <w:rsid w:val="00C5238A"/>
    <w:rsid w:val="00C713CC"/>
    <w:rsid w:val="00D90328"/>
    <w:rsid w:val="00E005EE"/>
    <w:rsid w:val="00E4693D"/>
    <w:rsid w:val="00E6178E"/>
    <w:rsid w:val="00EB095F"/>
    <w:rsid w:val="00F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D7D2"/>
  <w15:chartTrackingRefBased/>
  <w15:docId w15:val="{DFCA792E-25B0-49EE-9F38-98FA05FE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Micheal Roth</cp:lastModifiedBy>
  <cp:revision>33</cp:revision>
  <dcterms:created xsi:type="dcterms:W3CDTF">2022-03-10T15:22:00Z</dcterms:created>
  <dcterms:modified xsi:type="dcterms:W3CDTF">2022-03-11T01:28:00Z</dcterms:modified>
</cp:coreProperties>
</file>