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9A21" w14:textId="77777777" w:rsidR="004E1CB9" w:rsidRDefault="004E1CB9" w:rsidP="00EF2039">
      <w:pPr>
        <w:suppressLineNumbers/>
      </w:pPr>
      <w:bookmarkStart w:id="0" w:name="_Hlk535216652"/>
      <w:bookmarkEnd w:id="0"/>
    </w:p>
    <w:p w14:paraId="21409A3D" w14:textId="77777777" w:rsidR="00D20564" w:rsidRDefault="00D20564" w:rsidP="00EF2039">
      <w:pPr>
        <w:suppressLineNumbers/>
      </w:pPr>
    </w:p>
    <w:p w14:paraId="4669DD1E" w14:textId="77777777" w:rsidR="00D20564" w:rsidRDefault="00D20564" w:rsidP="00EF2039">
      <w:pPr>
        <w:suppressLineNumbers/>
      </w:pPr>
    </w:p>
    <w:p w14:paraId="6654A243" w14:textId="77777777" w:rsidR="00D20564" w:rsidRDefault="00D20564" w:rsidP="00EF2039">
      <w:pPr>
        <w:suppressLineNumbers/>
      </w:pPr>
    </w:p>
    <w:p w14:paraId="57E1C06D" w14:textId="77777777" w:rsidR="00D20564" w:rsidRDefault="00D20564" w:rsidP="00EF2039">
      <w:pPr>
        <w:suppressLineNumbers/>
      </w:pPr>
    </w:p>
    <w:p w14:paraId="0A9FF882" w14:textId="2AD92A74" w:rsidR="00D20564" w:rsidRPr="00A90180" w:rsidRDefault="00A90180" w:rsidP="00EF2039">
      <w:pPr>
        <w:suppressLineNumbers/>
        <w:jc w:val="center"/>
        <w:rPr>
          <w:b/>
          <w:sz w:val="100"/>
          <w:szCs w:val="100"/>
          <w14:shadow w14:blurRad="50800" w14:dist="38100" w14:dir="2700000" w14:sx="100000" w14:sy="100000" w14:kx="0" w14:ky="0" w14:algn="tl">
            <w14:srgbClr w14:val="000000">
              <w14:alpha w14:val="60000"/>
            </w14:srgbClr>
          </w14:shadow>
        </w:rPr>
      </w:pPr>
      <w:r w:rsidRPr="00A90180">
        <w:rPr>
          <w:b/>
          <w:sz w:val="100"/>
          <w:szCs w:val="100"/>
          <w14:shadow w14:blurRad="50800" w14:dist="38100" w14:dir="2700000" w14:sx="100000" w14:sy="100000" w14:kx="0" w14:ky="0" w14:algn="tl">
            <w14:srgbClr w14:val="000000">
              <w14:alpha w14:val="60000"/>
            </w14:srgbClr>
          </w14:shadow>
        </w:rPr>
        <w:t>20</w:t>
      </w:r>
      <w:r w:rsidR="00DC76EC">
        <w:rPr>
          <w:b/>
          <w:sz w:val="100"/>
          <w:szCs w:val="100"/>
          <w14:shadow w14:blurRad="50800" w14:dist="38100" w14:dir="2700000" w14:sx="100000" w14:sy="100000" w14:kx="0" w14:ky="0" w14:algn="tl">
            <w14:srgbClr w14:val="000000">
              <w14:alpha w14:val="60000"/>
            </w14:srgbClr>
          </w14:shadow>
        </w:rPr>
        <w:t>22</w:t>
      </w:r>
      <w:r w:rsidRPr="00A90180">
        <w:rPr>
          <w:b/>
          <w:sz w:val="100"/>
          <w:szCs w:val="100"/>
          <w14:shadow w14:blurRad="50800" w14:dist="38100" w14:dir="2700000" w14:sx="100000" w14:sy="100000" w14:kx="0" w14:ky="0" w14:algn="tl">
            <w14:srgbClr w14:val="000000">
              <w14:alpha w14:val="60000"/>
            </w14:srgbClr>
          </w14:shadow>
        </w:rPr>
        <w:t xml:space="preserve"> </w:t>
      </w:r>
      <w:r w:rsidR="00837364">
        <w:rPr>
          <w:b/>
          <w:sz w:val="100"/>
          <w:szCs w:val="100"/>
          <w14:shadow w14:blurRad="50800" w14:dist="38100" w14:dir="2700000" w14:sx="100000" w14:sy="100000" w14:kx="0" w14:ky="0" w14:algn="tl">
            <w14:srgbClr w14:val="000000">
              <w14:alpha w14:val="60000"/>
            </w14:srgbClr>
          </w14:shadow>
        </w:rPr>
        <w:t>IRM</w:t>
      </w:r>
      <w:r w:rsidRPr="00A90180">
        <w:rPr>
          <w:b/>
          <w:sz w:val="100"/>
          <w:szCs w:val="100"/>
          <w14:shadow w14:blurRad="50800" w14:dist="38100" w14:dir="2700000" w14:sx="100000" w14:sy="100000" w14:kx="0" w14:ky="0" w14:algn="tl">
            <w14:srgbClr w14:val="000000">
              <w14:alpha w14:val="60000"/>
            </w14:srgbClr>
          </w14:shadow>
        </w:rPr>
        <w:t xml:space="preserve"> Application</w:t>
      </w:r>
    </w:p>
    <w:p w14:paraId="360D3DB6" w14:textId="77777777"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sidRPr="00A90180">
        <w:rPr>
          <w:sz w:val="60"/>
          <w:szCs w:val="60"/>
          <w14:shadow w14:blurRad="50800" w14:dist="38100" w14:dir="2700000" w14:sx="100000" w14:sy="100000" w14:kx="0" w14:ky="0" w14:algn="tl">
            <w14:srgbClr w14:val="000000">
              <w14:alpha w14:val="60000"/>
            </w14:srgbClr>
          </w14:shadow>
        </w:rPr>
        <w:t>Interrogatory Responses</w:t>
      </w:r>
    </w:p>
    <w:p w14:paraId="35054895" w14:textId="1E77531F" w:rsid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5E5581AE" wp14:editId="115CDF08">
            <wp:simplePos x="0" y="0"/>
            <wp:positionH relativeFrom="column">
              <wp:posOffset>1149985</wp:posOffset>
            </wp:positionH>
            <wp:positionV relativeFrom="paragraph">
              <wp:posOffset>679450</wp:posOffset>
            </wp:positionV>
            <wp:extent cx="3430905" cy="914400"/>
            <wp:effectExtent l="0" t="0" r="0" b="0"/>
            <wp:wrapTight wrapText="bothSides">
              <wp:wrapPolygon edited="0">
                <wp:start x="0" y="0"/>
                <wp:lineTo x="0" y="21150"/>
                <wp:lineTo x="21468" y="21150"/>
                <wp:lineTo x="21468" y="0"/>
                <wp:lineTo x="0" y="0"/>
              </wp:wrapPolygon>
            </wp:wrapTight>
            <wp:docPr id="299" name="Picture 299"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180">
        <w:rPr>
          <w:sz w:val="60"/>
          <w:szCs w:val="60"/>
          <w14:shadow w14:blurRad="50800" w14:dist="38100" w14:dir="2700000" w14:sx="100000" w14:sy="100000" w14:kx="0" w14:ky="0" w14:algn="tl">
            <w14:srgbClr w14:val="000000">
              <w14:alpha w14:val="60000"/>
            </w14:srgbClr>
          </w14:shadow>
        </w:rPr>
        <w:t>EB-20</w:t>
      </w:r>
      <w:r w:rsidR="00DC76EC">
        <w:rPr>
          <w:sz w:val="60"/>
          <w:szCs w:val="60"/>
          <w14:shadow w14:blurRad="50800" w14:dist="38100" w14:dir="2700000" w14:sx="100000" w14:sy="100000" w14:kx="0" w14:ky="0" w14:algn="tl">
            <w14:srgbClr w14:val="000000">
              <w14:alpha w14:val="60000"/>
            </w14:srgbClr>
          </w14:shadow>
        </w:rPr>
        <w:t>21</w:t>
      </w:r>
      <w:r w:rsidRPr="00A90180">
        <w:rPr>
          <w:sz w:val="60"/>
          <w:szCs w:val="60"/>
          <w14:shadow w14:blurRad="50800" w14:dist="38100" w14:dir="2700000" w14:sx="100000" w14:sy="100000" w14:kx="0" w14:ky="0" w14:algn="tl">
            <w14:srgbClr w14:val="000000">
              <w14:alpha w14:val="60000"/>
            </w14:srgbClr>
          </w14:shadow>
        </w:rPr>
        <w:t>-00</w:t>
      </w:r>
      <w:r w:rsidR="00DC76EC">
        <w:rPr>
          <w:sz w:val="60"/>
          <w:szCs w:val="60"/>
          <w14:shadow w14:blurRad="50800" w14:dist="38100" w14:dir="2700000" w14:sx="100000" w14:sy="100000" w14:kx="0" w14:ky="0" w14:algn="tl">
            <w14:srgbClr w14:val="000000">
              <w14:alpha w14:val="60000"/>
            </w14:srgbClr>
          </w14:shadow>
        </w:rPr>
        <w:t>23</w:t>
      </w:r>
    </w:p>
    <w:p w14:paraId="26BE5153" w14:textId="77777777"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p>
    <w:p w14:paraId="6E42A4C8" w14:textId="77777777" w:rsidR="00D20564" w:rsidRDefault="00D20564" w:rsidP="00EF2039">
      <w:pPr>
        <w:suppressLineNumbers/>
      </w:pPr>
    </w:p>
    <w:p w14:paraId="0DB87F60" w14:textId="77777777" w:rsidR="00D20564" w:rsidRDefault="00D20564" w:rsidP="00EF2039">
      <w:pPr>
        <w:suppressLineNumbers/>
      </w:pPr>
    </w:p>
    <w:p w14:paraId="79FB3CF2" w14:textId="77777777" w:rsidR="00D20564" w:rsidRDefault="00D20564" w:rsidP="00EF2039">
      <w:pPr>
        <w:suppressLineNumbers/>
      </w:pPr>
    </w:p>
    <w:p w14:paraId="365DFD29" w14:textId="15605757" w:rsidR="00D20564" w:rsidRDefault="00D20564" w:rsidP="00EF2039">
      <w:pPr>
        <w:suppressLineNumbers/>
      </w:pPr>
    </w:p>
    <w:p w14:paraId="2C0371C8" w14:textId="2996B646" w:rsidR="00AC166D" w:rsidRDefault="00AC166D" w:rsidP="00EF2039">
      <w:pPr>
        <w:suppressLineNumbers/>
      </w:pPr>
    </w:p>
    <w:p w14:paraId="15DB6DDB" w14:textId="42F05870" w:rsidR="00AC166D" w:rsidRDefault="00AC166D" w:rsidP="00EF2039">
      <w:pPr>
        <w:suppressLineNumbers/>
      </w:pPr>
    </w:p>
    <w:p w14:paraId="197D98BB" w14:textId="77777777" w:rsidR="00AC166D" w:rsidRDefault="00AC166D" w:rsidP="00EF2039">
      <w:pPr>
        <w:suppressLineNumbers/>
      </w:pPr>
    </w:p>
    <w:p w14:paraId="4EC5E170" w14:textId="77777777" w:rsidR="00D20564" w:rsidRDefault="00D20564" w:rsidP="00EF2039">
      <w:pPr>
        <w:suppressLineNumbers/>
      </w:pPr>
    </w:p>
    <w:p w14:paraId="186673D6" w14:textId="77777777" w:rsidR="00D20564" w:rsidRDefault="00D20564" w:rsidP="00EF2039">
      <w:pPr>
        <w:suppressLineNumbers/>
      </w:pPr>
    </w:p>
    <w:p w14:paraId="2D768CAB" w14:textId="77777777" w:rsidR="00961D59" w:rsidRDefault="00961D59" w:rsidP="00961D59">
      <w:pPr>
        <w:pStyle w:val="Quote"/>
      </w:pPr>
      <w:bookmarkStart w:id="1" w:name="_Toc535825573"/>
      <w:r>
        <w:lastRenderedPageBreak/>
        <w:t>Table of Contents</w:t>
      </w:r>
      <w:bookmarkEnd w:id="1"/>
    </w:p>
    <w:p w14:paraId="4996E8C4" w14:textId="6F123099" w:rsidR="00AC4FF0" w:rsidRDefault="00961D59">
      <w:pPr>
        <w:pStyle w:val="TOC2"/>
        <w:tabs>
          <w:tab w:val="right" w:leader="dot" w:pos="9350"/>
        </w:tabs>
        <w:rPr>
          <w:rFonts w:eastAsiaTheme="minorEastAsia"/>
          <w:noProof/>
        </w:rPr>
      </w:pPr>
      <w:r>
        <w:fldChar w:fldCharType="begin"/>
      </w:r>
      <w:r>
        <w:instrText xml:space="preserve"> TOC \t "Intense Quote,1,Quote,2" </w:instrText>
      </w:r>
      <w:r>
        <w:fldChar w:fldCharType="separate"/>
      </w:r>
      <w:r w:rsidR="00AC4FF0">
        <w:rPr>
          <w:noProof/>
        </w:rPr>
        <w:t>Table of Contents</w:t>
      </w:r>
      <w:r w:rsidR="00AC4FF0">
        <w:rPr>
          <w:noProof/>
        </w:rPr>
        <w:tab/>
      </w:r>
      <w:r w:rsidR="00AC4FF0">
        <w:rPr>
          <w:noProof/>
        </w:rPr>
        <w:fldChar w:fldCharType="begin"/>
      </w:r>
      <w:r w:rsidR="00AC4FF0">
        <w:rPr>
          <w:noProof/>
        </w:rPr>
        <w:instrText xml:space="preserve"> PAGEREF _Toc535825573 \h </w:instrText>
      </w:r>
      <w:r w:rsidR="00AC4FF0">
        <w:rPr>
          <w:noProof/>
        </w:rPr>
      </w:r>
      <w:r w:rsidR="00AC4FF0">
        <w:rPr>
          <w:noProof/>
        </w:rPr>
        <w:fldChar w:fldCharType="separate"/>
      </w:r>
      <w:r w:rsidR="00AC4FF0">
        <w:rPr>
          <w:noProof/>
        </w:rPr>
        <w:t>2</w:t>
      </w:r>
      <w:r w:rsidR="00AC4FF0">
        <w:rPr>
          <w:noProof/>
        </w:rPr>
        <w:fldChar w:fldCharType="end"/>
      </w:r>
    </w:p>
    <w:p w14:paraId="068B3594" w14:textId="7347FE78" w:rsidR="00AC4FF0" w:rsidRDefault="00AC4FF0">
      <w:pPr>
        <w:pStyle w:val="TOC1"/>
        <w:tabs>
          <w:tab w:val="right" w:leader="dot" w:pos="9350"/>
        </w:tabs>
        <w:rPr>
          <w:rFonts w:eastAsiaTheme="minorEastAsia"/>
          <w:noProof/>
        </w:rPr>
      </w:pPr>
      <w:r>
        <w:rPr>
          <w:noProof/>
        </w:rPr>
        <w:t>Staff Question #1</w:t>
      </w:r>
      <w:r>
        <w:rPr>
          <w:noProof/>
        </w:rPr>
        <w:tab/>
      </w:r>
      <w:r w:rsidR="00982763">
        <w:rPr>
          <w:noProof/>
        </w:rPr>
        <w:t>3</w:t>
      </w:r>
    </w:p>
    <w:p w14:paraId="25931847" w14:textId="414EA1BE" w:rsidR="00AC4FF0" w:rsidRDefault="00AC4FF0">
      <w:pPr>
        <w:pStyle w:val="TOC2"/>
        <w:tabs>
          <w:tab w:val="right" w:leader="dot" w:pos="9350"/>
        </w:tabs>
        <w:rPr>
          <w:rFonts w:eastAsiaTheme="minorEastAsia"/>
          <w:noProof/>
        </w:rPr>
      </w:pPr>
      <w:r>
        <w:rPr>
          <w:noProof/>
        </w:rPr>
        <w:t>Response</w:t>
      </w:r>
      <w:r>
        <w:rPr>
          <w:noProof/>
        </w:rPr>
        <w:tab/>
      </w:r>
      <w:r w:rsidR="00982763">
        <w:rPr>
          <w:noProof/>
        </w:rPr>
        <w:t>3</w:t>
      </w:r>
    </w:p>
    <w:p w14:paraId="17172766" w14:textId="0AD12AA9" w:rsidR="00AC4FF0" w:rsidRDefault="00AC4FF0">
      <w:pPr>
        <w:pStyle w:val="TOC1"/>
        <w:tabs>
          <w:tab w:val="right" w:leader="dot" w:pos="9350"/>
        </w:tabs>
        <w:rPr>
          <w:rFonts w:eastAsiaTheme="minorEastAsia"/>
          <w:noProof/>
        </w:rPr>
      </w:pPr>
      <w:r>
        <w:rPr>
          <w:noProof/>
        </w:rPr>
        <w:t>Staff Question #2</w:t>
      </w:r>
      <w:r>
        <w:rPr>
          <w:noProof/>
        </w:rPr>
        <w:tab/>
      </w:r>
      <w:r w:rsidR="00982763">
        <w:rPr>
          <w:noProof/>
        </w:rPr>
        <w:t>4</w:t>
      </w:r>
    </w:p>
    <w:p w14:paraId="6E4F3218" w14:textId="236AB948" w:rsidR="00AC4FF0" w:rsidRDefault="00AC4FF0">
      <w:pPr>
        <w:pStyle w:val="TOC2"/>
        <w:tabs>
          <w:tab w:val="right" w:leader="dot" w:pos="9350"/>
        </w:tabs>
        <w:rPr>
          <w:rFonts w:eastAsiaTheme="minorEastAsia"/>
          <w:noProof/>
        </w:rPr>
      </w:pPr>
      <w:r>
        <w:rPr>
          <w:noProof/>
        </w:rPr>
        <w:t>Response</w:t>
      </w:r>
      <w:r>
        <w:rPr>
          <w:noProof/>
        </w:rPr>
        <w:tab/>
      </w:r>
      <w:r w:rsidR="00982763">
        <w:rPr>
          <w:noProof/>
        </w:rPr>
        <w:t>4</w:t>
      </w:r>
    </w:p>
    <w:p w14:paraId="6F41ABD7" w14:textId="46C01B65" w:rsidR="00AC4FF0" w:rsidRDefault="00AC4FF0">
      <w:pPr>
        <w:pStyle w:val="TOC1"/>
        <w:tabs>
          <w:tab w:val="right" w:leader="dot" w:pos="9350"/>
        </w:tabs>
        <w:rPr>
          <w:rFonts w:eastAsiaTheme="minorEastAsia"/>
          <w:noProof/>
        </w:rPr>
      </w:pPr>
      <w:r>
        <w:rPr>
          <w:noProof/>
        </w:rPr>
        <w:t>Staff Question #3</w:t>
      </w:r>
      <w:r>
        <w:rPr>
          <w:noProof/>
        </w:rPr>
        <w:tab/>
      </w:r>
      <w:r w:rsidR="00982763">
        <w:rPr>
          <w:noProof/>
        </w:rPr>
        <w:t>5</w:t>
      </w:r>
    </w:p>
    <w:p w14:paraId="456A5150" w14:textId="50DFEDD1" w:rsidR="00AC4FF0" w:rsidRDefault="00AC4FF0">
      <w:pPr>
        <w:pStyle w:val="TOC2"/>
        <w:tabs>
          <w:tab w:val="right" w:leader="dot" w:pos="9350"/>
        </w:tabs>
        <w:rPr>
          <w:rFonts w:eastAsiaTheme="minorEastAsia"/>
          <w:noProof/>
        </w:rPr>
      </w:pPr>
      <w:r>
        <w:rPr>
          <w:noProof/>
        </w:rPr>
        <w:t>Response</w:t>
      </w:r>
      <w:r>
        <w:rPr>
          <w:noProof/>
        </w:rPr>
        <w:tab/>
      </w:r>
      <w:r>
        <w:rPr>
          <w:noProof/>
        </w:rPr>
        <w:fldChar w:fldCharType="begin"/>
      </w:r>
      <w:r>
        <w:rPr>
          <w:noProof/>
        </w:rPr>
        <w:instrText xml:space="preserve"> PAGEREF _Toc535825580 \h </w:instrText>
      </w:r>
      <w:r>
        <w:rPr>
          <w:noProof/>
        </w:rPr>
      </w:r>
      <w:r>
        <w:rPr>
          <w:noProof/>
        </w:rPr>
        <w:fldChar w:fldCharType="separate"/>
      </w:r>
      <w:r>
        <w:rPr>
          <w:noProof/>
        </w:rPr>
        <w:t>6</w:t>
      </w:r>
      <w:r>
        <w:rPr>
          <w:noProof/>
        </w:rPr>
        <w:fldChar w:fldCharType="end"/>
      </w:r>
    </w:p>
    <w:p w14:paraId="1ABE4DCB" w14:textId="69F393EC" w:rsidR="00AC4FF0" w:rsidRDefault="00AC4FF0">
      <w:pPr>
        <w:pStyle w:val="TOC1"/>
        <w:tabs>
          <w:tab w:val="right" w:leader="dot" w:pos="9350"/>
        </w:tabs>
        <w:rPr>
          <w:rFonts w:eastAsiaTheme="minorEastAsia"/>
          <w:noProof/>
        </w:rPr>
      </w:pPr>
      <w:r>
        <w:rPr>
          <w:noProof/>
        </w:rPr>
        <w:t>Staff Question #4</w:t>
      </w:r>
      <w:r>
        <w:rPr>
          <w:noProof/>
        </w:rPr>
        <w:tab/>
      </w:r>
      <w:r w:rsidR="00982763">
        <w:rPr>
          <w:noProof/>
        </w:rPr>
        <w:t>7</w:t>
      </w:r>
    </w:p>
    <w:p w14:paraId="11BB3586" w14:textId="3F136792" w:rsidR="00AC4FF0" w:rsidRDefault="00AC4FF0">
      <w:pPr>
        <w:pStyle w:val="TOC2"/>
        <w:tabs>
          <w:tab w:val="right" w:leader="dot" w:pos="9350"/>
        </w:tabs>
        <w:rPr>
          <w:rFonts w:eastAsiaTheme="minorEastAsia"/>
          <w:noProof/>
        </w:rPr>
      </w:pPr>
      <w:r>
        <w:rPr>
          <w:noProof/>
        </w:rPr>
        <w:t>Response</w:t>
      </w:r>
      <w:r>
        <w:rPr>
          <w:noProof/>
        </w:rPr>
        <w:tab/>
      </w:r>
      <w:r w:rsidR="00982763">
        <w:rPr>
          <w:noProof/>
        </w:rPr>
        <w:t>7</w:t>
      </w:r>
    </w:p>
    <w:p w14:paraId="560101D0" w14:textId="2B2FEA38" w:rsidR="00AC4FF0" w:rsidRDefault="00AC4FF0">
      <w:pPr>
        <w:pStyle w:val="TOC1"/>
        <w:tabs>
          <w:tab w:val="right" w:leader="dot" w:pos="9350"/>
        </w:tabs>
        <w:rPr>
          <w:rFonts w:eastAsiaTheme="minorEastAsia"/>
          <w:noProof/>
        </w:rPr>
      </w:pPr>
      <w:r>
        <w:rPr>
          <w:noProof/>
        </w:rPr>
        <w:t>Staff Question #5</w:t>
      </w:r>
      <w:r>
        <w:rPr>
          <w:noProof/>
        </w:rPr>
        <w:tab/>
      </w:r>
      <w:r w:rsidR="00982763">
        <w:rPr>
          <w:noProof/>
        </w:rPr>
        <w:t>8</w:t>
      </w:r>
    </w:p>
    <w:p w14:paraId="7FAF61E0" w14:textId="57C12B0D" w:rsidR="00AC4FF0" w:rsidRDefault="00AC4FF0">
      <w:pPr>
        <w:pStyle w:val="TOC2"/>
        <w:tabs>
          <w:tab w:val="right" w:leader="dot" w:pos="9350"/>
        </w:tabs>
        <w:rPr>
          <w:rFonts w:eastAsiaTheme="minorEastAsia"/>
          <w:noProof/>
        </w:rPr>
      </w:pPr>
      <w:r>
        <w:rPr>
          <w:noProof/>
        </w:rPr>
        <w:t>Response</w:t>
      </w:r>
      <w:r>
        <w:rPr>
          <w:noProof/>
        </w:rPr>
        <w:tab/>
      </w:r>
      <w:r w:rsidR="00982763">
        <w:rPr>
          <w:noProof/>
        </w:rPr>
        <w:t>8</w:t>
      </w:r>
    </w:p>
    <w:p w14:paraId="064ABC00" w14:textId="0C19955C" w:rsidR="00AC4FF0" w:rsidRDefault="00AC4FF0">
      <w:pPr>
        <w:pStyle w:val="TOC1"/>
        <w:tabs>
          <w:tab w:val="right" w:leader="dot" w:pos="9350"/>
        </w:tabs>
        <w:rPr>
          <w:rFonts w:eastAsiaTheme="minorEastAsia"/>
          <w:noProof/>
        </w:rPr>
      </w:pPr>
      <w:r>
        <w:rPr>
          <w:noProof/>
        </w:rPr>
        <w:t>Staff Question #6</w:t>
      </w:r>
      <w:r>
        <w:rPr>
          <w:noProof/>
        </w:rPr>
        <w:tab/>
      </w:r>
      <w:r w:rsidR="00982763">
        <w:rPr>
          <w:noProof/>
        </w:rPr>
        <w:t>9</w:t>
      </w:r>
    </w:p>
    <w:p w14:paraId="7C1AF595" w14:textId="663091DD" w:rsidR="00AC4FF0" w:rsidRDefault="00AC4FF0">
      <w:pPr>
        <w:pStyle w:val="TOC2"/>
        <w:tabs>
          <w:tab w:val="right" w:leader="dot" w:pos="9350"/>
        </w:tabs>
        <w:rPr>
          <w:rFonts w:eastAsiaTheme="minorEastAsia"/>
          <w:noProof/>
        </w:rPr>
      </w:pPr>
      <w:r>
        <w:rPr>
          <w:noProof/>
        </w:rPr>
        <w:t>Response</w:t>
      </w:r>
      <w:r>
        <w:rPr>
          <w:noProof/>
        </w:rPr>
        <w:tab/>
      </w:r>
      <w:r w:rsidR="00982763">
        <w:rPr>
          <w:noProof/>
        </w:rPr>
        <w:t>9</w:t>
      </w:r>
    </w:p>
    <w:p w14:paraId="738B0E84" w14:textId="3105E109" w:rsidR="00961D59" w:rsidRDefault="00961D59" w:rsidP="00961D59">
      <w:r>
        <w:fldChar w:fldCharType="end"/>
      </w:r>
    </w:p>
    <w:p w14:paraId="38B8C9ED" w14:textId="77777777" w:rsidR="00B34A2F" w:rsidRDefault="00B34A2F" w:rsidP="00961D59"/>
    <w:p w14:paraId="24275933" w14:textId="77777777" w:rsidR="00B34A2F" w:rsidRDefault="00B34A2F" w:rsidP="00961D59"/>
    <w:p w14:paraId="1495B3AD" w14:textId="77777777" w:rsidR="00B34A2F" w:rsidRDefault="00B34A2F" w:rsidP="00961D59"/>
    <w:p w14:paraId="4E1AA586" w14:textId="77777777" w:rsidR="00B34A2F" w:rsidRDefault="00B34A2F" w:rsidP="00961D59"/>
    <w:p w14:paraId="6F4CEFED" w14:textId="77777777" w:rsidR="00B34A2F" w:rsidRDefault="00B34A2F" w:rsidP="00961D59"/>
    <w:p w14:paraId="759D46AA" w14:textId="77777777" w:rsidR="004E1CB9" w:rsidRDefault="004E1CB9" w:rsidP="00961D59"/>
    <w:p w14:paraId="2DACD36E" w14:textId="77777777" w:rsidR="004E1CB9" w:rsidRDefault="004E1CB9" w:rsidP="00961D59"/>
    <w:p w14:paraId="5A37FD8C" w14:textId="77777777" w:rsidR="004E1CB9" w:rsidRDefault="004E1CB9" w:rsidP="00961D59"/>
    <w:p w14:paraId="3106D4DA" w14:textId="77777777" w:rsidR="004E1CB9" w:rsidRDefault="004E1CB9" w:rsidP="00961D59"/>
    <w:p w14:paraId="6E2085BC" w14:textId="77777777" w:rsidR="004E1CB9" w:rsidRDefault="004E1CB9" w:rsidP="00961D59"/>
    <w:p w14:paraId="70B775A1" w14:textId="397C55FD" w:rsidR="00915A3C" w:rsidRDefault="00915A3C" w:rsidP="00961D59"/>
    <w:p w14:paraId="7B52C101" w14:textId="441902A6" w:rsidR="00D20564" w:rsidRPr="00884DBC" w:rsidRDefault="00AC166D" w:rsidP="00884DBC">
      <w:pPr>
        <w:pStyle w:val="IntenseQuote"/>
      </w:pPr>
      <w:bookmarkStart w:id="2" w:name="_Toc535825575"/>
      <w:r>
        <w:lastRenderedPageBreak/>
        <w:t>Staff Question #1</w:t>
      </w:r>
      <w:bookmarkEnd w:id="2"/>
      <w:r w:rsidR="00C75FB8">
        <w:t xml:space="preserve"> </w:t>
      </w:r>
    </w:p>
    <w:p w14:paraId="55096F50" w14:textId="7E9BD68D" w:rsidR="00AC166D" w:rsidRDefault="00AC166D" w:rsidP="00F664FE">
      <w:pPr>
        <w:spacing w:after="0"/>
        <w:jc w:val="both"/>
        <w:rPr>
          <w:rFonts w:cs="Arial"/>
          <w:b/>
          <w:sz w:val="24"/>
          <w:szCs w:val="24"/>
        </w:rPr>
      </w:pPr>
      <w:r w:rsidRPr="00AC166D">
        <w:rPr>
          <w:rFonts w:cs="Arial"/>
          <w:b/>
          <w:sz w:val="24"/>
          <w:szCs w:val="24"/>
        </w:rPr>
        <w:t xml:space="preserve">Ref: </w:t>
      </w:r>
      <w:r w:rsidR="00F664FE">
        <w:rPr>
          <w:rFonts w:cs="Arial"/>
          <w:b/>
          <w:sz w:val="24"/>
          <w:szCs w:val="24"/>
        </w:rPr>
        <w:t>Managers Summary pages 6</w:t>
      </w:r>
    </w:p>
    <w:p w14:paraId="3B82CB0C" w14:textId="1651FB2E" w:rsidR="00F664FE" w:rsidRDefault="00F664FE" w:rsidP="00F664FE">
      <w:pPr>
        <w:spacing w:after="0"/>
        <w:jc w:val="both"/>
        <w:rPr>
          <w:rFonts w:cs="Arial"/>
          <w:b/>
          <w:sz w:val="24"/>
          <w:szCs w:val="24"/>
        </w:rPr>
      </w:pPr>
      <w:r>
        <w:rPr>
          <w:rFonts w:cs="Arial"/>
          <w:b/>
          <w:sz w:val="24"/>
          <w:szCs w:val="24"/>
        </w:rPr>
        <w:t xml:space="preserve">        Appendix C – Management Action Plan</w:t>
      </w:r>
    </w:p>
    <w:p w14:paraId="0C04ED05" w14:textId="77777777" w:rsidR="00F664FE" w:rsidRPr="00AC166D" w:rsidRDefault="00F664FE" w:rsidP="00F664FE">
      <w:pPr>
        <w:spacing w:after="0"/>
        <w:jc w:val="both"/>
        <w:rPr>
          <w:rFonts w:cs="Arial"/>
          <w:b/>
          <w:sz w:val="24"/>
          <w:szCs w:val="24"/>
        </w:rPr>
      </w:pPr>
    </w:p>
    <w:p w14:paraId="2FF26D7A" w14:textId="67011DD6" w:rsidR="00AC166D" w:rsidRDefault="00F664FE" w:rsidP="004C243F">
      <w:pPr>
        <w:spacing w:after="0" w:line="240" w:lineRule="auto"/>
        <w:jc w:val="both"/>
        <w:rPr>
          <w:rFonts w:cs="Arial"/>
          <w:sz w:val="24"/>
          <w:szCs w:val="24"/>
        </w:rPr>
      </w:pPr>
      <w:r>
        <w:rPr>
          <w:rFonts w:cs="Arial"/>
          <w:sz w:val="24"/>
          <w:szCs w:val="24"/>
        </w:rPr>
        <w:t xml:space="preserve">In Essex Powerlines’ 2021 decision and rate order, Essex Powerlines indicated that as part of its Management Action Plan, it was in the process of engaging a </w:t>
      </w:r>
      <w:proofErr w:type="gramStart"/>
      <w:r>
        <w:rPr>
          <w:rFonts w:cs="Arial"/>
          <w:sz w:val="24"/>
          <w:szCs w:val="24"/>
        </w:rPr>
        <w:t>third party</w:t>
      </w:r>
      <w:proofErr w:type="gramEnd"/>
      <w:r>
        <w:rPr>
          <w:rFonts w:cs="Arial"/>
          <w:sz w:val="24"/>
          <w:szCs w:val="24"/>
        </w:rPr>
        <w:t xml:space="preserve"> review of its improved Standard Operating Procedures (SOP) with respect to its approach to its regulatory accounting oversight.  Therefore, Essex Powerlines requested interim disposition of its 2017 and 2018 balances.  The OEB indicated that it expected Essex Powerlines to bring forth the results of its review of the 2019 Group 1 balances and of its SOP, including whether outcomes of this review impact the 2017 and 2018 balances being disposed in this proceeding, for the OEB’s consideration when Essex Powerlines request</w:t>
      </w:r>
      <w:r w:rsidR="0042230B">
        <w:rPr>
          <w:rFonts w:cs="Arial"/>
          <w:sz w:val="24"/>
          <w:szCs w:val="24"/>
        </w:rPr>
        <w:t>s</w:t>
      </w:r>
      <w:r>
        <w:rPr>
          <w:rFonts w:cs="Arial"/>
          <w:sz w:val="24"/>
          <w:szCs w:val="24"/>
        </w:rPr>
        <w:t xml:space="preserve"> disposition of its 2019 Group 1 balances.</w:t>
      </w:r>
    </w:p>
    <w:p w14:paraId="2A663468" w14:textId="0E967B39" w:rsidR="00F664FE" w:rsidRDefault="00F664FE" w:rsidP="004C243F">
      <w:pPr>
        <w:spacing w:after="0" w:line="240" w:lineRule="auto"/>
        <w:jc w:val="both"/>
        <w:rPr>
          <w:rFonts w:cs="Arial"/>
          <w:sz w:val="24"/>
          <w:szCs w:val="24"/>
        </w:rPr>
      </w:pPr>
    </w:p>
    <w:p w14:paraId="3E0205C2" w14:textId="21D378C9" w:rsidR="00F664FE" w:rsidRDefault="00F664FE" w:rsidP="004C243F">
      <w:pPr>
        <w:spacing w:after="0" w:line="240" w:lineRule="auto"/>
        <w:jc w:val="both"/>
        <w:rPr>
          <w:rFonts w:cs="Arial"/>
          <w:sz w:val="24"/>
          <w:szCs w:val="24"/>
        </w:rPr>
      </w:pPr>
      <w:r>
        <w:rPr>
          <w:rFonts w:cs="Arial"/>
          <w:sz w:val="24"/>
          <w:szCs w:val="24"/>
        </w:rPr>
        <w:t>In the 2022 IRM, Essex Powerlines requested for disposition Group 1 balances for 2019 and 2020 and Account 1595 (2015).</w:t>
      </w:r>
    </w:p>
    <w:p w14:paraId="48CD7B47" w14:textId="77777777" w:rsidR="00F664FE" w:rsidRPr="00AC166D" w:rsidRDefault="00F664FE" w:rsidP="004C243F">
      <w:pPr>
        <w:spacing w:after="0" w:line="240" w:lineRule="auto"/>
        <w:jc w:val="both"/>
        <w:rPr>
          <w:rFonts w:cs="Arial"/>
          <w:sz w:val="24"/>
          <w:szCs w:val="24"/>
        </w:rPr>
      </w:pPr>
    </w:p>
    <w:p w14:paraId="025EBE3C" w14:textId="4AED0911" w:rsidR="00AC166D" w:rsidRPr="00AC166D" w:rsidRDefault="00F664FE" w:rsidP="004C243F">
      <w:pPr>
        <w:numPr>
          <w:ilvl w:val="0"/>
          <w:numId w:val="1"/>
        </w:numPr>
        <w:tabs>
          <w:tab w:val="left" w:pos="450"/>
        </w:tabs>
        <w:spacing w:after="0" w:line="240" w:lineRule="auto"/>
        <w:ind w:left="450" w:hanging="450"/>
        <w:contextualSpacing/>
        <w:jc w:val="both"/>
        <w:rPr>
          <w:rFonts w:cs="Arial"/>
          <w:sz w:val="24"/>
          <w:szCs w:val="24"/>
        </w:rPr>
      </w:pPr>
      <w:r>
        <w:rPr>
          <w:rFonts w:cs="Arial"/>
          <w:sz w:val="24"/>
          <w:szCs w:val="24"/>
        </w:rPr>
        <w:t xml:space="preserve">In the Management Action Plan, under finding #1, it states independent </w:t>
      </w:r>
      <w:proofErr w:type="gramStart"/>
      <w:r>
        <w:rPr>
          <w:rFonts w:cs="Arial"/>
          <w:sz w:val="24"/>
          <w:szCs w:val="24"/>
        </w:rPr>
        <w:t>third party</w:t>
      </w:r>
      <w:proofErr w:type="gramEnd"/>
      <w:r>
        <w:rPr>
          <w:rFonts w:cs="Arial"/>
          <w:sz w:val="24"/>
          <w:szCs w:val="24"/>
        </w:rPr>
        <w:t xml:space="preserve"> review commenced and the planned completion is 2020.  Please provide an update on the review of the SOP and the conclusions in the review.</w:t>
      </w:r>
    </w:p>
    <w:p w14:paraId="07B4C045" w14:textId="77777777" w:rsidR="00AC166D" w:rsidRPr="00AC166D" w:rsidRDefault="00AC166D" w:rsidP="004C243F">
      <w:pPr>
        <w:tabs>
          <w:tab w:val="left" w:pos="450"/>
        </w:tabs>
        <w:spacing w:after="0" w:line="240" w:lineRule="auto"/>
        <w:jc w:val="both"/>
        <w:rPr>
          <w:rFonts w:cs="Arial"/>
          <w:sz w:val="24"/>
          <w:szCs w:val="24"/>
        </w:rPr>
      </w:pPr>
    </w:p>
    <w:p w14:paraId="3C40BA96" w14:textId="57F4E82A" w:rsidR="00AC166D" w:rsidRDefault="001D1FE8" w:rsidP="004C243F">
      <w:pPr>
        <w:numPr>
          <w:ilvl w:val="0"/>
          <w:numId w:val="1"/>
        </w:numPr>
        <w:tabs>
          <w:tab w:val="left" w:pos="450"/>
        </w:tabs>
        <w:spacing w:after="0" w:line="240" w:lineRule="auto"/>
        <w:ind w:left="450" w:hanging="450"/>
        <w:contextualSpacing/>
        <w:jc w:val="both"/>
        <w:rPr>
          <w:rFonts w:cs="Arial"/>
          <w:sz w:val="24"/>
          <w:szCs w:val="24"/>
        </w:rPr>
      </w:pPr>
      <w:r>
        <w:rPr>
          <w:rFonts w:cs="Arial"/>
          <w:sz w:val="24"/>
          <w:szCs w:val="24"/>
        </w:rPr>
        <w:t>Please confirm whether Essex Powerlines is requesting an interim or final disposition for Group 1 balances for 2019 and 2020 and Account 1595 (2015).</w:t>
      </w:r>
    </w:p>
    <w:p w14:paraId="61BA0A7B" w14:textId="79F3CCDD" w:rsidR="00531419" w:rsidRPr="00AC166D" w:rsidRDefault="00531419" w:rsidP="00531419">
      <w:pPr>
        <w:tabs>
          <w:tab w:val="left" w:pos="450"/>
        </w:tabs>
        <w:spacing w:after="0" w:line="240" w:lineRule="auto"/>
        <w:contextualSpacing/>
        <w:jc w:val="center"/>
        <w:rPr>
          <w:rFonts w:cs="Arial"/>
          <w:sz w:val="24"/>
          <w:szCs w:val="24"/>
        </w:rPr>
      </w:pPr>
    </w:p>
    <w:p w14:paraId="3D92B07D" w14:textId="77777777" w:rsidR="00AC166D" w:rsidRPr="00725069" w:rsidRDefault="00AC166D" w:rsidP="00AC166D">
      <w:pPr>
        <w:tabs>
          <w:tab w:val="left" w:pos="450"/>
        </w:tabs>
        <w:spacing w:after="0" w:line="240" w:lineRule="auto"/>
        <w:contextualSpacing/>
        <w:rPr>
          <w:rFonts w:ascii="Arial" w:hAnsi="Arial" w:cs="Arial"/>
          <w:sz w:val="24"/>
          <w:szCs w:val="24"/>
        </w:rPr>
      </w:pPr>
    </w:p>
    <w:p w14:paraId="3253041E" w14:textId="77777777" w:rsidR="0030483E" w:rsidRPr="001B08C5" w:rsidRDefault="00A90180" w:rsidP="001B08C5">
      <w:pPr>
        <w:pStyle w:val="Quote"/>
      </w:pPr>
      <w:bookmarkStart w:id="3" w:name="_Toc535825576"/>
      <w:r>
        <w:t>Response</w:t>
      </w:r>
      <w:bookmarkEnd w:id="3"/>
    </w:p>
    <w:p w14:paraId="35D1B6C9" w14:textId="069BB9DF" w:rsidR="0030483E" w:rsidRDefault="003A638D" w:rsidP="008276D8">
      <w:pPr>
        <w:pStyle w:val="ListParagraph"/>
        <w:numPr>
          <w:ilvl w:val="0"/>
          <w:numId w:val="6"/>
        </w:numPr>
        <w:jc w:val="both"/>
        <w:rPr>
          <w:sz w:val="24"/>
          <w:szCs w:val="24"/>
        </w:rPr>
      </w:pPr>
      <w:r>
        <w:rPr>
          <w:sz w:val="24"/>
          <w:szCs w:val="24"/>
        </w:rPr>
        <w:t xml:space="preserve">The review process commenced with the engagement of a third party prior to 2020 with the intention to have the process completed in 2020.  However, the onset of the </w:t>
      </w:r>
      <w:r w:rsidR="00F34201">
        <w:rPr>
          <w:sz w:val="24"/>
          <w:szCs w:val="24"/>
        </w:rPr>
        <w:t xml:space="preserve">Covid 19 </w:t>
      </w:r>
      <w:r>
        <w:rPr>
          <w:sz w:val="24"/>
          <w:szCs w:val="24"/>
        </w:rPr>
        <w:t>pandemic in early 2020</w:t>
      </w:r>
      <w:r w:rsidR="00FD38FF">
        <w:rPr>
          <w:sz w:val="24"/>
          <w:szCs w:val="24"/>
        </w:rPr>
        <w:t xml:space="preserve"> </w:t>
      </w:r>
      <w:r w:rsidR="00F34201">
        <w:rPr>
          <w:sz w:val="24"/>
          <w:szCs w:val="24"/>
        </w:rPr>
        <w:t>resulted in, but was not limited to, restrictive</w:t>
      </w:r>
      <w:r w:rsidR="00032FC9">
        <w:rPr>
          <w:sz w:val="24"/>
          <w:szCs w:val="24"/>
        </w:rPr>
        <w:t xml:space="preserve"> </w:t>
      </w:r>
      <w:r w:rsidR="00F34201">
        <w:rPr>
          <w:sz w:val="24"/>
          <w:szCs w:val="24"/>
        </w:rPr>
        <w:t xml:space="preserve">work conditions, </w:t>
      </w:r>
      <w:r w:rsidR="008276D8">
        <w:rPr>
          <w:sz w:val="24"/>
          <w:szCs w:val="24"/>
        </w:rPr>
        <w:t xml:space="preserve">disrupted </w:t>
      </w:r>
      <w:r w:rsidR="00F34201">
        <w:rPr>
          <w:sz w:val="24"/>
          <w:szCs w:val="24"/>
        </w:rPr>
        <w:t>employee work environment</w:t>
      </w:r>
      <w:r w:rsidR="008276D8">
        <w:rPr>
          <w:sz w:val="24"/>
          <w:szCs w:val="24"/>
        </w:rPr>
        <w:t xml:space="preserve">, limited </w:t>
      </w:r>
      <w:r w:rsidR="004C243F">
        <w:rPr>
          <w:sz w:val="24"/>
          <w:szCs w:val="24"/>
        </w:rPr>
        <w:t>third</w:t>
      </w:r>
      <w:r w:rsidR="008276D8">
        <w:rPr>
          <w:sz w:val="24"/>
          <w:szCs w:val="24"/>
        </w:rPr>
        <w:t xml:space="preserve"> party engagements </w:t>
      </w:r>
      <w:r w:rsidR="00FD38FF">
        <w:rPr>
          <w:sz w:val="24"/>
          <w:szCs w:val="24"/>
        </w:rPr>
        <w:t>and enhanced</w:t>
      </w:r>
      <w:r w:rsidR="00F34201">
        <w:rPr>
          <w:sz w:val="24"/>
          <w:szCs w:val="24"/>
        </w:rPr>
        <w:t xml:space="preserve"> health and safety protocols which were made paramount</w:t>
      </w:r>
      <w:r w:rsidR="00FD38FF">
        <w:rPr>
          <w:sz w:val="24"/>
          <w:szCs w:val="24"/>
        </w:rPr>
        <w:t>.</w:t>
      </w:r>
      <w:r w:rsidR="00032FC9">
        <w:rPr>
          <w:sz w:val="24"/>
          <w:szCs w:val="24"/>
        </w:rPr>
        <w:t xml:space="preserve"> </w:t>
      </w:r>
      <w:r w:rsidR="00FD38FF">
        <w:rPr>
          <w:sz w:val="24"/>
          <w:szCs w:val="24"/>
        </w:rPr>
        <w:t>The afore</w:t>
      </w:r>
      <w:r w:rsidR="004C243F">
        <w:rPr>
          <w:sz w:val="24"/>
          <w:szCs w:val="24"/>
        </w:rPr>
        <w:t>-</w:t>
      </w:r>
      <w:r w:rsidR="00FD38FF">
        <w:rPr>
          <w:sz w:val="24"/>
          <w:szCs w:val="24"/>
        </w:rPr>
        <w:t>mentioned together with the additional</w:t>
      </w:r>
      <w:r>
        <w:rPr>
          <w:sz w:val="24"/>
          <w:szCs w:val="24"/>
        </w:rPr>
        <w:t xml:space="preserve"> regulatory changes and reporting requirements that ensued</w:t>
      </w:r>
      <w:r w:rsidR="00FD38FF">
        <w:rPr>
          <w:sz w:val="24"/>
          <w:szCs w:val="24"/>
        </w:rPr>
        <w:t xml:space="preserve"> and were also related to the Covid 19 pandemic resulted in the</w:t>
      </w:r>
      <w:r>
        <w:rPr>
          <w:sz w:val="24"/>
          <w:szCs w:val="24"/>
        </w:rPr>
        <w:t xml:space="preserve"> </w:t>
      </w:r>
      <w:proofErr w:type="gramStart"/>
      <w:r w:rsidR="00FD38FF">
        <w:rPr>
          <w:sz w:val="24"/>
          <w:szCs w:val="24"/>
        </w:rPr>
        <w:t>third</w:t>
      </w:r>
      <w:r w:rsidR="004C243F">
        <w:rPr>
          <w:sz w:val="24"/>
          <w:szCs w:val="24"/>
        </w:rPr>
        <w:t xml:space="preserve"> </w:t>
      </w:r>
      <w:r w:rsidR="00FD38FF">
        <w:rPr>
          <w:sz w:val="24"/>
          <w:szCs w:val="24"/>
        </w:rPr>
        <w:t>party</w:t>
      </w:r>
      <w:proofErr w:type="gramEnd"/>
      <w:r>
        <w:rPr>
          <w:sz w:val="24"/>
          <w:szCs w:val="24"/>
        </w:rPr>
        <w:t xml:space="preserve"> review process </w:t>
      </w:r>
      <w:r w:rsidR="00FD38FF">
        <w:rPr>
          <w:sz w:val="24"/>
          <w:szCs w:val="24"/>
        </w:rPr>
        <w:t>being</w:t>
      </w:r>
      <w:r>
        <w:rPr>
          <w:sz w:val="24"/>
          <w:szCs w:val="24"/>
        </w:rPr>
        <w:t xml:space="preserve"> delayed.  The review has now resumed, with expected completion in 2022.</w:t>
      </w:r>
    </w:p>
    <w:p w14:paraId="25BC52EA" w14:textId="77777777" w:rsidR="000A43A4" w:rsidRDefault="000A43A4" w:rsidP="000A43A4">
      <w:pPr>
        <w:pStyle w:val="ListParagraph"/>
        <w:rPr>
          <w:sz w:val="24"/>
          <w:szCs w:val="24"/>
        </w:rPr>
      </w:pPr>
    </w:p>
    <w:p w14:paraId="074C9001" w14:textId="5294105F" w:rsidR="000A43A4" w:rsidRPr="007C6FB4" w:rsidRDefault="00422F41" w:rsidP="00C50EA6">
      <w:pPr>
        <w:pStyle w:val="ListParagraph"/>
        <w:numPr>
          <w:ilvl w:val="0"/>
          <w:numId w:val="6"/>
        </w:numPr>
        <w:jc w:val="both"/>
        <w:rPr>
          <w:sz w:val="24"/>
          <w:szCs w:val="24"/>
        </w:rPr>
      </w:pPr>
      <w:r>
        <w:rPr>
          <w:sz w:val="24"/>
          <w:szCs w:val="24"/>
        </w:rPr>
        <w:t xml:space="preserve">Subject to the delayed </w:t>
      </w:r>
      <w:proofErr w:type="gramStart"/>
      <w:r w:rsidR="00FD38FF">
        <w:rPr>
          <w:sz w:val="24"/>
          <w:szCs w:val="24"/>
        </w:rPr>
        <w:t>third</w:t>
      </w:r>
      <w:r w:rsidR="004C243F">
        <w:rPr>
          <w:sz w:val="24"/>
          <w:szCs w:val="24"/>
        </w:rPr>
        <w:t xml:space="preserve"> </w:t>
      </w:r>
      <w:r w:rsidR="00FD38FF">
        <w:rPr>
          <w:sz w:val="24"/>
          <w:szCs w:val="24"/>
        </w:rPr>
        <w:t>party</w:t>
      </w:r>
      <w:proofErr w:type="gramEnd"/>
      <w:r>
        <w:rPr>
          <w:sz w:val="24"/>
          <w:szCs w:val="24"/>
        </w:rPr>
        <w:t xml:space="preserve"> review</w:t>
      </w:r>
      <w:r w:rsidR="00C50EA6">
        <w:rPr>
          <w:sz w:val="24"/>
          <w:szCs w:val="24"/>
        </w:rPr>
        <w:t xml:space="preserve"> being completed</w:t>
      </w:r>
      <w:r>
        <w:rPr>
          <w:sz w:val="24"/>
          <w:szCs w:val="24"/>
        </w:rPr>
        <w:t xml:space="preserve">, Essex Powerlines is requesting interim disposition </w:t>
      </w:r>
      <w:r w:rsidR="00C50EA6">
        <w:rPr>
          <w:sz w:val="24"/>
          <w:szCs w:val="24"/>
        </w:rPr>
        <w:t>of</w:t>
      </w:r>
      <w:r>
        <w:rPr>
          <w:sz w:val="24"/>
          <w:szCs w:val="24"/>
        </w:rPr>
        <w:t xml:space="preserve"> Group 1 balances for 2019 and 2020 and Account 1595 (2015).  Final </w:t>
      </w:r>
      <w:r>
        <w:rPr>
          <w:sz w:val="24"/>
          <w:szCs w:val="24"/>
        </w:rPr>
        <w:lastRenderedPageBreak/>
        <w:t xml:space="preserve">disposition of these balances will be requested upon completion </w:t>
      </w:r>
      <w:r w:rsidR="00C50EA6">
        <w:rPr>
          <w:sz w:val="24"/>
          <w:szCs w:val="24"/>
        </w:rPr>
        <w:t xml:space="preserve">and submission to the OEB </w:t>
      </w:r>
      <w:r>
        <w:rPr>
          <w:sz w:val="24"/>
          <w:szCs w:val="24"/>
        </w:rPr>
        <w:t xml:space="preserve">of the </w:t>
      </w:r>
      <w:proofErr w:type="gramStart"/>
      <w:r w:rsidR="00C50EA6">
        <w:rPr>
          <w:sz w:val="24"/>
          <w:szCs w:val="24"/>
        </w:rPr>
        <w:t>third</w:t>
      </w:r>
      <w:r w:rsidR="004C243F">
        <w:rPr>
          <w:sz w:val="24"/>
          <w:szCs w:val="24"/>
        </w:rPr>
        <w:t xml:space="preserve"> </w:t>
      </w:r>
      <w:r w:rsidR="00C50EA6">
        <w:rPr>
          <w:sz w:val="24"/>
          <w:szCs w:val="24"/>
        </w:rPr>
        <w:t>party</w:t>
      </w:r>
      <w:proofErr w:type="gramEnd"/>
      <w:r>
        <w:rPr>
          <w:sz w:val="24"/>
          <w:szCs w:val="24"/>
        </w:rPr>
        <w:t xml:space="preserve"> review.</w:t>
      </w:r>
    </w:p>
    <w:p w14:paraId="3721A44E" w14:textId="22C5DDE4" w:rsidR="00D20564" w:rsidRDefault="00D20564"/>
    <w:p w14:paraId="2F7FC74D" w14:textId="17E9AFAD" w:rsidR="00D20564" w:rsidRDefault="00AC166D" w:rsidP="00723EAA">
      <w:pPr>
        <w:pStyle w:val="IntenseQuote"/>
      </w:pPr>
      <w:bookmarkStart w:id="4" w:name="_Toc535825577"/>
      <w:r>
        <w:t>Staff Question #2</w:t>
      </w:r>
      <w:bookmarkEnd w:id="4"/>
      <w:r w:rsidR="00CB005B">
        <w:t xml:space="preserve"> </w:t>
      </w:r>
    </w:p>
    <w:p w14:paraId="541BDF07" w14:textId="7BB5BAC2" w:rsidR="00AC166D" w:rsidRDefault="00AC166D" w:rsidP="00AC166D">
      <w:pPr>
        <w:spacing w:after="0" w:line="240" w:lineRule="auto"/>
        <w:rPr>
          <w:rFonts w:cs="Arial"/>
          <w:b/>
          <w:sz w:val="24"/>
          <w:szCs w:val="24"/>
        </w:rPr>
      </w:pPr>
      <w:r w:rsidRPr="00AC166D">
        <w:rPr>
          <w:rFonts w:cs="Arial"/>
          <w:b/>
          <w:sz w:val="24"/>
          <w:szCs w:val="24"/>
        </w:rPr>
        <w:t>Ref: Managers Summary page</w:t>
      </w:r>
      <w:r w:rsidR="001D1FE8">
        <w:rPr>
          <w:rFonts w:cs="Arial"/>
          <w:b/>
          <w:sz w:val="24"/>
          <w:szCs w:val="24"/>
        </w:rPr>
        <w:t>s</w:t>
      </w:r>
      <w:r w:rsidRPr="00AC166D">
        <w:rPr>
          <w:rFonts w:cs="Arial"/>
          <w:b/>
          <w:sz w:val="24"/>
          <w:szCs w:val="24"/>
        </w:rPr>
        <w:t xml:space="preserve"> 6</w:t>
      </w:r>
      <w:r w:rsidR="001D1FE8">
        <w:rPr>
          <w:rFonts w:cs="Arial"/>
          <w:b/>
          <w:sz w:val="24"/>
          <w:szCs w:val="24"/>
        </w:rPr>
        <w:t>-8</w:t>
      </w:r>
    </w:p>
    <w:p w14:paraId="05CA9F96" w14:textId="1F21C69F" w:rsidR="001D1FE8" w:rsidRDefault="001D1FE8" w:rsidP="00AC166D">
      <w:pPr>
        <w:spacing w:after="0" w:line="240" w:lineRule="auto"/>
        <w:rPr>
          <w:rFonts w:cs="Arial"/>
          <w:b/>
          <w:sz w:val="24"/>
          <w:szCs w:val="24"/>
        </w:rPr>
      </w:pPr>
      <w:r>
        <w:rPr>
          <w:rFonts w:cs="Arial"/>
          <w:b/>
          <w:sz w:val="24"/>
          <w:szCs w:val="24"/>
        </w:rPr>
        <w:t xml:space="preserve">        2022 Rate Generator Model, Tab 6.1. GA, cell K13</w:t>
      </w:r>
    </w:p>
    <w:p w14:paraId="171F98A1" w14:textId="6153B42E" w:rsidR="001D1FE8" w:rsidRDefault="001D1FE8" w:rsidP="00AC166D">
      <w:pPr>
        <w:spacing w:after="0" w:line="240" w:lineRule="auto"/>
        <w:rPr>
          <w:rFonts w:cs="Arial"/>
          <w:b/>
          <w:sz w:val="24"/>
          <w:szCs w:val="24"/>
        </w:rPr>
      </w:pPr>
      <w:r>
        <w:rPr>
          <w:rFonts w:cs="Arial"/>
          <w:b/>
          <w:sz w:val="24"/>
          <w:szCs w:val="24"/>
        </w:rPr>
        <w:t xml:space="preserve">        2022 Rate Generator Model, Tab 7. Calculation of De</w:t>
      </w:r>
      <w:r w:rsidR="0042230B">
        <w:rPr>
          <w:rFonts w:cs="Arial"/>
          <w:b/>
          <w:sz w:val="24"/>
          <w:szCs w:val="24"/>
        </w:rPr>
        <w:t>f</w:t>
      </w:r>
      <w:r>
        <w:rPr>
          <w:rFonts w:cs="Arial"/>
          <w:b/>
          <w:sz w:val="24"/>
          <w:szCs w:val="24"/>
        </w:rPr>
        <w:t>-var RR, cell C13</w:t>
      </w:r>
    </w:p>
    <w:p w14:paraId="5CD246B9" w14:textId="22B5E329" w:rsidR="001D1FE8" w:rsidRPr="00AC166D" w:rsidRDefault="001D1FE8" w:rsidP="00AC166D">
      <w:pPr>
        <w:spacing w:after="0" w:line="240" w:lineRule="auto"/>
        <w:rPr>
          <w:rFonts w:cs="Arial"/>
          <w:b/>
          <w:sz w:val="24"/>
          <w:szCs w:val="24"/>
        </w:rPr>
      </w:pPr>
      <w:r>
        <w:rPr>
          <w:rFonts w:cs="Arial"/>
          <w:b/>
          <w:sz w:val="24"/>
          <w:szCs w:val="24"/>
        </w:rPr>
        <w:t xml:space="preserve">        2022 Rate Generator Model, Tab 20 Bill Impacts</w:t>
      </w:r>
    </w:p>
    <w:p w14:paraId="4C47FD76" w14:textId="77777777" w:rsidR="00AC166D" w:rsidRPr="00AC166D" w:rsidRDefault="00AC166D" w:rsidP="00AC166D">
      <w:pPr>
        <w:spacing w:after="0" w:line="240" w:lineRule="auto"/>
        <w:rPr>
          <w:rFonts w:cs="Arial"/>
          <w:b/>
          <w:sz w:val="24"/>
          <w:szCs w:val="24"/>
        </w:rPr>
      </w:pPr>
    </w:p>
    <w:p w14:paraId="00D3839E" w14:textId="5E5F13AC" w:rsidR="00AC166D" w:rsidRPr="00AC166D" w:rsidRDefault="001D1FE8" w:rsidP="00C50EA6">
      <w:pPr>
        <w:autoSpaceDE w:val="0"/>
        <w:autoSpaceDN w:val="0"/>
        <w:adjustRightInd w:val="0"/>
        <w:spacing w:after="0" w:line="240" w:lineRule="auto"/>
        <w:jc w:val="both"/>
        <w:rPr>
          <w:rFonts w:cs="Arial"/>
          <w:sz w:val="24"/>
          <w:szCs w:val="24"/>
        </w:rPr>
      </w:pPr>
      <w:r>
        <w:rPr>
          <w:rFonts w:cs="Arial"/>
          <w:sz w:val="24"/>
          <w:szCs w:val="24"/>
        </w:rPr>
        <w:t xml:space="preserve">According to the Chapter 3 Filing Requirements, a distributor is required to file a mitigation plan if total bill increases for any customer class exceed 10.0%.  The Filing Requirements also state that a distributor may propose and justify an alternative </w:t>
      </w:r>
      <w:r w:rsidR="00A83567">
        <w:rPr>
          <w:rFonts w:cs="Arial"/>
          <w:sz w:val="24"/>
          <w:szCs w:val="24"/>
        </w:rPr>
        <w:t>disposition period for Group 1 balances from the default of 12-months to mitigate bill impacts or address considerations.  Essex Powerlines is requesting that the DVAs are disposed over a 24-month period to mitigate bill impacts.  OEB staff notes that, even with a 24-month disposition timeline for the Group 1 DVA riders, the total bill impact exceeds 10% in the GS 50-4,999 kW and Embedded Distributor customer classes.</w:t>
      </w:r>
    </w:p>
    <w:p w14:paraId="4D6CFF84" w14:textId="77777777" w:rsidR="00AC166D" w:rsidRPr="00AC166D" w:rsidRDefault="00AC166D" w:rsidP="00C50EA6">
      <w:pPr>
        <w:spacing w:after="0" w:line="240" w:lineRule="auto"/>
        <w:jc w:val="both"/>
        <w:rPr>
          <w:rFonts w:cs="Arial"/>
          <w:sz w:val="24"/>
          <w:szCs w:val="24"/>
        </w:rPr>
      </w:pPr>
    </w:p>
    <w:p w14:paraId="699350DB" w14:textId="784A61CF" w:rsidR="00AC166D" w:rsidRPr="00AC166D" w:rsidRDefault="007C6FB4" w:rsidP="00C50EA6">
      <w:pPr>
        <w:pStyle w:val="ListParagraph"/>
        <w:numPr>
          <w:ilvl w:val="0"/>
          <w:numId w:val="2"/>
        </w:numPr>
        <w:spacing w:after="0" w:line="240" w:lineRule="auto"/>
        <w:ind w:left="360"/>
        <w:jc w:val="both"/>
        <w:rPr>
          <w:rFonts w:cs="Arial"/>
          <w:sz w:val="24"/>
          <w:szCs w:val="24"/>
        </w:rPr>
      </w:pPr>
      <w:r>
        <w:rPr>
          <w:rFonts w:cs="Arial"/>
          <w:sz w:val="24"/>
          <w:szCs w:val="24"/>
        </w:rPr>
        <w:t xml:space="preserve">Please explain what is driving these </w:t>
      </w:r>
      <w:proofErr w:type="gramStart"/>
      <w:r>
        <w:rPr>
          <w:rFonts w:cs="Arial"/>
          <w:sz w:val="24"/>
          <w:szCs w:val="24"/>
        </w:rPr>
        <w:t>particular classes</w:t>
      </w:r>
      <w:proofErr w:type="gramEnd"/>
      <w:r>
        <w:rPr>
          <w:rFonts w:cs="Arial"/>
          <w:sz w:val="24"/>
          <w:szCs w:val="24"/>
        </w:rPr>
        <w:t xml:space="preserve"> to have bill impacts that are substantially higher than the other rate classes.</w:t>
      </w:r>
    </w:p>
    <w:p w14:paraId="5391C80F" w14:textId="77777777" w:rsidR="00AC166D" w:rsidRPr="00AC166D" w:rsidRDefault="00AC166D" w:rsidP="00C50EA6">
      <w:pPr>
        <w:spacing w:after="0" w:line="240" w:lineRule="auto"/>
        <w:jc w:val="both"/>
        <w:rPr>
          <w:rFonts w:cs="Arial"/>
          <w:sz w:val="24"/>
          <w:szCs w:val="24"/>
        </w:rPr>
      </w:pPr>
    </w:p>
    <w:p w14:paraId="1AB4D3E0" w14:textId="4E03DE75" w:rsidR="00AC166D" w:rsidRDefault="007C6FB4" w:rsidP="00C50EA6">
      <w:pPr>
        <w:pStyle w:val="ListParagraph"/>
        <w:numPr>
          <w:ilvl w:val="0"/>
          <w:numId w:val="2"/>
        </w:numPr>
        <w:spacing w:after="0" w:line="240" w:lineRule="auto"/>
        <w:ind w:left="360"/>
        <w:jc w:val="both"/>
        <w:rPr>
          <w:rFonts w:cs="Arial"/>
          <w:sz w:val="24"/>
          <w:szCs w:val="24"/>
        </w:rPr>
      </w:pPr>
      <w:r>
        <w:rPr>
          <w:rFonts w:cs="Arial"/>
          <w:sz w:val="24"/>
          <w:szCs w:val="24"/>
        </w:rPr>
        <w:t xml:space="preserve">Please explain whether Essex Powerlines considered further mitigation measures </w:t>
      </w:r>
      <w:proofErr w:type="gramStart"/>
      <w:r>
        <w:rPr>
          <w:rFonts w:cs="Arial"/>
          <w:sz w:val="24"/>
          <w:szCs w:val="24"/>
        </w:rPr>
        <w:t>in light of</w:t>
      </w:r>
      <w:proofErr w:type="gramEnd"/>
      <w:r>
        <w:rPr>
          <w:rFonts w:cs="Arial"/>
          <w:sz w:val="24"/>
          <w:szCs w:val="24"/>
        </w:rPr>
        <w:t xml:space="preserve"> these impacts.  Why or why not?</w:t>
      </w:r>
    </w:p>
    <w:p w14:paraId="377059DE" w14:textId="77777777" w:rsidR="00AC166D" w:rsidRPr="00AC166D" w:rsidRDefault="00AC166D" w:rsidP="00AC166D">
      <w:pPr>
        <w:spacing w:after="0" w:line="240" w:lineRule="auto"/>
        <w:rPr>
          <w:rFonts w:cs="Arial"/>
          <w:sz w:val="24"/>
          <w:szCs w:val="24"/>
        </w:rPr>
      </w:pPr>
    </w:p>
    <w:p w14:paraId="4BE3465A" w14:textId="77777777" w:rsidR="00D20564" w:rsidRDefault="00A90180" w:rsidP="00723EAA">
      <w:pPr>
        <w:pStyle w:val="Quote"/>
      </w:pPr>
      <w:bookmarkStart w:id="5" w:name="_Toc535825578"/>
      <w:r>
        <w:t>Response</w:t>
      </w:r>
      <w:bookmarkEnd w:id="5"/>
    </w:p>
    <w:p w14:paraId="0BE17FDB" w14:textId="10754B46" w:rsidR="00C32F07" w:rsidRPr="00C32F07" w:rsidRDefault="00B20F48" w:rsidP="00C50EA6">
      <w:pPr>
        <w:pStyle w:val="ListParagraph"/>
        <w:numPr>
          <w:ilvl w:val="0"/>
          <w:numId w:val="7"/>
        </w:numPr>
        <w:jc w:val="both"/>
        <w:rPr>
          <w:sz w:val="24"/>
          <w:szCs w:val="24"/>
          <w:lang w:val="en-CA"/>
        </w:rPr>
      </w:pPr>
      <w:r>
        <w:rPr>
          <w:sz w:val="24"/>
          <w:szCs w:val="24"/>
          <w:lang w:val="en-CA"/>
        </w:rPr>
        <w:t xml:space="preserve">The driving factor for the larger bill impacts for GS 50-4,999 kW and Embedded Distributor customer classes is the GA rate rider.  The </w:t>
      </w:r>
      <w:r w:rsidR="00F42880">
        <w:rPr>
          <w:sz w:val="24"/>
          <w:szCs w:val="24"/>
          <w:lang w:val="en-CA"/>
        </w:rPr>
        <w:t xml:space="preserve">current </w:t>
      </w:r>
      <w:r>
        <w:rPr>
          <w:sz w:val="24"/>
          <w:szCs w:val="24"/>
          <w:lang w:val="en-CA"/>
        </w:rPr>
        <w:t>rate rider</w:t>
      </w:r>
      <w:r w:rsidR="00F42880">
        <w:rPr>
          <w:sz w:val="24"/>
          <w:szCs w:val="24"/>
          <w:lang w:val="en-CA"/>
        </w:rPr>
        <w:t xml:space="preserve"> r</w:t>
      </w:r>
      <w:r w:rsidR="00B46948">
        <w:rPr>
          <w:sz w:val="24"/>
          <w:szCs w:val="24"/>
          <w:lang w:val="en-CA"/>
        </w:rPr>
        <w:t>esult</w:t>
      </w:r>
      <w:r w:rsidR="00F42880">
        <w:rPr>
          <w:sz w:val="24"/>
          <w:szCs w:val="24"/>
          <w:lang w:val="en-CA"/>
        </w:rPr>
        <w:t>s</w:t>
      </w:r>
      <w:r w:rsidR="00B46948">
        <w:rPr>
          <w:sz w:val="24"/>
          <w:szCs w:val="24"/>
          <w:lang w:val="en-CA"/>
        </w:rPr>
        <w:t xml:space="preserve"> in </w:t>
      </w:r>
      <w:r>
        <w:rPr>
          <w:sz w:val="24"/>
          <w:szCs w:val="24"/>
          <w:lang w:val="en-CA"/>
        </w:rPr>
        <w:t>a credit to customers, while the proposed rate rider</w:t>
      </w:r>
      <w:r w:rsidR="00F42880">
        <w:rPr>
          <w:sz w:val="24"/>
          <w:szCs w:val="24"/>
          <w:lang w:val="en-CA"/>
        </w:rPr>
        <w:t xml:space="preserve"> results in</w:t>
      </w:r>
      <w:r>
        <w:rPr>
          <w:sz w:val="24"/>
          <w:szCs w:val="24"/>
          <w:lang w:val="en-CA"/>
        </w:rPr>
        <w:t xml:space="preserve"> a charge to customers, creating a large rate </w:t>
      </w:r>
      <w:r w:rsidR="00032FC9">
        <w:rPr>
          <w:sz w:val="24"/>
          <w:szCs w:val="24"/>
          <w:lang w:val="en-CA"/>
        </w:rPr>
        <w:t>fluctuation</w:t>
      </w:r>
      <w:r>
        <w:rPr>
          <w:sz w:val="24"/>
          <w:szCs w:val="24"/>
          <w:lang w:val="en-CA"/>
        </w:rPr>
        <w:t xml:space="preserve">, and therefore </w:t>
      </w:r>
      <w:r w:rsidR="003E5866">
        <w:rPr>
          <w:sz w:val="24"/>
          <w:szCs w:val="24"/>
          <w:lang w:val="en-CA"/>
        </w:rPr>
        <w:t xml:space="preserve">overall </w:t>
      </w:r>
      <w:r>
        <w:rPr>
          <w:sz w:val="24"/>
          <w:szCs w:val="24"/>
          <w:lang w:val="en-CA"/>
        </w:rPr>
        <w:t>bill impact</w:t>
      </w:r>
      <w:r w:rsidR="00F42880">
        <w:rPr>
          <w:sz w:val="24"/>
          <w:szCs w:val="24"/>
          <w:lang w:val="en-CA"/>
        </w:rPr>
        <w:t>s</w:t>
      </w:r>
      <w:r>
        <w:rPr>
          <w:sz w:val="24"/>
          <w:szCs w:val="24"/>
          <w:lang w:val="en-CA"/>
        </w:rPr>
        <w:t xml:space="preserve"> </w:t>
      </w:r>
      <w:r w:rsidR="003E5866">
        <w:rPr>
          <w:sz w:val="24"/>
          <w:szCs w:val="24"/>
          <w:lang w:val="en-CA"/>
        </w:rPr>
        <w:t>slightly greater</w:t>
      </w:r>
      <w:r>
        <w:rPr>
          <w:sz w:val="24"/>
          <w:szCs w:val="24"/>
          <w:lang w:val="en-CA"/>
        </w:rPr>
        <w:t xml:space="preserve"> than 10%.</w:t>
      </w:r>
      <w:r w:rsidR="00F42880">
        <w:rPr>
          <w:sz w:val="24"/>
          <w:szCs w:val="24"/>
          <w:lang w:val="en-CA"/>
        </w:rPr>
        <w:t xml:space="preserve">  The GA rate riders make up </w:t>
      </w:r>
      <w:r w:rsidR="00D171A2">
        <w:rPr>
          <w:sz w:val="24"/>
          <w:szCs w:val="24"/>
          <w:lang w:val="en-CA"/>
        </w:rPr>
        <w:t>69</w:t>
      </w:r>
      <w:r w:rsidR="00F42880">
        <w:rPr>
          <w:sz w:val="24"/>
          <w:szCs w:val="24"/>
          <w:lang w:val="en-CA"/>
        </w:rPr>
        <w:t>% and 88% respectively of the total bill impact for these two customer classes.</w:t>
      </w:r>
    </w:p>
    <w:p w14:paraId="71AB0FA9" w14:textId="77777777" w:rsidR="000A43A4" w:rsidRPr="000A43A4" w:rsidRDefault="000A43A4" w:rsidP="000A43A4">
      <w:pPr>
        <w:pStyle w:val="ListParagraph"/>
        <w:rPr>
          <w:sz w:val="24"/>
          <w:szCs w:val="24"/>
          <w:highlight w:val="yellow"/>
          <w:lang w:val="en-CA"/>
        </w:rPr>
      </w:pPr>
    </w:p>
    <w:p w14:paraId="4A714886" w14:textId="4D930F0C" w:rsidR="00A90180" w:rsidRPr="00993292" w:rsidRDefault="00B46948" w:rsidP="00C50EA6">
      <w:pPr>
        <w:pStyle w:val="ListParagraph"/>
        <w:numPr>
          <w:ilvl w:val="0"/>
          <w:numId w:val="7"/>
        </w:numPr>
        <w:jc w:val="both"/>
        <w:rPr>
          <w:sz w:val="24"/>
          <w:szCs w:val="24"/>
          <w:lang w:val="en-CA"/>
        </w:rPr>
      </w:pPr>
      <w:r>
        <w:rPr>
          <w:sz w:val="24"/>
          <w:szCs w:val="24"/>
          <w:lang w:val="en-CA"/>
        </w:rPr>
        <w:t>Essex Powerlines thoroughly analyzed the various disposition periods ranging from 12 to 48 months, and settled on a 24-month disposition timeline</w:t>
      </w:r>
      <w:r w:rsidR="00BB2593">
        <w:rPr>
          <w:sz w:val="24"/>
          <w:szCs w:val="24"/>
          <w:lang w:val="en-CA"/>
        </w:rPr>
        <w:t>, as</w:t>
      </w:r>
      <w:r>
        <w:rPr>
          <w:sz w:val="24"/>
          <w:szCs w:val="24"/>
          <w:lang w:val="en-CA"/>
        </w:rPr>
        <w:t xml:space="preserve"> a lengthier timeline did not substantially lessen the bill impact to these customers.</w:t>
      </w:r>
    </w:p>
    <w:p w14:paraId="21CC8649" w14:textId="56933FEF" w:rsidR="00A90180" w:rsidRDefault="00AC166D" w:rsidP="00A90180">
      <w:pPr>
        <w:pStyle w:val="IntenseQuote"/>
      </w:pPr>
      <w:bookmarkStart w:id="6" w:name="_Toc535825579"/>
      <w:r>
        <w:lastRenderedPageBreak/>
        <w:t>Staff Question #3</w:t>
      </w:r>
      <w:bookmarkEnd w:id="6"/>
      <w:r>
        <w:t xml:space="preserve"> </w:t>
      </w:r>
    </w:p>
    <w:p w14:paraId="596B936C" w14:textId="4A242588" w:rsidR="00AC166D" w:rsidRDefault="00AC166D" w:rsidP="00AC166D">
      <w:pPr>
        <w:spacing w:after="0"/>
        <w:rPr>
          <w:rFonts w:cs="Arial"/>
          <w:b/>
          <w:sz w:val="24"/>
          <w:szCs w:val="24"/>
        </w:rPr>
      </w:pPr>
      <w:r w:rsidRPr="00AC166D">
        <w:rPr>
          <w:rFonts w:cs="Arial"/>
          <w:b/>
          <w:sz w:val="24"/>
          <w:szCs w:val="24"/>
        </w:rPr>
        <w:t xml:space="preserve">Ref: </w:t>
      </w:r>
      <w:r w:rsidR="007C6FB4">
        <w:rPr>
          <w:rFonts w:cs="Arial"/>
          <w:b/>
          <w:sz w:val="24"/>
          <w:szCs w:val="24"/>
        </w:rPr>
        <w:t>2022 Rate Generator Model, Tab 3. Continuity Schedule</w:t>
      </w:r>
    </w:p>
    <w:p w14:paraId="67C0A43A" w14:textId="61BF667E" w:rsidR="007C6FB4" w:rsidRDefault="007C6FB4" w:rsidP="00AC166D">
      <w:pPr>
        <w:spacing w:after="0"/>
        <w:rPr>
          <w:rFonts w:cs="Arial"/>
          <w:b/>
          <w:sz w:val="24"/>
          <w:szCs w:val="24"/>
        </w:rPr>
      </w:pPr>
      <w:r>
        <w:rPr>
          <w:rFonts w:cs="Arial"/>
          <w:b/>
          <w:sz w:val="24"/>
          <w:szCs w:val="24"/>
        </w:rPr>
        <w:t xml:space="preserve">        1595 Analysis </w:t>
      </w:r>
      <w:proofErr w:type="spellStart"/>
      <w:r>
        <w:rPr>
          <w:rFonts w:cs="Arial"/>
          <w:b/>
          <w:sz w:val="24"/>
          <w:szCs w:val="24"/>
        </w:rPr>
        <w:t>Workform</w:t>
      </w:r>
      <w:proofErr w:type="spellEnd"/>
    </w:p>
    <w:p w14:paraId="06CBC785" w14:textId="350B3DBC" w:rsidR="007C6FB4" w:rsidRDefault="007C6FB4" w:rsidP="00AC166D">
      <w:pPr>
        <w:spacing w:after="0"/>
        <w:rPr>
          <w:rFonts w:cs="Arial"/>
          <w:b/>
          <w:sz w:val="24"/>
          <w:szCs w:val="24"/>
        </w:rPr>
      </w:pPr>
      <w:r>
        <w:rPr>
          <w:rFonts w:cs="Arial"/>
          <w:b/>
          <w:sz w:val="24"/>
          <w:szCs w:val="24"/>
        </w:rPr>
        <w:t xml:space="preserve">        EB-2014-0072 Decision and Order, June 9, 2015</w:t>
      </w:r>
    </w:p>
    <w:p w14:paraId="3FC8B562" w14:textId="77777777" w:rsidR="007C6FB4" w:rsidRPr="00AC166D" w:rsidRDefault="007C6FB4" w:rsidP="00AC166D">
      <w:pPr>
        <w:spacing w:after="0"/>
        <w:rPr>
          <w:rFonts w:cs="Arial"/>
          <w:b/>
          <w:bCs/>
          <w:sz w:val="24"/>
          <w:szCs w:val="24"/>
        </w:rPr>
      </w:pPr>
    </w:p>
    <w:p w14:paraId="14C0DA1E" w14:textId="4CE01C0E" w:rsidR="00AC166D" w:rsidRPr="00AC166D" w:rsidRDefault="007C6FB4" w:rsidP="00EA44EA">
      <w:pPr>
        <w:jc w:val="both"/>
        <w:rPr>
          <w:rFonts w:cs="Arial"/>
          <w:sz w:val="24"/>
          <w:szCs w:val="24"/>
        </w:rPr>
      </w:pPr>
      <w:r>
        <w:rPr>
          <w:rFonts w:cs="Arial"/>
          <w:sz w:val="24"/>
          <w:szCs w:val="24"/>
        </w:rPr>
        <w:t>Typically, the remaining balance in Account 1595 after the expiration of applicable rate riders is expected to be relatively small as it is a residual of what was collected compared to the forecast.  OEB staff notes that the Account 1595 (2015) balance of $2,437,103 per the Continuity Schedule is very large.</w:t>
      </w:r>
      <w:r w:rsidR="00AC166D" w:rsidRPr="00AC166D">
        <w:rPr>
          <w:rFonts w:cs="Arial"/>
          <w:sz w:val="24"/>
          <w:szCs w:val="24"/>
        </w:rPr>
        <w:t xml:space="preserve"> </w:t>
      </w:r>
    </w:p>
    <w:p w14:paraId="4AF5078B" w14:textId="77777777" w:rsidR="005B4582" w:rsidRDefault="00AC166D" w:rsidP="00EA44EA">
      <w:pPr>
        <w:autoSpaceDE w:val="0"/>
        <w:autoSpaceDN w:val="0"/>
        <w:adjustRightInd w:val="0"/>
        <w:spacing w:after="0" w:line="240" w:lineRule="auto"/>
        <w:jc w:val="both"/>
        <w:rPr>
          <w:rFonts w:cs="Arial"/>
          <w:sz w:val="24"/>
          <w:szCs w:val="24"/>
        </w:rPr>
      </w:pPr>
      <w:r w:rsidRPr="00AC166D">
        <w:rPr>
          <w:rFonts w:cs="Arial"/>
          <w:sz w:val="24"/>
          <w:szCs w:val="24"/>
        </w:rPr>
        <w:t>I</w:t>
      </w:r>
      <w:r w:rsidR="007C6FB4">
        <w:rPr>
          <w:rFonts w:cs="Arial"/>
          <w:sz w:val="24"/>
          <w:szCs w:val="24"/>
        </w:rPr>
        <w:t xml:space="preserve">n the 1595 Analysis </w:t>
      </w:r>
      <w:proofErr w:type="spellStart"/>
      <w:r w:rsidR="007C6FB4">
        <w:rPr>
          <w:rFonts w:cs="Arial"/>
          <w:sz w:val="24"/>
          <w:szCs w:val="24"/>
        </w:rPr>
        <w:t>Workform</w:t>
      </w:r>
      <w:proofErr w:type="spellEnd"/>
      <w:r w:rsidR="007C6FB4">
        <w:rPr>
          <w:rFonts w:cs="Arial"/>
          <w:sz w:val="24"/>
          <w:szCs w:val="24"/>
        </w:rPr>
        <w:t>, for the Rate Rider – Group 1 DVA accounts (excluding GA), the amount shown as the balance approved by the OEB is a $3,094,923 credit to customers.  OEB staff notes that in the 2015 rates proceeding, a $3,202,317 credit amount was approved for</w:t>
      </w:r>
      <w:r w:rsidR="005B4582">
        <w:rPr>
          <w:rFonts w:cs="Arial"/>
          <w:sz w:val="24"/>
          <w:szCs w:val="24"/>
        </w:rPr>
        <w:t xml:space="preserve"> disposition.</w:t>
      </w:r>
    </w:p>
    <w:p w14:paraId="63D6234A" w14:textId="77777777" w:rsidR="005B4582" w:rsidRDefault="005B4582" w:rsidP="00EA44EA">
      <w:pPr>
        <w:autoSpaceDE w:val="0"/>
        <w:autoSpaceDN w:val="0"/>
        <w:adjustRightInd w:val="0"/>
        <w:spacing w:after="0" w:line="240" w:lineRule="auto"/>
        <w:jc w:val="both"/>
        <w:rPr>
          <w:rFonts w:cs="Arial"/>
          <w:sz w:val="24"/>
          <w:szCs w:val="24"/>
        </w:rPr>
      </w:pPr>
    </w:p>
    <w:p w14:paraId="775BEAA0" w14:textId="77777777" w:rsidR="005B4582" w:rsidRDefault="005B4582" w:rsidP="00EA44EA">
      <w:pPr>
        <w:autoSpaceDE w:val="0"/>
        <w:autoSpaceDN w:val="0"/>
        <w:adjustRightInd w:val="0"/>
        <w:spacing w:after="0" w:line="240" w:lineRule="auto"/>
        <w:jc w:val="both"/>
        <w:rPr>
          <w:rFonts w:cs="Arial"/>
          <w:sz w:val="24"/>
          <w:szCs w:val="24"/>
        </w:rPr>
      </w:pPr>
      <w:r>
        <w:rPr>
          <w:rFonts w:cs="Arial"/>
          <w:sz w:val="24"/>
          <w:szCs w:val="24"/>
        </w:rPr>
        <w:t xml:space="preserve">In the 1595 Analysis </w:t>
      </w:r>
      <w:proofErr w:type="spellStart"/>
      <w:r>
        <w:rPr>
          <w:rFonts w:cs="Arial"/>
          <w:sz w:val="24"/>
          <w:szCs w:val="24"/>
        </w:rPr>
        <w:t>Workform</w:t>
      </w:r>
      <w:proofErr w:type="spellEnd"/>
      <w:r>
        <w:rPr>
          <w:rFonts w:cs="Arial"/>
          <w:sz w:val="24"/>
          <w:szCs w:val="24"/>
        </w:rPr>
        <w:t>, the following information was presented:</w:t>
      </w:r>
    </w:p>
    <w:p w14:paraId="7F66C3FB" w14:textId="77777777" w:rsidR="005B4582" w:rsidRPr="00AC166D" w:rsidRDefault="00AC166D" w:rsidP="00AC166D">
      <w:pPr>
        <w:autoSpaceDE w:val="0"/>
        <w:autoSpaceDN w:val="0"/>
        <w:adjustRightInd w:val="0"/>
        <w:spacing w:after="0" w:line="240" w:lineRule="auto"/>
        <w:rPr>
          <w:rFonts w:cs="Arial"/>
          <w:sz w:val="24"/>
          <w:szCs w:val="24"/>
        </w:rPr>
      </w:pPr>
      <w:r w:rsidRPr="00AC166D">
        <w:rPr>
          <w:rFonts w:cs="Arial"/>
          <w:sz w:val="24"/>
          <w:szCs w:val="24"/>
        </w:rPr>
        <w:t xml:space="preserve"> </w:t>
      </w:r>
    </w:p>
    <w:tbl>
      <w:tblPr>
        <w:tblStyle w:val="TableGrid"/>
        <w:tblW w:w="0" w:type="auto"/>
        <w:tblLook w:val="04A0" w:firstRow="1" w:lastRow="0" w:firstColumn="1" w:lastColumn="0" w:noHBand="0" w:noVBand="1"/>
      </w:tblPr>
      <w:tblGrid>
        <w:gridCol w:w="5035"/>
        <w:gridCol w:w="1198"/>
        <w:gridCol w:w="3117"/>
      </w:tblGrid>
      <w:tr w:rsidR="005B4582" w14:paraId="49F83718" w14:textId="77777777" w:rsidTr="005B4582">
        <w:tc>
          <w:tcPr>
            <w:tcW w:w="5035" w:type="dxa"/>
          </w:tcPr>
          <w:p w14:paraId="75C6AB2A" w14:textId="71FA2682"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Description</w:t>
            </w:r>
          </w:p>
        </w:tc>
        <w:tc>
          <w:tcPr>
            <w:tcW w:w="1198" w:type="dxa"/>
          </w:tcPr>
          <w:p w14:paraId="61A15D0C" w14:textId="3D03280B"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Cell</w:t>
            </w:r>
          </w:p>
        </w:tc>
        <w:tc>
          <w:tcPr>
            <w:tcW w:w="3117" w:type="dxa"/>
          </w:tcPr>
          <w:p w14:paraId="067B79B1" w14:textId="1FDBFBD3"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Amount</w:t>
            </w:r>
          </w:p>
        </w:tc>
      </w:tr>
      <w:tr w:rsidR="005B4582" w14:paraId="22E1F220" w14:textId="77777777" w:rsidTr="005B4582">
        <w:tc>
          <w:tcPr>
            <w:tcW w:w="5035" w:type="dxa"/>
          </w:tcPr>
          <w:p w14:paraId="52666B9C" w14:textId="2E2D0D87" w:rsidR="005B4582" w:rsidRDefault="005B4582" w:rsidP="00AC166D">
            <w:pPr>
              <w:autoSpaceDE w:val="0"/>
              <w:autoSpaceDN w:val="0"/>
              <w:adjustRightInd w:val="0"/>
              <w:rPr>
                <w:rFonts w:cs="Arial"/>
                <w:sz w:val="24"/>
                <w:szCs w:val="24"/>
              </w:rPr>
            </w:pPr>
            <w:r>
              <w:rPr>
                <w:rFonts w:cs="Arial"/>
                <w:sz w:val="24"/>
                <w:szCs w:val="24"/>
              </w:rPr>
              <w:t>Total Group 1 and Group 2 Balances excluding Account 1589 – Global Adjustment</w:t>
            </w:r>
          </w:p>
        </w:tc>
        <w:tc>
          <w:tcPr>
            <w:tcW w:w="1198" w:type="dxa"/>
          </w:tcPr>
          <w:p w14:paraId="3E3B1BFC" w14:textId="0BCE96B7" w:rsidR="005B4582" w:rsidRDefault="005B4582" w:rsidP="00AC166D">
            <w:pPr>
              <w:autoSpaceDE w:val="0"/>
              <w:autoSpaceDN w:val="0"/>
              <w:adjustRightInd w:val="0"/>
              <w:rPr>
                <w:rFonts w:cs="Arial"/>
                <w:sz w:val="24"/>
                <w:szCs w:val="24"/>
              </w:rPr>
            </w:pPr>
            <w:r>
              <w:rPr>
                <w:rFonts w:cs="Arial"/>
                <w:sz w:val="24"/>
                <w:szCs w:val="24"/>
              </w:rPr>
              <w:t>F13</w:t>
            </w:r>
          </w:p>
        </w:tc>
        <w:tc>
          <w:tcPr>
            <w:tcW w:w="3117" w:type="dxa"/>
          </w:tcPr>
          <w:p w14:paraId="7CAD63FE" w14:textId="21970A9F" w:rsidR="005B4582" w:rsidRDefault="005B4582" w:rsidP="00AC166D">
            <w:pPr>
              <w:autoSpaceDE w:val="0"/>
              <w:autoSpaceDN w:val="0"/>
              <w:adjustRightInd w:val="0"/>
              <w:rPr>
                <w:rFonts w:cs="Arial"/>
                <w:sz w:val="24"/>
                <w:szCs w:val="24"/>
              </w:rPr>
            </w:pPr>
            <w:r>
              <w:rPr>
                <w:rFonts w:cs="Arial"/>
                <w:sz w:val="24"/>
                <w:szCs w:val="24"/>
              </w:rPr>
              <w:t>($3,843,411)</w:t>
            </w:r>
          </w:p>
        </w:tc>
      </w:tr>
      <w:tr w:rsidR="005B4582" w14:paraId="4DA75B8A" w14:textId="77777777" w:rsidTr="005B4582">
        <w:tc>
          <w:tcPr>
            <w:tcW w:w="5035" w:type="dxa"/>
          </w:tcPr>
          <w:p w14:paraId="51126A00" w14:textId="1D1C07B4" w:rsidR="005B4582" w:rsidRDefault="005B4582" w:rsidP="00AC166D">
            <w:pPr>
              <w:autoSpaceDE w:val="0"/>
              <w:autoSpaceDN w:val="0"/>
              <w:adjustRightInd w:val="0"/>
              <w:rPr>
                <w:rFonts w:cs="Arial"/>
                <w:sz w:val="24"/>
                <w:szCs w:val="24"/>
              </w:rPr>
            </w:pPr>
            <w:r>
              <w:rPr>
                <w:rFonts w:cs="Arial"/>
                <w:sz w:val="24"/>
                <w:szCs w:val="24"/>
              </w:rPr>
              <w:t>Total:  Rate Rider 1 – Group 1 DVA Accounts (excluding Global Adjustments)</w:t>
            </w:r>
          </w:p>
        </w:tc>
        <w:tc>
          <w:tcPr>
            <w:tcW w:w="1198" w:type="dxa"/>
          </w:tcPr>
          <w:p w14:paraId="4A795A91" w14:textId="4878FC51" w:rsidR="005B4582" w:rsidRDefault="005B4582" w:rsidP="00AC166D">
            <w:pPr>
              <w:autoSpaceDE w:val="0"/>
              <w:autoSpaceDN w:val="0"/>
              <w:adjustRightInd w:val="0"/>
              <w:rPr>
                <w:rFonts w:cs="Arial"/>
                <w:sz w:val="24"/>
                <w:szCs w:val="24"/>
              </w:rPr>
            </w:pPr>
            <w:r>
              <w:rPr>
                <w:rFonts w:cs="Arial"/>
                <w:sz w:val="24"/>
                <w:szCs w:val="24"/>
              </w:rPr>
              <w:t>D59</w:t>
            </w:r>
          </w:p>
        </w:tc>
        <w:tc>
          <w:tcPr>
            <w:tcW w:w="3117" w:type="dxa"/>
          </w:tcPr>
          <w:p w14:paraId="2C943AFA" w14:textId="3DB4BF47" w:rsidR="005B4582" w:rsidRDefault="005B4582" w:rsidP="00AC166D">
            <w:pPr>
              <w:autoSpaceDE w:val="0"/>
              <w:autoSpaceDN w:val="0"/>
              <w:adjustRightInd w:val="0"/>
              <w:rPr>
                <w:rFonts w:cs="Arial"/>
                <w:sz w:val="24"/>
                <w:szCs w:val="24"/>
              </w:rPr>
            </w:pPr>
            <w:r>
              <w:rPr>
                <w:rFonts w:cs="Arial"/>
                <w:sz w:val="24"/>
                <w:szCs w:val="24"/>
              </w:rPr>
              <w:t>($3,094,923)</w:t>
            </w:r>
          </w:p>
        </w:tc>
      </w:tr>
      <w:tr w:rsidR="005B4582" w14:paraId="6A9DED9D" w14:textId="77777777" w:rsidTr="005B4582">
        <w:tc>
          <w:tcPr>
            <w:tcW w:w="5035" w:type="dxa"/>
          </w:tcPr>
          <w:p w14:paraId="286FAB5B" w14:textId="73DE1C43" w:rsidR="005B4582" w:rsidRDefault="005B4582" w:rsidP="00AC166D">
            <w:pPr>
              <w:autoSpaceDE w:val="0"/>
              <w:autoSpaceDN w:val="0"/>
              <w:adjustRightInd w:val="0"/>
              <w:rPr>
                <w:rFonts w:cs="Arial"/>
                <w:sz w:val="24"/>
                <w:szCs w:val="24"/>
              </w:rPr>
            </w:pPr>
            <w:r>
              <w:rPr>
                <w:rFonts w:cs="Arial"/>
                <w:sz w:val="24"/>
                <w:szCs w:val="24"/>
              </w:rPr>
              <w:t>Total:  Rate Rider 3 for Disposition of Deferral and Variance Accounts (2015)</w:t>
            </w:r>
          </w:p>
        </w:tc>
        <w:tc>
          <w:tcPr>
            <w:tcW w:w="1198" w:type="dxa"/>
          </w:tcPr>
          <w:p w14:paraId="5F0D7CF3" w14:textId="1829B071" w:rsidR="005B4582" w:rsidRDefault="005B4582" w:rsidP="00AC166D">
            <w:pPr>
              <w:autoSpaceDE w:val="0"/>
              <w:autoSpaceDN w:val="0"/>
              <w:adjustRightInd w:val="0"/>
              <w:rPr>
                <w:rFonts w:cs="Arial"/>
                <w:sz w:val="24"/>
                <w:szCs w:val="24"/>
              </w:rPr>
            </w:pPr>
            <w:r>
              <w:rPr>
                <w:rFonts w:cs="Arial"/>
                <w:sz w:val="24"/>
                <w:szCs w:val="24"/>
              </w:rPr>
              <w:t>D204</w:t>
            </w:r>
          </w:p>
        </w:tc>
        <w:tc>
          <w:tcPr>
            <w:tcW w:w="3117" w:type="dxa"/>
          </w:tcPr>
          <w:p w14:paraId="237F6DA4" w14:textId="055E8F16" w:rsidR="005B4582" w:rsidRDefault="005B4582" w:rsidP="00AC166D">
            <w:pPr>
              <w:autoSpaceDE w:val="0"/>
              <w:autoSpaceDN w:val="0"/>
              <w:adjustRightInd w:val="0"/>
              <w:rPr>
                <w:rFonts w:cs="Arial"/>
                <w:sz w:val="24"/>
                <w:szCs w:val="24"/>
              </w:rPr>
            </w:pPr>
            <w:r>
              <w:rPr>
                <w:rFonts w:cs="Arial"/>
                <w:sz w:val="24"/>
                <w:szCs w:val="24"/>
              </w:rPr>
              <w:t>($2,151,440)</w:t>
            </w:r>
          </w:p>
        </w:tc>
      </w:tr>
    </w:tbl>
    <w:p w14:paraId="5048E6DD" w14:textId="77777777" w:rsidR="00AC166D" w:rsidRPr="00AC166D" w:rsidRDefault="00AC166D" w:rsidP="00AC166D">
      <w:pPr>
        <w:autoSpaceDE w:val="0"/>
        <w:autoSpaceDN w:val="0"/>
        <w:adjustRightInd w:val="0"/>
        <w:spacing w:after="0" w:line="240" w:lineRule="auto"/>
        <w:rPr>
          <w:rFonts w:cs="Arial"/>
          <w:sz w:val="24"/>
          <w:szCs w:val="24"/>
        </w:rPr>
      </w:pPr>
    </w:p>
    <w:p w14:paraId="17CD9CD5" w14:textId="32A2359F" w:rsidR="00AC166D" w:rsidRPr="00AC166D" w:rsidRDefault="00AC166D" w:rsidP="00EA44EA">
      <w:pPr>
        <w:pStyle w:val="ListParagraph"/>
        <w:numPr>
          <w:ilvl w:val="0"/>
          <w:numId w:val="3"/>
        </w:numPr>
        <w:autoSpaceDE w:val="0"/>
        <w:autoSpaceDN w:val="0"/>
        <w:adjustRightInd w:val="0"/>
        <w:spacing w:after="0" w:line="240" w:lineRule="auto"/>
        <w:ind w:left="540" w:hanging="540"/>
        <w:jc w:val="both"/>
        <w:rPr>
          <w:rFonts w:cs="Arial"/>
          <w:sz w:val="24"/>
          <w:szCs w:val="24"/>
        </w:rPr>
      </w:pPr>
      <w:r w:rsidRPr="00AC166D">
        <w:rPr>
          <w:rFonts w:cs="Arial"/>
          <w:sz w:val="24"/>
          <w:szCs w:val="24"/>
        </w:rPr>
        <w:t xml:space="preserve">Please explain the </w:t>
      </w:r>
      <w:r w:rsidR="005B4582">
        <w:rPr>
          <w:rFonts w:cs="Arial"/>
          <w:sz w:val="24"/>
          <w:szCs w:val="24"/>
        </w:rPr>
        <w:t>large residual balance, $2,437,103, in 1595 (2015).</w:t>
      </w:r>
    </w:p>
    <w:p w14:paraId="4606441C" w14:textId="77777777" w:rsidR="00AC166D" w:rsidRPr="00AC166D" w:rsidRDefault="00AC166D" w:rsidP="00EA44EA">
      <w:pPr>
        <w:autoSpaceDE w:val="0"/>
        <w:autoSpaceDN w:val="0"/>
        <w:adjustRightInd w:val="0"/>
        <w:spacing w:after="0" w:line="240" w:lineRule="auto"/>
        <w:jc w:val="both"/>
        <w:rPr>
          <w:rFonts w:cs="Arial"/>
          <w:sz w:val="24"/>
          <w:szCs w:val="24"/>
        </w:rPr>
      </w:pPr>
    </w:p>
    <w:p w14:paraId="796FD0DE" w14:textId="3C9956ED" w:rsidR="00AC166D" w:rsidRPr="00AC166D" w:rsidRDefault="005B4582" w:rsidP="00EA44EA">
      <w:pPr>
        <w:pStyle w:val="ListParagraph"/>
        <w:numPr>
          <w:ilvl w:val="0"/>
          <w:numId w:val="3"/>
        </w:numPr>
        <w:autoSpaceDE w:val="0"/>
        <w:autoSpaceDN w:val="0"/>
        <w:adjustRightInd w:val="0"/>
        <w:spacing w:after="0" w:line="240" w:lineRule="auto"/>
        <w:ind w:left="540" w:hanging="540"/>
        <w:jc w:val="both"/>
        <w:rPr>
          <w:rFonts w:cs="Arial"/>
          <w:sz w:val="24"/>
          <w:szCs w:val="24"/>
        </w:rPr>
      </w:pPr>
      <w:r>
        <w:rPr>
          <w:rFonts w:cs="Arial"/>
          <w:sz w:val="24"/>
          <w:szCs w:val="24"/>
        </w:rPr>
        <w:t xml:space="preserve">Please explain the difference between what was approved by the OEB in EB-2014-0072 and the 1595 Analysis </w:t>
      </w:r>
      <w:proofErr w:type="spellStart"/>
      <w:r>
        <w:rPr>
          <w:rFonts w:cs="Arial"/>
          <w:sz w:val="24"/>
          <w:szCs w:val="24"/>
        </w:rPr>
        <w:t>Workform</w:t>
      </w:r>
      <w:proofErr w:type="spellEnd"/>
      <w:r>
        <w:rPr>
          <w:rFonts w:cs="Arial"/>
          <w:sz w:val="24"/>
          <w:szCs w:val="24"/>
        </w:rPr>
        <w:t>.</w:t>
      </w:r>
    </w:p>
    <w:p w14:paraId="51ACC7AA" w14:textId="77777777" w:rsidR="00AC166D" w:rsidRPr="00AC166D" w:rsidRDefault="00AC166D" w:rsidP="00EA44EA">
      <w:pPr>
        <w:autoSpaceDE w:val="0"/>
        <w:autoSpaceDN w:val="0"/>
        <w:adjustRightInd w:val="0"/>
        <w:spacing w:after="0" w:line="240" w:lineRule="auto"/>
        <w:jc w:val="both"/>
        <w:rPr>
          <w:rFonts w:cs="Arial"/>
          <w:sz w:val="24"/>
          <w:szCs w:val="24"/>
        </w:rPr>
      </w:pPr>
    </w:p>
    <w:p w14:paraId="6C7497B3" w14:textId="213CB062" w:rsidR="00AC166D" w:rsidRPr="009A172C" w:rsidRDefault="005B4582" w:rsidP="00EA44EA">
      <w:pPr>
        <w:pStyle w:val="ListParagraph"/>
        <w:numPr>
          <w:ilvl w:val="0"/>
          <w:numId w:val="3"/>
        </w:numPr>
        <w:autoSpaceDE w:val="0"/>
        <w:autoSpaceDN w:val="0"/>
        <w:adjustRightInd w:val="0"/>
        <w:spacing w:after="0" w:line="240" w:lineRule="auto"/>
        <w:ind w:left="540" w:hanging="540"/>
        <w:jc w:val="both"/>
        <w:rPr>
          <w:rFonts w:cs="Arial"/>
          <w:b/>
          <w:bCs/>
          <w:sz w:val="24"/>
          <w:szCs w:val="24"/>
        </w:rPr>
      </w:pPr>
      <w:r>
        <w:rPr>
          <w:rFonts w:cs="Arial"/>
          <w:sz w:val="24"/>
          <w:szCs w:val="24"/>
        </w:rPr>
        <w:t xml:space="preserve">OEB staff expects the allocated balances in Step 3 in the </w:t>
      </w:r>
      <w:proofErr w:type="spellStart"/>
      <w:r>
        <w:rPr>
          <w:rFonts w:cs="Arial"/>
          <w:sz w:val="24"/>
          <w:szCs w:val="24"/>
        </w:rPr>
        <w:t>Workform</w:t>
      </w:r>
      <w:proofErr w:type="spellEnd"/>
      <w:r>
        <w:rPr>
          <w:rFonts w:cs="Arial"/>
          <w:sz w:val="24"/>
          <w:szCs w:val="24"/>
        </w:rPr>
        <w:t xml:space="preserve"> for Rate Rater 1 and 3 to equal the total Group 1 and 2 balances (excluding GA) from Step 1 in the </w:t>
      </w:r>
      <w:proofErr w:type="spellStart"/>
      <w:r>
        <w:rPr>
          <w:rFonts w:cs="Arial"/>
          <w:sz w:val="24"/>
          <w:szCs w:val="24"/>
        </w:rPr>
        <w:t>workform</w:t>
      </w:r>
      <w:proofErr w:type="spellEnd"/>
      <w:r>
        <w:rPr>
          <w:rFonts w:cs="Arial"/>
          <w:sz w:val="24"/>
          <w:szCs w:val="24"/>
        </w:rPr>
        <w:t>.  Please reconcile the significant difference between the two numbers.</w:t>
      </w:r>
    </w:p>
    <w:p w14:paraId="13227568" w14:textId="77777777" w:rsidR="009A172C" w:rsidRPr="009A172C" w:rsidRDefault="009A172C" w:rsidP="009A172C">
      <w:pPr>
        <w:pStyle w:val="ListParagraph"/>
        <w:rPr>
          <w:rFonts w:cs="Arial"/>
          <w:b/>
          <w:bCs/>
          <w:sz w:val="24"/>
          <w:szCs w:val="24"/>
        </w:rPr>
      </w:pPr>
    </w:p>
    <w:p w14:paraId="30476822" w14:textId="624AD4C7" w:rsidR="009A172C" w:rsidRPr="00AC166D" w:rsidRDefault="009A172C" w:rsidP="00EA44EA">
      <w:pPr>
        <w:pStyle w:val="ListParagraph"/>
        <w:numPr>
          <w:ilvl w:val="0"/>
          <w:numId w:val="3"/>
        </w:numPr>
        <w:autoSpaceDE w:val="0"/>
        <w:autoSpaceDN w:val="0"/>
        <w:adjustRightInd w:val="0"/>
        <w:spacing w:after="0" w:line="240" w:lineRule="auto"/>
        <w:ind w:left="540" w:hanging="540"/>
        <w:jc w:val="both"/>
        <w:rPr>
          <w:rFonts w:cs="Arial"/>
          <w:b/>
          <w:bCs/>
          <w:sz w:val="24"/>
          <w:szCs w:val="24"/>
        </w:rPr>
      </w:pPr>
      <w:r>
        <w:rPr>
          <w:rFonts w:cs="Arial"/>
          <w:sz w:val="24"/>
          <w:szCs w:val="24"/>
        </w:rPr>
        <w:t>Similarly, OEB staff expects the calculated variance for each rate rider in Step 3 to equal the total residual balance presented in Step 1.  This figure is automatically calculated in Cell J240.  Please explain why there is a significant variance of ($1,657,548).</w:t>
      </w:r>
    </w:p>
    <w:p w14:paraId="6E3CB9F8" w14:textId="77777777" w:rsidR="001719DE" w:rsidRPr="00AC166D" w:rsidRDefault="001719DE" w:rsidP="006315D4">
      <w:pPr>
        <w:pStyle w:val="NoSpacing"/>
        <w:rPr>
          <w:b/>
          <w:sz w:val="24"/>
          <w:szCs w:val="24"/>
        </w:rPr>
      </w:pPr>
    </w:p>
    <w:p w14:paraId="3E83F28C" w14:textId="77777777" w:rsidR="00A90180" w:rsidRDefault="00A90180" w:rsidP="00A90180">
      <w:pPr>
        <w:pStyle w:val="Quote"/>
      </w:pPr>
      <w:bookmarkStart w:id="7" w:name="_Toc535825580"/>
      <w:r>
        <w:lastRenderedPageBreak/>
        <w:t>Response</w:t>
      </w:r>
      <w:bookmarkEnd w:id="7"/>
    </w:p>
    <w:p w14:paraId="509674DD" w14:textId="5B45A68A" w:rsidR="006A3412" w:rsidRDefault="00F954DA" w:rsidP="00EA44EA">
      <w:pPr>
        <w:pStyle w:val="ListParagraph"/>
        <w:numPr>
          <w:ilvl w:val="0"/>
          <w:numId w:val="16"/>
        </w:numPr>
        <w:jc w:val="both"/>
        <w:rPr>
          <w:sz w:val="24"/>
          <w:szCs w:val="24"/>
          <w:lang w:val="en-CA"/>
        </w:rPr>
      </w:pPr>
      <w:r w:rsidRPr="006A3412">
        <w:rPr>
          <w:sz w:val="24"/>
          <w:szCs w:val="24"/>
          <w:lang w:val="en-CA"/>
        </w:rPr>
        <w:t xml:space="preserve">The largest component of the residual balance relates to the balance that was over-refunded to customers </w:t>
      </w:r>
      <w:r w:rsidR="00EA44EA">
        <w:rPr>
          <w:sz w:val="24"/>
          <w:szCs w:val="24"/>
          <w:lang w:val="en-CA"/>
        </w:rPr>
        <w:t xml:space="preserve">identified previously by the OEB </w:t>
      </w:r>
      <w:r w:rsidRPr="006A3412">
        <w:rPr>
          <w:sz w:val="24"/>
          <w:szCs w:val="24"/>
          <w:lang w:val="en-CA"/>
        </w:rPr>
        <w:t>and is being brought forward</w:t>
      </w:r>
      <w:r w:rsidR="006A3412" w:rsidRPr="006A3412">
        <w:rPr>
          <w:sz w:val="24"/>
          <w:szCs w:val="24"/>
          <w:lang w:val="en-CA"/>
        </w:rPr>
        <w:t xml:space="preserve"> for disposition</w:t>
      </w:r>
      <w:r w:rsidR="006A3412">
        <w:rPr>
          <w:sz w:val="24"/>
          <w:szCs w:val="24"/>
          <w:lang w:val="en-CA"/>
        </w:rPr>
        <w:t xml:space="preserve"> in the amount of $1,510,347.  Other components</w:t>
      </w:r>
      <w:r w:rsidR="00ED4BF6">
        <w:rPr>
          <w:sz w:val="24"/>
          <w:szCs w:val="24"/>
          <w:lang w:val="en-CA"/>
        </w:rPr>
        <w:t xml:space="preserve"> of the balance</w:t>
      </w:r>
      <w:r w:rsidR="006A3412">
        <w:rPr>
          <w:sz w:val="24"/>
          <w:szCs w:val="24"/>
          <w:lang w:val="en-CA"/>
        </w:rPr>
        <w:t xml:space="preserve"> are the residuals from four </w:t>
      </w:r>
      <w:r w:rsidR="00EA44EA">
        <w:rPr>
          <w:sz w:val="24"/>
          <w:szCs w:val="24"/>
          <w:lang w:val="en-CA"/>
        </w:rPr>
        <w:t xml:space="preserve">(4) </w:t>
      </w:r>
      <w:r w:rsidR="006A3412">
        <w:rPr>
          <w:sz w:val="24"/>
          <w:szCs w:val="24"/>
          <w:lang w:val="en-CA"/>
        </w:rPr>
        <w:t>rate riders, as well as interest and projected interest.</w:t>
      </w:r>
    </w:p>
    <w:p w14:paraId="76D58CD1" w14:textId="77777777" w:rsidR="00BA7367" w:rsidRPr="00BA7367" w:rsidRDefault="00BA7367" w:rsidP="00BA7367">
      <w:pPr>
        <w:rPr>
          <w:sz w:val="24"/>
          <w:szCs w:val="24"/>
          <w:lang w:val="en-CA"/>
        </w:rPr>
      </w:pPr>
    </w:p>
    <w:p w14:paraId="3BD72FA8" w14:textId="4D86E2A4" w:rsidR="006A3412" w:rsidRDefault="006A3412" w:rsidP="00EA44EA">
      <w:pPr>
        <w:pStyle w:val="ListParagraph"/>
        <w:numPr>
          <w:ilvl w:val="0"/>
          <w:numId w:val="16"/>
        </w:numPr>
        <w:jc w:val="both"/>
        <w:rPr>
          <w:sz w:val="24"/>
          <w:szCs w:val="24"/>
          <w:lang w:val="en-CA"/>
        </w:rPr>
      </w:pPr>
      <w:r>
        <w:rPr>
          <w:sz w:val="24"/>
          <w:szCs w:val="24"/>
          <w:lang w:val="en-CA"/>
        </w:rPr>
        <w:t xml:space="preserve">The difference between the OEB-approved amount per EB-2014-0072 and the 1595 Analysis </w:t>
      </w:r>
      <w:proofErr w:type="spellStart"/>
      <w:r>
        <w:rPr>
          <w:sz w:val="24"/>
          <w:szCs w:val="24"/>
          <w:lang w:val="en-CA"/>
        </w:rPr>
        <w:t>Workform</w:t>
      </w:r>
      <w:proofErr w:type="spellEnd"/>
      <w:r>
        <w:rPr>
          <w:sz w:val="24"/>
          <w:szCs w:val="24"/>
          <w:lang w:val="en-CA"/>
        </w:rPr>
        <w:t xml:space="preserve"> is $1,510,347, which is the balance that was over-refunded to customers </w:t>
      </w:r>
      <w:r w:rsidR="00EA44EA">
        <w:rPr>
          <w:sz w:val="24"/>
          <w:szCs w:val="24"/>
          <w:lang w:val="en-CA"/>
        </w:rPr>
        <w:t xml:space="preserve">identified previously by the OEB </w:t>
      </w:r>
      <w:r>
        <w:rPr>
          <w:sz w:val="24"/>
          <w:szCs w:val="24"/>
          <w:lang w:val="en-CA"/>
        </w:rPr>
        <w:t>and is being brought forward for disposition at this time.</w:t>
      </w:r>
    </w:p>
    <w:p w14:paraId="350CFA1B" w14:textId="77777777" w:rsidR="00BA7367" w:rsidRPr="00BA7367" w:rsidRDefault="00BA7367" w:rsidP="00BA7367">
      <w:pPr>
        <w:pStyle w:val="ListParagraph"/>
        <w:rPr>
          <w:sz w:val="24"/>
          <w:szCs w:val="24"/>
          <w:lang w:val="en-CA"/>
        </w:rPr>
      </w:pPr>
    </w:p>
    <w:p w14:paraId="3888BD3E" w14:textId="1ECE3BCE" w:rsidR="006A3412" w:rsidRDefault="006A3412" w:rsidP="002A4C15">
      <w:pPr>
        <w:pStyle w:val="ListParagraph"/>
        <w:numPr>
          <w:ilvl w:val="0"/>
          <w:numId w:val="16"/>
        </w:numPr>
        <w:jc w:val="both"/>
        <w:rPr>
          <w:sz w:val="24"/>
          <w:szCs w:val="24"/>
          <w:lang w:val="en-CA"/>
        </w:rPr>
      </w:pPr>
      <w:r>
        <w:rPr>
          <w:sz w:val="24"/>
          <w:szCs w:val="24"/>
          <w:lang w:val="en-CA"/>
        </w:rPr>
        <w:t xml:space="preserve">The difference </w:t>
      </w:r>
      <w:r w:rsidR="00BA7367">
        <w:rPr>
          <w:sz w:val="24"/>
          <w:szCs w:val="24"/>
          <w:lang w:val="en-CA"/>
        </w:rPr>
        <w:t xml:space="preserve">between the allocated balances in Step 3 of the 1595 Analysis </w:t>
      </w:r>
      <w:proofErr w:type="spellStart"/>
      <w:r w:rsidR="00BA7367">
        <w:rPr>
          <w:sz w:val="24"/>
          <w:szCs w:val="24"/>
          <w:lang w:val="en-CA"/>
        </w:rPr>
        <w:t>Workform</w:t>
      </w:r>
      <w:proofErr w:type="spellEnd"/>
      <w:r w:rsidR="00BA7367">
        <w:rPr>
          <w:sz w:val="24"/>
          <w:szCs w:val="24"/>
          <w:lang w:val="en-CA"/>
        </w:rPr>
        <w:t xml:space="preserve"> for Rate Riders 1 and 3 and the total Group 1 and 2 balances (excluding GA) from Step 1 of the </w:t>
      </w:r>
      <w:proofErr w:type="spellStart"/>
      <w:r w:rsidR="00BA7367">
        <w:rPr>
          <w:sz w:val="24"/>
          <w:szCs w:val="24"/>
          <w:lang w:val="en-CA"/>
        </w:rPr>
        <w:t>workform</w:t>
      </w:r>
      <w:proofErr w:type="spellEnd"/>
      <w:r w:rsidR="00BA7367">
        <w:rPr>
          <w:sz w:val="24"/>
          <w:szCs w:val="24"/>
          <w:lang w:val="en-CA"/>
        </w:rPr>
        <w:t xml:space="preserve"> </w:t>
      </w:r>
      <w:r w:rsidR="00E11ADC">
        <w:rPr>
          <w:sz w:val="24"/>
          <w:szCs w:val="24"/>
          <w:lang w:val="en-CA"/>
        </w:rPr>
        <w:t>of</w:t>
      </w:r>
      <w:r w:rsidR="00BA7367">
        <w:rPr>
          <w:sz w:val="24"/>
          <w:szCs w:val="24"/>
          <w:lang w:val="en-CA"/>
        </w:rPr>
        <w:t xml:space="preserve"> $1,402,952 and is made up of the balance that was over-refunded to customers </w:t>
      </w:r>
      <w:r w:rsidR="0081232C">
        <w:rPr>
          <w:sz w:val="24"/>
          <w:szCs w:val="24"/>
          <w:lang w:val="en-CA"/>
        </w:rPr>
        <w:t>identified</w:t>
      </w:r>
      <w:r w:rsidR="002A4C15">
        <w:rPr>
          <w:sz w:val="24"/>
          <w:szCs w:val="24"/>
          <w:lang w:val="en-CA"/>
        </w:rPr>
        <w:t xml:space="preserve"> previously by the OEB</w:t>
      </w:r>
      <w:r w:rsidR="00BA7367">
        <w:rPr>
          <w:sz w:val="24"/>
          <w:szCs w:val="24"/>
          <w:lang w:val="en-CA"/>
        </w:rPr>
        <w:t xml:space="preserve"> and is being brought forward for disposition ($1,510,347), offset by the omission of consumption data associated with the General Service 3,000-4,999 kW rate class ($107,394) that was supported by the OEB in EB-2014-0072.</w:t>
      </w:r>
    </w:p>
    <w:p w14:paraId="4A945137" w14:textId="77777777" w:rsidR="00BA7367" w:rsidRPr="00BA7367" w:rsidRDefault="00BA7367" w:rsidP="00BA7367">
      <w:pPr>
        <w:pStyle w:val="ListParagraph"/>
        <w:rPr>
          <w:sz w:val="24"/>
          <w:szCs w:val="24"/>
          <w:lang w:val="en-CA"/>
        </w:rPr>
      </w:pPr>
    </w:p>
    <w:p w14:paraId="2BB8C6D3" w14:textId="7F4F108F" w:rsidR="00CB6E43" w:rsidRDefault="00CA1E72" w:rsidP="002A4C15">
      <w:pPr>
        <w:pStyle w:val="ListParagraph"/>
        <w:numPr>
          <w:ilvl w:val="0"/>
          <w:numId w:val="16"/>
        </w:numPr>
        <w:jc w:val="both"/>
        <w:rPr>
          <w:sz w:val="24"/>
          <w:szCs w:val="24"/>
          <w:lang w:val="en-CA"/>
        </w:rPr>
      </w:pPr>
      <w:r>
        <w:rPr>
          <w:sz w:val="24"/>
          <w:szCs w:val="24"/>
          <w:lang w:val="en-CA"/>
        </w:rPr>
        <w:t>T</w:t>
      </w:r>
      <w:r w:rsidR="00BA7367">
        <w:rPr>
          <w:sz w:val="24"/>
          <w:szCs w:val="24"/>
          <w:lang w:val="en-CA"/>
        </w:rPr>
        <w:t xml:space="preserve">he </w:t>
      </w:r>
      <w:r w:rsidR="002C260C">
        <w:rPr>
          <w:sz w:val="24"/>
          <w:szCs w:val="24"/>
          <w:lang w:val="en-CA"/>
        </w:rPr>
        <w:t>differenc</w:t>
      </w:r>
      <w:r w:rsidR="00BA7367">
        <w:rPr>
          <w:sz w:val="24"/>
          <w:szCs w:val="24"/>
          <w:lang w:val="en-CA"/>
        </w:rPr>
        <w:t>e</w:t>
      </w:r>
      <w:r w:rsidR="00080D01">
        <w:rPr>
          <w:sz w:val="24"/>
          <w:szCs w:val="24"/>
          <w:lang w:val="en-CA"/>
        </w:rPr>
        <w:t xml:space="preserve"> between the calculated variance for each rate rider in Step 3</w:t>
      </w:r>
      <w:r w:rsidR="00E11ADC">
        <w:rPr>
          <w:sz w:val="24"/>
          <w:szCs w:val="24"/>
          <w:lang w:val="en-CA"/>
        </w:rPr>
        <w:t xml:space="preserve"> of the 1595 Analysis </w:t>
      </w:r>
      <w:proofErr w:type="spellStart"/>
      <w:r w:rsidR="00E11ADC">
        <w:rPr>
          <w:sz w:val="24"/>
          <w:szCs w:val="24"/>
          <w:lang w:val="en-CA"/>
        </w:rPr>
        <w:t>Workform</w:t>
      </w:r>
      <w:proofErr w:type="spellEnd"/>
      <w:r w:rsidR="00080D01">
        <w:rPr>
          <w:sz w:val="24"/>
          <w:szCs w:val="24"/>
          <w:lang w:val="en-CA"/>
        </w:rPr>
        <w:t xml:space="preserve"> and the total residual balance presented in Step 1</w:t>
      </w:r>
      <w:r w:rsidR="00547AD6">
        <w:rPr>
          <w:sz w:val="24"/>
          <w:szCs w:val="24"/>
          <w:lang w:val="en-CA"/>
        </w:rPr>
        <w:t xml:space="preserve"> of the </w:t>
      </w:r>
      <w:proofErr w:type="spellStart"/>
      <w:r w:rsidR="00547AD6">
        <w:rPr>
          <w:sz w:val="24"/>
          <w:szCs w:val="24"/>
          <w:lang w:val="en-CA"/>
        </w:rPr>
        <w:t>workform</w:t>
      </w:r>
      <w:proofErr w:type="spellEnd"/>
      <w:r w:rsidR="00CB6E43">
        <w:rPr>
          <w:sz w:val="24"/>
          <w:szCs w:val="24"/>
          <w:lang w:val="en-CA"/>
        </w:rPr>
        <w:t xml:space="preserve"> is</w:t>
      </w:r>
      <w:r w:rsidR="00E11ADC">
        <w:rPr>
          <w:sz w:val="24"/>
          <w:szCs w:val="24"/>
          <w:lang w:val="en-CA"/>
        </w:rPr>
        <w:t xml:space="preserve"> comprised</w:t>
      </w:r>
      <w:r w:rsidR="00CB6E43">
        <w:rPr>
          <w:sz w:val="24"/>
          <w:szCs w:val="24"/>
          <w:lang w:val="en-CA"/>
        </w:rPr>
        <w:t xml:space="preserve"> of the balance that was over-refunded to customers </w:t>
      </w:r>
      <w:r w:rsidR="002A4C15">
        <w:rPr>
          <w:sz w:val="24"/>
          <w:szCs w:val="24"/>
          <w:lang w:val="en-CA"/>
        </w:rPr>
        <w:t xml:space="preserve">identified previously by the OEB </w:t>
      </w:r>
      <w:r w:rsidR="00CB6E43">
        <w:rPr>
          <w:sz w:val="24"/>
          <w:szCs w:val="24"/>
          <w:lang w:val="en-CA"/>
        </w:rPr>
        <w:t>and is being brought forward for disposition ($1,510,347), the omission of consumption data associated with the General Service 3,000-4,999 kW rate class ($107,394) that was supported by the OEB in EB-2014-0072</w:t>
      </w:r>
      <w:r>
        <w:rPr>
          <w:sz w:val="24"/>
          <w:szCs w:val="24"/>
          <w:lang w:val="en-CA"/>
        </w:rPr>
        <w:t xml:space="preserve">, </w:t>
      </w:r>
      <w:r w:rsidR="00EE04A9">
        <w:rPr>
          <w:sz w:val="24"/>
          <w:szCs w:val="24"/>
          <w:lang w:val="en-CA"/>
        </w:rPr>
        <w:t>and</w:t>
      </w:r>
      <w:r w:rsidR="002A4C15">
        <w:rPr>
          <w:sz w:val="24"/>
          <w:szCs w:val="24"/>
          <w:lang w:val="en-CA"/>
        </w:rPr>
        <w:t xml:space="preserve"> an additional miscellaneous balance </w:t>
      </w:r>
      <w:r>
        <w:rPr>
          <w:sz w:val="24"/>
          <w:szCs w:val="24"/>
          <w:lang w:val="en-CA"/>
        </w:rPr>
        <w:t>($39,807).</w:t>
      </w:r>
    </w:p>
    <w:p w14:paraId="5AA2E68A" w14:textId="0CF0E106" w:rsidR="007A29D2" w:rsidRDefault="007A29D2" w:rsidP="00A90180">
      <w:pPr>
        <w:rPr>
          <w:sz w:val="24"/>
          <w:szCs w:val="24"/>
          <w:lang w:val="en-CA"/>
        </w:rPr>
      </w:pPr>
    </w:p>
    <w:p w14:paraId="0FF56B44" w14:textId="22FC2B39" w:rsidR="00EE04A9" w:rsidRDefault="00EE04A9" w:rsidP="00A90180">
      <w:pPr>
        <w:rPr>
          <w:sz w:val="24"/>
          <w:szCs w:val="24"/>
          <w:lang w:val="en-CA"/>
        </w:rPr>
      </w:pPr>
    </w:p>
    <w:p w14:paraId="3F12F323" w14:textId="30BB700E" w:rsidR="00EE04A9" w:rsidRDefault="00EE04A9" w:rsidP="00A90180">
      <w:pPr>
        <w:rPr>
          <w:sz w:val="24"/>
          <w:szCs w:val="24"/>
          <w:lang w:val="en-CA"/>
        </w:rPr>
      </w:pPr>
    </w:p>
    <w:p w14:paraId="21C69DAF" w14:textId="77777777" w:rsidR="00EE04A9" w:rsidRDefault="00EE04A9" w:rsidP="00A90180">
      <w:pPr>
        <w:rPr>
          <w:sz w:val="24"/>
          <w:szCs w:val="24"/>
          <w:lang w:val="en-CA"/>
        </w:rPr>
      </w:pPr>
    </w:p>
    <w:p w14:paraId="238CD387" w14:textId="1DB8D09F" w:rsidR="00A90180" w:rsidRDefault="00F20C07" w:rsidP="00A90180">
      <w:pPr>
        <w:pStyle w:val="IntenseQuote"/>
      </w:pPr>
      <w:bookmarkStart w:id="8" w:name="_Toc535825581"/>
      <w:r>
        <w:lastRenderedPageBreak/>
        <w:t xml:space="preserve">Staff </w:t>
      </w:r>
      <w:r w:rsidR="00AC166D">
        <w:t>Question #4</w:t>
      </w:r>
      <w:bookmarkEnd w:id="8"/>
      <w:r w:rsidR="00CB005B">
        <w:t xml:space="preserve"> </w:t>
      </w:r>
    </w:p>
    <w:p w14:paraId="2A8E34FD" w14:textId="2AA214AD" w:rsidR="00AC166D" w:rsidRDefault="00AC166D" w:rsidP="00AC166D">
      <w:pPr>
        <w:spacing w:after="0" w:line="240" w:lineRule="auto"/>
        <w:rPr>
          <w:rFonts w:cs="Arial"/>
          <w:b/>
          <w:sz w:val="24"/>
          <w:szCs w:val="24"/>
        </w:rPr>
      </w:pPr>
      <w:bookmarkStart w:id="9" w:name="_Hlk535216610"/>
      <w:r w:rsidRPr="00AC166D">
        <w:rPr>
          <w:rFonts w:cs="Arial"/>
          <w:b/>
          <w:sz w:val="24"/>
          <w:szCs w:val="24"/>
        </w:rPr>
        <w:t xml:space="preserve">Ref: </w:t>
      </w:r>
      <w:r w:rsidR="009A172C">
        <w:rPr>
          <w:rFonts w:cs="Arial"/>
          <w:b/>
          <w:sz w:val="24"/>
          <w:szCs w:val="24"/>
        </w:rPr>
        <w:t>Manager’s Summary, page 3</w:t>
      </w:r>
    </w:p>
    <w:p w14:paraId="27000A17" w14:textId="46CE464D" w:rsidR="009A172C" w:rsidRPr="00AC166D" w:rsidRDefault="009A172C" w:rsidP="00AC166D">
      <w:pPr>
        <w:spacing w:after="0" w:line="240" w:lineRule="auto"/>
        <w:rPr>
          <w:rFonts w:cs="Arial"/>
          <w:b/>
          <w:sz w:val="24"/>
          <w:szCs w:val="24"/>
        </w:rPr>
      </w:pPr>
      <w:r>
        <w:rPr>
          <w:rFonts w:cs="Arial"/>
          <w:b/>
          <w:sz w:val="24"/>
          <w:szCs w:val="24"/>
        </w:rPr>
        <w:t xml:space="preserve">        GA Analysis </w:t>
      </w:r>
      <w:proofErr w:type="spellStart"/>
      <w:r>
        <w:rPr>
          <w:rFonts w:cs="Arial"/>
          <w:b/>
          <w:sz w:val="24"/>
          <w:szCs w:val="24"/>
        </w:rPr>
        <w:t>Workform</w:t>
      </w:r>
      <w:proofErr w:type="spellEnd"/>
    </w:p>
    <w:p w14:paraId="3AA2D196" w14:textId="77777777" w:rsidR="00AC166D" w:rsidRPr="00F50E81" w:rsidRDefault="00AC166D" w:rsidP="00AC166D">
      <w:pPr>
        <w:spacing w:after="0" w:line="240" w:lineRule="auto"/>
        <w:rPr>
          <w:rFonts w:ascii="Arial" w:hAnsi="Arial" w:cs="Arial"/>
          <w:b/>
          <w:sz w:val="24"/>
          <w:szCs w:val="24"/>
        </w:rPr>
      </w:pPr>
    </w:p>
    <w:p w14:paraId="105CF8A0" w14:textId="1B5B13C0" w:rsidR="00AC166D" w:rsidRPr="00AC166D" w:rsidRDefault="009A172C" w:rsidP="00612446">
      <w:pPr>
        <w:jc w:val="both"/>
        <w:rPr>
          <w:rFonts w:cs="Arial"/>
          <w:sz w:val="24"/>
          <w:szCs w:val="24"/>
        </w:rPr>
      </w:pPr>
      <w:r>
        <w:rPr>
          <w:rFonts w:cs="Arial"/>
          <w:sz w:val="24"/>
          <w:szCs w:val="24"/>
        </w:rPr>
        <w:t xml:space="preserve">Essex Powerlines </w:t>
      </w:r>
      <w:r w:rsidR="003105D3">
        <w:rPr>
          <w:rFonts w:cs="Arial"/>
          <w:sz w:val="24"/>
          <w:szCs w:val="24"/>
        </w:rPr>
        <w:t xml:space="preserve">states that a material adjustment was made to reallocate $1.4M between Accounts 1588 and 1589 in 2019.  The principal adjustment tab of the GA Analysis </w:t>
      </w:r>
      <w:proofErr w:type="spellStart"/>
      <w:r w:rsidR="003105D3">
        <w:rPr>
          <w:rFonts w:cs="Arial"/>
          <w:sz w:val="24"/>
          <w:szCs w:val="24"/>
        </w:rPr>
        <w:t>Workform</w:t>
      </w:r>
      <w:proofErr w:type="spellEnd"/>
      <w:r w:rsidR="003105D3">
        <w:rPr>
          <w:rFonts w:cs="Arial"/>
          <w:sz w:val="24"/>
          <w:szCs w:val="24"/>
        </w:rPr>
        <w:t xml:space="preserve"> includes this reallocation for 2019.</w:t>
      </w:r>
    </w:p>
    <w:p w14:paraId="4FAB14A8" w14:textId="14F04F03" w:rsidR="006C1A3D" w:rsidRDefault="006C1A3D" w:rsidP="006C1A3D">
      <w:pPr>
        <w:numPr>
          <w:ilvl w:val="0"/>
          <w:numId w:val="4"/>
        </w:numPr>
        <w:ind w:left="360"/>
        <w:contextualSpacing/>
        <w:rPr>
          <w:rFonts w:cs="Arial"/>
          <w:sz w:val="24"/>
          <w:szCs w:val="24"/>
        </w:rPr>
      </w:pPr>
      <w:r>
        <w:rPr>
          <w:rFonts w:cs="Arial"/>
          <w:sz w:val="24"/>
          <w:szCs w:val="24"/>
        </w:rPr>
        <w:t>Please explain the error that led to the material adjustment.</w:t>
      </w:r>
    </w:p>
    <w:p w14:paraId="092763E3" w14:textId="77777777" w:rsidR="0009431E" w:rsidRDefault="0009431E" w:rsidP="0009431E">
      <w:pPr>
        <w:ind w:left="360"/>
        <w:contextualSpacing/>
        <w:rPr>
          <w:rFonts w:cs="Arial"/>
          <w:sz w:val="24"/>
          <w:szCs w:val="24"/>
        </w:rPr>
      </w:pPr>
    </w:p>
    <w:p w14:paraId="6213E4E1" w14:textId="1ACB6D28" w:rsidR="006C1A3D" w:rsidRDefault="006C1A3D" w:rsidP="006C1A3D">
      <w:pPr>
        <w:numPr>
          <w:ilvl w:val="0"/>
          <w:numId w:val="4"/>
        </w:numPr>
        <w:ind w:left="360"/>
        <w:contextualSpacing/>
        <w:rPr>
          <w:rFonts w:cs="Arial"/>
          <w:sz w:val="24"/>
          <w:szCs w:val="24"/>
        </w:rPr>
      </w:pPr>
      <w:r>
        <w:rPr>
          <w:rFonts w:cs="Arial"/>
          <w:sz w:val="24"/>
          <w:szCs w:val="24"/>
        </w:rPr>
        <w:t>Please explain how the adjustment was quantified.</w:t>
      </w:r>
    </w:p>
    <w:p w14:paraId="4AFB0401" w14:textId="77777777" w:rsidR="0009431E" w:rsidRDefault="0009431E" w:rsidP="0009431E">
      <w:pPr>
        <w:ind w:left="360"/>
        <w:contextualSpacing/>
        <w:rPr>
          <w:rFonts w:cs="Arial"/>
          <w:sz w:val="24"/>
          <w:szCs w:val="24"/>
        </w:rPr>
      </w:pPr>
    </w:p>
    <w:p w14:paraId="5013FFF5" w14:textId="169AC818" w:rsidR="006C1A3D" w:rsidRDefault="006C1A3D" w:rsidP="00612446">
      <w:pPr>
        <w:numPr>
          <w:ilvl w:val="0"/>
          <w:numId w:val="4"/>
        </w:numPr>
        <w:ind w:left="360"/>
        <w:contextualSpacing/>
        <w:jc w:val="both"/>
        <w:rPr>
          <w:rFonts w:cs="Arial"/>
          <w:sz w:val="24"/>
          <w:szCs w:val="24"/>
        </w:rPr>
      </w:pPr>
      <w:r>
        <w:rPr>
          <w:rFonts w:cs="Arial"/>
          <w:sz w:val="24"/>
          <w:szCs w:val="24"/>
        </w:rPr>
        <w:t xml:space="preserve">In the principal adjustment tab of the GA Analysis </w:t>
      </w:r>
      <w:proofErr w:type="spellStart"/>
      <w:r>
        <w:rPr>
          <w:rFonts w:cs="Arial"/>
          <w:sz w:val="24"/>
          <w:szCs w:val="24"/>
        </w:rPr>
        <w:t>Workform</w:t>
      </w:r>
      <w:proofErr w:type="spellEnd"/>
      <w:r>
        <w:rPr>
          <w:rFonts w:cs="Arial"/>
          <w:sz w:val="24"/>
          <w:szCs w:val="24"/>
        </w:rPr>
        <w:t xml:space="preserve">, 2020 principal adjustments include a reallocation of $104,319 between Accounts 1588 and 1589 for “reclass entry and new </w:t>
      </w:r>
      <w:proofErr w:type="spellStart"/>
      <w:r>
        <w:rPr>
          <w:rFonts w:cs="Arial"/>
          <w:sz w:val="24"/>
          <w:szCs w:val="24"/>
        </w:rPr>
        <w:t>acctging</w:t>
      </w:r>
      <w:proofErr w:type="spellEnd"/>
      <w:r>
        <w:rPr>
          <w:rFonts w:cs="Arial"/>
          <w:sz w:val="24"/>
          <w:szCs w:val="24"/>
        </w:rPr>
        <w:t xml:space="preserve"> guidance </w:t>
      </w:r>
      <w:proofErr w:type="spellStart"/>
      <w:r>
        <w:rPr>
          <w:rFonts w:cs="Arial"/>
          <w:sz w:val="24"/>
          <w:szCs w:val="24"/>
        </w:rPr>
        <w:t>impl</w:t>
      </w:r>
      <w:proofErr w:type="spellEnd"/>
      <w:r>
        <w:rPr>
          <w:rFonts w:cs="Arial"/>
          <w:sz w:val="24"/>
          <w:szCs w:val="24"/>
        </w:rPr>
        <w:t xml:space="preserve">. Allocation”.  Please explain whether the </w:t>
      </w:r>
      <w:proofErr w:type="gramStart"/>
      <w:r>
        <w:rPr>
          <w:rFonts w:cs="Arial"/>
          <w:sz w:val="24"/>
          <w:szCs w:val="24"/>
        </w:rPr>
        <w:t>reasons</w:t>
      </w:r>
      <w:proofErr w:type="gramEnd"/>
      <w:r>
        <w:rPr>
          <w:rFonts w:cs="Arial"/>
          <w:sz w:val="24"/>
          <w:szCs w:val="24"/>
        </w:rPr>
        <w:t xml:space="preserve"> for these entries is the same in 2020 is the same as that in 2019.  If not, please explain the reason for the adjustments and how it was quantified.</w:t>
      </w:r>
    </w:p>
    <w:p w14:paraId="58058574" w14:textId="4FDF4873" w:rsidR="006C1A3D" w:rsidRPr="006C1A3D" w:rsidRDefault="006C1A3D" w:rsidP="006C1A3D">
      <w:pPr>
        <w:pStyle w:val="ListParagraph"/>
        <w:numPr>
          <w:ilvl w:val="0"/>
          <w:numId w:val="13"/>
        </w:numPr>
        <w:rPr>
          <w:rFonts w:cs="Arial"/>
          <w:sz w:val="24"/>
          <w:szCs w:val="24"/>
        </w:rPr>
      </w:pPr>
      <w:r>
        <w:rPr>
          <w:rFonts w:cs="Arial"/>
          <w:sz w:val="24"/>
          <w:szCs w:val="24"/>
        </w:rPr>
        <w:t>If these adjustments are related, please explain why the 2019 adjustment identified is much more significant than the 2020 adjustment identified.</w:t>
      </w:r>
    </w:p>
    <w:bookmarkEnd w:id="9"/>
    <w:p w14:paraId="1A27E874" w14:textId="7D7E3A8C" w:rsidR="00CD38FE" w:rsidRPr="0030483E" w:rsidRDefault="00CD38FE" w:rsidP="00A90180">
      <w:pPr>
        <w:rPr>
          <w:sz w:val="24"/>
          <w:szCs w:val="24"/>
        </w:rPr>
      </w:pPr>
    </w:p>
    <w:p w14:paraId="77541F80" w14:textId="77777777" w:rsidR="00A90180" w:rsidRDefault="00A90180" w:rsidP="00A90180">
      <w:pPr>
        <w:pStyle w:val="Quote"/>
      </w:pPr>
      <w:bookmarkStart w:id="10" w:name="_Toc535825582"/>
      <w:r>
        <w:t>Response</w:t>
      </w:r>
      <w:bookmarkEnd w:id="10"/>
    </w:p>
    <w:p w14:paraId="3D7A72B2" w14:textId="056FC5F6" w:rsidR="000542BE" w:rsidRDefault="0009431E" w:rsidP="00612446">
      <w:pPr>
        <w:jc w:val="both"/>
        <w:rPr>
          <w:sz w:val="24"/>
          <w:szCs w:val="24"/>
          <w:lang w:val="en-CA"/>
        </w:rPr>
      </w:pPr>
      <w:r>
        <w:rPr>
          <w:sz w:val="24"/>
          <w:szCs w:val="24"/>
          <w:lang w:val="en-CA"/>
        </w:rPr>
        <w:t>a)</w:t>
      </w:r>
      <w:r w:rsidR="00E21E4E">
        <w:rPr>
          <w:sz w:val="24"/>
          <w:szCs w:val="24"/>
          <w:lang w:val="en-CA"/>
        </w:rPr>
        <w:t xml:space="preserve">  </w:t>
      </w:r>
      <w:r w:rsidR="00F257D3">
        <w:rPr>
          <w:sz w:val="24"/>
          <w:szCs w:val="24"/>
          <w:lang w:val="en-CA"/>
        </w:rPr>
        <w:t>The error that led the material adjustment of $1.4M</w:t>
      </w:r>
      <w:r w:rsidR="00643696">
        <w:rPr>
          <w:sz w:val="24"/>
          <w:szCs w:val="24"/>
          <w:lang w:val="en-CA"/>
        </w:rPr>
        <w:t xml:space="preserve"> was due</w:t>
      </w:r>
      <w:r w:rsidR="000542BE">
        <w:rPr>
          <w:sz w:val="24"/>
          <w:szCs w:val="24"/>
          <w:lang w:val="en-CA"/>
        </w:rPr>
        <w:t xml:space="preserve"> in part</w:t>
      </w:r>
      <w:r w:rsidR="00643696">
        <w:rPr>
          <w:sz w:val="24"/>
          <w:szCs w:val="24"/>
          <w:lang w:val="en-CA"/>
        </w:rPr>
        <w:t xml:space="preserve"> to </w:t>
      </w:r>
      <w:r w:rsidR="000542BE">
        <w:rPr>
          <w:sz w:val="24"/>
          <w:szCs w:val="24"/>
          <w:lang w:val="en-CA"/>
        </w:rPr>
        <w:t xml:space="preserve">timing-related </w:t>
      </w:r>
      <w:r w:rsidR="00643696">
        <w:rPr>
          <w:sz w:val="24"/>
          <w:szCs w:val="24"/>
          <w:lang w:val="en-CA"/>
        </w:rPr>
        <w:t>adjustments of meter reads which fed into our calculation of the ratio of costs between RPP and non-RPP Class B customers.  This in turn led to inaccurate recording of GA costs between Accounts 1588 and 1589.</w:t>
      </w:r>
      <w:r w:rsidR="000542BE">
        <w:rPr>
          <w:sz w:val="24"/>
          <w:szCs w:val="24"/>
          <w:lang w:val="en-CA"/>
        </w:rPr>
        <w:t xml:space="preserve">  In addition, other accounting adjustments were required to </w:t>
      </w:r>
      <w:r w:rsidR="002D668D">
        <w:rPr>
          <w:sz w:val="24"/>
          <w:szCs w:val="24"/>
          <w:lang w:val="en-CA"/>
        </w:rPr>
        <w:t>correct the cost split between the two accounts.</w:t>
      </w:r>
    </w:p>
    <w:p w14:paraId="069E5D54" w14:textId="4B83449B" w:rsidR="0009431E" w:rsidRDefault="0009431E" w:rsidP="00FD6F4A">
      <w:pPr>
        <w:jc w:val="both"/>
        <w:rPr>
          <w:sz w:val="24"/>
          <w:szCs w:val="24"/>
          <w:lang w:val="en-CA"/>
        </w:rPr>
      </w:pPr>
      <w:r>
        <w:rPr>
          <w:sz w:val="24"/>
          <w:szCs w:val="24"/>
          <w:lang w:val="en-CA"/>
        </w:rPr>
        <w:t>b)</w:t>
      </w:r>
      <w:r w:rsidR="00215C8D">
        <w:rPr>
          <w:sz w:val="24"/>
          <w:szCs w:val="24"/>
          <w:lang w:val="en-CA"/>
        </w:rPr>
        <w:t xml:space="preserve">  </w:t>
      </w:r>
      <w:r w:rsidR="00FD6F4A">
        <w:rPr>
          <w:sz w:val="24"/>
          <w:szCs w:val="24"/>
          <w:lang w:val="en-CA"/>
        </w:rPr>
        <w:t xml:space="preserve">We </w:t>
      </w:r>
      <w:r w:rsidR="00433087">
        <w:rPr>
          <w:sz w:val="24"/>
          <w:szCs w:val="24"/>
          <w:lang w:val="en-CA"/>
        </w:rPr>
        <w:t>undertook</w:t>
      </w:r>
      <w:r w:rsidR="00215C8D">
        <w:rPr>
          <w:sz w:val="24"/>
          <w:szCs w:val="24"/>
          <w:lang w:val="en-CA"/>
        </w:rPr>
        <w:t xml:space="preserve"> an</w:t>
      </w:r>
      <w:r w:rsidR="00433087">
        <w:rPr>
          <w:sz w:val="24"/>
          <w:szCs w:val="24"/>
          <w:lang w:val="en-CA"/>
        </w:rPr>
        <w:t xml:space="preserve"> in-depth</w:t>
      </w:r>
      <w:r w:rsidR="00215C8D">
        <w:rPr>
          <w:sz w:val="24"/>
          <w:szCs w:val="24"/>
          <w:lang w:val="en-CA"/>
        </w:rPr>
        <w:t xml:space="preserve"> internal </w:t>
      </w:r>
      <w:r w:rsidR="00CE11B3">
        <w:rPr>
          <w:sz w:val="24"/>
          <w:szCs w:val="24"/>
          <w:lang w:val="en-CA"/>
        </w:rPr>
        <w:t>audit</w:t>
      </w:r>
      <w:r w:rsidR="00215C8D">
        <w:rPr>
          <w:sz w:val="24"/>
          <w:szCs w:val="24"/>
          <w:lang w:val="en-CA"/>
        </w:rPr>
        <w:t xml:space="preserve"> to address the cause of the variances and recalculate</w:t>
      </w:r>
      <w:r w:rsidR="00CE11B3">
        <w:rPr>
          <w:sz w:val="24"/>
          <w:szCs w:val="24"/>
          <w:lang w:val="en-CA"/>
        </w:rPr>
        <w:t>d</w:t>
      </w:r>
      <w:r w:rsidR="00215C8D">
        <w:rPr>
          <w:sz w:val="24"/>
          <w:szCs w:val="24"/>
          <w:lang w:val="en-CA"/>
        </w:rPr>
        <w:t xml:space="preserve"> the </w:t>
      </w:r>
      <w:r w:rsidR="00CE11B3">
        <w:rPr>
          <w:sz w:val="24"/>
          <w:szCs w:val="24"/>
          <w:lang w:val="en-CA"/>
        </w:rPr>
        <w:t>trued-up</w:t>
      </w:r>
      <w:r w:rsidR="00215C8D">
        <w:rPr>
          <w:sz w:val="24"/>
          <w:szCs w:val="24"/>
          <w:lang w:val="en-CA"/>
        </w:rPr>
        <w:t xml:space="preserve"> ratios between RPP and non-RPP Class B customers.  E</w:t>
      </w:r>
      <w:r w:rsidR="00CE11B3">
        <w:rPr>
          <w:sz w:val="24"/>
          <w:szCs w:val="24"/>
          <w:lang w:val="en-CA"/>
        </w:rPr>
        <w:t>ssex Powerlines</w:t>
      </w:r>
      <w:r w:rsidR="00215C8D">
        <w:rPr>
          <w:sz w:val="24"/>
          <w:szCs w:val="24"/>
          <w:lang w:val="en-CA"/>
        </w:rPr>
        <w:t xml:space="preserve"> then compared what was initially recorded in the general ledger to what should have been recorded to quantify the adjustment.</w:t>
      </w:r>
    </w:p>
    <w:p w14:paraId="024BB453" w14:textId="1EED7FE2" w:rsidR="0009431E" w:rsidRPr="0009431E" w:rsidRDefault="0009431E" w:rsidP="00FD6F4A">
      <w:pPr>
        <w:jc w:val="both"/>
        <w:rPr>
          <w:sz w:val="24"/>
          <w:szCs w:val="24"/>
          <w:lang w:val="en-CA"/>
        </w:rPr>
      </w:pPr>
      <w:r>
        <w:rPr>
          <w:sz w:val="24"/>
          <w:szCs w:val="24"/>
          <w:lang w:val="en-CA"/>
        </w:rPr>
        <w:t>c)</w:t>
      </w:r>
      <w:r w:rsidR="00215C8D">
        <w:rPr>
          <w:sz w:val="24"/>
          <w:szCs w:val="24"/>
          <w:lang w:val="en-CA"/>
        </w:rPr>
        <w:t xml:space="preserve">  The adjustments made in 2019 and in 2020 are for the above reason.  </w:t>
      </w:r>
      <w:r w:rsidR="00421331">
        <w:rPr>
          <w:sz w:val="24"/>
          <w:szCs w:val="24"/>
          <w:lang w:val="en-CA"/>
        </w:rPr>
        <w:t>The adjustments for both years were quantified in the same manner.</w:t>
      </w:r>
      <w:r w:rsidR="00FB1E4B">
        <w:rPr>
          <w:sz w:val="24"/>
          <w:szCs w:val="24"/>
          <w:lang w:val="en-CA"/>
        </w:rPr>
        <w:t xml:space="preserve">  </w:t>
      </w:r>
      <w:r w:rsidR="00CA4CD5">
        <w:rPr>
          <w:sz w:val="24"/>
          <w:szCs w:val="24"/>
          <w:lang w:val="en-CA"/>
        </w:rPr>
        <w:t>Both years’</w:t>
      </w:r>
      <w:r w:rsidR="00FB1E4B">
        <w:rPr>
          <w:sz w:val="24"/>
          <w:szCs w:val="24"/>
          <w:lang w:val="en-CA"/>
        </w:rPr>
        <w:t xml:space="preserve"> adjustments w</w:t>
      </w:r>
      <w:r w:rsidR="000E6340">
        <w:rPr>
          <w:sz w:val="24"/>
          <w:szCs w:val="24"/>
          <w:lang w:val="en-CA"/>
        </w:rPr>
        <w:t xml:space="preserve">ere of similar </w:t>
      </w:r>
      <w:r w:rsidR="000E6340">
        <w:rPr>
          <w:sz w:val="24"/>
          <w:szCs w:val="24"/>
          <w:lang w:val="en-CA"/>
        </w:rPr>
        <w:lastRenderedPageBreak/>
        <w:t>magnitude</w:t>
      </w:r>
      <w:r w:rsidR="00FB1E4B">
        <w:rPr>
          <w:sz w:val="24"/>
          <w:szCs w:val="24"/>
          <w:lang w:val="en-CA"/>
        </w:rPr>
        <w:t>; however, the 2020 adjustment also included a large year-end true-up reversal</w:t>
      </w:r>
      <w:r w:rsidR="000E6340">
        <w:rPr>
          <w:sz w:val="24"/>
          <w:szCs w:val="24"/>
          <w:lang w:val="en-CA"/>
        </w:rPr>
        <w:t>, which reduced the overall adjustment in that year.</w:t>
      </w:r>
    </w:p>
    <w:p w14:paraId="41AFF794" w14:textId="77777777" w:rsidR="00CA4CD5" w:rsidRDefault="00CA4CD5" w:rsidP="00A90180">
      <w:pPr>
        <w:rPr>
          <w:sz w:val="24"/>
          <w:szCs w:val="24"/>
          <w:lang w:val="en-CA"/>
        </w:rPr>
      </w:pPr>
    </w:p>
    <w:p w14:paraId="70785847" w14:textId="489E4830" w:rsidR="00CD38FE" w:rsidRDefault="00F20C07" w:rsidP="00CD38FE">
      <w:pPr>
        <w:pStyle w:val="IntenseQuote"/>
      </w:pPr>
      <w:bookmarkStart w:id="11" w:name="_Toc535825583"/>
      <w:r>
        <w:t>Staff Question #5</w:t>
      </w:r>
      <w:bookmarkEnd w:id="11"/>
      <w:r w:rsidR="00215491">
        <w:t xml:space="preserve"> </w:t>
      </w:r>
    </w:p>
    <w:p w14:paraId="4AB6AFD9" w14:textId="6036AE7D" w:rsidR="00F20C07" w:rsidRPr="00215491" w:rsidRDefault="00F20C07" w:rsidP="00F20C07">
      <w:pPr>
        <w:spacing w:after="0"/>
        <w:rPr>
          <w:rFonts w:cs="Arial"/>
          <w:b/>
          <w:sz w:val="24"/>
          <w:szCs w:val="24"/>
        </w:rPr>
      </w:pPr>
      <w:r w:rsidRPr="00215491">
        <w:rPr>
          <w:rFonts w:cs="Arial"/>
          <w:b/>
          <w:sz w:val="24"/>
          <w:szCs w:val="24"/>
        </w:rPr>
        <w:t xml:space="preserve">Ref: GA Analysis </w:t>
      </w:r>
      <w:proofErr w:type="spellStart"/>
      <w:r w:rsidRPr="00215491">
        <w:rPr>
          <w:rFonts w:cs="Arial"/>
          <w:b/>
          <w:sz w:val="24"/>
          <w:szCs w:val="24"/>
        </w:rPr>
        <w:t>Workform</w:t>
      </w:r>
      <w:proofErr w:type="spellEnd"/>
      <w:r w:rsidR="0036542A">
        <w:rPr>
          <w:rFonts w:cs="Arial"/>
          <w:b/>
          <w:sz w:val="24"/>
          <w:szCs w:val="24"/>
        </w:rPr>
        <w:t xml:space="preserve"> – 2019 and 2020 GA Tab</w:t>
      </w:r>
    </w:p>
    <w:p w14:paraId="5D84F1BF" w14:textId="77777777" w:rsidR="00F20C07" w:rsidRPr="00215491" w:rsidRDefault="00F20C07" w:rsidP="00F20C07">
      <w:pPr>
        <w:spacing w:after="0"/>
        <w:rPr>
          <w:rFonts w:cs="Arial"/>
          <w:sz w:val="24"/>
          <w:szCs w:val="24"/>
        </w:rPr>
      </w:pPr>
    </w:p>
    <w:p w14:paraId="503B0507" w14:textId="1134C3E4" w:rsidR="00F20C07" w:rsidRDefault="0036542A" w:rsidP="00F20C07">
      <w:pPr>
        <w:spacing w:after="0" w:line="240" w:lineRule="auto"/>
        <w:rPr>
          <w:rFonts w:cs="Arial"/>
          <w:sz w:val="24"/>
          <w:szCs w:val="24"/>
        </w:rPr>
      </w:pPr>
      <w:r>
        <w:rPr>
          <w:rFonts w:cs="Arial"/>
          <w:sz w:val="24"/>
          <w:szCs w:val="24"/>
        </w:rPr>
        <w:t xml:space="preserve">In the GA Analysis </w:t>
      </w:r>
      <w:proofErr w:type="spellStart"/>
      <w:r>
        <w:rPr>
          <w:rFonts w:cs="Arial"/>
          <w:sz w:val="24"/>
          <w:szCs w:val="24"/>
        </w:rPr>
        <w:t>Workform</w:t>
      </w:r>
      <w:proofErr w:type="spellEnd"/>
      <w:r>
        <w:rPr>
          <w:rFonts w:cs="Arial"/>
          <w:sz w:val="24"/>
          <w:szCs w:val="24"/>
        </w:rPr>
        <w:t xml:space="preserve">, the expected GA volume variance is $872,988 and $427,283 for 2019 and 2020, respectively.  OEB staff calculated the actual loss factor below based on information in the GA Analysis </w:t>
      </w:r>
      <w:proofErr w:type="spellStart"/>
      <w:r>
        <w:rPr>
          <w:rFonts w:cs="Arial"/>
          <w:sz w:val="24"/>
          <w:szCs w:val="24"/>
        </w:rPr>
        <w:t>Workform</w:t>
      </w:r>
      <w:proofErr w:type="spellEnd"/>
      <w:r>
        <w:rPr>
          <w:rFonts w:cs="Arial"/>
          <w:sz w:val="24"/>
          <w:szCs w:val="24"/>
        </w:rPr>
        <w:t>.  Please comment on the reasonability of this high calculated actual loss factor as compared to the actual losses that Essex Powerlines experiences.</w:t>
      </w:r>
    </w:p>
    <w:p w14:paraId="304BBC33" w14:textId="15396069" w:rsidR="0036542A" w:rsidRDefault="0036542A" w:rsidP="00F20C07">
      <w:pPr>
        <w:spacing w:after="0" w:line="240" w:lineRule="auto"/>
        <w:rPr>
          <w:rFonts w:cs="Arial"/>
          <w:sz w:val="24"/>
          <w:szCs w:val="24"/>
        </w:rPr>
      </w:pPr>
    </w:p>
    <w:tbl>
      <w:tblPr>
        <w:tblStyle w:val="TableGrid"/>
        <w:tblW w:w="0" w:type="auto"/>
        <w:tblLook w:val="04A0" w:firstRow="1" w:lastRow="0" w:firstColumn="1" w:lastColumn="0" w:noHBand="0" w:noVBand="1"/>
      </w:tblPr>
      <w:tblGrid>
        <w:gridCol w:w="3116"/>
        <w:gridCol w:w="3117"/>
        <w:gridCol w:w="3117"/>
      </w:tblGrid>
      <w:tr w:rsidR="0036542A" w14:paraId="2C4A35C6" w14:textId="77777777" w:rsidTr="0036542A">
        <w:tc>
          <w:tcPr>
            <w:tcW w:w="3116" w:type="dxa"/>
          </w:tcPr>
          <w:p w14:paraId="3E37C80D" w14:textId="77777777" w:rsidR="0036542A" w:rsidRDefault="0036542A" w:rsidP="00F20C07">
            <w:pPr>
              <w:rPr>
                <w:rFonts w:cs="Arial"/>
                <w:sz w:val="24"/>
                <w:szCs w:val="24"/>
              </w:rPr>
            </w:pPr>
          </w:p>
        </w:tc>
        <w:tc>
          <w:tcPr>
            <w:tcW w:w="3117" w:type="dxa"/>
          </w:tcPr>
          <w:p w14:paraId="7D026439" w14:textId="60C97FDB" w:rsidR="0036542A" w:rsidRPr="00E4503E" w:rsidRDefault="0036542A" w:rsidP="0036542A">
            <w:pPr>
              <w:jc w:val="center"/>
              <w:rPr>
                <w:rFonts w:cs="Arial"/>
                <w:b/>
                <w:bCs/>
                <w:sz w:val="24"/>
                <w:szCs w:val="24"/>
              </w:rPr>
            </w:pPr>
            <w:r w:rsidRPr="00E4503E">
              <w:rPr>
                <w:rFonts w:cs="Arial"/>
                <w:b/>
                <w:bCs/>
                <w:sz w:val="24"/>
                <w:szCs w:val="24"/>
              </w:rPr>
              <w:t>2019</w:t>
            </w:r>
          </w:p>
        </w:tc>
        <w:tc>
          <w:tcPr>
            <w:tcW w:w="3117" w:type="dxa"/>
          </w:tcPr>
          <w:p w14:paraId="5FCBE62D" w14:textId="3B1C8352" w:rsidR="0036542A" w:rsidRPr="00E4503E" w:rsidRDefault="0036542A" w:rsidP="0036542A">
            <w:pPr>
              <w:jc w:val="center"/>
              <w:rPr>
                <w:rFonts w:cs="Arial"/>
                <w:b/>
                <w:bCs/>
                <w:sz w:val="24"/>
                <w:szCs w:val="24"/>
              </w:rPr>
            </w:pPr>
            <w:r w:rsidRPr="00E4503E">
              <w:rPr>
                <w:rFonts w:cs="Arial"/>
                <w:b/>
                <w:bCs/>
                <w:sz w:val="24"/>
                <w:szCs w:val="24"/>
              </w:rPr>
              <w:t>2020</w:t>
            </w:r>
          </w:p>
        </w:tc>
      </w:tr>
      <w:tr w:rsidR="0036542A" w14:paraId="5EE9C8A3" w14:textId="77777777" w:rsidTr="0036542A">
        <w:tc>
          <w:tcPr>
            <w:tcW w:w="3116" w:type="dxa"/>
          </w:tcPr>
          <w:p w14:paraId="35FDB636" w14:textId="5347C061" w:rsidR="0036542A" w:rsidRDefault="0036542A" w:rsidP="00F20C07">
            <w:pPr>
              <w:rPr>
                <w:rFonts w:cs="Arial"/>
                <w:sz w:val="24"/>
                <w:szCs w:val="24"/>
              </w:rPr>
            </w:pPr>
            <w:r>
              <w:rPr>
                <w:rFonts w:cs="Arial"/>
                <w:sz w:val="24"/>
                <w:szCs w:val="24"/>
              </w:rPr>
              <w:t>Non-RPP retail kWh, including loss (A)</w:t>
            </w:r>
          </w:p>
        </w:tc>
        <w:tc>
          <w:tcPr>
            <w:tcW w:w="3117" w:type="dxa"/>
          </w:tcPr>
          <w:p w14:paraId="614401D1" w14:textId="78CB2C20" w:rsidR="0036542A" w:rsidRDefault="0036542A" w:rsidP="0036542A">
            <w:pPr>
              <w:jc w:val="center"/>
              <w:rPr>
                <w:rFonts w:cs="Arial"/>
                <w:sz w:val="24"/>
                <w:szCs w:val="24"/>
              </w:rPr>
            </w:pPr>
            <w:r>
              <w:rPr>
                <w:rFonts w:cs="Arial"/>
                <w:sz w:val="24"/>
                <w:szCs w:val="24"/>
              </w:rPr>
              <w:t>192,481,499</w:t>
            </w:r>
          </w:p>
        </w:tc>
        <w:tc>
          <w:tcPr>
            <w:tcW w:w="3117" w:type="dxa"/>
          </w:tcPr>
          <w:p w14:paraId="6A6EE1F4" w14:textId="77777777" w:rsidR="0036542A" w:rsidRDefault="0036542A" w:rsidP="0036542A">
            <w:pPr>
              <w:jc w:val="center"/>
              <w:rPr>
                <w:rFonts w:cs="Arial"/>
                <w:sz w:val="24"/>
                <w:szCs w:val="24"/>
              </w:rPr>
            </w:pPr>
            <w:r>
              <w:rPr>
                <w:rFonts w:cs="Arial"/>
                <w:sz w:val="24"/>
                <w:szCs w:val="24"/>
              </w:rPr>
              <w:t>122,897,567</w:t>
            </w:r>
          </w:p>
          <w:p w14:paraId="0906A4B7" w14:textId="15048BAB" w:rsidR="0036542A" w:rsidRDefault="0036542A" w:rsidP="0036542A">
            <w:pPr>
              <w:jc w:val="center"/>
              <w:rPr>
                <w:rFonts w:cs="Arial"/>
                <w:sz w:val="24"/>
                <w:szCs w:val="24"/>
              </w:rPr>
            </w:pPr>
          </w:p>
        </w:tc>
      </w:tr>
      <w:tr w:rsidR="0036542A" w14:paraId="3B0FFE90" w14:textId="77777777" w:rsidTr="0036542A">
        <w:tc>
          <w:tcPr>
            <w:tcW w:w="3116" w:type="dxa"/>
          </w:tcPr>
          <w:p w14:paraId="49C2EBFB" w14:textId="3B767627" w:rsidR="0036542A" w:rsidRDefault="0036542A" w:rsidP="00F20C07">
            <w:pPr>
              <w:rPr>
                <w:rFonts w:cs="Arial"/>
                <w:sz w:val="24"/>
                <w:szCs w:val="24"/>
              </w:rPr>
            </w:pPr>
            <w:r>
              <w:rPr>
                <w:rFonts w:cs="Arial"/>
                <w:sz w:val="24"/>
                <w:szCs w:val="24"/>
              </w:rPr>
              <w:t>Approved loss factor (B)</w:t>
            </w:r>
          </w:p>
        </w:tc>
        <w:tc>
          <w:tcPr>
            <w:tcW w:w="3117" w:type="dxa"/>
          </w:tcPr>
          <w:p w14:paraId="55E3E30F" w14:textId="4577F0D3" w:rsidR="0036542A" w:rsidRDefault="0036542A" w:rsidP="0036542A">
            <w:pPr>
              <w:jc w:val="center"/>
              <w:rPr>
                <w:rFonts w:cs="Arial"/>
                <w:sz w:val="24"/>
                <w:szCs w:val="24"/>
              </w:rPr>
            </w:pPr>
            <w:r>
              <w:rPr>
                <w:rFonts w:cs="Arial"/>
                <w:sz w:val="24"/>
                <w:szCs w:val="24"/>
              </w:rPr>
              <w:t>1.0355</w:t>
            </w:r>
          </w:p>
        </w:tc>
        <w:tc>
          <w:tcPr>
            <w:tcW w:w="3117" w:type="dxa"/>
          </w:tcPr>
          <w:p w14:paraId="228A9F5A" w14:textId="14EA6BB3" w:rsidR="0036542A" w:rsidRDefault="0036542A" w:rsidP="0036542A">
            <w:pPr>
              <w:jc w:val="center"/>
              <w:rPr>
                <w:rFonts w:cs="Arial"/>
                <w:sz w:val="24"/>
                <w:szCs w:val="24"/>
              </w:rPr>
            </w:pPr>
            <w:r>
              <w:rPr>
                <w:rFonts w:cs="Arial"/>
                <w:sz w:val="24"/>
                <w:szCs w:val="24"/>
              </w:rPr>
              <w:t>1.0355</w:t>
            </w:r>
          </w:p>
        </w:tc>
      </w:tr>
      <w:tr w:rsidR="0036542A" w14:paraId="4E334994" w14:textId="77777777" w:rsidTr="0036542A">
        <w:tc>
          <w:tcPr>
            <w:tcW w:w="3116" w:type="dxa"/>
          </w:tcPr>
          <w:p w14:paraId="6FA59CFF" w14:textId="211BC8D2" w:rsidR="0036542A" w:rsidRDefault="0036542A" w:rsidP="00F20C07">
            <w:pPr>
              <w:rPr>
                <w:rFonts w:cs="Arial"/>
                <w:sz w:val="24"/>
                <w:szCs w:val="24"/>
              </w:rPr>
            </w:pPr>
            <w:r>
              <w:rPr>
                <w:rFonts w:cs="Arial"/>
                <w:sz w:val="24"/>
                <w:szCs w:val="24"/>
              </w:rPr>
              <w:t>Non-RPP retail kWh excluding loss (C = A/B)</w:t>
            </w:r>
          </w:p>
        </w:tc>
        <w:tc>
          <w:tcPr>
            <w:tcW w:w="3117" w:type="dxa"/>
          </w:tcPr>
          <w:p w14:paraId="3F84D5CD" w14:textId="7CD1E52B" w:rsidR="0036542A" w:rsidRDefault="0036542A" w:rsidP="0036542A">
            <w:pPr>
              <w:jc w:val="center"/>
              <w:rPr>
                <w:rFonts w:cs="Arial"/>
                <w:sz w:val="24"/>
                <w:szCs w:val="24"/>
              </w:rPr>
            </w:pPr>
            <w:r>
              <w:rPr>
                <w:rFonts w:cs="Arial"/>
                <w:sz w:val="24"/>
                <w:szCs w:val="24"/>
              </w:rPr>
              <w:t>185,882,664</w:t>
            </w:r>
          </w:p>
        </w:tc>
        <w:tc>
          <w:tcPr>
            <w:tcW w:w="3117" w:type="dxa"/>
          </w:tcPr>
          <w:p w14:paraId="660AFA5A" w14:textId="465CF19B" w:rsidR="0036542A" w:rsidRDefault="0036542A" w:rsidP="0036542A">
            <w:pPr>
              <w:jc w:val="center"/>
              <w:rPr>
                <w:rFonts w:cs="Arial"/>
                <w:sz w:val="24"/>
                <w:szCs w:val="24"/>
              </w:rPr>
            </w:pPr>
            <w:r>
              <w:rPr>
                <w:rFonts w:cs="Arial"/>
                <w:sz w:val="24"/>
                <w:szCs w:val="24"/>
              </w:rPr>
              <w:t>118,684,276</w:t>
            </w:r>
          </w:p>
        </w:tc>
      </w:tr>
      <w:tr w:rsidR="0036542A" w14:paraId="261A8746" w14:textId="77777777" w:rsidTr="0036542A">
        <w:tc>
          <w:tcPr>
            <w:tcW w:w="3116" w:type="dxa"/>
          </w:tcPr>
          <w:p w14:paraId="25B9ACA7" w14:textId="77777777" w:rsidR="0036542A" w:rsidRDefault="0036542A" w:rsidP="00F20C07">
            <w:pPr>
              <w:rPr>
                <w:rFonts w:cs="Arial"/>
                <w:sz w:val="24"/>
                <w:szCs w:val="24"/>
              </w:rPr>
            </w:pPr>
            <w:r>
              <w:rPr>
                <w:rFonts w:cs="Arial"/>
                <w:sz w:val="24"/>
                <w:szCs w:val="24"/>
              </w:rPr>
              <w:t>Non-RPP wholesale kWh</w:t>
            </w:r>
          </w:p>
          <w:p w14:paraId="209A8869" w14:textId="48EF059E" w:rsidR="0036542A" w:rsidRDefault="0036542A" w:rsidP="00F20C07">
            <w:pPr>
              <w:rPr>
                <w:rFonts w:cs="Arial"/>
                <w:sz w:val="24"/>
                <w:szCs w:val="24"/>
              </w:rPr>
            </w:pPr>
            <w:r>
              <w:rPr>
                <w:rFonts w:cs="Arial"/>
                <w:sz w:val="24"/>
                <w:szCs w:val="24"/>
              </w:rPr>
              <w:t>(D)</w:t>
            </w:r>
          </w:p>
        </w:tc>
        <w:tc>
          <w:tcPr>
            <w:tcW w:w="3117" w:type="dxa"/>
          </w:tcPr>
          <w:p w14:paraId="636FEF39" w14:textId="4E8F807C" w:rsidR="0036542A" w:rsidRDefault="0036542A" w:rsidP="0036542A">
            <w:pPr>
              <w:jc w:val="center"/>
              <w:rPr>
                <w:rFonts w:cs="Arial"/>
                <w:sz w:val="24"/>
                <w:szCs w:val="24"/>
              </w:rPr>
            </w:pPr>
            <w:r>
              <w:rPr>
                <w:rFonts w:cs="Arial"/>
                <w:sz w:val="24"/>
                <w:szCs w:val="24"/>
              </w:rPr>
              <w:t>200,465,661</w:t>
            </w:r>
          </w:p>
        </w:tc>
        <w:tc>
          <w:tcPr>
            <w:tcW w:w="3117" w:type="dxa"/>
          </w:tcPr>
          <w:p w14:paraId="583937B2" w14:textId="25500652" w:rsidR="0036542A" w:rsidRDefault="0036542A" w:rsidP="0036542A">
            <w:pPr>
              <w:jc w:val="center"/>
              <w:rPr>
                <w:rFonts w:cs="Arial"/>
                <w:sz w:val="24"/>
                <w:szCs w:val="24"/>
              </w:rPr>
            </w:pPr>
            <w:r>
              <w:rPr>
                <w:rFonts w:cs="Arial"/>
                <w:sz w:val="24"/>
                <w:szCs w:val="24"/>
              </w:rPr>
              <w:t>126,690,242</w:t>
            </w:r>
          </w:p>
        </w:tc>
      </w:tr>
      <w:tr w:rsidR="0036542A" w14:paraId="6D13B76D" w14:textId="77777777" w:rsidTr="0036542A">
        <w:tc>
          <w:tcPr>
            <w:tcW w:w="3116" w:type="dxa"/>
          </w:tcPr>
          <w:p w14:paraId="05CF1F09" w14:textId="77777777" w:rsidR="0036542A" w:rsidRDefault="0036542A" w:rsidP="00F20C07">
            <w:pPr>
              <w:rPr>
                <w:rFonts w:cs="Arial"/>
                <w:sz w:val="24"/>
                <w:szCs w:val="24"/>
              </w:rPr>
            </w:pPr>
            <w:r>
              <w:rPr>
                <w:rFonts w:cs="Arial"/>
                <w:sz w:val="24"/>
                <w:szCs w:val="24"/>
              </w:rPr>
              <w:t>Calculated actual loss</w:t>
            </w:r>
          </w:p>
          <w:p w14:paraId="62C45993" w14:textId="6052D581" w:rsidR="0036542A" w:rsidRDefault="0052135E" w:rsidP="00F20C07">
            <w:pPr>
              <w:rPr>
                <w:rFonts w:cs="Arial"/>
                <w:sz w:val="24"/>
                <w:szCs w:val="24"/>
              </w:rPr>
            </w:pPr>
            <w:r>
              <w:rPr>
                <w:rFonts w:cs="Arial"/>
                <w:sz w:val="24"/>
                <w:szCs w:val="24"/>
              </w:rPr>
              <w:t>F</w:t>
            </w:r>
            <w:r w:rsidR="0036542A">
              <w:rPr>
                <w:rFonts w:cs="Arial"/>
                <w:sz w:val="24"/>
                <w:szCs w:val="24"/>
              </w:rPr>
              <w:t>actor</w:t>
            </w:r>
            <w:r w:rsidR="00E4503E">
              <w:rPr>
                <w:rFonts w:cs="Arial"/>
                <w:sz w:val="24"/>
                <w:szCs w:val="24"/>
              </w:rPr>
              <w:t xml:space="preserve"> </w:t>
            </w:r>
            <w:r>
              <w:rPr>
                <w:rFonts w:cs="Arial"/>
                <w:sz w:val="24"/>
                <w:szCs w:val="24"/>
              </w:rPr>
              <w:t>(=D/C)</w:t>
            </w:r>
          </w:p>
        </w:tc>
        <w:tc>
          <w:tcPr>
            <w:tcW w:w="3117" w:type="dxa"/>
          </w:tcPr>
          <w:p w14:paraId="21AD51BE" w14:textId="1DF1089D" w:rsidR="0036542A" w:rsidRDefault="0052135E" w:rsidP="0036542A">
            <w:pPr>
              <w:jc w:val="center"/>
              <w:rPr>
                <w:rFonts w:cs="Arial"/>
                <w:sz w:val="24"/>
                <w:szCs w:val="24"/>
              </w:rPr>
            </w:pPr>
            <w:r>
              <w:rPr>
                <w:rFonts w:cs="Arial"/>
                <w:sz w:val="24"/>
                <w:szCs w:val="24"/>
              </w:rPr>
              <w:t>1.0785</w:t>
            </w:r>
          </w:p>
        </w:tc>
        <w:tc>
          <w:tcPr>
            <w:tcW w:w="3117" w:type="dxa"/>
          </w:tcPr>
          <w:p w14:paraId="1125AABC" w14:textId="438BD987" w:rsidR="0036542A" w:rsidRDefault="0052135E" w:rsidP="0036542A">
            <w:pPr>
              <w:jc w:val="center"/>
              <w:rPr>
                <w:rFonts w:cs="Arial"/>
                <w:sz w:val="24"/>
                <w:szCs w:val="24"/>
              </w:rPr>
            </w:pPr>
            <w:r>
              <w:rPr>
                <w:rFonts w:cs="Arial"/>
                <w:sz w:val="24"/>
                <w:szCs w:val="24"/>
              </w:rPr>
              <w:t>1.0675</w:t>
            </w:r>
          </w:p>
        </w:tc>
      </w:tr>
    </w:tbl>
    <w:p w14:paraId="5534571D" w14:textId="77777777" w:rsidR="0036542A" w:rsidRPr="00215491" w:rsidRDefault="0036542A" w:rsidP="00F20C07">
      <w:pPr>
        <w:spacing w:after="0" w:line="240" w:lineRule="auto"/>
        <w:rPr>
          <w:rFonts w:cs="Arial"/>
          <w:sz w:val="24"/>
          <w:szCs w:val="24"/>
        </w:rPr>
      </w:pPr>
    </w:p>
    <w:p w14:paraId="42E4A814" w14:textId="77777777" w:rsidR="00CD38FE" w:rsidRDefault="00CD38FE" w:rsidP="00CD38FE">
      <w:pPr>
        <w:pStyle w:val="Quote"/>
      </w:pPr>
    </w:p>
    <w:p w14:paraId="35003A8E" w14:textId="436633F9" w:rsidR="00CD38FE" w:rsidRDefault="00CD38FE" w:rsidP="00CD38FE">
      <w:pPr>
        <w:pStyle w:val="Quote"/>
      </w:pPr>
      <w:bookmarkStart w:id="12" w:name="_Toc535825584"/>
      <w:r>
        <w:t>Response</w:t>
      </w:r>
      <w:bookmarkEnd w:id="12"/>
    </w:p>
    <w:p w14:paraId="0FD50379" w14:textId="66AD4BA2" w:rsidR="00215491" w:rsidRDefault="00215491" w:rsidP="00CD38FE">
      <w:pPr>
        <w:rPr>
          <w:sz w:val="24"/>
          <w:szCs w:val="24"/>
          <w:lang w:val="en-CA"/>
        </w:rPr>
      </w:pPr>
    </w:p>
    <w:p w14:paraId="509D3590" w14:textId="6EBE9814" w:rsidR="00CD38FE" w:rsidRDefault="0061483D" w:rsidP="00A90180">
      <w:pPr>
        <w:rPr>
          <w:sz w:val="24"/>
          <w:szCs w:val="24"/>
          <w:lang w:val="en-CA"/>
        </w:rPr>
      </w:pPr>
      <w:r>
        <w:rPr>
          <w:sz w:val="24"/>
          <w:szCs w:val="24"/>
          <w:lang w:val="en-CA"/>
        </w:rPr>
        <w:t xml:space="preserve">Response to be forthcoming </w:t>
      </w:r>
      <w:proofErr w:type="gramStart"/>
      <w:r>
        <w:rPr>
          <w:sz w:val="24"/>
          <w:szCs w:val="24"/>
          <w:lang w:val="en-CA"/>
        </w:rPr>
        <w:t>at a later date</w:t>
      </w:r>
      <w:proofErr w:type="gramEnd"/>
      <w:r>
        <w:rPr>
          <w:sz w:val="24"/>
          <w:szCs w:val="24"/>
          <w:lang w:val="en-CA"/>
        </w:rPr>
        <w:t xml:space="preserve"> as discussed as Loss Factor analysis is still in progress.</w:t>
      </w:r>
    </w:p>
    <w:p w14:paraId="7D4B5D1D" w14:textId="759B735D" w:rsidR="008D4846" w:rsidRDefault="008D4846" w:rsidP="00A90180">
      <w:pPr>
        <w:rPr>
          <w:sz w:val="24"/>
          <w:szCs w:val="24"/>
          <w:lang w:val="en-CA"/>
        </w:rPr>
      </w:pPr>
    </w:p>
    <w:p w14:paraId="67A59EDC" w14:textId="6F0E65D1" w:rsidR="008D4846" w:rsidRDefault="008D4846" w:rsidP="00A90180">
      <w:pPr>
        <w:rPr>
          <w:sz w:val="24"/>
          <w:szCs w:val="24"/>
          <w:lang w:val="en-CA"/>
        </w:rPr>
      </w:pPr>
    </w:p>
    <w:p w14:paraId="1664F964" w14:textId="77777777" w:rsidR="008D4846" w:rsidRDefault="008D4846" w:rsidP="00A90180">
      <w:pPr>
        <w:rPr>
          <w:sz w:val="24"/>
          <w:szCs w:val="24"/>
          <w:lang w:val="en-CA"/>
        </w:rPr>
      </w:pPr>
    </w:p>
    <w:p w14:paraId="7B2EF7E1" w14:textId="712824B5" w:rsidR="00A7557E" w:rsidRDefault="00215491" w:rsidP="00A7557E">
      <w:pPr>
        <w:pStyle w:val="IntenseQuote"/>
      </w:pPr>
      <w:bookmarkStart w:id="13" w:name="_Toc535825585"/>
      <w:r>
        <w:lastRenderedPageBreak/>
        <w:t>Staff Question #6</w:t>
      </w:r>
      <w:bookmarkEnd w:id="13"/>
      <w:r>
        <w:t xml:space="preserve"> </w:t>
      </w:r>
    </w:p>
    <w:p w14:paraId="0E58649F" w14:textId="7C0A3454" w:rsidR="00215491" w:rsidRDefault="00215491" w:rsidP="00215491">
      <w:pPr>
        <w:spacing w:after="160" w:line="259" w:lineRule="auto"/>
        <w:rPr>
          <w:rFonts w:cs="Arial"/>
          <w:b/>
          <w:sz w:val="24"/>
          <w:szCs w:val="24"/>
        </w:rPr>
      </w:pPr>
      <w:r w:rsidRPr="00215491">
        <w:rPr>
          <w:rFonts w:cs="Arial"/>
          <w:b/>
          <w:sz w:val="24"/>
          <w:szCs w:val="24"/>
        </w:rPr>
        <w:t xml:space="preserve">Ref: </w:t>
      </w:r>
      <w:r w:rsidR="0052135E">
        <w:rPr>
          <w:rFonts w:cs="Arial"/>
          <w:b/>
          <w:sz w:val="24"/>
          <w:szCs w:val="24"/>
        </w:rPr>
        <w:t xml:space="preserve">GA Analysis </w:t>
      </w:r>
      <w:proofErr w:type="spellStart"/>
      <w:r w:rsidR="0052135E">
        <w:rPr>
          <w:rFonts w:cs="Arial"/>
          <w:b/>
          <w:sz w:val="24"/>
          <w:szCs w:val="24"/>
        </w:rPr>
        <w:t>Workform</w:t>
      </w:r>
      <w:proofErr w:type="spellEnd"/>
      <w:r w:rsidR="0052135E">
        <w:rPr>
          <w:rFonts w:cs="Arial"/>
          <w:b/>
          <w:sz w:val="24"/>
          <w:szCs w:val="24"/>
        </w:rPr>
        <w:t xml:space="preserve"> – Account 1588 Tab</w:t>
      </w:r>
    </w:p>
    <w:p w14:paraId="2E867B2B" w14:textId="0BB300A3" w:rsidR="0052135E" w:rsidRDefault="0052135E" w:rsidP="00215491">
      <w:pPr>
        <w:spacing w:after="160" w:line="259" w:lineRule="auto"/>
        <w:rPr>
          <w:rFonts w:cs="Arial"/>
          <w:b/>
          <w:sz w:val="24"/>
          <w:szCs w:val="24"/>
        </w:rPr>
      </w:pPr>
      <w:r>
        <w:rPr>
          <w:rFonts w:cs="Arial"/>
          <w:b/>
          <w:sz w:val="24"/>
          <w:szCs w:val="24"/>
        </w:rPr>
        <w:t xml:space="preserve">        Manager</w:t>
      </w:r>
      <w:r w:rsidR="00721E82">
        <w:rPr>
          <w:rFonts w:cs="Arial"/>
          <w:b/>
          <w:sz w:val="24"/>
          <w:szCs w:val="24"/>
        </w:rPr>
        <w:t>’</w:t>
      </w:r>
      <w:r>
        <w:rPr>
          <w:rFonts w:cs="Arial"/>
          <w:b/>
          <w:sz w:val="24"/>
          <w:szCs w:val="24"/>
        </w:rPr>
        <w:t>s Summary, page 5</w:t>
      </w:r>
    </w:p>
    <w:p w14:paraId="11666FB5" w14:textId="79C749AE" w:rsidR="0052135E" w:rsidRDefault="0052135E" w:rsidP="0061483D">
      <w:pPr>
        <w:spacing w:after="160" w:line="259" w:lineRule="auto"/>
        <w:jc w:val="both"/>
        <w:rPr>
          <w:rFonts w:cs="Arial"/>
          <w:bCs/>
          <w:sz w:val="24"/>
          <w:szCs w:val="24"/>
        </w:rPr>
      </w:pPr>
      <w:r>
        <w:rPr>
          <w:rFonts w:cs="Arial"/>
          <w:bCs/>
          <w:sz w:val="24"/>
          <w:szCs w:val="24"/>
        </w:rPr>
        <w:t xml:space="preserve">In the Account 1588 tab of the GA Analysis </w:t>
      </w:r>
      <w:proofErr w:type="spellStart"/>
      <w:r>
        <w:rPr>
          <w:rFonts w:cs="Arial"/>
          <w:bCs/>
          <w:sz w:val="24"/>
          <w:szCs w:val="24"/>
        </w:rPr>
        <w:t>Workform</w:t>
      </w:r>
      <w:proofErr w:type="spellEnd"/>
      <w:r>
        <w:rPr>
          <w:rFonts w:cs="Arial"/>
          <w:bCs/>
          <w:sz w:val="24"/>
          <w:szCs w:val="24"/>
        </w:rPr>
        <w:t>, the Account 1588 transactions in 2019 as a percentage of Account 4705 is 4%.  Essex Powerlines indicated that the principal adjustment includes a $1.4M amount for reallocation between accounts 1588 and 1589 further to a review of 2019 balances.  In the Manager’s Summary</w:t>
      </w:r>
      <w:r w:rsidR="00721E82">
        <w:rPr>
          <w:rFonts w:cs="Arial"/>
          <w:bCs/>
          <w:sz w:val="24"/>
          <w:szCs w:val="24"/>
        </w:rPr>
        <w:t>, Essex Powerlines indicated that this review did not affect 2017 and 2018 balances.  Essex Powerlines further indicated that excluding the principal adjustment, the 2019 Account 1588 transactions as a percentage of Account 4705 is</w:t>
      </w:r>
      <w:r w:rsidR="00E4503E">
        <w:rPr>
          <w:rFonts w:cs="Arial"/>
          <w:bCs/>
          <w:sz w:val="24"/>
          <w:szCs w:val="24"/>
        </w:rPr>
        <w:t xml:space="preserve">   </w:t>
      </w:r>
      <w:r w:rsidR="00721E82">
        <w:rPr>
          <w:rFonts w:cs="Arial"/>
          <w:bCs/>
          <w:sz w:val="24"/>
          <w:szCs w:val="24"/>
        </w:rPr>
        <w:t xml:space="preserve"> -0.4%.</w:t>
      </w:r>
    </w:p>
    <w:p w14:paraId="5CFA6DD7" w14:textId="26395FF7" w:rsidR="00721E82" w:rsidRDefault="00721E82" w:rsidP="0061483D">
      <w:pPr>
        <w:pStyle w:val="ListParagraph"/>
        <w:numPr>
          <w:ilvl w:val="0"/>
          <w:numId w:val="14"/>
        </w:numPr>
        <w:spacing w:after="160" w:line="259" w:lineRule="auto"/>
        <w:jc w:val="both"/>
        <w:rPr>
          <w:rFonts w:cs="Arial"/>
          <w:bCs/>
          <w:sz w:val="24"/>
          <w:szCs w:val="24"/>
        </w:rPr>
      </w:pPr>
      <w:r>
        <w:rPr>
          <w:rFonts w:cs="Arial"/>
          <w:bCs/>
          <w:sz w:val="24"/>
          <w:szCs w:val="24"/>
        </w:rPr>
        <w:t>Please confirm that the $1.4M adjustment pertains only to 2019 transactions and no other years.</w:t>
      </w:r>
    </w:p>
    <w:p w14:paraId="1AE77B50" w14:textId="77777777" w:rsidR="00721E82" w:rsidRDefault="00721E82" w:rsidP="0061483D">
      <w:pPr>
        <w:pStyle w:val="ListParagraph"/>
        <w:spacing w:after="160" w:line="259" w:lineRule="auto"/>
        <w:jc w:val="both"/>
        <w:rPr>
          <w:rFonts w:cs="Arial"/>
          <w:bCs/>
          <w:sz w:val="24"/>
          <w:szCs w:val="24"/>
        </w:rPr>
      </w:pPr>
    </w:p>
    <w:p w14:paraId="02235A21" w14:textId="17650E6F" w:rsidR="00721E82" w:rsidRDefault="00721E82" w:rsidP="0061483D">
      <w:pPr>
        <w:pStyle w:val="ListParagraph"/>
        <w:numPr>
          <w:ilvl w:val="0"/>
          <w:numId w:val="14"/>
        </w:numPr>
        <w:spacing w:after="160" w:line="259" w:lineRule="auto"/>
        <w:jc w:val="both"/>
        <w:rPr>
          <w:rFonts w:cs="Arial"/>
          <w:bCs/>
          <w:sz w:val="24"/>
          <w:szCs w:val="24"/>
        </w:rPr>
      </w:pPr>
      <w:r>
        <w:rPr>
          <w:rFonts w:cs="Arial"/>
          <w:bCs/>
          <w:sz w:val="24"/>
          <w:szCs w:val="24"/>
        </w:rPr>
        <w:t>If confirmed, including the 2019 principal adjustment with the 2019 transactions in the general ledger should appropriately reflect all transactions pertaining to only the 2019 calendar year in the 2019 balance.  Therefore, it would be expected that the 2019 transactions including the 2019 principal adjustments as a percentage of Account 4705 would be small.  Please reassess and explain why the percentage is greater than 1%.</w:t>
      </w:r>
    </w:p>
    <w:p w14:paraId="38062581" w14:textId="77777777" w:rsidR="00721E82" w:rsidRDefault="00721E82" w:rsidP="0061483D">
      <w:pPr>
        <w:pStyle w:val="ListParagraph"/>
        <w:spacing w:after="160" w:line="259" w:lineRule="auto"/>
        <w:jc w:val="both"/>
        <w:rPr>
          <w:rFonts w:cs="Arial"/>
          <w:bCs/>
          <w:sz w:val="24"/>
          <w:szCs w:val="24"/>
        </w:rPr>
      </w:pPr>
    </w:p>
    <w:p w14:paraId="601DB459" w14:textId="6D6ADF51" w:rsidR="00721E82" w:rsidRPr="00721E82" w:rsidRDefault="00721E82" w:rsidP="0061483D">
      <w:pPr>
        <w:pStyle w:val="ListParagraph"/>
        <w:numPr>
          <w:ilvl w:val="0"/>
          <w:numId w:val="14"/>
        </w:numPr>
        <w:spacing w:after="160" w:line="259" w:lineRule="auto"/>
        <w:jc w:val="both"/>
        <w:rPr>
          <w:rFonts w:cs="Arial"/>
          <w:bCs/>
          <w:sz w:val="24"/>
          <w:szCs w:val="24"/>
        </w:rPr>
      </w:pPr>
      <w:r>
        <w:rPr>
          <w:rFonts w:cs="Arial"/>
          <w:bCs/>
          <w:sz w:val="24"/>
          <w:szCs w:val="24"/>
        </w:rPr>
        <w:t>If part a is not confirmed, please provide a breakdown of the $1.4M adjustment by year.  If any portion of the $1.4M pertains to 2017 and 2018, please indicate why the 2017 and 2018 balances which were approved for disposition on an interim basis, were not proposed to be adjusted.</w:t>
      </w:r>
    </w:p>
    <w:p w14:paraId="5B6AA056" w14:textId="01CAF115" w:rsidR="00215491" w:rsidRPr="00215491" w:rsidRDefault="00215491" w:rsidP="00B04661">
      <w:pPr>
        <w:spacing w:after="160" w:line="259" w:lineRule="auto"/>
        <w:rPr>
          <w:rFonts w:cs="Arial"/>
          <w:sz w:val="24"/>
          <w:szCs w:val="24"/>
        </w:rPr>
      </w:pPr>
    </w:p>
    <w:p w14:paraId="2AD33602" w14:textId="1C33D88E" w:rsidR="00A7557E" w:rsidRDefault="00A7557E" w:rsidP="00A7557E">
      <w:pPr>
        <w:pStyle w:val="Quote"/>
      </w:pPr>
      <w:bookmarkStart w:id="14" w:name="_Toc535825586"/>
      <w:r>
        <w:t>Response</w:t>
      </w:r>
      <w:bookmarkEnd w:id="14"/>
    </w:p>
    <w:p w14:paraId="2E9A9D6B" w14:textId="71E06DDC" w:rsidR="00B04661" w:rsidRDefault="00B04661" w:rsidP="00B04661">
      <w:pPr>
        <w:pStyle w:val="ListParagraph"/>
        <w:numPr>
          <w:ilvl w:val="0"/>
          <w:numId w:val="15"/>
        </w:numPr>
        <w:rPr>
          <w:sz w:val="24"/>
          <w:szCs w:val="24"/>
          <w:lang w:val="en-CA"/>
        </w:rPr>
      </w:pPr>
      <w:r>
        <w:rPr>
          <w:sz w:val="24"/>
          <w:szCs w:val="24"/>
          <w:lang w:val="en-CA"/>
        </w:rPr>
        <w:t>Confirmed.</w:t>
      </w:r>
      <w:r w:rsidR="0061483D" w:rsidRPr="0061483D">
        <w:rPr>
          <w:rFonts w:cs="Arial"/>
          <w:bCs/>
          <w:sz w:val="24"/>
          <w:szCs w:val="24"/>
        </w:rPr>
        <w:t xml:space="preserve"> </w:t>
      </w:r>
      <w:r w:rsidR="0061483D">
        <w:rPr>
          <w:rFonts w:cs="Arial"/>
          <w:bCs/>
          <w:sz w:val="24"/>
          <w:szCs w:val="24"/>
        </w:rPr>
        <w:t>The $1.4M adjustment pertains only to 2019 transactions and no other years.</w:t>
      </w:r>
    </w:p>
    <w:p w14:paraId="3CDCA648" w14:textId="77777777" w:rsidR="00B04661" w:rsidRDefault="00B04661" w:rsidP="00B04661">
      <w:pPr>
        <w:rPr>
          <w:sz w:val="24"/>
          <w:szCs w:val="24"/>
          <w:lang w:val="en-CA"/>
        </w:rPr>
      </w:pPr>
    </w:p>
    <w:p w14:paraId="293E2320" w14:textId="65EBE479" w:rsidR="00B04661" w:rsidRDefault="00CA4CD5" w:rsidP="0062189E">
      <w:pPr>
        <w:pStyle w:val="ListParagraph"/>
        <w:numPr>
          <w:ilvl w:val="0"/>
          <w:numId w:val="15"/>
        </w:numPr>
        <w:jc w:val="both"/>
        <w:rPr>
          <w:sz w:val="24"/>
          <w:szCs w:val="24"/>
          <w:lang w:val="en-CA"/>
        </w:rPr>
      </w:pPr>
      <w:r>
        <w:rPr>
          <w:sz w:val="24"/>
          <w:szCs w:val="24"/>
          <w:lang w:val="en-CA"/>
        </w:rPr>
        <w:t xml:space="preserve">The 2019 general ledger balance as presented in the Account 1588 tab of the GA Analysis </w:t>
      </w:r>
      <w:proofErr w:type="spellStart"/>
      <w:r>
        <w:rPr>
          <w:sz w:val="24"/>
          <w:szCs w:val="24"/>
          <w:lang w:val="en-CA"/>
        </w:rPr>
        <w:t>Workform</w:t>
      </w:r>
      <w:proofErr w:type="spellEnd"/>
      <w:r>
        <w:rPr>
          <w:sz w:val="24"/>
          <w:szCs w:val="24"/>
          <w:lang w:val="en-CA"/>
        </w:rPr>
        <w:t xml:space="preserve"> does not include the $1</w:t>
      </w:r>
      <w:r w:rsidR="008D4846">
        <w:rPr>
          <w:sz w:val="24"/>
          <w:szCs w:val="24"/>
          <w:lang w:val="en-CA"/>
        </w:rPr>
        <w:t>,</w:t>
      </w:r>
      <w:r w:rsidR="00644E2B">
        <w:rPr>
          <w:sz w:val="24"/>
          <w:szCs w:val="24"/>
          <w:lang w:val="en-CA"/>
        </w:rPr>
        <w:t>4</w:t>
      </w:r>
      <w:r w:rsidR="008D4846">
        <w:rPr>
          <w:sz w:val="24"/>
          <w:szCs w:val="24"/>
          <w:lang w:val="en-CA"/>
        </w:rPr>
        <w:t>25,459</w:t>
      </w:r>
      <w:r>
        <w:rPr>
          <w:sz w:val="24"/>
          <w:szCs w:val="24"/>
          <w:lang w:val="en-CA"/>
        </w:rPr>
        <w:t xml:space="preserve"> adjustment.  When adjusted, the 2019 general ledger balance combined with the 2019 principal adjustment fall within the 1% threshold, as shown below:</w:t>
      </w:r>
    </w:p>
    <w:p w14:paraId="37B8F101" w14:textId="77777777" w:rsidR="008D4846" w:rsidRPr="008D4846" w:rsidRDefault="008D4846" w:rsidP="008D4846">
      <w:pPr>
        <w:pStyle w:val="ListParagraph"/>
        <w:rPr>
          <w:sz w:val="24"/>
          <w:szCs w:val="24"/>
          <w:lang w:val="en-CA"/>
        </w:rPr>
      </w:pPr>
    </w:p>
    <w:p w14:paraId="604177F0" w14:textId="405EFD85" w:rsidR="008D4846" w:rsidRDefault="002D668D" w:rsidP="008D4846">
      <w:pPr>
        <w:pStyle w:val="ListParagraph"/>
        <w:rPr>
          <w:sz w:val="24"/>
          <w:szCs w:val="24"/>
          <w:lang w:val="en-CA"/>
        </w:rPr>
      </w:pPr>
      <w:r w:rsidRPr="002D668D">
        <w:rPr>
          <w:noProof/>
          <w:sz w:val="24"/>
          <w:szCs w:val="24"/>
          <w:lang w:val="en-CA"/>
        </w:rPr>
        <w:drawing>
          <wp:inline distT="0" distB="0" distL="0" distR="0" wp14:anchorId="1730BBA6" wp14:editId="439B8B19">
            <wp:extent cx="5858693" cy="1714739"/>
            <wp:effectExtent l="0" t="0" r="889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858693" cy="1714739"/>
                    </a:xfrm>
                    <a:prstGeom prst="rect">
                      <a:avLst/>
                    </a:prstGeom>
                  </pic:spPr>
                </pic:pic>
              </a:graphicData>
            </a:graphic>
          </wp:inline>
        </w:drawing>
      </w:r>
    </w:p>
    <w:p w14:paraId="064471F5" w14:textId="77777777" w:rsidR="00644E2B" w:rsidRDefault="00644E2B" w:rsidP="00644E2B">
      <w:pPr>
        <w:pStyle w:val="ListParagraph"/>
        <w:rPr>
          <w:sz w:val="24"/>
          <w:szCs w:val="24"/>
          <w:lang w:val="en-CA"/>
        </w:rPr>
      </w:pPr>
    </w:p>
    <w:p w14:paraId="3E6C44AB" w14:textId="7375B8EE" w:rsidR="00C31336" w:rsidRPr="00B04661" w:rsidRDefault="00B04661" w:rsidP="00B04661">
      <w:pPr>
        <w:pStyle w:val="ListParagraph"/>
        <w:numPr>
          <w:ilvl w:val="0"/>
          <w:numId w:val="15"/>
        </w:numPr>
        <w:rPr>
          <w:sz w:val="24"/>
          <w:szCs w:val="24"/>
          <w:lang w:val="en-CA"/>
        </w:rPr>
      </w:pPr>
      <w:r>
        <w:rPr>
          <w:sz w:val="24"/>
          <w:szCs w:val="24"/>
          <w:lang w:val="en-CA"/>
        </w:rPr>
        <w:t xml:space="preserve"> N/A</w:t>
      </w:r>
      <w:r w:rsidR="00B115AF" w:rsidRPr="00B04661">
        <w:rPr>
          <w:sz w:val="24"/>
          <w:szCs w:val="24"/>
          <w:lang w:val="en-CA"/>
        </w:rPr>
        <w:t xml:space="preserve">  </w:t>
      </w:r>
    </w:p>
    <w:sectPr w:rsidR="00C31336" w:rsidRPr="00B04661" w:rsidSect="00F03F2C">
      <w:head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92E5" w14:textId="77777777" w:rsidR="0053256C" w:rsidRDefault="0053256C" w:rsidP="00D20564">
      <w:pPr>
        <w:spacing w:after="0" w:line="240" w:lineRule="auto"/>
      </w:pPr>
      <w:r>
        <w:separator/>
      </w:r>
    </w:p>
  </w:endnote>
  <w:endnote w:type="continuationSeparator" w:id="0">
    <w:p w14:paraId="6109DCDB" w14:textId="77777777" w:rsidR="0053256C" w:rsidRDefault="0053256C" w:rsidP="00D2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E635" w14:textId="77777777" w:rsidR="0053256C" w:rsidRDefault="0053256C" w:rsidP="00D20564">
      <w:pPr>
        <w:spacing w:after="0" w:line="240" w:lineRule="auto"/>
      </w:pPr>
      <w:r>
        <w:separator/>
      </w:r>
    </w:p>
  </w:footnote>
  <w:footnote w:type="continuationSeparator" w:id="0">
    <w:p w14:paraId="5301165A" w14:textId="77777777" w:rsidR="0053256C" w:rsidRDefault="0053256C" w:rsidP="00D2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3183" w14:textId="5D7B61DC" w:rsidR="0053256C" w:rsidRDefault="0053256C">
    <w:pPr>
      <w:pStyle w:val="Header"/>
    </w:pPr>
    <w:r>
      <w:rPr>
        <w:noProof/>
      </w:rPr>
      <w:drawing>
        <wp:anchor distT="0" distB="0" distL="114300" distR="114300" simplePos="0" relativeHeight="251684864" behindDoc="1" locked="0" layoutInCell="1" allowOverlap="1" wp14:anchorId="627F3A78" wp14:editId="45F2FA2A">
          <wp:simplePos x="0" y="0"/>
          <wp:positionH relativeFrom="column">
            <wp:posOffset>-409575</wp:posOffset>
          </wp:positionH>
          <wp:positionV relativeFrom="paragraph">
            <wp:posOffset>0</wp:posOffset>
          </wp:positionV>
          <wp:extent cx="1715770" cy="457200"/>
          <wp:effectExtent l="0" t="0" r="0" b="0"/>
          <wp:wrapTight wrapText="bothSides">
            <wp:wrapPolygon edited="0">
              <wp:start x="0" y="0"/>
              <wp:lineTo x="0" y="20700"/>
              <wp:lineTo x="21344" y="20700"/>
              <wp:lineTo x="21344" y="0"/>
              <wp:lineTo x="0" y="0"/>
            </wp:wrapPolygon>
          </wp:wrapTight>
          <wp:docPr id="17" name="Picture 17"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7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EB-20</w:t>
    </w:r>
    <w:r w:rsidR="00DC76EC">
      <w:t>21</w:t>
    </w:r>
    <w:r>
      <w:t>-00</w:t>
    </w:r>
    <w:r w:rsidR="00DC76EC">
      <w:t>23</w:t>
    </w:r>
  </w:p>
  <w:p w14:paraId="7AC41DCB" w14:textId="60404EEB" w:rsidR="0053256C" w:rsidRDefault="0053256C">
    <w:pPr>
      <w:pStyle w:val="Header"/>
    </w:pPr>
    <w:r>
      <w:tab/>
    </w:r>
    <w:r>
      <w:tab/>
      <w:t>Filed</w:t>
    </w:r>
    <w:r w:rsidRPr="00C50EA6">
      <w:t xml:space="preserve">: </w:t>
    </w:r>
    <w:r w:rsidR="00C50EA6">
      <w:t>March 3</w:t>
    </w:r>
    <w:r w:rsidRPr="00C50EA6">
      <w:t>, 20</w:t>
    </w:r>
    <w:r w:rsidR="00DC76EC" w:rsidRPr="00C50EA6">
      <w:t>22</w:t>
    </w:r>
  </w:p>
  <w:p w14:paraId="50B7DF38" w14:textId="77777777" w:rsidR="0053256C" w:rsidRDefault="0053256C">
    <w:pPr>
      <w:pStyle w:val="Header"/>
    </w:pPr>
    <w:r>
      <w:tab/>
    </w:r>
    <w:r>
      <w:tab/>
      <w:t>Interrogatory Responses</w:t>
    </w:r>
  </w:p>
  <w:p w14:paraId="38FB4588" w14:textId="20FA10A1" w:rsidR="0053256C" w:rsidRDefault="0053256C">
    <w:pPr>
      <w:pStyle w:val="Header"/>
      <w:rPr>
        <w:b/>
        <w:bCs/>
        <w:noProof/>
      </w:rPr>
    </w:pPr>
    <w:r>
      <w:rPr>
        <w:noProof/>
      </w:rPr>
      <mc:AlternateContent>
        <mc:Choice Requires="wps">
          <w:drawing>
            <wp:anchor distT="0" distB="0" distL="114300" distR="114300" simplePos="0" relativeHeight="251657216" behindDoc="0" locked="0" layoutInCell="1" allowOverlap="1" wp14:anchorId="1573FEAB" wp14:editId="1DFD9EB2">
              <wp:simplePos x="0" y="0"/>
              <wp:positionH relativeFrom="column">
                <wp:posOffset>-411480</wp:posOffset>
              </wp:positionH>
              <wp:positionV relativeFrom="paragraph">
                <wp:posOffset>173990</wp:posOffset>
              </wp:positionV>
              <wp:extent cx="6537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653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C1BB9"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2.4pt,13.7pt" to="482.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hfzgEAAAMEAAAOAAAAZHJzL2Uyb0RvYy54bWysU8GO0zAQvSPxD5bvNG0RBaKme+hquSCo&#10;WPgArzNuLNkea2za9O8Zu226AiQE4uJk7Hlv5j2P13ejd+IAlCyGTi5mcykgaOxt2Hfy29eHV++k&#10;SFmFXjkM0MkTJHm3eflifYwtLHFA1wMJJgmpPcZODjnHtmmSHsCrNMMIgQ8NkleZQ9o3Pakjs3vX&#10;LOfzVXNE6iOhhpR49/58KDeV3xjQ+bMxCbJwneTecl2prk9lbTZr1e5JxcHqSxvqH7rwygYuOlHd&#10;q6zEd7K/UHmrCROaPNPoGzTGaqgaWM1i/pOax0FFqFrYnBQnm9L/o9WfDjsStu/kUoqgPF/RYyZl&#10;90MWWwyBDUQSy+LTMaaW07dhR5coxR0V0aMhX74sR4zV29PkLYxZaN5cvXn99v2Kr0Bfz5obMFLK&#10;HwC9KD+ddDYU2apVh48pczFOvaaUbRfKmtDZ/sE6V4MyMLB1JA6KrzqPi9Iy455lcVSQTRFybr3+&#10;5ZODM+sXMGwFN7uo1esQ3jiV1hDyldcFzi4wwx1MwPmfgZf8AoU6oH8DnhC1MoY8gb0NSL+rfrPC&#10;nPOvDpx1FwuesD/VS63W8KRV5y6voozy87jCb2938wMAAP//AwBQSwMEFAAGAAgAAAAhAHFzARHc&#10;AAAACQEAAA8AAABkcnMvZG93bnJldi54bWxMjz1PwzAQhnek/gfrkNhahyoKJY1TVQgWxJK0Q9nc&#10;+BpHjc9p7DTh32NgoOP7ofeeyzaTadkVe9dYEvC4iIAhVVY1VAvY797mK2DOS1KytYQCvtDBJp/d&#10;ZTJVdqQCr6WvWRghl0oB2vsu5dxVGo10C9shhexkeyN9kH3NVS/HMG5avoyihBvZULigZYcvGqtz&#10;ORgB75cPt4+T4rU4XFbl+HkadG1RiIf7absG5nHy/2X4wQ/okAemox1IOdYKmCdxQPcClk8xsFB4&#10;/jWOfwbPM377Qf4NAAD//wMAUEsBAi0AFAAGAAgAAAAhALaDOJL+AAAA4QEAABMAAAAAAAAAAAAA&#10;AAAAAAAAAFtDb250ZW50X1R5cGVzXS54bWxQSwECLQAUAAYACAAAACEAOP0h/9YAAACUAQAACwAA&#10;AAAAAAAAAAAAAAAvAQAAX3JlbHMvLnJlbHNQSwECLQAUAAYACAAAACEA3Z7IX84BAAADBAAADgAA&#10;AAAAAAAAAAAAAAAuAgAAZHJzL2Uyb0RvYy54bWxQSwECLQAUAAYACAAAACEAcXMBEdwAAAAJAQAA&#10;DwAAAAAAAAAAAAAAAAAoBAAAZHJzL2Rvd25yZXYueG1sUEsFBgAAAAAEAAQA8wAAADEFAAAAAA==&#10;" strokecolor="black [3213]"/>
          </w:pict>
        </mc:Fallback>
      </mc:AlternateConten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AC4FF0" w:rsidRPr="00AC4FF0">
      <w:rPr>
        <w:b/>
        <w:bCs/>
        <w:noProof/>
      </w:rPr>
      <w:t>3</w:t>
    </w:r>
    <w:r>
      <w:rPr>
        <w:b/>
        <w:bCs/>
        <w:noProof/>
      </w:rPr>
      <w:fldChar w:fldCharType="end"/>
    </w:r>
  </w:p>
  <w:p w14:paraId="1AA7323F" w14:textId="77777777" w:rsidR="0053256C" w:rsidRDefault="0053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5B0"/>
    <w:multiLevelType w:val="hybridMultilevel"/>
    <w:tmpl w:val="507063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BC325A"/>
    <w:multiLevelType w:val="hybridMultilevel"/>
    <w:tmpl w:val="103AB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E7F"/>
    <w:multiLevelType w:val="hybridMultilevel"/>
    <w:tmpl w:val="93243136"/>
    <w:lvl w:ilvl="0" w:tplc="98D8067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096ABB"/>
    <w:multiLevelType w:val="hybridMultilevel"/>
    <w:tmpl w:val="3904C3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2E05DA"/>
    <w:multiLevelType w:val="hybridMultilevel"/>
    <w:tmpl w:val="49B4F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47B2E"/>
    <w:multiLevelType w:val="hybridMultilevel"/>
    <w:tmpl w:val="7A5443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C3E8C"/>
    <w:multiLevelType w:val="hybridMultilevel"/>
    <w:tmpl w:val="82C8C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801A2"/>
    <w:multiLevelType w:val="hybridMultilevel"/>
    <w:tmpl w:val="A48AB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E30A1"/>
    <w:multiLevelType w:val="hybridMultilevel"/>
    <w:tmpl w:val="15744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C3029"/>
    <w:multiLevelType w:val="hybridMultilevel"/>
    <w:tmpl w:val="EC448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45C7F"/>
    <w:multiLevelType w:val="hybridMultilevel"/>
    <w:tmpl w:val="525888F8"/>
    <w:lvl w:ilvl="0" w:tplc="1009001B">
      <w:start w:val="1"/>
      <w:numFmt w:val="low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11356AD"/>
    <w:multiLevelType w:val="hybridMultilevel"/>
    <w:tmpl w:val="B17EB9BA"/>
    <w:lvl w:ilvl="0" w:tplc="FFFADC8E">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6614D"/>
    <w:multiLevelType w:val="hybridMultilevel"/>
    <w:tmpl w:val="A9D61DE8"/>
    <w:lvl w:ilvl="0" w:tplc="BA725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A6B9C"/>
    <w:multiLevelType w:val="hybridMultilevel"/>
    <w:tmpl w:val="BB983C14"/>
    <w:lvl w:ilvl="0" w:tplc="0409000F">
      <w:start w:val="1"/>
      <w:numFmt w:val="decimal"/>
      <w:lvlText w:val="%1."/>
      <w:lvlJc w:val="left"/>
      <w:pPr>
        <w:ind w:left="720" w:hanging="360"/>
      </w:pPr>
    </w:lvl>
    <w:lvl w:ilvl="1" w:tplc="81ECCF2E">
      <w:start w:val="1"/>
      <w:numFmt w:val="decimal"/>
      <w:lvlText w:val="%2."/>
      <w:lvlJc w:val="left"/>
      <w:pPr>
        <w:ind w:left="1440" w:hanging="360"/>
      </w:pPr>
      <w:rPr>
        <w:rFonts w:ascii="Arial" w:eastAsiaTheme="minorHAnsi" w:hAnsi="Arial" w:cs="Arial"/>
      </w:rPr>
    </w:lvl>
    <w:lvl w:ilvl="2" w:tplc="D9BA4720">
      <w:start w:val="1"/>
      <w:numFmt w:val="decimal"/>
      <w:lvlText w:val="%3."/>
      <w:lvlJc w:val="left"/>
      <w:pPr>
        <w:ind w:left="2340" w:hanging="360"/>
      </w:pPr>
      <w:rPr>
        <w:rFonts w:ascii="Arial" w:eastAsiaTheme="minorHAnsi" w:hAnsi="Arial" w:cs="Arial"/>
      </w:rPr>
    </w:lvl>
    <w:lvl w:ilvl="3" w:tplc="0409000F">
      <w:start w:val="1"/>
      <w:numFmt w:val="decimal"/>
      <w:lvlText w:val="%4."/>
      <w:lvlJc w:val="left"/>
      <w:pPr>
        <w:ind w:left="2880" w:hanging="360"/>
      </w:pPr>
    </w:lvl>
    <w:lvl w:ilvl="4" w:tplc="15CA66AE">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6"/>
  </w:num>
  <w:num w:numId="5">
    <w:abstractNumId w:val="15"/>
  </w:num>
  <w:num w:numId="6">
    <w:abstractNumId w:val="7"/>
  </w:num>
  <w:num w:numId="7">
    <w:abstractNumId w:val="10"/>
  </w:num>
  <w:num w:numId="8">
    <w:abstractNumId w:val="0"/>
  </w:num>
  <w:num w:numId="9">
    <w:abstractNumId w:val="5"/>
  </w:num>
  <w:num w:numId="10">
    <w:abstractNumId w:val="3"/>
  </w:num>
  <w:num w:numId="11">
    <w:abstractNumId w:val="12"/>
  </w:num>
  <w:num w:numId="12">
    <w:abstractNumId w:val="11"/>
  </w:num>
  <w:num w:numId="13">
    <w:abstractNumId w:val="2"/>
  </w:num>
  <w:num w:numId="14">
    <w:abstractNumId w:val="8"/>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01"/>
    <w:rsid w:val="0000221C"/>
    <w:rsid w:val="00002D23"/>
    <w:rsid w:val="00003F91"/>
    <w:rsid w:val="00006761"/>
    <w:rsid w:val="00007511"/>
    <w:rsid w:val="00010129"/>
    <w:rsid w:val="00012DD0"/>
    <w:rsid w:val="00014158"/>
    <w:rsid w:val="00016CF1"/>
    <w:rsid w:val="00020A71"/>
    <w:rsid w:val="00021D59"/>
    <w:rsid w:val="0002281D"/>
    <w:rsid w:val="00025A71"/>
    <w:rsid w:val="000262C0"/>
    <w:rsid w:val="00026B51"/>
    <w:rsid w:val="000276F3"/>
    <w:rsid w:val="0003036D"/>
    <w:rsid w:val="00030A73"/>
    <w:rsid w:val="00032FC9"/>
    <w:rsid w:val="00033FB5"/>
    <w:rsid w:val="00035AED"/>
    <w:rsid w:val="0003691A"/>
    <w:rsid w:val="00036DD8"/>
    <w:rsid w:val="00036FBD"/>
    <w:rsid w:val="00040057"/>
    <w:rsid w:val="0004018B"/>
    <w:rsid w:val="000417AF"/>
    <w:rsid w:val="00043013"/>
    <w:rsid w:val="0004367C"/>
    <w:rsid w:val="0004395A"/>
    <w:rsid w:val="00053709"/>
    <w:rsid w:val="00053F72"/>
    <w:rsid w:val="000542BE"/>
    <w:rsid w:val="00055095"/>
    <w:rsid w:val="00055A9B"/>
    <w:rsid w:val="000625A3"/>
    <w:rsid w:val="00063BE8"/>
    <w:rsid w:val="00063D9C"/>
    <w:rsid w:val="0006400E"/>
    <w:rsid w:val="0006405A"/>
    <w:rsid w:val="000646FE"/>
    <w:rsid w:val="00064DC7"/>
    <w:rsid w:val="0006784E"/>
    <w:rsid w:val="00073261"/>
    <w:rsid w:val="000732D1"/>
    <w:rsid w:val="0007343B"/>
    <w:rsid w:val="00073DF6"/>
    <w:rsid w:val="00075097"/>
    <w:rsid w:val="00076434"/>
    <w:rsid w:val="00076F52"/>
    <w:rsid w:val="00080863"/>
    <w:rsid w:val="00080D01"/>
    <w:rsid w:val="000818EF"/>
    <w:rsid w:val="000859D3"/>
    <w:rsid w:val="00085EC9"/>
    <w:rsid w:val="00087295"/>
    <w:rsid w:val="000874C4"/>
    <w:rsid w:val="00087FBE"/>
    <w:rsid w:val="000900D6"/>
    <w:rsid w:val="00090637"/>
    <w:rsid w:val="000912B5"/>
    <w:rsid w:val="000917FD"/>
    <w:rsid w:val="000931F6"/>
    <w:rsid w:val="0009431E"/>
    <w:rsid w:val="00097DEE"/>
    <w:rsid w:val="000A05BD"/>
    <w:rsid w:val="000A43A4"/>
    <w:rsid w:val="000A49AA"/>
    <w:rsid w:val="000A52A4"/>
    <w:rsid w:val="000A6117"/>
    <w:rsid w:val="000A6D1A"/>
    <w:rsid w:val="000B04C3"/>
    <w:rsid w:val="000B0F79"/>
    <w:rsid w:val="000B2037"/>
    <w:rsid w:val="000B22D5"/>
    <w:rsid w:val="000B2A1F"/>
    <w:rsid w:val="000B4FE3"/>
    <w:rsid w:val="000B772E"/>
    <w:rsid w:val="000B7840"/>
    <w:rsid w:val="000C1638"/>
    <w:rsid w:val="000C19EF"/>
    <w:rsid w:val="000C2C0D"/>
    <w:rsid w:val="000C42E0"/>
    <w:rsid w:val="000C45A5"/>
    <w:rsid w:val="000C4692"/>
    <w:rsid w:val="000C5897"/>
    <w:rsid w:val="000C7052"/>
    <w:rsid w:val="000C7A2C"/>
    <w:rsid w:val="000D1610"/>
    <w:rsid w:val="000D2B3D"/>
    <w:rsid w:val="000D3D45"/>
    <w:rsid w:val="000D4BDB"/>
    <w:rsid w:val="000D5131"/>
    <w:rsid w:val="000D526D"/>
    <w:rsid w:val="000D5351"/>
    <w:rsid w:val="000D5424"/>
    <w:rsid w:val="000D7148"/>
    <w:rsid w:val="000D7446"/>
    <w:rsid w:val="000E01EC"/>
    <w:rsid w:val="000E0AAF"/>
    <w:rsid w:val="000E0D44"/>
    <w:rsid w:val="000E1E4E"/>
    <w:rsid w:val="000E2478"/>
    <w:rsid w:val="000E4BF2"/>
    <w:rsid w:val="000E6340"/>
    <w:rsid w:val="000E7D6B"/>
    <w:rsid w:val="000F06CF"/>
    <w:rsid w:val="000F395D"/>
    <w:rsid w:val="000F64C6"/>
    <w:rsid w:val="000F7A3D"/>
    <w:rsid w:val="000F7F11"/>
    <w:rsid w:val="001001A6"/>
    <w:rsid w:val="00102FCD"/>
    <w:rsid w:val="00103F9E"/>
    <w:rsid w:val="00104178"/>
    <w:rsid w:val="001047D5"/>
    <w:rsid w:val="001052F5"/>
    <w:rsid w:val="00106E41"/>
    <w:rsid w:val="0011003F"/>
    <w:rsid w:val="00112267"/>
    <w:rsid w:val="00117BE4"/>
    <w:rsid w:val="00117C72"/>
    <w:rsid w:val="00122C48"/>
    <w:rsid w:val="00123475"/>
    <w:rsid w:val="00124DB4"/>
    <w:rsid w:val="001252D9"/>
    <w:rsid w:val="00126D58"/>
    <w:rsid w:val="00127F0F"/>
    <w:rsid w:val="00130E31"/>
    <w:rsid w:val="00131293"/>
    <w:rsid w:val="00132C62"/>
    <w:rsid w:val="00132CDB"/>
    <w:rsid w:val="00135BD9"/>
    <w:rsid w:val="00135DA0"/>
    <w:rsid w:val="00135E72"/>
    <w:rsid w:val="00135F59"/>
    <w:rsid w:val="00137194"/>
    <w:rsid w:val="00137F9D"/>
    <w:rsid w:val="00141B4D"/>
    <w:rsid w:val="0014378D"/>
    <w:rsid w:val="00150167"/>
    <w:rsid w:val="00152480"/>
    <w:rsid w:val="00152DAA"/>
    <w:rsid w:val="00155D43"/>
    <w:rsid w:val="00157536"/>
    <w:rsid w:val="00157C9E"/>
    <w:rsid w:val="00157F7B"/>
    <w:rsid w:val="00161285"/>
    <w:rsid w:val="00161ACA"/>
    <w:rsid w:val="0016624E"/>
    <w:rsid w:val="001669C4"/>
    <w:rsid w:val="001705B6"/>
    <w:rsid w:val="00170E01"/>
    <w:rsid w:val="001719DE"/>
    <w:rsid w:val="00171CE8"/>
    <w:rsid w:val="001741FA"/>
    <w:rsid w:val="001742EB"/>
    <w:rsid w:val="00175641"/>
    <w:rsid w:val="0017620B"/>
    <w:rsid w:val="00180DC5"/>
    <w:rsid w:val="001828B9"/>
    <w:rsid w:val="00182ECD"/>
    <w:rsid w:val="00187499"/>
    <w:rsid w:val="0019362F"/>
    <w:rsid w:val="00193BCE"/>
    <w:rsid w:val="00193DE4"/>
    <w:rsid w:val="001950F0"/>
    <w:rsid w:val="001967F9"/>
    <w:rsid w:val="00196CA9"/>
    <w:rsid w:val="00197BE5"/>
    <w:rsid w:val="001A07A7"/>
    <w:rsid w:val="001A0EB8"/>
    <w:rsid w:val="001A27F9"/>
    <w:rsid w:val="001A3F91"/>
    <w:rsid w:val="001A5B68"/>
    <w:rsid w:val="001A60E5"/>
    <w:rsid w:val="001B08C5"/>
    <w:rsid w:val="001B0BFB"/>
    <w:rsid w:val="001B0DDA"/>
    <w:rsid w:val="001B1571"/>
    <w:rsid w:val="001B1F29"/>
    <w:rsid w:val="001B6ECA"/>
    <w:rsid w:val="001B7689"/>
    <w:rsid w:val="001C19A2"/>
    <w:rsid w:val="001C1A34"/>
    <w:rsid w:val="001C2717"/>
    <w:rsid w:val="001C7ABE"/>
    <w:rsid w:val="001D0502"/>
    <w:rsid w:val="001D1FE8"/>
    <w:rsid w:val="001D3692"/>
    <w:rsid w:val="001D57E1"/>
    <w:rsid w:val="001E04A9"/>
    <w:rsid w:val="001E1A52"/>
    <w:rsid w:val="001E31A3"/>
    <w:rsid w:val="001E39D7"/>
    <w:rsid w:val="001E4A58"/>
    <w:rsid w:val="001E4E04"/>
    <w:rsid w:val="001E65E1"/>
    <w:rsid w:val="001E7627"/>
    <w:rsid w:val="001E7FB9"/>
    <w:rsid w:val="001F020D"/>
    <w:rsid w:val="00200389"/>
    <w:rsid w:val="0020364A"/>
    <w:rsid w:val="00203741"/>
    <w:rsid w:val="0021215A"/>
    <w:rsid w:val="00215491"/>
    <w:rsid w:val="00215C8D"/>
    <w:rsid w:val="00222DC1"/>
    <w:rsid w:val="00227054"/>
    <w:rsid w:val="00230133"/>
    <w:rsid w:val="00234CC0"/>
    <w:rsid w:val="00236160"/>
    <w:rsid w:val="002416C8"/>
    <w:rsid w:val="00242590"/>
    <w:rsid w:val="00244B8D"/>
    <w:rsid w:val="002460AC"/>
    <w:rsid w:val="0025034B"/>
    <w:rsid w:val="0025210D"/>
    <w:rsid w:val="00260A40"/>
    <w:rsid w:val="00260D5B"/>
    <w:rsid w:val="00266593"/>
    <w:rsid w:val="0026793C"/>
    <w:rsid w:val="002711A4"/>
    <w:rsid w:val="0027229A"/>
    <w:rsid w:val="00272C7F"/>
    <w:rsid w:val="002753AF"/>
    <w:rsid w:val="002753E4"/>
    <w:rsid w:val="0027661B"/>
    <w:rsid w:val="0028062C"/>
    <w:rsid w:val="002830FE"/>
    <w:rsid w:val="00285118"/>
    <w:rsid w:val="00287FBB"/>
    <w:rsid w:val="00292E4B"/>
    <w:rsid w:val="00294F62"/>
    <w:rsid w:val="00295640"/>
    <w:rsid w:val="002A342D"/>
    <w:rsid w:val="002A4C15"/>
    <w:rsid w:val="002A7F20"/>
    <w:rsid w:val="002B2D39"/>
    <w:rsid w:val="002B4DAD"/>
    <w:rsid w:val="002B6107"/>
    <w:rsid w:val="002C014A"/>
    <w:rsid w:val="002C116A"/>
    <w:rsid w:val="002C1E4C"/>
    <w:rsid w:val="002C208F"/>
    <w:rsid w:val="002C260C"/>
    <w:rsid w:val="002D06EB"/>
    <w:rsid w:val="002D668D"/>
    <w:rsid w:val="002E3544"/>
    <w:rsid w:val="002F2FD1"/>
    <w:rsid w:val="002F32E7"/>
    <w:rsid w:val="002F3F41"/>
    <w:rsid w:val="002F4C76"/>
    <w:rsid w:val="002F668C"/>
    <w:rsid w:val="002F79E1"/>
    <w:rsid w:val="003008DA"/>
    <w:rsid w:val="00301BE8"/>
    <w:rsid w:val="003024E7"/>
    <w:rsid w:val="00302A7B"/>
    <w:rsid w:val="0030483E"/>
    <w:rsid w:val="0030595B"/>
    <w:rsid w:val="0030741E"/>
    <w:rsid w:val="003105D3"/>
    <w:rsid w:val="00310B44"/>
    <w:rsid w:val="00311232"/>
    <w:rsid w:val="00311A10"/>
    <w:rsid w:val="003126F3"/>
    <w:rsid w:val="00320BCA"/>
    <w:rsid w:val="00327EB1"/>
    <w:rsid w:val="0034059E"/>
    <w:rsid w:val="00342034"/>
    <w:rsid w:val="003457DE"/>
    <w:rsid w:val="00345DCD"/>
    <w:rsid w:val="0034746E"/>
    <w:rsid w:val="003505EE"/>
    <w:rsid w:val="00353B6D"/>
    <w:rsid w:val="0035455F"/>
    <w:rsid w:val="00357D0A"/>
    <w:rsid w:val="0036034E"/>
    <w:rsid w:val="003605C9"/>
    <w:rsid w:val="003624E2"/>
    <w:rsid w:val="0036542A"/>
    <w:rsid w:val="00370F92"/>
    <w:rsid w:val="003719CB"/>
    <w:rsid w:val="003721C3"/>
    <w:rsid w:val="00372F5A"/>
    <w:rsid w:val="00372FD8"/>
    <w:rsid w:val="00373711"/>
    <w:rsid w:val="00374E05"/>
    <w:rsid w:val="00374ECE"/>
    <w:rsid w:val="00377F69"/>
    <w:rsid w:val="003808A0"/>
    <w:rsid w:val="00380F71"/>
    <w:rsid w:val="00381BA9"/>
    <w:rsid w:val="003821F1"/>
    <w:rsid w:val="003825ED"/>
    <w:rsid w:val="003826C4"/>
    <w:rsid w:val="00386419"/>
    <w:rsid w:val="00386E72"/>
    <w:rsid w:val="003917D5"/>
    <w:rsid w:val="00394792"/>
    <w:rsid w:val="00396686"/>
    <w:rsid w:val="00397850"/>
    <w:rsid w:val="003A2881"/>
    <w:rsid w:val="003A2D15"/>
    <w:rsid w:val="003A638D"/>
    <w:rsid w:val="003A6C66"/>
    <w:rsid w:val="003A715D"/>
    <w:rsid w:val="003B3244"/>
    <w:rsid w:val="003B52EB"/>
    <w:rsid w:val="003B631A"/>
    <w:rsid w:val="003B72C6"/>
    <w:rsid w:val="003C1F6F"/>
    <w:rsid w:val="003C6FEA"/>
    <w:rsid w:val="003C7BD6"/>
    <w:rsid w:val="003D2FFE"/>
    <w:rsid w:val="003D5B37"/>
    <w:rsid w:val="003D7F48"/>
    <w:rsid w:val="003E14EE"/>
    <w:rsid w:val="003E22D7"/>
    <w:rsid w:val="003E453A"/>
    <w:rsid w:val="003E5866"/>
    <w:rsid w:val="003E5D99"/>
    <w:rsid w:val="003E641F"/>
    <w:rsid w:val="003E6905"/>
    <w:rsid w:val="003F1BD6"/>
    <w:rsid w:val="003F319A"/>
    <w:rsid w:val="003F3B64"/>
    <w:rsid w:val="003F3FBD"/>
    <w:rsid w:val="003F76E0"/>
    <w:rsid w:val="003F7C5D"/>
    <w:rsid w:val="00400B8F"/>
    <w:rsid w:val="0040106F"/>
    <w:rsid w:val="0040198B"/>
    <w:rsid w:val="00403AAE"/>
    <w:rsid w:val="00405832"/>
    <w:rsid w:val="00407E6C"/>
    <w:rsid w:val="00411ABF"/>
    <w:rsid w:val="004120AA"/>
    <w:rsid w:val="0041472B"/>
    <w:rsid w:val="00417912"/>
    <w:rsid w:val="00420988"/>
    <w:rsid w:val="00420CF0"/>
    <w:rsid w:val="00421331"/>
    <w:rsid w:val="0042186F"/>
    <w:rsid w:val="00421B21"/>
    <w:rsid w:val="00421CD2"/>
    <w:rsid w:val="0042230B"/>
    <w:rsid w:val="004228F9"/>
    <w:rsid w:val="00422963"/>
    <w:rsid w:val="00422CEB"/>
    <w:rsid w:val="00422F41"/>
    <w:rsid w:val="00425BFB"/>
    <w:rsid w:val="00430A57"/>
    <w:rsid w:val="00430D26"/>
    <w:rsid w:val="0043211C"/>
    <w:rsid w:val="00433087"/>
    <w:rsid w:val="00434D56"/>
    <w:rsid w:val="00434F9B"/>
    <w:rsid w:val="00435565"/>
    <w:rsid w:val="00451844"/>
    <w:rsid w:val="00451B50"/>
    <w:rsid w:val="00456C7A"/>
    <w:rsid w:val="00457143"/>
    <w:rsid w:val="004573D6"/>
    <w:rsid w:val="00464F3A"/>
    <w:rsid w:val="0046681A"/>
    <w:rsid w:val="00470676"/>
    <w:rsid w:val="0047320A"/>
    <w:rsid w:val="004747D1"/>
    <w:rsid w:val="00475090"/>
    <w:rsid w:val="00476CE4"/>
    <w:rsid w:val="004809A6"/>
    <w:rsid w:val="00480F62"/>
    <w:rsid w:val="00485567"/>
    <w:rsid w:val="00486667"/>
    <w:rsid w:val="00487F4B"/>
    <w:rsid w:val="00490034"/>
    <w:rsid w:val="004902A0"/>
    <w:rsid w:val="00495577"/>
    <w:rsid w:val="004977BC"/>
    <w:rsid w:val="00497A48"/>
    <w:rsid w:val="004A1258"/>
    <w:rsid w:val="004A23F5"/>
    <w:rsid w:val="004A474C"/>
    <w:rsid w:val="004A563A"/>
    <w:rsid w:val="004A766C"/>
    <w:rsid w:val="004B04BB"/>
    <w:rsid w:val="004B5E8F"/>
    <w:rsid w:val="004B7C17"/>
    <w:rsid w:val="004C1FBA"/>
    <w:rsid w:val="004C243F"/>
    <w:rsid w:val="004C7FD3"/>
    <w:rsid w:val="004D0469"/>
    <w:rsid w:val="004D2578"/>
    <w:rsid w:val="004D3BC0"/>
    <w:rsid w:val="004D563C"/>
    <w:rsid w:val="004D5A80"/>
    <w:rsid w:val="004D5BC3"/>
    <w:rsid w:val="004E1C78"/>
    <w:rsid w:val="004E1CB9"/>
    <w:rsid w:val="004E2E15"/>
    <w:rsid w:val="004E3BD5"/>
    <w:rsid w:val="004E6BD6"/>
    <w:rsid w:val="004E7BD4"/>
    <w:rsid w:val="004F0B13"/>
    <w:rsid w:val="004F1245"/>
    <w:rsid w:val="004F2073"/>
    <w:rsid w:val="004F31E1"/>
    <w:rsid w:val="004F4C9C"/>
    <w:rsid w:val="00503CE4"/>
    <w:rsid w:val="0050468A"/>
    <w:rsid w:val="00505B64"/>
    <w:rsid w:val="00510BF2"/>
    <w:rsid w:val="00512498"/>
    <w:rsid w:val="00513E09"/>
    <w:rsid w:val="00514624"/>
    <w:rsid w:val="0051706E"/>
    <w:rsid w:val="00517BCD"/>
    <w:rsid w:val="005200B6"/>
    <w:rsid w:val="00520BB7"/>
    <w:rsid w:val="0052135E"/>
    <w:rsid w:val="005225D1"/>
    <w:rsid w:val="00522C14"/>
    <w:rsid w:val="00531419"/>
    <w:rsid w:val="00531F6A"/>
    <w:rsid w:val="0053256C"/>
    <w:rsid w:val="005349DF"/>
    <w:rsid w:val="00535382"/>
    <w:rsid w:val="00536579"/>
    <w:rsid w:val="00537003"/>
    <w:rsid w:val="0053705C"/>
    <w:rsid w:val="005445A8"/>
    <w:rsid w:val="00544644"/>
    <w:rsid w:val="00544B63"/>
    <w:rsid w:val="00546EDD"/>
    <w:rsid w:val="005472AC"/>
    <w:rsid w:val="0054734B"/>
    <w:rsid w:val="00547AD6"/>
    <w:rsid w:val="005526CD"/>
    <w:rsid w:val="005558D8"/>
    <w:rsid w:val="005645C3"/>
    <w:rsid w:val="00564881"/>
    <w:rsid w:val="005670B0"/>
    <w:rsid w:val="00567EE8"/>
    <w:rsid w:val="005718D2"/>
    <w:rsid w:val="00571961"/>
    <w:rsid w:val="00571BF9"/>
    <w:rsid w:val="005722F8"/>
    <w:rsid w:val="00572797"/>
    <w:rsid w:val="005742D2"/>
    <w:rsid w:val="00574EA9"/>
    <w:rsid w:val="00576DB5"/>
    <w:rsid w:val="00576EA7"/>
    <w:rsid w:val="00577C43"/>
    <w:rsid w:val="00577C71"/>
    <w:rsid w:val="00580528"/>
    <w:rsid w:val="00582658"/>
    <w:rsid w:val="00583081"/>
    <w:rsid w:val="00584201"/>
    <w:rsid w:val="00585307"/>
    <w:rsid w:val="0058541A"/>
    <w:rsid w:val="00585ACF"/>
    <w:rsid w:val="00585EA2"/>
    <w:rsid w:val="005947B7"/>
    <w:rsid w:val="005962EA"/>
    <w:rsid w:val="005964B1"/>
    <w:rsid w:val="005A14E6"/>
    <w:rsid w:val="005A1557"/>
    <w:rsid w:val="005A1CF3"/>
    <w:rsid w:val="005A3CF4"/>
    <w:rsid w:val="005A41D7"/>
    <w:rsid w:val="005A5DCE"/>
    <w:rsid w:val="005A7D46"/>
    <w:rsid w:val="005B0DFA"/>
    <w:rsid w:val="005B2292"/>
    <w:rsid w:val="005B4582"/>
    <w:rsid w:val="005B77AB"/>
    <w:rsid w:val="005C200D"/>
    <w:rsid w:val="005C69CB"/>
    <w:rsid w:val="005D0DB1"/>
    <w:rsid w:val="005D225A"/>
    <w:rsid w:val="005D24B0"/>
    <w:rsid w:val="005D5258"/>
    <w:rsid w:val="005D5F25"/>
    <w:rsid w:val="005D7A91"/>
    <w:rsid w:val="005E42ED"/>
    <w:rsid w:val="005F04D4"/>
    <w:rsid w:val="005F0BB2"/>
    <w:rsid w:val="005F2189"/>
    <w:rsid w:val="005F47AA"/>
    <w:rsid w:val="005F599D"/>
    <w:rsid w:val="005F62EA"/>
    <w:rsid w:val="0060249D"/>
    <w:rsid w:val="00603FD3"/>
    <w:rsid w:val="00606AFD"/>
    <w:rsid w:val="00606E85"/>
    <w:rsid w:val="0061017E"/>
    <w:rsid w:val="00610234"/>
    <w:rsid w:val="006114FF"/>
    <w:rsid w:val="00612446"/>
    <w:rsid w:val="00613FE5"/>
    <w:rsid w:val="0061483D"/>
    <w:rsid w:val="0062189E"/>
    <w:rsid w:val="00621BCF"/>
    <w:rsid w:val="00622C72"/>
    <w:rsid w:val="0062622D"/>
    <w:rsid w:val="00626262"/>
    <w:rsid w:val="006315D4"/>
    <w:rsid w:val="00633606"/>
    <w:rsid w:val="00634886"/>
    <w:rsid w:val="00635B96"/>
    <w:rsid w:val="00636C7B"/>
    <w:rsid w:val="00641CA1"/>
    <w:rsid w:val="0064305A"/>
    <w:rsid w:val="00643696"/>
    <w:rsid w:val="00643C25"/>
    <w:rsid w:val="00644E2B"/>
    <w:rsid w:val="00645B14"/>
    <w:rsid w:val="0064690E"/>
    <w:rsid w:val="00647FDC"/>
    <w:rsid w:val="00650C99"/>
    <w:rsid w:val="00652644"/>
    <w:rsid w:val="0065704C"/>
    <w:rsid w:val="00660328"/>
    <w:rsid w:val="0066044B"/>
    <w:rsid w:val="006609C0"/>
    <w:rsid w:val="0066302D"/>
    <w:rsid w:val="00673B80"/>
    <w:rsid w:val="00677EF5"/>
    <w:rsid w:val="006802CA"/>
    <w:rsid w:val="00680A80"/>
    <w:rsid w:val="00681578"/>
    <w:rsid w:val="006835E5"/>
    <w:rsid w:val="00683C94"/>
    <w:rsid w:val="00684B49"/>
    <w:rsid w:val="00684E2C"/>
    <w:rsid w:val="0069324F"/>
    <w:rsid w:val="00694810"/>
    <w:rsid w:val="006949E3"/>
    <w:rsid w:val="00697986"/>
    <w:rsid w:val="006A2885"/>
    <w:rsid w:val="006A3412"/>
    <w:rsid w:val="006A50AD"/>
    <w:rsid w:val="006A5BF8"/>
    <w:rsid w:val="006B15EA"/>
    <w:rsid w:val="006B32BA"/>
    <w:rsid w:val="006B7F57"/>
    <w:rsid w:val="006C1A3D"/>
    <w:rsid w:val="006C3D53"/>
    <w:rsid w:val="006C5DED"/>
    <w:rsid w:val="006C6DEA"/>
    <w:rsid w:val="006D03C9"/>
    <w:rsid w:val="006E15F0"/>
    <w:rsid w:val="006E27BB"/>
    <w:rsid w:val="006E4F58"/>
    <w:rsid w:val="006F05C8"/>
    <w:rsid w:val="006F2734"/>
    <w:rsid w:val="006F4E3D"/>
    <w:rsid w:val="006F616F"/>
    <w:rsid w:val="006F67C9"/>
    <w:rsid w:val="007005E2"/>
    <w:rsid w:val="007014EB"/>
    <w:rsid w:val="007054EC"/>
    <w:rsid w:val="00706422"/>
    <w:rsid w:val="0070732E"/>
    <w:rsid w:val="0070757E"/>
    <w:rsid w:val="00712D6F"/>
    <w:rsid w:val="007132CB"/>
    <w:rsid w:val="0071574B"/>
    <w:rsid w:val="00715A81"/>
    <w:rsid w:val="0071678E"/>
    <w:rsid w:val="00717F51"/>
    <w:rsid w:val="00721E82"/>
    <w:rsid w:val="007230D3"/>
    <w:rsid w:val="00723EAA"/>
    <w:rsid w:val="00732369"/>
    <w:rsid w:val="00732534"/>
    <w:rsid w:val="00736262"/>
    <w:rsid w:val="00736EA0"/>
    <w:rsid w:val="00736EA3"/>
    <w:rsid w:val="00737A63"/>
    <w:rsid w:val="00740FFC"/>
    <w:rsid w:val="0074376F"/>
    <w:rsid w:val="00745614"/>
    <w:rsid w:val="00752EF1"/>
    <w:rsid w:val="00753F3A"/>
    <w:rsid w:val="00754C6A"/>
    <w:rsid w:val="00757AC2"/>
    <w:rsid w:val="00757CC7"/>
    <w:rsid w:val="0076376A"/>
    <w:rsid w:val="00764CBA"/>
    <w:rsid w:val="00772C3E"/>
    <w:rsid w:val="00774C02"/>
    <w:rsid w:val="00777777"/>
    <w:rsid w:val="007777A4"/>
    <w:rsid w:val="00780DEA"/>
    <w:rsid w:val="00784032"/>
    <w:rsid w:val="007901D5"/>
    <w:rsid w:val="007924D1"/>
    <w:rsid w:val="007929D2"/>
    <w:rsid w:val="00794861"/>
    <w:rsid w:val="0079590F"/>
    <w:rsid w:val="00797217"/>
    <w:rsid w:val="007A29D2"/>
    <w:rsid w:val="007A3755"/>
    <w:rsid w:val="007A4F55"/>
    <w:rsid w:val="007A70C4"/>
    <w:rsid w:val="007A7178"/>
    <w:rsid w:val="007B0617"/>
    <w:rsid w:val="007B0FE5"/>
    <w:rsid w:val="007B1981"/>
    <w:rsid w:val="007B3628"/>
    <w:rsid w:val="007B5351"/>
    <w:rsid w:val="007C1023"/>
    <w:rsid w:val="007C2E0F"/>
    <w:rsid w:val="007C433C"/>
    <w:rsid w:val="007C6FB4"/>
    <w:rsid w:val="007C783B"/>
    <w:rsid w:val="007D26CE"/>
    <w:rsid w:val="007D2BDA"/>
    <w:rsid w:val="007D565B"/>
    <w:rsid w:val="007D6165"/>
    <w:rsid w:val="007D6166"/>
    <w:rsid w:val="007E34CD"/>
    <w:rsid w:val="007E6A4D"/>
    <w:rsid w:val="007F3AF2"/>
    <w:rsid w:val="008006DA"/>
    <w:rsid w:val="00802115"/>
    <w:rsid w:val="0080564C"/>
    <w:rsid w:val="00807253"/>
    <w:rsid w:val="008100F5"/>
    <w:rsid w:val="008109D3"/>
    <w:rsid w:val="00811B3B"/>
    <w:rsid w:val="00811BD1"/>
    <w:rsid w:val="0081232C"/>
    <w:rsid w:val="00812F83"/>
    <w:rsid w:val="00816736"/>
    <w:rsid w:val="00820D26"/>
    <w:rsid w:val="0082551F"/>
    <w:rsid w:val="0082557F"/>
    <w:rsid w:val="0082761D"/>
    <w:rsid w:val="008276D8"/>
    <w:rsid w:val="008306B0"/>
    <w:rsid w:val="008310E0"/>
    <w:rsid w:val="0083589D"/>
    <w:rsid w:val="00835ADB"/>
    <w:rsid w:val="00837364"/>
    <w:rsid w:val="00840CC2"/>
    <w:rsid w:val="00841DA6"/>
    <w:rsid w:val="008428EF"/>
    <w:rsid w:val="00843672"/>
    <w:rsid w:val="00845912"/>
    <w:rsid w:val="008465E1"/>
    <w:rsid w:val="00847E65"/>
    <w:rsid w:val="00854C36"/>
    <w:rsid w:val="008573CE"/>
    <w:rsid w:val="008607CF"/>
    <w:rsid w:val="00860853"/>
    <w:rsid w:val="00862216"/>
    <w:rsid w:val="008629F7"/>
    <w:rsid w:val="00863B76"/>
    <w:rsid w:val="00864569"/>
    <w:rsid w:val="00866487"/>
    <w:rsid w:val="00866612"/>
    <w:rsid w:val="00867759"/>
    <w:rsid w:val="00870404"/>
    <w:rsid w:val="008716FE"/>
    <w:rsid w:val="008726D2"/>
    <w:rsid w:val="008748AF"/>
    <w:rsid w:val="00874C8D"/>
    <w:rsid w:val="00874D0D"/>
    <w:rsid w:val="00875661"/>
    <w:rsid w:val="00876DF4"/>
    <w:rsid w:val="00876EBC"/>
    <w:rsid w:val="008771AD"/>
    <w:rsid w:val="0088000F"/>
    <w:rsid w:val="00880E44"/>
    <w:rsid w:val="00884DBC"/>
    <w:rsid w:val="0088609A"/>
    <w:rsid w:val="008876F7"/>
    <w:rsid w:val="00892614"/>
    <w:rsid w:val="00892F13"/>
    <w:rsid w:val="00894F35"/>
    <w:rsid w:val="00895A1E"/>
    <w:rsid w:val="008A4827"/>
    <w:rsid w:val="008A5AC3"/>
    <w:rsid w:val="008A7A65"/>
    <w:rsid w:val="008B2571"/>
    <w:rsid w:val="008B759B"/>
    <w:rsid w:val="008B7607"/>
    <w:rsid w:val="008B796A"/>
    <w:rsid w:val="008B7D3A"/>
    <w:rsid w:val="008C10F4"/>
    <w:rsid w:val="008C1154"/>
    <w:rsid w:val="008C3EBB"/>
    <w:rsid w:val="008C665A"/>
    <w:rsid w:val="008D0B87"/>
    <w:rsid w:val="008D269E"/>
    <w:rsid w:val="008D4846"/>
    <w:rsid w:val="008D6B2C"/>
    <w:rsid w:val="008D70BF"/>
    <w:rsid w:val="008E0351"/>
    <w:rsid w:val="008E0985"/>
    <w:rsid w:val="008E5722"/>
    <w:rsid w:val="008E744C"/>
    <w:rsid w:val="008F039F"/>
    <w:rsid w:val="008F0919"/>
    <w:rsid w:val="00900B6A"/>
    <w:rsid w:val="00901427"/>
    <w:rsid w:val="00902694"/>
    <w:rsid w:val="0090465E"/>
    <w:rsid w:val="00910749"/>
    <w:rsid w:val="00912A11"/>
    <w:rsid w:val="0091403F"/>
    <w:rsid w:val="00915A3C"/>
    <w:rsid w:val="00921E41"/>
    <w:rsid w:val="009231F0"/>
    <w:rsid w:val="0092477B"/>
    <w:rsid w:val="00930E8B"/>
    <w:rsid w:val="00931090"/>
    <w:rsid w:val="009317E4"/>
    <w:rsid w:val="00933433"/>
    <w:rsid w:val="009337A2"/>
    <w:rsid w:val="00933C55"/>
    <w:rsid w:val="009352C9"/>
    <w:rsid w:val="00936F6D"/>
    <w:rsid w:val="0094137B"/>
    <w:rsid w:val="009428E5"/>
    <w:rsid w:val="00946B1D"/>
    <w:rsid w:val="00946BD1"/>
    <w:rsid w:val="00951B96"/>
    <w:rsid w:val="00954BD1"/>
    <w:rsid w:val="009561AD"/>
    <w:rsid w:val="00956B8B"/>
    <w:rsid w:val="00961D59"/>
    <w:rsid w:val="00961EB5"/>
    <w:rsid w:val="00962166"/>
    <w:rsid w:val="0096526B"/>
    <w:rsid w:val="00965321"/>
    <w:rsid w:val="00967BB2"/>
    <w:rsid w:val="00970CEA"/>
    <w:rsid w:val="00971526"/>
    <w:rsid w:val="00971E2D"/>
    <w:rsid w:val="00973520"/>
    <w:rsid w:val="009758A2"/>
    <w:rsid w:val="009762D6"/>
    <w:rsid w:val="00977224"/>
    <w:rsid w:val="00982128"/>
    <w:rsid w:val="00982763"/>
    <w:rsid w:val="00982B32"/>
    <w:rsid w:val="00983F73"/>
    <w:rsid w:val="00987C36"/>
    <w:rsid w:val="00993292"/>
    <w:rsid w:val="009932B0"/>
    <w:rsid w:val="00994CD2"/>
    <w:rsid w:val="0099520B"/>
    <w:rsid w:val="009977E7"/>
    <w:rsid w:val="00997D5B"/>
    <w:rsid w:val="009A027A"/>
    <w:rsid w:val="009A080B"/>
    <w:rsid w:val="009A172C"/>
    <w:rsid w:val="009A29E3"/>
    <w:rsid w:val="009A41F3"/>
    <w:rsid w:val="009A432C"/>
    <w:rsid w:val="009A69E5"/>
    <w:rsid w:val="009A74BE"/>
    <w:rsid w:val="009B020F"/>
    <w:rsid w:val="009B429F"/>
    <w:rsid w:val="009B605C"/>
    <w:rsid w:val="009B6402"/>
    <w:rsid w:val="009C3ED3"/>
    <w:rsid w:val="009D28AD"/>
    <w:rsid w:val="009D5AF8"/>
    <w:rsid w:val="009D758B"/>
    <w:rsid w:val="009E1A9E"/>
    <w:rsid w:val="009E3D4F"/>
    <w:rsid w:val="009F33DD"/>
    <w:rsid w:val="009F3BC4"/>
    <w:rsid w:val="00A00989"/>
    <w:rsid w:val="00A00B58"/>
    <w:rsid w:val="00A040E5"/>
    <w:rsid w:val="00A0473E"/>
    <w:rsid w:val="00A05A17"/>
    <w:rsid w:val="00A05F82"/>
    <w:rsid w:val="00A12A8E"/>
    <w:rsid w:val="00A14F1D"/>
    <w:rsid w:val="00A24F17"/>
    <w:rsid w:val="00A26AE3"/>
    <w:rsid w:val="00A276D7"/>
    <w:rsid w:val="00A32745"/>
    <w:rsid w:val="00A335BA"/>
    <w:rsid w:val="00A35294"/>
    <w:rsid w:val="00A35AC9"/>
    <w:rsid w:val="00A35D4D"/>
    <w:rsid w:val="00A41344"/>
    <w:rsid w:val="00A43362"/>
    <w:rsid w:val="00A43C75"/>
    <w:rsid w:val="00A466D3"/>
    <w:rsid w:val="00A46D7D"/>
    <w:rsid w:val="00A4712E"/>
    <w:rsid w:val="00A478FB"/>
    <w:rsid w:val="00A53417"/>
    <w:rsid w:val="00A56EA0"/>
    <w:rsid w:val="00A60591"/>
    <w:rsid w:val="00A60786"/>
    <w:rsid w:val="00A61089"/>
    <w:rsid w:val="00A61526"/>
    <w:rsid w:val="00A62C19"/>
    <w:rsid w:val="00A64381"/>
    <w:rsid w:val="00A64B94"/>
    <w:rsid w:val="00A67369"/>
    <w:rsid w:val="00A67EE1"/>
    <w:rsid w:val="00A70510"/>
    <w:rsid w:val="00A74D45"/>
    <w:rsid w:val="00A7557E"/>
    <w:rsid w:val="00A771A0"/>
    <w:rsid w:val="00A8055A"/>
    <w:rsid w:val="00A816E6"/>
    <w:rsid w:val="00A82611"/>
    <w:rsid w:val="00A82EE3"/>
    <w:rsid w:val="00A82F63"/>
    <w:rsid w:val="00A83567"/>
    <w:rsid w:val="00A84B92"/>
    <w:rsid w:val="00A86333"/>
    <w:rsid w:val="00A90180"/>
    <w:rsid w:val="00A945E0"/>
    <w:rsid w:val="00A96850"/>
    <w:rsid w:val="00A97F20"/>
    <w:rsid w:val="00AA1608"/>
    <w:rsid w:val="00AA2FF8"/>
    <w:rsid w:val="00AA416E"/>
    <w:rsid w:val="00AA61DE"/>
    <w:rsid w:val="00AA63E2"/>
    <w:rsid w:val="00AA64AD"/>
    <w:rsid w:val="00AA6A3B"/>
    <w:rsid w:val="00AA77CE"/>
    <w:rsid w:val="00AA797E"/>
    <w:rsid w:val="00AB031E"/>
    <w:rsid w:val="00AB159F"/>
    <w:rsid w:val="00AB4349"/>
    <w:rsid w:val="00AB5AE0"/>
    <w:rsid w:val="00AB5BFA"/>
    <w:rsid w:val="00AB745D"/>
    <w:rsid w:val="00AC166D"/>
    <w:rsid w:val="00AC171C"/>
    <w:rsid w:val="00AC3775"/>
    <w:rsid w:val="00AC4FF0"/>
    <w:rsid w:val="00AC55A8"/>
    <w:rsid w:val="00AC5E11"/>
    <w:rsid w:val="00AC6597"/>
    <w:rsid w:val="00AC751B"/>
    <w:rsid w:val="00AC7CA1"/>
    <w:rsid w:val="00AD0030"/>
    <w:rsid w:val="00AD0AD6"/>
    <w:rsid w:val="00AD10F2"/>
    <w:rsid w:val="00AD4582"/>
    <w:rsid w:val="00AD4946"/>
    <w:rsid w:val="00AD55F7"/>
    <w:rsid w:val="00AD6A83"/>
    <w:rsid w:val="00AD7592"/>
    <w:rsid w:val="00AE4A72"/>
    <w:rsid w:val="00AE6197"/>
    <w:rsid w:val="00AF02F4"/>
    <w:rsid w:val="00AF3181"/>
    <w:rsid w:val="00AF5047"/>
    <w:rsid w:val="00AF56E5"/>
    <w:rsid w:val="00AF5D97"/>
    <w:rsid w:val="00AF617D"/>
    <w:rsid w:val="00AF6EDB"/>
    <w:rsid w:val="00B0037E"/>
    <w:rsid w:val="00B03808"/>
    <w:rsid w:val="00B04661"/>
    <w:rsid w:val="00B05A35"/>
    <w:rsid w:val="00B06B33"/>
    <w:rsid w:val="00B0705A"/>
    <w:rsid w:val="00B07143"/>
    <w:rsid w:val="00B115AF"/>
    <w:rsid w:val="00B1288D"/>
    <w:rsid w:val="00B15B95"/>
    <w:rsid w:val="00B16B2D"/>
    <w:rsid w:val="00B17229"/>
    <w:rsid w:val="00B20F48"/>
    <w:rsid w:val="00B21CB1"/>
    <w:rsid w:val="00B21D46"/>
    <w:rsid w:val="00B27E71"/>
    <w:rsid w:val="00B3084E"/>
    <w:rsid w:val="00B308EB"/>
    <w:rsid w:val="00B30B30"/>
    <w:rsid w:val="00B31AA0"/>
    <w:rsid w:val="00B32E08"/>
    <w:rsid w:val="00B34A2F"/>
    <w:rsid w:val="00B34DFB"/>
    <w:rsid w:val="00B3590B"/>
    <w:rsid w:val="00B35C07"/>
    <w:rsid w:val="00B36FC4"/>
    <w:rsid w:val="00B40125"/>
    <w:rsid w:val="00B41532"/>
    <w:rsid w:val="00B424F2"/>
    <w:rsid w:val="00B46948"/>
    <w:rsid w:val="00B5052B"/>
    <w:rsid w:val="00B51B3A"/>
    <w:rsid w:val="00B52D9F"/>
    <w:rsid w:val="00B53AB0"/>
    <w:rsid w:val="00B555F2"/>
    <w:rsid w:val="00B556C2"/>
    <w:rsid w:val="00B5702E"/>
    <w:rsid w:val="00B601D8"/>
    <w:rsid w:val="00B6024C"/>
    <w:rsid w:val="00B62B83"/>
    <w:rsid w:val="00B64DF1"/>
    <w:rsid w:val="00B66BFD"/>
    <w:rsid w:val="00B674F5"/>
    <w:rsid w:val="00B77E83"/>
    <w:rsid w:val="00B807FB"/>
    <w:rsid w:val="00B80C68"/>
    <w:rsid w:val="00B82BC8"/>
    <w:rsid w:val="00B83AFF"/>
    <w:rsid w:val="00B87FC8"/>
    <w:rsid w:val="00B9331B"/>
    <w:rsid w:val="00B955A1"/>
    <w:rsid w:val="00B95819"/>
    <w:rsid w:val="00B97B5C"/>
    <w:rsid w:val="00BA0998"/>
    <w:rsid w:val="00BA3861"/>
    <w:rsid w:val="00BA7367"/>
    <w:rsid w:val="00BB2593"/>
    <w:rsid w:val="00BB5746"/>
    <w:rsid w:val="00BC0039"/>
    <w:rsid w:val="00BC2D42"/>
    <w:rsid w:val="00BD0D30"/>
    <w:rsid w:val="00BD37A4"/>
    <w:rsid w:val="00BD3BBA"/>
    <w:rsid w:val="00BD5051"/>
    <w:rsid w:val="00BE623D"/>
    <w:rsid w:val="00BE6837"/>
    <w:rsid w:val="00BF31AC"/>
    <w:rsid w:val="00BF3486"/>
    <w:rsid w:val="00BF585A"/>
    <w:rsid w:val="00C0006B"/>
    <w:rsid w:val="00C02272"/>
    <w:rsid w:val="00C037A9"/>
    <w:rsid w:val="00C04585"/>
    <w:rsid w:val="00C10086"/>
    <w:rsid w:val="00C10947"/>
    <w:rsid w:val="00C1356A"/>
    <w:rsid w:val="00C14CF7"/>
    <w:rsid w:val="00C16B76"/>
    <w:rsid w:val="00C212F8"/>
    <w:rsid w:val="00C235B3"/>
    <w:rsid w:val="00C248B1"/>
    <w:rsid w:val="00C31336"/>
    <w:rsid w:val="00C321A5"/>
    <w:rsid w:val="00C32F07"/>
    <w:rsid w:val="00C34EC9"/>
    <w:rsid w:val="00C415FE"/>
    <w:rsid w:val="00C41912"/>
    <w:rsid w:val="00C43CFA"/>
    <w:rsid w:val="00C50EA6"/>
    <w:rsid w:val="00C51236"/>
    <w:rsid w:val="00C52049"/>
    <w:rsid w:val="00C522E4"/>
    <w:rsid w:val="00C565C3"/>
    <w:rsid w:val="00C61F22"/>
    <w:rsid w:val="00C626EF"/>
    <w:rsid w:val="00C62E26"/>
    <w:rsid w:val="00C637DF"/>
    <w:rsid w:val="00C63CDD"/>
    <w:rsid w:val="00C63DD2"/>
    <w:rsid w:val="00C649EF"/>
    <w:rsid w:val="00C6641B"/>
    <w:rsid w:val="00C703B5"/>
    <w:rsid w:val="00C72280"/>
    <w:rsid w:val="00C72520"/>
    <w:rsid w:val="00C75FB8"/>
    <w:rsid w:val="00C761D9"/>
    <w:rsid w:val="00C767C2"/>
    <w:rsid w:val="00C80EE5"/>
    <w:rsid w:val="00C817A9"/>
    <w:rsid w:val="00C86C70"/>
    <w:rsid w:val="00C901AD"/>
    <w:rsid w:val="00C907BC"/>
    <w:rsid w:val="00C9135C"/>
    <w:rsid w:val="00C91A63"/>
    <w:rsid w:val="00C96707"/>
    <w:rsid w:val="00CA1E72"/>
    <w:rsid w:val="00CA2A1D"/>
    <w:rsid w:val="00CA3E3C"/>
    <w:rsid w:val="00CA4CD5"/>
    <w:rsid w:val="00CA6B23"/>
    <w:rsid w:val="00CB005B"/>
    <w:rsid w:val="00CB2CBF"/>
    <w:rsid w:val="00CB4C89"/>
    <w:rsid w:val="00CB4FEF"/>
    <w:rsid w:val="00CB630E"/>
    <w:rsid w:val="00CB6E43"/>
    <w:rsid w:val="00CB7CE3"/>
    <w:rsid w:val="00CB7F5D"/>
    <w:rsid w:val="00CC1BCF"/>
    <w:rsid w:val="00CC3946"/>
    <w:rsid w:val="00CC3FD1"/>
    <w:rsid w:val="00CC4D4B"/>
    <w:rsid w:val="00CC5DEE"/>
    <w:rsid w:val="00CC7DB8"/>
    <w:rsid w:val="00CD0355"/>
    <w:rsid w:val="00CD2F26"/>
    <w:rsid w:val="00CD3413"/>
    <w:rsid w:val="00CD38FE"/>
    <w:rsid w:val="00CD6DFF"/>
    <w:rsid w:val="00CD6F32"/>
    <w:rsid w:val="00CE11B3"/>
    <w:rsid w:val="00CE18BC"/>
    <w:rsid w:val="00CE34F9"/>
    <w:rsid w:val="00CE4190"/>
    <w:rsid w:val="00CE422A"/>
    <w:rsid w:val="00CE42E4"/>
    <w:rsid w:val="00CE5CD9"/>
    <w:rsid w:val="00CE6CBB"/>
    <w:rsid w:val="00CF31A2"/>
    <w:rsid w:val="00CF5927"/>
    <w:rsid w:val="00CF6378"/>
    <w:rsid w:val="00CF6A73"/>
    <w:rsid w:val="00D001F5"/>
    <w:rsid w:val="00D03956"/>
    <w:rsid w:val="00D05F1B"/>
    <w:rsid w:val="00D0677F"/>
    <w:rsid w:val="00D06F45"/>
    <w:rsid w:val="00D07FA2"/>
    <w:rsid w:val="00D10109"/>
    <w:rsid w:val="00D10F52"/>
    <w:rsid w:val="00D14209"/>
    <w:rsid w:val="00D14F91"/>
    <w:rsid w:val="00D155F4"/>
    <w:rsid w:val="00D16876"/>
    <w:rsid w:val="00D171A2"/>
    <w:rsid w:val="00D2042C"/>
    <w:rsid w:val="00D20564"/>
    <w:rsid w:val="00D21E63"/>
    <w:rsid w:val="00D2339D"/>
    <w:rsid w:val="00D245C9"/>
    <w:rsid w:val="00D26F70"/>
    <w:rsid w:val="00D31A03"/>
    <w:rsid w:val="00D3521E"/>
    <w:rsid w:val="00D43B9E"/>
    <w:rsid w:val="00D43BE4"/>
    <w:rsid w:val="00D465EB"/>
    <w:rsid w:val="00D46CE7"/>
    <w:rsid w:val="00D53104"/>
    <w:rsid w:val="00D55D20"/>
    <w:rsid w:val="00D565AD"/>
    <w:rsid w:val="00D654ED"/>
    <w:rsid w:val="00D77631"/>
    <w:rsid w:val="00D826D6"/>
    <w:rsid w:val="00D84933"/>
    <w:rsid w:val="00D85149"/>
    <w:rsid w:val="00D8775F"/>
    <w:rsid w:val="00D93463"/>
    <w:rsid w:val="00D94913"/>
    <w:rsid w:val="00DA035B"/>
    <w:rsid w:val="00DA193D"/>
    <w:rsid w:val="00DA1EA3"/>
    <w:rsid w:val="00DA24BB"/>
    <w:rsid w:val="00DA359B"/>
    <w:rsid w:val="00DA430A"/>
    <w:rsid w:val="00DA4A40"/>
    <w:rsid w:val="00DB2959"/>
    <w:rsid w:val="00DB29C0"/>
    <w:rsid w:val="00DB35D8"/>
    <w:rsid w:val="00DB3E8E"/>
    <w:rsid w:val="00DC094F"/>
    <w:rsid w:val="00DC276A"/>
    <w:rsid w:val="00DC619A"/>
    <w:rsid w:val="00DC732A"/>
    <w:rsid w:val="00DC73C1"/>
    <w:rsid w:val="00DC76EC"/>
    <w:rsid w:val="00DD03B7"/>
    <w:rsid w:val="00DD4FD8"/>
    <w:rsid w:val="00DD523F"/>
    <w:rsid w:val="00DD7536"/>
    <w:rsid w:val="00DE11EC"/>
    <w:rsid w:val="00DE2824"/>
    <w:rsid w:val="00DE4DA4"/>
    <w:rsid w:val="00DE5DF4"/>
    <w:rsid w:val="00DE7614"/>
    <w:rsid w:val="00DE7CAC"/>
    <w:rsid w:val="00DF1054"/>
    <w:rsid w:val="00DF631B"/>
    <w:rsid w:val="00DF65DE"/>
    <w:rsid w:val="00DF796C"/>
    <w:rsid w:val="00E006CF"/>
    <w:rsid w:val="00E0399B"/>
    <w:rsid w:val="00E06E1F"/>
    <w:rsid w:val="00E07591"/>
    <w:rsid w:val="00E10359"/>
    <w:rsid w:val="00E1084D"/>
    <w:rsid w:val="00E11AD3"/>
    <w:rsid w:val="00E11ADC"/>
    <w:rsid w:val="00E11E89"/>
    <w:rsid w:val="00E14C4A"/>
    <w:rsid w:val="00E1780E"/>
    <w:rsid w:val="00E20CAA"/>
    <w:rsid w:val="00E2142F"/>
    <w:rsid w:val="00E219F3"/>
    <w:rsid w:val="00E21E4E"/>
    <w:rsid w:val="00E25A59"/>
    <w:rsid w:val="00E27F2B"/>
    <w:rsid w:val="00E30ECC"/>
    <w:rsid w:val="00E32CBA"/>
    <w:rsid w:val="00E34019"/>
    <w:rsid w:val="00E35C86"/>
    <w:rsid w:val="00E4141B"/>
    <w:rsid w:val="00E43E37"/>
    <w:rsid w:val="00E449A4"/>
    <w:rsid w:val="00E4503E"/>
    <w:rsid w:val="00E46F87"/>
    <w:rsid w:val="00E477E5"/>
    <w:rsid w:val="00E51134"/>
    <w:rsid w:val="00E526EE"/>
    <w:rsid w:val="00E52B42"/>
    <w:rsid w:val="00E537FF"/>
    <w:rsid w:val="00E546AD"/>
    <w:rsid w:val="00E60EA5"/>
    <w:rsid w:val="00E634D5"/>
    <w:rsid w:val="00E65B38"/>
    <w:rsid w:val="00E70316"/>
    <w:rsid w:val="00E7041A"/>
    <w:rsid w:val="00E75723"/>
    <w:rsid w:val="00E76731"/>
    <w:rsid w:val="00E770D3"/>
    <w:rsid w:val="00E77259"/>
    <w:rsid w:val="00E81820"/>
    <w:rsid w:val="00E92CCB"/>
    <w:rsid w:val="00E932D6"/>
    <w:rsid w:val="00E94C89"/>
    <w:rsid w:val="00E94FA7"/>
    <w:rsid w:val="00E95B4C"/>
    <w:rsid w:val="00E96809"/>
    <w:rsid w:val="00E9710E"/>
    <w:rsid w:val="00EA276B"/>
    <w:rsid w:val="00EA306E"/>
    <w:rsid w:val="00EA44EA"/>
    <w:rsid w:val="00EA45E6"/>
    <w:rsid w:val="00EA70AC"/>
    <w:rsid w:val="00EB3C3F"/>
    <w:rsid w:val="00EB4924"/>
    <w:rsid w:val="00EB55AD"/>
    <w:rsid w:val="00EB6C25"/>
    <w:rsid w:val="00EB6CC6"/>
    <w:rsid w:val="00EB7D12"/>
    <w:rsid w:val="00EC0E2C"/>
    <w:rsid w:val="00EC0F7A"/>
    <w:rsid w:val="00EC1019"/>
    <w:rsid w:val="00EC2489"/>
    <w:rsid w:val="00EC69C2"/>
    <w:rsid w:val="00ED1C5B"/>
    <w:rsid w:val="00ED23E1"/>
    <w:rsid w:val="00ED4BF6"/>
    <w:rsid w:val="00ED57E6"/>
    <w:rsid w:val="00ED6957"/>
    <w:rsid w:val="00EE0485"/>
    <w:rsid w:val="00EE04A9"/>
    <w:rsid w:val="00EE5E99"/>
    <w:rsid w:val="00EF2039"/>
    <w:rsid w:val="00EF3702"/>
    <w:rsid w:val="00EF4863"/>
    <w:rsid w:val="00EF4F12"/>
    <w:rsid w:val="00EF5FC1"/>
    <w:rsid w:val="00EF616C"/>
    <w:rsid w:val="00EF6A0A"/>
    <w:rsid w:val="00F0226A"/>
    <w:rsid w:val="00F03F2C"/>
    <w:rsid w:val="00F0425E"/>
    <w:rsid w:val="00F059F0"/>
    <w:rsid w:val="00F10540"/>
    <w:rsid w:val="00F15196"/>
    <w:rsid w:val="00F178A0"/>
    <w:rsid w:val="00F20C07"/>
    <w:rsid w:val="00F210D6"/>
    <w:rsid w:val="00F22702"/>
    <w:rsid w:val="00F24518"/>
    <w:rsid w:val="00F2521A"/>
    <w:rsid w:val="00F257D3"/>
    <w:rsid w:val="00F25D27"/>
    <w:rsid w:val="00F27068"/>
    <w:rsid w:val="00F31529"/>
    <w:rsid w:val="00F3211F"/>
    <w:rsid w:val="00F34201"/>
    <w:rsid w:val="00F34A6B"/>
    <w:rsid w:val="00F3591B"/>
    <w:rsid w:val="00F36D09"/>
    <w:rsid w:val="00F41703"/>
    <w:rsid w:val="00F42880"/>
    <w:rsid w:val="00F51C70"/>
    <w:rsid w:val="00F52B13"/>
    <w:rsid w:val="00F52C3F"/>
    <w:rsid w:val="00F54414"/>
    <w:rsid w:val="00F55324"/>
    <w:rsid w:val="00F55527"/>
    <w:rsid w:val="00F56062"/>
    <w:rsid w:val="00F6028D"/>
    <w:rsid w:val="00F60C4D"/>
    <w:rsid w:val="00F64DBF"/>
    <w:rsid w:val="00F664FE"/>
    <w:rsid w:val="00F70643"/>
    <w:rsid w:val="00F716E4"/>
    <w:rsid w:val="00F72BC1"/>
    <w:rsid w:val="00F72FF0"/>
    <w:rsid w:val="00F76ABA"/>
    <w:rsid w:val="00F76C21"/>
    <w:rsid w:val="00F777EA"/>
    <w:rsid w:val="00F82C3C"/>
    <w:rsid w:val="00F82CBB"/>
    <w:rsid w:val="00F82DDC"/>
    <w:rsid w:val="00F82DF6"/>
    <w:rsid w:val="00F84865"/>
    <w:rsid w:val="00F90A05"/>
    <w:rsid w:val="00F91891"/>
    <w:rsid w:val="00F954DA"/>
    <w:rsid w:val="00F955E8"/>
    <w:rsid w:val="00F97E0D"/>
    <w:rsid w:val="00FA285D"/>
    <w:rsid w:val="00FA606C"/>
    <w:rsid w:val="00FA7D4A"/>
    <w:rsid w:val="00FB1E4B"/>
    <w:rsid w:val="00FB781E"/>
    <w:rsid w:val="00FC2083"/>
    <w:rsid w:val="00FC6304"/>
    <w:rsid w:val="00FC6A93"/>
    <w:rsid w:val="00FD1A37"/>
    <w:rsid w:val="00FD38FF"/>
    <w:rsid w:val="00FD393A"/>
    <w:rsid w:val="00FD52EC"/>
    <w:rsid w:val="00FD6F4A"/>
    <w:rsid w:val="00FD74BB"/>
    <w:rsid w:val="00FD799D"/>
    <w:rsid w:val="00FE00A2"/>
    <w:rsid w:val="00FE1953"/>
    <w:rsid w:val="00FE1965"/>
    <w:rsid w:val="00FE5986"/>
    <w:rsid w:val="00FE7E6B"/>
    <w:rsid w:val="00FF098C"/>
    <w:rsid w:val="00FF0C52"/>
    <w:rsid w:val="00FF348E"/>
    <w:rsid w:val="00FF4F71"/>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333B90"/>
  <w15:docId w15:val="{9B1A1450-1698-4BAD-A091-546C033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64"/>
  </w:style>
  <w:style w:type="paragraph" w:styleId="Footer">
    <w:name w:val="footer"/>
    <w:basedOn w:val="Normal"/>
    <w:link w:val="FooterChar"/>
    <w:uiPriority w:val="99"/>
    <w:unhideWhenUsed/>
    <w:rsid w:val="00D2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64"/>
  </w:style>
  <w:style w:type="paragraph" w:styleId="BalloonText">
    <w:name w:val="Balloon Text"/>
    <w:basedOn w:val="Normal"/>
    <w:link w:val="BalloonTextChar"/>
    <w:uiPriority w:val="99"/>
    <w:semiHidden/>
    <w:unhideWhenUsed/>
    <w:rsid w:val="00D20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64"/>
    <w:rPr>
      <w:rFonts w:ascii="Tahoma" w:hAnsi="Tahoma" w:cs="Tahoma"/>
      <w:sz w:val="16"/>
      <w:szCs w:val="16"/>
    </w:rPr>
  </w:style>
  <w:style w:type="paragraph" w:styleId="ListParagraph">
    <w:name w:val="List Paragraph"/>
    <w:basedOn w:val="Normal"/>
    <w:uiPriority w:val="34"/>
    <w:qFormat/>
    <w:rsid w:val="0030483E"/>
    <w:pPr>
      <w:ind w:left="720"/>
      <w:contextualSpacing/>
    </w:pPr>
  </w:style>
  <w:style w:type="character" w:styleId="LineNumber">
    <w:name w:val="line number"/>
    <w:basedOn w:val="DefaultParagraphFont"/>
    <w:uiPriority w:val="99"/>
    <w:semiHidden/>
    <w:unhideWhenUsed/>
    <w:rsid w:val="00EF2039"/>
  </w:style>
  <w:style w:type="character" w:styleId="IntenseReference">
    <w:name w:val="Intense Reference"/>
    <w:basedOn w:val="DefaultParagraphFont"/>
    <w:uiPriority w:val="32"/>
    <w:qFormat/>
    <w:rsid w:val="00884DBC"/>
    <w:rPr>
      <w:b/>
      <w:bCs/>
      <w:smallCaps/>
      <w:color w:val="C0504D" w:themeColor="accent2"/>
      <w:spacing w:val="5"/>
      <w:u w:val="single"/>
    </w:rPr>
  </w:style>
  <w:style w:type="character" w:styleId="BookTitle">
    <w:name w:val="Book Title"/>
    <w:basedOn w:val="DefaultParagraphFont"/>
    <w:uiPriority w:val="33"/>
    <w:qFormat/>
    <w:rsid w:val="00884DBC"/>
    <w:rPr>
      <w:b/>
      <w:bCs/>
      <w:smallCaps/>
      <w:spacing w:val="5"/>
    </w:rPr>
  </w:style>
  <w:style w:type="character" w:styleId="SubtleReference">
    <w:name w:val="Subtle Reference"/>
    <w:basedOn w:val="DefaultParagraphFont"/>
    <w:uiPriority w:val="31"/>
    <w:qFormat/>
    <w:rsid w:val="00884DBC"/>
    <w:rPr>
      <w:smallCaps/>
      <w:color w:val="C0504D" w:themeColor="accent2"/>
      <w:u w:val="single"/>
    </w:rPr>
  </w:style>
  <w:style w:type="paragraph" w:styleId="IntenseQuote">
    <w:name w:val="Intense Quote"/>
    <w:aliases w:val="Kris' COS Style"/>
    <w:basedOn w:val="Normal"/>
    <w:next w:val="Normal"/>
    <w:link w:val="IntenseQuoteChar"/>
    <w:autoRedefine/>
    <w:uiPriority w:val="30"/>
    <w:qFormat/>
    <w:rsid w:val="008C10F4"/>
    <w:pPr>
      <w:pBdr>
        <w:top w:val="single" w:sz="4" w:space="1" w:color="C0504D" w:themeColor="accent2"/>
        <w:right w:val="single" w:sz="4" w:space="4" w:color="C0504D" w:themeColor="accent2"/>
      </w:pBdr>
      <w:shd w:val="clear" w:color="auto" w:fill="C0504D" w:themeFill="accent2"/>
      <w:spacing w:before="200" w:after="280" w:line="240" w:lineRule="auto"/>
      <w:ind w:right="936"/>
    </w:pPr>
    <w:rPr>
      <w:b/>
      <w:bCs/>
      <w:iCs/>
      <w:color w:val="FFFFFF" w:themeColor="background1"/>
      <w:sz w:val="40"/>
    </w:rPr>
  </w:style>
  <w:style w:type="character" w:customStyle="1" w:styleId="IntenseQuoteChar">
    <w:name w:val="Intense Quote Char"/>
    <w:aliases w:val="Kris' COS Style Char"/>
    <w:basedOn w:val="DefaultParagraphFont"/>
    <w:link w:val="IntenseQuote"/>
    <w:uiPriority w:val="30"/>
    <w:rsid w:val="008C10F4"/>
    <w:rPr>
      <w:b/>
      <w:bCs/>
      <w:iCs/>
      <w:color w:val="FFFFFF" w:themeColor="background1"/>
      <w:sz w:val="40"/>
      <w:shd w:val="clear" w:color="auto" w:fill="C0504D" w:themeFill="accent2"/>
    </w:rPr>
  </w:style>
  <w:style w:type="paragraph" w:styleId="Quote">
    <w:name w:val="Quote"/>
    <w:aliases w:val="COS Sub Header"/>
    <w:basedOn w:val="Normal"/>
    <w:next w:val="Normal"/>
    <w:link w:val="QuoteChar"/>
    <w:uiPriority w:val="29"/>
    <w:qFormat/>
    <w:rsid w:val="00884DBC"/>
    <w:pPr>
      <w:pBdr>
        <w:bottom w:val="single" w:sz="18" w:space="1" w:color="C0504D" w:themeColor="accent2"/>
      </w:pBdr>
    </w:pPr>
    <w:rPr>
      <w:b/>
      <w:iCs/>
      <w:color w:val="000000" w:themeColor="text1"/>
      <w:sz w:val="28"/>
    </w:rPr>
  </w:style>
  <w:style w:type="character" w:customStyle="1" w:styleId="QuoteChar">
    <w:name w:val="Quote Char"/>
    <w:aliases w:val="COS Sub Header Char"/>
    <w:basedOn w:val="DefaultParagraphFont"/>
    <w:link w:val="Quote"/>
    <w:uiPriority w:val="29"/>
    <w:rsid w:val="00884DBC"/>
    <w:rPr>
      <w:b/>
      <w:iCs/>
      <w:color w:val="000000" w:themeColor="text1"/>
      <w:sz w:val="28"/>
    </w:rPr>
  </w:style>
  <w:style w:type="character" w:customStyle="1" w:styleId="Heading1Char">
    <w:name w:val="Heading 1 Char"/>
    <w:basedOn w:val="DefaultParagraphFont"/>
    <w:link w:val="Heading1"/>
    <w:uiPriority w:val="9"/>
    <w:rsid w:val="00961D5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61D59"/>
    <w:pPr>
      <w:outlineLvl w:val="9"/>
    </w:pPr>
    <w:rPr>
      <w:lang w:eastAsia="ja-JP"/>
    </w:rPr>
  </w:style>
  <w:style w:type="character" w:customStyle="1" w:styleId="Heading2Char">
    <w:name w:val="Heading 2 Char"/>
    <w:basedOn w:val="DefaultParagraphFont"/>
    <w:link w:val="Heading2"/>
    <w:uiPriority w:val="9"/>
    <w:semiHidden/>
    <w:rsid w:val="00961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D5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61D59"/>
    <w:pPr>
      <w:spacing w:after="100"/>
    </w:pPr>
  </w:style>
  <w:style w:type="paragraph" w:styleId="TOC2">
    <w:name w:val="toc 2"/>
    <w:basedOn w:val="Normal"/>
    <w:next w:val="Normal"/>
    <w:autoRedefine/>
    <w:uiPriority w:val="39"/>
    <w:unhideWhenUsed/>
    <w:rsid w:val="00961D59"/>
    <w:pPr>
      <w:spacing w:after="100"/>
      <w:ind w:left="220"/>
    </w:pPr>
  </w:style>
  <w:style w:type="character" w:styleId="Hyperlink">
    <w:name w:val="Hyperlink"/>
    <w:basedOn w:val="DefaultParagraphFont"/>
    <w:uiPriority w:val="99"/>
    <w:unhideWhenUsed/>
    <w:rsid w:val="00E34019"/>
    <w:rPr>
      <w:color w:val="0000FF" w:themeColor="hyperlink"/>
      <w:u w:val="single"/>
    </w:rPr>
  </w:style>
  <w:style w:type="character" w:styleId="FollowedHyperlink">
    <w:name w:val="FollowedHyperlink"/>
    <w:basedOn w:val="DefaultParagraphFont"/>
    <w:uiPriority w:val="99"/>
    <w:semiHidden/>
    <w:unhideWhenUsed/>
    <w:rsid w:val="001741FA"/>
    <w:rPr>
      <w:color w:val="800080" w:themeColor="followedHyperlink"/>
      <w:u w:val="single"/>
    </w:rPr>
  </w:style>
  <w:style w:type="paragraph" w:styleId="Caption">
    <w:name w:val="caption"/>
    <w:basedOn w:val="Normal"/>
    <w:next w:val="Normal"/>
    <w:uiPriority w:val="35"/>
    <w:unhideWhenUsed/>
    <w:qFormat/>
    <w:rsid w:val="00D0677F"/>
    <w:pPr>
      <w:spacing w:line="240" w:lineRule="auto"/>
    </w:pPr>
    <w:rPr>
      <w:b/>
      <w:bCs/>
      <w:color w:val="4F81BD" w:themeColor="accent1"/>
      <w:sz w:val="18"/>
      <w:szCs w:val="18"/>
    </w:rPr>
  </w:style>
  <w:style w:type="paragraph" w:styleId="NormalWeb">
    <w:name w:val="Normal (Web)"/>
    <w:basedOn w:val="Normal"/>
    <w:uiPriority w:val="99"/>
    <w:unhideWhenUsed/>
    <w:rsid w:val="00FE1953"/>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C6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5D4"/>
    <w:pPr>
      <w:spacing w:after="0" w:line="240" w:lineRule="auto"/>
    </w:pPr>
  </w:style>
  <w:style w:type="paragraph" w:customStyle="1" w:styleId="Default">
    <w:name w:val="Default"/>
    <w:rsid w:val="00580528"/>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5C200D"/>
    <w:pPr>
      <w:spacing w:after="100" w:line="259" w:lineRule="auto"/>
      <w:ind w:left="440"/>
    </w:pPr>
    <w:rPr>
      <w:rFonts w:eastAsiaTheme="minorEastAsia"/>
    </w:rPr>
  </w:style>
  <w:style w:type="paragraph" w:styleId="TOC4">
    <w:name w:val="toc 4"/>
    <w:basedOn w:val="Normal"/>
    <w:next w:val="Normal"/>
    <w:autoRedefine/>
    <w:uiPriority w:val="39"/>
    <w:unhideWhenUsed/>
    <w:rsid w:val="005C200D"/>
    <w:pPr>
      <w:spacing w:after="100" w:line="259" w:lineRule="auto"/>
      <w:ind w:left="660"/>
    </w:pPr>
    <w:rPr>
      <w:rFonts w:eastAsiaTheme="minorEastAsia"/>
    </w:rPr>
  </w:style>
  <w:style w:type="paragraph" w:styleId="TOC5">
    <w:name w:val="toc 5"/>
    <w:basedOn w:val="Normal"/>
    <w:next w:val="Normal"/>
    <w:autoRedefine/>
    <w:uiPriority w:val="39"/>
    <w:unhideWhenUsed/>
    <w:rsid w:val="005C200D"/>
    <w:pPr>
      <w:spacing w:after="100" w:line="259" w:lineRule="auto"/>
      <w:ind w:left="880"/>
    </w:pPr>
    <w:rPr>
      <w:rFonts w:eastAsiaTheme="minorEastAsia"/>
    </w:rPr>
  </w:style>
  <w:style w:type="paragraph" w:styleId="TOC6">
    <w:name w:val="toc 6"/>
    <w:basedOn w:val="Normal"/>
    <w:next w:val="Normal"/>
    <w:autoRedefine/>
    <w:uiPriority w:val="39"/>
    <w:unhideWhenUsed/>
    <w:rsid w:val="005C200D"/>
    <w:pPr>
      <w:spacing w:after="100" w:line="259" w:lineRule="auto"/>
      <w:ind w:left="1100"/>
    </w:pPr>
    <w:rPr>
      <w:rFonts w:eastAsiaTheme="minorEastAsia"/>
    </w:rPr>
  </w:style>
  <w:style w:type="paragraph" w:styleId="TOC7">
    <w:name w:val="toc 7"/>
    <w:basedOn w:val="Normal"/>
    <w:next w:val="Normal"/>
    <w:autoRedefine/>
    <w:uiPriority w:val="39"/>
    <w:unhideWhenUsed/>
    <w:rsid w:val="005C200D"/>
    <w:pPr>
      <w:spacing w:after="100" w:line="259" w:lineRule="auto"/>
      <w:ind w:left="1320"/>
    </w:pPr>
    <w:rPr>
      <w:rFonts w:eastAsiaTheme="minorEastAsia"/>
    </w:rPr>
  </w:style>
  <w:style w:type="paragraph" w:styleId="TOC8">
    <w:name w:val="toc 8"/>
    <w:basedOn w:val="Normal"/>
    <w:next w:val="Normal"/>
    <w:autoRedefine/>
    <w:uiPriority w:val="39"/>
    <w:unhideWhenUsed/>
    <w:rsid w:val="005C200D"/>
    <w:pPr>
      <w:spacing w:after="100" w:line="259" w:lineRule="auto"/>
      <w:ind w:left="1540"/>
    </w:pPr>
    <w:rPr>
      <w:rFonts w:eastAsiaTheme="minorEastAsia"/>
    </w:rPr>
  </w:style>
  <w:style w:type="paragraph" w:styleId="TOC9">
    <w:name w:val="toc 9"/>
    <w:basedOn w:val="Normal"/>
    <w:next w:val="Normal"/>
    <w:autoRedefine/>
    <w:uiPriority w:val="39"/>
    <w:unhideWhenUsed/>
    <w:rsid w:val="005C200D"/>
    <w:pPr>
      <w:spacing w:after="100" w:line="259" w:lineRule="auto"/>
      <w:ind w:left="1760"/>
    </w:pPr>
    <w:rPr>
      <w:rFonts w:eastAsiaTheme="minorEastAsia"/>
    </w:rPr>
  </w:style>
  <w:style w:type="paragraph" w:styleId="FootnoteText">
    <w:name w:val="footnote text"/>
    <w:basedOn w:val="Normal"/>
    <w:link w:val="FootnoteTextChar"/>
    <w:uiPriority w:val="99"/>
    <w:semiHidden/>
    <w:unhideWhenUsed/>
    <w:rsid w:val="00AC166D"/>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AC166D"/>
    <w:rPr>
      <w:sz w:val="20"/>
      <w:szCs w:val="20"/>
      <w:lang w:val="en-CA"/>
    </w:rPr>
  </w:style>
  <w:style w:type="character" w:styleId="FootnoteReference">
    <w:name w:val="footnote reference"/>
    <w:basedOn w:val="DefaultParagraphFont"/>
    <w:uiPriority w:val="99"/>
    <w:semiHidden/>
    <w:unhideWhenUsed/>
    <w:rsid w:val="00AC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54010">
      <w:bodyDiv w:val="1"/>
      <w:marLeft w:val="0"/>
      <w:marRight w:val="0"/>
      <w:marTop w:val="0"/>
      <w:marBottom w:val="0"/>
      <w:divBdr>
        <w:top w:val="none" w:sz="0" w:space="0" w:color="auto"/>
        <w:left w:val="none" w:sz="0" w:space="0" w:color="auto"/>
        <w:bottom w:val="none" w:sz="0" w:space="0" w:color="auto"/>
        <w:right w:val="none" w:sz="0" w:space="0" w:color="auto"/>
      </w:divBdr>
    </w:div>
    <w:div w:id="10370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DBDA-7699-427C-831D-27A2065F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Taylor</dc:creator>
  <cp:lastModifiedBy>Grace Flood</cp:lastModifiedBy>
  <cp:revision>4</cp:revision>
  <cp:lastPrinted>2019-01-14T15:17:00Z</cp:lastPrinted>
  <dcterms:created xsi:type="dcterms:W3CDTF">2022-03-03T18:04:00Z</dcterms:created>
  <dcterms:modified xsi:type="dcterms:W3CDTF">2022-03-03T18:22:00Z</dcterms:modified>
</cp:coreProperties>
</file>