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79A21" w14:textId="77777777" w:rsidR="004E1CB9" w:rsidRDefault="004E1CB9" w:rsidP="00EF2039">
      <w:pPr>
        <w:suppressLineNumbers/>
      </w:pPr>
      <w:bookmarkStart w:id="0" w:name="_Hlk535216652"/>
      <w:bookmarkEnd w:id="0"/>
    </w:p>
    <w:p w14:paraId="21409A3D" w14:textId="77777777" w:rsidR="00D20564" w:rsidRDefault="00D20564" w:rsidP="00EF2039">
      <w:pPr>
        <w:suppressLineNumbers/>
      </w:pPr>
    </w:p>
    <w:p w14:paraId="4669DD1E" w14:textId="77777777" w:rsidR="00D20564" w:rsidRDefault="00D20564" w:rsidP="00EF2039">
      <w:pPr>
        <w:suppressLineNumbers/>
      </w:pPr>
    </w:p>
    <w:p w14:paraId="6654A243" w14:textId="77777777" w:rsidR="00D20564" w:rsidRDefault="00D20564" w:rsidP="00EF2039">
      <w:pPr>
        <w:suppressLineNumbers/>
      </w:pPr>
    </w:p>
    <w:p w14:paraId="57E1C06D" w14:textId="77777777" w:rsidR="00D20564" w:rsidRDefault="00D20564" w:rsidP="00EF2039">
      <w:pPr>
        <w:suppressLineNumbers/>
      </w:pPr>
    </w:p>
    <w:p w14:paraId="1D5A12B9" w14:textId="65A126DB" w:rsidR="004C07EF" w:rsidRPr="004C07EF" w:rsidRDefault="00A90180" w:rsidP="004C07EF">
      <w:pPr>
        <w:suppressLineNumbers/>
        <w:jc w:val="center"/>
        <w:rPr>
          <w:b/>
          <w:sz w:val="100"/>
          <w:szCs w:val="100"/>
          <w14:shadow w14:blurRad="50800" w14:dist="38100" w14:dir="2700000" w14:sx="100000" w14:sy="100000" w14:kx="0" w14:ky="0" w14:algn="tl">
            <w14:srgbClr w14:val="000000">
              <w14:alpha w14:val="60000"/>
            </w14:srgbClr>
          </w14:shadow>
        </w:rPr>
      </w:pPr>
      <w:r w:rsidRPr="00A90180">
        <w:rPr>
          <w:b/>
          <w:sz w:val="100"/>
          <w:szCs w:val="100"/>
          <w14:shadow w14:blurRad="50800" w14:dist="38100" w14:dir="2700000" w14:sx="100000" w14:sy="100000" w14:kx="0" w14:ky="0" w14:algn="tl">
            <w14:srgbClr w14:val="000000">
              <w14:alpha w14:val="60000"/>
            </w14:srgbClr>
          </w14:shadow>
        </w:rPr>
        <w:t>20</w:t>
      </w:r>
      <w:r w:rsidR="00DC76EC">
        <w:rPr>
          <w:b/>
          <w:sz w:val="100"/>
          <w:szCs w:val="100"/>
          <w14:shadow w14:blurRad="50800" w14:dist="38100" w14:dir="2700000" w14:sx="100000" w14:sy="100000" w14:kx="0" w14:ky="0" w14:algn="tl">
            <w14:srgbClr w14:val="000000">
              <w14:alpha w14:val="60000"/>
            </w14:srgbClr>
          </w14:shadow>
        </w:rPr>
        <w:t>22</w:t>
      </w:r>
      <w:r w:rsidRPr="00A90180">
        <w:rPr>
          <w:b/>
          <w:sz w:val="100"/>
          <w:szCs w:val="100"/>
          <w14:shadow w14:blurRad="50800" w14:dist="38100" w14:dir="2700000" w14:sx="100000" w14:sy="100000" w14:kx="0" w14:ky="0" w14:algn="tl">
            <w14:srgbClr w14:val="000000">
              <w14:alpha w14:val="60000"/>
            </w14:srgbClr>
          </w14:shadow>
        </w:rPr>
        <w:t xml:space="preserve"> </w:t>
      </w:r>
      <w:r w:rsidR="00837364">
        <w:rPr>
          <w:b/>
          <w:sz w:val="100"/>
          <w:szCs w:val="100"/>
          <w14:shadow w14:blurRad="50800" w14:dist="38100" w14:dir="2700000" w14:sx="100000" w14:sy="100000" w14:kx="0" w14:ky="0" w14:algn="tl">
            <w14:srgbClr w14:val="000000">
              <w14:alpha w14:val="60000"/>
            </w14:srgbClr>
          </w14:shadow>
        </w:rPr>
        <w:t>IRM</w:t>
      </w:r>
      <w:r w:rsidRPr="00A90180">
        <w:rPr>
          <w:b/>
          <w:sz w:val="100"/>
          <w:szCs w:val="100"/>
          <w14:shadow w14:blurRad="50800" w14:dist="38100" w14:dir="2700000" w14:sx="100000" w14:sy="100000" w14:kx="0" w14:ky="0" w14:algn="tl">
            <w14:srgbClr w14:val="000000">
              <w14:alpha w14:val="60000"/>
            </w14:srgbClr>
          </w14:shadow>
        </w:rPr>
        <w:t xml:space="preserve"> Application</w:t>
      </w:r>
    </w:p>
    <w:p w14:paraId="360D3DB6" w14:textId="696D3368" w:rsidR="00A90180" w:rsidRPr="00A90180" w:rsidRDefault="00A90180" w:rsidP="00EF2039">
      <w:pPr>
        <w:suppressLineNumbers/>
        <w:jc w:val="center"/>
        <w:rPr>
          <w:sz w:val="60"/>
          <w:szCs w:val="60"/>
          <w14:shadow w14:blurRad="50800" w14:dist="38100" w14:dir="2700000" w14:sx="100000" w14:sy="100000" w14:kx="0" w14:ky="0" w14:algn="tl">
            <w14:srgbClr w14:val="000000">
              <w14:alpha w14:val="60000"/>
            </w14:srgbClr>
          </w14:shadow>
        </w:rPr>
      </w:pPr>
      <w:r w:rsidRPr="00A90180">
        <w:rPr>
          <w:sz w:val="60"/>
          <w:szCs w:val="60"/>
          <w14:shadow w14:blurRad="50800" w14:dist="38100" w14:dir="2700000" w14:sx="100000" w14:sy="100000" w14:kx="0" w14:ky="0" w14:algn="tl">
            <w14:srgbClr w14:val="000000">
              <w14:alpha w14:val="60000"/>
            </w14:srgbClr>
          </w14:shadow>
        </w:rPr>
        <w:t>Interrogatory Responses</w:t>
      </w:r>
    </w:p>
    <w:p w14:paraId="35054895" w14:textId="1E77531F" w:rsidR="00A90180" w:rsidRDefault="00A90180" w:rsidP="00EF2039">
      <w:pPr>
        <w:suppressLineNumbers/>
        <w:jc w:val="center"/>
        <w:rPr>
          <w:sz w:val="60"/>
          <w:szCs w:val="60"/>
          <w14:shadow w14:blurRad="50800" w14:dist="38100" w14:dir="2700000" w14:sx="100000" w14:sy="100000" w14:kx="0" w14:ky="0" w14:algn="tl">
            <w14:srgbClr w14:val="000000">
              <w14:alpha w14:val="60000"/>
            </w14:srgbClr>
          </w14:shadow>
        </w:rPr>
      </w:pPr>
      <w:r>
        <w:rPr>
          <w:noProof/>
        </w:rPr>
        <w:drawing>
          <wp:anchor distT="0" distB="0" distL="114300" distR="114300" simplePos="0" relativeHeight="251659264" behindDoc="1" locked="0" layoutInCell="1" allowOverlap="1" wp14:anchorId="5E5581AE" wp14:editId="115CDF08">
            <wp:simplePos x="0" y="0"/>
            <wp:positionH relativeFrom="column">
              <wp:posOffset>1149985</wp:posOffset>
            </wp:positionH>
            <wp:positionV relativeFrom="paragraph">
              <wp:posOffset>679450</wp:posOffset>
            </wp:positionV>
            <wp:extent cx="3430905" cy="914400"/>
            <wp:effectExtent l="0" t="0" r="0" b="0"/>
            <wp:wrapTight wrapText="bothSides">
              <wp:wrapPolygon edited="0">
                <wp:start x="0" y="0"/>
                <wp:lineTo x="0" y="21150"/>
                <wp:lineTo x="21468" y="21150"/>
                <wp:lineTo x="21468" y="0"/>
                <wp:lineTo x="0" y="0"/>
              </wp:wrapPolygon>
            </wp:wrapTight>
            <wp:docPr id="299" name="Picture 299" descr="C:\Users\ktaylor\AppData\Local\Microsoft\Windows\INetCache\Content.Word\ESSEX_POWERLIN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taylor\AppData\Local\Microsoft\Windows\INetCache\Content.Word\ESSEX_POWERLINE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3090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0180">
        <w:rPr>
          <w:sz w:val="60"/>
          <w:szCs w:val="60"/>
          <w14:shadow w14:blurRad="50800" w14:dist="38100" w14:dir="2700000" w14:sx="100000" w14:sy="100000" w14:kx="0" w14:ky="0" w14:algn="tl">
            <w14:srgbClr w14:val="000000">
              <w14:alpha w14:val="60000"/>
            </w14:srgbClr>
          </w14:shadow>
        </w:rPr>
        <w:t>EB-20</w:t>
      </w:r>
      <w:r w:rsidR="00DC76EC">
        <w:rPr>
          <w:sz w:val="60"/>
          <w:szCs w:val="60"/>
          <w14:shadow w14:blurRad="50800" w14:dist="38100" w14:dir="2700000" w14:sx="100000" w14:sy="100000" w14:kx="0" w14:ky="0" w14:algn="tl">
            <w14:srgbClr w14:val="000000">
              <w14:alpha w14:val="60000"/>
            </w14:srgbClr>
          </w14:shadow>
        </w:rPr>
        <w:t>21</w:t>
      </w:r>
      <w:r w:rsidRPr="00A90180">
        <w:rPr>
          <w:sz w:val="60"/>
          <w:szCs w:val="60"/>
          <w14:shadow w14:blurRad="50800" w14:dist="38100" w14:dir="2700000" w14:sx="100000" w14:sy="100000" w14:kx="0" w14:ky="0" w14:algn="tl">
            <w14:srgbClr w14:val="000000">
              <w14:alpha w14:val="60000"/>
            </w14:srgbClr>
          </w14:shadow>
        </w:rPr>
        <w:t>-00</w:t>
      </w:r>
      <w:r w:rsidR="00DC76EC">
        <w:rPr>
          <w:sz w:val="60"/>
          <w:szCs w:val="60"/>
          <w14:shadow w14:blurRad="50800" w14:dist="38100" w14:dir="2700000" w14:sx="100000" w14:sy="100000" w14:kx="0" w14:ky="0" w14:algn="tl">
            <w14:srgbClr w14:val="000000">
              <w14:alpha w14:val="60000"/>
            </w14:srgbClr>
          </w14:shadow>
        </w:rPr>
        <w:t>23</w:t>
      </w:r>
    </w:p>
    <w:p w14:paraId="26BE5153" w14:textId="77777777" w:rsidR="00A90180" w:rsidRPr="00A90180" w:rsidRDefault="00A90180" w:rsidP="00EF2039">
      <w:pPr>
        <w:suppressLineNumbers/>
        <w:jc w:val="center"/>
        <w:rPr>
          <w:sz w:val="60"/>
          <w:szCs w:val="60"/>
          <w14:shadow w14:blurRad="50800" w14:dist="38100" w14:dir="2700000" w14:sx="100000" w14:sy="100000" w14:kx="0" w14:ky="0" w14:algn="tl">
            <w14:srgbClr w14:val="000000">
              <w14:alpha w14:val="60000"/>
            </w14:srgbClr>
          </w14:shadow>
        </w:rPr>
      </w:pPr>
    </w:p>
    <w:p w14:paraId="6E42A4C8" w14:textId="77777777" w:rsidR="00D20564" w:rsidRDefault="00D20564" w:rsidP="00EF2039">
      <w:pPr>
        <w:suppressLineNumbers/>
      </w:pPr>
    </w:p>
    <w:p w14:paraId="0DB87F60" w14:textId="77777777" w:rsidR="00D20564" w:rsidRDefault="00D20564" w:rsidP="00EF2039">
      <w:pPr>
        <w:suppressLineNumbers/>
      </w:pPr>
    </w:p>
    <w:p w14:paraId="79FB3CF2" w14:textId="77777777" w:rsidR="00D20564" w:rsidRDefault="00D20564" w:rsidP="00EF2039">
      <w:pPr>
        <w:suppressLineNumbers/>
      </w:pPr>
    </w:p>
    <w:p w14:paraId="365DFD29" w14:textId="15605757" w:rsidR="00D20564" w:rsidRDefault="00D20564" w:rsidP="00EF2039">
      <w:pPr>
        <w:suppressLineNumbers/>
      </w:pPr>
    </w:p>
    <w:p w14:paraId="2C0371C8" w14:textId="2996B646" w:rsidR="00AC166D" w:rsidRDefault="00AC166D" w:rsidP="00EF2039">
      <w:pPr>
        <w:suppressLineNumbers/>
      </w:pPr>
    </w:p>
    <w:p w14:paraId="15DB6DDB" w14:textId="42F05870" w:rsidR="00AC166D" w:rsidRDefault="00AC166D" w:rsidP="00EF2039">
      <w:pPr>
        <w:suppressLineNumbers/>
      </w:pPr>
    </w:p>
    <w:p w14:paraId="197D98BB" w14:textId="77777777" w:rsidR="00AC166D" w:rsidRDefault="00AC166D" w:rsidP="00EF2039">
      <w:pPr>
        <w:suppressLineNumbers/>
      </w:pPr>
    </w:p>
    <w:p w14:paraId="4EC5E170" w14:textId="1268006A" w:rsidR="00D20564" w:rsidRDefault="00D20564" w:rsidP="00EF2039">
      <w:pPr>
        <w:suppressLineNumbers/>
      </w:pPr>
    </w:p>
    <w:p w14:paraId="3AE48FC4" w14:textId="6EC708D7" w:rsidR="00963747" w:rsidRDefault="00963747" w:rsidP="00EF2039">
      <w:pPr>
        <w:suppressLineNumbers/>
      </w:pPr>
    </w:p>
    <w:p w14:paraId="64AB118C" w14:textId="2362437F" w:rsidR="00963747" w:rsidRDefault="00963747" w:rsidP="00EF2039">
      <w:pPr>
        <w:suppressLineNumbers/>
      </w:pPr>
    </w:p>
    <w:p w14:paraId="18290F29" w14:textId="4FD473D6" w:rsidR="00963747" w:rsidRDefault="00963747" w:rsidP="00963747">
      <w:pPr>
        <w:pStyle w:val="Quote"/>
      </w:pPr>
      <w:r>
        <w:t>Attachments</w:t>
      </w:r>
    </w:p>
    <w:p w14:paraId="0BC42190" w14:textId="435B65DB" w:rsidR="00963747" w:rsidRDefault="00963747" w:rsidP="00EF2039">
      <w:pPr>
        <w:suppressLineNumbers/>
      </w:pPr>
      <w:r>
        <w:t xml:space="preserve">Revised 1595 Analysis </w:t>
      </w:r>
      <w:proofErr w:type="spellStart"/>
      <w:r>
        <w:t>Workform</w:t>
      </w:r>
      <w:proofErr w:type="spellEnd"/>
    </w:p>
    <w:p w14:paraId="545D3F06" w14:textId="79D09C69" w:rsidR="00963747" w:rsidRDefault="00963747" w:rsidP="00EF2039">
      <w:pPr>
        <w:suppressLineNumbers/>
      </w:pPr>
    </w:p>
    <w:p w14:paraId="530D5457" w14:textId="2BB92734" w:rsidR="00963747" w:rsidRDefault="00963747" w:rsidP="00EF2039">
      <w:pPr>
        <w:suppressLineNumbers/>
      </w:pPr>
    </w:p>
    <w:p w14:paraId="7921AED5" w14:textId="0EB4B0B6" w:rsidR="00963747" w:rsidRDefault="00963747" w:rsidP="00EF2039">
      <w:pPr>
        <w:suppressLineNumbers/>
      </w:pPr>
    </w:p>
    <w:p w14:paraId="44EBDEE1" w14:textId="5B11DE06" w:rsidR="00963747" w:rsidRDefault="00963747" w:rsidP="00EF2039">
      <w:pPr>
        <w:suppressLineNumbers/>
      </w:pPr>
    </w:p>
    <w:p w14:paraId="577F771A" w14:textId="73C26BE8" w:rsidR="00963747" w:rsidRDefault="00963747" w:rsidP="00EF2039">
      <w:pPr>
        <w:suppressLineNumbers/>
      </w:pPr>
    </w:p>
    <w:p w14:paraId="04B2AA4E" w14:textId="6FD5E60B" w:rsidR="00963747" w:rsidRDefault="00963747" w:rsidP="00EF2039">
      <w:pPr>
        <w:suppressLineNumbers/>
      </w:pPr>
    </w:p>
    <w:p w14:paraId="7BE73146" w14:textId="21BEEBC8" w:rsidR="00963747" w:rsidRDefault="00963747" w:rsidP="00EF2039">
      <w:pPr>
        <w:suppressLineNumbers/>
      </w:pPr>
    </w:p>
    <w:p w14:paraId="346824D5" w14:textId="4C80A305" w:rsidR="00963747" w:rsidRDefault="00963747" w:rsidP="00EF2039">
      <w:pPr>
        <w:suppressLineNumbers/>
      </w:pPr>
    </w:p>
    <w:p w14:paraId="7DFAE063" w14:textId="27723FA1" w:rsidR="00963747" w:rsidRDefault="00963747" w:rsidP="00EF2039">
      <w:pPr>
        <w:suppressLineNumbers/>
      </w:pPr>
    </w:p>
    <w:p w14:paraId="64FFBE01" w14:textId="69252409" w:rsidR="00963747" w:rsidRDefault="00963747" w:rsidP="00EF2039">
      <w:pPr>
        <w:suppressLineNumbers/>
      </w:pPr>
    </w:p>
    <w:p w14:paraId="50E44CE1" w14:textId="1CB479BA" w:rsidR="00963747" w:rsidRDefault="00963747" w:rsidP="00EF2039">
      <w:pPr>
        <w:suppressLineNumbers/>
      </w:pPr>
    </w:p>
    <w:p w14:paraId="52AE85DF" w14:textId="6F76739E" w:rsidR="00963747" w:rsidRDefault="00963747" w:rsidP="00EF2039">
      <w:pPr>
        <w:suppressLineNumbers/>
      </w:pPr>
    </w:p>
    <w:p w14:paraId="2E3E6BD6" w14:textId="5191A8A8" w:rsidR="00963747" w:rsidRDefault="00963747" w:rsidP="00EF2039">
      <w:pPr>
        <w:suppressLineNumbers/>
      </w:pPr>
    </w:p>
    <w:p w14:paraId="5C001A42" w14:textId="653C0BD8" w:rsidR="00963747" w:rsidRDefault="00963747" w:rsidP="00EF2039">
      <w:pPr>
        <w:suppressLineNumbers/>
      </w:pPr>
    </w:p>
    <w:p w14:paraId="4B9F373C" w14:textId="5F5067D3" w:rsidR="00963747" w:rsidRDefault="00963747" w:rsidP="00EF2039">
      <w:pPr>
        <w:suppressLineNumbers/>
      </w:pPr>
    </w:p>
    <w:p w14:paraId="2AABEA63" w14:textId="42D48FD9" w:rsidR="00963747" w:rsidRDefault="00963747" w:rsidP="00EF2039">
      <w:pPr>
        <w:suppressLineNumbers/>
      </w:pPr>
    </w:p>
    <w:p w14:paraId="6F9F5557" w14:textId="0005EDA4" w:rsidR="00963747" w:rsidRDefault="00963747" w:rsidP="00EF2039">
      <w:pPr>
        <w:suppressLineNumbers/>
      </w:pPr>
    </w:p>
    <w:p w14:paraId="7E7A6DC3" w14:textId="419C0DB8" w:rsidR="00963747" w:rsidRDefault="00963747" w:rsidP="00EF2039">
      <w:pPr>
        <w:suppressLineNumbers/>
      </w:pPr>
    </w:p>
    <w:p w14:paraId="1AC7290F" w14:textId="4DF4F35B" w:rsidR="00963747" w:rsidRDefault="00963747" w:rsidP="00EF2039">
      <w:pPr>
        <w:suppressLineNumbers/>
      </w:pPr>
    </w:p>
    <w:p w14:paraId="4928C924" w14:textId="2D521ECF" w:rsidR="00963747" w:rsidRDefault="00963747" w:rsidP="00EF2039">
      <w:pPr>
        <w:suppressLineNumbers/>
      </w:pPr>
    </w:p>
    <w:p w14:paraId="4274AD49" w14:textId="1128AB4E" w:rsidR="00963747" w:rsidRDefault="00963747" w:rsidP="00EF2039">
      <w:pPr>
        <w:suppressLineNumbers/>
      </w:pPr>
    </w:p>
    <w:p w14:paraId="2D768CAB" w14:textId="77777777" w:rsidR="00961D59" w:rsidRDefault="00961D59" w:rsidP="00961D59">
      <w:pPr>
        <w:pStyle w:val="Quote"/>
      </w:pPr>
      <w:bookmarkStart w:id="1" w:name="_Toc535825573"/>
      <w:r>
        <w:lastRenderedPageBreak/>
        <w:t>Table of Contents</w:t>
      </w:r>
      <w:bookmarkEnd w:id="1"/>
    </w:p>
    <w:p w14:paraId="4996E8C4" w14:textId="0CA2CB59" w:rsidR="00AC4FF0" w:rsidRPr="00A001B0" w:rsidRDefault="00961D59">
      <w:pPr>
        <w:pStyle w:val="TOC2"/>
        <w:tabs>
          <w:tab w:val="right" w:leader="dot" w:pos="9350"/>
        </w:tabs>
        <w:rPr>
          <w:rFonts w:eastAsiaTheme="minorEastAsia"/>
          <w:noProof/>
        </w:rPr>
      </w:pPr>
      <w:r w:rsidRPr="00A001B0">
        <w:fldChar w:fldCharType="begin"/>
      </w:r>
      <w:r w:rsidRPr="00A001B0">
        <w:instrText xml:space="preserve"> TOC \t "Intense Quote,1,Quote,2" </w:instrText>
      </w:r>
      <w:r w:rsidRPr="00A001B0">
        <w:fldChar w:fldCharType="separate"/>
      </w:r>
      <w:r w:rsidR="00AC4FF0" w:rsidRPr="00A001B0">
        <w:rPr>
          <w:noProof/>
        </w:rPr>
        <w:t>Table of Contents</w:t>
      </w:r>
      <w:r w:rsidR="00AC4FF0" w:rsidRPr="00A001B0">
        <w:rPr>
          <w:noProof/>
        </w:rPr>
        <w:tab/>
      </w:r>
      <w:r w:rsidR="00963747">
        <w:rPr>
          <w:noProof/>
        </w:rPr>
        <w:t>3</w:t>
      </w:r>
    </w:p>
    <w:p w14:paraId="068B3594" w14:textId="47982705" w:rsidR="00AC4FF0" w:rsidRPr="00A001B0" w:rsidRDefault="00AC4FF0">
      <w:pPr>
        <w:pStyle w:val="TOC1"/>
        <w:tabs>
          <w:tab w:val="right" w:leader="dot" w:pos="9350"/>
        </w:tabs>
        <w:rPr>
          <w:rFonts w:eastAsiaTheme="minorEastAsia"/>
          <w:noProof/>
        </w:rPr>
      </w:pPr>
      <w:r w:rsidRPr="00A001B0">
        <w:rPr>
          <w:noProof/>
        </w:rPr>
        <w:t>Staff Question #</w:t>
      </w:r>
      <w:r w:rsidR="00A001B0" w:rsidRPr="00A001B0">
        <w:rPr>
          <w:noProof/>
        </w:rPr>
        <w:t>3</w:t>
      </w:r>
      <w:r w:rsidRPr="00A001B0">
        <w:rPr>
          <w:noProof/>
        </w:rPr>
        <w:tab/>
      </w:r>
      <w:r w:rsidR="00963747">
        <w:rPr>
          <w:noProof/>
        </w:rPr>
        <w:t>4</w:t>
      </w:r>
    </w:p>
    <w:p w14:paraId="25931847" w14:textId="57D62FB0" w:rsidR="00AC4FF0" w:rsidRPr="00A001B0" w:rsidRDefault="00AC4FF0">
      <w:pPr>
        <w:pStyle w:val="TOC2"/>
        <w:tabs>
          <w:tab w:val="right" w:leader="dot" w:pos="9350"/>
        </w:tabs>
        <w:rPr>
          <w:rFonts w:eastAsiaTheme="minorEastAsia"/>
          <w:noProof/>
        </w:rPr>
      </w:pPr>
      <w:r w:rsidRPr="00A001B0">
        <w:rPr>
          <w:noProof/>
        </w:rPr>
        <w:t>Response</w:t>
      </w:r>
      <w:r w:rsidRPr="00A001B0">
        <w:rPr>
          <w:noProof/>
        </w:rPr>
        <w:tab/>
      </w:r>
      <w:r w:rsidR="00963747">
        <w:rPr>
          <w:noProof/>
        </w:rPr>
        <w:t>5</w:t>
      </w:r>
    </w:p>
    <w:p w14:paraId="17172766" w14:textId="3080C142" w:rsidR="00AC4FF0" w:rsidRPr="00A001B0" w:rsidRDefault="00A001B0">
      <w:pPr>
        <w:pStyle w:val="TOC1"/>
        <w:tabs>
          <w:tab w:val="right" w:leader="dot" w:pos="9350"/>
        </w:tabs>
        <w:rPr>
          <w:rFonts w:eastAsiaTheme="minorEastAsia"/>
          <w:noProof/>
        </w:rPr>
      </w:pPr>
      <w:r w:rsidRPr="00A001B0">
        <w:rPr>
          <w:noProof/>
        </w:rPr>
        <w:t xml:space="preserve">Follow-Up </w:t>
      </w:r>
      <w:r w:rsidR="00AC4FF0" w:rsidRPr="00A001B0">
        <w:rPr>
          <w:noProof/>
        </w:rPr>
        <w:t>Staff Question #</w:t>
      </w:r>
      <w:r w:rsidRPr="00A001B0">
        <w:rPr>
          <w:noProof/>
        </w:rPr>
        <w:t>3</w:t>
      </w:r>
      <w:r w:rsidR="00AC4FF0" w:rsidRPr="00A001B0">
        <w:rPr>
          <w:noProof/>
        </w:rPr>
        <w:tab/>
      </w:r>
      <w:r w:rsidR="00963747">
        <w:rPr>
          <w:noProof/>
        </w:rPr>
        <w:t>6</w:t>
      </w:r>
    </w:p>
    <w:p w14:paraId="6E4F3218" w14:textId="150D53C1" w:rsidR="00AC4FF0" w:rsidRPr="00A001B0" w:rsidRDefault="00AC4FF0">
      <w:pPr>
        <w:pStyle w:val="TOC2"/>
        <w:tabs>
          <w:tab w:val="right" w:leader="dot" w:pos="9350"/>
        </w:tabs>
        <w:rPr>
          <w:rFonts w:eastAsiaTheme="minorEastAsia"/>
          <w:noProof/>
        </w:rPr>
      </w:pPr>
      <w:r w:rsidRPr="00A001B0">
        <w:rPr>
          <w:noProof/>
        </w:rPr>
        <w:t>Response</w:t>
      </w:r>
      <w:r w:rsidRPr="00A001B0">
        <w:rPr>
          <w:noProof/>
        </w:rPr>
        <w:tab/>
      </w:r>
      <w:r w:rsidR="001D1AAF">
        <w:rPr>
          <w:noProof/>
        </w:rPr>
        <w:t>7</w:t>
      </w:r>
    </w:p>
    <w:p w14:paraId="7C1AF595" w14:textId="405044BC" w:rsidR="00AC4FF0" w:rsidRPr="00A001B0" w:rsidRDefault="00AC4FF0" w:rsidP="00A001B0">
      <w:pPr>
        <w:pStyle w:val="TOC1"/>
        <w:tabs>
          <w:tab w:val="right" w:leader="dot" w:pos="9350"/>
        </w:tabs>
        <w:rPr>
          <w:rFonts w:eastAsiaTheme="minorEastAsia"/>
          <w:noProof/>
        </w:rPr>
      </w:pPr>
    </w:p>
    <w:p w14:paraId="738B0E84" w14:textId="3105E109" w:rsidR="00961D59" w:rsidRDefault="00961D59" w:rsidP="00961D59">
      <w:r w:rsidRPr="00A001B0">
        <w:fldChar w:fldCharType="end"/>
      </w:r>
    </w:p>
    <w:p w14:paraId="38B8C9ED" w14:textId="77777777" w:rsidR="00B34A2F" w:rsidRDefault="00B34A2F" w:rsidP="00961D59"/>
    <w:p w14:paraId="24275933" w14:textId="77777777" w:rsidR="00B34A2F" w:rsidRDefault="00B34A2F" w:rsidP="00961D59"/>
    <w:p w14:paraId="1495B3AD" w14:textId="77777777" w:rsidR="00B34A2F" w:rsidRDefault="00B34A2F" w:rsidP="00961D59"/>
    <w:p w14:paraId="4E1AA586" w14:textId="77777777" w:rsidR="00B34A2F" w:rsidRDefault="00B34A2F" w:rsidP="00961D59"/>
    <w:p w14:paraId="6F4CEFED" w14:textId="77777777" w:rsidR="00B34A2F" w:rsidRDefault="00B34A2F" w:rsidP="00961D59"/>
    <w:p w14:paraId="759D46AA" w14:textId="77777777" w:rsidR="004E1CB9" w:rsidRDefault="004E1CB9" w:rsidP="00961D59"/>
    <w:p w14:paraId="2DACD36E" w14:textId="77777777" w:rsidR="004E1CB9" w:rsidRDefault="004E1CB9" w:rsidP="00961D59"/>
    <w:p w14:paraId="5A37FD8C" w14:textId="77777777" w:rsidR="004E1CB9" w:rsidRDefault="004E1CB9" w:rsidP="00961D59"/>
    <w:p w14:paraId="3106D4DA" w14:textId="77777777" w:rsidR="004E1CB9" w:rsidRDefault="004E1CB9" w:rsidP="00961D59"/>
    <w:p w14:paraId="6E2085BC" w14:textId="77777777" w:rsidR="004E1CB9" w:rsidRDefault="004E1CB9" w:rsidP="00961D59"/>
    <w:p w14:paraId="70B775A1" w14:textId="1C029FC2" w:rsidR="00915A3C" w:rsidRDefault="00915A3C" w:rsidP="00961D59"/>
    <w:p w14:paraId="2BB79BB0" w14:textId="7D97A09D" w:rsidR="00A001B0" w:rsidRDefault="00A001B0" w:rsidP="00961D59"/>
    <w:p w14:paraId="3CF99362" w14:textId="0DB8F570" w:rsidR="00A001B0" w:rsidRDefault="00A001B0" w:rsidP="00961D59"/>
    <w:p w14:paraId="0BAC7513" w14:textId="31FF1A3B" w:rsidR="00A001B0" w:rsidRDefault="00A001B0" w:rsidP="00961D59"/>
    <w:p w14:paraId="229E1783" w14:textId="2E386ABE" w:rsidR="00A001B0" w:rsidRDefault="00A001B0" w:rsidP="00961D59"/>
    <w:p w14:paraId="4563D1CA" w14:textId="344F7559" w:rsidR="00A001B0" w:rsidRDefault="00A001B0" w:rsidP="00961D59"/>
    <w:p w14:paraId="6755B73D" w14:textId="77777777" w:rsidR="00A001B0" w:rsidRDefault="00A001B0" w:rsidP="00961D59"/>
    <w:p w14:paraId="21CC8649" w14:textId="56933FEF" w:rsidR="00A90180" w:rsidRDefault="00AC166D" w:rsidP="00A90180">
      <w:pPr>
        <w:pStyle w:val="IntenseQuote"/>
      </w:pPr>
      <w:bookmarkStart w:id="2" w:name="_Toc535825579"/>
      <w:r>
        <w:lastRenderedPageBreak/>
        <w:t>Staff Question #3</w:t>
      </w:r>
      <w:bookmarkEnd w:id="2"/>
      <w:r>
        <w:t xml:space="preserve"> </w:t>
      </w:r>
    </w:p>
    <w:p w14:paraId="596B936C" w14:textId="4A242588" w:rsidR="00AC166D" w:rsidRDefault="00AC166D" w:rsidP="00AC166D">
      <w:pPr>
        <w:spacing w:after="0"/>
        <w:rPr>
          <w:rFonts w:cs="Arial"/>
          <w:b/>
          <w:sz w:val="24"/>
          <w:szCs w:val="24"/>
        </w:rPr>
      </w:pPr>
      <w:r w:rsidRPr="00AC166D">
        <w:rPr>
          <w:rFonts w:cs="Arial"/>
          <w:b/>
          <w:sz w:val="24"/>
          <w:szCs w:val="24"/>
        </w:rPr>
        <w:t xml:space="preserve">Ref: </w:t>
      </w:r>
      <w:r w:rsidR="007C6FB4">
        <w:rPr>
          <w:rFonts w:cs="Arial"/>
          <w:b/>
          <w:sz w:val="24"/>
          <w:szCs w:val="24"/>
        </w:rPr>
        <w:t>2022 Rate Generator Model, Tab 3. Continuity Schedule</w:t>
      </w:r>
    </w:p>
    <w:p w14:paraId="67C0A43A" w14:textId="61BF667E" w:rsidR="007C6FB4" w:rsidRDefault="007C6FB4" w:rsidP="00AC166D">
      <w:pPr>
        <w:spacing w:after="0"/>
        <w:rPr>
          <w:rFonts w:cs="Arial"/>
          <w:b/>
          <w:sz w:val="24"/>
          <w:szCs w:val="24"/>
        </w:rPr>
      </w:pPr>
      <w:r>
        <w:rPr>
          <w:rFonts w:cs="Arial"/>
          <w:b/>
          <w:sz w:val="24"/>
          <w:szCs w:val="24"/>
        </w:rPr>
        <w:t xml:space="preserve">        1595 Analysis </w:t>
      </w:r>
      <w:proofErr w:type="spellStart"/>
      <w:r>
        <w:rPr>
          <w:rFonts w:cs="Arial"/>
          <w:b/>
          <w:sz w:val="24"/>
          <w:szCs w:val="24"/>
        </w:rPr>
        <w:t>Workform</w:t>
      </w:r>
      <w:proofErr w:type="spellEnd"/>
    </w:p>
    <w:p w14:paraId="06CBC785" w14:textId="350B3DBC" w:rsidR="007C6FB4" w:rsidRDefault="007C6FB4" w:rsidP="00AC166D">
      <w:pPr>
        <w:spacing w:after="0"/>
        <w:rPr>
          <w:rFonts w:cs="Arial"/>
          <w:b/>
          <w:sz w:val="24"/>
          <w:szCs w:val="24"/>
        </w:rPr>
      </w:pPr>
      <w:r>
        <w:rPr>
          <w:rFonts w:cs="Arial"/>
          <w:b/>
          <w:sz w:val="24"/>
          <w:szCs w:val="24"/>
        </w:rPr>
        <w:t xml:space="preserve">        EB-2014-0072 Decision and Order, June 9, 2015</w:t>
      </w:r>
    </w:p>
    <w:p w14:paraId="3FC8B562" w14:textId="77777777" w:rsidR="007C6FB4" w:rsidRPr="00AC166D" w:rsidRDefault="007C6FB4" w:rsidP="00AC166D">
      <w:pPr>
        <w:spacing w:after="0"/>
        <w:rPr>
          <w:rFonts w:cs="Arial"/>
          <w:b/>
          <w:bCs/>
          <w:sz w:val="24"/>
          <w:szCs w:val="24"/>
        </w:rPr>
      </w:pPr>
    </w:p>
    <w:p w14:paraId="14C0DA1E" w14:textId="4CE01C0E" w:rsidR="00AC166D" w:rsidRPr="00AC166D" w:rsidRDefault="007C6FB4" w:rsidP="00EA44EA">
      <w:pPr>
        <w:jc w:val="both"/>
        <w:rPr>
          <w:rFonts w:cs="Arial"/>
          <w:sz w:val="24"/>
          <w:szCs w:val="24"/>
        </w:rPr>
      </w:pPr>
      <w:r>
        <w:rPr>
          <w:rFonts w:cs="Arial"/>
          <w:sz w:val="24"/>
          <w:szCs w:val="24"/>
        </w:rPr>
        <w:t>Typically, the remaining balance in Account 1595 after the expiration of applicable rate riders is expected to be relatively small as it is a residual of what was collected compared to the forecast.  OEB staff notes that the Account 1595 (2015) balance of $2,437,103 per the Continuity Schedule is very large.</w:t>
      </w:r>
      <w:r w:rsidR="00AC166D" w:rsidRPr="00AC166D">
        <w:rPr>
          <w:rFonts w:cs="Arial"/>
          <w:sz w:val="24"/>
          <w:szCs w:val="24"/>
        </w:rPr>
        <w:t xml:space="preserve"> </w:t>
      </w:r>
    </w:p>
    <w:p w14:paraId="4AF5078B" w14:textId="77777777" w:rsidR="005B4582" w:rsidRDefault="00AC166D" w:rsidP="00EA44EA">
      <w:pPr>
        <w:autoSpaceDE w:val="0"/>
        <w:autoSpaceDN w:val="0"/>
        <w:adjustRightInd w:val="0"/>
        <w:spacing w:after="0" w:line="240" w:lineRule="auto"/>
        <w:jc w:val="both"/>
        <w:rPr>
          <w:rFonts w:cs="Arial"/>
          <w:sz w:val="24"/>
          <w:szCs w:val="24"/>
        </w:rPr>
      </w:pPr>
      <w:r w:rsidRPr="00AC166D">
        <w:rPr>
          <w:rFonts w:cs="Arial"/>
          <w:sz w:val="24"/>
          <w:szCs w:val="24"/>
        </w:rPr>
        <w:t>I</w:t>
      </w:r>
      <w:r w:rsidR="007C6FB4">
        <w:rPr>
          <w:rFonts w:cs="Arial"/>
          <w:sz w:val="24"/>
          <w:szCs w:val="24"/>
        </w:rPr>
        <w:t xml:space="preserve">n the 1595 Analysis </w:t>
      </w:r>
      <w:proofErr w:type="spellStart"/>
      <w:r w:rsidR="007C6FB4">
        <w:rPr>
          <w:rFonts w:cs="Arial"/>
          <w:sz w:val="24"/>
          <w:szCs w:val="24"/>
        </w:rPr>
        <w:t>Workform</w:t>
      </w:r>
      <w:proofErr w:type="spellEnd"/>
      <w:r w:rsidR="007C6FB4">
        <w:rPr>
          <w:rFonts w:cs="Arial"/>
          <w:sz w:val="24"/>
          <w:szCs w:val="24"/>
        </w:rPr>
        <w:t>, for the Rate Rider – Group 1 DVA accounts (excluding GA), the amount shown as the balance approved by the OEB is a $3,094,923 credit to customers.  OEB staff notes that in the 2015 rates proceeding, a $3,202,317 credit amount was approved for</w:t>
      </w:r>
      <w:r w:rsidR="005B4582">
        <w:rPr>
          <w:rFonts w:cs="Arial"/>
          <w:sz w:val="24"/>
          <w:szCs w:val="24"/>
        </w:rPr>
        <w:t xml:space="preserve"> disposition.</w:t>
      </w:r>
    </w:p>
    <w:p w14:paraId="63D6234A" w14:textId="77777777" w:rsidR="005B4582" w:rsidRDefault="005B4582" w:rsidP="00EA44EA">
      <w:pPr>
        <w:autoSpaceDE w:val="0"/>
        <w:autoSpaceDN w:val="0"/>
        <w:adjustRightInd w:val="0"/>
        <w:spacing w:after="0" w:line="240" w:lineRule="auto"/>
        <w:jc w:val="both"/>
        <w:rPr>
          <w:rFonts w:cs="Arial"/>
          <w:sz w:val="24"/>
          <w:szCs w:val="24"/>
        </w:rPr>
      </w:pPr>
    </w:p>
    <w:p w14:paraId="775BEAA0" w14:textId="77777777" w:rsidR="005B4582" w:rsidRDefault="005B4582" w:rsidP="00EA44EA">
      <w:pPr>
        <w:autoSpaceDE w:val="0"/>
        <w:autoSpaceDN w:val="0"/>
        <w:adjustRightInd w:val="0"/>
        <w:spacing w:after="0" w:line="240" w:lineRule="auto"/>
        <w:jc w:val="both"/>
        <w:rPr>
          <w:rFonts w:cs="Arial"/>
          <w:sz w:val="24"/>
          <w:szCs w:val="24"/>
        </w:rPr>
      </w:pPr>
      <w:r>
        <w:rPr>
          <w:rFonts w:cs="Arial"/>
          <w:sz w:val="24"/>
          <w:szCs w:val="24"/>
        </w:rPr>
        <w:t xml:space="preserve">In the 1595 Analysis </w:t>
      </w:r>
      <w:proofErr w:type="spellStart"/>
      <w:r>
        <w:rPr>
          <w:rFonts w:cs="Arial"/>
          <w:sz w:val="24"/>
          <w:szCs w:val="24"/>
        </w:rPr>
        <w:t>Workform</w:t>
      </w:r>
      <w:proofErr w:type="spellEnd"/>
      <w:r>
        <w:rPr>
          <w:rFonts w:cs="Arial"/>
          <w:sz w:val="24"/>
          <w:szCs w:val="24"/>
        </w:rPr>
        <w:t>, the following information was presented:</w:t>
      </w:r>
    </w:p>
    <w:p w14:paraId="7F66C3FB" w14:textId="77777777" w:rsidR="005B4582" w:rsidRPr="00AC166D" w:rsidRDefault="00AC166D" w:rsidP="00AC166D">
      <w:pPr>
        <w:autoSpaceDE w:val="0"/>
        <w:autoSpaceDN w:val="0"/>
        <w:adjustRightInd w:val="0"/>
        <w:spacing w:after="0" w:line="240" w:lineRule="auto"/>
        <w:rPr>
          <w:rFonts w:cs="Arial"/>
          <w:sz w:val="24"/>
          <w:szCs w:val="24"/>
        </w:rPr>
      </w:pPr>
      <w:r w:rsidRPr="00AC166D">
        <w:rPr>
          <w:rFonts w:cs="Arial"/>
          <w:sz w:val="24"/>
          <w:szCs w:val="24"/>
        </w:rPr>
        <w:t xml:space="preserve"> </w:t>
      </w:r>
    </w:p>
    <w:tbl>
      <w:tblPr>
        <w:tblStyle w:val="TableGrid"/>
        <w:tblW w:w="0" w:type="auto"/>
        <w:tblLook w:val="04A0" w:firstRow="1" w:lastRow="0" w:firstColumn="1" w:lastColumn="0" w:noHBand="0" w:noVBand="1"/>
      </w:tblPr>
      <w:tblGrid>
        <w:gridCol w:w="5035"/>
        <w:gridCol w:w="1198"/>
        <w:gridCol w:w="3117"/>
      </w:tblGrid>
      <w:tr w:rsidR="005B4582" w14:paraId="49F83718" w14:textId="77777777" w:rsidTr="005B4582">
        <w:tc>
          <w:tcPr>
            <w:tcW w:w="5035" w:type="dxa"/>
          </w:tcPr>
          <w:p w14:paraId="75C6AB2A" w14:textId="71FA2682" w:rsidR="005B4582" w:rsidRPr="00E4503E" w:rsidRDefault="005B4582" w:rsidP="00AC166D">
            <w:pPr>
              <w:autoSpaceDE w:val="0"/>
              <w:autoSpaceDN w:val="0"/>
              <w:adjustRightInd w:val="0"/>
              <w:rPr>
                <w:rFonts w:cs="Arial"/>
                <w:b/>
                <w:bCs/>
                <w:sz w:val="24"/>
                <w:szCs w:val="24"/>
              </w:rPr>
            </w:pPr>
            <w:r w:rsidRPr="00E4503E">
              <w:rPr>
                <w:rFonts w:cs="Arial"/>
                <w:b/>
                <w:bCs/>
                <w:sz w:val="24"/>
                <w:szCs w:val="24"/>
              </w:rPr>
              <w:t>Description</w:t>
            </w:r>
          </w:p>
        </w:tc>
        <w:tc>
          <w:tcPr>
            <w:tcW w:w="1198" w:type="dxa"/>
          </w:tcPr>
          <w:p w14:paraId="61A15D0C" w14:textId="3D03280B" w:rsidR="005B4582" w:rsidRPr="00E4503E" w:rsidRDefault="005B4582" w:rsidP="00AC166D">
            <w:pPr>
              <w:autoSpaceDE w:val="0"/>
              <w:autoSpaceDN w:val="0"/>
              <w:adjustRightInd w:val="0"/>
              <w:rPr>
                <w:rFonts w:cs="Arial"/>
                <w:b/>
                <w:bCs/>
                <w:sz w:val="24"/>
                <w:szCs w:val="24"/>
              </w:rPr>
            </w:pPr>
            <w:r w:rsidRPr="00E4503E">
              <w:rPr>
                <w:rFonts w:cs="Arial"/>
                <w:b/>
                <w:bCs/>
                <w:sz w:val="24"/>
                <w:szCs w:val="24"/>
              </w:rPr>
              <w:t>Cell</w:t>
            </w:r>
          </w:p>
        </w:tc>
        <w:tc>
          <w:tcPr>
            <w:tcW w:w="3117" w:type="dxa"/>
          </w:tcPr>
          <w:p w14:paraId="067B79B1" w14:textId="1FDBFBD3" w:rsidR="005B4582" w:rsidRPr="00E4503E" w:rsidRDefault="005B4582" w:rsidP="00AC166D">
            <w:pPr>
              <w:autoSpaceDE w:val="0"/>
              <w:autoSpaceDN w:val="0"/>
              <w:adjustRightInd w:val="0"/>
              <w:rPr>
                <w:rFonts w:cs="Arial"/>
                <w:b/>
                <w:bCs/>
                <w:sz w:val="24"/>
                <w:szCs w:val="24"/>
              </w:rPr>
            </w:pPr>
            <w:r w:rsidRPr="00E4503E">
              <w:rPr>
                <w:rFonts w:cs="Arial"/>
                <w:b/>
                <w:bCs/>
                <w:sz w:val="24"/>
                <w:szCs w:val="24"/>
              </w:rPr>
              <w:t>Amount</w:t>
            </w:r>
          </w:p>
        </w:tc>
      </w:tr>
      <w:tr w:rsidR="005B4582" w14:paraId="22E1F220" w14:textId="77777777" w:rsidTr="005B4582">
        <w:tc>
          <w:tcPr>
            <w:tcW w:w="5035" w:type="dxa"/>
          </w:tcPr>
          <w:p w14:paraId="52666B9C" w14:textId="2E2D0D87" w:rsidR="005B4582" w:rsidRDefault="005B4582" w:rsidP="00AC166D">
            <w:pPr>
              <w:autoSpaceDE w:val="0"/>
              <w:autoSpaceDN w:val="0"/>
              <w:adjustRightInd w:val="0"/>
              <w:rPr>
                <w:rFonts w:cs="Arial"/>
                <w:sz w:val="24"/>
                <w:szCs w:val="24"/>
              </w:rPr>
            </w:pPr>
            <w:r>
              <w:rPr>
                <w:rFonts w:cs="Arial"/>
                <w:sz w:val="24"/>
                <w:szCs w:val="24"/>
              </w:rPr>
              <w:t>Total Group 1 and Group 2 Balances excluding Account 1589 – Global Adjustment</w:t>
            </w:r>
          </w:p>
        </w:tc>
        <w:tc>
          <w:tcPr>
            <w:tcW w:w="1198" w:type="dxa"/>
          </w:tcPr>
          <w:p w14:paraId="3E3B1BFC" w14:textId="0BCE96B7" w:rsidR="005B4582" w:rsidRDefault="005B4582" w:rsidP="00AC166D">
            <w:pPr>
              <w:autoSpaceDE w:val="0"/>
              <w:autoSpaceDN w:val="0"/>
              <w:adjustRightInd w:val="0"/>
              <w:rPr>
                <w:rFonts w:cs="Arial"/>
                <w:sz w:val="24"/>
                <w:szCs w:val="24"/>
              </w:rPr>
            </w:pPr>
            <w:r>
              <w:rPr>
                <w:rFonts w:cs="Arial"/>
                <w:sz w:val="24"/>
                <w:szCs w:val="24"/>
              </w:rPr>
              <w:t>F13</w:t>
            </w:r>
          </w:p>
        </w:tc>
        <w:tc>
          <w:tcPr>
            <w:tcW w:w="3117" w:type="dxa"/>
          </w:tcPr>
          <w:p w14:paraId="7CAD63FE" w14:textId="21970A9F" w:rsidR="005B4582" w:rsidRDefault="005B4582" w:rsidP="00AC166D">
            <w:pPr>
              <w:autoSpaceDE w:val="0"/>
              <w:autoSpaceDN w:val="0"/>
              <w:adjustRightInd w:val="0"/>
              <w:rPr>
                <w:rFonts w:cs="Arial"/>
                <w:sz w:val="24"/>
                <w:szCs w:val="24"/>
              </w:rPr>
            </w:pPr>
            <w:r>
              <w:rPr>
                <w:rFonts w:cs="Arial"/>
                <w:sz w:val="24"/>
                <w:szCs w:val="24"/>
              </w:rPr>
              <w:t>($3,843,411)</w:t>
            </w:r>
          </w:p>
        </w:tc>
      </w:tr>
      <w:tr w:rsidR="005B4582" w14:paraId="4DA75B8A" w14:textId="77777777" w:rsidTr="005B4582">
        <w:tc>
          <w:tcPr>
            <w:tcW w:w="5035" w:type="dxa"/>
          </w:tcPr>
          <w:p w14:paraId="51126A00" w14:textId="1D1C07B4" w:rsidR="005B4582" w:rsidRDefault="005B4582" w:rsidP="00AC166D">
            <w:pPr>
              <w:autoSpaceDE w:val="0"/>
              <w:autoSpaceDN w:val="0"/>
              <w:adjustRightInd w:val="0"/>
              <w:rPr>
                <w:rFonts w:cs="Arial"/>
                <w:sz w:val="24"/>
                <w:szCs w:val="24"/>
              </w:rPr>
            </w:pPr>
            <w:r>
              <w:rPr>
                <w:rFonts w:cs="Arial"/>
                <w:sz w:val="24"/>
                <w:szCs w:val="24"/>
              </w:rPr>
              <w:t>Total:  Rate Rider 1 – Group 1 DVA Accounts (excluding Global Adjustments)</w:t>
            </w:r>
          </w:p>
        </w:tc>
        <w:tc>
          <w:tcPr>
            <w:tcW w:w="1198" w:type="dxa"/>
          </w:tcPr>
          <w:p w14:paraId="4A795A91" w14:textId="4878FC51" w:rsidR="005B4582" w:rsidRDefault="005B4582" w:rsidP="00AC166D">
            <w:pPr>
              <w:autoSpaceDE w:val="0"/>
              <w:autoSpaceDN w:val="0"/>
              <w:adjustRightInd w:val="0"/>
              <w:rPr>
                <w:rFonts w:cs="Arial"/>
                <w:sz w:val="24"/>
                <w:szCs w:val="24"/>
              </w:rPr>
            </w:pPr>
            <w:r>
              <w:rPr>
                <w:rFonts w:cs="Arial"/>
                <w:sz w:val="24"/>
                <w:szCs w:val="24"/>
              </w:rPr>
              <w:t>D59</w:t>
            </w:r>
          </w:p>
        </w:tc>
        <w:tc>
          <w:tcPr>
            <w:tcW w:w="3117" w:type="dxa"/>
          </w:tcPr>
          <w:p w14:paraId="2C943AFA" w14:textId="3DB4BF47" w:rsidR="005B4582" w:rsidRDefault="005B4582" w:rsidP="00AC166D">
            <w:pPr>
              <w:autoSpaceDE w:val="0"/>
              <w:autoSpaceDN w:val="0"/>
              <w:adjustRightInd w:val="0"/>
              <w:rPr>
                <w:rFonts w:cs="Arial"/>
                <w:sz w:val="24"/>
                <w:szCs w:val="24"/>
              </w:rPr>
            </w:pPr>
            <w:r>
              <w:rPr>
                <w:rFonts w:cs="Arial"/>
                <w:sz w:val="24"/>
                <w:szCs w:val="24"/>
              </w:rPr>
              <w:t>($3,094,923)</w:t>
            </w:r>
          </w:p>
        </w:tc>
      </w:tr>
      <w:tr w:rsidR="005B4582" w14:paraId="6A9DED9D" w14:textId="77777777" w:rsidTr="005B4582">
        <w:tc>
          <w:tcPr>
            <w:tcW w:w="5035" w:type="dxa"/>
          </w:tcPr>
          <w:p w14:paraId="286FAB5B" w14:textId="73DE1C43" w:rsidR="005B4582" w:rsidRDefault="005B4582" w:rsidP="00AC166D">
            <w:pPr>
              <w:autoSpaceDE w:val="0"/>
              <w:autoSpaceDN w:val="0"/>
              <w:adjustRightInd w:val="0"/>
              <w:rPr>
                <w:rFonts w:cs="Arial"/>
                <w:sz w:val="24"/>
                <w:szCs w:val="24"/>
              </w:rPr>
            </w:pPr>
            <w:r>
              <w:rPr>
                <w:rFonts w:cs="Arial"/>
                <w:sz w:val="24"/>
                <w:szCs w:val="24"/>
              </w:rPr>
              <w:t>Total:  Rate Rider 3 for Disposition of Deferral and Variance Accounts (2015)</w:t>
            </w:r>
          </w:p>
        </w:tc>
        <w:tc>
          <w:tcPr>
            <w:tcW w:w="1198" w:type="dxa"/>
          </w:tcPr>
          <w:p w14:paraId="5F0D7CF3" w14:textId="1829B071" w:rsidR="005B4582" w:rsidRDefault="005B4582" w:rsidP="00AC166D">
            <w:pPr>
              <w:autoSpaceDE w:val="0"/>
              <w:autoSpaceDN w:val="0"/>
              <w:adjustRightInd w:val="0"/>
              <w:rPr>
                <w:rFonts w:cs="Arial"/>
                <w:sz w:val="24"/>
                <w:szCs w:val="24"/>
              </w:rPr>
            </w:pPr>
            <w:r>
              <w:rPr>
                <w:rFonts w:cs="Arial"/>
                <w:sz w:val="24"/>
                <w:szCs w:val="24"/>
              </w:rPr>
              <w:t>D204</w:t>
            </w:r>
          </w:p>
        </w:tc>
        <w:tc>
          <w:tcPr>
            <w:tcW w:w="3117" w:type="dxa"/>
          </w:tcPr>
          <w:p w14:paraId="237F6DA4" w14:textId="055E8F16" w:rsidR="005B4582" w:rsidRDefault="005B4582" w:rsidP="00AC166D">
            <w:pPr>
              <w:autoSpaceDE w:val="0"/>
              <w:autoSpaceDN w:val="0"/>
              <w:adjustRightInd w:val="0"/>
              <w:rPr>
                <w:rFonts w:cs="Arial"/>
                <w:sz w:val="24"/>
                <w:szCs w:val="24"/>
              </w:rPr>
            </w:pPr>
            <w:r>
              <w:rPr>
                <w:rFonts w:cs="Arial"/>
                <w:sz w:val="24"/>
                <w:szCs w:val="24"/>
              </w:rPr>
              <w:t>($2,151,440)</w:t>
            </w:r>
          </w:p>
        </w:tc>
      </w:tr>
    </w:tbl>
    <w:p w14:paraId="5048E6DD" w14:textId="77777777" w:rsidR="00AC166D" w:rsidRPr="00AC166D" w:rsidRDefault="00AC166D" w:rsidP="00AC166D">
      <w:pPr>
        <w:autoSpaceDE w:val="0"/>
        <w:autoSpaceDN w:val="0"/>
        <w:adjustRightInd w:val="0"/>
        <w:spacing w:after="0" w:line="240" w:lineRule="auto"/>
        <w:rPr>
          <w:rFonts w:cs="Arial"/>
          <w:sz w:val="24"/>
          <w:szCs w:val="24"/>
        </w:rPr>
      </w:pPr>
    </w:p>
    <w:p w14:paraId="17CD9CD5" w14:textId="32A2359F" w:rsidR="00AC166D" w:rsidRPr="00AC166D" w:rsidRDefault="00AC166D" w:rsidP="00EA44EA">
      <w:pPr>
        <w:pStyle w:val="ListParagraph"/>
        <w:numPr>
          <w:ilvl w:val="0"/>
          <w:numId w:val="3"/>
        </w:numPr>
        <w:autoSpaceDE w:val="0"/>
        <w:autoSpaceDN w:val="0"/>
        <w:adjustRightInd w:val="0"/>
        <w:spacing w:after="0" w:line="240" w:lineRule="auto"/>
        <w:ind w:left="540" w:hanging="540"/>
        <w:jc w:val="both"/>
        <w:rPr>
          <w:rFonts w:cs="Arial"/>
          <w:sz w:val="24"/>
          <w:szCs w:val="24"/>
        </w:rPr>
      </w:pPr>
      <w:r w:rsidRPr="00AC166D">
        <w:rPr>
          <w:rFonts w:cs="Arial"/>
          <w:sz w:val="24"/>
          <w:szCs w:val="24"/>
        </w:rPr>
        <w:t xml:space="preserve">Please explain the </w:t>
      </w:r>
      <w:r w:rsidR="005B4582">
        <w:rPr>
          <w:rFonts w:cs="Arial"/>
          <w:sz w:val="24"/>
          <w:szCs w:val="24"/>
        </w:rPr>
        <w:t>large residual balance, $2,437,103, in 1595 (2015).</w:t>
      </w:r>
    </w:p>
    <w:p w14:paraId="4606441C" w14:textId="77777777" w:rsidR="00AC166D" w:rsidRPr="00AC166D" w:rsidRDefault="00AC166D" w:rsidP="00EA44EA">
      <w:pPr>
        <w:autoSpaceDE w:val="0"/>
        <w:autoSpaceDN w:val="0"/>
        <w:adjustRightInd w:val="0"/>
        <w:spacing w:after="0" w:line="240" w:lineRule="auto"/>
        <w:jc w:val="both"/>
        <w:rPr>
          <w:rFonts w:cs="Arial"/>
          <w:sz w:val="24"/>
          <w:szCs w:val="24"/>
        </w:rPr>
      </w:pPr>
    </w:p>
    <w:p w14:paraId="796FD0DE" w14:textId="3C9956ED" w:rsidR="00AC166D" w:rsidRPr="00AC166D" w:rsidRDefault="005B4582" w:rsidP="00EA44EA">
      <w:pPr>
        <w:pStyle w:val="ListParagraph"/>
        <w:numPr>
          <w:ilvl w:val="0"/>
          <w:numId w:val="3"/>
        </w:numPr>
        <w:autoSpaceDE w:val="0"/>
        <w:autoSpaceDN w:val="0"/>
        <w:adjustRightInd w:val="0"/>
        <w:spacing w:after="0" w:line="240" w:lineRule="auto"/>
        <w:ind w:left="540" w:hanging="540"/>
        <w:jc w:val="both"/>
        <w:rPr>
          <w:rFonts w:cs="Arial"/>
          <w:sz w:val="24"/>
          <w:szCs w:val="24"/>
        </w:rPr>
      </w:pPr>
      <w:r>
        <w:rPr>
          <w:rFonts w:cs="Arial"/>
          <w:sz w:val="24"/>
          <w:szCs w:val="24"/>
        </w:rPr>
        <w:t xml:space="preserve">Please explain the difference between what was approved by the OEB in EB-2014-0072 and the 1595 Analysis </w:t>
      </w:r>
      <w:proofErr w:type="spellStart"/>
      <w:r>
        <w:rPr>
          <w:rFonts w:cs="Arial"/>
          <w:sz w:val="24"/>
          <w:szCs w:val="24"/>
        </w:rPr>
        <w:t>Workform</w:t>
      </w:r>
      <w:proofErr w:type="spellEnd"/>
      <w:r>
        <w:rPr>
          <w:rFonts w:cs="Arial"/>
          <w:sz w:val="24"/>
          <w:szCs w:val="24"/>
        </w:rPr>
        <w:t>.</w:t>
      </w:r>
    </w:p>
    <w:p w14:paraId="51ACC7AA" w14:textId="77777777" w:rsidR="00AC166D" w:rsidRPr="00AC166D" w:rsidRDefault="00AC166D" w:rsidP="00EA44EA">
      <w:pPr>
        <w:autoSpaceDE w:val="0"/>
        <w:autoSpaceDN w:val="0"/>
        <w:adjustRightInd w:val="0"/>
        <w:spacing w:after="0" w:line="240" w:lineRule="auto"/>
        <w:jc w:val="both"/>
        <w:rPr>
          <w:rFonts w:cs="Arial"/>
          <w:sz w:val="24"/>
          <w:szCs w:val="24"/>
        </w:rPr>
      </w:pPr>
    </w:p>
    <w:p w14:paraId="6C7497B3" w14:textId="213CB062" w:rsidR="00AC166D" w:rsidRPr="009A172C" w:rsidRDefault="005B4582" w:rsidP="00EA44EA">
      <w:pPr>
        <w:pStyle w:val="ListParagraph"/>
        <w:numPr>
          <w:ilvl w:val="0"/>
          <w:numId w:val="3"/>
        </w:numPr>
        <w:autoSpaceDE w:val="0"/>
        <w:autoSpaceDN w:val="0"/>
        <w:adjustRightInd w:val="0"/>
        <w:spacing w:after="0" w:line="240" w:lineRule="auto"/>
        <w:ind w:left="540" w:hanging="540"/>
        <w:jc w:val="both"/>
        <w:rPr>
          <w:rFonts w:cs="Arial"/>
          <w:b/>
          <w:bCs/>
          <w:sz w:val="24"/>
          <w:szCs w:val="24"/>
        </w:rPr>
      </w:pPr>
      <w:r>
        <w:rPr>
          <w:rFonts w:cs="Arial"/>
          <w:sz w:val="24"/>
          <w:szCs w:val="24"/>
        </w:rPr>
        <w:t xml:space="preserve">OEB staff expects the allocated balances in Step 3 in the </w:t>
      </w:r>
      <w:proofErr w:type="spellStart"/>
      <w:r>
        <w:rPr>
          <w:rFonts w:cs="Arial"/>
          <w:sz w:val="24"/>
          <w:szCs w:val="24"/>
        </w:rPr>
        <w:t>Workform</w:t>
      </w:r>
      <w:proofErr w:type="spellEnd"/>
      <w:r>
        <w:rPr>
          <w:rFonts w:cs="Arial"/>
          <w:sz w:val="24"/>
          <w:szCs w:val="24"/>
        </w:rPr>
        <w:t xml:space="preserve"> for Rate Rater 1 and 3 to equal the total Group 1 and 2 balances (excluding GA) from Step 1 in the </w:t>
      </w:r>
      <w:proofErr w:type="spellStart"/>
      <w:r>
        <w:rPr>
          <w:rFonts w:cs="Arial"/>
          <w:sz w:val="24"/>
          <w:szCs w:val="24"/>
        </w:rPr>
        <w:t>workform</w:t>
      </w:r>
      <w:proofErr w:type="spellEnd"/>
      <w:r>
        <w:rPr>
          <w:rFonts w:cs="Arial"/>
          <w:sz w:val="24"/>
          <w:szCs w:val="24"/>
        </w:rPr>
        <w:t>.  Please reconcile the significant difference between the two numbers.</w:t>
      </w:r>
    </w:p>
    <w:p w14:paraId="13227568" w14:textId="77777777" w:rsidR="009A172C" w:rsidRPr="009A172C" w:rsidRDefault="009A172C" w:rsidP="009A172C">
      <w:pPr>
        <w:pStyle w:val="ListParagraph"/>
        <w:rPr>
          <w:rFonts w:cs="Arial"/>
          <w:b/>
          <w:bCs/>
          <w:sz w:val="24"/>
          <w:szCs w:val="24"/>
        </w:rPr>
      </w:pPr>
    </w:p>
    <w:p w14:paraId="30476822" w14:textId="624AD4C7" w:rsidR="009A172C" w:rsidRPr="00AC166D" w:rsidRDefault="009A172C" w:rsidP="00EA44EA">
      <w:pPr>
        <w:pStyle w:val="ListParagraph"/>
        <w:numPr>
          <w:ilvl w:val="0"/>
          <w:numId w:val="3"/>
        </w:numPr>
        <w:autoSpaceDE w:val="0"/>
        <w:autoSpaceDN w:val="0"/>
        <w:adjustRightInd w:val="0"/>
        <w:spacing w:after="0" w:line="240" w:lineRule="auto"/>
        <w:ind w:left="540" w:hanging="540"/>
        <w:jc w:val="both"/>
        <w:rPr>
          <w:rFonts w:cs="Arial"/>
          <w:b/>
          <w:bCs/>
          <w:sz w:val="24"/>
          <w:szCs w:val="24"/>
        </w:rPr>
      </w:pPr>
      <w:r>
        <w:rPr>
          <w:rFonts w:cs="Arial"/>
          <w:sz w:val="24"/>
          <w:szCs w:val="24"/>
        </w:rPr>
        <w:t>Similarly, OEB staff expects the calculated variance for each rate rider in Step 3 to equal the total residual balance presented in Step 1.  This figure is automatically calculated in Cell J240.  Please explain why there is a significant variance of ($1,657,548).</w:t>
      </w:r>
    </w:p>
    <w:p w14:paraId="6E3CB9F8" w14:textId="77777777" w:rsidR="001719DE" w:rsidRPr="00AC166D" w:rsidRDefault="001719DE" w:rsidP="006315D4">
      <w:pPr>
        <w:pStyle w:val="NoSpacing"/>
        <w:rPr>
          <w:b/>
          <w:sz w:val="24"/>
          <w:szCs w:val="24"/>
        </w:rPr>
      </w:pPr>
    </w:p>
    <w:p w14:paraId="3E83F28C" w14:textId="77777777" w:rsidR="00A90180" w:rsidRDefault="00A90180" w:rsidP="00A90180">
      <w:pPr>
        <w:pStyle w:val="Quote"/>
      </w:pPr>
      <w:bookmarkStart w:id="3" w:name="_Toc535825580"/>
      <w:r>
        <w:lastRenderedPageBreak/>
        <w:t>Response</w:t>
      </w:r>
      <w:bookmarkEnd w:id="3"/>
    </w:p>
    <w:p w14:paraId="509674DD" w14:textId="3EBF2EDA" w:rsidR="006A3412" w:rsidRDefault="00F954DA" w:rsidP="00EA44EA">
      <w:pPr>
        <w:pStyle w:val="ListParagraph"/>
        <w:numPr>
          <w:ilvl w:val="0"/>
          <w:numId w:val="16"/>
        </w:numPr>
        <w:jc w:val="both"/>
        <w:rPr>
          <w:sz w:val="24"/>
          <w:szCs w:val="24"/>
          <w:lang w:val="en-CA"/>
        </w:rPr>
      </w:pPr>
      <w:r w:rsidRPr="006A3412">
        <w:rPr>
          <w:sz w:val="24"/>
          <w:szCs w:val="24"/>
          <w:lang w:val="en-CA"/>
        </w:rPr>
        <w:t xml:space="preserve">The largest component of the residual balance relates to the balance that was over-refunded to customers </w:t>
      </w:r>
      <w:r w:rsidR="00EA44EA">
        <w:rPr>
          <w:sz w:val="24"/>
          <w:szCs w:val="24"/>
          <w:lang w:val="en-CA"/>
        </w:rPr>
        <w:t xml:space="preserve">identified previously by the OEB </w:t>
      </w:r>
      <w:r w:rsidRPr="006A3412">
        <w:rPr>
          <w:sz w:val="24"/>
          <w:szCs w:val="24"/>
          <w:lang w:val="en-CA"/>
        </w:rPr>
        <w:t>and is being brought forward</w:t>
      </w:r>
      <w:r w:rsidR="006A3412" w:rsidRPr="006A3412">
        <w:rPr>
          <w:sz w:val="24"/>
          <w:szCs w:val="24"/>
          <w:lang w:val="en-CA"/>
        </w:rPr>
        <w:t xml:space="preserve"> for disposition</w:t>
      </w:r>
      <w:r w:rsidR="006A3412">
        <w:rPr>
          <w:sz w:val="24"/>
          <w:szCs w:val="24"/>
          <w:lang w:val="en-CA"/>
        </w:rPr>
        <w:t xml:space="preserve"> in the amount of $1,510,347.  Other components</w:t>
      </w:r>
      <w:r w:rsidR="00ED4BF6">
        <w:rPr>
          <w:sz w:val="24"/>
          <w:szCs w:val="24"/>
          <w:lang w:val="en-CA"/>
        </w:rPr>
        <w:t xml:space="preserve"> of the balance</w:t>
      </w:r>
      <w:r w:rsidR="006A3412">
        <w:rPr>
          <w:sz w:val="24"/>
          <w:szCs w:val="24"/>
          <w:lang w:val="en-CA"/>
        </w:rPr>
        <w:t xml:space="preserve"> are the residuals from four </w:t>
      </w:r>
      <w:r w:rsidR="00EA44EA">
        <w:rPr>
          <w:sz w:val="24"/>
          <w:szCs w:val="24"/>
          <w:lang w:val="en-CA"/>
        </w:rPr>
        <w:t xml:space="preserve">(4) </w:t>
      </w:r>
      <w:r w:rsidR="006A3412">
        <w:rPr>
          <w:sz w:val="24"/>
          <w:szCs w:val="24"/>
          <w:lang w:val="en-CA"/>
        </w:rPr>
        <w:t>rate riders, as well as interest and projected interest.</w:t>
      </w:r>
    </w:p>
    <w:p w14:paraId="477533B1" w14:textId="2F935BFB" w:rsidR="007B0E45" w:rsidRPr="007B0E45" w:rsidRDefault="007B0E45" w:rsidP="007B0E45">
      <w:pPr>
        <w:ind w:left="720"/>
        <w:jc w:val="both"/>
        <w:rPr>
          <w:color w:val="0070C0"/>
          <w:sz w:val="24"/>
          <w:szCs w:val="24"/>
          <w:lang w:val="en-CA"/>
        </w:rPr>
      </w:pPr>
      <w:r>
        <w:rPr>
          <w:color w:val="0070C0"/>
          <w:sz w:val="24"/>
          <w:szCs w:val="24"/>
          <w:lang w:val="en-CA"/>
        </w:rPr>
        <w:t>The residuals from rate riders 2 and 4 amount to $564,</w:t>
      </w:r>
      <w:r w:rsidRPr="003370EA">
        <w:rPr>
          <w:color w:val="0070C0"/>
          <w:sz w:val="24"/>
          <w:szCs w:val="24"/>
          <w:lang w:val="en-CA"/>
        </w:rPr>
        <w:t>202</w:t>
      </w:r>
      <w:r w:rsidR="004C79D4" w:rsidRPr="003370EA">
        <w:rPr>
          <w:color w:val="0070C0"/>
          <w:sz w:val="24"/>
          <w:szCs w:val="24"/>
          <w:lang w:val="en-CA"/>
        </w:rPr>
        <w:t xml:space="preserve">, </w:t>
      </w:r>
      <w:r w:rsidR="003370EA" w:rsidRPr="003370EA">
        <w:rPr>
          <w:color w:val="0070C0"/>
          <w:sz w:val="24"/>
          <w:szCs w:val="24"/>
          <w:lang w:val="en-CA"/>
        </w:rPr>
        <w:t>17.1</w:t>
      </w:r>
      <w:r w:rsidR="004C79D4" w:rsidRPr="003370EA">
        <w:rPr>
          <w:color w:val="0070C0"/>
          <w:sz w:val="24"/>
          <w:szCs w:val="24"/>
          <w:lang w:val="en-CA"/>
        </w:rPr>
        <w:t>%</w:t>
      </w:r>
      <w:r w:rsidR="004C79D4">
        <w:rPr>
          <w:color w:val="0070C0"/>
          <w:sz w:val="24"/>
          <w:szCs w:val="24"/>
          <w:lang w:val="en-CA"/>
        </w:rPr>
        <w:t xml:space="preserve"> of the </w:t>
      </w:r>
      <w:r w:rsidR="003370EA">
        <w:rPr>
          <w:color w:val="0070C0"/>
          <w:sz w:val="24"/>
          <w:szCs w:val="24"/>
          <w:lang w:val="en-CA"/>
        </w:rPr>
        <w:t>Total B</w:t>
      </w:r>
      <w:r w:rsidR="004C79D4">
        <w:rPr>
          <w:color w:val="0070C0"/>
          <w:sz w:val="24"/>
          <w:szCs w:val="24"/>
          <w:lang w:val="en-CA"/>
        </w:rPr>
        <w:t xml:space="preserve">alance Approved for Disposition.  The large residuals result from </w:t>
      </w:r>
      <w:r w:rsidR="00FA63E4">
        <w:rPr>
          <w:color w:val="0070C0"/>
          <w:sz w:val="24"/>
          <w:szCs w:val="24"/>
          <w:lang w:val="en-CA"/>
        </w:rPr>
        <w:t>imprecise</w:t>
      </w:r>
      <w:r w:rsidR="004C79D4">
        <w:rPr>
          <w:color w:val="0070C0"/>
          <w:sz w:val="24"/>
          <w:szCs w:val="24"/>
          <w:lang w:val="en-CA"/>
        </w:rPr>
        <w:t xml:space="preserve"> estimated </w:t>
      </w:r>
      <w:r w:rsidR="003370EA">
        <w:rPr>
          <w:color w:val="0070C0"/>
          <w:sz w:val="24"/>
          <w:szCs w:val="24"/>
          <w:lang w:val="en-CA"/>
        </w:rPr>
        <w:t xml:space="preserve">billing determinants </w:t>
      </w:r>
      <w:r w:rsidR="004C79D4">
        <w:rPr>
          <w:color w:val="0070C0"/>
          <w:sz w:val="24"/>
          <w:szCs w:val="24"/>
          <w:lang w:val="en-CA"/>
        </w:rPr>
        <w:t xml:space="preserve">used in the rate rider calculation, which gave rise to under-recovery of principal balances over the </w:t>
      </w:r>
      <w:r w:rsidR="00FA63E4">
        <w:rPr>
          <w:color w:val="0070C0"/>
          <w:sz w:val="24"/>
          <w:szCs w:val="24"/>
          <w:lang w:val="en-CA"/>
        </w:rPr>
        <w:t xml:space="preserve">rate rider </w:t>
      </w:r>
      <w:r w:rsidR="004C79D4">
        <w:rPr>
          <w:color w:val="0070C0"/>
          <w:sz w:val="24"/>
          <w:szCs w:val="24"/>
          <w:lang w:val="en-CA"/>
        </w:rPr>
        <w:t>recovery period.</w:t>
      </w:r>
      <w:r w:rsidR="003370EA">
        <w:rPr>
          <w:color w:val="0070C0"/>
          <w:sz w:val="24"/>
          <w:szCs w:val="24"/>
          <w:lang w:val="en-CA"/>
        </w:rPr>
        <w:t xml:space="preserve">  The largest component</w:t>
      </w:r>
      <w:r w:rsidR="003061D4">
        <w:rPr>
          <w:color w:val="0070C0"/>
          <w:sz w:val="24"/>
          <w:szCs w:val="24"/>
          <w:lang w:val="en-CA"/>
        </w:rPr>
        <w:t>s</w:t>
      </w:r>
      <w:r w:rsidR="003370EA">
        <w:rPr>
          <w:color w:val="0070C0"/>
          <w:sz w:val="24"/>
          <w:szCs w:val="24"/>
          <w:lang w:val="en-CA"/>
        </w:rPr>
        <w:t xml:space="preserve"> of the variance arose in the residential rate class</w:t>
      </w:r>
      <w:r w:rsidR="003061D4">
        <w:rPr>
          <w:color w:val="0070C0"/>
          <w:sz w:val="24"/>
          <w:szCs w:val="24"/>
          <w:lang w:val="en-CA"/>
        </w:rPr>
        <w:t>, with an over-estimated billing determinant; offset by an under-estimated billing determinant in the GS&lt;50 rate class.</w:t>
      </w:r>
    </w:p>
    <w:p w14:paraId="76D58CD1" w14:textId="77777777" w:rsidR="00BA7367" w:rsidRPr="00BA7367" w:rsidRDefault="00BA7367" w:rsidP="00BA7367">
      <w:pPr>
        <w:rPr>
          <w:sz w:val="24"/>
          <w:szCs w:val="24"/>
          <w:lang w:val="en-CA"/>
        </w:rPr>
      </w:pPr>
    </w:p>
    <w:p w14:paraId="3BD72FA8" w14:textId="4D86E2A4" w:rsidR="006A3412" w:rsidRPr="00A001B0" w:rsidRDefault="006A3412" w:rsidP="00EA44EA">
      <w:pPr>
        <w:pStyle w:val="ListParagraph"/>
        <w:numPr>
          <w:ilvl w:val="0"/>
          <w:numId w:val="16"/>
        </w:numPr>
        <w:jc w:val="both"/>
        <w:rPr>
          <w:sz w:val="24"/>
          <w:szCs w:val="24"/>
          <w:lang w:val="en-CA"/>
        </w:rPr>
      </w:pPr>
      <w:r>
        <w:rPr>
          <w:sz w:val="24"/>
          <w:szCs w:val="24"/>
          <w:lang w:val="en-CA"/>
        </w:rPr>
        <w:t xml:space="preserve">The difference between the OEB-approved amount per EB-2014-0072 and the 1595 Analysis </w:t>
      </w:r>
      <w:proofErr w:type="spellStart"/>
      <w:r>
        <w:rPr>
          <w:sz w:val="24"/>
          <w:szCs w:val="24"/>
          <w:lang w:val="en-CA"/>
        </w:rPr>
        <w:t>Workform</w:t>
      </w:r>
      <w:proofErr w:type="spellEnd"/>
      <w:r>
        <w:rPr>
          <w:sz w:val="24"/>
          <w:szCs w:val="24"/>
          <w:lang w:val="en-CA"/>
        </w:rPr>
        <w:t xml:space="preserve"> is $1,510,347, which is the balance that was over-refunded to </w:t>
      </w:r>
      <w:r w:rsidRPr="00A001B0">
        <w:rPr>
          <w:sz w:val="24"/>
          <w:szCs w:val="24"/>
          <w:lang w:val="en-CA"/>
        </w:rPr>
        <w:t xml:space="preserve">customers </w:t>
      </w:r>
      <w:r w:rsidR="00EA44EA" w:rsidRPr="00A001B0">
        <w:rPr>
          <w:sz w:val="24"/>
          <w:szCs w:val="24"/>
          <w:lang w:val="en-CA"/>
        </w:rPr>
        <w:t xml:space="preserve">identified previously by the OEB </w:t>
      </w:r>
      <w:r w:rsidRPr="00A001B0">
        <w:rPr>
          <w:sz w:val="24"/>
          <w:szCs w:val="24"/>
          <w:lang w:val="en-CA"/>
        </w:rPr>
        <w:t>and is being brought forward for disposition at this time.</w:t>
      </w:r>
    </w:p>
    <w:p w14:paraId="350CFA1B" w14:textId="77777777" w:rsidR="00BA7367" w:rsidRPr="00A001B0" w:rsidRDefault="00BA7367" w:rsidP="00BA7367">
      <w:pPr>
        <w:pStyle w:val="ListParagraph"/>
        <w:rPr>
          <w:sz w:val="24"/>
          <w:szCs w:val="24"/>
          <w:lang w:val="en-CA"/>
        </w:rPr>
      </w:pPr>
    </w:p>
    <w:p w14:paraId="3888BD3E" w14:textId="1C94CB6A" w:rsidR="006A3412" w:rsidRPr="00547CC0" w:rsidRDefault="006A3412" w:rsidP="002A4C15">
      <w:pPr>
        <w:pStyle w:val="ListParagraph"/>
        <w:numPr>
          <w:ilvl w:val="0"/>
          <w:numId w:val="16"/>
        </w:numPr>
        <w:jc w:val="both"/>
        <w:rPr>
          <w:strike/>
          <w:sz w:val="24"/>
          <w:szCs w:val="24"/>
          <w:lang w:val="en-CA"/>
        </w:rPr>
      </w:pPr>
      <w:r>
        <w:rPr>
          <w:sz w:val="24"/>
          <w:szCs w:val="24"/>
          <w:lang w:val="en-CA"/>
        </w:rPr>
        <w:t xml:space="preserve">The difference </w:t>
      </w:r>
      <w:r w:rsidR="00BA7367">
        <w:rPr>
          <w:sz w:val="24"/>
          <w:szCs w:val="24"/>
          <w:lang w:val="en-CA"/>
        </w:rPr>
        <w:t xml:space="preserve">between the allocated balances in Step 3 of the 1595 Analysis </w:t>
      </w:r>
      <w:proofErr w:type="spellStart"/>
      <w:r w:rsidR="00BA7367">
        <w:rPr>
          <w:sz w:val="24"/>
          <w:szCs w:val="24"/>
          <w:lang w:val="en-CA"/>
        </w:rPr>
        <w:t>Workform</w:t>
      </w:r>
      <w:proofErr w:type="spellEnd"/>
      <w:r w:rsidR="00BA7367">
        <w:rPr>
          <w:sz w:val="24"/>
          <w:szCs w:val="24"/>
          <w:lang w:val="en-CA"/>
        </w:rPr>
        <w:t xml:space="preserve"> for Rate Riders 1 and 3 and the total Group 1 and 2 balances (excluding GA) from Step 1 of the </w:t>
      </w:r>
      <w:proofErr w:type="spellStart"/>
      <w:r w:rsidR="00BA7367">
        <w:rPr>
          <w:sz w:val="24"/>
          <w:szCs w:val="24"/>
          <w:lang w:val="en-CA"/>
        </w:rPr>
        <w:t>workform</w:t>
      </w:r>
      <w:proofErr w:type="spellEnd"/>
      <w:r w:rsidR="00BA7367">
        <w:rPr>
          <w:sz w:val="24"/>
          <w:szCs w:val="24"/>
          <w:lang w:val="en-CA"/>
        </w:rPr>
        <w:t xml:space="preserve"> </w:t>
      </w:r>
      <w:r w:rsidR="00E11ADC">
        <w:rPr>
          <w:sz w:val="24"/>
          <w:szCs w:val="24"/>
          <w:lang w:val="en-CA"/>
        </w:rPr>
        <w:t>of</w:t>
      </w:r>
      <w:r w:rsidR="00BA7367">
        <w:rPr>
          <w:sz w:val="24"/>
          <w:szCs w:val="24"/>
          <w:lang w:val="en-CA"/>
        </w:rPr>
        <w:t xml:space="preserve"> $1,402,952 and is made up of the balance that was over-refunded to customers </w:t>
      </w:r>
      <w:r w:rsidR="0081232C">
        <w:rPr>
          <w:sz w:val="24"/>
          <w:szCs w:val="24"/>
          <w:lang w:val="en-CA"/>
        </w:rPr>
        <w:t>identified</w:t>
      </w:r>
      <w:r w:rsidR="002A4C15">
        <w:rPr>
          <w:sz w:val="24"/>
          <w:szCs w:val="24"/>
          <w:lang w:val="en-CA"/>
        </w:rPr>
        <w:t xml:space="preserve"> previously by the OEB</w:t>
      </w:r>
      <w:r w:rsidR="00BA7367">
        <w:rPr>
          <w:sz w:val="24"/>
          <w:szCs w:val="24"/>
          <w:lang w:val="en-CA"/>
        </w:rPr>
        <w:t xml:space="preserve"> and is being brought forward for disposition ($1,510,347), offset by the </w:t>
      </w:r>
      <w:r w:rsidR="00547CC0" w:rsidRPr="00A211AE">
        <w:rPr>
          <w:color w:val="0070C0"/>
          <w:sz w:val="24"/>
          <w:szCs w:val="24"/>
          <w:lang w:val="en-CA"/>
        </w:rPr>
        <w:t>removal</w:t>
      </w:r>
      <w:r w:rsidR="00BA7367" w:rsidRPr="00A211AE">
        <w:rPr>
          <w:color w:val="0070C0"/>
          <w:sz w:val="24"/>
          <w:szCs w:val="24"/>
          <w:lang w:val="en-CA"/>
        </w:rPr>
        <w:t xml:space="preserve"> </w:t>
      </w:r>
      <w:r w:rsidR="00BA7367">
        <w:rPr>
          <w:sz w:val="24"/>
          <w:szCs w:val="24"/>
          <w:lang w:val="en-CA"/>
        </w:rPr>
        <w:t xml:space="preserve">of consumption data associated with the General Service 3,000-4,999 kW rate class ($107,394) </w:t>
      </w:r>
      <w:r w:rsidR="00547CC0" w:rsidRPr="00A211AE">
        <w:rPr>
          <w:color w:val="0070C0"/>
          <w:sz w:val="24"/>
          <w:szCs w:val="24"/>
          <w:lang w:val="en-CA"/>
        </w:rPr>
        <w:t>due to the loss of the two (2) customers in this rate class</w:t>
      </w:r>
      <w:r w:rsidR="0056564B" w:rsidRPr="00A211AE">
        <w:rPr>
          <w:color w:val="0070C0"/>
          <w:sz w:val="24"/>
          <w:szCs w:val="24"/>
          <w:lang w:val="en-CA"/>
        </w:rPr>
        <w:t>.  One customer, Hydro One, does not get charged rate riders and the other customer, Heinz Corporation, ceased operations in 2014.  In its rate application EB-2014-0072, Essex Powerlines proposed the change to the volumetric data used for this rate class to ensure</w:t>
      </w:r>
      <w:r w:rsidR="007537D6" w:rsidRPr="00A211AE">
        <w:rPr>
          <w:color w:val="0070C0"/>
          <w:sz w:val="24"/>
          <w:szCs w:val="24"/>
          <w:lang w:val="en-CA"/>
        </w:rPr>
        <w:t xml:space="preserve"> that</w:t>
      </w:r>
      <w:r w:rsidR="0056564B" w:rsidRPr="00A211AE">
        <w:rPr>
          <w:color w:val="0070C0"/>
          <w:sz w:val="24"/>
          <w:szCs w:val="24"/>
          <w:lang w:val="en-CA"/>
        </w:rPr>
        <w:t xml:space="preserve"> </w:t>
      </w:r>
      <w:r w:rsidR="007537D6" w:rsidRPr="00A211AE">
        <w:rPr>
          <w:color w:val="0070C0"/>
          <w:sz w:val="24"/>
          <w:szCs w:val="24"/>
          <w:lang w:val="en-CA"/>
        </w:rPr>
        <w:t>the allocation of the tax savings, deferral and variance and RTSR rate riders were more accurately applied.</w:t>
      </w:r>
      <w:r w:rsidR="0056564B" w:rsidRPr="00A211AE">
        <w:rPr>
          <w:color w:val="0070C0"/>
          <w:sz w:val="24"/>
          <w:szCs w:val="24"/>
          <w:lang w:val="en-CA"/>
        </w:rPr>
        <w:t xml:space="preserve">  </w:t>
      </w:r>
      <w:r w:rsidR="007537D6" w:rsidRPr="00A211AE">
        <w:rPr>
          <w:color w:val="0070C0"/>
          <w:sz w:val="24"/>
          <w:szCs w:val="24"/>
          <w:lang w:val="en-CA"/>
        </w:rPr>
        <w:t>OEB staff supported the omission of this consumption data for this customer class</w:t>
      </w:r>
      <w:r w:rsidR="00205A94" w:rsidRPr="00A211AE">
        <w:rPr>
          <w:color w:val="0070C0"/>
          <w:sz w:val="24"/>
          <w:szCs w:val="24"/>
          <w:lang w:val="en-CA"/>
        </w:rPr>
        <w:t xml:space="preserve"> in EB-2014-0072</w:t>
      </w:r>
      <w:r w:rsidR="007537D6" w:rsidRPr="00A211AE">
        <w:rPr>
          <w:color w:val="0070C0"/>
          <w:sz w:val="24"/>
          <w:szCs w:val="24"/>
          <w:lang w:val="en-CA"/>
        </w:rPr>
        <w:t>.</w:t>
      </w:r>
    </w:p>
    <w:p w14:paraId="4A945137" w14:textId="77777777" w:rsidR="00BA7367" w:rsidRPr="00BA7367" w:rsidRDefault="00BA7367" w:rsidP="00BA7367">
      <w:pPr>
        <w:pStyle w:val="ListParagraph"/>
        <w:rPr>
          <w:sz w:val="24"/>
          <w:szCs w:val="24"/>
          <w:lang w:val="en-CA"/>
        </w:rPr>
      </w:pPr>
    </w:p>
    <w:p w14:paraId="2BB8C6D3" w14:textId="33AAB568" w:rsidR="00CB6E43" w:rsidRDefault="00CA1E72" w:rsidP="002A4C15">
      <w:pPr>
        <w:pStyle w:val="ListParagraph"/>
        <w:numPr>
          <w:ilvl w:val="0"/>
          <w:numId w:val="16"/>
        </w:numPr>
        <w:jc w:val="both"/>
        <w:rPr>
          <w:sz w:val="24"/>
          <w:szCs w:val="24"/>
          <w:lang w:val="en-CA"/>
        </w:rPr>
      </w:pPr>
      <w:r>
        <w:rPr>
          <w:sz w:val="24"/>
          <w:szCs w:val="24"/>
          <w:lang w:val="en-CA"/>
        </w:rPr>
        <w:t>T</w:t>
      </w:r>
      <w:r w:rsidR="00BA7367">
        <w:rPr>
          <w:sz w:val="24"/>
          <w:szCs w:val="24"/>
          <w:lang w:val="en-CA"/>
        </w:rPr>
        <w:t xml:space="preserve">he </w:t>
      </w:r>
      <w:r w:rsidR="002C260C">
        <w:rPr>
          <w:sz w:val="24"/>
          <w:szCs w:val="24"/>
          <w:lang w:val="en-CA"/>
        </w:rPr>
        <w:t>differenc</w:t>
      </w:r>
      <w:r w:rsidR="00BA7367">
        <w:rPr>
          <w:sz w:val="24"/>
          <w:szCs w:val="24"/>
          <w:lang w:val="en-CA"/>
        </w:rPr>
        <w:t>e</w:t>
      </w:r>
      <w:r w:rsidR="00080D01">
        <w:rPr>
          <w:sz w:val="24"/>
          <w:szCs w:val="24"/>
          <w:lang w:val="en-CA"/>
        </w:rPr>
        <w:t xml:space="preserve"> between the calculated variance for each rate rider in Step 3</w:t>
      </w:r>
      <w:r w:rsidR="00E11ADC">
        <w:rPr>
          <w:sz w:val="24"/>
          <w:szCs w:val="24"/>
          <w:lang w:val="en-CA"/>
        </w:rPr>
        <w:t xml:space="preserve"> of the 1595 Analysis </w:t>
      </w:r>
      <w:proofErr w:type="spellStart"/>
      <w:r w:rsidR="00E11ADC">
        <w:rPr>
          <w:sz w:val="24"/>
          <w:szCs w:val="24"/>
          <w:lang w:val="en-CA"/>
        </w:rPr>
        <w:t>Workform</w:t>
      </w:r>
      <w:proofErr w:type="spellEnd"/>
      <w:r w:rsidR="00080D01">
        <w:rPr>
          <w:sz w:val="24"/>
          <w:szCs w:val="24"/>
          <w:lang w:val="en-CA"/>
        </w:rPr>
        <w:t xml:space="preserve"> and the total residual balance presented in Step 1</w:t>
      </w:r>
      <w:r w:rsidR="00547AD6">
        <w:rPr>
          <w:sz w:val="24"/>
          <w:szCs w:val="24"/>
          <w:lang w:val="en-CA"/>
        </w:rPr>
        <w:t xml:space="preserve"> of the </w:t>
      </w:r>
      <w:proofErr w:type="spellStart"/>
      <w:r w:rsidR="00547AD6">
        <w:rPr>
          <w:sz w:val="24"/>
          <w:szCs w:val="24"/>
          <w:lang w:val="en-CA"/>
        </w:rPr>
        <w:t>workform</w:t>
      </w:r>
      <w:proofErr w:type="spellEnd"/>
      <w:r w:rsidR="00CB6E43">
        <w:rPr>
          <w:sz w:val="24"/>
          <w:szCs w:val="24"/>
          <w:lang w:val="en-CA"/>
        </w:rPr>
        <w:t xml:space="preserve"> is</w:t>
      </w:r>
      <w:r w:rsidR="00E11ADC">
        <w:rPr>
          <w:sz w:val="24"/>
          <w:szCs w:val="24"/>
          <w:lang w:val="en-CA"/>
        </w:rPr>
        <w:t xml:space="preserve"> comprised</w:t>
      </w:r>
      <w:r w:rsidR="00CB6E43">
        <w:rPr>
          <w:sz w:val="24"/>
          <w:szCs w:val="24"/>
          <w:lang w:val="en-CA"/>
        </w:rPr>
        <w:t xml:space="preserve"> of the balance that was over-refunded to customers </w:t>
      </w:r>
      <w:r w:rsidR="002A4C15">
        <w:rPr>
          <w:sz w:val="24"/>
          <w:szCs w:val="24"/>
          <w:lang w:val="en-CA"/>
        </w:rPr>
        <w:t xml:space="preserve">identified previously by the OEB </w:t>
      </w:r>
      <w:r w:rsidR="00CB6E43">
        <w:rPr>
          <w:sz w:val="24"/>
          <w:szCs w:val="24"/>
          <w:lang w:val="en-CA"/>
        </w:rPr>
        <w:t>and is being brought forward for disposition ($1,510,347)</w:t>
      </w:r>
      <w:r w:rsidR="00A61280" w:rsidRPr="00A211AE">
        <w:rPr>
          <w:color w:val="0070C0"/>
          <w:sz w:val="24"/>
          <w:szCs w:val="24"/>
          <w:lang w:val="en-CA"/>
        </w:rPr>
        <w:t>*</w:t>
      </w:r>
      <w:r w:rsidR="00CB6E43">
        <w:rPr>
          <w:sz w:val="24"/>
          <w:szCs w:val="24"/>
          <w:lang w:val="en-CA"/>
        </w:rPr>
        <w:t xml:space="preserve">, the omission of </w:t>
      </w:r>
      <w:r w:rsidR="00CB6E43">
        <w:rPr>
          <w:sz w:val="24"/>
          <w:szCs w:val="24"/>
          <w:lang w:val="en-CA"/>
        </w:rPr>
        <w:lastRenderedPageBreak/>
        <w:t>consumption data associated with the General Service 3,000-4,999 kW rate class ($107,394) that was supported by the OEB in EB-2014-0072</w:t>
      </w:r>
      <w:r>
        <w:rPr>
          <w:sz w:val="24"/>
          <w:szCs w:val="24"/>
          <w:lang w:val="en-CA"/>
        </w:rPr>
        <w:t xml:space="preserve">, </w:t>
      </w:r>
      <w:r w:rsidR="00EE04A9">
        <w:rPr>
          <w:sz w:val="24"/>
          <w:szCs w:val="24"/>
          <w:lang w:val="en-CA"/>
        </w:rPr>
        <w:t>and</w:t>
      </w:r>
      <w:r w:rsidR="002A4C15">
        <w:rPr>
          <w:sz w:val="24"/>
          <w:szCs w:val="24"/>
          <w:lang w:val="en-CA"/>
        </w:rPr>
        <w:t xml:space="preserve"> an additional miscellaneous balance </w:t>
      </w:r>
      <w:r>
        <w:rPr>
          <w:sz w:val="24"/>
          <w:szCs w:val="24"/>
          <w:lang w:val="en-CA"/>
        </w:rPr>
        <w:t>($39,807).</w:t>
      </w:r>
    </w:p>
    <w:p w14:paraId="30F2CCCC" w14:textId="0D8DF5E0" w:rsidR="00FF1F29" w:rsidRPr="00A211AE" w:rsidRDefault="00A61280" w:rsidP="00FF1F29">
      <w:pPr>
        <w:autoSpaceDE w:val="0"/>
        <w:autoSpaceDN w:val="0"/>
        <w:adjustRightInd w:val="0"/>
        <w:spacing w:after="0" w:line="240" w:lineRule="auto"/>
        <w:jc w:val="both"/>
        <w:rPr>
          <w:rFonts w:cstheme="minorHAnsi"/>
          <w:i/>
          <w:iCs/>
          <w:color w:val="0070C0"/>
          <w:sz w:val="24"/>
          <w:szCs w:val="24"/>
          <w:lang w:val="en-CA"/>
        </w:rPr>
      </w:pPr>
      <w:r w:rsidRPr="00A211AE">
        <w:rPr>
          <w:rFonts w:cstheme="minorHAnsi"/>
          <w:i/>
          <w:iCs/>
          <w:color w:val="0070C0"/>
          <w:sz w:val="24"/>
          <w:szCs w:val="24"/>
          <w:lang w:val="en-CA"/>
        </w:rPr>
        <w:t>*</w:t>
      </w:r>
      <w:r w:rsidR="00FF1F29" w:rsidRPr="00A211AE">
        <w:rPr>
          <w:rFonts w:cstheme="minorHAnsi"/>
          <w:i/>
          <w:iCs/>
          <w:color w:val="0070C0"/>
          <w:sz w:val="24"/>
          <w:szCs w:val="24"/>
          <w:lang w:val="en-CA"/>
        </w:rPr>
        <w:t xml:space="preserve"> Section 10.2.3 Action Required arising from Audit of Group 1 and Group 2 Deferral and Variance Accounts Essex Powerlines Corporation, March 2017</w:t>
      </w:r>
    </w:p>
    <w:p w14:paraId="388BB577" w14:textId="77777777" w:rsidR="00FF1F29" w:rsidRPr="00A211AE" w:rsidRDefault="00FF1F29" w:rsidP="00FF1F29">
      <w:pPr>
        <w:autoSpaceDE w:val="0"/>
        <w:autoSpaceDN w:val="0"/>
        <w:adjustRightInd w:val="0"/>
        <w:spacing w:after="0" w:line="240" w:lineRule="auto"/>
        <w:jc w:val="both"/>
        <w:rPr>
          <w:rFonts w:cstheme="minorHAnsi"/>
          <w:color w:val="0070C0"/>
          <w:sz w:val="24"/>
          <w:szCs w:val="24"/>
          <w:lang w:val="en-CA"/>
        </w:rPr>
      </w:pPr>
    </w:p>
    <w:p w14:paraId="12788DA6" w14:textId="14B740F9" w:rsidR="00A001B0" w:rsidRPr="00A211AE" w:rsidRDefault="00FF1F29" w:rsidP="00FF1F29">
      <w:pPr>
        <w:autoSpaceDE w:val="0"/>
        <w:autoSpaceDN w:val="0"/>
        <w:adjustRightInd w:val="0"/>
        <w:spacing w:after="0" w:line="240" w:lineRule="auto"/>
        <w:jc w:val="both"/>
        <w:rPr>
          <w:rFonts w:cstheme="minorHAnsi"/>
          <w:i/>
          <w:iCs/>
          <w:color w:val="0070C0"/>
          <w:sz w:val="24"/>
          <w:szCs w:val="24"/>
          <w:lang w:val="en-CA"/>
        </w:rPr>
      </w:pPr>
      <w:r w:rsidRPr="00A211AE">
        <w:rPr>
          <w:rFonts w:cstheme="minorHAnsi"/>
          <w:i/>
          <w:iCs/>
          <w:color w:val="0070C0"/>
          <w:sz w:val="24"/>
          <w:szCs w:val="24"/>
          <w:lang w:val="en-CA"/>
        </w:rPr>
        <w:t>The amount in Account 1590 approved for disposition as part of the 2015 IRM and refunded to customers in the 2015 rate year was brought forward in error. The reconstructed continuity schedule for Account 1595 should reflect the true residual balance as of December 31, 2015. This would mean that the $1.5 million that was over-refunded to customers would be recovered from customers. Moving forward, Essex Powerlines needs to ensure that the residual balances in Account 1595 brought forward for disposition are true residual balances, in accordance with the APH</w:t>
      </w:r>
    </w:p>
    <w:p w14:paraId="238CD387" w14:textId="4A136804" w:rsidR="00A90180" w:rsidRDefault="006046FB" w:rsidP="00A90180">
      <w:pPr>
        <w:pStyle w:val="IntenseQuote"/>
      </w:pPr>
      <w:bookmarkStart w:id="4" w:name="_Toc535825581"/>
      <w:r>
        <w:t xml:space="preserve">Follow-up </w:t>
      </w:r>
      <w:r w:rsidR="00F20C07">
        <w:t xml:space="preserve">Staff </w:t>
      </w:r>
      <w:r w:rsidR="00AC166D">
        <w:t>Question #</w:t>
      </w:r>
      <w:bookmarkEnd w:id="4"/>
      <w:r>
        <w:t>3</w:t>
      </w:r>
    </w:p>
    <w:p w14:paraId="626583D9" w14:textId="77777777" w:rsidR="006046FB" w:rsidRPr="007B0E45" w:rsidRDefault="006046FB" w:rsidP="006046FB">
      <w:pPr>
        <w:spacing w:after="160"/>
        <w:contextualSpacing/>
        <w:jc w:val="both"/>
        <w:rPr>
          <w:rFonts w:cstheme="minorHAnsi"/>
          <w:sz w:val="24"/>
          <w:szCs w:val="24"/>
        </w:rPr>
      </w:pPr>
      <w:r w:rsidRPr="007B0E45">
        <w:rPr>
          <w:rFonts w:cstheme="minorHAnsi"/>
          <w:sz w:val="24"/>
          <w:szCs w:val="24"/>
        </w:rPr>
        <w:t xml:space="preserve">In response to Staff Question 3, Essex Powerlines provided an explanation on why the approved amounts in the Account 1595 </w:t>
      </w:r>
      <w:proofErr w:type="spellStart"/>
      <w:r w:rsidRPr="007B0E45">
        <w:rPr>
          <w:rFonts w:cstheme="minorHAnsi"/>
          <w:sz w:val="24"/>
          <w:szCs w:val="24"/>
        </w:rPr>
        <w:t>Workform</w:t>
      </w:r>
      <w:proofErr w:type="spellEnd"/>
      <w:r w:rsidRPr="007B0E45">
        <w:rPr>
          <w:rFonts w:cstheme="minorHAnsi"/>
          <w:sz w:val="24"/>
          <w:szCs w:val="24"/>
        </w:rPr>
        <w:t xml:space="preserve"> do not agree to the 2015 decision and order. </w:t>
      </w:r>
    </w:p>
    <w:p w14:paraId="6B7FF4B2" w14:textId="77777777" w:rsidR="006046FB" w:rsidRPr="007B0E45" w:rsidRDefault="006046FB" w:rsidP="006046FB">
      <w:pPr>
        <w:pStyle w:val="ListParagraph"/>
        <w:numPr>
          <w:ilvl w:val="0"/>
          <w:numId w:val="17"/>
        </w:numPr>
        <w:spacing w:after="160"/>
        <w:jc w:val="both"/>
        <w:rPr>
          <w:rFonts w:cstheme="minorHAnsi"/>
          <w:sz w:val="24"/>
          <w:szCs w:val="24"/>
        </w:rPr>
      </w:pPr>
      <w:r w:rsidRPr="007B0E45">
        <w:rPr>
          <w:rFonts w:cstheme="minorHAnsi"/>
          <w:sz w:val="24"/>
          <w:szCs w:val="24"/>
        </w:rPr>
        <w:t xml:space="preserve">Please revise the Account 1595 </w:t>
      </w:r>
      <w:proofErr w:type="spellStart"/>
      <w:r w:rsidRPr="007B0E45">
        <w:rPr>
          <w:rFonts w:cstheme="minorHAnsi"/>
          <w:sz w:val="24"/>
          <w:szCs w:val="24"/>
        </w:rPr>
        <w:t>Workform</w:t>
      </w:r>
      <w:proofErr w:type="spellEnd"/>
      <w:r w:rsidRPr="007B0E45">
        <w:rPr>
          <w:rFonts w:cstheme="minorHAnsi"/>
          <w:sz w:val="24"/>
          <w:szCs w:val="24"/>
        </w:rPr>
        <w:t xml:space="preserve"> for the following:</w:t>
      </w:r>
    </w:p>
    <w:p w14:paraId="26DB3AD7" w14:textId="77777777" w:rsidR="006046FB" w:rsidRPr="007B0E45" w:rsidRDefault="006046FB" w:rsidP="006046FB">
      <w:pPr>
        <w:pStyle w:val="ListParagraph"/>
        <w:numPr>
          <w:ilvl w:val="1"/>
          <w:numId w:val="17"/>
        </w:numPr>
        <w:spacing w:after="160"/>
        <w:jc w:val="both"/>
        <w:rPr>
          <w:rFonts w:cstheme="minorHAnsi"/>
          <w:sz w:val="24"/>
          <w:szCs w:val="24"/>
        </w:rPr>
      </w:pPr>
      <w:r w:rsidRPr="007B0E45">
        <w:rPr>
          <w:rFonts w:cstheme="minorHAnsi"/>
          <w:sz w:val="24"/>
          <w:szCs w:val="24"/>
        </w:rPr>
        <w:t xml:space="preserve">Step 3 Rate Rider 1 – Revise the Allocated Balance to Rate Class as Approved by OEB (column D), and Denominator Used in Rider Calculation as Approved by OEB (column E) to agree to Essex Powerlines 2015 IRM. </w:t>
      </w:r>
    </w:p>
    <w:p w14:paraId="49823532" w14:textId="618D482E" w:rsidR="006046FB" w:rsidRDefault="006046FB" w:rsidP="006046FB">
      <w:pPr>
        <w:pStyle w:val="ListParagraph"/>
        <w:numPr>
          <w:ilvl w:val="1"/>
          <w:numId w:val="17"/>
        </w:numPr>
        <w:spacing w:after="160"/>
        <w:jc w:val="both"/>
        <w:rPr>
          <w:rFonts w:cstheme="minorHAnsi"/>
          <w:sz w:val="24"/>
          <w:szCs w:val="24"/>
        </w:rPr>
      </w:pPr>
      <w:r w:rsidRPr="007B0E45">
        <w:rPr>
          <w:rFonts w:cstheme="minorHAnsi"/>
          <w:sz w:val="24"/>
          <w:szCs w:val="24"/>
        </w:rPr>
        <w:t>Step 1 Total Group 1 and Group 2 Balances excluding Account 1589 - Global Adjustment – Revise the Principal Balance Approved for Disposition (D13) and Carrying Charges Balance Approved for Disposition (E13) to agree with Essex Powerline’s 2015 IRM.</w:t>
      </w:r>
    </w:p>
    <w:p w14:paraId="0416F62D" w14:textId="77777777" w:rsidR="00A211AE" w:rsidRPr="00A211AE" w:rsidRDefault="00A211AE" w:rsidP="00A211AE">
      <w:pPr>
        <w:pStyle w:val="ListParagraph"/>
        <w:spacing w:after="160"/>
        <w:ind w:left="1440"/>
        <w:jc w:val="both"/>
        <w:rPr>
          <w:rFonts w:cstheme="minorHAnsi"/>
          <w:sz w:val="24"/>
          <w:szCs w:val="24"/>
        </w:rPr>
      </w:pPr>
    </w:p>
    <w:p w14:paraId="233F8E37" w14:textId="0AEC12AE" w:rsidR="006046FB" w:rsidRPr="007B0E45" w:rsidRDefault="006046FB" w:rsidP="006046FB">
      <w:pPr>
        <w:pStyle w:val="ListParagraph"/>
        <w:numPr>
          <w:ilvl w:val="0"/>
          <w:numId w:val="17"/>
        </w:numPr>
        <w:spacing w:after="160"/>
        <w:jc w:val="both"/>
        <w:rPr>
          <w:rFonts w:cstheme="minorHAnsi"/>
          <w:sz w:val="24"/>
          <w:szCs w:val="24"/>
        </w:rPr>
      </w:pPr>
      <w:r w:rsidRPr="007B0E45">
        <w:rPr>
          <w:rFonts w:cstheme="minorHAnsi"/>
          <w:sz w:val="24"/>
          <w:szCs w:val="24"/>
        </w:rPr>
        <w:t xml:space="preserve">Please confirm that after these changes, Step 1 - Residual Balances Pertaining to Principal and Carrying Charges Approved for Disposition (column H) should show the residual difference between what was approved for disposition and amounts recovered/refunded. The difference between this residual and the balance in the DVA Continuity Schedule will include the $1.5M amount noted in Essex Powerline’s responses. </w:t>
      </w:r>
    </w:p>
    <w:p w14:paraId="1D9555DC" w14:textId="77777777" w:rsidR="007B0E45" w:rsidRPr="007B0E45" w:rsidRDefault="007B0E45" w:rsidP="007B0E45">
      <w:pPr>
        <w:pStyle w:val="ListParagraph"/>
        <w:spacing w:after="160"/>
        <w:ind w:left="1080"/>
        <w:jc w:val="both"/>
        <w:rPr>
          <w:rFonts w:cstheme="minorHAnsi"/>
          <w:sz w:val="24"/>
          <w:szCs w:val="24"/>
        </w:rPr>
      </w:pPr>
    </w:p>
    <w:p w14:paraId="583F9FA8" w14:textId="77777777" w:rsidR="006046FB" w:rsidRPr="007B0E45" w:rsidRDefault="006046FB" w:rsidP="006046FB">
      <w:pPr>
        <w:pStyle w:val="ListParagraph"/>
        <w:numPr>
          <w:ilvl w:val="0"/>
          <w:numId w:val="17"/>
        </w:numPr>
        <w:spacing w:after="160"/>
        <w:jc w:val="both"/>
        <w:rPr>
          <w:rFonts w:cstheme="minorHAnsi"/>
          <w:sz w:val="24"/>
          <w:szCs w:val="24"/>
        </w:rPr>
      </w:pPr>
      <w:r w:rsidRPr="007B0E45">
        <w:rPr>
          <w:rFonts w:cstheme="minorHAnsi"/>
          <w:sz w:val="24"/>
          <w:szCs w:val="24"/>
        </w:rPr>
        <w:t xml:space="preserve">Please confirm that after these changes, the unreconciled difference in Step 3 (cell J240) should be minimal. </w:t>
      </w:r>
    </w:p>
    <w:p w14:paraId="1BDCDB68" w14:textId="77777777" w:rsidR="006046FB" w:rsidRPr="003226D3" w:rsidRDefault="006046FB" w:rsidP="006046FB">
      <w:pPr>
        <w:spacing w:after="0"/>
        <w:rPr>
          <w:rFonts w:ascii="Arial" w:hAnsi="Arial" w:cs="Arial"/>
        </w:rPr>
      </w:pPr>
      <w:r>
        <w:rPr>
          <w:rFonts w:ascii="Arial" w:hAnsi="Arial" w:cs="Arial"/>
        </w:rPr>
        <w:lastRenderedPageBreak/>
        <w:t xml:space="preserve"> </w:t>
      </w:r>
    </w:p>
    <w:p w14:paraId="21995ADF" w14:textId="77777777" w:rsidR="006046FB" w:rsidRDefault="006046FB" w:rsidP="006046FB">
      <w:pPr>
        <w:pStyle w:val="Quote"/>
      </w:pPr>
      <w:r>
        <w:t>Response</w:t>
      </w:r>
    </w:p>
    <w:p w14:paraId="7D4B5D1D" w14:textId="585C1877" w:rsidR="008D4846" w:rsidRDefault="006046FB" w:rsidP="007B0E45">
      <w:pPr>
        <w:pStyle w:val="ListParagraph"/>
        <w:numPr>
          <w:ilvl w:val="0"/>
          <w:numId w:val="18"/>
        </w:numPr>
        <w:jc w:val="both"/>
        <w:rPr>
          <w:sz w:val="24"/>
          <w:szCs w:val="24"/>
          <w:lang w:val="en-CA"/>
        </w:rPr>
      </w:pPr>
      <w:r>
        <w:rPr>
          <w:sz w:val="24"/>
          <w:szCs w:val="24"/>
          <w:lang w:val="en-CA"/>
        </w:rPr>
        <w:t xml:space="preserve">Please find attached revised Account 1595 </w:t>
      </w:r>
      <w:proofErr w:type="spellStart"/>
      <w:r>
        <w:rPr>
          <w:sz w:val="24"/>
          <w:szCs w:val="24"/>
          <w:lang w:val="en-CA"/>
        </w:rPr>
        <w:t>Workform</w:t>
      </w:r>
      <w:proofErr w:type="spellEnd"/>
      <w:r>
        <w:rPr>
          <w:sz w:val="24"/>
          <w:szCs w:val="24"/>
          <w:lang w:val="en-CA"/>
        </w:rPr>
        <w:t>.</w:t>
      </w:r>
    </w:p>
    <w:p w14:paraId="6023724F" w14:textId="08AECBB0" w:rsidR="00B3457A" w:rsidRDefault="00B3457A" w:rsidP="007B0E45">
      <w:pPr>
        <w:jc w:val="both"/>
        <w:rPr>
          <w:sz w:val="24"/>
          <w:szCs w:val="24"/>
          <w:lang w:val="en-CA"/>
        </w:rPr>
      </w:pPr>
    </w:p>
    <w:p w14:paraId="34C8E54C" w14:textId="67032047" w:rsidR="00B3457A" w:rsidRDefault="00B3457A" w:rsidP="007B0E45">
      <w:pPr>
        <w:pStyle w:val="ListParagraph"/>
        <w:numPr>
          <w:ilvl w:val="0"/>
          <w:numId w:val="18"/>
        </w:numPr>
        <w:jc w:val="both"/>
        <w:rPr>
          <w:sz w:val="24"/>
          <w:szCs w:val="24"/>
          <w:lang w:val="en-CA"/>
        </w:rPr>
      </w:pPr>
      <w:r>
        <w:rPr>
          <w:sz w:val="24"/>
          <w:szCs w:val="24"/>
          <w:lang w:val="en-CA"/>
        </w:rPr>
        <w:t>Confirmed.  After the requested changes, the difference between the residual and the balance in the DVA Continuity Schedule is the $1.5M amount noted in Essex Powerlines</w:t>
      </w:r>
      <w:r w:rsidR="00807FB7">
        <w:rPr>
          <w:sz w:val="24"/>
          <w:szCs w:val="24"/>
          <w:lang w:val="en-CA"/>
        </w:rPr>
        <w:t>’</w:t>
      </w:r>
      <w:r>
        <w:rPr>
          <w:sz w:val="24"/>
          <w:szCs w:val="24"/>
          <w:lang w:val="en-CA"/>
        </w:rPr>
        <w:t xml:space="preserve"> responses.</w:t>
      </w:r>
    </w:p>
    <w:p w14:paraId="627BB16B" w14:textId="77777777" w:rsidR="00B3457A" w:rsidRPr="00B3457A" w:rsidRDefault="00B3457A" w:rsidP="007B0E45">
      <w:pPr>
        <w:pStyle w:val="ListParagraph"/>
        <w:jc w:val="both"/>
        <w:rPr>
          <w:sz w:val="24"/>
          <w:szCs w:val="24"/>
          <w:lang w:val="en-CA"/>
        </w:rPr>
      </w:pPr>
    </w:p>
    <w:p w14:paraId="1664F964" w14:textId="2A7BE838" w:rsidR="008D4846" w:rsidRPr="00A001B0" w:rsidRDefault="00B3457A" w:rsidP="00A90180">
      <w:pPr>
        <w:pStyle w:val="ListParagraph"/>
        <w:numPr>
          <w:ilvl w:val="0"/>
          <w:numId w:val="18"/>
        </w:numPr>
        <w:jc w:val="both"/>
        <w:rPr>
          <w:sz w:val="24"/>
          <w:szCs w:val="24"/>
          <w:lang w:val="en-CA"/>
        </w:rPr>
      </w:pPr>
      <w:r>
        <w:rPr>
          <w:sz w:val="24"/>
          <w:szCs w:val="24"/>
          <w:lang w:val="en-CA"/>
        </w:rPr>
        <w:t xml:space="preserve">Confirmed.  After the requested changes, the unreconciled difference in Step 3 is </w:t>
      </w:r>
      <w:r w:rsidRPr="00B3457A">
        <w:rPr>
          <w:sz w:val="24"/>
          <w:szCs w:val="24"/>
          <w:lang w:val="en-CA"/>
        </w:rPr>
        <w:t xml:space="preserve">minimal </w:t>
      </w:r>
      <w:r w:rsidRPr="00576567">
        <w:rPr>
          <w:sz w:val="24"/>
          <w:szCs w:val="24"/>
          <w:lang w:val="en-CA"/>
        </w:rPr>
        <w:t>(6</w:t>
      </w:r>
      <w:r w:rsidR="00576567" w:rsidRPr="00576567">
        <w:rPr>
          <w:sz w:val="24"/>
          <w:szCs w:val="24"/>
          <w:lang w:val="en-CA"/>
        </w:rPr>
        <w:t>.4</w:t>
      </w:r>
      <w:r w:rsidRPr="00576567">
        <w:rPr>
          <w:sz w:val="24"/>
          <w:szCs w:val="24"/>
          <w:lang w:val="en-CA"/>
        </w:rPr>
        <w:t>% of the</w:t>
      </w:r>
      <w:r>
        <w:rPr>
          <w:sz w:val="24"/>
          <w:szCs w:val="24"/>
          <w:lang w:val="en-CA"/>
        </w:rPr>
        <w:t xml:space="preserve"> </w:t>
      </w:r>
      <w:r w:rsidR="00576567">
        <w:rPr>
          <w:sz w:val="24"/>
          <w:szCs w:val="24"/>
          <w:lang w:val="en-CA"/>
        </w:rPr>
        <w:t>Total Balance</w:t>
      </w:r>
      <w:r>
        <w:rPr>
          <w:sz w:val="24"/>
          <w:szCs w:val="24"/>
          <w:lang w:val="en-CA"/>
        </w:rPr>
        <w:t xml:space="preserve"> Approved for Disposition).</w:t>
      </w:r>
    </w:p>
    <w:sectPr w:rsidR="008D4846" w:rsidRPr="00A001B0" w:rsidSect="00F03F2C">
      <w:headerReference w:type="default" r:id="rId9"/>
      <w:pgSz w:w="12240" w:h="15840"/>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092E5" w14:textId="77777777" w:rsidR="0053256C" w:rsidRDefault="0053256C" w:rsidP="00D20564">
      <w:pPr>
        <w:spacing w:after="0" w:line="240" w:lineRule="auto"/>
      </w:pPr>
      <w:r>
        <w:separator/>
      </w:r>
    </w:p>
  </w:endnote>
  <w:endnote w:type="continuationSeparator" w:id="0">
    <w:p w14:paraId="6109DCDB" w14:textId="77777777" w:rsidR="0053256C" w:rsidRDefault="0053256C" w:rsidP="00D20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4E635" w14:textId="77777777" w:rsidR="0053256C" w:rsidRDefault="0053256C" w:rsidP="00D20564">
      <w:pPr>
        <w:spacing w:after="0" w:line="240" w:lineRule="auto"/>
      </w:pPr>
      <w:r>
        <w:separator/>
      </w:r>
    </w:p>
  </w:footnote>
  <w:footnote w:type="continuationSeparator" w:id="0">
    <w:p w14:paraId="5301165A" w14:textId="77777777" w:rsidR="0053256C" w:rsidRDefault="0053256C" w:rsidP="00D205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C3183" w14:textId="5D7B61DC" w:rsidR="0053256C" w:rsidRDefault="0053256C">
    <w:pPr>
      <w:pStyle w:val="Header"/>
    </w:pPr>
    <w:r>
      <w:rPr>
        <w:noProof/>
      </w:rPr>
      <w:drawing>
        <wp:anchor distT="0" distB="0" distL="114300" distR="114300" simplePos="0" relativeHeight="251684864" behindDoc="1" locked="0" layoutInCell="1" allowOverlap="1" wp14:anchorId="627F3A78" wp14:editId="45F2FA2A">
          <wp:simplePos x="0" y="0"/>
          <wp:positionH relativeFrom="column">
            <wp:posOffset>-409575</wp:posOffset>
          </wp:positionH>
          <wp:positionV relativeFrom="paragraph">
            <wp:posOffset>0</wp:posOffset>
          </wp:positionV>
          <wp:extent cx="1715770" cy="457200"/>
          <wp:effectExtent l="0" t="0" r="0" b="0"/>
          <wp:wrapTight wrapText="bothSides">
            <wp:wrapPolygon edited="0">
              <wp:start x="0" y="0"/>
              <wp:lineTo x="0" y="20700"/>
              <wp:lineTo x="21344" y="20700"/>
              <wp:lineTo x="21344" y="0"/>
              <wp:lineTo x="0" y="0"/>
            </wp:wrapPolygon>
          </wp:wrapTight>
          <wp:docPr id="17" name="Picture 17" descr="C:\Users\ktaylor\AppData\Local\Microsoft\Windows\INetCache\Content.Word\ESSEX_POWERLIN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taylor\AppData\Local\Microsoft\Windows\INetCache\Content.Word\ESSEX_POWERLINE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5770" cy="45720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t>EB-20</w:t>
    </w:r>
    <w:r w:rsidR="00DC76EC">
      <w:t>21</w:t>
    </w:r>
    <w:r>
      <w:t>-00</w:t>
    </w:r>
    <w:r w:rsidR="00DC76EC">
      <w:t>23</w:t>
    </w:r>
  </w:p>
  <w:p w14:paraId="7AC41DCB" w14:textId="44F8E6F5" w:rsidR="0053256C" w:rsidRDefault="0053256C">
    <w:pPr>
      <w:pStyle w:val="Header"/>
    </w:pPr>
    <w:r>
      <w:tab/>
    </w:r>
    <w:r>
      <w:tab/>
      <w:t>Filed</w:t>
    </w:r>
    <w:r w:rsidRPr="00C50EA6">
      <w:t xml:space="preserve">: </w:t>
    </w:r>
    <w:r w:rsidR="00C50EA6">
      <w:t xml:space="preserve">March </w:t>
    </w:r>
    <w:r w:rsidR="00547CC0">
      <w:t>10</w:t>
    </w:r>
    <w:r w:rsidRPr="00C50EA6">
      <w:t>, 20</w:t>
    </w:r>
    <w:r w:rsidR="00DC76EC" w:rsidRPr="00C50EA6">
      <w:t>22</w:t>
    </w:r>
  </w:p>
  <w:p w14:paraId="50B7DF38" w14:textId="77777777" w:rsidR="0053256C" w:rsidRDefault="0053256C">
    <w:pPr>
      <w:pStyle w:val="Header"/>
    </w:pPr>
    <w:r>
      <w:tab/>
    </w:r>
    <w:r>
      <w:tab/>
      <w:t>Interrogatory Responses</w:t>
    </w:r>
  </w:p>
  <w:p w14:paraId="38FB4588" w14:textId="20FA10A1" w:rsidR="0053256C" w:rsidRDefault="0053256C">
    <w:pPr>
      <w:pStyle w:val="Header"/>
      <w:rPr>
        <w:b/>
        <w:bCs/>
        <w:noProof/>
      </w:rPr>
    </w:pPr>
    <w:r>
      <w:rPr>
        <w:noProof/>
      </w:rPr>
      <mc:AlternateContent>
        <mc:Choice Requires="wps">
          <w:drawing>
            <wp:anchor distT="0" distB="0" distL="114300" distR="114300" simplePos="0" relativeHeight="251657216" behindDoc="0" locked="0" layoutInCell="1" allowOverlap="1" wp14:anchorId="1573FEAB" wp14:editId="1DFD9EB2">
              <wp:simplePos x="0" y="0"/>
              <wp:positionH relativeFrom="column">
                <wp:posOffset>-411480</wp:posOffset>
              </wp:positionH>
              <wp:positionV relativeFrom="paragraph">
                <wp:posOffset>173990</wp:posOffset>
              </wp:positionV>
              <wp:extent cx="6537960" cy="0"/>
              <wp:effectExtent l="0" t="0" r="15240" b="19050"/>
              <wp:wrapNone/>
              <wp:docPr id="2" name="Straight Connector 2"/>
              <wp:cNvGraphicFramePr/>
              <a:graphic xmlns:a="http://schemas.openxmlformats.org/drawingml/2006/main">
                <a:graphicData uri="http://schemas.microsoft.com/office/word/2010/wordprocessingShape">
                  <wps:wsp>
                    <wps:cNvCnPr/>
                    <wps:spPr>
                      <a:xfrm>
                        <a:off x="0" y="0"/>
                        <a:ext cx="65379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7C1BB9" id="Straight Connector 2"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32.4pt,13.7pt" to="482.4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" strokecolor="black [3213]"/>
          </w:pict>
        </mc:Fallback>
      </mc:AlternateContent>
    </w:r>
    <w:r>
      <w:tab/>
    </w:r>
    <w:r>
      <w:tab/>
    </w:r>
    <w:r>
      <w:rPr>
        <w:color w:val="808080" w:themeColor="background1" w:themeShade="80"/>
        <w:spacing w:val="60"/>
      </w:rPr>
      <w:t>Page</w:t>
    </w:r>
    <w:r>
      <w:t xml:space="preserve"> | </w:t>
    </w:r>
    <w:r>
      <w:fldChar w:fldCharType="begin"/>
    </w:r>
    <w:r>
      <w:instrText xml:space="preserve"> PAGE   \* MERGEFORMAT </w:instrText>
    </w:r>
    <w:r>
      <w:fldChar w:fldCharType="separate"/>
    </w:r>
    <w:r w:rsidR="00AC4FF0" w:rsidRPr="00AC4FF0">
      <w:rPr>
        <w:b/>
        <w:bCs/>
        <w:noProof/>
      </w:rPr>
      <w:t>3</w:t>
    </w:r>
    <w:r>
      <w:rPr>
        <w:b/>
        <w:bCs/>
        <w:noProof/>
      </w:rPr>
      <w:fldChar w:fldCharType="end"/>
    </w:r>
  </w:p>
  <w:p w14:paraId="1AA7323F" w14:textId="77777777" w:rsidR="0053256C" w:rsidRDefault="00532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455B0"/>
    <w:multiLevelType w:val="hybridMultilevel"/>
    <w:tmpl w:val="5070631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0BC325A"/>
    <w:multiLevelType w:val="hybridMultilevel"/>
    <w:tmpl w:val="103ABC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261E7F"/>
    <w:multiLevelType w:val="hybridMultilevel"/>
    <w:tmpl w:val="93243136"/>
    <w:lvl w:ilvl="0" w:tplc="98D80672">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AA0AC5"/>
    <w:multiLevelType w:val="hybridMultilevel"/>
    <w:tmpl w:val="850EF75E"/>
    <w:lvl w:ilvl="0" w:tplc="BC049C64">
      <w:start w:val="1"/>
      <w:numFmt w:val="lowerLetter"/>
      <w:lvlText w:val="%1)"/>
      <w:lvlJc w:val="left"/>
      <w:pPr>
        <w:ind w:left="1080" w:hanging="720"/>
      </w:pPr>
      <w:rPr>
        <w:rFonts w:ascii="Arial" w:eastAsiaTheme="minorHAnsi" w:hAnsi="Arial" w:cs="Arial"/>
      </w:r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57072B9"/>
    <w:multiLevelType w:val="hybridMultilevel"/>
    <w:tmpl w:val="4B0C96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096ABB"/>
    <w:multiLevelType w:val="hybridMultilevel"/>
    <w:tmpl w:val="3904C3B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92E05DA"/>
    <w:multiLevelType w:val="hybridMultilevel"/>
    <w:tmpl w:val="49B4F8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847B2E"/>
    <w:multiLevelType w:val="hybridMultilevel"/>
    <w:tmpl w:val="7A5443A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4955759C"/>
    <w:multiLevelType w:val="hybridMultilevel"/>
    <w:tmpl w:val="B23E731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0C3E8C"/>
    <w:multiLevelType w:val="hybridMultilevel"/>
    <w:tmpl w:val="82C8C1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1801A2"/>
    <w:multiLevelType w:val="hybridMultilevel"/>
    <w:tmpl w:val="A48ABA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BE30A1"/>
    <w:multiLevelType w:val="hybridMultilevel"/>
    <w:tmpl w:val="15744B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FC3029"/>
    <w:multiLevelType w:val="hybridMultilevel"/>
    <w:tmpl w:val="EC448F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345C7F"/>
    <w:multiLevelType w:val="hybridMultilevel"/>
    <w:tmpl w:val="525888F8"/>
    <w:lvl w:ilvl="0" w:tplc="1009001B">
      <w:start w:val="1"/>
      <w:numFmt w:val="lowerRoman"/>
      <w:lvlText w:val="%1."/>
      <w:lvlJc w:val="right"/>
      <w:pPr>
        <w:ind w:left="1440" w:hanging="360"/>
      </w:pPr>
      <w:rPr>
        <w:rFont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4" w15:restartNumberingAfterBreak="0">
    <w:nsid w:val="611356AD"/>
    <w:multiLevelType w:val="hybridMultilevel"/>
    <w:tmpl w:val="B17EB9BA"/>
    <w:lvl w:ilvl="0" w:tplc="FFFADC8E">
      <w:start w:val="1"/>
      <w:numFmt w:val="bullet"/>
      <w:lvlText w:val="-"/>
      <w:lvlJc w:val="left"/>
      <w:pPr>
        <w:ind w:left="1080" w:hanging="360"/>
      </w:pPr>
      <w:rPr>
        <w:rFonts w:ascii="Calibri" w:eastAsiaTheme="minorHAnsi"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15:restartNumberingAfterBreak="0">
    <w:nsid w:val="61F36FE5"/>
    <w:multiLevelType w:val="hybridMultilevel"/>
    <w:tmpl w:val="AE6E1D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06614D"/>
    <w:multiLevelType w:val="hybridMultilevel"/>
    <w:tmpl w:val="A9D61DE8"/>
    <w:lvl w:ilvl="0" w:tplc="BA72521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4A6B9C"/>
    <w:multiLevelType w:val="hybridMultilevel"/>
    <w:tmpl w:val="BB983C14"/>
    <w:lvl w:ilvl="0" w:tplc="0409000F">
      <w:start w:val="1"/>
      <w:numFmt w:val="decimal"/>
      <w:lvlText w:val="%1."/>
      <w:lvlJc w:val="left"/>
      <w:pPr>
        <w:ind w:left="720" w:hanging="360"/>
      </w:pPr>
    </w:lvl>
    <w:lvl w:ilvl="1" w:tplc="81ECCF2E">
      <w:start w:val="1"/>
      <w:numFmt w:val="decimal"/>
      <w:lvlText w:val="%2."/>
      <w:lvlJc w:val="left"/>
      <w:pPr>
        <w:ind w:left="1440" w:hanging="360"/>
      </w:pPr>
      <w:rPr>
        <w:rFonts w:ascii="Arial" w:eastAsiaTheme="minorHAnsi" w:hAnsi="Arial" w:cs="Arial"/>
      </w:rPr>
    </w:lvl>
    <w:lvl w:ilvl="2" w:tplc="D9BA4720">
      <w:start w:val="1"/>
      <w:numFmt w:val="decimal"/>
      <w:lvlText w:val="%3."/>
      <w:lvlJc w:val="left"/>
      <w:pPr>
        <w:ind w:left="2340" w:hanging="360"/>
      </w:pPr>
      <w:rPr>
        <w:rFonts w:ascii="Arial" w:eastAsiaTheme="minorHAnsi" w:hAnsi="Arial" w:cs="Arial"/>
      </w:rPr>
    </w:lvl>
    <w:lvl w:ilvl="3" w:tplc="0409000F">
      <w:start w:val="1"/>
      <w:numFmt w:val="decimal"/>
      <w:lvlText w:val="%4."/>
      <w:lvlJc w:val="left"/>
      <w:pPr>
        <w:ind w:left="2880" w:hanging="360"/>
      </w:pPr>
    </w:lvl>
    <w:lvl w:ilvl="4" w:tplc="15CA66AE">
      <w:start w:val="2"/>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6"/>
  </w:num>
  <w:num w:numId="3">
    <w:abstractNumId w:val="16"/>
  </w:num>
  <w:num w:numId="4">
    <w:abstractNumId w:val="8"/>
  </w:num>
  <w:num w:numId="5">
    <w:abstractNumId w:val="17"/>
  </w:num>
  <w:num w:numId="6">
    <w:abstractNumId w:val="9"/>
  </w:num>
  <w:num w:numId="7">
    <w:abstractNumId w:val="12"/>
  </w:num>
  <w:num w:numId="8">
    <w:abstractNumId w:val="0"/>
  </w:num>
  <w:num w:numId="9">
    <w:abstractNumId w:val="7"/>
  </w:num>
  <w:num w:numId="10">
    <w:abstractNumId w:val="5"/>
  </w:num>
  <w:num w:numId="11">
    <w:abstractNumId w:val="14"/>
  </w:num>
  <w:num w:numId="12">
    <w:abstractNumId w:val="13"/>
  </w:num>
  <w:num w:numId="13">
    <w:abstractNumId w:val="2"/>
  </w:num>
  <w:num w:numId="14">
    <w:abstractNumId w:val="10"/>
  </w:num>
  <w:num w:numId="15">
    <w:abstractNumId w:val="11"/>
  </w:num>
  <w:num w:numId="16">
    <w:abstractNumId w:val="1"/>
  </w:num>
  <w:num w:numId="17">
    <w:abstractNumId w:val="3"/>
  </w:num>
  <w:num w:numId="1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201"/>
    <w:rsid w:val="0000221C"/>
    <w:rsid w:val="00002D23"/>
    <w:rsid w:val="00003F91"/>
    <w:rsid w:val="00006761"/>
    <w:rsid w:val="00007511"/>
    <w:rsid w:val="00010129"/>
    <w:rsid w:val="00012DD0"/>
    <w:rsid w:val="00014158"/>
    <w:rsid w:val="00016CF1"/>
    <w:rsid w:val="00020A71"/>
    <w:rsid w:val="00021D59"/>
    <w:rsid w:val="0002281D"/>
    <w:rsid w:val="00025A71"/>
    <w:rsid w:val="000262C0"/>
    <w:rsid w:val="00026B51"/>
    <w:rsid w:val="000276F3"/>
    <w:rsid w:val="0003036D"/>
    <w:rsid w:val="00030A73"/>
    <w:rsid w:val="00032FC9"/>
    <w:rsid w:val="00033FB5"/>
    <w:rsid w:val="00035AED"/>
    <w:rsid w:val="0003691A"/>
    <w:rsid w:val="00036DD8"/>
    <w:rsid w:val="00036FBD"/>
    <w:rsid w:val="00040057"/>
    <w:rsid w:val="0004018B"/>
    <w:rsid w:val="000417AF"/>
    <w:rsid w:val="00043013"/>
    <w:rsid w:val="0004367C"/>
    <w:rsid w:val="0004395A"/>
    <w:rsid w:val="00053709"/>
    <w:rsid w:val="00053F72"/>
    <w:rsid w:val="000542BE"/>
    <w:rsid w:val="00055095"/>
    <w:rsid w:val="00055A9B"/>
    <w:rsid w:val="000625A3"/>
    <w:rsid w:val="00063BE8"/>
    <w:rsid w:val="00063D9C"/>
    <w:rsid w:val="0006400E"/>
    <w:rsid w:val="0006405A"/>
    <w:rsid w:val="000646FE"/>
    <w:rsid w:val="00064DC7"/>
    <w:rsid w:val="0006784E"/>
    <w:rsid w:val="00073261"/>
    <w:rsid w:val="000732D1"/>
    <w:rsid w:val="0007343B"/>
    <w:rsid w:val="00073DF6"/>
    <w:rsid w:val="00075097"/>
    <w:rsid w:val="00076434"/>
    <w:rsid w:val="00076F52"/>
    <w:rsid w:val="00080863"/>
    <w:rsid w:val="00080D01"/>
    <w:rsid w:val="000818EF"/>
    <w:rsid w:val="000859D3"/>
    <w:rsid w:val="00085EC9"/>
    <w:rsid w:val="00087295"/>
    <w:rsid w:val="000874C4"/>
    <w:rsid w:val="00087FBE"/>
    <w:rsid w:val="000900D6"/>
    <w:rsid w:val="00090637"/>
    <w:rsid w:val="000912B5"/>
    <w:rsid w:val="000917FD"/>
    <w:rsid w:val="000931F6"/>
    <w:rsid w:val="0009431E"/>
    <w:rsid w:val="00097DEE"/>
    <w:rsid w:val="000A05BD"/>
    <w:rsid w:val="000A43A4"/>
    <w:rsid w:val="000A49AA"/>
    <w:rsid w:val="000A52A4"/>
    <w:rsid w:val="000A6117"/>
    <w:rsid w:val="000A6D1A"/>
    <w:rsid w:val="000B04C3"/>
    <w:rsid w:val="000B0F79"/>
    <w:rsid w:val="000B2037"/>
    <w:rsid w:val="000B22D5"/>
    <w:rsid w:val="000B2A1F"/>
    <w:rsid w:val="000B4FE3"/>
    <w:rsid w:val="000B772E"/>
    <w:rsid w:val="000B7840"/>
    <w:rsid w:val="000C1638"/>
    <w:rsid w:val="000C19EF"/>
    <w:rsid w:val="000C2C0D"/>
    <w:rsid w:val="000C42E0"/>
    <w:rsid w:val="000C45A5"/>
    <w:rsid w:val="000C4692"/>
    <w:rsid w:val="000C5897"/>
    <w:rsid w:val="000C7052"/>
    <w:rsid w:val="000C7A2C"/>
    <w:rsid w:val="000D1610"/>
    <w:rsid w:val="000D2B3D"/>
    <w:rsid w:val="000D3D45"/>
    <w:rsid w:val="000D4BDB"/>
    <w:rsid w:val="000D5131"/>
    <w:rsid w:val="000D526D"/>
    <w:rsid w:val="000D5351"/>
    <w:rsid w:val="000D5424"/>
    <w:rsid w:val="000D7148"/>
    <w:rsid w:val="000D7446"/>
    <w:rsid w:val="000E01EC"/>
    <w:rsid w:val="000E0AAF"/>
    <w:rsid w:val="000E0D44"/>
    <w:rsid w:val="000E1E4E"/>
    <w:rsid w:val="000E2478"/>
    <w:rsid w:val="000E4BF2"/>
    <w:rsid w:val="000E6340"/>
    <w:rsid w:val="000E7D6B"/>
    <w:rsid w:val="000F06CF"/>
    <w:rsid w:val="000F395D"/>
    <w:rsid w:val="000F64C6"/>
    <w:rsid w:val="000F7A3D"/>
    <w:rsid w:val="000F7F11"/>
    <w:rsid w:val="001001A6"/>
    <w:rsid w:val="00102FCD"/>
    <w:rsid w:val="00103F9E"/>
    <w:rsid w:val="00104178"/>
    <w:rsid w:val="001047D5"/>
    <w:rsid w:val="001052F5"/>
    <w:rsid w:val="00106E41"/>
    <w:rsid w:val="0011003F"/>
    <w:rsid w:val="00112267"/>
    <w:rsid w:val="00117BE4"/>
    <w:rsid w:val="00117C72"/>
    <w:rsid w:val="00122C48"/>
    <w:rsid w:val="00123475"/>
    <w:rsid w:val="00124DB4"/>
    <w:rsid w:val="001252D9"/>
    <w:rsid w:val="00126D58"/>
    <w:rsid w:val="00127F0F"/>
    <w:rsid w:val="00130E31"/>
    <w:rsid w:val="00131293"/>
    <w:rsid w:val="00132C62"/>
    <w:rsid w:val="00132CDB"/>
    <w:rsid w:val="00135BD9"/>
    <w:rsid w:val="00135DA0"/>
    <w:rsid w:val="00135E72"/>
    <w:rsid w:val="00135F59"/>
    <w:rsid w:val="00137194"/>
    <w:rsid w:val="00137F9D"/>
    <w:rsid w:val="00141B4D"/>
    <w:rsid w:val="0014378D"/>
    <w:rsid w:val="00150167"/>
    <w:rsid w:val="00152480"/>
    <w:rsid w:val="00152DAA"/>
    <w:rsid w:val="00155D43"/>
    <w:rsid w:val="00157536"/>
    <w:rsid w:val="00157C9E"/>
    <w:rsid w:val="00157F7B"/>
    <w:rsid w:val="00161285"/>
    <w:rsid w:val="00161ACA"/>
    <w:rsid w:val="0016624E"/>
    <w:rsid w:val="001669C4"/>
    <w:rsid w:val="001705B6"/>
    <w:rsid w:val="00170E01"/>
    <w:rsid w:val="001719DE"/>
    <w:rsid w:val="00171CE8"/>
    <w:rsid w:val="001741FA"/>
    <w:rsid w:val="001742EB"/>
    <w:rsid w:val="00175641"/>
    <w:rsid w:val="0017620B"/>
    <w:rsid w:val="00180DC5"/>
    <w:rsid w:val="001828B9"/>
    <w:rsid w:val="00182ECD"/>
    <w:rsid w:val="00187499"/>
    <w:rsid w:val="0019362F"/>
    <w:rsid w:val="00193BCE"/>
    <w:rsid w:val="00193DE4"/>
    <w:rsid w:val="001950F0"/>
    <w:rsid w:val="001967F9"/>
    <w:rsid w:val="00196CA9"/>
    <w:rsid w:val="00197BE5"/>
    <w:rsid w:val="001A07A7"/>
    <w:rsid w:val="001A0EB8"/>
    <w:rsid w:val="001A27F9"/>
    <w:rsid w:val="001A3F91"/>
    <w:rsid w:val="001A5B68"/>
    <w:rsid w:val="001A60E5"/>
    <w:rsid w:val="001B08C5"/>
    <w:rsid w:val="001B0BFB"/>
    <w:rsid w:val="001B0DDA"/>
    <w:rsid w:val="001B1571"/>
    <w:rsid w:val="001B1F29"/>
    <w:rsid w:val="001B6ECA"/>
    <w:rsid w:val="001B7689"/>
    <w:rsid w:val="001C19A2"/>
    <w:rsid w:val="001C1A34"/>
    <w:rsid w:val="001C2717"/>
    <w:rsid w:val="001C7ABE"/>
    <w:rsid w:val="001D0502"/>
    <w:rsid w:val="001D1AAF"/>
    <w:rsid w:val="001D1FE8"/>
    <w:rsid w:val="001D3692"/>
    <w:rsid w:val="001D57E1"/>
    <w:rsid w:val="001E04A9"/>
    <w:rsid w:val="001E1A52"/>
    <w:rsid w:val="001E31A3"/>
    <w:rsid w:val="001E39D7"/>
    <w:rsid w:val="001E4A58"/>
    <w:rsid w:val="001E4E04"/>
    <w:rsid w:val="001E65E1"/>
    <w:rsid w:val="001E7627"/>
    <w:rsid w:val="001E7FB9"/>
    <w:rsid w:val="001F020D"/>
    <w:rsid w:val="00200389"/>
    <w:rsid w:val="0020364A"/>
    <w:rsid w:val="00203741"/>
    <w:rsid w:val="00205A94"/>
    <w:rsid w:val="0021215A"/>
    <w:rsid w:val="00215491"/>
    <w:rsid w:val="00215C8D"/>
    <w:rsid w:val="00222DC1"/>
    <w:rsid w:val="00227054"/>
    <w:rsid w:val="00230133"/>
    <w:rsid w:val="00234CC0"/>
    <w:rsid w:val="00236160"/>
    <w:rsid w:val="002416C8"/>
    <w:rsid w:val="00242590"/>
    <w:rsid w:val="00244B8D"/>
    <w:rsid w:val="002460AC"/>
    <w:rsid w:val="0025034B"/>
    <w:rsid w:val="0025210D"/>
    <w:rsid w:val="00260A40"/>
    <w:rsid w:val="00260D5B"/>
    <w:rsid w:val="00266593"/>
    <w:rsid w:val="0026793C"/>
    <w:rsid w:val="002711A4"/>
    <w:rsid w:val="0027229A"/>
    <w:rsid w:val="00272C7F"/>
    <w:rsid w:val="002753AF"/>
    <w:rsid w:val="002753E4"/>
    <w:rsid w:val="0027661B"/>
    <w:rsid w:val="0028062C"/>
    <w:rsid w:val="002830FE"/>
    <w:rsid w:val="00285118"/>
    <w:rsid w:val="00287FBB"/>
    <w:rsid w:val="00292E4B"/>
    <w:rsid w:val="00294F62"/>
    <w:rsid w:val="00295640"/>
    <w:rsid w:val="002A342D"/>
    <w:rsid w:val="002A4C15"/>
    <w:rsid w:val="002A7F20"/>
    <w:rsid w:val="002B2D39"/>
    <w:rsid w:val="002B4DAD"/>
    <w:rsid w:val="002B6107"/>
    <w:rsid w:val="002C014A"/>
    <w:rsid w:val="002C116A"/>
    <w:rsid w:val="002C1E4C"/>
    <w:rsid w:val="002C208F"/>
    <w:rsid w:val="002C260C"/>
    <w:rsid w:val="002D06EB"/>
    <w:rsid w:val="002D668D"/>
    <w:rsid w:val="002E3544"/>
    <w:rsid w:val="002F2FD1"/>
    <w:rsid w:val="002F32E7"/>
    <w:rsid w:val="002F3F41"/>
    <w:rsid w:val="002F4C76"/>
    <w:rsid w:val="002F668C"/>
    <w:rsid w:val="002F79E1"/>
    <w:rsid w:val="003008DA"/>
    <w:rsid w:val="00301BE8"/>
    <w:rsid w:val="003024E7"/>
    <w:rsid w:val="00302A7B"/>
    <w:rsid w:val="0030483E"/>
    <w:rsid w:val="0030595B"/>
    <w:rsid w:val="003061D4"/>
    <w:rsid w:val="0030741E"/>
    <w:rsid w:val="003105D3"/>
    <w:rsid w:val="00310B44"/>
    <w:rsid w:val="00311232"/>
    <w:rsid w:val="00311A10"/>
    <w:rsid w:val="003126F3"/>
    <w:rsid w:val="00320BCA"/>
    <w:rsid w:val="00327EB1"/>
    <w:rsid w:val="003370EA"/>
    <w:rsid w:val="0034059E"/>
    <w:rsid w:val="00342034"/>
    <w:rsid w:val="003457DE"/>
    <w:rsid w:val="00345DCD"/>
    <w:rsid w:val="0034746E"/>
    <w:rsid w:val="003505EE"/>
    <w:rsid w:val="00353B6D"/>
    <w:rsid w:val="0035455F"/>
    <w:rsid w:val="00357D0A"/>
    <w:rsid w:val="0036034E"/>
    <w:rsid w:val="003605C9"/>
    <w:rsid w:val="003624E2"/>
    <w:rsid w:val="00363085"/>
    <w:rsid w:val="0036542A"/>
    <w:rsid w:val="00370F92"/>
    <w:rsid w:val="003719CB"/>
    <w:rsid w:val="003721C3"/>
    <w:rsid w:val="00372F5A"/>
    <w:rsid w:val="00372FD8"/>
    <w:rsid w:val="00373711"/>
    <w:rsid w:val="00374E05"/>
    <w:rsid w:val="00374ECE"/>
    <w:rsid w:val="00377F69"/>
    <w:rsid w:val="003808A0"/>
    <w:rsid w:val="00380F71"/>
    <w:rsid w:val="00381BA9"/>
    <w:rsid w:val="003821F1"/>
    <w:rsid w:val="003825ED"/>
    <w:rsid w:val="003826C4"/>
    <w:rsid w:val="00386419"/>
    <w:rsid w:val="00386E72"/>
    <w:rsid w:val="003917D5"/>
    <w:rsid w:val="00394792"/>
    <w:rsid w:val="00396686"/>
    <w:rsid w:val="00397850"/>
    <w:rsid w:val="003A2881"/>
    <w:rsid w:val="003A2D15"/>
    <w:rsid w:val="003A638D"/>
    <w:rsid w:val="003A6C66"/>
    <w:rsid w:val="003A715D"/>
    <w:rsid w:val="003B3244"/>
    <w:rsid w:val="003B52EB"/>
    <w:rsid w:val="003B631A"/>
    <w:rsid w:val="003B72C6"/>
    <w:rsid w:val="003C1F6F"/>
    <w:rsid w:val="003C6FEA"/>
    <w:rsid w:val="003C7BD6"/>
    <w:rsid w:val="003D2FFE"/>
    <w:rsid w:val="003D5B37"/>
    <w:rsid w:val="003D7F48"/>
    <w:rsid w:val="003E14EE"/>
    <w:rsid w:val="003E22D7"/>
    <w:rsid w:val="003E453A"/>
    <w:rsid w:val="003E5866"/>
    <w:rsid w:val="003E5D99"/>
    <w:rsid w:val="003E641F"/>
    <w:rsid w:val="003E6905"/>
    <w:rsid w:val="003F1BD6"/>
    <w:rsid w:val="003F319A"/>
    <w:rsid w:val="003F3B64"/>
    <w:rsid w:val="003F3FBD"/>
    <w:rsid w:val="003F76E0"/>
    <w:rsid w:val="003F7C5D"/>
    <w:rsid w:val="00400B8F"/>
    <w:rsid w:val="0040106F"/>
    <w:rsid w:val="0040198B"/>
    <w:rsid w:val="00403AAE"/>
    <w:rsid w:val="00405832"/>
    <w:rsid w:val="00407E49"/>
    <w:rsid w:val="00407E6C"/>
    <w:rsid w:val="00411ABF"/>
    <w:rsid w:val="004120AA"/>
    <w:rsid w:val="0041472B"/>
    <w:rsid w:val="00417912"/>
    <w:rsid w:val="00420988"/>
    <w:rsid w:val="00420CF0"/>
    <w:rsid w:val="00421331"/>
    <w:rsid w:val="0042186F"/>
    <w:rsid w:val="00421B21"/>
    <w:rsid w:val="00421CD2"/>
    <w:rsid w:val="0042230B"/>
    <w:rsid w:val="004228F9"/>
    <w:rsid w:val="00422963"/>
    <w:rsid w:val="00422CEB"/>
    <w:rsid w:val="00422F41"/>
    <w:rsid w:val="00425BFB"/>
    <w:rsid w:val="00430A57"/>
    <w:rsid w:val="00430D26"/>
    <w:rsid w:val="0043211C"/>
    <w:rsid w:val="00433087"/>
    <w:rsid w:val="00434D56"/>
    <w:rsid w:val="00434F9B"/>
    <w:rsid w:val="00435565"/>
    <w:rsid w:val="00451844"/>
    <w:rsid w:val="00451B50"/>
    <w:rsid w:val="00456C7A"/>
    <w:rsid w:val="00457143"/>
    <w:rsid w:val="004573D6"/>
    <w:rsid w:val="00464F3A"/>
    <w:rsid w:val="0046681A"/>
    <w:rsid w:val="00470676"/>
    <w:rsid w:val="0047320A"/>
    <w:rsid w:val="004747D1"/>
    <w:rsid w:val="00475090"/>
    <w:rsid w:val="00476CE4"/>
    <w:rsid w:val="004809A6"/>
    <w:rsid w:val="00480F62"/>
    <w:rsid w:val="00485567"/>
    <w:rsid w:val="00486667"/>
    <w:rsid w:val="00487F4B"/>
    <w:rsid w:val="00490034"/>
    <w:rsid w:val="004902A0"/>
    <w:rsid w:val="00495577"/>
    <w:rsid w:val="004977BC"/>
    <w:rsid w:val="00497A48"/>
    <w:rsid w:val="004A1258"/>
    <w:rsid w:val="004A23F5"/>
    <w:rsid w:val="004A474C"/>
    <w:rsid w:val="004A563A"/>
    <w:rsid w:val="004A766C"/>
    <w:rsid w:val="004B04BB"/>
    <w:rsid w:val="004B5E8F"/>
    <w:rsid w:val="004B7C17"/>
    <w:rsid w:val="004C07EF"/>
    <w:rsid w:val="004C1FBA"/>
    <w:rsid w:val="004C243F"/>
    <w:rsid w:val="004C79D4"/>
    <w:rsid w:val="004C7FD3"/>
    <w:rsid w:val="004D0469"/>
    <w:rsid w:val="004D2578"/>
    <w:rsid w:val="004D3BC0"/>
    <w:rsid w:val="004D563C"/>
    <w:rsid w:val="004D5A80"/>
    <w:rsid w:val="004D5BC3"/>
    <w:rsid w:val="004E1C78"/>
    <w:rsid w:val="004E1CB9"/>
    <w:rsid w:val="004E2E15"/>
    <w:rsid w:val="004E3BD5"/>
    <w:rsid w:val="004E6BD6"/>
    <w:rsid w:val="004E7BD4"/>
    <w:rsid w:val="004F0B13"/>
    <w:rsid w:val="004F1245"/>
    <w:rsid w:val="004F2073"/>
    <w:rsid w:val="004F31E1"/>
    <w:rsid w:val="004F4C9C"/>
    <w:rsid w:val="00503CE4"/>
    <w:rsid w:val="0050468A"/>
    <w:rsid w:val="00505B64"/>
    <w:rsid w:val="00510BF2"/>
    <w:rsid w:val="00512498"/>
    <w:rsid w:val="00513E09"/>
    <w:rsid w:val="00514624"/>
    <w:rsid w:val="0051706E"/>
    <w:rsid w:val="00517BCD"/>
    <w:rsid w:val="005200B6"/>
    <w:rsid w:val="00520BB7"/>
    <w:rsid w:val="0052135E"/>
    <w:rsid w:val="005225D1"/>
    <w:rsid w:val="00522C14"/>
    <w:rsid w:val="00531419"/>
    <w:rsid w:val="00531F6A"/>
    <w:rsid w:val="0053256C"/>
    <w:rsid w:val="005349DF"/>
    <w:rsid w:val="00535382"/>
    <w:rsid w:val="00536579"/>
    <w:rsid w:val="00537003"/>
    <w:rsid w:val="0053705C"/>
    <w:rsid w:val="005445A8"/>
    <w:rsid w:val="00544644"/>
    <w:rsid w:val="00544B63"/>
    <w:rsid w:val="00546EDD"/>
    <w:rsid w:val="005472AC"/>
    <w:rsid w:val="0054734B"/>
    <w:rsid w:val="00547AD6"/>
    <w:rsid w:val="00547CC0"/>
    <w:rsid w:val="005526CD"/>
    <w:rsid w:val="005558D8"/>
    <w:rsid w:val="005645C3"/>
    <w:rsid w:val="00564881"/>
    <w:rsid w:val="0056564B"/>
    <w:rsid w:val="005670B0"/>
    <w:rsid w:val="00567EE8"/>
    <w:rsid w:val="0057073C"/>
    <w:rsid w:val="005718D2"/>
    <w:rsid w:val="00571961"/>
    <w:rsid w:val="00571BF9"/>
    <w:rsid w:val="005722F8"/>
    <w:rsid w:val="00572797"/>
    <w:rsid w:val="005742D2"/>
    <w:rsid w:val="00574EA9"/>
    <w:rsid w:val="00576567"/>
    <w:rsid w:val="00576DB5"/>
    <w:rsid w:val="00576EA7"/>
    <w:rsid w:val="00577C43"/>
    <w:rsid w:val="00577C71"/>
    <w:rsid w:val="00580528"/>
    <w:rsid w:val="00582658"/>
    <w:rsid w:val="00583081"/>
    <w:rsid w:val="00584201"/>
    <w:rsid w:val="00585307"/>
    <w:rsid w:val="0058541A"/>
    <w:rsid w:val="00585ACF"/>
    <w:rsid w:val="00585EA2"/>
    <w:rsid w:val="005947B7"/>
    <w:rsid w:val="005962EA"/>
    <w:rsid w:val="005964B1"/>
    <w:rsid w:val="005A14E6"/>
    <w:rsid w:val="005A1557"/>
    <w:rsid w:val="005A1CF3"/>
    <w:rsid w:val="005A3CF4"/>
    <w:rsid w:val="005A41D7"/>
    <w:rsid w:val="005A5DCE"/>
    <w:rsid w:val="005A7D46"/>
    <w:rsid w:val="005B0DFA"/>
    <w:rsid w:val="005B2292"/>
    <w:rsid w:val="005B4582"/>
    <w:rsid w:val="005B77AB"/>
    <w:rsid w:val="005C200D"/>
    <w:rsid w:val="005C69CB"/>
    <w:rsid w:val="005D0DB1"/>
    <w:rsid w:val="005D225A"/>
    <w:rsid w:val="005D24B0"/>
    <w:rsid w:val="005D5258"/>
    <w:rsid w:val="005D5F25"/>
    <w:rsid w:val="005D7A91"/>
    <w:rsid w:val="005E42ED"/>
    <w:rsid w:val="005F04D4"/>
    <w:rsid w:val="005F0BB2"/>
    <w:rsid w:val="005F2189"/>
    <w:rsid w:val="005F47AA"/>
    <w:rsid w:val="005F599D"/>
    <w:rsid w:val="005F62EA"/>
    <w:rsid w:val="0060249D"/>
    <w:rsid w:val="00603FD3"/>
    <w:rsid w:val="006046FB"/>
    <w:rsid w:val="00606AFD"/>
    <w:rsid w:val="00606E85"/>
    <w:rsid w:val="0061017E"/>
    <w:rsid w:val="00610234"/>
    <w:rsid w:val="006114FF"/>
    <w:rsid w:val="00612446"/>
    <w:rsid w:val="00613FE5"/>
    <w:rsid w:val="0061483D"/>
    <w:rsid w:val="0062189E"/>
    <w:rsid w:val="00621BCF"/>
    <w:rsid w:val="00622C72"/>
    <w:rsid w:val="0062622D"/>
    <w:rsid w:val="00626262"/>
    <w:rsid w:val="006315D4"/>
    <w:rsid w:val="00633606"/>
    <w:rsid w:val="00634886"/>
    <w:rsid w:val="00635B96"/>
    <w:rsid w:val="00636C7B"/>
    <w:rsid w:val="00641CA1"/>
    <w:rsid w:val="0064305A"/>
    <w:rsid w:val="00643696"/>
    <w:rsid w:val="00643C25"/>
    <w:rsid w:val="00644E2B"/>
    <w:rsid w:val="00645B14"/>
    <w:rsid w:val="0064690E"/>
    <w:rsid w:val="00647FDC"/>
    <w:rsid w:val="00650C99"/>
    <w:rsid w:val="00652644"/>
    <w:rsid w:val="0065704C"/>
    <w:rsid w:val="00660328"/>
    <w:rsid w:val="0066044B"/>
    <w:rsid w:val="006609C0"/>
    <w:rsid w:val="0066302D"/>
    <w:rsid w:val="00673B80"/>
    <w:rsid w:val="00677EF5"/>
    <w:rsid w:val="006802CA"/>
    <w:rsid w:val="00680A80"/>
    <w:rsid w:val="00681578"/>
    <w:rsid w:val="006835E5"/>
    <w:rsid w:val="00683C94"/>
    <w:rsid w:val="00684B49"/>
    <w:rsid w:val="00684E2C"/>
    <w:rsid w:val="0069324F"/>
    <w:rsid w:val="00694810"/>
    <w:rsid w:val="006949E3"/>
    <w:rsid w:val="00697986"/>
    <w:rsid w:val="006A2885"/>
    <w:rsid w:val="006A3412"/>
    <w:rsid w:val="006A50AD"/>
    <w:rsid w:val="006A5BF8"/>
    <w:rsid w:val="006B15EA"/>
    <w:rsid w:val="006B32BA"/>
    <w:rsid w:val="006B7F57"/>
    <w:rsid w:val="006C1A3D"/>
    <w:rsid w:val="006C3D53"/>
    <w:rsid w:val="006C5DED"/>
    <w:rsid w:val="006C6DEA"/>
    <w:rsid w:val="006D03C9"/>
    <w:rsid w:val="006E15F0"/>
    <w:rsid w:val="006E27BB"/>
    <w:rsid w:val="006E4F58"/>
    <w:rsid w:val="006F05C8"/>
    <w:rsid w:val="006F2734"/>
    <w:rsid w:val="006F4E3D"/>
    <w:rsid w:val="006F616F"/>
    <w:rsid w:val="006F67C9"/>
    <w:rsid w:val="007005E2"/>
    <w:rsid w:val="007014EB"/>
    <w:rsid w:val="007054EC"/>
    <w:rsid w:val="00706422"/>
    <w:rsid w:val="0070732E"/>
    <w:rsid w:val="0070757E"/>
    <w:rsid w:val="00712D6F"/>
    <w:rsid w:val="007132CB"/>
    <w:rsid w:val="0071574B"/>
    <w:rsid w:val="00715A81"/>
    <w:rsid w:val="0071678E"/>
    <w:rsid w:val="00717F51"/>
    <w:rsid w:val="00721E82"/>
    <w:rsid w:val="007230D3"/>
    <w:rsid w:val="00723EAA"/>
    <w:rsid w:val="00732369"/>
    <w:rsid w:val="00732534"/>
    <w:rsid w:val="00736262"/>
    <w:rsid w:val="00736EA0"/>
    <w:rsid w:val="00736EA3"/>
    <w:rsid w:val="00737A63"/>
    <w:rsid w:val="00740FFC"/>
    <w:rsid w:val="0074376F"/>
    <w:rsid w:val="00745614"/>
    <w:rsid w:val="00752EF1"/>
    <w:rsid w:val="007537D6"/>
    <w:rsid w:val="00753F3A"/>
    <w:rsid w:val="00754C6A"/>
    <w:rsid w:val="00757AC2"/>
    <w:rsid w:val="00757CC7"/>
    <w:rsid w:val="0076376A"/>
    <w:rsid w:val="00764CBA"/>
    <w:rsid w:val="00772C3E"/>
    <w:rsid w:val="00774C02"/>
    <w:rsid w:val="00777777"/>
    <w:rsid w:val="007777A4"/>
    <w:rsid w:val="00780DEA"/>
    <w:rsid w:val="00784032"/>
    <w:rsid w:val="007901D5"/>
    <w:rsid w:val="007924D1"/>
    <w:rsid w:val="007929D2"/>
    <w:rsid w:val="00794861"/>
    <w:rsid w:val="0079590F"/>
    <w:rsid w:val="00797217"/>
    <w:rsid w:val="007A29D2"/>
    <w:rsid w:val="007A3755"/>
    <w:rsid w:val="007A4F55"/>
    <w:rsid w:val="007A70C4"/>
    <w:rsid w:val="007A7178"/>
    <w:rsid w:val="007B0617"/>
    <w:rsid w:val="007B0E45"/>
    <w:rsid w:val="007B0FE5"/>
    <w:rsid w:val="007B1981"/>
    <w:rsid w:val="007B3628"/>
    <w:rsid w:val="007B5351"/>
    <w:rsid w:val="007C1023"/>
    <w:rsid w:val="007C2E0F"/>
    <w:rsid w:val="007C433C"/>
    <w:rsid w:val="007C6FB4"/>
    <w:rsid w:val="007C783B"/>
    <w:rsid w:val="007D26CE"/>
    <w:rsid w:val="007D2BDA"/>
    <w:rsid w:val="007D565B"/>
    <w:rsid w:val="007D6165"/>
    <w:rsid w:val="007D6166"/>
    <w:rsid w:val="007E34CD"/>
    <w:rsid w:val="007E6A4D"/>
    <w:rsid w:val="007F3AF2"/>
    <w:rsid w:val="008006DA"/>
    <w:rsid w:val="00802115"/>
    <w:rsid w:val="0080564C"/>
    <w:rsid w:val="00807253"/>
    <w:rsid w:val="00807FB7"/>
    <w:rsid w:val="008100F5"/>
    <w:rsid w:val="008109D3"/>
    <w:rsid w:val="00811B3B"/>
    <w:rsid w:val="00811BD1"/>
    <w:rsid w:val="0081232C"/>
    <w:rsid w:val="00812F83"/>
    <w:rsid w:val="00816736"/>
    <w:rsid w:val="00820D26"/>
    <w:rsid w:val="0082551F"/>
    <w:rsid w:val="0082557F"/>
    <w:rsid w:val="0082761D"/>
    <w:rsid w:val="008276D8"/>
    <w:rsid w:val="008306B0"/>
    <w:rsid w:val="008310E0"/>
    <w:rsid w:val="0083589D"/>
    <w:rsid w:val="00835ADB"/>
    <w:rsid w:val="00837364"/>
    <w:rsid w:val="00840CC2"/>
    <w:rsid w:val="00841DA6"/>
    <w:rsid w:val="008428EF"/>
    <w:rsid w:val="00843672"/>
    <w:rsid w:val="00845912"/>
    <w:rsid w:val="008465E1"/>
    <w:rsid w:val="00847E65"/>
    <w:rsid w:val="00854C36"/>
    <w:rsid w:val="008573CE"/>
    <w:rsid w:val="008607CF"/>
    <w:rsid w:val="00860853"/>
    <w:rsid w:val="00862216"/>
    <w:rsid w:val="008629F7"/>
    <w:rsid w:val="00863B76"/>
    <w:rsid w:val="00864569"/>
    <w:rsid w:val="00866487"/>
    <w:rsid w:val="00866612"/>
    <w:rsid w:val="00867759"/>
    <w:rsid w:val="00870404"/>
    <w:rsid w:val="008716FE"/>
    <w:rsid w:val="008726D2"/>
    <w:rsid w:val="008748AF"/>
    <w:rsid w:val="00874C8D"/>
    <w:rsid w:val="00874D0D"/>
    <w:rsid w:val="00875661"/>
    <w:rsid w:val="00876DF4"/>
    <w:rsid w:val="00876EBC"/>
    <w:rsid w:val="008771AD"/>
    <w:rsid w:val="0088000F"/>
    <w:rsid w:val="00880E44"/>
    <w:rsid w:val="00884DBC"/>
    <w:rsid w:val="0088609A"/>
    <w:rsid w:val="008876F7"/>
    <w:rsid w:val="00892614"/>
    <w:rsid w:val="00892F13"/>
    <w:rsid w:val="00894F35"/>
    <w:rsid w:val="00895A1E"/>
    <w:rsid w:val="008A4827"/>
    <w:rsid w:val="008A5AC3"/>
    <w:rsid w:val="008A7A65"/>
    <w:rsid w:val="008B2571"/>
    <w:rsid w:val="008B759B"/>
    <w:rsid w:val="008B7607"/>
    <w:rsid w:val="008B796A"/>
    <w:rsid w:val="008B7D3A"/>
    <w:rsid w:val="008C10F4"/>
    <w:rsid w:val="008C1154"/>
    <w:rsid w:val="008C3EBB"/>
    <w:rsid w:val="008C665A"/>
    <w:rsid w:val="008D0B87"/>
    <w:rsid w:val="008D269E"/>
    <w:rsid w:val="008D4846"/>
    <w:rsid w:val="008D6B2C"/>
    <w:rsid w:val="008D70BF"/>
    <w:rsid w:val="008E0351"/>
    <w:rsid w:val="008E0985"/>
    <w:rsid w:val="008E5722"/>
    <w:rsid w:val="008E744C"/>
    <w:rsid w:val="008F039F"/>
    <w:rsid w:val="008F0919"/>
    <w:rsid w:val="00900B6A"/>
    <w:rsid w:val="00901427"/>
    <w:rsid w:val="00902694"/>
    <w:rsid w:val="0090465E"/>
    <w:rsid w:val="00910749"/>
    <w:rsid w:val="00912A11"/>
    <w:rsid w:val="0091403F"/>
    <w:rsid w:val="00915A3C"/>
    <w:rsid w:val="00921E41"/>
    <w:rsid w:val="009231F0"/>
    <w:rsid w:val="0092477B"/>
    <w:rsid w:val="00930E8B"/>
    <w:rsid w:val="00931090"/>
    <w:rsid w:val="009317E4"/>
    <w:rsid w:val="00933433"/>
    <w:rsid w:val="009337A2"/>
    <w:rsid w:val="00933C55"/>
    <w:rsid w:val="009352C9"/>
    <w:rsid w:val="00936F6D"/>
    <w:rsid w:val="0094137B"/>
    <w:rsid w:val="009428E5"/>
    <w:rsid w:val="00946B1D"/>
    <w:rsid w:val="00946BD1"/>
    <w:rsid w:val="00951B96"/>
    <w:rsid w:val="00954BD1"/>
    <w:rsid w:val="009561AD"/>
    <w:rsid w:val="00956B8B"/>
    <w:rsid w:val="00961D59"/>
    <w:rsid w:val="00961EB5"/>
    <w:rsid w:val="00962166"/>
    <w:rsid w:val="00963747"/>
    <w:rsid w:val="0096526B"/>
    <w:rsid w:val="00965321"/>
    <w:rsid w:val="00967BB2"/>
    <w:rsid w:val="00970CEA"/>
    <w:rsid w:val="00971526"/>
    <w:rsid w:val="00971E2D"/>
    <w:rsid w:val="00973520"/>
    <w:rsid w:val="009758A2"/>
    <w:rsid w:val="009762D6"/>
    <w:rsid w:val="00977224"/>
    <w:rsid w:val="00982128"/>
    <w:rsid w:val="00982763"/>
    <w:rsid w:val="00982B32"/>
    <w:rsid w:val="00983F73"/>
    <w:rsid w:val="00987C36"/>
    <w:rsid w:val="00993292"/>
    <w:rsid w:val="009932B0"/>
    <w:rsid w:val="00994CD2"/>
    <w:rsid w:val="0099520B"/>
    <w:rsid w:val="009977E7"/>
    <w:rsid w:val="00997D5B"/>
    <w:rsid w:val="009A027A"/>
    <w:rsid w:val="009A080B"/>
    <w:rsid w:val="009A172C"/>
    <w:rsid w:val="009A29E3"/>
    <w:rsid w:val="009A41F3"/>
    <w:rsid w:val="009A432C"/>
    <w:rsid w:val="009A69E5"/>
    <w:rsid w:val="009A74BE"/>
    <w:rsid w:val="009B020F"/>
    <w:rsid w:val="009B429F"/>
    <w:rsid w:val="009B605C"/>
    <w:rsid w:val="009B6402"/>
    <w:rsid w:val="009C3ED3"/>
    <w:rsid w:val="009D28AD"/>
    <w:rsid w:val="009D5AF8"/>
    <w:rsid w:val="009D758B"/>
    <w:rsid w:val="009E1A9E"/>
    <w:rsid w:val="009E3D4F"/>
    <w:rsid w:val="009F33DD"/>
    <w:rsid w:val="009F3BC4"/>
    <w:rsid w:val="00A001B0"/>
    <w:rsid w:val="00A00989"/>
    <w:rsid w:val="00A00B58"/>
    <w:rsid w:val="00A040E5"/>
    <w:rsid w:val="00A0473E"/>
    <w:rsid w:val="00A05A17"/>
    <w:rsid w:val="00A05F82"/>
    <w:rsid w:val="00A12A8E"/>
    <w:rsid w:val="00A14F1D"/>
    <w:rsid w:val="00A211AE"/>
    <w:rsid w:val="00A24F17"/>
    <w:rsid w:val="00A26AE3"/>
    <w:rsid w:val="00A276D7"/>
    <w:rsid w:val="00A32745"/>
    <w:rsid w:val="00A335BA"/>
    <w:rsid w:val="00A35294"/>
    <w:rsid w:val="00A35AC9"/>
    <w:rsid w:val="00A35D4D"/>
    <w:rsid w:val="00A41344"/>
    <w:rsid w:val="00A43362"/>
    <w:rsid w:val="00A43C75"/>
    <w:rsid w:val="00A466D3"/>
    <w:rsid w:val="00A46D7D"/>
    <w:rsid w:val="00A4712E"/>
    <w:rsid w:val="00A478FB"/>
    <w:rsid w:val="00A53417"/>
    <w:rsid w:val="00A56EA0"/>
    <w:rsid w:val="00A60591"/>
    <w:rsid w:val="00A60786"/>
    <w:rsid w:val="00A61089"/>
    <w:rsid w:val="00A61280"/>
    <w:rsid w:val="00A61526"/>
    <w:rsid w:val="00A62C19"/>
    <w:rsid w:val="00A64381"/>
    <w:rsid w:val="00A64B94"/>
    <w:rsid w:val="00A67369"/>
    <w:rsid w:val="00A67EE1"/>
    <w:rsid w:val="00A70510"/>
    <w:rsid w:val="00A74D45"/>
    <w:rsid w:val="00A7557E"/>
    <w:rsid w:val="00A771A0"/>
    <w:rsid w:val="00A8055A"/>
    <w:rsid w:val="00A816E6"/>
    <w:rsid w:val="00A82611"/>
    <w:rsid w:val="00A82EE3"/>
    <w:rsid w:val="00A82F63"/>
    <w:rsid w:val="00A83567"/>
    <w:rsid w:val="00A84B92"/>
    <w:rsid w:val="00A86333"/>
    <w:rsid w:val="00A90180"/>
    <w:rsid w:val="00A945E0"/>
    <w:rsid w:val="00A96850"/>
    <w:rsid w:val="00A97F20"/>
    <w:rsid w:val="00AA1608"/>
    <w:rsid w:val="00AA2FF8"/>
    <w:rsid w:val="00AA416E"/>
    <w:rsid w:val="00AA61DE"/>
    <w:rsid w:val="00AA63E2"/>
    <w:rsid w:val="00AA64AD"/>
    <w:rsid w:val="00AA6A3B"/>
    <w:rsid w:val="00AA77CE"/>
    <w:rsid w:val="00AA797E"/>
    <w:rsid w:val="00AB031E"/>
    <w:rsid w:val="00AB159F"/>
    <w:rsid w:val="00AB4349"/>
    <w:rsid w:val="00AB5AE0"/>
    <w:rsid w:val="00AB5BFA"/>
    <w:rsid w:val="00AB745D"/>
    <w:rsid w:val="00AC166D"/>
    <w:rsid w:val="00AC171C"/>
    <w:rsid w:val="00AC3775"/>
    <w:rsid w:val="00AC4FF0"/>
    <w:rsid w:val="00AC55A8"/>
    <w:rsid w:val="00AC5E11"/>
    <w:rsid w:val="00AC6597"/>
    <w:rsid w:val="00AC751B"/>
    <w:rsid w:val="00AC7CA1"/>
    <w:rsid w:val="00AD0030"/>
    <w:rsid w:val="00AD0AD6"/>
    <w:rsid w:val="00AD10F2"/>
    <w:rsid w:val="00AD4582"/>
    <w:rsid w:val="00AD4946"/>
    <w:rsid w:val="00AD55F7"/>
    <w:rsid w:val="00AD6A83"/>
    <w:rsid w:val="00AD7592"/>
    <w:rsid w:val="00AE4A72"/>
    <w:rsid w:val="00AE6197"/>
    <w:rsid w:val="00AF02F4"/>
    <w:rsid w:val="00AF3181"/>
    <w:rsid w:val="00AF5047"/>
    <w:rsid w:val="00AF56E5"/>
    <w:rsid w:val="00AF5D97"/>
    <w:rsid w:val="00AF617D"/>
    <w:rsid w:val="00AF6EDB"/>
    <w:rsid w:val="00B0037E"/>
    <w:rsid w:val="00B03808"/>
    <w:rsid w:val="00B04661"/>
    <w:rsid w:val="00B05A35"/>
    <w:rsid w:val="00B06B33"/>
    <w:rsid w:val="00B0705A"/>
    <w:rsid w:val="00B07143"/>
    <w:rsid w:val="00B115AF"/>
    <w:rsid w:val="00B1288D"/>
    <w:rsid w:val="00B15B95"/>
    <w:rsid w:val="00B16B2D"/>
    <w:rsid w:val="00B17229"/>
    <w:rsid w:val="00B20F48"/>
    <w:rsid w:val="00B21CB1"/>
    <w:rsid w:val="00B21D46"/>
    <w:rsid w:val="00B27E71"/>
    <w:rsid w:val="00B3084E"/>
    <w:rsid w:val="00B308EB"/>
    <w:rsid w:val="00B30B30"/>
    <w:rsid w:val="00B31AA0"/>
    <w:rsid w:val="00B32E08"/>
    <w:rsid w:val="00B3457A"/>
    <w:rsid w:val="00B34A2F"/>
    <w:rsid w:val="00B34DFB"/>
    <w:rsid w:val="00B3590B"/>
    <w:rsid w:val="00B35C07"/>
    <w:rsid w:val="00B36FC4"/>
    <w:rsid w:val="00B40125"/>
    <w:rsid w:val="00B41532"/>
    <w:rsid w:val="00B424F2"/>
    <w:rsid w:val="00B46948"/>
    <w:rsid w:val="00B5052B"/>
    <w:rsid w:val="00B51B3A"/>
    <w:rsid w:val="00B52D9F"/>
    <w:rsid w:val="00B53AB0"/>
    <w:rsid w:val="00B555F2"/>
    <w:rsid w:val="00B556C2"/>
    <w:rsid w:val="00B5702E"/>
    <w:rsid w:val="00B601D8"/>
    <w:rsid w:val="00B6024C"/>
    <w:rsid w:val="00B62B83"/>
    <w:rsid w:val="00B64DF1"/>
    <w:rsid w:val="00B66BFD"/>
    <w:rsid w:val="00B674F5"/>
    <w:rsid w:val="00B77E83"/>
    <w:rsid w:val="00B807FB"/>
    <w:rsid w:val="00B80C68"/>
    <w:rsid w:val="00B82BC8"/>
    <w:rsid w:val="00B83AFF"/>
    <w:rsid w:val="00B87FC8"/>
    <w:rsid w:val="00B9331B"/>
    <w:rsid w:val="00B955A1"/>
    <w:rsid w:val="00B95819"/>
    <w:rsid w:val="00B97B5C"/>
    <w:rsid w:val="00BA0998"/>
    <w:rsid w:val="00BA3861"/>
    <w:rsid w:val="00BA7367"/>
    <w:rsid w:val="00BB2593"/>
    <w:rsid w:val="00BB5746"/>
    <w:rsid w:val="00BC0039"/>
    <w:rsid w:val="00BC2D42"/>
    <w:rsid w:val="00BD0D30"/>
    <w:rsid w:val="00BD37A4"/>
    <w:rsid w:val="00BD3BBA"/>
    <w:rsid w:val="00BD5051"/>
    <w:rsid w:val="00BE623D"/>
    <w:rsid w:val="00BE6837"/>
    <w:rsid w:val="00BF31AC"/>
    <w:rsid w:val="00BF3486"/>
    <w:rsid w:val="00BF585A"/>
    <w:rsid w:val="00C0006B"/>
    <w:rsid w:val="00C02272"/>
    <w:rsid w:val="00C037A9"/>
    <w:rsid w:val="00C04585"/>
    <w:rsid w:val="00C10086"/>
    <w:rsid w:val="00C10947"/>
    <w:rsid w:val="00C1356A"/>
    <w:rsid w:val="00C14CF7"/>
    <w:rsid w:val="00C16B76"/>
    <w:rsid w:val="00C212F8"/>
    <w:rsid w:val="00C235B3"/>
    <w:rsid w:val="00C248B1"/>
    <w:rsid w:val="00C31336"/>
    <w:rsid w:val="00C321A5"/>
    <w:rsid w:val="00C32F07"/>
    <w:rsid w:val="00C34EC9"/>
    <w:rsid w:val="00C415FE"/>
    <w:rsid w:val="00C41912"/>
    <w:rsid w:val="00C43CFA"/>
    <w:rsid w:val="00C50EA6"/>
    <w:rsid w:val="00C51236"/>
    <w:rsid w:val="00C52049"/>
    <w:rsid w:val="00C522E4"/>
    <w:rsid w:val="00C565C3"/>
    <w:rsid w:val="00C61F22"/>
    <w:rsid w:val="00C626EF"/>
    <w:rsid w:val="00C62E26"/>
    <w:rsid w:val="00C637DF"/>
    <w:rsid w:val="00C63CDD"/>
    <w:rsid w:val="00C63DD2"/>
    <w:rsid w:val="00C649EF"/>
    <w:rsid w:val="00C6641B"/>
    <w:rsid w:val="00C703B5"/>
    <w:rsid w:val="00C72280"/>
    <w:rsid w:val="00C72520"/>
    <w:rsid w:val="00C75FB8"/>
    <w:rsid w:val="00C761D9"/>
    <w:rsid w:val="00C767C2"/>
    <w:rsid w:val="00C80EE5"/>
    <w:rsid w:val="00C817A9"/>
    <w:rsid w:val="00C86C70"/>
    <w:rsid w:val="00C901AD"/>
    <w:rsid w:val="00C907BC"/>
    <w:rsid w:val="00C9135C"/>
    <w:rsid w:val="00C91A63"/>
    <w:rsid w:val="00C96707"/>
    <w:rsid w:val="00CA1E72"/>
    <w:rsid w:val="00CA2A1D"/>
    <w:rsid w:val="00CA3E3C"/>
    <w:rsid w:val="00CA4CD5"/>
    <w:rsid w:val="00CA6B23"/>
    <w:rsid w:val="00CB005B"/>
    <w:rsid w:val="00CB2CBF"/>
    <w:rsid w:val="00CB4C89"/>
    <w:rsid w:val="00CB4FEF"/>
    <w:rsid w:val="00CB630E"/>
    <w:rsid w:val="00CB6E43"/>
    <w:rsid w:val="00CB7CE3"/>
    <w:rsid w:val="00CB7F5D"/>
    <w:rsid w:val="00CC1BCF"/>
    <w:rsid w:val="00CC3946"/>
    <w:rsid w:val="00CC3FD1"/>
    <w:rsid w:val="00CC4D4B"/>
    <w:rsid w:val="00CC5DEE"/>
    <w:rsid w:val="00CC7DB8"/>
    <w:rsid w:val="00CD0355"/>
    <w:rsid w:val="00CD2F26"/>
    <w:rsid w:val="00CD3413"/>
    <w:rsid w:val="00CD38FE"/>
    <w:rsid w:val="00CD6DFF"/>
    <w:rsid w:val="00CD6F32"/>
    <w:rsid w:val="00CE11B3"/>
    <w:rsid w:val="00CE18BC"/>
    <w:rsid w:val="00CE34F9"/>
    <w:rsid w:val="00CE4190"/>
    <w:rsid w:val="00CE422A"/>
    <w:rsid w:val="00CE42E4"/>
    <w:rsid w:val="00CE5CD9"/>
    <w:rsid w:val="00CE6CBB"/>
    <w:rsid w:val="00CF31A2"/>
    <w:rsid w:val="00CF5927"/>
    <w:rsid w:val="00CF6378"/>
    <w:rsid w:val="00CF6A73"/>
    <w:rsid w:val="00D001F5"/>
    <w:rsid w:val="00D03956"/>
    <w:rsid w:val="00D05F1B"/>
    <w:rsid w:val="00D0677F"/>
    <w:rsid w:val="00D06F45"/>
    <w:rsid w:val="00D07FA2"/>
    <w:rsid w:val="00D10109"/>
    <w:rsid w:val="00D10F52"/>
    <w:rsid w:val="00D14209"/>
    <w:rsid w:val="00D14F91"/>
    <w:rsid w:val="00D155F4"/>
    <w:rsid w:val="00D16876"/>
    <w:rsid w:val="00D171A2"/>
    <w:rsid w:val="00D2042C"/>
    <w:rsid w:val="00D20564"/>
    <w:rsid w:val="00D21E63"/>
    <w:rsid w:val="00D2339D"/>
    <w:rsid w:val="00D245C9"/>
    <w:rsid w:val="00D26F70"/>
    <w:rsid w:val="00D31A03"/>
    <w:rsid w:val="00D3521E"/>
    <w:rsid w:val="00D43B9E"/>
    <w:rsid w:val="00D43BE4"/>
    <w:rsid w:val="00D465EB"/>
    <w:rsid w:val="00D46CE7"/>
    <w:rsid w:val="00D50B4E"/>
    <w:rsid w:val="00D53104"/>
    <w:rsid w:val="00D55D20"/>
    <w:rsid w:val="00D565AD"/>
    <w:rsid w:val="00D654ED"/>
    <w:rsid w:val="00D77631"/>
    <w:rsid w:val="00D826D6"/>
    <w:rsid w:val="00D84933"/>
    <w:rsid w:val="00D85149"/>
    <w:rsid w:val="00D8775F"/>
    <w:rsid w:val="00D93463"/>
    <w:rsid w:val="00D94913"/>
    <w:rsid w:val="00DA035B"/>
    <w:rsid w:val="00DA193D"/>
    <w:rsid w:val="00DA1EA3"/>
    <w:rsid w:val="00DA24BB"/>
    <w:rsid w:val="00DA359B"/>
    <w:rsid w:val="00DA430A"/>
    <w:rsid w:val="00DA4A40"/>
    <w:rsid w:val="00DB2959"/>
    <w:rsid w:val="00DB29C0"/>
    <w:rsid w:val="00DB35D8"/>
    <w:rsid w:val="00DB3E8E"/>
    <w:rsid w:val="00DC094F"/>
    <w:rsid w:val="00DC276A"/>
    <w:rsid w:val="00DC619A"/>
    <w:rsid w:val="00DC732A"/>
    <w:rsid w:val="00DC73C1"/>
    <w:rsid w:val="00DC76EC"/>
    <w:rsid w:val="00DD03B7"/>
    <w:rsid w:val="00DD4FD8"/>
    <w:rsid w:val="00DD523F"/>
    <w:rsid w:val="00DD7536"/>
    <w:rsid w:val="00DE11EC"/>
    <w:rsid w:val="00DE2824"/>
    <w:rsid w:val="00DE4DA4"/>
    <w:rsid w:val="00DE5DF4"/>
    <w:rsid w:val="00DE7614"/>
    <w:rsid w:val="00DE7CAC"/>
    <w:rsid w:val="00DF1054"/>
    <w:rsid w:val="00DF631B"/>
    <w:rsid w:val="00DF65DE"/>
    <w:rsid w:val="00DF796C"/>
    <w:rsid w:val="00E006CF"/>
    <w:rsid w:val="00E0399B"/>
    <w:rsid w:val="00E06E1F"/>
    <w:rsid w:val="00E07591"/>
    <w:rsid w:val="00E10359"/>
    <w:rsid w:val="00E1084D"/>
    <w:rsid w:val="00E11AD3"/>
    <w:rsid w:val="00E11ADC"/>
    <w:rsid w:val="00E11E89"/>
    <w:rsid w:val="00E14C4A"/>
    <w:rsid w:val="00E1780E"/>
    <w:rsid w:val="00E20CAA"/>
    <w:rsid w:val="00E2142F"/>
    <w:rsid w:val="00E219F3"/>
    <w:rsid w:val="00E21E4E"/>
    <w:rsid w:val="00E25A59"/>
    <w:rsid w:val="00E27F2B"/>
    <w:rsid w:val="00E30ECC"/>
    <w:rsid w:val="00E32CBA"/>
    <w:rsid w:val="00E34019"/>
    <w:rsid w:val="00E35C86"/>
    <w:rsid w:val="00E4141B"/>
    <w:rsid w:val="00E43E37"/>
    <w:rsid w:val="00E449A4"/>
    <w:rsid w:val="00E4503E"/>
    <w:rsid w:val="00E46F87"/>
    <w:rsid w:val="00E477E5"/>
    <w:rsid w:val="00E51134"/>
    <w:rsid w:val="00E526EE"/>
    <w:rsid w:val="00E52B42"/>
    <w:rsid w:val="00E537FF"/>
    <w:rsid w:val="00E546AD"/>
    <w:rsid w:val="00E60EA5"/>
    <w:rsid w:val="00E634D5"/>
    <w:rsid w:val="00E65B38"/>
    <w:rsid w:val="00E70316"/>
    <w:rsid w:val="00E7041A"/>
    <w:rsid w:val="00E75723"/>
    <w:rsid w:val="00E76731"/>
    <w:rsid w:val="00E770D3"/>
    <w:rsid w:val="00E77259"/>
    <w:rsid w:val="00E81820"/>
    <w:rsid w:val="00E92CCB"/>
    <w:rsid w:val="00E932D6"/>
    <w:rsid w:val="00E94C89"/>
    <w:rsid w:val="00E94FA7"/>
    <w:rsid w:val="00E95B4C"/>
    <w:rsid w:val="00E96809"/>
    <w:rsid w:val="00E9710E"/>
    <w:rsid w:val="00EA276B"/>
    <w:rsid w:val="00EA306E"/>
    <w:rsid w:val="00EA44EA"/>
    <w:rsid w:val="00EA45E6"/>
    <w:rsid w:val="00EA70AC"/>
    <w:rsid w:val="00EB3C3F"/>
    <w:rsid w:val="00EB4924"/>
    <w:rsid w:val="00EB55AD"/>
    <w:rsid w:val="00EB6C25"/>
    <w:rsid w:val="00EB6CC6"/>
    <w:rsid w:val="00EB7D12"/>
    <w:rsid w:val="00EC0E2C"/>
    <w:rsid w:val="00EC0F7A"/>
    <w:rsid w:val="00EC1019"/>
    <w:rsid w:val="00EC2489"/>
    <w:rsid w:val="00EC69C2"/>
    <w:rsid w:val="00ED1C5B"/>
    <w:rsid w:val="00ED23E1"/>
    <w:rsid w:val="00ED4BF6"/>
    <w:rsid w:val="00ED57E6"/>
    <w:rsid w:val="00ED6957"/>
    <w:rsid w:val="00EE0485"/>
    <w:rsid w:val="00EE04A9"/>
    <w:rsid w:val="00EE5E99"/>
    <w:rsid w:val="00EF2039"/>
    <w:rsid w:val="00EF3702"/>
    <w:rsid w:val="00EF4863"/>
    <w:rsid w:val="00EF4F12"/>
    <w:rsid w:val="00EF5FC1"/>
    <w:rsid w:val="00EF616C"/>
    <w:rsid w:val="00EF6A0A"/>
    <w:rsid w:val="00F0226A"/>
    <w:rsid w:val="00F03F2C"/>
    <w:rsid w:val="00F0425E"/>
    <w:rsid w:val="00F059F0"/>
    <w:rsid w:val="00F10540"/>
    <w:rsid w:val="00F15196"/>
    <w:rsid w:val="00F178A0"/>
    <w:rsid w:val="00F20C07"/>
    <w:rsid w:val="00F210D6"/>
    <w:rsid w:val="00F22702"/>
    <w:rsid w:val="00F24518"/>
    <w:rsid w:val="00F2521A"/>
    <w:rsid w:val="00F257D3"/>
    <w:rsid w:val="00F25D27"/>
    <w:rsid w:val="00F27068"/>
    <w:rsid w:val="00F31529"/>
    <w:rsid w:val="00F3211F"/>
    <w:rsid w:val="00F34201"/>
    <w:rsid w:val="00F34A6B"/>
    <w:rsid w:val="00F3591B"/>
    <w:rsid w:val="00F36D09"/>
    <w:rsid w:val="00F41703"/>
    <w:rsid w:val="00F42880"/>
    <w:rsid w:val="00F51C70"/>
    <w:rsid w:val="00F52B13"/>
    <w:rsid w:val="00F52C3F"/>
    <w:rsid w:val="00F54414"/>
    <w:rsid w:val="00F55324"/>
    <w:rsid w:val="00F55527"/>
    <w:rsid w:val="00F56062"/>
    <w:rsid w:val="00F6028D"/>
    <w:rsid w:val="00F60C4D"/>
    <w:rsid w:val="00F64DBF"/>
    <w:rsid w:val="00F664FE"/>
    <w:rsid w:val="00F70643"/>
    <w:rsid w:val="00F716E4"/>
    <w:rsid w:val="00F72BC1"/>
    <w:rsid w:val="00F72FF0"/>
    <w:rsid w:val="00F76ABA"/>
    <w:rsid w:val="00F76C21"/>
    <w:rsid w:val="00F777EA"/>
    <w:rsid w:val="00F82C3C"/>
    <w:rsid w:val="00F82CBB"/>
    <w:rsid w:val="00F82DDC"/>
    <w:rsid w:val="00F82DF6"/>
    <w:rsid w:val="00F84865"/>
    <w:rsid w:val="00F90A05"/>
    <w:rsid w:val="00F91891"/>
    <w:rsid w:val="00F954DA"/>
    <w:rsid w:val="00F955E8"/>
    <w:rsid w:val="00F97E0D"/>
    <w:rsid w:val="00FA285D"/>
    <w:rsid w:val="00FA606C"/>
    <w:rsid w:val="00FA63E4"/>
    <w:rsid w:val="00FA7D4A"/>
    <w:rsid w:val="00FB1E4B"/>
    <w:rsid w:val="00FB781E"/>
    <w:rsid w:val="00FC2083"/>
    <w:rsid w:val="00FC6304"/>
    <w:rsid w:val="00FC6A93"/>
    <w:rsid w:val="00FD1A37"/>
    <w:rsid w:val="00FD38FF"/>
    <w:rsid w:val="00FD393A"/>
    <w:rsid w:val="00FD52EC"/>
    <w:rsid w:val="00FD6F4A"/>
    <w:rsid w:val="00FD74BB"/>
    <w:rsid w:val="00FD799D"/>
    <w:rsid w:val="00FE00A2"/>
    <w:rsid w:val="00FE1953"/>
    <w:rsid w:val="00FE1965"/>
    <w:rsid w:val="00FE5986"/>
    <w:rsid w:val="00FE7E6B"/>
    <w:rsid w:val="00FF098C"/>
    <w:rsid w:val="00FF0C52"/>
    <w:rsid w:val="00FF1F29"/>
    <w:rsid w:val="00FF348E"/>
    <w:rsid w:val="00FF4F71"/>
    <w:rsid w:val="00FF6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7D333B90"/>
  <w15:docId w15:val="{9B1A1450-1698-4BAD-A091-546C03343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1D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61D5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61D5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05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0564"/>
  </w:style>
  <w:style w:type="paragraph" w:styleId="Footer">
    <w:name w:val="footer"/>
    <w:basedOn w:val="Normal"/>
    <w:link w:val="FooterChar"/>
    <w:uiPriority w:val="99"/>
    <w:unhideWhenUsed/>
    <w:rsid w:val="00D205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0564"/>
  </w:style>
  <w:style w:type="paragraph" w:styleId="BalloonText">
    <w:name w:val="Balloon Text"/>
    <w:basedOn w:val="Normal"/>
    <w:link w:val="BalloonTextChar"/>
    <w:uiPriority w:val="99"/>
    <w:semiHidden/>
    <w:unhideWhenUsed/>
    <w:rsid w:val="00D205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564"/>
    <w:rPr>
      <w:rFonts w:ascii="Tahoma" w:hAnsi="Tahoma" w:cs="Tahoma"/>
      <w:sz w:val="16"/>
      <w:szCs w:val="16"/>
    </w:rPr>
  </w:style>
  <w:style w:type="paragraph" w:styleId="ListParagraph">
    <w:name w:val="List Paragraph"/>
    <w:basedOn w:val="Normal"/>
    <w:uiPriority w:val="34"/>
    <w:qFormat/>
    <w:rsid w:val="0030483E"/>
    <w:pPr>
      <w:ind w:left="720"/>
      <w:contextualSpacing/>
    </w:pPr>
  </w:style>
  <w:style w:type="character" w:styleId="LineNumber">
    <w:name w:val="line number"/>
    <w:basedOn w:val="DefaultParagraphFont"/>
    <w:uiPriority w:val="99"/>
    <w:semiHidden/>
    <w:unhideWhenUsed/>
    <w:rsid w:val="00EF2039"/>
  </w:style>
  <w:style w:type="character" w:styleId="IntenseReference">
    <w:name w:val="Intense Reference"/>
    <w:basedOn w:val="DefaultParagraphFont"/>
    <w:uiPriority w:val="32"/>
    <w:qFormat/>
    <w:rsid w:val="00884DBC"/>
    <w:rPr>
      <w:b/>
      <w:bCs/>
      <w:smallCaps/>
      <w:color w:val="C0504D" w:themeColor="accent2"/>
      <w:spacing w:val="5"/>
      <w:u w:val="single"/>
    </w:rPr>
  </w:style>
  <w:style w:type="character" w:styleId="BookTitle">
    <w:name w:val="Book Title"/>
    <w:basedOn w:val="DefaultParagraphFont"/>
    <w:uiPriority w:val="33"/>
    <w:qFormat/>
    <w:rsid w:val="00884DBC"/>
    <w:rPr>
      <w:b/>
      <w:bCs/>
      <w:smallCaps/>
      <w:spacing w:val="5"/>
    </w:rPr>
  </w:style>
  <w:style w:type="character" w:styleId="SubtleReference">
    <w:name w:val="Subtle Reference"/>
    <w:basedOn w:val="DefaultParagraphFont"/>
    <w:uiPriority w:val="31"/>
    <w:qFormat/>
    <w:rsid w:val="00884DBC"/>
    <w:rPr>
      <w:smallCaps/>
      <w:color w:val="C0504D" w:themeColor="accent2"/>
      <w:u w:val="single"/>
    </w:rPr>
  </w:style>
  <w:style w:type="paragraph" w:styleId="IntenseQuote">
    <w:name w:val="Intense Quote"/>
    <w:aliases w:val="Kris' COS Style"/>
    <w:basedOn w:val="Normal"/>
    <w:next w:val="Normal"/>
    <w:link w:val="IntenseQuoteChar"/>
    <w:autoRedefine/>
    <w:uiPriority w:val="30"/>
    <w:qFormat/>
    <w:rsid w:val="008C10F4"/>
    <w:pPr>
      <w:pBdr>
        <w:top w:val="single" w:sz="4" w:space="1" w:color="C0504D" w:themeColor="accent2"/>
        <w:right w:val="single" w:sz="4" w:space="4" w:color="C0504D" w:themeColor="accent2"/>
      </w:pBdr>
      <w:shd w:val="clear" w:color="auto" w:fill="C0504D" w:themeFill="accent2"/>
      <w:spacing w:before="200" w:after="280" w:line="240" w:lineRule="auto"/>
      <w:ind w:right="936"/>
    </w:pPr>
    <w:rPr>
      <w:b/>
      <w:bCs/>
      <w:iCs/>
      <w:color w:val="FFFFFF" w:themeColor="background1"/>
      <w:sz w:val="40"/>
    </w:rPr>
  </w:style>
  <w:style w:type="character" w:customStyle="1" w:styleId="IntenseQuoteChar">
    <w:name w:val="Intense Quote Char"/>
    <w:aliases w:val="Kris' COS Style Char"/>
    <w:basedOn w:val="DefaultParagraphFont"/>
    <w:link w:val="IntenseQuote"/>
    <w:uiPriority w:val="30"/>
    <w:rsid w:val="008C10F4"/>
    <w:rPr>
      <w:b/>
      <w:bCs/>
      <w:iCs/>
      <w:color w:val="FFFFFF" w:themeColor="background1"/>
      <w:sz w:val="40"/>
      <w:shd w:val="clear" w:color="auto" w:fill="C0504D" w:themeFill="accent2"/>
    </w:rPr>
  </w:style>
  <w:style w:type="paragraph" w:styleId="Quote">
    <w:name w:val="Quote"/>
    <w:aliases w:val="COS Sub Header"/>
    <w:basedOn w:val="Normal"/>
    <w:next w:val="Normal"/>
    <w:link w:val="QuoteChar"/>
    <w:uiPriority w:val="29"/>
    <w:qFormat/>
    <w:rsid w:val="00884DBC"/>
    <w:pPr>
      <w:pBdr>
        <w:bottom w:val="single" w:sz="18" w:space="1" w:color="C0504D" w:themeColor="accent2"/>
      </w:pBdr>
    </w:pPr>
    <w:rPr>
      <w:b/>
      <w:iCs/>
      <w:color w:val="000000" w:themeColor="text1"/>
      <w:sz w:val="28"/>
    </w:rPr>
  </w:style>
  <w:style w:type="character" w:customStyle="1" w:styleId="QuoteChar">
    <w:name w:val="Quote Char"/>
    <w:aliases w:val="COS Sub Header Char"/>
    <w:basedOn w:val="DefaultParagraphFont"/>
    <w:link w:val="Quote"/>
    <w:uiPriority w:val="29"/>
    <w:rsid w:val="00884DBC"/>
    <w:rPr>
      <w:b/>
      <w:iCs/>
      <w:color w:val="000000" w:themeColor="text1"/>
      <w:sz w:val="28"/>
    </w:rPr>
  </w:style>
  <w:style w:type="character" w:customStyle="1" w:styleId="Heading1Char">
    <w:name w:val="Heading 1 Char"/>
    <w:basedOn w:val="DefaultParagraphFont"/>
    <w:link w:val="Heading1"/>
    <w:uiPriority w:val="9"/>
    <w:rsid w:val="00961D5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961D59"/>
    <w:pPr>
      <w:outlineLvl w:val="9"/>
    </w:pPr>
    <w:rPr>
      <w:lang w:eastAsia="ja-JP"/>
    </w:rPr>
  </w:style>
  <w:style w:type="character" w:customStyle="1" w:styleId="Heading2Char">
    <w:name w:val="Heading 2 Char"/>
    <w:basedOn w:val="DefaultParagraphFont"/>
    <w:link w:val="Heading2"/>
    <w:uiPriority w:val="9"/>
    <w:semiHidden/>
    <w:rsid w:val="00961D5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61D59"/>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961D59"/>
    <w:pPr>
      <w:spacing w:after="100"/>
    </w:pPr>
  </w:style>
  <w:style w:type="paragraph" w:styleId="TOC2">
    <w:name w:val="toc 2"/>
    <w:basedOn w:val="Normal"/>
    <w:next w:val="Normal"/>
    <w:autoRedefine/>
    <w:uiPriority w:val="39"/>
    <w:unhideWhenUsed/>
    <w:rsid w:val="00961D59"/>
    <w:pPr>
      <w:spacing w:after="100"/>
      <w:ind w:left="220"/>
    </w:pPr>
  </w:style>
  <w:style w:type="character" w:styleId="Hyperlink">
    <w:name w:val="Hyperlink"/>
    <w:basedOn w:val="DefaultParagraphFont"/>
    <w:uiPriority w:val="99"/>
    <w:unhideWhenUsed/>
    <w:rsid w:val="00E34019"/>
    <w:rPr>
      <w:color w:val="0000FF" w:themeColor="hyperlink"/>
      <w:u w:val="single"/>
    </w:rPr>
  </w:style>
  <w:style w:type="character" w:styleId="FollowedHyperlink">
    <w:name w:val="FollowedHyperlink"/>
    <w:basedOn w:val="DefaultParagraphFont"/>
    <w:uiPriority w:val="99"/>
    <w:semiHidden/>
    <w:unhideWhenUsed/>
    <w:rsid w:val="001741FA"/>
    <w:rPr>
      <w:color w:val="800080" w:themeColor="followedHyperlink"/>
      <w:u w:val="single"/>
    </w:rPr>
  </w:style>
  <w:style w:type="paragraph" w:styleId="Caption">
    <w:name w:val="caption"/>
    <w:basedOn w:val="Normal"/>
    <w:next w:val="Normal"/>
    <w:uiPriority w:val="35"/>
    <w:unhideWhenUsed/>
    <w:qFormat/>
    <w:rsid w:val="00D0677F"/>
    <w:pPr>
      <w:spacing w:line="240" w:lineRule="auto"/>
    </w:pPr>
    <w:rPr>
      <w:b/>
      <w:bCs/>
      <w:color w:val="4F81BD" w:themeColor="accent1"/>
      <w:sz w:val="18"/>
      <w:szCs w:val="18"/>
    </w:rPr>
  </w:style>
  <w:style w:type="paragraph" w:styleId="NormalWeb">
    <w:name w:val="Normal (Web)"/>
    <w:basedOn w:val="Normal"/>
    <w:uiPriority w:val="99"/>
    <w:unhideWhenUsed/>
    <w:rsid w:val="00FE1953"/>
    <w:pPr>
      <w:spacing w:before="100" w:beforeAutospacing="1" w:after="100" w:afterAutospacing="1" w:line="240" w:lineRule="auto"/>
    </w:pPr>
    <w:rPr>
      <w:rFonts w:ascii="Arial Unicode MS" w:eastAsia="Arial Unicode MS" w:hAnsi="Arial Unicode MS" w:cs="Arial Unicode MS"/>
      <w:sz w:val="24"/>
      <w:szCs w:val="24"/>
    </w:rPr>
  </w:style>
  <w:style w:type="table" w:styleId="TableGrid">
    <w:name w:val="Table Grid"/>
    <w:basedOn w:val="TableNormal"/>
    <w:uiPriority w:val="59"/>
    <w:rsid w:val="00C63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315D4"/>
    <w:pPr>
      <w:spacing w:after="0" w:line="240" w:lineRule="auto"/>
    </w:pPr>
  </w:style>
  <w:style w:type="paragraph" w:customStyle="1" w:styleId="Default">
    <w:name w:val="Default"/>
    <w:rsid w:val="00580528"/>
    <w:pPr>
      <w:autoSpaceDE w:val="0"/>
      <w:autoSpaceDN w:val="0"/>
      <w:adjustRightInd w:val="0"/>
      <w:spacing w:after="0" w:line="240" w:lineRule="auto"/>
    </w:pPr>
    <w:rPr>
      <w:rFonts w:ascii="Times New Roman" w:hAnsi="Times New Roman" w:cs="Times New Roman"/>
      <w:color w:val="000000"/>
      <w:sz w:val="24"/>
      <w:szCs w:val="24"/>
    </w:rPr>
  </w:style>
  <w:style w:type="paragraph" w:styleId="TOC3">
    <w:name w:val="toc 3"/>
    <w:basedOn w:val="Normal"/>
    <w:next w:val="Normal"/>
    <w:autoRedefine/>
    <w:uiPriority w:val="39"/>
    <w:unhideWhenUsed/>
    <w:rsid w:val="005C200D"/>
    <w:pPr>
      <w:spacing w:after="100" w:line="259" w:lineRule="auto"/>
      <w:ind w:left="440"/>
    </w:pPr>
    <w:rPr>
      <w:rFonts w:eastAsiaTheme="minorEastAsia"/>
    </w:rPr>
  </w:style>
  <w:style w:type="paragraph" w:styleId="TOC4">
    <w:name w:val="toc 4"/>
    <w:basedOn w:val="Normal"/>
    <w:next w:val="Normal"/>
    <w:autoRedefine/>
    <w:uiPriority w:val="39"/>
    <w:unhideWhenUsed/>
    <w:rsid w:val="005C200D"/>
    <w:pPr>
      <w:spacing w:after="100" w:line="259" w:lineRule="auto"/>
      <w:ind w:left="660"/>
    </w:pPr>
    <w:rPr>
      <w:rFonts w:eastAsiaTheme="minorEastAsia"/>
    </w:rPr>
  </w:style>
  <w:style w:type="paragraph" w:styleId="TOC5">
    <w:name w:val="toc 5"/>
    <w:basedOn w:val="Normal"/>
    <w:next w:val="Normal"/>
    <w:autoRedefine/>
    <w:uiPriority w:val="39"/>
    <w:unhideWhenUsed/>
    <w:rsid w:val="005C200D"/>
    <w:pPr>
      <w:spacing w:after="100" w:line="259" w:lineRule="auto"/>
      <w:ind w:left="880"/>
    </w:pPr>
    <w:rPr>
      <w:rFonts w:eastAsiaTheme="minorEastAsia"/>
    </w:rPr>
  </w:style>
  <w:style w:type="paragraph" w:styleId="TOC6">
    <w:name w:val="toc 6"/>
    <w:basedOn w:val="Normal"/>
    <w:next w:val="Normal"/>
    <w:autoRedefine/>
    <w:uiPriority w:val="39"/>
    <w:unhideWhenUsed/>
    <w:rsid w:val="005C200D"/>
    <w:pPr>
      <w:spacing w:after="100" w:line="259" w:lineRule="auto"/>
      <w:ind w:left="1100"/>
    </w:pPr>
    <w:rPr>
      <w:rFonts w:eastAsiaTheme="minorEastAsia"/>
    </w:rPr>
  </w:style>
  <w:style w:type="paragraph" w:styleId="TOC7">
    <w:name w:val="toc 7"/>
    <w:basedOn w:val="Normal"/>
    <w:next w:val="Normal"/>
    <w:autoRedefine/>
    <w:uiPriority w:val="39"/>
    <w:unhideWhenUsed/>
    <w:rsid w:val="005C200D"/>
    <w:pPr>
      <w:spacing w:after="100" w:line="259" w:lineRule="auto"/>
      <w:ind w:left="1320"/>
    </w:pPr>
    <w:rPr>
      <w:rFonts w:eastAsiaTheme="minorEastAsia"/>
    </w:rPr>
  </w:style>
  <w:style w:type="paragraph" w:styleId="TOC8">
    <w:name w:val="toc 8"/>
    <w:basedOn w:val="Normal"/>
    <w:next w:val="Normal"/>
    <w:autoRedefine/>
    <w:uiPriority w:val="39"/>
    <w:unhideWhenUsed/>
    <w:rsid w:val="005C200D"/>
    <w:pPr>
      <w:spacing w:after="100" w:line="259" w:lineRule="auto"/>
      <w:ind w:left="1540"/>
    </w:pPr>
    <w:rPr>
      <w:rFonts w:eastAsiaTheme="minorEastAsia"/>
    </w:rPr>
  </w:style>
  <w:style w:type="paragraph" w:styleId="TOC9">
    <w:name w:val="toc 9"/>
    <w:basedOn w:val="Normal"/>
    <w:next w:val="Normal"/>
    <w:autoRedefine/>
    <w:uiPriority w:val="39"/>
    <w:unhideWhenUsed/>
    <w:rsid w:val="005C200D"/>
    <w:pPr>
      <w:spacing w:after="100" w:line="259" w:lineRule="auto"/>
      <w:ind w:left="1760"/>
    </w:pPr>
    <w:rPr>
      <w:rFonts w:eastAsiaTheme="minorEastAsia"/>
    </w:rPr>
  </w:style>
  <w:style w:type="paragraph" w:styleId="FootnoteText">
    <w:name w:val="footnote text"/>
    <w:basedOn w:val="Normal"/>
    <w:link w:val="FootnoteTextChar"/>
    <w:uiPriority w:val="99"/>
    <w:semiHidden/>
    <w:unhideWhenUsed/>
    <w:rsid w:val="00AC166D"/>
    <w:pPr>
      <w:spacing w:after="0" w:line="240" w:lineRule="auto"/>
    </w:pPr>
    <w:rPr>
      <w:sz w:val="20"/>
      <w:szCs w:val="20"/>
      <w:lang w:val="en-CA"/>
    </w:rPr>
  </w:style>
  <w:style w:type="character" w:customStyle="1" w:styleId="FootnoteTextChar">
    <w:name w:val="Footnote Text Char"/>
    <w:basedOn w:val="DefaultParagraphFont"/>
    <w:link w:val="FootnoteText"/>
    <w:uiPriority w:val="99"/>
    <w:semiHidden/>
    <w:rsid w:val="00AC166D"/>
    <w:rPr>
      <w:sz w:val="20"/>
      <w:szCs w:val="20"/>
      <w:lang w:val="en-CA"/>
    </w:rPr>
  </w:style>
  <w:style w:type="character" w:styleId="FootnoteReference">
    <w:name w:val="footnote reference"/>
    <w:basedOn w:val="DefaultParagraphFont"/>
    <w:uiPriority w:val="99"/>
    <w:semiHidden/>
    <w:unhideWhenUsed/>
    <w:rsid w:val="00AC16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254010">
      <w:bodyDiv w:val="1"/>
      <w:marLeft w:val="0"/>
      <w:marRight w:val="0"/>
      <w:marTop w:val="0"/>
      <w:marBottom w:val="0"/>
      <w:divBdr>
        <w:top w:val="none" w:sz="0" w:space="0" w:color="auto"/>
        <w:left w:val="none" w:sz="0" w:space="0" w:color="auto"/>
        <w:bottom w:val="none" w:sz="0" w:space="0" w:color="auto"/>
        <w:right w:val="none" w:sz="0" w:space="0" w:color="auto"/>
      </w:divBdr>
    </w:div>
    <w:div w:id="1037049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0DBDA-7699-427C-831D-27A2065FC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1069</Words>
  <Characters>6097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 Taylor</dc:creator>
  <cp:lastModifiedBy>Grace Flood</cp:lastModifiedBy>
  <cp:revision>3</cp:revision>
  <cp:lastPrinted>2019-01-14T15:17:00Z</cp:lastPrinted>
  <dcterms:created xsi:type="dcterms:W3CDTF">2022-03-11T02:02:00Z</dcterms:created>
  <dcterms:modified xsi:type="dcterms:W3CDTF">2022-03-11T02:17:00Z</dcterms:modified>
</cp:coreProperties>
</file>