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9A21" w14:textId="77777777" w:rsidR="004E1CB9" w:rsidRDefault="004E1CB9" w:rsidP="00EF2039">
      <w:pPr>
        <w:suppressLineNumbers/>
      </w:pPr>
      <w:bookmarkStart w:id="0" w:name="_Hlk535216652"/>
      <w:bookmarkEnd w:id="0"/>
    </w:p>
    <w:p w14:paraId="21409A3D" w14:textId="77777777" w:rsidR="00D20564" w:rsidRDefault="00D20564" w:rsidP="00EF2039">
      <w:pPr>
        <w:suppressLineNumbers/>
      </w:pPr>
    </w:p>
    <w:p w14:paraId="4669DD1E" w14:textId="77777777" w:rsidR="00D20564" w:rsidRDefault="00D20564" w:rsidP="00EF2039">
      <w:pPr>
        <w:suppressLineNumbers/>
      </w:pPr>
    </w:p>
    <w:p w14:paraId="6654A243" w14:textId="77777777" w:rsidR="00D20564" w:rsidRDefault="00D20564" w:rsidP="00EF2039">
      <w:pPr>
        <w:suppressLineNumbers/>
      </w:pPr>
    </w:p>
    <w:p w14:paraId="57E1C06D" w14:textId="77777777" w:rsidR="00D20564" w:rsidRDefault="00D20564" w:rsidP="00EF2039">
      <w:pPr>
        <w:suppressLineNumbers/>
      </w:pPr>
    </w:p>
    <w:p w14:paraId="1D5A12B9" w14:textId="65A126DB" w:rsidR="004C07EF" w:rsidRPr="004C07EF" w:rsidRDefault="00A90180" w:rsidP="004C07EF">
      <w:pPr>
        <w:suppressLineNumbers/>
        <w:jc w:val="center"/>
        <w:rPr>
          <w:b/>
          <w:sz w:val="100"/>
          <w:szCs w:val="100"/>
          <w14:shadow w14:blurRad="50800" w14:dist="38100" w14:dir="2700000" w14:sx="100000" w14:sy="100000" w14:kx="0" w14:ky="0" w14:algn="tl">
            <w14:srgbClr w14:val="000000">
              <w14:alpha w14:val="60000"/>
            </w14:srgbClr>
          </w14:shadow>
        </w:rPr>
      </w:pPr>
      <w:r w:rsidRPr="00A90180">
        <w:rPr>
          <w:b/>
          <w:sz w:val="100"/>
          <w:szCs w:val="100"/>
          <w14:shadow w14:blurRad="50800" w14:dist="38100" w14:dir="2700000" w14:sx="100000" w14:sy="100000" w14:kx="0" w14:ky="0" w14:algn="tl">
            <w14:srgbClr w14:val="000000">
              <w14:alpha w14:val="60000"/>
            </w14:srgbClr>
          </w14:shadow>
        </w:rPr>
        <w:t>20</w:t>
      </w:r>
      <w:r w:rsidR="00DC76EC">
        <w:rPr>
          <w:b/>
          <w:sz w:val="100"/>
          <w:szCs w:val="100"/>
          <w14:shadow w14:blurRad="50800" w14:dist="38100" w14:dir="2700000" w14:sx="100000" w14:sy="100000" w14:kx="0" w14:ky="0" w14:algn="tl">
            <w14:srgbClr w14:val="000000">
              <w14:alpha w14:val="60000"/>
            </w14:srgbClr>
          </w14:shadow>
        </w:rPr>
        <w:t>22</w:t>
      </w:r>
      <w:r w:rsidRPr="00A90180">
        <w:rPr>
          <w:b/>
          <w:sz w:val="100"/>
          <w:szCs w:val="100"/>
          <w14:shadow w14:blurRad="50800" w14:dist="38100" w14:dir="2700000" w14:sx="100000" w14:sy="100000" w14:kx="0" w14:ky="0" w14:algn="tl">
            <w14:srgbClr w14:val="000000">
              <w14:alpha w14:val="60000"/>
            </w14:srgbClr>
          </w14:shadow>
        </w:rPr>
        <w:t xml:space="preserve"> </w:t>
      </w:r>
      <w:r w:rsidR="00837364">
        <w:rPr>
          <w:b/>
          <w:sz w:val="100"/>
          <w:szCs w:val="100"/>
          <w14:shadow w14:blurRad="50800" w14:dist="38100" w14:dir="2700000" w14:sx="100000" w14:sy="100000" w14:kx="0" w14:ky="0" w14:algn="tl">
            <w14:srgbClr w14:val="000000">
              <w14:alpha w14:val="60000"/>
            </w14:srgbClr>
          </w14:shadow>
        </w:rPr>
        <w:t>IRM</w:t>
      </w:r>
      <w:r w:rsidRPr="00A90180">
        <w:rPr>
          <w:b/>
          <w:sz w:val="100"/>
          <w:szCs w:val="100"/>
          <w14:shadow w14:blurRad="50800" w14:dist="38100" w14:dir="2700000" w14:sx="100000" w14:sy="100000" w14:kx="0" w14:ky="0" w14:algn="tl">
            <w14:srgbClr w14:val="000000">
              <w14:alpha w14:val="60000"/>
            </w14:srgbClr>
          </w14:shadow>
        </w:rPr>
        <w:t xml:space="preserve"> Application</w:t>
      </w:r>
    </w:p>
    <w:p w14:paraId="360D3DB6" w14:textId="696D3368" w:rsidR="00A90180" w:rsidRP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r w:rsidRPr="00A90180">
        <w:rPr>
          <w:sz w:val="60"/>
          <w:szCs w:val="60"/>
          <w14:shadow w14:blurRad="50800" w14:dist="38100" w14:dir="2700000" w14:sx="100000" w14:sy="100000" w14:kx="0" w14:ky="0" w14:algn="tl">
            <w14:srgbClr w14:val="000000">
              <w14:alpha w14:val="60000"/>
            </w14:srgbClr>
          </w14:shadow>
        </w:rPr>
        <w:t>Interrogatory Responses</w:t>
      </w:r>
    </w:p>
    <w:p w14:paraId="35054895" w14:textId="1E77531F" w:rsid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5E5581AE" wp14:editId="115CDF08">
            <wp:simplePos x="0" y="0"/>
            <wp:positionH relativeFrom="column">
              <wp:posOffset>1149985</wp:posOffset>
            </wp:positionH>
            <wp:positionV relativeFrom="paragraph">
              <wp:posOffset>679450</wp:posOffset>
            </wp:positionV>
            <wp:extent cx="3430905" cy="914400"/>
            <wp:effectExtent l="0" t="0" r="0" b="0"/>
            <wp:wrapTight wrapText="bothSides">
              <wp:wrapPolygon edited="0">
                <wp:start x="0" y="0"/>
                <wp:lineTo x="0" y="21150"/>
                <wp:lineTo x="21468" y="21150"/>
                <wp:lineTo x="21468" y="0"/>
                <wp:lineTo x="0" y="0"/>
              </wp:wrapPolygon>
            </wp:wrapTight>
            <wp:docPr id="299" name="Picture 299" descr="C:\Users\ktaylor\AppData\Local\Microsoft\Windows\INetCache\Content.Word\ESSEX_POWE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Word\ESSEX_POWERLIN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180">
        <w:rPr>
          <w:sz w:val="60"/>
          <w:szCs w:val="60"/>
          <w14:shadow w14:blurRad="50800" w14:dist="38100" w14:dir="2700000" w14:sx="100000" w14:sy="100000" w14:kx="0" w14:ky="0" w14:algn="tl">
            <w14:srgbClr w14:val="000000">
              <w14:alpha w14:val="60000"/>
            </w14:srgbClr>
          </w14:shadow>
        </w:rPr>
        <w:t>EB-20</w:t>
      </w:r>
      <w:r w:rsidR="00DC76EC">
        <w:rPr>
          <w:sz w:val="60"/>
          <w:szCs w:val="60"/>
          <w14:shadow w14:blurRad="50800" w14:dist="38100" w14:dir="2700000" w14:sx="100000" w14:sy="100000" w14:kx="0" w14:ky="0" w14:algn="tl">
            <w14:srgbClr w14:val="000000">
              <w14:alpha w14:val="60000"/>
            </w14:srgbClr>
          </w14:shadow>
        </w:rPr>
        <w:t>21</w:t>
      </w:r>
      <w:r w:rsidRPr="00A90180">
        <w:rPr>
          <w:sz w:val="60"/>
          <w:szCs w:val="60"/>
          <w14:shadow w14:blurRad="50800" w14:dist="38100" w14:dir="2700000" w14:sx="100000" w14:sy="100000" w14:kx="0" w14:ky="0" w14:algn="tl">
            <w14:srgbClr w14:val="000000">
              <w14:alpha w14:val="60000"/>
            </w14:srgbClr>
          </w14:shadow>
        </w:rPr>
        <w:t>-00</w:t>
      </w:r>
      <w:r w:rsidR="00DC76EC">
        <w:rPr>
          <w:sz w:val="60"/>
          <w:szCs w:val="60"/>
          <w14:shadow w14:blurRad="50800" w14:dist="38100" w14:dir="2700000" w14:sx="100000" w14:sy="100000" w14:kx="0" w14:ky="0" w14:algn="tl">
            <w14:srgbClr w14:val="000000">
              <w14:alpha w14:val="60000"/>
            </w14:srgbClr>
          </w14:shadow>
        </w:rPr>
        <w:t>23</w:t>
      </w:r>
    </w:p>
    <w:p w14:paraId="26BE5153" w14:textId="77777777" w:rsidR="00A90180" w:rsidRP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p>
    <w:p w14:paraId="6E42A4C8" w14:textId="77777777" w:rsidR="00D20564" w:rsidRDefault="00D20564" w:rsidP="00EF2039">
      <w:pPr>
        <w:suppressLineNumbers/>
      </w:pPr>
    </w:p>
    <w:p w14:paraId="0DB87F60" w14:textId="77777777" w:rsidR="00D20564" w:rsidRDefault="00D20564" w:rsidP="00EF2039">
      <w:pPr>
        <w:suppressLineNumbers/>
      </w:pPr>
    </w:p>
    <w:p w14:paraId="79FB3CF2" w14:textId="77777777" w:rsidR="00D20564" w:rsidRDefault="00D20564" w:rsidP="00EF2039">
      <w:pPr>
        <w:suppressLineNumbers/>
      </w:pPr>
    </w:p>
    <w:p w14:paraId="365DFD29" w14:textId="15605757" w:rsidR="00D20564" w:rsidRDefault="00D20564" w:rsidP="00EF2039">
      <w:pPr>
        <w:suppressLineNumbers/>
      </w:pPr>
    </w:p>
    <w:p w14:paraId="2C0371C8" w14:textId="2996B646" w:rsidR="00AC166D" w:rsidRDefault="00AC166D" w:rsidP="00EF2039">
      <w:pPr>
        <w:suppressLineNumbers/>
      </w:pPr>
    </w:p>
    <w:p w14:paraId="15DB6DDB" w14:textId="42F05870" w:rsidR="00AC166D" w:rsidRDefault="00AC166D" w:rsidP="00EF2039">
      <w:pPr>
        <w:suppressLineNumbers/>
      </w:pPr>
    </w:p>
    <w:p w14:paraId="197D98BB" w14:textId="77777777" w:rsidR="00AC166D" w:rsidRDefault="00AC166D" w:rsidP="00EF2039">
      <w:pPr>
        <w:suppressLineNumbers/>
      </w:pPr>
    </w:p>
    <w:p w14:paraId="4EC5E170" w14:textId="1268006A" w:rsidR="00D20564" w:rsidRDefault="00D20564" w:rsidP="00EF2039">
      <w:pPr>
        <w:suppressLineNumbers/>
      </w:pPr>
    </w:p>
    <w:p w14:paraId="3AE48FC4" w14:textId="6EC708D7" w:rsidR="00963747" w:rsidRDefault="00963747" w:rsidP="00EF2039">
      <w:pPr>
        <w:suppressLineNumbers/>
      </w:pPr>
    </w:p>
    <w:p w14:paraId="64AB118C" w14:textId="2362437F" w:rsidR="00963747" w:rsidRDefault="00963747" w:rsidP="00EF2039">
      <w:pPr>
        <w:suppressLineNumbers/>
      </w:pPr>
    </w:p>
    <w:p w14:paraId="18290F29" w14:textId="4FD473D6" w:rsidR="00963747" w:rsidRDefault="00963747" w:rsidP="00963747">
      <w:pPr>
        <w:pStyle w:val="Quote"/>
      </w:pPr>
      <w:r>
        <w:t>Attachments</w:t>
      </w:r>
    </w:p>
    <w:p w14:paraId="0BC42190" w14:textId="70026492" w:rsidR="00963747" w:rsidRDefault="00194FEC" w:rsidP="00EF2039">
      <w:pPr>
        <w:suppressLineNumbers/>
        <w:rPr>
          <w:sz w:val="24"/>
          <w:szCs w:val="24"/>
        </w:rPr>
      </w:pPr>
      <w:r w:rsidRPr="00194FEC">
        <w:rPr>
          <w:sz w:val="24"/>
          <w:szCs w:val="24"/>
        </w:rPr>
        <w:t>Account 1595 (2015) Continuity Schedule</w:t>
      </w:r>
    </w:p>
    <w:p w14:paraId="26D92356" w14:textId="34CBC8C4" w:rsidR="00F90852" w:rsidRDefault="004643F1" w:rsidP="00EF2039">
      <w:pPr>
        <w:suppressLineNumbers/>
        <w:rPr>
          <w:sz w:val="24"/>
          <w:szCs w:val="24"/>
        </w:rPr>
      </w:pPr>
      <w:r>
        <w:rPr>
          <w:sz w:val="24"/>
          <w:szCs w:val="24"/>
        </w:rPr>
        <w:t>Essex Powerlines Incentive Regulation Model for 2015 Filers, EB-2014-0072</w:t>
      </w:r>
    </w:p>
    <w:p w14:paraId="08E1E7F0" w14:textId="712DC569" w:rsidR="00466937" w:rsidRPr="00194FEC" w:rsidRDefault="00915209" w:rsidP="00EF2039">
      <w:pPr>
        <w:suppressLineNumbers/>
        <w:rPr>
          <w:sz w:val="24"/>
          <w:szCs w:val="24"/>
        </w:rPr>
      </w:pPr>
      <w:r w:rsidRPr="0007043D">
        <w:rPr>
          <w:sz w:val="24"/>
          <w:szCs w:val="24"/>
        </w:rPr>
        <w:t>Updated 2022 IRM Application Rate Generator Model</w:t>
      </w:r>
    </w:p>
    <w:p w14:paraId="545D3F06" w14:textId="79D09C69" w:rsidR="00963747" w:rsidRDefault="00963747" w:rsidP="00EF2039">
      <w:pPr>
        <w:suppressLineNumbers/>
      </w:pPr>
    </w:p>
    <w:p w14:paraId="530D5457" w14:textId="2BB92734" w:rsidR="00963747" w:rsidRDefault="00963747" w:rsidP="00EF2039">
      <w:pPr>
        <w:suppressLineNumbers/>
      </w:pPr>
    </w:p>
    <w:p w14:paraId="7921AED5" w14:textId="0EB4B0B6" w:rsidR="00963747" w:rsidRDefault="00963747" w:rsidP="00EF2039">
      <w:pPr>
        <w:suppressLineNumbers/>
      </w:pPr>
    </w:p>
    <w:p w14:paraId="44EBDEE1" w14:textId="5B11DE06" w:rsidR="00963747" w:rsidRDefault="00963747" w:rsidP="00EF2039">
      <w:pPr>
        <w:suppressLineNumbers/>
      </w:pPr>
    </w:p>
    <w:p w14:paraId="577F771A" w14:textId="73C26BE8" w:rsidR="00963747" w:rsidRDefault="00963747" w:rsidP="00EF2039">
      <w:pPr>
        <w:suppressLineNumbers/>
      </w:pPr>
    </w:p>
    <w:p w14:paraId="04B2AA4E" w14:textId="6FD5E60B" w:rsidR="00963747" w:rsidRDefault="00963747" w:rsidP="00EF2039">
      <w:pPr>
        <w:suppressLineNumbers/>
      </w:pPr>
    </w:p>
    <w:p w14:paraId="7BE73146" w14:textId="21BEEBC8" w:rsidR="00963747" w:rsidRDefault="00963747" w:rsidP="00EF2039">
      <w:pPr>
        <w:suppressLineNumbers/>
      </w:pPr>
    </w:p>
    <w:p w14:paraId="346824D5" w14:textId="4C80A305" w:rsidR="00963747" w:rsidRDefault="00963747" w:rsidP="00EF2039">
      <w:pPr>
        <w:suppressLineNumbers/>
      </w:pPr>
    </w:p>
    <w:p w14:paraId="7DFAE063" w14:textId="27723FA1" w:rsidR="00963747" w:rsidRDefault="00963747" w:rsidP="00EF2039">
      <w:pPr>
        <w:suppressLineNumbers/>
      </w:pPr>
    </w:p>
    <w:p w14:paraId="64FFBE01" w14:textId="69252409" w:rsidR="00963747" w:rsidRDefault="00963747" w:rsidP="00EF2039">
      <w:pPr>
        <w:suppressLineNumbers/>
      </w:pPr>
    </w:p>
    <w:p w14:paraId="50E44CE1" w14:textId="1CB479BA" w:rsidR="00963747" w:rsidRDefault="00963747" w:rsidP="00EF2039">
      <w:pPr>
        <w:suppressLineNumbers/>
      </w:pPr>
    </w:p>
    <w:p w14:paraId="52AE85DF" w14:textId="6F76739E" w:rsidR="00963747" w:rsidRDefault="00963747" w:rsidP="00EF2039">
      <w:pPr>
        <w:suppressLineNumbers/>
      </w:pPr>
    </w:p>
    <w:p w14:paraId="2E3E6BD6" w14:textId="5191A8A8" w:rsidR="00963747" w:rsidRDefault="00963747" w:rsidP="00EF2039">
      <w:pPr>
        <w:suppressLineNumbers/>
      </w:pPr>
    </w:p>
    <w:p w14:paraId="5C001A42" w14:textId="653C0BD8" w:rsidR="00963747" w:rsidRDefault="00963747" w:rsidP="00EF2039">
      <w:pPr>
        <w:suppressLineNumbers/>
      </w:pPr>
    </w:p>
    <w:p w14:paraId="4B9F373C" w14:textId="5F5067D3" w:rsidR="00963747" w:rsidRDefault="00963747" w:rsidP="00EF2039">
      <w:pPr>
        <w:suppressLineNumbers/>
      </w:pPr>
    </w:p>
    <w:p w14:paraId="2AABEA63" w14:textId="42D48FD9" w:rsidR="00963747" w:rsidRDefault="00963747" w:rsidP="00EF2039">
      <w:pPr>
        <w:suppressLineNumbers/>
      </w:pPr>
    </w:p>
    <w:p w14:paraId="6F9F5557" w14:textId="0005EDA4" w:rsidR="00963747" w:rsidRDefault="00963747" w:rsidP="00EF2039">
      <w:pPr>
        <w:suppressLineNumbers/>
      </w:pPr>
    </w:p>
    <w:p w14:paraId="7E7A6DC3" w14:textId="419C0DB8" w:rsidR="00963747" w:rsidRDefault="00963747" w:rsidP="00EF2039">
      <w:pPr>
        <w:suppressLineNumbers/>
      </w:pPr>
    </w:p>
    <w:p w14:paraId="1AC7290F" w14:textId="4DF4F35B" w:rsidR="00963747" w:rsidRDefault="00963747" w:rsidP="00EF2039">
      <w:pPr>
        <w:suppressLineNumbers/>
      </w:pPr>
    </w:p>
    <w:p w14:paraId="4274AD49" w14:textId="1128AB4E" w:rsidR="00963747" w:rsidRDefault="00963747" w:rsidP="00EF2039">
      <w:pPr>
        <w:suppressLineNumbers/>
      </w:pPr>
    </w:p>
    <w:p w14:paraId="2D768CAB" w14:textId="77777777" w:rsidR="00961D59" w:rsidRDefault="00961D59" w:rsidP="00961D59">
      <w:pPr>
        <w:pStyle w:val="Quote"/>
      </w:pPr>
      <w:bookmarkStart w:id="1" w:name="_Toc535825573"/>
      <w:r>
        <w:t>Table of Contents</w:t>
      </w:r>
      <w:bookmarkEnd w:id="1"/>
    </w:p>
    <w:p w14:paraId="4996E8C4" w14:textId="0CA2CB59" w:rsidR="00AC4FF0" w:rsidRPr="00A001B0" w:rsidRDefault="00961D59">
      <w:pPr>
        <w:pStyle w:val="TOC2"/>
        <w:tabs>
          <w:tab w:val="right" w:leader="dot" w:pos="9350"/>
        </w:tabs>
        <w:rPr>
          <w:rFonts w:eastAsiaTheme="minorEastAsia"/>
          <w:noProof/>
        </w:rPr>
      </w:pPr>
      <w:r w:rsidRPr="00A001B0">
        <w:fldChar w:fldCharType="begin"/>
      </w:r>
      <w:r w:rsidRPr="00A001B0">
        <w:instrText xml:space="preserve"> TOC \t "Intense Quote,1,Quote,2" </w:instrText>
      </w:r>
      <w:r w:rsidRPr="00A001B0">
        <w:fldChar w:fldCharType="separate"/>
      </w:r>
      <w:r w:rsidR="00AC4FF0" w:rsidRPr="00A001B0">
        <w:rPr>
          <w:noProof/>
        </w:rPr>
        <w:t>Table of Contents</w:t>
      </w:r>
      <w:r w:rsidR="00AC4FF0" w:rsidRPr="00A001B0">
        <w:rPr>
          <w:noProof/>
        </w:rPr>
        <w:tab/>
      </w:r>
      <w:r w:rsidR="00963747">
        <w:rPr>
          <w:noProof/>
        </w:rPr>
        <w:t>3</w:t>
      </w:r>
    </w:p>
    <w:p w14:paraId="068B3594" w14:textId="5183733D" w:rsidR="00AC4FF0" w:rsidRPr="00216119" w:rsidRDefault="00862C51">
      <w:pPr>
        <w:pStyle w:val="TOC1"/>
        <w:tabs>
          <w:tab w:val="right" w:leader="dot" w:pos="9350"/>
        </w:tabs>
        <w:rPr>
          <w:rFonts w:eastAsiaTheme="minorEastAsia"/>
          <w:noProof/>
        </w:rPr>
      </w:pPr>
      <w:r w:rsidRPr="00216119">
        <w:rPr>
          <w:noProof/>
        </w:rPr>
        <w:t xml:space="preserve">Follow-Up </w:t>
      </w:r>
      <w:r w:rsidR="00AC4FF0" w:rsidRPr="00216119">
        <w:rPr>
          <w:noProof/>
        </w:rPr>
        <w:t>Staff Question #</w:t>
      </w:r>
      <w:r w:rsidR="00216119" w:rsidRPr="00216119">
        <w:rPr>
          <w:noProof/>
        </w:rPr>
        <w:t>2</w:t>
      </w:r>
      <w:r w:rsidR="00AC4FF0" w:rsidRPr="00216119">
        <w:rPr>
          <w:noProof/>
        </w:rPr>
        <w:tab/>
      </w:r>
      <w:r w:rsidR="00963747" w:rsidRPr="00216119">
        <w:rPr>
          <w:noProof/>
        </w:rPr>
        <w:t>4</w:t>
      </w:r>
    </w:p>
    <w:p w14:paraId="25931847" w14:textId="264F7FB9" w:rsidR="00AC4FF0" w:rsidRPr="00216119" w:rsidRDefault="00AC4FF0">
      <w:pPr>
        <w:pStyle w:val="TOC2"/>
        <w:tabs>
          <w:tab w:val="right" w:leader="dot" w:pos="9350"/>
        </w:tabs>
        <w:rPr>
          <w:rFonts w:eastAsiaTheme="minorEastAsia"/>
          <w:noProof/>
        </w:rPr>
      </w:pPr>
      <w:r w:rsidRPr="00216119">
        <w:rPr>
          <w:noProof/>
        </w:rPr>
        <w:t>Response</w:t>
      </w:r>
      <w:r w:rsidRPr="00216119">
        <w:rPr>
          <w:noProof/>
        </w:rPr>
        <w:tab/>
      </w:r>
      <w:r w:rsidR="00953288">
        <w:rPr>
          <w:noProof/>
        </w:rPr>
        <w:t>4</w:t>
      </w:r>
    </w:p>
    <w:p w14:paraId="17172766" w14:textId="6D3E6289" w:rsidR="00AC4FF0" w:rsidRPr="00216119" w:rsidRDefault="00A001B0">
      <w:pPr>
        <w:pStyle w:val="TOC1"/>
        <w:tabs>
          <w:tab w:val="right" w:leader="dot" w:pos="9350"/>
        </w:tabs>
        <w:rPr>
          <w:rFonts w:eastAsiaTheme="minorEastAsia"/>
          <w:noProof/>
        </w:rPr>
      </w:pPr>
      <w:bookmarkStart w:id="2" w:name="_Hlk98342322"/>
      <w:r w:rsidRPr="00216119">
        <w:rPr>
          <w:noProof/>
        </w:rPr>
        <w:t xml:space="preserve">Follow-Up </w:t>
      </w:r>
      <w:r w:rsidR="00AC4FF0" w:rsidRPr="00216119">
        <w:rPr>
          <w:noProof/>
        </w:rPr>
        <w:t>Staff Question #</w:t>
      </w:r>
      <w:r w:rsidRPr="00216119">
        <w:rPr>
          <w:noProof/>
        </w:rPr>
        <w:t>3</w:t>
      </w:r>
      <w:r w:rsidR="00AC4FF0" w:rsidRPr="00216119">
        <w:rPr>
          <w:noProof/>
        </w:rPr>
        <w:tab/>
      </w:r>
      <w:r w:rsidR="00953288">
        <w:rPr>
          <w:noProof/>
        </w:rPr>
        <w:t>4</w:t>
      </w:r>
    </w:p>
    <w:p w14:paraId="6E4F3218" w14:textId="72CF7F98" w:rsidR="00AC4FF0" w:rsidRPr="00216119" w:rsidRDefault="00AC4FF0">
      <w:pPr>
        <w:pStyle w:val="TOC2"/>
        <w:tabs>
          <w:tab w:val="right" w:leader="dot" w:pos="9350"/>
        </w:tabs>
        <w:rPr>
          <w:noProof/>
        </w:rPr>
      </w:pPr>
      <w:r w:rsidRPr="00216119">
        <w:rPr>
          <w:noProof/>
        </w:rPr>
        <w:t>Response</w:t>
      </w:r>
      <w:r w:rsidRPr="00216119">
        <w:rPr>
          <w:noProof/>
        </w:rPr>
        <w:tab/>
      </w:r>
      <w:bookmarkEnd w:id="2"/>
      <w:r w:rsidR="00953288">
        <w:rPr>
          <w:noProof/>
        </w:rPr>
        <w:t>4</w:t>
      </w:r>
    </w:p>
    <w:p w14:paraId="7EB309D1" w14:textId="6CE14962" w:rsidR="00216119" w:rsidRPr="00216119" w:rsidRDefault="00216119" w:rsidP="00216119">
      <w:pPr>
        <w:pStyle w:val="TOC1"/>
        <w:tabs>
          <w:tab w:val="right" w:leader="dot" w:pos="9350"/>
        </w:tabs>
        <w:rPr>
          <w:rFonts w:eastAsiaTheme="minorEastAsia"/>
          <w:noProof/>
        </w:rPr>
      </w:pPr>
      <w:r w:rsidRPr="00216119">
        <w:rPr>
          <w:noProof/>
        </w:rPr>
        <w:t>Follow-Up Staff Question #4</w:t>
      </w:r>
      <w:r w:rsidRPr="00216119">
        <w:rPr>
          <w:noProof/>
        </w:rPr>
        <w:tab/>
      </w:r>
      <w:r w:rsidR="00AA4F70">
        <w:rPr>
          <w:noProof/>
        </w:rPr>
        <w:t>5</w:t>
      </w:r>
    </w:p>
    <w:p w14:paraId="7A3C50AE" w14:textId="6F9190DC" w:rsidR="00953288" w:rsidRPr="00216119" w:rsidRDefault="00953288" w:rsidP="00953288">
      <w:pPr>
        <w:pStyle w:val="TOC2"/>
        <w:tabs>
          <w:tab w:val="right" w:leader="dot" w:pos="9350"/>
        </w:tabs>
        <w:rPr>
          <w:noProof/>
        </w:rPr>
      </w:pPr>
      <w:r w:rsidRPr="00216119">
        <w:rPr>
          <w:noProof/>
        </w:rPr>
        <w:t>Response</w:t>
      </w:r>
      <w:r w:rsidRPr="00216119">
        <w:rPr>
          <w:noProof/>
        </w:rPr>
        <w:tab/>
      </w:r>
      <w:r w:rsidR="00194FEC">
        <w:rPr>
          <w:noProof/>
        </w:rPr>
        <w:t>6</w:t>
      </w:r>
    </w:p>
    <w:p w14:paraId="2ACB6E9D" w14:textId="3BD6A735" w:rsidR="0024238F" w:rsidRPr="00216119" w:rsidRDefault="0024238F" w:rsidP="0024238F">
      <w:pPr>
        <w:pStyle w:val="TOC1"/>
        <w:tabs>
          <w:tab w:val="right" w:leader="dot" w:pos="9350"/>
        </w:tabs>
        <w:rPr>
          <w:rFonts w:eastAsiaTheme="minorEastAsia"/>
          <w:noProof/>
        </w:rPr>
      </w:pPr>
      <w:r w:rsidRPr="00216119">
        <w:rPr>
          <w:noProof/>
        </w:rPr>
        <w:t>Follow-Up Staff Question #</w:t>
      </w:r>
      <w:r>
        <w:rPr>
          <w:noProof/>
        </w:rPr>
        <w:t>5</w:t>
      </w:r>
      <w:r w:rsidRPr="00216119">
        <w:rPr>
          <w:noProof/>
        </w:rPr>
        <w:tab/>
      </w:r>
      <w:r w:rsidR="00AA4F70">
        <w:rPr>
          <w:noProof/>
        </w:rPr>
        <w:t>6</w:t>
      </w:r>
    </w:p>
    <w:p w14:paraId="7C1AF595" w14:textId="5E9C9D6F" w:rsidR="00AC4FF0" w:rsidRPr="0024238F" w:rsidRDefault="0024238F" w:rsidP="0024238F">
      <w:pPr>
        <w:pStyle w:val="TOC2"/>
        <w:tabs>
          <w:tab w:val="right" w:leader="dot" w:pos="9350"/>
        </w:tabs>
        <w:rPr>
          <w:noProof/>
        </w:rPr>
      </w:pPr>
      <w:r w:rsidRPr="00216119">
        <w:rPr>
          <w:noProof/>
        </w:rPr>
        <w:t>Response</w:t>
      </w:r>
      <w:r w:rsidRPr="00216119">
        <w:rPr>
          <w:noProof/>
        </w:rPr>
        <w:tab/>
      </w:r>
      <w:r w:rsidR="00AA4F70">
        <w:rPr>
          <w:noProof/>
        </w:rPr>
        <w:t>6</w:t>
      </w:r>
    </w:p>
    <w:p w14:paraId="09A9F183" w14:textId="208A6D52" w:rsidR="0024238F" w:rsidRPr="00216119" w:rsidRDefault="00961D59" w:rsidP="0024238F">
      <w:pPr>
        <w:pStyle w:val="TOC1"/>
        <w:tabs>
          <w:tab w:val="right" w:leader="dot" w:pos="9350"/>
        </w:tabs>
        <w:rPr>
          <w:rFonts w:eastAsiaTheme="minorEastAsia"/>
          <w:noProof/>
        </w:rPr>
      </w:pPr>
      <w:r w:rsidRPr="00A001B0">
        <w:fldChar w:fldCharType="end"/>
      </w:r>
      <w:r w:rsidR="0024238F">
        <w:rPr>
          <w:noProof/>
        </w:rPr>
        <w:t xml:space="preserve">Original </w:t>
      </w:r>
      <w:r w:rsidR="0024238F" w:rsidRPr="00216119">
        <w:rPr>
          <w:noProof/>
        </w:rPr>
        <w:t>Staff Question #</w:t>
      </w:r>
      <w:r w:rsidR="0024238F">
        <w:rPr>
          <w:noProof/>
        </w:rPr>
        <w:t>5</w:t>
      </w:r>
      <w:r w:rsidR="0024238F" w:rsidRPr="00216119">
        <w:rPr>
          <w:noProof/>
        </w:rPr>
        <w:tab/>
      </w:r>
      <w:r w:rsidR="00F33093">
        <w:rPr>
          <w:noProof/>
        </w:rPr>
        <w:t>7</w:t>
      </w:r>
    </w:p>
    <w:p w14:paraId="6AC4EA2A" w14:textId="7F1F5B8B" w:rsidR="0024238F" w:rsidRPr="00216119" w:rsidRDefault="0024238F" w:rsidP="0024238F">
      <w:pPr>
        <w:pStyle w:val="TOC2"/>
        <w:tabs>
          <w:tab w:val="right" w:leader="dot" w:pos="9350"/>
        </w:tabs>
        <w:rPr>
          <w:noProof/>
        </w:rPr>
      </w:pPr>
      <w:r w:rsidRPr="00216119">
        <w:rPr>
          <w:noProof/>
        </w:rPr>
        <w:t>Response</w:t>
      </w:r>
      <w:r w:rsidRPr="00216119">
        <w:rPr>
          <w:noProof/>
        </w:rPr>
        <w:tab/>
      </w:r>
      <w:r w:rsidR="00AA4F70">
        <w:rPr>
          <w:noProof/>
        </w:rPr>
        <w:t>7</w:t>
      </w:r>
    </w:p>
    <w:p w14:paraId="28575562" w14:textId="1C44A4CA" w:rsidR="0024238F" w:rsidRPr="00216119" w:rsidRDefault="0024238F" w:rsidP="0024238F">
      <w:pPr>
        <w:pStyle w:val="TOC1"/>
        <w:tabs>
          <w:tab w:val="right" w:leader="dot" w:pos="9350"/>
        </w:tabs>
        <w:rPr>
          <w:rFonts w:eastAsiaTheme="minorEastAsia"/>
          <w:noProof/>
        </w:rPr>
      </w:pPr>
      <w:r>
        <w:rPr>
          <w:noProof/>
        </w:rPr>
        <w:t xml:space="preserve">Original </w:t>
      </w:r>
      <w:r w:rsidRPr="00216119">
        <w:rPr>
          <w:noProof/>
        </w:rPr>
        <w:t>Staff Question #</w:t>
      </w:r>
      <w:r>
        <w:rPr>
          <w:noProof/>
        </w:rPr>
        <w:t>6</w:t>
      </w:r>
      <w:r w:rsidRPr="00216119">
        <w:rPr>
          <w:noProof/>
        </w:rPr>
        <w:tab/>
      </w:r>
      <w:r w:rsidR="0073685A">
        <w:rPr>
          <w:noProof/>
        </w:rPr>
        <w:t>7</w:t>
      </w:r>
    </w:p>
    <w:p w14:paraId="39734B45" w14:textId="3D546508" w:rsidR="0024238F" w:rsidRPr="00216119" w:rsidRDefault="0024238F" w:rsidP="0024238F">
      <w:pPr>
        <w:pStyle w:val="TOC2"/>
        <w:tabs>
          <w:tab w:val="right" w:leader="dot" w:pos="9350"/>
        </w:tabs>
        <w:rPr>
          <w:noProof/>
        </w:rPr>
      </w:pPr>
      <w:r w:rsidRPr="00216119">
        <w:rPr>
          <w:noProof/>
        </w:rPr>
        <w:t>Response</w:t>
      </w:r>
      <w:r w:rsidRPr="00216119">
        <w:rPr>
          <w:noProof/>
        </w:rPr>
        <w:tab/>
      </w:r>
      <w:r w:rsidR="00AA4F70">
        <w:rPr>
          <w:noProof/>
        </w:rPr>
        <w:t>8</w:t>
      </w:r>
    </w:p>
    <w:p w14:paraId="738B0E84" w14:textId="06BA8EC8" w:rsidR="00961D59" w:rsidRDefault="00961D59" w:rsidP="0024238F"/>
    <w:p w14:paraId="38B8C9ED" w14:textId="77777777" w:rsidR="00B34A2F" w:rsidRDefault="00B34A2F" w:rsidP="00961D59"/>
    <w:p w14:paraId="24275933" w14:textId="77777777" w:rsidR="00B34A2F" w:rsidRDefault="00B34A2F" w:rsidP="00961D59"/>
    <w:p w14:paraId="1495B3AD" w14:textId="77777777" w:rsidR="00B34A2F" w:rsidRDefault="00B34A2F" w:rsidP="00961D59"/>
    <w:p w14:paraId="4E1AA586" w14:textId="77777777" w:rsidR="00B34A2F" w:rsidRDefault="00B34A2F" w:rsidP="00961D59"/>
    <w:p w14:paraId="6F4CEFED" w14:textId="77777777" w:rsidR="00B34A2F" w:rsidRDefault="00B34A2F" w:rsidP="00961D59"/>
    <w:p w14:paraId="759D46AA" w14:textId="77777777" w:rsidR="004E1CB9" w:rsidRDefault="004E1CB9" w:rsidP="00961D59"/>
    <w:p w14:paraId="2DACD36E" w14:textId="77777777" w:rsidR="004E1CB9" w:rsidRDefault="004E1CB9" w:rsidP="00961D59"/>
    <w:p w14:paraId="5A37FD8C" w14:textId="77777777" w:rsidR="004E1CB9" w:rsidRDefault="004E1CB9" w:rsidP="00961D59"/>
    <w:p w14:paraId="3106D4DA" w14:textId="0295929D" w:rsidR="004E1CB9" w:rsidRDefault="004E1CB9" w:rsidP="00961D59"/>
    <w:p w14:paraId="3F263CB8" w14:textId="77777777" w:rsidR="0007043D" w:rsidRDefault="0007043D" w:rsidP="00961D59"/>
    <w:p w14:paraId="21CC8649" w14:textId="25807198" w:rsidR="00A90180" w:rsidRDefault="00862C51" w:rsidP="00A90180">
      <w:pPr>
        <w:pStyle w:val="IntenseQuote"/>
      </w:pPr>
      <w:bookmarkStart w:id="3" w:name="_Toc535825579"/>
      <w:r>
        <w:lastRenderedPageBreak/>
        <w:t xml:space="preserve">Follow-Up </w:t>
      </w:r>
      <w:r w:rsidR="00AC166D">
        <w:t>Staff Question #</w:t>
      </w:r>
      <w:bookmarkEnd w:id="3"/>
      <w:r>
        <w:t>2</w:t>
      </w:r>
      <w:r w:rsidR="00AC166D">
        <w:t xml:space="preserve"> </w:t>
      </w:r>
    </w:p>
    <w:p w14:paraId="280CB6D5" w14:textId="77777777" w:rsidR="00862C51" w:rsidRPr="009306E3" w:rsidRDefault="00862C51" w:rsidP="00862C51">
      <w:pPr>
        <w:contextualSpacing/>
        <w:rPr>
          <w:rFonts w:cstheme="minorHAnsi"/>
          <w:b/>
          <w:bCs/>
          <w:sz w:val="24"/>
          <w:szCs w:val="24"/>
        </w:rPr>
      </w:pPr>
      <w:r w:rsidRPr="009306E3">
        <w:rPr>
          <w:rFonts w:cstheme="minorHAnsi"/>
          <w:b/>
          <w:bCs/>
          <w:sz w:val="24"/>
          <w:szCs w:val="24"/>
        </w:rPr>
        <w:t>Ref: Staff Question 3</w:t>
      </w:r>
    </w:p>
    <w:p w14:paraId="0ACEE026" w14:textId="77777777" w:rsidR="00862C51" w:rsidRPr="009306E3" w:rsidRDefault="00862C51" w:rsidP="00862C51">
      <w:pPr>
        <w:contextualSpacing/>
        <w:rPr>
          <w:rFonts w:cstheme="minorHAnsi"/>
          <w:b/>
          <w:bCs/>
          <w:sz w:val="24"/>
          <w:szCs w:val="24"/>
        </w:rPr>
      </w:pPr>
    </w:p>
    <w:p w14:paraId="3D79D252" w14:textId="77777777" w:rsidR="00862C51" w:rsidRPr="009306E3" w:rsidRDefault="00862C51" w:rsidP="009306E3">
      <w:pPr>
        <w:spacing w:after="0"/>
        <w:jc w:val="both"/>
        <w:rPr>
          <w:rFonts w:cstheme="minorHAnsi"/>
          <w:sz w:val="24"/>
          <w:szCs w:val="24"/>
        </w:rPr>
      </w:pPr>
      <w:r w:rsidRPr="009306E3">
        <w:rPr>
          <w:rFonts w:cstheme="minorHAnsi"/>
          <w:sz w:val="24"/>
          <w:szCs w:val="24"/>
        </w:rPr>
        <w:t>In response to Staff Question 3, Essex Powerlines indicated that $1.5M of the Account 1595 (2015) balance pertained to a double refund of a prior amount. Please complete the attached continuity schedule for Account 1595 (2015), separating out the account into the portion pertaining to the $1.5M relating to the over-refunded amount, and the remaining residual.</w:t>
      </w:r>
    </w:p>
    <w:p w14:paraId="6E3CB9F8" w14:textId="77777777" w:rsidR="001719DE" w:rsidRPr="00AC166D" w:rsidRDefault="001719DE" w:rsidP="006315D4">
      <w:pPr>
        <w:pStyle w:val="NoSpacing"/>
        <w:rPr>
          <w:b/>
          <w:sz w:val="24"/>
          <w:szCs w:val="24"/>
        </w:rPr>
      </w:pPr>
    </w:p>
    <w:p w14:paraId="3E83F28C" w14:textId="447CE506" w:rsidR="00A90180" w:rsidRDefault="00A90180" w:rsidP="00A90180">
      <w:pPr>
        <w:pStyle w:val="Quote"/>
      </w:pPr>
      <w:bookmarkStart w:id="4" w:name="_Toc535825580"/>
      <w:r>
        <w:t>Response</w:t>
      </w:r>
      <w:bookmarkEnd w:id="4"/>
    </w:p>
    <w:p w14:paraId="066ADEE4" w14:textId="2A3A2AB5" w:rsidR="002B0F11" w:rsidRPr="002B0F11" w:rsidRDefault="002B0F11" w:rsidP="00B7458B">
      <w:pPr>
        <w:jc w:val="both"/>
        <w:rPr>
          <w:rFonts w:cstheme="minorHAnsi"/>
          <w:sz w:val="24"/>
          <w:szCs w:val="24"/>
        </w:rPr>
      </w:pPr>
      <w:r w:rsidRPr="002B0F11">
        <w:rPr>
          <w:rFonts w:cstheme="minorHAnsi"/>
          <w:sz w:val="24"/>
          <w:szCs w:val="24"/>
        </w:rPr>
        <w:t>Please see attached continuity schedule for Account 1595 (2015)</w:t>
      </w:r>
      <w:r w:rsidR="00583687">
        <w:rPr>
          <w:rFonts w:cstheme="minorHAnsi"/>
          <w:sz w:val="24"/>
          <w:szCs w:val="24"/>
        </w:rPr>
        <w:t>, which separates the account into the portion pertaining to the $1.5M relating to the over-refunded amount, and the remaining residual.</w:t>
      </w:r>
    </w:p>
    <w:p w14:paraId="69465D7B" w14:textId="77777777" w:rsidR="00B7458B" w:rsidRPr="002B0F11" w:rsidRDefault="00B7458B" w:rsidP="002B0F11"/>
    <w:p w14:paraId="238CD387" w14:textId="4A136804" w:rsidR="00A90180" w:rsidRDefault="006046FB" w:rsidP="00A90180">
      <w:pPr>
        <w:pStyle w:val="IntenseQuote"/>
      </w:pPr>
      <w:bookmarkStart w:id="5" w:name="_Toc535825581"/>
      <w:r>
        <w:t xml:space="preserve">Follow-up </w:t>
      </w:r>
      <w:r w:rsidR="00F20C07">
        <w:t xml:space="preserve">Staff </w:t>
      </w:r>
      <w:r w:rsidR="00AC166D">
        <w:t>Question #</w:t>
      </w:r>
      <w:bookmarkEnd w:id="5"/>
      <w:r>
        <w:t>3</w:t>
      </w:r>
    </w:p>
    <w:p w14:paraId="36698A19" w14:textId="77777777" w:rsidR="009306E3" w:rsidRPr="009306E3" w:rsidRDefault="009306E3" w:rsidP="009306E3">
      <w:pPr>
        <w:contextualSpacing/>
        <w:jc w:val="both"/>
        <w:rPr>
          <w:rFonts w:cstheme="minorHAnsi"/>
          <w:b/>
          <w:bCs/>
          <w:sz w:val="24"/>
          <w:szCs w:val="24"/>
        </w:rPr>
      </w:pPr>
      <w:r w:rsidRPr="009306E3">
        <w:rPr>
          <w:rFonts w:cstheme="minorHAnsi"/>
          <w:b/>
          <w:bCs/>
          <w:sz w:val="24"/>
          <w:szCs w:val="24"/>
        </w:rPr>
        <w:t>Ref: Staff Question 4</w:t>
      </w:r>
    </w:p>
    <w:p w14:paraId="09E3BE85" w14:textId="77777777" w:rsidR="009306E3" w:rsidRPr="009306E3" w:rsidRDefault="009306E3" w:rsidP="009306E3">
      <w:pPr>
        <w:contextualSpacing/>
        <w:jc w:val="both"/>
        <w:rPr>
          <w:rFonts w:cstheme="minorHAnsi"/>
          <w:b/>
          <w:bCs/>
          <w:sz w:val="24"/>
          <w:szCs w:val="24"/>
        </w:rPr>
      </w:pPr>
    </w:p>
    <w:p w14:paraId="0110BB34" w14:textId="77777777" w:rsidR="009306E3" w:rsidRPr="009306E3" w:rsidRDefault="009306E3" w:rsidP="009306E3">
      <w:pPr>
        <w:contextualSpacing/>
        <w:jc w:val="both"/>
        <w:rPr>
          <w:rFonts w:cstheme="minorHAnsi"/>
          <w:sz w:val="24"/>
          <w:szCs w:val="24"/>
        </w:rPr>
      </w:pPr>
      <w:r w:rsidRPr="009306E3">
        <w:rPr>
          <w:rFonts w:cstheme="minorHAnsi"/>
          <w:sz w:val="24"/>
          <w:szCs w:val="24"/>
        </w:rPr>
        <w:t xml:space="preserve">In the revised Account 1595 </w:t>
      </w:r>
      <w:proofErr w:type="spellStart"/>
      <w:r w:rsidRPr="009306E3">
        <w:rPr>
          <w:rFonts w:cstheme="minorHAnsi"/>
          <w:sz w:val="24"/>
          <w:szCs w:val="24"/>
        </w:rPr>
        <w:t>Workform</w:t>
      </w:r>
      <w:proofErr w:type="spellEnd"/>
      <w:r w:rsidRPr="009306E3">
        <w:rPr>
          <w:rFonts w:cstheme="minorHAnsi"/>
          <w:sz w:val="24"/>
          <w:szCs w:val="24"/>
        </w:rPr>
        <w:t xml:space="preserve">, the carrying charges pertaining to Total Group 1 and Group 2 Balances excluding Account 1589 - Global Adjustment is $31,829 and the carrying charges pertaining to Account 1589 </w:t>
      </w:r>
      <w:proofErr w:type="gramStart"/>
      <w:r w:rsidRPr="009306E3">
        <w:rPr>
          <w:rFonts w:cstheme="minorHAnsi"/>
          <w:sz w:val="24"/>
          <w:szCs w:val="24"/>
        </w:rPr>
        <w:t>-  Global</w:t>
      </w:r>
      <w:proofErr w:type="gramEnd"/>
      <w:r w:rsidRPr="009306E3">
        <w:rPr>
          <w:rFonts w:cstheme="minorHAnsi"/>
          <w:sz w:val="24"/>
          <w:szCs w:val="24"/>
        </w:rPr>
        <w:t xml:space="preserve"> Adjustment is $239,367. Please provide a </w:t>
      </w:r>
      <w:proofErr w:type="gramStart"/>
      <w:r w:rsidRPr="009306E3">
        <w:rPr>
          <w:rFonts w:cstheme="minorHAnsi"/>
          <w:sz w:val="24"/>
          <w:szCs w:val="24"/>
        </w:rPr>
        <w:t>high level</w:t>
      </w:r>
      <w:proofErr w:type="gramEnd"/>
      <w:r w:rsidRPr="009306E3">
        <w:rPr>
          <w:rFonts w:cstheme="minorHAnsi"/>
          <w:sz w:val="24"/>
          <w:szCs w:val="24"/>
        </w:rPr>
        <w:t xml:space="preserve"> reasonability carrying charge calculation for the carrying charges noted above (for example, showing the carrying charges for the annual year-end balance at the average prescribed rate in the year), separated by the carrying charges pertaining to the two categories noted above, and the $1.5M relating to the over-refunded amount. </w:t>
      </w:r>
    </w:p>
    <w:p w14:paraId="1BDCDB68" w14:textId="5042761B" w:rsidR="006046FB" w:rsidRPr="003226D3" w:rsidRDefault="006046FB" w:rsidP="006046FB">
      <w:pPr>
        <w:spacing w:after="0"/>
        <w:rPr>
          <w:rFonts w:ascii="Arial" w:hAnsi="Arial" w:cs="Arial"/>
        </w:rPr>
      </w:pPr>
    </w:p>
    <w:p w14:paraId="21995ADF" w14:textId="4396620A" w:rsidR="006046FB" w:rsidRDefault="006046FB" w:rsidP="006046FB">
      <w:pPr>
        <w:pStyle w:val="Quote"/>
      </w:pPr>
      <w:r>
        <w:t>Response</w:t>
      </w:r>
    </w:p>
    <w:p w14:paraId="7B3BE502" w14:textId="42395AFA" w:rsidR="009306E3" w:rsidRDefault="004A0679" w:rsidP="00B7458B">
      <w:pPr>
        <w:jc w:val="both"/>
        <w:rPr>
          <w:sz w:val="24"/>
          <w:szCs w:val="24"/>
        </w:rPr>
      </w:pPr>
      <w:r w:rsidRPr="004A0679">
        <w:rPr>
          <w:sz w:val="24"/>
          <w:szCs w:val="24"/>
        </w:rPr>
        <w:t xml:space="preserve">A high-level review of the reasonability of carrying charges revealed that our total carrying charges are in aggregate within 2% of the </w:t>
      </w:r>
      <w:r w:rsidR="00D41756">
        <w:rPr>
          <w:sz w:val="24"/>
          <w:szCs w:val="24"/>
        </w:rPr>
        <w:t xml:space="preserve">charges reported on the 1595 </w:t>
      </w:r>
      <w:proofErr w:type="spellStart"/>
      <w:r w:rsidR="00D41756">
        <w:rPr>
          <w:sz w:val="24"/>
          <w:szCs w:val="24"/>
        </w:rPr>
        <w:t>Workform</w:t>
      </w:r>
      <w:proofErr w:type="spellEnd"/>
      <w:r w:rsidRPr="004A0679">
        <w:rPr>
          <w:sz w:val="24"/>
          <w:szCs w:val="24"/>
        </w:rPr>
        <w:t xml:space="preserve"> using average annual prescribed rates on year-end balances</w:t>
      </w:r>
      <w:proofErr w:type="gramStart"/>
      <w:r w:rsidRPr="004A0679">
        <w:rPr>
          <w:sz w:val="24"/>
          <w:szCs w:val="24"/>
        </w:rPr>
        <w:t xml:space="preserve">.  </w:t>
      </w:r>
      <w:proofErr w:type="gramEnd"/>
      <w:r w:rsidRPr="004A0679">
        <w:rPr>
          <w:sz w:val="24"/>
          <w:szCs w:val="24"/>
        </w:rPr>
        <w:t>Please refer to the chart below for specific details.</w:t>
      </w:r>
    </w:p>
    <w:p w14:paraId="1F4F5319" w14:textId="1EFFFD71" w:rsidR="004A0679" w:rsidRDefault="004A0679" w:rsidP="00B7458B">
      <w:pPr>
        <w:jc w:val="both"/>
        <w:rPr>
          <w:sz w:val="24"/>
          <w:szCs w:val="24"/>
        </w:rPr>
      </w:pPr>
      <w:r>
        <w:rPr>
          <w:sz w:val="24"/>
          <w:szCs w:val="24"/>
        </w:rPr>
        <w:t xml:space="preserve">The carrying charges of $31,829 and $239,367 referred to above were based on the pro-rata share of the respective residual balances, as Essex Powerlines does not record these carrying </w:t>
      </w:r>
      <w:r>
        <w:rPr>
          <w:sz w:val="24"/>
          <w:szCs w:val="24"/>
        </w:rPr>
        <w:lastRenderedPageBreak/>
        <w:t>charges separately in our general ledger</w:t>
      </w:r>
      <w:proofErr w:type="gramStart"/>
      <w:r>
        <w:rPr>
          <w:sz w:val="24"/>
          <w:szCs w:val="24"/>
        </w:rPr>
        <w:t xml:space="preserve">.  </w:t>
      </w:r>
      <w:proofErr w:type="gramEnd"/>
      <w:r>
        <w:rPr>
          <w:sz w:val="24"/>
          <w:szCs w:val="24"/>
        </w:rPr>
        <w:t xml:space="preserve">The chart below provides a more accurate split of the carrying charges between the two residual </w:t>
      </w:r>
      <w:r w:rsidRPr="0007043D">
        <w:rPr>
          <w:sz w:val="24"/>
          <w:szCs w:val="24"/>
        </w:rPr>
        <w:t>balances</w:t>
      </w:r>
      <w:r w:rsidR="00C74547" w:rsidRPr="0007043D">
        <w:rPr>
          <w:sz w:val="24"/>
          <w:szCs w:val="24"/>
        </w:rPr>
        <w:t xml:space="preserve"> and the $1.5M over-refunded amount.</w:t>
      </w:r>
    </w:p>
    <w:p w14:paraId="1A5B01CE" w14:textId="63AD8335" w:rsidR="004A0679" w:rsidRDefault="00D91641" w:rsidP="00B7458B">
      <w:pPr>
        <w:jc w:val="both"/>
        <w:rPr>
          <w:sz w:val="24"/>
          <w:szCs w:val="24"/>
        </w:rPr>
      </w:pPr>
      <w:r>
        <w:rPr>
          <w:sz w:val="24"/>
          <w:szCs w:val="24"/>
        </w:rPr>
        <w:t>As the balances in the 1595 Continuity Schedule include</w:t>
      </w:r>
      <w:r w:rsidR="00B7458B">
        <w:rPr>
          <w:sz w:val="24"/>
          <w:szCs w:val="24"/>
        </w:rPr>
        <w:t xml:space="preserve"> both approved principal and</w:t>
      </w:r>
      <w:r>
        <w:rPr>
          <w:sz w:val="24"/>
          <w:szCs w:val="24"/>
        </w:rPr>
        <w:t xml:space="preserve"> transferred-in </w:t>
      </w:r>
      <w:r w:rsidR="00B7458B">
        <w:rPr>
          <w:sz w:val="24"/>
          <w:szCs w:val="24"/>
        </w:rPr>
        <w:t xml:space="preserve">interest </w:t>
      </w:r>
      <w:r>
        <w:rPr>
          <w:sz w:val="24"/>
          <w:szCs w:val="24"/>
        </w:rPr>
        <w:t>balances, the</w:t>
      </w:r>
      <w:r w:rsidR="004A0679">
        <w:rPr>
          <w:sz w:val="24"/>
          <w:szCs w:val="24"/>
        </w:rPr>
        <w:t xml:space="preserve"> reasonability analysis</w:t>
      </w:r>
      <w:r>
        <w:rPr>
          <w:sz w:val="24"/>
          <w:szCs w:val="24"/>
        </w:rPr>
        <w:t xml:space="preserve"> below</w:t>
      </w:r>
      <w:r w:rsidR="004A0679">
        <w:rPr>
          <w:sz w:val="24"/>
          <w:szCs w:val="24"/>
        </w:rPr>
        <w:t xml:space="preserve"> </w:t>
      </w:r>
      <w:r w:rsidR="00B7458B">
        <w:rPr>
          <w:sz w:val="24"/>
          <w:szCs w:val="24"/>
        </w:rPr>
        <w:t>removes the effect of the transferred-in interest</w:t>
      </w:r>
      <w:r>
        <w:rPr>
          <w:sz w:val="24"/>
          <w:szCs w:val="24"/>
        </w:rPr>
        <w:t xml:space="preserve">, as interest </w:t>
      </w:r>
      <w:proofErr w:type="gramStart"/>
      <w:r>
        <w:rPr>
          <w:sz w:val="24"/>
          <w:szCs w:val="24"/>
        </w:rPr>
        <w:t>is not permitted</w:t>
      </w:r>
      <w:proofErr w:type="gramEnd"/>
      <w:r>
        <w:rPr>
          <w:sz w:val="24"/>
          <w:szCs w:val="24"/>
        </w:rPr>
        <w:t xml:space="preserve"> to be calculated on these transferred-in </w:t>
      </w:r>
      <w:r w:rsidR="00355DFD">
        <w:rPr>
          <w:sz w:val="24"/>
          <w:szCs w:val="24"/>
        </w:rPr>
        <w:t xml:space="preserve">interest </w:t>
      </w:r>
      <w:r>
        <w:rPr>
          <w:sz w:val="24"/>
          <w:szCs w:val="24"/>
        </w:rPr>
        <w:t>balances.</w:t>
      </w:r>
    </w:p>
    <w:p w14:paraId="22F98E3C" w14:textId="28F67C21" w:rsidR="00D91641" w:rsidRDefault="00C74547" w:rsidP="009306E3">
      <w:pPr>
        <w:rPr>
          <w:sz w:val="24"/>
          <w:szCs w:val="24"/>
        </w:rPr>
      </w:pPr>
      <w:r w:rsidRPr="00C74547">
        <w:rPr>
          <w:noProof/>
          <w:sz w:val="24"/>
          <w:szCs w:val="24"/>
        </w:rPr>
        <w:drawing>
          <wp:inline distT="0" distB="0" distL="0" distR="0" wp14:anchorId="1304B91C" wp14:editId="4105E17D">
            <wp:extent cx="5943600" cy="154305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943600" cy="1543050"/>
                    </a:xfrm>
                    <a:prstGeom prst="rect">
                      <a:avLst/>
                    </a:prstGeom>
                  </pic:spPr>
                </pic:pic>
              </a:graphicData>
            </a:graphic>
          </wp:inline>
        </w:drawing>
      </w:r>
    </w:p>
    <w:p w14:paraId="3F58FE46" w14:textId="77777777" w:rsidR="00D61329" w:rsidRDefault="00D61329" w:rsidP="009306E3"/>
    <w:p w14:paraId="323B110F" w14:textId="6749E60E" w:rsidR="009306E3" w:rsidRDefault="009306E3" w:rsidP="009306E3">
      <w:pPr>
        <w:pStyle w:val="IntenseQuote"/>
      </w:pPr>
      <w:bookmarkStart w:id="6" w:name="_Hlk98746802"/>
      <w:r>
        <w:t>Follow-up Staff Question #4</w:t>
      </w:r>
    </w:p>
    <w:p w14:paraId="73DE95AA" w14:textId="77777777" w:rsidR="009306E3" w:rsidRPr="00761B3F" w:rsidRDefault="009306E3" w:rsidP="009306E3">
      <w:pPr>
        <w:contextualSpacing/>
        <w:rPr>
          <w:rFonts w:cstheme="minorHAnsi"/>
          <w:b/>
          <w:bCs/>
          <w:sz w:val="24"/>
          <w:szCs w:val="24"/>
        </w:rPr>
      </w:pPr>
      <w:r w:rsidRPr="00761B3F">
        <w:rPr>
          <w:rFonts w:cstheme="minorHAnsi"/>
          <w:b/>
          <w:bCs/>
          <w:sz w:val="24"/>
          <w:szCs w:val="24"/>
        </w:rPr>
        <w:t xml:space="preserve">Ref: </w:t>
      </w:r>
      <w:r w:rsidRPr="00761B3F">
        <w:rPr>
          <w:rFonts w:cstheme="minorHAnsi"/>
          <w:b/>
          <w:bCs/>
          <w:sz w:val="24"/>
          <w:szCs w:val="24"/>
        </w:rPr>
        <w:tab/>
        <w:t xml:space="preserve">Staff Question 3 </w:t>
      </w:r>
    </w:p>
    <w:bookmarkEnd w:id="6"/>
    <w:p w14:paraId="3D20903F" w14:textId="77777777" w:rsidR="009306E3" w:rsidRPr="00761B3F" w:rsidRDefault="009306E3" w:rsidP="009306E3">
      <w:pPr>
        <w:contextualSpacing/>
        <w:rPr>
          <w:rFonts w:cstheme="minorHAnsi"/>
          <w:b/>
          <w:bCs/>
          <w:sz w:val="24"/>
          <w:szCs w:val="24"/>
        </w:rPr>
      </w:pPr>
      <w:r w:rsidRPr="00761B3F">
        <w:rPr>
          <w:rFonts w:cstheme="minorHAnsi"/>
          <w:b/>
          <w:bCs/>
          <w:sz w:val="24"/>
          <w:szCs w:val="24"/>
        </w:rPr>
        <w:tab/>
        <w:t>Follow Up Question 1 regarding Staff Question 3</w:t>
      </w:r>
    </w:p>
    <w:p w14:paraId="254A9389" w14:textId="77777777" w:rsidR="009306E3" w:rsidRPr="00761B3F" w:rsidRDefault="009306E3" w:rsidP="009306E3">
      <w:pPr>
        <w:contextualSpacing/>
        <w:rPr>
          <w:rFonts w:cstheme="minorHAnsi"/>
          <w:b/>
          <w:bCs/>
          <w:sz w:val="24"/>
          <w:szCs w:val="24"/>
        </w:rPr>
      </w:pPr>
      <w:r w:rsidRPr="00761B3F">
        <w:rPr>
          <w:rFonts w:cstheme="minorHAnsi"/>
          <w:b/>
          <w:bCs/>
          <w:sz w:val="24"/>
          <w:szCs w:val="24"/>
        </w:rPr>
        <w:tab/>
        <w:t xml:space="preserve">Revised Account 1595 </w:t>
      </w:r>
      <w:proofErr w:type="spellStart"/>
      <w:r w:rsidRPr="00761B3F">
        <w:rPr>
          <w:rFonts w:cstheme="minorHAnsi"/>
          <w:b/>
          <w:bCs/>
          <w:sz w:val="24"/>
          <w:szCs w:val="24"/>
        </w:rPr>
        <w:t>Workform</w:t>
      </w:r>
      <w:proofErr w:type="spellEnd"/>
    </w:p>
    <w:p w14:paraId="390AAFA8" w14:textId="77777777" w:rsidR="009306E3" w:rsidRPr="00761B3F" w:rsidRDefault="009306E3" w:rsidP="009306E3">
      <w:pPr>
        <w:contextualSpacing/>
        <w:rPr>
          <w:rFonts w:cstheme="minorHAnsi"/>
          <w:b/>
          <w:bCs/>
          <w:sz w:val="24"/>
          <w:szCs w:val="24"/>
        </w:rPr>
      </w:pPr>
    </w:p>
    <w:p w14:paraId="4F4A5ECE" w14:textId="77777777" w:rsidR="003D7302" w:rsidRPr="003D7302" w:rsidRDefault="003D7302" w:rsidP="003D7302">
      <w:pPr>
        <w:spacing w:after="0"/>
        <w:contextualSpacing/>
        <w:jc w:val="both"/>
        <w:rPr>
          <w:rFonts w:cstheme="minorHAnsi"/>
          <w:sz w:val="24"/>
          <w:szCs w:val="24"/>
        </w:rPr>
      </w:pPr>
      <w:r w:rsidRPr="003D7302">
        <w:rPr>
          <w:rFonts w:cstheme="minorHAnsi"/>
          <w:sz w:val="24"/>
          <w:szCs w:val="24"/>
        </w:rPr>
        <w:t xml:space="preserve">In the revised Account 1595 </w:t>
      </w:r>
      <w:proofErr w:type="spellStart"/>
      <w:r w:rsidRPr="003D7302">
        <w:rPr>
          <w:rFonts w:cstheme="minorHAnsi"/>
          <w:sz w:val="24"/>
          <w:szCs w:val="24"/>
        </w:rPr>
        <w:t>Workform</w:t>
      </w:r>
      <w:proofErr w:type="spellEnd"/>
      <w:r w:rsidRPr="003D7302">
        <w:rPr>
          <w:rFonts w:cstheme="minorHAnsi"/>
          <w:sz w:val="24"/>
          <w:szCs w:val="24"/>
        </w:rPr>
        <w:t xml:space="preserve">, under Step 1, the GS50-4999 and Embedded Distributor class “Allocated Balance to Rate Class as Approved by the OEB” does not agree to the Draft Rate Order for Rate Rider 1, filed on June 12, </w:t>
      </w:r>
      <w:proofErr w:type="gramStart"/>
      <w:r w:rsidRPr="003D7302">
        <w:rPr>
          <w:rFonts w:cstheme="minorHAnsi"/>
          <w:sz w:val="24"/>
          <w:szCs w:val="24"/>
        </w:rPr>
        <w:t>2015</w:t>
      </w:r>
      <w:proofErr w:type="gramEnd"/>
      <w:r w:rsidRPr="003D7302">
        <w:rPr>
          <w:rFonts w:cstheme="minorHAnsi"/>
          <w:sz w:val="24"/>
          <w:szCs w:val="24"/>
        </w:rPr>
        <w:t xml:space="preserve"> in EB-2014-0402/0072. Per the Draft Rate Order, there were rate classes for GS 50-2999 kW and GS 3000-4,999 kWh. There was a balance allocated to the GS 3000 to 4999 class, but no rate rider </w:t>
      </w:r>
      <w:proofErr w:type="gramStart"/>
      <w:r w:rsidRPr="003D7302">
        <w:rPr>
          <w:rFonts w:cstheme="minorHAnsi"/>
          <w:sz w:val="24"/>
          <w:szCs w:val="24"/>
        </w:rPr>
        <w:t>was calculated</w:t>
      </w:r>
      <w:proofErr w:type="gramEnd"/>
      <w:r w:rsidRPr="003D7302">
        <w:rPr>
          <w:rFonts w:cstheme="minorHAnsi"/>
          <w:sz w:val="24"/>
          <w:szCs w:val="24"/>
        </w:rPr>
        <w:t xml:space="preserve"> for this class. As a result, there should be a residual variance in Account 1595 pertaining to this rate class. OEB staff has revised the following cells in the </w:t>
      </w:r>
      <w:proofErr w:type="spellStart"/>
      <w:r w:rsidRPr="003D7302">
        <w:rPr>
          <w:rFonts w:cstheme="minorHAnsi"/>
          <w:sz w:val="24"/>
          <w:szCs w:val="24"/>
        </w:rPr>
        <w:t>Workform</w:t>
      </w:r>
      <w:proofErr w:type="spellEnd"/>
      <w:r w:rsidRPr="003D7302">
        <w:rPr>
          <w:rFonts w:cstheme="minorHAnsi"/>
          <w:sz w:val="24"/>
          <w:szCs w:val="24"/>
        </w:rPr>
        <w:t xml:space="preserve"> to reflect this: B41, B42, D41, D42, E42, H42, J42.</w:t>
      </w:r>
    </w:p>
    <w:p w14:paraId="7323E950" w14:textId="77777777" w:rsidR="003D7302" w:rsidRPr="003D7302" w:rsidRDefault="003D7302" w:rsidP="003D7302">
      <w:pPr>
        <w:spacing w:after="0"/>
        <w:contextualSpacing/>
        <w:jc w:val="both"/>
        <w:rPr>
          <w:rFonts w:cstheme="minorHAnsi"/>
          <w:sz w:val="24"/>
          <w:szCs w:val="24"/>
        </w:rPr>
      </w:pPr>
    </w:p>
    <w:p w14:paraId="43BA9228" w14:textId="77777777" w:rsidR="003D7302" w:rsidRPr="003D7302" w:rsidRDefault="003D7302" w:rsidP="003D7302">
      <w:pPr>
        <w:pStyle w:val="ListParagraph"/>
        <w:numPr>
          <w:ilvl w:val="0"/>
          <w:numId w:val="22"/>
        </w:numPr>
        <w:spacing w:after="0"/>
        <w:jc w:val="both"/>
        <w:rPr>
          <w:rFonts w:ascii="Calibri" w:hAnsi="Calibri" w:cs="Calibri"/>
          <w:sz w:val="24"/>
          <w:szCs w:val="24"/>
        </w:rPr>
      </w:pPr>
      <w:r w:rsidRPr="003D7302">
        <w:rPr>
          <w:rFonts w:ascii="Calibri" w:hAnsi="Calibri" w:cs="Calibri"/>
          <w:sz w:val="24"/>
          <w:szCs w:val="24"/>
        </w:rPr>
        <w:t xml:space="preserve">Please confirm the revisions made by OEB staff are appropriate. If not confirmed, please explain. </w:t>
      </w:r>
    </w:p>
    <w:p w14:paraId="6785D82E" w14:textId="77777777" w:rsidR="003D7302" w:rsidRPr="003D7302" w:rsidRDefault="003D7302" w:rsidP="003D7302">
      <w:pPr>
        <w:pStyle w:val="ListParagraph"/>
        <w:numPr>
          <w:ilvl w:val="0"/>
          <w:numId w:val="22"/>
        </w:numPr>
        <w:spacing w:after="0"/>
        <w:jc w:val="both"/>
        <w:rPr>
          <w:rFonts w:ascii="Calibri" w:hAnsi="Calibri" w:cs="Calibri"/>
          <w:sz w:val="24"/>
          <w:szCs w:val="24"/>
        </w:rPr>
      </w:pPr>
      <w:r w:rsidRPr="003D7302">
        <w:rPr>
          <w:rFonts w:ascii="Calibri" w:hAnsi="Calibri" w:cs="Calibri"/>
          <w:sz w:val="24"/>
          <w:szCs w:val="24"/>
        </w:rPr>
        <w:t xml:space="preserve">Please revise the Billed Consumption for the GS 50-4999 rate class in cell H41 as appropriate, and explain any </w:t>
      </w:r>
      <w:proofErr w:type="gramStart"/>
      <w:r w:rsidRPr="003D7302">
        <w:rPr>
          <w:rFonts w:ascii="Calibri" w:hAnsi="Calibri" w:cs="Calibri"/>
          <w:sz w:val="24"/>
          <w:szCs w:val="24"/>
        </w:rPr>
        <w:t>large calculated</w:t>
      </w:r>
      <w:proofErr w:type="gramEnd"/>
      <w:r w:rsidRPr="003D7302">
        <w:rPr>
          <w:rFonts w:ascii="Calibri" w:hAnsi="Calibri" w:cs="Calibri"/>
          <w:sz w:val="24"/>
          <w:szCs w:val="24"/>
        </w:rPr>
        <w:t xml:space="preserve"> variances in column J.</w:t>
      </w:r>
    </w:p>
    <w:p w14:paraId="14C339C6" w14:textId="77777777" w:rsidR="003D7302" w:rsidRPr="003D7302" w:rsidRDefault="003D7302" w:rsidP="003D7302">
      <w:pPr>
        <w:pStyle w:val="ListParagraph"/>
        <w:numPr>
          <w:ilvl w:val="0"/>
          <w:numId w:val="22"/>
        </w:numPr>
        <w:spacing w:after="0"/>
        <w:jc w:val="both"/>
        <w:rPr>
          <w:rFonts w:ascii="Calibri" w:hAnsi="Calibri" w:cs="Calibri"/>
          <w:sz w:val="24"/>
          <w:szCs w:val="24"/>
        </w:rPr>
      </w:pPr>
      <w:r w:rsidRPr="003D7302">
        <w:rPr>
          <w:rFonts w:ascii="Calibri" w:hAnsi="Calibri" w:cs="Calibri"/>
          <w:sz w:val="24"/>
          <w:szCs w:val="24"/>
        </w:rPr>
        <w:t xml:space="preserve">Please reassess the total difference under Step 3 in cell J40, as the difference should no longer include amounts relating to the ($107,394) for the GS 50-4999 class. </w:t>
      </w:r>
    </w:p>
    <w:p w14:paraId="1DB67B35" w14:textId="77777777" w:rsidR="009306E3" w:rsidRDefault="009306E3" w:rsidP="009306E3">
      <w:pPr>
        <w:pStyle w:val="Quote"/>
      </w:pPr>
      <w:r>
        <w:lastRenderedPageBreak/>
        <w:t>Response</w:t>
      </w:r>
    </w:p>
    <w:p w14:paraId="39CA40D5" w14:textId="42EFB58A" w:rsidR="00216119" w:rsidRPr="00BE5E92" w:rsidRDefault="003D7302" w:rsidP="00014BD9">
      <w:pPr>
        <w:pStyle w:val="ListParagraph"/>
        <w:numPr>
          <w:ilvl w:val="0"/>
          <w:numId w:val="21"/>
        </w:numPr>
        <w:jc w:val="both"/>
        <w:rPr>
          <w:sz w:val="24"/>
          <w:szCs w:val="24"/>
        </w:rPr>
      </w:pPr>
      <w:r w:rsidRPr="00BE5E92">
        <w:rPr>
          <w:sz w:val="24"/>
          <w:szCs w:val="24"/>
        </w:rPr>
        <w:t>Essex Powerlines confirms that the revisions made by OEB staff are appropriate.</w:t>
      </w:r>
    </w:p>
    <w:p w14:paraId="5B5C9705" w14:textId="77777777" w:rsidR="00FC0C03" w:rsidRPr="00BE5E92" w:rsidRDefault="00FC0C03" w:rsidP="00014BD9">
      <w:pPr>
        <w:pStyle w:val="ListParagraph"/>
        <w:jc w:val="both"/>
        <w:rPr>
          <w:sz w:val="24"/>
          <w:szCs w:val="24"/>
        </w:rPr>
      </w:pPr>
    </w:p>
    <w:p w14:paraId="13703D90" w14:textId="0243AF82" w:rsidR="002B0F11" w:rsidRPr="00BE5E92" w:rsidRDefault="00DA4730" w:rsidP="00014BD9">
      <w:pPr>
        <w:pStyle w:val="ListParagraph"/>
        <w:numPr>
          <w:ilvl w:val="0"/>
          <w:numId w:val="21"/>
        </w:numPr>
        <w:jc w:val="both"/>
        <w:rPr>
          <w:sz w:val="24"/>
          <w:szCs w:val="24"/>
        </w:rPr>
      </w:pPr>
      <w:r w:rsidRPr="00BE5E92">
        <w:rPr>
          <w:sz w:val="24"/>
          <w:szCs w:val="24"/>
        </w:rPr>
        <w:t>The billed consumption for the General Service 50 to 4,999 kW rate class in cell H41 is appropriate, as it includes only the consumption related to this rate class</w:t>
      </w:r>
      <w:proofErr w:type="gramStart"/>
      <w:r w:rsidRPr="00BE5E92">
        <w:rPr>
          <w:sz w:val="24"/>
          <w:szCs w:val="24"/>
        </w:rPr>
        <w:t>.</w:t>
      </w:r>
      <w:r w:rsidR="00A85B54" w:rsidRPr="00BE5E92">
        <w:rPr>
          <w:sz w:val="24"/>
          <w:szCs w:val="24"/>
        </w:rPr>
        <w:t xml:space="preserve">  </w:t>
      </w:r>
      <w:proofErr w:type="gramEnd"/>
      <w:r w:rsidR="00A85B54" w:rsidRPr="00BE5E92">
        <w:rPr>
          <w:sz w:val="24"/>
          <w:szCs w:val="24"/>
        </w:rPr>
        <w:t xml:space="preserve">The calculated variance in column J results from imprecise estimated billing determinants used in the rate rider calculation, which gave rise to </w:t>
      </w:r>
      <w:r w:rsidR="00014BD9" w:rsidRPr="00BE5E92">
        <w:rPr>
          <w:sz w:val="24"/>
          <w:szCs w:val="24"/>
        </w:rPr>
        <w:t>over</w:t>
      </w:r>
      <w:r w:rsidR="00F454A3" w:rsidRPr="00BE5E92">
        <w:rPr>
          <w:sz w:val="24"/>
          <w:szCs w:val="24"/>
        </w:rPr>
        <w:t>payment</w:t>
      </w:r>
      <w:r w:rsidR="00A85B54" w:rsidRPr="00BE5E92">
        <w:rPr>
          <w:sz w:val="24"/>
          <w:szCs w:val="24"/>
        </w:rPr>
        <w:t xml:space="preserve"> of principal balances over the rate rider recovery period.</w:t>
      </w:r>
    </w:p>
    <w:p w14:paraId="0C00D3D0" w14:textId="77777777" w:rsidR="00DA4730" w:rsidRPr="00BE5E92" w:rsidRDefault="00DA4730" w:rsidP="00014BD9">
      <w:pPr>
        <w:pStyle w:val="ListParagraph"/>
        <w:jc w:val="both"/>
        <w:rPr>
          <w:sz w:val="24"/>
          <w:szCs w:val="24"/>
        </w:rPr>
      </w:pPr>
    </w:p>
    <w:p w14:paraId="27912283" w14:textId="0DA7153E" w:rsidR="00DA4730" w:rsidRPr="00BE5E92" w:rsidRDefault="00C31ADF" w:rsidP="00014BD9">
      <w:pPr>
        <w:pStyle w:val="ListParagraph"/>
        <w:numPr>
          <w:ilvl w:val="0"/>
          <w:numId w:val="21"/>
        </w:numPr>
        <w:jc w:val="both"/>
        <w:rPr>
          <w:sz w:val="24"/>
          <w:szCs w:val="24"/>
        </w:rPr>
      </w:pPr>
      <w:r w:rsidRPr="00BE5E92">
        <w:rPr>
          <w:sz w:val="24"/>
          <w:szCs w:val="24"/>
        </w:rPr>
        <w:t>A</w:t>
      </w:r>
      <w:r w:rsidR="005D58BB" w:rsidRPr="00BE5E92">
        <w:rPr>
          <w:sz w:val="24"/>
          <w:szCs w:val="24"/>
        </w:rPr>
        <w:t xml:space="preserve"> revision</w:t>
      </w:r>
      <w:r w:rsidRPr="00BE5E92">
        <w:rPr>
          <w:sz w:val="24"/>
          <w:szCs w:val="24"/>
        </w:rPr>
        <w:t xml:space="preserve"> was made</w:t>
      </w:r>
      <w:r w:rsidR="005D58BB" w:rsidRPr="00BE5E92">
        <w:rPr>
          <w:sz w:val="24"/>
          <w:szCs w:val="24"/>
        </w:rPr>
        <w:t xml:space="preserve"> to the billed consumption in the General Service 50 to 4,999 kW rate class for Rate Rider – RSVA – Global Adjustment (cell H99)</w:t>
      </w:r>
      <w:proofErr w:type="gramStart"/>
      <w:r w:rsidRPr="00BE5E92">
        <w:rPr>
          <w:sz w:val="24"/>
          <w:szCs w:val="24"/>
        </w:rPr>
        <w:t xml:space="preserve">. </w:t>
      </w:r>
      <w:r w:rsidR="005D58BB" w:rsidRPr="00BE5E92">
        <w:rPr>
          <w:sz w:val="24"/>
          <w:szCs w:val="24"/>
        </w:rPr>
        <w:t xml:space="preserve"> </w:t>
      </w:r>
      <w:proofErr w:type="gramEnd"/>
      <w:r w:rsidRPr="00BE5E92">
        <w:rPr>
          <w:sz w:val="24"/>
          <w:szCs w:val="24"/>
        </w:rPr>
        <w:t>T</w:t>
      </w:r>
      <w:r w:rsidR="00DA4730" w:rsidRPr="00BE5E92">
        <w:rPr>
          <w:sz w:val="24"/>
          <w:szCs w:val="24"/>
        </w:rPr>
        <w:t xml:space="preserve">he total difference under Step 3 </w:t>
      </w:r>
      <w:r w:rsidR="00C340C9" w:rsidRPr="00BE5E92">
        <w:rPr>
          <w:sz w:val="24"/>
          <w:szCs w:val="24"/>
        </w:rPr>
        <w:t xml:space="preserve">is </w:t>
      </w:r>
      <w:r w:rsidRPr="00BE5E92">
        <w:rPr>
          <w:sz w:val="24"/>
          <w:szCs w:val="24"/>
        </w:rPr>
        <w:t>due</w:t>
      </w:r>
      <w:r w:rsidR="00C340C9" w:rsidRPr="00BE5E92">
        <w:rPr>
          <w:sz w:val="24"/>
          <w:szCs w:val="24"/>
        </w:rPr>
        <w:t xml:space="preserve"> to variances between </w:t>
      </w:r>
      <w:r w:rsidR="00A74C12" w:rsidRPr="00BE5E92">
        <w:rPr>
          <w:sz w:val="24"/>
          <w:szCs w:val="24"/>
        </w:rPr>
        <w:t>the balances approved for disposition and the projected</w:t>
      </w:r>
      <w:r w:rsidRPr="00BE5E92">
        <w:rPr>
          <w:sz w:val="24"/>
          <w:szCs w:val="24"/>
        </w:rPr>
        <w:t xml:space="preserve"> consumption at the approved rate riders.</w:t>
      </w:r>
    </w:p>
    <w:p w14:paraId="323FB33E" w14:textId="77777777" w:rsidR="00775679" w:rsidRPr="00775679" w:rsidRDefault="00775679" w:rsidP="00775679">
      <w:pPr>
        <w:pStyle w:val="ListParagraph"/>
        <w:rPr>
          <w:sz w:val="24"/>
          <w:szCs w:val="24"/>
        </w:rPr>
      </w:pPr>
    </w:p>
    <w:p w14:paraId="1B3CB46D" w14:textId="542F624D" w:rsidR="00775679" w:rsidRDefault="00775679" w:rsidP="00775679">
      <w:pPr>
        <w:pStyle w:val="IntenseQuote"/>
      </w:pPr>
      <w:r>
        <w:t>Follow-up Staff Question #5</w:t>
      </w:r>
    </w:p>
    <w:p w14:paraId="02E26D3A" w14:textId="29299E9D" w:rsidR="00775679" w:rsidRDefault="00775679" w:rsidP="00775679">
      <w:pPr>
        <w:contextualSpacing/>
        <w:rPr>
          <w:rFonts w:cstheme="minorHAnsi"/>
          <w:b/>
          <w:bCs/>
          <w:sz w:val="24"/>
          <w:szCs w:val="24"/>
        </w:rPr>
      </w:pPr>
      <w:r w:rsidRPr="00761B3F">
        <w:rPr>
          <w:rFonts w:cstheme="minorHAnsi"/>
          <w:b/>
          <w:bCs/>
          <w:sz w:val="24"/>
          <w:szCs w:val="24"/>
        </w:rPr>
        <w:t xml:space="preserve">Ref: </w:t>
      </w:r>
      <w:r w:rsidRPr="00761B3F">
        <w:rPr>
          <w:rFonts w:cstheme="minorHAnsi"/>
          <w:b/>
          <w:bCs/>
          <w:sz w:val="24"/>
          <w:szCs w:val="24"/>
        </w:rPr>
        <w:tab/>
        <w:t xml:space="preserve">Staff Question </w:t>
      </w:r>
      <w:r>
        <w:rPr>
          <w:rFonts w:cstheme="minorHAnsi"/>
          <w:b/>
          <w:bCs/>
          <w:sz w:val="24"/>
          <w:szCs w:val="24"/>
        </w:rPr>
        <w:t>4</w:t>
      </w:r>
    </w:p>
    <w:p w14:paraId="3CB6C0A8" w14:textId="5FB9C104" w:rsidR="00775679" w:rsidRDefault="00775679" w:rsidP="00775679">
      <w:pPr>
        <w:contextualSpacing/>
        <w:rPr>
          <w:rFonts w:cstheme="minorHAnsi"/>
          <w:b/>
          <w:bCs/>
          <w:sz w:val="24"/>
          <w:szCs w:val="24"/>
        </w:rPr>
      </w:pPr>
    </w:p>
    <w:p w14:paraId="5EB5E16D" w14:textId="29D65EF9" w:rsidR="00775679" w:rsidRDefault="00775679" w:rsidP="00775679">
      <w:pPr>
        <w:spacing w:after="0"/>
        <w:contextualSpacing/>
        <w:jc w:val="both"/>
        <w:rPr>
          <w:rFonts w:cstheme="minorHAnsi"/>
          <w:sz w:val="24"/>
          <w:szCs w:val="24"/>
        </w:rPr>
      </w:pPr>
      <w:r w:rsidRPr="00775679">
        <w:rPr>
          <w:rFonts w:cstheme="minorHAnsi"/>
          <w:sz w:val="24"/>
          <w:szCs w:val="24"/>
        </w:rPr>
        <w:t xml:space="preserve">In response to Staff Question 4, Essex Powerlines identified $1.4M and $104k reallocation adjustments between Accounts 1588 and 1589 for 2019 and 2020, respectively, </w:t>
      </w:r>
      <w:proofErr w:type="gramStart"/>
      <w:r w:rsidRPr="00775679">
        <w:rPr>
          <w:rFonts w:cstheme="minorHAnsi"/>
          <w:sz w:val="24"/>
          <w:szCs w:val="24"/>
        </w:rPr>
        <w:t>as a result of</w:t>
      </w:r>
      <w:proofErr w:type="gramEnd"/>
      <w:r w:rsidRPr="00775679">
        <w:rPr>
          <w:rFonts w:cstheme="minorHAnsi"/>
          <w:sz w:val="24"/>
          <w:szCs w:val="24"/>
        </w:rPr>
        <w:t xml:space="preserve"> timing-related adjustments of meter reads. In the 2021 IRM, Essex Powerlines indicated that no adjustments were required to 2017 and 2018 balances </w:t>
      </w:r>
      <w:proofErr w:type="gramStart"/>
      <w:r w:rsidRPr="00775679">
        <w:rPr>
          <w:rFonts w:cstheme="minorHAnsi"/>
          <w:sz w:val="24"/>
          <w:szCs w:val="24"/>
        </w:rPr>
        <w:t>as a result of</w:t>
      </w:r>
      <w:proofErr w:type="gramEnd"/>
      <w:r w:rsidRPr="00775679">
        <w:rPr>
          <w:rFonts w:cstheme="minorHAnsi"/>
          <w:sz w:val="24"/>
          <w:szCs w:val="24"/>
        </w:rPr>
        <w:t xml:space="preserve"> its review of the balances. Please confirm that the timing-related adjustments of meter reads was not an issue in 2017 and 2018.</w:t>
      </w:r>
    </w:p>
    <w:p w14:paraId="20062E5B" w14:textId="77777777" w:rsidR="0024238F" w:rsidRPr="00775679" w:rsidRDefault="0024238F" w:rsidP="00775679">
      <w:pPr>
        <w:spacing w:after="0"/>
        <w:contextualSpacing/>
        <w:jc w:val="both"/>
        <w:rPr>
          <w:rFonts w:cstheme="minorHAnsi"/>
          <w:sz w:val="24"/>
          <w:szCs w:val="24"/>
        </w:rPr>
      </w:pPr>
    </w:p>
    <w:p w14:paraId="65EA3E6E" w14:textId="77777777" w:rsidR="00775679" w:rsidRDefault="00775679" w:rsidP="00775679">
      <w:pPr>
        <w:pStyle w:val="Quote"/>
      </w:pPr>
      <w:r>
        <w:t>Response</w:t>
      </w:r>
    </w:p>
    <w:p w14:paraId="742E9130" w14:textId="0B06B30F" w:rsidR="00775679" w:rsidRDefault="00775679" w:rsidP="00775679">
      <w:pPr>
        <w:contextualSpacing/>
        <w:rPr>
          <w:rFonts w:cstheme="minorHAnsi"/>
          <w:sz w:val="24"/>
          <w:szCs w:val="24"/>
        </w:rPr>
      </w:pPr>
      <w:r>
        <w:rPr>
          <w:rFonts w:cstheme="minorHAnsi"/>
          <w:sz w:val="24"/>
          <w:szCs w:val="24"/>
        </w:rPr>
        <w:t xml:space="preserve">N/A, see response to </w:t>
      </w:r>
      <w:r w:rsidR="00AD3837">
        <w:rPr>
          <w:rFonts w:cstheme="minorHAnsi"/>
          <w:sz w:val="24"/>
          <w:szCs w:val="24"/>
        </w:rPr>
        <w:t>O</w:t>
      </w:r>
      <w:r>
        <w:rPr>
          <w:rFonts w:cstheme="minorHAnsi"/>
          <w:sz w:val="24"/>
          <w:szCs w:val="24"/>
        </w:rPr>
        <w:t>riginal Staff Question #5 below.</w:t>
      </w:r>
    </w:p>
    <w:p w14:paraId="57352173" w14:textId="465C793D" w:rsidR="00775679" w:rsidRDefault="00775679" w:rsidP="00775679">
      <w:pPr>
        <w:contextualSpacing/>
        <w:rPr>
          <w:rFonts w:cstheme="minorHAnsi"/>
          <w:sz w:val="24"/>
          <w:szCs w:val="24"/>
        </w:rPr>
      </w:pPr>
    </w:p>
    <w:p w14:paraId="64A3F70B" w14:textId="063EEB6A" w:rsidR="00BE5E92" w:rsidRDefault="00BE5E92" w:rsidP="00775679">
      <w:pPr>
        <w:contextualSpacing/>
        <w:rPr>
          <w:rFonts w:cstheme="minorHAnsi"/>
          <w:sz w:val="24"/>
          <w:szCs w:val="24"/>
        </w:rPr>
      </w:pPr>
    </w:p>
    <w:p w14:paraId="36D9F223" w14:textId="361148E4" w:rsidR="00BE5E92" w:rsidRDefault="00BE5E92" w:rsidP="00775679">
      <w:pPr>
        <w:contextualSpacing/>
        <w:rPr>
          <w:rFonts w:cstheme="minorHAnsi"/>
          <w:sz w:val="24"/>
          <w:szCs w:val="24"/>
        </w:rPr>
      </w:pPr>
    </w:p>
    <w:p w14:paraId="502631FD" w14:textId="10923FC3" w:rsidR="00BE5E92" w:rsidRDefault="00BE5E92" w:rsidP="00775679">
      <w:pPr>
        <w:contextualSpacing/>
        <w:rPr>
          <w:rFonts w:cstheme="minorHAnsi"/>
          <w:sz w:val="24"/>
          <w:szCs w:val="24"/>
        </w:rPr>
      </w:pPr>
    </w:p>
    <w:p w14:paraId="55A4E472" w14:textId="77777777" w:rsidR="00BE5E92" w:rsidRDefault="00BE5E92" w:rsidP="00775679">
      <w:pPr>
        <w:contextualSpacing/>
        <w:rPr>
          <w:rFonts w:cstheme="minorHAnsi"/>
          <w:sz w:val="24"/>
          <w:szCs w:val="24"/>
        </w:rPr>
      </w:pPr>
    </w:p>
    <w:p w14:paraId="392337E7" w14:textId="41CF19FF" w:rsidR="003D2257" w:rsidRDefault="003D2257" w:rsidP="003D2257">
      <w:pPr>
        <w:pStyle w:val="IntenseQuote"/>
      </w:pPr>
      <w:bookmarkStart w:id="7" w:name="_Toc535825583"/>
      <w:r>
        <w:lastRenderedPageBreak/>
        <w:t>Original Staff Question #5</w:t>
      </w:r>
      <w:bookmarkEnd w:id="7"/>
      <w:r>
        <w:t xml:space="preserve"> </w:t>
      </w:r>
    </w:p>
    <w:p w14:paraId="172478FB" w14:textId="77777777" w:rsidR="003D2257" w:rsidRPr="00215491" w:rsidRDefault="003D2257" w:rsidP="003D2257">
      <w:pPr>
        <w:spacing w:after="0"/>
        <w:rPr>
          <w:rFonts w:cs="Arial"/>
          <w:b/>
          <w:sz w:val="24"/>
          <w:szCs w:val="24"/>
        </w:rPr>
      </w:pPr>
      <w:r w:rsidRPr="00215491">
        <w:rPr>
          <w:rFonts w:cs="Arial"/>
          <w:b/>
          <w:sz w:val="24"/>
          <w:szCs w:val="24"/>
        </w:rPr>
        <w:t xml:space="preserve">Ref: GA Analysis </w:t>
      </w:r>
      <w:proofErr w:type="spellStart"/>
      <w:r w:rsidRPr="00215491">
        <w:rPr>
          <w:rFonts w:cs="Arial"/>
          <w:b/>
          <w:sz w:val="24"/>
          <w:szCs w:val="24"/>
        </w:rPr>
        <w:t>Workform</w:t>
      </w:r>
      <w:proofErr w:type="spellEnd"/>
      <w:r>
        <w:rPr>
          <w:rFonts w:cs="Arial"/>
          <w:b/>
          <w:sz w:val="24"/>
          <w:szCs w:val="24"/>
        </w:rPr>
        <w:t xml:space="preserve"> – 2019 and 2020 GA Tab</w:t>
      </w:r>
    </w:p>
    <w:p w14:paraId="6D41E369" w14:textId="77777777" w:rsidR="003D2257" w:rsidRPr="00215491" w:rsidRDefault="003D2257" w:rsidP="003D2257">
      <w:pPr>
        <w:spacing w:after="0"/>
        <w:rPr>
          <w:rFonts w:cs="Arial"/>
          <w:sz w:val="24"/>
          <w:szCs w:val="24"/>
        </w:rPr>
      </w:pPr>
    </w:p>
    <w:p w14:paraId="13BE361F" w14:textId="77777777" w:rsidR="003D2257" w:rsidRDefault="003D2257" w:rsidP="0024238F">
      <w:pPr>
        <w:spacing w:after="0" w:line="240" w:lineRule="auto"/>
        <w:jc w:val="both"/>
        <w:rPr>
          <w:rFonts w:cs="Arial"/>
          <w:sz w:val="24"/>
          <w:szCs w:val="24"/>
        </w:rPr>
      </w:pPr>
      <w:r>
        <w:rPr>
          <w:rFonts w:cs="Arial"/>
          <w:sz w:val="24"/>
          <w:szCs w:val="24"/>
        </w:rPr>
        <w:t xml:space="preserve">In the GA Analysis </w:t>
      </w:r>
      <w:proofErr w:type="spellStart"/>
      <w:r>
        <w:rPr>
          <w:rFonts w:cs="Arial"/>
          <w:sz w:val="24"/>
          <w:szCs w:val="24"/>
        </w:rPr>
        <w:t>Workform</w:t>
      </w:r>
      <w:proofErr w:type="spellEnd"/>
      <w:r>
        <w:rPr>
          <w:rFonts w:cs="Arial"/>
          <w:sz w:val="24"/>
          <w:szCs w:val="24"/>
        </w:rPr>
        <w:t>, the expected GA volume variance is $872,988 and $427,283 for 2019 and 2020, respectively</w:t>
      </w:r>
      <w:proofErr w:type="gramStart"/>
      <w:r>
        <w:rPr>
          <w:rFonts w:cs="Arial"/>
          <w:sz w:val="24"/>
          <w:szCs w:val="24"/>
        </w:rPr>
        <w:t xml:space="preserve">.  </w:t>
      </w:r>
      <w:proofErr w:type="gramEnd"/>
      <w:r>
        <w:rPr>
          <w:rFonts w:cs="Arial"/>
          <w:sz w:val="24"/>
          <w:szCs w:val="24"/>
        </w:rPr>
        <w:t xml:space="preserve">OEB staff calculated the actual loss factor below based on information in the GA Analysis </w:t>
      </w:r>
      <w:proofErr w:type="spellStart"/>
      <w:r>
        <w:rPr>
          <w:rFonts w:cs="Arial"/>
          <w:sz w:val="24"/>
          <w:szCs w:val="24"/>
        </w:rPr>
        <w:t>Workform</w:t>
      </w:r>
      <w:proofErr w:type="spellEnd"/>
      <w:proofErr w:type="gramStart"/>
      <w:r>
        <w:rPr>
          <w:rFonts w:cs="Arial"/>
          <w:sz w:val="24"/>
          <w:szCs w:val="24"/>
        </w:rPr>
        <w:t xml:space="preserve">.  </w:t>
      </w:r>
      <w:proofErr w:type="gramEnd"/>
      <w:r>
        <w:rPr>
          <w:rFonts w:cs="Arial"/>
          <w:sz w:val="24"/>
          <w:szCs w:val="24"/>
        </w:rPr>
        <w:t>Please comment on the reasonability of this high calculated actual loss factor as compared to the actual losses that Essex Powerlines experiences.</w:t>
      </w:r>
    </w:p>
    <w:p w14:paraId="6CEFA093" w14:textId="77777777" w:rsidR="0051350D" w:rsidRDefault="0051350D" w:rsidP="003D2257">
      <w:pPr>
        <w:spacing w:after="0" w:line="240" w:lineRule="auto"/>
        <w:rPr>
          <w:rFonts w:cs="Arial"/>
          <w:sz w:val="24"/>
          <w:szCs w:val="24"/>
        </w:rPr>
      </w:pPr>
    </w:p>
    <w:tbl>
      <w:tblPr>
        <w:tblStyle w:val="TableGrid"/>
        <w:tblW w:w="0" w:type="auto"/>
        <w:tblLook w:val="04A0" w:firstRow="1" w:lastRow="0" w:firstColumn="1" w:lastColumn="0" w:noHBand="0" w:noVBand="1"/>
      </w:tblPr>
      <w:tblGrid>
        <w:gridCol w:w="3116"/>
        <w:gridCol w:w="3117"/>
        <w:gridCol w:w="3117"/>
      </w:tblGrid>
      <w:tr w:rsidR="003D2257" w14:paraId="4BDEFE3C" w14:textId="77777777" w:rsidTr="00D60422">
        <w:tc>
          <w:tcPr>
            <w:tcW w:w="3116" w:type="dxa"/>
          </w:tcPr>
          <w:p w14:paraId="3EA7E0B5" w14:textId="77777777" w:rsidR="003D2257" w:rsidRDefault="003D2257" w:rsidP="00D60422">
            <w:pPr>
              <w:rPr>
                <w:rFonts w:cs="Arial"/>
                <w:sz w:val="24"/>
                <w:szCs w:val="24"/>
              </w:rPr>
            </w:pPr>
          </w:p>
        </w:tc>
        <w:tc>
          <w:tcPr>
            <w:tcW w:w="3117" w:type="dxa"/>
          </w:tcPr>
          <w:p w14:paraId="49645BD8" w14:textId="77777777" w:rsidR="003D2257" w:rsidRPr="00E4503E" w:rsidRDefault="003D2257" w:rsidP="00D60422">
            <w:pPr>
              <w:jc w:val="center"/>
              <w:rPr>
                <w:rFonts w:cs="Arial"/>
                <w:b/>
                <w:bCs/>
                <w:sz w:val="24"/>
                <w:szCs w:val="24"/>
              </w:rPr>
            </w:pPr>
            <w:r w:rsidRPr="00E4503E">
              <w:rPr>
                <w:rFonts w:cs="Arial"/>
                <w:b/>
                <w:bCs/>
                <w:sz w:val="24"/>
                <w:szCs w:val="24"/>
              </w:rPr>
              <w:t>2019</w:t>
            </w:r>
          </w:p>
        </w:tc>
        <w:tc>
          <w:tcPr>
            <w:tcW w:w="3117" w:type="dxa"/>
          </w:tcPr>
          <w:p w14:paraId="2A244104" w14:textId="77777777" w:rsidR="003D2257" w:rsidRPr="00E4503E" w:rsidRDefault="003D2257" w:rsidP="00D60422">
            <w:pPr>
              <w:jc w:val="center"/>
              <w:rPr>
                <w:rFonts w:cs="Arial"/>
                <w:b/>
                <w:bCs/>
                <w:sz w:val="24"/>
                <w:szCs w:val="24"/>
              </w:rPr>
            </w:pPr>
            <w:r w:rsidRPr="00E4503E">
              <w:rPr>
                <w:rFonts w:cs="Arial"/>
                <w:b/>
                <w:bCs/>
                <w:sz w:val="24"/>
                <w:szCs w:val="24"/>
              </w:rPr>
              <w:t>2020</w:t>
            </w:r>
          </w:p>
        </w:tc>
      </w:tr>
      <w:tr w:rsidR="003D2257" w14:paraId="608A2222" w14:textId="77777777" w:rsidTr="00D60422">
        <w:tc>
          <w:tcPr>
            <w:tcW w:w="3116" w:type="dxa"/>
          </w:tcPr>
          <w:p w14:paraId="44CC1E16" w14:textId="77777777" w:rsidR="003D2257" w:rsidRDefault="003D2257" w:rsidP="00D60422">
            <w:pPr>
              <w:rPr>
                <w:rFonts w:cs="Arial"/>
                <w:sz w:val="24"/>
                <w:szCs w:val="24"/>
              </w:rPr>
            </w:pPr>
            <w:r>
              <w:rPr>
                <w:rFonts w:cs="Arial"/>
                <w:sz w:val="24"/>
                <w:szCs w:val="24"/>
              </w:rPr>
              <w:t>Non-RPP retail kWh, including loss (A)</w:t>
            </w:r>
          </w:p>
        </w:tc>
        <w:tc>
          <w:tcPr>
            <w:tcW w:w="3117" w:type="dxa"/>
          </w:tcPr>
          <w:p w14:paraId="65AB071C" w14:textId="77777777" w:rsidR="003D2257" w:rsidRDefault="003D2257" w:rsidP="00D60422">
            <w:pPr>
              <w:jc w:val="center"/>
              <w:rPr>
                <w:rFonts w:cs="Arial"/>
                <w:sz w:val="24"/>
                <w:szCs w:val="24"/>
              </w:rPr>
            </w:pPr>
            <w:r>
              <w:rPr>
                <w:rFonts w:cs="Arial"/>
                <w:sz w:val="24"/>
                <w:szCs w:val="24"/>
              </w:rPr>
              <w:t>192,481,499</w:t>
            </w:r>
          </w:p>
        </w:tc>
        <w:tc>
          <w:tcPr>
            <w:tcW w:w="3117" w:type="dxa"/>
          </w:tcPr>
          <w:p w14:paraId="6D3CA432" w14:textId="77777777" w:rsidR="003D2257" w:rsidRDefault="003D2257" w:rsidP="00D60422">
            <w:pPr>
              <w:jc w:val="center"/>
              <w:rPr>
                <w:rFonts w:cs="Arial"/>
                <w:sz w:val="24"/>
                <w:szCs w:val="24"/>
              </w:rPr>
            </w:pPr>
            <w:r>
              <w:rPr>
                <w:rFonts w:cs="Arial"/>
                <w:sz w:val="24"/>
                <w:szCs w:val="24"/>
              </w:rPr>
              <w:t>122,897,567</w:t>
            </w:r>
          </w:p>
          <w:p w14:paraId="4A740900" w14:textId="77777777" w:rsidR="003D2257" w:rsidRDefault="003D2257" w:rsidP="00D60422">
            <w:pPr>
              <w:jc w:val="center"/>
              <w:rPr>
                <w:rFonts w:cs="Arial"/>
                <w:sz w:val="24"/>
                <w:szCs w:val="24"/>
              </w:rPr>
            </w:pPr>
          </w:p>
        </w:tc>
      </w:tr>
      <w:tr w:rsidR="003D2257" w14:paraId="15850177" w14:textId="77777777" w:rsidTr="00D60422">
        <w:tc>
          <w:tcPr>
            <w:tcW w:w="3116" w:type="dxa"/>
          </w:tcPr>
          <w:p w14:paraId="2E4C6A17" w14:textId="77777777" w:rsidR="003D2257" w:rsidRDefault="003D2257" w:rsidP="00D60422">
            <w:pPr>
              <w:rPr>
                <w:rFonts w:cs="Arial"/>
                <w:sz w:val="24"/>
                <w:szCs w:val="24"/>
              </w:rPr>
            </w:pPr>
            <w:r>
              <w:rPr>
                <w:rFonts w:cs="Arial"/>
                <w:sz w:val="24"/>
                <w:szCs w:val="24"/>
              </w:rPr>
              <w:t>Approved loss factor (B)</w:t>
            </w:r>
          </w:p>
        </w:tc>
        <w:tc>
          <w:tcPr>
            <w:tcW w:w="3117" w:type="dxa"/>
          </w:tcPr>
          <w:p w14:paraId="448EB1DF" w14:textId="77777777" w:rsidR="003D2257" w:rsidRDefault="003D2257" w:rsidP="00D60422">
            <w:pPr>
              <w:jc w:val="center"/>
              <w:rPr>
                <w:rFonts w:cs="Arial"/>
                <w:sz w:val="24"/>
                <w:szCs w:val="24"/>
              </w:rPr>
            </w:pPr>
            <w:r>
              <w:rPr>
                <w:rFonts w:cs="Arial"/>
                <w:sz w:val="24"/>
                <w:szCs w:val="24"/>
              </w:rPr>
              <w:t>1.0355</w:t>
            </w:r>
          </w:p>
        </w:tc>
        <w:tc>
          <w:tcPr>
            <w:tcW w:w="3117" w:type="dxa"/>
          </w:tcPr>
          <w:p w14:paraId="314A96B9" w14:textId="77777777" w:rsidR="003D2257" w:rsidRDefault="003D2257" w:rsidP="00D60422">
            <w:pPr>
              <w:jc w:val="center"/>
              <w:rPr>
                <w:rFonts w:cs="Arial"/>
                <w:sz w:val="24"/>
                <w:szCs w:val="24"/>
              </w:rPr>
            </w:pPr>
            <w:r>
              <w:rPr>
                <w:rFonts w:cs="Arial"/>
                <w:sz w:val="24"/>
                <w:szCs w:val="24"/>
              </w:rPr>
              <w:t>1.0355</w:t>
            </w:r>
          </w:p>
        </w:tc>
      </w:tr>
      <w:tr w:rsidR="003D2257" w14:paraId="20A410BF" w14:textId="77777777" w:rsidTr="00D60422">
        <w:tc>
          <w:tcPr>
            <w:tcW w:w="3116" w:type="dxa"/>
          </w:tcPr>
          <w:p w14:paraId="2A95E5EF" w14:textId="77777777" w:rsidR="003D2257" w:rsidRDefault="003D2257" w:rsidP="00D60422">
            <w:pPr>
              <w:rPr>
                <w:rFonts w:cs="Arial"/>
                <w:sz w:val="24"/>
                <w:szCs w:val="24"/>
              </w:rPr>
            </w:pPr>
            <w:r>
              <w:rPr>
                <w:rFonts w:cs="Arial"/>
                <w:sz w:val="24"/>
                <w:szCs w:val="24"/>
              </w:rPr>
              <w:t>Non-RPP retail kWh excluding loss (C = A/B)</w:t>
            </w:r>
          </w:p>
        </w:tc>
        <w:tc>
          <w:tcPr>
            <w:tcW w:w="3117" w:type="dxa"/>
          </w:tcPr>
          <w:p w14:paraId="53A2C209" w14:textId="77777777" w:rsidR="003D2257" w:rsidRDefault="003D2257" w:rsidP="00D60422">
            <w:pPr>
              <w:jc w:val="center"/>
              <w:rPr>
                <w:rFonts w:cs="Arial"/>
                <w:sz w:val="24"/>
                <w:szCs w:val="24"/>
              </w:rPr>
            </w:pPr>
            <w:r>
              <w:rPr>
                <w:rFonts w:cs="Arial"/>
                <w:sz w:val="24"/>
                <w:szCs w:val="24"/>
              </w:rPr>
              <w:t>185,882,664</w:t>
            </w:r>
          </w:p>
        </w:tc>
        <w:tc>
          <w:tcPr>
            <w:tcW w:w="3117" w:type="dxa"/>
          </w:tcPr>
          <w:p w14:paraId="25FAC6A9" w14:textId="77777777" w:rsidR="003D2257" w:rsidRDefault="003D2257" w:rsidP="00D60422">
            <w:pPr>
              <w:jc w:val="center"/>
              <w:rPr>
                <w:rFonts w:cs="Arial"/>
                <w:sz w:val="24"/>
                <w:szCs w:val="24"/>
              </w:rPr>
            </w:pPr>
            <w:r>
              <w:rPr>
                <w:rFonts w:cs="Arial"/>
                <w:sz w:val="24"/>
                <w:szCs w:val="24"/>
              </w:rPr>
              <w:t>118,684,276</w:t>
            </w:r>
          </w:p>
        </w:tc>
      </w:tr>
      <w:tr w:rsidR="003D2257" w14:paraId="4024A4A6" w14:textId="77777777" w:rsidTr="00D60422">
        <w:tc>
          <w:tcPr>
            <w:tcW w:w="3116" w:type="dxa"/>
          </w:tcPr>
          <w:p w14:paraId="51233093" w14:textId="77777777" w:rsidR="003D2257" w:rsidRDefault="003D2257" w:rsidP="00D60422">
            <w:pPr>
              <w:rPr>
                <w:rFonts w:cs="Arial"/>
                <w:sz w:val="24"/>
                <w:szCs w:val="24"/>
              </w:rPr>
            </w:pPr>
            <w:r>
              <w:rPr>
                <w:rFonts w:cs="Arial"/>
                <w:sz w:val="24"/>
                <w:szCs w:val="24"/>
              </w:rPr>
              <w:t>Non-RPP wholesale kWh</w:t>
            </w:r>
          </w:p>
          <w:p w14:paraId="4E0B524A" w14:textId="77777777" w:rsidR="003D2257" w:rsidRDefault="003D2257" w:rsidP="00D60422">
            <w:pPr>
              <w:rPr>
                <w:rFonts w:cs="Arial"/>
                <w:sz w:val="24"/>
                <w:szCs w:val="24"/>
              </w:rPr>
            </w:pPr>
            <w:r>
              <w:rPr>
                <w:rFonts w:cs="Arial"/>
                <w:sz w:val="24"/>
                <w:szCs w:val="24"/>
              </w:rPr>
              <w:t>(D)</w:t>
            </w:r>
          </w:p>
        </w:tc>
        <w:tc>
          <w:tcPr>
            <w:tcW w:w="3117" w:type="dxa"/>
          </w:tcPr>
          <w:p w14:paraId="2360C763" w14:textId="77777777" w:rsidR="003D2257" w:rsidRDefault="003D2257" w:rsidP="00D60422">
            <w:pPr>
              <w:jc w:val="center"/>
              <w:rPr>
                <w:rFonts w:cs="Arial"/>
                <w:sz w:val="24"/>
                <w:szCs w:val="24"/>
              </w:rPr>
            </w:pPr>
            <w:r>
              <w:rPr>
                <w:rFonts w:cs="Arial"/>
                <w:sz w:val="24"/>
                <w:szCs w:val="24"/>
              </w:rPr>
              <w:t>200,465,661</w:t>
            </w:r>
          </w:p>
        </w:tc>
        <w:tc>
          <w:tcPr>
            <w:tcW w:w="3117" w:type="dxa"/>
          </w:tcPr>
          <w:p w14:paraId="52CDE706" w14:textId="77777777" w:rsidR="003D2257" w:rsidRDefault="003D2257" w:rsidP="00D60422">
            <w:pPr>
              <w:jc w:val="center"/>
              <w:rPr>
                <w:rFonts w:cs="Arial"/>
                <w:sz w:val="24"/>
                <w:szCs w:val="24"/>
              </w:rPr>
            </w:pPr>
            <w:r>
              <w:rPr>
                <w:rFonts w:cs="Arial"/>
                <w:sz w:val="24"/>
                <w:szCs w:val="24"/>
              </w:rPr>
              <w:t>126,690,242</w:t>
            </w:r>
          </w:p>
        </w:tc>
      </w:tr>
      <w:tr w:rsidR="003D2257" w14:paraId="2557BD97" w14:textId="77777777" w:rsidTr="00D60422">
        <w:tc>
          <w:tcPr>
            <w:tcW w:w="3116" w:type="dxa"/>
          </w:tcPr>
          <w:p w14:paraId="58CD5B7B" w14:textId="77777777" w:rsidR="003D2257" w:rsidRDefault="003D2257" w:rsidP="00D60422">
            <w:pPr>
              <w:rPr>
                <w:rFonts w:cs="Arial"/>
                <w:sz w:val="24"/>
                <w:szCs w:val="24"/>
              </w:rPr>
            </w:pPr>
            <w:r>
              <w:rPr>
                <w:rFonts w:cs="Arial"/>
                <w:sz w:val="24"/>
                <w:szCs w:val="24"/>
              </w:rPr>
              <w:t>Calculated actual loss</w:t>
            </w:r>
          </w:p>
          <w:p w14:paraId="593B5C18" w14:textId="77777777" w:rsidR="003D2257" w:rsidRDefault="003D2257" w:rsidP="00D60422">
            <w:pPr>
              <w:rPr>
                <w:rFonts w:cs="Arial"/>
                <w:sz w:val="24"/>
                <w:szCs w:val="24"/>
              </w:rPr>
            </w:pPr>
            <w:r>
              <w:rPr>
                <w:rFonts w:cs="Arial"/>
                <w:sz w:val="24"/>
                <w:szCs w:val="24"/>
              </w:rPr>
              <w:t>Factor (=D/C)</w:t>
            </w:r>
          </w:p>
        </w:tc>
        <w:tc>
          <w:tcPr>
            <w:tcW w:w="3117" w:type="dxa"/>
          </w:tcPr>
          <w:p w14:paraId="5548D976" w14:textId="77777777" w:rsidR="003D2257" w:rsidRDefault="003D2257" w:rsidP="00D60422">
            <w:pPr>
              <w:jc w:val="center"/>
              <w:rPr>
                <w:rFonts w:cs="Arial"/>
                <w:sz w:val="24"/>
                <w:szCs w:val="24"/>
              </w:rPr>
            </w:pPr>
            <w:r>
              <w:rPr>
                <w:rFonts w:cs="Arial"/>
                <w:sz w:val="24"/>
                <w:szCs w:val="24"/>
              </w:rPr>
              <w:t>1.0785</w:t>
            </w:r>
          </w:p>
        </w:tc>
        <w:tc>
          <w:tcPr>
            <w:tcW w:w="3117" w:type="dxa"/>
          </w:tcPr>
          <w:p w14:paraId="66CB6E6A" w14:textId="77777777" w:rsidR="003D2257" w:rsidRDefault="003D2257" w:rsidP="00D60422">
            <w:pPr>
              <w:jc w:val="center"/>
              <w:rPr>
                <w:rFonts w:cs="Arial"/>
                <w:sz w:val="24"/>
                <w:szCs w:val="24"/>
              </w:rPr>
            </w:pPr>
            <w:r>
              <w:rPr>
                <w:rFonts w:cs="Arial"/>
                <w:sz w:val="24"/>
                <w:szCs w:val="24"/>
              </w:rPr>
              <w:t>1.0675</w:t>
            </w:r>
          </w:p>
        </w:tc>
      </w:tr>
    </w:tbl>
    <w:p w14:paraId="3210FE9B" w14:textId="77777777" w:rsidR="003D2257" w:rsidRPr="00215491" w:rsidRDefault="003D2257" w:rsidP="003D2257">
      <w:pPr>
        <w:spacing w:after="0" w:line="240" w:lineRule="auto"/>
        <w:rPr>
          <w:rFonts w:cs="Arial"/>
          <w:sz w:val="24"/>
          <w:szCs w:val="24"/>
        </w:rPr>
      </w:pPr>
    </w:p>
    <w:p w14:paraId="2E4B3DC1" w14:textId="77777777" w:rsidR="003D2257" w:rsidRDefault="003D2257" w:rsidP="003D2257">
      <w:pPr>
        <w:pStyle w:val="Quote"/>
      </w:pPr>
      <w:bookmarkStart w:id="8" w:name="_Toc535825584"/>
      <w:r>
        <w:t>Response</w:t>
      </w:r>
      <w:bookmarkEnd w:id="8"/>
    </w:p>
    <w:p w14:paraId="50AF422A" w14:textId="26D805AF" w:rsidR="00775679" w:rsidRPr="00775679" w:rsidRDefault="003D2257" w:rsidP="0024238F">
      <w:pPr>
        <w:contextualSpacing/>
        <w:jc w:val="both"/>
        <w:rPr>
          <w:rFonts w:cstheme="minorHAnsi"/>
          <w:sz w:val="24"/>
          <w:szCs w:val="24"/>
        </w:rPr>
      </w:pPr>
      <w:r>
        <w:rPr>
          <w:rFonts w:cstheme="minorHAnsi"/>
          <w:sz w:val="24"/>
          <w:szCs w:val="24"/>
        </w:rPr>
        <w:t xml:space="preserve">Essex Powerlines respectfully requests that the disposition related to the GA Analysis </w:t>
      </w:r>
      <w:proofErr w:type="spellStart"/>
      <w:r>
        <w:rPr>
          <w:rFonts w:cstheme="minorHAnsi"/>
          <w:sz w:val="24"/>
          <w:szCs w:val="24"/>
        </w:rPr>
        <w:t>Workform</w:t>
      </w:r>
      <w:proofErr w:type="spellEnd"/>
      <w:r>
        <w:rPr>
          <w:rFonts w:cstheme="minorHAnsi"/>
          <w:sz w:val="24"/>
          <w:szCs w:val="24"/>
        </w:rPr>
        <w:t xml:space="preserve"> for 2019 and 2020 be deferred to its next IRM application filing </w:t>
      </w:r>
      <w:proofErr w:type="gramStart"/>
      <w:r>
        <w:rPr>
          <w:rFonts w:cstheme="minorHAnsi"/>
          <w:sz w:val="24"/>
          <w:szCs w:val="24"/>
        </w:rPr>
        <w:t>in order to</w:t>
      </w:r>
      <w:proofErr w:type="gramEnd"/>
      <w:r>
        <w:rPr>
          <w:rFonts w:cstheme="minorHAnsi"/>
          <w:sz w:val="24"/>
          <w:szCs w:val="24"/>
        </w:rPr>
        <w:t xml:space="preserve"> allow for a more detailed and thorough analysis to be undertaken.  Therefore, the analysis related to this question and any further follow-up will be provided at the afore</w:t>
      </w:r>
      <w:r w:rsidR="005028C3">
        <w:rPr>
          <w:rFonts w:cstheme="minorHAnsi"/>
          <w:sz w:val="24"/>
          <w:szCs w:val="24"/>
        </w:rPr>
        <w:t>-</w:t>
      </w:r>
      <w:r>
        <w:rPr>
          <w:rFonts w:cstheme="minorHAnsi"/>
          <w:sz w:val="24"/>
          <w:szCs w:val="24"/>
        </w:rPr>
        <w:t>mentioned time</w:t>
      </w:r>
      <w:proofErr w:type="gramStart"/>
      <w:r w:rsidRPr="00BE5E92">
        <w:rPr>
          <w:rFonts w:cstheme="minorHAnsi"/>
          <w:sz w:val="24"/>
          <w:szCs w:val="24"/>
        </w:rPr>
        <w:t>.</w:t>
      </w:r>
      <w:r w:rsidR="0051350D" w:rsidRPr="00BE5E92">
        <w:rPr>
          <w:rFonts w:cstheme="minorHAnsi"/>
          <w:sz w:val="24"/>
          <w:szCs w:val="24"/>
        </w:rPr>
        <w:t xml:space="preserve">  </w:t>
      </w:r>
      <w:proofErr w:type="gramEnd"/>
      <w:r w:rsidR="000A1149" w:rsidRPr="00BE5E92">
        <w:rPr>
          <w:rFonts w:cstheme="minorHAnsi"/>
          <w:sz w:val="24"/>
          <w:szCs w:val="24"/>
        </w:rPr>
        <w:t xml:space="preserve">Essex Powerlines is seeking disposition of its other balances over a 12-month recovery period as the total bill impacts fall within </w:t>
      </w:r>
      <w:r w:rsidR="00E348D7" w:rsidRPr="00BE5E92">
        <w:rPr>
          <w:rFonts w:cstheme="minorHAnsi"/>
          <w:sz w:val="24"/>
          <w:szCs w:val="24"/>
        </w:rPr>
        <w:t xml:space="preserve">reasonable </w:t>
      </w:r>
      <w:r w:rsidR="000A1149" w:rsidRPr="00BE5E92">
        <w:rPr>
          <w:rFonts w:cstheme="minorHAnsi"/>
          <w:sz w:val="24"/>
          <w:szCs w:val="24"/>
        </w:rPr>
        <w:t>thresholds for its customer rate classes</w:t>
      </w:r>
      <w:proofErr w:type="gramStart"/>
      <w:r w:rsidR="000A1149" w:rsidRPr="00BE5E92">
        <w:rPr>
          <w:rFonts w:cstheme="minorHAnsi"/>
          <w:sz w:val="24"/>
          <w:szCs w:val="24"/>
        </w:rPr>
        <w:t xml:space="preserve">.  </w:t>
      </w:r>
      <w:proofErr w:type="gramEnd"/>
      <w:r w:rsidR="0051350D" w:rsidRPr="00BE5E92">
        <w:rPr>
          <w:rFonts w:cstheme="minorHAnsi"/>
          <w:sz w:val="24"/>
          <w:szCs w:val="24"/>
        </w:rPr>
        <w:t xml:space="preserve">An updated </w:t>
      </w:r>
      <w:r w:rsidR="00915209" w:rsidRPr="00BE5E92">
        <w:rPr>
          <w:rFonts w:cstheme="minorHAnsi"/>
          <w:sz w:val="24"/>
          <w:szCs w:val="24"/>
        </w:rPr>
        <w:t xml:space="preserve">2022 </w:t>
      </w:r>
      <w:r w:rsidR="0051350D" w:rsidRPr="00BE5E92">
        <w:rPr>
          <w:rFonts w:cstheme="minorHAnsi"/>
          <w:sz w:val="24"/>
          <w:szCs w:val="24"/>
        </w:rPr>
        <w:t>IRM</w:t>
      </w:r>
      <w:r w:rsidR="00915209" w:rsidRPr="00BE5E92">
        <w:rPr>
          <w:rFonts w:cstheme="minorHAnsi"/>
          <w:sz w:val="24"/>
          <w:szCs w:val="24"/>
        </w:rPr>
        <w:t xml:space="preserve"> Application</w:t>
      </w:r>
      <w:r w:rsidR="00915209" w:rsidRPr="0007043D">
        <w:rPr>
          <w:rFonts w:cstheme="minorHAnsi"/>
          <w:sz w:val="24"/>
          <w:szCs w:val="24"/>
        </w:rPr>
        <w:t xml:space="preserve"> Rate Generator M</w:t>
      </w:r>
      <w:r w:rsidR="0051350D" w:rsidRPr="0007043D">
        <w:rPr>
          <w:rFonts w:cstheme="minorHAnsi"/>
          <w:sz w:val="24"/>
          <w:szCs w:val="24"/>
        </w:rPr>
        <w:t>odel</w:t>
      </w:r>
      <w:r w:rsidR="004F6646" w:rsidRPr="0007043D">
        <w:rPr>
          <w:rFonts w:cstheme="minorHAnsi"/>
          <w:sz w:val="24"/>
          <w:szCs w:val="24"/>
        </w:rPr>
        <w:t xml:space="preserve"> has been attached to reflect this request for deferral</w:t>
      </w:r>
      <w:proofErr w:type="gramStart"/>
      <w:r w:rsidR="004F6646" w:rsidRPr="0007043D">
        <w:rPr>
          <w:rFonts w:cstheme="minorHAnsi"/>
          <w:sz w:val="24"/>
          <w:szCs w:val="24"/>
        </w:rPr>
        <w:t>.</w:t>
      </w:r>
      <w:r w:rsidR="00275650">
        <w:rPr>
          <w:rFonts w:cstheme="minorHAnsi"/>
          <w:sz w:val="24"/>
          <w:szCs w:val="24"/>
        </w:rPr>
        <w:t xml:space="preserve">  </w:t>
      </w:r>
      <w:proofErr w:type="gramEnd"/>
    </w:p>
    <w:p w14:paraId="73818ECE" w14:textId="237DC936" w:rsidR="00775679" w:rsidRDefault="00775679" w:rsidP="00775679">
      <w:pPr>
        <w:rPr>
          <w:sz w:val="24"/>
          <w:szCs w:val="24"/>
        </w:rPr>
      </w:pPr>
    </w:p>
    <w:p w14:paraId="5F925492" w14:textId="1B30D578" w:rsidR="003D2257" w:rsidRDefault="003D2257" w:rsidP="003D2257">
      <w:pPr>
        <w:pStyle w:val="IntenseQuote"/>
      </w:pPr>
      <w:bookmarkStart w:id="9" w:name="_Toc535825585"/>
      <w:r>
        <w:t>Original Staff Question #6</w:t>
      </w:r>
      <w:bookmarkEnd w:id="9"/>
      <w:r>
        <w:t xml:space="preserve"> </w:t>
      </w:r>
    </w:p>
    <w:p w14:paraId="0BC35CDA" w14:textId="77777777" w:rsidR="003D2257" w:rsidRDefault="003D2257" w:rsidP="003D2257">
      <w:pPr>
        <w:spacing w:after="160" w:line="259" w:lineRule="auto"/>
        <w:rPr>
          <w:rFonts w:cs="Arial"/>
          <w:b/>
          <w:sz w:val="24"/>
          <w:szCs w:val="24"/>
        </w:rPr>
      </w:pPr>
      <w:r w:rsidRPr="00215491">
        <w:rPr>
          <w:rFonts w:cs="Arial"/>
          <w:b/>
          <w:sz w:val="24"/>
          <w:szCs w:val="24"/>
        </w:rPr>
        <w:t xml:space="preserve">Ref: </w:t>
      </w:r>
      <w:r>
        <w:rPr>
          <w:rFonts w:cs="Arial"/>
          <w:b/>
          <w:sz w:val="24"/>
          <w:szCs w:val="24"/>
        </w:rPr>
        <w:t xml:space="preserve">GA Analysis </w:t>
      </w:r>
      <w:proofErr w:type="spellStart"/>
      <w:r>
        <w:rPr>
          <w:rFonts w:cs="Arial"/>
          <w:b/>
          <w:sz w:val="24"/>
          <w:szCs w:val="24"/>
        </w:rPr>
        <w:t>Workform</w:t>
      </w:r>
      <w:proofErr w:type="spellEnd"/>
      <w:r>
        <w:rPr>
          <w:rFonts w:cs="Arial"/>
          <w:b/>
          <w:sz w:val="24"/>
          <w:szCs w:val="24"/>
        </w:rPr>
        <w:t xml:space="preserve"> – Account 1588 Tab</w:t>
      </w:r>
    </w:p>
    <w:p w14:paraId="60CDDBAE" w14:textId="77777777" w:rsidR="003D2257" w:rsidRDefault="003D2257" w:rsidP="003D2257">
      <w:pPr>
        <w:spacing w:after="160" w:line="259" w:lineRule="auto"/>
        <w:rPr>
          <w:rFonts w:cs="Arial"/>
          <w:b/>
          <w:sz w:val="24"/>
          <w:szCs w:val="24"/>
        </w:rPr>
      </w:pPr>
      <w:r>
        <w:rPr>
          <w:rFonts w:cs="Arial"/>
          <w:b/>
          <w:sz w:val="24"/>
          <w:szCs w:val="24"/>
        </w:rPr>
        <w:t xml:space="preserve">        Manager’s Summary, page 5</w:t>
      </w:r>
    </w:p>
    <w:p w14:paraId="54717CCC" w14:textId="77777777" w:rsidR="003D2257" w:rsidRDefault="003D2257" w:rsidP="003D2257">
      <w:pPr>
        <w:spacing w:after="160" w:line="259" w:lineRule="auto"/>
        <w:jc w:val="both"/>
        <w:rPr>
          <w:rFonts w:cs="Arial"/>
          <w:bCs/>
          <w:sz w:val="24"/>
          <w:szCs w:val="24"/>
        </w:rPr>
      </w:pPr>
      <w:r>
        <w:rPr>
          <w:rFonts w:cs="Arial"/>
          <w:bCs/>
          <w:sz w:val="24"/>
          <w:szCs w:val="24"/>
        </w:rPr>
        <w:t xml:space="preserve">In the Account 1588 tab of the GA Analysis </w:t>
      </w:r>
      <w:proofErr w:type="spellStart"/>
      <w:r>
        <w:rPr>
          <w:rFonts w:cs="Arial"/>
          <w:bCs/>
          <w:sz w:val="24"/>
          <w:szCs w:val="24"/>
        </w:rPr>
        <w:t>Workform</w:t>
      </w:r>
      <w:proofErr w:type="spellEnd"/>
      <w:r>
        <w:rPr>
          <w:rFonts w:cs="Arial"/>
          <w:bCs/>
          <w:sz w:val="24"/>
          <w:szCs w:val="24"/>
        </w:rPr>
        <w:t>, the Account 1588 transactions in 2019 as a percentage of Account 4705 is 4%</w:t>
      </w:r>
      <w:proofErr w:type="gramStart"/>
      <w:r>
        <w:rPr>
          <w:rFonts w:cs="Arial"/>
          <w:bCs/>
          <w:sz w:val="24"/>
          <w:szCs w:val="24"/>
        </w:rPr>
        <w:t xml:space="preserve">.  </w:t>
      </w:r>
      <w:proofErr w:type="gramEnd"/>
      <w:r>
        <w:rPr>
          <w:rFonts w:cs="Arial"/>
          <w:bCs/>
          <w:sz w:val="24"/>
          <w:szCs w:val="24"/>
        </w:rPr>
        <w:t xml:space="preserve">Essex Powerlines indicated that the principal adjustment </w:t>
      </w:r>
      <w:r>
        <w:rPr>
          <w:rFonts w:cs="Arial"/>
          <w:bCs/>
          <w:sz w:val="24"/>
          <w:szCs w:val="24"/>
        </w:rPr>
        <w:lastRenderedPageBreak/>
        <w:t>includes a $1.4M amount for reallocation between accounts 1588 and 1589 further to a review of 2019 balances</w:t>
      </w:r>
      <w:proofErr w:type="gramStart"/>
      <w:r>
        <w:rPr>
          <w:rFonts w:cs="Arial"/>
          <w:bCs/>
          <w:sz w:val="24"/>
          <w:szCs w:val="24"/>
        </w:rPr>
        <w:t xml:space="preserve">.  </w:t>
      </w:r>
      <w:proofErr w:type="gramEnd"/>
      <w:r>
        <w:rPr>
          <w:rFonts w:cs="Arial"/>
          <w:bCs/>
          <w:sz w:val="24"/>
          <w:szCs w:val="24"/>
        </w:rPr>
        <w:t>In the Manager’s Summary, Essex Powerlines indicated that this review did not affect 2017 and 2018 balances</w:t>
      </w:r>
      <w:proofErr w:type="gramStart"/>
      <w:r>
        <w:rPr>
          <w:rFonts w:cs="Arial"/>
          <w:bCs/>
          <w:sz w:val="24"/>
          <w:szCs w:val="24"/>
        </w:rPr>
        <w:t xml:space="preserve">.  </w:t>
      </w:r>
      <w:proofErr w:type="gramEnd"/>
      <w:r>
        <w:rPr>
          <w:rFonts w:cs="Arial"/>
          <w:bCs/>
          <w:sz w:val="24"/>
          <w:szCs w:val="24"/>
        </w:rPr>
        <w:t>Essex Powerlines further indicated that excluding the principal adjustment, the 2019 Account 1588 transactions as a percentage of Account 4705 is    -0.4%.</w:t>
      </w:r>
    </w:p>
    <w:p w14:paraId="20CD8F1A" w14:textId="77777777" w:rsidR="003D2257" w:rsidRDefault="003D2257" w:rsidP="003D2257">
      <w:pPr>
        <w:pStyle w:val="ListParagraph"/>
        <w:numPr>
          <w:ilvl w:val="0"/>
          <w:numId w:val="14"/>
        </w:numPr>
        <w:spacing w:after="160" w:line="259" w:lineRule="auto"/>
        <w:jc w:val="both"/>
        <w:rPr>
          <w:rFonts w:cs="Arial"/>
          <w:bCs/>
          <w:sz w:val="24"/>
          <w:szCs w:val="24"/>
        </w:rPr>
      </w:pPr>
      <w:r>
        <w:rPr>
          <w:rFonts w:cs="Arial"/>
          <w:bCs/>
          <w:sz w:val="24"/>
          <w:szCs w:val="24"/>
        </w:rPr>
        <w:t>Please confirm that the $1.4M adjustment pertains only to 2019 transactions and no other years.</w:t>
      </w:r>
    </w:p>
    <w:p w14:paraId="08F7AEFE" w14:textId="77777777" w:rsidR="003D2257" w:rsidRDefault="003D2257" w:rsidP="003D2257">
      <w:pPr>
        <w:pStyle w:val="ListParagraph"/>
        <w:spacing w:after="160" w:line="259" w:lineRule="auto"/>
        <w:jc w:val="both"/>
        <w:rPr>
          <w:rFonts w:cs="Arial"/>
          <w:bCs/>
          <w:sz w:val="24"/>
          <w:szCs w:val="24"/>
        </w:rPr>
      </w:pPr>
    </w:p>
    <w:p w14:paraId="2100F1E2" w14:textId="77777777" w:rsidR="003D2257" w:rsidRDefault="003D2257" w:rsidP="003D2257">
      <w:pPr>
        <w:pStyle w:val="ListParagraph"/>
        <w:numPr>
          <w:ilvl w:val="0"/>
          <w:numId w:val="14"/>
        </w:numPr>
        <w:spacing w:after="160" w:line="259" w:lineRule="auto"/>
        <w:jc w:val="both"/>
        <w:rPr>
          <w:rFonts w:cs="Arial"/>
          <w:bCs/>
          <w:sz w:val="24"/>
          <w:szCs w:val="24"/>
        </w:rPr>
      </w:pPr>
      <w:r>
        <w:rPr>
          <w:rFonts w:cs="Arial"/>
          <w:bCs/>
          <w:sz w:val="24"/>
          <w:szCs w:val="24"/>
        </w:rPr>
        <w:t>If confirmed, including the 2019 principal adjustment with the 2019 transactions in the general ledger should appropriately reflect all transactions pertaining to only the 2019 calendar year in the 2019 balance</w:t>
      </w:r>
      <w:proofErr w:type="gramStart"/>
      <w:r>
        <w:rPr>
          <w:rFonts w:cs="Arial"/>
          <w:bCs/>
          <w:sz w:val="24"/>
          <w:szCs w:val="24"/>
        </w:rPr>
        <w:t xml:space="preserve">.  </w:t>
      </w:r>
      <w:proofErr w:type="gramEnd"/>
      <w:r>
        <w:rPr>
          <w:rFonts w:cs="Arial"/>
          <w:bCs/>
          <w:sz w:val="24"/>
          <w:szCs w:val="24"/>
        </w:rPr>
        <w:t>Therefore, it would be expected that the 2019 transactions including the 2019 principal adjustments as a percentage of Account 4705 would be small</w:t>
      </w:r>
      <w:proofErr w:type="gramStart"/>
      <w:r>
        <w:rPr>
          <w:rFonts w:cs="Arial"/>
          <w:bCs/>
          <w:sz w:val="24"/>
          <w:szCs w:val="24"/>
        </w:rPr>
        <w:t xml:space="preserve">.  </w:t>
      </w:r>
      <w:proofErr w:type="gramEnd"/>
      <w:r>
        <w:rPr>
          <w:rFonts w:cs="Arial"/>
          <w:bCs/>
          <w:sz w:val="24"/>
          <w:szCs w:val="24"/>
        </w:rPr>
        <w:t>Please reassess and explain why the percentage is greater than 1%.</w:t>
      </w:r>
    </w:p>
    <w:p w14:paraId="3C4C3A00" w14:textId="77777777" w:rsidR="003D2257" w:rsidRDefault="003D2257" w:rsidP="003D2257">
      <w:pPr>
        <w:pStyle w:val="ListParagraph"/>
        <w:spacing w:after="160" w:line="259" w:lineRule="auto"/>
        <w:jc w:val="both"/>
        <w:rPr>
          <w:rFonts w:cs="Arial"/>
          <w:bCs/>
          <w:sz w:val="24"/>
          <w:szCs w:val="24"/>
        </w:rPr>
      </w:pPr>
    </w:p>
    <w:p w14:paraId="5359F61A" w14:textId="77777777" w:rsidR="003D2257" w:rsidRPr="00721E82" w:rsidRDefault="003D2257" w:rsidP="003D2257">
      <w:pPr>
        <w:pStyle w:val="ListParagraph"/>
        <w:numPr>
          <w:ilvl w:val="0"/>
          <w:numId w:val="14"/>
        </w:numPr>
        <w:spacing w:after="160" w:line="259" w:lineRule="auto"/>
        <w:jc w:val="both"/>
        <w:rPr>
          <w:rFonts w:cs="Arial"/>
          <w:bCs/>
          <w:sz w:val="24"/>
          <w:szCs w:val="24"/>
        </w:rPr>
      </w:pPr>
      <w:r>
        <w:rPr>
          <w:rFonts w:cs="Arial"/>
          <w:bCs/>
          <w:sz w:val="24"/>
          <w:szCs w:val="24"/>
        </w:rPr>
        <w:t>If part a is not confirmed, please provide a breakdown of the $1.4M adjustment by year</w:t>
      </w:r>
      <w:proofErr w:type="gramStart"/>
      <w:r>
        <w:rPr>
          <w:rFonts w:cs="Arial"/>
          <w:bCs/>
          <w:sz w:val="24"/>
          <w:szCs w:val="24"/>
        </w:rPr>
        <w:t xml:space="preserve">.  </w:t>
      </w:r>
      <w:proofErr w:type="gramEnd"/>
      <w:r>
        <w:rPr>
          <w:rFonts w:cs="Arial"/>
          <w:bCs/>
          <w:sz w:val="24"/>
          <w:szCs w:val="24"/>
        </w:rPr>
        <w:t xml:space="preserve">If any portion of the $1.4M pertains to 2017 and 2018, please indicate why the 2017 and 2018 balances which </w:t>
      </w:r>
      <w:proofErr w:type="gramStart"/>
      <w:r>
        <w:rPr>
          <w:rFonts w:cs="Arial"/>
          <w:bCs/>
          <w:sz w:val="24"/>
          <w:szCs w:val="24"/>
        </w:rPr>
        <w:t>were approved</w:t>
      </w:r>
      <w:proofErr w:type="gramEnd"/>
      <w:r>
        <w:rPr>
          <w:rFonts w:cs="Arial"/>
          <w:bCs/>
          <w:sz w:val="24"/>
          <w:szCs w:val="24"/>
        </w:rPr>
        <w:t xml:space="preserve"> for disposition on an interim basis, were not proposed to be adjusted.</w:t>
      </w:r>
    </w:p>
    <w:p w14:paraId="3D43370F" w14:textId="77777777" w:rsidR="003D2257" w:rsidRPr="00215491" w:rsidRDefault="003D2257" w:rsidP="003D2257">
      <w:pPr>
        <w:spacing w:after="160" w:line="259" w:lineRule="auto"/>
        <w:rPr>
          <w:rFonts w:cs="Arial"/>
          <w:sz w:val="24"/>
          <w:szCs w:val="24"/>
        </w:rPr>
      </w:pPr>
    </w:p>
    <w:p w14:paraId="56A41EB4" w14:textId="77777777" w:rsidR="003D2257" w:rsidRDefault="003D2257" w:rsidP="003D2257">
      <w:pPr>
        <w:pStyle w:val="Quote"/>
      </w:pPr>
      <w:bookmarkStart w:id="10" w:name="_Toc535825586"/>
      <w:r>
        <w:t>Response</w:t>
      </w:r>
      <w:bookmarkEnd w:id="10"/>
    </w:p>
    <w:p w14:paraId="56AC1B85" w14:textId="1861963E" w:rsidR="003D2257" w:rsidRPr="00775679" w:rsidRDefault="00F90852" w:rsidP="00775679">
      <w:pPr>
        <w:rPr>
          <w:sz w:val="24"/>
          <w:szCs w:val="24"/>
        </w:rPr>
      </w:pPr>
      <w:proofErr w:type="gramStart"/>
      <w:r>
        <w:rPr>
          <w:sz w:val="24"/>
          <w:szCs w:val="24"/>
        </w:rPr>
        <w:t>In light of</w:t>
      </w:r>
      <w:proofErr w:type="gramEnd"/>
      <w:r>
        <w:rPr>
          <w:sz w:val="24"/>
          <w:szCs w:val="24"/>
        </w:rPr>
        <w:t xml:space="preserve"> Essex Powerlines’ deferral request outlined in </w:t>
      </w:r>
      <w:r w:rsidR="00AD3837">
        <w:rPr>
          <w:sz w:val="24"/>
          <w:szCs w:val="24"/>
        </w:rPr>
        <w:t>O</w:t>
      </w:r>
      <w:r>
        <w:rPr>
          <w:sz w:val="24"/>
          <w:szCs w:val="24"/>
        </w:rPr>
        <w:t>riginal Staff Question #5 above, it also respectfully requests th</w:t>
      </w:r>
      <w:r w:rsidR="005028C3">
        <w:rPr>
          <w:sz w:val="24"/>
          <w:szCs w:val="24"/>
        </w:rPr>
        <w:t>e</w:t>
      </w:r>
      <w:r>
        <w:rPr>
          <w:sz w:val="24"/>
          <w:szCs w:val="24"/>
        </w:rPr>
        <w:t xml:space="preserve"> same related to GA Analysis </w:t>
      </w:r>
      <w:proofErr w:type="spellStart"/>
      <w:r>
        <w:rPr>
          <w:sz w:val="24"/>
          <w:szCs w:val="24"/>
        </w:rPr>
        <w:t>Workform</w:t>
      </w:r>
      <w:proofErr w:type="spellEnd"/>
      <w:r>
        <w:rPr>
          <w:sz w:val="24"/>
          <w:szCs w:val="24"/>
        </w:rPr>
        <w:t xml:space="preserve"> – Account 1588 tab above.</w:t>
      </w:r>
      <w:r w:rsidR="004F6646">
        <w:rPr>
          <w:sz w:val="24"/>
          <w:szCs w:val="24"/>
        </w:rPr>
        <w:t xml:space="preserve">  </w:t>
      </w:r>
      <w:r w:rsidR="004F6646" w:rsidRPr="0007043D">
        <w:rPr>
          <w:sz w:val="24"/>
          <w:szCs w:val="24"/>
        </w:rPr>
        <w:t>An updated</w:t>
      </w:r>
      <w:r w:rsidR="00915209" w:rsidRPr="0007043D">
        <w:rPr>
          <w:sz w:val="24"/>
          <w:szCs w:val="24"/>
        </w:rPr>
        <w:t xml:space="preserve"> 2022 </w:t>
      </w:r>
      <w:r w:rsidR="004F6646" w:rsidRPr="0007043D">
        <w:rPr>
          <w:sz w:val="24"/>
          <w:szCs w:val="24"/>
        </w:rPr>
        <w:t>IRM</w:t>
      </w:r>
      <w:r w:rsidR="00915209" w:rsidRPr="0007043D">
        <w:rPr>
          <w:sz w:val="24"/>
          <w:szCs w:val="24"/>
        </w:rPr>
        <w:t xml:space="preserve"> Application Rate Generator</w:t>
      </w:r>
      <w:r w:rsidR="004F6646" w:rsidRPr="0007043D">
        <w:rPr>
          <w:sz w:val="24"/>
          <w:szCs w:val="24"/>
        </w:rPr>
        <w:t xml:space="preserve"> </w:t>
      </w:r>
      <w:r w:rsidR="00915209" w:rsidRPr="0007043D">
        <w:rPr>
          <w:sz w:val="24"/>
          <w:szCs w:val="24"/>
        </w:rPr>
        <w:t>M</w:t>
      </w:r>
      <w:r w:rsidR="004F6646" w:rsidRPr="0007043D">
        <w:rPr>
          <w:sz w:val="24"/>
          <w:szCs w:val="24"/>
        </w:rPr>
        <w:t xml:space="preserve">odel has </w:t>
      </w:r>
      <w:proofErr w:type="gramStart"/>
      <w:r w:rsidR="004F6646" w:rsidRPr="0007043D">
        <w:rPr>
          <w:sz w:val="24"/>
          <w:szCs w:val="24"/>
        </w:rPr>
        <w:t>been attached</w:t>
      </w:r>
      <w:proofErr w:type="gramEnd"/>
      <w:r w:rsidR="004F6646" w:rsidRPr="0007043D">
        <w:rPr>
          <w:sz w:val="24"/>
          <w:szCs w:val="24"/>
        </w:rPr>
        <w:t xml:space="preserve"> to reflect this request for deferral.</w:t>
      </w:r>
    </w:p>
    <w:sectPr w:rsidR="003D2257" w:rsidRPr="00775679" w:rsidSect="00F03F2C">
      <w:head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92E5" w14:textId="77777777" w:rsidR="0053256C" w:rsidRDefault="0053256C" w:rsidP="00D20564">
      <w:pPr>
        <w:spacing w:after="0" w:line="240" w:lineRule="auto"/>
      </w:pPr>
      <w:r>
        <w:separator/>
      </w:r>
    </w:p>
  </w:endnote>
  <w:endnote w:type="continuationSeparator" w:id="0">
    <w:p w14:paraId="6109DCDB" w14:textId="77777777" w:rsidR="0053256C" w:rsidRDefault="0053256C" w:rsidP="00D2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E635" w14:textId="77777777" w:rsidR="0053256C" w:rsidRDefault="0053256C" w:rsidP="00D20564">
      <w:pPr>
        <w:spacing w:after="0" w:line="240" w:lineRule="auto"/>
      </w:pPr>
      <w:r>
        <w:separator/>
      </w:r>
    </w:p>
  </w:footnote>
  <w:footnote w:type="continuationSeparator" w:id="0">
    <w:p w14:paraId="5301165A" w14:textId="77777777" w:rsidR="0053256C" w:rsidRDefault="0053256C" w:rsidP="00D2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3183" w14:textId="5D7B61DC" w:rsidR="0053256C" w:rsidRDefault="0053256C">
    <w:pPr>
      <w:pStyle w:val="Header"/>
    </w:pPr>
    <w:r>
      <w:rPr>
        <w:noProof/>
      </w:rPr>
      <w:drawing>
        <wp:anchor distT="0" distB="0" distL="114300" distR="114300" simplePos="0" relativeHeight="251684864" behindDoc="1" locked="0" layoutInCell="1" allowOverlap="1" wp14:anchorId="627F3A78" wp14:editId="45F2FA2A">
          <wp:simplePos x="0" y="0"/>
          <wp:positionH relativeFrom="column">
            <wp:posOffset>-409575</wp:posOffset>
          </wp:positionH>
          <wp:positionV relativeFrom="paragraph">
            <wp:posOffset>0</wp:posOffset>
          </wp:positionV>
          <wp:extent cx="1715770" cy="457200"/>
          <wp:effectExtent l="0" t="0" r="0" b="0"/>
          <wp:wrapTight wrapText="bothSides">
            <wp:wrapPolygon edited="0">
              <wp:start x="0" y="0"/>
              <wp:lineTo x="0" y="20700"/>
              <wp:lineTo x="21344" y="20700"/>
              <wp:lineTo x="21344" y="0"/>
              <wp:lineTo x="0" y="0"/>
            </wp:wrapPolygon>
          </wp:wrapTight>
          <wp:docPr id="17" name="Picture 17" descr="C:\Users\ktaylor\AppData\Local\Microsoft\Windows\INetCache\Content.Word\ESSEX_POWE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Word\ESSEX_POWERLIN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7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EB-20</w:t>
    </w:r>
    <w:r w:rsidR="00DC76EC">
      <w:t>21</w:t>
    </w:r>
    <w:r>
      <w:t>-00</w:t>
    </w:r>
    <w:r w:rsidR="00DC76EC">
      <w:t>23</w:t>
    </w:r>
  </w:p>
  <w:p w14:paraId="7AC41DCB" w14:textId="3A330176" w:rsidR="0053256C" w:rsidRDefault="0053256C">
    <w:pPr>
      <w:pStyle w:val="Header"/>
    </w:pPr>
    <w:r>
      <w:tab/>
    </w:r>
    <w:r>
      <w:tab/>
      <w:t>Filed</w:t>
    </w:r>
    <w:r w:rsidRPr="00583687">
      <w:t xml:space="preserve">: </w:t>
    </w:r>
    <w:r w:rsidR="00C50EA6" w:rsidRPr="00583687">
      <w:t xml:space="preserve">March </w:t>
    </w:r>
    <w:r w:rsidR="00583687" w:rsidRPr="00583687">
      <w:t>2</w:t>
    </w:r>
    <w:r w:rsidR="003D7302">
      <w:t>4</w:t>
    </w:r>
    <w:r w:rsidRPr="00583687">
      <w:t>, 20</w:t>
    </w:r>
    <w:r w:rsidR="00DC76EC" w:rsidRPr="00583687">
      <w:t>22</w:t>
    </w:r>
  </w:p>
  <w:p w14:paraId="50B7DF38" w14:textId="77777777" w:rsidR="0053256C" w:rsidRDefault="0053256C">
    <w:pPr>
      <w:pStyle w:val="Header"/>
    </w:pPr>
    <w:r>
      <w:tab/>
    </w:r>
    <w:r>
      <w:tab/>
      <w:t>Interrogatory Responses</w:t>
    </w:r>
  </w:p>
  <w:p w14:paraId="38FB4588" w14:textId="20FA10A1" w:rsidR="0053256C" w:rsidRDefault="0053256C">
    <w:pPr>
      <w:pStyle w:val="Header"/>
      <w:rPr>
        <w:b/>
        <w:bCs/>
        <w:noProof/>
      </w:rPr>
    </w:pPr>
    <w:r>
      <w:rPr>
        <w:noProof/>
      </w:rPr>
      <mc:AlternateContent>
        <mc:Choice Requires="wps">
          <w:drawing>
            <wp:anchor distT="0" distB="0" distL="114300" distR="114300" simplePos="0" relativeHeight="251657216" behindDoc="0" locked="0" layoutInCell="1" allowOverlap="1" wp14:anchorId="1573FEAB" wp14:editId="1DFD9EB2">
              <wp:simplePos x="0" y="0"/>
              <wp:positionH relativeFrom="column">
                <wp:posOffset>-411480</wp:posOffset>
              </wp:positionH>
              <wp:positionV relativeFrom="paragraph">
                <wp:posOffset>173990</wp:posOffset>
              </wp:positionV>
              <wp:extent cx="65379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653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C1BB9"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2.4pt,13.7pt" to="482.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" strokecolor="black [3213]"/>
          </w:pict>
        </mc:Fallback>
      </mc:AlternateConten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AC4FF0" w:rsidRPr="00AC4FF0">
      <w:rPr>
        <w:b/>
        <w:bCs/>
        <w:noProof/>
      </w:rPr>
      <w:t>3</w:t>
    </w:r>
    <w:r>
      <w:rPr>
        <w:b/>
        <w:bCs/>
        <w:noProof/>
      </w:rPr>
      <w:fldChar w:fldCharType="end"/>
    </w:r>
  </w:p>
  <w:p w14:paraId="1AA7323F" w14:textId="77777777" w:rsidR="0053256C" w:rsidRDefault="00532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55B0"/>
    <w:multiLevelType w:val="hybridMultilevel"/>
    <w:tmpl w:val="507063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BC325A"/>
    <w:multiLevelType w:val="hybridMultilevel"/>
    <w:tmpl w:val="103AB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1E7F"/>
    <w:multiLevelType w:val="hybridMultilevel"/>
    <w:tmpl w:val="93243136"/>
    <w:lvl w:ilvl="0" w:tplc="98D8067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A0AC5"/>
    <w:multiLevelType w:val="hybridMultilevel"/>
    <w:tmpl w:val="850EF75E"/>
    <w:lvl w:ilvl="0" w:tplc="BC049C64">
      <w:start w:val="1"/>
      <w:numFmt w:val="lowerLetter"/>
      <w:lvlText w:val="%1)"/>
      <w:lvlJc w:val="left"/>
      <w:pPr>
        <w:ind w:left="1080" w:hanging="720"/>
      </w:pPr>
      <w:rPr>
        <w:rFonts w:ascii="Arial" w:eastAsiaTheme="minorHAnsi" w:hAnsi="Arial" w:cs="Arial"/>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7072B9"/>
    <w:multiLevelType w:val="hybridMultilevel"/>
    <w:tmpl w:val="4B0C9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96ABB"/>
    <w:multiLevelType w:val="hybridMultilevel"/>
    <w:tmpl w:val="3904C3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2E05DA"/>
    <w:multiLevelType w:val="hybridMultilevel"/>
    <w:tmpl w:val="49B4F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47B2E"/>
    <w:multiLevelType w:val="hybridMultilevel"/>
    <w:tmpl w:val="7A5443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7D37F7"/>
    <w:multiLevelType w:val="hybridMultilevel"/>
    <w:tmpl w:val="712886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C3E8C"/>
    <w:multiLevelType w:val="hybridMultilevel"/>
    <w:tmpl w:val="82C8C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801A2"/>
    <w:multiLevelType w:val="hybridMultilevel"/>
    <w:tmpl w:val="A48AB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E30A1"/>
    <w:multiLevelType w:val="hybridMultilevel"/>
    <w:tmpl w:val="15744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C3029"/>
    <w:multiLevelType w:val="hybridMultilevel"/>
    <w:tmpl w:val="EC448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45C7F"/>
    <w:multiLevelType w:val="hybridMultilevel"/>
    <w:tmpl w:val="525888F8"/>
    <w:lvl w:ilvl="0" w:tplc="1009001B">
      <w:start w:val="1"/>
      <w:numFmt w:val="low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11356AD"/>
    <w:multiLevelType w:val="hybridMultilevel"/>
    <w:tmpl w:val="B17EB9BA"/>
    <w:lvl w:ilvl="0" w:tplc="FFFADC8E">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6614D"/>
    <w:multiLevelType w:val="hybridMultilevel"/>
    <w:tmpl w:val="A9D61DE8"/>
    <w:lvl w:ilvl="0" w:tplc="BA725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A6B9C"/>
    <w:multiLevelType w:val="hybridMultilevel"/>
    <w:tmpl w:val="BB983C14"/>
    <w:lvl w:ilvl="0" w:tplc="0409000F">
      <w:start w:val="1"/>
      <w:numFmt w:val="decimal"/>
      <w:lvlText w:val="%1."/>
      <w:lvlJc w:val="left"/>
      <w:pPr>
        <w:ind w:left="720" w:hanging="360"/>
      </w:pPr>
    </w:lvl>
    <w:lvl w:ilvl="1" w:tplc="81ECCF2E">
      <w:start w:val="1"/>
      <w:numFmt w:val="decimal"/>
      <w:lvlText w:val="%2."/>
      <w:lvlJc w:val="left"/>
      <w:pPr>
        <w:ind w:left="1440" w:hanging="360"/>
      </w:pPr>
      <w:rPr>
        <w:rFonts w:ascii="Arial" w:eastAsiaTheme="minorHAnsi" w:hAnsi="Arial" w:cs="Arial"/>
      </w:rPr>
    </w:lvl>
    <w:lvl w:ilvl="2" w:tplc="D9BA4720">
      <w:start w:val="1"/>
      <w:numFmt w:val="decimal"/>
      <w:lvlText w:val="%3."/>
      <w:lvlJc w:val="left"/>
      <w:pPr>
        <w:ind w:left="2340" w:hanging="360"/>
      </w:pPr>
      <w:rPr>
        <w:rFonts w:ascii="Arial" w:eastAsiaTheme="minorHAnsi" w:hAnsi="Arial" w:cs="Arial"/>
      </w:rPr>
    </w:lvl>
    <w:lvl w:ilvl="3" w:tplc="0409000F">
      <w:start w:val="1"/>
      <w:numFmt w:val="decimal"/>
      <w:lvlText w:val="%4."/>
      <w:lvlJc w:val="left"/>
      <w:pPr>
        <w:ind w:left="2880" w:hanging="360"/>
      </w:pPr>
    </w:lvl>
    <w:lvl w:ilvl="4" w:tplc="15CA66AE">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17591"/>
    <w:multiLevelType w:val="hybridMultilevel"/>
    <w:tmpl w:val="4CA02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9677A7"/>
    <w:multiLevelType w:val="hybridMultilevel"/>
    <w:tmpl w:val="40BCB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7"/>
  </w:num>
  <w:num w:numId="4">
    <w:abstractNumId w:val="9"/>
  </w:num>
  <w:num w:numId="5">
    <w:abstractNumId w:val="18"/>
  </w:num>
  <w:num w:numId="6">
    <w:abstractNumId w:val="10"/>
  </w:num>
  <w:num w:numId="7">
    <w:abstractNumId w:val="13"/>
  </w:num>
  <w:num w:numId="8">
    <w:abstractNumId w:val="0"/>
  </w:num>
  <w:num w:numId="9">
    <w:abstractNumId w:val="7"/>
  </w:num>
  <w:num w:numId="10">
    <w:abstractNumId w:val="5"/>
  </w:num>
  <w:num w:numId="11">
    <w:abstractNumId w:val="15"/>
  </w:num>
  <w:num w:numId="12">
    <w:abstractNumId w:val="14"/>
  </w:num>
  <w:num w:numId="13">
    <w:abstractNumId w:val="2"/>
  </w:num>
  <w:num w:numId="14">
    <w:abstractNumId w:val="11"/>
  </w:num>
  <w:num w:numId="15">
    <w:abstractNumId w:val="12"/>
  </w:num>
  <w:num w:numId="16">
    <w:abstractNumId w:val="1"/>
  </w:num>
  <w:num w:numId="17">
    <w:abstractNumId w:val="3"/>
  </w:num>
  <w:num w:numId="18">
    <w:abstractNumId w:val="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9"/>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01"/>
    <w:rsid w:val="0000221C"/>
    <w:rsid w:val="00002D23"/>
    <w:rsid w:val="00003F91"/>
    <w:rsid w:val="00006761"/>
    <w:rsid w:val="00007511"/>
    <w:rsid w:val="00010129"/>
    <w:rsid w:val="00012DD0"/>
    <w:rsid w:val="00014158"/>
    <w:rsid w:val="00014BD9"/>
    <w:rsid w:val="00016CF1"/>
    <w:rsid w:val="00020A71"/>
    <w:rsid w:val="00021D59"/>
    <w:rsid w:val="0002281D"/>
    <w:rsid w:val="00025A71"/>
    <w:rsid w:val="000262C0"/>
    <w:rsid w:val="00026B51"/>
    <w:rsid w:val="000276F3"/>
    <w:rsid w:val="0003036D"/>
    <w:rsid w:val="00030A73"/>
    <w:rsid w:val="000310B5"/>
    <w:rsid w:val="00032FC9"/>
    <w:rsid w:val="00033FB5"/>
    <w:rsid w:val="00035AED"/>
    <w:rsid w:val="0003691A"/>
    <w:rsid w:val="00036DD8"/>
    <w:rsid w:val="00036FBD"/>
    <w:rsid w:val="00040057"/>
    <w:rsid w:val="0004018B"/>
    <w:rsid w:val="00040C9A"/>
    <w:rsid w:val="000417AF"/>
    <w:rsid w:val="00043013"/>
    <w:rsid w:val="0004367C"/>
    <w:rsid w:val="0004395A"/>
    <w:rsid w:val="00053709"/>
    <w:rsid w:val="00053F72"/>
    <w:rsid w:val="000542BE"/>
    <w:rsid w:val="00055095"/>
    <w:rsid w:val="00055A9B"/>
    <w:rsid w:val="000625A3"/>
    <w:rsid w:val="00063BE8"/>
    <w:rsid w:val="00063D9C"/>
    <w:rsid w:val="0006400E"/>
    <w:rsid w:val="0006405A"/>
    <w:rsid w:val="000646FE"/>
    <w:rsid w:val="00064DC7"/>
    <w:rsid w:val="0006784E"/>
    <w:rsid w:val="0007043D"/>
    <w:rsid w:val="00073261"/>
    <w:rsid w:val="000732D1"/>
    <w:rsid w:val="0007343B"/>
    <w:rsid w:val="00073DF6"/>
    <w:rsid w:val="00075097"/>
    <w:rsid w:val="00076434"/>
    <w:rsid w:val="00076F52"/>
    <w:rsid w:val="00080863"/>
    <w:rsid w:val="00080D01"/>
    <w:rsid w:val="000818EF"/>
    <w:rsid w:val="000859D3"/>
    <w:rsid w:val="00085EC9"/>
    <w:rsid w:val="00087295"/>
    <w:rsid w:val="000874C4"/>
    <w:rsid w:val="00087FBE"/>
    <w:rsid w:val="000900D6"/>
    <w:rsid w:val="00090637"/>
    <w:rsid w:val="000912B5"/>
    <w:rsid w:val="000917FD"/>
    <w:rsid w:val="000931F6"/>
    <w:rsid w:val="0009431E"/>
    <w:rsid w:val="00097DEE"/>
    <w:rsid w:val="000A05BD"/>
    <w:rsid w:val="000A1149"/>
    <w:rsid w:val="000A43A4"/>
    <w:rsid w:val="000A49AA"/>
    <w:rsid w:val="000A52A4"/>
    <w:rsid w:val="000A6117"/>
    <w:rsid w:val="000A6D1A"/>
    <w:rsid w:val="000B04C3"/>
    <w:rsid w:val="000B0F79"/>
    <w:rsid w:val="000B2037"/>
    <w:rsid w:val="000B22D5"/>
    <w:rsid w:val="000B2A1F"/>
    <w:rsid w:val="000B4FE3"/>
    <w:rsid w:val="000B772E"/>
    <w:rsid w:val="000B7840"/>
    <w:rsid w:val="000C1638"/>
    <w:rsid w:val="000C19EF"/>
    <w:rsid w:val="000C2C0D"/>
    <w:rsid w:val="000C42E0"/>
    <w:rsid w:val="000C45A5"/>
    <w:rsid w:val="000C4692"/>
    <w:rsid w:val="000C5897"/>
    <w:rsid w:val="000C7052"/>
    <w:rsid w:val="000C7A2C"/>
    <w:rsid w:val="000D1610"/>
    <w:rsid w:val="000D2B3D"/>
    <w:rsid w:val="000D3D45"/>
    <w:rsid w:val="000D4BDB"/>
    <w:rsid w:val="000D5131"/>
    <w:rsid w:val="000D526D"/>
    <w:rsid w:val="000D5351"/>
    <w:rsid w:val="000D5424"/>
    <w:rsid w:val="000D7148"/>
    <w:rsid w:val="000D7446"/>
    <w:rsid w:val="000E01EC"/>
    <w:rsid w:val="000E0AAF"/>
    <w:rsid w:val="000E0D44"/>
    <w:rsid w:val="000E1E4E"/>
    <w:rsid w:val="000E2478"/>
    <w:rsid w:val="000E4BF2"/>
    <w:rsid w:val="000E6340"/>
    <w:rsid w:val="000E7D6B"/>
    <w:rsid w:val="000F06CF"/>
    <w:rsid w:val="000F395D"/>
    <w:rsid w:val="000F64C6"/>
    <w:rsid w:val="000F7A3D"/>
    <w:rsid w:val="000F7F11"/>
    <w:rsid w:val="001001A6"/>
    <w:rsid w:val="00102FCD"/>
    <w:rsid w:val="00103F9E"/>
    <w:rsid w:val="00104178"/>
    <w:rsid w:val="001047D5"/>
    <w:rsid w:val="001052F5"/>
    <w:rsid w:val="00106E41"/>
    <w:rsid w:val="0011003F"/>
    <w:rsid w:val="00112267"/>
    <w:rsid w:val="00117BE4"/>
    <w:rsid w:val="00117C72"/>
    <w:rsid w:val="00122C48"/>
    <w:rsid w:val="00123475"/>
    <w:rsid w:val="00124DB4"/>
    <w:rsid w:val="001252D9"/>
    <w:rsid w:val="00126D58"/>
    <w:rsid w:val="00127F0F"/>
    <w:rsid w:val="00130E31"/>
    <w:rsid w:val="00131293"/>
    <w:rsid w:val="00132C62"/>
    <w:rsid w:val="00132CDB"/>
    <w:rsid w:val="00135BD9"/>
    <w:rsid w:val="00135DA0"/>
    <w:rsid w:val="00135E72"/>
    <w:rsid w:val="00135F59"/>
    <w:rsid w:val="00137194"/>
    <w:rsid w:val="00137F9D"/>
    <w:rsid w:val="00141B4D"/>
    <w:rsid w:val="0014378D"/>
    <w:rsid w:val="00150167"/>
    <w:rsid w:val="00152480"/>
    <w:rsid w:val="00152DAA"/>
    <w:rsid w:val="00155D43"/>
    <w:rsid w:val="00157536"/>
    <w:rsid w:val="00157C9E"/>
    <w:rsid w:val="00157F7B"/>
    <w:rsid w:val="00161285"/>
    <w:rsid w:val="00161ACA"/>
    <w:rsid w:val="0016624E"/>
    <w:rsid w:val="001669C4"/>
    <w:rsid w:val="001705B6"/>
    <w:rsid w:val="00170E01"/>
    <w:rsid w:val="001719DE"/>
    <w:rsid w:val="00171CE8"/>
    <w:rsid w:val="001741FA"/>
    <w:rsid w:val="001742EB"/>
    <w:rsid w:val="00175641"/>
    <w:rsid w:val="0017620B"/>
    <w:rsid w:val="00180DC5"/>
    <w:rsid w:val="001828B9"/>
    <w:rsid w:val="00182ECD"/>
    <w:rsid w:val="00187499"/>
    <w:rsid w:val="0019362F"/>
    <w:rsid w:val="00193BCE"/>
    <w:rsid w:val="00193DE4"/>
    <w:rsid w:val="00194FEC"/>
    <w:rsid w:val="001950F0"/>
    <w:rsid w:val="001967F9"/>
    <w:rsid w:val="00196CA9"/>
    <w:rsid w:val="00197BE5"/>
    <w:rsid w:val="001A07A7"/>
    <w:rsid w:val="001A0EB8"/>
    <w:rsid w:val="001A27F9"/>
    <w:rsid w:val="001A3F91"/>
    <w:rsid w:val="001A5B68"/>
    <w:rsid w:val="001A60E5"/>
    <w:rsid w:val="001B08C5"/>
    <w:rsid w:val="001B0BFB"/>
    <w:rsid w:val="001B0DDA"/>
    <w:rsid w:val="001B1571"/>
    <w:rsid w:val="001B1F29"/>
    <w:rsid w:val="001B6ECA"/>
    <w:rsid w:val="001B7689"/>
    <w:rsid w:val="001C19A2"/>
    <w:rsid w:val="001C1A34"/>
    <w:rsid w:val="001C2717"/>
    <w:rsid w:val="001C7ABE"/>
    <w:rsid w:val="001D0502"/>
    <w:rsid w:val="001D1AAF"/>
    <w:rsid w:val="001D1FE8"/>
    <w:rsid w:val="001D3692"/>
    <w:rsid w:val="001D57E1"/>
    <w:rsid w:val="001E04A9"/>
    <w:rsid w:val="001E1A52"/>
    <w:rsid w:val="001E31A3"/>
    <w:rsid w:val="001E39D7"/>
    <w:rsid w:val="001E4A58"/>
    <w:rsid w:val="001E4E04"/>
    <w:rsid w:val="001E65E1"/>
    <w:rsid w:val="001E7627"/>
    <w:rsid w:val="001E7FB9"/>
    <w:rsid w:val="001F020D"/>
    <w:rsid w:val="00200389"/>
    <w:rsid w:val="0020364A"/>
    <w:rsid w:val="00203741"/>
    <w:rsid w:val="00205A94"/>
    <w:rsid w:val="0021215A"/>
    <w:rsid w:val="00215491"/>
    <w:rsid w:val="00215C8D"/>
    <w:rsid w:val="00216119"/>
    <w:rsid w:val="00222DC1"/>
    <w:rsid w:val="00227054"/>
    <w:rsid w:val="00230133"/>
    <w:rsid w:val="00234CC0"/>
    <w:rsid w:val="00236160"/>
    <w:rsid w:val="002416C8"/>
    <w:rsid w:val="0024238F"/>
    <w:rsid w:val="00242590"/>
    <w:rsid w:val="00244B8D"/>
    <w:rsid w:val="002460AC"/>
    <w:rsid w:val="0025034B"/>
    <w:rsid w:val="0025210D"/>
    <w:rsid w:val="00260A40"/>
    <w:rsid w:val="00260D5B"/>
    <w:rsid w:val="00266593"/>
    <w:rsid w:val="0026793C"/>
    <w:rsid w:val="002711A4"/>
    <w:rsid w:val="0027229A"/>
    <w:rsid w:val="00272C7F"/>
    <w:rsid w:val="002753AF"/>
    <w:rsid w:val="002753E4"/>
    <w:rsid w:val="00275650"/>
    <w:rsid w:val="0027661B"/>
    <w:rsid w:val="0028062C"/>
    <w:rsid w:val="002830FE"/>
    <w:rsid w:val="00285118"/>
    <w:rsid w:val="00287FBB"/>
    <w:rsid w:val="00292E4B"/>
    <w:rsid w:val="00294F62"/>
    <w:rsid w:val="00295640"/>
    <w:rsid w:val="002A342D"/>
    <w:rsid w:val="002A4C15"/>
    <w:rsid w:val="002A7F20"/>
    <w:rsid w:val="002B0F11"/>
    <w:rsid w:val="002B2D39"/>
    <w:rsid w:val="002B4DAD"/>
    <w:rsid w:val="002B6107"/>
    <w:rsid w:val="002C014A"/>
    <w:rsid w:val="002C116A"/>
    <w:rsid w:val="002C1E4C"/>
    <w:rsid w:val="002C208F"/>
    <w:rsid w:val="002C260C"/>
    <w:rsid w:val="002D06EB"/>
    <w:rsid w:val="002D668D"/>
    <w:rsid w:val="002E3544"/>
    <w:rsid w:val="002F2FD1"/>
    <w:rsid w:val="002F32E7"/>
    <w:rsid w:val="002F3F41"/>
    <w:rsid w:val="002F4C76"/>
    <w:rsid w:val="002F668C"/>
    <w:rsid w:val="002F79E1"/>
    <w:rsid w:val="003008DA"/>
    <w:rsid w:val="00301BE8"/>
    <w:rsid w:val="003024E7"/>
    <w:rsid w:val="00302A7B"/>
    <w:rsid w:val="0030483E"/>
    <w:rsid w:val="0030595B"/>
    <w:rsid w:val="003061D4"/>
    <w:rsid w:val="0030741E"/>
    <w:rsid w:val="003105D3"/>
    <w:rsid w:val="00310B44"/>
    <w:rsid w:val="00311232"/>
    <w:rsid w:val="00311A10"/>
    <w:rsid w:val="003126F3"/>
    <w:rsid w:val="00320BCA"/>
    <w:rsid w:val="00327EB1"/>
    <w:rsid w:val="003370EA"/>
    <w:rsid w:val="0034059E"/>
    <w:rsid w:val="00342034"/>
    <w:rsid w:val="003457DE"/>
    <w:rsid w:val="00345DCD"/>
    <w:rsid w:val="0034746E"/>
    <w:rsid w:val="003505EE"/>
    <w:rsid w:val="00353B6D"/>
    <w:rsid w:val="0035455F"/>
    <w:rsid w:val="00355DFD"/>
    <w:rsid w:val="00357D0A"/>
    <w:rsid w:val="0036034E"/>
    <w:rsid w:val="003605C9"/>
    <w:rsid w:val="003624E2"/>
    <w:rsid w:val="00363085"/>
    <w:rsid w:val="0036542A"/>
    <w:rsid w:val="00370F92"/>
    <w:rsid w:val="003719CB"/>
    <w:rsid w:val="003721C3"/>
    <w:rsid w:val="00372F5A"/>
    <w:rsid w:val="00372FD8"/>
    <w:rsid w:val="00373711"/>
    <w:rsid w:val="00374E05"/>
    <w:rsid w:val="00374ECE"/>
    <w:rsid w:val="00377F69"/>
    <w:rsid w:val="003808A0"/>
    <w:rsid w:val="00380F71"/>
    <w:rsid w:val="00381BA9"/>
    <w:rsid w:val="003821F1"/>
    <w:rsid w:val="003825ED"/>
    <w:rsid w:val="003826C4"/>
    <w:rsid w:val="00386419"/>
    <w:rsid w:val="00386E72"/>
    <w:rsid w:val="003917D5"/>
    <w:rsid w:val="00394792"/>
    <w:rsid w:val="00396686"/>
    <w:rsid w:val="00397850"/>
    <w:rsid w:val="003A2881"/>
    <w:rsid w:val="003A2D15"/>
    <w:rsid w:val="003A638D"/>
    <w:rsid w:val="003A6C66"/>
    <w:rsid w:val="003A715D"/>
    <w:rsid w:val="003B3244"/>
    <w:rsid w:val="003B52EB"/>
    <w:rsid w:val="003B631A"/>
    <w:rsid w:val="003B72C6"/>
    <w:rsid w:val="003C1F6F"/>
    <w:rsid w:val="003C6FEA"/>
    <w:rsid w:val="003C7BD6"/>
    <w:rsid w:val="003D2257"/>
    <w:rsid w:val="003D2FFE"/>
    <w:rsid w:val="003D5B37"/>
    <w:rsid w:val="003D7302"/>
    <w:rsid w:val="003D7F48"/>
    <w:rsid w:val="003E14EE"/>
    <w:rsid w:val="003E22D7"/>
    <w:rsid w:val="003E453A"/>
    <w:rsid w:val="003E5866"/>
    <w:rsid w:val="003E5D99"/>
    <w:rsid w:val="003E641F"/>
    <w:rsid w:val="003E6905"/>
    <w:rsid w:val="003F1BD6"/>
    <w:rsid w:val="003F319A"/>
    <w:rsid w:val="003F3B64"/>
    <w:rsid w:val="003F3FBD"/>
    <w:rsid w:val="003F76E0"/>
    <w:rsid w:val="003F7C5D"/>
    <w:rsid w:val="00400B8F"/>
    <w:rsid w:val="0040106F"/>
    <w:rsid w:val="0040198B"/>
    <w:rsid w:val="00403AAE"/>
    <w:rsid w:val="00405832"/>
    <w:rsid w:val="00407E49"/>
    <w:rsid w:val="00407E6C"/>
    <w:rsid w:val="00411ABF"/>
    <w:rsid w:val="004120AA"/>
    <w:rsid w:val="0041472B"/>
    <w:rsid w:val="00417912"/>
    <w:rsid w:val="00420988"/>
    <w:rsid w:val="00420CF0"/>
    <w:rsid w:val="00421331"/>
    <w:rsid w:val="0042186F"/>
    <w:rsid w:val="00421B21"/>
    <w:rsid w:val="00421CD2"/>
    <w:rsid w:val="0042230B"/>
    <w:rsid w:val="004228F9"/>
    <w:rsid w:val="00422963"/>
    <w:rsid w:val="00422CEB"/>
    <w:rsid w:val="00422F41"/>
    <w:rsid w:val="00425BFB"/>
    <w:rsid w:val="00430A57"/>
    <w:rsid w:val="00430D26"/>
    <w:rsid w:val="0043211C"/>
    <w:rsid w:val="00433087"/>
    <w:rsid w:val="00434D56"/>
    <w:rsid w:val="00434F9B"/>
    <w:rsid w:val="00435565"/>
    <w:rsid w:val="00440006"/>
    <w:rsid w:val="00451844"/>
    <w:rsid w:val="00451B50"/>
    <w:rsid w:val="00456C7A"/>
    <w:rsid w:val="00457143"/>
    <w:rsid w:val="004573D6"/>
    <w:rsid w:val="004643F1"/>
    <w:rsid w:val="00464F3A"/>
    <w:rsid w:val="0046681A"/>
    <w:rsid w:val="00466937"/>
    <w:rsid w:val="00470676"/>
    <w:rsid w:val="0047320A"/>
    <w:rsid w:val="004747D1"/>
    <w:rsid w:val="00475090"/>
    <w:rsid w:val="00476CE4"/>
    <w:rsid w:val="004809A6"/>
    <w:rsid w:val="00480F62"/>
    <w:rsid w:val="00485567"/>
    <w:rsid w:val="00486667"/>
    <w:rsid w:val="00487F4B"/>
    <w:rsid w:val="00490034"/>
    <w:rsid w:val="004902A0"/>
    <w:rsid w:val="00495577"/>
    <w:rsid w:val="004977BC"/>
    <w:rsid w:val="00497A48"/>
    <w:rsid w:val="004A0679"/>
    <w:rsid w:val="004A1258"/>
    <w:rsid w:val="004A23F5"/>
    <w:rsid w:val="004A474C"/>
    <w:rsid w:val="004A4EA4"/>
    <w:rsid w:val="004A563A"/>
    <w:rsid w:val="004A766C"/>
    <w:rsid w:val="004B04BB"/>
    <w:rsid w:val="004B5E8F"/>
    <w:rsid w:val="004B7C17"/>
    <w:rsid w:val="004C07EF"/>
    <w:rsid w:val="004C1FBA"/>
    <w:rsid w:val="004C243F"/>
    <w:rsid w:val="004C79D4"/>
    <w:rsid w:val="004C7FD3"/>
    <w:rsid w:val="004D0469"/>
    <w:rsid w:val="004D2578"/>
    <w:rsid w:val="004D3BC0"/>
    <w:rsid w:val="004D563C"/>
    <w:rsid w:val="004D5A80"/>
    <w:rsid w:val="004D5BC3"/>
    <w:rsid w:val="004E1C78"/>
    <w:rsid w:val="004E1CB9"/>
    <w:rsid w:val="004E2E15"/>
    <w:rsid w:val="004E3BD5"/>
    <w:rsid w:val="004E6BD6"/>
    <w:rsid w:val="004E7BD4"/>
    <w:rsid w:val="004F0B13"/>
    <w:rsid w:val="004F1245"/>
    <w:rsid w:val="004F2073"/>
    <w:rsid w:val="004F31E1"/>
    <w:rsid w:val="004F4C9C"/>
    <w:rsid w:val="004F6646"/>
    <w:rsid w:val="005028C3"/>
    <w:rsid w:val="00503CE4"/>
    <w:rsid w:val="0050468A"/>
    <w:rsid w:val="00505B64"/>
    <w:rsid w:val="00510BF2"/>
    <w:rsid w:val="00512498"/>
    <w:rsid w:val="0051350D"/>
    <w:rsid w:val="00513E09"/>
    <w:rsid w:val="00514624"/>
    <w:rsid w:val="0051706E"/>
    <w:rsid w:val="00517BCD"/>
    <w:rsid w:val="005200B6"/>
    <w:rsid w:val="00520BB7"/>
    <w:rsid w:val="0052135E"/>
    <w:rsid w:val="005225D1"/>
    <w:rsid w:val="00522C14"/>
    <w:rsid w:val="00527CA6"/>
    <w:rsid w:val="00531419"/>
    <w:rsid w:val="00531F6A"/>
    <w:rsid w:val="0053256C"/>
    <w:rsid w:val="005349DF"/>
    <w:rsid w:val="00535382"/>
    <w:rsid w:val="00536579"/>
    <w:rsid w:val="00537003"/>
    <w:rsid w:val="0053705C"/>
    <w:rsid w:val="005445A8"/>
    <w:rsid w:val="00544644"/>
    <w:rsid w:val="00544B63"/>
    <w:rsid w:val="00546EDD"/>
    <w:rsid w:val="005472AC"/>
    <w:rsid w:val="0054734B"/>
    <w:rsid w:val="00547AD6"/>
    <w:rsid w:val="00547CC0"/>
    <w:rsid w:val="005526CD"/>
    <w:rsid w:val="005558D8"/>
    <w:rsid w:val="005645C3"/>
    <w:rsid w:val="00564881"/>
    <w:rsid w:val="0056564B"/>
    <w:rsid w:val="005670B0"/>
    <w:rsid w:val="00567EE8"/>
    <w:rsid w:val="0057073C"/>
    <w:rsid w:val="005718D2"/>
    <w:rsid w:val="00571961"/>
    <w:rsid w:val="00571BF9"/>
    <w:rsid w:val="005722F8"/>
    <w:rsid w:val="00572797"/>
    <w:rsid w:val="005742D2"/>
    <w:rsid w:val="00574EA9"/>
    <w:rsid w:val="00576567"/>
    <w:rsid w:val="00576DB5"/>
    <w:rsid w:val="00576EA7"/>
    <w:rsid w:val="00577C43"/>
    <w:rsid w:val="00577C71"/>
    <w:rsid w:val="00580528"/>
    <w:rsid w:val="00582658"/>
    <w:rsid w:val="00583081"/>
    <w:rsid w:val="00583687"/>
    <w:rsid w:val="00584201"/>
    <w:rsid w:val="00585307"/>
    <w:rsid w:val="0058541A"/>
    <w:rsid w:val="00585ACF"/>
    <w:rsid w:val="00585EA2"/>
    <w:rsid w:val="005947B7"/>
    <w:rsid w:val="005962EA"/>
    <w:rsid w:val="005964B1"/>
    <w:rsid w:val="00596BA4"/>
    <w:rsid w:val="005A14E6"/>
    <w:rsid w:val="005A1557"/>
    <w:rsid w:val="005A1CF3"/>
    <w:rsid w:val="005A3CF4"/>
    <w:rsid w:val="005A41D7"/>
    <w:rsid w:val="005A5DCE"/>
    <w:rsid w:val="005A7D46"/>
    <w:rsid w:val="005B0DFA"/>
    <w:rsid w:val="005B2292"/>
    <w:rsid w:val="005B4582"/>
    <w:rsid w:val="005B77AB"/>
    <w:rsid w:val="005C200D"/>
    <w:rsid w:val="005C69CB"/>
    <w:rsid w:val="005D0DB1"/>
    <w:rsid w:val="005D225A"/>
    <w:rsid w:val="005D24B0"/>
    <w:rsid w:val="005D5258"/>
    <w:rsid w:val="005D58BB"/>
    <w:rsid w:val="005D5F25"/>
    <w:rsid w:val="005D7A91"/>
    <w:rsid w:val="005E42ED"/>
    <w:rsid w:val="005F04D4"/>
    <w:rsid w:val="005F0BB2"/>
    <w:rsid w:val="005F2189"/>
    <w:rsid w:val="005F47AA"/>
    <w:rsid w:val="005F599D"/>
    <w:rsid w:val="005F62EA"/>
    <w:rsid w:val="0060249D"/>
    <w:rsid w:val="00603FD3"/>
    <w:rsid w:val="006046FB"/>
    <w:rsid w:val="00606AFD"/>
    <w:rsid w:val="00606E85"/>
    <w:rsid w:val="0061017E"/>
    <w:rsid w:val="00610234"/>
    <w:rsid w:val="006114FF"/>
    <w:rsid w:val="00612446"/>
    <w:rsid w:val="00613FE5"/>
    <w:rsid w:val="0061483D"/>
    <w:rsid w:val="0062189E"/>
    <w:rsid w:val="00621BCF"/>
    <w:rsid w:val="00622C72"/>
    <w:rsid w:val="0062622D"/>
    <w:rsid w:val="00626262"/>
    <w:rsid w:val="00630B92"/>
    <w:rsid w:val="006315D4"/>
    <w:rsid w:val="00633606"/>
    <w:rsid w:val="00634886"/>
    <w:rsid w:val="00635B96"/>
    <w:rsid w:val="00636C7B"/>
    <w:rsid w:val="00641CA1"/>
    <w:rsid w:val="0064305A"/>
    <w:rsid w:val="00643696"/>
    <w:rsid w:val="00643C25"/>
    <w:rsid w:val="00644E2B"/>
    <w:rsid w:val="00645B14"/>
    <w:rsid w:val="0064690E"/>
    <w:rsid w:val="00647FDC"/>
    <w:rsid w:val="00650C99"/>
    <w:rsid w:val="00652644"/>
    <w:rsid w:val="0065704C"/>
    <w:rsid w:val="00660328"/>
    <w:rsid w:val="0066044B"/>
    <w:rsid w:val="006609C0"/>
    <w:rsid w:val="0066302D"/>
    <w:rsid w:val="00673B80"/>
    <w:rsid w:val="00677EF5"/>
    <w:rsid w:val="006802CA"/>
    <w:rsid w:val="00680A80"/>
    <w:rsid w:val="00681578"/>
    <w:rsid w:val="006835E5"/>
    <w:rsid w:val="00683C94"/>
    <w:rsid w:val="00684B49"/>
    <w:rsid w:val="00684E2C"/>
    <w:rsid w:val="0069324F"/>
    <w:rsid w:val="00694810"/>
    <w:rsid w:val="006949E3"/>
    <w:rsid w:val="00697986"/>
    <w:rsid w:val="006A2885"/>
    <w:rsid w:val="006A3412"/>
    <w:rsid w:val="006A50AD"/>
    <w:rsid w:val="006A5BF8"/>
    <w:rsid w:val="006B15EA"/>
    <w:rsid w:val="006B32BA"/>
    <w:rsid w:val="006B7F57"/>
    <w:rsid w:val="006C1A3D"/>
    <w:rsid w:val="006C3D53"/>
    <w:rsid w:val="006C5DED"/>
    <w:rsid w:val="006C6DEA"/>
    <w:rsid w:val="006D03C9"/>
    <w:rsid w:val="006E15F0"/>
    <w:rsid w:val="006E27BB"/>
    <w:rsid w:val="006E2E45"/>
    <w:rsid w:val="006E4F58"/>
    <w:rsid w:val="006F05C8"/>
    <w:rsid w:val="006F2734"/>
    <w:rsid w:val="006F4E3D"/>
    <w:rsid w:val="006F616F"/>
    <w:rsid w:val="006F67C9"/>
    <w:rsid w:val="007005E2"/>
    <w:rsid w:val="007014EB"/>
    <w:rsid w:val="007054EC"/>
    <w:rsid w:val="00706422"/>
    <w:rsid w:val="0070732E"/>
    <w:rsid w:val="0070757E"/>
    <w:rsid w:val="00712D6F"/>
    <w:rsid w:val="007132CB"/>
    <w:rsid w:val="0071574B"/>
    <w:rsid w:val="00715A81"/>
    <w:rsid w:val="0071678E"/>
    <w:rsid w:val="00717F51"/>
    <w:rsid w:val="00721E82"/>
    <w:rsid w:val="007230D3"/>
    <w:rsid w:val="00723EAA"/>
    <w:rsid w:val="00732369"/>
    <w:rsid w:val="00732534"/>
    <w:rsid w:val="00736262"/>
    <w:rsid w:val="0073685A"/>
    <w:rsid w:val="00736EA0"/>
    <w:rsid w:val="00736EA3"/>
    <w:rsid w:val="00737A63"/>
    <w:rsid w:val="00740FFC"/>
    <w:rsid w:val="0074376F"/>
    <w:rsid w:val="00745614"/>
    <w:rsid w:val="00752EF1"/>
    <w:rsid w:val="007537D6"/>
    <w:rsid w:val="00753F3A"/>
    <w:rsid w:val="00754C6A"/>
    <w:rsid w:val="00757AC2"/>
    <w:rsid w:val="00757CC7"/>
    <w:rsid w:val="00761B3F"/>
    <w:rsid w:val="0076376A"/>
    <w:rsid w:val="00764CBA"/>
    <w:rsid w:val="00772C3E"/>
    <w:rsid w:val="00774C02"/>
    <w:rsid w:val="00775679"/>
    <w:rsid w:val="00777777"/>
    <w:rsid w:val="007777A4"/>
    <w:rsid w:val="00777827"/>
    <w:rsid w:val="00780DEA"/>
    <w:rsid w:val="00784032"/>
    <w:rsid w:val="007901D5"/>
    <w:rsid w:val="007924D1"/>
    <w:rsid w:val="007929D2"/>
    <w:rsid w:val="00794861"/>
    <w:rsid w:val="0079590F"/>
    <w:rsid w:val="00797217"/>
    <w:rsid w:val="007A29D2"/>
    <w:rsid w:val="007A3755"/>
    <w:rsid w:val="007A4F55"/>
    <w:rsid w:val="007A70C4"/>
    <w:rsid w:val="007A7178"/>
    <w:rsid w:val="007B0617"/>
    <w:rsid w:val="007B0E45"/>
    <w:rsid w:val="007B0FE5"/>
    <w:rsid w:val="007B1981"/>
    <w:rsid w:val="007B3628"/>
    <w:rsid w:val="007B5351"/>
    <w:rsid w:val="007C1023"/>
    <w:rsid w:val="007C2E0F"/>
    <w:rsid w:val="007C433C"/>
    <w:rsid w:val="007C6FB4"/>
    <w:rsid w:val="007C783B"/>
    <w:rsid w:val="007D26CE"/>
    <w:rsid w:val="007D2BDA"/>
    <w:rsid w:val="007D565B"/>
    <w:rsid w:val="007D6165"/>
    <w:rsid w:val="007D6166"/>
    <w:rsid w:val="007E34CD"/>
    <w:rsid w:val="007E6A4D"/>
    <w:rsid w:val="007F3AF2"/>
    <w:rsid w:val="008006DA"/>
    <w:rsid w:val="00802115"/>
    <w:rsid w:val="0080564C"/>
    <w:rsid w:val="00807253"/>
    <w:rsid w:val="00807FB7"/>
    <w:rsid w:val="008100F5"/>
    <w:rsid w:val="008109D3"/>
    <w:rsid w:val="00811B3B"/>
    <w:rsid w:val="00811BD1"/>
    <w:rsid w:val="0081232C"/>
    <w:rsid w:val="00812F83"/>
    <w:rsid w:val="00816736"/>
    <w:rsid w:val="00820D26"/>
    <w:rsid w:val="0082551F"/>
    <w:rsid w:val="0082557F"/>
    <w:rsid w:val="0082761D"/>
    <w:rsid w:val="008276D8"/>
    <w:rsid w:val="008306B0"/>
    <w:rsid w:val="008310E0"/>
    <w:rsid w:val="0083589D"/>
    <w:rsid w:val="00835ADB"/>
    <w:rsid w:val="00837364"/>
    <w:rsid w:val="00840CC2"/>
    <w:rsid w:val="00841DA6"/>
    <w:rsid w:val="008428EF"/>
    <w:rsid w:val="00843672"/>
    <w:rsid w:val="00845912"/>
    <w:rsid w:val="008465E1"/>
    <w:rsid w:val="00847E65"/>
    <w:rsid w:val="00854C36"/>
    <w:rsid w:val="008573CE"/>
    <w:rsid w:val="008607CF"/>
    <w:rsid w:val="00860853"/>
    <w:rsid w:val="00862216"/>
    <w:rsid w:val="008629F7"/>
    <w:rsid w:val="00862C51"/>
    <w:rsid w:val="00863B76"/>
    <w:rsid w:val="00864569"/>
    <w:rsid w:val="00866487"/>
    <w:rsid w:val="00866612"/>
    <w:rsid w:val="00867759"/>
    <w:rsid w:val="00870404"/>
    <w:rsid w:val="008716FE"/>
    <w:rsid w:val="008726D2"/>
    <w:rsid w:val="008748AF"/>
    <w:rsid w:val="00874C8D"/>
    <w:rsid w:val="00874D0D"/>
    <w:rsid w:val="00875661"/>
    <w:rsid w:val="00876DF4"/>
    <w:rsid w:val="00876EBC"/>
    <w:rsid w:val="008771AD"/>
    <w:rsid w:val="0088000F"/>
    <w:rsid w:val="00880E44"/>
    <w:rsid w:val="00884DBC"/>
    <w:rsid w:val="0088609A"/>
    <w:rsid w:val="008876F7"/>
    <w:rsid w:val="00892614"/>
    <w:rsid w:val="00892F13"/>
    <w:rsid w:val="00894F35"/>
    <w:rsid w:val="00895A1E"/>
    <w:rsid w:val="008A4827"/>
    <w:rsid w:val="008A5AC3"/>
    <w:rsid w:val="008A7A65"/>
    <w:rsid w:val="008B2571"/>
    <w:rsid w:val="008B759B"/>
    <w:rsid w:val="008B7607"/>
    <w:rsid w:val="008B796A"/>
    <w:rsid w:val="008B7D3A"/>
    <w:rsid w:val="008C10F4"/>
    <w:rsid w:val="008C1154"/>
    <w:rsid w:val="008C3EBB"/>
    <w:rsid w:val="008C665A"/>
    <w:rsid w:val="008D0B87"/>
    <w:rsid w:val="008D269E"/>
    <w:rsid w:val="008D4846"/>
    <w:rsid w:val="008D6B2C"/>
    <w:rsid w:val="008D70BF"/>
    <w:rsid w:val="008E0351"/>
    <w:rsid w:val="008E0985"/>
    <w:rsid w:val="008E5722"/>
    <w:rsid w:val="008E744C"/>
    <w:rsid w:val="008F039F"/>
    <w:rsid w:val="008F0919"/>
    <w:rsid w:val="00900B6A"/>
    <w:rsid w:val="00901427"/>
    <w:rsid w:val="00902694"/>
    <w:rsid w:val="0090465E"/>
    <w:rsid w:val="00910749"/>
    <w:rsid w:val="00912A11"/>
    <w:rsid w:val="0091403F"/>
    <w:rsid w:val="00915209"/>
    <w:rsid w:val="00915A3C"/>
    <w:rsid w:val="00921E41"/>
    <w:rsid w:val="009231F0"/>
    <w:rsid w:val="0092477B"/>
    <w:rsid w:val="009306E3"/>
    <w:rsid w:val="00930E8B"/>
    <w:rsid w:val="00931090"/>
    <w:rsid w:val="009317E4"/>
    <w:rsid w:val="00933433"/>
    <w:rsid w:val="009337A2"/>
    <w:rsid w:val="00933C55"/>
    <w:rsid w:val="009352C9"/>
    <w:rsid w:val="00936F6D"/>
    <w:rsid w:val="0094137B"/>
    <w:rsid w:val="009428E5"/>
    <w:rsid w:val="00946B1D"/>
    <w:rsid w:val="00946BD1"/>
    <w:rsid w:val="00951B96"/>
    <w:rsid w:val="00953288"/>
    <w:rsid w:val="00954BD1"/>
    <w:rsid w:val="009561AD"/>
    <w:rsid w:val="00956B8B"/>
    <w:rsid w:val="00961D59"/>
    <w:rsid w:val="00961EB5"/>
    <w:rsid w:val="00962166"/>
    <w:rsid w:val="00963747"/>
    <w:rsid w:val="0096526B"/>
    <w:rsid w:val="00965321"/>
    <w:rsid w:val="00967BB2"/>
    <w:rsid w:val="00970CEA"/>
    <w:rsid w:val="00971526"/>
    <w:rsid w:val="00971E2D"/>
    <w:rsid w:val="00973520"/>
    <w:rsid w:val="009758A2"/>
    <w:rsid w:val="009762D6"/>
    <w:rsid w:val="00977224"/>
    <w:rsid w:val="00982128"/>
    <w:rsid w:val="00982763"/>
    <w:rsid w:val="00982B32"/>
    <w:rsid w:val="00983F73"/>
    <w:rsid w:val="00987C36"/>
    <w:rsid w:val="00993292"/>
    <w:rsid w:val="009932B0"/>
    <w:rsid w:val="00994CD2"/>
    <w:rsid w:val="0099520B"/>
    <w:rsid w:val="009977E7"/>
    <w:rsid w:val="00997D5B"/>
    <w:rsid w:val="009A027A"/>
    <w:rsid w:val="009A080B"/>
    <w:rsid w:val="009A172C"/>
    <w:rsid w:val="009A29E3"/>
    <w:rsid w:val="009A41F3"/>
    <w:rsid w:val="009A432C"/>
    <w:rsid w:val="009A69E5"/>
    <w:rsid w:val="009A74BE"/>
    <w:rsid w:val="009B020F"/>
    <w:rsid w:val="009B429F"/>
    <w:rsid w:val="009B605C"/>
    <w:rsid w:val="009B6402"/>
    <w:rsid w:val="009C3ED3"/>
    <w:rsid w:val="009D28AD"/>
    <w:rsid w:val="009D5AF8"/>
    <w:rsid w:val="009D758B"/>
    <w:rsid w:val="009E1A9E"/>
    <w:rsid w:val="009E3D4F"/>
    <w:rsid w:val="009F33DD"/>
    <w:rsid w:val="009F3BC4"/>
    <w:rsid w:val="00A001B0"/>
    <w:rsid w:val="00A00989"/>
    <w:rsid w:val="00A00B58"/>
    <w:rsid w:val="00A040E5"/>
    <w:rsid w:val="00A0473E"/>
    <w:rsid w:val="00A05A17"/>
    <w:rsid w:val="00A05F82"/>
    <w:rsid w:val="00A12A8E"/>
    <w:rsid w:val="00A14F1D"/>
    <w:rsid w:val="00A211AE"/>
    <w:rsid w:val="00A22AF9"/>
    <w:rsid w:val="00A24F17"/>
    <w:rsid w:val="00A26AE3"/>
    <w:rsid w:val="00A276D7"/>
    <w:rsid w:val="00A32745"/>
    <w:rsid w:val="00A335BA"/>
    <w:rsid w:val="00A35294"/>
    <w:rsid w:val="00A35AC9"/>
    <w:rsid w:val="00A35D4D"/>
    <w:rsid w:val="00A41344"/>
    <w:rsid w:val="00A43362"/>
    <w:rsid w:val="00A43C75"/>
    <w:rsid w:val="00A466D3"/>
    <w:rsid w:val="00A46D7D"/>
    <w:rsid w:val="00A4712E"/>
    <w:rsid w:val="00A478FB"/>
    <w:rsid w:val="00A53417"/>
    <w:rsid w:val="00A56EA0"/>
    <w:rsid w:val="00A60591"/>
    <w:rsid w:val="00A60786"/>
    <w:rsid w:val="00A61089"/>
    <w:rsid w:val="00A61280"/>
    <w:rsid w:val="00A61526"/>
    <w:rsid w:val="00A62C19"/>
    <w:rsid w:val="00A64381"/>
    <w:rsid w:val="00A64B94"/>
    <w:rsid w:val="00A67369"/>
    <w:rsid w:val="00A67EE1"/>
    <w:rsid w:val="00A70510"/>
    <w:rsid w:val="00A74C12"/>
    <w:rsid w:val="00A74D45"/>
    <w:rsid w:val="00A7557E"/>
    <w:rsid w:val="00A771A0"/>
    <w:rsid w:val="00A8055A"/>
    <w:rsid w:val="00A80F85"/>
    <w:rsid w:val="00A816E6"/>
    <w:rsid w:val="00A82611"/>
    <w:rsid w:val="00A82EE3"/>
    <w:rsid w:val="00A82F63"/>
    <w:rsid w:val="00A83567"/>
    <w:rsid w:val="00A84B92"/>
    <w:rsid w:val="00A85B54"/>
    <w:rsid w:val="00A86333"/>
    <w:rsid w:val="00A90180"/>
    <w:rsid w:val="00A945E0"/>
    <w:rsid w:val="00A96850"/>
    <w:rsid w:val="00A97F20"/>
    <w:rsid w:val="00AA1608"/>
    <w:rsid w:val="00AA2FF8"/>
    <w:rsid w:val="00AA416E"/>
    <w:rsid w:val="00AA4F70"/>
    <w:rsid w:val="00AA61DE"/>
    <w:rsid w:val="00AA63E2"/>
    <w:rsid w:val="00AA64AD"/>
    <w:rsid w:val="00AA6A3B"/>
    <w:rsid w:val="00AA77CE"/>
    <w:rsid w:val="00AA797E"/>
    <w:rsid w:val="00AB031E"/>
    <w:rsid w:val="00AB159F"/>
    <w:rsid w:val="00AB4349"/>
    <w:rsid w:val="00AB5AE0"/>
    <w:rsid w:val="00AB5BFA"/>
    <w:rsid w:val="00AB745D"/>
    <w:rsid w:val="00AC166D"/>
    <w:rsid w:val="00AC171C"/>
    <w:rsid w:val="00AC3775"/>
    <w:rsid w:val="00AC4FF0"/>
    <w:rsid w:val="00AC55A8"/>
    <w:rsid w:val="00AC5E11"/>
    <w:rsid w:val="00AC6597"/>
    <w:rsid w:val="00AC751B"/>
    <w:rsid w:val="00AC7CA1"/>
    <w:rsid w:val="00AD0030"/>
    <w:rsid w:val="00AD0AD6"/>
    <w:rsid w:val="00AD10F2"/>
    <w:rsid w:val="00AD3837"/>
    <w:rsid w:val="00AD4582"/>
    <w:rsid w:val="00AD4946"/>
    <w:rsid w:val="00AD55F7"/>
    <w:rsid w:val="00AD6A83"/>
    <w:rsid w:val="00AD7592"/>
    <w:rsid w:val="00AE4A72"/>
    <w:rsid w:val="00AE6197"/>
    <w:rsid w:val="00AF02F4"/>
    <w:rsid w:val="00AF3181"/>
    <w:rsid w:val="00AF5047"/>
    <w:rsid w:val="00AF56E5"/>
    <w:rsid w:val="00AF5D97"/>
    <w:rsid w:val="00AF617D"/>
    <w:rsid w:val="00AF6EDB"/>
    <w:rsid w:val="00B0037E"/>
    <w:rsid w:val="00B03808"/>
    <w:rsid w:val="00B04661"/>
    <w:rsid w:val="00B05A35"/>
    <w:rsid w:val="00B06B33"/>
    <w:rsid w:val="00B0705A"/>
    <w:rsid w:val="00B07143"/>
    <w:rsid w:val="00B115AF"/>
    <w:rsid w:val="00B1288D"/>
    <w:rsid w:val="00B15B95"/>
    <w:rsid w:val="00B16B2D"/>
    <w:rsid w:val="00B17229"/>
    <w:rsid w:val="00B20F48"/>
    <w:rsid w:val="00B21CB1"/>
    <w:rsid w:val="00B21D46"/>
    <w:rsid w:val="00B27E71"/>
    <w:rsid w:val="00B3084E"/>
    <w:rsid w:val="00B308EB"/>
    <w:rsid w:val="00B30B30"/>
    <w:rsid w:val="00B31AA0"/>
    <w:rsid w:val="00B32E08"/>
    <w:rsid w:val="00B3457A"/>
    <w:rsid w:val="00B34A2F"/>
    <w:rsid w:val="00B34DFB"/>
    <w:rsid w:val="00B3590B"/>
    <w:rsid w:val="00B35C07"/>
    <w:rsid w:val="00B36FC4"/>
    <w:rsid w:val="00B40125"/>
    <w:rsid w:val="00B41532"/>
    <w:rsid w:val="00B424F2"/>
    <w:rsid w:val="00B46948"/>
    <w:rsid w:val="00B5052B"/>
    <w:rsid w:val="00B51B3A"/>
    <w:rsid w:val="00B52D9F"/>
    <w:rsid w:val="00B53AB0"/>
    <w:rsid w:val="00B555F2"/>
    <w:rsid w:val="00B556C2"/>
    <w:rsid w:val="00B5702E"/>
    <w:rsid w:val="00B601D8"/>
    <w:rsid w:val="00B6024C"/>
    <w:rsid w:val="00B62B83"/>
    <w:rsid w:val="00B64DF1"/>
    <w:rsid w:val="00B66BFD"/>
    <w:rsid w:val="00B674F5"/>
    <w:rsid w:val="00B7458B"/>
    <w:rsid w:val="00B77E83"/>
    <w:rsid w:val="00B807FB"/>
    <w:rsid w:val="00B80C68"/>
    <w:rsid w:val="00B82BC8"/>
    <w:rsid w:val="00B83AFF"/>
    <w:rsid w:val="00B87FC8"/>
    <w:rsid w:val="00B9331B"/>
    <w:rsid w:val="00B955A1"/>
    <w:rsid w:val="00B95819"/>
    <w:rsid w:val="00B97B5C"/>
    <w:rsid w:val="00BA0998"/>
    <w:rsid w:val="00BA3861"/>
    <w:rsid w:val="00BA7367"/>
    <w:rsid w:val="00BB2593"/>
    <w:rsid w:val="00BB5746"/>
    <w:rsid w:val="00BC0039"/>
    <w:rsid w:val="00BC2D42"/>
    <w:rsid w:val="00BD0D30"/>
    <w:rsid w:val="00BD37A4"/>
    <w:rsid w:val="00BD3BBA"/>
    <w:rsid w:val="00BD5051"/>
    <w:rsid w:val="00BD569D"/>
    <w:rsid w:val="00BE5E92"/>
    <w:rsid w:val="00BE623D"/>
    <w:rsid w:val="00BE6837"/>
    <w:rsid w:val="00BE6B43"/>
    <w:rsid w:val="00BF31AC"/>
    <w:rsid w:val="00BF3486"/>
    <w:rsid w:val="00BF585A"/>
    <w:rsid w:val="00C0006B"/>
    <w:rsid w:val="00C02272"/>
    <w:rsid w:val="00C037A9"/>
    <w:rsid w:val="00C04585"/>
    <w:rsid w:val="00C10086"/>
    <w:rsid w:val="00C10947"/>
    <w:rsid w:val="00C1356A"/>
    <w:rsid w:val="00C14CF7"/>
    <w:rsid w:val="00C16B76"/>
    <w:rsid w:val="00C212F8"/>
    <w:rsid w:val="00C235B3"/>
    <w:rsid w:val="00C248B1"/>
    <w:rsid w:val="00C31336"/>
    <w:rsid w:val="00C31ADF"/>
    <w:rsid w:val="00C321A5"/>
    <w:rsid w:val="00C32F07"/>
    <w:rsid w:val="00C340C9"/>
    <w:rsid w:val="00C34EC9"/>
    <w:rsid w:val="00C415FE"/>
    <w:rsid w:val="00C41912"/>
    <w:rsid w:val="00C43CFA"/>
    <w:rsid w:val="00C50EA6"/>
    <w:rsid w:val="00C51236"/>
    <w:rsid w:val="00C52049"/>
    <w:rsid w:val="00C522E4"/>
    <w:rsid w:val="00C565C3"/>
    <w:rsid w:val="00C61F22"/>
    <w:rsid w:val="00C626EF"/>
    <w:rsid w:val="00C62E26"/>
    <w:rsid w:val="00C637DF"/>
    <w:rsid w:val="00C63CDD"/>
    <w:rsid w:val="00C63DD2"/>
    <w:rsid w:val="00C649EF"/>
    <w:rsid w:val="00C6641B"/>
    <w:rsid w:val="00C703B5"/>
    <w:rsid w:val="00C72280"/>
    <w:rsid w:val="00C72520"/>
    <w:rsid w:val="00C74547"/>
    <w:rsid w:val="00C75FB8"/>
    <w:rsid w:val="00C761D9"/>
    <w:rsid w:val="00C767C2"/>
    <w:rsid w:val="00C80EE5"/>
    <w:rsid w:val="00C817A9"/>
    <w:rsid w:val="00C86C70"/>
    <w:rsid w:val="00C901AD"/>
    <w:rsid w:val="00C907BC"/>
    <w:rsid w:val="00C9135C"/>
    <w:rsid w:val="00C91A63"/>
    <w:rsid w:val="00C96707"/>
    <w:rsid w:val="00CA1E72"/>
    <w:rsid w:val="00CA2A1D"/>
    <w:rsid w:val="00CA3E3C"/>
    <w:rsid w:val="00CA4CD5"/>
    <w:rsid w:val="00CA6B23"/>
    <w:rsid w:val="00CB005B"/>
    <w:rsid w:val="00CB2CBF"/>
    <w:rsid w:val="00CB4C89"/>
    <w:rsid w:val="00CB4FEF"/>
    <w:rsid w:val="00CB630E"/>
    <w:rsid w:val="00CB6E43"/>
    <w:rsid w:val="00CB7CE3"/>
    <w:rsid w:val="00CB7F5D"/>
    <w:rsid w:val="00CC1BCF"/>
    <w:rsid w:val="00CC3946"/>
    <w:rsid w:val="00CC3FD1"/>
    <w:rsid w:val="00CC4D4B"/>
    <w:rsid w:val="00CC5DEE"/>
    <w:rsid w:val="00CC7DB8"/>
    <w:rsid w:val="00CD0355"/>
    <w:rsid w:val="00CD2F26"/>
    <w:rsid w:val="00CD3413"/>
    <w:rsid w:val="00CD38FE"/>
    <w:rsid w:val="00CD6DFF"/>
    <w:rsid w:val="00CD6F32"/>
    <w:rsid w:val="00CE11B3"/>
    <w:rsid w:val="00CE18BC"/>
    <w:rsid w:val="00CE34F9"/>
    <w:rsid w:val="00CE4190"/>
    <w:rsid w:val="00CE422A"/>
    <w:rsid w:val="00CE42E4"/>
    <w:rsid w:val="00CE5CD9"/>
    <w:rsid w:val="00CE6CBB"/>
    <w:rsid w:val="00CF31A2"/>
    <w:rsid w:val="00CF5927"/>
    <w:rsid w:val="00CF6378"/>
    <w:rsid w:val="00CF6A73"/>
    <w:rsid w:val="00D001F5"/>
    <w:rsid w:val="00D03956"/>
    <w:rsid w:val="00D05F1B"/>
    <w:rsid w:val="00D0677F"/>
    <w:rsid w:val="00D06F45"/>
    <w:rsid w:val="00D07FA2"/>
    <w:rsid w:val="00D10109"/>
    <w:rsid w:val="00D10F52"/>
    <w:rsid w:val="00D14209"/>
    <w:rsid w:val="00D14F91"/>
    <w:rsid w:val="00D155F4"/>
    <w:rsid w:val="00D16876"/>
    <w:rsid w:val="00D171A2"/>
    <w:rsid w:val="00D2042C"/>
    <w:rsid w:val="00D20564"/>
    <w:rsid w:val="00D21E63"/>
    <w:rsid w:val="00D2339D"/>
    <w:rsid w:val="00D245C9"/>
    <w:rsid w:val="00D26F70"/>
    <w:rsid w:val="00D31A03"/>
    <w:rsid w:val="00D3521E"/>
    <w:rsid w:val="00D41756"/>
    <w:rsid w:val="00D4292B"/>
    <w:rsid w:val="00D43B9E"/>
    <w:rsid w:val="00D43BE4"/>
    <w:rsid w:val="00D465EB"/>
    <w:rsid w:val="00D46CE7"/>
    <w:rsid w:val="00D50B4E"/>
    <w:rsid w:val="00D51F77"/>
    <w:rsid w:val="00D53104"/>
    <w:rsid w:val="00D55D20"/>
    <w:rsid w:val="00D565AD"/>
    <w:rsid w:val="00D61329"/>
    <w:rsid w:val="00D654ED"/>
    <w:rsid w:val="00D65D72"/>
    <w:rsid w:val="00D77631"/>
    <w:rsid w:val="00D826D6"/>
    <w:rsid w:val="00D84933"/>
    <w:rsid w:val="00D85149"/>
    <w:rsid w:val="00D8775F"/>
    <w:rsid w:val="00D91641"/>
    <w:rsid w:val="00D93463"/>
    <w:rsid w:val="00D94913"/>
    <w:rsid w:val="00DA035B"/>
    <w:rsid w:val="00DA193D"/>
    <w:rsid w:val="00DA1EA3"/>
    <w:rsid w:val="00DA24BB"/>
    <w:rsid w:val="00DA359B"/>
    <w:rsid w:val="00DA430A"/>
    <w:rsid w:val="00DA4730"/>
    <w:rsid w:val="00DA4A40"/>
    <w:rsid w:val="00DB2959"/>
    <w:rsid w:val="00DB29C0"/>
    <w:rsid w:val="00DB2B2C"/>
    <w:rsid w:val="00DB35D8"/>
    <w:rsid w:val="00DB3E8E"/>
    <w:rsid w:val="00DC094F"/>
    <w:rsid w:val="00DC276A"/>
    <w:rsid w:val="00DC619A"/>
    <w:rsid w:val="00DC732A"/>
    <w:rsid w:val="00DC73C1"/>
    <w:rsid w:val="00DC76EC"/>
    <w:rsid w:val="00DD03B7"/>
    <w:rsid w:val="00DD19E7"/>
    <w:rsid w:val="00DD4FD8"/>
    <w:rsid w:val="00DD523F"/>
    <w:rsid w:val="00DD6B52"/>
    <w:rsid w:val="00DD7536"/>
    <w:rsid w:val="00DE11EC"/>
    <w:rsid w:val="00DE2824"/>
    <w:rsid w:val="00DE4DA4"/>
    <w:rsid w:val="00DE5DF4"/>
    <w:rsid w:val="00DE7614"/>
    <w:rsid w:val="00DE7CAC"/>
    <w:rsid w:val="00DF1054"/>
    <w:rsid w:val="00DF631B"/>
    <w:rsid w:val="00DF65DE"/>
    <w:rsid w:val="00DF6EAE"/>
    <w:rsid w:val="00DF796C"/>
    <w:rsid w:val="00E006CF"/>
    <w:rsid w:val="00E02DC3"/>
    <w:rsid w:val="00E0399B"/>
    <w:rsid w:val="00E06E1F"/>
    <w:rsid w:val="00E07591"/>
    <w:rsid w:val="00E10359"/>
    <w:rsid w:val="00E1084D"/>
    <w:rsid w:val="00E11AD3"/>
    <w:rsid w:val="00E11ADC"/>
    <w:rsid w:val="00E11E89"/>
    <w:rsid w:val="00E14C4A"/>
    <w:rsid w:val="00E1780E"/>
    <w:rsid w:val="00E20CAA"/>
    <w:rsid w:val="00E2142F"/>
    <w:rsid w:val="00E219F3"/>
    <w:rsid w:val="00E21E4E"/>
    <w:rsid w:val="00E25A59"/>
    <w:rsid w:val="00E27F2B"/>
    <w:rsid w:val="00E30ECC"/>
    <w:rsid w:val="00E32CBA"/>
    <w:rsid w:val="00E34019"/>
    <w:rsid w:val="00E348D7"/>
    <w:rsid w:val="00E35C86"/>
    <w:rsid w:val="00E4141B"/>
    <w:rsid w:val="00E43E37"/>
    <w:rsid w:val="00E449A4"/>
    <w:rsid w:val="00E4503E"/>
    <w:rsid w:val="00E46F87"/>
    <w:rsid w:val="00E477E5"/>
    <w:rsid w:val="00E51134"/>
    <w:rsid w:val="00E526EE"/>
    <w:rsid w:val="00E52B42"/>
    <w:rsid w:val="00E537FF"/>
    <w:rsid w:val="00E546AD"/>
    <w:rsid w:val="00E60EA5"/>
    <w:rsid w:val="00E634D5"/>
    <w:rsid w:val="00E65B38"/>
    <w:rsid w:val="00E70316"/>
    <w:rsid w:val="00E7041A"/>
    <w:rsid w:val="00E75723"/>
    <w:rsid w:val="00E76731"/>
    <w:rsid w:val="00E770D3"/>
    <w:rsid w:val="00E77259"/>
    <w:rsid w:val="00E81820"/>
    <w:rsid w:val="00E92CCB"/>
    <w:rsid w:val="00E932D6"/>
    <w:rsid w:val="00E94C89"/>
    <w:rsid w:val="00E94FA7"/>
    <w:rsid w:val="00E95B4C"/>
    <w:rsid w:val="00E96809"/>
    <w:rsid w:val="00E9710E"/>
    <w:rsid w:val="00EA276B"/>
    <w:rsid w:val="00EA306E"/>
    <w:rsid w:val="00EA44EA"/>
    <w:rsid w:val="00EA45E6"/>
    <w:rsid w:val="00EA70AC"/>
    <w:rsid w:val="00EB3C3F"/>
    <w:rsid w:val="00EB4924"/>
    <w:rsid w:val="00EB55AD"/>
    <w:rsid w:val="00EB6C25"/>
    <w:rsid w:val="00EB6CC6"/>
    <w:rsid w:val="00EB7D12"/>
    <w:rsid w:val="00EC0E2C"/>
    <w:rsid w:val="00EC0F7A"/>
    <w:rsid w:val="00EC1019"/>
    <w:rsid w:val="00EC2489"/>
    <w:rsid w:val="00EC69C2"/>
    <w:rsid w:val="00ED1C5B"/>
    <w:rsid w:val="00ED23E1"/>
    <w:rsid w:val="00ED4BF6"/>
    <w:rsid w:val="00ED57E6"/>
    <w:rsid w:val="00ED6957"/>
    <w:rsid w:val="00EE0485"/>
    <w:rsid w:val="00EE04A9"/>
    <w:rsid w:val="00EE5E99"/>
    <w:rsid w:val="00EF2039"/>
    <w:rsid w:val="00EF3702"/>
    <w:rsid w:val="00EF4863"/>
    <w:rsid w:val="00EF4F12"/>
    <w:rsid w:val="00EF5FC1"/>
    <w:rsid w:val="00EF616C"/>
    <w:rsid w:val="00EF6A0A"/>
    <w:rsid w:val="00F0226A"/>
    <w:rsid w:val="00F03F2C"/>
    <w:rsid w:val="00F0425E"/>
    <w:rsid w:val="00F059F0"/>
    <w:rsid w:val="00F10540"/>
    <w:rsid w:val="00F15196"/>
    <w:rsid w:val="00F178A0"/>
    <w:rsid w:val="00F20C07"/>
    <w:rsid w:val="00F210D6"/>
    <w:rsid w:val="00F22702"/>
    <w:rsid w:val="00F24518"/>
    <w:rsid w:val="00F2521A"/>
    <w:rsid w:val="00F257D3"/>
    <w:rsid w:val="00F25D27"/>
    <w:rsid w:val="00F27068"/>
    <w:rsid w:val="00F31529"/>
    <w:rsid w:val="00F3211F"/>
    <w:rsid w:val="00F33093"/>
    <w:rsid w:val="00F34201"/>
    <w:rsid w:val="00F34A6B"/>
    <w:rsid w:val="00F3591B"/>
    <w:rsid w:val="00F36D09"/>
    <w:rsid w:val="00F41703"/>
    <w:rsid w:val="00F42880"/>
    <w:rsid w:val="00F454A3"/>
    <w:rsid w:val="00F51C70"/>
    <w:rsid w:val="00F52B13"/>
    <w:rsid w:val="00F52C3F"/>
    <w:rsid w:val="00F54414"/>
    <w:rsid w:val="00F55324"/>
    <w:rsid w:val="00F55527"/>
    <w:rsid w:val="00F56062"/>
    <w:rsid w:val="00F6028D"/>
    <w:rsid w:val="00F60C4D"/>
    <w:rsid w:val="00F64DBF"/>
    <w:rsid w:val="00F664FE"/>
    <w:rsid w:val="00F70643"/>
    <w:rsid w:val="00F716E4"/>
    <w:rsid w:val="00F72BC1"/>
    <w:rsid w:val="00F72FF0"/>
    <w:rsid w:val="00F76ABA"/>
    <w:rsid w:val="00F76C21"/>
    <w:rsid w:val="00F777EA"/>
    <w:rsid w:val="00F821F8"/>
    <w:rsid w:val="00F82C3C"/>
    <w:rsid w:val="00F82CBB"/>
    <w:rsid w:val="00F82DDC"/>
    <w:rsid w:val="00F82DF6"/>
    <w:rsid w:val="00F84865"/>
    <w:rsid w:val="00F90852"/>
    <w:rsid w:val="00F90A05"/>
    <w:rsid w:val="00F91891"/>
    <w:rsid w:val="00F954DA"/>
    <w:rsid w:val="00F955E8"/>
    <w:rsid w:val="00F97E0D"/>
    <w:rsid w:val="00FA285D"/>
    <w:rsid w:val="00FA606C"/>
    <w:rsid w:val="00FA63E4"/>
    <w:rsid w:val="00FA7D4A"/>
    <w:rsid w:val="00FB1E4B"/>
    <w:rsid w:val="00FB781E"/>
    <w:rsid w:val="00FC0C03"/>
    <w:rsid w:val="00FC2083"/>
    <w:rsid w:val="00FC6304"/>
    <w:rsid w:val="00FC6A93"/>
    <w:rsid w:val="00FD1A37"/>
    <w:rsid w:val="00FD38FF"/>
    <w:rsid w:val="00FD393A"/>
    <w:rsid w:val="00FD52EC"/>
    <w:rsid w:val="00FD6F4A"/>
    <w:rsid w:val="00FD74BB"/>
    <w:rsid w:val="00FD799D"/>
    <w:rsid w:val="00FE00A2"/>
    <w:rsid w:val="00FE1953"/>
    <w:rsid w:val="00FE1965"/>
    <w:rsid w:val="00FE5986"/>
    <w:rsid w:val="00FE7E6B"/>
    <w:rsid w:val="00FF098C"/>
    <w:rsid w:val="00FF0C52"/>
    <w:rsid w:val="00FF1F29"/>
    <w:rsid w:val="00FF348E"/>
    <w:rsid w:val="00FF4F71"/>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D333B90"/>
  <w15:docId w15:val="{9B1A1450-1698-4BAD-A091-546C0334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1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64"/>
  </w:style>
  <w:style w:type="paragraph" w:styleId="Footer">
    <w:name w:val="footer"/>
    <w:basedOn w:val="Normal"/>
    <w:link w:val="FooterChar"/>
    <w:uiPriority w:val="99"/>
    <w:unhideWhenUsed/>
    <w:rsid w:val="00D2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64"/>
  </w:style>
  <w:style w:type="paragraph" w:styleId="BalloonText">
    <w:name w:val="Balloon Text"/>
    <w:basedOn w:val="Normal"/>
    <w:link w:val="BalloonTextChar"/>
    <w:uiPriority w:val="99"/>
    <w:semiHidden/>
    <w:unhideWhenUsed/>
    <w:rsid w:val="00D20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564"/>
    <w:rPr>
      <w:rFonts w:ascii="Tahoma" w:hAnsi="Tahoma" w:cs="Tahoma"/>
      <w:sz w:val="16"/>
      <w:szCs w:val="16"/>
    </w:rPr>
  </w:style>
  <w:style w:type="paragraph" w:styleId="ListParagraph">
    <w:name w:val="List Paragraph"/>
    <w:basedOn w:val="Normal"/>
    <w:uiPriority w:val="34"/>
    <w:qFormat/>
    <w:rsid w:val="0030483E"/>
    <w:pPr>
      <w:ind w:left="720"/>
      <w:contextualSpacing/>
    </w:pPr>
  </w:style>
  <w:style w:type="character" w:styleId="LineNumber">
    <w:name w:val="line number"/>
    <w:basedOn w:val="DefaultParagraphFont"/>
    <w:uiPriority w:val="99"/>
    <w:semiHidden/>
    <w:unhideWhenUsed/>
    <w:rsid w:val="00EF2039"/>
  </w:style>
  <w:style w:type="character" w:styleId="IntenseReference">
    <w:name w:val="Intense Reference"/>
    <w:basedOn w:val="DefaultParagraphFont"/>
    <w:uiPriority w:val="32"/>
    <w:qFormat/>
    <w:rsid w:val="00884DBC"/>
    <w:rPr>
      <w:b/>
      <w:bCs/>
      <w:smallCaps/>
      <w:color w:val="C0504D" w:themeColor="accent2"/>
      <w:spacing w:val="5"/>
      <w:u w:val="single"/>
    </w:rPr>
  </w:style>
  <w:style w:type="character" w:styleId="BookTitle">
    <w:name w:val="Book Title"/>
    <w:basedOn w:val="DefaultParagraphFont"/>
    <w:uiPriority w:val="33"/>
    <w:qFormat/>
    <w:rsid w:val="00884DBC"/>
    <w:rPr>
      <w:b/>
      <w:bCs/>
      <w:smallCaps/>
      <w:spacing w:val="5"/>
    </w:rPr>
  </w:style>
  <w:style w:type="character" w:styleId="SubtleReference">
    <w:name w:val="Subtle Reference"/>
    <w:basedOn w:val="DefaultParagraphFont"/>
    <w:uiPriority w:val="31"/>
    <w:qFormat/>
    <w:rsid w:val="00884DBC"/>
    <w:rPr>
      <w:smallCaps/>
      <w:color w:val="C0504D" w:themeColor="accent2"/>
      <w:u w:val="single"/>
    </w:rPr>
  </w:style>
  <w:style w:type="paragraph" w:styleId="IntenseQuote">
    <w:name w:val="Intense Quote"/>
    <w:aliases w:val="Kris' COS Style"/>
    <w:basedOn w:val="Normal"/>
    <w:next w:val="Normal"/>
    <w:link w:val="IntenseQuoteChar"/>
    <w:autoRedefine/>
    <w:uiPriority w:val="30"/>
    <w:qFormat/>
    <w:rsid w:val="008C10F4"/>
    <w:pPr>
      <w:pBdr>
        <w:top w:val="single" w:sz="4" w:space="1" w:color="C0504D" w:themeColor="accent2"/>
        <w:right w:val="single" w:sz="4" w:space="4" w:color="C0504D" w:themeColor="accent2"/>
      </w:pBdr>
      <w:shd w:val="clear" w:color="auto" w:fill="C0504D" w:themeFill="accent2"/>
      <w:spacing w:before="200" w:after="280" w:line="240" w:lineRule="auto"/>
      <w:ind w:right="936"/>
    </w:pPr>
    <w:rPr>
      <w:b/>
      <w:bCs/>
      <w:iCs/>
      <w:color w:val="FFFFFF" w:themeColor="background1"/>
      <w:sz w:val="40"/>
    </w:rPr>
  </w:style>
  <w:style w:type="character" w:customStyle="1" w:styleId="IntenseQuoteChar">
    <w:name w:val="Intense Quote Char"/>
    <w:aliases w:val="Kris' COS Style Char"/>
    <w:basedOn w:val="DefaultParagraphFont"/>
    <w:link w:val="IntenseQuote"/>
    <w:uiPriority w:val="30"/>
    <w:rsid w:val="008C10F4"/>
    <w:rPr>
      <w:b/>
      <w:bCs/>
      <w:iCs/>
      <w:color w:val="FFFFFF" w:themeColor="background1"/>
      <w:sz w:val="40"/>
      <w:shd w:val="clear" w:color="auto" w:fill="C0504D" w:themeFill="accent2"/>
    </w:rPr>
  </w:style>
  <w:style w:type="paragraph" w:styleId="Quote">
    <w:name w:val="Quote"/>
    <w:aliases w:val="COS Sub Header"/>
    <w:basedOn w:val="Normal"/>
    <w:next w:val="Normal"/>
    <w:link w:val="QuoteChar"/>
    <w:uiPriority w:val="29"/>
    <w:qFormat/>
    <w:rsid w:val="00884DBC"/>
    <w:pPr>
      <w:pBdr>
        <w:bottom w:val="single" w:sz="18" w:space="1" w:color="C0504D" w:themeColor="accent2"/>
      </w:pBdr>
    </w:pPr>
    <w:rPr>
      <w:b/>
      <w:iCs/>
      <w:color w:val="000000" w:themeColor="text1"/>
      <w:sz w:val="28"/>
    </w:rPr>
  </w:style>
  <w:style w:type="character" w:customStyle="1" w:styleId="QuoteChar">
    <w:name w:val="Quote Char"/>
    <w:aliases w:val="COS Sub Header Char"/>
    <w:basedOn w:val="DefaultParagraphFont"/>
    <w:link w:val="Quote"/>
    <w:uiPriority w:val="29"/>
    <w:rsid w:val="00884DBC"/>
    <w:rPr>
      <w:b/>
      <w:iCs/>
      <w:color w:val="000000" w:themeColor="text1"/>
      <w:sz w:val="28"/>
    </w:rPr>
  </w:style>
  <w:style w:type="character" w:customStyle="1" w:styleId="Heading1Char">
    <w:name w:val="Heading 1 Char"/>
    <w:basedOn w:val="DefaultParagraphFont"/>
    <w:link w:val="Heading1"/>
    <w:uiPriority w:val="9"/>
    <w:rsid w:val="00961D5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61D59"/>
    <w:pPr>
      <w:outlineLvl w:val="9"/>
    </w:pPr>
    <w:rPr>
      <w:lang w:eastAsia="ja-JP"/>
    </w:rPr>
  </w:style>
  <w:style w:type="character" w:customStyle="1" w:styleId="Heading2Char">
    <w:name w:val="Heading 2 Char"/>
    <w:basedOn w:val="DefaultParagraphFont"/>
    <w:link w:val="Heading2"/>
    <w:uiPriority w:val="9"/>
    <w:semiHidden/>
    <w:rsid w:val="00961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1D5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961D59"/>
    <w:pPr>
      <w:spacing w:after="100"/>
    </w:pPr>
  </w:style>
  <w:style w:type="paragraph" w:styleId="TOC2">
    <w:name w:val="toc 2"/>
    <w:basedOn w:val="Normal"/>
    <w:next w:val="Normal"/>
    <w:autoRedefine/>
    <w:uiPriority w:val="39"/>
    <w:unhideWhenUsed/>
    <w:rsid w:val="00961D59"/>
    <w:pPr>
      <w:spacing w:after="100"/>
      <w:ind w:left="220"/>
    </w:pPr>
  </w:style>
  <w:style w:type="character" w:styleId="Hyperlink">
    <w:name w:val="Hyperlink"/>
    <w:basedOn w:val="DefaultParagraphFont"/>
    <w:uiPriority w:val="99"/>
    <w:unhideWhenUsed/>
    <w:rsid w:val="00E34019"/>
    <w:rPr>
      <w:color w:val="0000FF" w:themeColor="hyperlink"/>
      <w:u w:val="single"/>
    </w:rPr>
  </w:style>
  <w:style w:type="character" w:styleId="FollowedHyperlink">
    <w:name w:val="FollowedHyperlink"/>
    <w:basedOn w:val="DefaultParagraphFont"/>
    <w:uiPriority w:val="99"/>
    <w:semiHidden/>
    <w:unhideWhenUsed/>
    <w:rsid w:val="001741FA"/>
    <w:rPr>
      <w:color w:val="800080" w:themeColor="followedHyperlink"/>
      <w:u w:val="single"/>
    </w:rPr>
  </w:style>
  <w:style w:type="paragraph" w:styleId="Caption">
    <w:name w:val="caption"/>
    <w:basedOn w:val="Normal"/>
    <w:next w:val="Normal"/>
    <w:uiPriority w:val="35"/>
    <w:unhideWhenUsed/>
    <w:qFormat/>
    <w:rsid w:val="00D0677F"/>
    <w:pPr>
      <w:spacing w:line="240" w:lineRule="auto"/>
    </w:pPr>
    <w:rPr>
      <w:b/>
      <w:bCs/>
      <w:color w:val="4F81BD" w:themeColor="accent1"/>
      <w:sz w:val="18"/>
      <w:szCs w:val="18"/>
    </w:rPr>
  </w:style>
  <w:style w:type="paragraph" w:styleId="NormalWeb">
    <w:name w:val="Normal (Web)"/>
    <w:basedOn w:val="Normal"/>
    <w:uiPriority w:val="99"/>
    <w:unhideWhenUsed/>
    <w:rsid w:val="00FE1953"/>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59"/>
    <w:rsid w:val="00C6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15D4"/>
    <w:pPr>
      <w:spacing w:after="0" w:line="240" w:lineRule="auto"/>
    </w:pPr>
  </w:style>
  <w:style w:type="paragraph" w:customStyle="1" w:styleId="Default">
    <w:name w:val="Default"/>
    <w:rsid w:val="00580528"/>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5C200D"/>
    <w:pPr>
      <w:spacing w:after="100" w:line="259" w:lineRule="auto"/>
      <w:ind w:left="440"/>
    </w:pPr>
    <w:rPr>
      <w:rFonts w:eastAsiaTheme="minorEastAsia"/>
    </w:rPr>
  </w:style>
  <w:style w:type="paragraph" w:styleId="TOC4">
    <w:name w:val="toc 4"/>
    <w:basedOn w:val="Normal"/>
    <w:next w:val="Normal"/>
    <w:autoRedefine/>
    <w:uiPriority w:val="39"/>
    <w:unhideWhenUsed/>
    <w:rsid w:val="005C200D"/>
    <w:pPr>
      <w:spacing w:after="100" w:line="259" w:lineRule="auto"/>
      <w:ind w:left="660"/>
    </w:pPr>
    <w:rPr>
      <w:rFonts w:eastAsiaTheme="minorEastAsia"/>
    </w:rPr>
  </w:style>
  <w:style w:type="paragraph" w:styleId="TOC5">
    <w:name w:val="toc 5"/>
    <w:basedOn w:val="Normal"/>
    <w:next w:val="Normal"/>
    <w:autoRedefine/>
    <w:uiPriority w:val="39"/>
    <w:unhideWhenUsed/>
    <w:rsid w:val="005C200D"/>
    <w:pPr>
      <w:spacing w:after="100" w:line="259" w:lineRule="auto"/>
      <w:ind w:left="880"/>
    </w:pPr>
    <w:rPr>
      <w:rFonts w:eastAsiaTheme="minorEastAsia"/>
    </w:rPr>
  </w:style>
  <w:style w:type="paragraph" w:styleId="TOC6">
    <w:name w:val="toc 6"/>
    <w:basedOn w:val="Normal"/>
    <w:next w:val="Normal"/>
    <w:autoRedefine/>
    <w:uiPriority w:val="39"/>
    <w:unhideWhenUsed/>
    <w:rsid w:val="005C200D"/>
    <w:pPr>
      <w:spacing w:after="100" w:line="259" w:lineRule="auto"/>
      <w:ind w:left="1100"/>
    </w:pPr>
    <w:rPr>
      <w:rFonts w:eastAsiaTheme="minorEastAsia"/>
    </w:rPr>
  </w:style>
  <w:style w:type="paragraph" w:styleId="TOC7">
    <w:name w:val="toc 7"/>
    <w:basedOn w:val="Normal"/>
    <w:next w:val="Normal"/>
    <w:autoRedefine/>
    <w:uiPriority w:val="39"/>
    <w:unhideWhenUsed/>
    <w:rsid w:val="005C200D"/>
    <w:pPr>
      <w:spacing w:after="100" w:line="259" w:lineRule="auto"/>
      <w:ind w:left="1320"/>
    </w:pPr>
    <w:rPr>
      <w:rFonts w:eastAsiaTheme="minorEastAsia"/>
    </w:rPr>
  </w:style>
  <w:style w:type="paragraph" w:styleId="TOC8">
    <w:name w:val="toc 8"/>
    <w:basedOn w:val="Normal"/>
    <w:next w:val="Normal"/>
    <w:autoRedefine/>
    <w:uiPriority w:val="39"/>
    <w:unhideWhenUsed/>
    <w:rsid w:val="005C200D"/>
    <w:pPr>
      <w:spacing w:after="100" w:line="259" w:lineRule="auto"/>
      <w:ind w:left="1540"/>
    </w:pPr>
    <w:rPr>
      <w:rFonts w:eastAsiaTheme="minorEastAsia"/>
    </w:rPr>
  </w:style>
  <w:style w:type="paragraph" w:styleId="TOC9">
    <w:name w:val="toc 9"/>
    <w:basedOn w:val="Normal"/>
    <w:next w:val="Normal"/>
    <w:autoRedefine/>
    <w:uiPriority w:val="39"/>
    <w:unhideWhenUsed/>
    <w:rsid w:val="005C200D"/>
    <w:pPr>
      <w:spacing w:after="100" w:line="259" w:lineRule="auto"/>
      <w:ind w:left="1760"/>
    </w:pPr>
    <w:rPr>
      <w:rFonts w:eastAsiaTheme="minorEastAsia"/>
    </w:rPr>
  </w:style>
  <w:style w:type="paragraph" w:styleId="FootnoteText">
    <w:name w:val="footnote text"/>
    <w:basedOn w:val="Normal"/>
    <w:link w:val="FootnoteTextChar"/>
    <w:uiPriority w:val="99"/>
    <w:semiHidden/>
    <w:unhideWhenUsed/>
    <w:rsid w:val="00AC166D"/>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AC166D"/>
    <w:rPr>
      <w:sz w:val="20"/>
      <w:szCs w:val="20"/>
      <w:lang w:val="en-CA"/>
    </w:rPr>
  </w:style>
  <w:style w:type="character" w:styleId="FootnoteReference">
    <w:name w:val="footnote reference"/>
    <w:basedOn w:val="DefaultParagraphFont"/>
    <w:uiPriority w:val="99"/>
    <w:semiHidden/>
    <w:unhideWhenUsed/>
    <w:rsid w:val="00AC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0665">
      <w:bodyDiv w:val="1"/>
      <w:marLeft w:val="0"/>
      <w:marRight w:val="0"/>
      <w:marTop w:val="0"/>
      <w:marBottom w:val="0"/>
      <w:divBdr>
        <w:top w:val="none" w:sz="0" w:space="0" w:color="auto"/>
        <w:left w:val="none" w:sz="0" w:space="0" w:color="auto"/>
        <w:bottom w:val="none" w:sz="0" w:space="0" w:color="auto"/>
        <w:right w:val="none" w:sz="0" w:space="0" w:color="auto"/>
      </w:divBdr>
    </w:div>
    <w:div w:id="292254010">
      <w:bodyDiv w:val="1"/>
      <w:marLeft w:val="0"/>
      <w:marRight w:val="0"/>
      <w:marTop w:val="0"/>
      <w:marBottom w:val="0"/>
      <w:divBdr>
        <w:top w:val="none" w:sz="0" w:space="0" w:color="auto"/>
        <w:left w:val="none" w:sz="0" w:space="0" w:color="auto"/>
        <w:bottom w:val="none" w:sz="0" w:space="0" w:color="auto"/>
        <w:right w:val="none" w:sz="0" w:space="0" w:color="auto"/>
      </w:divBdr>
    </w:div>
    <w:div w:id="1037049975">
      <w:bodyDiv w:val="1"/>
      <w:marLeft w:val="0"/>
      <w:marRight w:val="0"/>
      <w:marTop w:val="0"/>
      <w:marBottom w:val="0"/>
      <w:divBdr>
        <w:top w:val="none" w:sz="0" w:space="0" w:color="auto"/>
        <w:left w:val="none" w:sz="0" w:space="0" w:color="auto"/>
        <w:bottom w:val="none" w:sz="0" w:space="0" w:color="auto"/>
        <w:right w:val="none" w:sz="0" w:space="0" w:color="auto"/>
      </w:divBdr>
    </w:div>
    <w:div w:id="1088189373">
      <w:bodyDiv w:val="1"/>
      <w:marLeft w:val="0"/>
      <w:marRight w:val="0"/>
      <w:marTop w:val="0"/>
      <w:marBottom w:val="0"/>
      <w:divBdr>
        <w:top w:val="none" w:sz="0" w:space="0" w:color="auto"/>
        <w:left w:val="none" w:sz="0" w:space="0" w:color="auto"/>
        <w:bottom w:val="none" w:sz="0" w:space="0" w:color="auto"/>
        <w:right w:val="none" w:sz="0" w:space="0" w:color="auto"/>
      </w:divBdr>
    </w:div>
    <w:div w:id="1479498212">
      <w:bodyDiv w:val="1"/>
      <w:marLeft w:val="0"/>
      <w:marRight w:val="0"/>
      <w:marTop w:val="0"/>
      <w:marBottom w:val="0"/>
      <w:divBdr>
        <w:top w:val="none" w:sz="0" w:space="0" w:color="auto"/>
        <w:left w:val="none" w:sz="0" w:space="0" w:color="auto"/>
        <w:bottom w:val="none" w:sz="0" w:space="0" w:color="auto"/>
        <w:right w:val="none" w:sz="0" w:space="0" w:color="auto"/>
      </w:divBdr>
    </w:div>
    <w:div w:id="21159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DBDA-7699-427C-831D-27A2065F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Taylor</dc:creator>
  <cp:lastModifiedBy>Grace Flood</cp:lastModifiedBy>
  <cp:revision>8</cp:revision>
  <cp:lastPrinted>2019-01-14T15:17:00Z</cp:lastPrinted>
  <dcterms:created xsi:type="dcterms:W3CDTF">2022-03-24T12:41:00Z</dcterms:created>
  <dcterms:modified xsi:type="dcterms:W3CDTF">2022-03-24T19:06:00Z</dcterms:modified>
</cp:coreProperties>
</file>