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1E13" w14:textId="786E9BED" w:rsidR="00654709" w:rsidRPr="00020591" w:rsidRDefault="00D81383" w:rsidP="00654709">
      <w:pPr>
        <w:pStyle w:val="NoSpacing"/>
        <w:suppressLineNumbers/>
        <w:rPr>
          <w:color w:val="A6A6A6" w:themeColor="background1" w:themeShade="A6"/>
        </w:rPr>
      </w:pPr>
      <w:r>
        <w:rPr>
          <w:noProof/>
          <w:color w:val="A6A6A6" w:themeColor="background1" w:themeShade="A6"/>
        </w:rPr>
        <w:drawing>
          <wp:inline distT="0" distB="0" distL="0" distR="0" wp14:anchorId="51A97EAF" wp14:editId="26BB3F0D">
            <wp:extent cx="6104890" cy="4580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4890" cy="4580890"/>
                    </a:xfrm>
                    <a:prstGeom prst="rect">
                      <a:avLst/>
                    </a:prstGeom>
                    <a:noFill/>
                  </pic:spPr>
                </pic:pic>
              </a:graphicData>
            </a:graphic>
          </wp:inline>
        </w:drawing>
      </w:r>
    </w:p>
    <w:p w14:paraId="04B1626C" w14:textId="77777777" w:rsidR="00654709" w:rsidRPr="00EB5887" w:rsidRDefault="00654709" w:rsidP="00654709">
      <w:pPr>
        <w:pStyle w:val="NoSpacing"/>
        <w:suppressLineNumbers/>
        <w:rPr>
          <w:color w:val="A6A6A6" w:themeColor="background1" w:themeShade="A6"/>
          <w:sz w:val="24"/>
        </w:rPr>
      </w:pPr>
    </w:p>
    <w:p w14:paraId="24198E1D" w14:textId="4E2A7669" w:rsidR="00654709" w:rsidRPr="00B535CE" w:rsidRDefault="00FD0013" w:rsidP="00654709">
      <w:pPr>
        <w:pStyle w:val="NoSpacing"/>
        <w:suppressLineNumbers/>
        <w:rPr>
          <w:rFonts w:ascii="Arial Black" w:hAnsi="Arial Black"/>
          <w:color w:val="2E74B5"/>
          <w:sz w:val="96"/>
          <w:szCs w:val="96"/>
        </w:rPr>
      </w:pPr>
      <w:r>
        <w:rPr>
          <w:rFonts w:ascii="Arial Black" w:hAnsi="Arial Black"/>
          <w:color w:val="2E74B5"/>
          <w:sz w:val="96"/>
          <w:szCs w:val="96"/>
        </w:rPr>
        <w:t>2022 Rate Modification Application</w:t>
      </w:r>
    </w:p>
    <w:p w14:paraId="225C58B8" w14:textId="77777777" w:rsidR="00654709" w:rsidRDefault="00654709" w:rsidP="00654709">
      <w:pPr>
        <w:suppressLineNumbers/>
        <w:spacing w:line="259" w:lineRule="auto"/>
        <w:rPr>
          <w:rFonts w:cs="Arial"/>
          <w:sz w:val="48"/>
          <w:szCs w:val="48"/>
        </w:rPr>
      </w:pPr>
      <w:r>
        <w:rPr>
          <w:rFonts w:cs="Arial"/>
          <w:sz w:val="48"/>
          <w:szCs w:val="48"/>
        </w:rPr>
        <w:br w:type="page"/>
      </w:r>
    </w:p>
    <w:p w14:paraId="4BC458A8" w14:textId="77777777" w:rsidR="001B3A51" w:rsidRPr="00624D27" w:rsidRDefault="00D530EA" w:rsidP="00654709">
      <w:pPr>
        <w:suppressLineNumbers/>
        <w:rPr>
          <w:rFonts w:cs="Arial"/>
          <w:b/>
          <w:sz w:val="48"/>
          <w:szCs w:val="48"/>
        </w:rPr>
      </w:pPr>
      <w:r w:rsidRPr="00624D27">
        <w:rPr>
          <w:rFonts w:cs="Arial"/>
          <w:b/>
          <w:sz w:val="48"/>
          <w:szCs w:val="48"/>
        </w:rPr>
        <w:lastRenderedPageBreak/>
        <w:t>T</w:t>
      </w:r>
      <w:r w:rsidR="007565EC" w:rsidRPr="00624D27">
        <w:rPr>
          <w:rFonts w:cs="Arial"/>
          <w:b/>
          <w:sz w:val="48"/>
          <w:szCs w:val="48"/>
        </w:rPr>
        <w:t>able of Contents</w:t>
      </w:r>
    </w:p>
    <w:sdt>
      <w:sdtPr>
        <w:rPr>
          <w:rFonts w:eastAsiaTheme="minorHAnsi" w:cs="Arial"/>
          <w:b w:val="0"/>
          <w:bCs w:val="0"/>
          <w:i/>
          <w:caps/>
          <w:sz w:val="22"/>
          <w:szCs w:val="22"/>
          <w:lang w:val="en-CA" w:bidi="ar-SA"/>
        </w:rPr>
        <w:id w:val="298572794"/>
        <w:docPartObj>
          <w:docPartGallery w:val="Table of Contents"/>
          <w:docPartUnique/>
        </w:docPartObj>
      </w:sdtPr>
      <w:sdtEndPr>
        <w:rPr>
          <w:i w:val="0"/>
          <w:caps w:val="0"/>
          <w:noProof/>
        </w:rPr>
      </w:sdtEndPr>
      <w:sdtContent>
        <w:p w14:paraId="725DA058" w14:textId="2CB2CE17" w:rsidR="007B4A6F" w:rsidRDefault="001B3A51">
          <w:pPr>
            <w:pStyle w:val="TOC1"/>
            <w:rPr>
              <w:rFonts w:asciiTheme="minorHAnsi" w:hAnsiTheme="minorHAnsi" w:cstheme="minorBidi"/>
              <w:b w:val="0"/>
              <w:bCs w:val="0"/>
              <w:noProof/>
              <w:sz w:val="22"/>
              <w:szCs w:val="22"/>
              <w:lang w:bidi="ar-SA"/>
            </w:rPr>
          </w:pPr>
          <w:r w:rsidRPr="007565EC">
            <w:rPr>
              <w:rFonts w:cs="Arial"/>
              <w:caps/>
              <w:color w:val="1F3864" w:themeColor="accent1" w:themeShade="80"/>
              <w:spacing w:val="15"/>
            </w:rPr>
            <w:fldChar w:fldCharType="begin"/>
          </w:r>
          <w:r w:rsidRPr="007565EC">
            <w:rPr>
              <w:rFonts w:cs="Arial"/>
            </w:rPr>
            <w:instrText xml:space="preserve"> TOC \o "1-3" \h \z \u </w:instrText>
          </w:r>
          <w:r w:rsidRPr="007565EC">
            <w:rPr>
              <w:rFonts w:cs="Arial"/>
              <w:caps/>
              <w:color w:val="1F3864" w:themeColor="accent1" w:themeShade="80"/>
              <w:spacing w:val="15"/>
            </w:rPr>
            <w:fldChar w:fldCharType="separate"/>
          </w:r>
          <w:hyperlink w:anchor="_Toc102399161" w:history="1">
            <w:r w:rsidR="007B4A6F" w:rsidRPr="00693588">
              <w:rPr>
                <w:rStyle w:val="Hyperlink"/>
                <w:noProof/>
              </w:rPr>
              <w:t>1. Introduction</w:t>
            </w:r>
            <w:r w:rsidR="007B4A6F">
              <w:rPr>
                <w:noProof/>
                <w:webHidden/>
              </w:rPr>
              <w:tab/>
            </w:r>
            <w:r w:rsidR="007B4A6F">
              <w:rPr>
                <w:noProof/>
                <w:webHidden/>
              </w:rPr>
              <w:fldChar w:fldCharType="begin"/>
            </w:r>
            <w:r w:rsidR="007B4A6F">
              <w:rPr>
                <w:noProof/>
                <w:webHidden/>
              </w:rPr>
              <w:instrText xml:space="preserve"> PAGEREF _Toc102399161 \h </w:instrText>
            </w:r>
            <w:r w:rsidR="007B4A6F">
              <w:rPr>
                <w:noProof/>
                <w:webHidden/>
              </w:rPr>
            </w:r>
            <w:r w:rsidR="007B4A6F">
              <w:rPr>
                <w:noProof/>
                <w:webHidden/>
              </w:rPr>
              <w:fldChar w:fldCharType="separate"/>
            </w:r>
            <w:r w:rsidR="007B4A6F">
              <w:rPr>
                <w:noProof/>
                <w:webHidden/>
              </w:rPr>
              <w:t>3</w:t>
            </w:r>
            <w:r w:rsidR="007B4A6F">
              <w:rPr>
                <w:noProof/>
                <w:webHidden/>
              </w:rPr>
              <w:fldChar w:fldCharType="end"/>
            </w:r>
          </w:hyperlink>
        </w:p>
        <w:p w14:paraId="0CDD55A5" w14:textId="23E321B0" w:rsidR="007B4A6F" w:rsidRDefault="00D622A6">
          <w:pPr>
            <w:pStyle w:val="TOC1"/>
            <w:rPr>
              <w:rFonts w:asciiTheme="minorHAnsi" w:hAnsiTheme="minorHAnsi" w:cstheme="minorBidi"/>
              <w:b w:val="0"/>
              <w:bCs w:val="0"/>
              <w:noProof/>
              <w:sz w:val="22"/>
              <w:szCs w:val="22"/>
              <w:lang w:bidi="ar-SA"/>
            </w:rPr>
          </w:pPr>
          <w:hyperlink w:anchor="_Toc102399162" w:history="1">
            <w:r w:rsidR="007B4A6F" w:rsidRPr="00693588">
              <w:rPr>
                <w:rStyle w:val="Hyperlink"/>
                <w:noProof/>
              </w:rPr>
              <w:t>2. Executive Summary</w:t>
            </w:r>
            <w:r w:rsidR="007B4A6F">
              <w:rPr>
                <w:noProof/>
                <w:webHidden/>
              </w:rPr>
              <w:tab/>
            </w:r>
            <w:r w:rsidR="007B4A6F">
              <w:rPr>
                <w:noProof/>
                <w:webHidden/>
              </w:rPr>
              <w:fldChar w:fldCharType="begin"/>
            </w:r>
            <w:r w:rsidR="007B4A6F">
              <w:rPr>
                <w:noProof/>
                <w:webHidden/>
              </w:rPr>
              <w:instrText xml:space="preserve"> PAGEREF _Toc102399162 \h </w:instrText>
            </w:r>
            <w:r w:rsidR="007B4A6F">
              <w:rPr>
                <w:noProof/>
                <w:webHidden/>
              </w:rPr>
            </w:r>
            <w:r w:rsidR="007B4A6F">
              <w:rPr>
                <w:noProof/>
                <w:webHidden/>
              </w:rPr>
              <w:fldChar w:fldCharType="separate"/>
            </w:r>
            <w:r w:rsidR="007B4A6F">
              <w:rPr>
                <w:noProof/>
                <w:webHidden/>
              </w:rPr>
              <w:t>4</w:t>
            </w:r>
            <w:r w:rsidR="007B4A6F">
              <w:rPr>
                <w:noProof/>
                <w:webHidden/>
              </w:rPr>
              <w:fldChar w:fldCharType="end"/>
            </w:r>
          </w:hyperlink>
        </w:p>
        <w:p w14:paraId="222B5038" w14:textId="6EC14DAF" w:rsidR="007B4A6F" w:rsidRDefault="00D622A6">
          <w:pPr>
            <w:pStyle w:val="TOC1"/>
            <w:rPr>
              <w:rFonts w:asciiTheme="minorHAnsi" w:hAnsiTheme="minorHAnsi" w:cstheme="minorBidi"/>
              <w:b w:val="0"/>
              <w:bCs w:val="0"/>
              <w:noProof/>
              <w:sz w:val="22"/>
              <w:szCs w:val="22"/>
              <w:lang w:bidi="ar-SA"/>
            </w:rPr>
          </w:pPr>
          <w:hyperlink w:anchor="_Toc102399163" w:history="1">
            <w:r w:rsidR="007B4A6F" w:rsidRPr="00693588">
              <w:rPr>
                <w:rStyle w:val="Hyperlink"/>
                <w:rFonts w:cs="Arial"/>
                <w:noProof/>
              </w:rPr>
              <w:t>3. Administration</w:t>
            </w:r>
            <w:r w:rsidR="007B4A6F">
              <w:rPr>
                <w:noProof/>
                <w:webHidden/>
              </w:rPr>
              <w:tab/>
            </w:r>
            <w:r w:rsidR="00C6243B">
              <w:rPr>
                <w:noProof/>
                <w:webHidden/>
              </w:rPr>
              <w:t>6</w:t>
            </w:r>
          </w:hyperlink>
        </w:p>
        <w:p w14:paraId="72B12D70" w14:textId="28C5D9CF" w:rsidR="007B4A6F" w:rsidRDefault="00D622A6">
          <w:pPr>
            <w:pStyle w:val="TOC2"/>
            <w:rPr>
              <w:rFonts w:asciiTheme="minorHAnsi" w:hAnsiTheme="minorHAnsi" w:cstheme="minorBidi"/>
              <w:szCs w:val="22"/>
              <w:lang w:bidi="ar-SA"/>
            </w:rPr>
          </w:pPr>
          <w:hyperlink w:anchor="_Toc102399164" w:history="1">
            <w:r w:rsidR="007B4A6F" w:rsidRPr="00693588">
              <w:rPr>
                <w:rStyle w:val="Hyperlink"/>
              </w:rPr>
              <w:t>3.1 Contact Information</w:t>
            </w:r>
            <w:r w:rsidR="007B4A6F">
              <w:rPr>
                <w:webHidden/>
              </w:rPr>
              <w:tab/>
            </w:r>
            <w:r w:rsidR="00C6243B">
              <w:rPr>
                <w:webHidden/>
              </w:rPr>
              <w:t>6</w:t>
            </w:r>
          </w:hyperlink>
        </w:p>
        <w:p w14:paraId="12290B44" w14:textId="52E414BD" w:rsidR="007B4A6F" w:rsidRDefault="00D622A6">
          <w:pPr>
            <w:pStyle w:val="TOC2"/>
            <w:rPr>
              <w:rFonts w:asciiTheme="minorHAnsi" w:hAnsiTheme="minorHAnsi" w:cstheme="minorBidi"/>
              <w:szCs w:val="22"/>
              <w:lang w:bidi="ar-SA"/>
            </w:rPr>
          </w:pPr>
          <w:hyperlink w:anchor="_Toc102399165" w:history="1">
            <w:r w:rsidR="007B4A6F" w:rsidRPr="00693588">
              <w:rPr>
                <w:rStyle w:val="Hyperlink"/>
              </w:rPr>
              <w:t>3.2 Internet Address and Social Media Accounts</w:t>
            </w:r>
            <w:r w:rsidR="007B4A6F">
              <w:rPr>
                <w:webHidden/>
              </w:rPr>
              <w:tab/>
            </w:r>
            <w:r w:rsidR="00C6243B">
              <w:rPr>
                <w:webHidden/>
              </w:rPr>
              <w:t>6</w:t>
            </w:r>
          </w:hyperlink>
        </w:p>
        <w:p w14:paraId="4BA1E0A2" w14:textId="59049BE3" w:rsidR="007B4A6F" w:rsidRDefault="00D622A6">
          <w:pPr>
            <w:pStyle w:val="TOC2"/>
            <w:rPr>
              <w:rFonts w:asciiTheme="minorHAnsi" w:hAnsiTheme="minorHAnsi" w:cstheme="minorBidi"/>
              <w:szCs w:val="22"/>
              <w:lang w:bidi="ar-SA"/>
            </w:rPr>
          </w:pPr>
          <w:hyperlink w:anchor="_Toc102399166" w:history="1">
            <w:r w:rsidR="007B4A6F" w:rsidRPr="00693588">
              <w:rPr>
                <w:rStyle w:val="Hyperlink"/>
              </w:rPr>
              <w:t>3.3 Statement of Publication</w:t>
            </w:r>
            <w:r w:rsidR="007B4A6F">
              <w:rPr>
                <w:webHidden/>
              </w:rPr>
              <w:tab/>
            </w:r>
            <w:r w:rsidR="00C6243B">
              <w:rPr>
                <w:webHidden/>
              </w:rPr>
              <w:t>7</w:t>
            </w:r>
          </w:hyperlink>
        </w:p>
        <w:p w14:paraId="1C3371C8" w14:textId="7682CD71" w:rsidR="007B4A6F" w:rsidRDefault="00D622A6">
          <w:pPr>
            <w:pStyle w:val="TOC1"/>
            <w:rPr>
              <w:rFonts w:asciiTheme="minorHAnsi" w:hAnsiTheme="minorHAnsi" w:cstheme="minorBidi"/>
              <w:b w:val="0"/>
              <w:bCs w:val="0"/>
              <w:noProof/>
              <w:sz w:val="22"/>
              <w:szCs w:val="22"/>
              <w:lang w:bidi="ar-SA"/>
            </w:rPr>
          </w:pPr>
          <w:hyperlink w:anchor="_Toc102399167" w:history="1">
            <w:r w:rsidR="007B4A6F" w:rsidRPr="00693588">
              <w:rPr>
                <w:rStyle w:val="Hyperlink"/>
                <w:rFonts w:cs="Arial"/>
                <w:noProof/>
              </w:rPr>
              <w:t>4. Legal Application</w:t>
            </w:r>
            <w:r w:rsidR="007B4A6F">
              <w:rPr>
                <w:noProof/>
                <w:webHidden/>
              </w:rPr>
              <w:tab/>
            </w:r>
            <w:r w:rsidR="00C6243B">
              <w:rPr>
                <w:noProof/>
                <w:webHidden/>
              </w:rPr>
              <w:t>8</w:t>
            </w:r>
          </w:hyperlink>
        </w:p>
        <w:p w14:paraId="7CA0D1B5" w14:textId="69D6D07D" w:rsidR="007B4A6F" w:rsidRDefault="00D622A6">
          <w:pPr>
            <w:pStyle w:val="TOC1"/>
            <w:rPr>
              <w:rFonts w:asciiTheme="minorHAnsi" w:hAnsiTheme="minorHAnsi" w:cstheme="minorBidi"/>
              <w:b w:val="0"/>
              <w:bCs w:val="0"/>
              <w:noProof/>
              <w:sz w:val="22"/>
              <w:szCs w:val="22"/>
              <w:lang w:bidi="ar-SA"/>
            </w:rPr>
          </w:pPr>
          <w:hyperlink w:anchor="_Toc102399168" w:history="1">
            <w:r w:rsidR="007B4A6F" w:rsidRPr="00693588">
              <w:rPr>
                <w:rStyle w:val="Hyperlink"/>
                <w:rFonts w:cs="Arial"/>
                <w:noProof/>
              </w:rPr>
              <w:t>5. Retail Transmission Rates</w:t>
            </w:r>
            <w:r w:rsidR="007B4A6F">
              <w:rPr>
                <w:noProof/>
                <w:webHidden/>
              </w:rPr>
              <w:tab/>
            </w:r>
            <w:r w:rsidR="00C6243B">
              <w:rPr>
                <w:noProof/>
                <w:webHidden/>
              </w:rPr>
              <w:t>9</w:t>
            </w:r>
          </w:hyperlink>
        </w:p>
        <w:p w14:paraId="4099F49B" w14:textId="76D6DA79" w:rsidR="007B4A6F" w:rsidRDefault="00D622A6">
          <w:pPr>
            <w:pStyle w:val="TOC1"/>
            <w:rPr>
              <w:rFonts w:asciiTheme="minorHAnsi" w:hAnsiTheme="minorHAnsi" w:cstheme="minorBidi"/>
              <w:b w:val="0"/>
              <w:bCs w:val="0"/>
              <w:noProof/>
              <w:sz w:val="22"/>
              <w:szCs w:val="22"/>
              <w:lang w:bidi="ar-SA"/>
            </w:rPr>
          </w:pPr>
          <w:hyperlink w:anchor="_Toc102399169" w:history="1">
            <w:r w:rsidR="007B4A6F" w:rsidRPr="00693588">
              <w:rPr>
                <w:rStyle w:val="Hyperlink"/>
                <w:rFonts w:cs="Arial"/>
                <w:noProof/>
              </w:rPr>
              <w:t>6. Large Use Customer Revenue Variance Account</w:t>
            </w:r>
            <w:r w:rsidR="007B4A6F">
              <w:rPr>
                <w:noProof/>
                <w:webHidden/>
              </w:rPr>
              <w:tab/>
            </w:r>
            <w:r w:rsidR="00E33FFD">
              <w:rPr>
                <w:noProof/>
                <w:webHidden/>
              </w:rPr>
              <w:t>1</w:t>
            </w:r>
            <w:r w:rsidR="00C6243B">
              <w:rPr>
                <w:noProof/>
                <w:webHidden/>
              </w:rPr>
              <w:t>1</w:t>
            </w:r>
          </w:hyperlink>
        </w:p>
        <w:p w14:paraId="7990E7DB" w14:textId="6D49AEDB" w:rsidR="001B3A51" w:rsidRPr="007565EC" w:rsidRDefault="001B3A51">
          <w:pPr>
            <w:rPr>
              <w:rFonts w:cs="Arial"/>
            </w:rPr>
          </w:pPr>
          <w:r w:rsidRPr="007565EC">
            <w:rPr>
              <w:rFonts w:cs="Arial"/>
              <w:b/>
              <w:noProof/>
            </w:rPr>
            <w:fldChar w:fldCharType="end"/>
          </w:r>
        </w:p>
      </w:sdtContent>
    </w:sdt>
    <w:p w14:paraId="471BA575" w14:textId="660FE6B0" w:rsidR="001B3A51" w:rsidRPr="00FD2287" w:rsidRDefault="008F35DC" w:rsidP="006637DD">
      <w:pPr>
        <w:pStyle w:val="Heading1"/>
        <w:rPr>
          <w:b w:val="0"/>
          <w:szCs w:val="36"/>
        </w:rPr>
      </w:pPr>
      <w:bookmarkStart w:id="0" w:name="_Toc480400798"/>
      <w:r w:rsidRPr="007565EC">
        <w:br w:type="page"/>
      </w:r>
      <w:bookmarkStart w:id="1" w:name="_Toc480400799"/>
      <w:bookmarkStart w:id="2" w:name="_Toc102399161"/>
      <w:bookmarkEnd w:id="0"/>
      <w:r w:rsidR="006637DD">
        <w:lastRenderedPageBreak/>
        <w:t xml:space="preserve">1. </w:t>
      </w:r>
      <w:r w:rsidR="001B3A51" w:rsidRPr="006637DD">
        <w:t>Introduction</w:t>
      </w:r>
      <w:bookmarkEnd w:id="1"/>
      <w:bookmarkEnd w:id="2"/>
    </w:p>
    <w:p w14:paraId="13AC77D1" w14:textId="16D78A09" w:rsidR="00654709" w:rsidRDefault="00016D09" w:rsidP="00A455B5">
      <w:pPr>
        <w:jc w:val="both"/>
        <w:rPr>
          <w:rFonts w:eastAsiaTheme="minorEastAsia"/>
          <w:b/>
          <w:bCs/>
          <w:spacing w:val="15"/>
          <w:sz w:val="36"/>
          <w:lang w:val="en-US" w:bidi="en-US"/>
        </w:rPr>
      </w:pPr>
      <w:r w:rsidRPr="007565EC">
        <w:rPr>
          <w:rFonts w:cs="Arial"/>
        </w:rPr>
        <w:t>Niagara-on-the-Lake</w:t>
      </w:r>
      <w:r w:rsidR="001B3A51" w:rsidRPr="007565EC">
        <w:rPr>
          <w:rFonts w:cs="Arial"/>
        </w:rPr>
        <w:t xml:space="preserve"> Hydro Inc. (“</w:t>
      </w:r>
      <w:r w:rsidRPr="007565EC">
        <w:rPr>
          <w:rFonts w:cs="Arial"/>
        </w:rPr>
        <w:t>NOTL Hydro</w:t>
      </w:r>
      <w:r w:rsidR="001B3A51" w:rsidRPr="007565EC">
        <w:rPr>
          <w:rFonts w:cs="Arial"/>
        </w:rPr>
        <w:t xml:space="preserve">”) is </w:t>
      </w:r>
      <w:bookmarkStart w:id="3" w:name="_Toc480400800"/>
      <w:r w:rsidR="00A455B5">
        <w:rPr>
          <w:rFonts w:cs="Arial"/>
        </w:rPr>
        <w:t xml:space="preserve">requesting the modification of its 2022 Large Use Service Retail Transmission Rates and the conditions of its </w:t>
      </w:r>
      <w:r w:rsidR="00BD7112">
        <w:rPr>
          <w:rFonts w:cs="Arial"/>
        </w:rPr>
        <w:t>Specified Customer Revenue Variance Account</w:t>
      </w:r>
      <w:r w:rsidR="00A455B5">
        <w:rPr>
          <w:rFonts w:cs="Arial"/>
        </w:rPr>
        <w:t>.  Both of these cha</w:t>
      </w:r>
      <w:r w:rsidR="001F4B20">
        <w:rPr>
          <w:rFonts w:cs="Arial"/>
        </w:rPr>
        <w:t>n</w:t>
      </w:r>
      <w:r w:rsidR="00A455B5">
        <w:rPr>
          <w:rFonts w:cs="Arial"/>
        </w:rPr>
        <w:t xml:space="preserve">ges are being driven by the planned </w:t>
      </w:r>
      <w:r w:rsidR="00BD7112">
        <w:rPr>
          <w:rFonts w:cs="Arial"/>
        </w:rPr>
        <w:t>introduction</w:t>
      </w:r>
      <w:r w:rsidR="00A455B5">
        <w:rPr>
          <w:rFonts w:cs="Arial"/>
        </w:rPr>
        <w:t xml:space="preserve"> of a new Large Use customer</w:t>
      </w:r>
      <w:r w:rsidR="001F4B20">
        <w:rPr>
          <w:rFonts w:cs="Arial"/>
        </w:rPr>
        <w:t xml:space="preserve"> in Niagara-on-the-Lake and the closure of the previous Large Use customer.  Both of these changes have the objective of ensuring the sharing of revenues and expenses remains equitable across all NOTL Hydro customers.  Neither of these changes will have any impact on the Net Income of NOTL Hydro.</w:t>
      </w:r>
    </w:p>
    <w:p w14:paraId="68A83C00" w14:textId="77777777" w:rsidR="004A50AA" w:rsidRDefault="004A50AA">
      <w:pPr>
        <w:spacing w:line="259" w:lineRule="auto"/>
        <w:rPr>
          <w:rFonts w:eastAsiaTheme="minorEastAsia"/>
          <w:b/>
          <w:bCs/>
          <w:spacing w:val="15"/>
          <w:sz w:val="36"/>
          <w:lang w:val="en-US" w:bidi="en-US"/>
        </w:rPr>
      </w:pPr>
      <w:r>
        <w:br w:type="page"/>
      </w:r>
    </w:p>
    <w:p w14:paraId="5A7D383C" w14:textId="6024D332" w:rsidR="001B3A51" w:rsidRPr="00654709" w:rsidRDefault="006637DD" w:rsidP="00654709">
      <w:pPr>
        <w:pStyle w:val="Heading1"/>
      </w:pPr>
      <w:bookmarkStart w:id="4" w:name="_Toc102399162"/>
      <w:bookmarkEnd w:id="3"/>
      <w:r>
        <w:lastRenderedPageBreak/>
        <w:t xml:space="preserve">2. </w:t>
      </w:r>
      <w:r w:rsidR="007565EC" w:rsidRPr="00654709">
        <w:t>Executive Summary</w:t>
      </w:r>
      <w:bookmarkEnd w:id="4"/>
    </w:p>
    <w:p w14:paraId="242B8FAA" w14:textId="5992CD0D" w:rsidR="00D01DEB" w:rsidRDefault="00273994" w:rsidP="001F4B20">
      <w:pPr>
        <w:jc w:val="both"/>
        <w:rPr>
          <w:rFonts w:cs="Arial"/>
        </w:rPr>
      </w:pPr>
      <w:r>
        <w:rPr>
          <w:rFonts w:cs="Arial"/>
        </w:rPr>
        <w:t xml:space="preserve">On May 2, 2022, </w:t>
      </w:r>
      <w:r w:rsidR="001F4B20">
        <w:rPr>
          <w:rFonts w:cs="Arial"/>
        </w:rPr>
        <w:t xml:space="preserve">NOTL Hydro submitted a System Impact Assessment </w:t>
      </w:r>
      <w:r w:rsidR="007274F7">
        <w:rPr>
          <w:rFonts w:cs="Arial"/>
        </w:rPr>
        <w:t xml:space="preserve">(SIA) </w:t>
      </w:r>
      <w:r w:rsidR="001F4B20">
        <w:rPr>
          <w:rFonts w:cs="Arial"/>
        </w:rPr>
        <w:t xml:space="preserve">request to the IESO and a Connection Impact </w:t>
      </w:r>
      <w:r w:rsidR="007274F7">
        <w:rPr>
          <w:rFonts w:cs="Arial"/>
        </w:rPr>
        <w:t>Assessment (CIA) to Hydro One requesting the availability of 80 MW of transmission line capacity on behalf of one of its customers.  This customer intends to engage in cryptocurrency mining</w:t>
      </w:r>
      <w:r w:rsidR="0054329A">
        <w:rPr>
          <w:rFonts w:cs="Arial"/>
        </w:rPr>
        <w:t xml:space="preserve">. </w:t>
      </w:r>
      <w:r w:rsidR="007274F7">
        <w:rPr>
          <w:rFonts w:cs="Arial"/>
        </w:rPr>
        <w:t xml:space="preserve"> </w:t>
      </w:r>
      <w:r w:rsidR="00D01DEB">
        <w:rPr>
          <w:rFonts w:cs="Arial"/>
        </w:rPr>
        <w:t>This has triggered this need for this application for the following reasons:</w:t>
      </w:r>
    </w:p>
    <w:p w14:paraId="49AF2FBA" w14:textId="5723C53C" w:rsidR="00D01DEB" w:rsidRDefault="00D01DEB" w:rsidP="00D01DEB">
      <w:pPr>
        <w:pStyle w:val="ListParagraph"/>
        <w:numPr>
          <w:ilvl w:val="0"/>
          <w:numId w:val="28"/>
        </w:numPr>
        <w:jc w:val="both"/>
        <w:rPr>
          <w:rFonts w:cs="Arial"/>
        </w:rPr>
      </w:pPr>
      <w:r>
        <w:rPr>
          <w:rFonts w:cs="Arial"/>
        </w:rPr>
        <w:t xml:space="preserve">Cryptocurrency mining differs from traditional industrial infrastructure in that a new operation can be built and established within a couple of months.  </w:t>
      </w:r>
      <w:r w:rsidR="00065C5D">
        <w:rPr>
          <w:rFonts w:cs="Arial"/>
        </w:rPr>
        <w:t>Our customer currently intends to be operating as soon as possible; including potentially operating this summer</w:t>
      </w:r>
      <w:r w:rsidR="0054329A">
        <w:rPr>
          <w:rFonts w:cs="Arial"/>
        </w:rPr>
        <w:t>.  The resulting impact on rates could thus take place well before the end of the year and the approval of 2023 rates with the planned annual IRM application.</w:t>
      </w:r>
      <w:r w:rsidR="00273994">
        <w:rPr>
          <w:rFonts w:cs="Arial"/>
        </w:rPr>
        <w:t xml:space="preserve">  The modification of rates is thus requested for implementation as soon as possible</w:t>
      </w:r>
    </w:p>
    <w:p w14:paraId="5317E58C" w14:textId="0982E374" w:rsidR="0054329A" w:rsidRDefault="00065C5D" w:rsidP="00D01DEB">
      <w:pPr>
        <w:pStyle w:val="ListParagraph"/>
        <w:numPr>
          <w:ilvl w:val="0"/>
          <w:numId w:val="28"/>
        </w:numPr>
        <w:jc w:val="both"/>
        <w:rPr>
          <w:rFonts w:cs="Arial"/>
        </w:rPr>
      </w:pPr>
      <w:r w:rsidRPr="00065C5D">
        <w:rPr>
          <w:rFonts w:cs="Arial"/>
        </w:rPr>
        <w:t>Like many c</w:t>
      </w:r>
      <w:r w:rsidR="0054329A" w:rsidRPr="00065C5D">
        <w:rPr>
          <w:rFonts w:cs="Arial"/>
        </w:rPr>
        <w:t>ryptocurrency mining oper</w:t>
      </w:r>
      <w:r w:rsidRPr="00065C5D">
        <w:rPr>
          <w:rFonts w:cs="Arial"/>
        </w:rPr>
        <w:t>ations, our customer is intending to operate</w:t>
      </w:r>
      <w:r w:rsidR="0054329A" w:rsidRPr="00065C5D">
        <w:rPr>
          <w:rFonts w:cs="Arial"/>
        </w:rPr>
        <w:t xml:space="preserve"> on a 24/7 basis.</w:t>
      </w:r>
      <w:r w:rsidR="0054329A">
        <w:rPr>
          <w:rFonts w:cs="Arial"/>
        </w:rPr>
        <w:t xml:space="preserve">  It can therefore be expected that the system peak of NOTL Hydro will increase by the </w:t>
      </w:r>
      <w:r w:rsidR="00273994">
        <w:rPr>
          <w:rFonts w:cs="Arial"/>
        </w:rPr>
        <w:t xml:space="preserve">full operating </w:t>
      </w:r>
      <w:r w:rsidR="0025331D">
        <w:rPr>
          <w:rFonts w:cs="Arial"/>
        </w:rPr>
        <w:t xml:space="preserve">capacity of this new operation.  Retail Transmission rates are established assuming a variety of individual peak uses across the customer base allowing for the individual Retail Transmission rate to be lower than the charge to NOTL Hydro by the IESO.  As this is not the case for this business, NOTL Hydro </w:t>
      </w:r>
      <w:r w:rsidR="00C6243B">
        <w:rPr>
          <w:rFonts w:cs="Arial"/>
        </w:rPr>
        <w:t>will</w:t>
      </w:r>
      <w:r w:rsidR="0025331D">
        <w:rPr>
          <w:rFonts w:cs="Arial"/>
        </w:rPr>
        <w:t xml:space="preserve"> be charged by the IESO the full Uniform Transmission Rates for </w:t>
      </w:r>
      <w:r w:rsidR="00C6243B">
        <w:rPr>
          <w:rFonts w:cs="Arial"/>
        </w:rPr>
        <w:t>all the</w:t>
      </w:r>
      <w:r w:rsidR="0025331D">
        <w:rPr>
          <w:rFonts w:cs="Arial"/>
        </w:rPr>
        <w:t xml:space="preserve"> additional load.  </w:t>
      </w:r>
      <w:r w:rsidR="00273994">
        <w:rPr>
          <w:rFonts w:cs="Arial"/>
        </w:rPr>
        <w:t xml:space="preserve">  NOTL Hydro is therefore requesting the Retail Transmission rates for its Large Use Service Classification be modified to match the Uniform Transmission Rates.</w:t>
      </w:r>
    </w:p>
    <w:p w14:paraId="2839065B" w14:textId="3249F704" w:rsidR="00273994" w:rsidRPr="004A50AA" w:rsidRDefault="009C2D90" w:rsidP="00273994">
      <w:pPr>
        <w:pStyle w:val="ListParagraph"/>
        <w:numPr>
          <w:ilvl w:val="0"/>
          <w:numId w:val="28"/>
        </w:numPr>
        <w:jc w:val="both"/>
        <w:rPr>
          <w:rStyle w:val="FootnoteReference"/>
          <w:rFonts w:cs="Arial"/>
          <w:vertAlign w:val="baseline"/>
        </w:rPr>
        <w:sectPr w:rsidR="00273994" w:rsidRPr="004A50AA" w:rsidSect="00D530EA">
          <w:headerReference w:type="default" r:id="rId9"/>
          <w:pgSz w:w="12240" w:h="15840"/>
          <w:pgMar w:top="1440" w:right="1440" w:bottom="1440" w:left="1440" w:header="708" w:footer="708" w:gutter="0"/>
          <w:lnNumType w:countBy="1"/>
          <w:cols w:space="708"/>
          <w:docGrid w:linePitch="360"/>
        </w:sectPr>
      </w:pPr>
      <w:r>
        <w:rPr>
          <w:rFonts w:cs="Arial"/>
        </w:rPr>
        <w:t xml:space="preserve">In its 2019 Decision and Order (EB-2018-0056), NOTL Hydro was granted a Specified Customer Revenue Variance Account.  This allowed NOTL Hydro to book any </w:t>
      </w:r>
      <w:r w:rsidR="008861CE">
        <w:rPr>
          <w:rFonts w:cs="Arial"/>
        </w:rPr>
        <w:t xml:space="preserve">monthly </w:t>
      </w:r>
      <w:r>
        <w:rPr>
          <w:rFonts w:cs="Arial"/>
        </w:rPr>
        <w:t>distribution revenue above or below 5 MW</w:t>
      </w:r>
      <w:r w:rsidR="008861CE">
        <w:rPr>
          <w:rFonts w:cs="Arial"/>
        </w:rPr>
        <w:t xml:space="preserve"> from this customer to the variance account.  This protected NOTL Hydro from the uncertainties related to this customer while allowing the other NOTL Hydro customers to benefit from the increased revenues.  This customer has subsequently ceased operations and has the property up for sale</w:t>
      </w:r>
      <w:r w:rsidR="00C6243B">
        <w:rPr>
          <w:rFonts w:cs="Arial"/>
        </w:rPr>
        <w:t>, vindicating the benefit of this account</w:t>
      </w:r>
      <w:r w:rsidR="008861CE">
        <w:rPr>
          <w:rFonts w:cs="Arial"/>
        </w:rPr>
        <w:t xml:space="preserve">.  </w:t>
      </w:r>
      <w:r w:rsidR="00A1641D">
        <w:rPr>
          <w:rFonts w:cs="Arial"/>
        </w:rPr>
        <w:t xml:space="preserve">With the planned new cryptocurrency mining customer, </w:t>
      </w:r>
      <w:r w:rsidR="008861CE">
        <w:rPr>
          <w:rFonts w:cs="Arial"/>
        </w:rPr>
        <w:t xml:space="preserve">NOTL Hydro is seeking to amend this Draft Accounting Order to a general Large Use Customer Revenue Variance Account.  </w:t>
      </w:r>
      <w:r w:rsidR="00C6243B" w:rsidRPr="009055B7">
        <w:rPr>
          <w:rFonts w:cs="Arial"/>
        </w:rPr>
        <w:t>The cryptocurrency mining operation has an even greater</w:t>
      </w:r>
      <w:r w:rsidR="00C6243B">
        <w:rPr>
          <w:rFonts w:cs="Arial"/>
        </w:rPr>
        <w:t xml:space="preserve"> uncertainty as to the future level of demand</w:t>
      </w:r>
      <w:r w:rsidR="00C6243B" w:rsidRPr="009055B7">
        <w:rPr>
          <w:rFonts w:cs="Arial"/>
        </w:rPr>
        <w:t xml:space="preserve">.  </w:t>
      </w:r>
      <w:r w:rsidR="00C6243B">
        <w:rPr>
          <w:rFonts w:cs="Arial"/>
        </w:rPr>
        <w:t xml:space="preserve">It would also be much easier to close the operation as the operating assets, the servers, are very portable and the land is leased </w:t>
      </w:r>
      <w:r w:rsidR="00C6243B">
        <w:rPr>
          <w:rFonts w:cs="Arial"/>
        </w:rPr>
        <w:lastRenderedPageBreak/>
        <w:t xml:space="preserve">rather than owned.  </w:t>
      </w:r>
      <w:r w:rsidR="003D46CF">
        <w:rPr>
          <w:rFonts w:cs="Arial"/>
        </w:rPr>
        <w:t xml:space="preserve">A similar variance account is thus requested.  </w:t>
      </w:r>
      <w:r w:rsidR="00C6243B">
        <w:rPr>
          <w:rFonts w:cs="Arial"/>
        </w:rPr>
        <w:t>Under this amended order, the 5 MW variance account would apply to each Large Use customer.  NOTL Hydro is only expecting one Large Use customer at any point in time but does note that the cryptocurrency mining operation has not established their corporate structure and has indicated that it may be subject to change.</w:t>
      </w:r>
    </w:p>
    <w:p w14:paraId="218DA81A" w14:textId="354E1A99" w:rsidR="001B3A51" w:rsidRPr="007565EC" w:rsidRDefault="006637DD" w:rsidP="0046580B">
      <w:pPr>
        <w:pStyle w:val="Heading1"/>
        <w:rPr>
          <w:rFonts w:cs="Arial"/>
        </w:rPr>
      </w:pPr>
      <w:bookmarkStart w:id="5" w:name="_Toc102399163"/>
      <w:r>
        <w:rPr>
          <w:rFonts w:cs="Arial"/>
        </w:rPr>
        <w:lastRenderedPageBreak/>
        <w:t xml:space="preserve">3. </w:t>
      </w:r>
      <w:r w:rsidR="001B3A51" w:rsidRPr="007565EC">
        <w:rPr>
          <w:rFonts w:cs="Arial"/>
        </w:rPr>
        <w:t>Administrati</w:t>
      </w:r>
      <w:r w:rsidR="00370D84" w:rsidRPr="007565EC">
        <w:rPr>
          <w:rFonts w:cs="Arial"/>
        </w:rPr>
        <w:t>on</w:t>
      </w:r>
      <w:bookmarkEnd w:id="5"/>
    </w:p>
    <w:p w14:paraId="5276C316" w14:textId="74D239F0" w:rsidR="001B3A51" w:rsidRPr="007565EC" w:rsidRDefault="001F4B20" w:rsidP="00C23572">
      <w:pPr>
        <w:pStyle w:val="Heading2"/>
      </w:pPr>
      <w:bookmarkStart w:id="6" w:name="_Toc102399164"/>
      <w:r>
        <w:t>3</w:t>
      </w:r>
      <w:r w:rsidR="00F36F91">
        <w:t xml:space="preserve">.1 </w:t>
      </w:r>
      <w:r w:rsidR="001B3A51" w:rsidRPr="007565EC">
        <w:t>Contact Information</w:t>
      </w:r>
      <w:bookmarkEnd w:id="6"/>
    </w:p>
    <w:p w14:paraId="3127146F" w14:textId="77777777" w:rsidR="001B3A51" w:rsidRPr="007565EC" w:rsidRDefault="001B3A51" w:rsidP="001E7449">
      <w:pPr>
        <w:rPr>
          <w:rFonts w:cs="Arial"/>
        </w:rPr>
      </w:pPr>
      <w:r w:rsidRPr="007565EC">
        <w:rPr>
          <w:rFonts w:cs="Arial"/>
        </w:rPr>
        <w:t>Application contact information is as follows:</w:t>
      </w:r>
      <w:r w:rsidRPr="007565EC">
        <w:rPr>
          <w:rFonts w:cs="Arial"/>
        </w:rPr>
        <w:tab/>
      </w:r>
    </w:p>
    <w:p w14:paraId="4347C050" w14:textId="77777777" w:rsidR="001B3A51" w:rsidRPr="007565EC" w:rsidRDefault="001B3A51" w:rsidP="001E7449">
      <w:pPr>
        <w:pStyle w:val="NoSpacing"/>
        <w:spacing w:line="360" w:lineRule="auto"/>
        <w:rPr>
          <w:rFonts w:cs="Arial"/>
          <w:sz w:val="22"/>
          <w:szCs w:val="22"/>
        </w:rPr>
      </w:pPr>
      <w:r w:rsidRPr="007565EC">
        <w:rPr>
          <w:rFonts w:cs="Arial"/>
          <w:sz w:val="22"/>
          <w:szCs w:val="22"/>
        </w:rPr>
        <w:t>Applicants Name:</w:t>
      </w:r>
      <w:r w:rsidRPr="007565EC">
        <w:rPr>
          <w:rFonts w:cs="Arial"/>
          <w:sz w:val="22"/>
          <w:szCs w:val="22"/>
        </w:rPr>
        <w:tab/>
      </w:r>
      <w:r w:rsidRPr="007565EC">
        <w:rPr>
          <w:rFonts w:cs="Arial"/>
          <w:sz w:val="22"/>
          <w:szCs w:val="22"/>
        </w:rPr>
        <w:tab/>
      </w:r>
      <w:r w:rsidRPr="007565EC">
        <w:rPr>
          <w:rFonts w:cs="Arial"/>
          <w:sz w:val="22"/>
          <w:szCs w:val="22"/>
        </w:rPr>
        <w:tab/>
      </w:r>
      <w:r w:rsidR="00016D09" w:rsidRPr="007565EC">
        <w:rPr>
          <w:rFonts w:cs="Arial"/>
          <w:sz w:val="22"/>
          <w:szCs w:val="22"/>
        </w:rPr>
        <w:t>Niagara-on-the-Lake</w:t>
      </w:r>
      <w:r w:rsidR="00013084" w:rsidRPr="007565EC">
        <w:rPr>
          <w:rFonts w:cs="Arial"/>
          <w:sz w:val="22"/>
          <w:szCs w:val="22"/>
        </w:rPr>
        <w:t xml:space="preserve"> Hydro Inc.</w:t>
      </w:r>
    </w:p>
    <w:p w14:paraId="32A99CAC" w14:textId="77777777" w:rsidR="001B3A51" w:rsidRPr="007565EC" w:rsidRDefault="00013084" w:rsidP="001E7449">
      <w:pPr>
        <w:pStyle w:val="NoSpacing"/>
        <w:spacing w:line="360" w:lineRule="auto"/>
        <w:rPr>
          <w:rFonts w:cs="Arial"/>
          <w:sz w:val="22"/>
          <w:szCs w:val="22"/>
        </w:rPr>
      </w:pPr>
      <w:r w:rsidRPr="007565EC">
        <w:rPr>
          <w:rFonts w:cs="Arial"/>
          <w:sz w:val="22"/>
          <w:szCs w:val="22"/>
        </w:rPr>
        <w:t>Applicants Address:</w:t>
      </w:r>
      <w:r w:rsidRPr="007565EC">
        <w:rPr>
          <w:rFonts w:cs="Arial"/>
          <w:sz w:val="22"/>
          <w:szCs w:val="22"/>
        </w:rPr>
        <w:tab/>
      </w:r>
      <w:r w:rsidRPr="007565EC">
        <w:rPr>
          <w:rFonts w:cs="Arial"/>
          <w:sz w:val="22"/>
          <w:szCs w:val="22"/>
        </w:rPr>
        <w:tab/>
      </w:r>
      <w:r w:rsidRPr="007565EC">
        <w:rPr>
          <w:rFonts w:cs="Arial"/>
          <w:sz w:val="22"/>
          <w:szCs w:val="22"/>
        </w:rPr>
        <w:tab/>
        <w:t>PO Box 460</w:t>
      </w:r>
    </w:p>
    <w:p w14:paraId="2FEC43A2" w14:textId="77777777" w:rsidR="001B3A51" w:rsidRPr="007565EC" w:rsidRDefault="001B3A51" w:rsidP="001E7449">
      <w:pPr>
        <w:pStyle w:val="NoSpacing"/>
        <w:spacing w:line="360" w:lineRule="auto"/>
        <w:rPr>
          <w:rFonts w:cs="Arial"/>
          <w:sz w:val="22"/>
          <w:szCs w:val="22"/>
        </w:rPr>
      </w:pP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00013084" w:rsidRPr="007565EC">
        <w:rPr>
          <w:rFonts w:cs="Arial"/>
          <w:sz w:val="22"/>
          <w:szCs w:val="22"/>
        </w:rPr>
        <w:t>8 Henegan Road</w:t>
      </w:r>
    </w:p>
    <w:p w14:paraId="15EB6CD4" w14:textId="77777777" w:rsidR="001B3A51" w:rsidRPr="007565EC" w:rsidRDefault="001B3A51" w:rsidP="001E7449">
      <w:pPr>
        <w:pStyle w:val="NoSpacing"/>
        <w:spacing w:line="360" w:lineRule="auto"/>
        <w:rPr>
          <w:rFonts w:cs="Arial"/>
          <w:sz w:val="22"/>
          <w:szCs w:val="22"/>
        </w:rPr>
      </w:pP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00013084" w:rsidRPr="007565EC">
        <w:rPr>
          <w:rFonts w:cs="Arial"/>
          <w:sz w:val="22"/>
          <w:szCs w:val="22"/>
        </w:rPr>
        <w:t>Niagara-on-the-Lake</w:t>
      </w:r>
      <w:r w:rsidRPr="007565EC">
        <w:rPr>
          <w:rFonts w:cs="Arial"/>
          <w:sz w:val="22"/>
          <w:szCs w:val="22"/>
        </w:rPr>
        <w:t>, ON</w:t>
      </w:r>
    </w:p>
    <w:p w14:paraId="03BAC5BB" w14:textId="77777777" w:rsidR="001B3A51" w:rsidRPr="007565EC" w:rsidRDefault="001B3A51" w:rsidP="001E7449">
      <w:pPr>
        <w:pStyle w:val="NoSpacing"/>
        <w:spacing w:line="360" w:lineRule="auto"/>
        <w:rPr>
          <w:rFonts w:cs="Arial"/>
          <w:sz w:val="22"/>
          <w:szCs w:val="22"/>
        </w:rPr>
      </w:pP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00013084" w:rsidRPr="007565EC">
        <w:rPr>
          <w:rFonts w:cs="Arial"/>
          <w:sz w:val="22"/>
          <w:szCs w:val="22"/>
        </w:rPr>
        <w:t>L0S 1T0</w:t>
      </w:r>
    </w:p>
    <w:p w14:paraId="2F4039B4" w14:textId="77777777" w:rsidR="001B3A51" w:rsidRPr="007565EC" w:rsidRDefault="001B3A51" w:rsidP="001E7449">
      <w:pPr>
        <w:pStyle w:val="NoSpacing"/>
        <w:spacing w:line="360" w:lineRule="auto"/>
        <w:rPr>
          <w:rFonts w:cs="Arial"/>
          <w:sz w:val="22"/>
          <w:szCs w:val="22"/>
        </w:rPr>
      </w:pPr>
    </w:p>
    <w:p w14:paraId="4DF26CA8" w14:textId="0807417B" w:rsidR="001B3A51" w:rsidRPr="007565EC" w:rsidRDefault="001B3A51" w:rsidP="001E7449">
      <w:pPr>
        <w:pStyle w:val="NoSpacing"/>
        <w:spacing w:line="360" w:lineRule="auto"/>
        <w:rPr>
          <w:rFonts w:cs="Arial"/>
          <w:sz w:val="22"/>
          <w:szCs w:val="22"/>
        </w:rPr>
      </w:pPr>
      <w:r w:rsidRPr="007565EC">
        <w:rPr>
          <w:rFonts w:cs="Arial"/>
          <w:sz w:val="22"/>
          <w:szCs w:val="22"/>
        </w:rPr>
        <w:t>Applicants Contacts:</w:t>
      </w:r>
      <w:r w:rsidRPr="007565EC">
        <w:rPr>
          <w:rFonts w:cs="Arial"/>
          <w:sz w:val="22"/>
          <w:szCs w:val="22"/>
        </w:rPr>
        <w:tab/>
      </w:r>
      <w:r w:rsidRPr="007565EC">
        <w:rPr>
          <w:rFonts w:cs="Arial"/>
          <w:sz w:val="22"/>
          <w:szCs w:val="22"/>
        </w:rPr>
        <w:tab/>
      </w:r>
      <w:r w:rsidRPr="007565EC">
        <w:rPr>
          <w:rFonts w:cs="Arial"/>
          <w:sz w:val="22"/>
          <w:szCs w:val="22"/>
        </w:rPr>
        <w:tab/>
      </w:r>
      <w:r w:rsidR="001F4B20">
        <w:rPr>
          <w:rFonts w:cs="Arial"/>
          <w:sz w:val="22"/>
          <w:szCs w:val="22"/>
        </w:rPr>
        <w:t>Tim Curtis</w:t>
      </w:r>
    </w:p>
    <w:p w14:paraId="683F40B2" w14:textId="6D331BEA" w:rsidR="001B3A51" w:rsidRPr="007565EC" w:rsidRDefault="001B3A51" w:rsidP="001E7449">
      <w:pPr>
        <w:pStyle w:val="NoSpacing"/>
        <w:spacing w:line="360" w:lineRule="auto"/>
        <w:rPr>
          <w:rFonts w:cs="Arial"/>
          <w:sz w:val="22"/>
          <w:szCs w:val="22"/>
        </w:rPr>
      </w:pPr>
      <w:r w:rsidRPr="007565EC">
        <w:rPr>
          <w:rFonts w:cs="Arial"/>
          <w:sz w:val="22"/>
          <w:szCs w:val="22"/>
          <w:lang w:val="en-CA"/>
        </w:rPr>
        <w:tab/>
      </w:r>
      <w:r w:rsidRPr="007565EC">
        <w:rPr>
          <w:rFonts w:cs="Arial"/>
          <w:sz w:val="22"/>
          <w:szCs w:val="22"/>
          <w:lang w:val="en-CA"/>
        </w:rPr>
        <w:tab/>
      </w:r>
      <w:r w:rsidRPr="007565EC">
        <w:rPr>
          <w:rFonts w:cs="Arial"/>
          <w:sz w:val="22"/>
          <w:szCs w:val="22"/>
          <w:lang w:val="en-CA"/>
        </w:rPr>
        <w:tab/>
      </w:r>
      <w:r w:rsidRPr="007565EC">
        <w:rPr>
          <w:rFonts w:cs="Arial"/>
          <w:sz w:val="22"/>
          <w:szCs w:val="22"/>
          <w:lang w:val="en-CA"/>
        </w:rPr>
        <w:tab/>
      </w:r>
      <w:r w:rsidRPr="007565EC">
        <w:rPr>
          <w:rFonts w:cs="Arial"/>
          <w:sz w:val="22"/>
          <w:szCs w:val="22"/>
          <w:lang w:val="en-CA"/>
        </w:rPr>
        <w:tab/>
      </w:r>
      <w:r w:rsidR="001F4B20">
        <w:rPr>
          <w:rFonts w:cs="Arial"/>
          <w:sz w:val="22"/>
          <w:szCs w:val="22"/>
        </w:rPr>
        <w:t>President</w:t>
      </w:r>
    </w:p>
    <w:p w14:paraId="5DA1DA6F" w14:textId="552101F7" w:rsidR="001B3A51" w:rsidRPr="007565EC" w:rsidRDefault="001B3A51" w:rsidP="001E7449">
      <w:pPr>
        <w:pStyle w:val="NoSpacing"/>
        <w:spacing w:line="360" w:lineRule="auto"/>
        <w:rPr>
          <w:rFonts w:cs="Arial"/>
          <w:sz w:val="22"/>
          <w:szCs w:val="22"/>
        </w:rPr>
      </w:pP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00013084" w:rsidRPr="007565EC">
        <w:rPr>
          <w:rFonts w:cs="Arial"/>
          <w:sz w:val="22"/>
          <w:szCs w:val="22"/>
        </w:rPr>
        <w:t>Email:</w:t>
      </w:r>
      <w:r w:rsidR="001F4B20">
        <w:rPr>
          <w:rFonts w:cs="Arial"/>
          <w:sz w:val="22"/>
          <w:szCs w:val="22"/>
        </w:rPr>
        <w:t xml:space="preserve"> tcurtis</w:t>
      </w:r>
      <w:r w:rsidR="00013084" w:rsidRPr="007565EC">
        <w:rPr>
          <w:rFonts w:cs="Arial"/>
          <w:sz w:val="22"/>
          <w:szCs w:val="22"/>
        </w:rPr>
        <w:t>@notlhydro.com</w:t>
      </w:r>
    </w:p>
    <w:p w14:paraId="2545B223" w14:textId="5E886C50" w:rsidR="001B3A51" w:rsidRPr="007565EC" w:rsidRDefault="001B3A51" w:rsidP="001E7449">
      <w:pPr>
        <w:pStyle w:val="NoSpacing"/>
        <w:spacing w:line="360" w:lineRule="auto"/>
        <w:rPr>
          <w:rFonts w:cs="Arial"/>
          <w:sz w:val="22"/>
          <w:szCs w:val="22"/>
        </w:rPr>
      </w:pP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00013084" w:rsidRPr="007565EC">
        <w:rPr>
          <w:rFonts w:cs="Arial"/>
          <w:sz w:val="22"/>
          <w:szCs w:val="22"/>
        </w:rPr>
        <w:t>Phone:</w:t>
      </w:r>
      <w:r w:rsidR="002D1A78">
        <w:rPr>
          <w:rFonts w:cs="Arial"/>
          <w:sz w:val="22"/>
          <w:szCs w:val="22"/>
        </w:rPr>
        <w:t xml:space="preserve"> </w:t>
      </w:r>
      <w:r w:rsidR="00013084" w:rsidRPr="007565EC">
        <w:rPr>
          <w:rFonts w:cs="Arial"/>
          <w:sz w:val="22"/>
          <w:szCs w:val="22"/>
        </w:rPr>
        <w:t xml:space="preserve">905-468-4235 ext. </w:t>
      </w:r>
      <w:r w:rsidR="001F4B20">
        <w:rPr>
          <w:rFonts w:cs="Arial"/>
          <w:sz w:val="22"/>
          <w:szCs w:val="22"/>
        </w:rPr>
        <w:t>550</w:t>
      </w:r>
    </w:p>
    <w:p w14:paraId="7DCFAC12" w14:textId="77777777" w:rsidR="001B3A51" w:rsidRPr="007565EC" w:rsidRDefault="001B3A51" w:rsidP="001E7449">
      <w:pPr>
        <w:pStyle w:val="NoSpacing"/>
        <w:spacing w:line="360" w:lineRule="auto"/>
        <w:rPr>
          <w:rFonts w:cs="Arial"/>
          <w:sz w:val="22"/>
          <w:szCs w:val="22"/>
        </w:rPr>
      </w:pP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00013084" w:rsidRPr="007565EC">
        <w:rPr>
          <w:rFonts w:cs="Arial"/>
          <w:sz w:val="22"/>
          <w:szCs w:val="22"/>
        </w:rPr>
        <w:t>Fax:</w:t>
      </w:r>
      <w:r w:rsidR="002D1A78">
        <w:rPr>
          <w:rFonts w:cs="Arial"/>
          <w:sz w:val="22"/>
          <w:szCs w:val="22"/>
        </w:rPr>
        <w:t xml:space="preserve"> </w:t>
      </w:r>
      <w:r w:rsidR="00013084" w:rsidRPr="007565EC">
        <w:rPr>
          <w:rFonts w:cs="Arial"/>
          <w:sz w:val="22"/>
          <w:szCs w:val="22"/>
        </w:rPr>
        <w:t>905-468-3861</w:t>
      </w:r>
    </w:p>
    <w:p w14:paraId="23093A0F" w14:textId="77777777" w:rsidR="001B3A51" w:rsidRPr="007565EC" w:rsidRDefault="001B3A51" w:rsidP="001E7449">
      <w:pPr>
        <w:pStyle w:val="NoSpacing"/>
        <w:spacing w:line="360" w:lineRule="auto"/>
        <w:rPr>
          <w:rFonts w:cs="Arial"/>
          <w:sz w:val="22"/>
          <w:szCs w:val="22"/>
        </w:rPr>
      </w:pPr>
      <w:r w:rsidRPr="007565EC">
        <w:rPr>
          <w:rFonts w:cs="Arial"/>
          <w:sz w:val="22"/>
          <w:szCs w:val="22"/>
        </w:rPr>
        <w:tab/>
      </w:r>
    </w:p>
    <w:p w14:paraId="34050D51" w14:textId="4DF61E0B" w:rsidR="001B3A51" w:rsidRPr="007565EC" w:rsidRDefault="001B3A51" w:rsidP="001E7449">
      <w:pPr>
        <w:pStyle w:val="NoSpacing"/>
        <w:spacing w:line="360" w:lineRule="auto"/>
        <w:rPr>
          <w:rFonts w:cs="Arial"/>
          <w:sz w:val="22"/>
          <w:szCs w:val="22"/>
        </w:rPr>
      </w:pPr>
      <w:r w:rsidRPr="007565EC">
        <w:rPr>
          <w:rFonts w:cs="Arial"/>
          <w:sz w:val="22"/>
          <w:szCs w:val="22"/>
        </w:rPr>
        <w:t>Applicants Counsel</w:t>
      </w:r>
      <w:r w:rsidR="0059097B">
        <w:rPr>
          <w:rFonts w:cs="Arial"/>
          <w:sz w:val="22"/>
          <w:szCs w:val="22"/>
        </w:rPr>
        <w:t>:</w:t>
      </w:r>
      <w:r w:rsidR="0059097B">
        <w:rPr>
          <w:rFonts w:cs="Arial"/>
          <w:sz w:val="22"/>
          <w:szCs w:val="22"/>
        </w:rPr>
        <w:tab/>
      </w:r>
      <w:r w:rsidR="0059097B">
        <w:rPr>
          <w:rFonts w:cs="Arial"/>
          <w:sz w:val="22"/>
          <w:szCs w:val="22"/>
        </w:rPr>
        <w:tab/>
      </w:r>
      <w:r w:rsidR="0059097B">
        <w:rPr>
          <w:rFonts w:cs="Arial"/>
          <w:sz w:val="22"/>
          <w:szCs w:val="22"/>
        </w:rPr>
        <w:tab/>
      </w:r>
      <w:r w:rsidR="00E23541">
        <w:rPr>
          <w:rFonts w:cs="Arial"/>
          <w:sz w:val="22"/>
          <w:szCs w:val="22"/>
        </w:rPr>
        <w:t>Jonathan Myers, Torys LL</w:t>
      </w:r>
      <w:r w:rsidR="009668BF">
        <w:rPr>
          <w:rFonts w:cs="Arial"/>
          <w:sz w:val="22"/>
          <w:szCs w:val="22"/>
        </w:rPr>
        <w:t>P</w:t>
      </w:r>
    </w:p>
    <w:p w14:paraId="40DCBB49" w14:textId="04109CA9" w:rsidR="001B3A51" w:rsidRPr="007565EC" w:rsidRDefault="001B3A51" w:rsidP="001E7449">
      <w:pPr>
        <w:pStyle w:val="NoSpacing"/>
        <w:spacing w:line="360" w:lineRule="auto"/>
        <w:rPr>
          <w:rFonts w:cs="Arial"/>
          <w:sz w:val="22"/>
          <w:szCs w:val="22"/>
        </w:rPr>
      </w:pP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t xml:space="preserve">Email: </w:t>
      </w:r>
      <w:r w:rsidR="00E23541">
        <w:rPr>
          <w:rFonts w:cs="Arial"/>
          <w:sz w:val="22"/>
          <w:szCs w:val="22"/>
        </w:rPr>
        <w:t>Jmyers@torys.com</w:t>
      </w:r>
    </w:p>
    <w:p w14:paraId="6F09B7B5" w14:textId="658DD68B" w:rsidR="001B3A51" w:rsidRPr="007565EC" w:rsidRDefault="001B3A51" w:rsidP="001E7449">
      <w:pPr>
        <w:pStyle w:val="NoSpacing"/>
        <w:spacing w:line="360" w:lineRule="auto"/>
        <w:rPr>
          <w:rFonts w:cs="Arial"/>
          <w:sz w:val="22"/>
          <w:szCs w:val="22"/>
        </w:rPr>
      </w:pP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Pr="007565EC">
        <w:rPr>
          <w:rFonts w:cs="Arial"/>
          <w:sz w:val="22"/>
          <w:szCs w:val="22"/>
        </w:rPr>
        <w:tab/>
      </w:r>
      <w:r w:rsidR="0059097B">
        <w:rPr>
          <w:rFonts w:cs="Arial"/>
          <w:sz w:val="22"/>
          <w:szCs w:val="22"/>
        </w:rPr>
        <w:t>Phone:</w:t>
      </w:r>
      <w:r w:rsidR="002D1A78">
        <w:rPr>
          <w:rFonts w:cs="Arial"/>
          <w:sz w:val="22"/>
          <w:szCs w:val="22"/>
        </w:rPr>
        <w:t xml:space="preserve"> </w:t>
      </w:r>
      <w:r w:rsidR="0059097B">
        <w:rPr>
          <w:rFonts w:cs="Arial"/>
          <w:sz w:val="22"/>
          <w:szCs w:val="22"/>
        </w:rPr>
        <w:t>416-865-7</w:t>
      </w:r>
      <w:r w:rsidR="00E23541">
        <w:rPr>
          <w:rFonts w:cs="Arial"/>
          <w:sz w:val="22"/>
          <w:szCs w:val="22"/>
        </w:rPr>
        <w:t>532</w:t>
      </w:r>
    </w:p>
    <w:p w14:paraId="62D992F0" w14:textId="77777777" w:rsidR="001B3A51" w:rsidRPr="007565EC" w:rsidRDefault="001B3A51" w:rsidP="001E7449">
      <w:pPr>
        <w:pStyle w:val="NoSpacing"/>
        <w:spacing w:line="360" w:lineRule="auto"/>
        <w:rPr>
          <w:rFonts w:cs="Arial"/>
        </w:rPr>
      </w:pPr>
    </w:p>
    <w:p w14:paraId="4FE6E883" w14:textId="5582E2C6" w:rsidR="001B3A51" w:rsidRPr="007565EC" w:rsidRDefault="00BE0469" w:rsidP="00C23572">
      <w:pPr>
        <w:pStyle w:val="Heading2"/>
      </w:pPr>
      <w:bookmarkStart w:id="7" w:name="_Toc102399165"/>
      <w:r>
        <w:t>3</w:t>
      </w:r>
      <w:r w:rsidR="00F36F91">
        <w:t xml:space="preserve">.2 </w:t>
      </w:r>
      <w:r w:rsidR="001B3A51" w:rsidRPr="007565EC">
        <w:t>Internet Address</w:t>
      </w:r>
      <w:r w:rsidR="00990401" w:rsidRPr="007565EC">
        <w:t xml:space="preserve"> and </w:t>
      </w:r>
      <w:r w:rsidR="00AB4939" w:rsidRPr="007565EC">
        <w:t>Social Media Accounts</w:t>
      </w:r>
      <w:bookmarkEnd w:id="7"/>
    </w:p>
    <w:p w14:paraId="6872D5EF" w14:textId="77777777" w:rsidR="001B3A51" w:rsidRPr="007565EC" w:rsidRDefault="001B3A51" w:rsidP="001E7449">
      <w:pPr>
        <w:rPr>
          <w:rFonts w:cs="Arial"/>
        </w:rPr>
      </w:pPr>
      <w:r w:rsidRPr="007565EC">
        <w:rPr>
          <w:rFonts w:cs="Arial"/>
        </w:rPr>
        <w:br/>
        <w:t xml:space="preserve">The Applicant’s website address is </w:t>
      </w:r>
      <w:hyperlink r:id="rId10" w:history="1">
        <w:r w:rsidR="00013084" w:rsidRPr="007565EC">
          <w:rPr>
            <w:rStyle w:val="Hyperlink"/>
            <w:rFonts w:cs="Arial"/>
          </w:rPr>
          <w:t>www.notlhydro.com</w:t>
        </w:r>
      </w:hyperlink>
      <w:r w:rsidR="00013084" w:rsidRPr="007565EC">
        <w:rPr>
          <w:rFonts w:cs="Arial"/>
        </w:rPr>
        <w:t xml:space="preserve"> </w:t>
      </w:r>
    </w:p>
    <w:p w14:paraId="188624B1" w14:textId="77777777" w:rsidR="00990401" w:rsidRPr="007565EC" w:rsidRDefault="00990401" w:rsidP="001E7449">
      <w:pPr>
        <w:rPr>
          <w:rFonts w:cs="Arial"/>
        </w:rPr>
      </w:pPr>
      <w:r w:rsidRPr="007565EC">
        <w:rPr>
          <w:rFonts w:cs="Arial"/>
        </w:rPr>
        <w:t>Twitter:</w:t>
      </w:r>
      <w:r w:rsidR="002D1A78">
        <w:rPr>
          <w:rFonts w:cs="Arial"/>
        </w:rPr>
        <w:t xml:space="preserve"> </w:t>
      </w:r>
      <w:r w:rsidRPr="007565EC">
        <w:rPr>
          <w:rFonts w:cs="Arial"/>
        </w:rPr>
        <w:tab/>
        <w:t>@notlhydro</w:t>
      </w:r>
      <w:r w:rsidR="004C3ADC">
        <w:rPr>
          <w:rFonts w:cs="Arial"/>
        </w:rPr>
        <w:t xml:space="preserve"> - </w:t>
      </w:r>
      <w:hyperlink r:id="rId11" w:history="1">
        <w:r w:rsidR="004C3ADC" w:rsidRPr="00082520">
          <w:rPr>
            <w:rStyle w:val="Hyperlink"/>
            <w:rFonts w:cs="Arial"/>
          </w:rPr>
          <w:t>https://twitter.com/notlhydro</w:t>
        </w:r>
      </w:hyperlink>
      <w:r w:rsidR="004C3ADC">
        <w:rPr>
          <w:rFonts w:cs="Arial"/>
        </w:rPr>
        <w:t xml:space="preserve"> </w:t>
      </w:r>
    </w:p>
    <w:p w14:paraId="6D3A5F3B" w14:textId="77777777" w:rsidR="00990401" w:rsidRPr="007565EC" w:rsidRDefault="00990401" w:rsidP="001E7449">
      <w:pPr>
        <w:rPr>
          <w:rFonts w:cs="Arial"/>
        </w:rPr>
      </w:pPr>
      <w:r w:rsidRPr="007565EC">
        <w:rPr>
          <w:rFonts w:cs="Arial"/>
        </w:rPr>
        <w:t>Facebook:</w:t>
      </w:r>
      <w:r w:rsidRPr="007565EC">
        <w:rPr>
          <w:rFonts w:cs="Arial"/>
        </w:rPr>
        <w:tab/>
      </w:r>
      <w:hyperlink r:id="rId12" w:history="1">
        <w:r w:rsidR="004C3ADC" w:rsidRPr="00082520">
          <w:rPr>
            <w:rStyle w:val="Hyperlink"/>
            <w:rFonts w:cs="Arial"/>
          </w:rPr>
          <w:t>https://www.facebook.com/NOTLhydro/</w:t>
        </w:r>
      </w:hyperlink>
      <w:r w:rsidR="004C3ADC">
        <w:rPr>
          <w:rFonts w:cs="Arial"/>
        </w:rPr>
        <w:t xml:space="preserve"> </w:t>
      </w:r>
    </w:p>
    <w:p w14:paraId="73645ED4" w14:textId="77777777" w:rsidR="00990401" w:rsidRPr="007565EC" w:rsidRDefault="00990401" w:rsidP="001E7449">
      <w:pPr>
        <w:rPr>
          <w:rFonts w:cs="Arial"/>
        </w:rPr>
      </w:pPr>
      <w:r w:rsidRPr="007565EC">
        <w:rPr>
          <w:rFonts w:cs="Arial"/>
        </w:rPr>
        <w:t>LinkedIn:</w:t>
      </w:r>
      <w:r w:rsidRPr="007565EC">
        <w:rPr>
          <w:rFonts w:cs="Arial"/>
        </w:rPr>
        <w:tab/>
      </w:r>
      <w:hyperlink r:id="rId13" w:history="1">
        <w:r w:rsidR="004C3ADC" w:rsidRPr="00082520">
          <w:rPr>
            <w:rStyle w:val="Hyperlink"/>
            <w:rFonts w:cs="Arial"/>
          </w:rPr>
          <w:t>https://www.linkedin.com/company/niagara-on-the-lake-hydro/</w:t>
        </w:r>
      </w:hyperlink>
      <w:r w:rsidR="004C3ADC">
        <w:rPr>
          <w:rFonts w:cs="Arial"/>
        </w:rPr>
        <w:t xml:space="preserve"> </w:t>
      </w:r>
    </w:p>
    <w:p w14:paraId="6C96E9B8" w14:textId="77777777" w:rsidR="004C3ADC" w:rsidRDefault="004C3ADC">
      <w:pPr>
        <w:spacing w:line="259" w:lineRule="auto"/>
        <w:rPr>
          <w:rFonts w:eastAsiaTheme="minorEastAsia" w:cs="Arial"/>
          <w:b/>
          <w:color w:val="000000" w:themeColor="text1"/>
          <w:spacing w:val="15"/>
          <w:sz w:val="26"/>
          <w:lang w:val="en-US" w:bidi="en-US"/>
        </w:rPr>
      </w:pPr>
      <w:r>
        <w:rPr>
          <w:rFonts w:cs="Arial"/>
        </w:rPr>
        <w:br w:type="page"/>
      </w:r>
    </w:p>
    <w:p w14:paraId="749117AD" w14:textId="0913E0FE" w:rsidR="001B3A51" w:rsidRPr="007565EC" w:rsidRDefault="00BE0469" w:rsidP="00C23572">
      <w:pPr>
        <w:pStyle w:val="Heading2"/>
      </w:pPr>
      <w:bookmarkStart w:id="8" w:name="_Toc102399166"/>
      <w:r>
        <w:lastRenderedPageBreak/>
        <w:t>3</w:t>
      </w:r>
      <w:r w:rsidR="00F36F91">
        <w:t xml:space="preserve">.3 </w:t>
      </w:r>
      <w:r w:rsidR="001B3A51" w:rsidRPr="007565EC">
        <w:t>Statement of Publication</w:t>
      </w:r>
      <w:bookmarkEnd w:id="8"/>
      <w:r w:rsidR="000043F7">
        <w:t xml:space="preserve"> </w:t>
      </w:r>
    </w:p>
    <w:p w14:paraId="7D462DF9" w14:textId="40747B70" w:rsidR="001B3A51" w:rsidRDefault="001B3A51" w:rsidP="001E591B">
      <w:pPr>
        <w:jc w:val="both"/>
        <w:rPr>
          <w:rFonts w:cs="Arial"/>
        </w:rPr>
      </w:pPr>
      <w:r w:rsidRPr="007565EC">
        <w:rPr>
          <w:rFonts w:cs="Arial"/>
        </w:rPr>
        <w:br/>
      </w:r>
      <w:r w:rsidR="00BE0469">
        <w:rPr>
          <w:rFonts w:cs="Arial"/>
        </w:rPr>
        <w:t xml:space="preserve">The only </w:t>
      </w:r>
      <w:r w:rsidR="00013084" w:rsidRPr="007565EC">
        <w:rPr>
          <w:rFonts w:cs="Arial"/>
        </w:rPr>
        <w:t>NOTL Hydro</w:t>
      </w:r>
      <w:r w:rsidRPr="007565EC">
        <w:rPr>
          <w:rFonts w:cs="Arial"/>
        </w:rPr>
        <w:t xml:space="preserve"> customer </w:t>
      </w:r>
      <w:r w:rsidR="00BE0469">
        <w:rPr>
          <w:rFonts w:cs="Arial"/>
        </w:rPr>
        <w:t>to</w:t>
      </w:r>
      <w:r w:rsidRPr="007565EC">
        <w:rPr>
          <w:rFonts w:cs="Arial"/>
        </w:rPr>
        <w:t xml:space="preserve"> be </w:t>
      </w:r>
      <w:r w:rsidR="00BE0469">
        <w:rPr>
          <w:rFonts w:cs="Arial"/>
        </w:rPr>
        <w:t xml:space="preserve">directly </w:t>
      </w:r>
      <w:r w:rsidRPr="007565EC">
        <w:rPr>
          <w:rFonts w:cs="Arial"/>
        </w:rPr>
        <w:t>affected by this application</w:t>
      </w:r>
      <w:r w:rsidR="00BE0469">
        <w:rPr>
          <w:rFonts w:cs="Arial"/>
        </w:rPr>
        <w:t xml:space="preserve"> is the potential new large customers</w:t>
      </w:r>
      <w:r w:rsidRPr="007565EC">
        <w:rPr>
          <w:rFonts w:cs="Arial"/>
        </w:rPr>
        <w:t>.</w:t>
      </w:r>
      <w:r w:rsidR="00BE0469">
        <w:rPr>
          <w:rFonts w:cs="Arial"/>
        </w:rPr>
        <w:t xml:space="preserve">  This customer has been made aware that this application is being made.</w:t>
      </w:r>
    </w:p>
    <w:p w14:paraId="4FB049E2" w14:textId="18A49BD5" w:rsidR="00BE0469" w:rsidRPr="007565EC" w:rsidRDefault="00BE0469" w:rsidP="001E591B">
      <w:pPr>
        <w:jc w:val="both"/>
        <w:rPr>
          <w:rFonts w:cs="Arial"/>
        </w:rPr>
      </w:pPr>
      <w:r>
        <w:rPr>
          <w:rFonts w:cs="Arial"/>
        </w:rPr>
        <w:t xml:space="preserve">All NOTL Hydro customers are indirectly affected by this application due to the </w:t>
      </w:r>
      <w:r w:rsidR="00E23541">
        <w:rPr>
          <w:rFonts w:cs="Arial"/>
        </w:rPr>
        <w:t>treatment of varian</w:t>
      </w:r>
      <w:r w:rsidR="003D46CF">
        <w:rPr>
          <w:rFonts w:cs="Arial"/>
        </w:rPr>
        <w:t>ce</w:t>
      </w:r>
      <w:r w:rsidR="00E23541">
        <w:rPr>
          <w:rFonts w:cs="Arial"/>
        </w:rPr>
        <w:t xml:space="preserve"> accounts.</w:t>
      </w:r>
    </w:p>
    <w:p w14:paraId="5CC051FE" w14:textId="058E3D5C" w:rsidR="00370D84" w:rsidRPr="00E23541" w:rsidRDefault="001B3A51" w:rsidP="00E23541">
      <w:pPr>
        <w:jc w:val="both"/>
        <w:rPr>
          <w:rFonts w:cs="Arial"/>
        </w:rPr>
      </w:pPr>
      <w:r w:rsidRPr="007565EC">
        <w:rPr>
          <w:rFonts w:cs="Arial"/>
        </w:rPr>
        <w:t xml:space="preserve">Upon receiving the Letter of Direction and the Notice of Application and Hearing from the Board, </w:t>
      </w:r>
      <w:r w:rsidR="00E23541">
        <w:rPr>
          <w:rFonts w:cs="Arial"/>
        </w:rPr>
        <w:t>NOTL Hydro will forward them to the potential large customer.  NOTL Hydro is not proposing to publish the Notice of Application in any newspapers due to its limited direct impact.</w:t>
      </w:r>
    </w:p>
    <w:p w14:paraId="5916692B" w14:textId="5C9FC791" w:rsidR="001B3A51" w:rsidRDefault="001B3A51" w:rsidP="000043F7">
      <w:pPr>
        <w:spacing w:after="0"/>
        <w:jc w:val="both"/>
        <w:rPr>
          <w:rFonts w:cs="Arial"/>
        </w:rPr>
      </w:pPr>
      <w:r w:rsidRPr="007565EC">
        <w:rPr>
          <w:rFonts w:cs="Arial"/>
        </w:rPr>
        <w:t xml:space="preserve">This application and all documents related to this application will be made available on </w:t>
      </w:r>
      <w:r w:rsidR="00016D09" w:rsidRPr="007565EC">
        <w:rPr>
          <w:rFonts w:cs="Arial"/>
        </w:rPr>
        <w:t xml:space="preserve">NOTL </w:t>
      </w:r>
      <w:r w:rsidR="004E06F0">
        <w:rPr>
          <w:rFonts w:cs="Arial"/>
        </w:rPr>
        <w:t>Hydro</w:t>
      </w:r>
      <w:r w:rsidRPr="007565EC">
        <w:rPr>
          <w:rFonts w:cs="Arial"/>
        </w:rPr>
        <w:t xml:space="preserve">’s website at: </w:t>
      </w:r>
      <w:hyperlink r:id="rId14" w:history="1">
        <w:r w:rsidR="00013084" w:rsidRPr="007565EC">
          <w:rPr>
            <w:rStyle w:val="Hyperlink"/>
            <w:rFonts w:cs="Arial"/>
          </w:rPr>
          <w:t>www.notlhydro.com</w:t>
        </w:r>
      </w:hyperlink>
      <w:r w:rsidR="00013084" w:rsidRPr="007565EC">
        <w:rPr>
          <w:rFonts w:cs="Arial"/>
        </w:rPr>
        <w:t>.</w:t>
      </w:r>
      <w:r w:rsidR="002D1A78">
        <w:rPr>
          <w:rFonts w:cs="Arial"/>
        </w:rPr>
        <w:t xml:space="preserve"> </w:t>
      </w:r>
      <w:r w:rsidRPr="007565EC">
        <w:rPr>
          <w:rFonts w:cs="Arial"/>
        </w:rPr>
        <w:t xml:space="preserve">The application will also be available on the OEB’s website at </w:t>
      </w:r>
      <w:hyperlink r:id="rId15" w:history="1">
        <w:r w:rsidRPr="007565EC">
          <w:rPr>
            <w:rStyle w:val="Hyperlink"/>
            <w:rFonts w:cs="Arial"/>
          </w:rPr>
          <w:t>www.ontarioenergyboard.ca</w:t>
        </w:r>
      </w:hyperlink>
      <w:r w:rsidRPr="007565EC">
        <w:rPr>
          <w:rFonts w:cs="Arial"/>
        </w:rPr>
        <w:t>,</w:t>
      </w:r>
      <w:r w:rsidR="00013084" w:rsidRPr="007565EC">
        <w:rPr>
          <w:rFonts w:cs="Arial"/>
        </w:rPr>
        <w:t xml:space="preserve"> under Board File Number </w:t>
      </w:r>
      <w:r w:rsidR="00671A53" w:rsidRPr="007565EC">
        <w:rPr>
          <w:rFonts w:cs="Arial"/>
        </w:rPr>
        <w:t>EB-20</w:t>
      </w:r>
      <w:r w:rsidR="00BE0469">
        <w:rPr>
          <w:rFonts w:cs="Arial"/>
        </w:rPr>
        <w:t>22</w:t>
      </w:r>
      <w:r w:rsidR="00671A53" w:rsidRPr="007565EC">
        <w:rPr>
          <w:rFonts w:cs="Arial"/>
        </w:rPr>
        <w:t>-0</w:t>
      </w:r>
      <w:r w:rsidR="00BE0469">
        <w:rPr>
          <w:rFonts w:cs="Arial"/>
        </w:rPr>
        <w:t>158</w:t>
      </w:r>
      <w:r w:rsidRPr="007565EC">
        <w:rPr>
          <w:rFonts w:cs="Arial"/>
        </w:rPr>
        <w:t>.</w:t>
      </w:r>
    </w:p>
    <w:p w14:paraId="4BCD860A" w14:textId="77777777" w:rsidR="000043F7" w:rsidRPr="007565EC" w:rsidRDefault="000043F7" w:rsidP="000043F7">
      <w:pPr>
        <w:spacing w:after="0"/>
        <w:jc w:val="both"/>
        <w:rPr>
          <w:rFonts w:cs="Arial"/>
        </w:rPr>
      </w:pPr>
    </w:p>
    <w:p w14:paraId="4028D84D" w14:textId="609A4CD0" w:rsidR="000043F7" w:rsidRPr="000043F7" w:rsidRDefault="000043F7">
      <w:pPr>
        <w:spacing w:line="259" w:lineRule="auto"/>
      </w:pPr>
      <w:r>
        <w:br w:type="page"/>
      </w:r>
    </w:p>
    <w:p w14:paraId="79FEE34D" w14:textId="359EDD2B" w:rsidR="001B3A51" w:rsidRPr="00420118" w:rsidRDefault="00F36F91" w:rsidP="00420118">
      <w:pPr>
        <w:pStyle w:val="Heading1"/>
        <w:rPr>
          <w:rFonts w:cs="Arial"/>
        </w:rPr>
      </w:pPr>
      <w:bookmarkStart w:id="9" w:name="_Toc102399167"/>
      <w:r w:rsidRPr="00420118">
        <w:rPr>
          <w:rFonts w:cs="Arial"/>
        </w:rPr>
        <w:lastRenderedPageBreak/>
        <w:t>4</w:t>
      </w:r>
      <w:r w:rsidR="00420118">
        <w:rPr>
          <w:rFonts w:cs="Arial"/>
        </w:rPr>
        <w:t>.</w:t>
      </w:r>
      <w:r w:rsidRPr="00420118">
        <w:rPr>
          <w:rFonts w:cs="Arial"/>
        </w:rPr>
        <w:t xml:space="preserve"> </w:t>
      </w:r>
      <w:r w:rsidR="001B3A51" w:rsidRPr="00420118">
        <w:rPr>
          <w:rFonts w:cs="Arial"/>
        </w:rPr>
        <w:t>Legal Application</w:t>
      </w:r>
      <w:bookmarkEnd w:id="9"/>
    </w:p>
    <w:p w14:paraId="4262FF4D" w14:textId="77777777" w:rsidR="006B12FA" w:rsidRDefault="001B3A51" w:rsidP="006B12FA">
      <w:pPr>
        <w:ind w:left="1701" w:right="2130"/>
        <w:jc w:val="both"/>
        <w:rPr>
          <w:rFonts w:cs="Arial"/>
          <w:b/>
        </w:rPr>
      </w:pPr>
      <w:r w:rsidRPr="007565EC">
        <w:rPr>
          <w:rFonts w:cs="Arial"/>
        </w:rPr>
        <w:br/>
      </w:r>
      <w:r w:rsidR="006B12FA" w:rsidRPr="00984C84">
        <w:rPr>
          <w:rFonts w:cs="Arial"/>
        </w:rPr>
        <w:br/>
      </w:r>
      <w:r w:rsidR="006B12FA">
        <w:rPr>
          <w:rFonts w:cs="Arial"/>
          <w:b/>
        </w:rPr>
        <w:t>IN THE MATTER OF</w:t>
      </w:r>
      <w:r w:rsidR="006B12FA" w:rsidRPr="00984C84">
        <w:rPr>
          <w:rFonts w:cs="Arial"/>
          <w:b/>
        </w:rPr>
        <w:t xml:space="preserve"> THE </w:t>
      </w:r>
      <w:r w:rsidR="006B12FA" w:rsidRPr="00984C84">
        <w:rPr>
          <w:rFonts w:cs="Arial"/>
          <w:i/>
        </w:rPr>
        <w:t>Ontario Energy Board Act, 1998</w:t>
      </w:r>
      <w:r w:rsidR="006B12FA" w:rsidRPr="00984C84">
        <w:rPr>
          <w:rFonts w:cs="Arial"/>
        </w:rPr>
        <w:t xml:space="preserve">; S.O. 1998, c.15, Schedule B, as amended; </w:t>
      </w:r>
    </w:p>
    <w:p w14:paraId="6AE91066" w14:textId="77777777" w:rsidR="006B12FA" w:rsidRDefault="006B12FA" w:rsidP="006B12FA">
      <w:pPr>
        <w:ind w:left="1701" w:right="2130"/>
        <w:jc w:val="both"/>
        <w:rPr>
          <w:rFonts w:cs="Arial"/>
          <w:b/>
        </w:rPr>
      </w:pPr>
    </w:p>
    <w:p w14:paraId="0A271AAF" w14:textId="4FF297D5" w:rsidR="006B12FA" w:rsidRPr="00984C84" w:rsidRDefault="006B12FA" w:rsidP="006B12FA">
      <w:pPr>
        <w:ind w:left="1701" w:right="2130"/>
        <w:jc w:val="both"/>
        <w:rPr>
          <w:rFonts w:cs="Arial"/>
          <w:b/>
        </w:rPr>
      </w:pPr>
      <w:r>
        <w:rPr>
          <w:rFonts w:cs="Arial"/>
          <w:b/>
        </w:rPr>
        <w:t>AND IN THE MATTER OF</w:t>
      </w:r>
      <w:r w:rsidRPr="00984C84">
        <w:rPr>
          <w:rFonts w:cs="Arial"/>
          <w:b/>
        </w:rPr>
        <w:t xml:space="preserve"> </w:t>
      </w:r>
      <w:r w:rsidRPr="00984C84">
        <w:rPr>
          <w:rFonts w:cs="Arial"/>
        </w:rPr>
        <w:t xml:space="preserve">an Application by Niagara-on-the-Lake Hydro Inc. for an Order or Orders </w:t>
      </w:r>
      <w:r w:rsidR="009668BF">
        <w:rPr>
          <w:rFonts w:cs="Arial"/>
        </w:rPr>
        <w:t xml:space="preserve">under section 78 of the OEB Act effective </w:t>
      </w:r>
      <w:r w:rsidR="004A50AA">
        <w:rPr>
          <w:rFonts w:cs="Arial"/>
        </w:rPr>
        <w:t>July 1, 2022</w:t>
      </w:r>
      <w:r w:rsidRPr="00984C84">
        <w:rPr>
          <w:rFonts w:cs="Arial"/>
        </w:rPr>
        <w:t>.</w:t>
      </w:r>
    </w:p>
    <w:p w14:paraId="19376858" w14:textId="77777777" w:rsidR="006B12FA" w:rsidRPr="00984C84" w:rsidRDefault="006B12FA" w:rsidP="006B12FA">
      <w:pPr>
        <w:ind w:left="1701" w:right="2130"/>
        <w:jc w:val="both"/>
        <w:rPr>
          <w:rFonts w:cs="Arial"/>
          <w:b/>
        </w:rPr>
      </w:pPr>
    </w:p>
    <w:p w14:paraId="7DAAB75B" w14:textId="77777777" w:rsidR="006B12FA" w:rsidRPr="006B12FA" w:rsidRDefault="006B12FA" w:rsidP="006B12FA">
      <w:pPr>
        <w:jc w:val="both"/>
        <w:rPr>
          <w:rFonts w:cs="Arial"/>
        </w:rPr>
      </w:pPr>
      <w:r w:rsidRPr="006B12FA">
        <w:rPr>
          <w:rFonts w:cs="Arial"/>
        </w:rPr>
        <w:t xml:space="preserve">Niagara-on-the-Lake Hydro Inc. (“NOTL Hydro”) is a licensed distributor of electricity under distribution license ED-2002-0547 issued by the Ontario Energy Board (the “OEB” or the “Board”) under the </w:t>
      </w:r>
      <w:r w:rsidRPr="006B12FA">
        <w:rPr>
          <w:rFonts w:cs="Arial"/>
          <w:i/>
        </w:rPr>
        <w:t>Ontario Energy Board Act, 1998</w:t>
      </w:r>
      <w:r w:rsidRPr="006B12FA">
        <w:rPr>
          <w:rFonts w:cs="Arial"/>
        </w:rPr>
        <w:t xml:space="preserve"> (the “Act”). </w:t>
      </w:r>
    </w:p>
    <w:p w14:paraId="19491187" w14:textId="7B3F67C0" w:rsidR="006B12FA" w:rsidRPr="006B12FA" w:rsidRDefault="006B12FA" w:rsidP="006B12FA">
      <w:pPr>
        <w:jc w:val="both"/>
        <w:rPr>
          <w:rFonts w:cs="Arial"/>
        </w:rPr>
      </w:pPr>
      <w:r w:rsidRPr="006B12FA">
        <w:rPr>
          <w:rFonts w:cs="Arial"/>
        </w:rPr>
        <w:t xml:space="preserve">NOTL Hydro hereby applies to the Board pursuant to section 78 of the Act for an Order or Orders effective </w:t>
      </w:r>
      <w:r w:rsidR="004A50AA">
        <w:rPr>
          <w:rFonts w:cs="Arial"/>
        </w:rPr>
        <w:t>July</w:t>
      </w:r>
      <w:r w:rsidRPr="006B12FA">
        <w:rPr>
          <w:rFonts w:cs="Arial"/>
        </w:rPr>
        <w:t xml:space="preserve"> 1, 20</w:t>
      </w:r>
      <w:r w:rsidR="004A50AA">
        <w:rPr>
          <w:rFonts w:cs="Arial"/>
        </w:rPr>
        <w:t>22</w:t>
      </w:r>
      <w:r w:rsidRPr="006B12FA">
        <w:rPr>
          <w:rFonts w:cs="Arial"/>
        </w:rPr>
        <w:t>.</w:t>
      </w:r>
    </w:p>
    <w:p w14:paraId="47115254" w14:textId="704197E3" w:rsidR="006B12FA" w:rsidRPr="006B12FA" w:rsidRDefault="006B12FA" w:rsidP="002D1A78">
      <w:pPr>
        <w:pStyle w:val="ListParagraph"/>
        <w:contextualSpacing w:val="0"/>
        <w:jc w:val="both"/>
        <w:rPr>
          <w:szCs w:val="22"/>
        </w:rPr>
      </w:pPr>
      <w:r w:rsidRPr="006B12FA">
        <w:rPr>
          <w:szCs w:val="22"/>
        </w:rPr>
        <w:t xml:space="preserve">An Order </w:t>
      </w:r>
      <w:r w:rsidR="00474808">
        <w:rPr>
          <w:szCs w:val="22"/>
        </w:rPr>
        <w:t xml:space="preserve">amending </w:t>
      </w:r>
      <w:r w:rsidR="009055B7">
        <w:rPr>
          <w:szCs w:val="22"/>
        </w:rPr>
        <w:t xml:space="preserve">NOTL Hydro’s </w:t>
      </w:r>
      <w:r w:rsidR="009055B7">
        <w:rPr>
          <w:rFonts w:cs="Arial"/>
        </w:rPr>
        <w:t>Large Use Service Classification Retail Transmission rates</w:t>
      </w:r>
      <w:r w:rsidRPr="006B12FA">
        <w:rPr>
          <w:szCs w:val="22"/>
        </w:rPr>
        <w:t>;</w:t>
      </w:r>
    </w:p>
    <w:p w14:paraId="7E9043DE" w14:textId="16294370" w:rsidR="006B12FA" w:rsidRPr="006B12FA" w:rsidRDefault="006B12FA" w:rsidP="006B12FA">
      <w:pPr>
        <w:pStyle w:val="ListParagraph"/>
        <w:contextualSpacing w:val="0"/>
        <w:jc w:val="both"/>
        <w:rPr>
          <w:rFonts w:cs="Arial"/>
          <w:szCs w:val="22"/>
        </w:rPr>
      </w:pPr>
      <w:r w:rsidRPr="006B12FA">
        <w:rPr>
          <w:rFonts w:cs="Arial"/>
          <w:szCs w:val="22"/>
        </w:rPr>
        <w:t>An Order</w:t>
      </w:r>
      <w:r w:rsidR="00C259D8">
        <w:rPr>
          <w:rFonts w:cs="Arial"/>
          <w:szCs w:val="22"/>
        </w:rPr>
        <w:t xml:space="preserve"> amending the Specified Customer Revenue Variance Account to </w:t>
      </w:r>
      <w:r w:rsidR="00723EC1">
        <w:rPr>
          <w:rFonts w:cs="Arial"/>
          <w:szCs w:val="22"/>
        </w:rPr>
        <w:t>a general</w:t>
      </w:r>
      <w:r w:rsidR="00723EC1" w:rsidRPr="00723EC1">
        <w:rPr>
          <w:rFonts w:cs="Arial"/>
        </w:rPr>
        <w:t xml:space="preserve"> </w:t>
      </w:r>
      <w:r w:rsidR="00723EC1" w:rsidRPr="009055B7">
        <w:rPr>
          <w:rFonts w:cs="Arial"/>
        </w:rPr>
        <w:t>Large Use Customer Revenue Variance Account</w:t>
      </w:r>
      <w:r w:rsidR="00723EC1">
        <w:rPr>
          <w:rFonts w:cs="Arial"/>
        </w:rPr>
        <w:t>;</w:t>
      </w:r>
    </w:p>
    <w:p w14:paraId="591E6B34" w14:textId="77777777" w:rsidR="009055B7" w:rsidRDefault="009055B7">
      <w:pPr>
        <w:spacing w:line="259" w:lineRule="auto"/>
        <w:rPr>
          <w:rFonts w:eastAsiaTheme="minorEastAsia"/>
          <w:b/>
          <w:color w:val="000000" w:themeColor="text1"/>
          <w:spacing w:val="15"/>
          <w:sz w:val="28"/>
          <w:lang w:val="en-US" w:bidi="en-US"/>
        </w:rPr>
      </w:pPr>
      <w:r>
        <w:br w:type="page"/>
      </w:r>
    </w:p>
    <w:p w14:paraId="34A40BDD" w14:textId="3322F394" w:rsidR="001B3A51" w:rsidRPr="00420118" w:rsidRDefault="00F36F91" w:rsidP="00420118">
      <w:pPr>
        <w:pStyle w:val="Heading1"/>
        <w:rPr>
          <w:rFonts w:cs="Arial"/>
        </w:rPr>
      </w:pPr>
      <w:bookmarkStart w:id="10" w:name="_Toc102399168"/>
      <w:r w:rsidRPr="00420118">
        <w:rPr>
          <w:rFonts w:cs="Arial"/>
        </w:rPr>
        <w:lastRenderedPageBreak/>
        <w:t>5</w:t>
      </w:r>
      <w:r w:rsidR="00420118">
        <w:rPr>
          <w:rFonts w:cs="Arial"/>
        </w:rPr>
        <w:t>.</w:t>
      </w:r>
      <w:r w:rsidRPr="00420118">
        <w:rPr>
          <w:rFonts w:cs="Arial"/>
        </w:rPr>
        <w:t xml:space="preserve"> </w:t>
      </w:r>
      <w:r w:rsidR="004A50AA" w:rsidRPr="00420118">
        <w:rPr>
          <w:rFonts w:cs="Arial"/>
        </w:rPr>
        <w:t>Retail Transmission Rates</w:t>
      </w:r>
      <w:bookmarkEnd w:id="10"/>
    </w:p>
    <w:p w14:paraId="1467EC56" w14:textId="4B39820B" w:rsidR="00BF783F" w:rsidRDefault="00BF783F" w:rsidP="00BF783F">
      <w:pPr>
        <w:spacing w:after="0"/>
        <w:jc w:val="both"/>
        <w:rPr>
          <w:rFonts w:cs="Arial"/>
        </w:rPr>
      </w:pPr>
      <w:r>
        <w:rPr>
          <w:rFonts w:cs="Arial"/>
        </w:rPr>
        <w:t>NOTL Hydro’s Large Use Service Classification Retail Transmission rates were approved on December 9, 2021 (EB-2021-0045).  They are:</w:t>
      </w:r>
    </w:p>
    <w:tbl>
      <w:tblPr>
        <w:tblStyle w:val="TableGrid"/>
        <w:tblW w:w="0" w:type="auto"/>
        <w:tblLook w:val="04A0" w:firstRow="1" w:lastRow="0" w:firstColumn="1" w:lastColumn="0" w:noHBand="0" w:noVBand="1"/>
      </w:tblPr>
      <w:tblGrid>
        <w:gridCol w:w="7015"/>
        <w:gridCol w:w="2335"/>
      </w:tblGrid>
      <w:tr w:rsidR="00BF783F" w14:paraId="5622469A" w14:textId="77777777" w:rsidTr="00BF783F">
        <w:tc>
          <w:tcPr>
            <w:tcW w:w="7015" w:type="dxa"/>
          </w:tcPr>
          <w:p w14:paraId="23BA8CBF" w14:textId="1760C812" w:rsidR="00BF783F" w:rsidRDefault="00BF783F" w:rsidP="00BF783F">
            <w:pPr>
              <w:jc w:val="both"/>
            </w:pPr>
            <w:r>
              <w:t>Network Service Rate</w:t>
            </w:r>
          </w:p>
        </w:tc>
        <w:tc>
          <w:tcPr>
            <w:tcW w:w="2335" w:type="dxa"/>
          </w:tcPr>
          <w:p w14:paraId="46B62E7D" w14:textId="3E885B14" w:rsidR="00BF783F" w:rsidRDefault="00BF783F" w:rsidP="00BF783F">
            <w:pPr>
              <w:jc w:val="both"/>
            </w:pPr>
            <w:r>
              <w:t>$/KW 3.4872</w:t>
            </w:r>
          </w:p>
        </w:tc>
      </w:tr>
      <w:tr w:rsidR="00BF783F" w14:paraId="08E7475B" w14:textId="77777777" w:rsidTr="00BF783F">
        <w:tc>
          <w:tcPr>
            <w:tcW w:w="7015" w:type="dxa"/>
          </w:tcPr>
          <w:p w14:paraId="7BFB6FF0" w14:textId="1760F548" w:rsidR="00BF783F" w:rsidRDefault="00BF783F" w:rsidP="00BF783F">
            <w:pPr>
              <w:jc w:val="both"/>
            </w:pPr>
            <w:r>
              <w:t xml:space="preserve">Line and Transformation Connection </w:t>
            </w:r>
            <w:r w:rsidR="00A31F51">
              <w:t>S</w:t>
            </w:r>
            <w:r>
              <w:t>ervice Rate</w:t>
            </w:r>
          </w:p>
        </w:tc>
        <w:tc>
          <w:tcPr>
            <w:tcW w:w="2335" w:type="dxa"/>
          </w:tcPr>
          <w:p w14:paraId="78023CE6" w14:textId="05F81982" w:rsidR="00BF783F" w:rsidRDefault="00BF783F" w:rsidP="00BF783F">
            <w:pPr>
              <w:jc w:val="both"/>
            </w:pPr>
            <w:r>
              <w:t>$/KW 0.8937</w:t>
            </w:r>
          </w:p>
        </w:tc>
      </w:tr>
    </w:tbl>
    <w:p w14:paraId="783EBD47" w14:textId="77777777" w:rsidR="00BF783F" w:rsidRDefault="00BF783F" w:rsidP="00BF783F">
      <w:pPr>
        <w:spacing w:after="0"/>
        <w:jc w:val="both"/>
        <w:rPr>
          <w:lang w:val="en-US" w:bidi="en-US"/>
        </w:rPr>
      </w:pPr>
    </w:p>
    <w:p w14:paraId="162CA4BF" w14:textId="13C113E7" w:rsidR="00774777" w:rsidRDefault="00FF444C" w:rsidP="002D1A78">
      <w:pPr>
        <w:jc w:val="both"/>
        <w:rPr>
          <w:lang w:val="en-US" w:bidi="en-US"/>
        </w:rPr>
      </w:pPr>
      <w:r w:rsidRPr="00065C5D">
        <w:rPr>
          <w:rFonts w:cs="Arial"/>
        </w:rPr>
        <w:t>Like many cryptocurrency mining operations, our customer is intending to operate on a 24/7 basis</w:t>
      </w:r>
      <w:r w:rsidR="0013285D">
        <w:rPr>
          <w:lang w:val="en-US" w:bidi="en-US"/>
        </w:rPr>
        <w:t>.</w:t>
      </w:r>
      <w:r w:rsidR="00B4414D">
        <w:rPr>
          <w:lang w:val="en-US" w:bidi="en-US"/>
        </w:rPr>
        <w:t xml:space="preserve">  There is a direct correlation between the amount of electricity used and the revenue of the cryptocurrency mining operation as the electricity drives the servers that generate the </w:t>
      </w:r>
      <w:r>
        <w:rPr>
          <w:lang w:val="en-US" w:bidi="en-US"/>
        </w:rPr>
        <w:t xml:space="preserve">cryptocurrency mining </w:t>
      </w:r>
      <w:r w:rsidR="00B4414D">
        <w:rPr>
          <w:lang w:val="en-US" w:bidi="en-US"/>
        </w:rPr>
        <w:t>revenue.  It is therefore expected that the cryptocurrency mining operation will op</w:t>
      </w:r>
      <w:r w:rsidR="008B24AC">
        <w:rPr>
          <w:lang w:val="en-US" w:bidi="en-US"/>
        </w:rPr>
        <w:t xml:space="preserve">erate close to operating capacity at most times.  This means the NOTL Hydro peaks for the purposes of calculating the Network Service Charge and the Line Connection Service </w:t>
      </w:r>
      <w:r w:rsidR="00A31F51">
        <w:rPr>
          <w:lang w:val="en-US" w:bidi="en-US"/>
        </w:rPr>
        <w:t>Charge</w:t>
      </w:r>
      <w:r w:rsidR="008B24AC">
        <w:rPr>
          <w:lang w:val="en-US" w:bidi="en-US"/>
        </w:rPr>
        <w:t xml:space="preserve"> as </w:t>
      </w:r>
      <w:r w:rsidR="00A31F51">
        <w:rPr>
          <w:lang w:val="en-US" w:bidi="en-US"/>
        </w:rPr>
        <w:t>administered</w:t>
      </w:r>
      <w:r w:rsidR="008B24AC">
        <w:rPr>
          <w:lang w:val="en-US" w:bidi="en-US"/>
        </w:rPr>
        <w:t xml:space="preserve"> by the IESO will increase by the full amount of the demand of the cryptocurrency mining operation.  The charge to NOTL Hydro will therefore increase by this level of demand </w:t>
      </w:r>
      <w:r w:rsidR="00A31F51">
        <w:rPr>
          <w:lang w:val="en-US" w:bidi="en-US"/>
        </w:rPr>
        <w:t>multiplied by the respective rates.</w:t>
      </w:r>
    </w:p>
    <w:p w14:paraId="26785A89" w14:textId="682E0571" w:rsidR="00474808" w:rsidRDefault="00474808" w:rsidP="002D1A78">
      <w:pPr>
        <w:jc w:val="both"/>
        <w:rPr>
          <w:lang w:val="en-US" w:bidi="en-US"/>
        </w:rPr>
      </w:pPr>
      <w:r>
        <w:rPr>
          <w:lang w:val="en-US" w:bidi="en-US"/>
        </w:rPr>
        <w:t>At 20 MW, the difference between the Provincial Transmission Rates and the NOTL Hydro approved rates is $39,182 per month or $470,184 annually.  This shortfall will accumulate in the NOTL Hydro variance accounts and would subsequently have to be recovered from all NOTL Hydro ratepayers.  It would also be a cash shortfall for NOTL Hydro with the resulting interest costs.</w:t>
      </w:r>
      <w:r w:rsidR="00FF444C">
        <w:rPr>
          <w:lang w:val="en-US" w:bidi="en-US"/>
        </w:rPr>
        <w:t xml:space="preserve">  NOTL Hydro does not consider this equitable</w:t>
      </w:r>
      <w:r w:rsidR="00C77094">
        <w:rPr>
          <w:lang w:val="en-US" w:bidi="en-US"/>
        </w:rPr>
        <w:t xml:space="preserve"> or good planning</w:t>
      </w:r>
      <w:r w:rsidR="00FF444C">
        <w:rPr>
          <w:lang w:val="en-US" w:bidi="en-US"/>
        </w:rPr>
        <w:t>.</w:t>
      </w:r>
    </w:p>
    <w:p w14:paraId="1DB65273" w14:textId="18832DA3" w:rsidR="00A31F51" w:rsidRDefault="00A31F51" w:rsidP="002D1A78">
      <w:pPr>
        <w:jc w:val="both"/>
        <w:rPr>
          <w:rFonts w:cs="Arial"/>
        </w:rPr>
      </w:pPr>
      <w:r>
        <w:rPr>
          <w:lang w:val="en-US" w:bidi="en-US"/>
        </w:rPr>
        <w:t xml:space="preserve">NOTL Hydro is </w:t>
      </w:r>
      <w:r w:rsidR="00FF444C">
        <w:rPr>
          <w:lang w:val="en-US" w:bidi="en-US"/>
        </w:rPr>
        <w:t xml:space="preserve">therefore </w:t>
      </w:r>
      <w:r>
        <w:rPr>
          <w:lang w:val="en-US" w:bidi="en-US"/>
        </w:rPr>
        <w:t xml:space="preserve">requesting an amendment to its Large Use </w:t>
      </w:r>
      <w:r>
        <w:rPr>
          <w:rFonts w:cs="Arial"/>
        </w:rPr>
        <w:t>Service Classification Retail Transmission rates so that they match the Provincial Transmission Rates as approved by the OEB (EB-2022-0084).  The NOTL Hydro rates would become:</w:t>
      </w:r>
    </w:p>
    <w:tbl>
      <w:tblPr>
        <w:tblStyle w:val="TableGrid"/>
        <w:tblW w:w="0" w:type="auto"/>
        <w:tblLook w:val="04A0" w:firstRow="1" w:lastRow="0" w:firstColumn="1" w:lastColumn="0" w:noHBand="0" w:noVBand="1"/>
      </w:tblPr>
      <w:tblGrid>
        <w:gridCol w:w="7015"/>
        <w:gridCol w:w="2335"/>
      </w:tblGrid>
      <w:tr w:rsidR="00A31F51" w14:paraId="0D42DBCA" w14:textId="77777777" w:rsidTr="00571A07">
        <w:tc>
          <w:tcPr>
            <w:tcW w:w="7015" w:type="dxa"/>
          </w:tcPr>
          <w:p w14:paraId="55EF97E7" w14:textId="77777777" w:rsidR="00A31F51" w:rsidRDefault="00A31F51" w:rsidP="00571A07">
            <w:pPr>
              <w:jc w:val="both"/>
            </w:pPr>
            <w:r>
              <w:t>Network Service Rate</w:t>
            </w:r>
          </w:p>
        </w:tc>
        <w:tc>
          <w:tcPr>
            <w:tcW w:w="2335" w:type="dxa"/>
          </w:tcPr>
          <w:p w14:paraId="63A35D65" w14:textId="7D177169" w:rsidR="00A31F51" w:rsidRDefault="00A31F51" w:rsidP="00571A07">
            <w:pPr>
              <w:jc w:val="both"/>
            </w:pPr>
            <w:r>
              <w:t>$/KW 5.46</w:t>
            </w:r>
          </w:p>
        </w:tc>
      </w:tr>
      <w:tr w:rsidR="00A31F51" w14:paraId="456E637A" w14:textId="77777777" w:rsidTr="00571A07">
        <w:tc>
          <w:tcPr>
            <w:tcW w:w="7015" w:type="dxa"/>
          </w:tcPr>
          <w:p w14:paraId="58F67DAB" w14:textId="23567C79" w:rsidR="00A31F51" w:rsidRDefault="00A31F51" w:rsidP="00571A07">
            <w:pPr>
              <w:jc w:val="both"/>
            </w:pPr>
            <w:r>
              <w:t>Line and Transformation Connection Service Rate</w:t>
            </w:r>
          </w:p>
        </w:tc>
        <w:tc>
          <w:tcPr>
            <w:tcW w:w="2335" w:type="dxa"/>
          </w:tcPr>
          <w:p w14:paraId="033FE630" w14:textId="37543310" w:rsidR="00A31F51" w:rsidRDefault="00A31F51" w:rsidP="00571A07">
            <w:pPr>
              <w:jc w:val="both"/>
            </w:pPr>
            <w:r>
              <w:t>$/KW 0.88</w:t>
            </w:r>
          </w:p>
        </w:tc>
      </w:tr>
    </w:tbl>
    <w:p w14:paraId="27C172A0" w14:textId="38F22FF7" w:rsidR="00A31F51" w:rsidRDefault="00A31F51" w:rsidP="002D1A78">
      <w:pPr>
        <w:jc w:val="both"/>
        <w:rPr>
          <w:rFonts w:cs="Arial"/>
        </w:rPr>
      </w:pPr>
    </w:p>
    <w:p w14:paraId="52495C34" w14:textId="77777777" w:rsidR="00FF444C" w:rsidRDefault="00A31F51" w:rsidP="00474808">
      <w:pPr>
        <w:jc w:val="both"/>
        <w:rPr>
          <w:lang w:val="en-US" w:bidi="en-US"/>
        </w:rPr>
      </w:pPr>
      <w:r>
        <w:rPr>
          <w:lang w:val="en-US" w:bidi="en-US"/>
        </w:rPr>
        <w:t xml:space="preserve">NOTL Hydro is not subject to the Transformation Connection Service Rate as it owns its own transformation stations.  </w:t>
      </w:r>
      <w:r w:rsidR="00474808">
        <w:rPr>
          <w:lang w:val="en-US" w:bidi="en-US"/>
        </w:rPr>
        <w:t>This Provincial Transmission Rate has therefore not been included.</w:t>
      </w:r>
    </w:p>
    <w:p w14:paraId="1A8F1EBE" w14:textId="77777777" w:rsidR="00DD1D11" w:rsidRDefault="00DD1D11" w:rsidP="00474808">
      <w:pPr>
        <w:jc w:val="both"/>
        <w:rPr>
          <w:lang w:val="en-US" w:bidi="en-US"/>
        </w:rPr>
      </w:pPr>
      <w:r>
        <w:rPr>
          <w:lang w:val="en-US" w:bidi="en-US"/>
        </w:rPr>
        <w:lastRenderedPageBreak/>
        <w:t>The Retail Transmission rates are used solely to pay the Provincial Transmission Rates.  Any excess earnings or shortfall is subsequently cleared via the annual variance accounts.  At no point do the Retail Transmission rates have an impact on the net income of NOTL Hydro.  This rate change is being made not to benefit or protect NOTL Hydro but to ensure all NOTL Hydro customers are treated fairly.</w:t>
      </w:r>
    </w:p>
    <w:p w14:paraId="03C2843E" w14:textId="46BA4457" w:rsidR="00474808" w:rsidRPr="00474808" w:rsidRDefault="00DD1D11" w:rsidP="00474808">
      <w:pPr>
        <w:jc w:val="both"/>
        <w:rPr>
          <w:lang w:val="en-US" w:bidi="en-US"/>
        </w:rPr>
      </w:pPr>
      <w:r>
        <w:rPr>
          <w:lang w:val="en-US" w:bidi="en-US"/>
        </w:rPr>
        <w:t xml:space="preserve">The SIA and CIA applications submitted to the IESO and Hydro One request a July 2022 in-service date.  </w:t>
      </w:r>
      <w:r w:rsidR="005C05FC">
        <w:rPr>
          <w:lang w:val="en-US" w:bidi="en-US"/>
        </w:rPr>
        <w:t xml:space="preserve">By their nature, cryptocurrency mining operations can be brought into service and be brought to scale significantly quicker than the traditional industrial or mining Large Use customer.  </w:t>
      </w:r>
      <w:r w:rsidR="00240C7C">
        <w:rPr>
          <w:lang w:val="en-US" w:bidi="en-US"/>
        </w:rPr>
        <w:t xml:space="preserve">The operations of this customer could therefore have a significant financial impact in 2022.  </w:t>
      </w:r>
      <w:r w:rsidR="005C05FC">
        <w:rPr>
          <w:lang w:val="en-US" w:bidi="en-US"/>
        </w:rPr>
        <w:t xml:space="preserve">For this reason, NOTL Hydro has requested a mid-year adjustment to its rates rather than include this request as part of its planned 2023 Incentive Rate-Setting Mechanism (IRM) application.  </w:t>
      </w:r>
      <w:r w:rsidR="00240C7C">
        <w:rPr>
          <w:lang w:val="en-US" w:bidi="en-US"/>
        </w:rPr>
        <w:t>This also has the benefit of keeping the 2023 IRM largely formulaic.</w:t>
      </w:r>
      <w:r w:rsidR="00474808">
        <w:br w:type="page"/>
      </w:r>
    </w:p>
    <w:p w14:paraId="686F733A" w14:textId="4FF753A0" w:rsidR="001B3A51" w:rsidRPr="00420118" w:rsidRDefault="00587167" w:rsidP="00420118">
      <w:pPr>
        <w:pStyle w:val="Heading1"/>
        <w:rPr>
          <w:rFonts w:cs="Arial"/>
        </w:rPr>
      </w:pPr>
      <w:bookmarkStart w:id="11" w:name="_Toc102399169"/>
      <w:r w:rsidRPr="00420118">
        <w:rPr>
          <w:rFonts w:cs="Arial"/>
        </w:rPr>
        <w:lastRenderedPageBreak/>
        <w:t>6</w:t>
      </w:r>
      <w:r w:rsidR="00420118">
        <w:rPr>
          <w:rFonts w:cs="Arial"/>
        </w:rPr>
        <w:t>.</w:t>
      </w:r>
      <w:r w:rsidRPr="00420118">
        <w:rPr>
          <w:rFonts w:cs="Arial"/>
        </w:rPr>
        <w:t xml:space="preserve"> </w:t>
      </w:r>
      <w:r w:rsidR="004A50AA" w:rsidRPr="00420118">
        <w:rPr>
          <w:rFonts w:cs="Arial"/>
        </w:rPr>
        <w:t>Large Use Customer Revenue Variance Account</w:t>
      </w:r>
      <w:bookmarkEnd w:id="11"/>
    </w:p>
    <w:p w14:paraId="1126EFB1" w14:textId="77777777" w:rsidR="009055B7" w:rsidRDefault="009055B7" w:rsidP="009055B7">
      <w:pPr>
        <w:jc w:val="both"/>
        <w:rPr>
          <w:rFonts w:cs="Arial"/>
        </w:rPr>
      </w:pPr>
      <w:r w:rsidRPr="009055B7">
        <w:rPr>
          <w:rFonts w:cs="Arial"/>
        </w:rPr>
        <w:t>In its 2019 Decision and Order (EB-2018-0056), NOTL Hydro was granted a Specified Customer Revenue Variance Account.  This allowed NOTL Hydro to book any monthly distribution revenue above or below 5 MW from this customer to the variance account</w:t>
      </w:r>
      <w:r>
        <w:rPr>
          <w:rFonts w:cs="Arial"/>
        </w:rPr>
        <w:t xml:space="preserve"> pursuant to a Draft Accounting Order</w:t>
      </w:r>
      <w:r w:rsidRPr="009055B7">
        <w:rPr>
          <w:rFonts w:cs="Arial"/>
        </w:rPr>
        <w:t xml:space="preserve">.  </w:t>
      </w:r>
    </w:p>
    <w:p w14:paraId="06D0156D" w14:textId="415280F6" w:rsidR="00240C7C" w:rsidRDefault="009055B7" w:rsidP="00723EC1">
      <w:pPr>
        <w:jc w:val="both"/>
        <w:rPr>
          <w:rFonts w:cs="Arial"/>
        </w:rPr>
      </w:pPr>
      <w:r w:rsidRPr="009055B7">
        <w:rPr>
          <w:rFonts w:cs="Arial"/>
        </w:rPr>
        <w:t xml:space="preserve">This </w:t>
      </w:r>
      <w:r>
        <w:rPr>
          <w:rFonts w:cs="Arial"/>
        </w:rPr>
        <w:t xml:space="preserve">variance account </w:t>
      </w:r>
      <w:r w:rsidRPr="009055B7">
        <w:rPr>
          <w:rFonts w:cs="Arial"/>
        </w:rPr>
        <w:t xml:space="preserve">protected NOTL Hydro from the uncertainties related to this customer while allowing the other NOTL Hydro customers to benefit from the increased revenues.  </w:t>
      </w:r>
      <w:r w:rsidR="00C259D8">
        <w:rPr>
          <w:rFonts w:cs="Arial"/>
        </w:rPr>
        <w:t>The other NOTL Hydro customers benefited from the initial reduction in rates due to the revenue from the 5 MW being booked.  In 2021 and 2022 they have also benefited from credit rate riders with the clearing of the variance accounts.</w:t>
      </w:r>
      <w:r w:rsidR="00240C7C">
        <w:rPr>
          <w:rFonts w:cs="Arial"/>
        </w:rPr>
        <w:t xml:space="preserve">  </w:t>
      </w:r>
      <w:r w:rsidRPr="009055B7">
        <w:rPr>
          <w:rFonts w:cs="Arial"/>
        </w:rPr>
        <w:t>Th</w:t>
      </w:r>
      <w:r>
        <w:rPr>
          <w:rFonts w:cs="Arial"/>
        </w:rPr>
        <w:t>e</w:t>
      </w:r>
      <w:r w:rsidRPr="009055B7">
        <w:rPr>
          <w:rFonts w:cs="Arial"/>
        </w:rPr>
        <w:t xml:space="preserve"> customer </w:t>
      </w:r>
      <w:r>
        <w:rPr>
          <w:rFonts w:cs="Arial"/>
        </w:rPr>
        <w:t xml:space="preserve">at the time of the order </w:t>
      </w:r>
      <w:r w:rsidRPr="009055B7">
        <w:rPr>
          <w:rFonts w:cs="Arial"/>
        </w:rPr>
        <w:t xml:space="preserve">has subsequently ceased operations and has </w:t>
      </w:r>
      <w:r>
        <w:rPr>
          <w:rFonts w:cs="Arial"/>
        </w:rPr>
        <w:t>its</w:t>
      </w:r>
      <w:r w:rsidRPr="009055B7">
        <w:rPr>
          <w:rFonts w:cs="Arial"/>
        </w:rPr>
        <w:t xml:space="preserve"> property </w:t>
      </w:r>
      <w:r>
        <w:rPr>
          <w:rFonts w:cs="Arial"/>
        </w:rPr>
        <w:t xml:space="preserve">in Niagara-on-the-Lake </w:t>
      </w:r>
      <w:r w:rsidRPr="009055B7">
        <w:rPr>
          <w:rFonts w:cs="Arial"/>
        </w:rPr>
        <w:t xml:space="preserve">up for sale.  </w:t>
      </w:r>
      <w:r w:rsidR="00C259D8">
        <w:rPr>
          <w:rFonts w:cs="Arial"/>
        </w:rPr>
        <w:t xml:space="preserve">The value </w:t>
      </w:r>
      <w:r w:rsidR="00240C7C">
        <w:rPr>
          <w:rFonts w:cs="Arial"/>
        </w:rPr>
        <w:t>of</w:t>
      </w:r>
      <w:r w:rsidR="00C259D8">
        <w:rPr>
          <w:rFonts w:cs="Arial"/>
        </w:rPr>
        <w:t xml:space="preserve"> a variance account such as this has been clearly </w:t>
      </w:r>
      <w:r w:rsidR="00C77094">
        <w:rPr>
          <w:rFonts w:cs="Arial"/>
        </w:rPr>
        <w:t>validated</w:t>
      </w:r>
      <w:r w:rsidR="00C259D8">
        <w:rPr>
          <w:rFonts w:cs="Arial"/>
        </w:rPr>
        <w:t xml:space="preserve">.  </w:t>
      </w:r>
    </w:p>
    <w:p w14:paraId="44E20692" w14:textId="0210D67A" w:rsidR="0013285D" w:rsidRDefault="009055B7" w:rsidP="00723EC1">
      <w:pPr>
        <w:jc w:val="both"/>
        <w:rPr>
          <w:rFonts w:cs="Arial"/>
        </w:rPr>
      </w:pPr>
      <w:r w:rsidRPr="009055B7">
        <w:rPr>
          <w:rFonts w:cs="Arial"/>
        </w:rPr>
        <w:t xml:space="preserve">NOTL Hydro is seeking to amend this Order to </w:t>
      </w:r>
      <w:r w:rsidR="00C77094">
        <w:rPr>
          <w:rFonts w:cs="Arial"/>
        </w:rPr>
        <w:t xml:space="preserve">instead have </w:t>
      </w:r>
      <w:r w:rsidRPr="009055B7">
        <w:rPr>
          <w:rFonts w:cs="Arial"/>
        </w:rPr>
        <w:t xml:space="preserve">a general </w:t>
      </w:r>
      <w:bookmarkStart w:id="12" w:name="_Hlk102397937"/>
      <w:r w:rsidRPr="009055B7">
        <w:rPr>
          <w:rFonts w:cs="Arial"/>
        </w:rPr>
        <w:t>Large Use Customer Revenue Variance Account</w:t>
      </w:r>
      <w:bookmarkEnd w:id="12"/>
      <w:r w:rsidRPr="009055B7">
        <w:rPr>
          <w:rFonts w:cs="Arial"/>
        </w:rPr>
        <w:t>.  The cryptocurrency mining operation has an even greater</w:t>
      </w:r>
      <w:r w:rsidR="00240C7C">
        <w:rPr>
          <w:rFonts w:cs="Arial"/>
        </w:rPr>
        <w:t xml:space="preserve"> uncertainty as to the </w:t>
      </w:r>
      <w:r w:rsidR="00E04A8E">
        <w:rPr>
          <w:rFonts w:cs="Arial"/>
        </w:rPr>
        <w:t xml:space="preserve">future </w:t>
      </w:r>
      <w:r w:rsidR="00240C7C">
        <w:rPr>
          <w:rFonts w:cs="Arial"/>
        </w:rPr>
        <w:t>level of demand</w:t>
      </w:r>
      <w:r w:rsidRPr="009055B7">
        <w:rPr>
          <w:rFonts w:cs="Arial"/>
        </w:rPr>
        <w:t xml:space="preserve">.  </w:t>
      </w:r>
      <w:r w:rsidR="00E04A8E">
        <w:rPr>
          <w:rFonts w:cs="Arial"/>
        </w:rPr>
        <w:t xml:space="preserve">It would also be much easier to close the operation as the operating assets, the servers, are very portable and the land is leased rather than owned.  </w:t>
      </w:r>
      <w:r w:rsidR="00B75C98">
        <w:rPr>
          <w:rFonts w:cs="Arial"/>
        </w:rPr>
        <w:t>Under this amended order, the 5 MW variance account would apply to each Large Use customer.  NOTL Hydro is only expecting one Large Use customer at any point in time but does note that the cryptocurrency mining operation</w:t>
      </w:r>
      <w:r w:rsidR="00E04A8E">
        <w:rPr>
          <w:rFonts w:cs="Arial"/>
        </w:rPr>
        <w:t xml:space="preserve"> has not established their corporate structure and has indicated that it may be subject to change</w:t>
      </w:r>
      <w:r w:rsidR="00B75C98">
        <w:rPr>
          <w:rFonts w:cs="Arial"/>
        </w:rPr>
        <w:t>.</w:t>
      </w:r>
      <w:r w:rsidR="00C77094">
        <w:rPr>
          <w:rFonts w:cs="Arial"/>
        </w:rPr>
        <w:t xml:space="preserve">  A specified customer cannot be named at this time.</w:t>
      </w:r>
    </w:p>
    <w:p w14:paraId="4528590E" w14:textId="6008B852" w:rsidR="00E04A8E" w:rsidRDefault="00E04A8E" w:rsidP="00723EC1">
      <w:pPr>
        <w:jc w:val="both"/>
        <w:rPr>
          <w:rFonts w:cs="Arial"/>
        </w:rPr>
      </w:pPr>
      <w:r>
        <w:rPr>
          <w:rFonts w:cs="Arial"/>
        </w:rPr>
        <w:t xml:space="preserve">By the adaption of this Large Use Customer Variance Account, NOTL Hydro is maintaining its own revenue at current levels and </w:t>
      </w:r>
      <w:r w:rsidR="00EA4735">
        <w:rPr>
          <w:rFonts w:cs="Arial"/>
        </w:rPr>
        <w:t xml:space="preserve">earmarking any increase in revenues immediately to be passed on to </w:t>
      </w:r>
      <w:r w:rsidR="00D622A6">
        <w:rPr>
          <w:rFonts w:cs="Arial"/>
        </w:rPr>
        <w:t xml:space="preserve">all </w:t>
      </w:r>
      <w:r w:rsidR="00EA4735">
        <w:rPr>
          <w:rFonts w:cs="Arial"/>
        </w:rPr>
        <w:t>its customers on an annual basis and subject to Board review.  Without this change, all new revenues would accrue to NOTL Hydro as income.</w:t>
      </w:r>
    </w:p>
    <w:p w14:paraId="6E153052" w14:textId="069F7BBA" w:rsidR="00EA4735" w:rsidRPr="007565EC" w:rsidRDefault="00EA4735" w:rsidP="00723EC1">
      <w:pPr>
        <w:jc w:val="both"/>
        <w:rPr>
          <w:rFonts w:cs="Arial"/>
        </w:rPr>
      </w:pPr>
      <w:r>
        <w:rPr>
          <w:rFonts w:cs="Arial"/>
        </w:rPr>
        <w:t xml:space="preserve">NOTL Hydro does note that it expects to incur some </w:t>
      </w:r>
      <w:r w:rsidR="00243977">
        <w:rPr>
          <w:rFonts w:cs="Arial"/>
        </w:rPr>
        <w:t xml:space="preserve">ongoing </w:t>
      </w:r>
      <w:r>
        <w:rPr>
          <w:rFonts w:cs="Arial"/>
        </w:rPr>
        <w:t xml:space="preserve">incremental costs with this new customer.  </w:t>
      </w:r>
      <w:r w:rsidR="00243977">
        <w:rPr>
          <w:rFonts w:cs="Arial"/>
        </w:rPr>
        <w:t>NOTL Hydro will take these into account when requesting rates during its next Cost of Service rate application.</w:t>
      </w:r>
    </w:p>
    <w:sectPr w:rsidR="00EA4735" w:rsidRPr="007565EC" w:rsidSect="00CC19AC">
      <w:footerReference w:type="default" r:id="rId16"/>
      <w:pgSz w:w="12240" w:h="15840"/>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0398" w14:textId="77777777" w:rsidR="00CA2BC5" w:rsidRDefault="00CA2BC5" w:rsidP="00233E91">
      <w:r>
        <w:separator/>
      </w:r>
    </w:p>
  </w:endnote>
  <w:endnote w:type="continuationSeparator" w:id="0">
    <w:p w14:paraId="44718092" w14:textId="77777777" w:rsidR="00CA2BC5" w:rsidRDefault="00CA2BC5" w:rsidP="0023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FE41" w14:textId="77777777" w:rsidR="00CA2BC5" w:rsidRPr="00D621C0" w:rsidRDefault="00CA2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6CF2" w14:textId="77777777" w:rsidR="00CA2BC5" w:rsidRDefault="00CA2BC5" w:rsidP="00233E91">
      <w:r>
        <w:separator/>
      </w:r>
    </w:p>
  </w:footnote>
  <w:footnote w:type="continuationSeparator" w:id="0">
    <w:p w14:paraId="01AEBEE0" w14:textId="77777777" w:rsidR="00CA2BC5" w:rsidRDefault="00CA2BC5" w:rsidP="00233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4DA6" w14:textId="77777777" w:rsidR="00CA2BC5" w:rsidRPr="007565EC" w:rsidRDefault="00CA2BC5" w:rsidP="007565EC">
    <w:pPr>
      <w:pStyle w:val="Header"/>
      <w:spacing w:before="0" w:after="0"/>
      <w:jc w:val="right"/>
      <w:rPr>
        <w:rFonts w:cs="Arial"/>
        <w:color w:val="000000" w:themeColor="text1"/>
      </w:rPr>
    </w:pPr>
    <w:r w:rsidRPr="007565EC">
      <w:rPr>
        <w:rFonts w:cs="Arial"/>
        <w:color w:val="000000" w:themeColor="text1"/>
      </w:rPr>
      <w:t>Niagara-on-the-Lake Hydro Inc.</w:t>
    </w:r>
  </w:p>
  <w:p w14:paraId="605F91F3" w14:textId="54940503" w:rsidR="00CA2BC5" w:rsidRPr="007565EC" w:rsidRDefault="00CA2BC5" w:rsidP="007565EC">
    <w:pPr>
      <w:pStyle w:val="Header"/>
      <w:spacing w:before="0" w:after="0"/>
      <w:jc w:val="right"/>
      <w:rPr>
        <w:rFonts w:cs="Arial"/>
        <w:color w:val="000000" w:themeColor="text1"/>
      </w:rPr>
    </w:pPr>
    <w:r w:rsidRPr="007565EC">
      <w:rPr>
        <w:rFonts w:cs="Arial"/>
        <w:color w:val="000000" w:themeColor="text1"/>
      </w:rPr>
      <w:t>EB-20</w:t>
    </w:r>
    <w:r w:rsidR="00BE0469">
      <w:rPr>
        <w:rFonts w:cs="Arial"/>
        <w:color w:val="000000" w:themeColor="text1"/>
      </w:rPr>
      <w:t>22</w:t>
    </w:r>
    <w:r w:rsidRPr="007565EC">
      <w:rPr>
        <w:rFonts w:cs="Arial"/>
        <w:color w:val="000000" w:themeColor="text1"/>
      </w:rPr>
      <w:t>-0</w:t>
    </w:r>
    <w:r w:rsidR="00BE0469">
      <w:rPr>
        <w:rFonts w:cs="Arial"/>
        <w:color w:val="000000" w:themeColor="text1"/>
      </w:rPr>
      <w:t>158</w:t>
    </w:r>
  </w:p>
  <w:p w14:paraId="4D6EFD67" w14:textId="1B9D1CD0" w:rsidR="00CA2BC5" w:rsidRPr="007565EC" w:rsidRDefault="00BE0469" w:rsidP="007565EC">
    <w:pPr>
      <w:pStyle w:val="Header"/>
      <w:spacing w:before="0" w:after="0"/>
      <w:jc w:val="right"/>
      <w:rPr>
        <w:rFonts w:cs="Arial"/>
        <w:color w:val="000000" w:themeColor="text1"/>
      </w:rPr>
    </w:pPr>
    <w:r>
      <w:rPr>
        <w:rFonts w:cs="Arial"/>
        <w:color w:val="000000" w:themeColor="text1"/>
      </w:rPr>
      <w:t>2022 Rate Modification Application</w:t>
    </w:r>
  </w:p>
  <w:sdt>
    <w:sdtPr>
      <w:rPr>
        <w:rFonts w:ascii="Arial" w:hAnsi="Arial" w:cs="Arial"/>
        <w:color w:val="000000" w:themeColor="text1"/>
      </w:rPr>
      <w:id w:val="-420798104"/>
      <w:docPartObj>
        <w:docPartGallery w:val="Page Numbers (Bottom of Page)"/>
        <w:docPartUnique/>
      </w:docPartObj>
    </w:sdtPr>
    <w:sdtEndPr>
      <w:rPr>
        <w:sz w:val="20"/>
        <w:szCs w:val="20"/>
      </w:rPr>
    </w:sdtEndPr>
    <w:sdtContent>
      <w:sdt>
        <w:sdtPr>
          <w:rPr>
            <w:rFonts w:ascii="Arial" w:hAnsi="Arial" w:cs="Arial"/>
            <w:color w:val="000000" w:themeColor="text1"/>
          </w:rPr>
          <w:id w:val="-477686840"/>
          <w:docPartObj>
            <w:docPartGallery w:val="Page Numbers (Top of Page)"/>
            <w:docPartUnique/>
          </w:docPartObj>
        </w:sdtPr>
        <w:sdtEndPr>
          <w:rPr>
            <w:sz w:val="20"/>
            <w:szCs w:val="20"/>
          </w:rPr>
        </w:sdtEndPr>
        <w:sdtContent>
          <w:p w14:paraId="35FC485D" w14:textId="77777777" w:rsidR="00CA2BC5" w:rsidRPr="007565EC" w:rsidRDefault="00CA2BC5" w:rsidP="007565EC">
            <w:pPr>
              <w:pStyle w:val="Footer"/>
              <w:spacing w:before="0" w:after="0"/>
              <w:jc w:val="right"/>
              <w:rPr>
                <w:rFonts w:ascii="Arial" w:hAnsi="Arial" w:cs="Arial"/>
                <w:color w:val="000000" w:themeColor="text1"/>
                <w:sz w:val="20"/>
                <w:szCs w:val="20"/>
              </w:rPr>
            </w:pPr>
            <w:r w:rsidRPr="007565EC">
              <w:rPr>
                <w:rFonts w:ascii="Arial" w:hAnsi="Arial" w:cs="Arial"/>
                <w:caps w:val="0"/>
                <w:color w:val="000000" w:themeColor="text1"/>
                <w:sz w:val="20"/>
                <w:szCs w:val="20"/>
              </w:rPr>
              <w:t>Page</w:t>
            </w:r>
            <w:r w:rsidRPr="007565EC">
              <w:rPr>
                <w:rFonts w:ascii="Arial" w:hAnsi="Arial" w:cs="Arial"/>
                <w:b/>
                <w:bCs/>
                <w:caps w:val="0"/>
                <w:color w:val="000000" w:themeColor="text1"/>
                <w:sz w:val="20"/>
                <w:szCs w:val="20"/>
              </w:rPr>
              <w:t xml:space="preserve"> </w:t>
            </w:r>
            <w:r w:rsidRPr="007565EC">
              <w:rPr>
                <w:rFonts w:ascii="Arial" w:hAnsi="Arial" w:cs="Arial"/>
                <w:b/>
                <w:bCs/>
                <w:caps w:val="0"/>
                <w:color w:val="000000" w:themeColor="text1"/>
                <w:sz w:val="20"/>
                <w:szCs w:val="20"/>
              </w:rPr>
              <w:fldChar w:fldCharType="begin"/>
            </w:r>
            <w:r w:rsidRPr="007565EC">
              <w:rPr>
                <w:rFonts w:ascii="Arial" w:hAnsi="Arial" w:cs="Arial"/>
                <w:b/>
                <w:bCs/>
                <w:caps w:val="0"/>
                <w:color w:val="000000" w:themeColor="text1"/>
                <w:sz w:val="20"/>
                <w:szCs w:val="20"/>
              </w:rPr>
              <w:instrText xml:space="preserve"> PAGE </w:instrText>
            </w:r>
            <w:r w:rsidRPr="007565EC">
              <w:rPr>
                <w:rFonts w:ascii="Arial" w:hAnsi="Arial" w:cs="Arial"/>
                <w:b/>
                <w:bCs/>
                <w:caps w:val="0"/>
                <w:color w:val="000000" w:themeColor="text1"/>
                <w:sz w:val="20"/>
                <w:szCs w:val="20"/>
              </w:rPr>
              <w:fldChar w:fldCharType="separate"/>
            </w:r>
            <w:r>
              <w:rPr>
                <w:rFonts w:ascii="Arial" w:hAnsi="Arial" w:cs="Arial"/>
                <w:b/>
                <w:bCs/>
                <w:caps w:val="0"/>
                <w:noProof/>
                <w:color w:val="000000" w:themeColor="text1"/>
                <w:sz w:val="20"/>
                <w:szCs w:val="20"/>
              </w:rPr>
              <w:t>104</w:t>
            </w:r>
            <w:r w:rsidRPr="007565EC">
              <w:rPr>
                <w:rFonts w:ascii="Arial" w:hAnsi="Arial" w:cs="Arial"/>
                <w:b/>
                <w:bCs/>
                <w:caps w:val="0"/>
                <w:color w:val="000000" w:themeColor="text1"/>
                <w:sz w:val="20"/>
                <w:szCs w:val="20"/>
              </w:rPr>
              <w:fldChar w:fldCharType="end"/>
            </w:r>
            <w:r w:rsidRPr="007565EC">
              <w:rPr>
                <w:rFonts w:ascii="Arial" w:hAnsi="Arial" w:cs="Arial"/>
                <w:caps w:val="0"/>
                <w:color w:val="000000" w:themeColor="text1"/>
                <w:sz w:val="20"/>
                <w:szCs w:val="20"/>
              </w:rPr>
              <w:t xml:space="preserve"> of </w:t>
            </w:r>
            <w:r w:rsidRPr="007565EC">
              <w:rPr>
                <w:rFonts w:ascii="Arial" w:hAnsi="Arial" w:cs="Arial"/>
                <w:b/>
                <w:bCs/>
                <w:caps w:val="0"/>
                <w:color w:val="000000" w:themeColor="text1"/>
                <w:sz w:val="20"/>
                <w:szCs w:val="20"/>
              </w:rPr>
              <w:fldChar w:fldCharType="begin"/>
            </w:r>
            <w:r w:rsidRPr="007565EC">
              <w:rPr>
                <w:rFonts w:ascii="Arial" w:hAnsi="Arial" w:cs="Arial"/>
                <w:b/>
                <w:bCs/>
                <w:caps w:val="0"/>
                <w:color w:val="000000" w:themeColor="text1"/>
                <w:sz w:val="20"/>
                <w:szCs w:val="20"/>
              </w:rPr>
              <w:instrText xml:space="preserve"> NUMPAGES  </w:instrText>
            </w:r>
            <w:r w:rsidRPr="007565EC">
              <w:rPr>
                <w:rFonts w:ascii="Arial" w:hAnsi="Arial" w:cs="Arial"/>
                <w:b/>
                <w:bCs/>
                <w:caps w:val="0"/>
                <w:color w:val="000000" w:themeColor="text1"/>
                <w:sz w:val="20"/>
                <w:szCs w:val="20"/>
              </w:rPr>
              <w:fldChar w:fldCharType="separate"/>
            </w:r>
            <w:r>
              <w:rPr>
                <w:rFonts w:ascii="Arial" w:hAnsi="Arial" w:cs="Arial"/>
                <w:b/>
                <w:bCs/>
                <w:caps w:val="0"/>
                <w:noProof/>
                <w:color w:val="000000" w:themeColor="text1"/>
                <w:sz w:val="20"/>
                <w:szCs w:val="20"/>
              </w:rPr>
              <w:t>106</w:t>
            </w:r>
            <w:r w:rsidRPr="007565EC">
              <w:rPr>
                <w:rFonts w:ascii="Arial" w:hAnsi="Arial" w:cs="Arial"/>
                <w:b/>
                <w:bCs/>
                <w:caps w:val="0"/>
                <w:color w:val="000000" w:themeColor="text1"/>
                <w:sz w:val="20"/>
                <w:szCs w:val="20"/>
              </w:rPr>
              <w:fldChar w:fldCharType="end"/>
            </w:r>
          </w:p>
        </w:sdtContent>
      </w:sdt>
    </w:sdtContent>
  </w:sdt>
  <w:p w14:paraId="2A70D980" w14:textId="488310E5" w:rsidR="00CA2BC5" w:rsidRPr="007565EC" w:rsidRDefault="00CA2BC5" w:rsidP="007565EC">
    <w:pPr>
      <w:pStyle w:val="Header"/>
      <w:spacing w:before="0" w:after="0"/>
      <w:jc w:val="right"/>
      <w:rPr>
        <w:rFonts w:cs="Arial"/>
        <w:color w:val="000000" w:themeColor="text1"/>
      </w:rPr>
    </w:pPr>
    <w:r w:rsidRPr="007565EC">
      <w:rPr>
        <w:rFonts w:cs="Arial"/>
        <w:color w:val="000000" w:themeColor="text1"/>
      </w:rPr>
      <w:t xml:space="preserve">Filed: </w:t>
    </w:r>
    <w:r w:rsidR="00BE0469">
      <w:rPr>
        <w:rFonts w:cs="Arial"/>
        <w:color w:val="000000" w:themeColor="text1"/>
      </w:rPr>
      <w:t>May</w:t>
    </w:r>
    <w:r w:rsidRPr="007565EC">
      <w:rPr>
        <w:rFonts w:cs="Arial"/>
        <w:color w:val="000000" w:themeColor="text1"/>
      </w:rPr>
      <w:t xml:space="preserve"> 20</w:t>
    </w:r>
    <w:r w:rsidR="00BE0469">
      <w:rPr>
        <w:rFonts w:cs="Arial"/>
        <w:color w:val="000000" w:themeColor="text1"/>
      </w:rPr>
      <w:t>22</w:t>
    </w:r>
  </w:p>
  <w:p w14:paraId="4654C271" w14:textId="77777777" w:rsidR="00CA2BC5" w:rsidRPr="00177010" w:rsidRDefault="00CA2BC5" w:rsidP="000F297C">
    <w:pPr>
      <w:pStyle w:val="NoSpacing"/>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7AC5"/>
    <w:multiLevelType w:val="multilevel"/>
    <w:tmpl w:val="3762F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E2FFC"/>
    <w:multiLevelType w:val="hybridMultilevel"/>
    <w:tmpl w:val="434E727A"/>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F2B85"/>
    <w:multiLevelType w:val="hybridMultilevel"/>
    <w:tmpl w:val="7FE4C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030D86"/>
    <w:multiLevelType w:val="hybridMultilevel"/>
    <w:tmpl w:val="FBBAD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525D90"/>
    <w:multiLevelType w:val="hybridMultilevel"/>
    <w:tmpl w:val="380202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3EE4D4B"/>
    <w:multiLevelType w:val="hybridMultilevel"/>
    <w:tmpl w:val="D9D2CB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46C0CA1"/>
    <w:multiLevelType w:val="hybridMultilevel"/>
    <w:tmpl w:val="8156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014EF"/>
    <w:multiLevelType w:val="hybridMultilevel"/>
    <w:tmpl w:val="AECE9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663EAD"/>
    <w:multiLevelType w:val="hybridMultilevel"/>
    <w:tmpl w:val="5AC6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D0796"/>
    <w:multiLevelType w:val="hybridMultilevel"/>
    <w:tmpl w:val="8064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E2990"/>
    <w:multiLevelType w:val="hybridMultilevel"/>
    <w:tmpl w:val="7B3C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6282E"/>
    <w:multiLevelType w:val="hybridMultilevel"/>
    <w:tmpl w:val="37FADF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F350DF"/>
    <w:multiLevelType w:val="hybridMultilevel"/>
    <w:tmpl w:val="6FE06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F1A0E"/>
    <w:multiLevelType w:val="hybridMultilevel"/>
    <w:tmpl w:val="DA88308E"/>
    <w:lvl w:ilvl="0" w:tplc="699046DC">
      <w:start w:val="1"/>
      <w:numFmt w:val="bullet"/>
      <w:pStyle w:val="ListParagraph"/>
      <w:lvlText w:val=""/>
      <w:lvlJc w:val="left"/>
      <w:pPr>
        <w:ind w:left="720" w:hanging="360"/>
      </w:pPr>
      <w:rPr>
        <w:rFonts w:ascii="Symbol" w:hAnsi="Symbol" w:hint="default"/>
      </w:rPr>
    </w:lvl>
    <w:lvl w:ilvl="1" w:tplc="8A9C08C0">
      <w:numFmt w:val="bullet"/>
      <w:lvlText w:val="•"/>
      <w:lvlJc w:val="left"/>
      <w:pPr>
        <w:ind w:left="1800" w:hanging="720"/>
      </w:pPr>
      <w:rPr>
        <w:rFonts w:ascii="Segoe UI" w:eastAsiaTheme="minorHAnsi" w:hAnsi="Segoe UI" w:cs="Segoe U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7717D8"/>
    <w:multiLevelType w:val="hybridMultilevel"/>
    <w:tmpl w:val="D036277A"/>
    <w:lvl w:ilvl="0" w:tplc="D3282C5A">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C02284"/>
    <w:multiLevelType w:val="hybridMultilevel"/>
    <w:tmpl w:val="A3C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344C1"/>
    <w:multiLevelType w:val="hybridMultilevel"/>
    <w:tmpl w:val="E4D45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66418C"/>
    <w:multiLevelType w:val="hybridMultilevel"/>
    <w:tmpl w:val="C6E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85A7A"/>
    <w:multiLevelType w:val="hybridMultilevel"/>
    <w:tmpl w:val="7F88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67027"/>
    <w:multiLevelType w:val="hybridMultilevel"/>
    <w:tmpl w:val="B8181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7CD2B81"/>
    <w:multiLevelType w:val="hybridMultilevel"/>
    <w:tmpl w:val="4F7E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95D77"/>
    <w:multiLevelType w:val="hybridMultilevel"/>
    <w:tmpl w:val="72D0F2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644"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A72AFC"/>
    <w:multiLevelType w:val="hybridMultilevel"/>
    <w:tmpl w:val="69D68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41E2F"/>
    <w:multiLevelType w:val="hybridMultilevel"/>
    <w:tmpl w:val="7108E472"/>
    <w:lvl w:ilvl="0" w:tplc="1009000F">
      <w:start w:val="1"/>
      <w:numFmt w:val="decimal"/>
      <w:lvlText w:val="%1."/>
      <w:lvlJc w:val="left"/>
      <w:pPr>
        <w:ind w:left="729" w:hanging="360"/>
      </w:pPr>
    </w:lvl>
    <w:lvl w:ilvl="1" w:tplc="10090019" w:tentative="1">
      <w:start w:val="1"/>
      <w:numFmt w:val="lowerLetter"/>
      <w:lvlText w:val="%2."/>
      <w:lvlJc w:val="left"/>
      <w:pPr>
        <w:ind w:left="1449" w:hanging="360"/>
      </w:pPr>
    </w:lvl>
    <w:lvl w:ilvl="2" w:tplc="1009001B" w:tentative="1">
      <w:start w:val="1"/>
      <w:numFmt w:val="lowerRoman"/>
      <w:lvlText w:val="%3."/>
      <w:lvlJc w:val="right"/>
      <w:pPr>
        <w:ind w:left="2169" w:hanging="180"/>
      </w:pPr>
    </w:lvl>
    <w:lvl w:ilvl="3" w:tplc="1009000F" w:tentative="1">
      <w:start w:val="1"/>
      <w:numFmt w:val="decimal"/>
      <w:lvlText w:val="%4."/>
      <w:lvlJc w:val="left"/>
      <w:pPr>
        <w:ind w:left="2889" w:hanging="360"/>
      </w:pPr>
    </w:lvl>
    <w:lvl w:ilvl="4" w:tplc="10090019" w:tentative="1">
      <w:start w:val="1"/>
      <w:numFmt w:val="lowerLetter"/>
      <w:lvlText w:val="%5."/>
      <w:lvlJc w:val="left"/>
      <w:pPr>
        <w:ind w:left="3609" w:hanging="360"/>
      </w:pPr>
    </w:lvl>
    <w:lvl w:ilvl="5" w:tplc="1009001B" w:tentative="1">
      <w:start w:val="1"/>
      <w:numFmt w:val="lowerRoman"/>
      <w:lvlText w:val="%6."/>
      <w:lvlJc w:val="right"/>
      <w:pPr>
        <w:ind w:left="4329" w:hanging="180"/>
      </w:pPr>
    </w:lvl>
    <w:lvl w:ilvl="6" w:tplc="1009000F" w:tentative="1">
      <w:start w:val="1"/>
      <w:numFmt w:val="decimal"/>
      <w:lvlText w:val="%7."/>
      <w:lvlJc w:val="left"/>
      <w:pPr>
        <w:ind w:left="5049" w:hanging="360"/>
      </w:pPr>
    </w:lvl>
    <w:lvl w:ilvl="7" w:tplc="10090019" w:tentative="1">
      <w:start w:val="1"/>
      <w:numFmt w:val="lowerLetter"/>
      <w:lvlText w:val="%8."/>
      <w:lvlJc w:val="left"/>
      <w:pPr>
        <w:ind w:left="5769" w:hanging="360"/>
      </w:pPr>
    </w:lvl>
    <w:lvl w:ilvl="8" w:tplc="1009001B" w:tentative="1">
      <w:start w:val="1"/>
      <w:numFmt w:val="lowerRoman"/>
      <w:lvlText w:val="%9."/>
      <w:lvlJc w:val="right"/>
      <w:pPr>
        <w:ind w:left="6489" w:hanging="180"/>
      </w:pPr>
    </w:lvl>
  </w:abstractNum>
  <w:abstractNum w:abstractNumId="24" w15:restartNumberingAfterBreak="0">
    <w:nsid w:val="64F552B1"/>
    <w:multiLevelType w:val="hybridMultilevel"/>
    <w:tmpl w:val="0A5022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644"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E6848C3"/>
    <w:multiLevelType w:val="hybridMultilevel"/>
    <w:tmpl w:val="4952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B597C"/>
    <w:multiLevelType w:val="hybridMultilevel"/>
    <w:tmpl w:val="412C935E"/>
    <w:lvl w:ilvl="0" w:tplc="F6BC4F1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434887">
    <w:abstractNumId w:val="21"/>
  </w:num>
  <w:num w:numId="2" w16cid:durableId="1314603567">
    <w:abstractNumId w:val="13"/>
  </w:num>
  <w:num w:numId="3" w16cid:durableId="1034040366">
    <w:abstractNumId w:val="11"/>
  </w:num>
  <w:num w:numId="4" w16cid:durableId="1730297327">
    <w:abstractNumId w:val="3"/>
  </w:num>
  <w:num w:numId="5" w16cid:durableId="1248079573">
    <w:abstractNumId w:val="24"/>
  </w:num>
  <w:num w:numId="6" w16cid:durableId="1546943694">
    <w:abstractNumId w:val="23"/>
  </w:num>
  <w:num w:numId="7" w16cid:durableId="1997488002">
    <w:abstractNumId w:val="12"/>
  </w:num>
  <w:num w:numId="8" w16cid:durableId="1892110096">
    <w:abstractNumId w:val="8"/>
  </w:num>
  <w:num w:numId="9" w16cid:durableId="1865510875">
    <w:abstractNumId w:val="0"/>
  </w:num>
  <w:num w:numId="10" w16cid:durableId="2104689348">
    <w:abstractNumId w:val="5"/>
  </w:num>
  <w:num w:numId="11" w16cid:durableId="1318269160">
    <w:abstractNumId w:val="4"/>
  </w:num>
  <w:num w:numId="12" w16cid:durableId="604271481">
    <w:abstractNumId w:val="18"/>
  </w:num>
  <w:num w:numId="13" w16cid:durableId="406196177">
    <w:abstractNumId w:val="19"/>
  </w:num>
  <w:num w:numId="14" w16cid:durableId="782192130">
    <w:abstractNumId w:val="25"/>
  </w:num>
  <w:num w:numId="15" w16cid:durableId="485315982">
    <w:abstractNumId w:val="22"/>
  </w:num>
  <w:num w:numId="16" w16cid:durableId="748890282">
    <w:abstractNumId w:val="14"/>
  </w:num>
  <w:num w:numId="17" w16cid:durableId="1283616121">
    <w:abstractNumId w:val="15"/>
  </w:num>
  <w:num w:numId="18" w16cid:durableId="331299827">
    <w:abstractNumId w:val="9"/>
  </w:num>
  <w:num w:numId="19" w16cid:durableId="779111440">
    <w:abstractNumId w:val="20"/>
  </w:num>
  <w:num w:numId="20" w16cid:durableId="1701858381">
    <w:abstractNumId w:val="1"/>
  </w:num>
  <w:num w:numId="21" w16cid:durableId="1990355544">
    <w:abstractNumId w:val="14"/>
    <w:lvlOverride w:ilvl="0">
      <w:startOverride w:val="1"/>
    </w:lvlOverride>
  </w:num>
  <w:num w:numId="22" w16cid:durableId="1824001294">
    <w:abstractNumId w:val="2"/>
  </w:num>
  <w:num w:numId="23" w16cid:durableId="1523779541">
    <w:abstractNumId w:val="16"/>
  </w:num>
  <w:num w:numId="24" w16cid:durableId="1109929592">
    <w:abstractNumId w:val="6"/>
  </w:num>
  <w:num w:numId="25" w16cid:durableId="1261795809">
    <w:abstractNumId w:val="7"/>
  </w:num>
  <w:num w:numId="26" w16cid:durableId="239873919">
    <w:abstractNumId w:val="26"/>
  </w:num>
  <w:num w:numId="27" w16cid:durableId="1261068846">
    <w:abstractNumId w:val="17"/>
  </w:num>
  <w:num w:numId="28" w16cid:durableId="196727666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zNLA0tjA1tTQzNzJR0lEKTi0uzszPAykwrgUAH2uAjCwAAAA="/>
  </w:docVars>
  <w:rsids>
    <w:rsidRoot w:val="001B3A51"/>
    <w:rsid w:val="00002795"/>
    <w:rsid w:val="000043F7"/>
    <w:rsid w:val="00004405"/>
    <w:rsid w:val="00013084"/>
    <w:rsid w:val="00016D09"/>
    <w:rsid w:val="00021995"/>
    <w:rsid w:val="00021F52"/>
    <w:rsid w:val="00023117"/>
    <w:rsid w:val="000249CE"/>
    <w:rsid w:val="000308A7"/>
    <w:rsid w:val="00034F9B"/>
    <w:rsid w:val="000435C9"/>
    <w:rsid w:val="000442FA"/>
    <w:rsid w:val="000444C2"/>
    <w:rsid w:val="000452FD"/>
    <w:rsid w:val="00047633"/>
    <w:rsid w:val="000478E6"/>
    <w:rsid w:val="000538A2"/>
    <w:rsid w:val="000538C6"/>
    <w:rsid w:val="00053BD5"/>
    <w:rsid w:val="000559A4"/>
    <w:rsid w:val="00056C82"/>
    <w:rsid w:val="00056FDE"/>
    <w:rsid w:val="00065C5D"/>
    <w:rsid w:val="00084EFB"/>
    <w:rsid w:val="00095E0F"/>
    <w:rsid w:val="000A66A8"/>
    <w:rsid w:val="000B087D"/>
    <w:rsid w:val="000B46CA"/>
    <w:rsid w:val="000B4782"/>
    <w:rsid w:val="000B4B4A"/>
    <w:rsid w:val="000B7796"/>
    <w:rsid w:val="000C1D69"/>
    <w:rsid w:val="000C2764"/>
    <w:rsid w:val="000D030E"/>
    <w:rsid w:val="000D2891"/>
    <w:rsid w:val="000E1AA8"/>
    <w:rsid w:val="000E7EE2"/>
    <w:rsid w:val="000F297C"/>
    <w:rsid w:val="000F3141"/>
    <w:rsid w:val="000F3BB5"/>
    <w:rsid w:val="000F4043"/>
    <w:rsid w:val="00104E3C"/>
    <w:rsid w:val="00115447"/>
    <w:rsid w:val="00122CE2"/>
    <w:rsid w:val="00122E58"/>
    <w:rsid w:val="001242DB"/>
    <w:rsid w:val="001250BD"/>
    <w:rsid w:val="001279A9"/>
    <w:rsid w:val="0013285D"/>
    <w:rsid w:val="0013627A"/>
    <w:rsid w:val="0013660F"/>
    <w:rsid w:val="00136F75"/>
    <w:rsid w:val="00136F7B"/>
    <w:rsid w:val="0014598F"/>
    <w:rsid w:val="001511D0"/>
    <w:rsid w:val="00154703"/>
    <w:rsid w:val="0015497A"/>
    <w:rsid w:val="00157702"/>
    <w:rsid w:val="001631DA"/>
    <w:rsid w:val="00164147"/>
    <w:rsid w:val="00174AF5"/>
    <w:rsid w:val="00176F1B"/>
    <w:rsid w:val="00177010"/>
    <w:rsid w:val="0018432B"/>
    <w:rsid w:val="00191098"/>
    <w:rsid w:val="00193BF6"/>
    <w:rsid w:val="0019469B"/>
    <w:rsid w:val="00195C71"/>
    <w:rsid w:val="001975B4"/>
    <w:rsid w:val="001A5548"/>
    <w:rsid w:val="001B0F37"/>
    <w:rsid w:val="001B3A51"/>
    <w:rsid w:val="001B5D1A"/>
    <w:rsid w:val="001B7124"/>
    <w:rsid w:val="001D680F"/>
    <w:rsid w:val="001E591B"/>
    <w:rsid w:val="001E6E65"/>
    <w:rsid w:val="001E7449"/>
    <w:rsid w:val="001F0C8D"/>
    <w:rsid w:val="001F39B0"/>
    <w:rsid w:val="001F4499"/>
    <w:rsid w:val="001F4B20"/>
    <w:rsid w:val="00202E72"/>
    <w:rsid w:val="00210D04"/>
    <w:rsid w:val="00214955"/>
    <w:rsid w:val="00233E91"/>
    <w:rsid w:val="00240C7C"/>
    <w:rsid w:val="0024224D"/>
    <w:rsid w:val="002424A7"/>
    <w:rsid w:val="00243977"/>
    <w:rsid w:val="002463BF"/>
    <w:rsid w:val="00246CA0"/>
    <w:rsid w:val="00247244"/>
    <w:rsid w:val="0025331D"/>
    <w:rsid w:val="00254E8D"/>
    <w:rsid w:val="00260842"/>
    <w:rsid w:val="0026138F"/>
    <w:rsid w:val="002631D1"/>
    <w:rsid w:val="00263A2C"/>
    <w:rsid w:val="002677C4"/>
    <w:rsid w:val="00273994"/>
    <w:rsid w:val="002765AF"/>
    <w:rsid w:val="0028630B"/>
    <w:rsid w:val="002867DF"/>
    <w:rsid w:val="002917FE"/>
    <w:rsid w:val="002A47E8"/>
    <w:rsid w:val="002B425D"/>
    <w:rsid w:val="002C0D84"/>
    <w:rsid w:val="002D1A78"/>
    <w:rsid w:val="002D25E2"/>
    <w:rsid w:val="002D36EA"/>
    <w:rsid w:val="002E0A0F"/>
    <w:rsid w:val="002E13CC"/>
    <w:rsid w:val="002F7700"/>
    <w:rsid w:val="003001B2"/>
    <w:rsid w:val="00302834"/>
    <w:rsid w:val="003039E0"/>
    <w:rsid w:val="003066BB"/>
    <w:rsid w:val="003073E1"/>
    <w:rsid w:val="00311FA1"/>
    <w:rsid w:val="00313A72"/>
    <w:rsid w:val="00314AD9"/>
    <w:rsid w:val="00315541"/>
    <w:rsid w:val="00315E76"/>
    <w:rsid w:val="0031733B"/>
    <w:rsid w:val="003207B2"/>
    <w:rsid w:val="003230B4"/>
    <w:rsid w:val="00332F3A"/>
    <w:rsid w:val="00334F61"/>
    <w:rsid w:val="00335A4B"/>
    <w:rsid w:val="00340CC1"/>
    <w:rsid w:val="00343260"/>
    <w:rsid w:val="00345CAC"/>
    <w:rsid w:val="00353717"/>
    <w:rsid w:val="003600B4"/>
    <w:rsid w:val="00364DB1"/>
    <w:rsid w:val="00370D84"/>
    <w:rsid w:val="00373E5A"/>
    <w:rsid w:val="00376E96"/>
    <w:rsid w:val="00382398"/>
    <w:rsid w:val="00383FF5"/>
    <w:rsid w:val="00390148"/>
    <w:rsid w:val="00390DB7"/>
    <w:rsid w:val="003910AC"/>
    <w:rsid w:val="00392821"/>
    <w:rsid w:val="00395EAC"/>
    <w:rsid w:val="003960D8"/>
    <w:rsid w:val="003A1CC0"/>
    <w:rsid w:val="003B03EB"/>
    <w:rsid w:val="003B12DA"/>
    <w:rsid w:val="003B3858"/>
    <w:rsid w:val="003B4A65"/>
    <w:rsid w:val="003B7C78"/>
    <w:rsid w:val="003C075F"/>
    <w:rsid w:val="003D46CF"/>
    <w:rsid w:val="003D789B"/>
    <w:rsid w:val="003E289E"/>
    <w:rsid w:val="003E2E24"/>
    <w:rsid w:val="003E6B95"/>
    <w:rsid w:val="003F503C"/>
    <w:rsid w:val="00400BFC"/>
    <w:rsid w:val="00414C05"/>
    <w:rsid w:val="00420118"/>
    <w:rsid w:val="0042526F"/>
    <w:rsid w:val="00425F28"/>
    <w:rsid w:val="00430F09"/>
    <w:rsid w:val="00440069"/>
    <w:rsid w:val="00445636"/>
    <w:rsid w:val="004503D6"/>
    <w:rsid w:val="004531CD"/>
    <w:rsid w:val="004561B8"/>
    <w:rsid w:val="00461732"/>
    <w:rsid w:val="0046580B"/>
    <w:rsid w:val="00466A1E"/>
    <w:rsid w:val="00471AB7"/>
    <w:rsid w:val="00472338"/>
    <w:rsid w:val="00474808"/>
    <w:rsid w:val="00474D85"/>
    <w:rsid w:val="00477CCC"/>
    <w:rsid w:val="00495701"/>
    <w:rsid w:val="004971BA"/>
    <w:rsid w:val="004972A1"/>
    <w:rsid w:val="004A1373"/>
    <w:rsid w:val="004A50AA"/>
    <w:rsid w:val="004B24D0"/>
    <w:rsid w:val="004B642F"/>
    <w:rsid w:val="004C3ADC"/>
    <w:rsid w:val="004C66ED"/>
    <w:rsid w:val="004D02AF"/>
    <w:rsid w:val="004D5CC9"/>
    <w:rsid w:val="004D6882"/>
    <w:rsid w:val="004E06F0"/>
    <w:rsid w:val="004E56D2"/>
    <w:rsid w:val="004F043E"/>
    <w:rsid w:val="004F11EF"/>
    <w:rsid w:val="005107CE"/>
    <w:rsid w:val="0051083F"/>
    <w:rsid w:val="005208A7"/>
    <w:rsid w:val="00521D3D"/>
    <w:rsid w:val="005247AC"/>
    <w:rsid w:val="005258A7"/>
    <w:rsid w:val="00527C4F"/>
    <w:rsid w:val="00531CFA"/>
    <w:rsid w:val="0054329A"/>
    <w:rsid w:val="005463A9"/>
    <w:rsid w:val="00546695"/>
    <w:rsid w:val="00552D1A"/>
    <w:rsid w:val="005534E3"/>
    <w:rsid w:val="00560076"/>
    <w:rsid w:val="00567296"/>
    <w:rsid w:val="00577578"/>
    <w:rsid w:val="00582B8D"/>
    <w:rsid w:val="00587167"/>
    <w:rsid w:val="00587642"/>
    <w:rsid w:val="0059097B"/>
    <w:rsid w:val="005926E3"/>
    <w:rsid w:val="005A3377"/>
    <w:rsid w:val="005A38DF"/>
    <w:rsid w:val="005A52CE"/>
    <w:rsid w:val="005A6469"/>
    <w:rsid w:val="005B214E"/>
    <w:rsid w:val="005C05FC"/>
    <w:rsid w:val="005C075E"/>
    <w:rsid w:val="005D011E"/>
    <w:rsid w:val="005D2072"/>
    <w:rsid w:val="00601402"/>
    <w:rsid w:val="00605D4F"/>
    <w:rsid w:val="006134CB"/>
    <w:rsid w:val="00614792"/>
    <w:rsid w:val="00622721"/>
    <w:rsid w:val="00624D27"/>
    <w:rsid w:val="00625345"/>
    <w:rsid w:val="0063191B"/>
    <w:rsid w:val="006456C4"/>
    <w:rsid w:val="00645C88"/>
    <w:rsid w:val="006469A5"/>
    <w:rsid w:val="00652413"/>
    <w:rsid w:val="00653E89"/>
    <w:rsid w:val="00654709"/>
    <w:rsid w:val="006637DD"/>
    <w:rsid w:val="00663E37"/>
    <w:rsid w:val="006654A8"/>
    <w:rsid w:val="00665CDD"/>
    <w:rsid w:val="00665D4B"/>
    <w:rsid w:val="00667D49"/>
    <w:rsid w:val="00670927"/>
    <w:rsid w:val="00670930"/>
    <w:rsid w:val="00671A53"/>
    <w:rsid w:val="0067392F"/>
    <w:rsid w:val="00675308"/>
    <w:rsid w:val="006806DB"/>
    <w:rsid w:val="00690FB0"/>
    <w:rsid w:val="00692C4E"/>
    <w:rsid w:val="006A3E67"/>
    <w:rsid w:val="006A46FC"/>
    <w:rsid w:val="006A5860"/>
    <w:rsid w:val="006B12FA"/>
    <w:rsid w:val="006B2DB9"/>
    <w:rsid w:val="006C151F"/>
    <w:rsid w:val="006C399D"/>
    <w:rsid w:val="006C49D7"/>
    <w:rsid w:val="006D2FBF"/>
    <w:rsid w:val="006D43F0"/>
    <w:rsid w:val="006D46A7"/>
    <w:rsid w:val="006D6330"/>
    <w:rsid w:val="006E098B"/>
    <w:rsid w:val="006E4B24"/>
    <w:rsid w:val="006F3702"/>
    <w:rsid w:val="006F4E57"/>
    <w:rsid w:val="007030FB"/>
    <w:rsid w:val="00710306"/>
    <w:rsid w:val="00715B80"/>
    <w:rsid w:val="00721423"/>
    <w:rsid w:val="00723EC1"/>
    <w:rsid w:val="007274F7"/>
    <w:rsid w:val="00730F33"/>
    <w:rsid w:val="007311AD"/>
    <w:rsid w:val="007319D2"/>
    <w:rsid w:val="00735A62"/>
    <w:rsid w:val="0073744D"/>
    <w:rsid w:val="00752FBA"/>
    <w:rsid w:val="00754E4B"/>
    <w:rsid w:val="007565EC"/>
    <w:rsid w:val="007575F0"/>
    <w:rsid w:val="00760218"/>
    <w:rsid w:val="0077464B"/>
    <w:rsid w:val="00774777"/>
    <w:rsid w:val="00781AE4"/>
    <w:rsid w:val="00790E60"/>
    <w:rsid w:val="007914AC"/>
    <w:rsid w:val="007A57E3"/>
    <w:rsid w:val="007B1F13"/>
    <w:rsid w:val="007B4A6F"/>
    <w:rsid w:val="007C2C1D"/>
    <w:rsid w:val="007C3143"/>
    <w:rsid w:val="007C48A9"/>
    <w:rsid w:val="007C5ADC"/>
    <w:rsid w:val="007D2FC3"/>
    <w:rsid w:val="007E3E23"/>
    <w:rsid w:val="007E67B2"/>
    <w:rsid w:val="007E7229"/>
    <w:rsid w:val="007F064A"/>
    <w:rsid w:val="007F1A7D"/>
    <w:rsid w:val="007F1C1B"/>
    <w:rsid w:val="007F6D5A"/>
    <w:rsid w:val="008017F9"/>
    <w:rsid w:val="00802DBC"/>
    <w:rsid w:val="008032BE"/>
    <w:rsid w:val="00824040"/>
    <w:rsid w:val="0083237D"/>
    <w:rsid w:val="00833929"/>
    <w:rsid w:val="00837C93"/>
    <w:rsid w:val="008408F4"/>
    <w:rsid w:val="00840F47"/>
    <w:rsid w:val="00841349"/>
    <w:rsid w:val="00841560"/>
    <w:rsid w:val="00851C16"/>
    <w:rsid w:val="008542F5"/>
    <w:rsid w:val="008545F1"/>
    <w:rsid w:val="00856F09"/>
    <w:rsid w:val="00857410"/>
    <w:rsid w:val="00873449"/>
    <w:rsid w:val="00873854"/>
    <w:rsid w:val="00875B0A"/>
    <w:rsid w:val="008861CE"/>
    <w:rsid w:val="00896189"/>
    <w:rsid w:val="008B0A56"/>
    <w:rsid w:val="008B2138"/>
    <w:rsid w:val="008B24AC"/>
    <w:rsid w:val="008B59D8"/>
    <w:rsid w:val="008D5F3D"/>
    <w:rsid w:val="008E473C"/>
    <w:rsid w:val="008E750D"/>
    <w:rsid w:val="008F1B02"/>
    <w:rsid w:val="008F35DC"/>
    <w:rsid w:val="008F5389"/>
    <w:rsid w:val="00900180"/>
    <w:rsid w:val="00900865"/>
    <w:rsid w:val="00900F73"/>
    <w:rsid w:val="009034CD"/>
    <w:rsid w:val="009055B7"/>
    <w:rsid w:val="00905951"/>
    <w:rsid w:val="00910C56"/>
    <w:rsid w:val="00915874"/>
    <w:rsid w:val="00920ABC"/>
    <w:rsid w:val="009223A1"/>
    <w:rsid w:val="00922AD9"/>
    <w:rsid w:val="009327AE"/>
    <w:rsid w:val="009438C7"/>
    <w:rsid w:val="00953AF1"/>
    <w:rsid w:val="009668BF"/>
    <w:rsid w:val="00967828"/>
    <w:rsid w:val="0097224B"/>
    <w:rsid w:val="00976CCB"/>
    <w:rsid w:val="0099026E"/>
    <w:rsid w:val="00990401"/>
    <w:rsid w:val="009A2337"/>
    <w:rsid w:val="009A319F"/>
    <w:rsid w:val="009B1C5F"/>
    <w:rsid w:val="009B3E9D"/>
    <w:rsid w:val="009B65B3"/>
    <w:rsid w:val="009C2D90"/>
    <w:rsid w:val="009C5CF5"/>
    <w:rsid w:val="009C78B6"/>
    <w:rsid w:val="009D66F4"/>
    <w:rsid w:val="009E1C8E"/>
    <w:rsid w:val="009E27A2"/>
    <w:rsid w:val="009E5EA6"/>
    <w:rsid w:val="009F459A"/>
    <w:rsid w:val="009F617B"/>
    <w:rsid w:val="00A004BB"/>
    <w:rsid w:val="00A0338C"/>
    <w:rsid w:val="00A04084"/>
    <w:rsid w:val="00A0468F"/>
    <w:rsid w:val="00A13EEC"/>
    <w:rsid w:val="00A1641D"/>
    <w:rsid w:val="00A31F51"/>
    <w:rsid w:val="00A34161"/>
    <w:rsid w:val="00A37D7F"/>
    <w:rsid w:val="00A40C76"/>
    <w:rsid w:val="00A4347C"/>
    <w:rsid w:val="00A44F64"/>
    <w:rsid w:val="00A455B5"/>
    <w:rsid w:val="00A47598"/>
    <w:rsid w:val="00A537AC"/>
    <w:rsid w:val="00A57383"/>
    <w:rsid w:val="00A61C7D"/>
    <w:rsid w:val="00A65D2D"/>
    <w:rsid w:val="00A6676B"/>
    <w:rsid w:val="00A667D9"/>
    <w:rsid w:val="00A70187"/>
    <w:rsid w:val="00A72588"/>
    <w:rsid w:val="00A73C73"/>
    <w:rsid w:val="00A7555A"/>
    <w:rsid w:val="00A75895"/>
    <w:rsid w:val="00AA45E5"/>
    <w:rsid w:val="00AA6273"/>
    <w:rsid w:val="00AB4939"/>
    <w:rsid w:val="00AC2F79"/>
    <w:rsid w:val="00AC3D20"/>
    <w:rsid w:val="00AC70BC"/>
    <w:rsid w:val="00AE2333"/>
    <w:rsid w:val="00AE2F66"/>
    <w:rsid w:val="00AE52A3"/>
    <w:rsid w:val="00AF6F60"/>
    <w:rsid w:val="00AF7388"/>
    <w:rsid w:val="00B002C3"/>
    <w:rsid w:val="00B04A55"/>
    <w:rsid w:val="00B075E9"/>
    <w:rsid w:val="00B1202D"/>
    <w:rsid w:val="00B12D14"/>
    <w:rsid w:val="00B14FF7"/>
    <w:rsid w:val="00B164D3"/>
    <w:rsid w:val="00B22071"/>
    <w:rsid w:val="00B240C7"/>
    <w:rsid w:val="00B40BBC"/>
    <w:rsid w:val="00B4295F"/>
    <w:rsid w:val="00B42BD2"/>
    <w:rsid w:val="00B434F8"/>
    <w:rsid w:val="00B4414D"/>
    <w:rsid w:val="00B44F32"/>
    <w:rsid w:val="00B45D03"/>
    <w:rsid w:val="00B5034D"/>
    <w:rsid w:val="00B535CE"/>
    <w:rsid w:val="00B6069A"/>
    <w:rsid w:val="00B67569"/>
    <w:rsid w:val="00B75C98"/>
    <w:rsid w:val="00B855C4"/>
    <w:rsid w:val="00B944D1"/>
    <w:rsid w:val="00B96795"/>
    <w:rsid w:val="00BA1B21"/>
    <w:rsid w:val="00BA24FA"/>
    <w:rsid w:val="00BA4500"/>
    <w:rsid w:val="00BA5BD5"/>
    <w:rsid w:val="00BA7650"/>
    <w:rsid w:val="00BC0539"/>
    <w:rsid w:val="00BC1470"/>
    <w:rsid w:val="00BC179C"/>
    <w:rsid w:val="00BC2876"/>
    <w:rsid w:val="00BC382C"/>
    <w:rsid w:val="00BC464A"/>
    <w:rsid w:val="00BC6806"/>
    <w:rsid w:val="00BD1D5B"/>
    <w:rsid w:val="00BD299F"/>
    <w:rsid w:val="00BD7112"/>
    <w:rsid w:val="00BE0469"/>
    <w:rsid w:val="00BE142C"/>
    <w:rsid w:val="00BE2356"/>
    <w:rsid w:val="00BE2B55"/>
    <w:rsid w:val="00BE4C7C"/>
    <w:rsid w:val="00BF102B"/>
    <w:rsid w:val="00BF1C15"/>
    <w:rsid w:val="00BF31B8"/>
    <w:rsid w:val="00BF6B83"/>
    <w:rsid w:val="00BF783F"/>
    <w:rsid w:val="00C026CC"/>
    <w:rsid w:val="00C110C8"/>
    <w:rsid w:val="00C125B3"/>
    <w:rsid w:val="00C1496A"/>
    <w:rsid w:val="00C23572"/>
    <w:rsid w:val="00C24FAA"/>
    <w:rsid w:val="00C259D8"/>
    <w:rsid w:val="00C26763"/>
    <w:rsid w:val="00C343D7"/>
    <w:rsid w:val="00C40A21"/>
    <w:rsid w:val="00C42384"/>
    <w:rsid w:val="00C45F45"/>
    <w:rsid w:val="00C50148"/>
    <w:rsid w:val="00C52803"/>
    <w:rsid w:val="00C55F4F"/>
    <w:rsid w:val="00C568D3"/>
    <w:rsid w:val="00C56E85"/>
    <w:rsid w:val="00C6243B"/>
    <w:rsid w:val="00C641A7"/>
    <w:rsid w:val="00C76755"/>
    <w:rsid w:val="00C77094"/>
    <w:rsid w:val="00C83804"/>
    <w:rsid w:val="00C8477E"/>
    <w:rsid w:val="00C85247"/>
    <w:rsid w:val="00C92139"/>
    <w:rsid w:val="00CA2BC5"/>
    <w:rsid w:val="00CB3F40"/>
    <w:rsid w:val="00CB62B3"/>
    <w:rsid w:val="00CB6DD2"/>
    <w:rsid w:val="00CC19AC"/>
    <w:rsid w:val="00CC3F98"/>
    <w:rsid w:val="00CC486F"/>
    <w:rsid w:val="00CC7230"/>
    <w:rsid w:val="00CC7C98"/>
    <w:rsid w:val="00CD5DAE"/>
    <w:rsid w:val="00CE10FC"/>
    <w:rsid w:val="00CF55EA"/>
    <w:rsid w:val="00CF6593"/>
    <w:rsid w:val="00D01D72"/>
    <w:rsid w:val="00D01DEB"/>
    <w:rsid w:val="00D02748"/>
    <w:rsid w:val="00D02A1C"/>
    <w:rsid w:val="00D0550D"/>
    <w:rsid w:val="00D07406"/>
    <w:rsid w:val="00D106ED"/>
    <w:rsid w:val="00D179C6"/>
    <w:rsid w:val="00D21C0E"/>
    <w:rsid w:val="00D33A93"/>
    <w:rsid w:val="00D3462F"/>
    <w:rsid w:val="00D36FAC"/>
    <w:rsid w:val="00D4120D"/>
    <w:rsid w:val="00D530EA"/>
    <w:rsid w:val="00D5671C"/>
    <w:rsid w:val="00D56C4A"/>
    <w:rsid w:val="00D622A6"/>
    <w:rsid w:val="00D721F9"/>
    <w:rsid w:val="00D725A1"/>
    <w:rsid w:val="00D8103C"/>
    <w:rsid w:val="00D8105C"/>
    <w:rsid w:val="00D81383"/>
    <w:rsid w:val="00D95BAF"/>
    <w:rsid w:val="00DB1220"/>
    <w:rsid w:val="00DB1BEF"/>
    <w:rsid w:val="00DB1C94"/>
    <w:rsid w:val="00DB26E8"/>
    <w:rsid w:val="00DB4E5B"/>
    <w:rsid w:val="00DC05ED"/>
    <w:rsid w:val="00DC39B0"/>
    <w:rsid w:val="00DC6762"/>
    <w:rsid w:val="00DD1CE4"/>
    <w:rsid w:val="00DD1D11"/>
    <w:rsid w:val="00DD68CA"/>
    <w:rsid w:val="00DD7309"/>
    <w:rsid w:val="00DE51EC"/>
    <w:rsid w:val="00DE78B7"/>
    <w:rsid w:val="00DF6570"/>
    <w:rsid w:val="00E031EC"/>
    <w:rsid w:val="00E04A8E"/>
    <w:rsid w:val="00E11BFC"/>
    <w:rsid w:val="00E13FB3"/>
    <w:rsid w:val="00E17D81"/>
    <w:rsid w:val="00E23541"/>
    <w:rsid w:val="00E23616"/>
    <w:rsid w:val="00E23F8C"/>
    <w:rsid w:val="00E33FFD"/>
    <w:rsid w:val="00E349DA"/>
    <w:rsid w:val="00E364C0"/>
    <w:rsid w:val="00E4759D"/>
    <w:rsid w:val="00E47814"/>
    <w:rsid w:val="00E51AFC"/>
    <w:rsid w:val="00E568F7"/>
    <w:rsid w:val="00E57546"/>
    <w:rsid w:val="00E61465"/>
    <w:rsid w:val="00E621C1"/>
    <w:rsid w:val="00E64750"/>
    <w:rsid w:val="00E65961"/>
    <w:rsid w:val="00E67188"/>
    <w:rsid w:val="00E6723A"/>
    <w:rsid w:val="00E73AE1"/>
    <w:rsid w:val="00E80F8F"/>
    <w:rsid w:val="00E8148A"/>
    <w:rsid w:val="00E8454E"/>
    <w:rsid w:val="00E91650"/>
    <w:rsid w:val="00E9321A"/>
    <w:rsid w:val="00E94FCE"/>
    <w:rsid w:val="00E9725E"/>
    <w:rsid w:val="00EA4735"/>
    <w:rsid w:val="00EA5EC6"/>
    <w:rsid w:val="00EA6E7C"/>
    <w:rsid w:val="00EA787C"/>
    <w:rsid w:val="00EB341C"/>
    <w:rsid w:val="00EB71AB"/>
    <w:rsid w:val="00EC03ED"/>
    <w:rsid w:val="00EC5FFB"/>
    <w:rsid w:val="00EE2597"/>
    <w:rsid w:val="00EF3D01"/>
    <w:rsid w:val="00EF5766"/>
    <w:rsid w:val="00EF73BF"/>
    <w:rsid w:val="00F04F8F"/>
    <w:rsid w:val="00F127CF"/>
    <w:rsid w:val="00F138E0"/>
    <w:rsid w:val="00F14BF8"/>
    <w:rsid w:val="00F3616C"/>
    <w:rsid w:val="00F36F91"/>
    <w:rsid w:val="00F47B4F"/>
    <w:rsid w:val="00F61170"/>
    <w:rsid w:val="00F61D3E"/>
    <w:rsid w:val="00F66DF8"/>
    <w:rsid w:val="00F71360"/>
    <w:rsid w:val="00F816DD"/>
    <w:rsid w:val="00F81F62"/>
    <w:rsid w:val="00F84951"/>
    <w:rsid w:val="00F94E7E"/>
    <w:rsid w:val="00FA7C83"/>
    <w:rsid w:val="00FB7B79"/>
    <w:rsid w:val="00FC4E15"/>
    <w:rsid w:val="00FD0013"/>
    <w:rsid w:val="00FD2287"/>
    <w:rsid w:val="00FE149F"/>
    <w:rsid w:val="00FE53AF"/>
    <w:rsid w:val="00FF06B0"/>
    <w:rsid w:val="00FF0B93"/>
    <w:rsid w:val="00FF14F3"/>
    <w:rsid w:val="00FF3DB6"/>
    <w:rsid w:val="00FF444C"/>
    <w:rsid w:val="00FF5C9B"/>
    <w:rsid w:val="00FF73F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8CC17"/>
  <w15:docId w15:val="{E03ADDEB-1455-44BA-AF02-28CF4236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709"/>
    <w:pPr>
      <w:spacing w:line="360" w:lineRule="auto"/>
    </w:pPr>
    <w:rPr>
      <w:rFonts w:ascii="Arial" w:hAnsi="Arial" w:cs="Segoe UI"/>
    </w:rPr>
  </w:style>
  <w:style w:type="paragraph" w:styleId="Heading1">
    <w:name w:val="heading 1"/>
    <w:basedOn w:val="Normal"/>
    <w:next w:val="Normal"/>
    <w:link w:val="Heading1Char"/>
    <w:autoRedefine/>
    <w:uiPriority w:val="9"/>
    <w:qFormat/>
    <w:rsid w:val="00654709"/>
    <w:pPr>
      <w:spacing w:before="200" w:after="0" w:line="276" w:lineRule="auto"/>
      <w:outlineLvl w:val="0"/>
    </w:pPr>
    <w:rPr>
      <w:rFonts w:eastAsiaTheme="minorEastAsia"/>
      <w:b/>
      <w:bCs/>
      <w:spacing w:val="15"/>
      <w:sz w:val="36"/>
      <w:lang w:val="en-US" w:bidi="en-US"/>
    </w:rPr>
  </w:style>
  <w:style w:type="paragraph" w:styleId="Heading2">
    <w:name w:val="heading 2"/>
    <w:basedOn w:val="Normal"/>
    <w:next w:val="Normal"/>
    <w:link w:val="Heading2Char"/>
    <w:autoRedefine/>
    <w:uiPriority w:val="9"/>
    <w:unhideWhenUsed/>
    <w:qFormat/>
    <w:rsid w:val="00C23572"/>
    <w:pPr>
      <w:spacing w:before="240" w:after="0" w:line="276" w:lineRule="auto"/>
      <w:jc w:val="both"/>
      <w:outlineLvl w:val="1"/>
    </w:pPr>
    <w:rPr>
      <w:rFonts w:eastAsiaTheme="minorEastAsia"/>
      <w:b/>
      <w:color w:val="000000" w:themeColor="text1"/>
      <w:spacing w:val="15"/>
      <w:sz w:val="28"/>
      <w:lang w:val="en-US" w:bidi="en-US"/>
    </w:rPr>
  </w:style>
  <w:style w:type="paragraph" w:styleId="Heading3">
    <w:name w:val="heading 3"/>
    <w:basedOn w:val="Normal"/>
    <w:next w:val="Normal"/>
    <w:link w:val="Heading3Char"/>
    <w:autoRedefine/>
    <w:uiPriority w:val="9"/>
    <w:unhideWhenUsed/>
    <w:qFormat/>
    <w:rsid w:val="00C76755"/>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9C78B6"/>
    <w:pPr>
      <w:pBdr>
        <w:top w:val="dotted" w:sz="6" w:space="2" w:color="4472C4" w:themeColor="accent1"/>
        <w:left w:val="dotted" w:sz="6" w:space="2" w:color="4472C4" w:themeColor="accent1"/>
      </w:pBdr>
      <w:spacing w:before="300" w:after="0" w:line="276" w:lineRule="auto"/>
      <w:outlineLvl w:val="3"/>
    </w:pPr>
    <w:rPr>
      <w:rFonts w:eastAsiaTheme="minorEastAsia"/>
      <w:caps/>
      <w:color w:val="2F5496" w:themeColor="accent1" w:themeShade="BF"/>
      <w:spacing w:val="10"/>
      <w:lang w:val="en-US" w:bidi="en-US"/>
    </w:rPr>
  </w:style>
  <w:style w:type="paragraph" w:styleId="Heading5">
    <w:name w:val="heading 5"/>
    <w:basedOn w:val="Normal"/>
    <w:next w:val="Normal"/>
    <w:link w:val="Heading5Char"/>
    <w:uiPriority w:val="9"/>
    <w:unhideWhenUsed/>
    <w:qFormat/>
    <w:rsid w:val="009C78B6"/>
    <w:pPr>
      <w:pBdr>
        <w:bottom w:val="single" w:sz="6" w:space="1" w:color="4472C4" w:themeColor="accent1"/>
      </w:pBdr>
      <w:spacing w:before="300" w:after="0" w:line="276" w:lineRule="auto"/>
      <w:outlineLvl w:val="4"/>
    </w:pPr>
    <w:rPr>
      <w:rFonts w:eastAsiaTheme="minorEastAsia"/>
      <w:caps/>
      <w:color w:val="2F5496" w:themeColor="accent1" w:themeShade="BF"/>
      <w:spacing w:val="10"/>
      <w:lang w:val="en-US" w:bidi="en-US"/>
    </w:rPr>
  </w:style>
  <w:style w:type="paragraph" w:styleId="Heading6">
    <w:name w:val="heading 6"/>
    <w:basedOn w:val="Normal"/>
    <w:next w:val="Normal"/>
    <w:link w:val="Heading6Char"/>
    <w:uiPriority w:val="9"/>
    <w:unhideWhenUsed/>
    <w:qFormat/>
    <w:rsid w:val="009C78B6"/>
    <w:pPr>
      <w:pBdr>
        <w:bottom w:val="dotted" w:sz="6" w:space="1" w:color="4472C4" w:themeColor="accent1"/>
      </w:pBdr>
      <w:spacing w:before="300" w:after="0" w:line="276" w:lineRule="auto"/>
      <w:outlineLvl w:val="5"/>
    </w:pPr>
    <w:rPr>
      <w:rFonts w:eastAsiaTheme="minorEastAsia"/>
      <w:caps/>
      <w:color w:val="2F5496" w:themeColor="accent1" w:themeShade="BF"/>
      <w:spacing w:val="10"/>
      <w:lang w:val="en-US" w:bidi="en-US"/>
    </w:rPr>
  </w:style>
  <w:style w:type="paragraph" w:styleId="Heading7">
    <w:name w:val="heading 7"/>
    <w:basedOn w:val="Normal"/>
    <w:next w:val="Normal"/>
    <w:link w:val="Heading7Char"/>
    <w:uiPriority w:val="9"/>
    <w:semiHidden/>
    <w:unhideWhenUsed/>
    <w:qFormat/>
    <w:rsid w:val="009C78B6"/>
    <w:pPr>
      <w:spacing w:before="300" w:after="0" w:line="276" w:lineRule="auto"/>
      <w:outlineLvl w:val="6"/>
    </w:pPr>
    <w:rPr>
      <w:rFonts w:eastAsiaTheme="minorEastAsia"/>
      <w:caps/>
      <w:color w:val="2F5496" w:themeColor="accent1" w:themeShade="BF"/>
      <w:spacing w:val="10"/>
      <w:lang w:val="en-US" w:bidi="en-US"/>
    </w:rPr>
  </w:style>
  <w:style w:type="paragraph" w:styleId="Heading8">
    <w:name w:val="heading 8"/>
    <w:basedOn w:val="Normal"/>
    <w:next w:val="Normal"/>
    <w:link w:val="Heading8Char"/>
    <w:uiPriority w:val="9"/>
    <w:semiHidden/>
    <w:unhideWhenUsed/>
    <w:qFormat/>
    <w:rsid w:val="009C78B6"/>
    <w:pPr>
      <w:spacing w:before="300" w:after="0" w:line="276" w:lineRule="auto"/>
      <w:outlineLvl w:val="7"/>
    </w:pPr>
    <w:rPr>
      <w:rFonts w:eastAsiaTheme="minorEastAsia"/>
      <w:caps/>
      <w:spacing w:val="10"/>
      <w:sz w:val="18"/>
      <w:szCs w:val="18"/>
      <w:lang w:val="en-US" w:bidi="en-US"/>
    </w:rPr>
  </w:style>
  <w:style w:type="paragraph" w:styleId="Heading9">
    <w:name w:val="heading 9"/>
    <w:basedOn w:val="Normal"/>
    <w:next w:val="Normal"/>
    <w:link w:val="Heading9Char"/>
    <w:uiPriority w:val="9"/>
    <w:semiHidden/>
    <w:unhideWhenUsed/>
    <w:qFormat/>
    <w:rsid w:val="009C78B6"/>
    <w:pPr>
      <w:spacing w:before="300" w:after="0" w:line="276" w:lineRule="auto"/>
      <w:outlineLvl w:val="8"/>
    </w:pPr>
    <w:rPr>
      <w:rFonts w:eastAsiaTheme="minorEastAsia"/>
      <w:i/>
      <w:caps/>
      <w:spacing w:val="10"/>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709"/>
    <w:rPr>
      <w:rFonts w:ascii="Arial" w:eastAsiaTheme="minorEastAsia" w:hAnsi="Arial" w:cs="Segoe UI"/>
      <w:b/>
      <w:bCs/>
      <w:spacing w:val="15"/>
      <w:sz w:val="36"/>
      <w:lang w:val="en-US" w:bidi="en-US"/>
    </w:rPr>
  </w:style>
  <w:style w:type="character" w:customStyle="1" w:styleId="Heading2Char">
    <w:name w:val="Heading 2 Char"/>
    <w:basedOn w:val="DefaultParagraphFont"/>
    <w:link w:val="Heading2"/>
    <w:uiPriority w:val="9"/>
    <w:rsid w:val="00C23572"/>
    <w:rPr>
      <w:rFonts w:ascii="Arial" w:eastAsiaTheme="minorEastAsia" w:hAnsi="Arial" w:cs="Segoe UI"/>
      <w:b/>
      <w:color w:val="000000" w:themeColor="text1"/>
      <w:spacing w:val="15"/>
      <w:sz w:val="28"/>
      <w:lang w:val="en-US" w:bidi="en-US"/>
    </w:rPr>
  </w:style>
  <w:style w:type="character" w:customStyle="1" w:styleId="Heading3Char">
    <w:name w:val="Heading 3 Char"/>
    <w:basedOn w:val="DefaultParagraphFont"/>
    <w:link w:val="Heading3"/>
    <w:uiPriority w:val="9"/>
    <w:rsid w:val="00C76755"/>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9C78B6"/>
    <w:rPr>
      <w:rFonts w:ascii="Segoe UI" w:eastAsiaTheme="minorEastAsia" w:hAnsi="Segoe UI" w:cs="Segoe UI"/>
      <w:caps/>
      <w:color w:val="2F5496" w:themeColor="accent1" w:themeShade="BF"/>
      <w:spacing w:val="10"/>
      <w:lang w:val="en-US" w:bidi="en-US"/>
    </w:rPr>
  </w:style>
  <w:style w:type="character" w:customStyle="1" w:styleId="Heading5Char">
    <w:name w:val="Heading 5 Char"/>
    <w:basedOn w:val="DefaultParagraphFont"/>
    <w:link w:val="Heading5"/>
    <w:uiPriority w:val="9"/>
    <w:rsid w:val="009C78B6"/>
    <w:rPr>
      <w:rFonts w:ascii="Segoe UI" w:eastAsiaTheme="minorEastAsia" w:hAnsi="Segoe UI" w:cs="Segoe UI"/>
      <w:caps/>
      <w:color w:val="2F5496" w:themeColor="accent1" w:themeShade="BF"/>
      <w:spacing w:val="10"/>
      <w:lang w:val="en-US" w:bidi="en-US"/>
    </w:rPr>
  </w:style>
  <w:style w:type="character" w:customStyle="1" w:styleId="Heading6Char">
    <w:name w:val="Heading 6 Char"/>
    <w:basedOn w:val="DefaultParagraphFont"/>
    <w:link w:val="Heading6"/>
    <w:uiPriority w:val="9"/>
    <w:rsid w:val="009C78B6"/>
    <w:rPr>
      <w:rFonts w:ascii="Segoe UI" w:eastAsiaTheme="minorEastAsia" w:hAnsi="Segoe UI" w:cs="Segoe UI"/>
      <w:caps/>
      <w:color w:val="2F5496" w:themeColor="accent1" w:themeShade="BF"/>
      <w:spacing w:val="10"/>
      <w:lang w:val="en-US" w:bidi="en-US"/>
    </w:rPr>
  </w:style>
  <w:style w:type="character" w:customStyle="1" w:styleId="Heading7Char">
    <w:name w:val="Heading 7 Char"/>
    <w:basedOn w:val="DefaultParagraphFont"/>
    <w:link w:val="Heading7"/>
    <w:uiPriority w:val="9"/>
    <w:semiHidden/>
    <w:rsid w:val="009C78B6"/>
    <w:rPr>
      <w:rFonts w:ascii="Segoe UI" w:eastAsiaTheme="minorEastAsia" w:hAnsi="Segoe UI" w:cs="Segoe UI"/>
      <w:caps/>
      <w:color w:val="2F5496" w:themeColor="accent1" w:themeShade="BF"/>
      <w:spacing w:val="10"/>
      <w:lang w:val="en-US" w:bidi="en-US"/>
    </w:rPr>
  </w:style>
  <w:style w:type="paragraph" w:styleId="NoSpacing">
    <w:name w:val="No Spacing"/>
    <w:aliases w:val="COS Table"/>
    <w:basedOn w:val="Normal"/>
    <w:link w:val="NoSpacingChar"/>
    <w:uiPriority w:val="1"/>
    <w:qFormat/>
    <w:rsid w:val="001B3A51"/>
    <w:pPr>
      <w:spacing w:after="0" w:line="240" w:lineRule="auto"/>
    </w:pPr>
    <w:rPr>
      <w:rFonts w:eastAsiaTheme="minorEastAsia"/>
      <w:sz w:val="20"/>
      <w:szCs w:val="20"/>
      <w:lang w:val="en-US" w:bidi="en-US"/>
    </w:rPr>
  </w:style>
  <w:style w:type="character" w:customStyle="1" w:styleId="NoSpacingChar">
    <w:name w:val="No Spacing Char"/>
    <w:aliases w:val="COS Table Char"/>
    <w:basedOn w:val="DefaultParagraphFont"/>
    <w:link w:val="NoSpacing"/>
    <w:uiPriority w:val="1"/>
    <w:rsid w:val="001B3A51"/>
    <w:rPr>
      <w:rFonts w:eastAsiaTheme="minorEastAsia"/>
      <w:sz w:val="20"/>
      <w:szCs w:val="20"/>
      <w:lang w:val="en-US" w:bidi="en-US"/>
    </w:rPr>
  </w:style>
  <w:style w:type="paragraph" w:styleId="Header">
    <w:name w:val="header"/>
    <w:basedOn w:val="Normal"/>
    <w:link w:val="HeaderChar"/>
    <w:unhideWhenUsed/>
    <w:rsid w:val="001B3A51"/>
    <w:pPr>
      <w:tabs>
        <w:tab w:val="center" w:pos="4680"/>
        <w:tab w:val="right" w:pos="9360"/>
      </w:tabs>
      <w:spacing w:before="200" w:after="200" w:line="276" w:lineRule="auto"/>
    </w:pPr>
    <w:rPr>
      <w:rFonts w:eastAsiaTheme="minorEastAsia"/>
      <w:sz w:val="20"/>
      <w:szCs w:val="20"/>
      <w:lang w:val="en-US" w:bidi="en-US"/>
    </w:rPr>
  </w:style>
  <w:style w:type="character" w:customStyle="1" w:styleId="HeaderChar">
    <w:name w:val="Header Char"/>
    <w:basedOn w:val="DefaultParagraphFont"/>
    <w:link w:val="Header"/>
    <w:uiPriority w:val="99"/>
    <w:rsid w:val="001B3A51"/>
    <w:rPr>
      <w:rFonts w:eastAsiaTheme="minorEastAsia"/>
      <w:sz w:val="20"/>
      <w:szCs w:val="20"/>
      <w:lang w:val="en-US" w:bidi="en-US"/>
    </w:rPr>
  </w:style>
  <w:style w:type="paragraph" w:styleId="Footer">
    <w:name w:val="footer"/>
    <w:basedOn w:val="Normal"/>
    <w:link w:val="FooterChar"/>
    <w:uiPriority w:val="99"/>
    <w:unhideWhenUsed/>
    <w:qFormat/>
    <w:rsid w:val="001B3A51"/>
    <w:pPr>
      <w:spacing w:before="200" w:after="200" w:line="276" w:lineRule="auto"/>
    </w:pPr>
    <w:rPr>
      <w:rFonts w:asciiTheme="majorHAnsi" w:eastAsiaTheme="majorEastAsia" w:hAnsiTheme="majorHAnsi" w:cstheme="majorBidi"/>
      <w:caps/>
      <w:color w:val="4472C4" w:themeColor="accent1"/>
      <w:sz w:val="16"/>
      <w:szCs w:val="16"/>
      <w:lang w:val="en-US" w:bidi="en-US"/>
    </w:rPr>
  </w:style>
  <w:style w:type="character" w:customStyle="1" w:styleId="FooterChar">
    <w:name w:val="Footer Char"/>
    <w:basedOn w:val="DefaultParagraphFont"/>
    <w:link w:val="Footer"/>
    <w:uiPriority w:val="99"/>
    <w:rsid w:val="001B3A51"/>
    <w:rPr>
      <w:rFonts w:asciiTheme="majorHAnsi" w:eastAsiaTheme="majorEastAsia" w:hAnsiTheme="majorHAnsi" w:cstheme="majorBidi"/>
      <w:caps/>
      <w:color w:val="4472C4" w:themeColor="accent1"/>
      <w:sz w:val="16"/>
      <w:szCs w:val="16"/>
      <w:lang w:val="en-US" w:bidi="en-US"/>
    </w:rPr>
  </w:style>
  <w:style w:type="paragraph" w:styleId="TOC1">
    <w:name w:val="toc 1"/>
    <w:basedOn w:val="Normal"/>
    <w:next w:val="Normal"/>
    <w:autoRedefine/>
    <w:uiPriority w:val="39"/>
    <w:unhideWhenUsed/>
    <w:rsid w:val="00E8454E"/>
    <w:pPr>
      <w:tabs>
        <w:tab w:val="right" w:leader="dot" w:pos="9350"/>
      </w:tabs>
      <w:spacing w:before="200" w:after="140" w:line="276" w:lineRule="auto"/>
      <w:ind w:right="3240"/>
    </w:pPr>
    <w:rPr>
      <w:rFonts w:eastAsiaTheme="minorEastAsia"/>
      <w:b/>
      <w:bCs/>
      <w:sz w:val="26"/>
      <w:szCs w:val="26"/>
      <w:lang w:val="en-US" w:bidi="en-US"/>
    </w:rPr>
  </w:style>
  <w:style w:type="paragraph" w:styleId="TOC2">
    <w:name w:val="toc 2"/>
    <w:basedOn w:val="Normal"/>
    <w:next w:val="Normal"/>
    <w:autoRedefine/>
    <w:uiPriority w:val="39"/>
    <w:unhideWhenUsed/>
    <w:rsid w:val="00E8454E"/>
    <w:pPr>
      <w:tabs>
        <w:tab w:val="right" w:leader="dot" w:pos="9350"/>
      </w:tabs>
      <w:spacing w:before="120" w:after="0" w:line="276" w:lineRule="auto"/>
      <w:ind w:left="720" w:right="3238"/>
    </w:pPr>
    <w:rPr>
      <w:rFonts w:eastAsiaTheme="minorEastAsia" w:cs="Arial"/>
      <w:noProof/>
      <w:szCs w:val="20"/>
      <w:lang w:val="en-US" w:bidi="en-US"/>
    </w:rPr>
  </w:style>
  <w:style w:type="character" w:styleId="Hyperlink">
    <w:name w:val="Hyperlink"/>
    <w:basedOn w:val="DefaultParagraphFont"/>
    <w:uiPriority w:val="99"/>
    <w:unhideWhenUsed/>
    <w:rsid w:val="001B3A51"/>
    <w:rPr>
      <w:color w:val="0563C1" w:themeColor="hyperlink"/>
      <w:u w:val="single"/>
    </w:rPr>
  </w:style>
  <w:style w:type="table" w:customStyle="1" w:styleId="TipTable">
    <w:name w:val="Tip Table"/>
    <w:basedOn w:val="TableNormal"/>
    <w:uiPriority w:val="99"/>
    <w:rsid w:val="001B3A51"/>
    <w:pPr>
      <w:spacing w:before="200" w:after="0" w:line="240" w:lineRule="auto"/>
    </w:pPr>
    <w:rPr>
      <w:rFonts w:eastAsiaTheme="minorEastAsia"/>
      <w:color w:val="404040" w:themeColor="text1" w:themeTint="BF"/>
      <w:sz w:val="18"/>
      <w:szCs w:val="18"/>
      <w:lang w:val="en-US" w:bidi="en-US"/>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1B3A51"/>
    <w:pPr>
      <w:spacing w:before="160" w:line="264" w:lineRule="auto"/>
      <w:ind w:right="576"/>
    </w:pPr>
    <w:rPr>
      <w:rFonts w:asciiTheme="majorHAnsi" w:eastAsiaTheme="majorEastAsia" w:hAnsiTheme="majorHAnsi" w:cstheme="majorBidi"/>
      <w:sz w:val="16"/>
      <w:szCs w:val="16"/>
      <w:lang w:val="en-US" w:bidi="en-US"/>
    </w:rPr>
  </w:style>
  <w:style w:type="paragraph" w:customStyle="1" w:styleId="Icon">
    <w:name w:val="Icon"/>
    <w:basedOn w:val="Normal"/>
    <w:uiPriority w:val="99"/>
    <w:unhideWhenUsed/>
    <w:qFormat/>
    <w:rsid w:val="001B3A51"/>
    <w:pPr>
      <w:spacing w:before="160" w:line="276" w:lineRule="auto"/>
      <w:jc w:val="center"/>
    </w:pPr>
    <w:rPr>
      <w:rFonts w:eastAsiaTheme="minorEastAsia"/>
      <w:sz w:val="20"/>
      <w:szCs w:val="20"/>
      <w:lang w:val="en-US" w:bidi="en-US"/>
    </w:rPr>
  </w:style>
  <w:style w:type="paragraph" w:styleId="ListParagraph">
    <w:name w:val="List Paragraph"/>
    <w:basedOn w:val="Normal"/>
    <w:uiPriority w:val="34"/>
    <w:qFormat/>
    <w:rsid w:val="00233E91"/>
    <w:pPr>
      <w:numPr>
        <w:numId w:val="2"/>
      </w:numPr>
      <w:spacing w:before="200" w:after="200"/>
      <w:contextualSpacing/>
    </w:pPr>
    <w:rPr>
      <w:rFonts w:eastAsiaTheme="minorEastAsia"/>
      <w:szCs w:val="20"/>
      <w:lang w:val="en-US" w:bidi="en-US"/>
    </w:rPr>
  </w:style>
  <w:style w:type="paragraph" w:customStyle="1" w:styleId="Default">
    <w:name w:val="Default"/>
    <w:rsid w:val="001B3A51"/>
    <w:pPr>
      <w:autoSpaceDE w:val="0"/>
      <w:autoSpaceDN w:val="0"/>
      <w:adjustRightInd w:val="0"/>
      <w:spacing w:before="200" w:after="0" w:line="240" w:lineRule="auto"/>
    </w:pPr>
    <w:rPr>
      <w:rFonts w:ascii="Arial" w:eastAsiaTheme="minorEastAsia" w:hAnsi="Arial" w:cs="Arial"/>
      <w:color w:val="000000"/>
      <w:sz w:val="24"/>
      <w:szCs w:val="24"/>
      <w:lang w:bidi="en-US"/>
    </w:rPr>
  </w:style>
  <w:style w:type="paragraph" w:customStyle="1" w:styleId="SectionTitle">
    <w:name w:val="Section Title"/>
    <w:basedOn w:val="Normal"/>
    <w:rsid w:val="001B3A51"/>
    <w:pPr>
      <w:spacing w:before="240" w:after="240" w:line="276" w:lineRule="auto"/>
      <w:jc w:val="both"/>
    </w:pPr>
    <w:rPr>
      <w:rFonts w:eastAsiaTheme="minorEastAsia"/>
      <w:b/>
      <w:color w:val="C45911" w:themeColor="accent2" w:themeShade="BF"/>
      <w:sz w:val="24"/>
      <w:szCs w:val="26"/>
      <w:lang w:val="en-US" w:bidi="en-US"/>
    </w:rPr>
  </w:style>
  <w:style w:type="character" w:styleId="Strong">
    <w:name w:val="Strong"/>
    <w:uiPriority w:val="22"/>
    <w:qFormat/>
    <w:rsid w:val="001B3A51"/>
    <w:rPr>
      <w:b/>
      <w:bCs/>
    </w:rPr>
  </w:style>
  <w:style w:type="character" w:styleId="SubtleEmphasis">
    <w:name w:val="Subtle Emphasis"/>
    <w:uiPriority w:val="19"/>
    <w:qFormat/>
    <w:rsid w:val="001B3A51"/>
    <w:rPr>
      <w:i/>
      <w:iCs/>
      <w:color w:val="1F3864" w:themeColor="accent1" w:themeShade="80"/>
    </w:rPr>
  </w:style>
  <w:style w:type="character" w:styleId="IntenseEmphasis">
    <w:name w:val="Intense Emphasis"/>
    <w:uiPriority w:val="21"/>
    <w:qFormat/>
    <w:rsid w:val="001B3A51"/>
    <w:rPr>
      <w:b/>
      <w:bCs/>
      <w:caps/>
      <w:color w:val="1F3763" w:themeColor="accent1" w:themeShade="7F"/>
      <w:spacing w:val="10"/>
    </w:rPr>
  </w:style>
  <w:style w:type="character" w:styleId="IntenseReference">
    <w:name w:val="Intense Reference"/>
    <w:uiPriority w:val="32"/>
    <w:qFormat/>
    <w:rsid w:val="001B3A51"/>
    <w:rPr>
      <w:b/>
      <w:bCs/>
      <w:i/>
      <w:iCs/>
      <w:caps/>
      <w:color w:val="4472C4" w:themeColor="accent1"/>
    </w:rPr>
  </w:style>
  <w:style w:type="paragraph" w:customStyle="1" w:styleId="117-Body">
    <w:name w:val="117-Body"/>
    <w:basedOn w:val="Normal"/>
    <w:autoRedefine/>
    <w:uiPriority w:val="99"/>
    <w:rsid w:val="001A5548"/>
    <w:pPr>
      <w:tabs>
        <w:tab w:val="left" w:pos="7200"/>
        <w:tab w:val="left" w:pos="8370"/>
      </w:tabs>
      <w:spacing w:before="120" w:after="120"/>
      <w:jc w:val="both"/>
    </w:pPr>
    <w:rPr>
      <w:rFonts w:eastAsia="Times New Roman"/>
      <w:szCs w:val="24"/>
      <w:lang w:eastAsia="en-CA"/>
    </w:rPr>
  </w:style>
  <w:style w:type="paragraph" w:customStyle="1" w:styleId="117-BodyCentred">
    <w:name w:val="117-Body Centred"/>
    <w:basedOn w:val="Normal"/>
    <w:autoRedefine/>
    <w:uiPriority w:val="99"/>
    <w:rsid w:val="001B3A51"/>
    <w:pPr>
      <w:spacing w:before="120" w:after="120" w:line="276" w:lineRule="auto"/>
      <w:ind w:left="1985" w:right="1650"/>
    </w:pPr>
    <w:rPr>
      <w:rFonts w:eastAsia="Times New Roman" w:cs="Arial"/>
      <w:lang w:val="en-US"/>
    </w:rPr>
  </w:style>
  <w:style w:type="paragraph" w:customStyle="1" w:styleId="117-Heading10">
    <w:name w:val="117-Heading 10"/>
    <w:basedOn w:val="Normal"/>
    <w:autoRedefine/>
    <w:uiPriority w:val="99"/>
    <w:rsid w:val="001B3A51"/>
    <w:pPr>
      <w:spacing w:before="240" w:after="280" w:line="240" w:lineRule="auto"/>
      <w:contextualSpacing/>
    </w:pPr>
    <w:rPr>
      <w:rFonts w:eastAsia="Times New Roman" w:cs="Times New Roman"/>
      <w:sz w:val="24"/>
      <w:szCs w:val="24"/>
      <w:lang w:eastAsia="en-CA"/>
    </w:rPr>
  </w:style>
  <w:style w:type="paragraph" w:customStyle="1" w:styleId="117-TabbedAddress">
    <w:name w:val="117-Tabbed Address"/>
    <w:basedOn w:val="Normal"/>
    <w:autoRedefine/>
    <w:uiPriority w:val="99"/>
    <w:rsid w:val="001B3A51"/>
    <w:pPr>
      <w:tabs>
        <w:tab w:val="left" w:pos="1843"/>
        <w:tab w:val="left" w:pos="4536"/>
        <w:tab w:val="left" w:pos="5670"/>
      </w:tabs>
      <w:spacing w:after="0" w:line="276" w:lineRule="auto"/>
      <w:contextualSpacing/>
    </w:pPr>
    <w:rPr>
      <w:rFonts w:eastAsia="Times New Roman" w:cs="Arial"/>
      <w:lang w:val="en-US"/>
    </w:rPr>
  </w:style>
  <w:style w:type="paragraph" w:customStyle="1" w:styleId="Style117-TabbedAddressLeft0cmHanging325cm">
    <w:name w:val="Style 117-Tabbed Address + Left:  0 cm Hanging:  3.25 cm"/>
    <w:basedOn w:val="117-TabbedAddress"/>
    <w:uiPriority w:val="99"/>
    <w:rsid w:val="001B3A51"/>
    <w:pPr>
      <w:spacing w:after="480"/>
      <w:ind w:left="1843" w:hanging="1843"/>
    </w:pPr>
    <w:rPr>
      <w:rFonts w:cs="Times New Roman"/>
      <w:szCs w:val="20"/>
    </w:rPr>
  </w:style>
  <w:style w:type="paragraph" w:styleId="TOCHeading">
    <w:name w:val="TOC Heading"/>
    <w:basedOn w:val="Heading1"/>
    <w:next w:val="Normal"/>
    <w:uiPriority w:val="39"/>
    <w:unhideWhenUsed/>
    <w:qFormat/>
    <w:rsid w:val="001B3A51"/>
    <w:pPr>
      <w:keepNext/>
      <w:keepLines/>
      <w:spacing w:before="0" w:after="400" w:line="360" w:lineRule="auto"/>
      <w:outlineLvl w:val="9"/>
    </w:pPr>
    <w:rPr>
      <w:rFonts w:asciiTheme="majorHAnsi" w:eastAsiaTheme="majorEastAsia" w:hAnsiTheme="majorHAnsi" w:cstheme="majorBidi"/>
      <w:b w:val="0"/>
      <w:bCs w:val="0"/>
      <w:caps/>
      <w:color w:val="2F5496" w:themeColor="accent1" w:themeShade="BF"/>
      <w:spacing w:val="0"/>
      <w:sz w:val="72"/>
      <w:szCs w:val="72"/>
      <w:lang w:val="en-CA" w:eastAsia="en-CA" w:bidi="ar-SA"/>
    </w:rPr>
  </w:style>
  <w:style w:type="table" w:styleId="TableGrid">
    <w:name w:val="Table Grid"/>
    <w:basedOn w:val="TableNormal"/>
    <w:uiPriority w:val="39"/>
    <w:rsid w:val="001B3A51"/>
    <w:pPr>
      <w:spacing w:before="200"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A51"/>
    <w:rPr>
      <w:sz w:val="16"/>
      <w:szCs w:val="16"/>
    </w:rPr>
  </w:style>
  <w:style w:type="paragraph" w:styleId="CommentText">
    <w:name w:val="annotation text"/>
    <w:basedOn w:val="Normal"/>
    <w:link w:val="CommentTextChar"/>
    <w:uiPriority w:val="99"/>
    <w:unhideWhenUsed/>
    <w:rsid w:val="001B3A51"/>
    <w:pPr>
      <w:spacing w:before="200" w:after="200" w:line="276" w:lineRule="auto"/>
    </w:pPr>
    <w:rPr>
      <w:rFonts w:eastAsiaTheme="minorEastAsia"/>
      <w:sz w:val="20"/>
      <w:szCs w:val="20"/>
      <w:lang w:val="en-US" w:bidi="en-US"/>
    </w:rPr>
  </w:style>
  <w:style w:type="character" w:customStyle="1" w:styleId="CommentTextChar">
    <w:name w:val="Comment Text Char"/>
    <w:basedOn w:val="DefaultParagraphFont"/>
    <w:link w:val="CommentText"/>
    <w:uiPriority w:val="99"/>
    <w:rsid w:val="001B3A51"/>
    <w:rPr>
      <w:rFonts w:eastAsiaTheme="minorEastAsia"/>
      <w:sz w:val="20"/>
      <w:szCs w:val="20"/>
      <w:lang w:val="en-US" w:bidi="en-US"/>
    </w:rPr>
  </w:style>
  <w:style w:type="paragraph" w:styleId="BalloonText">
    <w:name w:val="Balloon Text"/>
    <w:basedOn w:val="Normal"/>
    <w:link w:val="BalloonTextChar"/>
    <w:uiPriority w:val="99"/>
    <w:semiHidden/>
    <w:unhideWhenUsed/>
    <w:rsid w:val="001B3A51"/>
    <w:pPr>
      <w:spacing w:after="0" w:line="240" w:lineRule="auto"/>
    </w:pPr>
    <w:rPr>
      <w:sz w:val="18"/>
      <w:szCs w:val="18"/>
    </w:rPr>
  </w:style>
  <w:style w:type="character" w:customStyle="1" w:styleId="BalloonTextChar">
    <w:name w:val="Balloon Text Char"/>
    <w:basedOn w:val="DefaultParagraphFont"/>
    <w:link w:val="BalloonText"/>
    <w:uiPriority w:val="99"/>
    <w:semiHidden/>
    <w:rsid w:val="001B3A51"/>
    <w:rPr>
      <w:rFonts w:ascii="Segoe UI" w:hAnsi="Segoe UI" w:cs="Segoe UI"/>
      <w:sz w:val="18"/>
      <w:szCs w:val="18"/>
    </w:rPr>
  </w:style>
  <w:style w:type="character" w:styleId="FootnoteReference">
    <w:name w:val="footnote reference"/>
    <w:basedOn w:val="DefaultParagraphFont"/>
    <w:uiPriority w:val="99"/>
    <w:semiHidden/>
    <w:unhideWhenUsed/>
    <w:rsid w:val="001B3A51"/>
    <w:rPr>
      <w:vertAlign w:val="superscript"/>
    </w:rPr>
  </w:style>
  <w:style w:type="paragraph" w:customStyle="1" w:styleId="TableTitle">
    <w:name w:val="Table Title"/>
    <w:basedOn w:val="Normal"/>
    <w:link w:val="TableTitleChar"/>
    <w:autoRedefine/>
    <w:qFormat/>
    <w:rsid w:val="003230B4"/>
    <w:pPr>
      <w:spacing w:after="0"/>
      <w:jc w:val="center"/>
    </w:pPr>
    <w:rPr>
      <w:b/>
      <w:sz w:val="20"/>
    </w:rPr>
  </w:style>
  <w:style w:type="character" w:customStyle="1" w:styleId="TableTitleChar">
    <w:name w:val="Table Title Char"/>
    <w:basedOn w:val="DefaultParagraphFont"/>
    <w:link w:val="TableTitle"/>
    <w:rsid w:val="003230B4"/>
    <w:rPr>
      <w:rFonts w:ascii="Arial" w:hAnsi="Arial" w:cs="Segoe UI"/>
      <w:b/>
      <w:sz w:val="20"/>
    </w:rPr>
  </w:style>
  <w:style w:type="character" w:customStyle="1" w:styleId="Heading8Char">
    <w:name w:val="Heading 8 Char"/>
    <w:basedOn w:val="DefaultParagraphFont"/>
    <w:link w:val="Heading8"/>
    <w:uiPriority w:val="9"/>
    <w:semiHidden/>
    <w:rsid w:val="009C78B6"/>
    <w:rPr>
      <w:rFonts w:ascii="Segoe UI" w:eastAsiaTheme="minorEastAsia" w:hAnsi="Segoe UI" w:cs="Segoe UI"/>
      <w:caps/>
      <w:spacing w:val="10"/>
      <w:sz w:val="18"/>
      <w:szCs w:val="18"/>
      <w:lang w:val="en-US" w:bidi="en-US"/>
    </w:rPr>
  </w:style>
  <w:style w:type="character" w:customStyle="1" w:styleId="Heading9Char">
    <w:name w:val="Heading 9 Char"/>
    <w:basedOn w:val="DefaultParagraphFont"/>
    <w:link w:val="Heading9"/>
    <w:uiPriority w:val="9"/>
    <w:semiHidden/>
    <w:rsid w:val="009C78B6"/>
    <w:rPr>
      <w:rFonts w:ascii="Segoe UI" w:eastAsiaTheme="minorEastAsia" w:hAnsi="Segoe UI" w:cs="Segoe UI"/>
      <w:i/>
      <w:caps/>
      <w:spacing w:val="10"/>
      <w:sz w:val="18"/>
      <w:szCs w:val="18"/>
      <w:lang w:val="en-US" w:bidi="en-US"/>
    </w:rPr>
  </w:style>
  <w:style w:type="paragraph" w:customStyle="1" w:styleId="Logo">
    <w:name w:val="Logo"/>
    <w:basedOn w:val="Normal"/>
    <w:uiPriority w:val="99"/>
    <w:unhideWhenUsed/>
    <w:rsid w:val="009C78B6"/>
    <w:pPr>
      <w:spacing w:before="600" w:after="200" w:line="276" w:lineRule="auto"/>
    </w:pPr>
    <w:rPr>
      <w:rFonts w:eastAsiaTheme="minorEastAsia"/>
      <w:szCs w:val="20"/>
      <w:lang w:val="en-US" w:bidi="en-US"/>
    </w:rPr>
  </w:style>
  <w:style w:type="paragraph" w:styleId="Title">
    <w:name w:val="Title"/>
    <w:aliases w:val="Heading"/>
    <w:basedOn w:val="Normal"/>
    <w:next w:val="Normal"/>
    <w:link w:val="TitleChar"/>
    <w:uiPriority w:val="10"/>
    <w:qFormat/>
    <w:rsid w:val="009C78B6"/>
    <w:pPr>
      <w:spacing w:before="720" w:after="200" w:line="276" w:lineRule="auto"/>
    </w:pPr>
    <w:rPr>
      <w:rFonts w:eastAsiaTheme="minorEastAsia"/>
      <w:caps/>
      <w:color w:val="4472C4" w:themeColor="accent1"/>
      <w:spacing w:val="10"/>
      <w:kern w:val="28"/>
      <w:sz w:val="52"/>
      <w:szCs w:val="52"/>
      <w:lang w:val="en-US" w:bidi="en-US"/>
    </w:rPr>
  </w:style>
  <w:style w:type="character" w:customStyle="1" w:styleId="TitleChar">
    <w:name w:val="Title Char"/>
    <w:aliases w:val="Heading Char"/>
    <w:basedOn w:val="DefaultParagraphFont"/>
    <w:link w:val="Title"/>
    <w:uiPriority w:val="10"/>
    <w:rsid w:val="009C78B6"/>
    <w:rPr>
      <w:rFonts w:ascii="Segoe UI" w:eastAsiaTheme="minorEastAsia" w:hAnsi="Segoe UI" w:cs="Segoe UI"/>
      <w:caps/>
      <w:color w:val="4472C4" w:themeColor="accent1"/>
      <w:spacing w:val="10"/>
      <w:kern w:val="28"/>
      <w:sz w:val="52"/>
      <w:szCs w:val="52"/>
      <w:lang w:val="en-US" w:bidi="en-US"/>
    </w:rPr>
  </w:style>
  <w:style w:type="paragraph" w:styleId="Subtitle">
    <w:name w:val="Subtitle"/>
    <w:basedOn w:val="Normal"/>
    <w:next w:val="Normal"/>
    <w:link w:val="SubtitleChar"/>
    <w:uiPriority w:val="11"/>
    <w:qFormat/>
    <w:rsid w:val="009C78B6"/>
    <w:pPr>
      <w:spacing w:before="200" w:after="1000" w:line="240" w:lineRule="auto"/>
    </w:pPr>
    <w:rPr>
      <w:rFonts w:eastAsiaTheme="minorEastAsia"/>
      <w:caps/>
      <w:color w:val="595959" w:themeColor="text1" w:themeTint="A6"/>
      <w:spacing w:val="10"/>
      <w:sz w:val="24"/>
      <w:szCs w:val="24"/>
      <w:lang w:val="en-US" w:bidi="en-US"/>
    </w:rPr>
  </w:style>
  <w:style w:type="character" w:customStyle="1" w:styleId="SubtitleChar">
    <w:name w:val="Subtitle Char"/>
    <w:basedOn w:val="DefaultParagraphFont"/>
    <w:link w:val="Subtitle"/>
    <w:uiPriority w:val="11"/>
    <w:rsid w:val="009C78B6"/>
    <w:rPr>
      <w:rFonts w:ascii="Segoe UI" w:eastAsiaTheme="minorEastAsia" w:hAnsi="Segoe UI" w:cs="Segoe UI"/>
      <w:caps/>
      <w:color w:val="595959" w:themeColor="text1" w:themeTint="A6"/>
      <w:spacing w:val="10"/>
      <w:sz w:val="24"/>
      <w:szCs w:val="24"/>
      <w:lang w:val="en-US" w:bidi="en-US"/>
    </w:rPr>
  </w:style>
  <w:style w:type="paragraph" w:customStyle="1" w:styleId="ContactInfo">
    <w:name w:val="Contact Info"/>
    <w:basedOn w:val="NoSpacing"/>
    <w:uiPriority w:val="99"/>
    <w:qFormat/>
    <w:rsid w:val="009C78B6"/>
    <w:rPr>
      <w:color w:val="FFFFFF" w:themeColor="background1"/>
      <w:sz w:val="22"/>
      <w:szCs w:val="22"/>
    </w:rPr>
  </w:style>
  <w:style w:type="paragraph" w:customStyle="1" w:styleId="TableSpace">
    <w:name w:val="Table Space"/>
    <w:basedOn w:val="NoSpacing"/>
    <w:uiPriority w:val="99"/>
    <w:rsid w:val="009C78B6"/>
    <w:pPr>
      <w:spacing w:line="14" w:lineRule="exact"/>
    </w:pPr>
    <w:rPr>
      <w:sz w:val="22"/>
    </w:rPr>
  </w:style>
  <w:style w:type="paragraph" w:customStyle="1" w:styleId="LogoAlt">
    <w:name w:val="Logo Alt."/>
    <w:basedOn w:val="Normal"/>
    <w:uiPriority w:val="99"/>
    <w:unhideWhenUsed/>
    <w:rsid w:val="009C78B6"/>
    <w:pPr>
      <w:spacing w:before="720" w:after="200" w:line="276" w:lineRule="auto"/>
      <w:ind w:left="720"/>
    </w:pPr>
    <w:rPr>
      <w:rFonts w:eastAsiaTheme="minorEastAsia"/>
      <w:szCs w:val="20"/>
      <w:lang w:val="en-US" w:bidi="en-US"/>
    </w:rPr>
  </w:style>
  <w:style w:type="paragraph" w:customStyle="1" w:styleId="FooterAlt">
    <w:name w:val="Footer Alt."/>
    <w:basedOn w:val="Normal"/>
    <w:uiPriority w:val="99"/>
    <w:unhideWhenUsed/>
    <w:qFormat/>
    <w:rsid w:val="009C78B6"/>
    <w:pPr>
      <w:spacing w:before="200" w:after="200" w:line="276" w:lineRule="auto"/>
    </w:pPr>
    <w:rPr>
      <w:rFonts w:eastAsiaTheme="minorEastAsia"/>
      <w:sz w:val="18"/>
      <w:szCs w:val="18"/>
      <w:lang w:val="en-US" w:bidi="en-US"/>
    </w:rPr>
  </w:style>
  <w:style w:type="paragraph" w:styleId="TOC3">
    <w:name w:val="toc 3"/>
    <w:basedOn w:val="Normal"/>
    <w:next w:val="Normal"/>
    <w:autoRedefine/>
    <w:uiPriority w:val="39"/>
    <w:unhideWhenUsed/>
    <w:rsid w:val="009C78B6"/>
    <w:pPr>
      <w:spacing w:before="200" w:after="100" w:line="276" w:lineRule="auto"/>
      <w:ind w:left="720" w:right="3240"/>
    </w:pPr>
    <w:rPr>
      <w:rFonts w:eastAsiaTheme="minorEastAsia"/>
      <w:szCs w:val="20"/>
      <w:lang w:val="en-US" w:bidi="en-US"/>
    </w:rPr>
  </w:style>
  <w:style w:type="paragraph" w:customStyle="1" w:styleId="text">
    <w:name w:val="text"/>
    <w:aliases w:val="t"/>
    <w:basedOn w:val="Normal"/>
    <w:rsid w:val="009C78B6"/>
    <w:pPr>
      <w:overflowPunct w:val="0"/>
      <w:autoSpaceDE w:val="0"/>
      <w:autoSpaceDN w:val="0"/>
      <w:adjustRightInd w:val="0"/>
      <w:spacing w:before="200" w:after="200" w:line="480" w:lineRule="atLeast"/>
      <w:ind w:firstLine="720"/>
      <w:jc w:val="both"/>
      <w:textAlignment w:val="baseline"/>
    </w:pPr>
    <w:rPr>
      <w:rFonts w:ascii="Times" w:eastAsiaTheme="minorEastAsia" w:hAnsi="Times"/>
      <w:szCs w:val="20"/>
      <w:lang w:val="en-US" w:bidi="en-US"/>
    </w:rPr>
  </w:style>
  <w:style w:type="character" w:customStyle="1" w:styleId="CommentSubjectChar">
    <w:name w:val="Comment Subject Char"/>
    <w:basedOn w:val="CommentTextChar"/>
    <w:link w:val="CommentSubject"/>
    <w:uiPriority w:val="99"/>
    <w:semiHidden/>
    <w:rsid w:val="009C78B6"/>
    <w:rPr>
      <w:rFonts w:ascii="Segoe UI" w:eastAsiaTheme="minorEastAsia" w:hAnsi="Segoe UI" w:cs="Segoe UI"/>
      <w:b/>
      <w:bCs/>
      <w:sz w:val="20"/>
      <w:szCs w:val="20"/>
      <w:lang w:val="en-US" w:bidi="en-US"/>
    </w:rPr>
  </w:style>
  <w:style w:type="paragraph" w:styleId="CommentSubject">
    <w:name w:val="annotation subject"/>
    <w:basedOn w:val="CommentText"/>
    <w:next w:val="CommentText"/>
    <w:link w:val="CommentSubjectChar"/>
    <w:uiPriority w:val="99"/>
    <w:semiHidden/>
    <w:unhideWhenUsed/>
    <w:rsid w:val="009C78B6"/>
    <w:rPr>
      <w:b/>
      <w:bCs/>
      <w:sz w:val="22"/>
    </w:rPr>
  </w:style>
  <w:style w:type="paragraph" w:styleId="Caption">
    <w:name w:val="caption"/>
    <w:basedOn w:val="Normal"/>
    <w:next w:val="Normal"/>
    <w:link w:val="CaptionChar"/>
    <w:unhideWhenUsed/>
    <w:qFormat/>
    <w:rsid w:val="009C78B6"/>
    <w:pPr>
      <w:spacing w:before="200" w:after="200" w:line="276" w:lineRule="auto"/>
    </w:pPr>
    <w:rPr>
      <w:rFonts w:eastAsiaTheme="minorEastAsia"/>
      <w:b/>
      <w:bCs/>
      <w:color w:val="2F5496" w:themeColor="accent1" w:themeShade="BF"/>
      <w:sz w:val="16"/>
      <w:szCs w:val="16"/>
      <w:lang w:val="en-US" w:bidi="en-US"/>
    </w:rPr>
  </w:style>
  <w:style w:type="character" w:customStyle="1" w:styleId="CaptionChar">
    <w:name w:val="Caption Char"/>
    <w:basedOn w:val="DefaultParagraphFont"/>
    <w:link w:val="Caption"/>
    <w:rsid w:val="009C78B6"/>
    <w:rPr>
      <w:rFonts w:ascii="Segoe UI" w:eastAsiaTheme="minorEastAsia" w:hAnsi="Segoe UI" w:cs="Segoe UI"/>
      <w:b/>
      <w:bCs/>
      <w:color w:val="2F5496" w:themeColor="accent1" w:themeShade="BF"/>
      <w:sz w:val="16"/>
      <w:szCs w:val="16"/>
      <w:lang w:val="en-US" w:bidi="en-US"/>
    </w:rPr>
  </w:style>
  <w:style w:type="character" w:styleId="Emphasis">
    <w:name w:val="Emphasis"/>
    <w:uiPriority w:val="20"/>
    <w:qFormat/>
    <w:rsid w:val="009C78B6"/>
    <w:rPr>
      <w:caps/>
      <w:color w:val="1F3763" w:themeColor="accent1" w:themeShade="7F"/>
      <w:spacing w:val="5"/>
    </w:rPr>
  </w:style>
  <w:style w:type="paragraph" w:styleId="Quote">
    <w:name w:val="Quote"/>
    <w:basedOn w:val="Normal"/>
    <w:next w:val="Normal"/>
    <w:link w:val="QuoteChar"/>
    <w:uiPriority w:val="29"/>
    <w:qFormat/>
    <w:rsid w:val="009C78B6"/>
    <w:pPr>
      <w:spacing w:before="200" w:after="200" w:line="276" w:lineRule="auto"/>
    </w:pPr>
    <w:rPr>
      <w:rFonts w:eastAsiaTheme="minorEastAsia"/>
      <w:i/>
      <w:iCs/>
      <w:szCs w:val="20"/>
      <w:lang w:val="en-US" w:bidi="en-US"/>
    </w:rPr>
  </w:style>
  <w:style w:type="character" w:customStyle="1" w:styleId="QuoteChar">
    <w:name w:val="Quote Char"/>
    <w:basedOn w:val="DefaultParagraphFont"/>
    <w:link w:val="Quote"/>
    <w:uiPriority w:val="29"/>
    <w:rsid w:val="009C78B6"/>
    <w:rPr>
      <w:rFonts w:ascii="Segoe UI" w:eastAsiaTheme="minorEastAsia" w:hAnsi="Segoe UI" w:cs="Segoe UI"/>
      <w:i/>
      <w:iCs/>
      <w:szCs w:val="20"/>
      <w:lang w:val="en-US" w:bidi="en-US"/>
    </w:rPr>
  </w:style>
  <w:style w:type="paragraph" w:styleId="IntenseQuote">
    <w:name w:val="Intense Quote"/>
    <w:basedOn w:val="Normal"/>
    <w:next w:val="Normal"/>
    <w:link w:val="IntenseQuoteChar"/>
    <w:uiPriority w:val="30"/>
    <w:qFormat/>
    <w:rsid w:val="009C78B6"/>
    <w:pPr>
      <w:pBdr>
        <w:top w:val="single" w:sz="4" w:space="10" w:color="4472C4" w:themeColor="accent1"/>
        <w:left w:val="single" w:sz="4" w:space="10" w:color="4472C4" w:themeColor="accent1"/>
      </w:pBdr>
      <w:spacing w:before="200" w:after="0" w:line="276" w:lineRule="auto"/>
      <w:ind w:left="1296" w:right="1152"/>
      <w:jc w:val="both"/>
    </w:pPr>
    <w:rPr>
      <w:rFonts w:eastAsiaTheme="minorEastAsia"/>
      <w:i/>
      <w:iCs/>
      <w:color w:val="4472C4" w:themeColor="accent1"/>
      <w:szCs w:val="20"/>
      <w:lang w:val="en-US" w:bidi="en-US"/>
    </w:rPr>
  </w:style>
  <w:style w:type="character" w:customStyle="1" w:styleId="IntenseQuoteChar">
    <w:name w:val="Intense Quote Char"/>
    <w:basedOn w:val="DefaultParagraphFont"/>
    <w:link w:val="IntenseQuote"/>
    <w:uiPriority w:val="30"/>
    <w:rsid w:val="009C78B6"/>
    <w:rPr>
      <w:rFonts w:ascii="Segoe UI" w:eastAsiaTheme="minorEastAsia" w:hAnsi="Segoe UI" w:cs="Segoe UI"/>
      <w:i/>
      <w:iCs/>
      <w:color w:val="4472C4" w:themeColor="accent1"/>
      <w:szCs w:val="20"/>
      <w:lang w:val="en-US" w:bidi="en-US"/>
    </w:rPr>
  </w:style>
  <w:style w:type="character" w:styleId="SubtleReference">
    <w:name w:val="Subtle Reference"/>
    <w:uiPriority w:val="31"/>
    <w:qFormat/>
    <w:rsid w:val="009C78B6"/>
    <w:rPr>
      <w:b/>
      <w:bCs/>
      <w:color w:val="4472C4" w:themeColor="accent1"/>
    </w:rPr>
  </w:style>
  <w:style w:type="character" w:styleId="BookTitle">
    <w:name w:val="Book Title"/>
    <w:uiPriority w:val="33"/>
    <w:qFormat/>
    <w:rsid w:val="009C78B6"/>
    <w:rPr>
      <w:b/>
      <w:bCs/>
      <w:i/>
      <w:iCs/>
      <w:spacing w:val="9"/>
    </w:rPr>
  </w:style>
  <w:style w:type="table" w:styleId="LightList-Accent5">
    <w:name w:val="Light List Accent 5"/>
    <w:basedOn w:val="TableNormal"/>
    <w:uiPriority w:val="61"/>
    <w:rsid w:val="009C78B6"/>
    <w:pPr>
      <w:spacing w:before="200" w:after="0" w:line="240" w:lineRule="auto"/>
    </w:pPr>
    <w:rPr>
      <w:rFonts w:eastAsiaTheme="minorEastAsia"/>
      <w:lang w:val="en-US" w:bidi="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FootnoteText">
    <w:name w:val="footnote text"/>
    <w:basedOn w:val="Normal"/>
    <w:link w:val="FootnoteTextChar"/>
    <w:uiPriority w:val="99"/>
    <w:unhideWhenUsed/>
    <w:rsid w:val="009C78B6"/>
    <w:pPr>
      <w:spacing w:after="0" w:line="240" w:lineRule="auto"/>
    </w:pPr>
    <w:rPr>
      <w:rFonts w:eastAsiaTheme="minorEastAsia"/>
      <w:szCs w:val="20"/>
      <w:lang w:val="en-US" w:bidi="en-US"/>
    </w:rPr>
  </w:style>
  <w:style w:type="character" w:customStyle="1" w:styleId="FootnoteTextChar">
    <w:name w:val="Footnote Text Char"/>
    <w:basedOn w:val="DefaultParagraphFont"/>
    <w:link w:val="FootnoteText"/>
    <w:uiPriority w:val="99"/>
    <w:rsid w:val="009C78B6"/>
    <w:rPr>
      <w:rFonts w:ascii="Segoe UI" w:eastAsiaTheme="minorEastAsia" w:hAnsi="Segoe UI" w:cs="Segoe UI"/>
      <w:szCs w:val="20"/>
      <w:lang w:val="en-US" w:bidi="en-US"/>
    </w:rPr>
  </w:style>
  <w:style w:type="paragraph" w:customStyle="1" w:styleId="MainBodyText">
    <w:name w:val="Main_Body_Text"/>
    <w:basedOn w:val="Normal"/>
    <w:qFormat/>
    <w:rsid w:val="009C78B6"/>
    <w:pPr>
      <w:spacing w:before="200" w:after="200"/>
    </w:pPr>
    <w:rPr>
      <w:rFonts w:eastAsiaTheme="minorEastAsia"/>
      <w:szCs w:val="20"/>
      <w:lang w:val="en-US" w:bidi="en-US"/>
    </w:rPr>
  </w:style>
  <w:style w:type="paragraph" w:customStyle="1" w:styleId="COSTableTitle">
    <w:name w:val="COS Table Title"/>
    <w:basedOn w:val="Caption"/>
    <w:link w:val="COSTableTitleChar"/>
    <w:qFormat/>
    <w:rsid w:val="009C78B6"/>
    <w:pPr>
      <w:jc w:val="center"/>
    </w:pPr>
  </w:style>
  <w:style w:type="character" w:customStyle="1" w:styleId="COSTableTitleChar">
    <w:name w:val="COS Table Title Char"/>
    <w:basedOn w:val="CaptionChar"/>
    <w:link w:val="COSTableTitle"/>
    <w:rsid w:val="009C78B6"/>
    <w:rPr>
      <w:rFonts w:ascii="Segoe UI" w:eastAsiaTheme="minorEastAsia" w:hAnsi="Segoe UI" w:cs="Segoe UI"/>
      <w:b/>
      <w:bCs/>
      <w:color w:val="2F5496" w:themeColor="accent1" w:themeShade="BF"/>
      <w:sz w:val="16"/>
      <w:szCs w:val="16"/>
      <w:lang w:val="en-US" w:bidi="en-US"/>
    </w:rPr>
  </w:style>
  <w:style w:type="paragraph" w:styleId="TableofFigures">
    <w:name w:val="table of figures"/>
    <w:basedOn w:val="Normal"/>
    <w:next w:val="Normal"/>
    <w:uiPriority w:val="99"/>
    <w:unhideWhenUsed/>
    <w:rsid w:val="009C78B6"/>
    <w:pPr>
      <w:spacing w:before="200" w:after="0" w:line="276" w:lineRule="auto"/>
    </w:pPr>
    <w:rPr>
      <w:rFonts w:eastAsiaTheme="minorEastAsia"/>
      <w:szCs w:val="20"/>
      <w:lang w:val="en-US" w:bidi="en-US"/>
    </w:rPr>
  </w:style>
  <w:style w:type="character" w:customStyle="1" w:styleId="FootnoteCharacters">
    <w:name w:val="Footnote Characters"/>
    <w:basedOn w:val="DefaultParagraphFont"/>
    <w:rsid w:val="009C78B6"/>
    <w:rPr>
      <w:vertAlign w:val="superscript"/>
    </w:rPr>
  </w:style>
  <w:style w:type="character" w:styleId="LineNumber">
    <w:name w:val="line number"/>
    <w:basedOn w:val="DefaultParagraphFont"/>
    <w:uiPriority w:val="99"/>
    <w:semiHidden/>
    <w:unhideWhenUsed/>
    <w:rsid w:val="00D530EA"/>
  </w:style>
  <w:style w:type="paragraph" w:customStyle="1" w:styleId="117-Sub-Heading">
    <w:name w:val="117-Sub-Heading"/>
    <w:basedOn w:val="Normal"/>
    <w:autoRedefine/>
    <w:uiPriority w:val="99"/>
    <w:rsid w:val="00BA7650"/>
    <w:pPr>
      <w:spacing w:before="240" w:after="0"/>
    </w:pPr>
    <w:rPr>
      <w:rFonts w:eastAsia="Times New Roman" w:cs="Times New Roman"/>
      <w:b/>
      <w:szCs w:val="24"/>
      <w:lang w:val="en-US"/>
    </w:rPr>
  </w:style>
  <w:style w:type="character" w:styleId="PlaceholderText">
    <w:name w:val="Placeholder Text"/>
    <w:basedOn w:val="DefaultParagraphFont"/>
    <w:uiPriority w:val="99"/>
    <w:semiHidden/>
    <w:rsid w:val="00A13EEC"/>
    <w:rPr>
      <w:color w:val="808080"/>
    </w:rPr>
  </w:style>
  <w:style w:type="character" w:customStyle="1" w:styleId="UnresolvedMention1">
    <w:name w:val="Unresolved Mention1"/>
    <w:basedOn w:val="DefaultParagraphFont"/>
    <w:uiPriority w:val="99"/>
    <w:semiHidden/>
    <w:unhideWhenUsed/>
    <w:rsid w:val="004C3ADC"/>
    <w:rPr>
      <w:color w:val="605E5C"/>
      <w:shd w:val="clear" w:color="auto" w:fill="E1DFDD"/>
    </w:rPr>
  </w:style>
  <w:style w:type="character" w:styleId="FollowedHyperlink">
    <w:name w:val="FollowedHyperlink"/>
    <w:basedOn w:val="DefaultParagraphFont"/>
    <w:uiPriority w:val="99"/>
    <w:semiHidden/>
    <w:unhideWhenUsed/>
    <w:rsid w:val="00BC2876"/>
    <w:rPr>
      <w:color w:val="954F72" w:themeColor="followedHyperlink"/>
      <w:u w:val="single"/>
    </w:rPr>
  </w:style>
  <w:style w:type="table" w:customStyle="1" w:styleId="TableGrid1">
    <w:name w:val="Table Grid1"/>
    <w:basedOn w:val="TableNormal"/>
    <w:next w:val="TableGrid"/>
    <w:uiPriority w:val="39"/>
    <w:rsid w:val="00191098"/>
    <w:pPr>
      <w:spacing w:after="0" w:line="240" w:lineRule="auto"/>
    </w:pPr>
    <w:rPr>
      <w:rFonts w:eastAsia="MS Mincho"/>
      <w:color w:val="4C483D"/>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4D85"/>
    <w:pPr>
      <w:spacing w:after="0" w:line="240" w:lineRule="auto"/>
    </w:pPr>
    <w:rPr>
      <w:rFonts w:eastAsia="MS Mincho"/>
      <w:color w:val="4C483D"/>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0187"/>
    <w:pPr>
      <w:spacing w:after="0" w:line="240" w:lineRule="auto"/>
    </w:pPr>
    <w:rPr>
      <w:rFonts w:eastAsia="MS Mincho"/>
      <w:color w:val="4C483D"/>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3899">
      <w:bodyDiv w:val="1"/>
      <w:marLeft w:val="0"/>
      <w:marRight w:val="0"/>
      <w:marTop w:val="0"/>
      <w:marBottom w:val="0"/>
      <w:divBdr>
        <w:top w:val="none" w:sz="0" w:space="0" w:color="auto"/>
        <w:left w:val="none" w:sz="0" w:space="0" w:color="auto"/>
        <w:bottom w:val="none" w:sz="0" w:space="0" w:color="auto"/>
        <w:right w:val="none" w:sz="0" w:space="0" w:color="auto"/>
      </w:divBdr>
    </w:div>
    <w:div w:id="289553489">
      <w:bodyDiv w:val="1"/>
      <w:marLeft w:val="0"/>
      <w:marRight w:val="0"/>
      <w:marTop w:val="0"/>
      <w:marBottom w:val="0"/>
      <w:divBdr>
        <w:top w:val="none" w:sz="0" w:space="0" w:color="auto"/>
        <w:left w:val="none" w:sz="0" w:space="0" w:color="auto"/>
        <w:bottom w:val="none" w:sz="0" w:space="0" w:color="auto"/>
        <w:right w:val="none" w:sz="0" w:space="0" w:color="auto"/>
      </w:divBdr>
    </w:div>
    <w:div w:id="407575525">
      <w:bodyDiv w:val="1"/>
      <w:marLeft w:val="0"/>
      <w:marRight w:val="0"/>
      <w:marTop w:val="0"/>
      <w:marBottom w:val="0"/>
      <w:divBdr>
        <w:top w:val="none" w:sz="0" w:space="0" w:color="auto"/>
        <w:left w:val="none" w:sz="0" w:space="0" w:color="auto"/>
        <w:bottom w:val="none" w:sz="0" w:space="0" w:color="auto"/>
        <w:right w:val="none" w:sz="0" w:space="0" w:color="auto"/>
      </w:divBdr>
    </w:div>
    <w:div w:id="434984482">
      <w:bodyDiv w:val="1"/>
      <w:marLeft w:val="0"/>
      <w:marRight w:val="0"/>
      <w:marTop w:val="0"/>
      <w:marBottom w:val="0"/>
      <w:divBdr>
        <w:top w:val="none" w:sz="0" w:space="0" w:color="auto"/>
        <w:left w:val="none" w:sz="0" w:space="0" w:color="auto"/>
        <w:bottom w:val="none" w:sz="0" w:space="0" w:color="auto"/>
        <w:right w:val="none" w:sz="0" w:space="0" w:color="auto"/>
      </w:divBdr>
    </w:div>
    <w:div w:id="463306555">
      <w:bodyDiv w:val="1"/>
      <w:marLeft w:val="0"/>
      <w:marRight w:val="0"/>
      <w:marTop w:val="0"/>
      <w:marBottom w:val="0"/>
      <w:divBdr>
        <w:top w:val="none" w:sz="0" w:space="0" w:color="auto"/>
        <w:left w:val="none" w:sz="0" w:space="0" w:color="auto"/>
        <w:bottom w:val="none" w:sz="0" w:space="0" w:color="auto"/>
        <w:right w:val="none" w:sz="0" w:space="0" w:color="auto"/>
      </w:divBdr>
    </w:div>
    <w:div w:id="506138782">
      <w:bodyDiv w:val="1"/>
      <w:marLeft w:val="0"/>
      <w:marRight w:val="0"/>
      <w:marTop w:val="0"/>
      <w:marBottom w:val="0"/>
      <w:divBdr>
        <w:top w:val="none" w:sz="0" w:space="0" w:color="auto"/>
        <w:left w:val="none" w:sz="0" w:space="0" w:color="auto"/>
        <w:bottom w:val="none" w:sz="0" w:space="0" w:color="auto"/>
        <w:right w:val="none" w:sz="0" w:space="0" w:color="auto"/>
      </w:divBdr>
    </w:div>
    <w:div w:id="589198733">
      <w:bodyDiv w:val="1"/>
      <w:marLeft w:val="0"/>
      <w:marRight w:val="0"/>
      <w:marTop w:val="0"/>
      <w:marBottom w:val="0"/>
      <w:divBdr>
        <w:top w:val="none" w:sz="0" w:space="0" w:color="auto"/>
        <w:left w:val="none" w:sz="0" w:space="0" w:color="auto"/>
        <w:bottom w:val="none" w:sz="0" w:space="0" w:color="auto"/>
        <w:right w:val="none" w:sz="0" w:space="0" w:color="auto"/>
      </w:divBdr>
    </w:div>
    <w:div w:id="740953260">
      <w:bodyDiv w:val="1"/>
      <w:marLeft w:val="0"/>
      <w:marRight w:val="0"/>
      <w:marTop w:val="0"/>
      <w:marBottom w:val="0"/>
      <w:divBdr>
        <w:top w:val="none" w:sz="0" w:space="0" w:color="auto"/>
        <w:left w:val="none" w:sz="0" w:space="0" w:color="auto"/>
        <w:bottom w:val="none" w:sz="0" w:space="0" w:color="auto"/>
        <w:right w:val="none" w:sz="0" w:space="0" w:color="auto"/>
      </w:divBdr>
    </w:div>
    <w:div w:id="816653615">
      <w:bodyDiv w:val="1"/>
      <w:marLeft w:val="0"/>
      <w:marRight w:val="0"/>
      <w:marTop w:val="0"/>
      <w:marBottom w:val="0"/>
      <w:divBdr>
        <w:top w:val="none" w:sz="0" w:space="0" w:color="auto"/>
        <w:left w:val="none" w:sz="0" w:space="0" w:color="auto"/>
        <w:bottom w:val="none" w:sz="0" w:space="0" w:color="auto"/>
        <w:right w:val="none" w:sz="0" w:space="0" w:color="auto"/>
      </w:divBdr>
    </w:div>
    <w:div w:id="895049149">
      <w:bodyDiv w:val="1"/>
      <w:marLeft w:val="0"/>
      <w:marRight w:val="0"/>
      <w:marTop w:val="0"/>
      <w:marBottom w:val="0"/>
      <w:divBdr>
        <w:top w:val="none" w:sz="0" w:space="0" w:color="auto"/>
        <w:left w:val="none" w:sz="0" w:space="0" w:color="auto"/>
        <w:bottom w:val="none" w:sz="0" w:space="0" w:color="auto"/>
        <w:right w:val="none" w:sz="0" w:space="0" w:color="auto"/>
      </w:divBdr>
    </w:div>
    <w:div w:id="929048119">
      <w:bodyDiv w:val="1"/>
      <w:marLeft w:val="0"/>
      <w:marRight w:val="0"/>
      <w:marTop w:val="0"/>
      <w:marBottom w:val="0"/>
      <w:divBdr>
        <w:top w:val="none" w:sz="0" w:space="0" w:color="auto"/>
        <w:left w:val="none" w:sz="0" w:space="0" w:color="auto"/>
        <w:bottom w:val="none" w:sz="0" w:space="0" w:color="auto"/>
        <w:right w:val="none" w:sz="0" w:space="0" w:color="auto"/>
      </w:divBdr>
    </w:div>
    <w:div w:id="999967107">
      <w:bodyDiv w:val="1"/>
      <w:marLeft w:val="0"/>
      <w:marRight w:val="0"/>
      <w:marTop w:val="0"/>
      <w:marBottom w:val="0"/>
      <w:divBdr>
        <w:top w:val="none" w:sz="0" w:space="0" w:color="auto"/>
        <w:left w:val="none" w:sz="0" w:space="0" w:color="auto"/>
        <w:bottom w:val="none" w:sz="0" w:space="0" w:color="auto"/>
        <w:right w:val="none" w:sz="0" w:space="0" w:color="auto"/>
      </w:divBdr>
    </w:div>
    <w:div w:id="1033001826">
      <w:bodyDiv w:val="1"/>
      <w:marLeft w:val="0"/>
      <w:marRight w:val="0"/>
      <w:marTop w:val="0"/>
      <w:marBottom w:val="0"/>
      <w:divBdr>
        <w:top w:val="none" w:sz="0" w:space="0" w:color="auto"/>
        <w:left w:val="none" w:sz="0" w:space="0" w:color="auto"/>
        <w:bottom w:val="none" w:sz="0" w:space="0" w:color="auto"/>
        <w:right w:val="none" w:sz="0" w:space="0" w:color="auto"/>
      </w:divBdr>
    </w:div>
    <w:div w:id="1402557384">
      <w:bodyDiv w:val="1"/>
      <w:marLeft w:val="0"/>
      <w:marRight w:val="0"/>
      <w:marTop w:val="0"/>
      <w:marBottom w:val="0"/>
      <w:divBdr>
        <w:top w:val="none" w:sz="0" w:space="0" w:color="auto"/>
        <w:left w:val="none" w:sz="0" w:space="0" w:color="auto"/>
        <w:bottom w:val="none" w:sz="0" w:space="0" w:color="auto"/>
        <w:right w:val="none" w:sz="0" w:space="0" w:color="auto"/>
      </w:divBdr>
    </w:div>
    <w:div w:id="1574706803">
      <w:bodyDiv w:val="1"/>
      <w:marLeft w:val="0"/>
      <w:marRight w:val="0"/>
      <w:marTop w:val="0"/>
      <w:marBottom w:val="0"/>
      <w:divBdr>
        <w:top w:val="none" w:sz="0" w:space="0" w:color="auto"/>
        <w:left w:val="none" w:sz="0" w:space="0" w:color="auto"/>
        <w:bottom w:val="none" w:sz="0" w:space="0" w:color="auto"/>
        <w:right w:val="none" w:sz="0" w:space="0" w:color="auto"/>
      </w:divBdr>
    </w:div>
    <w:div w:id="1637711284">
      <w:bodyDiv w:val="1"/>
      <w:marLeft w:val="0"/>
      <w:marRight w:val="0"/>
      <w:marTop w:val="0"/>
      <w:marBottom w:val="0"/>
      <w:divBdr>
        <w:top w:val="none" w:sz="0" w:space="0" w:color="auto"/>
        <w:left w:val="none" w:sz="0" w:space="0" w:color="auto"/>
        <w:bottom w:val="none" w:sz="0" w:space="0" w:color="auto"/>
        <w:right w:val="none" w:sz="0" w:space="0" w:color="auto"/>
      </w:divBdr>
    </w:div>
    <w:div w:id="17567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niagara-on-the-lake-hyd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NOTLhyd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notlhydro" TargetMode="External"/><Relationship Id="rId5" Type="http://schemas.openxmlformats.org/officeDocument/2006/relationships/webSettings" Target="webSettings.xml"/><Relationship Id="rId15" Type="http://schemas.openxmlformats.org/officeDocument/2006/relationships/hyperlink" Target="http://www.ontarioenergyboard.ca" TargetMode="External"/><Relationship Id="rId10" Type="http://schemas.openxmlformats.org/officeDocument/2006/relationships/hyperlink" Target="http://www.notlhydro.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otlhyd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0EE73-8B34-4852-9FD9-4A93DCD2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1805</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Tandem Energy Services</dc:creator>
  <cp:lastModifiedBy>Tim Curtis</cp:lastModifiedBy>
  <cp:revision>10</cp:revision>
  <dcterms:created xsi:type="dcterms:W3CDTF">2022-05-02T20:05:00Z</dcterms:created>
  <dcterms:modified xsi:type="dcterms:W3CDTF">2022-05-10T13:38:00Z</dcterms:modified>
</cp:coreProperties>
</file>